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9577D">
      <w:pPr>
        <w:spacing w:line="360" w:lineRule="auto"/>
        <w:ind w:firstLine="1040" w:firstLineChars="200"/>
        <w:jc w:val="left"/>
        <w:rPr>
          <w:rFonts w:hint="eastAsia" w:ascii="宋体" w:hAnsi="宋体" w:eastAsia="宋体" w:cs="宋体"/>
          <w:b/>
          <w:sz w:val="44"/>
          <w:szCs w:val="44"/>
        </w:rPr>
      </w:pPr>
      <w:r>
        <w:rPr>
          <w:rFonts w:hint="eastAsia" w:ascii="宋体" w:hAnsi="宋体" w:eastAsia="宋体" w:cs="宋体"/>
          <w:sz w:val="52"/>
          <w:szCs w:val="52"/>
        </w:rPr>
        <w:t>广西交投宏冠工程咨询有限公司</w:t>
      </w:r>
    </w:p>
    <w:p w14:paraId="57FE1E31">
      <w:pPr>
        <w:spacing w:line="360" w:lineRule="auto"/>
        <w:ind w:firstLine="880"/>
        <w:jc w:val="center"/>
        <w:rPr>
          <w:rFonts w:hint="eastAsia" w:ascii="宋体" w:hAnsi="宋体" w:eastAsia="宋体" w:cs="宋体"/>
          <w:b/>
          <w:sz w:val="44"/>
          <w:szCs w:val="44"/>
        </w:rPr>
      </w:pPr>
    </w:p>
    <w:p w14:paraId="4AD91817">
      <w:pPr>
        <w:spacing w:line="360" w:lineRule="auto"/>
        <w:ind w:firstLine="880"/>
        <w:jc w:val="center"/>
        <w:rPr>
          <w:rFonts w:hint="eastAsia" w:ascii="宋体" w:hAnsi="宋体" w:eastAsia="宋体" w:cs="宋体"/>
          <w:b/>
          <w:sz w:val="44"/>
          <w:szCs w:val="44"/>
        </w:rPr>
      </w:pPr>
    </w:p>
    <w:p w14:paraId="057DFF7A">
      <w:pPr>
        <w:snapToGrid w:val="0"/>
        <w:spacing w:before="156" w:beforeLines="50" w:line="360" w:lineRule="auto"/>
        <w:rPr>
          <w:rFonts w:hint="eastAsia" w:ascii="华文新魏" w:hAnsi="宋体" w:eastAsia="华文新魏" w:cs="Times New Roman"/>
          <w:sz w:val="120"/>
          <w:szCs w:val="120"/>
        </w:rPr>
      </w:pPr>
      <w:r>
        <w:rPr>
          <w:rFonts w:hint="eastAsia" w:ascii="宋体" w:hAnsi="宋体" w:eastAsia="宋体" w:cs="宋体"/>
          <w:sz w:val="120"/>
          <w:szCs w:val="120"/>
        </w:rPr>
        <w:t>竞争性磋商文件</w:t>
      </w:r>
    </w:p>
    <w:p w14:paraId="4DBEABFC">
      <w:pPr>
        <w:snapToGrid w:val="0"/>
        <w:spacing w:before="156" w:beforeLines="50" w:line="360" w:lineRule="auto"/>
        <w:ind w:firstLine="964"/>
        <w:jc w:val="center"/>
        <w:rPr>
          <w:rFonts w:hint="eastAsia" w:ascii="宋体" w:hAnsi="宋体" w:eastAsia="宋体"/>
          <w:b/>
          <w:sz w:val="30"/>
          <w:szCs w:val="72"/>
        </w:rPr>
      </w:pPr>
      <w:r>
        <w:rPr>
          <w:rFonts w:hint="eastAsia" w:ascii="仿宋_GB2312" w:hAnsi="宋体" w:eastAsia="仿宋_GB2312" w:cs="Times New Roman"/>
          <w:b/>
          <w:sz w:val="48"/>
          <w:szCs w:val="48"/>
        </w:rPr>
        <w:t>（全流程电子化采购）</w:t>
      </w:r>
    </w:p>
    <w:p w14:paraId="26D8B306">
      <w:pPr>
        <w:snapToGrid w:val="0"/>
        <w:spacing w:line="360" w:lineRule="auto"/>
        <w:ind w:firstLine="602"/>
        <w:rPr>
          <w:rFonts w:hint="eastAsia" w:ascii="宋体" w:hAnsi="宋体" w:eastAsia="宋体"/>
          <w:sz w:val="30"/>
          <w:szCs w:val="72"/>
        </w:rPr>
      </w:pPr>
      <w:bookmarkStart w:id="216" w:name="_GoBack"/>
      <w:bookmarkEnd w:id="216"/>
    </w:p>
    <w:p w14:paraId="6258A3CD">
      <w:pPr>
        <w:snapToGrid w:val="0"/>
        <w:spacing w:line="360" w:lineRule="auto"/>
        <w:ind w:firstLine="602"/>
        <w:rPr>
          <w:rFonts w:hint="eastAsia" w:ascii="宋体" w:hAnsi="宋体" w:eastAsia="宋体"/>
          <w:sz w:val="30"/>
          <w:szCs w:val="72"/>
        </w:rPr>
      </w:pPr>
    </w:p>
    <w:p w14:paraId="7D90D945">
      <w:pPr>
        <w:snapToGrid w:val="0"/>
        <w:spacing w:line="360" w:lineRule="auto"/>
        <w:ind w:firstLine="602"/>
        <w:rPr>
          <w:rFonts w:hint="eastAsia" w:ascii="宋体" w:hAnsi="宋体" w:eastAsia="宋体"/>
          <w:sz w:val="30"/>
          <w:szCs w:val="72"/>
        </w:rPr>
      </w:pPr>
    </w:p>
    <w:p w14:paraId="38EC1830">
      <w:pPr>
        <w:snapToGrid w:val="0"/>
        <w:spacing w:line="360" w:lineRule="auto"/>
        <w:ind w:firstLine="602"/>
        <w:rPr>
          <w:rFonts w:hint="eastAsia" w:ascii="宋体" w:hAnsi="宋体" w:eastAsia="宋体"/>
          <w:sz w:val="30"/>
          <w:szCs w:val="72"/>
        </w:rPr>
      </w:pPr>
    </w:p>
    <w:p w14:paraId="5468C779">
      <w:pPr>
        <w:snapToGrid w:val="0"/>
        <w:spacing w:line="360" w:lineRule="auto"/>
        <w:ind w:left="1525" w:leftChars="726" w:firstLine="15" w:firstLineChars="5"/>
        <w:rPr>
          <w:rFonts w:hint="eastAsia" w:ascii="宋体" w:hAnsi="宋体" w:eastAsia="宋体"/>
          <w:b/>
          <w:sz w:val="30"/>
          <w:szCs w:val="48"/>
        </w:rPr>
      </w:pPr>
      <w:r>
        <w:rPr>
          <w:rFonts w:hint="eastAsia" w:ascii="宋体" w:hAnsi="宋体" w:eastAsia="宋体"/>
          <w:b/>
          <w:bCs/>
          <w:sz w:val="30"/>
          <w:szCs w:val="30"/>
        </w:rPr>
        <w:t>项目名称：广西壮族自治区港航发展中心软件运维服务</w:t>
      </w:r>
      <w:r>
        <w:rPr>
          <w:rFonts w:hint="eastAsia" w:ascii="宋体" w:hAnsi="宋体" w:eastAsia="宋体" w:cs="微软雅黑"/>
          <w:b/>
          <w:bCs/>
          <w:w w:val="95"/>
          <w:sz w:val="30"/>
          <w:szCs w:val="30"/>
        </w:rPr>
        <w:t>项目</w:t>
      </w:r>
      <w:r>
        <w:rPr>
          <w:rFonts w:hint="eastAsia" w:ascii="宋体" w:hAnsi="宋体" w:eastAsia="宋体"/>
          <w:b/>
          <w:bCs/>
          <w:sz w:val="30"/>
          <w:szCs w:val="30"/>
        </w:rPr>
        <w:t>编号</w:t>
      </w:r>
      <w:r>
        <w:rPr>
          <w:rFonts w:hint="eastAsia" w:ascii="宋体" w:hAnsi="宋体" w:eastAsia="宋体" w:cs="微软雅黑"/>
          <w:b/>
          <w:bCs/>
          <w:w w:val="95"/>
          <w:sz w:val="30"/>
          <w:szCs w:val="30"/>
        </w:rPr>
        <w:t>：GXZC2025-C3-001939-GXJT</w:t>
      </w:r>
    </w:p>
    <w:p w14:paraId="52B94539">
      <w:pPr>
        <w:snapToGrid w:val="0"/>
        <w:spacing w:line="360" w:lineRule="auto"/>
        <w:ind w:firstLine="1506" w:firstLineChars="500"/>
        <w:rPr>
          <w:rFonts w:hint="eastAsia" w:ascii="宋体" w:hAnsi="宋体" w:eastAsia="宋体"/>
          <w:b/>
          <w:sz w:val="30"/>
          <w:szCs w:val="48"/>
        </w:rPr>
      </w:pPr>
      <w:r>
        <w:rPr>
          <w:rFonts w:hint="eastAsia" w:ascii="宋体" w:hAnsi="宋体" w:eastAsia="宋体"/>
          <w:b/>
          <w:sz w:val="30"/>
          <w:szCs w:val="48"/>
        </w:rPr>
        <w:t xml:space="preserve">项目所属区划：广西壮族自治区区本级 </w:t>
      </w:r>
    </w:p>
    <w:p w14:paraId="28A17480">
      <w:pPr>
        <w:snapToGrid w:val="0"/>
        <w:spacing w:line="360" w:lineRule="auto"/>
        <w:ind w:left="630" w:leftChars="300" w:firstLine="881" w:firstLineChars="308"/>
        <w:rPr>
          <w:rFonts w:hint="eastAsia" w:ascii="宋体" w:hAnsi="宋体" w:eastAsia="宋体"/>
          <w:b/>
          <w:sz w:val="30"/>
          <w:szCs w:val="48"/>
        </w:rPr>
      </w:pPr>
      <w:r>
        <w:rPr>
          <w:rFonts w:hint="eastAsia" w:ascii="宋体" w:hAnsi="宋体" w:eastAsia="宋体"/>
          <w:b/>
          <w:bCs/>
          <w:w w:val="95"/>
          <w:sz w:val="30"/>
          <w:szCs w:val="30"/>
        </w:rPr>
        <w:t>采购人：广西壮族自治区港航发展中心</w:t>
      </w:r>
      <w:r>
        <w:rPr>
          <w:rFonts w:hint="eastAsia" w:ascii="宋体" w:hAnsi="宋体" w:eastAsia="宋体"/>
          <w:b/>
          <w:sz w:val="30"/>
          <w:szCs w:val="48"/>
        </w:rPr>
        <w:t xml:space="preserve"> </w:t>
      </w:r>
    </w:p>
    <w:p w14:paraId="54FF0F57">
      <w:pPr>
        <w:snapToGrid w:val="0"/>
        <w:spacing w:line="360" w:lineRule="auto"/>
        <w:ind w:left="630" w:leftChars="300" w:firstLine="881" w:firstLineChars="308"/>
        <w:rPr>
          <w:rFonts w:hint="eastAsia" w:ascii="宋体" w:hAnsi="宋体" w:eastAsia="宋体"/>
          <w:b/>
          <w:bCs/>
          <w:w w:val="95"/>
          <w:sz w:val="30"/>
          <w:szCs w:val="30"/>
        </w:rPr>
      </w:pPr>
      <w:r>
        <w:rPr>
          <w:rFonts w:hint="eastAsia" w:ascii="宋体" w:hAnsi="宋体" w:eastAsia="宋体"/>
          <w:b/>
          <w:bCs/>
          <w:w w:val="95"/>
          <w:sz w:val="30"/>
          <w:szCs w:val="30"/>
        </w:rPr>
        <w:t>采购代理机构：广西交投宏冠工程咨询有限公司</w:t>
      </w:r>
    </w:p>
    <w:p w14:paraId="57FC6953">
      <w:pPr>
        <w:pStyle w:val="30"/>
        <w:snapToGrid w:val="0"/>
        <w:spacing w:line="360" w:lineRule="auto"/>
        <w:ind w:firstLine="567"/>
        <w:rPr>
          <w:rFonts w:hint="eastAsia" w:ascii="宋体" w:hAnsi="宋体" w:eastAsia="宋体"/>
          <w:b/>
          <w:bCs/>
          <w:w w:val="95"/>
          <w:sz w:val="30"/>
          <w:szCs w:val="30"/>
          <w:lang w:val="en-US"/>
        </w:rPr>
      </w:pPr>
    </w:p>
    <w:p w14:paraId="09618480">
      <w:pPr>
        <w:pStyle w:val="30"/>
        <w:snapToGrid w:val="0"/>
        <w:spacing w:line="360" w:lineRule="auto"/>
        <w:ind w:left="420" w:firstLine="841" w:firstLineChars="294"/>
        <w:rPr>
          <w:rFonts w:hint="eastAsia" w:ascii="宋体" w:hAnsi="宋体" w:eastAsia="宋体" w:cs="Tahoma"/>
          <w:b/>
          <w:bCs/>
          <w:sz w:val="32"/>
          <w:szCs w:val="32"/>
        </w:rPr>
      </w:pPr>
      <w:r>
        <w:rPr>
          <w:rFonts w:hint="eastAsia" w:ascii="宋体" w:hAnsi="宋体" w:eastAsia="宋体"/>
          <w:b/>
          <w:bCs/>
          <w:w w:val="95"/>
          <w:sz w:val="30"/>
          <w:szCs w:val="30"/>
        </w:rPr>
        <w:t xml:space="preserve">               </w:t>
      </w:r>
      <w:r>
        <w:rPr>
          <w:rFonts w:hint="eastAsia" w:ascii="宋体" w:hAnsi="宋体" w:eastAsia="宋体"/>
          <w:b/>
          <w:bCs/>
          <w:w w:val="95"/>
          <w:sz w:val="30"/>
          <w:szCs w:val="30"/>
          <w:lang w:val="en-US"/>
        </w:rPr>
        <w:t>2025</w:t>
      </w:r>
      <w:r>
        <w:rPr>
          <w:rFonts w:hint="eastAsia" w:ascii="宋体" w:hAnsi="宋体" w:eastAsia="宋体"/>
          <w:b/>
          <w:bCs/>
          <w:w w:val="95"/>
          <w:sz w:val="30"/>
          <w:szCs w:val="30"/>
        </w:rPr>
        <w:t>年</w:t>
      </w:r>
      <w:r>
        <w:rPr>
          <w:rFonts w:hint="eastAsia" w:ascii="宋体" w:hAnsi="宋体" w:eastAsia="宋体"/>
          <w:b/>
          <w:bCs/>
          <w:w w:val="95"/>
          <w:sz w:val="30"/>
          <w:szCs w:val="30"/>
          <w:lang w:val="en-US"/>
        </w:rPr>
        <w:t>7</w:t>
      </w:r>
      <w:r>
        <w:rPr>
          <w:rFonts w:hint="eastAsia" w:ascii="宋体" w:hAnsi="宋体" w:eastAsia="宋体"/>
          <w:b/>
          <w:bCs/>
          <w:w w:val="95"/>
          <w:sz w:val="30"/>
          <w:szCs w:val="30"/>
        </w:rPr>
        <w:t>月</w:t>
      </w:r>
    </w:p>
    <w:p w14:paraId="7D24D2D3">
      <w:pPr>
        <w:spacing w:line="480" w:lineRule="auto"/>
        <w:ind w:firstLine="960"/>
        <w:jc w:val="center"/>
        <w:rPr>
          <w:rFonts w:hint="eastAsia" w:ascii="宋体" w:hAnsi="宋体" w:eastAsia="宋体"/>
          <w:b/>
          <w:sz w:val="48"/>
          <w:szCs w:val="48"/>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14:paraId="08B8EEED">
      <w:pPr>
        <w:spacing w:line="480" w:lineRule="auto"/>
        <w:jc w:val="center"/>
        <w:rPr>
          <w:rFonts w:hint="eastAsia" w:ascii="宋体" w:hAnsi="宋体" w:eastAsia="宋体"/>
          <w:b/>
          <w:sz w:val="48"/>
          <w:szCs w:val="48"/>
        </w:rPr>
      </w:pPr>
      <w:r>
        <w:rPr>
          <w:rFonts w:hint="eastAsia" w:ascii="宋体" w:hAnsi="宋体" w:eastAsia="宋体"/>
          <w:b/>
          <w:sz w:val="48"/>
          <w:szCs w:val="48"/>
        </w:rPr>
        <w:t>目  录</w:t>
      </w:r>
    </w:p>
    <w:p w14:paraId="39B2C0C1">
      <w:pPr>
        <w:spacing w:line="480" w:lineRule="auto"/>
        <w:ind w:firstLine="1044"/>
        <w:jc w:val="center"/>
        <w:rPr>
          <w:rFonts w:hint="eastAsia" w:ascii="宋体" w:hAnsi="宋体" w:eastAsia="宋体"/>
          <w:bCs/>
          <w:sz w:val="52"/>
          <w:szCs w:val="52"/>
        </w:rPr>
      </w:pPr>
    </w:p>
    <w:p w14:paraId="199990F8">
      <w:pPr>
        <w:pStyle w:val="37"/>
        <w:tabs>
          <w:tab w:val="right" w:leader="dot" w:pos="8879"/>
        </w:tabs>
        <w:rPr>
          <w:rFonts w:hint="eastAsia"/>
          <w:sz w:val="28"/>
          <w:szCs w:val="28"/>
          <w:highlight w:val="yellow"/>
        </w:rPr>
      </w:pPr>
      <w:r>
        <w:rPr>
          <w:rFonts w:ascii="宋体" w:hAnsi="宋体" w:eastAsia="宋体"/>
          <w:bCs/>
          <w:sz w:val="32"/>
          <w:szCs w:val="32"/>
        </w:rPr>
        <w:fldChar w:fldCharType="begin"/>
      </w:r>
      <w:r>
        <w:rPr>
          <w:rFonts w:ascii="宋体" w:hAnsi="宋体" w:eastAsia="宋体"/>
          <w:bCs/>
          <w:sz w:val="32"/>
          <w:szCs w:val="32"/>
        </w:rPr>
        <w:instrText xml:space="preserve"> </w:instrText>
      </w:r>
      <w:r>
        <w:rPr>
          <w:rFonts w:hint="eastAsia" w:ascii="宋体" w:hAnsi="宋体" w:eastAsia="宋体"/>
          <w:bCs/>
          <w:sz w:val="32"/>
          <w:szCs w:val="32"/>
        </w:rPr>
        <w:instrText xml:space="preserve">TOC \o "1-3" \h \z \u</w:instrText>
      </w:r>
      <w:r>
        <w:rPr>
          <w:rFonts w:ascii="宋体" w:hAnsi="宋体" w:eastAsia="宋体"/>
          <w:bCs/>
          <w:sz w:val="32"/>
          <w:szCs w:val="32"/>
        </w:rPr>
        <w:instrText xml:space="preserve"> </w:instrText>
      </w:r>
      <w:r>
        <w:rPr>
          <w:rFonts w:ascii="宋体" w:hAnsi="宋体" w:eastAsia="宋体"/>
          <w:bCs/>
          <w:sz w:val="32"/>
          <w:szCs w:val="32"/>
        </w:rPr>
        <w:fldChar w:fldCharType="separate"/>
      </w:r>
      <w:r>
        <w:fldChar w:fldCharType="begin"/>
      </w:r>
      <w:r>
        <w:instrText xml:space="preserve"> HYPERLINK \l "_Toc30581" </w:instrText>
      </w:r>
      <w:r>
        <w:fldChar w:fldCharType="separate"/>
      </w:r>
      <w:r>
        <w:rPr>
          <w:rFonts w:hint="eastAsia" w:ascii="宋体" w:hAnsi="宋体" w:eastAsia="宋体"/>
          <w:sz w:val="28"/>
          <w:szCs w:val="28"/>
        </w:rPr>
        <w:t>第一章 竞争性磋商公告</w:t>
      </w:r>
      <w:r>
        <w:rPr>
          <w:sz w:val="28"/>
          <w:szCs w:val="28"/>
        </w:rPr>
        <w:tab/>
      </w:r>
      <w:r>
        <w:rPr>
          <w:sz w:val="28"/>
          <w:szCs w:val="28"/>
        </w:rPr>
        <w:fldChar w:fldCharType="begin"/>
      </w:r>
      <w:r>
        <w:rPr>
          <w:sz w:val="28"/>
          <w:szCs w:val="28"/>
        </w:rPr>
        <w:instrText xml:space="preserve"> PAGEREF _Toc30581 \h </w:instrText>
      </w:r>
      <w:r>
        <w:rPr>
          <w:sz w:val="28"/>
          <w:szCs w:val="28"/>
        </w:rPr>
        <w:fldChar w:fldCharType="separate"/>
      </w:r>
      <w:r>
        <w:rPr>
          <w:sz w:val="28"/>
          <w:szCs w:val="28"/>
        </w:rPr>
        <w:t>2</w:t>
      </w:r>
      <w:r>
        <w:rPr>
          <w:sz w:val="28"/>
          <w:szCs w:val="28"/>
        </w:rPr>
        <w:fldChar w:fldCharType="end"/>
      </w:r>
      <w:r>
        <w:rPr>
          <w:sz w:val="28"/>
          <w:szCs w:val="28"/>
        </w:rPr>
        <w:fldChar w:fldCharType="end"/>
      </w:r>
    </w:p>
    <w:p w14:paraId="335B404D">
      <w:pPr>
        <w:pStyle w:val="37"/>
        <w:tabs>
          <w:tab w:val="right" w:leader="dot" w:pos="8879"/>
        </w:tabs>
        <w:rPr>
          <w:rFonts w:hint="eastAsia"/>
          <w:sz w:val="28"/>
          <w:szCs w:val="28"/>
        </w:rPr>
      </w:pPr>
      <w:r>
        <w:fldChar w:fldCharType="begin"/>
      </w:r>
      <w:r>
        <w:instrText xml:space="preserve"> HYPERLINK \l "_Toc32000" </w:instrText>
      </w:r>
      <w:r>
        <w:fldChar w:fldCharType="separate"/>
      </w:r>
      <w:r>
        <w:rPr>
          <w:rFonts w:hint="eastAsia" w:ascii="宋体" w:hAnsi="宋体" w:eastAsia="宋体"/>
          <w:sz w:val="28"/>
          <w:szCs w:val="28"/>
        </w:rPr>
        <w:t>第二章 供应商须知</w:t>
      </w:r>
      <w:r>
        <w:rPr>
          <w:sz w:val="28"/>
          <w:szCs w:val="28"/>
        </w:rPr>
        <w:tab/>
      </w:r>
      <w:r>
        <w:rPr>
          <w:sz w:val="28"/>
          <w:szCs w:val="28"/>
        </w:rPr>
        <w:fldChar w:fldCharType="begin"/>
      </w:r>
      <w:r>
        <w:rPr>
          <w:sz w:val="28"/>
          <w:szCs w:val="28"/>
        </w:rPr>
        <w:instrText xml:space="preserve"> PAGEREF _Toc32000 \h </w:instrText>
      </w:r>
      <w:r>
        <w:rPr>
          <w:sz w:val="28"/>
          <w:szCs w:val="28"/>
        </w:rPr>
        <w:fldChar w:fldCharType="separate"/>
      </w:r>
      <w:r>
        <w:rPr>
          <w:sz w:val="28"/>
          <w:szCs w:val="28"/>
        </w:rPr>
        <w:t>6</w:t>
      </w:r>
      <w:r>
        <w:rPr>
          <w:sz w:val="28"/>
          <w:szCs w:val="28"/>
        </w:rPr>
        <w:fldChar w:fldCharType="end"/>
      </w:r>
      <w:r>
        <w:rPr>
          <w:sz w:val="28"/>
          <w:szCs w:val="28"/>
        </w:rPr>
        <w:fldChar w:fldCharType="end"/>
      </w:r>
    </w:p>
    <w:p w14:paraId="4EBEAB61">
      <w:pPr>
        <w:pStyle w:val="37"/>
        <w:tabs>
          <w:tab w:val="right" w:leader="dot" w:pos="8879"/>
        </w:tabs>
        <w:rPr>
          <w:rFonts w:hint="eastAsia"/>
          <w:sz w:val="28"/>
          <w:szCs w:val="28"/>
          <w:highlight w:val="yellow"/>
        </w:rPr>
      </w:pPr>
      <w:r>
        <w:fldChar w:fldCharType="begin"/>
      </w:r>
      <w:r>
        <w:instrText xml:space="preserve"> HYPERLINK \l "_Toc10042" </w:instrText>
      </w:r>
      <w:r>
        <w:fldChar w:fldCharType="separate"/>
      </w:r>
      <w:r>
        <w:rPr>
          <w:rFonts w:hint="eastAsia" w:ascii="宋体" w:hAnsi="宋体" w:eastAsia="宋体"/>
          <w:sz w:val="28"/>
          <w:szCs w:val="28"/>
        </w:rPr>
        <w:t>第三章 采购需求</w:t>
      </w:r>
      <w:r>
        <w:rPr>
          <w:sz w:val="28"/>
          <w:szCs w:val="28"/>
        </w:rPr>
        <w:tab/>
      </w:r>
      <w:r>
        <w:rPr>
          <w:sz w:val="28"/>
          <w:szCs w:val="28"/>
        </w:rPr>
        <w:fldChar w:fldCharType="end"/>
      </w:r>
      <w:r>
        <w:rPr>
          <w:rFonts w:hint="eastAsia"/>
          <w:sz w:val="28"/>
          <w:szCs w:val="28"/>
        </w:rPr>
        <w:t>31</w:t>
      </w:r>
    </w:p>
    <w:p w14:paraId="03C1872D">
      <w:pPr>
        <w:pStyle w:val="37"/>
        <w:tabs>
          <w:tab w:val="right" w:leader="dot" w:pos="8879"/>
        </w:tabs>
        <w:rPr>
          <w:rFonts w:hint="eastAsia"/>
          <w:sz w:val="28"/>
          <w:szCs w:val="28"/>
          <w:highlight w:val="yellow"/>
        </w:rPr>
      </w:pPr>
      <w:r>
        <w:fldChar w:fldCharType="begin"/>
      </w:r>
      <w:r>
        <w:instrText xml:space="preserve"> HYPERLINK \l "_Toc31976" </w:instrText>
      </w:r>
      <w:r>
        <w:fldChar w:fldCharType="separate"/>
      </w:r>
      <w:r>
        <w:rPr>
          <w:rFonts w:hint="eastAsia" w:ascii="宋体" w:hAnsi="宋体" w:eastAsia="宋体"/>
          <w:sz w:val="28"/>
          <w:szCs w:val="28"/>
        </w:rPr>
        <w:t>第四章  评审程序、评审方法和评审标准</w:t>
      </w:r>
      <w:r>
        <w:rPr>
          <w:sz w:val="28"/>
          <w:szCs w:val="28"/>
        </w:rPr>
        <w:tab/>
      </w:r>
      <w:r>
        <w:rPr>
          <w:sz w:val="28"/>
          <w:szCs w:val="28"/>
        </w:rPr>
        <w:fldChar w:fldCharType="end"/>
      </w:r>
      <w:r>
        <w:rPr>
          <w:rFonts w:hint="eastAsia"/>
          <w:sz w:val="28"/>
          <w:szCs w:val="28"/>
        </w:rPr>
        <w:t>52</w:t>
      </w:r>
    </w:p>
    <w:p w14:paraId="326B8225">
      <w:pPr>
        <w:pStyle w:val="37"/>
        <w:tabs>
          <w:tab w:val="right" w:leader="dot" w:pos="8879"/>
        </w:tabs>
        <w:rPr>
          <w:rFonts w:hint="eastAsia"/>
          <w:sz w:val="28"/>
          <w:szCs w:val="28"/>
          <w:highlight w:val="yellow"/>
        </w:rPr>
      </w:pPr>
      <w:r>
        <w:fldChar w:fldCharType="begin"/>
      </w:r>
      <w:r>
        <w:instrText xml:space="preserve"> HYPERLINK \l "_Toc12285" </w:instrText>
      </w:r>
      <w:r>
        <w:fldChar w:fldCharType="separate"/>
      </w:r>
      <w:r>
        <w:rPr>
          <w:rFonts w:hint="eastAsia" w:ascii="宋体" w:hAnsi="宋体" w:eastAsia="宋体"/>
          <w:sz w:val="28"/>
          <w:szCs w:val="28"/>
        </w:rPr>
        <w:t>第五章 响应文件格式</w:t>
      </w:r>
      <w:r>
        <w:rPr>
          <w:sz w:val="28"/>
          <w:szCs w:val="28"/>
        </w:rPr>
        <w:tab/>
      </w:r>
      <w:r>
        <w:rPr>
          <w:sz w:val="28"/>
          <w:szCs w:val="28"/>
        </w:rPr>
        <w:fldChar w:fldCharType="end"/>
      </w:r>
      <w:r>
        <w:rPr>
          <w:rFonts w:hint="eastAsia"/>
          <w:sz w:val="28"/>
          <w:szCs w:val="28"/>
        </w:rPr>
        <w:t>61</w:t>
      </w:r>
    </w:p>
    <w:p w14:paraId="616C9324">
      <w:pPr>
        <w:pStyle w:val="37"/>
        <w:tabs>
          <w:tab w:val="right" w:leader="dot" w:pos="8879"/>
        </w:tabs>
        <w:rPr>
          <w:rFonts w:hint="eastAsia"/>
        </w:rPr>
      </w:pPr>
      <w:r>
        <w:fldChar w:fldCharType="begin"/>
      </w:r>
      <w:r>
        <w:instrText xml:space="preserve"> HYPERLINK \l "_Toc9933" </w:instrText>
      </w:r>
      <w:r>
        <w:fldChar w:fldCharType="separate"/>
      </w:r>
      <w:r>
        <w:rPr>
          <w:rFonts w:hint="eastAsia" w:ascii="宋体" w:hAnsi="宋体" w:eastAsia="宋体"/>
          <w:sz w:val="28"/>
          <w:szCs w:val="28"/>
        </w:rPr>
        <w:t>第六章 拟定的合同文本</w:t>
      </w:r>
      <w:r>
        <w:rPr>
          <w:sz w:val="28"/>
          <w:szCs w:val="28"/>
        </w:rPr>
        <w:tab/>
      </w:r>
      <w:r>
        <w:rPr>
          <w:sz w:val="28"/>
          <w:szCs w:val="28"/>
        </w:rPr>
        <w:fldChar w:fldCharType="end"/>
      </w:r>
      <w:r>
        <w:rPr>
          <w:rFonts w:hint="eastAsia"/>
          <w:sz w:val="28"/>
          <w:szCs w:val="28"/>
        </w:rPr>
        <w:t>88</w:t>
      </w:r>
    </w:p>
    <w:p w14:paraId="1D55B3C8">
      <w:pPr>
        <w:pStyle w:val="43"/>
        <w:tabs>
          <w:tab w:val="right" w:leader="dot" w:pos="8879"/>
          <w:tab w:val="clear" w:pos="8296"/>
        </w:tabs>
        <w:rPr>
          <w:rFonts w:hint="eastAsia"/>
        </w:rPr>
      </w:pPr>
    </w:p>
    <w:p w14:paraId="7BDEC21D">
      <w:pPr>
        <w:pStyle w:val="125"/>
        <w:tabs>
          <w:tab w:val="right" w:leader="dot" w:pos="8931"/>
          <w:tab w:val="clear" w:pos="8296"/>
        </w:tabs>
        <w:snapToGrid w:val="0"/>
        <w:spacing w:line="480" w:lineRule="auto"/>
        <w:ind w:left="0" w:leftChars="0"/>
        <w:rPr>
          <w:rFonts w:hint="eastAsia" w:ascii="宋体" w:hAnsi="宋体" w:eastAsia="宋体"/>
          <w:b/>
          <w:sz w:val="24"/>
        </w:rPr>
      </w:pPr>
      <w:r>
        <w:rPr>
          <w:rFonts w:ascii="宋体" w:hAnsi="宋体" w:eastAsia="宋体"/>
          <w:bCs/>
          <w:szCs w:val="32"/>
        </w:rPr>
        <w:fldChar w:fldCharType="end"/>
      </w:r>
    </w:p>
    <w:p w14:paraId="2BC9D729">
      <w:pPr>
        <w:spacing w:line="400" w:lineRule="exact"/>
        <w:ind w:firstLine="640"/>
        <w:jc w:val="left"/>
        <w:rPr>
          <w:rFonts w:hint="eastAsia" w:ascii="宋体" w:hAnsi="宋体" w:eastAsia="宋体"/>
          <w:b/>
          <w:sz w:val="32"/>
          <w:szCs w:val="32"/>
        </w:rPr>
      </w:pPr>
    </w:p>
    <w:p w14:paraId="795006D9">
      <w:pPr>
        <w:spacing w:line="400" w:lineRule="exact"/>
        <w:ind w:firstLine="640"/>
        <w:jc w:val="center"/>
        <w:rPr>
          <w:rFonts w:hint="eastAsia" w:ascii="宋体" w:hAnsi="宋体" w:eastAsia="宋体"/>
          <w:b/>
          <w:sz w:val="32"/>
          <w:szCs w:val="32"/>
        </w:rPr>
      </w:pPr>
    </w:p>
    <w:p w14:paraId="0E23B390">
      <w:pPr>
        <w:spacing w:line="400" w:lineRule="exact"/>
        <w:ind w:firstLine="640"/>
        <w:jc w:val="center"/>
        <w:rPr>
          <w:rFonts w:hint="eastAsia" w:ascii="宋体" w:hAnsi="宋体" w:eastAsia="宋体"/>
          <w:b/>
          <w:sz w:val="32"/>
          <w:szCs w:val="32"/>
        </w:rPr>
      </w:pPr>
    </w:p>
    <w:p w14:paraId="0AAC5131">
      <w:pPr>
        <w:spacing w:line="400" w:lineRule="exact"/>
        <w:ind w:firstLine="640"/>
        <w:jc w:val="center"/>
        <w:rPr>
          <w:rFonts w:hint="eastAsia" w:ascii="宋体" w:hAnsi="宋体" w:eastAsia="宋体"/>
          <w:b/>
          <w:sz w:val="32"/>
          <w:szCs w:val="32"/>
        </w:rPr>
      </w:pPr>
    </w:p>
    <w:p w14:paraId="0FB368EB">
      <w:pPr>
        <w:spacing w:line="400" w:lineRule="exact"/>
        <w:ind w:firstLine="640"/>
        <w:jc w:val="center"/>
        <w:rPr>
          <w:rFonts w:hint="eastAsia" w:ascii="宋体" w:hAnsi="宋体" w:eastAsia="宋体"/>
          <w:b/>
          <w:sz w:val="32"/>
          <w:szCs w:val="32"/>
        </w:rPr>
      </w:pPr>
    </w:p>
    <w:p w14:paraId="70CCC7F9">
      <w:pPr>
        <w:spacing w:line="400" w:lineRule="exact"/>
        <w:ind w:firstLine="640"/>
        <w:rPr>
          <w:rFonts w:hint="eastAsia" w:ascii="宋体" w:hAnsi="宋体" w:eastAsia="宋体"/>
          <w:b/>
          <w:sz w:val="32"/>
          <w:szCs w:val="32"/>
        </w:rPr>
        <w:sectPr>
          <w:footerReference r:id="rId8" w:type="first"/>
          <w:footerReference r:id="rId7" w:type="default"/>
          <w:pgSz w:w="11906" w:h="16838"/>
          <w:pgMar w:top="1440" w:right="1440" w:bottom="1440" w:left="1587" w:header="851" w:footer="992" w:gutter="0"/>
          <w:pgNumType w:start="1"/>
          <w:cols w:space="720" w:num="1"/>
          <w:docGrid w:type="lines" w:linePitch="312" w:charSpace="0"/>
        </w:sectPr>
      </w:pPr>
    </w:p>
    <w:p w14:paraId="7B209C08">
      <w:pPr>
        <w:pStyle w:val="2"/>
        <w:ind w:firstLine="880"/>
        <w:jc w:val="center"/>
        <w:rPr>
          <w:rFonts w:hint="eastAsia" w:ascii="宋体" w:hAnsi="宋体" w:eastAsia="宋体"/>
        </w:rPr>
      </w:pPr>
      <w:bookmarkStart w:id="0" w:name="_Toc11573"/>
      <w:bookmarkStart w:id="1" w:name="_Toc30581"/>
      <w:bookmarkStart w:id="2" w:name="_Toc28058"/>
      <w:bookmarkStart w:id="3" w:name="_Toc74323456"/>
      <w:bookmarkStart w:id="4" w:name="_Toc10654"/>
      <w:bookmarkStart w:id="5" w:name="_Toc27880"/>
      <w:r>
        <w:rPr>
          <w:rFonts w:hint="eastAsia" w:ascii="宋体" w:hAnsi="宋体" w:eastAsia="宋体"/>
        </w:rPr>
        <w:t>第一章 竞争性磋商公告</w:t>
      </w:r>
      <w:bookmarkEnd w:id="0"/>
      <w:bookmarkEnd w:id="1"/>
      <w:bookmarkEnd w:id="2"/>
      <w:bookmarkEnd w:id="3"/>
      <w:bookmarkEnd w:id="4"/>
      <w:bookmarkEnd w:id="5"/>
    </w:p>
    <w:p w14:paraId="2D0ED36C">
      <w:pPr>
        <w:spacing w:line="400" w:lineRule="exact"/>
        <w:ind w:firstLine="643"/>
        <w:jc w:val="center"/>
        <w:rPr>
          <w:rFonts w:hint="eastAsia" w:ascii="宋体" w:hAnsi="宋体" w:eastAsia="宋体"/>
          <w:b/>
          <w:bCs/>
          <w:sz w:val="32"/>
          <w:szCs w:val="32"/>
        </w:rPr>
      </w:pPr>
      <w:r>
        <w:rPr>
          <w:rFonts w:hint="eastAsia" w:ascii="宋体" w:hAnsi="宋体" w:eastAsia="宋体"/>
          <w:b/>
          <w:bCs/>
          <w:sz w:val="32"/>
          <w:szCs w:val="32"/>
        </w:rPr>
        <w:t>竞争性磋商公告</w:t>
      </w:r>
    </w:p>
    <w:p w14:paraId="2CD19B18">
      <w:pPr>
        <w:spacing w:line="360" w:lineRule="auto"/>
        <w:ind w:firstLine="422"/>
        <w:rPr>
          <w:rFonts w:hint="eastAsia" w:ascii="宋体" w:hAnsi="宋体" w:eastAsia="宋体"/>
          <w:szCs w:val="21"/>
        </w:rPr>
      </w:pPr>
    </w:p>
    <w:p w14:paraId="0037BECA">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szCs w:val="21"/>
        </w:rPr>
      </w:pPr>
      <w:bookmarkStart w:id="6" w:name="_Hlk37430271"/>
      <w:r>
        <w:rPr>
          <w:rFonts w:hint="eastAsia" w:ascii="宋体" w:hAnsi="宋体" w:eastAsia="宋体"/>
          <w:szCs w:val="21"/>
        </w:rPr>
        <w:t>项目概况：</w:t>
      </w:r>
    </w:p>
    <w:p w14:paraId="759F0167">
      <w:pPr>
        <w:pBdr>
          <w:top w:val="single" w:color="auto" w:sz="4" w:space="1"/>
          <w:left w:val="single" w:color="auto" w:sz="4" w:space="4"/>
          <w:bottom w:val="single" w:color="auto" w:sz="4" w:space="1"/>
          <w:right w:val="single" w:color="auto" w:sz="4" w:space="4"/>
        </w:pBdr>
        <w:wordWrap w:val="0"/>
        <w:spacing w:line="360" w:lineRule="auto"/>
        <w:ind w:firstLine="420" w:firstLineChars="200"/>
        <w:jc w:val="left"/>
        <w:rPr>
          <w:rFonts w:hint="eastAsia" w:ascii="宋体" w:hAnsi="宋体" w:eastAsia="宋体"/>
          <w:szCs w:val="21"/>
        </w:rPr>
      </w:pPr>
      <w:r>
        <w:rPr>
          <w:rFonts w:hint="eastAsia" w:ascii="宋体" w:hAnsi="宋体" w:eastAsia="宋体"/>
          <w:szCs w:val="21"/>
          <w:u w:val="single"/>
        </w:rPr>
        <w:t>广西壮族自治区港航发展中心软件运维服务</w:t>
      </w:r>
      <w:r>
        <w:rPr>
          <w:rFonts w:hint="eastAsia" w:ascii="宋体" w:hAnsi="宋体" w:eastAsia="宋体"/>
          <w:szCs w:val="21"/>
        </w:rPr>
        <w:t>的潜在供应商应在广西政府采购云平台（https://www.gcy.zfcg.gxzf.gov.cn/）获取（下载）竞争性磋商文件，并于</w:t>
      </w:r>
      <w:r>
        <w:rPr>
          <w:rFonts w:hint="eastAsia" w:ascii="宋体" w:hAnsi="宋体" w:eastAsia="宋体"/>
          <w:szCs w:val="21"/>
          <w:u w:val="single"/>
        </w:rPr>
        <w:t>2025</w:t>
      </w:r>
      <w:r>
        <w:rPr>
          <w:rFonts w:hint="eastAsia" w:ascii="宋体" w:hAnsi="宋体" w:eastAsia="宋体"/>
          <w:bCs/>
          <w:szCs w:val="21"/>
          <w:u w:val="single"/>
        </w:rPr>
        <w:t>年7月21日9时30分</w:t>
      </w:r>
      <w:r>
        <w:rPr>
          <w:rFonts w:hint="eastAsia" w:ascii="宋体" w:hAnsi="宋体" w:eastAsia="宋体"/>
          <w:bCs/>
          <w:szCs w:val="21"/>
        </w:rPr>
        <w:t>（北京时间）前提交（上传）</w:t>
      </w:r>
      <w:r>
        <w:rPr>
          <w:rFonts w:hint="eastAsia" w:ascii="宋体" w:hAnsi="宋体" w:eastAsia="宋体"/>
          <w:szCs w:val="21"/>
        </w:rPr>
        <w:t>响应</w:t>
      </w:r>
      <w:r>
        <w:rPr>
          <w:rFonts w:hint="eastAsia" w:ascii="宋体" w:hAnsi="宋体" w:eastAsia="宋体"/>
          <w:bCs/>
          <w:szCs w:val="21"/>
        </w:rPr>
        <w:t>文件</w:t>
      </w:r>
      <w:r>
        <w:rPr>
          <w:rFonts w:hint="eastAsia" w:ascii="宋体" w:hAnsi="宋体" w:eastAsia="宋体"/>
          <w:szCs w:val="21"/>
        </w:rPr>
        <w:t>。</w:t>
      </w:r>
    </w:p>
    <w:p w14:paraId="7005CB32">
      <w:pPr>
        <w:spacing w:line="360" w:lineRule="auto"/>
        <w:ind w:firstLine="422"/>
        <w:rPr>
          <w:rFonts w:hint="eastAsia" w:ascii="宋体" w:hAnsi="宋体" w:eastAsia="宋体"/>
          <w:szCs w:val="21"/>
        </w:rPr>
      </w:pPr>
    </w:p>
    <w:p w14:paraId="29513247">
      <w:pPr>
        <w:spacing w:line="360" w:lineRule="auto"/>
        <w:ind w:firstLine="354" w:firstLineChars="147"/>
        <w:rPr>
          <w:rFonts w:hint="eastAsia" w:ascii="宋体" w:hAnsi="宋体" w:eastAsia="宋体"/>
          <w:b/>
          <w:sz w:val="24"/>
        </w:rPr>
      </w:pPr>
      <w:bookmarkStart w:id="7" w:name="_Toc35393629"/>
      <w:bookmarkStart w:id="8" w:name="_Toc28359012"/>
      <w:bookmarkStart w:id="9" w:name="_Toc35393798"/>
      <w:bookmarkStart w:id="10" w:name="_Toc71365905"/>
      <w:bookmarkStart w:id="11" w:name="_Toc28359089"/>
      <w:bookmarkStart w:id="12" w:name="_Toc44229878"/>
      <w:r>
        <w:rPr>
          <w:rFonts w:hint="eastAsia" w:ascii="宋体" w:hAnsi="宋体" w:eastAsia="宋体"/>
          <w:b/>
          <w:sz w:val="24"/>
        </w:rPr>
        <w:t>一、项目基本情况</w:t>
      </w:r>
      <w:bookmarkEnd w:id="7"/>
      <w:bookmarkEnd w:id="8"/>
      <w:bookmarkEnd w:id="9"/>
      <w:bookmarkEnd w:id="10"/>
      <w:bookmarkEnd w:id="11"/>
      <w:bookmarkEnd w:id="12"/>
    </w:p>
    <w:p w14:paraId="2B02A409">
      <w:pPr>
        <w:spacing w:line="360" w:lineRule="auto"/>
        <w:ind w:firstLine="420" w:firstLineChars="200"/>
        <w:rPr>
          <w:rFonts w:hint="eastAsia" w:ascii="宋体" w:hAnsi="宋体" w:eastAsia="宋体"/>
          <w:szCs w:val="21"/>
        </w:rPr>
      </w:pPr>
      <w:r>
        <w:rPr>
          <w:rFonts w:ascii="宋体" w:hAnsi="宋体" w:eastAsia="宋体"/>
          <w:szCs w:val="21"/>
        </w:rPr>
        <w:t>1.项目编号</w:t>
      </w:r>
      <w:r>
        <w:rPr>
          <w:rFonts w:hint="eastAsia" w:ascii="宋体" w:hAnsi="宋体" w:eastAsia="宋体"/>
          <w:szCs w:val="21"/>
        </w:rPr>
        <w:t>：GXZC2025-C3-001939-GXJT</w:t>
      </w:r>
    </w:p>
    <w:p w14:paraId="1F5BC9BC">
      <w:pPr>
        <w:numPr>
          <w:ilvl w:val="255"/>
          <w:numId w:val="0"/>
        </w:numPr>
        <w:spacing w:line="360" w:lineRule="auto"/>
        <w:ind w:firstLine="420" w:firstLineChars="200"/>
        <w:rPr>
          <w:rFonts w:hint="eastAsia" w:ascii="宋体" w:hAnsi="宋体" w:eastAsia="宋体"/>
          <w:szCs w:val="21"/>
        </w:rPr>
      </w:pPr>
      <w:r>
        <w:rPr>
          <w:rFonts w:hint="eastAsia" w:ascii="宋体" w:hAnsi="宋体" w:eastAsia="宋体"/>
          <w:szCs w:val="21"/>
        </w:rPr>
        <w:t xml:space="preserve">2.政府采购计划编号：广西政采[2025]9477号-001、广西政采[2025]9477号-002 </w:t>
      </w:r>
    </w:p>
    <w:p w14:paraId="1F56EA52">
      <w:pPr>
        <w:spacing w:line="360" w:lineRule="auto"/>
        <w:ind w:firstLine="420" w:firstLineChars="200"/>
        <w:rPr>
          <w:rFonts w:hint="eastAsia" w:ascii="宋体" w:hAnsi="宋体" w:eastAsia="宋体"/>
          <w:szCs w:val="21"/>
        </w:rPr>
      </w:pPr>
      <w:r>
        <w:rPr>
          <w:rFonts w:hint="eastAsia" w:ascii="宋体" w:hAnsi="宋体" w:eastAsia="宋体"/>
          <w:szCs w:val="21"/>
        </w:rPr>
        <w:t>3.项目名称：广西壮族自治区港航发展中心软件运维服务</w:t>
      </w:r>
    </w:p>
    <w:p w14:paraId="64680808">
      <w:pPr>
        <w:spacing w:line="360" w:lineRule="auto"/>
        <w:ind w:firstLine="420" w:firstLineChars="200"/>
        <w:rPr>
          <w:rFonts w:hint="eastAsia" w:ascii="宋体" w:hAnsi="宋体" w:eastAsia="宋体"/>
          <w:szCs w:val="21"/>
        </w:rPr>
      </w:pPr>
      <w:r>
        <w:rPr>
          <w:rFonts w:hint="eastAsia" w:ascii="宋体" w:hAnsi="宋体" w:eastAsia="宋体"/>
          <w:szCs w:val="21"/>
        </w:rPr>
        <w:t>4.采购方式：竞争性磋商</w:t>
      </w:r>
    </w:p>
    <w:p w14:paraId="0608F63F">
      <w:pPr>
        <w:spacing w:line="360" w:lineRule="auto"/>
        <w:ind w:firstLine="420" w:firstLineChars="200"/>
        <w:rPr>
          <w:rFonts w:hint="eastAsia" w:ascii="宋体" w:hAnsi="宋体" w:eastAsia="宋体"/>
          <w:szCs w:val="21"/>
        </w:rPr>
      </w:pPr>
      <w:r>
        <w:rPr>
          <w:rFonts w:ascii="宋体" w:hAnsi="宋体" w:eastAsia="宋体"/>
          <w:szCs w:val="21"/>
        </w:rPr>
        <w:t>5.预算金额：</w:t>
      </w:r>
      <w:r>
        <w:rPr>
          <w:rFonts w:hint="eastAsia" w:ascii="宋体" w:hAnsi="宋体" w:eastAsia="宋体"/>
          <w:szCs w:val="21"/>
        </w:rPr>
        <w:t>106</w:t>
      </w:r>
      <w:r>
        <w:rPr>
          <w:rFonts w:ascii="宋体" w:hAnsi="宋体" w:eastAsia="宋体"/>
          <w:szCs w:val="21"/>
        </w:rPr>
        <w:t>万元</w:t>
      </w:r>
    </w:p>
    <w:p w14:paraId="20DB927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6.最高限价（如有）：同预算金额</w:t>
      </w:r>
    </w:p>
    <w:p w14:paraId="228EFFA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7.采购需求：</w:t>
      </w:r>
    </w:p>
    <w:tbl>
      <w:tblPr>
        <w:tblStyle w:val="52"/>
        <w:tblW w:w="8964" w:type="dxa"/>
        <w:tblInd w:w="1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6"/>
        <w:gridCol w:w="1431"/>
        <w:gridCol w:w="698"/>
        <w:gridCol w:w="802"/>
        <w:gridCol w:w="5377"/>
      </w:tblGrid>
      <w:tr w14:paraId="66D6CC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656" w:type="dxa"/>
            <w:tcBorders>
              <w:top w:val="single" w:color="auto" w:sz="4" w:space="0"/>
              <w:left w:val="single" w:color="auto" w:sz="4" w:space="0"/>
              <w:bottom w:val="single" w:color="auto" w:sz="4" w:space="0"/>
              <w:right w:val="single" w:color="auto" w:sz="4" w:space="0"/>
            </w:tcBorders>
            <w:vAlign w:val="center"/>
          </w:tcPr>
          <w:p w14:paraId="62F27F62">
            <w:pPr>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分标</w:t>
            </w:r>
          </w:p>
        </w:tc>
        <w:tc>
          <w:tcPr>
            <w:tcW w:w="1431" w:type="dxa"/>
            <w:tcBorders>
              <w:top w:val="single" w:color="auto" w:sz="4" w:space="0"/>
              <w:left w:val="single" w:color="auto" w:sz="4" w:space="0"/>
              <w:bottom w:val="single" w:color="auto" w:sz="4" w:space="0"/>
              <w:right w:val="single" w:color="auto" w:sz="4" w:space="0"/>
            </w:tcBorders>
            <w:vAlign w:val="center"/>
          </w:tcPr>
          <w:p w14:paraId="0C0DCB04">
            <w:pPr>
              <w:snapToGrid w:val="0"/>
              <w:spacing w:line="360" w:lineRule="auto"/>
              <w:jc w:val="center"/>
              <w:rPr>
                <w:rFonts w:hint="eastAsia" w:ascii="宋体" w:hAnsi="宋体" w:eastAsia="宋体" w:cs="宋体"/>
                <w:b/>
                <w:bCs/>
                <w:szCs w:val="21"/>
              </w:rPr>
            </w:pPr>
            <w:r>
              <w:rPr>
                <w:rFonts w:hint="eastAsia" w:ascii="宋体" w:hAnsi="宋体" w:eastAsia="宋体" w:cs="宋体"/>
                <w:b/>
                <w:kern w:val="0"/>
                <w:szCs w:val="21"/>
              </w:rPr>
              <w:t>标的（服务）的名称</w:t>
            </w:r>
          </w:p>
        </w:tc>
        <w:tc>
          <w:tcPr>
            <w:tcW w:w="698" w:type="dxa"/>
            <w:tcBorders>
              <w:top w:val="single" w:color="auto" w:sz="4" w:space="0"/>
              <w:left w:val="single" w:color="auto" w:sz="4" w:space="0"/>
              <w:bottom w:val="single" w:color="auto" w:sz="4" w:space="0"/>
              <w:right w:val="single" w:color="auto" w:sz="4" w:space="0"/>
            </w:tcBorders>
            <w:vAlign w:val="center"/>
          </w:tcPr>
          <w:p w14:paraId="083207F6">
            <w:pPr>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802" w:type="dxa"/>
            <w:tcBorders>
              <w:top w:val="single" w:color="auto" w:sz="4" w:space="0"/>
              <w:left w:val="single" w:color="auto" w:sz="4" w:space="0"/>
              <w:bottom w:val="single" w:color="auto" w:sz="4" w:space="0"/>
              <w:right w:val="single" w:color="auto" w:sz="4" w:space="0"/>
            </w:tcBorders>
            <w:vAlign w:val="center"/>
          </w:tcPr>
          <w:p w14:paraId="026821FE">
            <w:pPr>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单位</w:t>
            </w:r>
          </w:p>
        </w:tc>
        <w:tc>
          <w:tcPr>
            <w:tcW w:w="5377" w:type="dxa"/>
            <w:tcBorders>
              <w:top w:val="single" w:color="auto" w:sz="4" w:space="0"/>
              <w:left w:val="single" w:color="auto" w:sz="4" w:space="0"/>
              <w:bottom w:val="single" w:color="auto" w:sz="4" w:space="0"/>
              <w:right w:val="single" w:color="auto" w:sz="4" w:space="0"/>
            </w:tcBorders>
            <w:vAlign w:val="center"/>
          </w:tcPr>
          <w:p w14:paraId="6FECB489">
            <w:pPr>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简要技术需求或者测评要求</w:t>
            </w:r>
          </w:p>
        </w:tc>
      </w:tr>
      <w:tr w14:paraId="3F7E5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tcBorders>
              <w:top w:val="single" w:color="auto" w:sz="4" w:space="0"/>
              <w:left w:val="single" w:color="auto" w:sz="4" w:space="0"/>
              <w:bottom w:val="single" w:color="auto" w:sz="4" w:space="0"/>
              <w:right w:val="single" w:color="auto" w:sz="4" w:space="0"/>
            </w:tcBorders>
            <w:vAlign w:val="center"/>
          </w:tcPr>
          <w:p w14:paraId="59704E73">
            <w:pPr>
              <w:spacing w:line="360" w:lineRule="auto"/>
              <w:rPr>
                <w:rFonts w:hint="eastAsia" w:ascii="宋体" w:hAnsi="宋体" w:eastAsia="宋体" w:cs="宋体"/>
                <w:szCs w:val="21"/>
              </w:rPr>
            </w:pPr>
            <w:r>
              <w:rPr>
                <w:rFonts w:hint="eastAsia" w:ascii="宋体" w:hAnsi="宋体" w:eastAsia="宋体" w:cs="宋体"/>
                <w:szCs w:val="21"/>
              </w:rPr>
              <w:t>1</w:t>
            </w:r>
          </w:p>
        </w:tc>
        <w:tc>
          <w:tcPr>
            <w:tcW w:w="1431" w:type="dxa"/>
            <w:tcBorders>
              <w:top w:val="single" w:color="auto" w:sz="4" w:space="0"/>
              <w:left w:val="single" w:color="auto" w:sz="4" w:space="0"/>
              <w:bottom w:val="single" w:color="auto" w:sz="4" w:space="0"/>
              <w:right w:val="single" w:color="auto" w:sz="4" w:space="0"/>
            </w:tcBorders>
            <w:vAlign w:val="center"/>
          </w:tcPr>
          <w:p w14:paraId="447E6699">
            <w:pPr>
              <w:snapToGrid w:val="0"/>
              <w:spacing w:line="400" w:lineRule="exact"/>
              <w:rPr>
                <w:rFonts w:hint="eastAsia" w:ascii="宋体" w:hAnsi="宋体" w:eastAsia="宋体" w:cs="宋体"/>
                <w:szCs w:val="21"/>
              </w:rPr>
            </w:pPr>
            <w:r>
              <w:rPr>
                <w:rFonts w:hint="eastAsia" w:ascii="宋体" w:hAnsi="宋体" w:eastAsia="宋体" w:cs="宋体"/>
                <w:szCs w:val="21"/>
              </w:rPr>
              <w:t>单位网络系统运维服务</w:t>
            </w:r>
          </w:p>
        </w:tc>
        <w:tc>
          <w:tcPr>
            <w:tcW w:w="698" w:type="dxa"/>
            <w:tcBorders>
              <w:top w:val="single" w:color="auto" w:sz="4" w:space="0"/>
              <w:left w:val="single" w:color="auto" w:sz="4" w:space="0"/>
              <w:bottom w:val="single" w:color="auto" w:sz="4" w:space="0"/>
              <w:right w:val="single" w:color="auto" w:sz="4" w:space="0"/>
            </w:tcBorders>
            <w:vAlign w:val="center"/>
          </w:tcPr>
          <w:p w14:paraId="4032C6BC">
            <w:pPr>
              <w:spacing w:before="50" w:after="50" w:line="360" w:lineRule="auto"/>
              <w:rPr>
                <w:rFonts w:hint="eastAsia" w:ascii="宋体" w:hAnsi="宋体" w:eastAsia="宋体" w:cs="宋体"/>
                <w:spacing w:val="20"/>
                <w:szCs w:val="21"/>
              </w:rPr>
            </w:pPr>
            <w:r>
              <w:rPr>
                <w:rFonts w:hint="eastAsia" w:ascii="宋体" w:hAnsi="宋体" w:eastAsia="宋体" w:cs="宋体"/>
                <w:spacing w:val="20"/>
                <w:szCs w:val="21"/>
              </w:rPr>
              <w:t>1</w:t>
            </w:r>
          </w:p>
        </w:tc>
        <w:tc>
          <w:tcPr>
            <w:tcW w:w="802" w:type="dxa"/>
            <w:tcBorders>
              <w:top w:val="single" w:color="auto" w:sz="4" w:space="0"/>
              <w:left w:val="single" w:color="auto" w:sz="4" w:space="0"/>
              <w:bottom w:val="single" w:color="auto" w:sz="4" w:space="0"/>
              <w:right w:val="single" w:color="auto" w:sz="4" w:space="0"/>
            </w:tcBorders>
            <w:vAlign w:val="center"/>
          </w:tcPr>
          <w:p w14:paraId="76FEFB40">
            <w:pPr>
              <w:spacing w:line="360" w:lineRule="auto"/>
              <w:rPr>
                <w:rFonts w:hint="eastAsia" w:ascii="宋体" w:hAnsi="宋体" w:eastAsia="宋体" w:cs="宋体"/>
                <w:kern w:val="0"/>
                <w:szCs w:val="21"/>
              </w:rPr>
            </w:pPr>
            <w:r>
              <w:rPr>
                <w:rFonts w:hint="eastAsia" w:ascii="宋体" w:hAnsi="宋体" w:eastAsia="宋体" w:cs="宋体"/>
                <w:spacing w:val="20"/>
                <w:szCs w:val="21"/>
              </w:rPr>
              <w:t>项</w:t>
            </w:r>
          </w:p>
        </w:tc>
        <w:tc>
          <w:tcPr>
            <w:tcW w:w="5377" w:type="dxa"/>
            <w:tcBorders>
              <w:top w:val="single" w:color="auto" w:sz="4" w:space="0"/>
              <w:left w:val="single" w:color="auto" w:sz="4" w:space="0"/>
              <w:bottom w:val="single" w:color="auto" w:sz="4" w:space="0"/>
              <w:right w:val="single" w:color="auto" w:sz="4" w:space="0"/>
            </w:tcBorders>
            <w:vAlign w:val="center"/>
          </w:tcPr>
          <w:p w14:paraId="2EF9C81A">
            <w:pPr>
              <w:spacing w:line="360" w:lineRule="auto"/>
              <w:ind w:firstLine="420" w:firstLineChars="200"/>
              <w:rPr>
                <w:rFonts w:hint="eastAsia" w:ascii="宋体" w:hAnsi="宋体" w:eastAsia="宋体" w:cs="宋体"/>
                <w:spacing w:val="20"/>
                <w:szCs w:val="21"/>
              </w:rPr>
            </w:pPr>
            <w:r>
              <w:rPr>
                <w:rFonts w:hint="eastAsia" w:ascii="宋体" w:hAnsi="宋体" w:eastAsia="宋体" w:cs="宋体"/>
                <w:szCs w:val="21"/>
                <w:lang w:eastAsia="zh-Hans"/>
              </w:rPr>
              <w:t>门户网站维护、综合办公平台维护</w:t>
            </w:r>
            <w:r>
              <w:rPr>
                <w:rFonts w:hint="eastAsia" w:ascii="宋体" w:hAnsi="宋体" w:eastAsia="宋体" w:cs="宋体"/>
                <w:szCs w:val="21"/>
              </w:rPr>
              <w:t>、电子航道图生产发布系统运维服务、广西港航内控系统运维服务、广西船舶建造检验系统运维服务、优先过闸船舶管理系统、水路运输市场信用信息管理系统、数字港航一体化平台运维、吉星航标(水位)上位机系统维护、职工食堂订餐平台运维、广西港航会议预定系统运维、广西水路运单系统维护服务、广西船舶过闸调度系统维护服务、航道信息管理系统维护、数字档案系统维护等服务……如需进一步了解详细内容，具体详见竞争性磋商采购文件采购需求内容。</w:t>
            </w:r>
          </w:p>
        </w:tc>
      </w:tr>
    </w:tbl>
    <w:p w14:paraId="6E10FB6A">
      <w:pPr>
        <w:wordWrap w:val="0"/>
        <w:spacing w:line="360" w:lineRule="auto"/>
        <w:ind w:left="399" w:leftChars="190" w:firstLine="422"/>
        <w:rPr>
          <w:rFonts w:hint="eastAsia" w:ascii="宋体" w:hAnsi="宋体" w:eastAsia="宋体" w:cs="宋体"/>
          <w:szCs w:val="21"/>
        </w:rPr>
      </w:pPr>
      <w:r>
        <w:rPr>
          <w:rFonts w:hint="eastAsia" w:ascii="宋体" w:hAnsi="宋体" w:eastAsia="宋体" w:cs="宋体"/>
          <w:szCs w:val="21"/>
        </w:rPr>
        <w:t>8.合同履行期限：合同生效之日起12个月。</w:t>
      </w:r>
    </w:p>
    <w:p w14:paraId="1C8A0A3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9.本项目 </w:t>
      </w:r>
      <w:r>
        <w:rPr>
          <w:rFonts w:hint="eastAsia" w:ascii="宋体" w:hAnsi="宋体" w:eastAsia="宋体" w:cs="宋体"/>
          <w:b/>
          <w:bCs/>
          <w:szCs w:val="21"/>
        </w:rPr>
        <w:t xml:space="preserve">不接受 </w:t>
      </w:r>
      <w:r>
        <w:rPr>
          <w:rFonts w:hint="eastAsia" w:ascii="宋体" w:hAnsi="宋体" w:eastAsia="宋体" w:cs="宋体"/>
          <w:szCs w:val="21"/>
        </w:rPr>
        <w:t>联合体。</w:t>
      </w:r>
    </w:p>
    <w:p w14:paraId="76B6D1CB">
      <w:pPr>
        <w:spacing w:line="360" w:lineRule="auto"/>
        <w:ind w:firstLine="354" w:firstLineChars="147"/>
        <w:rPr>
          <w:rFonts w:hint="eastAsia" w:ascii="宋体" w:hAnsi="宋体" w:eastAsia="宋体" w:cs="宋体"/>
          <w:b/>
          <w:sz w:val="24"/>
        </w:rPr>
      </w:pPr>
      <w:bookmarkStart w:id="13" w:name="_Toc71365906"/>
      <w:bookmarkStart w:id="14" w:name="_Toc35393799"/>
      <w:bookmarkStart w:id="15" w:name="_Toc28359013"/>
      <w:bookmarkStart w:id="16" w:name="_Toc35393630"/>
      <w:bookmarkStart w:id="17" w:name="_Toc28359090"/>
      <w:bookmarkStart w:id="18" w:name="_Toc44229879"/>
      <w:r>
        <w:rPr>
          <w:rFonts w:hint="eastAsia" w:ascii="宋体" w:hAnsi="宋体" w:eastAsia="宋体" w:cs="宋体"/>
          <w:b/>
          <w:sz w:val="24"/>
        </w:rPr>
        <w:t>二、申请人的资格条件：</w:t>
      </w:r>
      <w:bookmarkEnd w:id="13"/>
      <w:bookmarkEnd w:id="14"/>
      <w:bookmarkEnd w:id="15"/>
      <w:bookmarkEnd w:id="16"/>
      <w:bookmarkEnd w:id="17"/>
      <w:bookmarkEnd w:id="18"/>
    </w:p>
    <w:p w14:paraId="5E9B5593">
      <w:pPr>
        <w:spacing w:line="360" w:lineRule="auto"/>
        <w:ind w:firstLine="420" w:firstLineChars="200"/>
        <w:rPr>
          <w:rFonts w:hint="eastAsia" w:ascii="宋体" w:hAnsi="宋体" w:eastAsia="宋体" w:cs="宋体"/>
          <w:szCs w:val="21"/>
        </w:rPr>
      </w:pPr>
      <w:bookmarkStart w:id="19" w:name="_Toc28359091"/>
      <w:bookmarkStart w:id="20" w:name="_Toc35393631"/>
      <w:bookmarkStart w:id="21" w:name="_Toc35393800"/>
      <w:bookmarkStart w:id="22" w:name="_Toc28359014"/>
      <w:bookmarkStart w:id="23" w:name="_Toc44229880"/>
      <w:r>
        <w:rPr>
          <w:rFonts w:hint="eastAsia" w:ascii="宋体" w:hAnsi="宋体" w:eastAsia="宋体" w:cs="宋体"/>
          <w:szCs w:val="21"/>
        </w:rPr>
        <w:t>1.满足《中华人民共和国政府采购法》第二十二条规定；</w:t>
      </w:r>
    </w:p>
    <w:p w14:paraId="082ED9E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2.落实政府采购政策需满足的资格要求：</w:t>
      </w:r>
    </w:p>
    <w:p w14:paraId="086AED55">
      <w:pPr>
        <w:spacing w:line="360" w:lineRule="auto"/>
        <w:ind w:firstLine="420" w:firstLineChars="200"/>
        <w:rPr>
          <w:rFonts w:hint="eastAsia" w:ascii="宋体" w:hAnsi="宋体" w:eastAsia="宋体" w:cs="宋体"/>
          <w:szCs w:val="21"/>
        </w:rPr>
      </w:pPr>
      <w:r>
        <w:rPr>
          <w:rFonts w:ascii="Segoe UI Symbol" w:hAnsi="Segoe UI Symbol" w:eastAsia="宋体" w:cs="Segoe UI Symbol"/>
          <w:szCs w:val="21"/>
        </w:rPr>
        <w:t>☑</w:t>
      </w:r>
      <w:r>
        <w:rPr>
          <w:rFonts w:hint="eastAsia" w:ascii="宋体" w:hAnsi="宋体" w:eastAsia="宋体" w:cs="宋体"/>
          <w:szCs w:val="21"/>
        </w:rPr>
        <w:t>专门面向中小企业采购的项目（供应商应为中小微企业、监狱企业、残疾人福利性单位)</w:t>
      </w:r>
    </w:p>
    <w:p w14:paraId="091F8B02">
      <w:pPr>
        <w:spacing w:line="360" w:lineRule="auto"/>
        <w:ind w:firstLine="420" w:firstLineChars="200"/>
        <w:rPr>
          <w:rFonts w:hint="eastAsia" w:ascii="宋体" w:hAnsi="宋体" w:eastAsia="宋体" w:cs="宋体"/>
          <w:strike/>
          <w:szCs w:val="21"/>
        </w:rPr>
      </w:pPr>
      <w:r>
        <w:rPr>
          <w:rFonts w:hint="eastAsia" w:ascii="宋体" w:hAnsi="宋体" w:eastAsia="宋体" w:cs="宋体"/>
          <w:szCs w:val="21"/>
        </w:rPr>
        <w:t>□非专门面向中小企业采购的项目</w:t>
      </w:r>
    </w:p>
    <w:p w14:paraId="1A2476E3">
      <w:pPr>
        <w:spacing w:line="360" w:lineRule="auto"/>
        <w:ind w:firstLine="420" w:firstLineChars="200"/>
        <w:rPr>
          <w:rFonts w:hint="eastAsia" w:ascii="宋体" w:hAnsi="宋体" w:eastAsia="宋体" w:cs="宋体"/>
          <w:strike/>
          <w:szCs w:val="21"/>
        </w:rPr>
      </w:pPr>
      <w:r>
        <w:rPr>
          <w:rFonts w:hint="eastAsia" w:ascii="宋体" w:hAnsi="宋体" w:eastAsia="宋体" w:cs="宋体"/>
          <w:szCs w:val="21"/>
        </w:rPr>
        <w:t>3.本项目的特定资格要求：</w:t>
      </w:r>
      <w:bookmarkStart w:id="24" w:name="_Toc71365907"/>
      <w:r>
        <w:rPr>
          <w:rFonts w:hint="eastAsia" w:ascii="宋体" w:hAnsi="宋体" w:eastAsia="宋体" w:cs="宋体"/>
          <w:bCs/>
          <w:szCs w:val="21"/>
        </w:rPr>
        <w:t>无。</w:t>
      </w:r>
    </w:p>
    <w:p w14:paraId="03F1ADEC">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三、获取竞争性磋商文件</w:t>
      </w:r>
      <w:bookmarkEnd w:id="19"/>
      <w:bookmarkEnd w:id="20"/>
      <w:bookmarkEnd w:id="21"/>
      <w:bookmarkEnd w:id="22"/>
      <w:bookmarkEnd w:id="23"/>
      <w:bookmarkEnd w:id="24"/>
    </w:p>
    <w:p w14:paraId="69A9E6D6">
      <w:pPr>
        <w:spacing w:line="360" w:lineRule="auto"/>
        <w:ind w:firstLine="420" w:firstLineChars="200"/>
        <w:rPr>
          <w:rFonts w:hint="eastAsia" w:ascii="宋体" w:hAnsi="宋体" w:eastAsia="宋体" w:cs="Tahoma"/>
          <w:bCs/>
          <w:kern w:val="0"/>
          <w:szCs w:val="21"/>
        </w:rPr>
      </w:pPr>
      <w:bookmarkStart w:id="25" w:name="_Toc28359015"/>
      <w:bookmarkStart w:id="26" w:name="_Toc28359092"/>
      <w:bookmarkStart w:id="27" w:name="_Toc44229881"/>
      <w:bookmarkStart w:id="28" w:name="_Toc35393632"/>
      <w:bookmarkStart w:id="29" w:name="_Toc35393801"/>
      <w:r>
        <w:rPr>
          <w:rFonts w:hint="eastAsia" w:ascii="宋体" w:hAnsi="宋体" w:eastAsia="宋体" w:cs="宋体"/>
          <w:bCs/>
          <w:kern w:val="0"/>
          <w:szCs w:val="21"/>
        </w:rPr>
        <w:t>1.时间：</w:t>
      </w:r>
      <w:r>
        <w:rPr>
          <w:rFonts w:hint="eastAsia" w:ascii="宋体" w:hAnsi="宋体" w:eastAsia="宋体" w:cs="宋体"/>
          <w:szCs w:val="21"/>
          <w:u w:val="single"/>
        </w:rPr>
        <w:t>2025</w:t>
      </w:r>
      <w:r>
        <w:rPr>
          <w:rFonts w:hint="eastAsia" w:ascii="宋体" w:hAnsi="宋体" w:eastAsia="宋体" w:cs="宋体"/>
          <w:bCs/>
          <w:szCs w:val="21"/>
          <w:u w:val="single"/>
        </w:rPr>
        <w:t>年7月10日</w:t>
      </w:r>
      <w:r>
        <w:rPr>
          <w:rFonts w:hint="eastAsia" w:ascii="宋体" w:hAnsi="宋体" w:eastAsia="宋体" w:cs="宋体"/>
          <w:bCs/>
          <w:kern w:val="0"/>
          <w:szCs w:val="21"/>
        </w:rPr>
        <w:t>至</w:t>
      </w:r>
      <w:r>
        <w:rPr>
          <w:rFonts w:hint="eastAsia" w:ascii="宋体" w:hAnsi="宋体" w:eastAsia="宋体" w:cs="宋体"/>
          <w:szCs w:val="21"/>
          <w:u w:val="single"/>
        </w:rPr>
        <w:t>2025</w:t>
      </w:r>
      <w:r>
        <w:rPr>
          <w:rFonts w:hint="eastAsia" w:ascii="宋体" w:hAnsi="宋体" w:eastAsia="宋体" w:cs="宋体"/>
          <w:bCs/>
          <w:szCs w:val="21"/>
          <w:u w:val="single"/>
        </w:rPr>
        <w:t>年7月17日</w:t>
      </w:r>
      <w:r>
        <w:rPr>
          <w:rFonts w:hint="eastAsia" w:ascii="宋体" w:hAnsi="宋体" w:eastAsia="宋体" w:cs="宋体"/>
          <w:bCs/>
          <w:kern w:val="0"/>
          <w:szCs w:val="21"/>
        </w:rPr>
        <w:t>，每天上午</w:t>
      </w:r>
      <w:r>
        <w:rPr>
          <w:rFonts w:ascii="宋体" w:hAnsi="宋体" w:eastAsia="宋体" w:cs="Tahoma"/>
          <w:bCs/>
          <w:kern w:val="0"/>
          <w:szCs w:val="21"/>
        </w:rPr>
        <w:t>00</w:t>
      </w:r>
      <w:r>
        <w:rPr>
          <w:rFonts w:hint="eastAsia" w:ascii="宋体" w:hAnsi="宋体" w:eastAsia="宋体" w:cs="Tahoma"/>
          <w:bCs/>
          <w:kern w:val="0"/>
          <w:szCs w:val="21"/>
        </w:rPr>
        <w:t>：</w:t>
      </w:r>
      <w:r>
        <w:rPr>
          <w:rFonts w:ascii="宋体" w:hAnsi="宋体" w:eastAsia="宋体" w:cs="Tahoma"/>
          <w:bCs/>
          <w:kern w:val="0"/>
          <w:szCs w:val="21"/>
        </w:rPr>
        <w:t>00</w:t>
      </w:r>
      <w:r>
        <w:rPr>
          <w:rFonts w:hint="eastAsia" w:ascii="宋体" w:hAnsi="宋体" w:eastAsia="宋体" w:cs="Tahoma"/>
          <w:bCs/>
          <w:kern w:val="0"/>
          <w:szCs w:val="21"/>
        </w:rPr>
        <w:t>至1</w:t>
      </w:r>
      <w:r>
        <w:rPr>
          <w:rFonts w:ascii="宋体" w:hAnsi="宋体" w:eastAsia="宋体" w:cs="Tahoma"/>
          <w:bCs/>
          <w:kern w:val="0"/>
          <w:szCs w:val="21"/>
        </w:rPr>
        <w:t>2</w:t>
      </w:r>
      <w:r>
        <w:rPr>
          <w:rFonts w:hint="eastAsia" w:ascii="宋体" w:hAnsi="宋体" w:eastAsia="宋体" w:cs="Tahoma"/>
          <w:bCs/>
          <w:kern w:val="0"/>
          <w:szCs w:val="21"/>
        </w:rPr>
        <w:t>:0</w:t>
      </w:r>
      <w:r>
        <w:rPr>
          <w:rFonts w:ascii="宋体" w:hAnsi="宋体" w:eastAsia="宋体" w:cs="Tahoma"/>
          <w:bCs/>
          <w:kern w:val="0"/>
          <w:szCs w:val="21"/>
        </w:rPr>
        <w:t>0</w:t>
      </w:r>
      <w:r>
        <w:rPr>
          <w:rFonts w:hint="eastAsia" w:ascii="宋体" w:hAnsi="宋体" w:eastAsia="宋体" w:cs="Tahoma"/>
          <w:bCs/>
          <w:kern w:val="0"/>
          <w:szCs w:val="21"/>
        </w:rPr>
        <w:t>，下午</w:t>
      </w:r>
      <w:r>
        <w:rPr>
          <w:rFonts w:ascii="宋体" w:hAnsi="宋体" w:eastAsia="宋体" w:cs="Tahoma"/>
          <w:bCs/>
          <w:kern w:val="0"/>
          <w:szCs w:val="21"/>
        </w:rPr>
        <w:t>12</w:t>
      </w:r>
      <w:r>
        <w:rPr>
          <w:rFonts w:hint="eastAsia" w:ascii="宋体" w:hAnsi="宋体" w:eastAsia="宋体" w:cs="Tahoma"/>
          <w:bCs/>
          <w:kern w:val="0"/>
          <w:szCs w:val="21"/>
        </w:rPr>
        <w:t>:0</w:t>
      </w:r>
      <w:r>
        <w:rPr>
          <w:rFonts w:ascii="宋体" w:hAnsi="宋体" w:eastAsia="宋体" w:cs="Tahoma"/>
          <w:bCs/>
          <w:kern w:val="0"/>
          <w:szCs w:val="21"/>
        </w:rPr>
        <w:t>0</w:t>
      </w:r>
      <w:r>
        <w:rPr>
          <w:rFonts w:hint="eastAsia" w:ascii="宋体" w:hAnsi="宋体" w:eastAsia="宋体" w:cs="Tahoma"/>
          <w:bCs/>
          <w:kern w:val="0"/>
          <w:szCs w:val="21"/>
        </w:rPr>
        <w:t>至</w:t>
      </w:r>
      <w:r>
        <w:rPr>
          <w:rFonts w:ascii="宋体" w:hAnsi="宋体" w:eastAsia="宋体" w:cs="Tahoma"/>
          <w:bCs/>
          <w:kern w:val="0"/>
          <w:szCs w:val="21"/>
        </w:rPr>
        <w:t>24</w:t>
      </w:r>
      <w:r>
        <w:rPr>
          <w:rFonts w:hint="eastAsia" w:ascii="宋体" w:hAnsi="宋体" w:eastAsia="宋体" w:cs="Tahoma"/>
          <w:bCs/>
          <w:kern w:val="0"/>
          <w:szCs w:val="21"/>
        </w:rPr>
        <w:t>:0</w:t>
      </w:r>
      <w:r>
        <w:rPr>
          <w:rFonts w:ascii="宋体" w:hAnsi="宋体" w:eastAsia="宋体" w:cs="Tahoma"/>
          <w:bCs/>
          <w:kern w:val="0"/>
          <w:szCs w:val="21"/>
        </w:rPr>
        <w:t>0</w:t>
      </w:r>
      <w:r>
        <w:rPr>
          <w:rFonts w:hint="eastAsia" w:ascii="宋体" w:hAnsi="宋体" w:eastAsia="宋体" w:cs="Tahoma"/>
          <w:bCs/>
          <w:kern w:val="0"/>
          <w:szCs w:val="21"/>
        </w:rPr>
        <w:t>（北京时间，</w:t>
      </w:r>
      <w:r>
        <w:rPr>
          <w:rFonts w:ascii="宋体" w:hAnsi="宋体" w:eastAsia="宋体" w:cs="Tahoma"/>
          <w:bCs/>
          <w:kern w:val="0"/>
          <w:szCs w:val="21"/>
        </w:rPr>
        <w:t>法定节假日</w:t>
      </w:r>
      <w:r>
        <w:rPr>
          <w:rFonts w:hint="eastAsia" w:ascii="宋体" w:hAnsi="宋体" w:eastAsia="宋体" w:cs="Tahoma"/>
          <w:bCs/>
          <w:kern w:val="0"/>
          <w:szCs w:val="21"/>
        </w:rPr>
        <w:t>除外）</w:t>
      </w:r>
    </w:p>
    <w:p w14:paraId="3609911C">
      <w:pPr>
        <w:spacing w:line="360" w:lineRule="auto"/>
        <w:ind w:firstLine="420" w:firstLineChars="200"/>
        <w:rPr>
          <w:rFonts w:hint="eastAsia" w:ascii="宋体" w:hAnsi="宋体" w:eastAsia="宋体" w:cs="Tahoma"/>
          <w:bCs/>
          <w:kern w:val="0"/>
          <w:szCs w:val="21"/>
        </w:rPr>
      </w:pPr>
      <w:r>
        <w:rPr>
          <w:rFonts w:hint="eastAsia" w:ascii="宋体" w:hAnsi="宋体" w:eastAsia="宋体" w:cs="Tahoma"/>
          <w:bCs/>
          <w:kern w:val="0"/>
          <w:szCs w:val="21"/>
        </w:rPr>
        <w:t>2.地点：广西政府采购云平台（https://www.gcy.zfcg.gxzf.gov.cn/）</w:t>
      </w:r>
    </w:p>
    <w:p w14:paraId="2810B232">
      <w:pPr>
        <w:snapToGrid w:val="0"/>
        <w:spacing w:line="360" w:lineRule="auto"/>
        <w:ind w:firstLine="420" w:firstLineChars="200"/>
        <w:rPr>
          <w:rFonts w:hint="eastAsia" w:ascii="宋体" w:hAnsi="宋体" w:eastAsia="宋体"/>
          <w:szCs w:val="21"/>
        </w:rPr>
      </w:pPr>
      <w:bookmarkStart w:id="30" w:name="_Toc71365908"/>
      <w:r>
        <w:rPr>
          <w:rFonts w:hint="eastAsia" w:ascii="宋体" w:hAnsi="宋体" w:eastAsia="宋体"/>
          <w:szCs w:val="21"/>
        </w:rPr>
        <w:t>3.获取方式:网上下载。本项目不发放纸质文件，供应商可自行在</w:t>
      </w:r>
      <w:r>
        <w:fldChar w:fldCharType="begin"/>
      </w:r>
      <w:r>
        <w:instrText xml:space="preserve"> HYPERLINK </w:instrText>
      </w:r>
      <w:r>
        <w:fldChar w:fldCharType="separate"/>
      </w:r>
      <w:r>
        <w:fldChar w:fldCharType="end"/>
      </w:r>
      <w:r>
        <w:rPr>
          <w:rFonts w:hint="eastAsia" w:ascii="宋体" w:hAnsi="宋体" w:eastAsia="宋体"/>
          <w:szCs w:val="21"/>
        </w:rPr>
        <w:t>广西政府采购云平台（https://www.gcy.zfcg.gxzf.gov.cn/）下载招标文件（操作路径：登录广西政府采购云平台-项目采购-获取采购文件-找到本项目-点击“申请获取采购文件”），电子投标文件制作需要基于广西政府采购云平台（</w:t>
      </w:r>
      <w:r>
        <w:rPr>
          <w:rFonts w:hint="eastAsia" w:ascii="宋体" w:hAnsi="宋体" w:eastAsia="宋体" w:cs="Tahoma"/>
          <w:bCs/>
          <w:kern w:val="0"/>
          <w:szCs w:val="21"/>
        </w:rPr>
        <w:t>https://www.gcy.zfcg.gxzf.gov.cn/</w:t>
      </w:r>
      <w:r>
        <w:rPr>
          <w:rFonts w:hint="eastAsia" w:ascii="宋体" w:hAnsi="宋体" w:eastAsia="宋体"/>
          <w:szCs w:val="21"/>
        </w:rPr>
        <w:t>）获取的采购文件编制，电子响应文件制作需要基于广西政府采购云平台获取的竞争性磋商文件编制。</w:t>
      </w:r>
    </w:p>
    <w:p w14:paraId="2390E588">
      <w:pPr>
        <w:snapToGrid w:val="0"/>
        <w:spacing w:line="360" w:lineRule="auto"/>
        <w:ind w:firstLine="420" w:firstLineChars="200"/>
        <w:rPr>
          <w:rFonts w:hint="eastAsia" w:ascii="宋体" w:hAnsi="宋体" w:eastAsia="宋体"/>
          <w:szCs w:val="21"/>
        </w:rPr>
      </w:pPr>
      <w:r>
        <w:rPr>
          <w:rFonts w:hint="eastAsia" w:ascii="宋体" w:hAnsi="宋体" w:eastAsia="宋体"/>
          <w:szCs w:val="21"/>
        </w:rPr>
        <w:t>4.售价：0元。</w:t>
      </w:r>
    </w:p>
    <w:p w14:paraId="08C2632F">
      <w:pPr>
        <w:spacing w:line="360" w:lineRule="auto"/>
        <w:ind w:firstLine="354" w:firstLineChars="147"/>
        <w:rPr>
          <w:rFonts w:hint="eastAsia" w:ascii="宋体" w:hAnsi="宋体" w:eastAsia="宋体"/>
          <w:b/>
          <w:sz w:val="24"/>
        </w:rPr>
      </w:pPr>
      <w:r>
        <w:rPr>
          <w:rFonts w:hint="eastAsia" w:ascii="宋体" w:hAnsi="宋体" w:eastAsia="宋体"/>
          <w:b/>
          <w:sz w:val="24"/>
        </w:rPr>
        <w:t>四、响应文件提交</w:t>
      </w:r>
      <w:bookmarkEnd w:id="25"/>
      <w:bookmarkEnd w:id="26"/>
      <w:bookmarkEnd w:id="27"/>
      <w:bookmarkEnd w:id="28"/>
      <w:bookmarkEnd w:id="29"/>
      <w:bookmarkEnd w:id="30"/>
    </w:p>
    <w:p w14:paraId="2463AE36">
      <w:pPr>
        <w:spacing w:line="360" w:lineRule="auto"/>
        <w:ind w:firstLine="420" w:firstLineChars="200"/>
        <w:rPr>
          <w:rFonts w:hint="eastAsia" w:ascii="宋体" w:hAnsi="宋体" w:eastAsia="宋体"/>
          <w:bCs/>
          <w:szCs w:val="21"/>
        </w:rPr>
      </w:pPr>
      <w:bookmarkStart w:id="31" w:name="_Toc35393633"/>
      <w:bookmarkStart w:id="32" w:name="_Toc28359093"/>
      <w:bookmarkStart w:id="33" w:name="_Toc28359016"/>
      <w:bookmarkStart w:id="34" w:name="_Toc44229882"/>
      <w:bookmarkStart w:id="35" w:name="_Toc35393802"/>
      <w:r>
        <w:rPr>
          <w:rFonts w:hint="eastAsia" w:ascii="宋体" w:hAnsi="宋体" w:eastAsia="宋体"/>
          <w:szCs w:val="21"/>
        </w:rPr>
        <w:t>1.首次响应文件提交截止时间：</w:t>
      </w:r>
      <w:r>
        <w:rPr>
          <w:rFonts w:hint="eastAsia" w:ascii="宋体" w:hAnsi="宋体" w:eastAsia="宋体"/>
          <w:szCs w:val="21"/>
          <w:u w:val="single"/>
        </w:rPr>
        <w:t>2025</w:t>
      </w:r>
      <w:r>
        <w:rPr>
          <w:rFonts w:hint="eastAsia" w:ascii="宋体" w:hAnsi="宋体" w:eastAsia="宋体"/>
          <w:bCs/>
          <w:szCs w:val="21"/>
          <w:u w:val="single"/>
        </w:rPr>
        <w:t>年7月21日9时30分</w:t>
      </w:r>
      <w:r>
        <w:rPr>
          <w:rFonts w:hint="eastAsia" w:ascii="宋体" w:hAnsi="宋体" w:eastAsia="宋体"/>
          <w:bCs/>
          <w:szCs w:val="21"/>
        </w:rPr>
        <w:t>（北京时间）</w:t>
      </w:r>
    </w:p>
    <w:p w14:paraId="1F1F0092">
      <w:pPr>
        <w:spacing w:line="360" w:lineRule="auto"/>
        <w:ind w:firstLine="420" w:firstLineChars="200"/>
        <w:rPr>
          <w:rFonts w:hint="eastAsia" w:ascii="宋体" w:hAnsi="宋体" w:eastAsia="宋体"/>
          <w:szCs w:val="21"/>
        </w:rPr>
      </w:pPr>
      <w:r>
        <w:rPr>
          <w:rFonts w:hint="eastAsia" w:ascii="宋体" w:hAnsi="宋体" w:eastAsia="宋体"/>
          <w:szCs w:val="21"/>
        </w:rPr>
        <w:t>2.地点：通过广西政府采购云平台（</w:t>
      </w:r>
      <w:r>
        <w:rPr>
          <w:rFonts w:hint="eastAsia" w:ascii="宋体" w:hAnsi="宋体" w:eastAsia="宋体" w:cs="Tahoma"/>
          <w:bCs/>
          <w:kern w:val="0"/>
          <w:szCs w:val="21"/>
        </w:rPr>
        <w:t>https://www.gcy.zfcg.gxzf.gov.cn/</w:t>
      </w:r>
      <w:r>
        <w:rPr>
          <w:rFonts w:hint="eastAsia" w:ascii="宋体" w:hAnsi="宋体" w:eastAsia="宋体"/>
          <w:szCs w:val="21"/>
        </w:rPr>
        <w:t>）在线提交。</w:t>
      </w:r>
    </w:p>
    <w:p w14:paraId="0365A84D">
      <w:pPr>
        <w:spacing w:line="360" w:lineRule="auto"/>
        <w:ind w:firstLine="354" w:firstLineChars="147"/>
        <w:rPr>
          <w:rFonts w:hint="eastAsia" w:ascii="宋体" w:hAnsi="宋体" w:eastAsia="宋体"/>
          <w:b/>
          <w:sz w:val="24"/>
        </w:rPr>
      </w:pPr>
      <w:bookmarkStart w:id="36" w:name="_Toc71365909"/>
      <w:r>
        <w:rPr>
          <w:rFonts w:hint="eastAsia" w:ascii="宋体" w:hAnsi="宋体" w:eastAsia="宋体"/>
          <w:b/>
          <w:sz w:val="24"/>
        </w:rPr>
        <w:t>五、开启</w:t>
      </w:r>
      <w:bookmarkEnd w:id="31"/>
      <w:bookmarkEnd w:id="32"/>
      <w:bookmarkEnd w:id="33"/>
      <w:bookmarkEnd w:id="34"/>
      <w:bookmarkEnd w:id="35"/>
      <w:bookmarkEnd w:id="36"/>
    </w:p>
    <w:p w14:paraId="6DF63B7B">
      <w:pPr>
        <w:spacing w:line="360" w:lineRule="auto"/>
        <w:ind w:firstLine="420" w:firstLineChars="200"/>
        <w:rPr>
          <w:rFonts w:hint="eastAsia" w:ascii="宋体" w:hAnsi="宋体" w:eastAsia="宋体"/>
          <w:bCs/>
          <w:szCs w:val="21"/>
          <w:u w:val="single"/>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首次响应文件开启时间：</w:t>
      </w:r>
      <w:r>
        <w:rPr>
          <w:rFonts w:hint="eastAsia" w:ascii="宋体" w:hAnsi="宋体" w:eastAsia="宋体"/>
          <w:szCs w:val="21"/>
          <w:u w:val="single"/>
        </w:rPr>
        <w:t>2025</w:t>
      </w:r>
      <w:r>
        <w:rPr>
          <w:rFonts w:hint="eastAsia" w:ascii="宋体" w:hAnsi="宋体" w:eastAsia="宋体"/>
          <w:bCs/>
          <w:szCs w:val="21"/>
          <w:u w:val="single"/>
        </w:rPr>
        <w:t>年7月21日9时30分</w:t>
      </w:r>
      <w:r>
        <w:rPr>
          <w:rFonts w:hint="eastAsia" w:ascii="宋体" w:hAnsi="宋体" w:eastAsia="宋体"/>
          <w:bCs/>
          <w:szCs w:val="21"/>
        </w:rPr>
        <w:t>（北京时间）</w:t>
      </w:r>
    </w:p>
    <w:p w14:paraId="1A54CFA7">
      <w:pPr>
        <w:spacing w:line="360" w:lineRule="auto"/>
        <w:ind w:firstLine="420" w:firstLineChars="200"/>
        <w:rPr>
          <w:rFonts w:hint="eastAsia" w:ascii="宋体" w:hAnsi="宋体" w:eastAsia="宋体"/>
          <w:bCs/>
          <w:szCs w:val="21"/>
          <w:u w:val="single"/>
        </w:rPr>
      </w:pPr>
      <w:r>
        <w:rPr>
          <w:rFonts w:hint="eastAsia" w:ascii="宋体" w:hAnsi="宋体" w:eastAsia="宋体"/>
          <w:szCs w:val="21"/>
        </w:rPr>
        <w:t>2</w:t>
      </w:r>
      <w:r>
        <w:rPr>
          <w:rFonts w:ascii="宋体" w:hAnsi="宋体" w:eastAsia="宋体"/>
          <w:szCs w:val="21"/>
        </w:rPr>
        <w:t>.</w:t>
      </w:r>
      <w:r>
        <w:rPr>
          <w:rFonts w:hint="eastAsia" w:ascii="宋体" w:hAnsi="宋体" w:eastAsia="宋体"/>
          <w:szCs w:val="21"/>
        </w:rPr>
        <w:t>地点：本项目将在广西政府采购云平台（</w:t>
      </w:r>
      <w:r>
        <w:rPr>
          <w:rFonts w:hint="eastAsia" w:ascii="宋体" w:hAnsi="宋体" w:eastAsia="宋体" w:cs="Tahoma"/>
          <w:bCs/>
          <w:kern w:val="0"/>
          <w:szCs w:val="21"/>
        </w:rPr>
        <w:t>https://www.gcy.zfcg.gxzf.gov.cn/</w:t>
      </w:r>
      <w:r>
        <w:rPr>
          <w:rFonts w:hint="eastAsia" w:ascii="宋体" w:hAnsi="宋体" w:eastAsia="宋体"/>
          <w:szCs w:val="21"/>
        </w:rPr>
        <w:t>）电子开标大厅解密、开启。</w:t>
      </w:r>
    </w:p>
    <w:p w14:paraId="42AEF7C9">
      <w:pPr>
        <w:spacing w:line="360" w:lineRule="auto"/>
        <w:ind w:firstLine="354" w:firstLineChars="147"/>
        <w:rPr>
          <w:rFonts w:hint="eastAsia" w:ascii="宋体" w:hAnsi="宋体" w:eastAsia="宋体"/>
          <w:b/>
          <w:sz w:val="24"/>
        </w:rPr>
      </w:pPr>
      <w:bookmarkStart w:id="37" w:name="_Toc35393634"/>
      <w:bookmarkStart w:id="38" w:name="_Toc44229883"/>
      <w:bookmarkStart w:id="39" w:name="_Toc28359017"/>
      <w:bookmarkStart w:id="40" w:name="_Toc35393803"/>
      <w:bookmarkStart w:id="41" w:name="_Toc71365910"/>
      <w:bookmarkStart w:id="42" w:name="_Toc28359094"/>
      <w:r>
        <w:rPr>
          <w:rFonts w:hint="eastAsia" w:ascii="宋体" w:hAnsi="宋体" w:eastAsia="宋体"/>
          <w:b/>
          <w:sz w:val="24"/>
        </w:rPr>
        <w:t>六、公告期限</w:t>
      </w:r>
      <w:bookmarkEnd w:id="37"/>
      <w:bookmarkEnd w:id="38"/>
      <w:bookmarkEnd w:id="39"/>
      <w:bookmarkEnd w:id="40"/>
      <w:bookmarkEnd w:id="41"/>
      <w:bookmarkEnd w:id="42"/>
    </w:p>
    <w:p w14:paraId="4D64A3C0">
      <w:pPr>
        <w:spacing w:line="360" w:lineRule="auto"/>
        <w:ind w:firstLine="420" w:firstLineChars="200"/>
        <w:rPr>
          <w:rFonts w:hint="eastAsia" w:ascii="宋体" w:hAnsi="宋体" w:eastAsia="宋体" w:cs="Tahoma"/>
          <w:kern w:val="0"/>
          <w:szCs w:val="21"/>
        </w:rPr>
      </w:pPr>
      <w:r>
        <w:rPr>
          <w:rFonts w:hint="eastAsia" w:ascii="宋体" w:hAnsi="宋体" w:eastAsia="宋体" w:cs="Tahoma"/>
          <w:kern w:val="0"/>
          <w:szCs w:val="21"/>
        </w:rPr>
        <w:t>自本公告发布之日起5个工作日。</w:t>
      </w:r>
    </w:p>
    <w:p w14:paraId="28EACC67">
      <w:pPr>
        <w:numPr>
          <w:ilvl w:val="0"/>
          <w:numId w:val="3"/>
        </w:numPr>
        <w:spacing w:line="360" w:lineRule="auto"/>
        <w:ind w:firstLine="354" w:firstLineChars="147"/>
        <w:rPr>
          <w:rFonts w:hint="eastAsia" w:ascii="宋体" w:hAnsi="宋体" w:eastAsia="宋体"/>
          <w:b/>
          <w:sz w:val="24"/>
        </w:rPr>
      </w:pPr>
      <w:bookmarkStart w:id="43" w:name="_Toc35393635"/>
      <w:bookmarkStart w:id="44" w:name="_Toc35393804"/>
      <w:bookmarkStart w:id="45" w:name="_Toc71365911"/>
      <w:bookmarkStart w:id="46" w:name="_Toc44229884"/>
      <w:r>
        <w:rPr>
          <w:rFonts w:hint="eastAsia" w:ascii="宋体" w:hAnsi="宋体" w:eastAsia="宋体"/>
          <w:b/>
          <w:sz w:val="24"/>
        </w:rPr>
        <w:t>其他补充事宜</w:t>
      </w:r>
      <w:bookmarkEnd w:id="43"/>
      <w:bookmarkEnd w:id="44"/>
      <w:bookmarkEnd w:id="45"/>
      <w:bookmarkEnd w:id="46"/>
    </w:p>
    <w:p w14:paraId="52B0421D">
      <w:pPr>
        <w:spacing w:line="360" w:lineRule="auto"/>
        <w:ind w:firstLine="420" w:firstLineChars="200"/>
        <w:rPr>
          <w:rFonts w:hint="eastAsia" w:ascii="宋体" w:hAnsi="宋体" w:eastAsia="宋体" w:cs="Tahoma"/>
          <w:kern w:val="0"/>
          <w:szCs w:val="21"/>
        </w:rPr>
      </w:pPr>
      <w:r>
        <w:rPr>
          <w:rFonts w:hint="eastAsia" w:ascii="宋体" w:hAnsi="宋体" w:eastAsia="宋体" w:cs="Tahoma"/>
          <w:kern w:val="0"/>
          <w:szCs w:val="21"/>
        </w:rPr>
        <w:t>1.采购意向公开链接：</w:t>
      </w:r>
    </w:p>
    <w:p w14:paraId="4EE5434D">
      <w:pPr>
        <w:spacing w:line="360" w:lineRule="auto"/>
        <w:ind w:firstLine="420" w:firstLineChars="200"/>
        <w:rPr>
          <w:rFonts w:hint="eastAsia" w:ascii="宋体" w:hAnsi="宋体" w:eastAsia="宋体" w:cs="Tahoma"/>
          <w:kern w:val="0"/>
          <w:szCs w:val="21"/>
        </w:rPr>
      </w:pPr>
      <w:r>
        <w:rPr>
          <w:rFonts w:hint="eastAsia" w:ascii="宋体" w:hAnsi="宋体" w:eastAsia="宋体" w:cs="Tahoma"/>
          <w:kern w:val="0"/>
          <w:szCs w:val="21"/>
        </w:rPr>
        <w:t>https://zfcg.gxzf.gov.cn/site/detail?parentId=66601&amp;articleId=0POoc7puAuPtumbDny4MQQ==</w:t>
      </w:r>
    </w:p>
    <w:p w14:paraId="4C53C8F9">
      <w:pPr>
        <w:spacing w:line="360" w:lineRule="auto"/>
        <w:ind w:firstLine="420" w:firstLineChars="200"/>
        <w:rPr>
          <w:rFonts w:hint="eastAsia" w:ascii="宋体" w:hAnsi="宋体" w:eastAsia="宋体" w:cs="Tahoma"/>
          <w:kern w:val="0"/>
          <w:szCs w:val="21"/>
        </w:rPr>
      </w:pPr>
      <w:r>
        <w:rPr>
          <w:rFonts w:hint="eastAsia" w:ascii="宋体" w:hAnsi="宋体" w:eastAsia="宋体" w:cs="Tahoma"/>
          <w:kern w:val="0"/>
          <w:szCs w:val="21"/>
        </w:rPr>
        <w:t>2.磋商保证金：</w:t>
      </w:r>
      <w:r>
        <w:rPr>
          <w:rFonts w:hint="eastAsia" w:ascii="宋体" w:hAnsi="宋体" w:eastAsia="宋体" w:cs="Tahoma"/>
          <w:b/>
          <w:bCs/>
          <w:kern w:val="0"/>
          <w:szCs w:val="21"/>
        </w:rPr>
        <w:t>人民币</w:t>
      </w:r>
      <w:r>
        <w:rPr>
          <w:rFonts w:hint="eastAsia" w:ascii="宋体" w:hAnsi="宋体" w:eastAsia="宋体" w:cs="Calibri"/>
          <w:b/>
          <w:bCs/>
          <w:kern w:val="0"/>
          <w:szCs w:val="21"/>
        </w:rPr>
        <w:t>壹万元整（¥10000.00）</w:t>
      </w:r>
      <w:r>
        <w:rPr>
          <w:rFonts w:hint="eastAsia" w:ascii="宋体" w:hAnsi="宋体" w:eastAsia="宋体" w:cs="Tahoma"/>
          <w:kern w:val="0"/>
          <w:szCs w:val="21"/>
        </w:rPr>
        <w:t>。</w:t>
      </w:r>
    </w:p>
    <w:p w14:paraId="4551D6CB">
      <w:pPr>
        <w:spacing w:line="360" w:lineRule="auto"/>
        <w:ind w:firstLine="424" w:firstLineChars="202"/>
        <w:rPr>
          <w:rFonts w:hint="eastAsia" w:ascii="宋体" w:hAnsi="宋体" w:eastAsia="宋体" w:cs="Tahoma"/>
          <w:kern w:val="0"/>
          <w:szCs w:val="21"/>
        </w:rPr>
      </w:pPr>
      <w:r>
        <w:rPr>
          <w:rFonts w:hint="eastAsia" w:ascii="宋体" w:hAnsi="宋体" w:eastAsia="宋体" w:cs="Tahoma"/>
          <w:kern w:val="0"/>
          <w:szCs w:val="21"/>
        </w:rPr>
        <w:t>磋商保证金的交纳方式：银行转账、支票、汇票、本票，禁止采用现钞方式。采用银行转账方式的，在首次响应文件提交截止时间前交至采购代理机构指定账户并且到账【开户名称：广西交投宏冠工程咨询有限公司，开户银行：中国工商银行股份有限公司南宁市滨湖中支行，银行账号：9558852102002342815】；采用支票、汇票、本票的，在磋商截止时间前，供应商应当递交单独密封的支票、汇票、本票，否则视为无效磋商保证金。办理缴纳磋商保证金手续时，请务必在银行转账单或电汇单的用途栏或空白栏上注明项目名称或项目编号。</w:t>
      </w:r>
    </w:p>
    <w:p w14:paraId="668997FC">
      <w:pPr>
        <w:wordWrap w:val="0"/>
        <w:spacing w:line="360" w:lineRule="auto"/>
        <w:ind w:firstLine="420" w:firstLineChars="200"/>
        <w:rPr>
          <w:rFonts w:hint="eastAsia" w:ascii="宋体" w:hAnsi="宋体" w:eastAsia="宋体" w:cs="Tahoma"/>
          <w:kern w:val="0"/>
          <w:szCs w:val="21"/>
        </w:rPr>
      </w:pPr>
      <w:r>
        <w:rPr>
          <w:rFonts w:hint="eastAsia" w:ascii="宋体" w:hAnsi="宋体" w:eastAsia="宋体" w:cs="Tahoma"/>
          <w:kern w:val="0"/>
          <w:szCs w:val="21"/>
        </w:rPr>
        <w:t>3</w:t>
      </w:r>
      <w:r>
        <w:rPr>
          <w:rFonts w:ascii="宋体" w:hAnsi="宋体" w:eastAsia="宋体" w:cs="Tahoma"/>
          <w:kern w:val="0"/>
          <w:szCs w:val="21"/>
        </w:rPr>
        <w:t>.</w:t>
      </w:r>
      <w:r>
        <w:rPr>
          <w:rFonts w:hint="eastAsia" w:ascii="宋体" w:hAnsi="宋体" w:eastAsia="宋体" w:cs="Tahoma"/>
          <w:kern w:val="0"/>
          <w:szCs w:val="21"/>
        </w:rPr>
        <w:t>网上查询地址：www.ccgp.gov.cn（中国政府采购网）、zfcg.gxzf.gov.cn（广西壮族自治区政府采购网）</w:t>
      </w:r>
    </w:p>
    <w:p w14:paraId="47988353">
      <w:pPr>
        <w:spacing w:line="360" w:lineRule="auto"/>
        <w:ind w:firstLine="424" w:firstLineChars="202"/>
        <w:rPr>
          <w:rFonts w:hint="eastAsia" w:ascii="宋体" w:hAnsi="宋体" w:eastAsia="宋体" w:cs="Tahoma"/>
          <w:kern w:val="0"/>
          <w:szCs w:val="21"/>
        </w:rPr>
      </w:pPr>
      <w:bookmarkStart w:id="47" w:name="_Hlk37429674"/>
      <w:bookmarkStart w:id="48" w:name="_Toc44229885"/>
      <w:bookmarkStart w:id="49" w:name="_Toc35393636"/>
      <w:bookmarkStart w:id="50" w:name="_Toc35393805"/>
      <w:bookmarkStart w:id="51" w:name="_Toc28359095"/>
      <w:bookmarkStart w:id="52" w:name="_Toc28359018"/>
      <w:r>
        <w:rPr>
          <w:rFonts w:hint="eastAsia" w:ascii="宋体" w:hAnsi="宋体" w:eastAsia="宋体"/>
          <w:szCs w:val="21"/>
        </w:rPr>
        <w:t>4</w:t>
      </w:r>
      <w:r>
        <w:rPr>
          <w:rFonts w:ascii="宋体" w:hAnsi="宋体" w:eastAsia="宋体"/>
          <w:szCs w:val="21"/>
        </w:rPr>
        <w:t>.</w:t>
      </w:r>
      <w:r>
        <w:rPr>
          <w:rFonts w:hint="eastAsia" w:ascii="宋体" w:hAnsi="宋体" w:eastAsia="宋体" w:cs="Tahoma"/>
          <w:kern w:val="0"/>
          <w:szCs w:val="21"/>
        </w:rPr>
        <w:t>本项目需要落实的政府采购政策：</w:t>
      </w:r>
    </w:p>
    <w:p w14:paraId="40F2ECC1">
      <w:pPr>
        <w:spacing w:line="360" w:lineRule="auto"/>
        <w:ind w:firstLine="420" w:firstLineChars="200"/>
        <w:rPr>
          <w:rFonts w:hint="eastAsia" w:ascii="宋体" w:hAnsi="宋体" w:eastAsia="宋体" w:cs="Tahoma"/>
          <w:kern w:val="0"/>
          <w:szCs w:val="21"/>
        </w:rPr>
      </w:pPr>
      <w:r>
        <w:rPr>
          <w:rFonts w:hint="eastAsia" w:ascii="宋体" w:hAnsi="宋体" w:eastAsia="宋体" w:cs="Tahoma"/>
          <w:kern w:val="0"/>
          <w:szCs w:val="21"/>
        </w:rPr>
        <w:t>（1）政府采购促进中小企业发展。</w:t>
      </w:r>
    </w:p>
    <w:p w14:paraId="42718DA4">
      <w:pPr>
        <w:spacing w:line="360" w:lineRule="auto"/>
        <w:ind w:firstLine="420" w:firstLineChars="200"/>
        <w:rPr>
          <w:rFonts w:hint="eastAsia" w:ascii="宋体" w:hAnsi="宋体" w:eastAsia="宋体" w:cs="Tahoma"/>
          <w:kern w:val="0"/>
          <w:szCs w:val="21"/>
        </w:rPr>
      </w:pPr>
      <w:r>
        <w:rPr>
          <w:rFonts w:hint="eastAsia" w:ascii="宋体" w:hAnsi="宋体" w:eastAsia="宋体" w:cs="Tahoma"/>
          <w:kern w:val="0"/>
          <w:szCs w:val="21"/>
        </w:rPr>
        <w:t>（2）政府采购支持采用本国产品的政策。</w:t>
      </w:r>
    </w:p>
    <w:p w14:paraId="1953AB24">
      <w:pPr>
        <w:spacing w:line="360" w:lineRule="auto"/>
        <w:ind w:firstLine="420" w:firstLineChars="200"/>
        <w:rPr>
          <w:rFonts w:hint="eastAsia" w:ascii="宋体" w:hAnsi="宋体" w:eastAsia="宋体" w:cs="Tahoma"/>
          <w:kern w:val="0"/>
          <w:szCs w:val="21"/>
        </w:rPr>
      </w:pPr>
      <w:r>
        <w:rPr>
          <w:rFonts w:hint="eastAsia" w:ascii="宋体" w:hAnsi="宋体" w:eastAsia="宋体" w:cs="Tahoma"/>
          <w:kern w:val="0"/>
          <w:szCs w:val="21"/>
        </w:rPr>
        <w:t>（3）强制采购节能产品；优先采购节能产品、环境标志产品。</w:t>
      </w:r>
    </w:p>
    <w:p w14:paraId="39D94065">
      <w:pPr>
        <w:spacing w:line="360" w:lineRule="auto"/>
        <w:ind w:firstLine="420" w:firstLineChars="200"/>
        <w:rPr>
          <w:rFonts w:hint="eastAsia" w:ascii="宋体" w:hAnsi="宋体" w:eastAsia="宋体" w:cs="Tahoma"/>
          <w:kern w:val="0"/>
          <w:szCs w:val="21"/>
        </w:rPr>
      </w:pPr>
      <w:r>
        <w:rPr>
          <w:rFonts w:hint="eastAsia" w:ascii="宋体" w:hAnsi="宋体" w:eastAsia="宋体" w:cs="Tahoma"/>
          <w:kern w:val="0"/>
          <w:szCs w:val="21"/>
        </w:rPr>
        <w:t>（4）政府采购促进残疾人就业政策。</w:t>
      </w:r>
    </w:p>
    <w:p w14:paraId="5E8844FF">
      <w:pPr>
        <w:spacing w:line="360" w:lineRule="auto"/>
        <w:ind w:firstLine="420" w:firstLineChars="200"/>
        <w:rPr>
          <w:rFonts w:hint="eastAsia" w:ascii="宋体" w:hAnsi="宋体" w:eastAsia="宋体" w:cs="Tahoma"/>
          <w:kern w:val="0"/>
          <w:szCs w:val="21"/>
        </w:rPr>
      </w:pPr>
      <w:r>
        <w:rPr>
          <w:rFonts w:hint="eastAsia" w:ascii="宋体" w:hAnsi="宋体" w:eastAsia="宋体" w:cs="Tahoma"/>
          <w:kern w:val="0"/>
          <w:szCs w:val="21"/>
        </w:rPr>
        <w:t>（5）政府采购支持监狱企业发展。</w:t>
      </w:r>
    </w:p>
    <w:p w14:paraId="2CCBD077">
      <w:pPr>
        <w:spacing w:line="360" w:lineRule="auto"/>
        <w:ind w:firstLine="420" w:firstLineChars="200"/>
        <w:rPr>
          <w:rFonts w:hint="eastAsia" w:ascii="宋体" w:hAnsi="宋体" w:eastAsia="宋体" w:cs="Tahoma"/>
          <w:kern w:val="0"/>
          <w:szCs w:val="21"/>
        </w:rPr>
      </w:pPr>
      <w:r>
        <w:rPr>
          <w:rFonts w:hint="eastAsia" w:ascii="宋体" w:hAnsi="宋体" w:eastAsia="宋体" w:cs="Tahoma"/>
          <w:kern w:val="0"/>
          <w:szCs w:val="21"/>
        </w:rPr>
        <w:t>（6）扶持不发达地区和少数民族地区政策。</w:t>
      </w:r>
    </w:p>
    <w:bookmarkEnd w:id="47"/>
    <w:p w14:paraId="2209394D">
      <w:pPr>
        <w:snapToGrid w:val="0"/>
        <w:spacing w:line="360" w:lineRule="auto"/>
        <w:ind w:firstLine="420" w:firstLineChars="200"/>
        <w:jc w:val="left"/>
        <w:rPr>
          <w:rFonts w:hint="eastAsia" w:ascii="宋体" w:hAnsi="宋体" w:eastAsia="宋体" w:cs="Tahoma"/>
          <w:kern w:val="0"/>
          <w:szCs w:val="21"/>
        </w:rPr>
      </w:pPr>
      <w:r>
        <w:rPr>
          <w:rFonts w:hint="eastAsia" w:ascii="宋体" w:hAnsi="宋体" w:eastAsia="宋体" w:cs="Tahoma"/>
          <w:kern w:val="0"/>
          <w:szCs w:val="21"/>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6E8112B">
      <w:pPr>
        <w:snapToGrid w:val="0"/>
        <w:spacing w:line="360" w:lineRule="auto"/>
        <w:ind w:firstLine="420" w:firstLineChars="200"/>
        <w:rPr>
          <w:rFonts w:hint="eastAsia" w:ascii="宋体" w:hAnsi="宋体" w:eastAsia="宋体" w:cs="Tahoma"/>
          <w:kern w:val="0"/>
          <w:szCs w:val="21"/>
        </w:rPr>
      </w:pPr>
      <w:r>
        <w:rPr>
          <w:rFonts w:hint="eastAsia" w:ascii="宋体" w:hAnsi="宋体" w:eastAsia="宋体" w:cs="Tahoma"/>
          <w:kern w:val="0"/>
          <w:szCs w:val="21"/>
        </w:rPr>
        <w:t>6.对在“信用中国”网站(www.creditchina.gov.cn)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1FE7826E">
      <w:pPr>
        <w:widowControl/>
        <w:spacing w:line="360" w:lineRule="auto"/>
        <w:ind w:firstLine="420" w:firstLineChars="200"/>
        <w:jc w:val="left"/>
        <w:rPr>
          <w:rFonts w:hint="eastAsia" w:ascii="宋体" w:hAnsi="宋体" w:eastAsia="宋体"/>
          <w:szCs w:val="21"/>
        </w:rPr>
      </w:pPr>
      <w:r>
        <w:rPr>
          <w:rFonts w:hint="eastAsia" w:ascii="宋体" w:hAnsi="宋体" w:eastAsia="宋体" w:cs="Tahoma"/>
          <w:kern w:val="0"/>
          <w:szCs w:val="21"/>
        </w:rPr>
        <w:t>7.供应商</w:t>
      </w:r>
      <w:r>
        <w:rPr>
          <w:rFonts w:hint="eastAsia" w:ascii="宋体" w:hAnsi="宋体" w:eastAsia="宋体"/>
          <w:szCs w:val="21"/>
        </w:rPr>
        <w:t>竞标注意事项：</w:t>
      </w:r>
    </w:p>
    <w:p w14:paraId="0F836758">
      <w:pPr>
        <w:wordWrap w:val="0"/>
        <w:spacing w:line="360" w:lineRule="auto"/>
        <w:ind w:firstLine="420" w:firstLineChars="200"/>
        <w:jc w:val="left"/>
        <w:rPr>
          <w:rFonts w:hint="eastAsia" w:ascii="宋体" w:hAnsi="宋体" w:eastAsia="宋体" w:cs="宋体"/>
          <w:szCs w:val="21"/>
        </w:rPr>
      </w:pPr>
      <w:r>
        <w:rPr>
          <w:rFonts w:ascii="宋体" w:hAnsi="宋体" w:eastAsia="宋体" w:cs="宋体"/>
          <w:szCs w:val="21"/>
        </w:rPr>
        <w:t>（1）本项目为全流程电子化采购项目，通过广西政府采购云平台（https://www.gcy.zfcg.gxzf.gov.cn/）实行在线电子竞标，供应商应按照本项目竞争性磋商文件和广西政府采购云平台 的要求编制、加密后在提交响应文件截止时间前通过网络上传至 广西政府采购云平台 （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14:paraId="3F2042FB">
      <w:pPr>
        <w:wordWrap w:val="0"/>
        <w:spacing w:line="360" w:lineRule="auto"/>
        <w:ind w:firstLine="420" w:firstLineChars="200"/>
        <w:jc w:val="left"/>
        <w:rPr>
          <w:rFonts w:hint="eastAsia" w:ascii="宋体" w:hAnsi="宋体" w:eastAsia="宋体" w:cs="宋体"/>
          <w:szCs w:val="21"/>
        </w:rPr>
      </w:pPr>
      <w:r>
        <w:rPr>
          <w:rFonts w:ascii="宋体" w:hAnsi="宋体" w:eastAsia="宋体" w:cs="宋体"/>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 ，依次进入“服务中心-入驻与配置”中查看CA数字证书办理操作流程。如在操作过程中遇到问题或者需要技术支持，请致电桂采云客服热线：95763）。</w:t>
      </w:r>
    </w:p>
    <w:p w14:paraId="53B670DF">
      <w:pPr>
        <w:spacing w:line="360" w:lineRule="auto"/>
        <w:ind w:firstLine="420" w:firstLineChars="200"/>
        <w:rPr>
          <w:rFonts w:hint="eastAsia" w:ascii="宋体" w:hAnsi="宋体" w:eastAsia="宋体" w:cs="宋体"/>
          <w:szCs w:val="21"/>
        </w:rPr>
      </w:pPr>
      <w:r>
        <w:rPr>
          <w:rFonts w:ascii="宋体" w:hAnsi="宋体" w:eastAsia="宋体" w:cs="宋体"/>
          <w:szCs w:val="21"/>
        </w:rPr>
        <w:t>（3）CA证书在线解密：首次响应文件开启时，需携带制作响应文件时用来加密的有效数字证书（CA认证）登录广西政府采购云平台电子开标大厅现场按规定时间对加密的响应文件进行解密，否则后果自负。</w:t>
      </w:r>
    </w:p>
    <w:p w14:paraId="1915051D">
      <w:pPr>
        <w:spacing w:line="360" w:lineRule="auto"/>
        <w:ind w:firstLine="420" w:firstLineChars="200"/>
        <w:rPr>
          <w:rFonts w:hint="eastAsia" w:ascii="宋体" w:hAnsi="宋体" w:eastAsia="宋体" w:cs="宋体"/>
          <w:szCs w:val="21"/>
        </w:rPr>
      </w:pPr>
      <w:r>
        <w:rPr>
          <w:rFonts w:ascii="宋体" w:hAnsi="宋体" w:eastAsia="宋体" w:cs="宋体"/>
          <w:szCs w:val="21"/>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5671E4CD">
      <w:pPr>
        <w:spacing w:line="360" w:lineRule="auto"/>
        <w:ind w:firstLine="420" w:firstLineChars="200"/>
        <w:rPr>
          <w:rFonts w:hint="eastAsia" w:ascii="宋体" w:hAnsi="宋体" w:eastAsia="宋体" w:cs="宋体"/>
          <w:szCs w:val="21"/>
        </w:rPr>
      </w:pPr>
      <w:r>
        <w:rPr>
          <w:rFonts w:ascii="宋体" w:hAnsi="宋体" w:eastAsia="宋体" w:cs="宋体"/>
          <w:szCs w:val="21"/>
        </w:rPr>
        <w:t>（4）供应商需要在具备有摄像头及语音功能且互联网网络状况良好的电脑登录广西政府采购云平台远程开标大厅参与本次磋商，否则后果自负。</w:t>
      </w:r>
    </w:p>
    <w:p w14:paraId="6A63804F">
      <w:pPr>
        <w:spacing w:line="360" w:lineRule="auto"/>
        <w:ind w:firstLine="354" w:firstLineChars="147"/>
        <w:rPr>
          <w:rFonts w:hint="eastAsia" w:ascii="宋体" w:hAnsi="宋体" w:eastAsia="宋体"/>
          <w:b/>
          <w:sz w:val="24"/>
        </w:rPr>
      </w:pPr>
      <w:r>
        <w:rPr>
          <w:rFonts w:hint="eastAsia" w:ascii="宋体" w:hAnsi="宋体" w:eastAsia="宋体"/>
          <w:b/>
          <w:sz w:val="24"/>
        </w:rPr>
        <w:t>八、凡对本次采购提出询问，请按</w:t>
      </w:r>
      <w:r>
        <w:rPr>
          <w:rFonts w:ascii="宋体" w:hAnsi="宋体" w:eastAsia="宋体"/>
          <w:b/>
          <w:sz w:val="24"/>
        </w:rPr>
        <w:t>以下方式</w:t>
      </w:r>
      <w:r>
        <w:rPr>
          <w:rFonts w:hint="eastAsia" w:ascii="宋体" w:hAnsi="宋体" w:eastAsia="宋体"/>
          <w:b/>
          <w:sz w:val="24"/>
        </w:rPr>
        <w:t>联系。</w:t>
      </w:r>
      <w:bookmarkEnd w:id="48"/>
      <w:bookmarkEnd w:id="49"/>
      <w:bookmarkEnd w:id="50"/>
      <w:bookmarkEnd w:id="51"/>
      <w:bookmarkEnd w:id="52"/>
    </w:p>
    <w:p w14:paraId="063E4FDD">
      <w:pPr>
        <w:spacing w:line="360" w:lineRule="auto"/>
        <w:ind w:firstLine="420" w:firstLineChars="200"/>
        <w:rPr>
          <w:rFonts w:hint="eastAsia" w:ascii="宋体" w:hAnsi="宋体" w:eastAsia="宋体" w:cs="宋体"/>
          <w:kern w:val="0"/>
          <w:szCs w:val="21"/>
        </w:rPr>
      </w:pPr>
      <w:bookmarkStart w:id="53" w:name="_Toc35393637"/>
      <w:bookmarkStart w:id="54" w:name="_Toc28359019"/>
      <w:bookmarkStart w:id="55" w:name="_Toc35393806"/>
      <w:bookmarkStart w:id="56" w:name="_Toc28359096"/>
      <w:r>
        <w:rPr>
          <w:rFonts w:hint="eastAsia" w:ascii="宋体" w:hAnsi="宋体" w:eastAsia="宋体" w:cs="宋体"/>
          <w:kern w:val="0"/>
          <w:szCs w:val="21"/>
        </w:rPr>
        <w:t>1.采购人信息</w:t>
      </w:r>
      <w:bookmarkEnd w:id="53"/>
      <w:bookmarkEnd w:id="54"/>
      <w:bookmarkEnd w:id="55"/>
      <w:bookmarkEnd w:id="56"/>
    </w:p>
    <w:p w14:paraId="1F8A79C0">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名称：广西壮族自治区港航发展中心</w:t>
      </w:r>
    </w:p>
    <w:p w14:paraId="1E6D7186">
      <w:pPr>
        <w:spacing w:line="360" w:lineRule="auto"/>
        <w:ind w:firstLine="420" w:firstLineChars="200"/>
        <w:jc w:val="left"/>
        <w:rPr>
          <w:rFonts w:hint="eastAsia" w:ascii="宋体" w:hAnsi="宋体" w:eastAsia="宋体" w:cs="宋体"/>
          <w:szCs w:val="21"/>
          <w:u w:val="single"/>
        </w:rPr>
      </w:pPr>
      <w:r>
        <w:rPr>
          <w:rFonts w:hint="eastAsia" w:ascii="宋体" w:hAnsi="宋体" w:eastAsia="宋体" w:cs="宋体"/>
          <w:szCs w:val="21"/>
        </w:rPr>
        <w:t>地址：南宁市青秀区百花岭路6号</w:t>
      </w:r>
    </w:p>
    <w:p w14:paraId="67A8F30D">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联系人：梁工</w:t>
      </w:r>
    </w:p>
    <w:p w14:paraId="57811D9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联系方式：</w:t>
      </w:r>
      <w:bookmarkEnd w:id="6"/>
      <w:r>
        <w:rPr>
          <w:rFonts w:hint="eastAsia" w:ascii="宋体" w:hAnsi="宋体" w:eastAsia="宋体" w:cs="宋体"/>
          <w:szCs w:val="21"/>
        </w:rPr>
        <w:t>0771-2115371</w:t>
      </w:r>
    </w:p>
    <w:p w14:paraId="0F597BA8">
      <w:pPr>
        <w:spacing w:line="360" w:lineRule="auto"/>
        <w:ind w:firstLine="420" w:firstLineChars="200"/>
        <w:rPr>
          <w:rFonts w:hint="eastAsia" w:ascii="宋体" w:hAnsi="宋体" w:eastAsia="宋体" w:cs="宋体"/>
          <w:szCs w:val="21"/>
        </w:rPr>
      </w:pPr>
    </w:p>
    <w:p w14:paraId="76E9A648">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2.采购代理机构信息</w:t>
      </w:r>
    </w:p>
    <w:p w14:paraId="7C9D1894">
      <w:pPr>
        <w:spacing w:line="360" w:lineRule="auto"/>
        <w:ind w:firstLine="420" w:firstLineChars="200"/>
        <w:rPr>
          <w:rFonts w:hint="eastAsia" w:ascii="宋体" w:hAnsi="宋体" w:eastAsia="宋体" w:cs="宋体"/>
          <w:szCs w:val="21"/>
        </w:rPr>
      </w:pPr>
      <w:bookmarkStart w:id="57" w:name="_Toc35393808"/>
      <w:bookmarkStart w:id="58" w:name="_Toc35393639"/>
      <w:bookmarkStart w:id="59" w:name="_Toc28359098"/>
      <w:bookmarkStart w:id="60" w:name="_Toc28359021"/>
      <w:r>
        <w:rPr>
          <w:rFonts w:hint="eastAsia" w:ascii="宋体" w:hAnsi="宋体" w:eastAsia="宋体" w:cs="宋体"/>
          <w:szCs w:val="21"/>
        </w:rPr>
        <w:t>名称：广西交投宏冠工程咨询有限公司</w:t>
      </w:r>
    </w:p>
    <w:bookmarkEnd w:id="57"/>
    <w:bookmarkEnd w:id="58"/>
    <w:bookmarkEnd w:id="59"/>
    <w:bookmarkEnd w:id="60"/>
    <w:p w14:paraId="31C4F2DB">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地　　址：广西南宁市合作路6号五洲国际商铺D座314室　　</w:t>
      </w:r>
    </w:p>
    <w:p w14:paraId="6BA59698">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联系电话：0771-2115873</w:t>
      </w:r>
    </w:p>
    <w:p w14:paraId="4A8F39A8">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3.项目联系方式</w:t>
      </w:r>
    </w:p>
    <w:p w14:paraId="73A3C65B">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项目联系人：黄桂月、黄东</w:t>
      </w:r>
    </w:p>
    <w:p w14:paraId="6CFD9993">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电　　话：0771-2115873　</w:t>
      </w:r>
    </w:p>
    <w:p w14:paraId="57F99ACE">
      <w:pPr>
        <w:spacing w:line="360" w:lineRule="auto"/>
        <w:ind w:firstLine="420" w:firstLineChars="200"/>
        <w:jc w:val="left"/>
        <w:rPr>
          <w:rFonts w:hint="eastAsia" w:ascii="宋体" w:hAnsi="宋体" w:eastAsia="宋体" w:cs="宋体"/>
          <w:szCs w:val="21"/>
        </w:rPr>
      </w:pPr>
    </w:p>
    <w:p w14:paraId="1DB4BB29">
      <w:pPr>
        <w:spacing w:line="360" w:lineRule="auto"/>
        <w:ind w:firstLine="422"/>
        <w:jc w:val="right"/>
        <w:rPr>
          <w:rFonts w:hint="eastAsia" w:ascii="宋体" w:hAnsi="宋体" w:eastAsia="宋体" w:cs="宋体"/>
          <w:szCs w:val="21"/>
        </w:rPr>
      </w:pPr>
      <w:r>
        <w:rPr>
          <w:rFonts w:hint="eastAsia" w:ascii="宋体" w:hAnsi="宋体" w:eastAsia="宋体" w:cs="宋体"/>
          <w:szCs w:val="21"/>
        </w:rPr>
        <w:t xml:space="preserve">釆购代理机构：广西交投宏冠工程咨询有限公司                             </w:t>
      </w:r>
    </w:p>
    <w:p w14:paraId="397CE412">
      <w:pPr>
        <w:spacing w:line="360" w:lineRule="auto"/>
        <w:ind w:firstLine="422"/>
        <w:jc w:val="right"/>
        <w:rPr>
          <w:rFonts w:hint="eastAsia" w:ascii="宋体" w:hAnsi="宋体" w:eastAsia="宋体"/>
        </w:rPr>
      </w:pPr>
      <w:r>
        <w:rPr>
          <w:rFonts w:hint="eastAsia" w:ascii="宋体" w:hAnsi="宋体" w:eastAsia="宋体" w:cs="宋体"/>
          <w:szCs w:val="21"/>
        </w:rPr>
        <w:t>日期：2025年7月10日</w:t>
      </w:r>
      <w:r>
        <w:rPr>
          <w:rFonts w:ascii="宋体" w:hAnsi="宋体" w:eastAsia="宋体"/>
          <w:sz w:val="32"/>
          <w:szCs w:val="32"/>
        </w:rPr>
        <w:br w:type="page"/>
      </w:r>
      <w:bookmarkStart w:id="61" w:name="_Toc74323457"/>
    </w:p>
    <w:p w14:paraId="074647A8">
      <w:pPr>
        <w:pStyle w:val="2"/>
        <w:ind w:firstLine="880"/>
        <w:jc w:val="center"/>
        <w:rPr>
          <w:rFonts w:hint="eastAsia" w:ascii="宋体" w:hAnsi="宋体" w:eastAsia="宋体"/>
        </w:rPr>
      </w:pPr>
      <w:bookmarkStart w:id="62" w:name="_Toc28304"/>
      <w:bookmarkStart w:id="63" w:name="_Toc30249"/>
      <w:bookmarkStart w:id="64" w:name="_Toc3778"/>
      <w:bookmarkStart w:id="65" w:name="_Toc32000"/>
      <w:bookmarkStart w:id="66" w:name="_Toc8794"/>
      <w:r>
        <w:rPr>
          <w:rFonts w:hint="eastAsia" w:ascii="宋体" w:hAnsi="宋体" w:eastAsia="宋体"/>
        </w:rPr>
        <w:t>第二章 供应商须知</w:t>
      </w:r>
      <w:bookmarkEnd w:id="61"/>
      <w:bookmarkEnd w:id="62"/>
      <w:bookmarkEnd w:id="63"/>
      <w:bookmarkEnd w:id="64"/>
      <w:bookmarkEnd w:id="65"/>
      <w:bookmarkEnd w:id="66"/>
    </w:p>
    <w:p w14:paraId="2E37A597">
      <w:pPr>
        <w:spacing w:line="400" w:lineRule="exact"/>
        <w:ind w:firstLine="643"/>
        <w:jc w:val="center"/>
        <w:rPr>
          <w:rFonts w:hint="eastAsia" w:ascii="宋体" w:hAnsi="宋体" w:eastAsia="宋体"/>
          <w:b/>
          <w:sz w:val="32"/>
          <w:szCs w:val="32"/>
        </w:rPr>
      </w:pPr>
      <w:r>
        <w:rPr>
          <w:rFonts w:hint="eastAsia" w:ascii="宋体" w:hAnsi="宋体" w:eastAsia="宋体"/>
          <w:b/>
          <w:sz w:val="32"/>
          <w:szCs w:val="32"/>
        </w:rPr>
        <w:t>供应商须知前附表</w:t>
      </w:r>
    </w:p>
    <w:p w14:paraId="27D8561E">
      <w:pPr>
        <w:spacing w:line="400" w:lineRule="exact"/>
        <w:ind w:firstLine="640"/>
        <w:jc w:val="center"/>
        <w:rPr>
          <w:rFonts w:hint="eastAsia" w:ascii="宋体" w:hAnsi="宋体" w:eastAsia="宋体"/>
          <w:b/>
          <w:sz w:val="32"/>
          <w:szCs w:val="32"/>
        </w:rPr>
      </w:pPr>
    </w:p>
    <w:tbl>
      <w:tblPr>
        <w:tblStyle w:val="5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049"/>
      </w:tblGrid>
      <w:tr w14:paraId="17662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316C8295">
            <w:pPr>
              <w:spacing w:line="360" w:lineRule="auto"/>
              <w:jc w:val="center"/>
              <w:rPr>
                <w:rFonts w:hint="eastAsia" w:ascii="宋体" w:hAnsi="宋体" w:eastAsia="宋体" w:cs="Calibri"/>
                <w:b/>
                <w:szCs w:val="21"/>
              </w:rPr>
            </w:pPr>
            <w:r>
              <w:rPr>
                <w:rFonts w:hint="eastAsia" w:ascii="宋体" w:hAnsi="宋体" w:eastAsia="宋体" w:cs="Calibri"/>
                <w:b/>
                <w:szCs w:val="21"/>
              </w:rPr>
              <w:t>条款号</w:t>
            </w:r>
          </w:p>
        </w:tc>
        <w:tc>
          <w:tcPr>
            <w:tcW w:w="8049" w:type="dxa"/>
          </w:tcPr>
          <w:p w14:paraId="2ADA651F">
            <w:pPr>
              <w:spacing w:line="360" w:lineRule="auto"/>
              <w:jc w:val="center"/>
              <w:rPr>
                <w:rFonts w:hint="eastAsia" w:ascii="宋体" w:hAnsi="宋体" w:eastAsia="宋体" w:cs="Calibri"/>
                <w:b/>
                <w:szCs w:val="21"/>
              </w:rPr>
            </w:pPr>
            <w:r>
              <w:rPr>
                <w:rFonts w:hint="eastAsia" w:ascii="宋体" w:hAnsi="宋体" w:eastAsia="宋体" w:cs="Calibri"/>
                <w:b/>
                <w:szCs w:val="21"/>
              </w:rPr>
              <w:t>内    容</w:t>
            </w:r>
          </w:p>
        </w:tc>
      </w:tr>
      <w:tr w14:paraId="539C9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5A68EBF">
            <w:pPr>
              <w:spacing w:line="360" w:lineRule="auto"/>
              <w:ind w:firstLine="422"/>
              <w:jc w:val="center"/>
              <w:rPr>
                <w:rFonts w:hint="eastAsia" w:ascii="宋体" w:hAnsi="宋体" w:eastAsia="宋体" w:cs="Calibri"/>
                <w:szCs w:val="21"/>
              </w:rPr>
            </w:pPr>
            <w:r>
              <w:rPr>
                <w:rFonts w:hint="eastAsia" w:ascii="宋体" w:hAnsi="宋体" w:eastAsia="宋体" w:cs="Calibri"/>
                <w:szCs w:val="21"/>
              </w:rPr>
              <w:t>3</w:t>
            </w:r>
          </w:p>
        </w:tc>
        <w:tc>
          <w:tcPr>
            <w:tcW w:w="8049" w:type="dxa"/>
            <w:vAlign w:val="center"/>
          </w:tcPr>
          <w:p w14:paraId="21BF1BBE">
            <w:pPr>
              <w:spacing w:line="360" w:lineRule="auto"/>
              <w:ind w:firstLine="422"/>
              <w:rPr>
                <w:rFonts w:hint="eastAsia" w:ascii="宋体" w:hAnsi="宋体" w:eastAsia="宋体"/>
                <w:szCs w:val="21"/>
              </w:rPr>
            </w:pPr>
            <w:r>
              <w:rPr>
                <w:rFonts w:hint="eastAsia" w:ascii="宋体" w:hAnsi="宋体" w:eastAsia="宋体" w:cs="Calibri"/>
                <w:bCs/>
                <w:szCs w:val="21"/>
              </w:rPr>
              <w:t>1.供应商的资格条件</w:t>
            </w:r>
            <w:r>
              <w:rPr>
                <w:rFonts w:hint="eastAsia" w:ascii="宋体" w:hAnsi="宋体" w:eastAsia="宋体" w:cs="Calibri"/>
                <w:szCs w:val="21"/>
              </w:rPr>
              <w:t>：详见竞争性磋商公告</w:t>
            </w:r>
          </w:p>
          <w:p w14:paraId="3B980025">
            <w:pPr>
              <w:spacing w:line="360" w:lineRule="auto"/>
              <w:ind w:firstLine="422"/>
              <w:rPr>
                <w:rFonts w:hint="eastAsia" w:ascii="宋体" w:hAnsi="宋体" w:eastAsia="宋体" w:cs="Calibri"/>
                <w:szCs w:val="21"/>
              </w:rPr>
            </w:pPr>
            <w:r>
              <w:rPr>
                <w:rFonts w:hint="eastAsia" w:ascii="宋体" w:hAnsi="宋体" w:eastAsia="宋体" w:cs="Calibri"/>
                <w:szCs w:val="21"/>
              </w:rPr>
              <w:t>2.</w:t>
            </w:r>
            <w:r>
              <w:rPr>
                <w:rFonts w:hint="eastAsia" w:ascii="宋体" w:hAnsi="宋体" w:eastAsia="宋体" w:cs="Calibri"/>
                <w:bCs/>
                <w:szCs w:val="21"/>
              </w:rPr>
              <w:t>供应商</w:t>
            </w:r>
            <w:r>
              <w:rPr>
                <w:rFonts w:hint="eastAsia" w:ascii="宋体" w:hAnsi="宋体" w:eastAsia="宋体" w:cs="Calibri"/>
                <w:szCs w:val="21"/>
              </w:rPr>
              <w:t>出现下列情形之一的，不得参加政府采购活动：</w:t>
            </w:r>
          </w:p>
          <w:p w14:paraId="514A6727">
            <w:pPr>
              <w:spacing w:line="360" w:lineRule="auto"/>
              <w:ind w:firstLine="422"/>
              <w:rPr>
                <w:rFonts w:hint="eastAsia" w:ascii="宋体" w:hAnsi="宋体" w:eastAsia="宋体" w:cs="Calibri"/>
                <w:szCs w:val="21"/>
              </w:rPr>
            </w:pPr>
            <w:r>
              <w:rPr>
                <w:rFonts w:hint="eastAsia" w:ascii="宋体" w:hAnsi="宋体" w:eastAsia="宋体" w:cs="Calibri"/>
                <w:szCs w:val="21"/>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E642999">
            <w:pPr>
              <w:spacing w:line="360" w:lineRule="auto"/>
              <w:ind w:firstLine="422"/>
              <w:rPr>
                <w:rFonts w:hint="eastAsia" w:ascii="宋体" w:hAnsi="宋体" w:eastAsia="宋体" w:cs="Calibri"/>
                <w:szCs w:val="21"/>
              </w:rPr>
            </w:pPr>
            <w:r>
              <w:rPr>
                <w:rFonts w:hint="eastAsia" w:ascii="宋体" w:hAnsi="宋体" w:eastAsia="宋体" w:cs="Calibri"/>
                <w:szCs w:val="21"/>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72892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88D4B14">
            <w:pPr>
              <w:spacing w:line="360" w:lineRule="auto"/>
              <w:ind w:firstLine="422"/>
              <w:jc w:val="center"/>
              <w:rPr>
                <w:rFonts w:hint="eastAsia" w:ascii="宋体" w:hAnsi="宋体" w:eastAsia="宋体" w:cs="Calibri"/>
                <w:szCs w:val="21"/>
              </w:rPr>
            </w:pPr>
            <w:r>
              <w:rPr>
                <w:rFonts w:hint="eastAsia" w:ascii="宋体" w:hAnsi="宋体" w:eastAsia="宋体" w:cs="Calibri"/>
                <w:szCs w:val="21"/>
              </w:rPr>
              <w:t>5.1</w:t>
            </w:r>
          </w:p>
        </w:tc>
        <w:tc>
          <w:tcPr>
            <w:tcW w:w="8049" w:type="dxa"/>
            <w:vAlign w:val="center"/>
          </w:tcPr>
          <w:p w14:paraId="1F85FEB5">
            <w:pPr>
              <w:spacing w:line="360" w:lineRule="auto"/>
              <w:ind w:firstLine="422"/>
              <w:rPr>
                <w:rFonts w:hint="eastAsia" w:ascii="宋体" w:hAnsi="宋体" w:eastAsia="宋体" w:cs="Calibri"/>
                <w:szCs w:val="21"/>
              </w:rPr>
            </w:pPr>
            <w:r>
              <w:rPr>
                <w:rFonts w:hint="eastAsia" w:ascii="宋体" w:hAnsi="宋体" w:eastAsia="宋体" w:cs="Calibri"/>
                <w:szCs w:val="21"/>
              </w:rPr>
              <w:t>是否接受联合体竞标: 详见竞争性磋商公告</w:t>
            </w:r>
          </w:p>
        </w:tc>
      </w:tr>
      <w:tr w14:paraId="40ED6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1D03024">
            <w:pPr>
              <w:spacing w:line="360" w:lineRule="auto"/>
              <w:ind w:firstLine="422"/>
              <w:jc w:val="center"/>
              <w:rPr>
                <w:rFonts w:hint="eastAsia" w:ascii="宋体" w:hAnsi="宋体" w:eastAsia="宋体" w:cs="Calibri"/>
                <w:szCs w:val="21"/>
              </w:rPr>
            </w:pPr>
            <w:r>
              <w:rPr>
                <w:rFonts w:hint="eastAsia" w:ascii="宋体" w:hAnsi="宋体" w:eastAsia="宋体" w:cs="Calibri"/>
                <w:szCs w:val="21"/>
              </w:rPr>
              <w:t>5</w:t>
            </w:r>
            <w:r>
              <w:rPr>
                <w:rFonts w:ascii="宋体" w:hAnsi="宋体" w:eastAsia="宋体" w:cs="Calibri"/>
                <w:szCs w:val="21"/>
              </w:rPr>
              <w:t>.2</w:t>
            </w:r>
          </w:p>
        </w:tc>
        <w:tc>
          <w:tcPr>
            <w:tcW w:w="8049" w:type="dxa"/>
            <w:vAlign w:val="center"/>
          </w:tcPr>
          <w:p w14:paraId="7AD39789">
            <w:pPr>
              <w:spacing w:line="360" w:lineRule="auto"/>
              <w:ind w:firstLine="422"/>
              <w:rPr>
                <w:rFonts w:hint="eastAsia" w:ascii="宋体" w:hAnsi="宋体" w:eastAsia="宋体" w:cs="Calibri"/>
                <w:szCs w:val="21"/>
              </w:rPr>
            </w:pPr>
            <w:r>
              <w:rPr>
                <w:rFonts w:hint="eastAsia" w:ascii="宋体" w:hAnsi="宋体" w:eastAsia="宋体"/>
                <w:szCs w:val="21"/>
              </w:rPr>
              <w:t>如接受联合体竞标，联合体竞标要求如下：</w:t>
            </w:r>
          </w:p>
          <w:p w14:paraId="22696765">
            <w:pPr>
              <w:spacing w:line="360" w:lineRule="auto"/>
              <w:ind w:firstLine="422"/>
              <w:rPr>
                <w:rFonts w:hint="eastAsia" w:ascii="宋体" w:hAnsi="宋体" w:eastAsia="宋体" w:cs="Calibri"/>
                <w:szCs w:val="21"/>
              </w:rPr>
            </w:pPr>
            <w:r>
              <w:rPr>
                <w:rFonts w:hint="eastAsia" w:ascii="宋体" w:hAnsi="宋体" w:eastAsia="宋体" w:cs="Calibri"/>
                <w:szCs w:val="21"/>
              </w:rPr>
              <w:t>1</w:t>
            </w:r>
            <w:r>
              <w:rPr>
                <w:rFonts w:ascii="宋体" w:hAnsi="宋体" w:eastAsia="宋体" w:cs="Calibri"/>
                <w:szCs w:val="21"/>
              </w:rPr>
              <w:t>.</w:t>
            </w:r>
            <w:r>
              <w:rPr>
                <w:rFonts w:hint="eastAsia" w:ascii="宋体" w:hAnsi="宋体" w:eastAsia="宋体" w:cs="Calibri"/>
                <w:szCs w:val="21"/>
              </w:rPr>
              <w:t>两个以上供应商可以组成一个竞标联合体，以一个供应商的身份共同参加竞标。联合体竞标的，须提供《联合体竞标协议书》（格式后附）。</w:t>
            </w:r>
          </w:p>
          <w:p w14:paraId="40B054A6">
            <w:pPr>
              <w:spacing w:line="360" w:lineRule="auto"/>
              <w:ind w:firstLine="422"/>
              <w:rPr>
                <w:rFonts w:hint="eastAsia" w:ascii="宋体" w:hAnsi="宋体" w:eastAsia="宋体" w:cs="Calibri"/>
                <w:szCs w:val="21"/>
              </w:rPr>
            </w:pPr>
            <w:r>
              <w:rPr>
                <w:rFonts w:hint="eastAsia" w:ascii="宋体" w:hAnsi="宋体" w:eastAsia="宋体" w:cs="Calibri"/>
                <w:szCs w:val="21"/>
              </w:rPr>
              <w:t>2</w:t>
            </w:r>
            <w:r>
              <w:rPr>
                <w:rFonts w:ascii="宋体" w:hAnsi="宋体" w:eastAsia="宋体" w:cs="Calibri"/>
                <w:szCs w:val="21"/>
              </w:rPr>
              <w:t>.</w:t>
            </w:r>
            <w:r>
              <w:rPr>
                <w:rFonts w:hint="eastAsia" w:ascii="宋体" w:hAnsi="宋体" w:eastAsia="宋体" w:cs="Calibri"/>
                <w:szCs w:val="21"/>
              </w:rPr>
              <w:t>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磋商文件规定的特定条件。</w:t>
            </w:r>
          </w:p>
          <w:p w14:paraId="47AC3EAB">
            <w:pPr>
              <w:spacing w:line="360" w:lineRule="auto"/>
              <w:ind w:firstLine="422"/>
              <w:rPr>
                <w:rFonts w:hint="eastAsia" w:ascii="宋体" w:hAnsi="宋体" w:eastAsia="宋体" w:cs="Calibri"/>
                <w:szCs w:val="21"/>
              </w:rPr>
            </w:pPr>
            <w:r>
              <w:rPr>
                <w:rFonts w:hint="eastAsia" w:ascii="宋体" w:hAnsi="宋体" w:eastAsia="宋体" w:cs="Calibri"/>
                <w:szCs w:val="21"/>
              </w:rPr>
              <w:t>3</w:t>
            </w:r>
            <w:r>
              <w:rPr>
                <w:rFonts w:ascii="宋体" w:hAnsi="宋体" w:eastAsia="宋体" w:cs="Calibri"/>
                <w:szCs w:val="21"/>
              </w:rPr>
              <w:t>.</w:t>
            </w:r>
            <w:r>
              <w:rPr>
                <w:rFonts w:hint="eastAsia" w:ascii="宋体" w:hAnsi="宋体" w:eastAsia="宋体" w:cs="Calibri"/>
                <w:szCs w:val="21"/>
              </w:rPr>
              <w:t>联合体各方之间必须签订联合竞标协议，协议书必须明确主体方（或者牵头方）并明确约定联合体各方承担的工作和相应的责任（</w:t>
            </w:r>
            <w:r>
              <w:rPr>
                <w:rFonts w:hint="eastAsia" w:ascii="宋体" w:hAnsi="宋体" w:eastAsia="宋体" w:cs="Calibri"/>
                <w:b/>
                <w:szCs w:val="21"/>
              </w:rPr>
              <w:t>各方承担责任与义务的分工必须符合采购需求，否则，联合体竞标无效</w:t>
            </w:r>
            <w:r>
              <w:rPr>
                <w:rFonts w:hint="eastAsia" w:ascii="宋体" w:hAnsi="宋体" w:eastAsia="宋体" w:cs="Calibri"/>
                <w:szCs w:val="21"/>
              </w:rPr>
              <w:t>），并将联合竞标协议放入响应文件。联合体各方必须共同与采购人签订采购合同，就采购合同约定的事项对采购人承担连带责任。</w:t>
            </w:r>
          </w:p>
          <w:p w14:paraId="35ED0235">
            <w:pPr>
              <w:spacing w:line="360" w:lineRule="auto"/>
              <w:ind w:firstLine="422"/>
              <w:rPr>
                <w:rFonts w:hint="eastAsia" w:ascii="宋体" w:hAnsi="宋体" w:eastAsia="宋体" w:cs="Calibri"/>
                <w:szCs w:val="21"/>
              </w:rPr>
            </w:pPr>
            <w:r>
              <w:rPr>
                <w:rFonts w:hint="eastAsia" w:ascii="宋体" w:hAnsi="宋体" w:eastAsia="宋体" w:cs="Calibri"/>
                <w:szCs w:val="21"/>
              </w:rPr>
              <w:t>4</w:t>
            </w:r>
            <w:r>
              <w:rPr>
                <w:rFonts w:ascii="宋体" w:hAnsi="宋体" w:eastAsia="宋体" w:cs="Calibri"/>
                <w:szCs w:val="21"/>
              </w:rPr>
              <w:t>.</w:t>
            </w:r>
            <w:r>
              <w:rPr>
                <w:rFonts w:hint="eastAsia" w:ascii="宋体" w:hAnsi="宋体" w:eastAsia="宋体" w:cs="Calibri"/>
                <w:szCs w:val="21"/>
              </w:rPr>
              <w:t>以联合体形式参加政府采购活动的，联合体各方不得再单独参加或者与其他供应商另外组成联合体参加同一合同项下的政府采购活动。</w:t>
            </w:r>
          </w:p>
          <w:p w14:paraId="607A8E28">
            <w:pPr>
              <w:spacing w:line="360" w:lineRule="auto"/>
              <w:ind w:firstLine="422"/>
              <w:rPr>
                <w:rFonts w:hint="eastAsia" w:ascii="宋体" w:hAnsi="宋体" w:eastAsia="宋体" w:cs="Calibri"/>
                <w:szCs w:val="21"/>
              </w:rPr>
            </w:pPr>
            <w:r>
              <w:rPr>
                <w:rFonts w:hint="eastAsia" w:ascii="宋体" w:hAnsi="宋体" w:eastAsia="宋体" w:cs="Calibri"/>
                <w:szCs w:val="21"/>
              </w:rPr>
              <w:t>5</w:t>
            </w:r>
            <w:r>
              <w:rPr>
                <w:rFonts w:ascii="宋体" w:hAnsi="宋体" w:eastAsia="宋体" w:cs="Calibri"/>
                <w:szCs w:val="21"/>
              </w:rPr>
              <w:t>.</w:t>
            </w:r>
            <w:r>
              <w:rPr>
                <w:rFonts w:hint="eastAsia" w:ascii="宋体" w:hAnsi="宋体" w:eastAsia="宋体" w:cs="Calibri"/>
                <w:szCs w:val="21"/>
              </w:rPr>
              <w:t>联合体中有同类资质的供应商按照联合体分工承担相同工作的，应当按照资质等级较低的供应商确定资质等级。</w:t>
            </w:r>
          </w:p>
          <w:p w14:paraId="58AC8BBE">
            <w:pPr>
              <w:spacing w:line="360" w:lineRule="auto"/>
              <w:ind w:firstLine="422"/>
              <w:rPr>
                <w:rFonts w:hint="eastAsia" w:ascii="宋体" w:hAnsi="宋体" w:eastAsia="宋体" w:cs="Calibri"/>
                <w:szCs w:val="21"/>
              </w:rPr>
            </w:pPr>
            <w:r>
              <w:rPr>
                <w:rFonts w:hint="eastAsia" w:ascii="宋体" w:hAnsi="宋体" w:eastAsia="宋体" w:cs="Calibri"/>
                <w:szCs w:val="21"/>
              </w:rPr>
              <w:t>6</w:t>
            </w:r>
            <w:r>
              <w:rPr>
                <w:rFonts w:ascii="宋体" w:hAnsi="宋体" w:eastAsia="宋体" w:cs="Calibri"/>
                <w:szCs w:val="21"/>
              </w:rPr>
              <w:t>.</w:t>
            </w:r>
            <w:r>
              <w:rPr>
                <w:rFonts w:hint="eastAsia" w:ascii="宋体" w:hAnsi="宋体" w:eastAsia="宋体" w:cs="Calibri"/>
                <w:szCs w:val="21"/>
              </w:rPr>
              <w:t>联合体竞标业绩、履约能力按照联合体各方中较高的一方认定并计算（磋商文件另有规定的除外）。</w:t>
            </w:r>
          </w:p>
          <w:p w14:paraId="6E79D17C">
            <w:pPr>
              <w:spacing w:line="360" w:lineRule="auto"/>
              <w:ind w:firstLine="422"/>
              <w:rPr>
                <w:rFonts w:hint="eastAsia" w:ascii="宋体" w:hAnsi="宋体" w:eastAsia="宋体" w:cs="Calibri"/>
                <w:szCs w:val="21"/>
              </w:rPr>
            </w:pPr>
            <w:r>
              <w:rPr>
                <w:rFonts w:hint="eastAsia" w:ascii="宋体" w:hAnsi="宋体" w:eastAsia="宋体" w:cs="Calibri"/>
                <w:szCs w:val="21"/>
              </w:rPr>
              <w:t>7</w:t>
            </w:r>
            <w:r>
              <w:rPr>
                <w:rFonts w:ascii="宋体" w:hAnsi="宋体" w:eastAsia="宋体" w:cs="Calibri"/>
                <w:szCs w:val="21"/>
              </w:rPr>
              <w:t>.</w:t>
            </w:r>
            <w:r>
              <w:rPr>
                <w:rFonts w:hint="eastAsia" w:ascii="宋体" w:hAnsi="宋体" w:eastAsia="宋体" w:cs="Calibri"/>
                <w:szCs w:val="21"/>
              </w:rPr>
              <w:t>供应商为联合体的，可以由联合体中的一方或者多方共同交纳磋商保证金，其交纳的保证金对联合体各方均具有约束力。</w:t>
            </w:r>
          </w:p>
          <w:p w14:paraId="52667D9A">
            <w:pPr>
              <w:spacing w:line="360" w:lineRule="auto"/>
              <w:ind w:firstLine="422"/>
              <w:rPr>
                <w:rFonts w:hint="eastAsia" w:ascii="宋体" w:hAnsi="宋体" w:eastAsia="宋体" w:cs="Calibri"/>
                <w:szCs w:val="21"/>
              </w:rPr>
            </w:pPr>
            <w:r>
              <w:rPr>
                <w:rFonts w:hint="eastAsia" w:ascii="宋体" w:hAnsi="宋体" w:eastAsia="宋体" w:cs="Calibri"/>
                <w:szCs w:val="21"/>
              </w:rPr>
              <w:t>8</w:t>
            </w:r>
            <w:r>
              <w:rPr>
                <w:rFonts w:ascii="宋体" w:hAnsi="宋体" w:eastAsia="宋体" w:cs="Calibri"/>
                <w:szCs w:val="21"/>
              </w:rPr>
              <w:t>.</w:t>
            </w:r>
            <w:r>
              <w:rPr>
                <w:rFonts w:hint="eastAsia" w:ascii="宋体" w:hAnsi="宋体" w:eastAsia="宋体" w:cs="Calibri"/>
                <w:szCs w:val="21"/>
              </w:rPr>
              <w:t>联合体各方均应按照磋商文件的规定提交资格证明文件。</w:t>
            </w:r>
          </w:p>
        </w:tc>
      </w:tr>
      <w:tr w14:paraId="33490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F2F4BC5">
            <w:pPr>
              <w:spacing w:line="360" w:lineRule="auto"/>
              <w:ind w:firstLine="422"/>
              <w:jc w:val="center"/>
              <w:rPr>
                <w:rFonts w:hint="eastAsia" w:ascii="宋体" w:hAnsi="宋体" w:eastAsia="宋体" w:cs="Calibri"/>
                <w:szCs w:val="21"/>
              </w:rPr>
            </w:pPr>
            <w:r>
              <w:rPr>
                <w:rFonts w:hint="eastAsia" w:ascii="宋体" w:hAnsi="宋体" w:eastAsia="宋体" w:cs="Calibri"/>
                <w:szCs w:val="21"/>
              </w:rPr>
              <w:t>6.2</w:t>
            </w:r>
          </w:p>
        </w:tc>
        <w:tc>
          <w:tcPr>
            <w:tcW w:w="8049" w:type="dxa"/>
            <w:vAlign w:val="center"/>
          </w:tcPr>
          <w:p w14:paraId="047AC42C">
            <w:pPr>
              <w:pStyle w:val="19"/>
              <w:spacing w:line="360" w:lineRule="auto"/>
              <w:rPr>
                <w:rFonts w:hint="eastAsia" w:ascii="宋体" w:hAnsi="宋体" w:eastAsia="宋体" w:cs="等线"/>
                <w:b/>
                <w:bCs/>
                <w:szCs w:val="21"/>
                <w:lang w:val="en-US"/>
              </w:rPr>
            </w:pPr>
            <w:r>
              <w:rPr>
                <w:rFonts w:ascii="Segoe UI Emoji" w:hAnsi="Segoe UI Emoji" w:eastAsia="宋体" w:cs="Segoe UI Emoji"/>
                <w:b/>
                <w:bCs/>
                <w:szCs w:val="21"/>
              </w:rPr>
              <w:t>☑</w:t>
            </w:r>
            <w:r>
              <w:rPr>
                <w:rFonts w:hint="eastAsia" w:ascii="宋体" w:hAnsi="宋体" w:eastAsia="宋体" w:cs="等线"/>
                <w:b/>
                <w:bCs/>
                <w:szCs w:val="21"/>
                <w:lang w:val="en-US"/>
              </w:rPr>
              <w:t>不允许分包</w:t>
            </w:r>
          </w:p>
          <w:p w14:paraId="74C48C58">
            <w:pPr>
              <w:pStyle w:val="19"/>
              <w:spacing w:line="360" w:lineRule="auto"/>
              <w:rPr>
                <w:rFonts w:hint="eastAsia" w:ascii="宋体" w:hAnsi="宋体" w:eastAsia="宋体" w:cs="等线"/>
                <w:szCs w:val="21"/>
                <w:lang w:val="en-US"/>
              </w:rPr>
            </w:pPr>
            <w:r>
              <w:rPr>
                <w:rFonts w:hint="eastAsia" w:ascii="宋体" w:hAnsi="宋体" w:eastAsia="宋体" w:cs="等线"/>
                <w:b/>
                <w:bCs/>
                <w:szCs w:val="21"/>
                <w:lang w:val="en-US"/>
              </w:rPr>
              <w:t>□</w:t>
            </w:r>
            <w:r>
              <w:rPr>
                <w:rFonts w:hint="eastAsia" w:ascii="宋体" w:hAnsi="宋体" w:eastAsia="宋体" w:cs="等线"/>
                <w:szCs w:val="21"/>
                <w:lang w:val="en-US"/>
              </w:rPr>
              <w:t>允许分包</w:t>
            </w:r>
          </w:p>
        </w:tc>
      </w:tr>
      <w:tr w14:paraId="1B825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48FE3DF">
            <w:pPr>
              <w:spacing w:line="360" w:lineRule="auto"/>
              <w:rPr>
                <w:rFonts w:hint="eastAsia" w:ascii="宋体" w:hAnsi="宋体" w:eastAsia="宋体" w:cs="Calibri"/>
                <w:szCs w:val="21"/>
              </w:rPr>
            </w:pPr>
            <w:r>
              <w:rPr>
                <w:rFonts w:hint="eastAsia" w:ascii="宋体" w:hAnsi="宋体" w:eastAsia="宋体" w:cs="Calibri"/>
                <w:szCs w:val="21"/>
              </w:rPr>
              <w:t>12.1.</w:t>
            </w:r>
            <w:r>
              <w:rPr>
                <w:rFonts w:ascii="宋体" w:hAnsi="宋体" w:eastAsia="宋体" w:cs="Calibri"/>
                <w:szCs w:val="21"/>
              </w:rPr>
              <w:t>1</w:t>
            </w:r>
          </w:p>
        </w:tc>
        <w:tc>
          <w:tcPr>
            <w:tcW w:w="8049" w:type="dxa"/>
            <w:vAlign w:val="center"/>
          </w:tcPr>
          <w:p w14:paraId="6F258B85">
            <w:pPr>
              <w:snapToGrid w:val="0"/>
              <w:spacing w:line="360" w:lineRule="auto"/>
              <w:jc w:val="left"/>
              <w:rPr>
                <w:rFonts w:hint="eastAsia" w:ascii="宋体" w:hAnsi="宋体" w:eastAsia="宋体" w:cs="Calibri"/>
                <w:b/>
                <w:szCs w:val="21"/>
              </w:rPr>
            </w:pPr>
            <w:r>
              <w:rPr>
                <w:rFonts w:hint="eastAsia" w:ascii="宋体" w:hAnsi="宋体" w:eastAsia="宋体" w:cs="Calibri"/>
                <w:b/>
                <w:szCs w:val="21"/>
              </w:rPr>
              <w:t>资格证明文件</w:t>
            </w:r>
          </w:p>
          <w:p w14:paraId="0E665F49">
            <w:pPr>
              <w:pStyle w:val="19"/>
              <w:spacing w:line="360" w:lineRule="auto"/>
              <w:ind w:firstLine="420" w:firstLineChars="200"/>
              <w:rPr>
                <w:rFonts w:hint="eastAsia" w:ascii="宋体" w:hAnsi="宋体" w:eastAsia="宋体" w:cs="等线"/>
                <w:b/>
                <w:bCs/>
                <w:szCs w:val="21"/>
                <w:lang w:val="en-US"/>
              </w:rPr>
            </w:pPr>
            <w:r>
              <w:rPr>
                <w:rFonts w:hint="eastAsia" w:ascii="宋体" w:hAnsi="宋体" w:eastAsia="宋体" w:cs="Calibri"/>
                <w:szCs w:val="21"/>
                <w:lang w:val="en-US"/>
              </w:rPr>
              <w:t>1.供应商为法人或者其他组织的提供其营业执照等证明文件（如营业执照或者事业单位法人证书或者执业许可证或者登记证书等），供应商为自然人的提供其身份证复印件；</w:t>
            </w:r>
            <w:r>
              <w:rPr>
                <w:rFonts w:hint="eastAsia" w:ascii="宋体" w:hAnsi="宋体" w:eastAsia="宋体" w:cs="Calibri"/>
                <w:b/>
                <w:bCs/>
                <w:szCs w:val="21"/>
                <w:lang w:val="en-US"/>
              </w:rPr>
              <w:t>（必须提供，否则响应文件按无效响应处理）</w:t>
            </w:r>
          </w:p>
          <w:p w14:paraId="086231A4">
            <w:pPr>
              <w:spacing w:line="360" w:lineRule="auto"/>
              <w:ind w:firstLine="420" w:firstLineChars="200"/>
              <w:contextualSpacing/>
              <w:jc w:val="left"/>
              <w:rPr>
                <w:rFonts w:hint="eastAsia" w:ascii="宋体" w:hAnsi="宋体" w:eastAsia="宋体" w:cs="Calibri"/>
                <w:b/>
                <w:bCs/>
                <w:szCs w:val="21"/>
              </w:rPr>
            </w:pPr>
            <w:r>
              <w:rPr>
                <w:rFonts w:hint="eastAsia" w:ascii="宋体" w:hAnsi="宋体" w:eastAsia="宋体" w:cs="Calibri"/>
                <w:szCs w:val="21"/>
              </w:rPr>
              <w:t>2.供应商依法缴纳税收的相关材料（</w:t>
            </w:r>
            <w:r>
              <w:rPr>
                <w:rFonts w:hint="eastAsia" w:ascii="宋体" w:hAnsi="宋体" w:eastAsia="宋体" w:cs="Calibri"/>
                <w:szCs w:val="21"/>
                <w:u w:val="single"/>
              </w:rPr>
              <w:t>2025年1月至2025年6月内连续</w:t>
            </w:r>
            <w:r>
              <w:rPr>
                <w:rFonts w:ascii="宋体" w:hAnsi="宋体" w:eastAsia="宋体" w:cs="Calibri"/>
                <w:szCs w:val="21"/>
                <w:u w:val="single"/>
              </w:rPr>
              <w:t>3</w:t>
            </w:r>
            <w:r>
              <w:rPr>
                <w:rFonts w:hint="eastAsia" w:ascii="宋体" w:hAnsi="宋体" w:eastAsia="宋体" w:cs="Calibri"/>
                <w:szCs w:val="21"/>
                <w:u w:val="single"/>
              </w:rPr>
              <w:t>个月</w:t>
            </w:r>
            <w:r>
              <w:rPr>
                <w:rFonts w:hint="eastAsia" w:ascii="宋体" w:hAnsi="宋体" w:eastAsia="宋体" w:cs="Calibri"/>
                <w:szCs w:val="21"/>
              </w:rPr>
              <w:t>的依法缴纳税收的凭据复印件；</w:t>
            </w:r>
            <w:r>
              <w:rPr>
                <w:rFonts w:hint="eastAsia" w:ascii="宋体" w:hAnsi="宋体" w:eastAsia="宋体"/>
              </w:rPr>
              <w:t>依法免税的，必须提供相应文件证明其依法免税。</w:t>
            </w:r>
            <w:r>
              <w:rPr>
                <w:rFonts w:hint="eastAsia" w:ascii="宋体" w:hAnsi="宋体" w:eastAsia="宋体" w:cs="Calibri"/>
                <w:szCs w:val="21"/>
              </w:rPr>
              <w:t>从</w:t>
            </w:r>
            <w:r>
              <w:rPr>
                <w:rFonts w:ascii="宋体" w:hAnsi="宋体" w:eastAsia="宋体"/>
                <w:szCs w:val="21"/>
              </w:rPr>
              <w:t>成立</w:t>
            </w:r>
            <w:r>
              <w:rPr>
                <w:rFonts w:hint="eastAsia" w:ascii="宋体" w:hAnsi="宋体" w:eastAsia="宋体"/>
                <w:szCs w:val="21"/>
              </w:rPr>
              <w:t>之日起</w:t>
            </w:r>
            <w:r>
              <w:rPr>
                <w:rFonts w:hint="eastAsia" w:ascii="宋体" w:hAnsi="宋体" w:eastAsia="宋体" w:cs="Calibri"/>
                <w:szCs w:val="21"/>
              </w:rPr>
              <w:t>到响应文件提交截止时间止不足要求月数的，只需提供从</w:t>
            </w:r>
            <w:r>
              <w:rPr>
                <w:rFonts w:ascii="宋体" w:hAnsi="宋体" w:eastAsia="宋体"/>
                <w:szCs w:val="21"/>
              </w:rPr>
              <w:t>成立</w:t>
            </w:r>
            <w:r>
              <w:rPr>
                <w:rFonts w:hint="eastAsia" w:ascii="宋体" w:hAnsi="宋体" w:eastAsia="宋体"/>
                <w:szCs w:val="21"/>
              </w:rPr>
              <w:t>之日起</w:t>
            </w:r>
            <w:r>
              <w:rPr>
                <w:rFonts w:hint="eastAsia" w:ascii="宋体" w:hAnsi="宋体" w:eastAsia="宋体" w:cs="Calibri"/>
                <w:szCs w:val="21"/>
              </w:rPr>
              <w:t>的依法缴纳税收</w:t>
            </w:r>
            <w:r>
              <w:rPr>
                <w:rFonts w:hint="eastAsia" w:ascii="宋体" w:hAnsi="宋体" w:eastAsia="宋体"/>
              </w:rPr>
              <w:t>相应证明文件</w:t>
            </w:r>
            <w:r>
              <w:rPr>
                <w:rFonts w:hint="eastAsia" w:ascii="宋体" w:hAnsi="宋体" w:eastAsia="宋体" w:cs="Calibri"/>
                <w:szCs w:val="21"/>
              </w:rPr>
              <w:t>）；</w:t>
            </w:r>
            <w:r>
              <w:rPr>
                <w:rFonts w:hint="eastAsia" w:ascii="宋体" w:hAnsi="宋体" w:eastAsia="宋体" w:cs="Calibri"/>
                <w:b/>
                <w:bCs/>
                <w:szCs w:val="21"/>
              </w:rPr>
              <w:t>（必须提供，否则响应文件按无效响应处理）</w:t>
            </w:r>
          </w:p>
          <w:p w14:paraId="3A1703F2">
            <w:pPr>
              <w:spacing w:line="360" w:lineRule="auto"/>
              <w:ind w:firstLine="420" w:firstLineChars="200"/>
              <w:contextualSpacing/>
              <w:jc w:val="left"/>
              <w:rPr>
                <w:rFonts w:hint="eastAsia" w:ascii="宋体" w:hAnsi="宋体" w:eastAsia="宋体" w:cs="Calibri"/>
                <w:b/>
                <w:bCs/>
                <w:szCs w:val="21"/>
              </w:rPr>
            </w:pPr>
            <w:r>
              <w:rPr>
                <w:rFonts w:hint="eastAsia" w:ascii="宋体" w:hAnsi="宋体" w:eastAsia="宋体" w:cs="Calibri"/>
                <w:szCs w:val="21"/>
              </w:rPr>
              <w:t>3.供应商依法缴纳社会保障资金的相关材料[</w:t>
            </w:r>
            <w:r>
              <w:rPr>
                <w:rFonts w:hint="eastAsia" w:ascii="宋体" w:hAnsi="宋体" w:eastAsia="宋体" w:cs="Calibri"/>
                <w:szCs w:val="21"/>
                <w:u w:val="single"/>
              </w:rPr>
              <w:t>2025年1月至2025年6月连续</w:t>
            </w:r>
            <w:r>
              <w:rPr>
                <w:rFonts w:ascii="宋体" w:hAnsi="宋体" w:eastAsia="宋体" w:cs="Calibri"/>
                <w:szCs w:val="21"/>
                <w:u w:val="single"/>
              </w:rPr>
              <w:t>3</w:t>
            </w:r>
            <w:r>
              <w:rPr>
                <w:rFonts w:hint="eastAsia" w:ascii="宋体" w:hAnsi="宋体" w:eastAsia="宋体" w:cs="Calibri"/>
                <w:szCs w:val="21"/>
                <w:u w:val="single"/>
              </w:rPr>
              <w:t>个月</w:t>
            </w:r>
            <w:r>
              <w:rPr>
                <w:rFonts w:hint="eastAsia" w:ascii="宋体" w:hAnsi="宋体" w:eastAsia="宋体" w:cs="Calibri"/>
                <w:szCs w:val="21"/>
              </w:rPr>
              <w:t>的依法缴纳社会保障资金的缴费凭证（专用收据或者社会保险缴纳清单）复印件；</w:t>
            </w:r>
            <w:r>
              <w:rPr>
                <w:rFonts w:hint="eastAsia" w:ascii="宋体" w:hAnsi="宋体" w:eastAsia="宋体"/>
              </w:rPr>
              <w:t>依法不需要缴纳社会保障资金的，必须提供相应文件证明不需要缴纳社会保障资金。</w:t>
            </w:r>
            <w:r>
              <w:rPr>
                <w:rFonts w:hint="eastAsia" w:ascii="宋体" w:hAnsi="宋体" w:eastAsia="宋体" w:cs="Calibri"/>
                <w:szCs w:val="21"/>
              </w:rPr>
              <w:t>从</w:t>
            </w:r>
            <w:r>
              <w:rPr>
                <w:rFonts w:ascii="宋体" w:hAnsi="宋体" w:eastAsia="宋体"/>
                <w:szCs w:val="21"/>
              </w:rPr>
              <w:t>成立</w:t>
            </w:r>
            <w:r>
              <w:rPr>
                <w:rFonts w:hint="eastAsia" w:ascii="宋体" w:hAnsi="宋体" w:eastAsia="宋体"/>
                <w:szCs w:val="21"/>
              </w:rPr>
              <w:t>之日起</w:t>
            </w:r>
            <w:r>
              <w:rPr>
                <w:rFonts w:hint="eastAsia" w:ascii="宋体" w:hAnsi="宋体" w:eastAsia="宋体" w:cs="Calibri"/>
                <w:szCs w:val="21"/>
              </w:rPr>
              <w:t>到响应文件提交截止时间止不足要求月数的只需提供从</w:t>
            </w:r>
            <w:r>
              <w:rPr>
                <w:rFonts w:ascii="宋体" w:hAnsi="宋体" w:eastAsia="宋体"/>
                <w:szCs w:val="21"/>
              </w:rPr>
              <w:t>成立</w:t>
            </w:r>
            <w:r>
              <w:rPr>
                <w:rFonts w:hint="eastAsia" w:ascii="宋体" w:hAnsi="宋体" w:eastAsia="宋体"/>
                <w:szCs w:val="21"/>
              </w:rPr>
              <w:t>之日起</w:t>
            </w:r>
            <w:r>
              <w:rPr>
                <w:rFonts w:hint="eastAsia" w:ascii="宋体" w:hAnsi="宋体" w:eastAsia="宋体" w:cs="Calibri"/>
                <w:szCs w:val="21"/>
              </w:rPr>
              <w:t>的依法缴纳社会保障资金的</w:t>
            </w:r>
            <w:r>
              <w:rPr>
                <w:rFonts w:hint="eastAsia" w:ascii="宋体" w:hAnsi="宋体" w:eastAsia="宋体"/>
              </w:rPr>
              <w:t>相应证明文件</w:t>
            </w:r>
            <w:r>
              <w:rPr>
                <w:rFonts w:hint="eastAsia" w:ascii="宋体" w:hAnsi="宋体" w:eastAsia="宋体" w:cs="Calibri"/>
                <w:szCs w:val="21"/>
              </w:rPr>
              <w:t>]；</w:t>
            </w:r>
            <w:r>
              <w:rPr>
                <w:rFonts w:hint="eastAsia" w:ascii="宋体" w:hAnsi="宋体" w:eastAsia="宋体" w:cs="Calibri"/>
                <w:b/>
                <w:bCs/>
                <w:szCs w:val="21"/>
              </w:rPr>
              <w:t>（必须提供，否则响应文件按无效响应处理）</w:t>
            </w:r>
          </w:p>
          <w:p w14:paraId="1FFF2A91">
            <w:pPr>
              <w:spacing w:line="360" w:lineRule="auto"/>
              <w:ind w:firstLine="420" w:firstLineChars="200"/>
              <w:contextualSpacing/>
              <w:jc w:val="left"/>
              <w:rPr>
                <w:rFonts w:hint="eastAsia" w:ascii="宋体" w:hAnsi="宋体" w:eastAsia="宋体" w:cs="Calibri"/>
                <w:b/>
                <w:szCs w:val="21"/>
              </w:rPr>
            </w:pPr>
            <w:r>
              <w:rPr>
                <w:rFonts w:hint="eastAsia" w:ascii="宋体" w:hAnsi="宋体" w:eastAsia="宋体" w:cs="Calibri"/>
                <w:szCs w:val="21"/>
              </w:rPr>
              <w:t>4.供应商</w:t>
            </w:r>
            <w:r>
              <w:rPr>
                <w:rFonts w:hint="eastAsia" w:ascii="宋体" w:hAnsi="宋体" w:eastAsia="宋体"/>
                <w:szCs w:val="21"/>
              </w:rPr>
              <w:t>财务状况报告（</w:t>
            </w:r>
            <w:r>
              <w:rPr>
                <w:rFonts w:hint="eastAsia" w:ascii="宋体" w:hAnsi="宋体" w:eastAsia="宋体"/>
                <w:szCs w:val="21"/>
                <w:u w:val="single"/>
              </w:rPr>
              <w:t>2024</w:t>
            </w:r>
            <w:r>
              <w:rPr>
                <w:rFonts w:hint="eastAsia" w:ascii="宋体" w:hAnsi="宋体" w:eastAsia="宋体"/>
                <w:szCs w:val="21"/>
              </w:rPr>
              <w:t>年度</w:t>
            </w:r>
            <w:r>
              <w:rPr>
                <w:rFonts w:hint="eastAsia" w:ascii="宋体" w:hAnsi="宋体" w:eastAsia="宋体" w:cs="宋体"/>
                <w:szCs w:val="21"/>
              </w:rPr>
              <w:t>财务报表复印件</w:t>
            </w:r>
            <w:r>
              <w:rPr>
                <w:rFonts w:hint="eastAsia" w:ascii="宋体" w:hAnsi="宋体" w:eastAsia="宋体"/>
                <w:szCs w:val="21"/>
              </w:rPr>
              <w:t>，或者银行出具的资信证明，或者中国人民银行征信中心出具的信用报告（企业竞标的提供企业信用报告，自然人竞标的提供个人信用报告）；供应商属于</w:t>
            </w:r>
            <w:r>
              <w:rPr>
                <w:rFonts w:hint="eastAsia" w:ascii="宋体" w:hAnsi="宋体" w:eastAsia="宋体"/>
              </w:rPr>
              <w:t>成立时间</w:t>
            </w:r>
            <w:r>
              <w:rPr>
                <w:rFonts w:hint="eastAsia" w:ascii="宋体" w:hAnsi="宋体" w:eastAsia="宋体"/>
                <w:kern w:val="0"/>
              </w:rPr>
              <w:t>在规定年度之后</w:t>
            </w:r>
            <w:r>
              <w:rPr>
                <w:rFonts w:hint="eastAsia" w:ascii="宋体" w:hAnsi="宋体" w:eastAsia="宋体"/>
              </w:rPr>
              <w:t>的</w:t>
            </w:r>
            <w:r>
              <w:rPr>
                <w:rFonts w:hint="eastAsia" w:ascii="宋体" w:hAnsi="宋体" w:eastAsia="宋体"/>
                <w:szCs w:val="21"/>
              </w:rPr>
              <w:t>法人或其他组织</w:t>
            </w:r>
            <w:r>
              <w:rPr>
                <w:rFonts w:hint="eastAsia" w:ascii="宋体" w:hAnsi="宋体" w:eastAsia="宋体"/>
              </w:rPr>
              <w:t>，需提供成立之日起至响应文件提交截止时间前的月报表</w:t>
            </w:r>
            <w:r>
              <w:rPr>
                <w:rFonts w:hint="eastAsia" w:ascii="宋体" w:hAnsi="宋体" w:eastAsia="宋体"/>
                <w:szCs w:val="21"/>
              </w:rPr>
              <w:t>或银行出具的资信证明或者中国人民银行征信中心出具的企业信用报告；资信证明应在有效期内，未注明有效期的，银行出具时间至响应文件提交截止时间不超过一年）</w:t>
            </w:r>
            <w:r>
              <w:rPr>
                <w:rFonts w:hint="eastAsia" w:ascii="宋体" w:hAnsi="宋体" w:eastAsia="宋体" w:cs="Calibri"/>
                <w:szCs w:val="21"/>
              </w:rPr>
              <w:t>；</w:t>
            </w:r>
            <w:r>
              <w:rPr>
                <w:rFonts w:hint="eastAsia" w:ascii="宋体" w:hAnsi="宋体" w:eastAsia="宋体" w:cs="Calibri"/>
                <w:bCs/>
                <w:szCs w:val="21"/>
              </w:rPr>
              <w:t>（</w:t>
            </w:r>
            <w:r>
              <w:rPr>
                <w:rFonts w:hint="eastAsia" w:ascii="宋体" w:hAnsi="宋体" w:eastAsia="宋体"/>
                <w:b/>
                <w:szCs w:val="21"/>
              </w:rPr>
              <w:t>必须提供</w:t>
            </w:r>
            <w:r>
              <w:rPr>
                <w:rFonts w:hint="eastAsia" w:ascii="宋体" w:hAnsi="宋体" w:eastAsia="宋体" w:cs="Calibri"/>
                <w:b/>
                <w:szCs w:val="21"/>
              </w:rPr>
              <w:t>，否则响应文件按无效响应处理</w:t>
            </w:r>
            <w:r>
              <w:rPr>
                <w:rFonts w:hint="eastAsia" w:ascii="宋体" w:hAnsi="宋体" w:eastAsia="宋体" w:cs="Calibri"/>
                <w:bCs/>
                <w:szCs w:val="21"/>
              </w:rPr>
              <w:t>）</w:t>
            </w:r>
          </w:p>
          <w:p w14:paraId="1B10B360">
            <w:pPr>
              <w:snapToGrid w:val="0"/>
              <w:spacing w:line="360" w:lineRule="auto"/>
              <w:ind w:firstLine="420" w:firstLineChars="200"/>
              <w:jc w:val="left"/>
              <w:rPr>
                <w:rFonts w:hint="eastAsia" w:ascii="宋体" w:hAnsi="宋体" w:eastAsia="宋体" w:cs="Calibri"/>
                <w:b/>
                <w:bCs/>
                <w:szCs w:val="21"/>
              </w:rPr>
            </w:pPr>
            <w:r>
              <w:rPr>
                <w:rFonts w:hint="eastAsia" w:ascii="宋体" w:hAnsi="宋体" w:eastAsia="宋体" w:cs="Calibri"/>
                <w:szCs w:val="21"/>
              </w:rPr>
              <w:t>5.供应商直接控股、管理关系信息表（格式后附）；</w:t>
            </w:r>
            <w:r>
              <w:rPr>
                <w:rFonts w:hint="eastAsia" w:ascii="宋体" w:hAnsi="宋体" w:eastAsia="宋体" w:cs="Calibri"/>
                <w:b/>
                <w:bCs/>
                <w:szCs w:val="21"/>
              </w:rPr>
              <w:t>（必须提供，否则响应文件按无效响应处理）</w:t>
            </w:r>
          </w:p>
          <w:p w14:paraId="6ABE3447">
            <w:pPr>
              <w:snapToGrid w:val="0"/>
              <w:spacing w:line="360" w:lineRule="auto"/>
              <w:ind w:firstLine="420" w:firstLineChars="200"/>
              <w:jc w:val="left"/>
              <w:rPr>
                <w:rFonts w:hint="eastAsia" w:ascii="宋体" w:hAnsi="宋体" w:eastAsia="宋体" w:cs="Calibri"/>
                <w:b/>
                <w:bCs/>
                <w:szCs w:val="21"/>
              </w:rPr>
            </w:pPr>
            <w:r>
              <w:rPr>
                <w:rFonts w:hint="eastAsia" w:ascii="宋体" w:hAnsi="宋体" w:eastAsia="宋体" w:cs="Calibri"/>
                <w:szCs w:val="21"/>
              </w:rPr>
              <w:t>6.竞标声明（格式后附）；</w:t>
            </w:r>
            <w:r>
              <w:rPr>
                <w:rFonts w:hint="eastAsia" w:ascii="宋体" w:hAnsi="宋体" w:eastAsia="宋体" w:cs="Calibri"/>
                <w:b/>
                <w:bCs/>
                <w:szCs w:val="21"/>
              </w:rPr>
              <w:t>（必须提供，否则响应文件按无效响应处理）</w:t>
            </w:r>
          </w:p>
          <w:p w14:paraId="1DE86FCC">
            <w:pPr>
              <w:snapToGrid w:val="0"/>
              <w:spacing w:line="360" w:lineRule="auto"/>
              <w:ind w:firstLine="420" w:firstLineChars="200"/>
              <w:jc w:val="left"/>
              <w:rPr>
                <w:rFonts w:hint="eastAsia" w:ascii="宋体" w:hAnsi="宋体" w:eastAsia="宋体" w:cs="Calibri"/>
                <w:b/>
                <w:bCs/>
                <w:szCs w:val="21"/>
              </w:rPr>
            </w:pPr>
            <w:r>
              <w:rPr>
                <w:rFonts w:ascii="宋体" w:hAnsi="宋体" w:eastAsia="宋体" w:cs="Calibri"/>
                <w:szCs w:val="21"/>
              </w:rPr>
              <w:t>7</w:t>
            </w:r>
            <w:r>
              <w:rPr>
                <w:rFonts w:hint="eastAsia" w:ascii="宋体" w:hAnsi="宋体" w:eastAsia="宋体" w:cs="Calibri"/>
                <w:szCs w:val="21"/>
              </w:rPr>
              <w:t>.联合体竞标协议书（格式后附）；</w:t>
            </w:r>
            <w:r>
              <w:rPr>
                <w:rFonts w:hint="eastAsia" w:ascii="宋体" w:hAnsi="宋体" w:eastAsia="宋体" w:cs="Calibri"/>
                <w:b/>
                <w:bCs/>
                <w:szCs w:val="21"/>
              </w:rPr>
              <w:t>（联合体竞标时必须提供，否则响应文件按无效响应处理）</w:t>
            </w:r>
          </w:p>
          <w:p w14:paraId="79159D14">
            <w:pPr>
              <w:snapToGrid w:val="0"/>
              <w:spacing w:line="360" w:lineRule="auto"/>
              <w:ind w:firstLine="420" w:firstLineChars="200"/>
              <w:jc w:val="left"/>
              <w:rPr>
                <w:rFonts w:hint="eastAsia" w:ascii="宋体" w:hAnsi="宋体" w:eastAsia="宋体"/>
                <w:b/>
                <w:bCs/>
                <w:szCs w:val="21"/>
              </w:rPr>
            </w:pPr>
            <w:r>
              <w:rPr>
                <w:rFonts w:hint="eastAsia" w:ascii="宋体" w:hAnsi="宋体" w:eastAsia="宋体"/>
                <w:szCs w:val="21"/>
              </w:rPr>
              <w:t>8</w:t>
            </w:r>
            <w:r>
              <w:rPr>
                <w:rFonts w:ascii="宋体" w:hAnsi="宋体" w:eastAsia="宋体"/>
                <w:szCs w:val="21"/>
              </w:rPr>
              <w:t>.</w:t>
            </w:r>
            <w:r>
              <w:rPr>
                <w:rFonts w:hint="eastAsia" w:ascii="宋体" w:hAnsi="宋体" w:eastAsia="宋体"/>
                <w:szCs w:val="21"/>
              </w:rPr>
              <w:t>《中小企业声明函》或监狱企业由省级以上监狱管理局、戒毒管理局（含新疆生产建设兵团）出具的属于监狱企业的证明文件或《残疾人福利性单位声明函》（格式后附）；</w:t>
            </w:r>
            <w:r>
              <w:rPr>
                <w:rFonts w:hint="eastAsia" w:ascii="宋体" w:hAnsi="宋体" w:eastAsia="宋体"/>
                <w:b/>
                <w:bCs/>
                <w:szCs w:val="21"/>
              </w:rPr>
              <w:t>（如为专门面向中小企业采购的项目则必须提供，否则响应文件按无效响应处理）</w:t>
            </w:r>
          </w:p>
          <w:p w14:paraId="4D37FC67">
            <w:pPr>
              <w:snapToGrid w:val="0"/>
              <w:spacing w:line="360" w:lineRule="auto"/>
              <w:ind w:firstLine="420" w:firstLineChars="200"/>
              <w:jc w:val="left"/>
              <w:rPr>
                <w:rFonts w:hint="eastAsia" w:ascii="宋体" w:hAnsi="宋体" w:eastAsia="宋体" w:cs="Calibri"/>
                <w:szCs w:val="21"/>
              </w:rPr>
            </w:pPr>
            <w:r>
              <w:rPr>
                <w:rFonts w:hint="eastAsia" w:ascii="宋体" w:hAnsi="宋体" w:eastAsia="宋体"/>
                <w:szCs w:val="21"/>
              </w:rPr>
              <w:t>9.</w:t>
            </w:r>
            <w:r>
              <w:rPr>
                <w:rFonts w:hint="eastAsia" w:ascii="宋体" w:hAnsi="宋体" w:eastAsia="宋体" w:cs="Calibri"/>
                <w:szCs w:val="21"/>
              </w:rPr>
              <w:t>除磋商文件规定必须提供以外，供应商认为需要提供的其他证明材料；</w:t>
            </w:r>
          </w:p>
          <w:p w14:paraId="77DAEA3C">
            <w:pPr>
              <w:snapToGrid w:val="0"/>
              <w:spacing w:line="360" w:lineRule="auto"/>
              <w:jc w:val="left"/>
              <w:rPr>
                <w:rFonts w:hint="eastAsia" w:ascii="宋体" w:hAnsi="宋体" w:eastAsia="宋体" w:cs="Calibri"/>
                <w:b/>
                <w:szCs w:val="21"/>
              </w:rPr>
            </w:pPr>
            <w:r>
              <w:rPr>
                <w:rFonts w:hint="eastAsia" w:ascii="宋体" w:hAnsi="宋体" w:eastAsia="宋体" w:cs="Calibri"/>
                <w:b/>
                <w:szCs w:val="21"/>
              </w:rPr>
              <w:t>注：</w:t>
            </w:r>
          </w:p>
          <w:p w14:paraId="2458F270">
            <w:pPr>
              <w:pStyle w:val="19"/>
              <w:wordWrap w:val="0"/>
              <w:spacing w:line="360" w:lineRule="auto"/>
              <w:ind w:firstLine="422" w:firstLineChars="200"/>
              <w:rPr>
                <w:rFonts w:hint="eastAsia" w:ascii="宋体" w:hAnsi="宋体" w:eastAsia="宋体" w:cs="等线"/>
                <w:b/>
                <w:bCs/>
                <w:szCs w:val="21"/>
                <w:lang w:val="en-US"/>
              </w:rPr>
            </w:pPr>
            <w:r>
              <w:rPr>
                <w:rFonts w:hint="eastAsia" w:ascii="宋体" w:hAnsi="宋体" w:eastAsia="宋体" w:cs="等线"/>
                <w:b/>
                <w:bCs/>
                <w:szCs w:val="21"/>
                <w:lang w:val="en-US"/>
              </w:rPr>
              <w:t>1.以上标明“必须提供”的材料属于复印件的，必须加盖供应商电子签章，否则响应文件按无效处理；</w:t>
            </w:r>
          </w:p>
          <w:p w14:paraId="0359893C">
            <w:pPr>
              <w:pStyle w:val="19"/>
              <w:wordWrap w:val="0"/>
              <w:spacing w:line="360" w:lineRule="auto"/>
              <w:ind w:firstLine="422" w:firstLineChars="200"/>
              <w:rPr>
                <w:rFonts w:hint="eastAsia" w:ascii="宋体" w:hAnsi="宋体" w:eastAsia="宋体" w:cs="等线"/>
                <w:b/>
                <w:bCs/>
                <w:szCs w:val="21"/>
                <w:lang w:val="en-US"/>
              </w:rPr>
            </w:pPr>
            <w:r>
              <w:rPr>
                <w:rFonts w:hint="eastAsia" w:ascii="宋体" w:hAnsi="宋体" w:eastAsia="宋体" w:cs="等线"/>
                <w:b/>
                <w:bCs/>
                <w:szCs w:val="21"/>
                <w:lang w:val="en-US"/>
              </w:rPr>
              <w:t>2.联合体竞标时，第1-5项资格证明文件联合体各方均必须分别提供，并由联合体牵头人加盖电子签章，规定签字处签字（或者电子签名），否则响应文件按无效处理；</w:t>
            </w:r>
          </w:p>
          <w:p w14:paraId="1CF26E68">
            <w:pPr>
              <w:pStyle w:val="19"/>
              <w:wordWrap w:val="0"/>
              <w:spacing w:line="360" w:lineRule="auto"/>
              <w:ind w:firstLine="422" w:firstLineChars="200"/>
              <w:rPr>
                <w:rFonts w:hint="eastAsia" w:ascii="宋体" w:hAnsi="宋体" w:eastAsia="宋体" w:cs="Calibri"/>
                <w:b/>
                <w:szCs w:val="21"/>
                <w:lang w:val="en-US"/>
              </w:rPr>
            </w:pPr>
            <w:r>
              <w:rPr>
                <w:rFonts w:hint="eastAsia" w:ascii="宋体" w:hAnsi="宋体" w:eastAsia="宋体" w:cs="等线"/>
                <w:b/>
                <w:bCs/>
                <w:szCs w:val="21"/>
                <w:lang w:val="en-US"/>
              </w:rPr>
              <w:t>3.分公司参加竞标的，应当取得总公司授权。</w:t>
            </w:r>
          </w:p>
        </w:tc>
      </w:tr>
      <w:tr w14:paraId="1F31D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2DDA950">
            <w:pPr>
              <w:spacing w:line="360" w:lineRule="auto"/>
              <w:rPr>
                <w:rFonts w:hint="eastAsia" w:ascii="宋体" w:hAnsi="宋体" w:eastAsia="宋体" w:cs="Calibri"/>
                <w:szCs w:val="21"/>
              </w:rPr>
            </w:pPr>
            <w:r>
              <w:rPr>
                <w:rFonts w:hint="eastAsia" w:ascii="宋体" w:hAnsi="宋体" w:eastAsia="宋体" w:cs="Calibri"/>
                <w:szCs w:val="21"/>
              </w:rPr>
              <w:t>12.1.2</w:t>
            </w:r>
          </w:p>
        </w:tc>
        <w:tc>
          <w:tcPr>
            <w:tcW w:w="8049" w:type="dxa"/>
            <w:vAlign w:val="center"/>
          </w:tcPr>
          <w:p w14:paraId="3CB555AD">
            <w:pPr>
              <w:spacing w:line="360" w:lineRule="auto"/>
              <w:rPr>
                <w:rFonts w:hint="eastAsia" w:ascii="宋体" w:hAnsi="宋体" w:eastAsia="宋体" w:cs="宋体"/>
                <w:b/>
                <w:bCs/>
              </w:rPr>
            </w:pPr>
            <w:r>
              <w:rPr>
                <w:rFonts w:hint="eastAsia" w:ascii="宋体" w:hAnsi="宋体" w:eastAsia="宋体" w:cs="宋体"/>
                <w:b/>
                <w:bCs/>
              </w:rPr>
              <w:t>报价文件</w:t>
            </w:r>
          </w:p>
          <w:p w14:paraId="13A4B22E">
            <w:pPr>
              <w:spacing w:line="360" w:lineRule="auto"/>
              <w:ind w:firstLine="420" w:firstLineChars="200"/>
              <w:rPr>
                <w:rFonts w:hint="eastAsia" w:ascii="宋体" w:hAnsi="宋体" w:eastAsia="宋体" w:cs="宋体"/>
                <w:b/>
                <w:bCs/>
              </w:rPr>
            </w:pPr>
            <w:r>
              <w:rPr>
                <w:rFonts w:hint="eastAsia" w:ascii="宋体" w:hAnsi="宋体" w:eastAsia="宋体" w:cs="宋体"/>
              </w:rPr>
              <w:t>1.竞标报价表（格式后附）；</w:t>
            </w:r>
            <w:r>
              <w:rPr>
                <w:rFonts w:hint="eastAsia" w:ascii="宋体" w:hAnsi="宋体" w:eastAsia="宋体" w:cs="宋体"/>
                <w:b/>
                <w:bCs/>
              </w:rPr>
              <w:t>（必须提供，否则响应文件按无效处理）</w:t>
            </w:r>
          </w:p>
          <w:p w14:paraId="30544A81">
            <w:pPr>
              <w:spacing w:line="360" w:lineRule="auto"/>
              <w:ind w:firstLine="420" w:firstLineChars="200"/>
              <w:rPr>
                <w:rFonts w:hint="eastAsia" w:ascii="宋体" w:hAnsi="宋体" w:eastAsia="宋体" w:cs="宋体"/>
              </w:rPr>
            </w:pPr>
            <w:r>
              <w:rPr>
                <w:rFonts w:hint="eastAsia" w:ascii="宋体" w:hAnsi="宋体" w:eastAsia="宋体" w:cs="宋体"/>
              </w:rPr>
              <w:t>2.供应商认为需要提供的其他有关资料。</w:t>
            </w:r>
          </w:p>
          <w:p w14:paraId="2CBB0EC1">
            <w:pPr>
              <w:spacing w:line="360" w:lineRule="auto"/>
              <w:rPr>
                <w:rFonts w:hint="eastAsia"/>
              </w:rPr>
            </w:pPr>
            <w:r>
              <w:rPr>
                <w:rFonts w:hint="eastAsia" w:ascii="宋体" w:hAnsi="宋体" w:eastAsia="宋体" w:cs="宋体"/>
                <w:b/>
                <w:bCs/>
                <w:szCs w:val="21"/>
              </w:rPr>
              <w:t>注：竞标报价表必须由法定代表人或者委托代理人在规定签章处逐一签字或者电子签名并加盖供应商公章，否则响应文件按无效响应处理。</w:t>
            </w:r>
          </w:p>
        </w:tc>
      </w:tr>
      <w:tr w14:paraId="558B2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72ECD0B">
            <w:pPr>
              <w:spacing w:line="360" w:lineRule="auto"/>
              <w:rPr>
                <w:rFonts w:hint="eastAsia" w:ascii="宋体" w:hAnsi="宋体" w:eastAsia="宋体" w:cs="Calibri"/>
                <w:szCs w:val="21"/>
              </w:rPr>
            </w:pPr>
            <w:r>
              <w:rPr>
                <w:rFonts w:hint="eastAsia" w:ascii="宋体" w:hAnsi="宋体" w:eastAsia="宋体" w:cs="Calibri"/>
                <w:szCs w:val="21"/>
              </w:rPr>
              <w:t>12.</w:t>
            </w:r>
            <w:r>
              <w:rPr>
                <w:rFonts w:ascii="宋体" w:hAnsi="宋体" w:eastAsia="宋体" w:cs="Calibri"/>
                <w:szCs w:val="21"/>
              </w:rPr>
              <w:t>1</w:t>
            </w:r>
            <w:r>
              <w:rPr>
                <w:rFonts w:hint="eastAsia" w:ascii="宋体" w:hAnsi="宋体" w:eastAsia="宋体" w:cs="Calibri"/>
                <w:szCs w:val="21"/>
              </w:rPr>
              <w:t>.3</w:t>
            </w:r>
          </w:p>
        </w:tc>
        <w:tc>
          <w:tcPr>
            <w:tcW w:w="8049" w:type="dxa"/>
            <w:vAlign w:val="center"/>
          </w:tcPr>
          <w:p w14:paraId="397D09D8">
            <w:pPr>
              <w:spacing w:line="360" w:lineRule="auto"/>
              <w:rPr>
                <w:rFonts w:hint="eastAsia" w:ascii="宋体" w:hAnsi="宋体" w:eastAsia="宋体" w:cs="Calibri"/>
                <w:b/>
                <w:bCs/>
                <w:szCs w:val="21"/>
              </w:rPr>
            </w:pPr>
            <w:r>
              <w:rPr>
                <w:rFonts w:hint="eastAsia" w:ascii="宋体" w:hAnsi="宋体" w:eastAsia="宋体" w:cs="Calibri"/>
                <w:b/>
                <w:bCs/>
                <w:szCs w:val="21"/>
              </w:rPr>
              <w:t>商务技术文件</w:t>
            </w:r>
          </w:p>
          <w:p w14:paraId="0CEF7E0F">
            <w:pPr>
              <w:spacing w:line="360" w:lineRule="auto"/>
              <w:ind w:firstLine="420" w:firstLineChars="200"/>
              <w:rPr>
                <w:rFonts w:hint="eastAsia" w:ascii="宋体" w:hAnsi="宋体" w:eastAsia="宋体" w:cs="Calibri"/>
                <w:b/>
                <w:bCs/>
                <w:szCs w:val="21"/>
              </w:rPr>
            </w:pPr>
            <w:r>
              <w:rPr>
                <w:rFonts w:hint="eastAsia" w:ascii="宋体" w:hAnsi="宋体" w:eastAsia="宋体" w:cs="Calibri"/>
                <w:szCs w:val="21"/>
              </w:rPr>
              <w:t>1.无串通竞标行为的承诺函（格式后附）；</w:t>
            </w:r>
            <w:r>
              <w:rPr>
                <w:rFonts w:hint="eastAsia" w:ascii="宋体" w:hAnsi="宋体" w:eastAsia="宋体" w:cs="Calibri"/>
                <w:b/>
                <w:bCs/>
                <w:szCs w:val="21"/>
              </w:rPr>
              <w:t>（必须提供，否则响应文件按无效响应处理）</w:t>
            </w:r>
          </w:p>
          <w:p w14:paraId="5AC3D014">
            <w:pPr>
              <w:snapToGrid w:val="0"/>
              <w:spacing w:line="360" w:lineRule="auto"/>
              <w:ind w:firstLine="420" w:firstLineChars="200"/>
              <w:jc w:val="left"/>
              <w:rPr>
                <w:rFonts w:hint="eastAsia" w:ascii="宋体" w:hAnsi="宋体" w:eastAsia="宋体" w:cs="Calibri"/>
                <w:b/>
                <w:bCs/>
                <w:szCs w:val="21"/>
              </w:rPr>
            </w:pPr>
            <w:r>
              <w:rPr>
                <w:rFonts w:hint="eastAsia" w:ascii="宋体" w:hAnsi="宋体" w:eastAsia="宋体" w:cs="Calibri"/>
                <w:szCs w:val="21"/>
              </w:rPr>
              <w:t>2.法定代表人身份证明书及法定代表人有效身份证正反面复印件（格式后附）；</w:t>
            </w:r>
            <w:r>
              <w:rPr>
                <w:rFonts w:hint="eastAsia" w:ascii="宋体" w:hAnsi="宋体" w:eastAsia="宋体" w:cs="Calibri"/>
                <w:b/>
                <w:bCs/>
                <w:szCs w:val="21"/>
              </w:rPr>
              <w:t>（除自然人竞标外必须提供，否则响应文件按无效响应处理）</w:t>
            </w:r>
          </w:p>
          <w:p w14:paraId="251265CF">
            <w:pPr>
              <w:spacing w:line="360" w:lineRule="auto"/>
              <w:ind w:firstLine="420" w:firstLineChars="200"/>
              <w:rPr>
                <w:rFonts w:hint="eastAsia" w:ascii="宋体" w:hAnsi="宋体" w:eastAsia="宋体" w:cs="Calibri"/>
                <w:b/>
                <w:bCs/>
                <w:szCs w:val="21"/>
              </w:rPr>
            </w:pPr>
            <w:r>
              <w:rPr>
                <w:rFonts w:hint="eastAsia" w:ascii="宋体" w:hAnsi="宋体" w:eastAsia="宋体" w:cs="Calibri"/>
                <w:szCs w:val="21"/>
              </w:rPr>
              <w:t>3.授权委托书及委托代理人有效身份证正反面复印件（格式后附）；</w:t>
            </w:r>
            <w:r>
              <w:rPr>
                <w:rFonts w:hint="eastAsia" w:ascii="宋体" w:hAnsi="宋体" w:eastAsia="宋体" w:cs="Calibri"/>
                <w:b/>
                <w:bCs/>
                <w:szCs w:val="21"/>
              </w:rPr>
              <w:t>（委托时必须提供，否则响应文件按无效响应处理）</w:t>
            </w:r>
          </w:p>
          <w:p w14:paraId="4DD8882C">
            <w:pPr>
              <w:spacing w:line="360" w:lineRule="auto"/>
              <w:ind w:firstLine="420" w:firstLineChars="200"/>
              <w:rPr>
                <w:rFonts w:hint="eastAsia" w:ascii="宋体" w:hAnsi="宋体" w:eastAsia="宋体" w:cs="Calibri"/>
                <w:b/>
                <w:bCs/>
                <w:szCs w:val="21"/>
              </w:rPr>
            </w:pPr>
            <w:r>
              <w:rPr>
                <w:rFonts w:hint="eastAsia" w:ascii="宋体" w:hAnsi="宋体" w:eastAsia="宋体" w:cs="Calibri"/>
                <w:szCs w:val="21"/>
              </w:rPr>
              <w:t>4.磋商保证金提交凭证；</w:t>
            </w:r>
            <w:r>
              <w:rPr>
                <w:rFonts w:hint="eastAsia" w:ascii="宋体" w:hAnsi="宋体" w:eastAsia="宋体" w:cs="Calibri"/>
                <w:b/>
                <w:bCs/>
                <w:szCs w:val="21"/>
              </w:rPr>
              <w:t>（如本项目需交纳磋商保证金，则必须提供，否则响应文件按无效响应处理）</w:t>
            </w:r>
          </w:p>
          <w:p w14:paraId="06ECCEE3">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5.商务要求偏离表（格式后附）；</w:t>
            </w:r>
            <w:r>
              <w:rPr>
                <w:rFonts w:hint="eastAsia" w:ascii="宋体" w:hAnsi="宋体" w:eastAsia="宋体" w:cs="Calibri"/>
                <w:b/>
                <w:bCs/>
                <w:szCs w:val="21"/>
              </w:rPr>
              <w:t>（必须提供，否则响应文件按无效响应处理）</w:t>
            </w:r>
          </w:p>
          <w:p w14:paraId="45C99835">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6.服务方案（格式自拟）；</w:t>
            </w:r>
          </w:p>
          <w:p w14:paraId="61E0F681">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7.技术要求偏离表（格式后附）；</w:t>
            </w:r>
            <w:r>
              <w:rPr>
                <w:rFonts w:hint="eastAsia" w:ascii="宋体" w:hAnsi="宋体" w:eastAsia="宋体" w:cs="Calibri"/>
                <w:b/>
                <w:bCs/>
                <w:szCs w:val="21"/>
              </w:rPr>
              <w:t>（必须提供，否则响应文件按无效响应处理）</w:t>
            </w:r>
          </w:p>
          <w:p w14:paraId="0E5D971F">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 xml:space="preserve">8.项目实施人员一览表（格式自拟）； </w:t>
            </w:r>
          </w:p>
          <w:p w14:paraId="377B3516">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9.对应采购需求的技术要求、商务要求提供的其他文件资料（格式自拟）；</w:t>
            </w:r>
          </w:p>
          <w:p w14:paraId="0CB06902">
            <w:pPr>
              <w:spacing w:line="360" w:lineRule="auto"/>
              <w:ind w:firstLine="420" w:firstLineChars="200"/>
              <w:rPr>
                <w:rFonts w:hint="eastAsia" w:ascii="宋体" w:hAnsi="宋体" w:eastAsia="宋体" w:cs="Calibri"/>
                <w:szCs w:val="21"/>
              </w:rPr>
            </w:pPr>
            <w:r>
              <w:rPr>
                <w:rFonts w:ascii="宋体" w:hAnsi="宋体" w:eastAsia="宋体" w:cs="Calibri"/>
                <w:szCs w:val="21"/>
              </w:rPr>
              <w:t>1</w:t>
            </w:r>
            <w:r>
              <w:rPr>
                <w:rFonts w:hint="eastAsia" w:ascii="宋体" w:hAnsi="宋体" w:eastAsia="宋体" w:cs="Calibri"/>
                <w:szCs w:val="21"/>
              </w:rPr>
              <w:t>0.供应商认为需要提供的其他有关资料。</w:t>
            </w:r>
          </w:p>
          <w:p w14:paraId="66B9274C">
            <w:pPr>
              <w:snapToGrid w:val="0"/>
              <w:spacing w:line="360" w:lineRule="auto"/>
              <w:jc w:val="left"/>
              <w:rPr>
                <w:rFonts w:hint="eastAsia" w:ascii="宋体" w:hAnsi="宋体" w:eastAsia="宋体" w:cs="Calibri"/>
                <w:b/>
                <w:szCs w:val="21"/>
              </w:rPr>
            </w:pPr>
            <w:r>
              <w:rPr>
                <w:rFonts w:hint="eastAsia" w:ascii="宋体" w:hAnsi="宋体" w:eastAsia="宋体" w:cs="Calibri"/>
                <w:b/>
                <w:szCs w:val="21"/>
              </w:rPr>
              <w:t>注：</w:t>
            </w:r>
          </w:p>
          <w:p w14:paraId="682589F0">
            <w:pPr>
              <w:pStyle w:val="19"/>
              <w:wordWrap w:val="0"/>
              <w:spacing w:line="360" w:lineRule="auto"/>
              <w:ind w:firstLine="422" w:firstLineChars="200"/>
              <w:rPr>
                <w:rFonts w:hint="eastAsia" w:ascii="宋体" w:hAnsi="宋体" w:eastAsia="宋体" w:cs="等线"/>
                <w:b/>
                <w:bCs/>
                <w:szCs w:val="21"/>
                <w:lang w:val="en-US"/>
              </w:rPr>
            </w:pPr>
            <w:r>
              <w:rPr>
                <w:rFonts w:hint="eastAsia" w:ascii="宋体" w:hAnsi="宋体" w:eastAsia="宋体" w:cs="等线"/>
                <w:b/>
                <w:bCs/>
                <w:szCs w:val="21"/>
                <w:lang w:val="en-US"/>
              </w:rPr>
              <w:t>1.法定代表人授权委托书必须由法定代表人及委托代理人签字或签章，并加盖供应商电子签章，否则响应文件按无效响应处理；</w:t>
            </w:r>
          </w:p>
          <w:p w14:paraId="0329BBA5">
            <w:pPr>
              <w:pStyle w:val="19"/>
              <w:wordWrap w:val="0"/>
              <w:spacing w:line="360" w:lineRule="auto"/>
              <w:ind w:firstLine="422" w:firstLineChars="200"/>
              <w:rPr>
                <w:rFonts w:hint="eastAsia" w:ascii="宋体" w:hAnsi="宋体" w:eastAsia="宋体" w:cs="等线"/>
                <w:b/>
                <w:bCs/>
                <w:szCs w:val="21"/>
                <w:lang w:val="en-US"/>
              </w:rPr>
            </w:pPr>
            <w:r>
              <w:rPr>
                <w:rFonts w:hint="eastAsia" w:ascii="宋体" w:hAnsi="宋体" w:eastAsia="宋体" w:cs="等线"/>
                <w:b/>
                <w:bCs/>
                <w:szCs w:val="21"/>
                <w:lang w:val="en-US"/>
              </w:rPr>
              <w:t>2.以上标明“必须提供”的材料属于复印件的，必须加盖供应商电子签章，否则响应文件按无效响应处理；</w:t>
            </w:r>
          </w:p>
          <w:p w14:paraId="73105B4A">
            <w:pPr>
              <w:pStyle w:val="19"/>
              <w:wordWrap w:val="0"/>
              <w:spacing w:line="360" w:lineRule="auto"/>
              <w:ind w:firstLine="422" w:firstLineChars="200"/>
              <w:rPr>
                <w:rFonts w:hint="eastAsia" w:ascii="宋体" w:hAnsi="宋体" w:eastAsia="宋体" w:cs="Calibri"/>
                <w:b/>
                <w:szCs w:val="21"/>
              </w:rPr>
            </w:pPr>
            <w:r>
              <w:rPr>
                <w:rFonts w:hint="eastAsia" w:ascii="宋体" w:hAnsi="宋体" w:eastAsia="宋体" w:cs="等线"/>
                <w:b/>
                <w:bCs/>
                <w:szCs w:val="21"/>
                <w:lang w:val="en-US"/>
              </w:rPr>
              <w:t>3.以上材料未附格式的，由供应商自行拟定。</w:t>
            </w:r>
          </w:p>
        </w:tc>
      </w:tr>
      <w:tr w14:paraId="4BC32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69CFE87">
            <w:pPr>
              <w:spacing w:line="360" w:lineRule="auto"/>
              <w:rPr>
                <w:rFonts w:hint="eastAsia" w:ascii="宋体" w:hAnsi="宋体" w:eastAsia="宋体" w:cs="Calibri"/>
                <w:szCs w:val="21"/>
              </w:rPr>
            </w:pPr>
            <w:r>
              <w:rPr>
                <w:rFonts w:hint="eastAsia" w:ascii="宋体" w:hAnsi="宋体" w:eastAsia="宋体" w:cs="Calibri"/>
                <w:szCs w:val="21"/>
              </w:rPr>
              <w:t>15.2</w:t>
            </w:r>
          </w:p>
        </w:tc>
        <w:tc>
          <w:tcPr>
            <w:tcW w:w="8049" w:type="dxa"/>
            <w:vAlign w:val="center"/>
          </w:tcPr>
          <w:p w14:paraId="5FDD66F2">
            <w:pPr>
              <w:spacing w:line="360" w:lineRule="auto"/>
              <w:ind w:firstLine="422"/>
              <w:contextualSpacing/>
              <w:jc w:val="left"/>
              <w:rPr>
                <w:rFonts w:hint="eastAsia" w:ascii="宋体" w:hAnsi="宋体" w:eastAsia="宋体" w:cs="Calibri"/>
                <w:szCs w:val="21"/>
              </w:rPr>
            </w:pPr>
            <w:r>
              <w:rPr>
                <w:rFonts w:hint="eastAsia" w:ascii="宋体" w:hAnsi="宋体" w:eastAsia="宋体" w:cs="Calibri"/>
                <w:szCs w:val="21"/>
              </w:rPr>
              <w:t>竞标报价是履行合同的最终价格，即满足全部采购需求所应提供的服务的价格；服务费、保险费、交通费、税费、耗材、资料费、人工费、验收等费用。</w:t>
            </w:r>
          </w:p>
        </w:tc>
      </w:tr>
      <w:tr w14:paraId="1C03E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9A05AB8">
            <w:pPr>
              <w:spacing w:line="360" w:lineRule="auto"/>
              <w:rPr>
                <w:rFonts w:hint="eastAsia" w:ascii="宋体" w:hAnsi="宋体" w:eastAsia="宋体" w:cs="Calibri"/>
                <w:szCs w:val="21"/>
              </w:rPr>
            </w:pPr>
            <w:r>
              <w:rPr>
                <w:rFonts w:hint="eastAsia" w:ascii="宋体" w:hAnsi="宋体" w:eastAsia="宋体" w:cs="Calibri"/>
                <w:szCs w:val="21"/>
              </w:rPr>
              <w:t>16.</w:t>
            </w:r>
            <w:r>
              <w:rPr>
                <w:rFonts w:ascii="宋体" w:hAnsi="宋体" w:eastAsia="宋体" w:cs="Calibri"/>
                <w:szCs w:val="21"/>
              </w:rPr>
              <w:t>2</w:t>
            </w:r>
          </w:p>
        </w:tc>
        <w:tc>
          <w:tcPr>
            <w:tcW w:w="8049" w:type="dxa"/>
            <w:vAlign w:val="center"/>
          </w:tcPr>
          <w:p w14:paraId="37C502A9">
            <w:pPr>
              <w:pStyle w:val="15"/>
              <w:widowControl w:val="0"/>
              <w:tabs>
                <w:tab w:val="clear" w:pos="454"/>
              </w:tabs>
              <w:snapToGrid w:val="0"/>
              <w:spacing w:afterLines="0" w:line="360" w:lineRule="auto"/>
              <w:ind w:left="283" w:hanging="283" w:hangingChars="135"/>
              <w:rPr>
                <w:rFonts w:hint="eastAsia" w:ascii="宋体" w:hAnsi="宋体" w:eastAsia="宋体" w:cs="Calibri"/>
                <w:kern w:val="2"/>
                <w:sz w:val="21"/>
                <w:szCs w:val="21"/>
              </w:rPr>
            </w:pPr>
            <w:r>
              <w:rPr>
                <w:rFonts w:hint="eastAsia" w:ascii="宋体" w:hAnsi="宋体" w:eastAsia="宋体" w:cs="Calibri"/>
                <w:kern w:val="2"/>
                <w:sz w:val="21"/>
                <w:szCs w:val="21"/>
              </w:rPr>
              <w:t>竞标有效期：自首次响应文件提交截止之日起</w:t>
            </w:r>
            <w:r>
              <w:rPr>
                <w:rFonts w:ascii="宋体" w:hAnsi="宋体" w:eastAsia="宋体" w:cs="Calibri"/>
                <w:kern w:val="2"/>
                <w:sz w:val="21"/>
                <w:szCs w:val="21"/>
                <w:u w:val="single"/>
              </w:rPr>
              <w:t xml:space="preserve"> 90</w:t>
            </w:r>
            <w:r>
              <w:rPr>
                <w:rFonts w:hint="eastAsia" w:ascii="宋体" w:hAnsi="宋体" w:eastAsia="宋体" w:cs="Calibri"/>
                <w:kern w:val="2"/>
                <w:sz w:val="21"/>
                <w:szCs w:val="21"/>
              </w:rPr>
              <w:t>日。</w:t>
            </w:r>
          </w:p>
        </w:tc>
      </w:tr>
      <w:tr w14:paraId="0AF4C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BF3242B">
            <w:pPr>
              <w:spacing w:line="360" w:lineRule="auto"/>
              <w:rPr>
                <w:rFonts w:hint="eastAsia" w:ascii="宋体" w:hAnsi="宋体" w:eastAsia="宋体" w:cs="Calibri"/>
                <w:szCs w:val="21"/>
              </w:rPr>
            </w:pPr>
            <w:r>
              <w:rPr>
                <w:rFonts w:hint="eastAsia" w:ascii="宋体" w:hAnsi="宋体" w:eastAsia="宋体" w:cs="Calibri"/>
                <w:szCs w:val="21"/>
              </w:rPr>
              <w:t>17.1</w:t>
            </w:r>
          </w:p>
        </w:tc>
        <w:tc>
          <w:tcPr>
            <w:tcW w:w="8049" w:type="dxa"/>
            <w:vAlign w:val="center"/>
          </w:tcPr>
          <w:p w14:paraId="19BF6130">
            <w:pPr>
              <w:autoSpaceDE w:val="0"/>
              <w:autoSpaceDN w:val="0"/>
              <w:snapToGrid w:val="0"/>
              <w:spacing w:line="360" w:lineRule="auto"/>
              <w:textAlignment w:val="bottom"/>
              <w:rPr>
                <w:rFonts w:hint="eastAsia" w:ascii="宋体" w:hAnsi="宋体" w:eastAsia="宋体"/>
                <w:szCs w:val="21"/>
              </w:rPr>
            </w:pPr>
            <w:r>
              <w:rPr>
                <w:rFonts w:hint="eastAsia" w:ascii="Segoe UI Emoji" w:hAnsi="Segoe UI Emoji" w:eastAsia="宋体" w:cs="Segoe UI Emoji"/>
                <w:szCs w:val="21"/>
              </w:rPr>
              <w:t>□</w:t>
            </w:r>
            <w:r>
              <w:rPr>
                <w:rFonts w:hint="eastAsia" w:ascii="宋体" w:hAnsi="宋体" w:eastAsia="宋体"/>
                <w:szCs w:val="21"/>
              </w:rPr>
              <w:t>本项目不收取磋商保证金。</w:t>
            </w:r>
          </w:p>
          <w:p w14:paraId="5E002090">
            <w:pPr>
              <w:snapToGrid w:val="0"/>
              <w:spacing w:line="360" w:lineRule="auto"/>
              <w:rPr>
                <w:rFonts w:hint="eastAsia" w:ascii="宋体" w:hAnsi="宋体" w:eastAsia="宋体"/>
                <w:b/>
                <w:bCs/>
                <w:szCs w:val="21"/>
              </w:rPr>
            </w:pPr>
            <w:r>
              <w:rPr>
                <w:rFonts w:hint="eastAsia" w:ascii="宋体" w:hAnsi="宋体" w:eastAsia="宋体"/>
                <w:b/>
                <w:bCs/>
                <w:szCs w:val="21"/>
              </w:rPr>
              <w:sym w:font="Wingdings 2" w:char="0052"/>
            </w:r>
            <w:r>
              <w:rPr>
                <w:rFonts w:hint="eastAsia" w:ascii="宋体" w:hAnsi="宋体" w:eastAsia="宋体"/>
                <w:b/>
                <w:bCs/>
                <w:szCs w:val="21"/>
              </w:rPr>
              <w:t>本项目收取磋商保证金，具体规定如下：</w:t>
            </w:r>
          </w:p>
          <w:p w14:paraId="45EE2202">
            <w:pPr>
              <w:spacing w:line="360" w:lineRule="auto"/>
              <w:ind w:firstLine="420" w:firstLineChars="200"/>
              <w:rPr>
                <w:rFonts w:hint="eastAsia" w:ascii="宋体" w:hAnsi="宋体" w:eastAsia="宋体" w:cs="Tahoma"/>
                <w:kern w:val="0"/>
                <w:szCs w:val="21"/>
              </w:rPr>
            </w:pPr>
            <w:r>
              <w:rPr>
                <w:rFonts w:hint="eastAsia" w:ascii="宋体" w:hAnsi="宋体" w:eastAsia="宋体" w:cs="Calibri"/>
                <w:kern w:val="0"/>
                <w:szCs w:val="21"/>
              </w:rPr>
              <w:t>磋商保证金（人民币）：</w:t>
            </w:r>
            <w:r>
              <w:rPr>
                <w:rFonts w:hint="eastAsia" w:ascii="宋体" w:hAnsi="宋体" w:eastAsia="宋体" w:cs="Calibri"/>
                <w:b/>
                <w:bCs/>
                <w:kern w:val="0"/>
                <w:szCs w:val="21"/>
              </w:rPr>
              <w:t>壹万元整（¥10000.00）</w:t>
            </w:r>
            <w:r>
              <w:rPr>
                <w:rFonts w:hint="eastAsia" w:ascii="宋体" w:hAnsi="宋体" w:eastAsia="宋体" w:cs="Tahoma"/>
                <w:kern w:val="0"/>
                <w:szCs w:val="21"/>
              </w:rPr>
              <w:t>。</w:t>
            </w:r>
          </w:p>
          <w:p w14:paraId="5B9B7D91">
            <w:pPr>
              <w:spacing w:line="360" w:lineRule="auto"/>
              <w:ind w:firstLine="424" w:firstLineChars="202"/>
              <w:rPr>
                <w:rFonts w:hint="eastAsia" w:ascii="宋体" w:hAnsi="宋体" w:eastAsia="宋体" w:cs="Tahoma"/>
                <w:kern w:val="0"/>
                <w:szCs w:val="21"/>
              </w:rPr>
            </w:pPr>
            <w:r>
              <w:rPr>
                <w:rFonts w:hint="eastAsia" w:ascii="宋体" w:hAnsi="宋体" w:eastAsia="宋体" w:cs="Tahoma"/>
                <w:kern w:val="0"/>
                <w:szCs w:val="21"/>
              </w:rPr>
              <w:t>磋商保证金的交纳方式：银行转账、支票、汇票、本票，禁止采用现钞方式。采用银行转账方式的，在首次响应文件提交截止时间前交至采购代理机构指定账户并且到账【开户名称：广西交投宏冠工程咨询有限公司，开户银行：中国工商银行股份有限公司南宁市滨湖中支行，银行账号：9558852102002342815】；采用支票、汇票、本票的，在磋商截止时间前，供应商应当递交单独密封的支票、汇票、本票，否则视为无效磋商保证金。</w:t>
            </w:r>
          </w:p>
          <w:p w14:paraId="772D1185">
            <w:pPr>
              <w:snapToGrid w:val="0"/>
              <w:spacing w:line="360" w:lineRule="auto"/>
              <w:ind w:firstLine="422"/>
              <w:rPr>
                <w:rFonts w:hint="eastAsia" w:ascii="宋体" w:hAnsi="宋体" w:eastAsia="宋体" w:cs="Calibri"/>
                <w:szCs w:val="21"/>
              </w:rPr>
            </w:pPr>
            <w:r>
              <w:rPr>
                <w:rFonts w:hint="eastAsia" w:ascii="宋体" w:hAnsi="宋体" w:eastAsia="宋体" w:cs="Calibri"/>
                <w:szCs w:val="21"/>
              </w:rPr>
              <w:t>相关要求：</w:t>
            </w:r>
          </w:p>
          <w:p w14:paraId="17060019">
            <w:pPr>
              <w:snapToGrid w:val="0"/>
              <w:spacing w:line="360" w:lineRule="auto"/>
              <w:ind w:firstLine="422"/>
              <w:rPr>
                <w:rFonts w:hint="eastAsia" w:ascii="宋体" w:hAnsi="宋体" w:eastAsia="宋体" w:cs="Calibri"/>
                <w:szCs w:val="21"/>
              </w:rPr>
            </w:pPr>
            <w:r>
              <w:rPr>
                <w:rFonts w:hint="eastAsia" w:ascii="宋体" w:hAnsi="宋体" w:eastAsia="宋体" w:cs="Calibri"/>
                <w:szCs w:val="21"/>
              </w:rPr>
              <w:t>1.磋商保证金采用银行转账交纳方式的，在响应文件提交截止时间前交至指定账户并且到账，供应商转帐时请在银行转账底单备注“</w:t>
            </w:r>
            <w:r>
              <w:rPr>
                <w:rFonts w:hint="eastAsia" w:ascii="宋体" w:hAnsi="宋体" w:eastAsia="宋体" w:cs="Calibri"/>
                <w:b/>
                <w:bCs/>
                <w:szCs w:val="21"/>
              </w:rPr>
              <w:t>（项目编号）磋商保证金</w:t>
            </w:r>
            <w:r>
              <w:rPr>
                <w:rFonts w:hint="eastAsia" w:ascii="宋体" w:hAnsi="宋体" w:eastAsia="宋体" w:cs="Calibri"/>
                <w:szCs w:val="21"/>
              </w:rPr>
              <w:t>”，供应商应将银行转账底单的复印件作为磋商保证金提交凭证，放置于商务技术文件中，</w:t>
            </w:r>
            <w:r>
              <w:rPr>
                <w:rFonts w:hint="eastAsia" w:ascii="宋体" w:hAnsi="宋体" w:eastAsia="宋体" w:cs="Calibri"/>
                <w:b/>
                <w:szCs w:val="21"/>
              </w:rPr>
              <w:t>否则响应文件按无效响应处理</w:t>
            </w:r>
            <w:r>
              <w:rPr>
                <w:rFonts w:hint="eastAsia" w:ascii="宋体" w:hAnsi="宋体" w:eastAsia="宋体" w:cs="Calibri"/>
                <w:szCs w:val="21"/>
              </w:rPr>
              <w:t>。</w:t>
            </w:r>
          </w:p>
          <w:p w14:paraId="5C3E7E65">
            <w:pPr>
              <w:snapToGrid w:val="0"/>
              <w:spacing w:line="360" w:lineRule="auto"/>
              <w:ind w:firstLine="422"/>
              <w:rPr>
                <w:rFonts w:hint="eastAsia" w:ascii="宋体" w:hAnsi="宋体" w:eastAsia="宋体"/>
                <w:szCs w:val="21"/>
              </w:rPr>
            </w:pPr>
            <w:r>
              <w:rPr>
                <w:rFonts w:hint="eastAsia" w:ascii="宋体" w:hAnsi="宋体" w:eastAsia="宋体"/>
                <w:szCs w:val="21"/>
              </w:rPr>
              <w:t>2.磋商保证金采用支票、汇票、本票或者银行、保险机构出具的保函交纳方式的，供应商应将支票、汇票、本票或者银行、保险机构出具的保函的复印件作为磋商保证金提交凭证，放置于</w:t>
            </w:r>
            <w:r>
              <w:rPr>
                <w:rFonts w:hint="eastAsia" w:ascii="宋体" w:hAnsi="宋体" w:eastAsia="宋体" w:cs="Calibri"/>
                <w:szCs w:val="21"/>
              </w:rPr>
              <w:t>商务技术文件</w:t>
            </w:r>
            <w:r>
              <w:rPr>
                <w:rFonts w:hint="eastAsia" w:ascii="宋体" w:hAnsi="宋体" w:eastAsia="宋体"/>
                <w:szCs w:val="21"/>
              </w:rPr>
              <w:t>中，</w:t>
            </w:r>
            <w:r>
              <w:rPr>
                <w:rFonts w:hint="eastAsia" w:ascii="宋体" w:hAnsi="宋体" w:eastAsia="宋体" w:cs="Calibri"/>
                <w:b/>
                <w:szCs w:val="21"/>
              </w:rPr>
              <w:t>否则响应文件按无效处理</w:t>
            </w:r>
            <w:r>
              <w:rPr>
                <w:rFonts w:hint="eastAsia" w:ascii="宋体" w:hAnsi="宋体" w:eastAsia="宋体"/>
                <w:szCs w:val="21"/>
              </w:rPr>
              <w:t>。供应商必须</w:t>
            </w:r>
            <w:r>
              <w:rPr>
                <w:rFonts w:hint="eastAsia" w:ascii="宋体" w:hAnsi="宋体" w:eastAsia="宋体"/>
              </w:rPr>
              <w:t>在响应文件提交截止时间前采用现场或邮寄方式（现场提交或邮寄地址：</w:t>
            </w:r>
            <w:r>
              <w:rPr>
                <w:rFonts w:hint="eastAsia" w:ascii="宋体" w:hAnsi="宋体" w:eastAsia="宋体"/>
                <w:u w:val="single"/>
              </w:rPr>
              <w:t>/</w:t>
            </w:r>
            <w:r>
              <w:rPr>
                <w:rFonts w:hint="eastAsia" w:ascii="宋体" w:hAnsi="宋体" w:eastAsia="宋体"/>
              </w:rPr>
              <w:t>，收件人：</w:t>
            </w:r>
            <w:r>
              <w:rPr>
                <w:rFonts w:hint="eastAsia" w:ascii="宋体" w:hAnsi="宋体" w:eastAsia="宋体" w:cs="Tahoma"/>
                <w:kern w:val="0"/>
                <w:szCs w:val="21"/>
                <w:u w:val="single"/>
              </w:rPr>
              <w:t>/</w:t>
            </w:r>
            <w:r>
              <w:rPr>
                <w:rFonts w:ascii="宋体" w:hAnsi="宋体" w:eastAsia="宋体"/>
                <w:u w:val="single"/>
              </w:rPr>
              <w:t xml:space="preserve"> </w:t>
            </w:r>
            <w:r>
              <w:rPr>
                <w:rFonts w:hint="eastAsia" w:ascii="宋体" w:hAnsi="宋体" w:eastAsia="宋体"/>
              </w:rPr>
              <w:t>，联系方式：</w:t>
            </w:r>
            <w:r>
              <w:rPr>
                <w:rFonts w:hint="eastAsia" w:ascii="宋体" w:hAnsi="宋体" w:eastAsia="宋体" w:cs="Tahoma"/>
                <w:kern w:val="0"/>
                <w:szCs w:val="21"/>
                <w:u w:val="single"/>
              </w:rPr>
              <w:t>/</w:t>
            </w:r>
            <w:r>
              <w:rPr>
                <w:rFonts w:hint="eastAsia" w:ascii="宋体" w:hAnsi="宋体" w:eastAsia="宋体"/>
              </w:rPr>
              <w:t>）</w:t>
            </w:r>
            <w:r>
              <w:rPr>
                <w:rFonts w:hint="eastAsia" w:ascii="宋体" w:hAnsi="宋体" w:eastAsia="宋体"/>
                <w:szCs w:val="21"/>
              </w:rPr>
              <w:t>将</w:t>
            </w:r>
            <w:r>
              <w:rPr>
                <w:rFonts w:hint="eastAsia" w:ascii="宋体" w:hAnsi="宋体" w:eastAsia="宋体" w:cs="Calibri"/>
                <w:kern w:val="0"/>
                <w:szCs w:val="21"/>
              </w:rPr>
              <w:t>单独密封的</w:t>
            </w:r>
            <w:r>
              <w:rPr>
                <w:rFonts w:hint="eastAsia" w:ascii="宋体" w:hAnsi="宋体" w:eastAsia="宋体"/>
                <w:szCs w:val="21"/>
              </w:rPr>
              <w:t>支票、汇票、本票或者银行、保险机构出具的保函原件提交给采购人或者采购代理机构，由采购人或者采购代理机构向供应商出具回执（邮寄方式的除外），并妥善保管。</w:t>
            </w:r>
          </w:p>
          <w:p w14:paraId="6483D530">
            <w:pPr>
              <w:snapToGrid w:val="0"/>
              <w:spacing w:line="360" w:lineRule="auto"/>
              <w:ind w:firstLine="422"/>
              <w:rPr>
                <w:rFonts w:hint="eastAsia" w:ascii="宋体" w:hAnsi="宋体" w:eastAsia="宋体" w:cs="Calibri"/>
                <w:b/>
                <w:szCs w:val="21"/>
              </w:rPr>
            </w:pPr>
            <w:r>
              <w:rPr>
                <w:rFonts w:hint="eastAsia" w:ascii="宋体" w:hAnsi="宋体" w:eastAsia="宋体" w:cs="Calibri"/>
                <w:szCs w:val="21"/>
              </w:rPr>
              <w:t>3.供应商为联合体的，可以由联合体中的一方或者多方共同交纳磋商保证金，其交纳的保证金对联合体各方均具有约束力。</w:t>
            </w:r>
          </w:p>
          <w:p w14:paraId="30966CE1">
            <w:pPr>
              <w:snapToGrid w:val="0"/>
              <w:spacing w:line="360" w:lineRule="auto"/>
              <w:rPr>
                <w:rFonts w:hint="eastAsia" w:ascii="宋体" w:hAnsi="宋体" w:eastAsia="宋体" w:cs="Calibri"/>
                <w:b/>
                <w:szCs w:val="21"/>
              </w:rPr>
            </w:pPr>
            <w:r>
              <w:rPr>
                <w:rFonts w:hint="eastAsia" w:ascii="宋体" w:hAnsi="宋体" w:eastAsia="宋体" w:cs="Calibri"/>
                <w:b/>
                <w:szCs w:val="21"/>
              </w:rPr>
              <w:t xml:space="preserve">注： </w:t>
            </w:r>
          </w:p>
          <w:p w14:paraId="15DBB06F">
            <w:pPr>
              <w:snapToGrid w:val="0"/>
              <w:spacing w:line="360" w:lineRule="auto"/>
              <w:ind w:firstLine="422" w:firstLineChars="200"/>
              <w:rPr>
                <w:rFonts w:hint="eastAsia" w:ascii="宋体" w:hAnsi="宋体" w:eastAsia="宋体" w:cs="Calibri"/>
                <w:b/>
                <w:szCs w:val="21"/>
              </w:rPr>
            </w:pPr>
            <w:r>
              <w:rPr>
                <w:rFonts w:hint="eastAsia" w:ascii="宋体" w:hAnsi="宋体" w:eastAsia="宋体" w:cs="Calibri"/>
                <w:b/>
                <w:szCs w:val="21"/>
              </w:rPr>
              <w:t>1.磋商保证金在响应文件提交截止时间后提交的，或者不按规定交纳方式交纳的，或者未足额交纳的（包含保函额度不足的），视为无效磋商保证金（办理磋商保证金手续时，请务必在银行进帐单或电汇单的用途或空白栏上注明项目名称、项目编号及分标号（如有），以免耽误竞标）；</w:t>
            </w:r>
          </w:p>
          <w:p w14:paraId="280C4ABF">
            <w:pPr>
              <w:snapToGrid w:val="0"/>
              <w:spacing w:line="360" w:lineRule="auto"/>
              <w:ind w:firstLine="422" w:firstLineChars="200"/>
              <w:rPr>
                <w:rFonts w:hint="eastAsia" w:ascii="宋体" w:hAnsi="宋体" w:eastAsia="宋体" w:cs="Calibri"/>
                <w:b/>
                <w:szCs w:val="21"/>
              </w:rPr>
            </w:pPr>
            <w:r>
              <w:rPr>
                <w:rFonts w:hint="eastAsia" w:ascii="宋体" w:hAnsi="宋体" w:eastAsia="宋体" w:cs="Calibri"/>
                <w:b/>
                <w:szCs w:val="21"/>
              </w:rPr>
              <w:t>2.供应商采用现钞方式或者从个人账户（自然人竞标除外）转出的磋商保证金，视为无效磋商保证金；</w:t>
            </w:r>
          </w:p>
          <w:p w14:paraId="7A9C529B">
            <w:pPr>
              <w:snapToGrid w:val="0"/>
              <w:spacing w:line="360" w:lineRule="auto"/>
              <w:ind w:firstLine="422" w:firstLineChars="200"/>
              <w:rPr>
                <w:rFonts w:hint="eastAsia" w:ascii="宋体" w:hAnsi="宋体" w:eastAsia="宋体" w:cs="Calibri"/>
                <w:b/>
                <w:szCs w:val="21"/>
              </w:rPr>
            </w:pPr>
            <w:r>
              <w:rPr>
                <w:rFonts w:hint="eastAsia" w:ascii="宋体" w:hAnsi="宋体" w:eastAsia="宋体" w:cs="Calibri"/>
                <w:b/>
                <w:szCs w:val="21"/>
              </w:rPr>
              <w:t>3.支票、汇票或者本票出现无效或者背书情形的，视为无效磋商保证金；</w:t>
            </w:r>
          </w:p>
          <w:p w14:paraId="5A1A009D">
            <w:pPr>
              <w:snapToGrid w:val="0"/>
              <w:spacing w:line="360" w:lineRule="auto"/>
              <w:ind w:firstLine="422" w:firstLineChars="200"/>
              <w:rPr>
                <w:rFonts w:hint="eastAsia" w:ascii="宋体" w:hAnsi="宋体" w:eastAsia="宋体" w:cs="Calibri"/>
                <w:b/>
                <w:szCs w:val="21"/>
              </w:rPr>
            </w:pPr>
            <w:r>
              <w:rPr>
                <w:rFonts w:hint="eastAsia" w:ascii="宋体" w:hAnsi="宋体" w:eastAsia="宋体" w:cs="Calibri"/>
                <w:b/>
                <w:szCs w:val="21"/>
              </w:rPr>
              <w:t>4.保函有效期低于竞标有效期的，视为无效磋商保证金；</w:t>
            </w:r>
          </w:p>
          <w:p w14:paraId="32966E10">
            <w:pPr>
              <w:snapToGrid w:val="0"/>
              <w:spacing w:line="360" w:lineRule="auto"/>
              <w:ind w:firstLine="422" w:firstLineChars="200"/>
              <w:rPr>
                <w:rFonts w:hint="eastAsia" w:ascii="宋体" w:hAnsi="宋体" w:eastAsia="宋体" w:cs="Calibri"/>
                <w:b/>
                <w:szCs w:val="21"/>
              </w:rPr>
            </w:pPr>
            <w:r>
              <w:rPr>
                <w:rFonts w:hint="eastAsia" w:ascii="宋体" w:hAnsi="宋体" w:eastAsia="宋体" w:cs="Calibri"/>
                <w:b/>
                <w:szCs w:val="21"/>
              </w:rPr>
              <w:t>5.采用银行、保险机构出具保函的，必须为无条件保函，否则视为无效磋商保证金；</w:t>
            </w:r>
          </w:p>
          <w:p w14:paraId="50092C49">
            <w:pPr>
              <w:snapToGrid w:val="0"/>
              <w:spacing w:line="360" w:lineRule="auto"/>
              <w:ind w:firstLine="422" w:firstLineChars="200"/>
              <w:rPr>
                <w:rFonts w:hint="eastAsia" w:ascii="宋体" w:hAnsi="宋体" w:eastAsia="宋体" w:cs="Calibri"/>
                <w:szCs w:val="21"/>
              </w:rPr>
            </w:pPr>
            <w:r>
              <w:rPr>
                <w:rFonts w:hint="eastAsia" w:ascii="宋体" w:hAnsi="宋体" w:eastAsia="宋体"/>
                <w:b/>
                <w:szCs w:val="21"/>
              </w:rPr>
              <w:t>6</w:t>
            </w:r>
            <w:r>
              <w:rPr>
                <w:rFonts w:ascii="宋体" w:hAnsi="宋体" w:eastAsia="宋体"/>
                <w:b/>
                <w:szCs w:val="21"/>
              </w:rPr>
              <w:t>.广西政府采购云平台</w:t>
            </w:r>
            <w:r>
              <w:rPr>
                <w:rFonts w:hint="eastAsia" w:ascii="宋体" w:hAnsi="宋体" w:eastAsia="宋体"/>
                <w:b/>
                <w:szCs w:val="21"/>
              </w:rPr>
              <w:t>暂未</w:t>
            </w:r>
            <w:r>
              <w:rPr>
                <w:rFonts w:ascii="宋体" w:hAnsi="宋体" w:eastAsia="宋体"/>
                <w:b/>
                <w:szCs w:val="21"/>
              </w:rPr>
              <w:t>支持电子保函功能</w:t>
            </w:r>
            <w:r>
              <w:rPr>
                <w:rFonts w:hint="eastAsia" w:ascii="宋体" w:hAnsi="宋体" w:eastAsia="宋体"/>
                <w:b/>
                <w:szCs w:val="21"/>
              </w:rPr>
              <w:t>，</w:t>
            </w:r>
            <w:r>
              <w:rPr>
                <w:rFonts w:ascii="宋体" w:hAnsi="宋体" w:eastAsia="宋体"/>
                <w:b/>
                <w:szCs w:val="21"/>
              </w:rPr>
              <w:t>故本项目暂不接受电子保函形式的保证金</w:t>
            </w:r>
            <w:r>
              <w:rPr>
                <w:rFonts w:hint="eastAsia" w:ascii="宋体" w:hAnsi="宋体" w:eastAsia="宋体"/>
                <w:b/>
                <w:szCs w:val="21"/>
              </w:rPr>
              <w:t>。</w:t>
            </w:r>
          </w:p>
        </w:tc>
      </w:tr>
      <w:tr w14:paraId="20462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BE343A9">
            <w:pPr>
              <w:spacing w:line="360" w:lineRule="auto"/>
              <w:rPr>
                <w:rFonts w:hint="eastAsia" w:ascii="宋体" w:hAnsi="宋体" w:eastAsia="宋体" w:cs="Calibri"/>
                <w:szCs w:val="21"/>
              </w:rPr>
            </w:pPr>
            <w:r>
              <w:rPr>
                <w:rFonts w:ascii="宋体" w:hAnsi="宋体" w:eastAsia="宋体" w:cs="Calibri"/>
                <w:szCs w:val="21"/>
              </w:rPr>
              <w:t>19</w:t>
            </w:r>
          </w:p>
        </w:tc>
        <w:tc>
          <w:tcPr>
            <w:tcW w:w="8049" w:type="dxa"/>
            <w:vAlign w:val="center"/>
          </w:tcPr>
          <w:p w14:paraId="08A79685">
            <w:pPr>
              <w:spacing w:line="360" w:lineRule="auto"/>
              <w:ind w:firstLine="422"/>
              <w:rPr>
                <w:rFonts w:hint="eastAsia" w:ascii="宋体" w:hAnsi="宋体" w:eastAsia="宋体" w:cs="Calibri"/>
                <w:szCs w:val="21"/>
              </w:rPr>
            </w:pPr>
            <w:r>
              <w:rPr>
                <w:rFonts w:hint="eastAsia" w:ascii="宋体" w:hAnsi="宋体" w:eastAsia="宋体"/>
                <w:szCs w:val="21"/>
              </w:rPr>
              <w:t>本项目不接受</w:t>
            </w:r>
            <w:r>
              <w:rPr>
                <w:rFonts w:hint="eastAsia" w:ascii="宋体" w:hAnsi="宋体" w:eastAsia="宋体"/>
              </w:rPr>
              <w:t>电子</w:t>
            </w:r>
            <w:r>
              <w:rPr>
                <w:rFonts w:hint="eastAsia" w:ascii="宋体" w:hAnsi="宋体" w:eastAsia="宋体"/>
                <w:szCs w:val="21"/>
              </w:rPr>
              <w:t>备份响应文件</w:t>
            </w:r>
          </w:p>
        </w:tc>
      </w:tr>
      <w:tr w14:paraId="0A6E0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DDF792D">
            <w:pPr>
              <w:spacing w:line="360" w:lineRule="auto"/>
              <w:rPr>
                <w:rFonts w:hint="eastAsia" w:ascii="宋体" w:hAnsi="宋体" w:eastAsia="宋体" w:cs="Calibri"/>
                <w:szCs w:val="21"/>
              </w:rPr>
            </w:pPr>
            <w:r>
              <w:rPr>
                <w:rFonts w:hint="eastAsia" w:ascii="宋体" w:hAnsi="宋体" w:eastAsia="宋体" w:cs="Calibri"/>
                <w:szCs w:val="21"/>
              </w:rPr>
              <w:t>20.1</w:t>
            </w:r>
          </w:p>
        </w:tc>
        <w:tc>
          <w:tcPr>
            <w:tcW w:w="8049" w:type="dxa"/>
            <w:vAlign w:val="center"/>
          </w:tcPr>
          <w:p w14:paraId="41388C23">
            <w:pPr>
              <w:spacing w:line="360" w:lineRule="auto"/>
              <w:ind w:firstLine="422"/>
              <w:contextualSpacing/>
              <w:jc w:val="left"/>
              <w:rPr>
                <w:rFonts w:hint="eastAsia" w:ascii="宋体" w:hAnsi="宋体" w:eastAsia="宋体" w:cs="Calibri"/>
                <w:szCs w:val="21"/>
                <w:u w:val="single"/>
              </w:rPr>
            </w:pPr>
            <w:r>
              <w:rPr>
                <w:rFonts w:hint="eastAsia" w:ascii="宋体" w:hAnsi="宋体" w:eastAsia="宋体" w:cs="Calibri"/>
                <w:szCs w:val="21"/>
              </w:rPr>
              <w:t>响应文件提交截止时间：详见竞争性磋商公告。</w:t>
            </w:r>
          </w:p>
          <w:p w14:paraId="3164FDEC">
            <w:pPr>
              <w:spacing w:line="360" w:lineRule="auto"/>
              <w:ind w:firstLine="422"/>
              <w:contextualSpacing/>
              <w:jc w:val="left"/>
              <w:rPr>
                <w:rFonts w:hint="eastAsia" w:ascii="宋体" w:hAnsi="宋体" w:eastAsia="宋体" w:cs="Calibri"/>
                <w:szCs w:val="21"/>
              </w:rPr>
            </w:pPr>
            <w:r>
              <w:rPr>
                <w:rFonts w:hint="eastAsia" w:ascii="宋体" w:hAnsi="宋体" w:eastAsia="宋体" w:cs="Calibri"/>
                <w:szCs w:val="21"/>
              </w:rPr>
              <w:t>响应文件提交地点：详见竞争性磋商公告。</w:t>
            </w:r>
          </w:p>
        </w:tc>
      </w:tr>
      <w:tr w14:paraId="776E4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AF91AB3">
            <w:pPr>
              <w:spacing w:line="360" w:lineRule="auto"/>
              <w:rPr>
                <w:rFonts w:hint="eastAsia" w:ascii="宋体" w:hAnsi="宋体" w:eastAsia="宋体" w:cs="Calibri"/>
                <w:szCs w:val="21"/>
              </w:rPr>
            </w:pPr>
            <w:r>
              <w:rPr>
                <w:rFonts w:hint="eastAsia" w:ascii="宋体" w:hAnsi="宋体" w:eastAsia="宋体" w:cs="Calibri"/>
                <w:szCs w:val="21"/>
              </w:rPr>
              <w:t>24.1</w:t>
            </w:r>
          </w:p>
        </w:tc>
        <w:tc>
          <w:tcPr>
            <w:tcW w:w="8049" w:type="dxa"/>
            <w:vAlign w:val="center"/>
          </w:tcPr>
          <w:p w14:paraId="01821BB9">
            <w:pPr>
              <w:snapToGrid w:val="0"/>
              <w:spacing w:line="360" w:lineRule="auto"/>
              <w:ind w:firstLine="422"/>
              <w:jc w:val="left"/>
              <w:rPr>
                <w:rFonts w:hint="eastAsia" w:ascii="宋体" w:hAnsi="宋体" w:eastAsia="宋体" w:cs="Calibri"/>
                <w:szCs w:val="21"/>
                <w:u w:val="single"/>
              </w:rPr>
            </w:pPr>
            <w:r>
              <w:rPr>
                <w:rFonts w:hint="eastAsia" w:ascii="宋体" w:hAnsi="宋体" w:eastAsia="宋体" w:cs="Calibri"/>
                <w:szCs w:val="21"/>
              </w:rPr>
              <w:t>磋商小组的人数：</w:t>
            </w:r>
            <w:r>
              <w:rPr>
                <w:rFonts w:hint="eastAsia" w:ascii="宋体" w:hAnsi="宋体" w:eastAsia="宋体" w:cs="Calibri"/>
                <w:szCs w:val="21"/>
                <w:u w:val="single"/>
              </w:rPr>
              <w:t xml:space="preserve"> </w:t>
            </w:r>
            <w:r>
              <w:rPr>
                <w:rFonts w:ascii="宋体" w:hAnsi="宋体" w:eastAsia="宋体" w:cs="Calibri"/>
                <w:szCs w:val="21"/>
                <w:u w:val="single"/>
              </w:rPr>
              <w:t>3</w:t>
            </w:r>
            <w:r>
              <w:rPr>
                <w:rFonts w:hint="eastAsia" w:ascii="宋体" w:hAnsi="宋体" w:eastAsia="宋体" w:cs="Calibri"/>
                <w:szCs w:val="21"/>
                <w:u w:val="single"/>
              </w:rPr>
              <w:t xml:space="preserve"> </w:t>
            </w:r>
            <w:r>
              <w:rPr>
                <w:rFonts w:hint="eastAsia" w:ascii="宋体" w:hAnsi="宋体" w:eastAsia="宋体" w:cs="Calibri"/>
                <w:szCs w:val="21"/>
              </w:rPr>
              <w:t>人或以上单数。</w:t>
            </w:r>
          </w:p>
        </w:tc>
      </w:tr>
      <w:tr w14:paraId="0E3CB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BDD4FC5">
            <w:pPr>
              <w:spacing w:line="360" w:lineRule="auto"/>
              <w:rPr>
                <w:rFonts w:hint="eastAsia" w:ascii="宋体" w:hAnsi="宋体" w:eastAsia="宋体" w:cs="Calibri"/>
                <w:szCs w:val="21"/>
              </w:rPr>
            </w:pPr>
            <w:r>
              <w:rPr>
                <w:rFonts w:hint="eastAsia" w:ascii="宋体" w:hAnsi="宋体" w:eastAsia="宋体" w:cs="Calibri"/>
                <w:szCs w:val="21"/>
              </w:rPr>
              <w:t>2</w:t>
            </w:r>
            <w:r>
              <w:rPr>
                <w:rFonts w:ascii="宋体" w:hAnsi="宋体" w:eastAsia="宋体" w:cs="Calibri"/>
                <w:szCs w:val="21"/>
              </w:rPr>
              <w:t>5</w:t>
            </w:r>
          </w:p>
        </w:tc>
        <w:tc>
          <w:tcPr>
            <w:tcW w:w="8049" w:type="dxa"/>
            <w:vAlign w:val="center"/>
          </w:tcPr>
          <w:p w14:paraId="544A2908">
            <w:pPr>
              <w:snapToGrid w:val="0"/>
              <w:spacing w:line="360" w:lineRule="auto"/>
              <w:ind w:firstLine="422"/>
              <w:jc w:val="left"/>
              <w:rPr>
                <w:rFonts w:hint="eastAsia" w:ascii="宋体" w:hAnsi="宋体" w:eastAsia="宋体" w:cs="Calibri"/>
                <w:szCs w:val="21"/>
              </w:rPr>
            </w:pPr>
            <w:r>
              <w:rPr>
                <w:rFonts w:hint="eastAsia" w:ascii="宋体" w:hAnsi="宋体" w:eastAsia="宋体" w:cs="Calibri"/>
                <w:szCs w:val="21"/>
              </w:rPr>
              <w:t>首次响应文件开启时间详见“竞争性磋商公告”</w:t>
            </w:r>
          </w:p>
          <w:p w14:paraId="3C150A66">
            <w:pPr>
              <w:snapToGrid w:val="0"/>
              <w:spacing w:line="360" w:lineRule="auto"/>
              <w:ind w:firstLine="422"/>
              <w:jc w:val="left"/>
              <w:rPr>
                <w:rFonts w:hint="eastAsia" w:ascii="宋体" w:hAnsi="宋体" w:eastAsia="宋体" w:cs="Calibri"/>
                <w:szCs w:val="21"/>
              </w:rPr>
            </w:pPr>
            <w:r>
              <w:rPr>
                <w:rFonts w:hint="eastAsia" w:ascii="宋体" w:hAnsi="宋体" w:eastAsia="宋体" w:cs="Calibri"/>
                <w:szCs w:val="21"/>
              </w:rPr>
              <w:t>首次响应文件解密时间：</w:t>
            </w:r>
            <w:r>
              <w:rPr>
                <w:rFonts w:ascii="宋体" w:hAnsi="宋体" w:eastAsia="宋体"/>
                <w:u w:val="single"/>
              </w:rPr>
              <w:t>30</w:t>
            </w:r>
            <w:r>
              <w:rPr>
                <w:rFonts w:hint="eastAsia" w:ascii="宋体" w:hAnsi="宋体" w:eastAsia="宋体"/>
              </w:rPr>
              <w:t>分钟</w:t>
            </w:r>
          </w:p>
        </w:tc>
      </w:tr>
      <w:tr w14:paraId="38860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Align w:val="center"/>
          </w:tcPr>
          <w:p w14:paraId="49BF74DE">
            <w:pPr>
              <w:spacing w:line="360" w:lineRule="auto"/>
              <w:rPr>
                <w:rFonts w:hint="eastAsia" w:ascii="宋体" w:hAnsi="宋体" w:eastAsia="宋体" w:cs="Calibri"/>
                <w:szCs w:val="21"/>
              </w:rPr>
            </w:pPr>
            <w:r>
              <w:rPr>
                <w:rFonts w:hint="eastAsia" w:ascii="宋体" w:hAnsi="宋体" w:eastAsia="宋体" w:cs="Calibri"/>
                <w:szCs w:val="21"/>
              </w:rPr>
              <w:t>2</w:t>
            </w:r>
            <w:r>
              <w:rPr>
                <w:rFonts w:ascii="宋体" w:hAnsi="宋体" w:eastAsia="宋体" w:cs="Calibri"/>
                <w:szCs w:val="21"/>
              </w:rPr>
              <w:t>6.3</w:t>
            </w:r>
          </w:p>
        </w:tc>
        <w:tc>
          <w:tcPr>
            <w:tcW w:w="8049" w:type="dxa"/>
            <w:vAlign w:val="center"/>
          </w:tcPr>
          <w:p w14:paraId="50F33F0A">
            <w:pPr>
              <w:snapToGrid w:val="0"/>
              <w:spacing w:line="360" w:lineRule="auto"/>
              <w:ind w:firstLine="422"/>
              <w:rPr>
                <w:rFonts w:hint="eastAsia" w:ascii="宋体" w:hAnsi="宋体" w:eastAsia="宋体" w:cs="Calibri"/>
                <w:szCs w:val="21"/>
              </w:rPr>
            </w:pPr>
            <w:r>
              <w:rPr>
                <w:rFonts w:hint="eastAsia" w:ascii="宋体" w:hAnsi="宋体" w:eastAsia="宋体" w:cs="Calibri"/>
                <w:szCs w:val="21"/>
              </w:rPr>
              <w:t>商务要求评审中允许负偏离的条款数为</w:t>
            </w:r>
            <w:r>
              <w:rPr>
                <w:rFonts w:ascii="宋体" w:hAnsi="宋体" w:eastAsia="宋体" w:cs="Calibri"/>
                <w:szCs w:val="21"/>
                <w:u w:val="single"/>
              </w:rPr>
              <w:t>0</w:t>
            </w:r>
            <w:r>
              <w:rPr>
                <w:rFonts w:hint="eastAsia" w:ascii="宋体" w:hAnsi="宋体" w:eastAsia="宋体" w:cs="Calibri"/>
                <w:szCs w:val="21"/>
              </w:rPr>
              <w:t>项。</w:t>
            </w:r>
          </w:p>
          <w:p w14:paraId="1EC64D09">
            <w:pPr>
              <w:snapToGrid w:val="0"/>
              <w:spacing w:line="360" w:lineRule="auto"/>
              <w:ind w:firstLine="422"/>
              <w:rPr>
                <w:rFonts w:hint="eastAsia" w:ascii="宋体" w:hAnsi="宋体" w:eastAsia="宋体" w:cs="Calibri"/>
                <w:szCs w:val="21"/>
              </w:rPr>
            </w:pPr>
            <w:r>
              <w:rPr>
                <w:rFonts w:hint="eastAsia" w:ascii="宋体" w:hAnsi="宋体" w:eastAsia="宋体" w:cs="Calibri"/>
                <w:szCs w:val="21"/>
              </w:rPr>
              <w:t>技术要求评审中允许负偏离的条款数为</w:t>
            </w:r>
            <w:r>
              <w:rPr>
                <w:rFonts w:hint="eastAsia" w:ascii="宋体" w:hAnsi="宋体" w:eastAsia="宋体" w:cs="Calibri"/>
                <w:szCs w:val="21"/>
                <w:u w:val="single"/>
              </w:rPr>
              <w:t>0</w:t>
            </w:r>
            <w:r>
              <w:rPr>
                <w:rFonts w:hint="eastAsia" w:ascii="宋体" w:hAnsi="宋体" w:eastAsia="宋体" w:cs="Calibri"/>
                <w:szCs w:val="21"/>
              </w:rPr>
              <w:t>项。</w:t>
            </w:r>
          </w:p>
        </w:tc>
      </w:tr>
      <w:tr w14:paraId="7EB90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82FC6B8">
            <w:pPr>
              <w:spacing w:line="360" w:lineRule="auto"/>
              <w:rPr>
                <w:rFonts w:hint="eastAsia" w:ascii="宋体" w:hAnsi="宋体" w:eastAsia="宋体" w:cs="Calibri"/>
                <w:szCs w:val="21"/>
              </w:rPr>
            </w:pPr>
            <w:r>
              <w:rPr>
                <w:rFonts w:ascii="宋体" w:hAnsi="宋体" w:eastAsia="宋体" w:cs="Calibri"/>
                <w:szCs w:val="21"/>
              </w:rPr>
              <w:t>28.1</w:t>
            </w:r>
          </w:p>
        </w:tc>
        <w:tc>
          <w:tcPr>
            <w:tcW w:w="8049" w:type="dxa"/>
            <w:vAlign w:val="center"/>
          </w:tcPr>
          <w:p w14:paraId="2BE72EC7">
            <w:pPr>
              <w:autoSpaceDE w:val="0"/>
              <w:autoSpaceDN w:val="0"/>
              <w:snapToGrid w:val="0"/>
              <w:spacing w:line="360" w:lineRule="auto"/>
              <w:textAlignment w:val="bottom"/>
              <w:rPr>
                <w:rFonts w:hint="eastAsia" w:ascii="宋体" w:hAnsi="宋体" w:eastAsia="宋体"/>
                <w:szCs w:val="21"/>
              </w:rPr>
            </w:pPr>
            <w:r>
              <w:rPr>
                <w:rFonts w:hint="eastAsia" w:ascii="宋体" w:hAnsi="宋体" w:eastAsia="宋体"/>
                <w:szCs w:val="21"/>
              </w:rPr>
              <w:t>□本项目不收取履约保证金。</w:t>
            </w:r>
          </w:p>
          <w:p w14:paraId="5EFA4908">
            <w:pPr>
              <w:autoSpaceDE w:val="0"/>
              <w:autoSpaceDN w:val="0"/>
              <w:snapToGrid w:val="0"/>
              <w:spacing w:line="360" w:lineRule="auto"/>
              <w:textAlignment w:val="bottom"/>
              <w:rPr>
                <w:rFonts w:hint="eastAsia" w:ascii="宋体" w:hAnsi="宋体" w:eastAsia="宋体"/>
                <w:b/>
                <w:bCs/>
                <w:szCs w:val="21"/>
              </w:rPr>
            </w:pPr>
            <w:r>
              <w:rPr>
                <w:rFonts w:ascii="Segoe UI Emoji" w:hAnsi="Segoe UI Emoji" w:eastAsia="宋体" w:cs="Segoe UI Emoji"/>
                <w:b/>
                <w:bCs/>
                <w:szCs w:val="21"/>
              </w:rPr>
              <w:t>☑</w:t>
            </w:r>
            <w:r>
              <w:rPr>
                <w:rFonts w:hint="eastAsia" w:ascii="宋体" w:hAnsi="宋体" w:eastAsia="宋体"/>
                <w:b/>
                <w:bCs/>
                <w:szCs w:val="21"/>
              </w:rPr>
              <w:t>本项目收取履约保证金，具体规定如下：</w:t>
            </w:r>
          </w:p>
          <w:p w14:paraId="42D08F59">
            <w:pPr>
              <w:spacing w:line="360" w:lineRule="auto"/>
              <w:contextualSpacing/>
              <w:rPr>
                <w:rFonts w:hint="eastAsia" w:ascii="宋体" w:hAnsi="宋体" w:eastAsia="宋体" w:cs="Calibri"/>
                <w:szCs w:val="21"/>
              </w:rPr>
            </w:pPr>
            <w:r>
              <w:rPr>
                <w:rFonts w:hint="eastAsia" w:ascii="宋体" w:hAnsi="宋体" w:eastAsia="宋体" w:cs="Calibri"/>
                <w:szCs w:val="21"/>
              </w:rPr>
              <w:t>履约保证金金额：</w:t>
            </w:r>
            <w:bookmarkStart w:id="67" w:name="_Hlk131665513"/>
            <w:r>
              <w:rPr>
                <w:rFonts w:hint="eastAsia" w:ascii="宋体" w:hAnsi="宋体" w:eastAsia="宋体" w:cs="Calibri"/>
                <w:b/>
                <w:bCs/>
                <w:szCs w:val="21"/>
                <w:u w:val="single"/>
              </w:rPr>
              <w:t>按成交金额的2%收取</w:t>
            </w:r>
            <w:r>
              <w:rPr>
                <w:rFonts w:hint="eastAsia" w:ascii="宋体" w:hAnsi="宋体" w:eastAsia="宋体" w:cs="Calibri"/>
                <w:szCs w:val="21"/>
              </w:rPr>
              <w:t>（成交供应商为中小企业的，履约保证金按成交金额的</w:t>
            </w:r>
            <w:r>
              <w:rPr>
                <w:rFonts w:hint="eastAsia" w:ascii="宋体" w:hAnsi="宋体" w:eastAsia="宋体" w:cs="Calibri"/>
                <w:szCs w:val="21"/>
                <w:u w:val="single"/>
              </w:rPr>
              <w:t>2%</w:t>
            </w:r>
            <w:r>
              <w:rPr>
                <w:rFonts w:hint="eastAsia" w:ascii="宋体" w:hAnsi="宋体" w:eastAsia="宋体" w:cs="Calibri"/>
                <w:szCs w:val="21"/>
              </w:rPr>
              <w:t>）</w:t>
            </w:r>
            <w:bookmarkEnd w:id="67"/>
            <w:r>
              <w:rPr>
                <w:rFonts w:hint="eastAsia" w:ascii="宋体" w:hAnsi="宋体" w:eastAsia="宋体" w:cs="Calibri"/>
                <w:szCs w:val="21"/>
              </w:rPr>
              <w:t>。</w:t>
            </w:r>
          </w:p>
          <w:p w14:paraId="56182232">
            <w:pPr>
              <w:spacing w:line="360" w:lineRule="auto"/>
              <w:contextualSpacing/>
              <w:rPr>
                <w:rFonts w:hint="eastAsia" w:ascii="宋体" w:hAnsi="宋体" w:eastAsia="宋体" w:cs="Calibri"/>
                <w:szCs w:val="21"/>
                <w:u w:val="single"/>
              </w:rPr>
            </w:pPr>
            <w:r>
              <w:rPr>
                <w:rFonts w:hint="eastAsia" w:ascii="宋体" w:hAnsi="宋体" w:eastAsia="宋体" w:cs="Calibri"/>
                <w:szCs w:val="21"/>
              </w:rPr>
              <w:t>履约保证金递交方式：</w:t>
            </w:r>
            <w:r>
              <w:rPr>
                <w:rFonts w:hint="eastAsia" w:ascii="宋体" w:hAnsi="宋体" w:eastAsia="宋体" w:cs="Calibri"/>
                <w:szCs w:val="21"/>
                <w:u w:val="single"/>
              </w:rPr>
              <w:t>在成交通知书发出之日起7天内，以银行转账、电汇或网上支付等非现金方式向采购人提交履约保证金。</w:t>
            </w:r>
          </w:p>
          <w:p w14:paraId="76E4C256">
            <w:pPr>
              <w:spacing w:line="360" w:lineRule="auto"/>
              <w:contextualSpacing/>
              <w:rPr>
                <w:rFonts w:hint="eastAsia" w:ascii="宋体" w:hAnsi="宋体" w:eastAsia="宋体" w:cs="Calibri"/>
                <w:szCs w:val="21"/>
              </w:rPr>
            </w:pPr>
            <w:r>
              <w:rPr>
                <w:rFonts w:hint="eastAsia" w:ascii="宋体" w:hAnsi="宋体" w:eastAsia="宋体" w:cs="Calibri"/>
                <w:szCs w:val="21"/>
              </w:rPr>
              <w:t>履约保证金退付方式、时间及条件：</w:t>
            </w:r>
            <w:r>
              <w:rPr>
                <w:rFonts w:hint="eastAsia" w:ascii="宋体" w:hAnsi="宋体" w:eastAsia="宋体" w:cs="Calibri"/>
                <w:szCs w:val="21"/>
                <w:u w:val="single"/>
              </w:rPr>
              <w:t>由成交供应商向履约保证金收取单位提供《广西壮族自治区政府采购项目合同验收书》（详见桂财采〔2015〕22号），保证金收取单位在收到合格材料后5个工作日内办理退还手续（不计利息）。</w:t>
            </w:r>
          </w:p>
          <w:p w14:paraId="410045D8">
            <w:pPr>
              <w:spacing w:line="360" w:lineRule="auto"/>
              <w:contextualSpacing/>
              <w:rPr>
                <w:rFonts w:hint="eastAsia" w:ascii="宋体" w:hAnsi="宋体" w:eastAsia="宋体" w:cs="Calibri"/>
                <w:szCs w:val="21"/>
              </w:rPr>
            </w:pPr>
            <w:r>
              <w:rPr>
                <w:rFonts w:hint="eastAsia" w:ascii="宋体" w:hAnsi="宋体" w:eastAsia="宋体" w:cs="Calibri"/>
                <w:szCs w:val="21"/>
              </w:rPr>
              <w:t>履约保证金收取单位指定账户：</w:t>
            </w:r>
          </w:p>
          <w:p w14:paraId="428438D3">
            <w:pPr>
              <w:spacing w:line="360" w:lineRule="auto"/>
              <w:contextualSpacing/>
              <w:rPr>
                <w:rFonts w:hint="eastAsia" w:ascii="宋体" w:hAnsi="宋体" w:eastAsia="宋体" w:cs="Calibri"/>
                <w:szCs w:val="21"/>
              </w:rPr>
            </w:pPr>
            <w:r>
              <w:rPr>
                <w:rFonts w:hint="eastAsia" w:ascii="宋体" w:hAnsi="宋体" w:eastAsia="宋体" w:cs="Calibri"/>
                <w:szCs w:val="21"/>
              </w:rPr>
              <w:t>户名：</w:t>
            </w:r>
            <w:r>
              <w:rPr>
                <w:rFonts w:hint="eastAsia" w:ascii="宋体" w:hAnsi="宋体" w:eastAsia="宋体" w:cs="宋体"/>
                <w:szCs w:val="21"/>
                <w:u w:val="single"/>
              </w:rPr>
              <w:t>（成交后提供）</w:t>
            </w:r>
          </w:p>
          <w:p w14:paraId="6584C9D2">
            <w:pPr>
              <w:spacing w:line="360" w:lineRule="auto"/>
              <w:contextualSpacing/>
              <w:rPr>
                <w:rFonts w:hint="eastAsia" w:ascii="宋体" w:hAnsi="宋体" w:eastAsia="宋体" w:cs="宋体"/>
                <w:szCs w:val="21"/>
                <w:u w:val="single"/>
              </w:rPr>
            </w:pPr>
            <w:r>
              <w:rPr>
                <w:rFonts w:hint="eastAsia" w:ascii="宋体" w:hAnsi="宋体" w:eastAsia="宋体" w:cs="Calibri"/>
                <w:szCs w:val="21"/>
              </w:rPr>
              <w:t>开户银行：</w:t>
            </w:r>
            <w:r>
              <w:rPr>
                <w:rFonts w:hint="eastAsia" w:ascii="宋体" w:hAnsi="宋体" w:eastAsia="宋体" w:cs="宋体"/>
                <w:szCs w:val="21"/>
                <w:u w:val="single"/>
              </w:rPr>
              <w:t>（成交后提供）</w:t>
            </w:r>
          </w:p>
          <w:p w14:paraId="323F6EF5">
            <w:pPr>
              <w:spacing w:line="360" w:lineRule="auto"/>
              <w:contextualSpacing/>
              <w:rPr>
                <w:rFonts w:hint="eastAsia" w:ascii="宋体" w:hAnsi="宋体" w:eastAsia="宋体" w:cs="宋体"/>
                <w:szCs w:val="21"/>
                <w:u w:val="single"/>
              </w:rPr>
            </w:pPr>
            <w:r>
              <w:rPr>
                <w:rFonts w:hint="eastAsia" w:ascii="宋体" w:hAnsi="宋体" w:eastAsia="宋体" w:cs="Calibri"/>
                <w:szCs w:val="21"/>
              </w:rPr>
              <w:t>银行账户：</w:t>
            </w:r>
            <w:r>
              <w:rPr>
                <w:rFonts w:hint="eastAsia" w:ascii="宋体" w:hAnsi="宋体" w:eastAsia="宋体" w:cs="宋体"/>
                <w:szCs w:val="21"/>
                <w:u w:val="single"/>
              </w:rPr>
              <w:t>（成交后提供）</w:t>
            </w:r>
          </w:p>
          <w:p w14:paraId="46907589">
            <w:pPr>
              <w:spacing w:line="360" w:lineRule="auto"/>
              <w:contextualSpacing/>
              <w:rPr>
                <w:rFonts w:hint="eastAsia" w:ascii="宋体" w:hAnsi="宋体" w:eastAsia="宋体" w:cs="Calibri"/>
                <w:b/>
                <w:bCs/>
                <w:szCs w:val="21"/>
              </w:rPr>
            </w:pPr>
            <w:r>
              <w:rPr>
                <w:rFonts w:hint="eastAsia" w:ascii="宋体" w:hAnsi="宋体" w:eastAsia="宋体" w:cs="Calibri"/>
                <w:b/>
                <w:bCs/>
                <w:szCs w:val="21"/>
              </w:rPr>
              <w:t>注：</w:t>
            </w:r>
          </w:p>
          <w:p w14:paraId="2EF9DC04">
            <w:pPr>
              <w:spacing w:line="360" w:lineRule="auto"/>
              <w:contextualSpacing/>
              <w:rPr>
                <w:rFonts w:hint="eastAsia" w:ascii="宋体" w:hAnsi="宋体" w:eastAsia="宋体" w:cs="Calibri"/>
                <w:b/>
                <w:szCs w:val="21"/>
              </w:rPr>
            </w:pPr>
            <w:r>
              <w:rPr>
                <w:rFonts w:hint="eastAsia" w:ascii="宋体" w:hAnsi="宋体" w:eastAsia="宋体" w:cs="Calibri"/>
                <w:b/>
                <w:szCs w:val="21"/>
              </w:rPr>
              <w:t>1</w:t>
            </w:r>
            <w:r>
              <w:rPr>
                <w:rFonts w:ascii="宋体" w:hAnsi="宋体" w:eastAsia="宋体" w:cs="Calibri"/>
                <w:b/>
                <w:szCs w:val="21"/>
              </w:rPr>
              <w:t>.</w:t>
            </w:r>
            <w:r>
              <w:rPr>
                <w:rFonts w:hint="eastAsia" w:ascii="宋体" w:hAnsi="宋体" w:eastAsia="宋体"/>
                <w:b/>
                <w:szCs w:val="21"/>
              </w:rPr>
              <w:t xml:space="preserve"> </w:t>
            </w:r>
            <w:bookmarkStart w:id="68" w:name="_Hlk54170335"/>
            <w:r>
              <w:rPr>
                <w:rFonts w:hint="eastAsia" w:ascii="宋体" w:hAnsi="宋体" w:eastAsia="宋体"/>
                <w:b/>
                <w:szCs w:val="21"/>
              </w:rPr>
              <w:t>根据《广西壮族自治区财政厅关于贯彻落实政府采购优化营商环境百日攻坚行动方案的通知》（桂财采〔2020〕49号）及广西壮族自治区财政厅关于进一步发挥政府采购政策功能促进企业发展的通知（桂财采〔2022〕30号）规定，鼓励采购人在与中小微企业签订政府采购合同时，减少或免于收取履约保证金，有必要收取履约保证金的，收取的履约保证金不得超过政府采购合同金额的5%，对中小企业收取的履约保证金数额不得超过政府采购合同金额的2%</w:t>
            </w:r>
            <w:bookmarkEnd w:id="68"/>
            <w:r>
              <w:rPr>
                <w:rFonts w:hint="eastAsia" w:ascii="宋体" w:hAnsi="宋体" w:eastAsia="宋体"/>
                <w:b/>
                <w:szCs w:val="21"/>
              </w:rPr>
              <w:t>；</w:t>
            </w:r>
          </w:p>
          <w:p w14:paraId="427A57B9">
            <w:pPr>
              <w:spacing w:line="360" w:lineRule="auto"/>
              <w:contextualSpacing/>
              <w:rPr>
                <w:rFonts w:hint="eastAsia" w:ascii="宋体" w:hAnsi="宋体" w:eastAsia="宋体" w:cs="Calibri"/>
                <w:b/>
                <w:szCs w:val="21"/>
              </w:rPr>
            </w:pPr>
            <w:r>
              <w:rPr>
                <w:rFonts w:hint="eastAsia" w:ascii="宋体" w:hAnsi="宋体" w:eastAsia="宋体" w:cs="Calibri"/>
                <w:b/>
                <w:szCs w:val="21"/>
              </w:rPr>
              <w:t>2</w:t>
            </w:r>
            <w:r>
              <w:rPr>
                <w:rFonts w:ascii="宋体" w:hAnsi="宋体" w:eastAsia="宋体" w:cs="Calibri"/>
                <w:b/>
                <w:szCs w:val="21"/>
              </w:rPr>
              <w:t>.</w:t>
            </w:r>
            <w:r>
              <w:rPr>
                <w:rFonts w:hint="eastAsia" w:ascii="宋体" w:hAnsi="宋体" w:eastAsia="宋体" w:cs="Calibri"/>
                <w:b/>
                <w:szCs w:val="21"/>
              </w:rPr>
              <w:t>履约保证金不足额缴纳的，或者银行、保险机构出具的保函额度不足的或者保函有效期低于合同履行期限（即签订采购合同之日起至履行完合同约定的权利及义务之日止）的，不予签订合同；</w:t>
            </w:r>
          </w:p>
          <w:p w14:paraId="6A843EFA">
            <w:pPr>
              <w:spacing w:line="360" w:lineRule="auto"/>
              <w:contextualSpacing/>
              <w:rPr>
                <w:rFonts w:hint="eastAsia" w:ascii="宋体" w:hAnsi="宋体" w:eastAsia="宋体" w:cs="Calibri"/>
                <w:b/>
                <w:szCs w:val="21"/>
              </w:rPr>
            </w:pPr>
            <w:r>
              <w:rPr>
                <w:rFonts w:ascii="宋体" w:hAnsi="宋体" w:eastAsia="宋体" w:cs="Calibri"/>
                <w:b/>
                <w:szCs w:val="21"/>
              </w:rPr>
              <w:t>3.</w:t>
            </w:r>
            <w:r>
              <w:rPr>
                <w:rFonts w:hint="eastAsia" w:ascii="宋体" w:hAnsi="宋体" w:eastAsia="宋体" w:cs="Calibri"/>
                <w:b/>
                <w:szCs w:val="21"/>
              </w:rPr>
              <w:t>采用银行、保险机构出具的保函的，必须为无条件保函，否则不予签订合同；</w:t>
            </w:r>
          </w:p>
          <w:p w14:paraId="6E70F6CD">
            <w:pPr>
              <w:snapToGrid w:val="0"/>
              <w:spacing w:line="360" w:lineRule="auto"/>
              <w:rPr>
                <w:rFonts w:hint="eastAsia" w:ascii="宋体" w:hAnsi="宋体" w:eastAsia="宋体" w:cs="Calibri"/>
                <w:szCs w:val="21"/>
              </w:rPr>
            </w:pPr>
            <w:r>
              <w:rPr>
                <w:rFonts w:ascii="宋体" w:hAnsi="宋体" w:eastAsia="宋体" w:cs="Calibri"/>
                <w:b/>
                <w:szCs w:val="21"/>
              </w:rPr>
              <w:t>4.</w:t>
            </w:r>
            <w:r>
              <w:rPr>
                <w:rFonts w:hint="eastAsia" w:ascii="宋体" w:hAnsi="宋体" w:eastAsia="宋体" w:cs="Calibri"/>
                <w:b/>
                <w:szCs w:val="21"/>
              </w:rPr>
              <w:t>供应商为联合体的，由联合体任意一方按规定提交的履约保证金，视为有效履约保证金。</w:t>
            </w:r>
          </w:p>
        </w:tc>
      </w:tr>
      <w:tr w14:paraId="20C17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BFE4FBD">
            <w:pPr>
              <w:spacing w:line="360" w:lineRule="auto"/>
              <w:rPr>
                <w:rFonts w:hint="eastAsia" w:ascii="宋体" w:hAnsi="宋体" w:eastAsia="宋体" w:cs="Calibri"/>
                <w:szCs w:val="21"/>
              </w:rPr>
            </w:pPr>
            <w:r>
              <w:rPr>
                <w:rFonts w:ascii="宋体" w:hAnsi="宋体" w:eastAsia="宋体" w:cs="Calibri"/>
                <w:szCs w:val="21"/>
              </w:rPr>
              <w:t>29.1</w:t>
            </w:r>
          </w:p>
        </w:tc>
        <w:tc>
          <w:tcPr>
            <w:tcW w:w="8049" w:type="dxa"/>
            <w:vAlign w:val="center"/>
          </w:tcPr>
          <w:p w14:paraId="0645BBD6">
            <w:pPr>
              <w:autoSpaceDE w:val="0"/>
              <w:autoSpaceDN w:val="0"/>
              <w:snapToGrid w:val="0"/>
              <w:spacing w:line="360" w:lineRule="auto"/>
              <w:ind w:firstLine="422"/>
              <w:textAlignment w:val="bottom"/>
              <w:rPr>
                <w:rFonts w:hint="eastAsia" w:ascii="宋体" w:hAnsi="宋体" w:eastAsia="宋体"/>
                <w:szCs w:val="21"/>
              </w:rPr>
            </w:pPr>
            <w:r>
              <w:rPr>
                <w:rFonts w:hint="eastAsia" w:ascii="宋体" w:hAnsi="宋体" w:eastAsia="宋体"/>
                <w:szCs w:val="21"/>
              </w:rPr>
              <w:t xml:space="preserve">签订合同携带的证明材料： </w:t>
            </w:r>
          </w:p>
          <w:p w14:paraId="3C43C0BB">
            <w:pPr>
              <w:autoSpaceDE w:val="0"/>
              <w:autoSpaceDN w:val="0"/>
              <w:snapToGrid w:val="0"/>
              <w:spacing w:line="360" w:lineRule="auto"/>
              <w:ind w:firstLine="422"/>
              <w:textAlignment w:val="bottom"/>
              <w:rPr>
                <w:rFonts w:hint="eastAsia" w:ascii="宋体" w:hAnsi="宋体" w:eastAsia="宋体"/>
                <w:szCs w:val="21"/>
              </w:rPr>
            </w:pPr>
            <w:r>
              <w:rPr>
                <w:rFonts w:hint="eastAsia" w:ascii="宋体" w:hAnsi="宋体" w:eastAsia="宋体"/>
                <w:szCs w:val="21"/>
              </w:rPr>
              <w:t>委托代理人负责签订合同的，须携带授权委托书及委托代理人身份证原件等其他资格证件；</w:t>
            </w:r>
          </w:p>
          <w:p w14:paraId="0E45A46C">
            <w:pPr>
              <w:snapToGrid w:val="0"/>
              <w:spacing w:line="360" w:lineRule="auto"/>
              <w:ind w:firstLine="422"/>
              <w:rPr>
                <w:rFonts w:hint="eastAsia" w:ascii="宋体" w:hAnsi="宋体" w:eastAsia="宋体" w:cs="Calibri"/>
                <w:szCs w:val="21"/>
              </w:rPr>
            </w:pPr>
            <w:r>
              <w:rPr>
                <w:rFonts w:hint="eastAsia" w:ascii="宋体" w:hAnsi="宋体" w:eastAsia="宋体"/>
                <w:szCs w:val="21"/>
              </w:rPr>
              <w:t>法定代表人负责签订合同的，须携带法定代表人</w:t>
            </w:r>
            <w:r>
              <w:rPr>
                <w:rFonts w:ascii="宋体" w:hAnsi="宋体" w:eastAsia="宋体"/>
                <w:szCs w:val="21"/>
              </w:rPr>
              <w:t>身份证明原件</w:t>
            </w:r>
            <w:r>
              <w:rPr>
                <w:rFonts w:hint="eastAsia" w:ascii="宋体" w:hAnsi="宋体" w:eastAsia="宋体"/>
                <w:szCs w:val="21"/>
              </w:rPr>
              <w:t>及</w:t>
            </w:r>
            <w:r>
              <w:rPr>
                <w:rFonts w:ascii="宋体" w:hAnsi="宋体" w:eastAsia="宋体"/>
                <w:szCs w:val="21"/>
              </w:rPr>
              <w:t>身份证原件</w:t>
            </w:r>
            <w:r>
              <w:rPr>
                <w:rFonts w:hint="eastAsia" w:ascii="宋体" w:hAnsi="宋体" w:eastAsia="宋体"/>
                <w:szCs w:val="21"/>
              </w:rPr>
              <w:t>等其他证明材料。</w:t>
            </w:r>
          </w:p>
        </w:tc>
      </w:tr>
      <w:tr w14:paraId="12F8F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93BD28E">
            <w:pPr>
              <w:spacing w:line="360" w:lineRule="auto"/>
              <w:rPr>
                <w:rFonts w:hint="eastAsia" w:ascii="宋体" w:hAnsi="宋体" w:eastAsia="宋体" w:cs="Calibri"/>
                <w:szCs w:val="21"/>
              </w:rPr>
            </w:pPr>
            <w:r>
              <w:rPr>
                <w:rFonts w:hint="eastAsia" w:ascii="宋体" w:hAnsi="宋体" w:eastAsia="宋体" w:cs="Calibri"/>
                <w:szCs w:val="21"/>
              </w:rPr>
              <w:t>3</w:t>
            </w:r>
            <w:r>
              <w:rPr>
                <w:rFonts w:ascii="宋体" w:hAnsi="宋体" w:eastAsia="宋体" w:cs="Calibri"/>
                <w:szCs w:val="21"/>
              </w:rPr>
              <w:t>1.2</w:t>
            </w:r>
          </w:p>
        </w:tc>
        <w:tc>
          <w:tcPr>
            <w:tcW w:w="8049" w:type="dxa"/>
            <w:vAlign w:val="center"/>
          </w:tcPr>
          <w:p w14:paraId="4709770A">
            <w:pPr>
              <w:snapToGrid w:val="0"/>
              <w:spacing w:line="360" w:lineRule="auto"/>
              <w:ind w:firstLine="422"/>
              <w:rPr>
                <w:rFonts w:hint="eastAsia" w:ascii="宋体" w:hAnsi="宋体" w:eastAsia="宋体"/>
                <w:szCs w:val="21"/>
              </w:rPr>
            </w:pPr>
            <w:r>
              <w:rPr>
                <w:rFonts w:hint="eastAsia" w:ascii="宋体" w:hAnsi="宋体" w:eastAsia="宋体"/>
                <w:szCs w:val="21"/>
              </w:rPr>
              <w:t>接收质疑函方式：以书面形式。</w:t>
            </w:r>
          </w:p>
          <w:p w14:paraId="51289239">
            <w:pPr>
              <w:pStyle w:val="30"/>
              <w:snapToGrid w:val="0"/>
              <w:spacing w:line="360" w:lineRule="auto"/>
              <w:rPr>
                <w:rFonts w:hint="eastAsia" w:ascii="宋体" w:hAnsi="宋体" w:eastAsia="宋体" w:cs="等线"/>
                <w:kern w:val="2"/>
                <w:sz w:val="21"/>
                <w:lang w:val="en-US"/>
              </w:rPr>
            </w:pPr>
            <w:r>
              <w:rPr>
                <w:rFonts w:hint="eastAsia" w:ascii="宋体" w:hAnsi="宋体" w:eastAsia="宋体" w:cs="等线"/>
                <w:kern w:val="2"/>
                <w:sz w:val="21"/>
                <w:lang w:val="en-US"/>
              </w:rPr>
              <w:t>质疑联系部门及联系方式：广西交投宏冠工程咨询有限公司</w:t>
            </w:r>
          </w:p>
          <w:p w14:paraId="1C7E7B83">
            <w:pPr>
              <w:pStyle w:val="30"/>
              <w:snapToGrid w:val="0"/>
              <w:spacing w:line="360" w:lineRule="auto"/>
              <w:rPr>
                <w:rFonts w:hint="eastAsia" w:ascii="宋体" w:hAnsi="宋体" w:eastAsia="宋体" w:cs="等线"/>
                <w:kern w:val="2"/>
                <w:sz w:val="21"/>
                <w:lang w:val="en-US"/>
              </w:rPr>
            </w:pPr>
            <w:r>
              <w:rPr>
                <w:rFonts w:hint="eastAsia" w:ascii="宋体" w:hAnsi="宋体" w:eastAsia="宋体" w:cs="等线"/>
                <w:kern w:val="2"/>
                <w:sz w:val="21"/>
                <w:lang w:val="en-US"/>
              </w:rPr>
              <w:t>联系电话：0771-2115873</w:t>
            </w:r>
          </w:p>
          <w:p w14:paraId="3B550C29">
            <w:pPr>
              <w:pStyle w:val="30"/>
              <w:snapToGrid w:val="0"/>
              <w:spacing w:line="360" w:lineRule="auto"/>
              <w:rPr>
                <w:rFonts w:hint="eastAsia" w:ascii="宋体" w:hAnsi="宋体" w:eastAsia="宋体" w:cs="等线"/>
                <w:kern w:val="2"/>
                <w:sz w:val="21"/>
                <w:lang w:val="en-US"/>
              </w:rPr>
            </w:pPr>
            <w:r>
              <w:rPr>
                <w:rFonts w:hint="eastAsia" w:ascii="宋体" w:hAnsi="宋体" w:eastAsia="宋体" w:cs="等线"/>
                <w:kern w:val="2"/>
                <w:sz w:val="21"/>
                <w:lang w:val="en-US"/>
              </w:rPr>
              <w:t>通讯地址：广西南宁市合作路6号五洲国际商铺D座314室</w:t>
            </w:r>
          </w:p>
          <w:p w14:paraId="48C043E1">
            <w:pPr>
              <w:pStyle w:val="30"/>
              <w:snapToGrid w:val="0"/>
              <w:spacing w:line="360" w:lineRule="auto"/>
              <w:rPr>
                <w:rFonts w:hint="eastAsia" w:ascii="宋体" w:hAnsi="宋体" w:eastAsia="宋体" w:cs="等线"/>
                <w:kern w:val="2"/>
                <w:sz w:val="21"/>
                <w:lang w:val="en-US"/>
              </w:rPr>
            </w:pPr>
            <w:r>
              <w:rPr>
                <w:rFonts w:hint="eastAsia" w:ascii="宋体" w:hAnsi="宋体" w:eastAsia="宋体" w:cs="等线"/>
                <w:kern w:val="2"/>
                <w:sz w:val="21"/>
                <w:lang w:val="en-US"/>
              </w:rPr>
              <w:t>业务时间：每天上午8时00分到12时00分，下午15时00分到18时 00分，双休日和法定节假日不办理业务。</w:t>
            </w:r>
          </w:p>
        </w:tc>
      </w:tr>
      <w:tr w14:paraId="78DCD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4386DD4">
            <w:pPr>
              <w:spacing w:line="360" w:lineRule="auto"/>
              <w:rPr>
                <w:rFonts w:hint="eastAsia" w:ascii="宋体" w:hAnsi="宋体" w:eastAsia="宋体" w:cs="Calibri"/>
                <w:szCs w:val="21"/>
              </w:rPr>
            </w:pPr>
            <w:r>
              <w:rPr>
                <w:rFonts w:ascii="宋体" w:hAnsi="宋体" w:eastAsia="宋体" w:cs="Calibri"/>
                <w:szCs w:val="21"/>
              </w:rPr>
              <w:t>32.1</w:t>
            </w:r>
          </w:p>
        </w:tc>
        <w:tc>
          <w:tcPr>
            <w:tcW w:w="8049" w:type="dxa"/>
            <w:vAlign w:val="center"/>
          </w:tcPr>
          <w:p w14:paraId="33DA536E">
            <w:pPr>
              <w:pStyle w:val="30"/>
              <w:snapToGrid w:val="0"/>
              <w:spacing w:line="360" w:lineRule="auto"/>
              <w:rPr>
                <w:rFonts w:hint="eastAsia" w:ascii="宋体" w:hAnsi="宋体" w:eastAsia="宋体" w:cs="Calibri"/>
                <w:sz w:val="21"/>
                <w:lang w:val="en-US"/>
              </w:rPr>
            </w:pPr>
            <w:r>
              <w:rPr>
                <w:rFonts w:hint="eastAsia" w:ascii="宋体" w:hAnsi="宋体" w:eastAsia="宋体" w:cs="Calibri"/>
                <w:sz w:val="21"/>
                <w:lang w:val="en-US"/>
              </w:rPr>
              <w:t>1.采购代理费支付方式：</w:t>
            </w:r>
          </w:p>
          <w:p w14:paraId="59BF6EB6">
            <w:pPr>
              <w:pStyle w:val="30"/>
              <w:snapToGrid w:val="0"/>
              <w:spacing w:line="360" w:lineRule="auto"/>
              <w:ind w:firstLine="402"/>
              <w:rPr>
                <w:rFonts w:hint="eastAsia" w:ascii="宋体" w:hAnsi="宋体" w:eastAsia="宋体" w:cs="Calibri"/>
                <w:sz w:val="21"/>
                <w:lang w:val="en-US"/>
              </w:rPr>
            </w:pPr>
            <w:r>
              <w:rPr>
                <w:rFonts w:ascii="Segoe UI Emoji" w:hAnsi="Segoe UI Emoji" w:eastAsia="宋体" w:cs="Segoe UI Emoji"/>
                <w:b/>
                <w:bCs/>
              </w:rPr>
              <w:t>☑</w:t>
            </w:r>
            <w:r>
              <w:rPr>
                <w:rFonts w:hint="eastAsia" w:ascii="宋体" w:hAnsi="宋体" w:eastAsia="宋体" w:cs="Calibri"/>
                <w:sz w:val="21"/>
                <w:lang w:val="en-US"/>
              </w:rPr>
              <w:t>本项目代理服务费按如下规定由</w:t>
            </w:r>
            <w:r>
              <w:rPr>
                <w:rFonts w:hint="eastAsia" w:ascii="宋体" w:hAnsi="宋体" w:eastAsia="宋体" w:cs="Calibri"/>
                <w:sz w:val="21"/>
                <w:u w:val="single"/>
                <w:lang w:val="en-US"/>
              </w:rPr>
              <w:t>成交供应商</w:t>
            </w:r>
            <w:r>
              <w:rPr>
                <w:rFonts w:hint="eastAsia" w:ascii="宋体" w:hAnsi="宋体" w:eastAsia="宋体" w:cs="Calibri"/>
                <w:sz w:val="21"/>
                <w:lang w:val="en-US"/>
              </w:rPr>
              <w:t>在领取成交通知书前，一次性向采购代理机构支付。</w:t>
            </w:r>
          </w:p>
          <w:p w14:paraId="20072E76">
            <w:pPr>
              <w:pStyle w:val="30"/>
              <w:snapToGrid w:val="0"/>
              <w:spacing w:line="360" w:lineRule="auto"/>
              <w:ind w:firstLine="420" w:firstLineChars="200"/>
              <w:rPr>
                <w:rFonts w:hint="eastAsia" w:ascii="宋体" w:hAnsi="宋体" w:eastAsia="宋体" w:cs="Calibri"/>
                <w:sz w:val="21"/>
                <w:lang w:val="en-US"/>
              </w:rPr>
            </w:pPr>
            <w:r>
              <w:rPr>
                <w:rFonts w:hint="eastAsia" w:ascii="宋体" w:hAnsi="宋体" w:eastAsia="宋体" w:cs="Calibri"/>
                <w:sz w:val="21"/>
                <w:lang w:val="en-US"/>
              </w:rPr>
              <w:t>□采购人支付。</w:t>
            </w:r>
          </w:p>
          <w:p w14:paraId="4E8E1F63">
            <w:pPr>
              <w:pStyle w:val="30"/>
              <w:snapToGrid w:val="0"/>
              <w:spacing w:line="360" w:lineRule="auto"/>
              <w:rPr>
                <w:rFonts w:hint="eastAsia" w:ascii="宋体" w:hAnsi="宋体" w:eastAsia="宋体" w:cs="Calibri"/>
                <w:sz w:val="21"/>
                <w:lang w:val="en-US"/>
              </w:rPr>
            </w:pPr>
            <w:r>
              <w:rPr>
                <w:rFonts w:hint="eastAsia" w:ascii="宋体" w:hAnsi="宋体" w:eastAsia="宋体" w:cs="Calibri"/>
                <w:sz w:val="21"/>
                <w:lang w:val="en-US"/>
              </w:rPr>
              <w:t>2.采购代理费收取标准：</w:t>
            </w:r>
          </w:p>
          <w:p w14:paraId="3D56ED7C">
            <w:pPr>
              <w:pStyle w:val="30"/>
              <w:snapToGrid w:val="0"/>
              <w:spacing w:line="360" w:lineRule="auto"/>
              <w:ind w:firstLine="402"/>
              <w:rPr>
                <w:rFonts w:hint="eastAsia" w:ascii="宋体" w:hAnsi="宋体" w:eastAsia="宋体" w:cs="Calibri"/>
                <w:b/>
                <w:bCs/>
                <w:sz w:val="21"/>
                <w:lang w:val="en-US"/>
              </w:rPr>
            </w:pPr>
            <w:r>
              <w:rPr>
                <w:rFonts w:ascii="Segoe UI Emoji" w:hAnsi="Segoe UI Emoji" w:eastAsia="宋体" w:cs="Segoe UI Emoji"/>
                <w:lang w:val="en-US"/>
              </w:rPr>
              <w:t>☑</w:t>
            </w:r>
            <w:r>
              <w:rPr>
                <w:rFonts w:hint="eastAsia" w:ascii="宋体" w:hAnsi="宋体" w:eastAsia="宋体" w:cs="Calibri"/>
                <w:sz w:val="21"/>
                <w:lang w:val="en-US"/>
              </w:rPr>
              <w:t>以项目（</w:t>
            </w:r>
            <w:r>
              <w:rPr>
                <w:rFonts w:ascii="Segoe UI Emoji" w:hAnsi="Segoe UI Emoji" w:eastAsia="宋体" w:cs="Segoe UI Emoji"/>
                <w:lang w:val="en-US"/>
              </w:rPr>
              <w:t>☑</w:t>
            </w:r>
            <w:r>
              <w:rPr>
                <w:rFonts w:hint="eastAsia" w:ascii="宋体" w:hAnsi="宋体" w:eastAsia="宋体" w:cs="Calibri"/>
                <w:sz w:val="21"/>
                <w:lang w:val="en-US"/>
              </w:rPr>
              <w:t>成交金额</w:t>
            </w:r>
            <w:r>
              <w:rPr>
                <w:rFonts w:ascii="宋体" w:hAnsi="宋体" w:eastAsia="宋体" w:cs="Calibri"/>
                <w:sz w:val="21"/>
                <w:lang w:val="en-US"/>
              </w:rPr>
              <w:t>/</w:t>
            </w:r>
            <w:r>
              <w:rPr>
                <w:rFonts w:hint="eastAsia" w:ascii="Segoe UI Emoji" w:hAnsi="Segoe UI Emoji" w:eastAsia="宋体" w:cs="Segoe UI Emoji"/>
                <w:lang w:val="en-US"/>
              </w:rPr>
              <w:t>□</w:t>
            </w:r>
            <w:r>
              <w:rPr>
                <w:rFonts w:hint="eastAsia" w:ascii="宋体" w:hAnsi="宋体" w:eastAsia="宋体" w:cs="Calibri"/>
                <w:sz w:val="21"/>
                <w:lang w:val="en-US"/>
              </w:rPr>
              <w:t>采购预算</w:t>
            </w:r>
            <w:r>
              <w:rPr>
                <w:rFonts w:ascii="宋体" w:hAnsi="宋体" w:eastAsia="宋体" w:cs="Calibri"/>
                <w:sz w:val="21"/>
                <w:lang w:val="en-US"/>
              </w:rPr>
              <w:t>/□暂定成交金额/□其他</w:t>
            </w:r>
            <w:r>
              <w:rPr>
                <w:rFonts w:ascii="宋体" w:hAnsi="宋体" w:eastAsia="宋体" w:cs="Calibri"/>
                <w:sz w:val="21"/>
                <w:u w:val="single"/>
                <w:lang w:val="en-US"/>
              </w:rPr>
              <w:t xml:space="preserve">   </w:t>
            </w:r>
            <w:r>
              <w:rPr>
                <w:rFonts w:hint="eastAsia" w:ascii="宋体" w:hAnsi="宋体" w:eastAsia="宋体" w:cs="Calibri"/>
                <w:sz w:val="21"/>
                <w:lang w:val="en-US"/>
              </w:rPr>
              <w:t>）为计费额，按本须知正文第</w:t>
            </w:r>
            <w:r>
              <w:rPr>
                <w:rFonts w:ascii="宋体" w:hAnsi="宋体" w:eastAsia="宋体" w:cs="Calibri"/>
                <w:sz w:val="21"/>
                <w:lang w:val="en-US"/>
              </w:rPr>
              <w:t>35.1条规定的（□货物类/</w:t>
            </w:r>
            <w:r>
              <w:rPr>
                <w:rFonts w:ascii="Segoe UI Emoji" w:hAnsi="Segoe UI Emoji" w:eastAsia="宋体" w:cs="Segoe UI Emoji"/>
                <w:lang w:val="en-US"/>
              </w:rPr>
              <w:t>☑</w:t>
            </w:r>
            <w:r>
              <w:rPr>
                <w:rFonts w:hint="eastAsia" w:ascii="宋体" w:hAnsi="宋体" w:eastAsia="宋体" w:cs="Calibri"/>
                <w:sz w:val="21"/>
                <w:lang w:val="en-US"/>
              </w:rPr>
              <w:t>服务类</w:t>
            </w:r>
            <w:r>
              <w:rPr>
                <w:rFonts w:ascii="宋体" w:hAnsi="宋体" w:eastAsia="宋体" w:cs="Calibri"/>
                <w:sz w:val="21"/>
                <w:lang w:val="en-US"/>
              </w:rPr>
              <w:t>/□工程类）标准采用差额定率累进法计算</w:t>
            </w:r>
            <w:r>
              <w:rPr>
                <w:rFonts w:hint="eastAsia" w:ascii="宋体" w:hAnsi="宋体" w:eastAsia="宋体" w:cs="Calibri"/>
                <w:sz w:val="21"/>
                <w:lang w:val="en-US"/>
              </w:rPr>
              <w:t>出收费基准价格，采购代理收费以（□收费基准价格</w:t>
            </w:r>
            <w:r>
              <w:rPr>
                <w:rFonts w:ascii="宋体" w:hAnsi="宋体" w:eastAsia="宋体" w:cs="Calibri"/>
                <w:sz w:val="21"/>
                <w:lang w:val="en-US"/>
              </w:rPr>
              <w:t>/</w:t>
            </w:r>
            <w:r>
              <w:rPr>
                <w:rFonts w:ascii="Segoe UI Emoji" w:hAnsi="Segoe UI Emoji" w:eastAsia="宋体" w:cs="Segoe UI Emoji"/>
                <w:sz w:val="21"/>
                <w:lang w:val="en-US"/>
              </w:rPr>
              <w:t>☑</w:t>
            </w:r>
            <w:r>
              <w:rPr>
                <w:rFonts w:hint="eastAsia" w:ascii="宋体" w:hAnsi="宋体" w:eastAsia="宋体" w:cs="Calibri"/>
                <w:sz w:val="21"/>
                <w:lang w:val="en-US"/>
              </w:rPr>
              <w:t>收费基准价格下浮</w:t>
            </w:r>
            <w:r>
              <w:rPr>
                <w:rFonts w:hint="eastAsia" w:ascii="宋体" w:hAnsi="宋体" w:eastAsia="宋体" w:cs="Calibri"/>
                <w:sz w:val="21"/>
                <w:u w:val="single"/>
                <w:lang w:val="en-US"/>
              </w:rPr>
              <w:t>50</w:t>
            </w:r>
            <w:r>
              <w:rPr>
                <w:rFonts w:ascii="宋体" w:hAnsi="宋体" w:eastAsia="宋体" w:cs="Calibri"/>
                <w:sz w:val="21"/>
                <w:u w:val="single"/>
                <w:lang w:val="en-US"/>
              </w:rPr>
              <w:t>%</w:t>
            </w:r>
            <w:r>
              <w:rPr>
                <w:rFonts w:ascii="宋体" w:hAnsi="宋体" w:eastAsia="宋体" w:cs="Calibri"/>
                <w:sz w:val="21"/>
                <w:lang w:val="en-US"/>
              </w:rPr>
              <w:t>/□收费基准价格上浮</w:t>
            </w:r>
            <w:r>
              <w:rPr>
                <w:rFonts w:ascii="宋体" w:hAnsi="宋体" w:eastAsia="宋体" w:cs="Calibri"/>
                <w:sz w:val="21"/>
                <w:u w:val="single"/>
                <w:lang w:val="en-US"/>
              </w:rPr>
              <w:t xml:space="preserve">   %</w:t>
            </w:r>
            <w:r>
              <w:rPr>
                <w:rFonts w:hint="eastAsia" w:ascii="宋体" w:hAnsi="宋体" w:eastAsia="宋体" w:cs="Calibri"/>
                <w:sz w:val="21"/>
                <w:lang w:val="en-US"/>
              </w:rPr>
              <w:t>）收取，</w:t>
            </w:r>
            <w:r>
              <w:rPr>
                <w:rFonts w:hint="eastAsia" w:ascii="宋体" w:hAnsi="宋体" w:eastAsia="宋体" w:cs="Calibri"/>
                <w:bCs/>
                <w:sz w:val="21"/>
                <w:lang w:val="en-US"/>
              </w:rPr>
              <w:t>且采购代理服务费不超过</w:t>
            </w:r>
            <w:r>
              <w:rPr>
                <w:rFonts w:ascii="宋体" w:hAnsi="宋体" w:eastAsia="宋体" w:cs="Calibri"/>
                <w:bCs/>
                <w:sz w:val="21"/>
                <w:lang w:val="en-US"/>
              </w:rPr>
              <w:t>10万元，不足1万元的按1万元收取。</w:t>
            </w:r>
          </w:p>
          <w:p w14:paraId="4AE183B1">
            <w:pPr>
              <w:pStyle w:val="30"/>
              <w:snapToGrid w:val="0"/>
              <w:spacing w:line="360" w:lineRule="auto"/>
              <w:ind w:firstLine="420" w:firstLineChars="200"/>
              <w:rPr>
                <w:rFonts w:hint="eastAsia" w:ascii="宋体" w:hAnsi="宋体" w:eastAsia="宋体" w:cs="Calibri"/>
                <w:sz w:val="21"/>
                <w:u w:val="single"/>
                <w:lang w:val="en-US"/>
              </w:rPr>
            </w:pPr>
            <w:r>
              <w:rPr>
                <w:rFonts w:hint="eastAsia" w:ascii="宋体" w:hAnsi="宋体" w:eastAsia="宋体" w:cs="Calibri"/>
                <w:sz w:val="21"/>
                <w:lang w:val="en-US"/>
              </w:rPr>
              <w:t>□固定采购代理收费</w:t>
            </w:r>
            <w:r>
              <w:rPr>
                <w:rFonts w:hint="eastAsia" w:ascii="宋体" w:hAnsi="宋体" w:eastAsia="宋体" w:cs="Calibri"/>
                <w:sz w:val="21"/>
                <w:u w:val="single"/>
                <w:lang w:val="en-US"/>
              </w:rPr>
              <w:t xml:space="preserve">             </w:t>
            </w:r>
          </w:p>
          <w:p w14:paraId="4885E861">
            <w:pPr>
              <w:pStyle w:val="30"/>
              <w:snapToGrid w:val="0"/>
              <w:spacing w:line="360" w:lineRule="auto"/>
              <w:rPr>
                <w:rFonts w:hint="eastAsia" w:ascii="宋体" w:hAnsi="宋体" w:eastAsia="宋体" w:cs="Calibri"/>
                <w:sz w:val="21"/>
                <w:lang w:val="en-US"/>
              </w:rPr>
            </w:pPr>
            <w:r>
              <w:rPr>
                <w:rFonts w:hint="eastAsia" w:ascii="宋体" w:hAnsi="宋体" w:eastAsia="宋体" w:cs="Calibri"/>
                <w:sz w:val="21"/>
                <w:lang w:val="en-US"/>
              </w:rPr>
              <w:t>3. 采购代理费收取银行账户</w:t>
            </w:r>
          </w:p>
          <w:p w14:paraId="5430AB3A">
            <w:pPr>
              <w:pStyle w:val="30"/>
              <w:snapToGrid w:val="0"/>
              <w:spacing w:line="360" w:lineRule="auto"/>
              <w:rPr>
                <w:rFonts w:hint="eastAsia" w:ascii="宋体" w:hAnsi="宋体" w:eastAsia="宋体" w:cs="Calibri"/>
                <w:sz w:val="21"/>
                <w:u w:val="single"/>
                <w:lang w:val="en-US"/>
              </w:rPr>
            </w:pPr>
            <w:r>
              <w:rPr>
                <w:rFonts w:hint="eastAsia" w:ascii="宋体" w:hAnsi="宋体" w:eastAsia="宋体" w:cs="Calibri"/>
                <w:sz w:val="21"/>
                <w:u w:val="single"/>
                <w:lang w:val="en-US"/>
              </w:rPr>
              <w:t>户  名：广西交投宏冠工程咨询有限公司</w:t>
            </w:r>
          </w:p>
          <w:p w14:paraId="6A25AFAD">
            <w:pPr>
              <w:pStyle w:val="30"/>
              <w:snapToGrid w:val="0"/>
              <w:spacing w:line="360" w:lineRule="auto"/>
              <w:rPr>
                <w:rFonts w:hint="eastAsia" w:ascii="宋体" w:hAnsi="宋体" w:eastAsia="宋体" w:cs="Calibri"/>
                <w:sz w:val="21"/>
                <w:u w:val="single"/>
                <w:lang w:val="en-US"/>
              </w:rPr>
            </w:pPr>
            <w:r>
              <w:rPr>
                <w:rFonts w:hint="eastAsia" w:ascii="宋体" w:hAnsi="宋体" w:eastAsia="宋体" w:cs="Calibri"/>
                <w:sz w:val="21"/>
                <w:u w:val="single"/>
                <w:lang w:val="en-US"/>
              </w:rPr>
              <w:t>开户行：建行南宁朝阳支行营业部</w:t>
            </w:r>
          </w:p>
          <w:p w14:paraId="42D1775C">
            <w:pPr>
              <w:pStyle w:val="30"/>
              <w:snapToGrid w:val="0"/>
              <w:spacing w:line="360" w:lineRule="auto"/>
              <w:rPr>
                <w:rFonts w:hint="eastAsia" w:ascii="宋体" w:hAnsi="宋体" w:eastAsia="宋体" w:cs="Calibri"/>
                <w:sz w:val="21"/>
                <w:u w:val="single"/>
                <w:lang w:val="en-US"/>
              </w:rPr>
            </w:pPr>
            <w:r>
              <w:rPr>
                <w:rFonts w:hint="eastAsia" w:ascii="宋体" w:hAnsi="宋体" w:eastAsia="宋体" w:cs="Calibri"/>
                <w:sz w:val="21"/>
                <w:u w:val="single"/>
                <w:lang w:val="en-US"/>
              </w:rPr>
              <w:t>账  号：4500 1604 4730 5070 8266</w:t>
            </w:r>
          </w:p>
        </w:tc>
      </w:tr>
      <w:tr w14:paraId="37245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AA6B4C3">
            <w:pPr>
              <w:spacing w:line="360" w:lineRule="auto"/>
              <w:rPr>
                <w:rFonts w:hint="eastAsia" w:ascii="宋体" w:hAnsi="宋体" w:eastAsia="宋体" w:cs="Calibri"/>
                <w:szCs w:val="21"/>
              </w:rPr>
            </w:pPr>
            <w:r>
              <w:rPr>
                <w:rFonts w:hint="eastAsia" w:ascii="宋体" w:hAnsi="宋体" w:eastAsia="宋体" w:cs="Calibri"/>
                <w:szCs w:val="21"/>
              </w:rPr>
              <w:t>3</w:t>
            </w:r>
            <w:r>
              <w:rPr>
                <w:rFonts w:ascii="宋体" w:hAnsi="宋体" w:eastAsia="宋体" w:cs="Calibri"/>
                <w:szCs w:val="21"/>
              </w:rPr>
              <w:t>3.1</w:t>
            </w:r>
          </w:p>
        </w:tc>
        <w:tc>
          <w:tcPr>
            <w:tcW w:w="8049" w:type="dxa"/>
            <w:vAlign w:val="center"/>
          </w:tcPr>
          <w:p w14:paraId="78718C68">
            <w:pPr>
              <w:pStyle w:val="30"/>
              <w:snapToGrid w:val="0"/>
              <w:spacing w:line="360" w:lineRule="auto"/>
              <w:rPr>
                <w:rFonts w:hint="eastAsia" w:ascii="宋体" w:hAnsi="宋体" w:eastAsia="宋体" w:cs="Calibri"/>
                <w:kern w:val="2"/>
                <w:sz w:val="21"/>
                <w:lang w:val="en-US"/>
              </w:rPr>
            </w:pPr>
            <w:r>
              <w:rPr>
                <w:rFonts w:hint="eastAsia" w:ascii="宋体" w:hAnsi="宋体" w:eastAsia="宋体" w:cs="等线"/>
                <w:sz w:val="21"/>
                <w:lang w:val="en-US"/>
              </w:rPr>
              <w:t>解释：</w:t>
            </w:r>
            <w:r>
              <w:rPr>
                <w:rFonts w:ascii="宋体" w:hAnsi="宋体" w:eastAsia="宋体" w:cs="等线"/>
                <w:sz w:val="21"/>
                <w:lang w:val="en-US"/>
              </w:rPr>
              <w:t>构成本</w:t>
            </w:r>
            <w:r>
              <w:rPr>
                <w:rFonts w:hint="eastAsia" w:ascii="宋体" w:hAnsi="宋体" w:eastAsia="宋体" w:cs="等线"/>
                <w:sz w:val="21"/>
                <w:lang w:val="en-US"/>
              </w:rPr>
              <w:t>磋商文件</w:t>
            </w:r>
            <w:r>
              <w:rPr>
                <w:rFonts w:ascii="宋体" w:hAnsi="宋体" w:eastAsia="宋体" w:cs="等线"/>
                <w:sz w:val="21"/>
                <w:lang w:val="en-US"/>
              </w:rPr>
              <w:t>的各个组成文件应互为解释，互为说明；除</w:t>
            </w:r>
            <w:r>
              <w:rPr>
                <w:rFonts w:hint="eastAsia" w:ascii="宋体" w:hAnsi="宋体" w:eastAsia="宋体" w:cs="等线"/>
                <w:sz w:val="21"/>
                <w:lang w:val="en-US"/>
              </w:rPr>
              <w:t>磋商文件</w:t>
            </w:r>
            <w:r>
              <w:rPr>
                <w:rFonts w:ascii="宋体" w:hAnsi="宋体" w:eastAsia="宋体" w:cs="等线"/>
                <w:sz w:val="21"/>
                <w:lang w:val="en-US"/>
              </w:rPr>
              <w:t>中有特别规定外，仅适用于</w:t>
            </w:r>
            <w:r>
              <w:rPr>
                <w:rFonts w:hint="eastAsia" w:ascii="宋体" w:hAnsi="宋体" w:eastAsia="宋体" w:cs="等线"/>
                <w:sz w:val="21"/>
                <w:lang w:val="en-US"/>
              </w:rPr>
              <w:t>竞标</w:t>
            </w:r>
            <w:r>
              <w:rPr>
                <w:rFonts w:ascii="宋体" w:hAnsi="宋体" w:eastAsia="宋体" w:cs="等线"/>
                <w:sz w:val="21"/>
                <w:lang w:val="en-US"/>
              </w:rPr>
              <w:t>阶段的规定，按</w:t>
            </w:r>
            <w:r>
              <w:rPr>
                <w:rFonts w:hint="eastAsia" w:ascii="宋体" w:hAnsi="宋体" w:eastAsia="宋体" w:cs="等线"/>
                <w:sz w:val="21"/>
                <w:lang w:val="en-US"/>
              </w:rPr>
              <w:t>更正公告（澄清公告）</w:t>
            </w:r>
            <w:r>
              <w:rPr>
                <w:rFonts w:ascii="宋体" w:hAnsi="宋体" w:eastAsia="宋体" w:cs="等线"/>
                <w:sz w:val="21"/>
                <w:lang w:val="en-US"/>
              </w:rPr>
              <w:t>、</w:t>
            </w:r>
            <w:r>
              <w:rPr>
                <w:rFonts w:hint="eastAsia" w:ascii="宋体" w:hAnsi="宋体" w:eastAsia="宋体" w:cs="等线"/>
                <w:sz w:val="21"/>
                <w:lang w:val="en-US"/>
              </w:rPr>
              <w:t>竞争性磋商</w:t>
            </w:r>
            <w:r>
              <w:rPr>
                <w:rFonts w:ascii="宋体" w:hAnsi="宋体" w:eastAsia="宋体" w:cs="等线"/>
                <w:sz w:val="21"/>
                <w:lang w:val="en-US"/>
              </w:rPr>
              <w:t>公告、</w:t>
            </w:r>
            <w:r>
              <w:rPr>
                <w:rFonts w:hint="eastAsia" w:ascii="宋体" w:hAnsi="宋体" w:eastAsia="宋体" w:cs="等线"/>
                <w:sz w:val="21"/>
                <w:lang w:val="en-US"/>
              </w:rPr>
              <w:t>供应商</w:t>
            </w:r>
            <w:r>
              <w:rPr>
                <w:rFonts w:ascii="宋体" w:hAnsi="宋体" w:eastAsia="宋体" w:cs="等线"/>
                <w:sz w:val="21"/>
                <w:lang w:val="en-US"/>
              </w:rPr>
              <w:t>须知</w:t>
            </w:r>
            <w:r>
              <w:rPr>
                <w:rFonts w:hint="eastAsia" w:ascii="宋体" w:hAnsi="宋体" w:eastAsia="宋体" w:cs="等线"/>
                <w:sz w:val="21"/>
                <w:lang w:val="en-US"/>
              </w:rPr>
              <w:t>、采购需求</w:t>
            </w:r>
            <w:r>
              <w:rPr>
                <w:rFonts w:ascii="宋体" w:hAnsi="宋体" w:eastAsia="宋体" w:cs="等线"/>
                <w:sz w:val="21"/>
                <w:lang w:val="en-US"/>
              </w:rPr>
              <w:t>、</w:t>
            </w:r>
            <w:r>
              <w:rPr>
                <w:rFonts w:hint="eastAsia" w:ascii="宋体" w:hAnsi="宋体" w:eastAsia="宋体" w:cs="等线"/>
                <w:sz w:val="21"/>
                <w:lang w:val="en-US"/>
              </w:rPr>
              <w:t>评审程序、评审方法和评审标准</w:t>
            </w:r>
            <w:r>
              <w:rPr>
                <w:rFonts w:ascii="宋体" w:hAnsi="宋体" w:eastAsia="宋体" w:cs="等线"/>
                <w:sz w:val="21"/>
                <w:lang w:val="en-US"/>
              </w:rPr>
              <w:t>、</w:t>
            </w:r>
            <w:r>
              <w:rPr>
                <w:rFonts w:hint="eastAsia" w:ascii="宋体" w:hAnsi="宋体" w:eastAsia="宋体" w:cs="等线"/>
                <w:sz w:val="21"/>
                <w:lang w:val="en-US"/>
              </w:rPr>
              <w:t>响应</w:t>
            </w:r>
            <w:r>
              <w:rPr>
                <w:rFonts w:ascii="宋体" w:hAnsi="宋体" w:eastAsia="宋体" w:cs="等线"/>
                <w:sz w:val="21"/>
                <w:lang w:val="en-US"/>
              </w:rPr>
              <w:t>文件格式</w:t>
            </w:r>
            <w:r>
              <w:rPr>
                <w:rFonts w:hint="eastAsia" w:ascii="宋体" w:hAnsi="宋体" w:eastAsia="宋体" w:cs="等线"/>
                <w:sz w:val="21"/>
                <w:lang w:val="en-US"/>
              </w:rPr>
              <w:t>、合同文本</w:t>
            </w:r>
            <w:r>
              <w:rPr>
                <w:rFonts w:ascii="宋体" w:hAnsi="宋体" w:eastAsia="宋体" w:cs="等线"/>
                <w:sz w:val="21"/>
                <w:lang w:val="en-US"/>
              </w:rPr>
              <w:t>的先后顺序解释；同一组成文件中就同一事项的规定或者约定不一致的，以编排顺序在后者为准；同一组成文件不同版本之间有不一致的，以形成时间在后者为准；</w:t>
            </w:r>
            <w:r>
              <w:rPr>
                <w:rFonts w:hint="eastAsia" w:ascii="宋体" w:hAnsi="宋体" w:eastAsia="宋体" w:cs="等线"/>
                <w:sz w:val="21"/>
                <w:lang w:val="en-US"/>
              </w:rPr>
              <w:t>更正公告（澄清公告）</w:t>
            </w:r>
            <w:r>
              <w:rPr>
                <w:rFonts w:ascii="宋体" w:hAnsi="宋体" w:eastAsia="宋体" w:cs="等线"/>
                <w:sz w:val="21"/>
                <w:lang w:val="en-US"/>
              </w:rPr>
              <w:t>与同步更新的</w:t>
            </w:r>
            <w:r>
              <w:rPr>
                <w:rFonts w:hint="eastAsia" w:ascii="宋体" w:hAnsi="宋体" w:eastAsia="宋体" w:cs="等线"/>
                <w:sz w:val="21"/>
                <w:lang w:val="en-US"/>
              </w:rPr>
              <w:t>磋商文件</w:t>
            </w:r>
            <w:r>
              <w:rPr>
                <w:rFonts w:ascii="宋体" w:hAnsi="宋体" w:eastAsia="宋体" w:cs="等线"/>
                <w:sz w:val="21"/>
                <w:lang w:val="en-US"/>
              </w:rPr>
              <w:t>不一致时以</w:t>
            </w:r>
            <w:r>
              <w:rPr>
                <w:rFonts w:hint="eastAsia" w:ascii="宋体" w:hAnsi="宋体" w:eastAsia="宋体" w:cs="等线"/>
                <w:sz w:val="21"/>
                <w:lang w:val="en-US"/>
              </w:rPr>
              <w:t>更正公告（澄清公告）</w:t>
            </w:r>
            <w:r>
              <w:rPr>
                <w:rFonts w:ascii="宋体" w:hAnsi="宋体" w:eastAsia="宋体" w:cs="等线"/>
                <w:sz w:val="21"/>
                <w:lang w:val="en-US"/>
              </w:rPr>
              <w:t>为准。按本款前述规定仍不能形成结论的，由</w:t>
            </w:r>
            <w:r>
              <w:rPr>
                <w:rFonts w:hint="eastAsia" w:ascii="宋体" w:hAnsi="宋体" w:eastAsia="宋体" w:cs="等线"/>
                <w:sz w:val="21"/>
                <w:lang w:val="en-US"/>
              </w:rPr>
              <w:t>采购</w:t>
            </w:r>
            <w:r>
              <w:rPr>
                <w:rFonts w:ascii="宋体" w:hAnsi="宋体" w:eastAsia="宋体" w:cs="等线"/>
                <w:sz w:val="21"/>
                <w:lang w:val="en-US"/>
              </w:rPr>
              <w:t>人</w:t>
            </w:r>
            <w:r>
              <w:rPr>
                <w:rFonts w:hint="eastAsia" w:ascii="宋体" w:hAnsi="宋体" w:eastAsia="宋体" w:cs="等线"/>
                <w:sz w:val="21"/>
                <w:lang w:val="en-US"/>
              </w:rPr>
              <w:t>或者采购代理机构</w:t>
            </w:r>
            <w:r>
              <w:rPr>
                <w:rFonts w:ascii="宋体" w:hAnsi="宋体" w:eastAsia="宋体" w:cs="等线"/>
                <w:sz w:val="21"/>
                <w:lang w:val="en-US"/>
              </w:rPr>
              <w:t>负责解释。</w:t>
            </w:r>
          </w:p>
        </w:tc>
      </w:tr>
      <w:tr w14:paraId="57438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91F25C9">
            <w:pPr>
              <w:spacing w:line="360" w:lineRule="auto"/>
              <w:rPr>
                <w:rFonts w:hint="eastAsia" w:ascii="宋体" w:hAnsi="宋体" w:eastAsia="宋体" w:cs="Calibri"/>
                <w:szCs w:val="21"/>
              </w:rPr>
            </w:pPr>
            <w:r>
              <w:rPr>
                <w:rFonts w:hint="eastAsia" w:ascii="宋体" w:hAnsi="宋体" w:eastAsia="宋体" w:cs="Calibri"/>
                <w:szCs w:val="21"/>
              </w:rPr>
              <w:t>3</w:t>
            </w:r>
            <w:r>
              <w:rPr>
                <w:rFonts w:ascii="宋体" w:hAnsi="宋体" w:eastAsia="宋体" w:cs="Calibri"/>
                <w:szCs w:val="21"/>
              </w:rPr>
              <w:t>3.2</w:t>
            </w:r>
          </w:p>
        </w:tc>
        <w:tc>
          <w:tcPr>
            <w:tcW w:w="8049" w:type="dxa"/>
            <w:vAlign w:val="center"/>
          </w:tcPr>
          <w:p w14:paraId="0AF957CE">
            <w:pPr>
              <w:pStyle w:val="30"/>
              <w:snapToGrid w:val="0"/>
              <w:spacing w:line="360" w:lineRule="auto"/>
              <w:rPr>
                <w:rFonts w:hint="eastAsia" w:ascii="宋体" w:hAnsi="宋体" w:eastAsia="宋体" w:cs="Calibri"/>
                <w:sz w:val="21"/>
                <w:lang w:val="en-US"/>
              </w:rPr>
            </w:pPr>
            <w:r>
              <w:rPr>
                <w:rFonts w:hint="eastAsia" w:ascii="宋体" w:hAnsi="宋体" w:eastAsia="宋体" w:cs="Calibri"/>
                <w:sz w:val="21"/>
                <w:lang w:val="en-US"/>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1AAA2DC4">
            <w:pPr>
              <w:pStyle w:val="30"/>
              <w:snapToGrid w:val="0"/>
              <w:spacing w:line="360" w:lineRule="auto"/>
              <w:rPr>
                <w:rFonts w:hint="eastAsia" w:ascii="宋体" w:hAnsi="宋体" w:eastAsia="宋体" w:cs="Calibri"/>
                <w:sz w:val="21"/>
                <w:lang w:val="en-US"/>
              </w:rPr>
            </w:pPr>
            <w:r>
              <w:rPr>
                <w:rFonts w:hint="eastAsia" w:ascii="宋体" w:hAnsi="宋体" w:eastAsia="宋体" w:cs="Calibri"/>
                <w:bCs/>
                <w:sz w:val="21"/>
                <w:lang w:val="en-US"/>
              </w:rPr>
              <w:t>2.本磋商文件所称的“</w:t>
            </w:r>
            <w:r>
              <w:rPr>
                <w:rFonts w:hint="eastAsia" w:ascii="宋体" w:hAnsi="宋体" w:eastAsia="宋体" w:cs="等线"/>
                <w:sz w:val="21"/>
                <w:lang w:val="en-US"/>
              </w:rPr>
              <w:t>电子签章</w:t>
            </w:r>
            <w:r>
              <w:rPr>
                <w:rFonts w:hint="eastAsia" w:ascii="宋体" w:hAnsi="宋体" w:eastAsia="宋体" w:cs="Calibri"/>
                <w:bCs/>
                <w:sz w:val="21"/>
                <w:lang w:val="en-US"/>
              </w:rPr>
              <w:t>”、“电子签名”</w:t>
            </w:r>
            <w:r>
              <w:rPr>
                <w:rFonts w:hint="eastAsia" w:ascii="宋体" w:hAnsi="宋体" w:eastAsia="宋体" w:cs="等线"/>
                <w:sz w:val="21"/>
                <w:lang w:val="en-US"/>
              </w:rPr>
              <w:t>，是指经广西政府采购云平台认可的CA认证的电子签名数据为表现形式的印章，可用于签署电子响应文件，电子印章与实物印章具有同等法律效力，不因其采用电子化表现形式而否定其法律效力。</w:t>
            </w:r>
          </w:p>
          <w:p w14:paraId="0DAA66F6">
            <w:pPr>
              <w:pStyle w:val="30"/>
              <w:snapToGrid w:val="0"/>
              <w:spacing w:line="360" w:lineRule="auto"/>
              <w:rPr>
                <w:rFonts w:hint="eastAsia" w:ascii="宋体" w:hAnsi="宋体" w:eastAsia="宋体" w:cs="Calibri"/>
                <w:bCs/>
                <w:sz w:val="21"/>
                <w:lang w:val="en-US"/>
              </w:rPr>
            </w:pPr>
            <w:r>
              <w:rPr>
                <w:rFonts w:ascii="宋体" w:hAnsi="宋体" w:eastAsia="宋体" w:cs="Calibri"/>
                <w:sz w:val="21"/>
                <w:lang w:val="en-US"/>
              </w:rPr>
              <w:t>3</w:t>
            </w:r>
            <w:r>
              <w:rPr>
                <w:rFonts w:hint="eastAsia" w:ascii="宋体" w:hAnsi="宋体" w:eastAsia="宋体" w:cs="Calibri"/>
                <w:sz w:val="21"/>
                <w:lang w:val="en-US"/>
              </w:rPr>
              <w:t>.供应商为其他组织或者自然人时，本磋商文件规定的法定代表人指负责人或者自然人。本磋商文件所称负责人是指参加竞标的其他组织</w:t>
            </w:r>
            <w:r>
              <w:rPr>
                <w:rFonts w:hint="eastAsia" w:ascii="宋体" w:hAnsi="宋体" w:eastAsia="宋体" w:cs="Calibri"/>
                <w:bCs/>
                <w:sz w:val="21"/>
                <w:lang w:val="en-US"/>
              </w:rPr>
              <w:t>营业执照或者执业许可证等证照上的</w:t>
            </w:r>
            <w:r>
              <w:rPr>
                <w:rFonts w:hint="eastAsia" w:ascii="宋体" w:hAnsi="宋体" w:eastAsia="宋体" w:cs="Calibri"/>
                <w:sz w:val="21"/>
                <w:lang w:val="en-US"/>
              </w:rPr>
              <w:t>负责人，本磋商文件所称自然人指参与竞标的自然人本人，</w:t>
            </w:r>
            <w:r>
              <w:rPr>
                <w:rFonts w:hint="eastAsia" w:ascii="宋体" w:hAnsi="宋体" w:eastAsia="宋体" w:cs="Calibri"/>
                <w:bCs/>
                <w:sz w:val="21"/>
                <w:lang w:val="en-US"/>
              </w:rPr>
              <w:t>且应具备独立承担民事责任能力，自然人应当为年满18岁以上成年人（十六周岁以上的未成年人，以自己的劳动收入为主要生活来源的，视为完全民事行为能力人）。</w:t>
            </w:r>
          </w:p>
          <w:p w14:paraId="5D3CAC07">
            <w:pPr>
              <w:pStyle w:val="30"/>
              <w:snapToGrid w:val="0"/>
              <w:spacing w:line="360" w:lineRule="auto"/>
              <w:rPr>
                <w:rFonts w:hint="eastAsia" w:ascii="宋体" w:hAnsi="宋体" w:eastAsia="宋体" w:cs="Calibri"/>
                <w:sz w:val="21"/>
                <w:lang w:val="en-US"/>
              </w:rPr>
            </w:pPr>
            <w:r>
              <w:rPr>
                <w:rFonts w:ascii="宋体" w:hAnsi="宋体" w:eastAsia="宋体" w:cs="Calibri"/>
                <w:sz w:val="21"/>
                <w:lang w:val="en-US"/>
              </w:rPr>
              <w:t>4.</w:t>
            </w:r>
            <w:r>
              <w:rPr>
                <w:rFonts w:hint="eastAsia" w:ascii="宋体" w:hAnsi="宋体" w:eastAsia="宋体" w:cs="Calibri"/>
                <w:sz w:val="21"/>
                <w:lang w:val="en-US"/>
              </w:rPr>
              <w:t>本磋商文件中描述供应商的“签字”是指供应商的法定代表人或者委托代理人亲自在文件规定签署处亲笔写上个人的名字的行为，私章、签字章、印鉴、影印等其他形式均不能代替亲笔签字。</w:t>
            </w:r>
          </w:p>
          <w:p w14:paraId="7BA07F60">
            <w:pPr>
              <w:pStyle w:val="30"/>
              <w:snapToGrid w:val="0"/>
              <w:spacing w:line="360" w:lineRule="auto"/>
              <w:rPr>
                <w:rFonts w:hint="eastAsia" w:ascii="宋体" w:hAnsi="宋体" w:eastAsia="宋体" w:cs="Calibri"/>
                <w:sz w:val="21"/>
                <w:lang w:val="en-US"/>
              </w:rPr>
            </w:pPr>
            <w:r>
              <w:rPr>
                <w:rFonts w:hint="eastAsia" w:ascii="宋体" w:hAnsi="宋体" w:eastAsia="宋体" w:cs="Calibri"/>
                <w:sz w:val="21"/>
                <w:lang w:val="en-US"/>
              </w:rPr>
              <w:t>5</w:t>
            </w:r>
            <w:r>
              <w:rPr>
                <w:rFonts w:ascii="宋体" w:hAnsi="宋体" w:eastAsia="宋体" w:cs="Calibri"/>
                <w:sz w:val="21"/>
                <w:lang w:val="en-US"/>
              </w:rPr>
              <w:t>.</w:t>
            </w:r>
            <w:r>
              <w:rPr>
                <w:rFonts w:hint="eastAsia" w:ascii="宋体" w:hAnsi="宋体" w:eastAsia="宋体" w:cs="Calibri"/>
                <w:sz w:val="21"/>
                <w:lang w:val="en-US"/>
              </w:rPr>
              <w:t>本磋商文件所称的“以上”“以下”“以内”“届满”，包括本数；所称的“不满”“超过”“以外”，不包括本数。</w:t>
            </w:r>
          </w:p>
        </w:tc>
      </w:tr>
      <w:tr w14:paraId="36860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jc w:val="center"/>
        </w:trPr>
        <w:tc>
          <w:tcPr>
            <w:tcW w:w="992" w:type="dxa"/>
            <w:vAlign w:val="center"/>
          </w:tcPr>
          <w:p w14:paraId="54F43994">
            <w:pPr>
              <w:spacing w:line="360" w:lineRule="auto"/>
              <w:rPr>
                <w:rFonts w:hint="eastAsia" w:ascii="宋体" w:hAnsi="宋体" w:eastAsia="宋体" w:cs="Calibri"/>
                <w:szCs w:val="21"/>
              </w:rPr>
            </w:pPr>
            <w:r>
              <w:rPr>
                <w:rFonts w:hint="eastAsia" w:ascii="宋体" w:hAnsi="宋体" w:eastAsia="宋体" w:cs="Calibri"/>
                <w:szCs w:val="21"/>
              </w:rPr>
              <w:t>3</w:t>
            </w:r>
            <w:r>
              <w:rPr>
                <w:rFonts w:ascii="宋体" w:hAnsi="宋体" w:eastAsia="宋体" w:cs="Calibri"/>
                <w:szCs w:val="21"/>
              </w:rPr>
              <w:t>3.</w:t>
            </w:r>
            <w:r>
              <w:rPr>
                <w:rFonts w:hint="eastAsia" w:ascii="宋体" w:hAnsi="宋体" w:eastAsia="宋体" w:cs="Calibri"/>
                <w:szCs w:val="21"/>
              </w:rPr>
              <w:t>3</w:t>
            </w:r>
          </w:p>
        </w:tc>
        <w:tc>
          <w:tcPr>
            <w:tcW w:w="8049" w:type="dxa"/>
            <w:vAlign w:val="center"/>
          </w:tcPr>
          <w:p w14:paraId="3851D5DB">
            <w:pPr>
              <w:snapToGrid w:val="0"/>
              <w:spacing w:line="360" w:lineRule="auto"/>
              <w:ind w:firstLine="422"/>
              <w:jc w:val="left"/>
              <w:rPr>
                <w:rFonts w:hint="eastAsia" w:ascii="宋体" w:hAnsi="宋体" w:eastAsia="宋体" w:cs="Calibri"/>
              </w:rPr>
            </w:pPr>
            <w:r>
              <w:rPr>
                <w:rFonts w:hint="eastAsia" w:ascii="宋体" w:hAnsi="宋体" w:eastAsia="宋体" w:cs="宋体"/>
              </w:rPr>
              <w:t>其他：成交供应商需在成交通知书签发之日后5个工作日内提供2套加电子签章的纸质响应文件给采购人存档。</w:t>
            </w:r>
          </w:p>
        </w:tc>
      </w:tr>
    </w:tbl>
    <w:p w14:paraId="4F9676BA">
      <w:pPr>
        <w:spacing w:line="400" w:lineRule="exact"/>
        <w:ind w:firstLine="643"/>
        <w:jc w:val="center"/>
        <w:rPr>
          <w:rFonts w:hint="eastAsia" w:ascii="宋体" w:hAnsi="宋体" w:eastAsia="宋体"/>
          <w:b/>
          <w:sz w:val="32"/>
          <w:szCs w:val="32"/>
        </w:rPr>
      </w:pPr>
      <w:r>
        <w:rPr>
          <w:rFonts w:ascii="宋体" w:hAnsi="宋体" w:eastAsia="宋体"/>
          <w:b/>
          <w:sz w:val="32"/>
          <w:szCs w:val="32"/>
        </w:rPr>
        <w:br w:type="page"/>
      </w:r>
      <w:r>
        <w:rPr>
          <w:rFonts w:hint="eastAsia" w:ascii="宋体" w:hAnsi="宋体" w:eastAsia="宋体"/>
          <w:b/>
          <w:sz w:val="32"/>
          <w:szCs w:val="32"/>
        </w:rPr>
        <w:t>供应商须知正文</w:t>
      </w:r>
    </w:p>
    <w:p w14:paraId="5A5596F5">
      <w:pPr>
        <w:spacing w:line="400" w:lineRule="exact"/>
        <w:ind w:firstLine="640"/>
        <w:jc w:val="center"/>
        <w:rPr>
          <w:rFonts w:hint="eastAsia" w:ascii="宋体" w:hAnsi="宋体" w:eastAsia="宋体"/>
          <w:b/>
          <w:sz w:val="32"/>
          <w:szCs w:val="32"/>
        </w:rPr>
      </w:pPr>
    </w:p>
    <w:p w14:paraId="208D2998">
      <w:pPr>
        <w:spacing w:line="400" w:lineRule="exact"/>
        <w:ind w:firstLine="643"/>
        <w:jc w:val="center"/>
        <w:rPr>
          <w:rFonts w:hint="eastAsia" w:ascii="宋体" w:hAnsi="宋体" w:eastAsia="宋体"/>
          <w:b/>
          <w:sz w:val="32"/>
          <w:szCs w:val="32"/>
        </w:rPr>
      </w:pPr>
      <w:r>
        <w:rPr>
          <w:rFonts w:hint="eastAsia" w:ascii="宋体" w:hAnsi="宋体" w:eastAsia="宋体"/>
          <w:b/>
          <w:sz w:val="32"/>
          <w:szCs w:val="32"/>
        </w:rPr>
        <w:t>一、总则</w:t>
      </w:r>
    </w:p>
    <w:p w14:paraId="628177F8">
      <w:pPr>
        <w:spacing w:line="400" w:lineRule="exact"/>
        <w:ind w:firstLine="422"/>
        <w:rPr>
          <w:rFonts w:hint="eastAsia" w:ascii="宋体" w:hAnsi="宋体" w:eastAsia="宋体"/>
          <w:szCs w:val="21"/>
        </w:rPr>
      </w:pPr>
    </w:p>
    <w:p w14:paraId="1BE45770">
      <w:pPr>
        <w:spacing w:line="360" w:lineRule="auto"/>
        <w:ind w:firstLine="482" w:firstLineChars="200"/>
        <w:rPr>
          <w:rFonts w:hint="eastAsia" w:ascii="宋体" w:hAnsi="宋体" w:eastAsia="宋体" w:cs="Calibri"/>
          <w:b/>
          <w:bCs/>
          <w:sz w:val="24"/>
        </w:rPr>
      </w:pPr>
      <w:r>
        <w:rPr>
          <w:rFonts w:hint="eastAsia" w:ascii="宋体" w:hAnsi="宋体" w:eastAsia="宋体" w:cs="Calibri"/>
          <w:b/>
          <w:bCs/>
          <w:sz w:val="24"/>
        </w:rPr>
        <w:t>1.适用范围</w:t>
      </w:r>
    </w:p>
    <w:p w14:paraId="21FB1E35">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1.1本项目采购人、采购代理机构、供应商、磋商小组的相关行为均受《中华人民共和国政府采购法》《中华人民共和国政府采购法实施条例》</w:t>
      </w:r>
      <w:r>
        <w:rPr>
          <w:rFonts w:hint="eastAsia" w:ascii="宋体" w:hAnsi="宋体" w:eastAsia="宋体"/>
          <w:szCs w:val="21"/>
        </w:rPr>
        <w:t>《政府采购竞争性磋商采购方式管理暂行办法》《财政部关于政府采购竞争性磋商采购方式管理暂行办法有关问题的补充通知》</w:t>
      </w:r>
      <w:r>
        <w:rPr>
          <w:rFonts w:hint="eastAsia" w:ascii="宋体" w:hAnsi="宋体" w:eastAsia="宋体" w:cs="Calibri"/>
          <w:szCs w:val="21"/>
        </w:rPr>
        <w:t>及本项目本级和上级财政部门政府采购有关规定的约束和保护。</w:t>
      </w:r>
    </w:p>
    <w:p w14:paraId="39C2ABC6">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1.2</w:t>
      </w:r>
      <w:r>
        <w:rPr>
          <w:rFonts w:hint="eastAsia" w:ascii="宋体" w:hAnsi="宋体" w:eastAsia="宋体" w:cs="Calibri"/>
          <w:spacing w:val="-6"/>
          <w:szCs w:val="21"/>
        </w:rPr>
        <w:t>本竞争性磋商文件（以下简称磋商文件）适用于本项目的所有采购程序和环节（法律、法规另有规定的，从其规定）。</w:t>
      </w:r>
    </w:p>
    <w:p w14:paraId="7C44A092">
      <w:pPr>
        <w:spacing w:line="360" w:lineRule="auto"/>
        <w:ind w:firstLine="482" w:firstLineChars="200"/>
        <w:rPr>
          <w:rFonts w:hint="eastAsia" w:ascii="宋体" w:hAnsi="宋体" w:eastAsia="宋体" w:cs="Calibri"/>
          <w:b/>
          <w:bCs/>
          <w:sz w:val="24"/>
        </w:rPr>
      </w:pPr>
      <w:r>
        <w:rPr>
          <w:rFonts w:hint="eastAsia" w:ascii="宋体" w:hAnsi="宋体" w:eastAsia="宋体" w:cs="Calibri"/>
          <w:b/>
          <w:bCs/>
          <w:sz w:val="24"/>
        </w:rPr>
        <w:t>2.定义</w:t>
      </w:r>
    </w:p>
    <w:p w14:paraId="6FD0F27A">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2.1“采购人”是指依法进行政府采购的国家机关、事业单位、团体组织。</w:t>
      </w:r>
    </w:p>
    <w:p w14:paraId="3DF332D3">
      <w:pPr>
        <w:spacing w:line="360" w:lineRule="auto"/>
        <w:ind w:firstLine="420" w:firstLineChars="200"/>
        <w:rPr>
          <w:rFonts w:hint="eastAsia" w:ascii="宋体" w:hAnsi="宋体" w:eastAsia="宋体" w:cs="Calibri"/>
          <w:szCs w:val="21"/>
          <w:u w:val="single"/>
        </w:rPr>
      </w:pPr>
      <w:r>
        <w:rPr>
          <w:rFonts w:hint="eastAsia" w:ascii="宋体" w:hAnsi="宋体" w:eastAsia="宋体" w:cs="Calibri"/>
          <w:szCs w:val="21"/>
        </w:rPr>
        <w:t>2.2“采购代理机构”是指政府采购集中采购机构和集中采购机构以外的采购代理机构。</w:t>
      </w:r>
    </w:p>
    <w:p w14:paraId="35F18FE9">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2.3“供应商”是指向采购人提供货物、工程或者服务的法人、其他组织或者自然人。</w:t>
      </w:r>
    </w:p>
    <w:p w14:paraId="0F2AAD85">
      <w:pPr>
        <w:spacing w:line="360" w:lineRule="auto"/>
        <w:ind w:firstLine="420" w:firstLineChars="200"/>
        <w:rPr>
          <w:rFonts w:hint="eastAsia" w:ascii="宋体" w:hAnsi="宋体" w:eastAsia="宋体" w:cs="Calibri"/>
          <w:szCs w:val="21"/>
        </w:rPr>
      </w:pPr>
      <w:r>
        <w:rPr>
          <w:rFonts w:hint="eastAsia" w:ascii="宋体" w:hAnsi="宋体" w:eastAsia="宋体"/>
          <w:szCs w:val="21"/>
        </w:rPr>
        <w:t>2.4“服务”是指除货物和工程以外的其他政府采购对象。</w:t>
      </w:r>
    </w:p>
    <w:p w14:paraId="734F92EB">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2.</w:t>
      </w:r>
      <w:r>
        <w:rPr>
          <w:rFonts w:ascii="宋体" w:hAnsi="宋体" w:eastAsia="宋体" w:cs="Calibri"/>
          <w:szCs w:val="21"/>
        </w:rPr>
        <w:t>5</w:t>
      </w:r>
      <w:r>
        <w:rPr>
          <w:rFonts w:hint="eastAsia" w:ascii="宋体" w:hAnsi="宋体" w:eastAsia="宋体" w:cs="Calibri"/>
          <w:szCs w:val="21"/>
        </w:rPr>
        <w:t>“竞标”是指供应商按照本项目竞争性磋商公告或者邀请函规定的方式获取磋商文件、提交响应文件并希望获得标的的行为。</w:t>
      </w:r>
    </w:p>
    <w:p w14:paraId="4EC425C6">
      <w:pPr>
        <w:spacing w:line="360" w:lineRule="auto"/>
        <w:ind w:firstLine="420" w:firstLineChars="200"/>
        <w:contextualSpacing/>
        <w:rPr>
          <w:rFonts w:hint="eastAsia" w:ascii="宋体" w:hAnsi="宋体" w:eastAsia="宋体" w:cs="Calibri"/>
          <w:szCs w:val="21"/>
        </w:rPr>
      </w:pPr>
      <w:r>
        <w:rPr>
          <w:rFonts w:hint="eastAsia" w:ascii="宋体" w:hAnsi="宋体" w:eastAsia="宋体" w:cs="Calibri"/>
          <w:szCs w:val="21"/>
        </w:rPr>
        <w:t>2.6“书面形式”是指合同书、信件和数据电文（包括电报、电传、传真、电子数据交换和电子邮件）等可以有形地表现所载内容的形式。</w:t>
      </w:r>
    </w:p>
    <w:p w14:paraId="55EA060E">
      <w:pPr>
        <w:spacing w:line="360" w:lineRule="auto"/>
        <w:ind w:firstLine="420" w:firstLineChars="200"/>
        <w:contextualSpacing/>
        <w:rPr>
          <w:rFonts w:hint="eastAsia" w:ascii="宋体" w:hAnsi="宋体" w:eastAsia="宋体" w:cs="Calibri"/>
          <w:szCs w:val="21"/>
        </w:rPr>
      </w:pPr>
      <w:r>
        <w:rPr>
          <w:rFonts w:hint="eastAsia" w:ascii="宋体" w:hAnsi="宋体" w:eastAsia="宋体" w:cs="Calibri"/>
          <w:szCs w:val="21"/>
        </w:rPr>
        <w:t>2.7“响应文件”</w:t>
      </w:r>
      <w:r>
        <w:rPr>
          <w:rFonts w:hint="eastAsia" w:ascii="宋体" w:hAnsi="宋体" w:eastAsia="宋体" w:cs="Calibri"/>
          <w:spacing w:val="-6"/>
          <w:szCs w:val="21"/>
        </w:rPr>
        <w:t>是指：供应商根据本磋商文件要求，编制包含资格证明、报价、商务技术等所有内容的文件。</w:t>
      </w:r>
    </w:p>
    <w:p w14:paraId="0DF71ADC">
      <w:pPr>
        <w:spacing w:line="360" w:lineRule="auto"/>
        <w:ind w:firstLine="420" w:firstLineChars="200"/>
        <w:contextualSpacing/>
        <w:rPr>
          <w:rFonts w:hint="eastAsia" w:ascii="宋体" w:hAnsi="宋体" w:eastAsia="宋体" w:cs="Calibri"/>
          <w:szCs w:val="21"/>
        </w:rPr>
      </w:pPr>
      <w:r>
        <w:rPr>
          <w:rFonts w:hint="eastAsia" w:ascii="宋体" w:hAnsi="宋体" w:eastAsia="宋体" w:cs="Calibri"/>
          <w:szCs w:val="21"/>
        </w:rPr>
        <w:t>2.8“实质性要求”是指磋商文件中已经指明不满足则响应文件按无效响应处理的条款，或者不能负偏离的条款，或者采购需求中带“▲”的条款。</w:t>
      </w:r>
    </w:p>
    <w:p w14:paraId="5BCE203E">
      <w:pPr>
        <w:spacing w:line="360" w:lineRule="auto"/>
        <w:ind w:firstLine="420" w:firstLineChars="200"/>
        <w:contextualSpacing/>
        <w:rPr>
          <w:rFonts w:hint="eastAsia" w:ascii="宋体" w:hAnsi="宋体" w:eastAsia="宋体" w:cs="Calibri"/>
          <w:szCs w:val="21"/>
        </w:rPr>
      </w:pPr>
      <w:r>
        <w:rPr>
          <w:rFonts w:hint="eastAsia" w:ascii="宋体" w:hAnsi="宋体" w:eastAsia="宋体" w:cs="Calibri"/>
          <w:szCs w:val="21"/>
        </w:rPr>
        <w:t>2.9“正偏离”，是指响应文件对磋商文件“采购需求”中有关条款作出的响应优于条款要求并有利于采购人的情形。</w:t>
      </w:r>
    </w:p>
    <w:p w14:paraId="0DB7DED1">
      <w:pPr>
        <w:spacing w:line="360" w:lineRule="auto"/>
        <w:ind w:firstLine="420" w:firstLineChars="200"/>
        <w:contextualSpacing/>
        <w:rPr>
          <w:rFonts w:hint="eastAsia" w:ascii="宋体" w:hAnsi="宋体" w:eastAsia="宋体" w:cs="Calibri"/>
          <w:szCs w:val="21"/>
        </w:rPr>
      </w:pPr>
      <w:r>
        <w:rPr>
          <w:rFonts w:ascii="宋体" w:hAnsi="宋体" w:eastAsia="宋体" w:cs="Calibri"/>
          <w:szCs w:val="21"/>
        </w:rPr>
        <w:t>2.</w:t>
      </w:r>
      <w:r>
        <w:rPr>
          <w:rFonts w:hint="eastAsia" w:ascii="宋体" w:hAnsi="宋体" w:eastAsia="宋体" w:cs="Calibri"/>
          <w:szCs w:val="21"/>
        </w:rPr>
        <w:t>10“负偏离”，是指响应文件对磋商文件“采购需求”中有关条款作出的响应不满足条款要求，导致采购人要求不能得到满足的情形。</w:t>
      </w:r>
    </w:p>
    <w:p w14:paraId="61EBA7CE">
      <w:pPr>
        <w:spacing w:line="360" w:lineRule="auto"/>
        <w:ind w:firstLine="420" w:firstLineChars="200"/>
        <w:contextualSpacing/>
        <w:rPr>
          <w:rFonts w:hint="eastAsia" w:ascii="宋体" w:hAnsi="宋体" w:eastAsia="宋体" w:cs="Calibri"/>
          <w:szCs w:val="21"/>
        </w:rPr>
      </w:pPr>
      <w:r>
        <w:rPr>
          <w:rFonts w:hint="eastAsia" w:ascii="宋体" w:hAnsi="宋体" w:eastAsia="宋体" w:cs="Calibri"/>
          <w:szCs w:val="21"/>
        </w:rPr>
        <w:t>2.11“允许负偏离的条款”是指采购需求中的不属于“实质性要求”的条款。</w:t>
      </w:r>
    </w:p>
    <w:p w14:paraId="2891664D">
      <w:pPr>
        <w:spacing w:line="360" w:lineRule="auto"/>
        <w:ind w:firstLine="420" w:firstLineChars="200"/>
        <w:contextualSpacing/>
        <w:rPr>
          <w:rFonts w:hint="eastAsia" w:ascii="宋体" w:hAnsi="宋体" w:eastAsia="宋体" w:cs="Calibri"/>
          <w:szCs w:val="21"/>
        </w:rPr>
      </w:pPr>
      <w:r>
        <w:rPr>
          <w:rFonts w:hint="eastAsia" w:ascii="宋体" w:hAnsi="宋体" w:eastAsia="宋体" w:cs="Calibri"/>
          <w:szCs w:val="21"/>
        </w:rPr>
        <w:t>2.</w:t>
      </w:r>
      <w:r>
        <w:rPr>
          <w:rFonts w:ascii="宋体" w:hAnsi="宋体" w:eastAsia="宋体" w:cs="Calibri"/>
          <w:szCs w:val="21"/>
        </w:rPr>
        <w:t>1</w:t>
      </w:r>
      <w:r>
        <w:rPr>
          <w:rFonts w:hint="eastAsia" w:ascii="宋体" w:hAnsi="宋体" w:eastAsia="宋体" w:cs="Calibri"/>
          <w:szCs w:val="21"/>
        </w:rPr>
        <w:t>2“首次报价”是指供应商提交的首次响应文件中的报价。</w:t>
      </w:r>
    </w:p>
    <w:p w14:paraId="6D0E50FE">
      <w:pPr>
        <w:spacing w:line="360" w:lineRule="auto"/>
        <w:ind w:left="420" w:leftChars="200" w:firstLine="422"/>
        <w:contextualSpacing/>
        <w:rPr>
          <w:rFonts w:hint="eastAsia" w:ascii="宋体" w:hAnsi="宋体" w:eastAsia="宋体" w:cs="Calibri"/>
          <w:szCs w:val="21"/>
        </w:rPr>
      </w:pPr>
      <w:r>
        <w:rPr>
          <w:rFonts w:hint="eastAsia" w:ascii="宋体" w:hAnsi="宋体" w:eastAsia="宋体" w:cs="Calibri"/>
          <w:szCs w:val="21"/>
        </w:rPr>
        <w:t>2.13“评审价”是指供应商提交的最后报价并经修正（如有）和政策功能价格扣除（如有）后的价格。</w:t>
      </w:r>
    </w:p>
    <w:p w14:paraId="594602E1">
      <w:pPr>
        <w:spacing w:line="360" w:lineRule="auto"/>
        <w:ind w:firstLine="482" w:firstLineChars="200"/>
        <w:contextualSpacing/>
        <w:rPr>
          <w:rFonts w:hint="eastAsia" w:ascii="宋体" w:hAnsi="宋体" w:eastAsia="宋体" w:cs="Calibri"/>
          <w:szCs w:val="21"/>
        </w:rPr>
      </w:pPr>
      <w:r>
        <w:rPr>
          <w:rFonts w:hint="eastAsia" w:ascii="宋体" w:hAnsi="宋体" w:eastAsia="宋体" w:cs="Calibri"/>
          <w:b/>
          <w:bCs/>
          <w:sz w:val="24"/>
        </w:rPr>
        <w:t>3.供应商的资格条件</w:t>
      </w:r>
    </w:p>
    <w:p w14:paraId="6DE94D13">
      <w:pPr>
        <w:spacing w:line="360" w:lineRule="auto"/>
        <w:ind w:firstLine="420" w:firstLineChars="200"/>
        <w:contextualSpacing/>
        <w:rPr>
          <w:rFonts w:hint="eastAsia" w:ascii="宋体" w:hAnsi="宋体" w:eastAsia="宋体" w:cs="Calibri"/>
          <w:szCs w:val="21"/>
        </w:rPr>
      </w:pPr>
      <w:r>
        <w:rPr>
          <w:rFonts w:hint="eastAsia" w:ascii="宋体" w:hAnsi="宋体" w:eastAsia="宋体" w:cs="Calibri"/>
          <w:szCs w:val="21"/>
        </w:rPr>
        <w:t>供应商的资格条件详见“供应商须知前附表”。</w:t>
      </w:r>
    </w:p>
    <w:p w14:paraId="2A3EBBDA">
      <w:pPr>
        <w:spacing w:line="360" w:lineRule="auto"/>
        <w:ind w:firstLine="482" w:firstLineChars="200"/>
        <w:rPr>
          <w:rFonts w:hint="eastAsia" w:ascii="宋体" w:hAnsi="宋体" w:eastAsia="宋体" w:cs="Calibri"/>
          <w:b/>
          <w:bCs/>
          <w:sz w:val="24"/>
        </w:rPr>
      </w:pPr>
      <w:r>
        <w:rPr>
          <w:rFonts w:hint="eastAsia" w:ascii="宋体" w:hAnsi="宋体" w:eastAsia="宋体" w:cs="Calibri"/>
          <w:b/>
          <w:bCs/>
          <w:sz w:val="24"/>
        </w:rPr>
        <w:t>4.竞标费用</w:t>
      </w:r>
    </w:p>
    <w:p w14:paraId="43B96E0A">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供应商应承担参与本次采购活动有关的所有费用，包括但不限于获取磋商文件、勘查现场、编制和提交响应文件、参加磋商与应答、签订合同等，不论竞标结果如何，均应自行承担。</w:t>
      </w:r>
    </w:p>
    <w:p w14:paraId="3BBF594A">
      <w:pPr>
        <w:spacing w:line="360" w:lineRule="auto"/>
        <w:ind w:firstLine="482" w:firstLineChars="200"/>
        <w:rPr>
          <w:rFonts w:hint="eastAsia" w:ascii="宋体" w:hAnsi="宋体" w:eastAsia="宋体" w:cs="Calibri"/>
          <w:b/>
          <w:bCs/>
          <w:sz w:val="24"/>
        </w:rPr>
      </w:pPr>
      <w:r>
        <w:rPr>
          <w:rFonts w:hint="eastAsia" w:ascii="宋体" w:hAnsi="宋体" w:eastAsia="宋体" w:cs="Calibri"/>
          <w:b/>
          <w:bCs/>
          <w:sz w:val="24"/>
        </w:rPr>
        <w:t>5.联合体竞标</w:t>
      </w:r>
    </w:p>
    <w:p w14:paraId="36D135B0">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5.1本项目是否接受联合体竞标，详见“供应商须知前附表”。</w:t>
      </w:r>
    </w:p>
    <w:p w14:paraId="1305778F">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5.2</w:t>
      </w:r>
      <w:r>
        <w:rPr>
          <w:rFonts w:hint="eastAsia" w:ascii="宋体" w:hAnsi="宋体" w:eastAsia="宋体"/>
        </w:rPr>
        <w:t>如接受联合体竞标，</w:t>
      </w:r>
      <w:r>
        <w:rPr>
          <w:rFonts w:hint="eastAsia" w:ascii="宋体" w:hAnsi="宋体" w:eastAsia="宋体" w:cs="Calibri"/>
          <w:szCs w:val="21"/>
        </w:rPr>
        <w:t>联合体竞标要求详见“供应商须知前附表”。</w:t>
      </w:r>
    </w:p>
    <w:p w14:paraId="53C85B86">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5.3</w:t>
      </w:r>
      <w:bookmarkStart w:id="69" w:name="_Hlk66782192"/>
      <w:r>
        <w:rPr>
          <w:rFonts w:hint="eastAsia" w:ascii="宋体" w:hAnsi="宋体" w:eastAsia="宋体"/>
          <w:szCs w:val="21"/>
        </w:rPr>
        <w:t>根据《政府采购促进中小企业发展管理办法》（财库〔2020〕46号）第九条第二款及《广西壮族自治区财政厅关于进一步发挥政府采购政策功能促进企业发展的通知》（桂财采〔2022〕30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69"/>
    </w:p>
    <w:p w14:paraId="486C14D2">
      <w:pPr>
        <w:spacing w:line="360" w:lineRule="auto"/>
        <w:ind w:firstLine="482" w:firstLineChars="200"/>
        <w:rPr>
          <w:rFonts w:hint="eastAsia" w:ascii="宋体" w:hAnsi="宋体" w:eastAsia="宋体" w:cs="Calibri"/>
          <w:b/>
          <w:bCs/>
          <w:sz w:val="24"/>
        </w:rPr>
      </w:pPr>
      <w:r>
        <w:rPr>
          <w:rFonts w:hint="eastAsia" w:ascii="宋体" w:hAnsi="宋体" w:eastAsia="宋体" w:cs="Calibri"/>
          <w:b/>
          <w:bCs/>
          <w:sz w:val="24"/>
        </w:rPr>
        <w:t xml:space="preserve">6.转包与分包             </w:t>
      </w:r>
    </w:p>
    <w:p w14:paraId="7567A0C4">
      <w:pPr>
        <w:pStyle w:val="6"/>
        <w:keepNext w:val="0"/>
        <w:keepLines w:val="0"/>
        <w:spacing w:before="0" w:after="0" w:line="360" w:lineRule="auto"/>
        <w:ind w:left="420" w:leftChars="200" w:firstLine="420"/>
        <w:rPr>
          <w:rFonts w:hint="eastAsia" w:ascii="宋体" w:hAnsi="宋体" w:eastAsia="宋体"/>
          <w:b w:val="0"/>
          <w:sz w:val="21"/>
          <w:szCs w:val="21"/>
        </w:rPr>
      </w:pPr>
      <w:bookmarkStart w:id="70" w:name="_Toc254970673"/>
      <w:bookmarkStart w:id="71" w:name="_Toc254970532"/>
      <w:r>
        <w:rPr>
          <w:rFonts w:hint="eastAsia" w:ascii="宋体" w:hAnsi="宋体" w:eastAsia="宋体"/>
          <w:b w:val="0"/>
          <w:sz w:val="21"/>
          <w:szCs w:val="21"/>
        </w:rPr>
        <w:t>6.1本项目不允许转包。</w:t>
      </w:r>
    </w:p>
    <w:p w14:paraId="238F6F4C">
      <w:pPr>
        <w:pStyle w:val="6"/>
        <w:keepNext w:val="0"/>
        <w:keepLines w:val="0"/>
        <w:spacing w:before="0" w:after="0" w:line="360" w:lineRule="auto"/>
        <w:ind w:firstLine="315" w:firstLineChars="150"/>
        <w:rPr>
          <w:rFonts w:hint="eastAsia" w:ascii="宋体" w:hAnsi="宋体" w:eastAsia="宋体"/>
          <w:b w:val="0"/>
          <w:sz w:val="21"/>
          <w:szCs w:val="21"/>
        </w:rPr>
      </w:pPr>
      <w:r>
        <w:rPr>
          <w:rFonts w:hint="eastAsia" w:ascii="宋体" w:hAnsi="宋体" w:eastAsia="宋体"/>
          <w:b w:val="0"/>
          <w:sz w:val="21"/>
          <w:szCs w:val="21"/>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50AD8642">
      <w:pPr>
        <w:pStyle w:val="6"/>
        <w:keepNext w:val="0"/>
        <w:keepLines w:val="0"/>
        <w:spacing w:before="0" w:after="0" w:line="360" w:lineRule="auto"/>
        <w:ind w:firstLine="315" w:firstLineChars="150"/>
        <w:rPr>
          <w:rFonts w:hint="eastAsia" w:ascii="宋体" w:hAnsi="宋体" w:eastAsia="宋体"/>
          <w:b w:val="0"/>
          <w:sz w:val="21"/>
          <w:szCs w:val="21"/>
        </w:rPr>
      </w:pPr>
      <w:r>
        <w:rPr>
          <w:rFonts w:hint="eastAsia" w:ascii="宋体" w:hAnsi="宋体" w:eastAsia="宋体"/>
          <w:b w:val="0"/>
          <w:sz w:val="21"/>
          <w:szCs w:val="21"/>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2C046F0A">
      <w:pPr>
        <w:spacing w:line="360" w:lineRule="auto"/>
        <w:ind w:firstLine="482" w:firstLineChars="200"/>
        <w:rPr>
          <w:rFonts w:hint="eastAsia" w:ascii="宋体" w:hAnsi="宋体" w:eastAsia="宋体" w:cs="Calibri"/>
          <w:b/>
          <w:bCs/>
          <w:sz w:val="24"/>
        </w:rPr>
      </w:pPr>
      <w:r>
        <w:rPr>
          <w:rFonts w:hint="eastAsia" w:ascii="宋体" w:hAnsi="宋体" w:eastAsia="宋体" w:cs="Calibri"/>
          <w:b/>
          <w:bCs/>
          <w:sz w:val="24"/>
        </w:rPr>
        <w:t>7.特别说明</w:t>
      </w:r>
      <w:bookmarkEnd w:id="70"/>
      <w:bookmarkEnd w:id="71"/>
    </w:p>
    <w:p w14:paraId="41249D09">
      <w:pPr>
        <w:spacing w:line="360" w:lineRule="auto"/>
        <w:ind w:firstLine="420" w:firstLineChars="200"/>
        <w:rPr>
          <w:rFonts w:hint="eastAsia" w:ascii="宋体" w:hAnsi="宋体" w:eastAsia="宋体" w:cs="Calibri"/>
          <w:szCs w:val="21"/>
        </w:rPr>
      </w:pPr>
      <w:bookmarkStart w:id="72" w:name="_8.1提供相同品牌产品且通过资格审查、符合性审查的不同投标人参加同一合"/>
      <w:bookmarkEnd w:id="72"/>
      <w:r>
        <w:rPr>
          <w:rFonts w:hint="eastAsia" w:ascii="宋体" w:hAnsi="宋体" w:eastAsia="宋体" w:cs="Calibri"/>
          <w:szCs w:val="21"/>
        </w:rPr>
        <w:t>7.</w:t>
      </w:r>
      <w:r>
        <w:rPr>
          <w:rFonts w:ascii="宋体" w:hAnsi="宋体" w:eastAsia="宋体" w:cs="Calibri"/>
          <w:szCs w:val="21"/>
        </w:rPr>
        <w:t>1</w:t>
      </w:r>
      <w:bookmarkStart w:id="73" w:name="_Hlk65832145"/>
      <w:r>
        <w:rPr>
          <w:rFonts w:hint="eastAsia" w:ascii="宋体" w:hAnsi="宋体" w:eastAsia="宋体"/>
          <w:szCs w:val="21"/>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eastAsia="宋体" w:cs="Calibri"/>
          <w:szCs w:val="21"/>
        </w:rPr>
        <w:t>。</w:t>
      </w:r>
    </w:p>
    <w:bookmarkEnd w:id="73"/>
    <w:p w14:paraId="34A94A45">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7.</w:t>
      </w:r>
      <w:r>
        <w:rPr>
          <w:rFonts w:ascii="宋体" w:hAnsi="宋体" w:eastAsia="宋体" w:cs="Calibri"/>
          <w:szCs w:val="21"/>
        </w:rPr>
        <w:t>2</w:t>
      </w:r>
      <w:r>
        <w:rPr>
          <w:rFonts w:hint="eastAsia" w:ascii="宋体" w:hAnsi="宋体" w:eastAsia="宋体" w:cs="Calibri"/>
          <w:szCs w:val="21"/>
        </w:rPr>
        <w:t>供应商应仔细阅读磋商文件的所有内容，按照磋商文件的要求提交响应文件，并对所提供的全部资料的真实性承担法律责任。</w:t>
      </w:r>
    </w:p>
    <w:p w14:paraId="5D931766">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7.</w:t>
      </w:r>
      <w:r>
        <w:rPr>
          <w:rFonts w:ascii="宋体" w:hAnsi="宋体" w:eastAsia="宋体" w:cs="Calibri"/>
          <w:szCs w:val="21"/>
        </w:rPr>
        <w:t>3</w:t>
      </w:r>
      <w:r>
        <w:rPr>
          <w:rFonts w:hint="eastAsia" w:ascii="宋体" w:hAnsi="宋体" w:eastAsia="宋体" w:cs="Calibri"/>
          <w:szCs w:val="21"/>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6EF59831">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7.</w:t>
      </w:r>
      <w:r>
        <w:rPr>
          <w:rFonts w:ascii="宋体" w:hAnsi="宋体" w:eastAsia="宋体" w:cs="Calibri"/>
          <w:szCs w:val="21"/>
        </w:rPr>
        <w:t>4</w:t>
      </w:r>
      <w:r>
        <w:rPr>
          <w:rFonts w:hint="eastAsia" w:ascii="宋体" w:hAnsi="宋体" w:eastAsia="宋体" w:cs="Calibri"/>
          <w:szCs w:val="21"/>
        </w:rPr>
        <w:t>在政府采购活动中，采购人员及相关人员与供应商有下列利害关系之一的，应当回避：</w:t>
      </w:r>
    </w:p>
    <w:p w14:paraId="5EDC7E78">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（1）参加采购活动前3年内与供应商存在劳动关系；</w:t>
      </w:r>
    </w:p>
    <w:p w14:paraId="4BECA65F">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（2）参加采购活动前3年内担任供应商的董事、监事；</w:t>
      </w:r>
    </w:p>
    <w:p w14:paraId="50B7701D">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（3）参加采购活动前3年内是供应商的控股股东或者实际控制人；</w:t>
      </w:r>
    </w:p>
    <w:p w14:paraId="2854EE11">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（4）与供应商的法定代表人或者负责人有夫妻、直系血亲、三代以内旁系血亲或者近姻亲关系；</w:t>
      </w:r>
    </w:p>
    <w:p w14:paraId="5D3DBA5F">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（5）与供应商有其他可能影响政府采购活动公平、公正进行的关系。</w:t>
      </w:r>
    </w:p>
    <w:p w14:paraId="2423B132">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851871C">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7.</w:t>
      </w:r>
      <w:r>
        <w:rPr>
          <w:rFonts w:ascii="宋体" w:hAnsi="宋体" w:eastAsia="宋体" w:cs="Calibri"/>
          <w:szCs w:val="21"/>
        </w:rPr>
        <w:t>5</w:t>
      </w:r>
      <w:r>
        <w:rPr>
          <w:rFonts w:hint="eastAsia" w:ascii="宋体" w:hAnsi="宋体" w:eastAsia="宋体" w:cs="Calibri"/>
          <w:szCs w:val="21"/>
        </w:rPr>
        <w:t>有下列情形之一的视为供应商相互串通竞标，响应文件将被视为无效：</w:t>
      </w:r>
    </w:p>
    <w:p w14:paraId="3AB8FCA3">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 xml:space="preserve">（1）不同供应商的响应文件由同一单位或者个人编制； </w:t>
      </w:r>
    </w:p>
    <w:p w14:paraId="65C0CD48">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（2）不同供应商委托同一单位或者个人办理竞标事宜；</w:t>
      </w:r>
    </w:p>
    <w:p w14:paraId="30903BB8">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（3）不同的供应商的响应文件载明的项目管理员为同一个人；</w:t>
      </w:r>
    </w:p>
    <w:p w14:paraId="284FBF49">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（4）不同供应商的响应文件异常一致或者报价呈规律性差异；</w:t>
      </w:r>
    </w:p>
    <w:p w14:paraId="166A2B43">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（5）不同供应商的响应文件相互混装；</w:t>
      </w:r>
    </w:p>
    <w:p w14:paraId="020A77B8">
      <w:pPr>
        <w:tabs>
          <w:tab w:val="left" w:pos="6931"/>
        </w:tabs>
        <w:spacing w:line="360" w:lineRule="auto"/>
        <w:ind w:firstLine="420" w:firstLineChars="200"/>
        <w:rPr>
          <w:rFonts w:hint="eastAsia" w:ascii="宋体" w:hAnsi="宋体" w:eastAsia="宋体" w:cs="Calibri"/>
          <w:szCs w:val="21"/>
        </w:rPr>
      </w:pPr>
      <w:r>
        <w:rPr>
          <w:rFonts w:hint="eastAsia" w:ascii="宋体" w:hAnsi="宋体" w:eastAsia="宋体" w:cs="Calibri"/>
          <w:szCs w:val="21"/>
        </w:rPr>
        <w:t>（6）不同供应商的磋商保证金从同一单位或者个人账户转出。</w:t>
      </w:r>
      <w:r>
        <w:rPr>
          <w:rFonts w:ascii="宋体" w:hAnsi="宋体" w:eastAsia="宋体" w:cs="Calibri"/>
          <w:szCs w:val="21"/>
        </w:rPr>
        <w:tab/>
      </w:r>
    </w:p>
    <w:p w14:paraId="669F812B">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7.</w:t>
      </w:r>
      <w:r>
        <w:rPr>
          <w:rFonts w:ascii="宋体" w:hAnsi="宋体" w:eastAsia="宋体" w:cs="Calibri"/>
          <w:szCs w:val="21"/>
        </w:rPr>
        <w:t>6</w:t>
      </w:r>
      <w:r>
        <w:rPr>
          <w:rFonts w:hint="eastAsia" w:ascii="宋体" w:hAnsi="宋体" w:eastAsia="宋体" w:cs="Calibri"/>
          <w:szCs w:val="21"/>
        </w:rPr>
        <w:t>供应商有下列情形之一的，属于恶意串通行为，将报同级监督管理部门：</w:t>
      </w:r>
    </w:p>
    <w:p w14:paraId="102B38BA">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（1）供应商直接或者间接从采购人或者采购代理机构处获得其他供应商的相关信息并修改其响应文件；</w:t>
      </w:r>
    </w:p>
    <w:p w14:paraId="652BE37A">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（2）供应商按照采购人或者采购代理机构的授意撤换、修改响应文件；</w:t>
      </w:r>
    </w:p>
    <w:p w14:paraId="5FC2AA17">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（3）供应商之间协商报价、技术方案等响应文件或者响应文件的实质性内容；</w:t>
      </w:r>
    </w:p>
    <w:p w14:paraId="4A042E57">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（4）属于同一集团、协会、商会等组织成员的供应商按照该组织要求协同参加政府采购活动；</w:t>
      </w:r>
    </w:p>
    <w:p w14:paraId="1D728E5C">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（5）供应商之间事先约定一致抬高或者压低报价，或者在政府采购活动中事先约定轮流以高价位或者低价位成交，或者事先约定由某一特定供应商成交，然后再参加竞标；</w:t>
      </w:r>
    </w:p>
    <w:p w14:paraId="4ECC0F3A">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（6）供应商之间商定部分供应商放弃参加政府采购活动或者放弃成交；</w:t>
      </w:r>
    </w:p>
    <w:p w14:paraId="0570F991">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（7）供应商与采购人或者采购代理机构之间、供应商相互之间，为谋求特定供应商成交或者排斥其他供应商的其他串通行为。</w:t>
      </w:r>
    </w:p>
    <w:p w14:paraId="5A22ECD1">
      <w:pPr>
        <w:spacing w:line="360" w:lineRule="auto"/>
        <w:ind w:firstLine="420" w:firstLineChars="200"/>
        <w:rPr>
          <w:rFonts w:hint="eastAsia" w:ascii="宋体" w:hAnsi="宋体" w:eastAsia="宋体" w:cs="Calibri"/>
          <w:szCs w:val="21"/>
        </w:rPr>
      </w:pPr>
    </w:p>
    <w:p w14:paraId="08E3F029">
      <w:pPr>
        <w:spacing w:line="360" w:lineRule="auto"/>
        <w:ind w:firstLine="420" w:firstLineChars="200"/>
        <w:rPr>
          <w:rFonts w:hint="eastAsia" w:ascii="宋体" w:hAnsi="宋体" w:eastAsia="宋体" w:cs="Calibri"/>
          <w:szCs w:val="21"/>
        </w:rPr>
      </w:pPr>
    </w:p>
    <w:p w14:paraId="2B810D64">
      <w:pPr>
        <w:spacing w:line="360" w:lineRule="auto"/>
        <w:ind w:left="1" w:firstLine="417" w:firstLineChars="199"/>
        <w:jc w:val="center"/>
        <w:rPr>
          <w:rFonts w:hint="eastAsia" w:ascii="宋体" w:hAnsi="宋体" w:eastAsia="宋体"/>
        </w:rPr>
      </w:pPr>
      <w:bookmarkStart w:id="74" w:name="_Toc254970675"/>
      <w:bookmarkStart w:id="75" w:name="_Toc254970534"/>
    </w:p>
    <w:p w14:paraId="10EB8D86">
      <w:pPr>
        <w:spacing w:line="360" w:lineRule="auto"/>
        <w:ind w:firstLine="643"/>
        <w:jc w:val="center"/>
        <w:rPr>
          <w:rFonts w:hint="eastAsia" w:ascii="宋体" w:hAnsi="宋体" w:eastAsia="宋体"/>
          <w:b/>
          <w:bCs/>
          <w:sz w:val="32"/>
          <w:szCs w:val="32"/>
        </w:rPr>
      </w:pPr>
      <w:r>
        <w:rPr>
          <w:rFonts w:hint="eastAsia" w:ascii="宋体" w:hAnsi="宋体" w:eastAsia="宋体"/>
          <w:b/>
          <w:bCs/>
          <w:sz w:val="32"/>
          <w:szCs w:val="32"/>
        </w:rPr>
        <w:t>二、磋商文件</w:t>
      </w:r>
      <w:bookmarkEnd w:id="74"/>
      <w:bookmarkEnd w:id="75"/>
    </w:p>
    <w:p w14:paraId="37A0F924">
      <w:pPr>
        <w:spacing w:line="360" w:lineRule="auto"/>
        <w:ind w:firstLine="422"/>
        <w:rPr>
          <w:rFonts w:hint="eastAsia" w:ascii="宋体" w:hAnsi="宋体" w:eastAsia="宋体"/>
          <w:szCs w:val="21"/>
        </w:rPr>
      </w:pPr>
    </w:p>
    <w:p w14:paraId="35829B0B">
      <w:pPr>
        <w:spacing w:line="360" w:lineRule="auto"/>
        <w:ind w:firstLine="482" w:firstLineChars="200"/>
        <w:rPr>
          <w:rFonts w:hint="eastAsia" w:ascii="宋体" w:hAnsi="宋体" w:eastAsia="宋体" w:cs="Calibri"/>
          <w:b/>
          <w:bCs/>
          <w:sz w:val="24"/>
        </w:rPr>
      </w:pPr>
      <w:r>
        <w:rPr>
          <w:rFonts w:hint="eastAsia" w:ascii="宋体" w:hAnsi="宋体" w:eastAsia="宋体" w:cs="Calibri"/>
          <w:b/>
          <w:bCs/>
          <w:sz w:val="24"/>
        </w:rPr>
        <w:t>8.磋商文件的构成</w:t>
      </w:r>
    </w:p>
    <w:p w14:paraId="6E82BAFA">
      <w:pPr>
        <w:spacing w:line="360" w:lineRule="auto"/>
        <w:ind w:firstLine="420" w:firstLineChars="200"/>
        <w:jc w:val="left"/>
        <w:rPr>
          <w:rFonts w:hint="eastAsia" w:ascii="宋体" w:hAnsi="宋体" w:eastAsia="宋体"/>
          <w:szCs w:val="21"/>
        </w:rPr>
      </w:pPr>
      <w:r>
        <w:rPr>
          <w:rFonts w:hint="eastAsia" w:ascii="宋体" w:hAnsi="宋体" w:eastAsia="宋体"/>
          <w:szCs w:val="21"/>
        </w:rPr>
        <w:t>（1）竞争性磋商公告/竞标邀请函；</w:t>
      </w:r>
    </w:p>
    <w:p w14:paraId="284BFBB0">
      <w:pPr>
        <w:spacing w:line="360" w:lineRule="auto"/>
        <w:ind w:firstLine="420" w:firstLineChars="200"/>
        <w:jc w:val="left"/>
        <w:rPr>
          <w:rFonts w:hint="eastAsia" w:ascii="宋体" w:hAnsi="宋体" w:eastAsia="宋体"/>
          <w:szCs w:val="21"/>
        </w:rPr>
      </w:pPr>
      <w:r>
        <w:rPr>
          <w:rFonts w:hint="eastAsia" w:ascii="宋体" w:hAnsi="宋体" w:eastAsia="宋体"/>
          <w:szCs w:val="21"/>
        </w:rPr>
        <w:t xml:space="preserve">（2）供应商须知； </w:t>
      </w:r>
    </w:p>
    <w:p w14:paraId="060353F3">
      <w:pPr>
        <w:spacing w:line="360" w:lineRule="auto"/>
        <w:ind w:firstLine="420" w:firstLineChars="200"/>
        <w:jc w:val="left"/>
        <w:rPr>
          <w:rFonts w:hint="eastAsia" w:ascii="宋体" w:hAnsi="宋体" w:eastAsia="宋体"/>
          <w:szCs w:val="21"/>
        </w:rPr>
      </w:pPr>
      <w:r>
        <w:rPr>
          <w:rFonts w:hint="eastAsia" w:ascii="宋体" w:hAnsi="宋体" w:eastAsia="宋体"/>
          <w:szCs w:val="21"/>
        </w:rPr>
        <w:t>（3）采购需求；</w:t>
      </w:r>
    </w:p>
    <w:p w14:paraId="48B84FEB">
      <w:pPr>
        <w:spacing w:line="360" w:lineRule="auto"/>
        <w:ind w:firstLine="420" w:firstLineChars="200"/>
        <w:jc w:val="left"/>
        <w:rPr>
          <w:rFonts w:hint="eastAsia" w:ascii="宋体" w:hAnsi="宋体" w:eastAsia="宋体"/>
          <w:szCs w:val="21"/>
        </w:rPr>
      </w:pPr>
      <w:r>
        <w:rPr>
          <w:rFonts w:hint="eastAsia" w:ascii="宋体" w:hAnsi="宋体" w:eastAsia="宋体"/>
          <w:szCs w:val="21"/>
        </w:rPr>
        <w:t>（4）评审程序、评审方法和评审标准；</w:t>
      </w:r>
    </w:p>
    <w:p w14:paraId="61DEBE84">
      <w:pPr>
        <w:spacing w:line="360" w:lineRule="auto"/>
        <w:ind w:firstLine="420" w:firstLineChars="200"/>
        <w:jc w:val="left"/>
        <w:rPr>
          <w:rFonts w:hint="eastAsia" w:ascii="宋体" w:hAnsi="宋体" w:eastAsia="宋体"/>
          <w:szCs w:val="21"/>
        </w:rPr>
      </w:pPr>
      <w:r>
        <w:rPr>
          <w:rFonts w:hint="eastAsia" w:ascii="宋体" w:hAnsi="宋体" w:eastAsia="宋体"/>
          <w:szCs w:val="21"/>
        </w:rPr>
        <w:t>（5）响应文件格式；</w:t>
      </w:r>
    </w:p>
    <w:p w14:paraId="393FA71E">
      <w:pPr>
        <w:spacing w:line="360" w:lineRule="auto"/>
        <w:ind w:firstLine="420" w:firstLineChars="200"/>
        <w:jc w:val="left"/>
        <w:rPr>
          <w:rFonts w:hint="eastAsia" w:ascii="宋体" w:hAnsi="宋体" w:eastAsia="宋体"/>
          <w:szCs w:val="21"/>
        </w:rPr>
      </w:pPr>
      <w:r>
        <w:rPr>
          <w:rFonts w:hint="eastAsia" w:ascii="宋体" w:hAnsi="宋体" w:eastAsia="宋体"/>
          <w:szCs w:val="21"/>
        </w:rPr>
        <w:t>（6）</w:t>
      </w:r>
      <w:r>
        <w:rPr>
          <w:rFonts w:hint="eastAsia" w:ascii="宋体" w:hAnsi="宋体" w:eastAsia="宋体" w:cs="宋体"/>
          <w:szCs w:val="21"/>
        </w:rPr>
        <w:t>拟定的</w:t>
      </w:r>
      <w:r>
        <w:rPr>
          <w:rFonts w:hint="eastAsia" w:ascii="宋体" w:hAnsi="宋体" w:eastAsia="宋体"/>
          <w:szCs w:val="21"/>
        </w:rPr>
        <w:t>合同文本。</w:t>
      </w:r>
    </w:p>
    <w:p w14:paraId="59FB0995">
      <w:pPr>
        <w:spacing w:line="360" w:lineRule="auto"/>
        <w:ind w:firstLine="482" w:firstLineChars="200"/>
        <w:rPr>
          <w:rFonts w:hint="eastAsia" w:ascii="宋体" w:hAnsi="宋体" w:eastAsia="宋体" w:cs="Calibri"/>
          <w:b/>
          <w:bCs/>
          <w:sz w:val="24"/>
        </w:rPr>
      </w:pPr>
      <w:r>
        <w:rPr>
          <w:rFonts w:hint="eastAsia" w:ascii="宋体" w:hAnsi="宋体" w:eastAsia="宋体" w:cs="Calibri"/>
          <w:b/>
          <w:bCs/>
          <w:sz w:val="24"/>
        </w:rPr>
        <w:t>9.供应商的询问</w:t>
      </w:r>
    </w:p>
    <w:p w14:paraId="0EAB713F">
      <w:pPr>
        <w:spacing w:line="360" w:lineRule="auto"/>
        <w:ind w:firstLine="420" w:firstLineChars="200"/>
        <w:rPr>
          <w:rFonts w:hint="eastAsia" w:ascii="宋体" w:hAnsi="宋体" w:eastAsia="宋体"/>
          <w:szCs w:val="21"/>
        </w:rPr>
      </w:pPr>
      <w:r>
        <w:rPr>
          <w:rFonts w:hint="eastAsia" w:ascii="宋体" w:hAnsi="宋体" w:eastAsia="宋体"/>
          <w:szCs w:val="21"/>
        </w:rPr>
        <w:t>供应商应认真阅读磋商文件的采购需求，如供应商对磋商文件有疑问的，如要求采购人作出澄清或者修改的，供应商尽可能在</w:t>
      </w:r>
      <w:r>
        <w:rPr>
          <w:rFonts w:ascii="宋体" w:hAnsi="宋体" w:eastAsia="宋体"/>
          <w:szCs w:val="21"/>
        </w:rPr>
        <w:t>提交首次响应文件截止之日前</w:t>
      </w:r>
      <w:r>
        <w:rPr>
          <w:rFonts w:hint="eastAsia" w:ascii="宋体" w:hAnsi="宋体" w:eastAsia="宋体"/>
          <w:szCs w:val="21"/>
        </w:rPr>
        <w:t>，以书面形式向</w:t>
      </w:r>
      <w:r>
        <w:rPr>
          <w:rFonts w:ascii="宋体" w:hAnsi="宋体" w:eastAsia="宋体"/>
          <w:szCs w:val="21"/>
        </w:rPr>
        <w:t>采购人、采购代理机构</w:t>
      </w:r>
      <w:r>
        <w:rPr>
          <w:rFonts w:hint="eastAsia" w:ascii="宋体" w:hAnsi="宋体" w:eastAsia="宋体"/>
          <w:szCs w:val="21"/>
        </w:rPr>
        <w:t>提出。</w:t>
      </w:r>
    </w:p>
    <w:p w14:paraId="622448BD">
      <w:pPr>
        <w:spacing w:line="360" w:lineRule="auto"/>
        <w:ind w:firstLine="482" w:firstLineChars="200"/>
        <w:rPr>
          <w:rFonts w:hint="eastAsia" w:ascii="宋体" w:hAnsi="宋体" w:eastAsia="宋体" w:cs="Calibri"/>
          <w:b/>
          <w:bCs/>
          <w:sz w:val="24"/>
        </w:rPr>
      </w:pPr>
      <w:r>
        <w:rPr>
          <w:rFonts w:hint="eastAsia" w:ascii="宋体" w:hAnsi="宋体" w:eastAsia="宋体" w:cs="Calibri"/>
          <w:b/>
          <w:bCs/>
          <w:sz w:val="24"/>
        </w:rPr>
        <w:t>10.磋商文件的澄清和修改</w:t>
      </w:r>
    </w:p>
    <w:p w14:paraId="2507661C">
      <w:pPr>
        <w:spacing w:line="360" w:lineRule="auto"/>
        <w:ind w:firstLine="420" w:firstLineChars="200"/>
        <w:rPr>
          <w:rFonts w:hint="eastAsia" w:ascii="宋体" w:hAnsi="宋体" w:eastAsia="宋体" w:cs="宋体"/>
          <w:szCs w:val="21"/>
        </w:rPr>
      </w:pPr>
      <w:r>
        <w:rPr>
          <w:rFonts w:ascii="宋体" w:hAnsi="宋体" w:eastAsia="宋体"/>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w:t>
      </w:r>
      <w:r>
        <w:rPr>
          <w:rFonts w:hint="eastAsia" w:ascii="宋体" w:hAnsi="宋体" w:eastAsia="宋体"/>
          <w:szCs w:val="21"/>
        </w:rPr>
        <w:t>5</w:t>
      </w:r>
      <w:r>
        <w:rPr>
          <w:rFonts w:ascii="宋体" w:hAnsi="宋体" w:eastAsia="宋体"/>
          <w:szCs w:val="21"/>
        </w:rPr>
        <w:t>个工作日前，以书面形式通知所有</w:t>
      </w:r>
      <w:r>
        <w:rPr>
          <w:rFonts w:hint="eastAsia" w:ascii="宋体" w:hAnsi="宋体" w:eastAsia="宋体"/>
          <w:szCs w:val="21"/>
        </w:rPr>
        <w:t>获取</w:t>
      </w:r>
      <w:r>
        <w:rPr>
          <w:rFonts w:ascii="宋体" w:hAnsi="宋体" w:eastAsia="宋体"/>
          <w:szCs w:val="21"/>
        </w:rPr>
        <w:t>磋商文件的供应商，不足</w:t>
      </w:r>
      <w:r>
        <w:rPr>
          <w:rFonts w:hint="eastAsia" w:ascii="宋体" w:hAnsi="宋体" w:eastAsia="宋体"/>
          <w:szCs w:val="21"/>
        </w:rPr>
        <w:t>5</w:t>
      </w:r>
      <w:r>
        <w:rPr>
          <w:rFonts w:ascii="宋体" w:hAnsi="宋体" w:eastAsia="宋体"/>
          <w:szCs w:val="21"/>
        </w:rPr>
        <w:t>个工作日的，应当顺延提交首次响应文件截止之日。</w:t>
      </w:r>
      <w:r>
        <w:rPr>
          <w:rFonts w:hint="eastAsia" w:ascii="宋体" w:hAnsi="宋体" w:eastAsia="宋体" w:cs="宋体"/>
          <w:szCs w:val="21"/>
        </w:rPr>
        <w:t>澄清或者更正公告在原公告发布媒体上发布</w:t>
      </w:r>
      <w:r>
        <w:rPr>
          <w:rFonts w:hint="eastAsia" w:ascii="宋体" w:hAnsi="宋体" w:eastAsia="宋体" w:cs="宋体"/>
        </w:rPr>
        <w:t>，一经发布，视作已以书面形式送达给所有潜在供应商、所有获取竞争性磋商文件的潜在供应商，不再另行通知，所有潜在供应商应密切关注原竞争性磋商公告发布媒体，因未能及时获知，由此产生的后果均应自行承担。</w:t>
      </w:r>
    </w:p>
    <w:p w14:paraId="27E505C8">
      <w:pPr>
        <w:spacing w:line="360" w:lineRule="auto"/>
        <w:ind w:firstLine="420" w:firstLineChars="200"/>
        <w:rPr>
          <w:rFonts w:hint="eastAsia" w:ascii="宋体" w:hAnsi="宋体" w:eastAsia="宋体"/>
          <w:szCs w:val="21"/>
        </w:rPr>
      </w:pPr>
    </w:p>
    <w:p w14:paraId="181B99AF">
      <w:pPr>
        <w:spacing w:line="360" w:lineRule="auto"/>
        <w:ind w:firstLine="422"/>
        <w:rPr>
          <w:rFonts w:hint="eastAsia" w:ascii="宋体" w:hAnsi="宋体" w:eastAsia="宋体"/>
          <w:szCs w:val="21"/>
        </w:rPr>
      </w:pPr>
    </w:p>
    <w:p w14:paraId="75E381BF">
      <w:pPr>
        <w:spacing w:line="360" w:lineRule="auto"/>
        <w:ind w:firstLine="643"/>
        <w:jc w:val="center"/>
        <w:rPr>
          <w:rFonts w:hint="eastAsia" w:ascii="宋体" w:hAnsi="宋体" w:eastAsia="宋体"/>
          <w:b/>
          <w:bCs/>
          <w:szCs w:val="21"/>
        </w:rPr>
      </w:pPr>
      <w:r>
        <w:rPr>
          <w:rFonts w:hint="eastAsia" w:ascii="宋体" w:hAnsi="宋体" w:eastAsia="宋体"/>
          <w:b/>
          <w:bCs/>
          <w:sz w:val="32"/>
          <w:szCs w:val="32"/>
        </w:rPr>
        <w:t>三、响应文件的编制</w:t>
      </w:r>
    </w:p>
    <w:p w14:paraId="33F57EEA">
      <w:pPr>
        <w:spacing w:line="360" w:lineRule="auto"/>
        <w:ind w:firstLine="422"/>
        <w:rPr>
          <w:rFonts w:hint="eastAsia" w:ascii="宋体" w:hAnsi="宋体" w:eastAsia="宋体"/>
          <w:szCs w:val="21"/>
        </w:rPr>
      </w:pPr>
    </w:p>
    <w:p w14:paraId="6C129AAA">
      <w:pPr>
        <w:spacing w:line="360" w:lineRule="auto"/>
        <w:ind w:firstLine="482" w:firstLineChars="200"/>
        <w:rPr>
          <w:rFonts w:hint="eastAsia" w:ascii="宋体" w:hAnsi="宋体" w:eastAsia="宋体" w:cs="Calibri"/>
          <w:b/>
          <w:bCs/>
          <w:sz w:val="24"/>
        </w:rPr>
      </w:pPr>
      <w:r>
        <w:rPr>
          <w:rFonts w:hint="eastAsia" w:ascii="宋体" w:hAnsi="宋体" w:eastAsia="宋体" w:cs="Calibri"/>
          <w:b/>
          <w:bCs/>
          <w:sz w:val="24"/>
        </w:rPr>
        <w:t>11.响应文件的编制原则</w:t>
      </w:r>
    </w:p>
    <w:p w14:paraId="20C46CC9">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供应商必须按照磋商文件的要求编制响应文件，并对其提交的响应文件的真实性、合法性承担法律责任。响应文件必须对磋商文件作出实质性响应。</w:t>
      </w:r>
    </w:p>
    <w:p w14:paraId="2A8E2CC5">
      <w:pPr>
        <w:wordWrap w:val="0"/>
        <w:spacing w:line="360" w:lineRule="auto"/>
        <w:ind w:firstLine="422" w:firstLineChars="200"/>
        <w:rPr>
          <w:rFonts w:hint="eastAsia"/>
        </w:rPr>
      </w:pPr>
      <w:r>
        <w:rPr>
          <w:rFonts w:hint="eastAsia" w:ascii="宋体" w:hAnsi="宋体" w:eastAsia="宋体" w:cs="宋体"/>
          <w:b/>
          <w:szCs w:val="21"/>
        </w:rPr>
        <w:t>注：本项目实行电子响应，供应商应准备电子响应文件电子响应文件按广西政府采购云平台要求及本磋商文件要求制作、加密并递交。具体操作流程可参考《政府采购项目电子交易管理操作指南-供应商》，指南可在“http://www.ccgp-guangxi.gov.cn/PurchaseAdvisory/ImportantNotice/2866753.html”下载。</w:t>
      </w:r>
    </w:p>
    <w:p w14:paraId="2B583B90">
      <w:pPr>
        <w:spacing w:line="360" w:lineRule="auto"/>
        <w:ind w:firstLine="482" w:firstLineChars="200"/>
        <w:rPr>
          <w:rFonts w:hint="eastAsia" w:ascii="宋体" w:hAnsi="宋体" w:eastAsia="宋体" w:cs="Calibri"/>
          <w:b/>
          <w:bCs/>
          <w:sz w:val="24"/>
        </w:rPr>
      </w:pPr>
      <w:r>
        <w:rPr>
          <w:rFonts w:hint="eastAsia" w:ascii="宋体" w:hAnsi="宋体" w:eastAsia="宋体" w:cs="Calibri"/>
          <w:b/>
          <w:bCs/>
          <w:sz w:val="24"/>
        </w:rPr>
        <w:t>12.响应文件的组成</w:t>
      </w:r>
    </w:p>
    <w:p w14:paraId="72F1CD6A">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12.1响应文件由资格证明文件、报价文件、商务技术文件三部分组成。</w:t>
      </w:r>
    </w:p>
    <w:p w14:paraId="41624E00">
      <w:pPr>
        <w:spacing w:line="360" w:lineRule="auto"/>
        <w:ind w:left="840" w:leftChars="200" w:hanging="420" w:hangingChars="200"/>
        <w:rPr>
          <w:rFonts w:hint="eastAsia" w:ascii="宋体" w:hAnsi="宋体" w:eastAsia="宋体" w:cs="Calibri"/>
          <w:szCs w:val="21"/>
        </w:rPr>
      </w:pPr>
      <w:r>
        <w:rPr>
          <w:rFonts w:hint="eastAsia" w:ascii="宋体" w:hAnsi="宋体" w:eastAsia="宋体" w:cs="Calibri"/>
          <w:szCs w:val="21"/>
        </w:rPr>
        <w:t>12.1.1资格证明文件：详见“供应商须知前附表”</w:t>
      </w:r>
    </w:p>
    <w:p w14:paraId="73571E74">
      <w:pPr>
        <w:spacing w:line="360" w:lineRule="auto"/>
        <w:ind w:left="840" w:leftChars="200" w:hanging="420" w:hangingChars="200"/>
        <w:rPr>
          <w:rFonts w:hint="eastAsia" w:ascii="宋体" w:hAnsi="宋体" w:eastAsia="宋体" w:cs="Calibri"/>
          <w:szCs w:val="21"/>
        </w:rPr>
      </w:pPr>
      <w:r>
        <w:rPr>
          <w:rFonts w:hint="eastAsia" w:ascii="宋体" w:hAnsi="宋体" w:eastAsia="宋体" w:cs="Calibri"/>
          <w:szCs w:val="21"/>
        </w:rPr>
        <w:t>12.1.2报价文件：详见“供应商须知前附表”</w:t>
      </w:r>
    </w:p>
    <w:p w14:paraId="70383AC7">
      <w:pPr>
        <w:spacing w:line="360" w:lineRule="auto"/>
        <w:ind w:left="840" w:leftChars="200" w:hanging="420" w:hangingChars="200"/>
        <w:rPr>
          <w:rFonts w:hint="eastAsia" w:ascii="宋体" w:hAnsi="宋体" w:eastAsia="宋体" w:cs="Calibri"/>
          <w:szCs w:val="21"/>
        </w:rPr>
      </w:pPr>
      <w:r>
        <w:rPr>
          <w:rFonts w:hint="eastAsia" w:ascii="宋体" w:hAnsi="宋体" w:eastAsia="宋体" w:cs="Calibri"/>
          <w:szCs w:val="21"/>
        </w:rPr>
        <w:t>12.1.3商务技术文件：详见“供应商须知前附表”</w:t>
      </w:r>
    </w:p>
    <w:p w14:paraId="3833E133">
      <w:pPr>
        <w:spacing w:line="360" w:lineRule="auto"/>
        <w:ind w:firstLine="482" w:firstLineChars="200"/>
        <w:rPr>
          <w:rFonts w:hint="eastAsia" w:ascii="宋体" w:hAnsi="宋体" w:eastAsia="宋体" w:cs="Calibri"/>
          <w:b/>
          <w:bCs/>
          <w:sz w:val="24"/>
        </w:rPr>
      </w:pPr>
      <w:r>
        <w:rPr>
          <w:rFonts w:hint="eastAsia" w:ascii="宋体" w:hAnsi="宋体" w:eastAsia="宋体" w:cs="Calibri"/>
          <w:b/>
          <w:bCs/>
          <w:sz w:val="24"/>
        </w:rPr>
        <w:t>13.计量单位</w:t>
      </w:r>
    </w:p>
    <w:p w14:paraId="39533393">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磋商文件已有明确规定的，使用磋商文件规定的计量单位；磋商文件没有规定的，应采用中华人民共和国法定计量单位，货币种类为人民币，否则视同未响应。</w:t>
      </w:r>
    </w:p>
    <w:p w14:paraId="47EE6445">
      <w:pPr>
        <w:spacing w:line="360" w:lineRule="auto"/>
        <w:ind w:firstLine="482" w:firstLineChars="200"/>
        <w:rPr>
          <w:rFonts w:hint="eastAsia" w:ascii="宋体" w:hAnsi="宋体" w:eastAsia="宋体" w:cs="Calibri"/>
          <w:b/>
          <w:bCs/>
          <w:sz w:val="24"/>
        </w:rPr>
      </w:pPr>
      <w:r>
        <w:rPr>
          <w:rFonts w:hint="eastAsia" w:ascii="宋体" w:hAnsi="宋体" w:eastAsia="宋体" w:cs="Calibri"/>
          <w:b/>
          <w:bCs/>
          <w:sz w:val="24"/>
        </w:rPr>
        <w:t>14.竞标的风险</w:t>
      </w:r>
    </w:p>
    <w:p w14:paraId="1F898B0D">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供应商没有按照磋商文件要求提供全部资料，或者供应商没有对磋商文件在各方面作出实质性响应可能导致其响应无效，是供应商应当考虑的风险。</w:t>
      </w:r>
    </w:p>
    <w:p w14:paraId="7AA83F58">
      <w:pPr>
        <w:spacing w:line="360" w:lineRule="auto"/>
        <w:ind w:firstLine="482" w:firstLineChars="200"/>
        <w:rPr>
          <w:rFonts w:hint="eastAsia" w:ascii="宋体" w:hAnsi="宋体" w:eastAsia="宋体" w:cs="Calibri"/>
          <w:b/>
          <w:bCs/>
          <w:sz w:val="24"/>
        </w:rPr>
      </w:pPr>
      <w:r>
        <w:rPr>
          <w:rFonts w:hint="eastAsia" w:ascii="宋体" w:hAnsi="宋体" w:eastAsia="宋体" w:cs="Calibri"/>
          <w:b/>
          <w:bCs/>
          <w:sz w:val="24"/>
        </w:rPr>
        <w:t>15.竞标报价</w:t>
      </w:r>
    </w:p>
    <w:p w14:paraId="23931A11">
      <w:pPr>
        <w:tabs>
          <w:tab w:val="left" w:pos="2492"/>
        </w:tabs>
        <w:spacing w:line="360" w:lineRule="auto"/>
        <w:ind w:firstLine="420" w:firstLineChars="200"/>
        <w:rPr>
          <w:rFonts w:hint="eastAsia" w:ascii="宋体" w:hAnsi="宋体" w:eastAsia="宋体" w:cs="Calibri"/>
          <w:szCs w:val="21"/>
        </w:rPr>
      </w:pPr>
      <w:r>
        <w:rPr>
          <w:rFonts w:hint="eastAsia" w:ascii="宋体" w:hAnsi="宋体" w:eastAsia="宋体" w:cs="Calibri"/>
          <w:szCs w:val="21"/>
        </w:rPr>
        <w:t>15.1竞标报价应按磋商文件中“竞标报价表”格式填写。</w:t>
      </w:r>
    </w:p>
    <w:p w14:paraId="5D5BC4D5">
      <w:pPr>
        <w:tabs>
          <w:tab w:val="left" w:pos="2492"/>
        </w:tabs>
        <w:spacing w:line="360" w:lineRule="auto"/>
        <w:ind w:firstLine="420" w:firstLineChars="200"/>
        <w:rPr>
          <w:rFonts w:hint="eastAsia" w:ascii="宋体" w:hAnsi="宋体" w:eastAsia="宋体" w:cs="Calibri"/>
          <w:szCs w:val="21"/>
        </w:rPr>
      </w:pPr>
      <w:r>
        <w:rPr>
          <w:rFonts w:hint="eastAsia" w:ascii="宋体" w:hAnsi="宋体" w:eastAsia="宋体" w:cs="Calibri"/>
          <w:szCs w:val="21"/>
        </w:rPr>
        <w:t>15.2竞标报价的内容见“供应商须知前附表”。</w:t>
      </w:r>
    </w:p>
    <w:p w14:paraId="249B043C">
      <w:pPr>
        <w:spacing w:line="360" w:lineRule="auto"/>
        <w:ind w:left="426" w:leftChars="203" w:firstLine="422"/>
        <w:rPr>
          <w:rFonts w:hint="eastAsia" w:ascii="宋体" w:hAnsi="宋体" w:eastAsia="宋体" w:cs="Calibri"/>
          <w:szCs w:val="21"/>
        </w:rPr>
      </w:pPr>
      <w:r>
        <w:rPr>
          <w:rFonts w:hint="eastAsia" w:ascii="宋体" w:hAnsi="宋体" w:eastAsia="宋体" w:cs="Calibri"/>
          <w:szCs w:val="21"/>
        </w:rPr>
        <w:t>15.3竞标报价要求</w:t>
      </w:r>
    </w:p>
    <w:p w14:paraId="69FE3801">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1</w:t>
      </w:r>
      <w:r>
        <w:rPr>
          <w:rFonts w:ascii="宋体" w:hAnsi="宋体" w:eastAsia="宋体" w:cs="Calibri"/>
          <w:szCs w:val="21"/>
        </w:rPr>
        <w:t>5.3.1</w:t>
      </w:r>
      <w:r>
        <w:rPr>
          <w:rFonts w:hint="eastAsia" w:ascii="宋体" w:hAnsi="宋体" w:eastAsia="宋体" w:cs="Calibri"/>
          <w:szCs w:val="21"/>
        </w:rPr>
        <w:t>供应商的竞标报价应符合以下要求，否则响应文件按无效响应处理：</w:t>
      </w:r>
    </w:p>
    <w:p w14:paraId="58B75FC5">
      <w:pPr>
        <w:spacing w:line="360" w:lineRule="auto"/>
        <w:ind w:left="420" w:leftChars="200" w:firstLine="422"/>
        <w:rPr>
          <w:rFonts w:hint="eastAsia" w:ascii="宋体" w:hAnsi="宋体" w:eastAsia="宋体" w:cs="Calibri"/>
          <w:szCs w:val="21"/>
        </w:rPr>
      </w:pPr>
      <w:r>
        <w:rPr>
          <w:rFonts w:hint="eastAsia" w:ascii="宋体" w:hAnsi="宋体" w:eastAsia="宋体" w:cs="Calibri"/>
          <w:szCs w:val="21"/>
        </w:rPr>
        <w:t>（1）供应商必须就“采购需求”中所竞标的每个分标的全部内容分别作完整唯一总价报价，</w:t>
      </w:r>
    </w:p>
    <w:p w14:paraId="0DE1E781">
      <w:pPr>
        <w:spacing w:line="360" w:lineRule="auto"/>
        <w:ind w:firstLine="422"/>
        <w:rPr>
          <w:rFonts w:hint="eastAsia" w:ascii="宋体" w:hAnsi="宋体" w:eastAsia="宋体" w:cs="Calibri"/>
          <w:szCs w:val="21"/>
        </w:rPr>
      </w:pPr>
      <w:r>
        <w:rPr>
          <w:rFonts w:hint="eastAsia" w:ascii="宋体" w:hAnsi="宋体" w:eastAsia="宋体" w:cs="Calibri"/>
          <w:szCs w:val="21"/>
        </w:rPr>
        <w:t>不得存在漏项报价；</w:t>
      </w:r>
    </w:p>
    <w:p w14:paraId="2E7AF8A9">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w:t>
      </w:r>
      <w:r>
        <w:rPr>
          <w:rFonts w:ascii="宋体" w:hAnsi="宋体" w:eastAsia="宋体" w:cs="Calibri"/>
          <w:szCs w:val="21"/>
        </w:rPr>
        <w:t>2</w:t>
      </w:r>
      <w:r>
        <w:rPr>
          <w:rFonts w:hint="eastAsia" w:ascii="宋体" w:hAnsi="宋体" w:eastAsia="宋体" w:cs="Calibri"/>
          <w:szCs w:val="21"/>
        </w:rPr>
        <w:t>）供应商必须就所竞标的分标的单项内容作唯一报价。</w:t>
      </w:r>
    </w:p>
    <w:p w14:paraId="3EA23918">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15.3.</w:t>
      </w:r>
      <w:r>
        <w:rPr>
          <w:rFonts w:ascii="宋体" w:hAnsi="宋体" w:eastAsia="宋体" w:cs="Calibri"/>
          <w:szCs w:val="21"/>
        </w:rPr>
        <w:t>2</w:t>
      </w:r>
      <w:r>
        <w:rPr>
          <w:rFonts w:hint="eastAsia" w:ascii="宋体" w:hAnsi="宋体" w:eastAsia="宋体" w:cs="Calibri"/>
          <w:szCs w:val="21"/>
        </w:rPr>
        <w:t>竞标报价（包含首次报价、最后报价）超过所竞标分标规定的采购预算金额或者最高限价的，其响应文件将按无效处理。</w:t>
      </w:r>
    </w:p>
    <w:p w14:paraId="7075356B">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15.3.</w:t>
      </w:r>
      <w:r>
        <w:rPr>
          <w:rFonts w:ascii="宋体" w:hAnsi="宋体" w:eastAsia="宋体" w:cs="Calibri"/>
          <w:szCs w:val="21"/>
        </w:rPr>
        <w:t>3</w:t>
      </w:r>
      <w:bookmarkStart w:id="76" w:name="_Hlk42592874"/>
      <w:r>
        <w:rPr>
          <w:rFonts w:hint="eastAsia" w:ascii="宋体" w:hAnsi="宋体" w:eastAsia="宋体" w:cs="Calibri"/>
          <w:szCs w:val="21"/>
        </w:rPr>
        <w:t>竞标报价（包含首次报价、最后报价）超过分项采购预算金额或者最高限价的，其响应文件将按无效处理。</w:t>
      </w:r>
    </w:p>
    <w:bookmarkEnd w:id="76"/>
    <w:p w14:paraId="5B8F32B2">
      <w:pPr>
        <w:spacing w:line="360" w:lineRule="auto"/>
        <w:ind w:firstLine="482" w:firstLineChars="200"/>
        <w:rPr>
          <w:rFonts w:hint="eastAsia" w:ascii="宋体" w:hAnsi="宋体" w:eastAsia="宋体" w:cs="Calibri"/>
          <w:b/>
          <w:bCs/>
          <w:sz w:val="24"/>
        </w:rPr>
      </w:pPr>
      <w:r>
        <w:rPr>
          <w:rFonts w:hint="eastAsia" w:ascii="宋体" w:hAnsi="宋体" w:eastAsia="宋体" w:cs="Calibri"/>
          <w:b/>
          <w:bCs/>
          <w:sz w:val="24"/>
        </w:rPr>
        <w:t>16.竞标有效期</w:t>
      </w:r>
    </w:p>
    <w:p w14:paraId="1F98B500">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16.1竞标有效期是指为保证采购人有足够的时间在提交响应文件后完成评审、确定成交供应商、合同签订等工作而要求供应商提交的响应文件在一定时间内保持有效的期限。</w:t>
      </w:r>
    </w:p>
    <w:p w14:paraId="40648EC7">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16.2 竞标有效期应由供应商按“供应商须知前附表”规定的期限作出响应。</w:t>
      </w:r>
    </w:p>
    <w:p w14:paraId="6CC63099">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16.3供应商的响应文件在竞标有效期内均保持有效。</w:t>
      </w:r>
    </w:p>
    <w:p w14:paraId="0A43424A">
      <w:pPr>
        <w:spacing w:line="360" w:lineRule="auto"/>
        <w:ind w:firstLine="482" w:firstLineChars="200"/>
        <w:rPr>
          <w:rFonts w:hint="eastAsia" w:ascii="宋体" w:hAnsi="宋体" w:eastAsia="宋体" w:cs="Calibri"/>
          <w:b/>
          <w:bCs/>
          <w:sz w:val="24"/>
        </w:rPr>
      </w:pPr>
      <w:r>
        <w:rPr>
          <w:rFonts w:hint="eastAsia" w:ascii="宋体" w:hAnsi="宋体" w:eastAsia="宋体" w:cs="Calibri"/>
          <w:b/>
          <w:bCs/>
          <w:sz w:val="24"/>
        </w:rPr>
        <w:t>17.磋商保证金</w:t>
      </w:r>
    </w:p>
    <w:p w14:paraId="5152C927">
      <w:pPr>
        <w:spacing w:line="360" w:lineRule="auto"/>
        <w:ind w:left="420" w:leftChars="200" w:firstLine="422"/>
        <w:rPr>
          <w:rFonts w:hint="eastAsia" w:ascii="宋体" w:hAnsi="宋体" w:eastAsia="宋体" w:cs="Calibri"/>
          <w:szCs w:val="21"/>
        </w:rPr>
      </w:pPr>
      <w:r>
        <w:rPr>
          <w:rFonts w:hint="eastAsia" w:ascii="宋体" w:hAnsi="宋体" w:eastAsia="宋体" w:cs="Calibri"/>
          <w:szCs w:val="21"/>
        </w:rPr>
        <w:t>17.1供应商须按“供应商须知前附表”的规定提交磋商保证金。</w:t>
      </w:r>
    </w:p>
    <w:p w14:paraId="6FFBC6D0">
      <w:pPr>
        <w:spacing w:line="360" w:lineRule="auto"/>
        <w:ind w:left="420" w:leftChars="200" w:firstLine="422"/>
        <w:rPr>
          <w:rFonts w:hint="eastAsia" w:ascii="宋体" w:hAnsi="宋体" w:eastAsia="宋体" w:cs="Calibri"/>
          <w:szCs w:val="21"/>
        </w:rPr>
      </w:pPr>
      <w:r>
        <w:rPr>
          <w:rFonts w:hint="eastAsia" w:ascii="宋体" w:hAnsi="宋体" w:eastAsia="宋体" w:cs="Calibri"/>
          <w:szCs w:val="21"/>
        </w:rPr>
        <w:t>17.2磋商保证金的退还</w:t>
      </w:r>
    </w:p>
    <w:p w14:paraId="29071E1D">
      <w:pPr>
        <w:spacing w:line="360" w:lineRule="auto"/>
        <w:ind w:firstLine="420" w:firstLineChars="200"/>
        <w:rPr>
          <w:rFonts w:hint="eastAsia" w:ascii="宋体" w:hAnsi="宋体" w:eastAsia="宋体" w:cs="Calibri"/>
          <w:szCs w:val="21"/>
        </w:rPr>
      </w:pPr>
      <w:bookmarkStart w:id="77" w:name="_Hlk66782243"/>
      <w:r>
        <w:rPr>
          <w:rFonts w:hint="eastAsia" w:ascii="宋体" w:hAnsi="宋体" w:eastAsia="宋体" w:cs="Calibri"/>
          <w:szCs w:val="21"/>
        </w:rPr>
        <w:t>未</w:t>
      </w:r>
      <w:r>
        <w:rPr>
          <w:rFonts w:hint="eastAsia" w:ascii="宋体" w:hAnsi="宋体" w:eastAsia="宋体" w:cs="Calibri"/>
          <w:spacing w:val="-6"/>
          <w:szCs w:val="21"/>
        </w:rPr>
        <w:t>成交供应商的竞标保证金自成交通知书发出之日起5个工作日内退还；</w:t>
      </w:r>
      <w:r>
        <w:rPr>
          <w:rFonts w:hint="eastAsia" w:ascii="宋体" w:hAnsi="宋体" w:eastAsia="宋体" w:cs="Calibri"/>
          <w:szCs w:val="21"/>
        </w:rPr>
        <w:t>成交供应商的磋商保证金自签订合同之日起5个工作日内退还。</w:t>
      </w:r>
      <w:bookmarkEnd w:id="77"/>
      <w:r>
        <w:rPr>
          <w:rFonts w:hint="eastAsia" w:ascii="宋体" w:hAnsi="宋体" w:eastAsia="宋体" w:cs="Calibri"/>
          <w:szCs w:val="21"/>
        </w:rPr>
        <w:t xml:space="preserve"> </w:t>
      </w:r>
    </w:p>
    <w:p w14:paraId="111AFE74">
      <w:pPr>
        <w:spacing w:line="360" w:lineRule="auto"/>
        <w:ind w:left="420" w:leftChars="200" w:firstLine="422"/>
        <w:rPr>
          <w:rFonts w:hint="eastAsia" w:ascii="宋体" w:hAnsi="宋体" w:eastAsia="宋体" w:cs="Calibri"/>
          <w:szCs w:val="21"/>
        </w:rPr>
      </w:pPr>
      <w:r>
        <w:rPr>
          <w:rFonts w:hint="eastAsia" w:ascii="宋体" w:hAnsi="宋体" w:eastAsia="宋体" w:cs="Calibri"/>
          <w:szCs w:val="21"/>
        </w:rPr>
        <w:t>17.3磋商保证金不计息。</w:t>
      </w:r>
    </w:p>
    <w:p w14:paraId="53A0594B">
      <w:pPr>
        <w:spacing w:line="360" w:lineRule="auto"/>
        <w:ind w:left="420" w:leftChars="200" w:firstLine="422"/>
        <w:rPr>
          <w:rFonts w:hint="eastAsia" w:ascii="宋体" w:hAnsi="宋体" w:eastAsia="宋体" w:cs="Calibri"/>
          <w:szCs w:val="21"/>
        </w:rPr>
      </w:pPr>
      <w:r>
        <w:rPr>
          <w:rFonts w:hint="eastAsia" w:ascii="宋体" w:hAnsi="宋体" w:eastAsia="宋体" w:cs="Calibri"/>
          <w:szCs w:val="21"/>
        </w:rPr>
        <w:t xml:space="preserve">17.4供应商有下列情形之一的，磋商保证金将不予退还： </w:t>
      </w:r>
    </w:p>
    <w:p w14:paraId="498E7214">
      <w:pPr>
        <w:spacing w:line="360" w:lineRule="auto"/>
        <w:ind w:left="420" w:leftChars="200" w:firstLine="422"/>
        <w:rPr>
          <w:rFonts w:hint="eastAsia" w:ascii="宋体" w:hAnsi="宋体" w:eastAsia="宋体" w:cs="Calibri"/>
          <w:szCs w:val="21"/>
        </w:rPr>
      </w:pPr>
      <w:r>
        <w:rPr>
          <w:rFonts w:hint="eastAsia" w:ascii="宋体" w:hAnsi="宋体" w:eastAsia="宋体" w:cs="Calibri"/>
          <w:szCs w:val="21"/>
        </w:rPr>
        <w:t>（1）供应商在提交响应文件截止时间后撤回响应文件的；</w:t>
      </w:r>
    </w:p>
    <w:p w14:paraId="78BB4F51">
      <w:pPr>
        <w:spacing w:line="360" w:lineRule="auto"/>
        <w:ind w:left="420" w:leftChars="200" w:firstLine="422"/>
        <w:rPr>
          <w:rFonts w:hint="eastAsia" w:ascii="宋体" w:hAnsi="宋体" w:eastAsia="宋体" w:cs="Calibri"/>
          <w:szCs w:val="21"/>
        </w:rPr>
      </w:pPr>
      <w:r>
        <w:rPr>
          <w:rFonts w:hint="eastAsia" w:ascii="宋体" w:hAnsi="宋体" w:eastAsia="宋体"/>
          <w:szCs w:val="21"/>
        </w:rPr>
        <w:t>（2）未按规定提交履约保证金的；</w:t>
      </w:r>
    </w:p>
    <w:p w14:paraId="44DEBF66">
      <w:pPr>
        <w:spacing w:line="360" w:lineRule="auto"/>
        <w:ind w:left="420" w:leftChars="200" w:firstLine="422"/>
        <w:rPr>
          <w:rFonts w:hint="eastAsia" w:ascii="宋体" w:hAnsi="宋体" w:eastAsia="宋体" w:cs="Calibri"/>
          <w:szCs w:val="21"/>
        </w:rPr>
      </w:pPr>
      <w:r>
        <w:rPr>
          <w:rFonts w:hint="eastAsia" w:ascii="宋体" w:hAnsi="宋体" w:eastAsia="宋体" w:cs="Calibri"/>
          <w:szCs w:val="21"/>
        </w:rPr>
        <w:t>（3）供应商在响应文件中提供虚假材料的；</w:t>
      </w:r>
    </w:p>
    <w:p w14:paraId="30619854">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（4）除因不可抗力或者磋商文件认可的情形以外，成交供应商不与采购人签订合同的；</w:t>
      </w:r>
    </w:p>
    <w:p w14:paraId="2B1D940D">
      <w:pPr>
        <w:spacing w:line="360" w:lineRule="auto"/>
        <w:ind w:left="420" w:leftChars="200" w:firstLine="422"/>
        <w:rPr>
          <w:rFonts w:hint="eastAsia" w:ascii="宋体" w:hAnsi="宋体" w:eastAsia="宋体" w:cs="Calibri"/>
          <w:szCs w:val="21"/>
        </w:rPr>
      </w:pPr>
      <w:r>
        <w:rPr>
          <w:rFonts w:hint="eastAsia" w:ascii="宋体" w:hAnsi="宋体" w:eastAsia="宋体" w:cs="Calibri"/>
          <w:szCs w:val="21"/>
        </w:rPr>
        <w:t>（5）供应商与采购人、其他供应商或者采购代理机构恶意串通的；</w:t>
      </w:r>
    </w:p>
    <w:p w14:paraId="28C57FC8">
      <w:pPr>
        <w:spacing w:line="360" w:lineRule="auto"/>
        <w:ind w:left="420" w:leftChars="200" w:firstLine="422"/>
        <w:rPr>
          <w:rFonts w:hint="eastAsia" w:ascii="宋体" w:hAnsi="宋体" w:eastAsia="宋体" w:cs="Calibri"/>
          <w:szCs w:val="21"/>
        </w:rPr>
      </w:pPr>
      <w:r>
        <w:rPr>
          <w:rFonts w:hint="eastAsia" w:ascii="宋体" w:hAnsi="宋体" w:eastAsia="宋体" w:cs="Calibri"/>
          <w:szCs w:val="21"/>
        </w:rPr>
        <w:t>（6）法律法规规定的其他情形。</w:t>
      </w:r>
    </w:p>
    <w:p w14:paraId="3BC3D2F4">
      <w:pPr>
        <w:spacing w:line="360" w:lineRule="auto"/>
        <w:ind w:firstLine="482" w:firstLineChars="200"/>
        <w:rPr>
          <w:rFonts w:hint="eastAsia" w:ascii="宋体" w:hAnsi="宋体" w:eastAsia="宋体" w:cs="Calibri"/>
          <w:b/>
          <w:bCs/>
          <w:sz w:val="24"/>
        </w:rPr>
      </w:pPr>
      <w:r>
        <w:rPr>
          <w:rFonts w:hint="eastAsia" w:ascii="宋体" w:hAnsi="宋体" w:eastAsia="宋体" w:cs="Calibri"/>
          <w:b/>
          <w:bCs/>
          <w:sz w:val="24"/>
        </w:rPr>
        <w:t>18.响应文件编制的要求</w:t>
      </w:r>
    </w:p>
    <w:p w14:paraId="6280B66D">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18.1供应商应先安装“广西政府采购云平台电子交易客户端”（请自行前往广西政府采购云平台进行下载），并按照本项目磋商文件规定的格式和顺序和广西政府采购云平台的要求编制并加密。响应文件内容不完整、编排混乱导致响应文件被误读、漏读或者查找不到相关内容的，由此引发的后果由供应商承担。</w:t>
      </w:r>
    </w:p>
    <w:p w14:paraId="7EE360FD">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18.2为确保网上操作合法、有效和安全，供应商应当在提交响应文件截止时间前完成在广西政府采购云平台的身份认证，确保在电子竞标过程中能够对相关数据电文进行加密和使用电子签章。</w:t>
      </w:r>
    </w:p>
    <w:p w14:paraId="740CD19A">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18.3响应文件须由供应商在规定位置签字、盖章（具体以供应商须知前附表或响应文件格式规定为准），否则按无效响应处理。</w:t>
      </w:r>
    </w:p>
    <w:p w14:paraId="2AD1FF5A">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553DE3A8">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42537434">
      <w:pPr>
        <w:spacing w:line="360" w:lineRule="auto"/>
        <w:ind w:firstLine="482" w:firstLineChars="200"/>
        <w:rPr>
          <w:rFonts w:hint="eastAsia" w:ascii="宋体" w:hAnsi="宋体" w:eastAsia="宋体"/>
          <w:sz w:val="24"/>
        </w:rPr>
      </w:pPr>
      <w:r>
        <w:rPr>
          <w:rFonts w:hint="eastAsia" w:ascii="宋体" w:hAnsi="宋体" w:eastAsia="宋体" w:cs="Calibri"/>
          <w:b/>
          <w:bCs/>
          <w:sz w:val="24"/>
        </w:rPr>
        <w:t>19.电子</w:t>
      </w:r>
      <w:r>
        <w:rPr>
          <w:rFonts w:hint="eastAsia" w:ascii="宋体" w:hAnsi="宋体" w:eastAsia="宋体"/>
          <w:b/>
          <w:sz w:val="24"/>
        </w:rPr>
        <w:t>备份响应文件</w:t>
      </w:r>
    </w:p>
    <w:p w14:paraId="169DD65F">
      <w:pPr>
        <w:spacing w:line="360" w:lineRule="auto"/>
        <w:ind w:firstLine="420" w:firstLineChars="200"/>
        <w:rPr>
          <w:rFonts w:hint="eastAsia" w:ascii="宋体" w:hAnsi="宋体" w:eastAsia="宋体" w:cs="Calibri"/>
          <w:szCs w:val="21"/>
        </w:rPr>
      </w:pPr>
      <w:r>
        <w:rPr>
          <w:rFonts w:hint="eastAsia" w:ascii="宋体" w:hAnsi="宋体" w:eastAsia="宋体"/>
        </w:rPr>
        <w:t>电子备份响应文件是指通过“广西政府采购云平台电子投标客户端”在线编制生成且后缀名为“</w:t>
      </w:r>
      <w:r>
        <w:rPr>
          <w:rFonts w:ascii="宋体" w:hAnsi="宋体" w:eastAsia="宋体"/>
        </w:rPr>
        <w:t>bfbs</w:t>
      </w:r>
      <w:r>
        <w:rPr>
          <w:rFonts w:hint="eastAsia" w:ascii="宋体" w:hAnsi="宋体" w:eastAsia="宋体"/>
        </w:rPr>
        <w:t>”的文件，是否接受电子备份响应文件</w:t>
      </w:r>
      <w:r>
        <w:rPr>
          <w:rFonts w:hint="eastAsia" w:ascii="宋体" w:hAnsi="宋体" w:eastAsia="宋体"/>
          <w:bCs/>
          <w:szCs w:val="21"/>
        </w:rPr>
        <w:t>详见在“供应商须知前附表”。</w:t>
      </w:r>
    </w:p>
    <w:p w14:paraId="4035A812">
      <w:pPr>
        <w:spacing w:line="360" w:lineRule="auto"/>
        <w:ind w:firstLine="482" w:firstLineChars="200"/>
        <w:rPr>
          <w:rFonts w:hint="eastAsia" w:ascii="宋体" w:hAnsi="宋体" w:eastAsia="宋体" w:cs="Calibri"/>
          <w:b/>
          <w:bCs/>
          <w:sz w:val="24"/>
        </w:rPr>
      </w:pPr>
      <w:r>
        <w:rPr>
          <w:rFonts w:hint="eastAsia" w:ascii="宋体" w:hAnsi="宋体" w:eastAsia="宋体" w:cs="Calibri"/>
          <w:b/>
          <w:bCs/>
          <w:sz w:val="24"/>
        </w:rPr>
        <w:t>20.响应文件的提交</w:t>
      </w:r>
    </w:p>
    <w:p w14:paraId="657D7ECC">
      <w:pPr>
        <w:spacing w:line="360" w:lineRule="auto"/>
        <w:ind w:firstLine="420" w:firstLineChars="200"/>
        <w:rPr>
          <w:rFonts w:hint="eastAsia" w:ascii="宋体" w:hAnsi="宋体" w:eastAsia="宋体"/>
          <w:b/>
        </w:rPr>
      </w:pPr>
      <w:r>
        <w:rPr>
          <w:rFonts w:hint="eastAsia" w:ascii="宋体" w:hAnsi="宋体" w:eastAsia="宋体"/>
          <w:bCs/>
          <w:szCs w:val="21"/>
        </w:rPr>
        <w:t>20.1供应商必须按“供应商须知前附表”规定的</w:t>
      </w:r>
      <w:r>
        <w:rPr>
          <w:rFonts w:hint="eastAsia" w:ascii="宋体" w:hAnsi="宋体" w:eastAsia="宋体" w:cs="Calibri"/>
          <w:szCs w:val="21"/>
        </w:rPr>
        <w:t>时间</w:t>
      </w:r>
      <w:r>
        <w:rPr>
          <w:rFonts w:hint="eastAsia" w:ascii="宋体" w:hAnsi="宋体" w:eastAsia="宋体"/>
          <w:szCs w:val="21"/>
        </w:rPr>
        <w:t>及</w:t>
      </w:r>
      <w:r>
        <w:rPr>
          <w:rFonts w:hint="eastAsia" w:ascii="宋体" w:hAnsi="宋体" w:eastAsia="宋体"/>
          <w:bCs/>
          <w:szCs w:val="21"/>
        </w:rPr>
        <w:t>地点提交响应文件。电子响应文件应在制作完成后，</w:t>
      </w:r>
      <w:r>
        <w:rPr>
          <w:rFonts w:ascii="宋体" w:hAnsi="宋体" w:eastAsia="宋体"/>
          <w:bCs/>
          <w:szCs w:val="21"/>
        </w:rPr>
        <w:t>在</w:t>
      </w:r>
      <w:r>
        <w:rPr>
          <w:rFonts w:hint="eastAsia" w:ascii="宋体" w:hAnsi="宋体" w:eastAsia="宋体"/>
          <w:bCs/>
          <w:szCs w:val="21"/>
        </w:rPr>
        <w:t>提交响应文件截止</w:t>
      </w:r>
      <w:r>
        <w:rPr>
          <w:rFonts w:ascii="宋体" w:hAnsi="宋体" w:eastAsia="宋体"/>
          <w:bCs/>
          <w:szCs w:val="21"/>
        </w:rPr>
        <w:t>时间前</w:t>
      </w:r>
      <w:r>
        <w:rPr>
          <w:rFonts w:hint="eastAsia" w:ascii="宋体" w:hAnsi="宋体" w:eastAsia="宋体"/>
          <w:bCs/>
          <w:szCs w:val="21"/>
        </w:rPr>
        <w:t xml:space="preserve">通过有效数字证书（CA认证锁）进行电子签章、加密，然后通过网络将加密的电子响应文件提交至广西政府采购云平台。 </w:t>
      </w:r>
      <w:r>
        <w:rPr>
          <w:rFonts w:hint="eastAsia" w:ascii="宋体" w:hAnsi="宋体" w:eastAsia="宋体"/>
          <w:b/>
        </w:rPr>
        <w:t xml:space="preserve"> </w:t>
      </w:r>
    </w:p>
    <w:p w14:paraId="1A764429">
      <w:pPr>
        <w:spacing w:line="360" w:lineRule="auto"/>
        <w:ind w:firstLine="422" w:firstLineChars="200"/>
        <w:rPr>
          <w:rFonts w:hint="eastAsia" w:ascii="宋体" w:hAnsi="宋体" w:eastAsia="宋体" w:cs="Calibri"/>
          <w:szCs w:val="21"/>
        </w:rPr>
      </w:pPr>
      <w:r>
        <w:rPr>
          <w:rFonts w:hint="eastAsia" w:ascii="宋体" w:hAnsi="宋体" w:eastAsia="宋体"/>
          <w:b/>
          <w:szCs w:val="21"/>
        </w:rPr>
        <w:t>20.</w:t>
      </w:r>
      <w:r>
        <w:rPr>
          <w:rFonts w:ascii="宋体" w:hAnsi="宋体" w:eastAsia="宋体"/>
          <w:b/>
          <w:szCs w:val="21"/>
        </w:rPr>
        <w:t>2</w:t>
      </w:r>
      <w:r>
        <w:rPr>
          <w:rFonts w:hint="eastAsia" w:ascii="宋体" w:hAnsi="宋体" w:eastAsia="宋体"/>
          <w:b/>
          <w:szCs w:val="21"/>
        </w:rPr>
        <w:t>未在规定时间内提交或者未按照磋商文件要求加密的电子响应文件，广西政府采购云平台将拒收。</w:t>
      </w:r>
    </w:p>
    <w:p w14:paraId="46218986">
      <w:pPr>
        <w:spacing w:line="360" w:lineRule="auto"/>
        <w:ind w:firstLine="482" w:firstLineChars="200"/>
        <w:rPr>
          <w:rFonts w:hint="eastAsia" w:ascii="宋体" w:hAnsi="宋体" w:eastAsia="宋体" w:cs="Calibri"/>
          <w:b/>
          <w:bCs/>
          <w:sz w:val="24"/>
        </w:rPr>
      </w:pPr>
      <w:r>
        <w:rPr>
          <w:rFonts w:hint="eastAsia" w:ascii="宋体" w:hAnsi="宋体" w:eastAsia="宋体" w:cs="Calibri"/>
          <w:b/>
          <w:bCs/>
          <w:sz w:val="24"/>
        </w:rPr>
        <w:t>21.首次响应文件的补充、修改与撤回</w:t>
      </w:r>
    </w:p>
    <w:p w14:paraId="0FA5AF1A">
      <w:pPr>
        <w:snapToGrid w:val="0"/>
        <w:spacing w:line="360" w:lineRule="auto"/>
        <w:ind w:firstLine="422"/>
        <w:jc w:val="left"/>
        <w:rPr>
          <w:rFonts w:hint="eastAsia" w:ascii="宋体" w:hAnsi="宋体" w:eastAsia="宋体"/>
          <w:szCs w:val="21"/>
        </w:rPr>
      </w:pPr>
      <w:bookmarkStart w:id="78" w:name="_Toc254970684"/>
      <w:bookmarkStart w:id="79" w:name="_Toc254970543"/>
      <w:r>
        <w:rPr>
          <w:rFonts w:ascii="宋体" w:hAnsi="宋体" w:eastAsia="宋体" w:cs="Calibri"/>
          <w:szCs w:val="21"/>
        </w:rPr>
        <w:t>2</w:t>
      </w:r>
      <w:r>
        <w:rPr>
          <w:rFonts w:hint="eastAsia" w:ascii="宋体" w:hAnsi="宋体" w:eastAsia="宋体" w:cs="Calibri"/>
          <w:szCs w:val="21"/>
        </w:rPr>
        <w:t>1.1</w:t>
      </w:r>
      <w:r>
        <w:rPr>
          <w:rFonts w:hint="eastAsia" w:ascii="宋体" w:hAnsi="宋体" w:eastAsia="宋体"/>
          <w:bCs/>
          <w:szCs w:val="21"/>
        </w:rPr>
        <w:t>供应商应当在提交响应文件截止</w:t>
      </w:r>
      <w:r>
        <w:rPr>
          <w:rFonts w:ascii="宋体" w:hAnsi="宋体" w:eastAsia="宋体"/>
          <w:bCs/>
          <w:szCs w:val="21"/>
        </w:rPr>
        <w:t>时间</w:t>
      </w:r>
      <w:r>
        <w:rPr>
          <w:rFonts w:hint="eastAsia" w:ascii="宋体" w:hAnsi="宋体" w:eastAsia="宋体"/>
          <w:bCs/>
          <w:szCs w:val="21"/>
        </w:rPr>
        <w:t>前完成电子响应文件的提交（上传），提交响应文件截止</w:t>
      </w:r>
      <w:r>
        <w:rPr>
          <w:rFonts w:ascii="宋体" w:hAnsi="宋体" w:eastAsia="宋体"/>
          <w:bCs/>
          <w:szCs w:val="21"/>
        </w:rPr>
        <w:t>时间</w:t>
      </w:r>
      <w:r>
        <w:rPr>
          <w:rFonts w:hint="eastAsia" w:ascii="宋体" w:hAnsi="宋体" w:eastAsia="宋体"/>
          <w:bCs/>
          <w:szCs w:val="21"/>
        </w:rPr>
        <w:t>前可以补充、修改或者撤回响应文件。补充或者修改响应文件的，应当先行撤回原响应文件，补充、修改后重新提交（上传），提交响应文件截止</w:t>
      </w:r>
      <w:r>
        <w:rPr>
          <w:rFonts w:ascii="宋体" w:hAnsi="宋体" w:eastAsia="宋体"/>
          <w:bCs/>
          <w:szCs w:val="21"/>
        </w:rPr>
        <w:t>时间</w:t>
      </w:r>
      <w:r>
        <w:rPr>
          <w:rFonts w:hint="eastAsia" w:ascii="宋体" w:hAnsi="宋体" w:eastAsia="宋体"/>
          <w:bCs/>
          <w:szCs w:val="21"/>
        </w:rPr>
        <w:t>前未完成提交（上传）的，视为撤回响应文件。提交响应文件截止</w:t>
      </w:r>
      <w:r>
        <w:rPr>
          <w:rFonts w:ascii="宋体" w:hAnsi="宋体" w:eastAsia="宋体"/>
          <w:bCs/>
          <w:szCs w:val="21"/>
        </w:rPr>
        <w:t>时间</w:t>
      </w:r>
      <w:r>
        <w:rPr>
          <w:rFonts w:hint="eastAsia" w:ascii="宋体" w:hAnsi="宋体" w:eastAsia="宋体"/>
          <w:bCs/>
          <w:szCs w:val="21"/>
        </w:rPr>
        <w:t>以后提交（上传）的响应文件，广西政府采购云平台将予以拒收。</w:t>
      </w:r>
      <w:r>
        <w:rPr>
          <w:rFonts w:hint="eastAsia" w:ascii="宋体" w:hAnsi="宋体" w:eastAsia="宋体" w:cs="Calibri"/>
          <w:szCs w:val="21"/>
        </w:rPr>
        <w:t>（补充、修改或者撤回方式可</w:t>
      </w:r>
      <w:r>
        <w:rPr>
          <w:rFonts w:hint="eastAsia" w:ascii="宋体" w:hAnsi="宋体" w:eastAsia="宋体"/>
          <w:szCs w:val="21"/>
        </w:rPr>
        <w:t>登陆</w:t>
      </w:r>
      <w:r>
        <w:rPr>
          <w:rFonts w:hint="eastAsia" w:ascii="宋体" w:hAnsi="宋体" w:eastAsia="宋体" w:cs="Calibri"/>
          <w:kern w:val="0"/>
          <w:szCs w:val="21"/>
        </w:rPr>
        <w:t>广西政府采购云平台，</w:t>
      </w:r>
      <w:r>
        <w:rPr>
          <w:rFonts w:hint="eastAsia" w:ascii="宋体" w:hAnsi="宋体" w:eastAsia="宋体"/>
          <w:szCs w:val="21"/>
        </w:rPr>
        <w:t>进入“服务中心”中查看</w:t>
      </w:r>
      <w:r>
        <w:rPr>
          <w:rFonts w:hint="eastAsia" w:ascii="宋体" w:hAnsi="宋体" w:eastAsia="宋体" w:cs="Calibri"/>
          <w:szCs w:val="21"/>
        </w:rPr>
        <w:t xml:space="preserve"> “电子投标文件制作与投送教程”）</w:t>
      </w:r>
    </w:p>
    <w:bookmarkEnd w:id="78"/>
    <w:bookmarkEnd w:id="79"/>
    <w:p w14:paraId="623B2E9E">
      <w:pPr>
        <w:pStyle w:val="121"/>
        <w:spacing w:before="0"/>
        <w:ind w:firstLine="420"/>
        <w:rPr>
          <w:rFonts w:hint="eastAsia" w:ascii="宋体" w:hAnsi="宋体" w:eastAsia="宋体" w:cs="Calibri"/>
          <w:sz w:val="21"/>
          <w:szCs w:val="21"/>
        </w:rPr>
      </w:pPr>
      <w:r>
        <w:rPr>
          <w:rFonts w:ascii="宋体" w:hAnsi="宋体" w:eastAsia="宋体" w:cs="Calibri"/>
          <w:sz w:val="21"/>
          <w:szCs w:val="21"/>
        </w:rPr>
        <w:t>2</w:t>
      </w:r>
      <w:r>
        <w:rPr>
          <w:rFonts w:hint="eastAsia" w:ascii="宋体" w:hAnsi="宋体" w:eastAsia="宋体" w:cs="Calibri"/>
          <w:sz w:val="21"/>
          <w:szCs w:val="21"/>
        </w:rPr>
        <w:t>1</w:t>
      </w:r>
      <w:r>
        <w:rPr>
          <w:rFonts w:ascii="宋体" w:hAnsi="宋体" w:eastAsia="宋体" w:cs="Calibri"/>
          <w:sz w:val="21"/>
          <w:szCs w:val="21"/>
        </w:rPr>
        <w:t>.</w:t>
      </w:r>
      <w:r>
        <w:rPr>
          <w:rFonts w:hint="eastAsia" w:ascii="宋体" w:hAnsi="宋体" w:eastAsia="宋体" w:cs="Calibri"/>
          <w:sz w:val="21"/>
          <w:szCs w:val="21"/>
        </w:rPr>
        <w:t>2在提交响应文件截止时间前，除供应商补充、修改或者撤回响应文件外，任何单位和个人不得解密或提取响应文件。</w:t>
      </w:r>
    </w:p>
    <w:p w14:paraId="137849C1">
      <w:pPr>
        <w:spacing w:line="360" w:lineRule="auto"/>
        <w:ind w:firstLine="482" w:firstLineChars="200"/>
        <w:rPr>
          <w:rFonts w:hint="eastAsia" w:ascii="宋体" w:hAnsi="宋体" w:eastAsia="宋体" w:cs="Calibri"/>
          <w:b/>
          <w:bCs/>
          <w:sz w:val="24"/>
        </w:rPr>
      </w:pPr>
      <w:bookmarkStart w:id="80" w:name="_Hlk45702405"/>
      <w:r>
        <w:rPr>
          <w:rFonts w:hint="eastAsia" w:ascii="宋体" w:hAnsi="宋体" w:eastAsia="宋体" w:cs="Calibri"/>
          <w:b/>
          <w:bCs/>
          <w:sz w:val="24"/>
        </w:rPr>
        <w:t>22.响应文件的退回</w:t>
      </w:r>
    </w:p>
    <w:p w14:paraId="08B2293D">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采购人和采购代理机构对已提交的响应文件概不退回。</w:t>
      </w:r>
    </w:p>
    <w:p w14:paraId="35E4BE83">
      <w:pPr>
        <w:spacing w:line="360" w:lineRule="auto"/>
        <w:ind w:firstLine="482" w:firstLineChars="200"/>
        <w:rPr>
          <w:rFonts w:hint="eastAsia" w:ascii="宋体" w:hAnsi="宋体" w:eastAsia="宋体" w:cs="Calibri"/>
          <w:b/>
          <w:bCs/>
          <w:sz w:val="24"/>
        </w:rPr>
      </w:pPr>
      <w:r>
        <w:rPr>
          <w:rFonts w:hint="eastAsia" w:ascii="宋体" w:hAnsi="宋体" w:eastAsia="宋体" w:cs="Calibri"/>
          <w:b/>
          <w:bCs/>
          <w:sz w:val="24"/>
        </w:rPr>
        <w:t>23.截止时间后的撤回</w:t>
      </w:r>
    </w:p>
    <w:p w14:paraId="236D67A8">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供应商在响应文件提交截止时间后向采购人、采购代理机构书面申请撤回响应文件的，将根据本须知正文17.4的规定不予退还其磋商保证金。</w:t>
      </w:r>
    </w:p>
    <w:bookmarkEnd w:id="80"/>
    <w:p w14:paraId="372E571F">
      <w:pPr>
        <w:spacing w:line="360" w:lineRule="auto"/>
        <w:ind w:firstLine="422"/>
        <w:rPr>
          <w:rFonts w:hint="eastAsia" w:ascii="宋体" w:hAnsi="宋体" w:eastAsia="宋体"/>
          <w:szCs w:val="21"/>
        </w:rPr>
      </w:pPr>
    </w:p>
    <w:p w14:paraId="07D117DB">
      <w:pPr>
        <w:spacing w:line="360" w:lineRule="auto"/>
        <w:ind w:left="420" w:firstLine="643"/>
        <w:jc w:val="center"/>
        <w:rPr>
          <w:rFonts w:hint="eastAsia" w:ascii="宋体" w:hAnsi="宋体" w:eastAsia="宋体"/>
          <w:b/>
          <w:bCs/>
          <w:sz w:val="32"/>
          <w:szCs w:val="32"/>
        </w:rPr>
      </w:pPr>
      <w:r>
        <w:rPr>
          <w:rFonts w:hint="eastAsia" w:ascii="宋体" w:hAnsi="宋体" w:eastAsia="宋体"/>
          <w:b/>
          <w:bCs/>
          <w:sz w:val="32"/>
          <w:szCs w:val="32"/>
        </w:rPr>
        <w:t>四、评审及磋商</w:t>
      </w:r>
    </w:p>
    <w:p w14:paraId="7B8CECFE">
      <w:pPr>
        <w:spacing w:line="360" w:lineRule="auto"/>
        <w:ind w:left="420" w:firstLine="422"/>
        <w:rPr>
          <w:rFonts w:hint="eastAsia" w:ascii="宋体" w:hAnsi="宋体" w:eastAsia="宋体"/>
          <w:szCs w:val="21"/>
        </w:rPr>
      </w:pPr>
    </w:p>
    <w:p w14:paraId="686CD491">
      <w:pPr>
        <w:spacing w:line="360" w:lineRule="auto"/>
        <w:ind w:firstLine="482" w:firstLineChars="200"/>
        <w:rPr>
          <w:rFonts w:hint="eastAsia" w:ascii="宋体" w:hAnsi="宋体" w:eastAsia="宋体" w:cs="Calibri"/>
          <w:b/>
          <w:bCs/>
          <w:sz w:val="24"/>
        </w:rPr>
      </w:pPr>
      <w:r>
        <w:rPr>
          <w:rFonts w:hint="eastAsia" w:ascii="宋体" w:hAnsi="宋体" w:eastAsia="宋体" w:cs="Calibri"/>
          <w:b/>
          <w:bCs/>
          <w:sz w:val="24"/>
        </w:rPr>
        <w:t>24.磋商小组成立</w:t>
      </w:r>
    </w:p>
    <w:p w14:paraId="3223A81A">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24.1磋商小组由评审专家3人以上单数组成，具体人数见“供应商须知前附表”。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1CF4B6BA">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7312C9C5">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24.3</w:t>
      </w:r>
      <w:r>
        <w:rPr>
          <w:rFonts w:hint="eastAsia" w:ascii="宋体" w:hAnsi="宋体" w:eastAsia="宋体"/>
          <w:bCs/>
          <w:szCs w:val="21"/>
        </w:rPr>
        <w:t>采购代理机构</w:t>
      </w:r>
      <w:r>
        <w:rPr>
          <w:rFonts w:hint="eastAsia" w:ascii="宋体" w:hAnsi="宋体" w:eastAsia="宋体"/>
          <w:bCs/>
        </w:rPr>
        <w:t>应当</w:t>
      </w:r>
      <w:r>
        <w:rPr>
          <w:rFonts w:hint="eastAsia" w:ascii="宋体" w:hAnsi="宋体" w:eastAsia="宋体"/>
          <w:bCs/>
          <w:szCs w:val="21"/>
        </w:rPr>
        <w:t>基于广西政府采购云平台</w:t>
      </w:r>
      <w:r>
        <w:rPr>
          <w:rFonts w:hint="eastAsia" w:ascii="宋体" w:hAnsi="宋体" w:eastAsia="宋体"/>
          <w:bCs/>
        </w:rPr>
        <w:t>抽（选）取</w:t>
      </w:r>
      <w:r>
        <w:rPr>
          <w:rFonts w:hint="eastAsia" w:ascii="宋体" w:hAnsi="宋体" w:eastAsia="宋体"/>
          <w:bCs/>
          <w:szCs w:val="21"/>
        </w:rPr>
        <w:t>评审专家。</w:t>
      </w:r>
    </w:p>
    <w:p w14:paraId="32D3805B">
      <w:pPr>
        <w:spacing w:line="360" w:lineRule="auto"/>
        <w:ind w:firstLine="482" w:firstLineChars="200"/>
        <w:rPr>
          <w:rFonts w:hint="eastAsia" w:ascii="宋体" w:hAnsi="宋体" w:eastAsia="宋体" w:cs="Calibri"/>
          <w:b/>
          <w:bCs/>
          <w:sz w:val="24"/>
        </w:rPr>
      </w:pPr>
      <w:r>
        <w:rPr>
          <w:rFonts w:ascii="宋体" w:hAnsi="宋体" w:eastAsia="宋体" w:cs="Calibri"/>
          <w:b/>
          <w:bCs/>
          <w:sz w:val="24"/>
        </w:rPr>
        <w:t>25.</w:t>
      </w:r>
      <w:r>
        <w:rPr>
          <w:rFonts w:hint="eastAsia" w:ascii="宋体" w:hAnsi="宋体" w:eastAsia="宋体" w:cs="Calibri"/>
          <w:b/>
          <w:bCs/>
          <w:sz w:val="24"/>
        </w:rPr>
        <w:t>首次响应文件的开启和解密</w:t>
      </w:r>
    </w:p>
    <w:p w14:paraId="76EFEB36">
      <w:pPr>
        <w:spacing w:line="360" w:lineRule="auto"/>
        <w:ind w:firstLine="420" w:firstLineChars="200"/>
        <w:rPr>
          <w:rFonts w:hint="eastAsia" w:ascii="宋体" w:hAnsi="宋体" w:eastAsia="宋体" w:cs="Calibri"/>
          <w:szCs w:val="21"/>
        </w:rPr>
      </w:pPr>
      <w:r>
        <w:rPr>
          <w:rFonts w:hint="eastAsia" w:ascii="宋体" w:hAnsi="宋体" w:eastAsia="宋体"/>
          <w:bCs/>
        </w:rPr>
        <w:t>采购代理机构将在“供应商须知前附表”规定的时</w:t>
      </w:r>
      <w:r>
        <w:rPr>
          <w:rFonts w:hint="eastAsia" w:ascii="宋体" w:hAnsi="宋体" w:eastAsia="宋体"/>
        </w:rPr>
        <w:t>间通过电子交易平台组织响应文件开启，供应商的法定代表人或其委托代理人须携带加密时所用的CA锁，按平台提示和磋商文件的规定登录到广西政府采购云平台电子开标大厅签到，采购代理机构依托广西政府采购云平台向各供应商发出电子加密响应文件【开始解密】通知，由供应商按</w:t>
      </w:r>
      <w:r>
        <w:rPr>
          <w:rFonts w:hint="eastAsia" w:ascii="宋体" w:hAnsi="宋体" w:eastAsia="宋体"/>
          <w:bCs/>
          <w:szCs w:val="21"/>
        </w:rPr>
        <w:t>“供应商须知前附表”</w:t>
      </w:r>
      <w:r>
        <w:rPr>
          <w:rFonts w:hint="eastAsia" w:ascii="宋体" w:hAnsi="宋体" w:eastAsia="宋体"/>
        </w:rPr>
        <w:t>规定的时间内自行进行响应文件解密。</w:t>
      </w:r>
      <w:r>
        <w:rPr>
          <w:rFonts w:hint="eastAsia" w:ascii="宋体" w:hAnsi="宋体" w:eastAsia="宋体"/>
          <w:b/>
        </w:rPr>
        <w:t>供应商未在</w:t>
      </w:r>
      <w:r>
        <w:rPr>
          <w:rFonts w:ascii="宋体" w:hAnsi="宋体" w:eastAsia="宋体"/>
          <w:b/>
        </w:rPr>
        <w:t>规定的时间内解密</w:t>
      </w:r>
      <w:r>
        <w:rPr>
          <w:rFonts w:hint="eastAsia" w:ascii="宋体" w:hAnsi="宋体" w:eastAsia="宋体"/>
          <w:b/>
        </w:rPr>
        <w:t>响应文件</w:t>
      </w:r>
      <w:r>
        <w:rPr>
          <w:rFonts w:ascii="宋体" w:hAnsi="宋体" w:eastAsia="宋体"/>
          <w:b/>
        </w:rPr>
        <w:t>或</w:t>
      </w:r>
      <w:r>
        <w:rPr>
          <w:rFonts w:hint="eastAsia" w:ascii="宋体" w:hAnsi="宋体" w:eastAsia="宋体"/>
          <w:b/>
        </w:rPr>
        <w:t>者</w:t>
      </w:r>
      <w:r>
        <w:rPr>
          <w:rFonts w:ascii="宋体" w:hAnsi="宋体" w:eastAsia="宋体"/>
          <w:b/>
        </w:rPr>
        <w:t>解密失败的</w:t>
      </w:r>
      <w:r>
        <w:rPr>
          <w:rFonts w:hint="eastAsia" w:ascii="宋体" w:hAnsi="宋体" w:eastAsia="宋体"/>
          <w:b/>
        </w:rPr>
        <w:t>，供应商</w:t>
      </w:r>
      <w:r>
        <w:rPr>
          <w:rFonts w:hint="eastAsia" w:ascii="宋体" w:hAnsi="宋体" w:eastAsia="宋体"/>
          <w:b/>
          <w:szCs w:val="21"/>
        </w:rPr>
        <w:t>的响应文件作无效处理</w:t>
      </w:r>
      <w:r>
        <w:rPr>
          <w:rFonts w:ascii="宋体" w:hAnsi="宋体" w:eastAsia="宋体"/>
          <w:b/>
        </w:rPr>
        <w:t>。</w:t>
      </w:r>
    </w:p>
    <w:p w14:paraId="6D1F73BF">
      <w:pPr>
        <w:spacing w:line="360" w:lineRule="auto"/>
        <w:ind w:firstLine="482" w:firstLineChars="200"/>
        <w:rPr>
          <w:rFonts w:hint="eastAsia" w:ascii="宋体" w:hAnsi="宋体" w:eastAsia="宋体" w:cs="Calibri"/>
          <w:b/>
          <w:bCs/>
          <w:sz w:val="24"/>
        </w:rPr>
      </w:pPr>
      <w:r>
        <w:rPr>
          <w:rFonts w:ascii="宋体" w:hAnsi="宋体" w:eastAsia="宋体" w:cs="Calibri"/>
          <w:b/>
          <w:bCs/>
          <w:sz w:val="24"/>
        </w:rPr>
        <w:t>26</w:t>
      </w:r>
      <w:r>
        <w:rPr>
          <w:rFonts w:hint="eastAsia" w:ascii="宋体" w:hAnsi="宋体" w:eastAsia="宋体" w:cs="Calibri"/>
          <w:b/>
          <w:bCs/>
          <w:sz w:val="24"/>
        </w:rPr>
        <w:t>.评审程序、评审方法和评审标准</w:t>
      </w:r>
    </w:p>
    <w:p w14:paraId="6AA84D69">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2</w:t>
      </w:r>
      <w:r>
        <w:rPr>
          <w:rFonts w:ascii="宋体" w:hAnsi="宋体" w:eastAsia="宋体" w:cs="Calibri"/>
          <w:szCs w:val="21"/>
        </w:rPr>
        <w:t>6</w:t>
      </w:r>
      <w:r>
        <w:rPr>
          <w:rFonts w:hint="eastAsia" w:ascii="宋体" w:hAnsi="宋体" w:eastAsia="宋体" w:cs="Calibri"/>
          <w:szCs w:val="21"/>
        </w:rPr>
        <w:t>.1本项目的评审方法为综合评分法。</w:t>
      </w:r>
    </w:p>
    <w:p w14:paraId="55AEAC0E">
      <w:pPr>
        <w:spacing w:line="360" w:lineRule="auto"/>
        <w:ind w:firstLine="420" w:firstLineChars="200"/>
        <w:rPr>
          <w:rFonts w:hint="eastAsia" w:ascii="宋体" w:hAnsi="宋体" w:eastAsia="宋体" w:cs="Calibri"/>
          <w:szCs w:val="21"/>
        </w:rPr>
      </w:pPr>
      <w:r>
        <w:rPr>
          <w:rFonts w:ascii="宋体" w:hAnsi="宋体" w:eastAsia="宋体" w:cs="Calibri"/>
          <w:szCs w:val="21"/>
        </w:rPr>
        <w:t>26.2</w:t>
      </w:r>
      <w:r>
        <w:rPr>
          <w:rFonts w:hint="eastAsia" w:ascii="宋体" w:hAnsi="宋体" w:eastAsia="宋体" w:cs="Calibri"/>
          <w:szCs w:val="21"/>
        </w:rPr>
        <w:t>磋商小组</w:t>
      </w:r>
      <w:r>
        <w:rPr>
          <w:rFonts w:ascii="宋体" w:hAnsi="宋体" w:eastAsia="宋体" w:cs="Calibri"/>
          <w:szCs w:val="21"/>
        </w:rPr>
        <w:t>按照</w:t>
      </w:r>
      <w:r>
        <w:rPr>
          <w:rFonts w:hint="eastAsia" w:ascii="宋体" w:hAnsi="宋体" w:eastAsia="宋体" w:cs="Calibri"/>
          <w:szCs w:val="21"/>
        </w:rPr>
        <w:t>“第四章 评审程序、评审方法和评审标准”</w:t>
      </w:r>
      <w:r>
        <w:rPr>
          <w:rFonts w:ascii="宋体" w:hAnsi="宋体" w:eastAsia="宋体" w:cs="Calibri"/>
          <w:szCs w:val="21"/>
        </w:rPr>
        <w:t>规定的方法、评审因素、标准和程序对</w:t>
      </w:r>
      <w:r>
        <w:rPr>
          <w:rFonts w:hint="eastAsia" w:ascii="宋体" w:hAnsi="宋体" w:eastAsia="宋体" w:cs="Calibri"/>
          <w:szCs w:val="21"/>
        </w:rPr>
        <w:t>响应</w:t>
      </w:r>
      <w:r>
        <w:rPr>
          <w:rFonts w:ascii="宋体" w:hAnsi="宋体" w:eastAsia="宋体" w:cs="Calibri"/>
          <w:szCs w:val="21"/>
        </w:rPr>
        <w:t>文件进行评审。</w:t>
      </w:r>
    </w:p>
    <w:p w14:paraId="290B790B">
      <w:pPr>
        <w:spacing w:line="360" w:lineRule="auto"/>
        <w:ind w:firstLine="420" w:firstLineChars="200"/>
        <w:rPr>
          <w:rFonts w:hint="eastAsia" w:ascii="宋体" w:hAnsi="宋体" w:eastAsia="宋体"/>
          <w:szCs w:val="21"/>
        </w:rPr>
      </w:pPr>
      <w:r>
        <w:rPr>
          <w:rFonts w:hint="eastAsia" w:ascii="宋体" w:hAnsi="宋体" w:eastAsia="宋体"/>
          <w:szCs w:val="21"/>
        </w:rPr>
        <w:t>2</w:t>
      </w:r>
      <w:r>
        <w:rPr>
          <w:rFonts w:ascii="宋体" w:hAnsi="宋体" w:eastAsia="宋体"/>
          <w:szCs w:val="21"/>
        </w:rPr>
        <w:t xml:space="preserve">6.3 </w:t>
      </w:r>
      <w:r>
        <w:rPr>
          <w:rFonts w:hint="eastAsia" w:ascii="宋体" w:hAnsi="宋体" w:eastAsia="宋体"/>
          <w:szCs w:val="21"/>
        </w:rPr>
        <w:t>商务/技术要求允许负偏离的条款数详见“供应商须知前附表”。</w:t>
      </w:r>
    </w:p>
    <w:p w14:paraId="382F5A50">
      <w:pPr>
        <w:spacing w:line="360" w:lineRule="auto"/>
        <w:ind w:firstLine="420" w:firstLineChars="200"/>
        <w:rPr>
          <w:rFonts w:hint="eastAsia" w:ascii="宋体" w:hAnsi="宋体" w:eastAsia="宋体"/>
          <w:szCs w:val="21"/>
        </w:rPr>
      </w:pPr>
      <w:r>
        <w:rPr>
          <w:rFonts w:hint="eastAsia" w:ascii="宋体" w:hAnsi="宋体" w:eastAsia="宋体" w:cs="Calibri"/>
        </w:rPr>
        <w:t>26.</w:t>
      </w:r>
      <w:r>
        <w:rPr>
          <w:rFonts w:ascii="宋体" w:hAnsi="宋体" w:eastAsia="宋体" w:cs="Calibri"/>
        </w:rPr>
        <w:t>4</w:t>
      </w:r>
      <w:r>
        <w:rPr>
          <w:rFonts w:hint="eastAsia" w:ascii="宋体" w:hAnsi="宋体" w:eastAsia="宋体" w:cs="Calibri"/>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0BA87533">
      <w:pPr>
        <w:spacing w:line="360" w:lineRule="auto"/>
        <w:ind w:firstLine="420" w:firstLineChars="200"/>
        <w:rPr>
          <w:rFonts w:hint="eastAsia" w:ascii="宋体" w:hAnsi="宋体" w:eastAsia="宋体"/>
        </w:rPr>
      </w:pPr>
      <w:r>
        <w:rPr>
          <w:rFonts w:hint="eastAsia" w:ascii="宋体" w:hAnsi="宋体" w:eastAsia="宋体" w:cs="Calibri"/>
        </w:rPr>
        <w:t>2</w:t>
      </w:r>
      <w:r>
        <w:rPr>
          <w:rFonts w:ascii="宋体" w:hAnsi="宋体" w:eastAsia="宋体" w:cs="Calibri"/>
        </w:rPr>
        <w:t>6.5</w:t>
      </w:r>
      <w:r>
        <w:rPr>
          <w:rFonts w:hint="eastAsia" w:ascii="宋体" w:hAnsi="宋体" w:eastAsia="宋体"/>
        </w:rPr>
        <w:t>电子交易活动的中止。采购过程中出现以下情形，导致电子交易平台无法正常运行，或者无法保证电子交易的公平、公正和安全时，采购机构可中止电子交易活动：</w:t>
      </w:r>
    </w:p>
    <w:p w14:paraId="58A4D99A">
      <w:pPr>
        <w:spacing w:line="360" w:lineRule="auto"/>
        <w:ind w:firstLine="420" w:firstLineChars="200"/>
        <w:rPr>
          <w:rFonts w:hint="eastAsia" w:ascii="宋体" w:hAnsi="宋体" w:eastAsia="宋体"/>
        </w:rPr>
      </w:pPr>
      <w:r>
        <w:rPr>
          <w:rFonts w:hint="eastAsia" w:ascii="宋体" w:hAnsi="宋体" w:eastAsia="宋体"/>
        </w:rPr>
        <w:t xml:space="preserve">（1）电子交易平台发生故障而无法登录访问的； </w:t>
      </w:r>
    </w:p>
    <w:p w14:paraId="473CCC00">
      <w:pPr>
        <w:spacing w:line="360" w:lineRule="auto"/>
        <w:ind w:firstLine="420" w:firstLineChars="200"/>
        <w:rPr>
          <w:rFonts w:hint="eastAsia" w:ascii="宋体" w:hAnsi="宋体" w:eastAsia="宋体"/>
        </w:rPr>
      </w:pPr>
      <w:r>
        <w:rPr>
          <w:rFonts w:hint="eastAsia" w:ascii="宋体" w:hAnsi="宋体" w:eastAsia="宋体"/>
        </w:rPr>
        <w:t>（2）电子交易平台应用或数据库出现错误，不能进行正常操作的；</w:t>
      </w:r>
    </w:p>
    <w:p w14:paraId="026AFACA">
      <w:pPr>
        <w:spacing w:line="360" w:lineRule="auto"/>
        <w:ind w:firstLine="420" w:firstLineChars="200"/>
        <w:rPr>
          <w:rFonts w:hint="eastAsia" w:ascii="宋体" w:hAnsi="宋体" w:eastAsia="宋体"/>
        </w:rPr>
      </w:pPr>
      <w:r>
        <w:rPr>
          <w:rFonts w:hint="eastAsia" w:ascii="宋体" w:hAnsi="宋体" w:eastAsia="宋体"/>
        </w:rPr>
        <w:t>（3）电子交易平台发现严重安全漏洞，有潜在泄密危险的；</w:t>
      </w:r>
    </w:p>
    <w:p w14:paraId="5D23C23E">
      <w:pPr>
        <w:spacing w:line="360" w:lineRule="auto"/>
        <w:ind w:firstLine="420" w:firstLineChars="200"/>
        <w:rPr>
          <w:rFonts w:hint="eastAsia" w:ascii="宋体" w:hAnsi="宋体" w:eastAsia="宋体"/>
        </w:rPr>
      </w:pPr>
      <w:r>
        <w:rPr>
          <w:rFonts w:hint="eastAsia" w:ascii="宋体" w:hAnsi="宋体" w:eastAsia="宋体"/>
        </w:rPr>
        <w:t xml:space="preserve">（4）病毒发作导致不能进行正常操作的； </w:t>
      </w:r>
    </w:p>
    <w:p w14:paraId="3FDF9A78">
      <w:pPr>
        <w:spacing w:line="360" w:lineRule="auto"/>
        <w:ind w:firstLine="420" w:firstLineChars="200"/>
        <w:rPr>
          <w:rFonts w:hint="eastAsia" w:ascii="宋体" w:hAnsi="宋体" w:eastAsia="宋体"/>
        </w:rPr>
      </w:pPr>
      <w:r>
        <w:rPr>
          <w:rFonts w:hint="eastAsia" w:ascii="宋体" w:hAnsi="宋体" w:eastAsia="宋体"/>
        </w:rPr>
        <w:t>（5）其他无法保证电子交易的公平、公正和安全的情况。</w:t>
      </w:r>
    </w:p>
    <w:p w14:paraId="0035C530">
      <w:pPr>
        <w:spacing w:line="360" w:lineRule="auto"/>
        <w:ind w:firstLine="420" w:firstLineChars="200"/>
        <w:rPr>
          <w:rFonts w:hint="eastAsia" w:ascii="宋体" w:hAnsi="宋体" w:eastAsia="宋体" w:cs="Calibri"/>
          <w:szCs w:val="21"/>
        </w:rPr>
      </w:pPr>
      <w:r>
        <w:rPr>
          <w:rFonts w:hint="eastAsia" w:ascii="宋体" w:hAnsi="宋体" w:eastAsia="宋体"/>
        </w:rPr>
        <w:t>26.</w:t>
      </w:r>
      <w:r>
        <w:rPr>
          <w:rFonts w:ascii="宋体" w:hAnsi="宋体" w:eastAsia="宋体"/>
        </w:rPr>
        <w:t>6</w:t>
      </w:r>
      <w:r>
        <w:rPr>
          <w:rFonts w:hint="eastAsia" w:ascii="宋体" w:hAnsi="宋体" w:eastAsia="宋体"/>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29DA82E1">
      <w:pPr>
        <w:spacing w:line="360" w:lineRule="auto"/>
        <w:ind w:firstLine="482" w:firstLineChars="200"/>
        <w:rPr>
          <w:rFonts w:hint="eastAsia" w:ascii="宋体" w:hAnsi="宋体" w:eastAsia="宋体" w:cs="Calibri"/>
          <w:b/>
          <w:bCs/>
          <w:sz w:val="24"/>
        </w:rPr>
      </w:pPr>
      <w:r>
        <w:rPr>
          <w:rFonts w:ascii="宋体" w:hAnsi="宋体" w:eastAsia="宋体" w:cs="Calibri"/>
          <w:b/>
          <w:bCs/>
          <w:sz w:val="24"/>
        </w:rPr>
        <w:t>27</w:t>
      </w:r>
      <w:r>
        <w:rPr>
          <w:rFonts w:hint="eastAsia" w:ascii="宋体" w:hAnsi="宋体" w:eastAsia="宋体" w:cs="Calibri"/>
          <w:b/>
          <w:bCs/>
          <w:sz w:val="24"/>
        </w:rPr>
        <w:t>.确定成交供应商及结果公告</w:t>
      </w:r>
    </w:p>
    <w:p w14:paraId="3EDBAD4F">
      <w:pPr>
        <w:spacing w:line="360" w:lineRule="auto"/>
        <w:ind w:firstLine="420" w:firstLineChars="200"/>
        <w:rPr>
          <w:rFonts w:hint="eastAsia" w:ascii="宋体" w:hAnsi="宋体" w:eastAsia="宋体" w:cs="Calibri"/>
          <w:szCs w:val="21"/>
        </w:rPr>
      </w:pPr>
      <w:r>
        <w:rPr>
          <w:rFonts w:ascii="宋体" w:hAnsi="宋体" w:eastAsia="宋体" w:cs="Calibri"/>
          <w:szCs w:val="21"/>
        </w:rPr>
        <w:t>27</w:t>
      </w:r>
      <w:r>
        <w:rPr>
          <w:rFonts w:hint="eastAsia" w:ascii="宋体" w:hAnsi="宋体" w:eastAsia="宋体" w:cs="Calibri"/>
          <w:szCs w:val="21"/>
        </w:rPr>
        <w:t>.1</w:t>
      </w:r>
      <w:r>
        <w:rPr>
          <w:rFonts w:hint="eastAsia" w:ascii="宋体" w:hAnsi="宋体" w:eastAsia="宋体" w:cs="Calibri"/>
          <w:kern w:val="0"/>
          <w:szCs w:val="21"/>
        </w:rPr>
        <w:t xml:space="preserve"> </w:t>
      </w:r>
      <w:r>
        <w:rPr>
          <w:rFonts w:hint="eastAsia" w:ascii="宋体" w:hAnsi="宋体" w:eastAsia="宋体" w:cs="Calibri"/>
          <w:szCs w:val="21"/>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C948113">
      <w:pPr>
        <w:spacing w:line="360" w:lineRule="auto"/>
        <w:ind w:firstLine="420" w:firstLineChars="200"/>
        <w:rPr>
          <w:rFonts w:hint="eastAsia" w:ascii="宋体" w:hAnsi="宋体" w:eastAsia="宋体" w:cs="Cambria"/>
          <w:szCs w:val="21"/>
        </w:rPr>
      </w:pPr>
      <w:r>
        <w:rPr>
          <w:rFonts w:ascii="宋体" w:hAnsi="宋体" w:eastAsia="宋体" w:cs="Calibri"/>
          <w:szCs w:val="21"/>
        </w:rPr>
        <w:t>27</w:t>
      </w:r>
      <w:r>
        <w:rPr>
          <w:rFonts w:hint="eastAsia" w:ascii="宋体" w:hAnsi="宋体" w:eastAsia="宋体" w:cs="Calibri"/>
          <w:szCs w:val="21"/>
        </w:rPr>
        <w:t>.2采购代理机构应当在</w:t>
      </w:r>
      <w:r>
        <w:rPr>
          <w:rFonts w:hint="eastAsia" w:ascii="宋体" w:hAnsi="宋体" w:eastAsia="宋体" w:cs="Calibri"/>
          <w:kern w:val="0"/>
          <w:szCs w:val="21"/>
        </w:rPr>
        <w:t>成交</w:t>
      </w:r>
      <w:r>
        <w:rPr>
          <w:rFonts w:hint="eastAsia" w:ascii="宋体" w:hAnsi="宋体" w:eastAsia="宋体" w:cs="Calibri"/>
          <w:szCs w:val="21"/>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81" w:name="_Hlk66782294"/>
      <w:r>
        <w:rPr>
          <w:rFonts w:hint="eastAsia" w:ascii="宋体" w:hAnsi="宋体" w:eastAsia="宋体" w:cs="Cambria"/>
          <w:szCs w:val="21"/>
        </w:rPr>
        <w:t>成交供应商享受</w:t>
      </w:r>
      <w:r>
        <w:rPr>
          <w:rFonts w:hint="eastAsia" w:ascii="宋体" w:hAnsi="宋体" w:eastAsia="宋体"/>
          <w:szCs w:val="21"/>
        </w:rPr>
        <w:t>《政府采购促进中小企业发展管理办法》（财库〔2020〕46号）规定的中小企业扶持</w:t>
      </w:r>
      <w:r>
        <w:rPr>
          <w:rFonts w:hint="eastAsia" w:ascii="宋体" w:hAnsi="宋体" w:eastAsia="宋体" w:cs="Cambria"/>
          <w:szCs w:val="21"/>
        </w:rPr>
        <w:t>政策的，采购人、采购代理机构应当随成交结果公开成交供应商的《中小企业声明函》。</w:t>
      </w:r>
      <w:bookmarkEnd w:id="81"/>
    </w:p>
    <w:p w14:paraId="3828736B">
      <w:pPr>
        <w:spacing w:line="360" w:lineRule="auto"/>
        <w:ind w:firstLine="420" w:firstLineChars="200"/>
        <w:rPr>
          <w:rFonts w:hint="eastAsia" w:ascii="宋体" w:hAnsi="宋体" w:eastAsia="宋体" w:cs="Cambria"/>
          <w:szCs w:val="21"/>
        </w:rPr>
      </w:pPr>
      <w:r>
        <w:rPr>
          <w:rFonts w:hint="eastAsia" w:ascii="宋体" w:hAnsi="宋体" w:eastAsia="宋体" w:cs="Cambria"/>
          <w:szCs w:val="21"/>
        </w:rPr>
        <w:t>27.3出现下列情形之一的，采购人或者采购代理机构应当终止竞争性磋商采购活动，发布项目终止公告并说明原因，重新开展采购活动：</w:t>
      </w:r>
    </w:p>
    <w:p w14:paraId="02E0AE96">
      <w:pPr>
        <w:spacing w:line="360" w:lineRule="auto"/>
        <w:ind w:firstLine="420" w:firstLineChars="200"/>
        <w:rPr>
          <w:rFonts w:hint="eastAsia" w:ascii="宋体" w:hAnsi="宋体" w:eastAsia="宋体" w:cs="Cambria"/>
          <w:szCs w:val="21"/>
        </w:rPr>
      </w:pPr>
      <w:r>
        <w:rPr>
          <w:rFonts w:hint="eastAsia" w:ascii="宋体" w:hAnsi="宋体" w:eastAsia="宋体" w:cs="Cambria"/>
          <w:szCs w:val="21"/>
        </w:rPr>
        <w:t>（1）因情况变化，不再符合规定的竞争性磋商采购方式适用情形的；</w:t>
      </w:r>
    </w:p>
    <w:p w14:paraId="00965463">
      <w:pPr>
        <w:spacing w:line="360" w:lineRule="auto"/>
        <w:ind w:firstLine="420" w:firstLineChars="200"/>
        <w:rPr>
          <w:rFonts w:hint="eastAsia" w:ascii="宋体" w:hAnsi="宋体" w:eastAsia="宋体" w:cs="Cambria"/>
          <w:szCs w:val="21"/>
        </w:rPr>
      </w:pPr>
      <w:r>
        <w:rPr>
          <w:rFonts w:hint="eastAsia" w:ascii="宋体" w:hAnsi="宋体" w:eastAsia="宋体" w:cs="Cambria"/>
          <w:szCs w:val="21"/>
        </w:rPr>
        <w:t>（2）出现影响采购公正的违法、违规行为的；</w:t>
      </w:r>
    </w:p>
    <w:p w14:paraId="22300DAB">
      <w:pPr>
        <w:spacing w:line="360" w:lineRule="auto"/>
        <w:ind w:firstLine="420" w:firstLineChars="200"/>
        <w:rPr>
          <w:rFonts w:hint="eastAsia" w:ascii="宋体" w:hAnsi="宋体" w:eastAsia="宋体" w:cs="Cambria"/>
          <w:szCs w:val="21"/>
        </w:rPr>
      </w:pPr>
      <w:r>
        <w:rPr>
          <w:rFonts w:hint="eastAsia" w:ascii="宋体" w:hAnsi="宋体" w:eastAsia="宋体" w:cs="Cambria"/>
          <w:szCs w:val="21"/>
        </w:rPr>
        <w:t>（3）除“第四章 评审程序、评审方法和评审标准”第4.3条规定的情形外，在采购过程中符合要求的供应商或者报价未超过采购预算的供应商不足3家的。</w:t>
      </w:r>
    </w:p>
    <w:p w14:paraId="28893055">
      <w:pPr>
        <w:spacing w:line="360" w:lineRule="auto"/>
        <w:ind w:firstLine="420" w:firstLineChars="200"/>
        <w:rPr>
          <w:rFonts w:hint="eastAsia" w:ascii="宋体" w:hAnsi="宋体" w:eastAsia="宋体" w:cs="Calibri"/>
          <w:szCs w:val="21"/>
        </w:rPr>
      </w:pPr>
      <w:r>
        <w:rPr>
          <w:rFonts w:hint="eastAsia" w:ascii="宋体" w:hAnsi="宋体" w:eastAsia="宋体" w:cs="Cambria"/>
          <w:szCs w:val="21"/>
        </w:rPr>
        <w:t>27.4 在采购活动中因重大变故，采购任务取消的，采购人或者采购代理机构应当终止采购活动，通知所有参加采购活动的供应商，并将项目实施情况和采购任务取消原因报送本级财政部门。</w:t>
      </w:r>
    </w:p>
    <w:p w14:paraId="3210040F">
      <w:pPr>
        <w:spacing w:line="360" w:lineRule="auto"/>
        <w:ind w:firstLine="482" w:firstLineChars="200"/>
        <w:rPr>
          <w:rFonts w:hint="eastAsia" w:ascii="宋体" w:hAnsi="宋体" w:eastAsia="宋体" w:cs="Calibri"/>
          <w:b/>
          <w:bCs/>
          <w:sz w:val="24"/>
        </w:rPr>
      </w:pPr>
      <w:r>
        <w:rPr>
          <w:rFonts w:ascii="宋体" w:hAnsi="宋体" w:eastAsia="宋体" w:cs="Calibri"/>
          <w:b/>
          <w:bCs/>
          <w:sz w:val="24"/>
        </w:rPr>
        <w:t>28</w:t>
      </w:r>
      <w:r>
        <w:rPr>
          <w:rFonts w:hint="eastAsia" w:ascii="宋体" w:hAnsi="宋体" w:eastAsia="宋体" w:cs="Calibri"/>
          <w:b/>
          <w:bCs/>
          <w:sz w:val="24"/>
        </w:rPr>
        <w:t>.履约保证金</w:t>
      </w:r>
    </w:p>
    <w:p w14:paraId="2B78871C">
      <w:pPr>
        <w:spacing w:line="360" w:lineRule="auto"/>
        <w:ind w:firstLine="424" w:firstLineChars="202"/>
        <w:rPr>
          <w:rFonts w:hint="eastAsia" w:ascii="宋体" w:hAnsi="宋体" w:eastAsia="宋体" w:cs="Calibri"/>
          <w:szCs w:val="21"/>
        </w:rPr>
      </w:pPr>
      <w:r>
        <w:rPr>
          <w:rFonts w:ascii="宋体" w:hAnsi="宋体" w:eastAsia="宋体" w:cs="Calibri"/>
          <w:szCs w:val="21"/>
        </w:rPr>
        <w:t>28</w:t>
      </w:r>
      <w:r>
        <w:rPr>
          <w:rFonts w:hint="eastAsia" w:ascii="宋体" w:hAnsi="宋体" w:eastAsia="宋体" w:cs="Calibri"/>
          <w:szCs w:val="21"/>
        </w:rPr>
        <w:t>.1</w:t>
      </w:r>
      <w:r>
        <w:rPr>
          <w:rFonts w:ascii="宋体" w:hAnsi="宋体" w:eastAsia="宋体" w:cs="Calibri"/>
          <w:szCs w:val="21"/>
        </w:rPr>
        <w:t xml:space="preserve"> </w:t>
      </w:r>
      <w:r>
        <w:rPr>
          <w:rFonts w:hint="eastAsia" w:ascii="宋体" w:hAnsi="宋体" w:eastAsia="宋体" w:cs="Calibri"/>
          <w:szCs w:val="21"/>
        </w:rPr>
        <w:t>履约保证金的金额、提交方式、退付的时间和条件详见 “供应商须知前附表”。成交供应商未按规定提交履约保证金的，视为拒绝</w:t>
      </w:r>
      <w:r>
        <w:rPr>
          <w:rFonts w:ascii="宋体" w:hAnsi="宋体" w:eastAsia="宋体"/>
        </w:rPr>
        <w:t>与采购人</w:t>
      </w:r>
      <w:r>
        <w:rPr>
          <w:rFonts w:hint="eastAsia" w:ascii="宋体" w:hAnsi="宋体" w:eastAsia="宋体" w:cs="Calibri"/>
          <w:szCs w:val="21"/>
        </w:rPr>
        <w:t>签订合同。</w:t>
      </w:r>
    </w:p>
    <w:p w14:paraId="49E3FC39">
      <w:pPr>
        <w:spacing w:line="360" w:lineRule="auto"/>
        <w:ind w:firstLine="424" w:firstLineChars="202"/>
        <w:rPr>
          <w:rFonts w:hint="eastAsia" w:ascii="宋体" w:hAnsi="宋体" w:eastAsia="宋体" w:cs="Calibri"/>
          <w:szCs w:val="21"/>
        </w:rPr>
      </w:pPr>
      <w:r>
        <w:rPr>
          <w:rFonts w:ascii="宋体" w:hAnsi="宋体" w:eastAsia="宋体" w:cs="Calibri"/>
          <w:szCs w:val="21"/>
        </w:rPr>
        <w:t>28</w:t>
      </w:r>
      <w:r>
        <w:rPr>
          <w:rFonts w:hint="eastAsia" w:ascii="宋体" w:hAnsi="宋体" w:eastAsia="宋体" w:cs="Calibri"/>
          <w:szCs w:val="21"/>
        </w:rPr>
        <w:t>.2在履约保证金退还日期前，若成交供应商的开户名称、开户银行、帐号有变动的，请以书面形式通知履约保证金收取单位，否则由此产生的后果由成交供应商自行承担。</w:t>
      </w:r>
    </w:p>
    <w:p w14:paraId="4A4FFDFF">
      <w:pPr>
        <w:spacing w:line="360" w:lineRule="auto"/>
        <w:ind w:firstLine="482" w:firstLineChars="200"/>
        <w:rPr>
          <w:rFonts w:hint="eastAsia" w:ascii="宋体" w:hAnsi="宋体" w:eastAsia="宋体" w:cs="Calibri"/>
          <w:b/>
          <w:bCs/>
          <w:sz w:val="24"/>
        </w:rPr>
      </w:pPr>
      <w:r>
        <w:rPr>
          <w:rFonts w:ascii="宋体" w:hAnsi="宋体" w:eastAsia="宋体" w:cs="Calibri"/>
          <w:b/>
          <w:bCs/>
          <w:sz w:val="24"/>
        </w:rPr>
        <w:t>29</w:t>
      </w:r>
      <w:r>
        <w:rPr>
          <w:rFonts w:hint="eastAsia" w:ascii="宋体" w:hAnsi="宋体" w:eastAsia="宋体" w:cs="Calibri"/>
          <w:b/>
          <w:bCs/>
          <w:sz w:val="24"/>
        </w:rPr>
        <w:t>.签订合同</w:t>
      </w:r>
    </w:p>
    <w:p w14:paraId="79CFF55A">
      <w:pPr>
        <w:spacing w:line="360" w:lineRule="auto"/>
        <w:ind w:firstLine="424" w:firstLineChars="202"/>
        <w:rPr>
          <w:rFonts w:hint="eastAsia" w:ascii="宋体" w:hAnsi="宋体" w:eastAsia="宋体" w:cs="Calibri"/>
          <w:szCs w:val="21"/>
        </w:rPr>
      </w:pPr>
      <w:r>
        <w:rPr>
          <w:rFonts w:hint="eastAsia" w:ascii="宋体" w:hAnsi="宋体" w:eastAsia="宋体" w:cs="Calibri"/>
          <w:szCs w:val="21"/>
        </w:rPr>
        <w:t>29.1签订电子采购合同：成交供应商领取电子成交通知书后，在</w:t>
      </w:r>
      <w:r>
        <w:rPr>
          <w:rFonts w:hint="eastAsia" w:ascii="宋体" w:hAnsi="宋体" w:eastAsia="宋体" w:cs="Calibri"/>
          <w:szCs w:val="21"/>
          <w:lang w:val="zh-CN"/>
        </w:rPr>
        <w:t>规定的日期、时间、地点，由法定代表人或其授权代表与采购人代表签订电子采购合同。如成交供应商为联合体的，由联合体成员各方法定代表人或其授权代表与采购人代表签订合同。</w:t>
      </w:r>
    </w:p>
    <w:p w14:paraId="3A04761B">
      <w:pPr>
        <w:spacing w:line="360" w:lineRule="auto"/>
        <w:ind w:firstLine="424" w:firstLineChars="202"/>
        <w:rPr>
          <w:rFonts w:hint="eastAsia" w:ascii="宋体" w:hAnsi="宋体" w:eastAsia="宋体" w:cs="Calibri"/>
          <w:szCs w:val="21"/>
        </w:rPr>
      </w:pPr>
      <w:r>
        <w:rPr>
          <w:rFonts w:hint="eastAsia" w:ascii="宋体" w:hAnsi="宋体" w:eastAsia="宋体" w:cs="Calibri"/>
          <w:szCs w:val="21"/>
        </w:rPr>
        <w:t>线下签订纸质合同：供应商领取成交通知书后，按“供应商须知前附表”规定向采购人出示相关证明材料，经采购人核验合格后方可签订合同。</w:t>
      </w:r>
    </w:p>
    <w:p w14:paraId="5833BFC0">
      <w:pPr>
        <w:spacing w:line="360" w:lineRule="auto"/>
        <w:ind w:firstLine="424" w:firstLineChars="202"/>
        <w:rPr>
          <w:rFonts w:hint="eastAsia" w:ascii="宋体" w:hAnsi="宋体" w:eastAsia="宋体" w:cs="Calibri"/>
          <w:szCs w:val="21"/>
        </w:rPr>
      </w:pPr>
      <w:r>
        <w:rPr>
          <w:rFonts w:hint="eastAsia" w:ascii="宋体" w:hAnsi="宋体" w:eastAsia="宋体" w:cs="Calibri"/>
          <w:szCs w:val="21"/>
        </w:rPr>
        <w:t>29.2签订合同时间：按成交通知书规定的时间与采购人签订合同。</w:t>
      </w:r>
    </w:p>
    <w:p w14:paraId="54500FB3">
      <w:pPr>
        <w:spacing w:line="360" w:lineRule="auto"/>
        <w:ind w:firstLine="424" w:firstLineChars="202"/>
        <w:rPr>
          <w:rFonts w:hint="eastAsia" w:ascii="宋体" w:hAnsi="宋体" w:eastAsia="宋体" w:cs="Calibri"/>
          <w:szCs w:val="21"/>
        </w:rPr>
      </w:pPr>
      <w:r>
        <w:rPr>
          <w:rFonts w:hint="eastAsia" w:ascii="宋体" w:hAnsi="宋体" w:eastAsia="宋体" w:cs="Calibri"/>
          <w:szCs w:val="21"/>
        </w:rPr>
        <w:t>29.</w:t>
      </w:r>
      <w:r>
        <w:rPr>
          <w:rFonts w:ascii="宋体" w:hAnsi="宋体" w:eastAsia="宋体" w:cs="Calibri"/>
          <w:szCs w:val="21"/>
        </w:rPr>
        <w:t>3</w:t>
      </w:r>
      <w:r>
        <w:rPr>
          <w:rFonts w:hint="eastAsia" w:ascii="宋体" w:hAnsi="宋体" w:eastAsia="宋体" w:cs="Calibri"/>
          <w:szCs w:val="21"/>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1E7735E6">
      <w:pPr>
        <w:spacing w:line="360" w:lineRule="auto"/>
        <w:ind w:firstLine="424" w:firstLineChars="202"/>
        <w:rPr>
          <w:rFonts w:hint="eastAsia" w:ascii="宋体" w:hAnsi="宋体" w:eastAsia="宋体" w:cs="Calibri"/>
          <w:szCs w:val="21"/>
        </w:rPr>
      </w:pPr>
      <w:r>
        <w:rPr>
          <w:rFonts w:hint="eastAsia" w:ascii="宋体" w:hAnsi="宋体" w:eastAsia="宋体" w:cs="Calibri"/>
          <w:szCs w:val="21"/>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E5B734C">
      <w:pPr>
        <w:spacing w:line="360" w:lineRule="auto"/>
        <w:ind w:firstLine="424" w:firstLineChars="202"/>
        <w:rPr>
          <w:rFonts w:hint="eastAsia" w:ascii="宋体" w:hAnsi="宋体" w:eastAsia="宋体" w:cs="Calibri"/>
          <w:szCs w:val="21"/>
        </w:rPr>
      </w:pPr>
      <w:r>
        <w:rPr>
          <w:rFonts w:hint="eastAsia" w:ascii="宋体" w:hAnsi="宋体" w:eastAsia="宋体" w:cs="Calibri"/>
          <w:szCs w:val="21"/>
        </w:rPr>
        <w:t>29.5采购人或成交供应商不得单方面向合同另一方提出任何磋商文件没有约定的条件或不合理的要求，作为签订合同的条件；也不得协商另行订立背离磋商文件和合同实质性内容的协议。</w:t>
      </w:r>
    </w:p>
    <w:p w14:paraId="75631408">
      <w:pPr>
        <w:spacing w:line="360" w:lineRule="auto"/>
        <w:ind w:firstLine="424" w:firstLineChars="202"/>
        <w:rPr>
          <w:rFonts w:hint="eastAsia" w:ascii="宋体" w:hAnsi="宋体" w:eastAsia="宋体" w:cs="Calibri"/>
          <w:szCs w:val="21"/>
        </w:rPr>
      </w:pPr>
      <w:r>
        <w:rPr>
          <w:rFonts w:hint="eastAsia" w:ascii="宋体" w:hAnsi="宋体" w:eastAsia="宋体" w:cs="Calibri"/>
          <w:szCs w:val="21"/>
        </w:rPr>
        <w:t>29.6如签订合同并生效后，供应商无故拒绝或延期，除按照合同条款处理外，将承担相应的法律责任。</w:t>
      </w:r>
    </w:p>
    <w:p w14:paraId="7504668C">
      <w:pPr>
        <w:spacing w:line="360" w:lineRule="auto"/>
        <w:ind w:firstLine="424" w:firstLineChars="202"/>
        <w:rPr>
          <w:rFonts w:hint="eastAsia" w:ascii="宋体" w:hAnsi="宋体" w:eastAsia="宋体" w:cs="Calibri"/>
          <w:szCs w:val="21"/>
        </w:rPr>
      </w:pPr>
      <w:r>
        <w:rPr>
          <w:rFonts w:hint="eastAsia" w:ascii="宋体" w:hAnsi="宋体" w:eastAsia="宋体" w:cs="Calibri"/>
          <w:szCs w:val="21"/>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44DEFB93">
      <w:pPr>
        <w:spacing w:line="360" w:lineRule="auto"/>
        <w:ind w:firstLine="482" w:firstLineChars="200"/>
        <w:rPr>
          <w:rFonts w:hint="eastAsia" w:ascii="宋体" w:hAnsi="宋体" w:eastAsia="宋体" w:cs="Calibri"/>
          <w:b/>
          <w:bCs/>
          <w:sz w:val="24"/>
        </w:rPr>
      </w:pPr>
      <w:r>
        <w:rPr>
          <w:rFonts w:ascii="宋体" w:hAnsi="宋体" w:eastAsia="宋体" w:cs="Calibri"/>
          <w:b/>
          <w:bCs/>
          <w:sz w:val="24"/>
        </w:rPr>
        <w:t>30</w:t>
      </w:r>
      <w:r>
        <w:rPr>
          <w:rFonts w:hint="eastAsia" w:ascii="宋体" w:hAnsi="宋体" w:eastAsia="宋体" w:cs="Calibri"/>
          <w:b/>
          <w:bCs/>
          <w:sz w:val="24"/>
        </w:rPr>
        <w:t>.政府采购合同公告</w:t>
      </w:r>
    </w:p>
    <w:p w14:paraId="396613D7">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1C13E5FD">
      <w:pPr>
        <w:spacing w:line="360" w:lineRule="auto"/>
        <w:ind w:firstLine="482" w:firstLineChars="200"/>
        <w:rPr>
          <w:rFonts w:hint="eastAsia" w:ascii="宋体" w:hAnsi="宋体" w:eastAsia="宋体" w:cs="Calibri"/>
          <w:b/>
          <w:bCs/>
          <w:sz w:val="24"/>
        </w:rPr>
      </w:pPr>
      <w:r>
        <w:rPr>
          <w:rFonts w:ascii="宋体" w:hAnsi="宋体" w:eastAsia="宋体" w:cs="Calibri"/>
          <w:b/>
          <w:bCs/>
          <w:sz w:val="24"/>
        </w:rPr>
        <w:t>31</w:t>
      </w:r>
      <w:r>
        <w:rPr>
          <w:rFonts w:hint="eastAsia" w:ascii="宋体" w:hAnsi="宋体" w:eastAsia="宋体" w:cs="Calibri"/>
          <w:b/>
          <w:bCs/>
          <w:sz w:val="24"/>
        </w:rPr>
        <w:t>. 询问、质疑和投诉</w:t>
      </w:r>
    </w:p>
    <w:p w14:paraId="426AEE4E">
      <w:pPr>
        <w:pStyle w:val="7"/>
        <w:spacing w:line="360" w:lineRule="auto"/>
        <w:ind w:firstLine="422"/>
        <w:rPr>
          <w:rFonts w:hint="eastAsia" w:ascii="宋体" w:hAnsi="宋体" w:eastAsia="宋体"/>
          <w:szCs w:val="21"/>
        </w:rPr>
      </w:pPr>
      <w:r>
        <w:rPr>
          <w:rFonts w:hint="eastAsia" w:ascii="宋体" w:hAnsi="宋体" w:eastAsia="宋体" w:cs="Calibri"/>
        </w:rPr>
        <w:t>3</w:t>
      </w:r>
      <w:r>
        <w:rPr>
          <w:rFonts w:ascii="宋体" w:hAnsi="宋体" w:eastAsia="宋体" w:cs="Calibri"/>
        </w:rPr>
        <w:t>1</w:t>
      </w:r>
      <w:r>
        <w:rPr>
          <w:rFonts w:hint="eastAsia" w:ascii="宋体" w:hAnsi="宋体" w:eastAsia="宋体" w:cs="Calibri"/>
        </w:rPr>
        <w:t>.1供应商对政府采购活动事项有疑问的，可以向采购人、采购代理机构提出询问，采购人或者采购代理机构应当在3个工作日内对供应商依法提出的询问作出答复，</w:t>
      </w:r>
      <w:r>
        <w:rPr>
          <w:rFonts w:hint="eastAsia" w:ascii="宋体" w:hAnsi="宋体" w:eastAsia="宋体"/>
          <w:szCs w:val="21"/>
        </w:rPr>
        <w:t>但答复的内容不得涉及商业秘密</w:t>
      </w:r>
      <w:r>
        <w:rPr>
          <w:rFonts w:hint="eastAsia" w:ascii="宋体" w:hAnsi="宋体" w:eastAsia="宋体" w:cs="Calibri"/>
        </w:rPr>
        <w:t>。</w:t>
      </w:r>
    </w:p>
    <w:p w14:paraId="1B45068C">
      <w:pPr>
        <w:spacing w:line="360" w:lineRule="auto"/>
        <w:ind w:firstLine="420" w:firstLineChars="200"/>
        <w:rPr>
          <w:rFonts w:hint="eastAsia" w:ascii="宋体" w:hAnsi="宋体" w:eastAsia="宋体" w:cs="Calibri"/>
        </w:rPr>
      </w:pPr>
      <w:r>
        <w:rPr>
          <w:rFonts w:hint="eastAsia" w:ascii="宋体" w:hAnsi="宋体" w:eastAsia="宋体" w:cs="Calibri"/>
        </w:rPr>
        <w:t>3</w:t>
      </w:r>
      <w:r>
        <w:rPr>
          <w:rFonts w:ascii="宋体" w:hAnsi="宋体" w:eastAsia="宋体" w:cs="Calibri"/>
        </w:rPr>
        <w:t>1</w:t>
      </w:r>
      <w:r>
        <w:rPr>
          <w:rFonts w:hint="eastAsia" w:ascii="宋体" w:hAnsi="宋体" w:eastAsia="宋体" w:cs="Calibri"/>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eastAsia="宋体" w:cs="等线 Light"/>
          <w:shd w:val="clear" w:color="auto" w:fill="FFFFFF"/>
        </w:rPr>
        <w:t>接收质疑函的方式、联系部门、联系电话和通讯地址等信息</w:t>
      </w:r>
      <w:r>
        <w:rPr>
          <w:rFonts w:hint="eastAsia" w:ascii="宋体" w:hAnsi="宋体" w:eastAsia="宋体" w:cs="等线 Light"/>
          <w:shd w:val="clear" w:color="auto" w:fill="FFFFFF"/>
        </w:rPr>
        <w:t>详见</w:t>
      </w:r>
      <w:r>
        <w:rPr>
          <w:rFonts w:hint="eastAsia" w:ascii="宋体" w:hAnsi="宋体" w:eastAsia="宋体" w:cs="Calibri"/>
          <w:szCs w:val="21"/>
        </w:rPr>
        <w:t>“供应商须知前附表”</w:t>
      </w:r>
      <w:r>
        <w:rPr>
          <w:rFonts w:hint="eastAsia" w:ascii="宋体" w:hAnsi="宋体" w:eastAsia="宋体" w:cs="Calibri"/>
        </w:rPr>
        <w:t>。具体质疑起算时间如下：</w:t>
      </w:r>
    </w:p>
    <w:p w14:paraId="4218E507">
      <w:pPr>
        <w:spacing w:line="360" w:lineRule="auto"/>
        <w:ind w:firstLine="420" w:firstLineChars="200"/>
        <w:rPr>
          <w:rFonts w:hint="eastAsia" w:ascii="宋体" w:hAnsi="宋体" w:eastAsia="宋体" w:cs="Calibri"/>
        </w:rPr>
      </w:pPr>
      <w:r>
        <w:rPr>
          <w:rFonts w:hint="eastAsia" w:ascii="宋体" w:hAnsi="宋体" w:eastAsia="宋体" w:cs="Calibri"/>
        </w:rPr>
        <w:t>（1）对可以质疑的磋商文件提出质疑的，为收到磋商文件之日或者</w:t>
      </w:r>
      <w:r>
        <w:rPr>
          <w:rFonts w:hint="eastAsia" w:ascii="宋体" w:hAnsi="宋体" w:eastAsia="宋体"/>
        </w:rPr>
        <w:t>竞争性磋商公告期限届满之日</w:t>
      </w:r>
      <w:r>
        <w:rPr>
          <w:rFonts w:hint="eastAsia" w:ascii="宋体" w:hAnsi="宋体" w:eastAsia="宋体" w:cs="Calibri"/>
        </w:rPr>
        <w:t>；</w:t>
      </w:r>
    </w:p>
    <w:p w14:paraId="501711E9">
      <w:pPr>
        <w:spacing w:line="360" w:lineRule="auto"/>
        <w:ind w:firstLine="420" w:firstLineChars="200"/>
        <w:rPr>
          <w:rFonts w:hint="eastAsia" w:ascii="宋体" w:hAnsi="宋体" w:eastAsia="宋体" w:cs="Calibri"/>
        </w:rPr>
      </w:pPr>
      <w:r>
        <w:rPr>
          <w:rFonts w:hint="eastAsia" w:ascii="宋体" w:hAnsi="宋体" w:eastAsia="宋体" w:cs="Calibri"/>
        </w:rPr>
        <w:t>（2）对采购过程提出质疑的，为各采购程序环节结束之日；</w:t>
      </w:r>
    </w:p>
    <w:p w14:paraId="201705B7">
      <w:pPr>
        <w:spacing w:line="360" w:lineRule="auto"/>
        <w:ind w:firstLine="420" w:firstLineChars="200"/>
        <w:rPr>
          <w:rFonts w:hint="eastAsia" w:ascii="宋体" w:hAnsi="宋体" w:eastAsia="宋体" w:cs="Calibri"/>
        </w:rPr>
      </w:pPr>
      <w:r>
        <w:rPr>
          <w:rFonts w:hint="eastAsia" w:ascii="宋体" w:hAnsi="宋体" w:eastAsia="宋体" w:cs="Calibri"/>
        </w:rPr>
        <w:t>（3）对成交结果提出质疑的，为成交结果公告期限届满之日。</w:t>
      </w:r>
    </w:p>
    <w:p w14:paraId="2E4310CD">
      <w:pPr>
        <w:spacing w:line="360" w:lineRule="auto"/>
        <w:ind w:firstLine="420" w:firstLineChars="200"/>
        <w:rPr>
          <w:rFonts w:hint="eastAsia" w:ascii="宋体" w:hAnsi="宋体" w:eastAsia="宋体" w:cs="Calibri"/>
        </w:rPr>
      </w:pPr>
      <w:r>
        <w:rPr>
          <w:rFonts w:hint="eastAsia" w:ascii="宋体" w:hAnsi="宋体" w:eastAsia="宋体" w:cs="Calibri"/>
        </w:rPr>
        <w:t>3</w:t>
      </w:r>
      <w:r>
        <w:rPr>
          <w:rFonts w:ascii="宋体" w:hAnsi="宋体" w:eastAsia="宋体" w:cs="Calibri"/>
        </w:rPr>
        <w:t>1</w:t>
      </w:r>
      <w:r>
        <w:rPr>
          <w:rFonts w:hint="eastAsia" w:ascii="宋体" w:hAnsi="宋体" w:eastAsia="宋体" w:cs="Calibri"/>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5DE861B6">
      <w:pPr>
        <w:spacing w:line="360" w:lineRule="auto"/>
        <w:ind w:firstLine="420" w:firstLineChars="200"/>
        <w:rPr>
          <w:rFonts w:hint="eastAsia" w:ascii="宋体" w:hAnsi="宋体" w:eastAsia="宋体" w:cs="Calibri"/>
        </w:rPr>
      </w:pPr>
      <w:r>
        <w:rPr>
          <w:rFonts w:hint="eastAsia" w:ascii="宋体" w:hAnsi="宋体" w:eastAsia="宋体" w:cs="Calibri"/>
        </w:rPr>
        <w:t>3</w:t>
      </w:r>
      <w:r>
        <w:rPr>
          <w:rFonts w:ascii="宋体" w:hAnsi="宋体" w:eastAsia="宋体" w:cs="Calibri"/>
        </w:rPr>
        <w:t>1</w:t>
      </w:r>
      <w:r>
        <w:rPr>
          <w:rFonts w:hint="eastAsia" w:ascii="宋体" w:hAnsi="宋体" w:eastAsia="宋体" w:cs="Calibri"/>
        </w:rPr>
        <w:t>.4 供应商提出质疑应当提交质疑函和必要的证明材料，针对同一采购程序环节的质疑必须在法定质疑期内一次性提出。质疑函应当包括下列内容</w:t>
      </w:r>
      <w:r>
        <w:rPr>
          <w:rFonts w:hint="eastAsia" w:ascii="宋体" w:hAnsi="宋体" w:eastAsia="宋体"/>
          <w:bCs/>
        </w:rPr>
        <w:t>（质疑函格式后附）</w:t>
      </w:r>
      <w:r>
        <w:rPr>
          <w:rFonts w:hint="eastAsia" w:ascii="宋体" w:hAnsi="宋体" w:eastAsia="宋体" w:cs="Calibri"/>
        </w:rPr>
        <w:t>：</w:t>
      </w:r>
    </w:p>
    <w:p w14:paraId="36F969C5">
      <w:pPr>
        <w:spacing w:line="360" w:lineRule="auto"/>
        <w:ind w:firstLine="420" w:firstLineChars="200"/>
        <w:rPr>
          <w:rFonts w:hint="eastAsia" w:ascii="宋体" w:hAnsi="宋体" w:eastAsia="宋体" w:cs="Calibri"/>
        </w:rPr>
      </w:pPr>
      <w:r>
        <w:rPr>
          <w:rFonts w:hint="eastAsia" w:ascii="宋体" w:hAnsi="宋体" w:eastAsia="宋体" w:cs="Calibri"/>
        </w:rPr>
        <w:t>（1）供应商的姓名或者名称、地址、邮编、联系人及联系电话；</w:t>
      </w:r>
    </w:p>
    <w:p w14:paraId="195B7E90">
      <w:pPr>
        <w:spacing w:line="360" w:lineRule="auto"/>
        <w:ind w:firstLine="420" w:firstLineChars="200"/>
        <w:rPr>
          <w:rFonts w:hint="eastAsia" w:ascii="宋体" w:hAnsi="宋体" w:eastAsia="宋体" w:cs="Calibri"/>
        </w:rPr>
      </w:pPr>
      <w:r>
        <w:rPr>
          <w:rFonts w:hint="eastAsia" w:ascii="宋体" w:hAnsi="宋体" w:eastAsia="宋体" w:cs="Calibri"/>
        </w:rPr>
        <w:t>（2）质疑项目的名称、编号；</w:t>
      </w:r>
    </w:p>
    <w:p w14:paraId="6613258A">
      <w:pPr>
        <w:spacing w:line="360" w:lineRule="auto"/>
        <w:ind w:firstLine="420" w:firstLineChars="200"/>
        <w:rPr>
          <w:rFonts w:hint="eastAsia" w:ascii="宋体" w:hAnsi="宋体" w:eastAsia="宋体" w:cs="Calibri"/>
        </w:rPr>
      </w:pPr>
      <w:r>
        <w:rPr>
          <w:rFonts w:hint="eastAsia" w:ascii="宋体" w:hAnsi="宋体" w:eastAsia="宋体" w:cs="Calibri"/>
        </w:rPr>
        <w:t>（3）具体、明确的质疑事项和与质疑事项相关的请求；</w:t>
      </w:r>
    </w:p>
    <w:p w14:paraId="07940710">
      <w:pPr>
        <w:spacing w:line="360" w:lineRule="auto"/>
        <w:ind w:firstLine="420" w:firstLineChars="200"/>
        <w:rPr>
          <w:rFonts w:hint="eastAsia" w:ascii="宋体" w:hAnsi="宋体" w:eastAsia="宋体" w:cs="Calibri"/>
        </w:rPr>
      </w:pPr>
      <w:r>
        <w:rPr>
          <w:rFonts w:hint="eastAsia" w:ascii="宋体" w:hAnsi="宋体" w:eastAsia="宋体" w:cs="Calibri"/>
        </w:rPr>
        <w:t>（4）事实依据；</w:t>
      </w:r>
    </w:p>
    <w:p w14:paraId="54DFA1D1">
      <w:pPr>
        <w:spacing w:line="360" w:lineRule="auto"/>
        <w:ind w:firstLine="420" w:firstLineChars="200"/>
        <w:rPr>
          <w:rFonts w:hint="eastAsia" w:ascii="宋体" w:hAnsi="宋体" w:eastAsia="宋体" w:cs="Calibri"/>
        </w:rPr>
      </w:pPr>
      <w:r>
        <w:rPr>
          <w:rFonts w:hint="eastAsia" w:ascii="宋体" w:hAnsi="宋体" w:eastAsia="宋体" w:cs="Calibri"/>
        </w:rPr>
        <w:t>（5）必要的法律依据；</w:t>
      </w:r>
    </w:p>
    <w:p w14:paraId="224FA0D3">
      <w:pPr>
        <w:spacing w:line="360" w:lineRule="auto"/>
        <w:ind w:firstLine="420" w:firstLineChars="200"/>
        <w:rPr>
          <w:rFonts w:hint="eastAsia" w:ascii="宋体" w:hAnsi="宋体" w:eastAsia="宋体" w:cs="Calibri"/>
        </w:rPr>
      </w:pPr>
      <w:r>
        <w:rPr>
          <w:rFonts w:hint="eastAsia" w:ascii="宋体" w:hAnsi="宋体" w:eastAsia="宋体" w:cs="Calibri"/>
        </w:rPr>
        <w:t>（6）提出质疑的日期。</w:t>
      </w:r>
    </w:p>
    <w:p w14:paraId="63D98695">
      <w:pPr>
        <w:spacing w:line="360" w:lineRule="auto"/>
        <w:ind w:firstLine="420" w:firstLineChars="200"/>
        <w:rPr>
          <w:rFonts w:hint="eastAsia" w:ascii="宋体" w:hAnsi="宋体" w:eastAsia="宋体" w:cs="Calibri"/>
        </w:rPr>
      </w:pPr>
      <w:r>
        <w:rPr>
          <w:rFonts w:hint="eastAsia" w:ascii="宋体" w:hAnsi="宋体" w:eastAsia="宋体" w:cs="Calibri"/>
        </w:rPr>
        <w:t>供应商为自然人的，应当由本人签字；供应商为法人或者其他组织的，应当由法定代表人、主要负责人，或者其委托代理人签字或者盖章，并加盖公章。</w:t>
      </w:r>
    </w:p>
    <w:p w14:paraId="2B0CEA5B">
      <w:pPr>
        <w:spacing w:line="360" w:lineRule="auto"/>
        <w:ind w:firstLine="420" w:firstLineChars="200"/>
        <w:rPr>
          <w:rFonts w:hint="eastAsia" w:ascii="宋体" w:hAnsi="宋体" w:eastAsia="宋体" w:cs="Calibri"/>
        </w:rPr>
      </w:pPr>
      <w:r>
        <w:rPr>
          <w:rFonts w:hint="eastAsia" w:ascii="宋体" w:hAnsi="宋体" w:eastAsia="宋体" w:cs="Calibri"/>
        </w:rPr>
        <w:t>3</w:t>
      </w:r>
      <w:r>
        <w:rPr>
          <w:rFonts w:ascii="宋体" w:hAnsi="宋体" w:eastAsia="宋体" w:cs="Calibri"/>
        </w:rPr>
        <w:t>1.5</w:t>
      </w:r>
      <w:r>
        <w:rPr>
          <w:rFonts w:hint="eastAsia" w:ascii="宋体" w:hAnsi="宋体" w:eastAsia="宋体" w:cs="Calibri"/>
        </w:rPr>
        <w:t>采购人、采购代理机构认为供应商质疑不成立，或者成立但未对成交结果构成影响的，继续开展采购活动；认为供应商质疑成立且影响或者可能影响成交结果的，按照下列情况处理：</w:t>
      </w:r>
    </w:p>
    <w:p w14:paraId="298771F0">
      <w:pPr>
        <w:spacing w:line="360" w:lineRule="auto"/>
        <w:ind w:firstLine="420" w:firstLineChars="200"/>
        <w:rPr>
          <w:rFonts w:hint="eastAsia" w:ascii="宋体" w:hAnsi="宋体" w:eastAsia="宋体" w:cs="Calibri"/>
        </w:rPr>
      </w:pPr>
      <w:r>
        <w:rPr>
          <w:rFonts w:hint="eastAsia" w:ascii="宋体" w:hAnsi="宋体" w:eastAsia="宋体" w:cs="Calibri"/>
        </w:rPr>
        <w:t>（一）对采购文件提出的质疑，依法通过澄清或者修改可以继续开展采购活动的，澄清或者修改采购文件后继续开展采购活动；否则应当修改采购文件后重新开展采购活动。</w:t>
      </w:r>
    </w:p>
    <w:p w14:paraId="4C2AC599">
      <w:pPr>
        <w:spacing w:line="360" w:lineRule="auto"/>
        <w:ind w:firstLine="420" w:firstLineChars="200"/>
        <w:rPr>
          <w:rFonts w:hint="eastAsia" w:ascii="宋体" w:hAnsi="宋体" w:eastAsia="宋体" w:cs="Calibri"/>
        </w:rPr>
      </w:pPr>
      <w:r>
        <w:rPr>
          <w:rFonts w:hint="eastAsia" w:ascii="宋体" w:hAnsi="宋体" w:eastAsia="宋体" w:cs="Calibri"/>
        </w:rPr>
        <w:t>（二）对采购过程或者成交结果提出的质疑，合格供应商符合法定数量时，可以从合格的成交候选人中另行确定成交供应商的，应当依法另行确定成交供应商；否则应当重新开展采购活动。</w:t>
      </w:r>
    </w:p>
    <w:p w14:paraId="1FEB6E61">
      <w:pPr>
        <w:spacing w:line="360" w:lineRule="auto"/>
        <w:ind w:firstLine="420" w:firstLineChars="200"/>
        <w:rPr>
          <w:rFonts w:hint="eastAsia" w:ascii="宋体" w:hAnsi="宋体" w:eastAsia="宋体" w:cs="Calibri"/>
        </w:rPr>
      </w:pPr>
      <w:r>
        <w:rPr>
          <w:rFonts w:hint="eastAsia" w:ascii="宋体" w:hAnsi="宋体" w:eastAsia="宋体" w:cs="Calibri"/>
        </w:rPr>
        <w:t>质疑答复导致成交结果改变的，采购人或者采购代理机构应当将有关情况书面报告本级财政部门。</w:t>
      </w:r>
    </w:p>
    <w:p w14:paraId="25F63304">
      <w:pPr>
        <w:spacing w:line="360" w:lineRule="auto"/>
        <w:ind w:firstLine="420" w:firstLineChars="200"/>
        <w:rPr>
          <w:rFonts w:hint="eastAsia" w:ascii="宋体" w:hAnsi="宋体" w:eastAsia="宋体" w:cs="Calibri"/>
          <w:szCs w:val="21"/>
        </w:rPr>
      </w:pPr>
      <w:r>
        <w:rPr>
          <w:rFonts w:ascii="宋体" w:hAnsi="宋体" w:eastAsia="宋体" w:cs="Calibri"/>
        </w:rPr>
        <w:t>31</w:t>
      </w:r>
      <w:r>
        <w:rPr>
          <w:rFonts w:hint="eastAsia" w:ascii="宋体" w:hAnsi="宋体" w:eastAsia="宋体" w:cs="Calibri"/>
        </w:rPr>
        <w:t>.</w:t>
      </w:r>
      <w:r>
        <w:rPr>
          <w:rFonts w:ascii="宋体" w:hAnsi="宋体" w:eastAsia="宋体" w:cs="Calibri"/>
        </w:rPr>
        <w:t>6</w:t>
      </w:r>
      <w:r>
        <w:rPr>
          <w:rFonts w:hint="eastAsia" w:ascii="宋体" w:hAnsi="宋体" w:eastAsia="宋体" w:cs="Calibri"/>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710FE7A2">
      <w:pPr>
        <w:spacing w:line="360" w:lineRule="auto"/>
        <w:ind w:firstLine="482" w:firstLineChars="200"/>
        <w:rPr>
          <w:rFonts w:hint="eastAsia" w:ascii="宋体" w:hAnsi="宋体" w:eastAsia="宋体" w:cs="Calibri"/>
          <w:b/>
          <w:bCs/>
          <w:sz w:val="24"/>
        </w:rPr>
      </w:pPr>
      <w:r>
        <w:rPr>
          <w:rFonts w:ascii="宋体" w:hAnsi="宋体" w:eastAsia="宋体" w:cs="Calibri"/>
          <w:b/>
          <w:bCs/>
          <w:sz w:val="24"/>
        </w:rPr>
        <w:t>32</w:t>
      </w:r>
      <w:r>
        <w:rPr>
          <w:rFonts w:hint="eastAsia" w:ascii="宋体" w:hAnsi="宋体" w:eastAsia="宋体" w:cs="Calibri"/>
          <w:b/>
          <w:bCs/>
          <w:sz w:val="24"/>
        </w:rPr>
        <w:t>.其他内容</w:t>
      </w:r>
    </w:p>
    <w:p w14:paraId="0A362120">
      <w:pPr>
        <w:tabs>
          <w:tab w:val="left" w:pos="2835"/>
        </w:tabs>
        <w:spacing w:line="360" w:lineRule="auto"/>
        <w:ind w:firstLine="420" w:firstLineChars="200"/>
        <w:rPr>
          <w:rFonts w:hint="eastAsia" w:ascii="宋体" w:hAnsi="宋体" w:eastAsia="宋体" w:cs="Calibri"/>
          <w:szCs w:val="21"/>
        </w:rPr>
      </w:pPr>
      <w:r>
        <w:rPr>
          <w:rFonts w:ascii="宋体" w:hAnsi="宋体" w:eastAsia="宋体" w:cs="Calibri"/>
          <w:szCs w:val="21"/>
        </w:rPr>
        <w:t>32</w:t>
      </w:r>
      <w:r>
        <w:rPr>
          <w:rFonts w:hint="eastAsia" w:ascii="宋体" w:hAnsi="宋体" w:eastAsia="宋体" w:cs="Calibri"/>
          <w:szCs w:val="21"/>
        </w:rPr>
        <w:t>.1代理服务收取标准及缴费账户详见“供应商须知前附表”，供应商为联合体的，可以由联合体中的一方或者多方共同交纳代理服务费。</w:t>
      </w:r>
    </w:p>
    <w:p w14:paraId="59A1720F">
      <w:pPr>
        <w:tabs>
          <w:tab w:val="left" w:pos="2835"/>
        </w:tabs>
        <w:spacing w:line="360" w:lineRule="auto"/>
        <w:ind w:firstLine="420" w:firstLineChars="200"/>
        <w:rPr>
          <w:rFonts w:hint="eastAsia" w:ascii="宋体" w:hAnsi="宋体" w:eastAsia="宋体" w:cs="Calibri"/>
          <w:szCs w:val="21"/>
        </w:rPr>
      </w:pPr>
      <w:r>
        <w:rPr>
          <w:rFonts w:ascii="宋体" w:hAnsi="宋体" w:eastAsia="宋体" w:cs="Calibri"/>
          <w:szCs w:val="21"/>
        </w:rPr>
        <w:t>32.2</w:t>
      </w:r>
      <w:r>
        <w:rPr>
          <w:rFonts w:hint="eastAsia" w:ascii="宋体" w:hAnsi="宋体" w:eastAsia="宋体" w:cs="Calibri"/>
          <w:szCs w:val="21"/>
        </w:rPr>
        <w:t>代理服务费收费计算标准：</w:t>
      </w:r>
    </w:p>
    <w:tbl>
      <w:tblPr>
        <w:tblStyle w:val="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4"/>
        <w:gridCol w:w="2012"/>
        <w:gridCol w:w="1859"/>
        <w:gridCol w:w="1877"/>
      </w:tblGrid>
      <w:tr w14:paraId="6612B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pct"/>
            <w:tcBorders>
              <w:tl2br w:val="single" w:color="auto" w:sz="4" w:space="0"/>
            </w:tcBorders>
          </w:tcPr>
          <w:p w14:paraId="21A19473">
            <w:pPr>
              <w:spacing w:line="360" w:lineRule="auto"/>
              <w:ind w:firstLine="422"/>
              <w:rPr>
                <w:rFonts w:hint="eastAsia" w:ascii="宋体" w:hAnsi="宋体" w:eastAsia="宋体" w:cs="Calibri"/>
                <w:szCs w:val="21"/>
              </w:rPr>
            </w:pPr>
            <w:r>
              <w:rPr>
                <w:rFonts w:hint="eastAsia" w:ascii="宋体" w:hAnsi="宋体" w:eastAsia="宋体" w:cs="Calibri"/>
                <w:szCs w:val="21"/>
              </w:rPr>
              <w:t xml:space="preserve">               费率</w:t>
            </w:r>
          </w:p>
          <w:p w14:paraId="4EC8C1F0">
            <w:pPr>
              <w:spacing w:line="360" w:lineRule="auto"/>
              <w:ind w:firstLine="422"/>
              <w:rPr>
                <w:rFonts w:hint="eastAsia" w:ascii="宋体" w:hAnsi="宋体" w:eastAsia="宋体" w:cs="Calibri"/>
                <w:szCs w:val="21"/>
              </w:rPr>
            </w:pPr>
            <w:r>
              <w:rPr>
                <w:rFonts w:hint="eastAsia" w:ascii="宋体" w:hAnsi="宋体" w:eastAsia="宋体" w:cs="Calibri"/>
                <w:szCs w:val="21"/>
              </w:rPr>
              <w:t>金额</w:t>
            </w:r>
          </w:p>
        </w:tc>
        <w:tc>
          <w:tcPr>
            <w:tcW w:w="1010" w:type="pct"/>
            <w:vAlign w:val="center"/>
          </w:tcPr>
          <w:p w14:paraId="06C4FCF1">
            <w:pPr>
              <w:spacing w:line="360" w:lineRule="auto"/>
              <w:ind w:firstLine="105" w:firstLineChars="50"/>
              <w:jc w:val="center"/>
              <w:rPr>
                <w:rFonts w:hint="eastAsia" w:ascii="宋体" w:hAnsi="宋体" w:eastAsia="宋体" w:cs="Calibri"/>
                <w:szCs w:val="21"/>
              </w:rPr>
            </w:pPr>
            <w:r>
              <w:rPr>
                <w:rFonts w:hint="eastAsia" w:ascii="宋体" w:hAnsi="宋体" w:eastAsia="宋体" w:cs="Calibri"/>
                <w:szCs w:val="21"/>
              </w:rPr>
              <w:t>货物类</w:t>
            </w:r>
          </w:p>
        </w:tc>
        <w:tc>
          <w:tcPr>
            <w:tcW w:w="933" w:type="pct"/>
            <w:vAlign w:val="center"/>
          </w:tcPr>
          <w:p w14:paraId="4E285A7A">
            <w:pPr>
              <w:spacing w:line="360" w:lineRule="auto"/>
              <w:ind w:firstLine="422"/>
              <w:jc w:val="center"/>
              <w:rPr>
                <w:rFonts w:hint="eastAsia" w:ascii="宋体" w:hAnsi="宋体" w:eastAsia="宋体" w:cs="Calibri"/>
                <w:szCs w:val="21"/>
              </w:rPr>
            </w:pPr>
            <w:r>
              <w:rPr>
                <w:rFonts w:hint="eastAsia" w:ascii="宋体" w:hAnsi="宋体" w:eastAsia="宋体" w:cs="Calibri"/>
                <w:szCs w:val="21"/>
              </w:rPr>
              <w:t>服务类</w:t>
            </w:r>
          </w:p>
        </w:tc>
        <w:tc>
          <w:tcPr>
            <w:tcW w:w="942" w:type="pct"/>
            <w:vAlign w:val="center"/>
          </w:tcPr>
          <w:p w14:paraId="7D23EB9C">
            <w:pPr>
              <w:spacing w:line="360" w:lineRule="auto"/>
              <w:ind w:firstLine="422"/>
              <w:jc w:val="center"/>
              <w:rPr>
                <w:rFonts w:hint="eastAsia" w:ascii="宋体" w:hAnsi="宋体" w:eastAsia="宋体" w:cs="Calibri"/>
                <w:szCs w:val="21"/>
              </w:rPr>
            </w:pPr>
            <w:r>
              <w:rPr>
                <w:rFonts w:hint="eastAsia" w:ascii="宋体" w:hAnsi="宋体" w:eastAsia="宋体" w:cs="Calibri"/>
                <w:szCs w:val="21"/>
              </w:rPr>
              <w:t>工程类</w:t>
            </w:r>
          </w:p>
        </w:tc>
      </w:tr>
      <w:tr w14:paraId="458DA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pct"/>
          </w:tcPr>
          <w:p w14:paraId="7646DDEA">
            <w:pPr>
              <w:spacing w:line="360" w:lineRule="auto"/>
              <w:ind w:firstLine="422"/>
              <w:rPr>
                <w:rFonts w:hint="eastAsia" w:ascii="宋体" w:hAnsi="宋体" w:eastAsia="宋体" w:cs="Calibri"/>
                <w:szCs w:val="21"/>
              </w:rPr>
            </w:pPr>
            <w:r>
              <w:rPr>
                <w:rFonts w:hint="eastAsia" w:ascii="宋体" w:hAnsi="宋体" w:eastAsia="宋体" w:cs="Calibri"/>
                <w:szCs w:val="21"/>
              </w:rPr>
              <w:t>100万元以下</w:t>
            </w:r>
          </w:p>
        </w:tc>
        <w:tc>
          <w:tcPr>
            <w:tcW w:w="1010" w:type="pct"/>
          </w:tcPr>
          <w:p w14:paraId="17BC57BE">
            <w:pPr>
              <w:spacing w:line="360" w:lineRule="auto"/>
              <w:ind w:firstLine="422"/>
              <w:rPr>
                <w:rFonts w:hint="eastAsia" w:ascii="宋体" w:hAnsi="宋体" w:eastAsia="宋体" w:cs="Calibri"/>
                <w:szCs w:val="21"/>
              </w:rPr>
            </w:pPr>
            <w:r>
              <w:rPr>
                <w:rFonts w:hint="eastAsia" w:ascii="宋体" w:hAnsi="宋体" w:eastAsia="宋体" w:cs="Calibri"/>
                <w:kern w:val="0"/>
                <w:szCs w:val="21"/>
              </w:rPr>
              <w:t xml:space="preserve">  1.5%                </w:t>
            </w:r>
          </w:p>
        </w:tc>
        <w:tc>
          <w:tcPr>
            <w:tcW w:w="933" w:type="pct"/>
          </w:tcPr>
          <w:p w14:paraId="2F7EBFB5">
            <w:pPr>
              <w:spacing w:line="360" w:lineRule="auto"/>
              <w:ind w:firstLine="210" w:firstLineChars="100"/>
              <w:rPr>
                <w:rFonts w:hint="eastAsia" w:ascii="宋体" w:hAnsi="宋体" w:eastAsia="宋体" w:cs="Calibri"/>
                <w:szCs w:val="21"/>
              </w:rPr>
            </w:pPr>
            <w:r>
              <w:rPr>
                <w:rFonts w:hint="eastAsia" w:ascii="宋体" w:hAnsi="宋体" w:eastAsia="宋体" w:cs="Calibri"/>
                <w:kern w:val="0"/>
                <w:szCs w:val="21"/>
              </w:rPr>
              <w:t>1.5%</w:t>
            </w:r>
          </w:p>
        </w:tc>
        <w:tc>
          <w:tcPr>
            <w:tcW w:w="942" w:type="pct"/>
          </w:tcPr>
          <w:p w14:paraId="2C8D58A0">
            <w:pPr>
              <w:spacing w:line="360" w:lineRule="auto"/>
              <w:ind w:firstLine="210" w:firstLineChars="100"/>
              <w:rPr>
                <w:rFonts w:hint="eastAsia" w:ascii="宋体" w:hAnsi="宋体" w:eastAsia="宋体" w:cs="Calibri"/>
                <w:szCs w:val="21"/>
              </w:rPr>
            </w:pPr>
            <w:r>
              <w:rPr>
                <w:rFonts w:hint="eastAsia" w:ascii="宋体" w:hAnsi="宋体" w:eastAsia="宋体" w:cs="Calibri"/>
                <w:kern w:val="0"/>
                <w:szCs w:val="21"/>
              </w:rPr>
              <w:t xml:space="preserve">1.0% </w:t>
            </w:r>
          </w:p>
        </w:tc>
      </w:tr>
      <w:tr w14:paraId="2088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pct"/>
          </w:tcPr>
          <w:p w14:paraId="67028C03">
            <w:pPr>
              <w:spacing w:line="360" w:lineRule="auto"/>
              <w:ind w:firstLine="422"/>
              <w:rPr>
                <w:rFonts w:hint="eastAsia" w:ascii="宋体" w:hAnsi="宋体" w:eastAsia="宋体" w:cs="Calibri"/>
                <w:szCs w:val="21"/>
              </w:rPr>
            </w:pPr>
            <w:r>
              <w:rPr>
                <w:rFonts w:hint="eastAsia" w:ascii="宋体" w:hAnsi="宋体" w:eastAsia="宋体" w:cs="Calibri"/>
                <w:szCs w:val="21"/>
              </w:rPr>
              <w:t>100～500万元</w:t>
            </w:r>
          </w:p>
        </w:tc>
        <w:tc>
          <w:tcPr>
            <w:tcW w:w="1010" w:type="pct"/>
          </w:tcPr>
          <w:p w14:paraId="67C22FD2">
            <w:pPr>
              <w:spacing w:line="360" w:lineRule="auto"/>
              <w:ind w:firstLine="210" w:firstLineChars="100"/>
              <w:rPr>
                <w:rFonts w:hint="eastAsia" w:ascii="宋体" w:hAnsi="宋体" w:eastAsia="宋体" w:cs="Calibri"/>
                <w:szCs w:val="21"/>
              </w:rPr>
            </w:pPr>
            <w:r>
              <w:rPr>
                <w:rFonts w:hint="eastAsia" w:ascii="宋体" w:hAnsi="宋体" w:eastAsia="宋体" w:cs="Calibri"/>
                <w:kern w:val="0"/>
                <w:szCs w:val="21"/>
              </w:rPr>
              <w:t xml:space="preserve">1.1%                 </w:t>
            </w:r>
          </w:p>
        </w:tc>
        <w:tc>
          <w:tcPr>
            <w:tcW w:w="933" w:type="pct"/>
          </w:tcPr>
          <w:p w14:paraId="1FB1783D">
            <w:pPr>
              <w:spacing w:line="360" w:lineRule="auto"/>
              <w:ind w:firstLine="210" w:firstLineChars="100"/>
              <w:rPr>
                <w:rFonts w:hint="eastAsia" w:ascii="宋体" w:hAnsi="宋体" w:eastAsia="宋体" w:cs="Calibri"/>
                <w:szCs w:val="21"/>
              </w:rPr>
            </w:pPr>
            <w:r>
              <w:rPr>
                <w:rFonts w:hint="eastAsia" w:ascii="宋体" w:hAnsi="宋体" w:eastAsia="宋体" w:cs="Calibri"/>
                <w:kern w:val="0"/>
                <w:szCs w:val="21"/>
              </w:rPr>
              <w:t>0.8%</w:t>
            </w:r>
          </w:p>
        </w:tc>
        <w:tc>
          <w:tcPr>
            <w:tcW w:w="942" w:type="pct"/>
          </w:tcPr>
          <w:p w14:paraId="765E73AE">
            <w:pPr>
              <w:spacing w:line="360" w:lineRule="auto"/>
              <w:ind w:firstLine="210" w:firstLineChars="100"/>
              <w:rPr>
                <w:rFonts w:hint="eastAsia" w:ascii="宋体" w:hAnsi="宋体" w:eastAsia="宋体" w:cs="Calibri"/>
                <w:szCs w:val="21"/>
              </w:rPr>
            </w:pPr>
            <w:r>
              <w:rPr>
                <w:rFonts w:hint="eastAsia" w:ascii="宋体" w:hAnsi="宋体" w:eastAsia="宋体" w:cs="Calibri"/>
                <w:kern w:val="0"/>
                <w:szCs w:val="21"/>
              </w:rPr>
              <w:t xml:space="preserve">0.7% </w:t>
            </w:r>
          </w:p>
        </w:tc>
      </w:tr>
      <w:tr w14:paraId="4FCFE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pct"/>
          </w:tcPr>
          <w:p w14:paraId="3ADCE0F3">
            <w:pPr>
              <w:spacing w:line="360" w:lineRule="auto"/>
              <w:ind w:firstLine="422"/>
              <w:rPr>
                <w:rFonts w:hint="eastAsia" w:ascii="宋体" w:hAnsi="宋体" w:eastAsia="宋体" w:cs="Calibri"/>
                <w:szCs w:val="21"/>
              </w:rPr>
            </w:pPr>
            <w:r>
              <w:rPr>
                <w:rFonts w:hint="eastAsia" w:ascii="宋体" w:hAnsi="宋体" w:eastAsia="宋体" w:cs="Calibri"/>
                <w:szCs w:val="21"/>
              </w:rPr>
              <w:t>500～1000万元</w:t>
            </w:r>
          </w:p>
        </w:tc>
        <w:tc>
          <w:tcPr>
            <w:tcW w:w="1010" w:type="pct"/>
          </w:tcPr>
          <w:p w14:paraId="46AEACBC">
            <w:pPr>
              <w:spacing w:line="360" w:lineRule="auto"/>
              <w:ind w:firstLine="422"/>
              <w:rPr>
                <w:rFonts w:hint="eastAsia" w:ascii="宋体" w:hAnsi="宋体" w:eastAsia="宋体" w:cs="Calibri"/>
                <w:szCs w:val="21"/>
              </w:rPr>
            </w:pPr>
            <w:r>
              <w:rPr>
                <w:rFonts w:hint="eastAsia" w:ascii="宋体" w:hAnsi="宋体" w:eastAsia="宋体" w:cs="Calibri"/>
                <w:kern w:val="0"/>
                <w:szCs w:val="21"/>
              </w:rPr>
              <w:t xml:space="preserve">  0.8%                </w:t>
            </w:r>
          </w:p>
        </w:tc>
        <w:tc>
          <w:tcPr>
            <w:tcW w:w="933" w:type="pct"/>
          </w:tcPr>
          <w:p w14:paraId="362575B3">
            <w:pPr>
              <w:spacing w:line="360" w:lineRule="auto"/>
              <w:ind w:firstLine="210" w:firstLineChars="100"/>
              <w:rPr>
                <w:rFonts w:hint="eastAsia" w:ascii="宋体" w:hAnsi="宋体" w:eastAsia="宋体" w:cs="Calibri"/>
                <w:szCs w:val="21"/>
              </w:rPr>
            </w:pPr>
            <w:r>
              <w:rPr>
                <w:rFonts w:hint="eastAsia" w:ascii="宋体" w:hAnsi="宋体" w:eastAsia="宋体" w:cs="Calibri"/>
                <w:kern w:val="0"/>
                <w:szCs w:val="21"/>
              </w:rPr>
              <w:t>0.45%</w:t>
            </w:r>
          </w:p>
        </w:tc>
        <w:tc>
          <w:tcPr>
            <w:tcW w:w="942" w:type="pct"/>
          </w:tcPr>
          <w:p w14:paraId="56211FDB">
            <w:pPr>
              <w:spacing w:line="360" w:lineRule="auto"/>
              <w:ind w:firstLine="210" w:firstLineChars="100"/>
              <w:rPr>
                <w:rFonts w:hint="eastAsia" w:ascii="宋体" w:hAnsi="宋体" w:eastAsia="宋体" w:cs="Calibri"/>
                <w:szCs w:val="21"/>
              </w:rPr>
            </w:pPr>
            <w:r>
              <w:rPr>
                <w:rFonts w:hint="eastAsia" w:ascii="宋体" w:hAnsi="宋体" w:eastAsia="宋体" w:cs="Calibri"/>
                <w:kern w:val="0"/>
                <w:szCs w:val="21"/>
              </w:rPr>
              <w:t>0.55%</w:t>
            </w:r>
          </w:p>
        </w:tc>
      </w:tr>
      <w:tr w14:paraId="4CC8E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pct"/>
          </w:tcPr>
          <w:p w14:paraId="75F11C9F">
            <w:pPr>
              <w:spacing w:line="360" w:lineRule="auto"/>
              <w:ind w:firstLine="422"/>
              <w:rPr>
                <w:rFonts w:hint="eastAsia" w:ascii="宋体" w:hAnsi="宋体" w:eastAsia="宋体" w:cs="Calibri"/>
                <w:szCs w:val="21"/>
              </w:rPr>
            </w:pPr>
            <w:r>
              <w:rPr>
                <w:rFonts w:hint="eastAsia" w:ascii="宋体" w:hAnsi="宋体" w:eastAsia="宋体" w:cs="Calibri"/>
                <w:szCs w:val="21"/>
              </w:rPr>
              <w:t>1000～5000万元</w:t>
            </w:r>
          </w:p>
        </w:tc>
        <w:tc>
          <w:tcPr>
            <w:tcW w:w="1010" w:type="pct"/>
          </w:tcPr>
          <w:p w14:paraId="3DE3FB05">
            <w:pPr>
              <w:spacing w:line="360" w:lineRule="auto"/>
              <w:ind w:firstLine="210" w:firstLineChars="100"/>
              <w:rPr>
                <w:rFonts w:hint="eastAsia" w:ascii="宋体" w:hAnsi="宋体" w:eastAsia="宋体" w:cs="Calibri"/>
                <w:szCs w:val="21"/>
              </w:rPr>
            </w:pPr>
            <w:r>
              <w:rPr>
                <w:rFonts w:hint="eastAsia" w:ascii="宋体" w:hAnsi="宋体" w:eastAsia="宋体" w:cs="Calibri"/>
                <w:kern w:val="0"/>
                <w:szCs w:val="21"/>
              </w:rPr>
              <w:t xml:space="preserve">0.5%                </w:t>
            </w:r>
          </w:p>
        </w:tc>
        <w:tc>
          <w:tcPr>
            <w:tcW w:w="933" w:type="pct"/>
          </w:tcPr>
          <w:p w14:paraId="6E21C103">
            <w:pPr>
              <w:spacing w:line="360" w:lineRule="auto"/>
              <w:ind w:firstLine="210" w:firstLineChars="100"/>
              <w:rPr>
                <w:rFonts w:hint="eastAsia" w:ascii="宋体" w:hAnsi="宋体" w:eastAsia="宋体" w:cs="Calibri"/>
                <w:szCs w:val="21"/>
              </w:rPr>
            </w:pPr>
            <w:r>
              <w:rPr>
                <w:rFonts w:hint="eastAsia" w:ascii="宋体" w:hAnsi="宋体" w:eastAsia="宋体" w:cs="Calibri"/>
                <w:kern w:val="0"/>
                <w:szCs w:val="21"/>
              </w:rPr>
              <w:t>0.25%</w:t>
            </w:r>
          </w:p>
        </w:tc>
        <w:tc>
          <w:tcPr>
            <w:tcW w:w="942" w:type="pct"/>
          </w:tcPr>
          <w:p w14:paraId="1FF673E6">
            <w:pPr>
              <w:spacing w:line="360" w:lineRule="auto"/>
              <w:ind w:firstLine="210" w:firstLineChars="100"/>
              <w:rPr>
                <w:rFonts w:hint="eastAsia" w:ascii="宋体" w:hAnsi="宋体" w:eastAsia="宋体" w:cs="Calibri"/>
                <w:szCs w:val="21"/>
              </w:rPr>
            </w:pPr>
            <w:r>
              <w:rPr>
                <w:rFonts w:hint="eastAsia" w:ascii="宋体" w:hAnsi="宋体" w:eastAsia="宋体" w:cs="Calibri"/>
                <w:kern w:val="0"/>
                <w:szCs w:val="21"/>
              </w:rPr>
              <w:t xml:space="preserve">0.35% </w:t>
            </w:r>
          </w:p>
        </w:tc>
      </w:tr>
      <w:tr w14:paraId="23629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pct"/>
          </w:tcPr>
          <w:p w14:paraId="53A97233">
            <w:pPr>
              <w:spacing w:line="360" w:lineRule="auto"/>
              <w:ind w:firstLine="422"/>
              <w:rPr>
                <w:rFonts w:hint="eastAsia" w:ascii="宋体" w:hAnsi="宋体" w:eastAsia="宋体" w:cs="Calibri"/>
                <w:szCs w:val="21"/>
              </w:rPr>
            </w:pPr>
            <w:r>
              <w:rPr>
                <w:rFonts w:hint="eastAsia" w:ascii="宋体" w:hAnsi="宋体" w:eastAsia="宋体" w:cs="Calibri"/>
                <w:szCs w:val="21"/>
              </w:rPr>
              <w:t>5000万元～1亿元</w:t>
            </w:r>
          </w:p>
        </w:tc>
        <w:tc>
          <w:tcPr>
            <w:tcW w:w="1010" w:type="pct"/>
          </w:tcPr>
          <w:p w14:paraId="268EE838">
            <w:pPr>
              <w:spacing w:line="360" w:lineRule="auto"/>
              <w:ind w:firstLine="210" w:firstLineChars="100"/>
              <w:rPr>
                <w:rFonts w:hint="eastAsia" w:ascii="宋体" w:hAnsi="宋体" w:eastAsia="宋体" w:cs="Calibri"/>
                <w:szCs w:val="21"/>
              </w:rPr>
            </w:pPr>
            <w:r>
              <w:rPr>
                <w:rFonts w:hint="eastAsia" w:ascii="宋体" w:hAnsi="宋体" w:eastAsia="宋体" w:cs="Calibri"/>
                <w:kern w:val="0"/>
                <w:szCs w:val="21"/>
              </w:rPr>
              <w:t xml:space="preserve">0.25%                 </w:t>
            </w:r>
          </w:p>
        </w:tc>
        <w:tc>
          <w:tcPr>
            <w:tcW w:w="933" w:type="pct"/>
          </w:tcPr>
          <w:p w14:paraId="536F7014">
            <w:pPr>
              <w:spacing w:line="360" w:lineRule="auto"/>
              <w:ind w:firstLine="210" w:firstLineChars="100"/>
              <w:rPr>
                <w:rFonts w:hint="eastAsia" w:ascii="宋体" w:hAnsi="宋体" w:eastAsia="宋体" w:cs="Calibri"/>
                <w:szCs w:val="21"/>
              </w:rPr>
            </w:pPr>
            <w:r>
              <w:rPr>
                <w:rFonts w:hint="eastAsia" w:ascii="宋体" w:hAnsi="宋体" w:eastAsia="宋体" w:cs="Calibri"/>
                <w:kern w:val="0"/>
                <w:szCs w:val="21"/>
              </w:rPr>
              <w:t>0.1%</w:t>
            </w:r>
          </w:p>
        </w:tc>
        <w:tc>
          <w:tcPr>
            <w:tcW w:w="942" w:type="pct"/>
          </w:tcPr>
          <w:p w14:paraId="752B90E5">
            <w:pPr>
              <w:spacing w:line="360" w:lineRule="auto"/>
              <w:ind w:firstLine="210" w:firstLineChars="100"/>
              <w:rPr>
                <w:rFonts w:hint="eastAsia" w:ascii="宋体" w:hAnsi="宋体" w:eastAsia="宋体" w:cs="Calibri"/>
                <w:szCs w:val="21"/>
              </w:rPr>
            </w:pPr>
            <w:r>
              <w:rPr>
                <w:rFonts w:hint="eastAsia" w:ascii="宋体" w:hAnsi="宋体" w:eastAsia="宋体" w:cs="Calibri"/>
                <w:kern w:val="0"/>
                <w:szCs w:val="21"/>
              </w:rPr>
              <w:t>0.2%</w:t>
            </w:r>
          </w:p>
        </w:tc>
      </w:tr>
      <w:tr w14:paraId="49301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pct"/>
          </w:tcPr>
          <w:p w14:paraId="17FC26DB">
            <w:pPr>
              <w:spacing w:line="360" w:lineRule="auto"/>
              <w:ind w:firstLine="422"/>
              <w:rPr>
                <w:rFonts w:hint="eastAsia" w:ascii="宋体" w:hAnsi="宋体" w:eastAsia="宋体" w:cs="Calibri"/>
                <w:szCs w:val="21"/>
              </w:rPr>
            </w:pPr>
            <w:r>
              <w:rPr>
                <w:rFonts w:hint="eastAsia" w:ascii="宋体" w:hAnsi="宋体" w:eastAsia="宋体" w:cs="Calibri"/>
                <w:szCs w:val="21"/>
              </w:rPr>
              <w:t>1～5亿元</w:t>
            </w:r>
          </w:p>
        </w:tc>
        <w:tc>
          <w:tcPr>
            <w:tcW w:w="1010" w:type="pct"/>
          </w:tcPr>
          <w:p w14:paraId="3F6B55F5">
            <w:pPr>
              <w:spacing w:line="360" w:lineRule="auto"/>
              <w:ind w:firstLine="210" w:firstLineChars="100"/>
              <w:rPr>
                <w:rFonts w:hint="eastAsia" w:ascii="宋体" w:hAnsi="宋体" w:eastAsia="宋体" w:cs="Calibri"/>
                <w:szCs w:val="21"/>
              </w:rPr>
            </w:pPr>
            <w:r>
              <w:rPr>
                <w:rFonts w:hint="eastAsia" w:ascii="宋体" w:hAnsi="宋体" w:eastAsia="宋体" w:cs="Calibri"/>
                <w:szCs w:val="21"/>
              </w:rPr>
              <w:t>0.05%</w:t>
            </w:r>
          </w:p>
        </w:tc>
        <w:tc>
          <w:tcPr>
            <w:tcW w:w="933" w:type="pct"/>
          </w:tcPr>
          <w:p w14:paraId="13CD6CE7">
            <w:pPr>
              <w:spacing w:line="360" w:lineRule="auto"/>
              <w:ind w:firstLine="422"/>
              <w:rPr>
                <w:rFonts w:hint="eastAsia" w:ascii="宋体" w:hAnsi="宋体" w:eastAsia="宋体" w:cs="Calibri"/>
                <w:szCs w:val="21"/>
              </w:rPr>
            </w:pPr>
            <w:r>
              <w:rPr>
                <w:rFonts w:hint="eastAsia" w:ascii="宋体" w:hAnsi="宋体" w:eastAsia="宋体" w:cs="Calibri"/>
                <w:szCs w:val="21"/>
              </w:rPr>
              <w:t xml:space="preserve">  0.05%</w:t>
            </w:r>
          </w:p>
        </w:tc>
        <w:tc>
          <w:tcPr>
            <w:tcW w:w="942" w:type="pct"/>
          </w:tcPr>
          <w:p w14:paraId="4AD785AD">
            <w:pPr>
              <w:spacing w:line="360" w:lineRule="auto"/>
              <w:ind w:firstLine="422"/>
              <w:rPr>
                <w:rFonts w:hint="eastAsia" w:ascii="宋体" w:hAnsi="宋体" w:eastAsia="宋体" w:cs="Calibri"/>
                <w:szCs w:val="21"/>
              </w:rPr>
            </w:pPr>
            <w:r>
              <w:rPr>
                <w:rFonts w:hint="eastAsia" w:ascii="宋体" w:hAnsi="宋体" w:eastAsia="宋体" w:cs="Calibri"/>
                <w:szCs w:val="21"/>
              </w:rPr>
              <w:t xml:space="preserve">  0.05%</w:t>
            </w:r>
          </w:p>
        </w:tc>
      </w:tr>
      <w:tr w14:paraId="09E19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pct"/>
          </w:tcPr>
          <w:p w14:paraId="557C876F">
            <w:pPr>
              <w:spacing w:line="360" w:lineRule="auto"/>
              <w:ind w:firstLine="422"/>
              <w:rPr>
                <w:rFonts w:hint="eastAsia" w:ascii="宋体" w:hAnsi="宋体" w:eastAsia="宋体" w:cs="Calibri"/>
                <w:szCs w:val="21"/>
              </w:rPr>
            </w:pPr>
            <w:r>
              <w:rPr>
                <w:rFonts w:hint="eastAsia" w:ascii="宋体" w:hAnsi="宋体" w:eastAsia="宋体" w:cs="Calibri"/>
                <w:szCs w:val="21"/>
              </w:rPr>
              <w:t>5～10亿元</w:t>
            </w:r>
          </w:p>
        </w:tc>
        <w:tc>
          <w:tcPr>
            <w:tcW w:w="1010" w:type="pct"/>
          </w:tcPr>
          <w:p w14:paraId="2564A1B1">
            <w:pPr>
              <w:spacing w:line="360" w:lineRule="auto"/>
              <w:ind w:firstLine="105" w:firstLineChars="50"/>
              <w:rPr>
                <w:rFonts w:hint="eastAsia" w:ascii="宋体" w:hAnsi="宋体" w:eastAsia="宋体" w:cs="Calibri"/>
                <w:szCs w:val="21"/>
              </w:rPr>
            </w:pPr>
            <w:r>
              <w:rPr>
                <w:rFonts w:hint="eastAsia" w:ascii="宋体" w:hAnsi="宋体" w:eastAsia="宋体" w:cs="Calibri"/>
                <w:szCs w:val="21"/>
              </w:rPr>
              <w:t>0.035%</w:t>
            </w:r>
          </w:p>
        </w:tc>
        <w:tc>
          <w:tcPr>
            <w:tcW w:w="933" w:type="pct"/>
          </w:tcPr>
          <w:p w14:paraId="209BBA27">
            <w:pPr>
              <w:spacing w:line="360" w:lineRule="auto"/>
              <w:ind w:firstLine="422"/>
              <w:rPr>
                <w:rFonts w:hint="eastAsia" w:ascii="宋体" w:hAnsi="宋体" w:eastAsia="宋体" w:cs="Calibri"/>
                <w:szCs w:val="21"/>
              </w:rPr>
            </w:pPr>
            <w:r>
              <w:rPr>
                <w:rFonts w:hint="eastAsia" w:ascii="宋体" w:hAnsi="宋体" w:eastAsia="宋体" w:cs="Calibri"/>
                <w:szCs w:val="21"/>
              </w:rPr>
              <w:t xml:space="preserve">  0.035%</w:t>
            </w:r>
          </w:p>
        </w:tc>
        <w:tc>
          <w:tcPr>
            <w:tcW w:w="942" w:type="pct"/>
          </w:tcPr>
          <w:p w14:paraId="11411C26">
            <w:pPr>
              <w:spacing w:line="360" w:lineRule="auto"/>
              <w:ind w:firstLine="105" w:firstLineChars="50"/>
              <w:rPr>
                <w:rFonts w:hint="eastAsia" w:ascii="宋体" w:hAnsi="宋体" w:eastAsia="宋体" w:cs="Calibri"/>
                <w:szCs w:val="21"/>
              </w:rPr>
            </w:pPr>
            <w:r>
              <w:rPr>
                <w:rFonts w:hint="eastAsia" w:ascii="宋体" w:hAnsi="宋体" w:eastAsia="宋体" w:cs="Calibri"/>
                <w:szCs w:val="21"/>
              </w:rPr>
              <w:t>0.035%</w:t>
            </w:r>
          </w:p>
        </w:tc>
      </w:tr>
      <w:tr w14:paraId="0861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pct"/>
          </w:tcPr>
          <w:p w14:paraId="2E725E9D">
            <w:pPr>
              <w:spacing w:line="360" w:lineRule="auto"/>
              <w:ind w:firstLine="422"/>
              <w:rPr>
                <w:rFonts w:hint="eastAsia" w:ascii="宋体" w:hAnsi="宋体" w:eastAsia="宋体" w:cs="Calibri"/>
                <w:szCs w:val="21"/>
              </w:rPr>
            </w:pPr>
            <w:r>
              <w:rPr>
                <w:rFonts w:hint="eastAsia" w:ascii="宋体" w:hAnsi="宋体" w:eastAsia="宋体" w:cs="Calibri"/>
                <w:szCs w:val="21"/>
              </w:rPr>
              <w:t>10～50亿元</w:t>
            </w:r>
          </w:p>
        </w:tc>
        <w:tc>
          <w:tcPr>
            <w:tcW w:w="1010" w:type="pct"/>
          </w:tcPr>
          <w:p w14:paraId="74A473C4">
            <w:pPr>
              <w:spacing w:line="360" w:lineRule="auto"/>
              <w:ind w:firstLine="105" w:firstLineChars="50"/>
              <w:rPr>
                <w:rFonts w:hint="eastAsia" w:ascii="宋体" w:hAnsi="宋体" w:eastAsia="宋体" w:cs="Calibri"/>
                <w:szCs w:val="21"/>
              </w:rPr>
            </w:pPr>
            <w:r>
              <w:rPr>
                <w:rFonts w:hint="eastAsia" w:ascii="宋体" w:hAnsi="宋体" w:eastAsia="宋体" w:cs="Calibri"/>
                <w:szCs w:val="21"/>
              </w:rPr>
              <w:t>0.008%</w:t>
            </w:r>
          </w:p>
        </w:tc>
        <w:tc>
          <w:tcPr>
            <w:tcW w:w="933" w:type="pct"/>
          </w:tcPr>
          <w:p w14:paraId="63FA1206">
            <w:pPr>
              <w:spacing w:line="360" w:lineRule="auto"/>
              <w:ind w:firstLine="210" w:firstLineChars="100"/>
              <w:rPr>
                <w:rFonts w:hint="eastAsia" w:ascii="宋体" w:hAnsi="宋体" w:eastAsia="宋体" w:cs="Calibri"/>
                <w:szCs w:val="21"/>
              </w:rPr>
            </w:pPr>
            <w:r>
              <w:rPr>
                <w:rFonts w:hint="eastAsia" w:ascii="宋体" w:hAnsi="宋体" w:eastAsia="宋体" w:cs="Calibri"/>
                <w:szCs w:val="21"/>
              </w:rPr>
              <w:t>0.008%</w:t>
            </w:r>
          </w:p>
        </w:tc>
        <w:tc>
          <w:tcPr>
            <w:tcW w:w="942" w:type="pct"/>
          </w:tcPr>
          <w:p w14:paraId="0B9258B5">
            <w:pPr>
              <w:spacing w:line="360" w:lineRule="auto"/>
              <w:ind w:firstLine="105" w:firstLineChars="50"/>
              <w:rPr>
                <w:rFonts w:hint="eastAsia" w:ascii="宋体" w:hAnsi="宋体" w:eastAsia="宋体" w:cs="Calibri"/>
                <w:szCs w:val="21"/>
              </w:rPr>
            </w:pPr>
            <w:r>
              <w:rPr>
                <w:rFonts w:hint="eastAsia" w:ascii="宋体" w:hAnsi="宋体" w:eastAsia="宋体" w:cs="Calibri"/>
                <w:szCs w:val="21"/>
              </w:rPr>
              <w:t>0.008%</w:t>
            </w:r>
          </w:p>
        </w:tc>
      </w:tr>
      <w:tr w14:paraId="55BC7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pct"/>
          </w:tcPr>
          <w:p w14:paraId="2CFA6E5F">
            <w:pPr>
              <w:spacing w:line="360" w:lineRule="auto"/>
              <w:ind w:firstLine="422"/>
              <w:rPr>
                <w:rFonts w:hint="eastAsia" w:ascii="宋体" w:hAnsi="宋体" w:eastAsia="宋体" w:cs="Calibri"/>
                <w:szCs w:val="21"/>
              </w:rPr>
            </w:pPr>
            <w:r>
              <w:rPr>
                <w:rFonts w:hint="eastAsia" w:ascii="宋体" w:hAnsi="宋体" w:eastAsia="宋体" w:cs="Calibri"/>
                <w:szCs w:val="21"/>
              </w:rPr>
              <w:t>50～100亿元</w:t>
            </w:r>
          </w:p>
        </w:tc>
        <w:tc>
          <w:tcPr>
            <w:tcW w:w="1010" w:type="pct"/>
          </w:tcPr>
          <w:p w14:paraId="1E68FD71">
            <w:pPr>
              <w:spacing w:line="360" w:lineRule="auto"/>
              <w:ind w:firstLine="422"/>
              <w:rPr>
                <w:rFonts w:hint="eastAsia" w:ascii="宋体" w:hAnsi="宋体" w:eastAsia="宋体" w:cs="Calibri"/>
                <w:szCs w:val="21"/>
              </w:rPr>
            </w:pPr>
            <w:r>
              <w:rPr>
                <w:rFonts w:hint="eastAsia" w:ascii="宋体" w:hAnsi="宋体" w:eastAsia="宋体" w:cs="Calibri"/>
                <w:szCs w:val="21"/>
              </w:rPr>
              <w:t xml:space="preserve"> 0.006%</w:t>
            </w:r>
          </w:p>
        </w:tc>
        <w:tc>
          <w:tcPr>
            <w:tcW w:w="933" w:type="pct"/>
          </w:tcPr>
          <w:p w14:paraId="3CCFA41B">
            <w:pPr>
              <w:spacing w:line="360" w:lineRule="auto"/>
              <w:ind w:firstLine="210" w:firstLineChars="100"/>
              <w:rPr>
                <w:rFonts w:hint="eastAsia" w:ascii="宋体" w:hAnsi="宋体" w:eastAsia="宋体" w:cs="Calibri"/>
                <w:szCs w:val="21"/>
              </w:rPr>
            </w:pPr>
            <w:r>
              <w:rPr>
                <w:rFonts w:hint="eastAsia" w:ascii="宋体" w:hAnsi="宋体" w:eastAsia="宋体" w:cs="Calibri"/>
                <w:szCs w:val="21"/>
              </w:rPr>
              <w:t>0.006%</w:t>
            </w:r>
          </w:p>
        </w:tc>
        <w:tc>
          <w:tcPr>
            <w:tcW w:w="942" w:type="pct"/>
          </w:tcPr>
          <w:p w14:paraId="04D7614D">
            <w:pPr>
              <w:spacing w:line="360" w:lineRule="auto"/>
              <w:ind w:firstLine="105" w:firstLineChars="50"/>
              <w:rPr>
                <w:rFonts w:hint="eastAsia" w:ascii="宋体" w:hAnsi="宋体" w:eastAsia="宋体" w:cs="Calibri"/>
                <w:szCs w:val="21"/>
              </w:rPr>
            </w:pPr>
            <w:r>
              <w:rPr>
                <w:rFonts w:hint="eastAsia" w:ascii="宋体" w:hAnsi="宋体" w:eastAsia="宋体" w:cs="Calibri"/>
                <w:szCs w:val="21"/>
              </w:rPr>
              <w:t>0.006%</w:t>
            </w:r>
          </w:p>
        </w:tc>
      </w:tr>
      <w:tr w14:paraId="719AD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pct"/>
          </w:tcPr>
          <w:p w14:paraId="39482FBF">
            <w:pPr>
              <w:spacing w:line="360" w:lineRule="auto"/>
              <w:ind w:firstLine="422"/>
              <w:rPr>
                <w:rFonts w:hint="eastAsia" w:ascii="宋体" w:hAnsi="宋体" w:eastAsia="宋体" w:cs="Calibri"/>
                <w:szCs w:val="21"/>
              </w:rPr>
            </w:pPr>
            <w:r>
              <w:rPr>
                <w:rFonts w:hint="eastAsia" w:ascii="宋体" w:hAnsi="宋体" w:eastAsia="宋体" w:cs="Calibri"/>
                <w:szCs w:val="21"/>
              </w:rPr>
              <w:t>100亿以上</w:t>
            </w:r>
          </w:p>
        </w:tc>
        <w:tc>
          <w:tcPr>
            <w:tcW w:w="1010" w:type="pct"/>
          </w:tcPr>
          <w:p w14:paraId="215C79F2">
            <w:pPr>
              <w:spacing w:line="360" w:lineRule="auto"/>
              <w:ind w:firstLine="422"/>
              <w:rPr>
                <w:rFonts w:hint="eastAsia" w:ascii="宋体" w:hAnsi="宋体" w:eastAsia="宋体" w:cs="Calibri"/>
                <w:szCs w:val="21"/>
              </w:rPr>
            </w:pPr>
            <w:r>
              <w:rPr>
                <w:rFonts w:hint="eastAsia" w:ascii="宋体" w:hAnsi="宋体" w:eastAsia="宋体" w:cs="Calibri"/>
                <w:szCs w:val="21"/>
              </w:rPr>
              <w:t xml:space="preserve"> 0.004%</w:t>
            </w:r>
          </w:p>
        </w:tc>
        <w:tc>
          <w:tcPr>
            <w:tcW w:w="933" w:type="pct"/>
          </w:tcPr>
          <w:p w14:paraId="73BEFE4B">
            <w:pPr>
              <w:spacing w:line="360" w:lineRule="auto"/>
              <w:ind w:firstLine="210" w:firstLineChars="100"/>
              <w:rPr>
                <w:rFonts w:hint="eastAsia" w:ascii="宋体" w:hAnsi="宋体" w:eastAsia="宋体" w:cs="Calibri"/>
                <w:szCs w:val="21"/>
              </w:rPr>
            </w:pPr>
            <w:r>
              <w:rPr>
                <w:rFonts w:hint="eastAsia" w:ascii="宋体" w:hAnsi="宋体" w:eastAsia="宋体" w:cs="Calibri"/>
                <w:szCs w:val="21"/>
              </w:rPr>
              <w:t>0.004%</w:t>
            </w:r>
          </w:p>
        </w:tc>
        <w:tc>
          <w:tcPr>
            <w:tcW w:w="942" w:type="pct"/>
          </w:tcPr>
          <w:p w14:paraId="012E8B18">
            <w:pPr>
              <w:spacing w:line="360" w:lineRule="auto"/>
              <w:ind w:firstLine="105" w:firstLineChars="50"/>
              <w:rPr>
                <w:rFonts w:hint="eastAsia" w:ascii="宋体" w:hAnsi="宋体" w:eastAsia="宋体" w:cs="Calibri"/>
                <w:szCs w:val="21"/>
              </w:rPr>
            </w:pPr>
            <w:r>
              <w:rPr>
                <w:rFonts w:hint="eastAsia" w:ascii="宋体" w:hAnsi="宋体" w:eastAsia="宋体" w:cs="Calibri"/>
                <w:szCs w:val="21"/>
              </w:rPr>
              <w:t>0.004%</w:t>
            </w:r>
          </w:p>
        </w:tc>
      </w:tr>
    </w:tbl>
    <w:p w14:paraId="5C43B9E3">
      <w:pPr>
        <w:spacing w:line="360" w:lineRule="auto"/>
        <w:ind w:firstLine="420" w:firstLineChars="200"/>
        <w:rPr>
          <w:rFonts w:hint="eastAsia" w:ascii="宋体" w:hAnsi="宋体" w:eastAsia="宋体" w:cs="Calibri"/>
        </w:rPr>
      </w:pPr>
      <w:r>
        <w:rPr>
          <w:rFonts w:ascii="宋体" w:hAnsi="宋体" w:eastAsia="宋体" w:cs="Calibri"/>
        </w:rPr>
        <w:t>注：</w:t>
      </w:r>
    </w:p>
    <w:p w14:paraId="2D3F0EF6">
      <w:pPr>
        <w:spacing w:line="360" w:lineRule="auto"/>
        <w:ind w:firstLine="420" w:firstLineChars="200"/>
        <w:rPr>
          <w:rFonts w:hint="eastAsia" w:ascii="宋体" w:hAnsi="宋体" w:eastAsia="宋体" w:cs="Calibri"/>
        </w:rPr>
      </w:pPr>
      <w:r>
        <w:rPr>
          <w:rFonts w:hint="eastAsia" w:ascii="宋体" w:hAnsi="宋体" w:eastAsia="宋体" w:cs="Calibri"/>
        </w:rPr>
        <w:t>（1）</w:t>
      </w:r>
      <w:r>
        <w:rPr>
          <w:rFonts w:ascii="宋体" w:hAnsi="宋体" w:eastAsia="宋体" w:cs="Calibri"/>
        </w:rPr>
        <w:t>按本表费率计算的收费为</w:t>
      </w:r>
      <w:r>
        <w:rPr>
          <w:rFonts w:hint="eastAsia" w:ascii="宋体" w:hAnsi="宋体" w:eastAsia="宋体" w:cs="Calibri"/>
        </w:rPr>
        <w:t>采购</w:t>
      </w:r>
      <w:r>
        <w:rPr>
          <w:rFonts w:ascii="宋体" w:hAnsi="宋体" w:eastAsia="宋体" w:cs="Calibri"/>
        </w:rPr>
        <w:t>代理的收费基准价格</w:t>
      </w:r>
      <w:r>
        <w:rPr>
          <w:rFonts w:hint="eastAsia" w:ascii="宋体" w:hAnsi="宋体" w:eastAsia="宋体" w:cs="Calibri"/>
        </w:rPr>
        <w:t>；</w:t>
      </w:r>
    </w:p>
    <w:p w14:paraId="672DB082">
      <w:pPr>
        <w:spacing w:line="360" w:lineRule="auto"/>
        <w:ind w:firstLine="420" w:firstLineChars="200"/>
        <w:rPr>
          <w:rFonts w:hint="eastAsia" w:ascii="宋体" w:hAnsi="宋体" w:eastAsia="宋体" w:cs="Calibri"/>
        </w:rPr>
      </w:pPr>
      <w:r>
        <w:rPr>
          <w:rFonts w:hint="eastAsia" w:ascii="宋体" w:hAnsi="宋体" w:eastAsia="宋体" w:cs="Calibri"/>
        </w:rPr>
        <w:t>（2）采购</w:t>
      </w:r>
      <w:r>
        <w:rPr>
          <w:rFonts w:ascii="宋体" w:hAnsi="宋体" w:eastAsia="宋体" w:cs="Calibri"/>
        </w:rPr>
        <w:t>代理收费按差额定率累进法计算。</w:t>
      </w:r>
    </w:p>
    <w:p w14:paraId="5ED94D75">
      <w:pPr>
        <w:spacing w:line="360" w:lineRule="auto"/>
        <w:ind w:firstLine="420" w:firstLineChars="200"/>
        <w:rPr>
          <w:rFonts w:hint="eastAsia" w:ascii="宋体" w:hAnsi="宋体" w:eastAsia="宋体" w:cs="Calibri"/>
        </w:rPr>
      </w:pPr>
      <w:r>
        <w:rPr>
          <w:rFonts w:ascii="宋体" w:hAnsi="宋体" w:eastAsia="宋体" w:cs="Calibri"/>
        </w:rPr>
        <w:t>例如：某</w:t>
      </w:r>
      <w:r>
        <w:rPr>
          <w:rFonts w:hint="eastAsia" w:ascii="宋体" w:hAnsi="宋体" w:eastAsia="宋体" w:cs="Calibri"/>
        </w:rPr>
        <w:t>服务采购</w:t>
      </w:r>
      <w:r>
        <w:rPr>
          <w:rFonts w:ascii="宋体" w:hAnsi="宋体" w:eastAsia="宋体" w:cs="Calibri"/>
        </w:rPr>
        <w:t>代理业务</w:t>
      </w:r>
      <w:r>
        <w:rPr>
          <w:rFonts w:hint="eastAsia" w:ascii="宋体" w:hAnsi="宋体" w:eastAsia="宋体" w:cs="Calibri"/>
        </w:rPr>
        <w:t>成交</w:t>
      </w:r>
      <w:r>
        <w:rPr>
          <w:rFonts w:ascii="宋体" w:hAnsi="宋体" w:eastAsia="宋体" w:cs="Calibri"/>
        </w:rPr>
        <w:t>金额</w:t>
      </w:r>
      <w:r>
        <w:rPr>
          <w:rFonts w:hint="eastAsia" w:ascii="宋体" w:hAnsi="宋体" w:eastAsia="宋体" w:cs="Calibri"/>
        </w:rPr>
        <w:t>或者暂定价</w:t>
      </w:r>
      <w:r>
        <w:rPr>
          <w:rFonts w:ascii="宋体" w:hAnsi="宋体" w:eastAsia="宋体" w:cs="Calibri"/>
        </w:rPr>
        <w:t>为150万元，计算</w:t>
      </w:r>
      <w:r>
        <w:rPr>
          <w:rFonts w:hint="eastAsia" w:ascii="宋体" w:hAnsi="宋体" w:eastAsia="宋体" w:cs="Calibri"/>
        </w:rPr>
        <w:t>采购</w:t>
      </w:r>
      <w:r>
        <w:rPr>
          <w:rFonts w:ascii="宋体" w:hAnsi="宋体" w:eastAsia="宋体" w:cs="Calibri"/>
        </w:rPr>
        <w:t>代理收费额如下：</w:t>
      </w:r>
    </w:p>
    <w:p w14:paraId="517D605D">
      <w:pPr>
        <w:spacing w:line="360" w:lineRule="auto"/>
        <w:ind w:firstLine="420" w:firstLineChars="200"/>
        <w:rPr>
          <w:rFonts w:hint="eastAsia" w:ascii="宋体" w:hAnsi="宋体" w:eastAsia="宋体" w:cs="Calibri"/>
        </w:rPr>
      </w:pPr>
      <w:r>
        <w:rPr>
          <w:rFonts w:ascii="宋体" w:hAnsi="宋体" w:eastAsia="宋体" w:cs="Calibri"/>
        </w:rPr>
        <w:t>100 万元 ×l.5 %＝ 1.5 万元</w:t>
      </w:r>
    </w:p>
    <w:p w14:paraId="51E6A7FA">
      <w:pPr>
        <w:spacing w:line="360" w:lineRule="auto"/>
        <w:ind w:firstLine="420" w:firstLineChars="200"/>
        <w:rPr>
          <w:rFonts w:hint="eastAsia" w:ascii="宋体" w:hAnsi="宋体" w:eastAsia="宋体" w:cs="Calibri"/>
        </w:rPr>
      </w:pPr>
      <w:r>
        <w:rPr>
          <w:rFonts w:ascii="宋体" w:hAnsi="宋体" w:eastAsia="宋体" w:cs="Calibri"/>
        </w:rPr>
        <w:t>（ 150 － 100 ）万元 ×0.8%＝ 0.4万元</w:t>
      </w:r>
    </w:p>
    <w:p w14:paraId="18C6F3A5">
      <w:pPr>
        <w:spacing w:line="360" w:lineRule="auto"/>
        <w:ind w:firstLine="420" w:firstLineChars="200"/>
        <w:rPr>
          <w:rFonts w:hint="eastAsia" w:ascii="宋体" w:hAnsi="宋体" w:eastAsia="宋体" w:cs="Calibri"/>
        </w:rPr>
      </w:pPr>
      <w:r>
        <w:rPr>
          <w:rFonts w:ascii="宋体" w:hAnsi="宋体" w:eastAsia="宋体" w:cs="Calibri"/>
        </w:rPr>
        <w:t>合计收费＝ 1.5 ＋ 0.4＝ 1.9 万元</w:t>
      </w:r>
    </w:p>
    <w:p w14:paraId="237DC1E8">
      <w:pPr>
        <w:spacing w:line="360" w:lineRule="auto"/>
        <w:ind w:firstLine="482" w:firstLineChars="200"/>
        <w:rPr>
          <w:rFonts w:hint="eastAsia" w:ascii="宋体" w:hAnsi="宋体" w:eastAsia="宋体" w:cs="Calibri"/>
          <w:b/>
          <w:bCs/>
          <w:sz w:val="24"/>
        </w:rPr>
      </w:pPr>
      <w:r>
        <w:rPr>
          <w:rFonts w:hint="eastAsia" w:ascii="宋体" w:hAnsi="宋体" w:eastAsia="宋体" w:cs="Calibri"/>
          <w:b/>
          <w:bCs/>
          <w:sz w:val="24"/>
        </w:rPr>
        <w:t>3</w:t>
      </w:r>
      <w:r>
        <w:rPr>
          <w:rFonts w:ascii="宋体" w:hAnsi="宋体" w:eastAsia="宋体" w:cs="Calibri"/>
          <w:b/>
          <w:bCs/>
          <w:sz w:val="24"/>
        </w:rPr>
        <w:t>3.需要补充的其他内容</w:t>
      </w:r>
    </w:p>
    <w:p w14:paraId="2A84A744">
      <w:pPr>
        <w:pStyle w:val="30"/>
        <w:spacing w:line="360" w:lineRule="auto"/>
        <w:ind w:firstLine="420" w:firstLineChars="200"/>
        <w:textAlignment w:val="center"/>
        <w:rPr>
          <w:rFonts w:hint="eastAsia" w:ascii="宋体" w:hAnsi="宋体" w:eastAsia="宋体" w:cs="Calibri"/>
          <w:kern w:val="2"/>
          <w:sz w:val="21"/>
        </w:rPr>
      </w:pPr>
      <w:r>
        <w:rPr>
          <w:rFonts w:hint="eastAsia" w:ascii="宋体" w:hAnsi="宋体" w:eastAsia="宋体" w:cs="Calibri"/>
          <w:kern w:val="2"/>
          <w:sz w:val="21"/>
        </w:rPr>
        <w:t>3</w:t>
      </w:r>
      <w:r>
        <w:rPr>
          <w:rFonts w:ascii="宋体" w:hAnsi="宋体" w:eastAsia="宋体" w:cs="Calibri"/>
          <w:kern w:val="2"/>
          <w:sz w:val="21"/>
        </w:rPr>
        <w:t>3.1</w:t>
      </w:r>
      <w:r>
        <w:rPr>
          <w:rFonts w:hint="eastAsia" w:ascii="宋体" w:hAnsi="宋体" w:eastAsia="宋体" w:cs="Calibri"/>
          <w:kern w:val="2"/>
          <w:sz w:val="21"/>
        </w:rPr>
        <w:t>本磋商文件解释规则详见“供应商须知前附表”。</w:t>
      </w:r>
    </w:p>
    <w:p w14:paraId="3E11A835">
      <w:pPr>
        <w:pStyle w:val="30"/>
        <w:spacing w:line="360" w:lineRule="auto"/>
        <w:ind w:firstLine="420" w:firstLineChars="200"/>
        <w:textAlignment w:val="center"/>
        <w:rPr>
          <w:rFonts w:hint="eastAsia" w:ascii="宋体" w:hAnsi="宋体" w:eastAsia="宋体" w:cs="Calibri"/>
          <w:kern w:val="2"/>
          <w:sz w:val="21"/>
        </w:rPr>
      </w:pPr>
      <w:r>
        <w:rPr>
          <w:rFonts w:ascii="宋体" w:hAnsi="宋体" w:eastAsia="宋体" w:cs="Calibri"/>
          <w:kern w:val="2"/>
          <w:sz w:val="21"/>
        </w:rPr>
        <w:t>33.2</w:t>
      </w:r>
      <w:r>
        <w:rPr>
          <w:rFonts w:hint="eastAsia" w:ascii="宋体" w:hAnsi="宋体" w:eastAsia="宋体" w:cs="Calibri"/>
          <w:kern w:val="2"/>
          <w:sz w:val="21"/>
        </w:rPr>
        <w:t xml:space="preserve"> 其他事项详见“供应商须知前附表”。</w:t>
      </w:r>
    </w:p>
    <w:p w14:paraId="466EBE30">
      <w:pPr>
        <w:pStyle w:val="30"/>
        <w:spacing w:line="360" w:lineRule="auto"/>
        <w:ind w:firstLine="420" w:firstLineChars="200"/>
        <w:textAlignment w:val="center"/>
        <w:rPr>
          <w:rFonts w:hint="eastAsia" w:ascii="宋体" w:hAnsi="宋体" w:eastAsia="宋体" w:cs="Calibri"/>
          <w:kern w:val="2"/>
          <w:sz w:val="21"/>
        </w:rPr>
      </w:pPr>
      <w:r>
        <w:rPr>
          <w:rFonts w:hint="eastAsia" w:ascii="宋体" w:hAnsi="宋体" w:eastAsia="宋体" w:cs="Calibri"/>
          <w:kern w:val="2"/>
          <w:sz w:val="21"/>
        </w:rPr>
        <w:t>3</w:t>
      </w:r>
      <w:r>
        <w:rPr>
          <w:rFonts w:ascii="宋体" w:hAnsi="宋体" w:eastAsia="宋体" w:cs="Calibri"/>
          <w:kern w:val="2"/>
          <w:sz w:val="21"/>
        </w:rPr>
        <w:t>3.3</w:t>
      </w:r>
      <w:r>
        <w:rPr>
          <w:rFonts w:hint="eastAsia" w:ascii="宋体" w:hAnsi="宋体" w:eastAsia="宋体" w:cs="Calibri"/>
          <w:kern w:val="2"/>
          <w:sz w:val="21"/>
          <w:lang w:val="en-US"/>
        </w:rPr>
        <w:t>特别说明</w:t>
      </w:r>
      <w:r>
        <w:rPr>
          <w:rFonts w:hint="eastAsia" w:ascii="宋体" w:hAnsi="宋体" w:eastAsia="宋体" w:cs="Calibri"/>
          <w:kern w:val="2"/>
          <w:sz w:val="21"/>
        </w:rPr>
        <w:t>详见“供应商须知前附表”。</w:t>
      </w:r>
    </w:p>
    <w:p w14:paraId="2183157A">
      <w:pPr>
        <w:pStyle w:val="30"/>
        <w:spacing w:line="360" w:lineRule="auto"/>
        <w:ind w:firstLine="420" w:firstLineChars="200"/>
        <w:textAlignment w:val="center"/>
        <w:rPr>
          <w:rFonts w:hint="eastAsia" w:ascii="宋体" w:hAnsi="宋体" w:eastAsia="宋体" w:cs="Calibri"/>
          <w:kern w:val="2"/>
          <w:sz w:val="21"/>
        </w:rPr>
      </w:pPr>
      <w:r>
        <w:rPr>
          <w:rFonts w:hint="eastAsia" w:ascii="宋体" w:hAnsi="宋体" w:eastAsia="宋体" w:cs="Calibri"/>
          <w:kern w:val="2"/>
          <w:sz w:val="21"/>
          <w:lang w:val="en-US"/>
        </w:rPr>
        <w:t>33.4</w:t>
      </w:r>
      <w:r>
        <w:rPr>
          <w:rFonts w:hint="eastAsia" w:ascii="宋体" w:hAnsi="宋体" w:eastAsia="宋体" w:cs="Calibri"/>
          <w:kern w:val="2"/>
          <w:sz w:val="21"/>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3CDB9B39">
      <w:pPr>
        <w:pStyle w:val="30"/>
        <w:spacing w:line="360" w:lineRule="auto"/>
        <w:ind w:firstLine="420" w:firstLineChars="200"/>
        <w:contextualSpacing/>
        <w:rPr>
          <w:rFonts w:hint="eastAsia" w:ascii="宋体" w:hAnsi="宋体" w:eastAsia="宋体"/>
          <w:sz w:val="21"/>
        </w:rPr>
      </w:pPr>
      <w:r>
        <w:rPr>
          <w:rFonts w:hint="eastAsia" w:ascii="宋体" w:hAnsi="宋体" w:eastAsia="宋体"/>
          <w:sz w:val="21"/>
        </w:rPr>
        <w:t>（1）在货物采购项目中，货物由中小企业制造，即货物由中小企业生产且使用该中小企业商号或者注册商标，不对其中涉及的工程承建商和服务的承接商作出要求；</w:t>
      </w:r>
    </w:p>
    <w:p w14:paraId="4FDEB27F">
      <w:pPr>
        <w:pStyle w:val="30"/>
        <w:spacing w:line="360" w:lineRule="auto"/>
        <w:ind w:firstLine="420" w:firstLineChars="200"/>
        <w:contextualSpacing/>
        <w:rPr>
          <w:rFonts w:hint="eastAsia" w:ascii="宋体" w:hAnsi="宋体" w:eastAsia="宋体"/>
          <w:sz w:val="21"/>
        </w:rPr>
      </w:pPr>
      <w:r>
        <w:rPr>
          <w:rFonts w:hint="eastAsia" w:ascii="宋体" w:hAnsi="宋体" w:eastAsia="宋体"/>
          <w:sz w:val="21"/>
        </w:rPr>
        <w:t>（2）在工程采购项目中，工程由中小企业承建，即工程施工单位为中小企业，不对其中涉及的货物的制造商和服务的承接商作出要求；</w:t>
      </w:r>
    </w:p>
    <w:p w14:paraId="2D729558">
      <w:pPr>
        <w:pStyle w:val="30"/>
        <w:spacing w:line="360" w:lineRule="auto"/>
        <w:ind w:firstLine="420" w:firstLineChars="200"/>
        <w:contextualSpacing/>
        <w:rPr>
          <w:rFonts w:hint="eastAsia" w:ascii="宋体" w:hAnsi="宋体" w:eastAsia="宋体"/>
          <w:sz w:val="21"/>
        </w:rPr>
      </w:pPr>
      <w:r>
        <w:rPr>
          <w:rFonts w:hint="eastAsia" w:ascii="宋体" w:hAnsi="宋体" w:eastAsia="宋体"/>
          <w:sz w:val="21"/>
        </w:rPr>
        <w:t>（3）在服务采购项目中，服务由中小企业承接，即提供服务的人员为中小企业依照《中华人民共和国劳动合同法》订立劳动合同的从业人员，不对其中涉及的货物的制造商和工程承建商作出要求。</w:t>
      </w:r>
    </w:p>
    <w:p w14:paraId="1FD81754">
      <w:pPr>
        <w:pStyle w:val="30"/>
        <w:spacing w:line="360" w:lineRule="auto"/>
        <w:ind w:firstLine="420" w:firstLineChars="200"/>
        <w:textAlignment w:val="center"/>
        <w:rPr>
          <w:rFonts w:hint="eastAsia" w:ascii="宋体" w:hAnsi="宋体" w:eastAsia="宋体" w:cs="Calibri"/>
          <w:kern w:val="2"/>
          <w:sz w:val="21"/>
        </w:rPr>
      </w:pPr>
      <w:r>
        <w:rPr>
          <w:rFonts w:hint="eastAsia" w:ascii="宋体" w:hAnsi="宋体" w:eastAsia="宋体" w:cs="Calibri"/>
          <w:kern w:val="2"/>
          <w:sz w:val="21"/>
        </w:rPr>
        <w:t>（</w:t>
      </w:r>
      <w:r>
        <w:rPr>
          <w:rFonts w:hint="eastAsia" w:ascii="宋体" w:hAnsi="宋体" w:eastAsia="宋体" w:cs="Calibri"/>
          <w:kern w:val="2"/>
          <w:sz w:val="21"/>
          <w:lang w:val="en-US"/>
        </w:rPr>
        <w:t>4</w:t>
      </w:r>
      <w:r>
        <w:rPr>
          <w:rFonts w:hint="eastAsia" w:ascii="宋体" w:hAnsi="宋体" w:eastAsia="宋体" w:cs="Calibri"/>
          <w:kern w:val="2"/>
          <w:sz w:val="21"/>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4003BA7F">
      <w:pPr>
        <w:pStyle w:val="30"/>
        <w:spacing w:line="360" w:lineRule="auto"/>
        <w:ind w:firstLine="420" w:firstLineChars="200"/>
        <w:textAlignment w:val="center"/>
        <w:rPr>
          <w:rFonts w:hint="eastAsia" w:ascii="宋体" w:hAnsi="宋体" w:eastAsia="宋体" w:cs="Calibri"/>
          <w:kern w:val="2"/>
          <w:sz w:val="21"/>
        </w:rPr>
      </w:pPr>
      <w:r>
        <w:rPr>
          <w:rFonts w:hint="eastAsia" w:ascii="宋体" w:hAnsi="宋体" w:eastAsia="宋体" w:cs="Calibri"/>
          <w:kern w:val="2"/>
          <w:sz w:val="21"/>
        </w:rPr>
        <w:t>（</w:t>
      </w:r>
      <w:r>
        <w:rPr>
          <w:rFonts w:hint="eastAsia" w:ascii="宋体" w:hAnsi="宋体" w:eastAsia="宋体" w:cs="Calibri"/>
          <w:kern w:val="2"/>
          <w:sz w:val="21"/>
          <w:lang w:val="en-US"/>
        </w:rPr>
        <w:t>5</w:t>
      </w:r>
      <w:r>
        <w:rPr>
          <w:rFonts w:hint="eastAsia" w:ascii="宋体" w:hAnsi="宋体" w:eastAsia="宋体" w:cs="Calibri"/>
          <w:kern w:val="2"/>
          <w:sz w:val="21"/>
        </w:rPr>
        <w:t>）依据本磋商文件规定享受扶持政策获得政府采购合同的，小微企业不得将合同分包给大中型企业，中型企业不得将合同分包给大型企业。</w:t>
      </w:r>
    </w:p>
    <w:p w14:paraId="6A1670D4">
      <w:pPr>
        <w:spacing w:line="360" w:lineRule="auto"/>
        <w:ind w:firstLine="422" w:firstLineChars="200"/>
        <w:rPr>
          <w:rFonts w:hint="eastAsia" w:ascii="宋体" w:hAnsi="宋体" w:eastAsia="宋体"/>
          <w:b/>
        </w:rPr>
        <w:sectPr>
          <w:footerReference r:id="rId11" w:type="first"/>
          <w:headerReference r:id="rId9" w:type="default"/>
          <w:footerReference r:id="rId10" w:type="default"/>
          <w:pgSz w:w="11906" w:h="16838"/>
          <w:pgMar w:top="1440" w:right="1080" w:bottom="1440" w:left="1080" w:header="720" w:footer="720" w:gutter="0"/>
          <w:cols w:space="720" w:num="1"/>
          <w:docGrid w:type="lines" w:linePitch="312" w:charSpace="0"/>
        </w:sectPr>
      </w:pPr>
      <w:r>
        <w:rPr>
          <w:rFonts w:ascii="宋体" w:hAnsi="宋体" w:eastAsia="宋体"/>
          <w:b/>
        </w:rPr>
        <w:br w:type="page"/>
      </w:r>
    </w:p>
    <w:p w14:paraId="79F354EC">
      <w:pPr>
        <w:spacing w:line="360" w:lineRule="auto"/>
        <w:ind w:firstLine="640" w:firstLineChars="200"/>
        <w:rPr>
          <w:rFonts w:hint="eastAsia" w:ascii="宋体" w:hAnsi="宋体" w:eastAsia="宋体" w:cs="宋体"/>
          <w:sz w:val="32"/>
          <w:szCs w:val="32"/>
        </w:rPr>
      </w:pPr>
      <w:r>
        <w:rPr>
          <w:rFonts w:hint="eastAsia" w:ascii="宋体" w:hAnsi="宋体" w:eastAsia="宋体" w:cs="宋体"/>
          <w:bCs/>
          <w:sz w:val="32"/>
          <w:szCs w:val="32"/>
        </w:rPr>
        <w:t>附件1：</w:t>
      </w:r>
    </w:p>
    <w:p w14:paraId="070DCEC2">
      <w:pPr>
        <w:ind w:firstLine="643"/>
        <w:jc w:val="center"/>
        <w:rPr>
          <w:rFonts w:hint="eastAsia" w:ascii="宋体" w:hAnsi="宋体" w:eastAsia="宋体" w:cs="宋体"/>
          <w:b/>
          <w:bCs/>
          <w:sz w:val="32"/>
          <w:szCs w:val="32"/>
        </w:rPr>
      </w:pPr>
      <w:r>
        <w:rPr>
          <w:rFonts w:hint="eastAsia" w:ascii="宋体" w:hAnsi="宋体" w:eastAsia="宋体" w:cs="宋体"/>
          <w:b/>
          <w:bCs/>
          <w:sz w:val="32"/>
          <w:szCs w:val="32"/>
        </w:rPr>
        <w:t>政府采购项目履约保证金退付意见书</w:t>
      </w:r>
    </w:p>
    <w:p w14:paraId="37C1A70B">
      <w:pPr>
        <w:ind w:firstLine="723"/>
        <w:jc w:val="center"/>
        <w:rPr>
          <w:rFonts w:hint="eastAsia" w:ascii="宋体" w:hAnsi="宋体" w:eastAsia="宋体" w:cs="宋体"/>
          <w:sz w:val="36"/>
          <w:szCs w:val="36"/>
        </w:rPr>
      </w:pPr>
    </w:p>
    <w:tbl>
      <w:tblPr>
        <w:tblStyle w:val="52"/>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1F023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14:paraId="1B321E2D">
            <w:pPr>
              <w:ind w:firstLine="422"/>
              <w:jc w:val="center"/>
              <w:rPr>
                <w:rFonts w:hint="eastAsia" w:ascii="宋体" w:hAnsi="宋体" w:eastAsia="宋体" w:cs="宋体"/>
                <w:szCs w:val="21"/>
              </w:rPr>
            </w:pPr>
            <w:r>
              <w:rPr>
                <w:rFonts w:hint="eastAsia" w:ascii="宋体" w:hAnsi="宋体" w:eastAsia="宋体" w:cs="宋体"/>
                <w:szCs w:val="21"/>
              </w:rPr>
              <w:t>供</w:t>
            </w:r>
          </w:p>
          <w:p w14:paraId="6CBC5B45">
            <w:pPr>
              <w:ind w:firstLine="422"/>
              <w:jc w:val="center"/>
              <w:rPr>
                <w:rFonts w:hint="eastAsia" w:ascii="宋体" w:hAnsi="宋体" w:eastAsia="宋体" w:cs="宋体"/>
                <w:szCs w:val="21"/>
              </w:rPr>
            </w:pPr>
            <w:r>
              <w:rPr>
                <w:rFonts w:hint="eastAsia" w:ascii="宋体" w:hAnsi="宋体" w:eastAsia="宋体" w:cs="宋体"/>
                <w:szCs w:val="21"/>
              </w:rPr>
              <w:t>应</w:t>
            </w:r>
          </w:p>
          <w:p w14:paraId="11064561">
            <w:pPr>
              <w:ind w:firstLine="422"/>
              <w:jc w:val="center"/>
              <w:rPr>
                <w:rFonts w:hint="eastAsia" w:ascii="宋体" w:hAnsi="宋体" w:eastAsia="宋体" w:cs="宋体"/>
                <w:szCs w:val="21"/>
              </w:rPr>
            </w:pPr>
            <w:r>
              <w:rPr>
                <w:rFonts w:hint="eastAsia" w:ascii="宋体" w:hAnsi="宋体" w:eastAsia="宋体" w:cs="宋体"/>
                <w:szCs w:val="21"/>
              </w:rPr>
              <w:t>商</w:t>
            </w:r>
          </w:p>
          <w:p w14:paraId="38A04F83">
            <w:pPr>
              <w:ind w:firstLine="422"/>
              <w:jc w:val="center"/>
              <w:rPr>
                <w:rFonts w:hint="eastAsia" w:ascii="宋体" w:hAnsi="宋体" w:eastAsia="宋体" w:cs="宋体"/>
                <w:szCs w:val="21"/>
              </w:rPr>
            </w:pPr>
            <w:r>
              <w:rPr>
                <w:rFonts w:hint="eastAsia" w:ascii="宋体" w:hAnsi="宋体" w:eastAsia="宋体" w:cs="宋体"/>
                <w:szCs w:val="21"/>
              </w:rPr>
              <w:t>申</w:t>
            </w:r>
          </w:p>
          <w:p w14:paraId="7917340C">
            <w:pPr>
              <w:ind w:firstLine="422"/>
              <w:jc w:val="center"/>
              <w:rPr>
                <w:rFonts w:hint="eastAsia" w:ascii="宋体" w:hAnsi="宋体" w:eastAsia="宋体" w:cs="宋体"/>
                <w:szCs w:val="21"/>
              </w:rPr>
            </w:pPr>
            <w:r>
              <w:rPr>
                <w:rFonts w:hint="eastAsia" w:ascii="宋体" w:hAnsi="宋体" w:eastAsia="宋体" w:cs="宋体"/>
                <w:szCs w:val="21"/>
              </w:rPr>
              <w:t>请</w:t>
            </w:r>
          </w:p>
        </w:tc>
        <w:tc>
          <w:tcPr>
            <w:tcW w:w="8009" w:type="dxa"/>
            <w:vAlign w:val="center"/>
          </w:tcPr>
          <w:p w14:paraId="0A3499F0">
            <w:pPr>
              <w:ind w:firstLine="422"/>
              <w:rPr>
                <w:rFonts w:hint="eastAsia" w:ascii="宋体" w:hAnsi="宋体" w:eastAsia="宋体" w:cs="宋体"/>
                <w:szCs w:val="21"/>
              </w:rPr>
            </w:pPr>
            <w:r>
              <w:rPr>
                <w:rFonts w:hint="eastAsia" w:ascii="宋体" w:hAnsi="宋体" w:eastAsia="宋体" w:cs="宋体"/>
                <w:szCs w:val="21"/>
              </w:rPr>
              <w:t>项目编号：</w:t>
            </w:r>
          </w:p>
        </w:tc>
      </w:tr>
      <w:tr w14:paraId="33F0A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14:paraId="33EF72D4">
            <w:pPr>
              <w:ind w:firstLine="422"/>
              <w:rPr>
                <w:rFonts w:hint="eastAsia" w:ascii="宋体" w:hAnsi="宋体" w:eastAsia="宋体" w:cs="宋体"/>
                <w:szCs w:val="21"/>
              </w:rPr>
            </w:pPr>
          </w:p>
        </w:tc>
        <w:tc>
          <w:tcPr>
            <w:tcW w:w="8009" w:type="dxa"/>
            <w:vAlign w:val="center"/>
          </w:tcPr>
          <w:p w14:paraId="0414FB12">
            <w:pPr>
              <w:ind w:firstLine="422"/>
              <w:rPr>
                <w:rFonts w:hint="eastAsia" w:ascii="宋体" w:hAnsi="宋体" w:eastAsia="宋体" w:cs="宋体"/>
                <w:szCs w:val="21"/>
              </w:rPr>
            </w:pPr>
            <w:r>
              <w:rPr>
                <w:rFonts w:hint="eastAsia" w:ascii="宋体" w:hAnsi="宋体" w:eastAsia="宋体" w:cs="宋体"/>
                <w:szCs w:val="21"/>
              </w:rPr>
              <w:t>项目名称：</w:t>
            </w:r>
          </w:p>
        </w:tc>
      </w:tr>
      <w:tr w14:paraId="5DA0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14:paraId="31AB13F1">
            <w:pPr>
              <w:ind w:firstLine="422"/>
              <w:rPr>
                <w:rFonts w:hint="eastAsia" w:ascii="宋体" w:hAnsi="宋体" w:eastAsia="宋体" w:cs="宋体"/>
                <w:szCs w:val="21"/>
              </w:rPr>
            </w:pPr>
          </w:p>
        </w:tc>
        <w:tc>
          <w:tcPr>
            <w:tcW w:w="8009" w:type="dxa"/>
          </w:tcPr>
          <w:p w14:paraId="0B28DA92">
            <w:pPr>
              <w:ind w:firstLine="422"/>
              <w:rPr>
                <w:rFonts w:hint="eastAsia" w:ascii="宋体" w:hAnsi="宋体" w:eastAsia="宋体" w:cs="宋体"/>
                <w:szCs w:val="21"/>
              </w:rPr>
            </w:pPr>
          </w:p>
          <w:p w14:paraId="3955DA99">
            <w:pPr>
              <w:ind w:firstLine="420" w:firstLineChars="200"/>
              <w:rPr>
                <w:rFonts w:hint="eastAsia" w:ascii="宋体" w:hAnsi="宋体" w:eastAsia="宋体" w:cs="宋体"/>
                <w:szCs w:val="21"/>
              </w:rPr>
            </w:pPr>
            <w:r>
              <w:rPr>
                <w:rFonts w:hint="eastAsia" w:ascii="宋体" w:hAnsi="宋体" w:eastAsia="宋体" w:cs="宋体"/>
                <w:szCs w:val="21"/>
              </w:rPr>
              <w:t>该项目已于年月日验收并交付使用。根据合同规定，该项目的履约保证金期限于年月日已满，请将履约保证金（大写）人民币（小写）¥退付到达以下账户。</w:t>
            </w:r>
          </w:p>
          <w:p w14:paraId="2DAFE4F8">
            <w:pPr>
              <w:ind w:firstLine="422"/>
              <w:rPr>
                <w:rFonts w:hint="eastAsia" w:ascii="宋体" w:hAnsi="宋体" w:eastAsia="宋体" w:cs="宋体"/>
                <w:szCs w:val="21"/>
              </w:rPr>
            </w:pPr>
            <w:r>
              <w:rPr>
                <w:rFonts w:hint="eastAsia" w:ascii="宋体" w:hAnsi="宋体" w:eastAsia="宋体" w:cs="宋体"/>
                <w:szCs w:val="21"/>
              </w:rPr>
              <w:t>单位名称：</w:t>
            </w:r>
          </w:p>
          <w:p w14:paraId="4FEFB936">
            <w:pPr>
              <w:ind w:firstLine="422"/>
              <w:rPr>
                <w:rFonts w:hint="eastAsia" w:ascii="宋体" w:hAnsi="宋体" w:eastAsia="宋体" w:cs="宋体"/>
                <w:szCs w:val="21"/>
              </w:rPr>
            </w:pPr>
            <w:r>
              <w:rPr>
                <w:rFonts w:hint="eastAsia" w:ascii="宋体" w:hAnsi="宋体" w:eastAsia="宋体" w:cs="宋体"/>
                <w:szCs w:val="21"/>
              </w:rPr>
              <w:t>开户银行：</w:t>
            </w:r>
          </w:p>
          <w:p w14:paraId="3AA13285">
            <w:pPr>
              <w:ind w:firstLine="422"/>
              <w:rPr>
                <w:rFonts w:hint="eastAsia" w:ascii="宋体" w:hAnsi="宋体" w:eastAsia="宋体" w:cs="宋体"/>
                <w:szCs w:val="21"/>
              </w:rPr>
            </w:pPr>
            <w:r>
              <w:rPr>
                <w:rFonts w:hint="eastAsia" w:ascii="宋体" w:hAnsi="宋体" w:eastAsia="宋体" w:cs="宋体"/>
                <w:szCs w:val="21"/>
              </w:rPr>
              <w:t>账    号：</w:t>
            </w:r>
          </w:p>
          <w:p w14:paraId="551BF35A">
            <w:pPr>
              <w:ind w:firstLine="422"/>
              <w:rPr>
                <w:rFonts w:hint="eastAsia" w:ascii="宋体" w:hAnsi="宋体" w:eastAsia="宋体" w:cs="宋体"/>
                <w:szCs w:val="21"/>
              </w:rPr>
            </w:pPr>
            <w:r>
              <w:rPr>
                <w:rFonts w:hint="eastAsia" w:ascii="宋体" w:hAnsi="宋体" w:eastAsia="宋体" w:cs="宋体"/>
                <w:szCs w:val="21"/>
              </w:rPr>
              <w:t>联系人及电话：</w:t>
            </w:r>
          </w:p>
          <w:p w14:paraId="2C53B823">
            <w:pPr>
              <w:ind w:firstLine="422"/>
              <w:rPr>
                <w:rFonts w:hint="eastAsia" w:ascii="宋体" w:hAnsi="宋体" w:eastAsia="宋体" w:cs="宋体"/>
                <w:szCs w:val="21"/>
              </w:rPr>
            </w:pPr>
          </w:p>
          <w:p w14:paraId="22CBD488">
            <w:pPr>
              <w:ind w:firstLine="422"/>
              <w:jc w:val="center"/>
              <w:rPr>
                <w:rFonts w:hint="eastAsia" w:ascii="宋体" w:hAnsi="宋体" w:eastAsia="宋体" w:cs="宋体"/>
                <w:szCs w:val="21"/>
              </w:rPr>
            </w:pPr>
            <w:r>
              <w:rPr>
                <w:rFonts w:hint="eastAsia" w:ascii="宋体" w:hAnsi="宋体" w:eastAsia="宋体" w:cs="宋体"/>
                <w:szCs w:val="21"/>
              </w:rPr>
              <w:t xml:space="preserve">                           供应商签章：</w:t>
            </w:r>
          </w:p>
          <w:p w14:paraId="00A539A1">
            <w:pPr>
              <w:ind w:firstLine="422"/>
              <w:jc w:val="center"/>
              <w:rPr>
                <w:rFonts w:hint="eastAsia" w:ascii="宋体" w:hAnsi="宋体" w:eastAsia="宋体" w:cs="宋体"/>
                <w:szCs w:val="21"/>
              </w:rPr>
            </w:pPr>
            <w:r>
              <w:rPr>
                <w:rFonts w:hint="eastAsia" w:ascii="宋体" w:hAnsi="宋体" w:eastAsia="宋体" w:cs="宋体"/>
                <w:szCs w:val="21"/>
              </w:rPr>
              <w:t xml:space="preserve">                                                年    月    日</w:t>
            </w:r>
          </w:p>
        </w:tc>
      </w:tr>
      <w:tr w14:paraId="20FE0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14:paraId="73A4B28A">
            <w:pPr>
              <w:ind w:firstLine="422"/>
              <w:jc w:val="center"/>
              <w:rPr>
                <w:rFonts w:hint="eastAsia" w:ascii="宋体" w:hAnsi="宋体" w:eastAsia="宋体" w:cs="宋体"/>
                <w:szCs w:val="21"/>
              </w:rPr>
            </w:pPr>
            <w:r>
              <w:rPr>
                <w:rFonts w:hint="eastAsia" w:ascii="宋体" w:hAnsi="宋体" w:eastAsia="宋体" w:cs="宋体"/>
                <w:szCs w:val="21"/>
              </w:rPr>
              <w:t>采</w:t>
            </w:r>
          </w:p>
          <w:p w14:paraId="10623C17">
            <w:pPr>
              <w:ind w:firstLine="422"/>
              <w:jc w:val="center"/>
              <w:rPr>
                <w:rFonts w:hint="eastAsia" w:ascii="宋体" w:hAnsi="宋体" w:eastAsia="宋体" w:cs="宋体"/>
                <w:szCs w:val="21"/>
              </w:rPr>
            </w:pPr>
            <w:r>
              <w:rPr>
                <w:rFonts w:hint="eastAsia" w:ascii="宋体" w:hAnsi="宋体" w:eastAsia="宋体" w:cs="宋体"/>
                <w:szCs w:val="21"/>
              </w:rPr>
              <w:t>购</w:t>
            </w:r>
          </w:p>
          <w:p w14:paraId="23A7FDD2">
            <w:pPr>
              <w:ind w:firstLine="422"/>
              <w:jc w:val="center"/>
              <w:rPr>
                <w:rFonts w:hint="eastAsia" w:ascii="宋体" w:hAnsi="宋体" w:eastAsia="宋体" w:cs="宋体"/>
                <w:szCs w:val="21"/>
              </w:rPr>
            </w:pPr>
            <w:r>
              <w:rPr>
                <w:rFonts w:hint="eastAsia" w:ascii="宋体" w:hAnsi="宋体" w:eastAsia="宋体" w:cs="宋体"/>
                <w:szCs w:val="21"/>
              </w:rPr>
              <w:t>单</w:t>
            </w:r>
          </w:p>
          <w:p w14:paraId="7EC1355B">
            <w:pPr>
              <w:ind w:firstLine="422"/>
              <w:jc w:val="center"/>
              <w:rPr>
                <w:rFonts w:hint="eastAsia" w:ascii="宋体" w:hAnsi="宋体" w:eastAsia="宋体" w:cs="宋体"/>
                <w:szCs w:val="21"/>
              </w:rPr>
            </w:pPr>
            <w:r>
              <w:rPr>
                <w:rFonts w:hint="eastAsia" w:ascii="宋体" w:hAnsi="宋体" w:eastAsia="宋体" w:cs="宋体"/>
                <w:szCs w:val="21"/>
              </w:rPr>
              <w:t>位</w:t>
            </w:r>
          </w:p>
          <w:p w14:paraId="5528DC9E">
            <w:pPr>
              <w:ind w:firstLine="422"/>
              <w:jc w:val="center"/>
              <w:rPr>
                <w:rFonts w:hint="eastAsia" w:ascii="宋体" w:hAnsi="宋体" w:eastAsia="宋体" w:cs="宋体"/>
                <w:szCs w:val="21"/>
              </w:rPr>
            </w:pPr>
            <w:r>
              <w:rPr>
                <w:rFonts w:hint="eastAsia" w:ascii="宋体" w:hAnsi="宋体" w:eastAsia="宋体" w:cs="宋体"/>
                <w:szCs w:val="21"/>
              </w:rPr>
              <w:t>意</w:t>
            </w:r>
          </w:p>
          <w:p w14:paraId="1BA47D48">
            <w:pPr>
              <w:ind w:firstLine="422"/>
              <w:jc w:val="center"/>
              <w:rPr>
                <w:rFonts w:hint="eastAsia" w:ascii="宋体" w:hAnsi="宋体" w:eastAsia="宋体" w:cs="宋体"/>
                <w:szCs w:val="21"/>
              </w:rPr>
            </w:pPr>
            <w:r>
              <w:rPr>
                <w:rFonts w:hint="eastAsia" w:ascii="宋体" w:hAnsi="宋体" w:eastAsia="宋体" w:cs="宋体"/>
                <w:szCs w:val="21"/>
              </w:rPr>
              <w:t>见</w:t>
            </w:r>
          </w:p>
        </w:tc>
        <w:tc>
          <w:tcPr>
            <w:tcW w:w="8009" w:type="dxa"/>
          </w:tcPr>
          <w:p w14:paraId="1066EB81">
            <w:pPr>
              <w:ind w:firstLine="422"/>
              <w:rPr>
                <w:rFonts w:hint="eastAsia" w:ascii="宋体" w:hAnsi="宋体" w:eastAsia="宋体" w:cs="宋体"/>
              </w:rPr>
            </w:pPr>
            <w:r>
              <w:rPr>
                <w:rFonts w:hint="eastAsia" w:ascii="宋体" w:hAnsi="宋体" w:eastAsia="宋体" w:cs="宋体"/>
              </w:rPr>
              <w:t>是否质保期或服务期满：</w:t>
            </w:r>
            <w:r>
              <w:rPr>
                <w:rFonts w:hint="eastAsia" w:ascii="宋体" w:hAnsi="宋体" w:eastAsia="宋体" w:cs="宋体"/>
              </w:rPr>
              <w:sym w:font="Wingdings 2" w:char="00A3"/>
            </w:r>
            <w:r>
              <w:rPr>
                <w:rFonts w:hint="eastAsia" w:ascii="宋体" w:hAnsi="宋体" w:eastAsia="宋体" w:cs="宋体"/>
              </w:rPr>
              <w:t xml:space="preserve">质保期满   </w:t>
            </w:r>
            <w:r>
              <w:rPr>
                <w:rFonts w:hint="eastAsia" w:ascii="宋体" w:hAnsi="宋体" w:eastAsia="宋体" w:cs="宋体"/>
              </w:rPr>
              <w:sym w:font="Wingdings 2" w:char="00A3"/>
            </w:r>
            <w:r>
              <w:rPr>
                <w:rFonts w:hint="eastAsia" w:ascii="宋体" w:hAnsi="宋体" w:eastAsia="宋体" w:cs="宋体"/>
              </w:rPr>
              <w:t>服务期满</w:t>
            </w:r>
          </w:p>
          <w:p w14:paraId="57657E1E">
            <w:pPr>
              <w:ind w:firstLine="422"/>
              <w:rPr>
                <w:rFonts w:hint="eastAsia" w:ascii="宋体" w:hAnsi="宋体" w:eastAsia="宋体" w:cs="宋体"/>
                <w:szCs w:val="21"/>
              </w:rPr>
            </w:pPr>
          </w:p>
          <w:p w14:paraId="6BA41EF6">
            <w:pPr>
              <w:ind w:firstLine="422"/>
              <w:rPr>
                <w:rFonts w:hint="eastAsia" w:ascii="宋体" w:hAnsi="宋体" w:eastAsia="宋体" w:cs="宋体"/>
                <w:szCs w:val="21"/>
              </w:rPr>
            </w:pPr>
            <w:r>
              <w:rPr>
                <w:rFonts w:hint="eastAsia" w:ascii="宋体" w:hAnsi="宋体" w:eastAsia="宋体" w:cs="宋体"/>
                <w:szCs w:val="21"/>
              </w:rPr>
              <w:t>退付意见：是否同意退付履约保证金及退付金额：</w:t>
            </w:r>
          </w:p>
          <w:p w14:paraId="1244A9F2">
            <w:pPr>
              <w:ind w:firstLine="422"/>
              <w:rPr>
                <w:rFonts w:hint="eastAsia" w:ascii="宋体" w:hAnsi="宋体" w:eastAsia="宋体" w:cs="宋体"/>
                <w:szCs w:val="21"/>
              </w:rPr>
            </w:pPr>
          </w:p>
          <w:p w14:paraId="6F387603">
            <w:pPr>
              <w:ind w:firstLine="422"/>
              <w:rPr>
                <w:rFonts w:hint="eastAsia" w:ascii="宋体" w:hAnsi="宋体" w:eastAsia="宋体" w:cs="宋体"/>
                <w:szCs w:val="21"/>
              </w:rPr>
            </w:pPr>
          </w:p>
          <w:p w14:paraId="64144DC5">
            <w:pPr>
              <w:ind w:firstLine="422"/>
              <w:rPr>
                <w:rFonts w:hint="eastAsia" w:ascii="宋体" w:hAnsi="宋体" w:eastAsia="宋体" w:cs="宋体"/>
                <w:szCs w:val="21"/>
              </w:rPr>
            </w:pPr>
            <w:r>
              <w:rPr>
                <w:rFonts w:hint="eastAsia" w:ascii="宋体" w:hAnsi="宋体" w:eastAsia="宋体" w:cs="宋体"/>
                <w:szCs w:val="21"/>
              </w:rPr>
              <w:t xml:space="preserve">联系人及电话：                                </w:t>
            </w:r>
          </w:p>
          <w:p w14:paraId="79F861FE">
            <w:pPr>
              <w:ind w:firstLine="422"/>
              <w:rPr>
                <w:rFonts w:hint="eastAsia" w:ascii="宋体" w:hAnsi="宋体" w:eastAsia="宋体" w:cs="宋体"/>
                <w:szCs w:val="21"/>
              </w:rPr>
            </w:pPr>
          </w:p>
          <w:p w14:paraId="48D44EE6">
            <w:pPr>
              <w:ind w:firstLine="3990" w:firstLineChars="1900"/>
              <w:rPr>
                <w:rFonts w:hint="eastAsia" w:ascii="宋体" w:hAnsi="宋体" w:eastAsia="宋体" w:cs="宋体"/>
                <w:szCs w:val="21"/>
              </w:rPr>
            </w:pPr>
            <w:r>
              <w:rPr>
                <w:rFonts w:hint="eastAsia" w:ascii="宋体" w:hAnsi="宋体" w:eastAsia="宋体" w:cs="宋体"/>
                <w:szCs w:val="21"/>
              </w:rPr>
              <w:t xml:space="preserve"> 采购人签章：</w:t>
            </w:r>
          </w:p>
          <w:p w14:paraId="13E3B0B0">
            <w:pPr>
              <w:ind w:firstLine="422"/>
              <w:jc w:val="center"/>
              <w:rPr>
                <w:rFonts w:hint="eastAsia" w:ascii="宋体" w:hAnsi="宋体" w:eastAsia="宋体" w:cs="宋体"/>
                <w:szCs w:val="21"/>
              </w:rPr>
            </w:pPr>
            <w:r>
              <w:rPr>
                <w:rFonts w:hint="eastAsia" w:ascii="宋体" w:hAnsi="宋体" w:eastAsia="宋体" w:cs="宋体"/>
                <w:szCs w:val="21"/>
              </w:rPr>
              <w:t xml:space="preserve">                                                年    月    日</w:t>
            </w:r>
          </w:p>
        </w:tc>
      </w:tr>
      <w:tr w14:paraId="4291E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vAlign w:val="center"/>
          </w:tcPr>
          <w:p w14:paraId="4D9ED69E">
            <w:pPr>
              <w:ind w:firstLine="422"/>
              <w:jc w:val="center"/>
              <w:rPr>
                <w:rFonts w:hint="eastAsia" w:ascii="宋体" w:hAnsi="宋体" w:eastAsia="宋体" w:cs="宋体"/>
                <w:szCs w:val="21"/>
              </w:rPr>
            </w:pPr>
            <w:r>
              <w:rPr>
                <w:rFonts w:hint="eastAsia" w:ascii="宋体" w:hAnsi="宋体" w:eastAsia="宋体" w:cs="宋体"/>
                <w:szCs w:val="21"/>
              </w:rPr>
              <w:t>备注</w:t>
            </w:r>
          </w:p>
        </w:tc>
        <w:tc>
          <w:tcPr>
            <w:tcW w:w="8009" w:type="dxa"/>
          </w:tcPr>
          <w:p w14:paraId="619C41B7">
            <w:pPr>
              <w:ind w:firstLine="422"/>
              <w:rPr>
                <w:rFonts w:hint="eastAsia" w:ascii="宋体" w:hAnsi="宋体" w:eastAsia="宋体" w:cs="宋体"/>
                <w:szCs w:val="21"/>
              </w:rPr>
            </w:pPr>
          </w:p>
        </w:tc>
      </w:tr>
    </w:tbl>
    <w:p w14:paraId="733A81E8">
      <w:pPr>
        <w:pStyle w:val="24"/>
        <w:ind w:left="1" w:firstLine="450" w:firstLineChars="250"/>
        <w:rPr>
          <w:rFonts w:hint="eastAsia" w:ascii="宋体" w:hAnsi="宋体" w:eastAsia="宋体" w:cs="宋体"/>
          <w:bCs/>
          <w:sz w:val="18"/>
          <w:szCs w:val="18"/>
        </w:rPr>
      </w:pPr>
      <w:r>
        <w:rPr>
          <w:rFonts w:hint="eastAsia" w:ascii="宋体" w:hAnsi="宋体" w:eastAsia="宋体" w:cs="宋体"/>
          <w:bCs/>
          <w:sz w:val="18"/>
          <w:szCs w:val="18"/>
        </w:rPr>
        <w:t>注：供应商凭经采购人审批的退付意见书到履约保证金收取单位财务部门办理履约保证金退付事宜。</w:t>
      </w:r>
    </w:p>
    <w:p w14:paraId="26968443">
      <w:pPr>
        <w:pStyle w:val="14"/>
        <w:rPr>
          <w:rFonts w:hint="eastAsia"/>
        </w:rPr>
        <w:sectPr>
          <w:pgSz w:w="11906" w:h="16838"/>
          <w:pgMar w:top="1440" w:right="1080" w:bottom="1440" w:left="1080" w:header="720" w:footer="720" w:gutter="0"/>
          <w:cols w:space="720" w:num="1"/>
          <w:docGrid w:type="lines" w:linePitch="312" w:charSpace="0"/>
        </w:sectPr>
      </w:pPr>
    </w:p>
    <w:p w14:paraId="775CD63A">
      <w:pPr>
        <w:spacing w:line="360" w:lineRule="auto"/>
        <w:ind w:firstLine="640" w:firstLineChars="200"/>
        <w:rPr>
          <w:rFonts w:hint="eastAsia" w:hAnsi="宋体" w:cs="宋体"/>
        </w:rPr>
      </w:pPr>
      <w:r>
        <w:rPr>
          <w:rFonts w:hint="eastAsia" w:ascii="宋体" w:hAnsi="宋体" w:eastAsia="宋体" w:cs="宋体"/>
          <w:bCs/>
          <w:sz w:val="32"/>
          <w:szCs w:val="32"/>
        </w:rPr>
        <w:t>附件2：</w:t>
      </w:r>
    </w:p>
    <w:p w14:paraId="3F9371BF">
      <w:pPr>
        <w:ind w:firstLine="643"/>
        <w:jc w:val="center"/>
        <w:rPr>
          <w:rFonts w:hint="eastAsia" w:ascii="宋体" w:hAnsi="宋体" w:eastAsia="宋体" w:cs="宋体"/>
          <w:b/>
          <w:bCs/>
          <w:sz w:val="32"/>
          <w:szCs w:val="32"/>
        </w:rPr>
      </w:pPr>
      <w:r>
        <w:rPr>
          <w:rFonts w:hint="eastAsia" w:ascii="宋体" w:hAnsi="宋体" w:eastAsia="宋体" w:cs="宋体"/>
          <w:b/>
          <w:bCs/>
          <w:sz w:val="32"/>
          <w:szCs w:val="32"/>
        </w:rPr>
        <w:t>广西壮族自治区政府采购项目合同验收报告（格式）</w:t>
      </w:r>
    </w:p>
    <w:p w14:paraId="167F7DD6">
      <w:pPr>
        <w:ind w:firstLine="640"/>
        <w:jc w:val="center"/>
        <w:rPr>
          <w:rFonts w:hint="eastAsia" w:ascii="宋体" w:hAnsi="宋体" w:eastAsia="宋体" w:cs="宋体"/>
          <w:b/>
          <w:bCs/>
          <w:sz w:val="32"/>
          <w:szCs w:val="32"/>
        </w:rPr>
      </w:pPr>
    </w:p>
    <w:p w14:paraId="340B3F3A">
      <w:pPr>
        <w:widowControl/>
        <w:snapToGrid w:val="0"/>
        <w:spacing w:line="360" w:lineRule="auto"/>
        <w:ind w:firstLine="422"/>
        <w:jc w:val="left"/>
        <w:rPr>
          <w:rFonts w:hint="eastAsia" w:ascii="宋体" w:hAnsi="宋体" w:eastAsia="宋体" w:cs="宋体"/>
          <w:kern w:val="0"/>
          <w:szCs w:val="21"/>
        </w:rPr>
      </w:pPr>
      <w:r>
        <w:rPr>
          <w:rFonts w:hint="eastAsia" w:ascii="宋体" w:hAnsi="宋体" w:cs="宋体"/>
          <w:kern w:val="0"/>
          <w:szCs w:val="21"/>
        </w:rPr>
        <w:t xml:space="preserve">    </w:t>
      </w:r>
      <w:r>
        <w:rPr>
          <w:rFonts w:hint="eastAsia" w:ascii="宋体" w:hAnsi="宋体" w:eastAsia="宋体" w:cs="宋体"/>
          <w:kern w:val="0"/>
          <w:szCs w:val="21"/>
        </w:rPr>
        <w:t>根据政府采购合同（采购合同编号：</w:t>
      </w:r>
      <w:r>
        <w:rPr>
          <w:rFonts w:hint="eastAsia" w:ascii="宋体" w:hAnsi="宋体" w:eastAsia="宋体" w:cs="宋体"/>
          <w:kern w:val="0"/>
          <w:szCs w:val="21"/>
          <w:u w:val="single"/>
        </w:rPr>
        <w:softHyphen/>
      </w:r>
      <w:r>
        <w:rPr>
          <w:rFonts w:hint="eastAsia" w:ascii="宋体" w:hAnsi="宋体" w:eastAsia="宋体" w:cs="宋体"/>
          <w:kern w:val="0"/>
          <w:szCs w:val="21"/>
          <w:u w:val="single"/>
        </w:rPr>
        <w:t xml:space="preserve">                </w:t>
      </w:r>
      <w:r>
        <w:rPr>
          <w:rFonts w:hint="eastAsia" w:ascii="宋体" w:hAnsi="宋体" w:eastAsia="宋体" w:cs="宋体"/>
          <w:kern w:val="0"/>
          <w:szCs w:val="21"/>
        </w:rPr>
        <w:t>）的约定，我单位对</w:t>
      </w:r>
      <w:r>
        <w:rPr>
          <w:rFonts w:hint="eastAsia" w:ascii="宋体" w:hAnsi="宋体" w:eastAsia="宋体" w:cs="宋体"/>
          <w:kern w:val="0"/>
          <w:szCs w:val="21"/>
          <w:u w:val="single"/>
        </w:rPr>
        <w:t xml:space="preserve">（采购项目名称）       </w:t>
      </w:r>
      <w:r>
        <w:rPr>
          <w:rFonts w:hint="eastAsia" w:ascii="宋体" w:hAnsi="宋体" w:eastAsia="宋体" w:cs="宋体"/>
          <w:kern w:val="0"/>
          <w:szCs w:val="21"/>
        </w:rPr>
        <w:t>政府采购项目中标（或成交）供应商</w:t>
      </w:r>
      <w:r>
        <w:rPr>
          <w:rFonts w:hint="eastAsia" w:ascii="宋体" w:hAnsi="宋体" w:eastAsia="宋体" w:cs="宋体"/>
          <w:kern w:val="0"/>
          <w:szCs w:val="21"/>
          <w:u w:val="single"/>
        </w:rPr>
        <w:t xml:space="preserve">    （公司名称）    </w:t>
      </w:r>
      <w:r>
        <w:rPr>
          <w:rFonts w:hint="eastAsia" w:ascii="宋体" w:hAnsi="宋体" w:eastAsia="宋体" w:cs="宋体"/>
          <w:kern w:val="0"/>
          <w:szCs w:val="21"/>
        </w:rPr>
        <w:t>提供的货物（或服务）进行了验收，验收情况如下：</w:t>
      </w:r>
    </w:p>
    <w:tbl>
      <w:tblPr>
        <w:tblStyle w:val="5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92"/>
        <w:gridCol w:w="744"/>
        <w:gridCol w:w="1961"/>
        <w:gridCol w:w="1278"/>
        <w:gridCol w:w="1822"/>
        <w:gridCol w:w="13"/>
        <w:gridCol w:w="847"/>
        <w:gridCol w:w="893"/>
        <w:gridCol w:w="1297"/>
      </w:tblGrid>
      <w:tr w14:paraId="255375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8" w:hRule="atLeast"/>
          <w:jc w:val="center"/>
        </w:trPr>
        <w:tc>
          <w:tcPr>
            <w:tcW w:w="592" w:type="dxa"/>
            <w:tcBorders>
              <w:top w:val="single" w:color="auto" w:sz="4" w:space="0"/>
              <w:right w:val="single" w:color="auto" w:sz="4" w:space="0"/>
            </w:tcBorders>
            <w:vAlign w:val="center"/>
          </w:tcPr>
          <w:p w14:paraId="2E856EA9">
            <w:pPr>
              <w:ind w:firstLine="422"/>
              <w:jc w:val="center"/>
              <w:rPr>
                <w:rFonts w:hint="eastAsia" w:ascii="宋体" w:hAnsi="宋体" w:eastAsia="宋体" w:cs="宋体"/>
                <w:szCs w:val="21"/>
              </w:rPr>
            </w:pPr>
            <w:r>
              <w:rPr>
                <w:rFonts w:hint="eastAsia" w:ascii="宋体" w:hAnsi="宋体" w:eastAsia="宋体" w:cs="宋体"/>
                <w:szCs w:val="21"/>
              </w:rPr>
              <w:t>序号</w:t>
            </w:r>
          </w:p>
        </w:tc>
        <w:tc>
          <w:tcPr>
            <w:tcW w:w="2705" w:type="dxa"/>
            <w:gridSpan w:val="2"/>
            <w:tcBorders>
              <w:top w:val="single" w:color="auto" w:sz="4" w:space="0"/>
              <w:left w:val="single" w:color="auto" w:sz="4" w:space="0"/>
            </w:tcBorders>
            <w:vAlign w:val="center"/>
          </w:tcPr>
          <w:p w14:paraId="4FF31406">
            <w:pPr>
              <w:ind w:firstLine="422"/>
              <w:jc w:val="center"/>
              <w:rPr>
                <w:rFonts w:hint="eastAsia" w:ascii="宋体" w:hAnsi="宋体" w:eastAsia="宋体" w:cs="宋体"/>
                <w:szCs w:val="21"/>
              </w:rPr>
            </w:pPr>
            <w:r>
              <w:rPr>
                <w:rFonts w:hint="eastAsia" w:ascii="宋体" w:hAnsi="宋体" w:eastAsia="宋体" w:cs="宋体"/>
                <w:szCs w:val="21"/>
              </w:rPr>
              <w:t>名    称</w:t>
            </w:r>
          </w:p>
        </w:tc>
        <w:tc>
          <w:tcPr>
            <w:tcW w:w="3100" w:type="dxa"/>
            <w:gridSpan w:val="2"/>
            <w:vAlign w:val="center"/>
          </w:tcPr>
          <w:p w14:paraId="3B5400B9">
            <w:pPr>
              <w:ind w:firstLine="422"/>
              <w:jc w:val="center"/>
              <w:rPr>
                <w:rFonts w:hint="eastAsia" w:ascii="宋体" w:hAnsi="宋体" w:eastAsia="宋体" w:cs="宋体"/>
                <w:szCs w:val="21"/>
              </w:rPr>
            </w:pPr>
            <w:r>
              <w:rPr>
                <w:rFonts w:hint="eastAsia" w:ascii="宋体" w:hAnsi="宋体" w:eastAsia="宋体" w:cs="宋体"/>
                <w:szCs w:val="21"/>
              </w:rPr>
              <w:t>货物型号规格、标准及配置</w:t>
            </w:r>
          </w:p>
          <w:p w14:paraId="20AC8B2E">
            <w:pPr>
              <w:ind w:firstLine="422"/>
              <w:jc w:val="center"/>
              <w:rPr>
                <w:rFonts w:hint="eastAsia" w:ascii="宋体" w:hAnsi="宋体" w:eastAsia="宋体" w:cs="宋体"/>
                <w:szCs w:val="21"/>
              </w:rPr>
            </w:pPr>
            <w:r>
              <w:rPr>
                <w:rFonts w:hint="eastAsia" w:ascii="宋体" w:hAnsi="宋体" w:eastAsia="宋体" w:cs="宋体"/>
                <w:szCs w:val="21"/>
              </w:rPr>
              <w:t>（或服务内容、标准）</w:t>
            </w:r>
          </w:p>
        </w:tc>
        <w:tc>
          <w:tcPr>
            <w:tcW w:w="860" w:type="dxa"/>
            <w:gridSpan w:val="2"/>
            <w:vAlign w:val="center"/>
          </w:tcPr>
          <w:p w14:paraId="1664329D">
            <w:pPr>
              <w:ind w:firstLine="422"/>
              <w:jc w:val="center"/>
              <w:rPr>
                <w:rFonts w:hint="eastAsia" w:ascii="宋体" w:hAnsi="宋体" w:eastAsia="宋体" w:cs="宋体"/>
                <w:szCs w:val="21"/>
              </w:rPr>
            </w:pPr>
            <w:r>
              <w:rPr>
                <w:rFonts w:hint="eastAsia" w:ascii="宋体" w:hAnsi="宋体" w:eastAsia="宋体" w:cs="宋体"/>
                <w:szCs w:val="21"/>
              </w:rPr>
              <w:t>数量</w:t>
            </w:r>
          </w:p>
        </w:tc>
        <w:tc>
          <w:tcPr>
            <w:tcW w:w="893" w:type="dxa"/>
            <w:tcBorders>
              <w:right w:val="single" w:color="auto" w:sz="4" w:space="0"/>
            </w:tcBorders>
            <w:vAlign w:val="center"/>
          </w:tcPr>
          <w:p w14:paraId="1CF66EC7">
            <w:pPr>
              <w:ind w:firstLine="422"/>
              <w:jc w:val="center"/>
              <w:rPr>
                <w:rFonts w:hint="eastAsia" w:ascii="宋体" w:hAnsi="宋体" w:eastAsia="宋体" w:cs="宋体"/>
                <w:szCs w:val="21"/>
              </w:rPr>
            </w:pPr>
            <w:r>
              <w:rPr>
                <w:rFonts w:hint="eastAsia" w:ascii="宋体" w:hAnsi="宋体" w:eastAsia="宋体" w:cs="宋体"/>
                <w:szCs w:val="21"/>
              </w:rPr>
              <w:t>金额</w:t>
            </w:r>
          </w:p>
        </w:tc>
        <w:tc>
          <w:tcPr>
            <w:tcW w:w="1297" w:type="dxa"/>
            <w:tcBorders>
              <w:left w:val="single" w:color="auto" w:sz="4" w:space="0"/>
            </w:tcBorders>
            <w:vAlign w:val="center"/>
          </w:tcPr>
          <w:p w14:paraId="3504958C">
            <w:pPr>
              <w:ind w:firstLine="422"/>
              <w:jc w:val="center"/>
              <w:rPr>
                <w:rFonts w:hint="eastAsia" w:ascii="宋体" w:hAnsi="宋体" w:eastAsia="宋体" w:cs="宋体"/>
                <w:szCs w:val="21"/>
              </w:rPr>
            </w:pPr>
            <w:r>
              <w:rPr>
                <w:rFonts w:hint="eastAsia" w:ascii="宋体" w:hAnsi="宋体" w:eastAsia="宋体" w:cs="宋体"/>
                <w:szCs w:val="21"/>
              </w:rPr>
              <w:t>与合同约定</w:t>
            </w:r>
          </w:p>
          <w:p w14:paraId="0BE9D9C1">
            <w:pPr>
              <w:ind w:firstLine="422"/>
              <w:jc w:val="center"/>
              <w:rPr>
                <w:rFonts w:hint="eastAsia" w:ascii="宋体" w:hAnsi="宋体" w:eastAsia="宋体" w:cs="宋体"/>
                <w:szCs w:val="21"/>
              </w:rPr>
            </w:pPr>
            <w:r>
              <w:rPr>
                <w:rFonts w:hint="eastAsia" w:ascii="宋体" w:hAnsi="宋体" w:eastAsia="宋体" w:cs="宋体"/>
                <w:szCs w:val="21"/>
              </w:rPr>
              <w:t>是否一致</w:t>
            </w:r>
          </w:p>
        </w:tc>
      </w:tr>
      <w:tr w14:paraId="72F61F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vAlign w:val="center"/>
          </w:tcPr>
          <w:p w14:paraId="0DE05434">
            <w:pPr>
              <w:ind w:firstLine="422"/>
              <w:rPr>
                <w:rFonts w:hint="eastAsia" w:ascii="宋体" w:hAnsi="宋体" w:eastAsia="宋体" w:cs="宋体"/>
                <w:szCs w:val="21"/>
              </w:rPr>
            </w:pPr>
          </w:p>
        </w:tc>
        <w:tc>
          <w:tcPr>
            <w:tcW w:w="2705" w:type="dxa"/>
            <w:gridSpan w:val="2"/>
            <w:tcBorders>
              <w:left w:val="single" w:color="auto" w:sz="4" w:space="0"/>
            </w:tcBorders>
            <w:vAlign w:val="center"/>
          </w:tcPr>
          <w:p w14:paraId="720B0476">
            <w:pPr>
              <w:ind w:firstLine="422"/>
              <w:rPr>
                <w:rFonts w:hint="eastAsia" w:ascii="宋体" w:hAnsi="宋体" w:eastAsia="宋体" w:cs="宋体"/>
                <w:szCs w:val="21"/>
              </w:rPr>
            </w:pPr>
            <w:r>
              <w:rPr>
                <w:rFonts w:hint="eastAsia" w:ascii="宋体" w:hAnsi="宋体" w:eastAsia="宋体" w:cs="宋体"/>
                <w:szCs w:val="21"/>
              </w:rPr>
              <w:t> </w:t>
            </w:r>
          </w:p>
        </w:tc>
        <w:tc>
          <w:tcPr>
            <w:tcW w:w="3100" w:type="dxa"/>
            <w:gridSpan w:val="2"/>
            <w:vAlign w:val="center"/>
          </w:tcPr>
          <w:p w14:paraId="2BB71E33">
            <w:pPr>
              <w:ind w:firstLine="422"/>
              <w:rPr>
                <w:rFonts w:hint="eastAsia" w:ascii="宋体" w:hAnsi="宋体" w:eastAsia="宋体" w:cs="宋体"/>
                <w:szCs w:val="21"/>
              </w:rPr>
            </w:pPr>
            <w:r>
              <w:rPr>
                <w:rFonts w:hint="eastAsia" w:ascii="宋体" w:hAnsi="宋体" w:eastAsia="宋体" w:cs="宋体"/>
                <w:szCs w:val="21"/>
              </w:rPr>
              <w:t> </w:t>
            </w:r>
          </w:p>
        </w:tc>
        <w:tc>
          <w:tcPr>
            <w:tcW w:w="860" w:type="dxa"/>
            <w:gridSpan w:val="2"/>
            <w:vAlign w:val="center"/>
          </w:tcPr>
          <w:p w14:paraId="2B0E63C5">
            <w:pPr>
              <w:ind w:firstLine="422"/>
              <w:rPr>
                <w:rFonts w:hint="eastAsia" w:ascii="宋体" w:hAnsi="宋体" w:eastAsia="宋体" w:cs="宋体"/>
                <w:szCs w:val="21"/>
              </w:rPr>
            </w:pPr>
            <w:r>
              <w:rPr>
                <w:rFonts w:hint="eastAsia" w:ascii="宋体" w:hAnsi="宋体" w:eastAsia="宋体" w:cs="宋体"/>
                <w:szCs w:val="21"/>
              </w:rPr>
              <w:t> </w:t>
            </w:r>
          </w:p>
        </w:tc>
        <w:tc>
          <w:tcPr>
            <w:tcW w:w="893" w:type="dxa"/>
            <w:tcBorders>
              <w:right w:val="single" w:color="auto" w:sz="4" w:space="0"/>
            </w:tcBorders>
            <w:vAlign w:val="center"/>
          </w:tcPr>
          <w:p w14:paraId="62163CDA">
            <w:pPr>
              <w:ind w:firstLine="422"/>
              <w:rPr>
                <w:rFonts w:hint="eastAsia" w:ascii="宋体" w:hAnsi="宋体" w:eastAsia="宋体" w:cs="宋体"/>
                <w:szCs w:val="21"/>
              </w:rPr>
            </w:pPr>
            <w:r>
              <w:rPr>
                <w:rFonts w:hint="eastAsia" w:ascii="宋体" w:hAnsi="宋体" w:eastAsia="宋体" w:cs="宋体"/>
                <w:szCs w:val="21"/>
              </w:rPr>
              <w:t> </w:t>
            </w:r>
          </w:p>
        </w:tc>
        <w:tc>
          <w:tcPr>
            <w:tcW w:w="1297" w:type="dxa"/>
            <w:tcBorders>
              <w:left w:val="single" w:color="auto" w:sz="4" w:space="0"/>
            </w:tcBorders>
            <w:vAlign w:val="center"/>
          </w:tcPr>
          <w:p w14:paraId="0A29718F">
            <w:pPr>
              <w:ind w:firstLine="422"/>
              <w:rPr>
                <w:rFonts w:hint="eastAsia" w:ascii="宋体" w:hAnsi="宋体" w:eastAsia="宋体" w:cs="宋体"/>
                <w:szCs w:val="21"/>
              </w:rPr>
            </w:pPr>
          </w:p>
        </w:tc>
      </w:tr>
      <w:tr w14:paraId="076B2A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vAlign w:val="center"/>
          </w:tcPr>
          <w:p w14:paraId="672F567C">
            <w:pPr>
              <w:ind w:firstLine="422"/>
              <w:rPr>
                <w:rFonts w:hint="eastAsia" w:ascii="宋体" w:hAnsi="宋体" w:eastAsia="宋体" w:cs="宋体"/>
                <w:szCs w:val="21"/>
              </w:rPr>
            </w:pPr>
          </w:p>
        </w:tc>
        <w:tc>
          <w:tcPr>
            <w:tcW w:w="2705" w:type="dxa"/>
            <w:gridSpan w:val="2"/>
            <w:tcBorders>
              <w:left w:val="single" w:color="auto" w:sz="4" w:space="0"/>
            </w:tcBorders>
            <w:vAlign w:val="center"/>
          </w:tcPr>
          <w:p w14:paraId="1E15D0DB">
            <w:pPr>
              <w:ind w:firstLine="422"/>
              <w:rPr>
                <w:rFonts w:hint="eastAsia" w:ascii="宋体" w:hAnsi="宋体" w:eastAsia="宋体" w:cs="宋体"/>
                <w:szCs w:val="21"/>
              </w:rPr>
            </w:pPr>
            <w:r>
              <w:rPr>
                <w:rFonts w:hint="eastAsia" w:ascii="宋体" w:hAnsi="宋体" w:eastAsia="宋体" w:cs="宋体"/>
                <w:szCs w:val="21"/>
              </w:rPr>
              <w:t> </w:t>
            </w:r>
          </w:p>
        </w:tc>
        <w:tc>
          <w:tcPr>
            <w:tcW w:w="3100" w:type="dxa"/>
            <w:gridSpan w:val="2"/>
            <w:vAlign w:val="center"/>
          </w:tcPr>
          <w:p w14:paraId="45FA140F">
            <w:pPr>
              <w:ind w:firstLine="422"/>
              <w:rPr>
                <w:rFonts w:hint="eastAsia" w:ascii="宋体" w:hAnsi="宋体" w:eastAsia="宋体" w:cs="宋体"/>
                <w:szCs w:val="21"/>
              </w:rPr>
            </w:pPr>
            <w:r>
              <w:rPr>
                <w:rFonts w:hint="eastAsia" w:ascii="宋体" w:hAnsi="宋体" w:eastAsia="宋体" w:cs="宋体"/>
                <w:szCs w:val="21"/>
              </w:rPr>
              <w:t> </w:t>
            </w:r>
          </w:p>
        </w:tc>
        <w:tc>
          <w:tcPr>
            <w:tcW w:w="860" w:type="dxa"/>
            <w:gridSpan w:val="2"/>
            <w:vAlign w:val="center"/>
          </w:tcPr>
          <w:p w14:paraId="25E06DA0">
            <w:pPr>
              <w:ind w:firstLine="422"/>
              <w:rPr>
                <w:rFonts w:hint="eastAsia" w:ascii="宋体" w:hAnsi="宋体" w:eastAsia="宋体" w:cs="宋体"/>
                <w:szCs w:val="21"/>
              </w:rPr>
            </w:pPr>
            <w:r>
              <w:rPr>
                <w:rFonts w:hint="eastAsia" w:ascii="宋体" w:hAnsi="宋体" w:eastAsia="宋体" w:cs="宋体"/>
                <w:szCs w:val="21"/>
              </w:rPr>
              <w:t> </w:t>
            </w:r>
          </w:p>
        </w:tc>
        <w:tc>
          <w:tcPr>
            <w:tcW w:w="893" w:type="dxa"/>
            <w:tcBorders>
              <w:right w:val="single" w:color="auto" w:sz="4" w:space="0"/>
            </w:tcBorders>
            <w:vAlign w:val="center"/>
          </w:tcPr>
          <w:p w14:paraId="2DDA555D">
            <w:pPr>
              <w:ind w:firstLine="422"/>
              <w:rPr>
                <w:rFonts w:hint="eastAsia" w:ascii="宋体" w:hAnsi="宋体" w:eastAsia="宋体" w:cs="宋体"/>
                <w:szCs w:val="21"/>
              </w:rPr>
            </w:pPr>
            <w:r>
              <w:rPr>
                <w:rFonts w:hint="eastAsia" w:ascii="宋体" w:hAnsi="宋体" w:eastAsia="宋体" w:cs="宋体"/>
                <w:szCs w:val="21"/>
              </w:rPr>
              <w:t> </w:t>
            </w:r>
          </w:p>
        </w:tc>
        <w:tc>
          <w:tcPr>
            <w:tcW w:w="1297" w:type="dxa"/>
            <w:tcBorders>
              <w:left w:val="single" w:color="auto" w:sz="4" w:space="0"/>
            </w:tcBorders>
            <w:vAlign w:val="center"/>
          </w:tcPr>
          <w:p w14:paraId="2C099A24">
            <w:pPr>
              <w:ind w:firstLine="422"/>
              <w:rPr>
                <w:rFonts w:hint="eastAsia" w:ascii="宋体" w:hAnsi="宋体" w:eastAsia="宋体" w:cs="宋体"/>
                <w:szCs w:val="21"/>
              </w:rPr>
            </w:pPr>
          </w:p>
        </w:tc>
      </w:tr>
      <w:tr w14:paraId="32B18F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6397" w:type="dxa"/>
            <w:gridSpan w:val="5"/>
            <w:vAlign w:val="center"/>
          </w:tcPr>
          <w:p w14:paraId="3540A48E">
            <w:pPr>
              <w:ind w:firstLine="422"/>
              <w:rPr>
                <w:rFonts w:hint="eastAsia" w:ascii="宋体" w:hAnsi="宋体" w:eastAsia="宋体" w:cs="宋体"/>
                <w:szCs w:val="21"/>
              </w:rPr>
            </w:pPr>
            <w:r>
              <w:rPr>
                <w:rFonts w:hint="eastAsia" w:ascii="宋体" w:hAnsi="宋体" w:eastAsia="宋体" w:cs="宋体"/>
                <w:szCs w:val="21"/>
              </w:rPr>
              <w:t>合     计</w:t>
            </w:r>
          </w:p>
        </w:tc>
        <w:tc>
          <w:tcPr>
            <w:tcW w:w="860" w:type="dxa"/>
            <w:gridSpan w:val="2"/>
            <w:vAlign w:val="center"/>
          </w:tcPr>
          <w:p w14:paraId="0BF5A41F">
            <w:pPr>
              <w:ind w:firstLine="422"/>
              <w:rPr>
                <w:rFonts w:hint="eastAsia" w:ascii="宋体" w:hAnsi="宋体" w:eastAsia="宋体" w:cs="宋体"/>
                <w:szCs w:val="21"/>
              </w:rPr>
            </w:pPr>
          </w:p>
        </w:tc>
        <w:tc>
          <w:tcPr>
            <w:tcW w:w="893" w:type="dxa"/>
            <w:tcBorders>
              <w:right w:val="single" w:color="auto" w:sz="4" w:space="0"/>
            </w:tcBorders>
            <w:vAlign w:val="center"/>
          </w:tcPr>
          <w:p w14:paraId="69A5E624">
            <w:pPr>
              <w:ind w:firstLine="422"/>
              <w:rPr>
                <w:rFonts w:hint="eastAsia" w:ascii="宋体" w:hAnsi="宋体" w:eastAsia="宋体" w:cs="宋体"/>
                <w:szCs w:val="21"/>
              </w:rPr>
            </w:pPr>
          </w:p>
        </w:tc>
        <w:tc>
          <w:tcPr>
            <w:tcW w:w="1297" w:type="dxa"/>
            <w:tcBorders>
              <w:left w:val="single" w:color="auto" w:sz="4" w:space="0"/>
            </w:tcBorders>
            <w:vAlign w:val="center"/>
          </w:tcPr>
          <w:p w14:paraId="1C7AEBB7">
            <w:pPr>
              <w:ind w:firstLine="422"/>
              <w:rPr>
                <w:rFonts w:hint="eastAsia" w:ascii="宋体" w:hAnsi="宋体" w:eastAsia="宋体" w:cs="宋体"/>
                <w:szCs w:val="21"/>
              </w:rPr>
            </w:pPr>
          </w:p>
        </w:tc>
      </w:tr>
      <w:tr w14:paraId="09E097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9447" w:type="dxa"/>
            <w:gridSpan w:val="9"/>
            <w:vAlign w:val="center"/>
          </w:tcPr>
          <w:p w14:paraId="60E9F172">
            <w:pPr>
              <w:ind w:firstLine="422"/>
              <w:rPr>
                <w:rFonts w:hint="eastAsia" w:ascii="宋体" w:hAnsi="宋体" w:eastAsia="宋体" w:cs="宋体"/>
                <w:szCs w:val="21"/>
              </w:rPr>
            </w:pPr>
            <w:r>
              <w:rPr>
                <w:rFonts w:hint="eastAsia" w:ascii="宋体" w:hAnsi="宋体" w:eastAsia="宋体" w:cs="宋体"/>
                <w:szCs w:val="21"/>
              </w:rPr>
              <w:t>合 计 大 写 金 额 ：人民币                             元</w:t>
            </w:r>
          </w:p>
        </w:tc>
      </w:tr>
      <w:tr w14:paraId="4403DB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0" w:hRule="atLeast"/>
          <w:jc w:val="center"/>
        </w:trPr>
        <w:tc>
          <w:tcPr>
            <w:tcW w:w="1336" w:type="dxa"/>
            <w:gridSpan w:val="2"/>
            <w:vAlign w:val="center"/>
          </w:tcPr>
          <w:p w14:paraId="0821EC37">
            <w:pPr>
              <w:ind w:firstLine="422"/>
              <w:rPr>
                <w:rFonts w:hint="eastAsia" w:ascii="宋体" w:hAnsi="宋体" w:eastAsia="宋体" w:cs="宋体"/>
                <w:szCs w:val="21"/>
              </w:rPr>
            </w:pPr>
            <w:r>
              <w:rPr>
                <w:rFonts w:hint="eastAsia" w:ascii="宋体" w:hAnsi="宋体" w:eastAsia="宋体" w:cs="宋体"/>
                <w:szCs w:val="21"/>
              </w:rPr>
              <w:t>实际供货日期</w:t>
            </w:r>
          </w:p>
        </w:tc>
        <w:tc>
          <w:tcPr>
            <w:tcW w:w="3239" w:type="dxa"/>
            <w:gridSpan w:val="2"/>
            <w:vAlign w:val="center"/>
          </w:tcPr>
          <w:p w14:paraId="186FA91D">
            <w:pPr>
              <w:ind w:firstLine="422"/>
              <w:rPr>
                <w:rFonts w:hint="eastAsia" w:ascii="宋体" w:hAnsi="宋体" w:eastAsia="宋体" w:cs="宋体"/>
                <w:szCs w:val="21"/>
              </w:rPr>
            </w:pPr>
          </w:p>
        </w:tc>
        <w:tc>
          <w:tcPr>
            <w:tcW w:w="1835" w:type="dxa"/>
            <w:gridSpan w:val="2"/>
            <w:vAlign w:val="center"/>
          </w:tcPr>
          <w:p w14:paraId="0EB77AAE">
            <w:pPr>
              <w:ind w:firstLine="422"/>
              <w:rPr>
                <w:rFonts w:hint="eastAsia" w:ascii="宋体" w:hAnsi="宋体" w:eastAsia="宋体" w:cs="宋体"/>
                <w:szCs w:val="21"/>
              </w:rPr>
            </w:pPr>
            <w:r>
              <w:rPr>
                <w:rFonts w:hint="eastAsia" w:ascii="宋体" w:hAnsi="宋体" w:eastAsia="宋体" w:cs="宋体"/>
                <w:szCs w:val="21"/>
              </w:rPr>
              <w:t>合同交货验收日期</w:t>
            </w:r>
          </w:p>
        </w:tc>
        <w:tc>
          <w:tcPr>
            <w:tcW w:w="3037" w:type="dxa"/>
            <w:gridSpan w:val="3"/>
            <w:vAlign w:val="center"/>
          </w:tcPr>
          <w:p w14:paraId="2FEA2114">
            <w:pPr>
              <w:ind w:firstLine="422"/>
              <w:rPr>
                <w:rFonts w:hint="eastAsia" w:ascii="宋体" w:hAnsi="宋体" w:eastAsia="宋体" w:cs="宋体"/>
                <w:szCs w:val="21"/>
              </w:rPr>
            </w:pPr>
          </w:p>
        </w:tc>
      </w:tr>
      <w:tr w14:paraId="42BF7F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1336" w:type="dxa"/>
            <w:gridSpan w:val="2"/>
            <w:tcMar>
              <w:top w:w="0" w:type="dxa"/>
              <w:left w:w="108" w:type="dxa"/>
              <w:bottom w:w="0" w:type="dxa"/>
              <w:right w:w="108" w:type="dxa"/>
            </w:tcMar>
            <w:vAlign w:val="center"/>
          </w:tcPr>
          <w:p w14:paraId="62FA32D0">
            <w:pPr>
              <w:ind w:firstLine="422"/>
              <w:rPr>
                <w:rFonts w:hint="eastAsia" w:ascii="宋体" w:hAnsi="宋体" w:eastAsia="宋体" w:cs="宋体"/>
                <w:szCs w:val="21"/>
              </w:rPr>
            </w:pPr>
            <w:r>
              <w:rPr>
                <w:rFonts w:hint="eastAsia" w:ascii="宋体" w:hAnsi="宋体" w:eastAsia="宋体" w:cs="宋体"/>
                <w:szCs w:val="21"/>
              </w:rPr>
              <w:t>验收具体内容</w:t>
            </w:r>
          </w:p>
        </w:tc>
        <w:tc>
          <w:tcPr>
            <w:tcW w:w="8111" w:type="dxa"/>
            <w:gridSpan w:val="7"/>
            <w:tcMar>
              <w:top w:w="0" w:type="dxa"/>
              <w:left w:w="108" w:type="dxa"/>
              <w:bottom w:w="0" w:type="dxa"/>
              <w:right w:w="108" w:type="dxa"/>
            </w:tcMar>
            <w:vAlign w:val="center"/>
          </w:tcPr>
          <w:p w14:paraId="337C4DC0">
            <w:pPr>
              <w:ind w:firstLine="422"/>
              <w:rPr>
                <w:rFonts w:hint="eastAsia" w:ascii="宋体" w:hAnsi="宋体" w:eastAsia="宋体" w:cs="宋体"/>
                <w:szCs w:val="21"/>
              </w:rPr>
            </w:pPr>
            <w:r>
              <w:rPr>
                <w:rFonts w:hint="eastAsia" w:ascii="宋体" w:hAnsi="宋体" w:eastAsia="宋体" w:cs="宋体"/>
                <w:szCs w:val="21"/>
              </w:rPr>
              <w:t> (应按采购合同、采购文件、投标响应文件及验收方案等进行验收；并核对中标或成交供应商在安装调试等方面是否违反合同约定或服务规范要求、提供的质量保证证明材料是否齐全、应有的配件及附件是否达到合同约定等。可附件)</w:t>
            </w:r>
          </w:p>
        </w:tc>
      </w:tr>
      <w:tr w14:paraId="05CE57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5" w:hRule="atLeast"/>
          <w:jc w:val="center"/>
        </w:trPr>
        <w:tc>
          <w:tcPr>
            <w:tcW w:w="1336" w:type="dxa"/>
            <w:gridSpan w:val="2"/>
            <w:vMerge w:val="restart"/>
            <w:tcMar>
              <w:top w:w="0" w:type="dxa"/>
              <w:left w:w="108" w:type="dxa"/>
              <w:bottom w:w="0" w:type="dxa"/>
              <w:right w:w="108" w:type="dxa"/>
            </w:tcMar>
            <w:vAlign w:val="center"/>
          </w:tcPr>
          <w:p w14:paraId="47935577">
            <w:pPr>
              <w:ind w:firstLine="422"/>
              <w:rPr>
                <w:rFonts w:hint="eastAsia" w:ascii="宋体" w:hAnsi="宋体" w:eastAsia="宋体" w:cs="宋体"/>
                <w:szCs w:val="21"/>
              </w:rPr>
            </w:pPr>
            <w:r>
              <w:rPr>
                <w:rFonts w:hint="eastAsia" w:ascii="宋体" w:hAnsi="宋体" w:eastAsia="宋体" w:cs="宋体"/>
                <w:szCs w:val="21"/>
              </w:rPr>
              <w:t>验收小组意见</w:t>
            </w:r>
          </w:p>
        </w:tc>
        <w:tc>
          <w:tcPr>
            <w:tcW w:w="8111" w:type="dxa"/>
            <w:gridSpan w:val="7"/>
            <w:tcBorders>
              <w:bottom w:val="single" w:color="auto" w:sz="4" w:space="0"/>
            </w:tcBorders>
            <w:vAlign w:val="center"/>
          </w:tcPr>
          <w:p w14:paraId="7A4282BB">
            <w:pPr>
              <w:ind w:firstLine="422"/>
              <w:rPr>
                <w:rFonts w:hint="eastAsia" w:ascii="宋体" w:hAnsi="宋体" w:eastAsia="宋体" w:cs="宋体"/>
                <w:szCs w:val="21"/>
              </w:rPr>
            </w:pPr>
            <w:r>
              <w:rPr>
                <w:rFonts w:hint="eastAsia" w:ascii="宋体" w:hAnsi="宋体" w:eastAsia="宋体" w:cs="宋体"/>
                <w:szCs w:val="21"/>
              </w:rPr>
              <w:t>验收结论性意见：</w:t>
            </w:r>
          </w:p>
          <w:p w14:paraId="649E2B3B">
            <w:pPr>
              <w:ind w:firstLine="422"/>
              <w:rPr>
                <w:rFonts w:hint="eastAsia" w:ascii="宋体" w:hAnsi="宋体" w:eastAsia="宋体" w:cs="宋体"/>
                <w:szCs w:val="21"/>
              </w:rPr>
            </w:pPr>
          </w:p>
          <w:p w14:paraId="22ED5478">
            <w:pPr>
              <w:ind w:firstLine="422"/>
              <w:rPr>
                <w:rFonts w:hint="eastAsia" w:ascii="宋体" w:hAnsi="宋体" w:eastAsia="宋体" w:cs="宋体"/>
                <w:szCs w:val="21"/>
              </w:rPr>
            </w:pPr>
          </w:p>
        </w:tc>
      </w:tr>
      <w:tr w14:paraId="4F20C7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8" w:hRule="atLeast"/>
          <w:jc w:val="center"/>
        </w:trPr>
        <w:tc>
          <w:tcPr>
            <w:tcW w:w="1336" w:type="dxa"/>
            <w:gridSpan w:val="2"/>
            <w:vMerge w:val="continue"/>
            <w:tcMar>
              <w:top w:w="0" w:type="dxa"/>
              <w:left w:w="108" w:type="dxa"/>
              <w:bottom w:w="0" w:type="dxa"/>
              <w:right w:w="108" w:type="dxa"/>
            </w:tcMar>
            <w:vAlign w:val="center"/>
          </w:tcPr>
          <w:p w14:paraId="580D6BB6">
            <w:pPr>
              <w:ind w:firstLine="422"/>
              <w:rPr>
                <w:rFonts w:hint="eastAsia" w:ascii="宋体" w:hAnsi="宋体" w:eastAsia="宋体" w:cs="宋体"/>
                <w:szCs w:val="21"/>
              </w:rPr>
            </w:pPr>
          </w:p>
        </w:tc>
        <w:tc>
          <w:tcPr>
            <w:tcW w:w="8111" w:type="dxa"/>
            <w:gridSpan w:val="7"/>
            <w:tcBorders>
              <w:top w:val="single" w:color="auto" w:sz="4" w:space="0"/>
            </w:tcBorders>
            <w:vAlign w:val="center"/>
          </w:tcPr>
          <w:p w14:paraId="15EA0853">
            <w:pPr>
              <w:ind w:firstLine="422"/>
              <w:rPr>
                <w:rFonts w:hint="eastAsia" w:ascii="宋体" w:hAnsi="宋体" w:eastAsia="宋体" w:cs="宋体"/>
                <w:szCs w:val="21"/>
              </w:rPr>
            </w:pPr>
            <w:r>
              <w:rPr>
                <w:rFonts w:hint="eastAsia" w:ascii="宋体" w:hAnsi="宋体" w:eastAsia="宋体" w:cs="宋体"/>
                <w:szCs w:val="21"/>
              </w:rPr>
              <w:t>有异议的意见和说明理由：</w:t>
            </w:r>
          </w:p>
          <w:p w14:paraId="4E4E1E82">
            <w:pPr>
              <w:ind w:firstLine="422"/>
              <w:rPr>
                <w:rFonts w:hint="eastAsia" w:ascii="宋体" w:hAnsi="宋体" w:eastAsia="宋体" w:cs="宋体"/>
                <w:szCs w:val="21"/>
              </w:rPr>
            </w:pPr>
          </w:p>
          <w:p w14:paraId="25F55092">
            <w:pPr>
              <w:ind w:firstLine="422"/>
              <w:rPr>
                <w:rFonts w:hint="eastAsia" w:ascii="宋体" w:hAnsi="宋体" w:eastAsia="宋体" w:cs="宋体"/>
                <w:szCs w:val="21"/>
              </w:rPr>
            </w:pPr>
          </w:p>
        </w:tc>
      </w:tr>
      <w:tr w14:paraId="57AD95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2" w:hRule="atLeast"/>
          <w:jc w:val="center"/>
        </w:trPr>
        <w:tc>
          <w:tcPr>
            <w:tcW w:w="9447" w:type="dxa"/>
            <w:gridSpan w:val="9"/>
            <w:tcMar>
              <w:top w:w="0" w:type="dxa"/>
              <w:left w:w="108" w:type="dxa"/>
              <w:bottom w:w="0" w:type="dxa"/>
              <w:right w:w="108" w:type="dxa"/>
            </w:tcMar>
            <w:vAlign w:val="center"/>
          </w:tcPr>
          <w:p w14:paraId="379B30D8">
            <w:pPr>
              <w:ind w:firstLine="422"/>
              <w:rPr>
                <w:rFonts w:hint="eastAsia" w:ascii="宋体" w:hAnsi="宋体" w:eastAsia="宋体" w:cs="宋体"/>
                <w:szCs w:val="21"/>
              </w:rPr>
            </w:pPr>
            <w:r>
              <w:rPr>
                <w:rFonts w:hint="eastAsia" w:ascii="宋体" w:hAnsi="宋体" w:eastAsia="宋体" w:cs="宋体"/>
                <w:szCs w:val="21"/>
              </w:rPr>
              <w:t>验收小组成员签字：</w:t>
            </w:r>
          </w:p>
        </w:tc>
      </w:tr>
      <w:tr w14:paraId="39F721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0" w:hRule="atLeast"/>
          <w:jc w:val="center"/>
        </w:trPr>
        <w:tc>
          <w:tcPr>
            <w:tcW w:w="9447" w:type="dxa"/>
            <w:gridSpan w:val="9"/>
            <w:tcMar>
              <w:top w:w="0" w:type="dxa"/>
              <w:left w:w="108" w:type="dxa"/>
              <w:bottom w:w="0" w:type="dxa"/>
              <w:right w:w="108" w:type="dxa"/>
            </w:tcMar>
            <w:vAlign w:val="center"/>
          </w:tcPr>
          <w:p w14:paraId="393ED17B">
            <w:pPr>
              <w:ind w:firstLine="422"/>
              <w:rPr>
                <w:rFonts w:hint="eastAsia" w:ascii="宋体" w:hAnsi="宋体" w:eastAsia="宋体" w:cs="宋体"/>
                <w:szCs w:val="21"/>
              </w:rPr>
            </w:pPr>
            <w:r>
              <w:rPr>
                <w:rFonts w:hint="eastAsia" w:ascii="宋体" w:hAnsi="宋体" w:eastAsia="宋体" w:cs="宋体"/>
                <w:szCs w:val="21"/>
              </w:rPr>
              <w:t>参与验收其他或监督人员签字：</w:t>
            </w:r>
          </w:p>
        </w:tc>
      </w:tr>
      <w:tr w14:paraId="563F68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84" w:hRule="atLeast"/>
          <w:jc w:val="center"/>
        </w:trPr>
        <w:tc>
          <w:tcPr>
            <w:tcW w:w="4575" w:type="dxa"/>
            <w:gridSpan w:val="4"/>
            <w:tcMar>
              <w:top w:w="0" w:type="dxa"/>
              <w:left w:w="108" w:type="dxa"/>
              <w:bottom w:w="0" w:type="dxa"/>
              <w:right w:w="108" w:type="dxa"/>
            </w:tcMar>
            <w:vAlign w:val="center"/>
          </w:tcPr>
          <w:p w14:paraId="58DC093C">
            <w:pPr>
              <w:ind w:firstLine="422"/>
              <w:rPr>
                <w:rFonts w:hint="eastAsia" w:ascii="宋体" w:hAnsi="宋体" w:eastAsia="宋体" w:cs="宋体"/>
                <w:szCs w:val="21"/>
              </w:rPr>
            </w:pPr>
            <w:r>
              <w:rPr>
                <w:rFonts w:hint="eastAsia" w:ascii="宋体" w:hAnsi="宋体" w:eastAsia="宋体" w:cs="宋体"/>
                <w:szCs w:val="21"/>
              </w:rPr>
              <w:t>中标（或成交）供应商签字或盖章：</w:t>
            </w:r>
          </w:p>
          <w:p w14:paraId="0C5B21BC">
            <w:pPr>
              <w:ind w:firstLine="422"/>
              <w:rPr>
                <w:rFonts w:hint="eastAsia" w:ascii="宋体" w:hAnsi="宋体" w:eastAsia="宋体" w:cs="宋体"/>
                <w:szCs w:val="21"/>
              </w:rPr>
            </w:pPr>
          </w:p>
          <w:p w14:paraId="1F29E218">
            <w:pPr>
              <w:ind w:firstLine="422"/>
              <w:rPr>
                <w:rFonts w:hint="eastAsia" w:ascii="宋体" w:hAnsi="宋体" w:eastAsia="宋体" w:cs="宋体"/>
                <w:szCs w:val="21"/>
              </w:rPr>
            </w:pPr>
            <w:r>
              <w:rPr>
                <w:rFonts w:hint="eastAsia" w:ascii="宋体" w:hAnsi="宋体" w:eastAsia="宋体" w:cs="宋体"/>
                <w:szCs w:val="21"/>
              </w:rPr>
              <w:t>联系电话：</w:t>
            </w:r>
          </w:p>
          <w:p w14:paraId="24D3806C">
            <w:pPr>
              <w:ind w:firstLine="422"/>
              <w:rPr>
                <w:rFonts w:hint="eastAsia" w:ascii="宋体" w:hAnsi="宋体" w:eastAsia="宋体" w:cs="宋体"/>
                <w:szCs w:val="21"/>
              </w:rPr>
            </w:pPr>
          </w:p>
          <w:p w14:paraId="60F27092">
            <w:pPr>
              <w:ind w:firstLine="422"/>
              <w:rPr>
                <w:rFonts w:hint="eastAsia" w:ascii="宋体" w:hAnsi="宋体" w:eastAsia="宋体" w:cs="宋体"/>
                <w:szCs w:val="21"/>
              </w:rPr>
            </w:pPr>
            <w:r>
              <w:rPr>
                <w:rFonts w:hint="eastAsia" w:ascii="宋体" w:hAnsi="宋体" w:eastAsia="宋体" w:cs="宋体"/>
                <w:szCs w:val="21"/>
              </w:rPr>
              <w:t>                            年  月   日</w:t>
            </w:r>
          </w:p>
        </w:tc>
        <w:tc>
          <w:tcPr>
            <w:tcW w:w="4872" w:type="dxa"/>
            <w:gridSpan w:val="5"/>
            <w:vAlign w:val="center"/>
          </w:tcPr>
          <w:p w14:paraId="4FD579DD">
            <w:pPr>
              <w:ind w:firstLine="422"/>
              <w:rPr>
                <w:rFonts w:hint="eastAsia" w:ascii="宋体" w:hAnsi="宋体" w:eastAsia="宋体" w:cs="宋体"/>
                <w:szCs w:val="21"/>
              </w:rPr>
            </w:pPr>
            <w:r>
              <w:rPr>
                <w:rFonts w:hint="eastAsia" w:ascii="宋体" w:hAnsi="宋体" w:eastAsia="宋体" w:cs="宋体"/>
                <w:szCs w:val="21"/>
              </w:rPr>
              <w:t>采购人的意见（盖章）：</w:t>
            </w:r>
          </w:p>
          <w:p w14:paraId="4BB0F18B">
            <w:pPr>
              <w:ind w:firstLine="422"/>
              <w:rPr>
                <w:rFonts w:hint="eastAsia" w:ascii="宋体" w:hAnsi="宋体" w:eastAsia="宋体" w:cs="宋体"/>
                <w:szCs w:val="21"/>
              </w:rPr>
            </w:pPr>
          </w:p>
          <w:p w14:paraId="5E2F4EAA">
            <w:pPr>
              <w:ind w:firstLine="422"/>
              <w:rPr>
                <w:rFonts w:hint="eastAsia" w:ascii="宋体" w:hAnsi="宋体" w:eastAsia="宋体" w:cs="宋体"/>
                <w:szCs w:val="21"/>
              </w:rPr>
            </w:pPr>
            <w:r>
              <w:rPr>
                <w:rFonts w:hint="eastAsia" w:ascii="宋体" w:hAnsi="宋体" w:eastAsia="宋体" w:cs="宋体"/>
                <w:szCs w:val="21"/>
              </w:rPr>
              <w:t>联系电话：</w:t>
            </w:r>
          </w:p>
          <w:p w14:paraId="57E9C28C">
            <w:pPr>
              <w:ind w:firstLine="422"/>
              <w:rPr>
                <w:rFonts w:hint="eastAsia" w:ascii="宋体" w:hAnsi="宋体" w:eastAsia="宋体" w:cs="宋体"/>
                <w:szCs w:val="21"/>
              </w:rPr>
            </w:pPr>
          </w:p>
          <w:p w14:paraId="3DD95930">
            <w:pPr>
              <w:ind w:firstLine="422"/>
              <w:rPr>
                <w:rFonts w:hint="eastAsia" w:ascii="宋体" w:hAnsi="宋体" w:eastAsia="宋体" w:cs="宋体"/>
                <w:szCs w:val="21"/>
              </w:rPr>
            </w:pPr>
            <w:r>
              <w:rPr>
                <w:rFonts w:hint="eastAsia" w:ascii="宋体" w:hAnsi="宋体" w:eastAsia="宋体" w:cs="宋体"/>
                <w:szCs w:val="21"/>
              </w:rPr>
              <w:t xml:space="preserve">   年  月   日</w:t>
            </w:r>
          </w:p>
        </w:tc>
      </w:tr>
    </w:tbl>
    <w:p w14:paraId="599C671C">
      <w:pPr>
        <w:widowControl/>
        <w:ind w:firstLine="210" w:firstLineChars="100"/>
        <w:jc w:val="left"/>
        <w:rPr>
          <w:rFonts w:hint="eastAsia" w:ascii="宋体" w:hAnsi="宋体" w:eastAsia="宋体" w:cs="宋体"/>
          <w:kern w:val="0"/>
          <w:szCs w:val="21"/>
        </w:rPr>
        <w:sectPr>
          <w:pgSz w:w="11906" w:h="16838"/>
          <w:pgMar w:top="1440" w:right="1080" w:bottom="1440" w:left="1080" w:header="720" w:footer="720" w:gutter="0"/>
          <w:cols w:space="720" w:num="1"/>
          <w:docGrid w:type="lines" w:linePitch="312" w:charSpace="0"/>
        </w:sectPr>
      </w:pPr>
      <w:r>
        <w:rPr>
          <w:rFonts w:hint="eastAsia" w:ascii="宋体" w:hAnsi="宋体" w:eastAsia="宋体" w:cs="宋体"/>
          <w:kern w:val="0"/>
          <w:szCs w:val="21"/>
        </w:rPr>
        <w:t>备注：本报告单一式三份（采购人1份、中标人1份、采购代理机构1份）</w:t>
      </w:r>
    </w:p>
    <w:p w14:paraId="602C797B">
      <w:pPr>
        <w:ind w:firstLine="422"/>
        <w:jc w:val="left"/>
        <w:rPr>
          <w:rFonts w:hint="eastAsia" w:ascii="宋体" w:hAnsi="宋体" w:eastAsia="宋体" w:cs="宋体"/>
          <w:sz w:val="32"/>
          <w:szCs w:val="32"/>
        </w:rPr>
      </w:pPr>
      <w:r>
        <w:rPr>
          <w:rFonts w:hint="eastAsia" w:ascii="宋体" w:hAnsi="宋体" w:eastAsia="宋体" w:cs="宋体"/>
          <w:szCs w:val="20"/>
        </w:rPr>
        <w:t xml:space="preserve">  </w:t>
      </w:r>
      <w:r>
        <w:rPr>
          <w:rFonts w:hint="eastAsia" w:ascii="宋体" w:hAnsi="宋体" w:eastAsia="宋体" w:cs="宋体"/>
          <w:sz w:val="32"/>
          <w:szCs w:val="32"/>
        </w:rPr>
        <w:t>附件3：</w:t>
      </w:r>
    </w:p>
    <w:p w14:paraId="253D5B7F">
      <w:pPr>
        <w:ind w:firstLine="643"/>
        <w:jc w:val="center"/>
        <w:rPr>
          <w:rFonts w:hint="eastAsia" w:ascii="宋体" w:hAnsi="宋体" w:eastAsia="宋体" w:cs="宋体"/>
          <w:b/>
          <w:bCs/>
          <w:sz w:val="32"/>
          <w:szCs w:val="32"/>
        </w:rPr>
      </w:pPr>
      <w:r>
        <w:rPr>
          <w:rFonts w:hint="eastAsia" w:ascii="宋体" w:hAnsi="宋体" w:eastAsia="宋体" w:cs="宋体"/>
          <w:b/>
          <w:bCs/>
          <w:sz w:val="32"/>
          <w:szCs w:val="32"/>
        </w:rPr>
        <w:t>中小微企业划型标准</w:t>
      </w:r>
    </w:p>
    <w:tbl>
      <w:tblPr>
        <w:tblStyle w:val="52"/>
        <w:tblW w:w="0" w:type="auto"/>
        <w:jc w:val="center"/>
        <w:tblLayout w:type="fixed"/>
        <w:tblCellMar>
          <w:top w:w="0" w:type="dxa"/>
          <w:left w:w="108" w:type="dxa"/>
          <w:bottom w:w="0" w:type="dxa"/>
          <w:right w:w="108" w:type="dxa"/>
        </w:tblCellMar>
      </w:tblPr>
      <w:tblGrid>
        <w:gridCol w:w="2474"/>
        <w:gridCol w:w="1403"/>
        <w:gridCol w:w="926"/>
        <w:gridCol w:w="1643"/>
        <w:gridCol w:w="1460"/>
        <w:gridCol w:w="1347"/>
      </w:tblGrid>
      <w:tr w14:paraId="4F70C4A4">
        <w:tblPrEx>
          <w:tblCellMar>
            <w:top w:w="0" w:type="dxa"/>
            <w:left w:w="108" w:type="dxa"/>
            <w:bottom w:w="0" w:type="dxa"/>
            <w:right w:w="108" w:type="dxa"/>
          </w:tblCellMar>
        </w:tblPrEx>
        <w:trPr>
          <w:trHeight w:val="776" w:hRule="atLeast"/>
          <w:jc w:val="center"/>
        </w:trPr>
        <w:tc>
          <w:tcPr>
            <w:tcW w:w="2474" w:type="dxa"/>
            <w:tcBorders>
              <w:top w:val="single" w:color="auto" w:sz="4" w:space="0"/>
              <w:left w:val="single" w:color="auto" w:sz="4" w:space="0"/>
              <w:bottom w:val="single" w:color="auto" w:sz="4" w:space="0"/>
              <w:right w:val="single" w:color="auto" w:sz="4" w:space="0"/>
            </w:tcBorders>
            <w:vAlign w:val="center"/>
          </w:tcPr>
          <w:p w14:paraId="3DEBDB9F">
            <w:pPr>
              <w:widowControl/>
              <w:ind w:firstLine="482"/>
              <w:jc w:val="center"/>
              <w:rPr>
                <w:rFonts w:hint="eastAsia" w:ascii="宋体" w:hAnsi="宋体" w:eastAsia="宋体" w:cs="宋体"/>
                <w:b/>
                <w:kern w:val="0"/>
                <w:sz w:val="24"/>
              </w:rPr>
            </w:pPr>
            <w:r>
              <w:rPr>
                <w:rFonts w:hint="eastAsia" w:ascii="宋体" w:hAnsi="宋体" w:eastAsia="宋体" w:cs="宋体"/>
                <w:b/>
                <w:kern w:val="0"/>
                <w:sz w:val="24"/>
              </w:rPr>
              <w:t>行业名称</w:t>
            </w:r>
          </w:p>
        </w:tc>
        <w:tc>
          <w:tcPr>
            <w:tcW w:w="1403" w:type="dxa"/>
            <w:tcBorders>
              <w:top w:val="single" w:color="auto" w:sz="4" w:space="0"/>
              <w:left w:val="nil"/>
              <w:bottom w:val="single" w:color="auto" w:sz="4" w:space="0"/>
              <w:right w:val="single" w:color="auto" w:sz="4" w:space="0"/>
            </w:tcBorders>
            <w:vAlign w:val="center"/>
          </w:tcPr>
          <w:p w14:paraId="1C553D5A">
            <w:pPr>
              <w:widowControl/>
              <w:ind w:firstLine="482"/>
              <w:jc w:val="center"/>
              <w:rPr>
                <w:rFonts w:hint="eastAsia" w:ascii="宋体" w:hAnsi="宋体" w:eastAsia="宋体" w:cs="宋体"/>
                <w:b/>
                <w:kern w:val="0"/>
                <w:sz w:val="24"/>
              </w:rPr>
            </w:pPr>
            <w:r>
              <w:rPr>
                <w:rFonts w:hint="eastAsia" w:ascii="宋体" w:hAnsi="宋体" w:eastAsia="宋体" w:cs="宋体"/>
                <w:b/>
                <w:kern w:val="0"/>
                <w:sz w:val="24"/>
              </w:rPr>
              <w:t>指标名称</w:t>
            </w:r>
          </w:p>
        </w:tc>
        <w:tc>
          <w:tcPr>
            <w:tcW w:w="926" w:type="dxa"/>
            <w:tcBorders>
              <w:top w:val="single" w:color="auto" w:sz="4" w:space="0"/>
              <w:left w:val="nil"/>
              <w:bottom w:val="single" w:color="auto" w:sz="4" w:space="0"/>
              <w:right w:val="single" w:color="auto" w:sz="4" w:space="0"/>
            </w:tcBorders>
            <w:vAlign w:val="center"/>
          </w:tcPr>
          <w:p w14:paraId="0D1F7054">
            <w:pPr>
              <w:widowControl/>
              <w:ind w:firstLine="482"/>
              <w:jc w:val="center"/>
              <w:rPr>
                <w:rFonts w:hint="eastAsia" w:ascii="宋体" w:hAnsi="宋体" w:eastAsia="宋体" w:cs="宋体"/>
                <w:b/>
                <w:kern w:val="0"/>
                <w:sz w:val="24"/>
              </w:rPr>
            </w:pPr>
            <w:r>
              <w:rPr>
                <w:rFonts w:hint="eastAsia" w:ascii="宋体" w:hAnsi="宋体" w:eastAsia="宋体" w:cs="宋体"/>
                <w:b/>
                <w:kern w:val="0"/>
                <w:sz w:val="24"/>
              </w:rPr>
              <w:t>计量单位</w:t>
            </w:r>
          </w:p>
        </w:tc>
        <w:tc>
          <w:tcPr>
            <w:tcW w:w="1643" w:type="dxa"/>
            <w:tcBorders>
              <w:top w:val="single" w:color="auto" w:sz="4" w:space="0"/>
              <w:left w:val="nil"/>
              <w:bottom w:val="single" w:color="auto" w:sz="4" w:space="0"/>
              <w:right w:val="single" w:color="auto" w:sz="4" w:space="0"/>
            </w:tcBorders>
            <w:vAlign w:val="center"/>
          </w:tcPr>
          <w:p w14:paraId="0A24F6B3">
            <w:pPr>
              <w:widowControl/>
              <w:ind w:firstLine="482"/>
              <w:jc w:val="center"/>
              <w:rPr>
                <w:rFonts w:hint="eastAsia" w:ascii="宋体" w:hAnsi="宋体" w:eastAsia="宋体" w:cs="宋体"/>
                <w:b/>
                <w:kern w:val="0"/>
                <w:sz w:val="24"/>
              </w:rPr>
            </w:pPr>
            <w:r>
              <w:rPr>
                <w:rFonts w:hint="eastAsia" w:ascii="宋体" w:hAnsi="宋体" w:eastAsia="宋体" w:cs="宋体"/>
                <w:b/>
                <w:kern w:val="0"/>
                <w:sz w:val="24"/>
              </w:rPr>
              <w:t>中型</w:t>
            </w:r>
          </w:p>
        </w:tc>
        <w:tc>
          <w:tcPr>
            <w:tcW w:w="1460" w:type="dxa"/>
            <w:tcBorders>
              <w:top w:val="single" w:color="auto" w:sz="4" w:space="0"/>
              <w:left w:val="nil"/>
              <w:bottom w:val="single" w:color="auto" w:sz="4" w:space="0"/>
              <w:right w:val="single" w:color="auto" w:sz="4" w:space="0"/>
            </w:tcBorders>
            <w:vAlign w:val="center"/>
          </w:tcPr>
          <w:p w14:paraId="4718DCA3">
            <w:pPr>
              <w:widowControl/>
              <w:ind w:firstLine="482"/>
              <w:jc w:val="center"/>
              <w:rPr>
                <w:rFonts w:hint="eastAsia" w:ascii="宋体" w:hAnsi="宋体" w:eastAsia="宋体" w:cs="宋体"/>
                <w:b/>
                <w:kern w:val="0"/>
                <w:sz w:val="24"/>
              </w:rPr>
            </w:pPr>
            <w:r>
              <w:rPr>
                <w:rFonts w:hint="eastAsia" w:ascii="宋体" w:hAnsi="宋体" w:eastAsia="宋体" w:cs="宋体"/>
                <w:b/>
                <w:kern w:val="0"/>
                <w:sz w:val="24"/>
              </w:rPr>
              <w:t>小型</w:t>
            </w:r>
          </w:p>
        </w:tc>
        <w:tc>
          <w:tcPr>
            <w:tcW w:w="1347" w:type="dxa"/>
            <w:tcBorders>
              <w:top w:val="single" w:color="auto" w:sz="4" w:space="0"/>
              <w:left w:val="nil"/>
              <w:bottom w:val="single" w:color="auto" w:sz="4" w:space="0"/>
              <w:right w:val="single" w:color="auto" w:sz="4" w:space="0"/>
            </w:tcBorders>
            <w:vAlign w:val="center"/>
          </w:tcPr>
          <w:p w14:paraId="1FD5281E">
            <w:pPr>
              <w:widowControl/>
              <w:ind w:firstLine="482"/>
              <w:jc w:val="center"/>
              <w:rPr>
                <w:rFonts w:hint="eastAsia" w:ascii="宋体" w:hAnsi="宋体" w:eastAsia="宋体" w:cs="宋体"/>
                <w:b/>
                <w:kern w:val="0"/>
                <w:sz w:val="24"/>
              </w:rPr>
            </w:pPr>
            <w:r>
              <w:rPr>
                <w:rFonts w:hint="eastAsia" w:ascii="宋体" w:hAnsi="宋体" w:eastAsia="宋体" w:cs="宋体"/>
                <w:b/>
                <w:kern w:val="0"/>
                <w:sz w:val="24"/>
              </w:rPr>
              <w:t>微型</w:t>
            </w:r>
          </w:p>
        </w:tc>
      </w:tr>
      <w:tr w14:paraId="6316A1E5">
        <w:tblPrEx>
          <w:tblCellMar>
            <w:top w:w="0" w:type="dxa"/>
            <w:left w:w="108" w:type="dxa"/>
            <w:bottom w:w="0" w:type="dxa"/>
            <w:right w:w="108" w:type="dxa"/>
          </w:tblCellMar>
        </w:tblPrEx>
        <w:trPr>
          <w:trHeight w:val="462" w:hRule="atLeast"/>
          <w:jc w:val="center"/>
        </w:trPr>
        <w:tc>
          <w:tcPr>
            <w:tcW w:w="2474" w:type="dxa"/>
            <w:tcBorders>
              <w:top w:val="nil"/>
              <w:left w:val="single" w:color="auto" w:sz="4" w:space="0"/>
              <w:bottom w:val="single" w:color="auto" w:sz="4" w:space="0"/>
              <w:right w:val="single" w:color="auto" w:sz="4" w:space="0"/>
            </w:tcBorders>
            <w:vAlign w:val="center"/>
          </w:tcPr>
          <w:p w14:paraId="343494D5">
            <w:pPr>
              <w:widowControl/>
              <w:ind w:firstLine="361"/>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农、林、牧、渔</w:t>
            </w:r>
          </w:p>
        </w:tc>
        <w:tc>
          <w:tcPr>
            <w:tcW w:w="1403" w:type="dxa"/>
            <w:tcBorders>
              <w:top w:val="nil"/>
              <w:left w:val="nil"/>
              <w:bottom w:val="single" w:color="auto" w:sz="4" w:space="0"/>
              <w:right w:val="single" w:color="auto" w:sz="4" w:space="0"/>
            </w:tcBorders>
            <w:vAlign w:val="center"/>
          </w:tcPr>
          <w:p w14:paraId="603E6D45">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926" w:type="dxa"/>
            <w:tcBorders>
              <w:top w:val="nil"/>
              <w:left w:val="nil"/>
              <w:bottom w:val="single" w:color="auto" w:sz="4" w:space="0"/>
              <w:right w:val="single" w:color="auto" w:sz="4" w:space="0"/>
            </w:tcBorders>
            <w:vAlign w:val="center"/>
          </w:tcPr>
          <w:p w14:paraId="55F2CB41">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643" w:type="dxa"/>
            <w:tcBorders>
              <w:top w:val="nil"/>
              <w:left w:val="nil"/>
              <w:bottom w:val="single" w:color="auto" w:sz="4" w:space="0"/>
              <w:right w:val="single" w:color="auto" w:sz="4" w:space="0"/>
            </w:tcBorders>
            <w:vAlign w:val="center"/>
          </w:tcPr>
          <w:p w14:paraId="5E6C58A0">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500≤Y＜20000</w:t>
            </w:r>
          </w:p>
        </w:tc>
        <w:tc>
          <w:tcPr>
            <w:tcW w:w="1460" w:type="dxa"/>
            <w:tcBorders>
              <w:top w:val="nil"/>
              <w:left w:val="nil"/>
              <w:bottom w:val="single" w:color="auto" w:sz="4" w:space="0"/>
              <w:right w:val="single" w:color="auto" w:sz="4" w:space="0"/>
            </w:tcBorders>
            <w:vAlign w:val="center"/>
          </w:tcPr>
          <w:p w14:paraId="7D90CE0F">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50≤Y＜500</w:t>
            </w:r>
          </w:p>
        </w:tc>
        <w:tc>
          <w:tcPr>
            <w:tcW w:w="1347" w:type="dxa"/>
            <w:tcBorders>
              <w:top w:val="nil"/>
              <w:left w:val="nil"/>
              <w:bottom w:val="single" w:color="auto" w:sz="4" w:space="0"/>
              <w:right w:val="single" w:color="auto" w:sz="4" w:space="0"/>
            </w:tcBorders>
            <w:vAlign w:val="center"/>
          </w:tcPr>
          <w:p w14:paraId="373E10C8">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Y＜50</w:t>
            </w:r>
          </w:p>
        </w:tc>
      </w:tr>
      <w:tr w14:paraId="3B9422CF">
        <w:tblPrEx>
          <w:tblCellMar>
            <w:top w:w="0" w:type="dxa"/>
            <w:left w:w="108" w:type="dxa"/>
            <w:bottom w:w="0" w:type="dxa"/>
            <w:right w:w="108" w:type="dxa"/>
          </w:tblCellMar>
        </w:tblPrEx>
        <w:trPr>
          <w:trHeight w:val="298" w:hRule="atLeast"/>
          <w:jc w:val="center"/>
        </w:trPr>
        <w:tc>
          <w:tcPr>
            <w:tcW w:w="2474" w:type="dxa"/>
            <w:vMerge w:val="restart"/>
            <w:tcBorders>
              <w:top w:val="nil"/>
              <w:left w:val="single" w:color="auto" w:sz="4" w:space="0"/>
              <w:bottom w:val="single" w:color="auto" w:sz="4" w:space="0"/>
              <w:right w:val="single" w:color="auto" w:sz="4" w:space="0"/>
            </w:tcBorders>
            <w:vAlign w:val="center"/>
          </w:tcPr>
          <w:p w14:paraId="764DB4D7">
            <w:pPr>
              <w:widowControl/>
              <w:ind w:firstLine="361"/>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工业</w:t>
            </w:r>
          </w:p>
        </w:tc>
        <w:tc>
          <w:tcPr>
            <w:tcW w:w="1403" w:type="dxa"/>
            <w:tcBorders>
              <w:top w:val="nil"/>
              <w:left w:val="nil"/>
              <w:bottom w:val="single" w:color="auto" w:sz="4" w:space="0"/>
              <w:right w:val="single" w:color="auto" w:sz="4" w:space="0"/>
            </w:tcBorders>
            <w:vAlign w:val="center"/>
          </w:tcPr>
          <w:p w14:paraId="1E1F9677">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926" w:type="dxa"/>
            <w:tcBorders>
              <w:top w:val="nil"/>
              <w:left w:val="nil"/>
              <w:bottom w:val="single" w:color="auto" w:sz="4" w:space="0"/>
              <w:right w:val="single" w:color="auto" w:sz="4" w:space="0"/>
            </w:tcBorders>
            <w:vAlign w:val="center"/>
          </w:tcPr>
          <w:p w14:paraId="3CDC1E89">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643" w:type="dxa"/>
            <w:tcBorders>
              <w:top w:val="nil"/>
              <w:left w:val="nil"/>
              <w:bottom w:val="single" w:color="auto" w:sz="4" w:space="0"/>
              <w:right w:val="single" w:color="auto" w:sz="4" w:space="0"/>
            </w:tcBorders>
            <w:vAlign w:val="center"/>
          </w:tcPr>
          <w:p w14:paraId="638C364C">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300≤X＜1000</w:t>
            </w:r>
          </w:p>
        </w:tc>
        <w:tc>
          <w:tcPr>
            <w:tcW w:w="1460" w:type="dxa"/>
            <w:tcBorders>
              <w:top w:val="nil"/>
              <w:left w:val="nil"/>
              <w:bottom w:val="single" w:color="auto" w:sz="4" w:space="0"/>
              <w:right w:val="single" w:color="auto" w:sz="4" w:space="0"/>
            </w:tcBorders>
            <w:vAlign w:val="center"/>
          </w:tcPr>
          <w:p w14:paraId="150BFB39">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20≤X＜300</w:t>
            </w:r>
          </w:p>
        </w:tc>
        <w:tc>
          <w:tcPr>
            <w:tcW w:w="1347" w:type="dxa"/>
            <w:tcBorders>
              <w:top w:val="nil"/>
              <w:left w:val="nil"/>
              <w:bottom w:val="single" w:color="auto" w:sz="4" w:space="0"/>
              <w:right w:val="single" w:color="auto" w:sz="4" w:space="0"/>
            </w:tcBorders>
            <w:vAlign w:val="center"/>
          </w:tcPr>
          <w:p w14:paraId="07B1659E">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X＜20</w:t>
            </w:r>
          </w:p>
        </w:tc>
      </w:tr>
      <w:tr w14:paraId="09090DD0">
        <w:tblPrEx>
          <w:tblCellMar>
            <w:top w:w="0" w:type="dxa"/>
            <w:left w:w="108" w:type="dxa"/>
            <w:bottom w:w="0" w:type="dxa"/>
            <w:right w:w="108" w:type="dxa"/>
          </w:tblCellMar>
        </w:tblPrEx>
        <w:trPr>
          <w:trHeight w:val="298" w:hRule="atLeast"/>
          <w:jc w:val="center"/>
        </w:trPr>
        <w:tc>
          <w:tcPr>
            <w:tcW w:w="2474" w:type="dxa"/>
            <w:vMerge w:val="continue"/>
            <w:tcBorders>
              <w:top w:val="nil"/>
              <w:left w:val="single" w:color="auto" w:sz="4" w:space="0"/>
              <w:bottom w:val="single" w:color="auto" w:sz="4" w:space="0"/>
              <w:right w:val="single" w:color="auto" w:sz="4" w:space="0"/>
            </w:tcBorders>
            <w:vAlign w:val="center"/>
          </w:tcPr>
          <w:p w14:paraId="3D0832D2">
            <w:pPr>
              <w:widowControl/>
              <w:ind w:firstLine="360"/>
              <w:jc w:val="center"/>
              <w:rPr>
                <w:rFonts w:hint="eastAsia" w:ascii="宋体" w:hAnsi="宋体" w:eastAsia="宋体" w:cs="宋体"/>
                <w:b/>
                <w:bCs/>
                <w:kern w:val="0"/>
                <w:sz w:val="18"/>
                <w:szCs w:val="18"/>
              </w:rPr>
            </w:pPr>
          </w:p>
        </w:tc>
        <w:tc>
          <w:tcPr>
            <w:tcW w:w="1403" w:type="dxa"/>
            <w:tcBorders>
              <w:top w:val="nil"/>
              <w:left w:val="nil"/>
              <w:bottom w:val="single" w:color="auto" w:sz="4" w:space="0"/>
              <w:right w:val="single" w:color="auto" w:sz="4" w:space="0"/>
            </w:tcBorders>
            <w:vAlign w:val="center"/>
          </w:tcPr>
          <w:p w14:paraId="7E927109">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926" w:type="dxa"/>
            <w:tcBorders>
              <w:top w:val="nil"/>
              <w:left w:val="nil"/>
              <w:bottom w:val="single" w:color="auto" w:sz="4" w:space="0"/>
              <w:right w:val="single" w:color="auto" w:sz="4" w:space="0"/>
            </w:tcBorders>
            <w:vAlign w:val="center"/>
          </w:tcPr>
          <w:p w14:paraId="530762CD">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643" w:type="dxa"/>
            <w:tcBorders>
              <w:top w:val="nil"/>
              <w:left w:val="nil"/>
              <w:bottom w:val="single" w:color="auto" w:sz="4" w:space="0"/>
              <w:right w:val="single" w:color="auto" w:sz="4" w:space="0"/>
            </w:tcBorders>
            <w:vAlign w:val="center"/>
          </w:tcPr>
          <w:p w14:paraId="5D66281D">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2000≤Y＜40000</w:t>
            </w:r>
          </w:p>
        </w:tc>
        <w:tc>
          <w:tcPr>
            <w:tcW w:w="1460" w:type="dxa"/>
            <w:tcBorders>
              <w:top w:val="nil"/>
              <w:left w:val="nil"/>
              <w:bottom w:val="single" w:color="auto" w:sz="4" w:space="0"/>
              <w:right w:val="single" w:color="auto" w:sz="4" w:space="0"/>
            </w:tcBorders>
            <w:vAlign w:val="center"/>
          </w:tcPr>
          <w:p w14:paraId="331DD1FA">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300≤Y＜2000</w:t>
            </w:r>
          </w:p>
        </w:tc>
        <w:tc>
          <w:tcPr>
            <w:tcW w:w="1347" w:type="dxa"/>
            <w:tcBorders>
              <w:top w:val="nil"/>
              <w:left w:val="nil"/>
              <w:bottom w:val="single" w:color="auto" w:sz="4" w:space="0"/>
              <w:right w:val="single" w:color="auto" w:sz="4" w:space="0"/>
            </w:tcBorders>
            <w:vAlign w:val="center"/>
          </w:tcPr>
          <w:p w14:paraId="1A0D3DD0">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Y＜300</w:t>
            </w:r>
          </w:p>
        </w:tc>
      </w:tr>
      <w:tr w14:paraId="172C3F83">
        <w:tblPrEx>
          <w:tblCellMar>
            <w:top w:w="0" w:type="dxa"/>
            <w:left w:w="108" w:type="dxa"/>
            <w:bottom w:w="0" w:type="dxa"/>
            <w:right w:w="108" w:type="dxa"/>
          </w:tblCellMar>
        </w:tblPrEx>
        <w:trPr>
          <w:trHeight w:val="298" w:hRule="atLeast"/>
          <w:jc w:val="center"/>
        </w:trPr>
        <w:tc>
          <w:tcPr>
            <w:tcW w:w="2474" w:type="dxa"/>
            <w:vMerge w:val="restart"/>
            <w:tcBorders>
              <w:top w:val="nil"/>
              <w:left w:val="single" w:color="auto" w:sz="4" w:space="0"/>
              <w:bottom w:val="single" w:color="auto" w:sz="4" w:space="0"/>
              <w:right w:val="single" w:color="auto" w:sz="4" w:space="0"/>
            </w:tcBorders>
            <w:vAlign w:val="center"/>
          </w:tcPr>
          <w:p w14:paraId="3B638F59">
            <w:pPr>
              <w:widowControl/>
              <w:ind w:firstLine="361"/>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建筑业</w:t>
            </w:r>
          </w:p>
        </w:tc>
        <w:tc>
          <w:tcPr>
            <w:tcW w:w="1403" w:type="dxa"/>
            <w:tcBorders>
              <w:top w:val="nil"/>
              <w:left w:val="nil"/>
              <w:bottom w:val="single" w:color="auto" w:sz="4" w:space="0"/>
              <w:right w:val="single" w:color="auto" w:sz="4" w:space="0"/>
            </w:tcBorders>
            <w:vAlign w:val="center"/>
          </w:tcPr>
          <w:p w14:paraId="757F184E">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926" w:type="dxa"/>
            <w:tcBorders>
              <w:top w:val="nil"/>
              <w:left w:val="nil"/>
              <w:bottom w:val="single" w:color="auto" w:sz="4" w:space="0"/>
              <w:right w:val="single" w:color="auto" w:sz="4" w:space="0"/>
            </w:tcBorders>
            <w:vAlign w:val="center"/>
          </w:tcPr>
          <w:p w14:paraId="27D45369">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643" w:type="dxa"/>
            <w:tcBorders>
              <w:top w:val="nil"/>
              <w:left w:val="nil"/>
              <w:bottom w:val="single" w:color="auto" w:sz="4" w:space="0"/>
              <w:right w:val="single" w:color="auto" w:sz="4" w:space="0"/>
            </w:tcBorders>
            <w:vAlign w:val="center"/>
          </w:tcPr>
          <w:p w14:paraId="1790AC5A">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6000≤Y＜80000</w:t>
            </w:r>
          </w:p>
        </w:tc>
        <w:tc>
          <w:tcPr>
            <w:tcW w:w="1460" w:type="dxa"/>
            <w:tcBorders>
              <w:top w:val="nil"/>
              <w:left w:val="nil"/>
              <w:bottom w:val="single" w:color="auto" w:sz="4" w:space="0"/>
              <w:right w:val="single" w:color="auto" w:sz="4" w:space="0"/>
            </w:tcBorders>
            <w:vAlign w:val="center"/>
          </w:tcPr>
          <w:p w14:paraId="2430BDEE">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300≤Y＜6000</w:t>
            </w:r>
          </w:p>
        </w:tc>
        <w:tc>
          <w:tcPr>
            <w:tcW w:w="1347" w:type="dxa"/>
            <w:tcBorders>
              <w:top w:val="nil"/>
              <w:left w:val="nil"/>
              <w:bottom w:val="single" w:color="auto" w:sz="4" w:space="0"/>
              <w:right w:val="single" w:color="auto" w:sz="4" w:space="0"/>
            </w:tcBorders>
            <w:vAlign w:val="center"/>
          </w:tcPr>
          <w:p w14:paraId="7CF32701">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Y＜300</w:t>
            </w:r>
          </w:p>
        </w:tc>
      </w:tr>
      <w:tr w14:paraId="3BA65324">
        <w:tblPrEx>
          <w:tblCellMar>
            <w:top w:w="0" w:type="dxa"/>
            <w:left w:w="108" w:type="dxa"/>
            <w:bottom w:w="0" w:type="dxa"/>
            <w:right w:w="108" w:type="dxa"/>
          </w:tblCellMar>
        </w:tblPrEx>
        <w:trPr>
          <w:trHeight w:val="298" w:hRule="atLeast"/>
          <w:jc w:val="center"/>
        </w:trPr>
        <w:tc>
          <w:tcPr>
            <w:tcW w:w="2474" w:type="dxa"/>
            <w:vMerge w:val="continue"/>
            <w:tcBorders>
              <w:top w:val="nil"/>
              <w:left w:val="single" w:color="auto" w:sz="4" w:space="0"/>
              <w:bottom w:val="single" w:color="auto" w:sz="4" w:space="0"/>
              <w:right w:val="single" w:color="auto" w:sz="4" w:space="0"/>
            </w:tcBorders>
            <w:vAlign w:val="center"/>
          </w:tcPr>
          <w:p w14:paraId="178D38AB">
            <w:pPr>
              <w:widowControl/>
              <w:ind w:firstLine="360"/>
              <w:jc w:val="center"/>
              <w:rPr>
                <w:rFonts w:hint="eastAsia" w:ascii="宋体" w:hAnsi="宋体" w:eastAsia="宋体" w:cs="宋体"/>
                <w:b/>
                <w:bCs/>
                <w:kern w:val="0"/>
                <w:sz w:val="18"/>
                <w:szCs w:val="18"/>
              </w:rPr>
            </w:pPr>
          </w:p>
        </w:tc>
        <w:tc>
          <w:tcPr>
            <w:tcW w:w="1403" w:type="dxa"/>
            <w:tcBorders>
              <w:top w:val="nil"/>
              <w:left w:val="nil"/>
              <w:bottom w:val="single" w:color="auto" w:sz="4" w:space="0"/>
              <w:right w:val="single" w:color="auto" w:sz="4" w:space="0"/>
            </w:tcBorders>
            <w:vAlign w:val="center"/>
          </w:tcPr>
          <w:p w14:paraId="1FC3B4D1">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资产总额（Z）</w:t>
            </w:r>
          </w:p>
        </w:tc>
        <w:tc>
          <w:tcPr>
            <w:tcW w:w="926" w:type="dxa"/>
            <w:tcBorders>
              <w:top w:val="nil"/>
              <w:left w:val="nil"/>
              <w:bottom w:val="single" w:color="auto" w:sz="4" w:space="0"/>
              <w:right w:val="single" w:color="auto" w:sz="4" w:space="0"/>
            </w:tcBorders>
            <w:vAlign w:val="center"/>
          </w:tcPr>
          <w:p w14:paraId="31FC6E59">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643" w:type="dxa"/>
            <w:tcBorders>
              <w:top w:val="nil"/>
              <w:left w:val="nil"/>
              <w:bottom w:val="single" w:color="auto" w:sz="4" w:space="0"/>
              <w:right w:val="single" w:color="auto" w:sz="4" w:space="0"/>
            </w:tcBorders>
            <w:vAlign w:val="center"/>
          </w:tcPr>
          <w:p w14:paraId="3C221D8E">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5000≤Z＜80000</w:t>
            </w:r>
          </w:p>
        </w:tc>
        <w:tc>
          <w:tcPr>
            <w:tcW w:w="1460" w:type="dxa"/>
            <w:tcBorders>
              <w:top w:val="nil"/>
              <w:left w:val="nil"/>
              <w:bottom w:val="single" w:color="auto" w:sz="4" w:space="0"/>
              <w:right w:val="single" w:color="auto" w:sz="4" w:space="0"/>
            </w:tcBorders>
            <w:vAlign w:val="center"/>
          </w:tcPr>
          <w:p w14:paraId="03D4A688">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300≤Z＜5000</w:t>
            </w:r>
          </w:p>
        </w:tc>
        <w:tc>
          <w:tcPr>
            <w:tcW w:w="1347" w:type="dxa"/>
            <w:tcBorders>
              <w:top w:val="nil"/>
              <w:left w:val="nil"/>
              <w:bottom w:val="single" w:color="auto" w:sz="4" w:space="0"/>
              <w:right w:val="single" w:color="auto" w:sz="4" w:space="0"/>
            </w:tcBorders>
            <w:vAlign w:val="center"/>
          </w:tcPr>
          <w:p w14:paraId="10056FFF">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Z＜300</w:t>
            </w:r>
          </w:p>
        </w:tc>
      </w:tr>
      <w:tr w14:paraId="7990928B">
        <w:tblPrEx>
          <w:tblCellMar>
            <w:top w:w="0" w:type="dxa"/>
            <w:left w:w="108" w:type="dxa"/>
            <w:bottom w:w="0" w:type="dxa"/>
            <w:right w:w="108" w:type="dxa"/>
          </w:tblCellMar>
        </w:tblPrEx>
        <w:trPr>
          <w:trHeight w:val="298" w:hRule="atLeast"/>
          <w:jc w:val="center"/>
        </w:trPr>
        <w:tc>
          <w:tcPr>
            <w:tcW w:w="2474" w:type="dxa"/>
            <w:vMerge w:val="restart"/>
            <w:tcBorders>
              <w:top w:val="nil"/>
              <w:left w:val="single" w:color="auto" w:sz="4" w:space="0"/>
              <w:bottom w:val="single" w:color="auto" w:sz="4" w:space="0"/>
              <w:right w:val="single" w:color="auto" w:sz="4" w:space="0"/>
            </w:tcBorders>
            <w:vAlign w:val="center"/>
          </w:tcPr>
          <w:p w14:paraId="76D06D2F">
            <w:pPr>
              <w:widowControl/>
              <w:ind w:firstLine="361"/>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批发业</w:t>
            </w:r>
          </w:p>
        </w:tc>
        <w:tc>
          <w:tcPr>
            <w:tcW w:w="1403" w:type="dxa"/>
            <w:tcBorders>
              <w:top w:val="nil"/>
              <w:left w:val="nil"/>
              <w:bottom w:val="single" w:color="auto" w:sz="4" w:space="0"/>
              <w:right w:val="single" w:color="auto" w:sz="4" w:space="0"/>
            </w:tcBorders>
            <w:vAlign w:val="center"/>
          </w:tcPr>
          <w:p w14:paraId="34F98D80">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926" w:type="dxa"/>
            <w:tcBorders>
              <w:top w:val="nil"/>
              <w:left w:val="nil"/>
              <w:bottom w:val="single" w:color="auto" w:sz="4" w:space="0"/>
              <w:right w:val="single" w:color="auto" w:sz="4" w:space="0"/>
            </w:tcBorders>
            <w:vAlign w:val="center"/>
          </w:tcPr>
          <w:p w14:paraId="64B630DA">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643" w:type="dxa"/>
            <w:tcBorders>
              <w:top w:val="nil"/>
              <w:left w:val="nil"/>
              <w:bottom w:val="single" w:color="auto" w:sz="4" w:space="0"/>
              <w:right w:val="single" w:color="auto" w:sz="4" w:space="0"/>
            </w:tcBorders>
            <w:vAlign w:val="center"/>
          </w:tcPr>
          <w:p w14:paraId="3C7D14BB">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20≤X＜200</w:t>
            </w:r>
          </w:p>
        </w:tc>
        <w:tc>
          <w:tcPr>
            <w:tcW w:w="1460" w:type="dxa"/>
            <w:tcBorders>
              <w:top w:val="nil"/>
              <w:left w:val="nil"/>
              <w:bottom w:val="single" w:color="auto" w:sz="4" w:space="0"/>
              <w:right w:val="single" w:color="auto" w:sz="4" w:space="0"/>
            </w:tcBorders>
            <w:vAlign w:val="center"/>
          </w:tcPr>
          <w:p w14:paraId="2591153D">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5≤X＜20</w:t>
            </w:r>
          </w:p>
        </w:tc>
        <w:tc>
          <w:tcPr>
            <w:tcW w:w="1347" w:type="dxa"/>
            <w:tcBorders>
              <w:top w:val="nil"/>
              <w:left w:val="nil"/>
              <w:bottom w:val="single" w:color="auto" w:sz="4" w:space="0"/>
              <w:right w:val="single" w:color="auto" w:sz="4" w:space="0"/>
            </w:tcBorders>
            <w:vAlign w:val="center"/>
          </w:tcPr>
          <w:p w14:paraId="49E88DB1">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X＜5</w:t>
            </w:r>
          </w:p>
        </w:tc>
      </w:tr>
      <w:tr w14:paraId="79BE57D4">
        <w:tblPrEx>
          <w:tblCellMar>
            <w:top w:w="0" w:type="dxa"/>
            <w:left w:w="108" w:type="dxa"/>
            <w:bottom w:w="0" w:type="dxa"/>
            <w:right w:w="108" w:type="dxa"/>
          </w:tblCellMar>
        </w:tblPrEx>
        <w:trPr>
          <w:trHeight w:val="298" w:hRule="atLeast"/>
          <w:jc w:val="center"/>
        </w:trPr>
        <w:tc>
          <w:tcPr>
            <w:tcW w:w="2474" w:type="dxa"/>
            <w:vMerge w:val="continue"/>
            <w:tcBorders>
              <w:top w:val="nil"/>
              <w:left w:val="single" w:color="auto" w:sz="4" w:space="0"/>
              <w:bottom w:val="single" w:color="auto" w:sz="4" w:space="0"/>
              <w:right w:val="single" w:color="auto" w:sz="4" w:space="0"/>
            </w:tcBorders>
            <w:vAlign w:val="center"/>
          </w:tcPr>
          <w:p w14:paraId="3A52D722">
            <w:pPr>
              <w:widowControl/>
              <w:ind w:firstLine="360"/>
              <w:jc w:val="center"/>
              <w:rPr>
                <w:rFonts w:hint="eastAsia" w:ascii="宋体" w:hAnsi="宋体" w:eastAsia="宋体" w:cs="宋体"/>
                <w:b/>
                <w:bCs/>
                <w:kern w:val="0"/>
                <w:sz w:val="18"/>
                <w:szCs w:val="18"/>
              </w:rPr>
            </w:pPr>
          </w:p>
        </w:tc>
        <w:tc>
          <w:tcPr>
            <w:tcW w:w="1403" w:type="dxa"/>
            <w:tcBorders>
              <w:top w:val="nil"/>
              <w:left w:val="nil"/>
              <w:bottom w:val="single" w:color="auto" w:sz="4" w:space="0"/>
              <w:right w:val="single" w:color="auto" w:sz="4" w:space="0"/>
            </w:tcBorders>
            <w:vAlign w:val="center"/>
          </w:tcPr>
          <w:p w14:paraId="1713F7EA">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926" w:type="dxa"/>
            <w:tcBorders>
              <w:top w:val="nil"/>
              <w:left w:val="nil"/>
              <w:bottom w:val="single" w:color="auto" w:sz="4" w:space="0"/>
              <w:right w:val="single" w:color="auto" w:sz="4" w:space="0"/>
            </w:tcBorders>
            <w:vAlign w:val="center"/>
          </w:tcPr>
          <w:p w14:paraId="741A8733">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643" w:type="dxa"/>
            <w:tcBorders>
              <w:top w:val="nil"/>
              <w:left w:val="nil"/>
              <w:bottom w:val="single" w:color="auto" w:sz="4" w:space="0"/>
              <w:right w:val="single" w:color="auto" w:sz="4" w:space="0"/>
            </w:tcBorders>
            <w:vAlign w:val="center"/>
          </w:tcPr>
          <w:p w14:paraId="38C19C66">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5000≤Y＜40000</w:t>
            </w:r>
          </w:p>
        </w:tc>
        <w:tc>
          <w:tcPr>
            <w:tcW w:w="1460" w:type="dxa"/>
            <w:tcBorders>
              <w:top w:val="nil"/>
              <w:left w:val="nil"/>
              <w:bottom w:val="single" w:color="auto" w:sz="4" w:space="0"/>
              <w:right w:val="single" w:color="auto" w:sz="4" w:space="0"/>
            </w:tcBorders>
            <w:vAlign w:val="center"/>
          </w:tcPr>
          <w:p w14:paraId="7699CC0B">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1000≤Y＜5000</w:t>
            </w:r>
          </w:p>
        </w:tc>
        <w:tc>
          <w:tcPr>
            <w:tcW w:w="1347" w:type="dxa"/>
            <w:tcBorders>
              <w:top w:val="nil"/>
              <w:left w:val="nil"/>
              <w:bottom w:val="single" w:color="auto" w:sz="4" w:space="0"/>
              <w:right w:val="single" w:color="auto" w:sz="4" w:space="0"/>
            </w:tcBorders>
            <w:vAlign w:val="center"/>
          </w:tcPr>
          <w:p w14:paraId="0535BDC8">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Y＜1000</w:t>
            </w:r>
          </w:p>
        </w:tc>
      </w:tr>
      <w:tr w14:paraId="34D37E3E">
        <w:tblPrEx>
          <w:tblCellMar>
            <w:top w:w="0" w:type="dxa"/>
            <w:left w:w="108" w:type="dxa"/>
            <w:bottom w:w="0" w:type="dxa"/>
            <w:right w:w="108" w:type="dxa"/>
          </w:tblCellMar>
        </w:tblPrEx>
        <w:trPr>
          <w:trHeight w:val="298" w:hRule="atLeast"/>
          <w:jc w:val="center"/>
        </w:trPr>
        <w:tc>
          <w:tcPr>
            <w:tcW w:w="2474" w:type="dxa"/>
            <w:vMerge w:val="restart"/>
            <w:tcBorders>
              <w:top w:val="nil"/>
              <w:left w:val="single" w:color="auto" w:sz="4" w:space="0"/>
              <w:bottom w:val="single" w:color="auto" w:sz="4" w:space="0"/>
              <w:right w:val="single" w:color="auto" w:sz="4" w:space="0"/>
            </w:tcBorders>
            <w:vAlign w:val="center"/>
          </w:tcPr>
          <w:p w14:paraId="163C465F">
            <w:pPr>
              <w:widowControl/>
              <w:ind w:firstLine="361"/>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零售业</w:t>
            </w:r>
          </w:p>
        </w:tc>
        <w:tc>
          <w:tcPr>
            <w:tcW w:w="1403" w:type="dxa"/>
            <w:tcBorders>
              <w:top w:val="nil"/>
              <w:left w:val="nil"/>
              <w:bottom w:val="single" w:color="auto" w:sz="4" w:space="0"/>
              <w:right w:val="single" w:color="auto" w:sz="4" w:space="0"/>
            </w:tcBorders>
            <w:vAlign w:val="center"/>
          </w:tcPr>
          <w:p w14:paraId="216462C9">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926" w:type="dxa"/>
            <w:tcBorders>
              <w:top w:val="nil"/>
              <w:left w:val="nil"/>
              <w:bottom w:val="single" w:color="auto" w:sz="4" w:space="0"/>
              <w:right w:val="single" w:color="auto" w:sz="4" w:space="0"/>
            </w:tcBorders>
            <w:vAlign w:val="center"/>
          </w:tcPr>
          <w:p w14:paraId="232E7C4F">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643" w:type="dxa"/>
            <w:tcBorders>
              <w:top w:val="nil"/>
              <w:left w:val="nil"/>
              <w:bottom w:val="single" w:color="auto" w:sz="4" w:space="0"/>
              <w:right w:val="single" w:color="auto" w:sz="4" w:space="0"/>
            </w:tcBorders>
            <w:vAlign w:val="center"/>
          </w:tcPr>
          <w:p w14:paraId="49639A85">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50≤X＜300</w:t>
            </w:r>
          </w:p>
        </w:tc>
        <w:tc>
          <w:tcPr>
            <w:tcW w:w="1460" w:type="dxa"/>
            <w:tcBorders>
              <w:top w:val="nil"/>
              <w:left w:val="nil"/>
              <w:bottom w:val="single" w:color="auto" w:sz="4" w:space="0"/>
              <w:right w:val="single" w:color="auto" w:sz="4" w:space="0"/>
            </w:tcBorders>
            <w:vAlign w:val="center"/>
          </w:tcPr>
          <w:p w14:paraId="0D2BC686">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10≤X＜50</w:t>
            </w:r>
          </w:p>
        </w:tc>
        <w:tc>
          <w:tcPr>
            <w:tcW w:w="1347" w:type="dxa"/>
            <w:tcBorders>
              <w:top w:val="nil"/>
              <w:left w:val="nil"/>
              <w:bottom w:val="single" w:color="auto" w:sz="4" w:space="0"/>
              <w:right w:val="single" w:color="auto" w:sz="4" w:space="0"/>
            </w:tcBorders>
            <w:vAlign w:val="center"/>
          </w:tcPr>
          <w:p w14:paraId="636BACDD">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X＜10</w:t>
            </w:r>
          </w:p>
        </w:tc>
      </w:tr>
      <w:tr w14:paraId="3562C4A7">
        <w:tblPrEx>
          <w:tblCellMar>
            <w:top w:w="0" w:type="dxa"/>
            <w:left w:w="108" w:type="dxa"/>
            <w:bottom w:w="0" w:type="dxa"/>
            <w:right w:w="108" w:type="dxa"/>
          </w:tblCellMar>
        </w:tblPrEx>
        <w:trPr>
          <w:trHeight w:val="298" w:hRule="atLeast"/>
          <w:jc w:val="center"/>
        </w:trPr>
        <w:tc>
          <w:tcPr>
            <w:tcW w:w="2474" w:type="dxa"/>
            <w:vMerge w:val="continue"/>
            <w:tcBorders>
              <w:top w:val="nil"/>
              <w:left w:val="single" w:color="auto" w:sz="4" w:space="0"/>
              <w:bottom w:val="single" w:color="auto" w:sz="4" w:space="0"/>
              <w:right w:val="single" w:color="auto" w:sz="4" w:space="0"/>
            </w:tcBorders>
            <w:vAlign w:val="center"/>
          </w:tcPr>
          <w:p w14:paraId="309ECFD7">
            <w:pPr>
              <w:widowControl/>
              <w:ind w:firstLine="360"/>
              <w:jc w:val="center"/>
              <w:rPr>
                <w:rFonts w:hint="eastAsia" w:ascii="宋体" w:hAnsi="宋体" w:eastAsia="宋体" w:cs="宋体"/>
                <w:b/>
                <w:bCs/>
                <w:kern w:val="0"/>
                <w:sz w:val="18"/>
                <w:szCs w:val="18"/>
              </w:rPr>
            </w:pPr>
          </w:p>
        </w:tc>
        <w:tc>
          <w:tcPr>
            <w:tcW w:w="1403" w:type="dxa"/>
            <w:tcBorders>
              <w:top w:val="nil"/>
              <w:left w:val="nil"/>
              <w:bottom w:val="single" w:color="auto" w:sz="4" w:space="0"/>
              <w:right w:val="single" w:color="auto" w:sz="4" w:space="0"/>
            </w:tcBorders>
            <w:vAlign w:val="center"/>
          </w:tcPr>
          <w:p w14:paraId="5798313D">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926" w:type="dxa"/>
            <w:tcBorders>
              <w:top w:val="nil"/>
              <w:left w:val="nil"/>
              <w:bottom w:val="single" w:color="auto" w:sz="4" w:space="0"/>
              <w:right w:val="single" w:color="auto" w:sz="4" w:space="0"/>
            </w:tcBorders>
            <w:vAlign w:val="center"/>
          </w:tcPr>
          <w:p w14:paraId="04A5CB9A">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643" w:type="dxa"/>
            <w:tcBorders>
              <w:top w:val="nil"/>
              <w:left w:val="nil"/>
              <w:bottom w:val="single" w:color="auto" w:sz="4" w:space="0"/>
              <w:right w:val="single" w:color="auto" w:sz="4" w:space="0"/>
            </w:tcBorders>
            <w:vAlign w:val="center"/>
          </w:tcPr>
          <w:p w14:paraId="67808FA3">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500≤Y＜20000</w:t>
            </w:r>
          </w:p>
        </w:tc>
        <w:tc>
          <w:tcPr>
            <w:tcW w:w="1460" w:type="dxa"/>
            <w:tcBorders>
              <w:top w:val="nil"/>
              <w:left w:val="nil"/>
              <w:bottom w:val="single" w:color="auto" w:sz="4" w:space="0"/>
              <w:right w:val="single" w:color="auto" w:sz="4" w:space="0"/>
            </w:tcBorders>
            <w:vAlign w:val="center"/>
          </w:tcPr>
          <w:p w14:paraId="4A133F00">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100≤Y＜500</w:t>
            </w:r>
          </w:p>
        </w:tc>
        <w:tc>
          <w:tcPr>
            <w:tcW w:w="1347" w:type="dxa"/>
            <w:tcBorders>
              <w:top w:val="nil"/>
              <w:left w:val="nil"/>
              <w:bottom w:val="single" w:color="auto" w:sz="4" w:space="0"/>
              <w:right w:val="single" w:color="auto" w:sz="4" w:space="0"/>
            </w:tcBorders>
            <w:vAlign w:val="center"/>
          </w:tcPr>
          <w:p w14:paraId="5F64B438">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Y＜100</w:t>
            </w:r>
          </w:p>
        </w:tc>
      </w:tr>
      <w:tr w14:paraId="29BEB4F7">
        <w:tblPrEx>
          <w:tblCellMar>
            <w:top w:w="0" w:type="dxa"/>
            <w:left w:w="108" w:type="dxa"/>
            <w:bottom w:w="0" w:type="dxa"/>
            <w:right w:w="108" w:type="dxa"/>
          </w:tblCellMar>
        </w:tblPrEx>
        <w:trPr>
          <w:trHeight w:val="298" w:hRule="atLeast"/>
          <w:jc w:val="center"/>
        </w:trPr>
        <w:tc>
          <w:tcPr>
            <w:tcW w:w="2474" w:type="dxa"/>
            <w:vMerge w:val="restart"/>
            <w:tcBorders>
              <w:top w:val="nil"/>
              <w:left w:val="single" w:color="auto" w:sz="4" w:space="0"/>
              <w:bottom w:val="single" w:color="auto" w:sz="4" w:space="0"/>
              <w:right w:val="single" w:color="auto" w:sz="4" w:space="0"/>
            </w:tcBorders>
            <w:vAlign w:val="center"/>
          </w:tcPr>
          <w:p w14:paraId="291EFB42">
            <w:pPr>
              <w:widowControl/>
              <w:ind w:firstLine="361"/>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交通运输业</w:t>
            </w:r>
          </w:p>
        </w:tc>
        <w:tc>
          <w:tcPr>
            <w:tcW w:w="1403" w:type="dxa"/>
            <w:tcBorders>
              <w:top w:val="nil"/>
              <w:left w:val="nil"/>
              <w:bottom w:val="single" w:color="auto" w:sz="4" w:space="0"/>
              <w:right w:val="single" w:color="auto" w:sz="4" w:space="0"/>
            </w:tcBorders>
            <w:vAlign w:val="center"/>
          </w:tcPr>
          <w:p w14:paraId="2499DC7C">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926" w:type="dxa"/>
            <w:tcBorders>
              <w:top w:val="nil"/>
              <w:left w:val="nil"/>
              <w:bottom w:val="single" w:color="auto" w:sz="4" w:space="0"/>
              <w:right w:val="single" w:color="auto" w:sz="4" w:space="0"/>
            </w:tcBorders>
            <w:vAlign w:val="center"/>
          </w:tcPr>
          <w:p w14:paraId="3DAC3BCB">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643" w:type="dxa"/>
            <w:tcBorders>
              <w:top w:val="nil"/>
              <w:left w:val="nil"/>
              <w:bottom w:val="single" w:color="auto" w:sz="4" w:space="0"/>
              <w:right w:val="single" w:color="auto" w:sz="4" w:space="0"/>
            </w:tcBorders>
            <w:vAlign w:val="center"/>
          </w:tcPr>
          <w:p w14:paraId="137E9DCF">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300≤X＜1000</w:t>
            </w:r>
          </w:p>
        </w:tc>
        <w:tc>
          <w:tcPr>
            <w:tcW w:w="1460" w:type="dxa"/>
            <w:tcBorders>
              <w:top w:val="nil"/>
              <w:left w:val="nil"/>
              <w:bottom w:val="single" w:color="auto" w:sz="4" w:space="0"/>
              <w:right w:val="single" w:color="auto" w:sz="4" w:space="0"/>
            </w:tcBorders>
            <w:vAlign w:val="center"/>
          </w:tcPr>
          <w:p w14:paraId="7B78D77A">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20≤X＜300</w:t>
            </w:r>
          </w:p>
        </w:tc>
        <w:tc>
          <w:tcPr>
            <w:tcW w:w="1347" w:type="dxa"/>
            <w:tcBorders>
              <w:top w:val="nil"/>
              <w:left w:val="nil"/>
              <w:bottom w:val="single" w:color="auto" w:sz="4" w:space="0"/>
              <w:right w:val="single" w:color="auto" w:sz="4" w:space="0"/>
            </w:tcBorders>
            <w:vAlign w:val="center"/>
          </w:tcPr>
          <w:p w14:paraId="65EF55E2">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X＜20</w:t>
            </w:r>
          </w:p>
        </w:tc>
      </w:tr>
      <w:tr w14:paraId="522BB96A">
        <w:tblPrEx>
          <w:tblCellMar>
            <w:top w:w="0" w:type="dxa"/>
            <w:left w:w="108" w:type="dxa"/>
            <w:bottom w:w="0" w:type="dxa"/>
            <w:right w:w="108" w:type="dxa"/>
          </w:tblCellMar>
        </w:tblPrEx>
        <w:trPr>
          <w:trHeight w:val="298" w:hRule="atLeast"/>
          <w:jc w:val="center"/>
        </w:trPr>
        <w:tc>
          <w:tcPr>
            <w:tcW w:w="2474" w:type="dxa"/>
            <w:vMerge w:val="continue"/>
            <w:tcBorders>
              <w:top w:val="nil"/>
              <w:left w:val="single" w:color="auto" w:sz="4" w:space="0"/>
              <w:bottom w:val="single" w:color="auto" w:sz="4" w:space="0"/>
              <w:right w:val="single" w:color="auto" w:sz="4" w:space="0"/>
            </w:tcBorders>
            <w:vAlign w:val="center"/>
          </w:tcPr>
          <w:p w14:paraId="143136DC">
            <w:pPr>
              <w:widowControl/>
              <w:ind w:firstLine="360"/>
              <w:jc w:val="center"/>
              <w:rPr>
                <w:rFonts w:hint="eastAsia" w:ascii="宋体" w:hAnsi="宋体" w:eastAsia="宋体" w:cs="宋体"/>
                <w:b/>
                <w:bCs/>
                <w:kern w:val="0"/>
                <w:sz w:val="18"/>
                <w:szCs w:val="18"/>
              </w:rPr>
            </w:pPr>
          </w:p>
        </w:tc>
        <w:tc>
          <w:tcPr>
            <w:tcW w:w="1403" w:type="dxa"/>
            <w:tcBorders>
              <w:top w:val="nil"/>
              <w:left w:val="nil"/>
              <w:bottom w:val="single" w:color="auto" w:sz="4" w:space="0"/>
              <w:right w:val="single" w:color="auto" w:sz="4" w:space="0"/>
            </w:tcBorders>
            <w:vAlign w:val="center"/>
          </w:tcPr>
          <w:p w14:paraId="3F124234">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926" w:type="dxa"/>
            <w:tcBorders>
              <w:top w:val="nil"/>
              <w:left w:val="nil"/>
              <w:bottom w:val="single" w:color="auto" w:sz="4" w:space="0"/>
              <w:right w:val="single" w:color="auto" w:sz="4" w:space="0"/>
            </w:tcBorders>
            <w:vAlign w:val="center"/>
          </w:tcPr>
          <w:p w14:paraId="3A82AC24">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643" w:type="dxa"/>
            <w:tcBorders>
              <w:top w:val="nil"/>
              <w:left w:val="nil"/>
              <w:bottom w:val="single" w:color="auto" w:sz="4" w:space="0"/>
              <w:right w:val="single" w:color="auto" w:sz="4" w:space="0"/>
            </w:tcBorders>
            <w:vAlign w:val="center"/>
          </w:tcPr>
          <w:p w14:paraId="4212C675">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3000≤Y＜30000</w:t>
            </w:r>
          </w:p>
        </w:tc>
        <w:tc>
          <w:tcPr>
            <w:tcW w:w="1460" w:type="dxa"/>
            <w:tcBorders>
              <w:top w:val="nil"/>
              <w:left w:val="nil"/>
              <w:bottom w:val="single" w:color="auto" w:sz="4" w:space="0"/>
              <w:right w:val="single" w:color="auto" w:sz="4" w:space="0"/>
            </w:tcBorders>
            <w:vAlign w:val="center"/>
          </w:tcPr>
          <w:p w14:paraId="65544720">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200≤Y＜3000</w:t>
            </w:r>
          </w:p>
        </w:tc>
        <w:tc>
          <w:tcPr>
            <w:tcW w:w="1347" w:type="dxa"/>
            <w:tcBorders>
              <w:top w:val="nil"/>
              <w:left w:val="nil"/>
              <w:bottom w:val="single" w:color="auto" w:sz="4" w:space="0"/>
              <w:right w:val="single" w:color="auto" w:sz="4" w:space="0"/>
            </w:tcBorders>
            <w:vAlign w:val="center"/>
          </w:tcPr>
          <w:p w14:paraId="6D39818C">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Y＜200</w:t>
            </w:r>
          </w:p>
        </w:tc>
      </w:tr>
      <w:tr w14:paraId="4E95C037">
        <w:tblPrEx>
          <w:tblCellMar>
            <w:top w:w="0" w:type="dxa"/>
            <w:left w:w="108" w:type="dxa"/>
            <w:bottom w:w="0" w:type="dxa"/>
            <w:right w:w="108" w:type="dxa"/>
          </w:tblCellMar>
        </w:tblPrEx>
        <w:trPr>
          <w:trHeight w:val="298" w:hRule="atLeast"/>
          <w:jc w:val="center"/>
        </w:trPr>
        <w:tc>
          <w:tcPr>
            <w:tcW w:w="2474" w:type="dxa"/>
            <w:vMerge w:val="restart"/>
            <w:tcBorders>
              <w:top w:val="nil"/>
              <w:left w:val="single" w:color="auto" w:sz="4" w:space="0"/>
              <w:bottom w:val="single" w:color="auto" w:sz="4" w:space="0"/>
              <w:right w:val="single" w:color="auto" w:sz="4" w:space="0"/>
            </w:tcBorders>
            <w:vAlign w:val="center"/>
          </w:tcPr>
          <w:p w14:paraId="72750487">
            <w:pPr>
              <w:widowControl/>
              <w:ind w:firstLine="361"/>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仓储业</w:t>
            </w:r>
          </w:p>
        </w:tc>
        <w:tc>
          <w:tcPr>
            <w:tcW w:w="1403" w:type="dxa"/>
            <w:tcBorders>
              <w:top w:val="nil"/>
              <w:left w:val="nil"/>
              <w:bottom w:val="single" w:color="auto" w:sz="4" w:space="0"/>
              <w:right w:val="single" w:color="auto" w:sz="4" w:space="0"/>
            </w:tcBorders>
            <w:vAlign w:val="center"/>
          </w:tcPr>
          <w:p w14:paraId="0E3B93E6">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926" w:type="dxa"/>
            <w:tcBorders>
              <w:top w:val="nil"/>
              <w:left w:val="nil"/>
              <w:bottom w:val="single" w:color="auto" w:sz="4" w:space="0"/>
              <w:right w:val="single" w:color="auto" w:sz="4" w:space="0"/>
            </w:tcBorders>
            <w:vAlign w:val="center"/>
          </w:tcPr>
          <w:p w14:paraId="1EA5A4EA">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643" w:type="dxa"/>
            <w:tcBorders>
              <w:top w:val="nil"/>
              <w:left w:val="nil"/>
              <w:bottom w:val="single" w:color="auto" w:sz="4" w:space="0"/>
              <w:right w:val="single" w:color="auto" w:sz="4" w:space="0"/>
            </w:tcBorders>
            <w:vAlign w:val="center"/>
          </w:tcPr>
          <w:p w14:paraId="53B46DFD">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100≤X＜200</w:t>
            </w:r>
          </w:p>
        </w:tc>
        <w:tc>
          <w:tcPr>
            <w:tcW w:w="1460" w:type="dxa"/>
            <w:tcBorders>
              <w:top w:val="nil"/>
              <w:left w:val="nil"/>
              <w:bottom w:val="single" w:color="auto" w:sz="4" w:space="0"/>
              <w:right w:val="single" w:color="auto" w:sz="4" w:space="0"/>
            </w:tcBorders>
            <w:vAlign w:val="center"/>
          </w:tcPr>
          <w:p w14:paraId="4BEC599A">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20≤X＜100</w:t>
            </w:r>
          </w:p>
        </w:tc>
        <w:tc>
          <w:tcPr>
            <w:tcW w:w="1347" w:type="dxa"/>
            <w:tcBorders>
              <w:top w:val="nil"/>
              <w:left w:val="nil"/>
              <w:bottom w:val="single" w:color="auto" w:sz="4" w:space="0"/>
              <w:right w:val="single" w:color="auto" w:sz="4" w:space="0"/>
            </w:tcBorders>
            <w:vAlign w:val="center"/>
          </w:tcPr>
          <w:p w14:paraId="453648DB">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X＜20</w:t>
            </w:r>
          </w:p>
        </w:tc>
      </w:tr>
      <w:tr w14:paraId="01CA1276">
        <w:tblPrEx>
          <w:tblCellMar>
            <w:top w:w="0" w:type="dxa"/>
            <w:left w:w="108" w:type="dxa"/>
            <w:bottom w:w="0" w:type="dxa"/>
            <w:right w:w="108" w:type="dxa"/>
          </w:tblCellMar>
        </w:tblPrEx>
        <w:trPr>
          <w:trHeight w:val="298" w:hRule="atLeast"/>
          <w:jc w:val="center"/>
        </w:trPr>
        <w:tc>
          <w:tcPr>
            <w:tcW w:w="2474" w:type="dxa"/>
            <w:vMerge w:val="continue"/>
            <w:tcBorders>
              <w:top w:val="nil"/>
              <w:left w:val="single" w:color="auto" w:sz="4" w:space="0"/>
              <w:bottom w:val="single" w:color="auto" w:sz="4" w:space="0"/>
              <w:right w:val="single" w:color="auto" w:sz="4" w:space="0"/>
            </w:tcBorders>
            <w:vAlign w:val="center"/>
          </w:tcPr>
          <w:p w14:paraId="61FBE2D5">
            <w:pPr>
              <w:widowControl/>
              <w:ind w:firstLine="360"/>
              <w:jc w:val="center"/>
              <w:rPr>
                <w:rFonts w:hint="eastAsia" w:ascii="宋体" w:hAnsi="宋体" w:eastAsia="宋体" w:cs="宋体"/>
                <w:b/>
                <w:bCs/>
                <w:kern w:val="0"/>
                <w:sz w:val="18"/>
                <w:szCs w:val="18"/>
              </w:rPr>
            </w:pPr>
          </w:p>
        </w:tc>
        <w:tc>
          <w:tcPr>
            <w:tcW w:w="1403" w:type="dxa"/>
            <w:tcBorders>
              <w:top w:val="nil"/>
              <w:left w:val="nil"/>
              <w:bottom w:val="single" w:color="auto" w:sz="4" w:space="0"/>
              <w:right w:val="single" w:color="auto" w:sz="4" w:space="0"/>
            </w:tcBorders>
            <w:vAlign w:val="center"/>
          </w:tcPr>
          <w:p w14:paraId="1739F1F4">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926" w:type="dxa"/>
            <w:tcBorders>
              <w:top w:val="nil"/>
              <w:left w:val="nil"/>
              <w:bottom w:val="single" w:color="auto" w:sz="4" w:space="0"/>
              <w:right w:val="single" w:color="auto" w:sz="4" w:space="0"/>
            </w:tcBorders>
            <w:vAlign w:val="center"/>
          </w:tcPr>
          <w:p w14:paraId="2503D8B0">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643" w:type="dxa"/>
            <w:tcBorders>
              <w:top w:val="nil"/>
              <w:left w:val="nil"/>
              <w:bottom w:val="single" w:color="auto" w:sz="4" w:space="0"/>
              <w:right w:val="single" w:color="auto" w:sz="4" w:space="0"/>
            </w:tcBorders>
            <w:vAlign w:val="center"/>
          </w:tcPr>
          <w:p w14:paraId="1F9C9083">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1000≤Y＜30000</w:t>
            </w:r>
          </w:p>
        </w:tc>
        <w:tc>
          <w:tcPr>
            <w:tcW w:w="1460" w:type="dxa"/>
            <w:tcBorders>
              <w:top w:val="nil"/>
              <w:left w:val="nil"/>
              <w:bottom w:val="single" w:color="auto" w:sz="4" w:space="0"/>
              <w:right w:val="single" w:color="auto" w:sz="4" w:space="0"/>
            </w:tcBorders>
            <w:vAlign w:val="center"/>
          </w:tcPr>
          <w:p w14:paraId="5460AA62">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100≤Y＜1000</w:t>
            </w:r>
          </w:p>
        </w:tc>
        <w:tc>
          <w:tcPr>
            <w:tcW w:w="1347" w:type="dxa"/>
            <w:tcBorders>
              <w:top w:val="nil"/>
              <w:left w:val="nil"/>
              <w:bottom w:val="single" w:color="auto" w:sz="4" w:space="0"/>
              <w:right w:val="single" w:color="auto" w:sz="4" w:space="0"/>
            </w:tcBorders>
            <w:vAlign w:val="center"/>
          </w:tcPr>
          <w:p w14:paraId="1B7565AB">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Y＜100</w:t>
            </w:r>
          </w:p>
        </w:tc>
      </w:tr>
      <w:tr w14:paraId="55A40203">
        <w:tblPrEx>
          <w:tblCellMar>
            <w:top w:w="0" w:type="dxa"/>
            <w:left w:w="108" w:type="dxa"/>
            <w:bottom w:w="0" w:type="dxa"/>
            <w:right w:w="108" w:type="dxa"/>
          </w:tblCellMar>
        </w:tblPrEx>
        <w:trPr>
          <w:trHeight w:val="298" w:hRule="atLeast"/>
          <w:jc w:val="center"/>
        </w:trPr>
        <w:tc>
          <w:tcPr>
            <w:tcW w:w="2474" w:type="dxa"/>
            <w:vMerge w:val="restart"/>
            <w:tcBorders>
              <w:top w:val="nil"/>
              <w:left w:val="single" w:color="auto" w:sz="4" w:space="0"/>
              <w:bottom w:val="single" w:color="auto" w:sz="4" w:space="0"/>
              <w:right w:val="single" w:color="auto" w:sz="4" w:space="0"/>
            </w:tcBorders>
            <w:vAlign w:val="center"/>
          </w:tcPr>
          <w:p w14:paraId="4032FB54">
            <w:pPr>
              <w:widowControl/>
              <w:ind w:firstLine="361"/>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邮政业</w:t>
            </w:r>
          </w:p>
        </w:tc>
        <w:tc>
          <w:tcPr>
            <w:tcW w:w="1403" w:type="dxa"/>
            <w:tcBorders>
              <w:top w:val="nil"/>
              <w:left w:val="nil"/>
              <w:bottom w:val="single" w:color="auto" w:sz="4" w:space="0"/>
              <w:right w:val="single" w:color="auto" w:sz="4" w:space="0"/>
            </w:tcBorders>
            <w:vAlign w:val="center"/>
          </w:tcPr>
          <w:p w14:paraId="7EE0A3C6">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926" w:type="dxa"/>
            <w:tcBorders>
              <w:top w:val="nil"/>
              <w:left w:val="nil"/>
              <w:bottom w:val="single" w:color="auto" w:sz="4" w:space="0"/>
              <w:right w:val="single" w:color="auto" w:sz="4" w:space="0"/>
            </w:tcBorders>
            <w:vAlign w:val="center"/>
          </w:tcPr>
          <w:p w14:paraId="0AF7E71B">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643" w:type="dxa"/>
            <w:tcBorders>
              <w:top w:val="nil"/>
              <w:left w:val="nil"/>
              <w:bottom w:val="single" w:color="auto" w:sz="4" w:space="0"/>
              <w:right w:val="single" w:color="auto" w:sz="4" w:space="0"/>
            </w:tcBorders>
            <w:vAlign w:val="center"/>
          </w:tcPr>
          <w:p w14:paraId="6369BA2B">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300≤X＜1000</w:t>
            </w:r>
          </w:p>
        </w:tc>
        <w:tc>
          <w:tcPr>
            <w:tcW w:w="1460" w:type="dxa"/>
            <w:tcBorders>
              <w:top w:val="nil"/>
              <w:left w:val="nil"/>
              <w:bottom w:val="single" w:color="auto" w:sz="4" w:space="0"/>
              <w:right w:val="single" w:color="auto" w:sz="4" w:space="0"/>
            </w:tcBorders>
            <w:vAlign w:val="center"/>
          </w:tcPr>
          <w:p w14:paraId="6A17E8C6">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20≤X＜300</w:t>
            </w:r>
          </w:p>
        </w:tc>
        <w:tc>
          <w:tcPr>
            <w:tcW w:w="1347" w:type="dxa"/>
            <w:tcBorders>
              <w:top w:val="nil"/>
              <w:left w:val="nil"/>
              <w:bottom w:val="single" w:color="auto" w:sz="4" w:space="0"/>
              <w:right w:val="single" w:color="auto" w:sz="4" w:space="0"/>
            </w:tcBorders>
            <w:vAlign w:val="center"/>
          </w:tcPr>
          <w:p w14:paraId="3249D603">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X＜20</w:t>
            </w:r>
          </w:p>
        </w:tc>
      </w:tr>
      <w:tr w14:paraId="307B2315">
        <w:tblPrEx>
          <w:tblCellMar>
            <w:top w:w="0" w:type="dxa"/>
            <w:left w:w="108" w:type="dxa"/>
            <w:bottom w:w="0" w:type="dxa"/>
            <w:right w:w="108" w:type="dxa"/>
          </w:tblCellMar>
        </w:tblPrEx>
        <w:trPr>
          <w:trHeight w:val="298" w:hRule="atLeast"/>
          <w:jc w:val="center"/>
        </w:trPr>
        <w:tc>
          <w:tcPr>
            <w:tcW w:w="2474" w:type="dxa"/>
            <w:vMerge w:val="continue"/>
            <w:tcBorders>
              <w:top w:val="nil"/>
              <w:left w:val="single" w:color="auto" w:sz="4" w:space="0"/>
              <w:bottom w:val="single" w:color="auto" w:sz="4" w:space="0"/>
              <w:right w:val="single" w:color="auto" w:sz="4" w:space="0"/>
            </w:tcBorders>
            <w:vAlign w:val="center"/>
          </w:tcPr>
          <w:p w14:paraId="0FEE0D87">
            <w:pPr>
              <w:widowControl/>
              <w:ind w:firstLine="360"/>
              <w:jc w:val="center"/>
              <w:rPr>
                <w:rFonts w:hint="eastAsia" w:ascii="宋体" w:hAnsi="宋体" w:eastAsia="宋体" w:cs="宋体"/>
                <w:b/>
                <w:bCs/>
                <w:kern w:val="0"/>
                <w:sz w:val="18"/>
                <w:szCs w:val="18"/>
              </w:rPr>
            </w:pPr>
          </w:p>
        </w:tc>
        <w:tc>
          <w:tcPr>
            <w:tcW w:w="1403" w:type="dxa"/>
            <w:tcBorders>
              <w:top w:val="nil"/>
              <w:left w:val="nil"/>
              <w:bottom w:val="single" w:color="auto" w:sz="4" w:space="0"/>
              <w:right w:val="single" w:color="auto" w:sz="4" w:space="0"/>
            </w:tcBorders>
            <w:vAlign w:val="center"/>
          </w:tcPr>
          <w:p w14:paraId="3A899EC1">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926" w:type="dxa"/>
            <w:tcBorders>
              <w:top w:val="nil"/>
              <w:left w:val="nil"/>
              <w:bottom w:val="single" w:color="auto" w:sz="4" w:space="0"/>
              <w:right w:val="single" w:color="auto" w:sz="4" w:space="0"/>
            </w:tcBorders>
            <w:vAlign w:val="center"/>
          </w:tcPr>
          <w:p w14:paraId="4C9C1A1E">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643" w:type="dxa"/>
            <w:tcBorders>
              <w:top w:val="nil"/>
              <w:left w:val="nil"/>
              <w:bottom w:val="single" w:color="auto" w:sz="4" w:space="0"/>
              <w:right w:val="single" w:color="auto" w:sz="4" w:space="0"/>
            </w:tcBorders>
            <w:vAlign w:val="center"/>
          </w:tcPr>
          <w:p w14:paraId="1BA2E018">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2000≤Y＜30000</w:t>
            </w:r>
          </w:p>
        </w:tc>
        <w:tc>
          <w:tcPr>
            <w:tcW w:w="1460" w:type="dxa"/>
            <w:tcBorders>
              <w:top w:val="nil"/>
              <w:left w:val="nil"/>
              <w:bottom w:val="single" w:color="auto" w:sz="4" w:space="0"/>
              <w:right w:val="single" w:color="auto" w:sz="4" w:space="0"/>
            </w:tcBorders>
            <w:vAlign w:val="center"/>
          </w:tcPr>
          <w:p w14:paraId="527BC179">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100≤Y＜2000</w:t>
            </w:r>
          </w:p>
        </w:tc>
        <w:tc>
          <w:tcPr>
            <w:tcW w:w="1347" w:type="dxa"/>
            <w:tcBorders>
              <w:top w:val="nil"/>
              <w:left w:val="nil"/>
              <w:bottom w:val="single" w:color="auto" w:sz="4" w:space="0"/>
              <w:right w:val="single" w:color="auto" w:sz="4" w:space="0"/>
            </w:tcBorders>
            <w:vAlign w:val="center"/>
          </w:tcPr>
          <w:p w14:paraId="70BA271B">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Y＜100</w:t>
            </w:r>
          </w:p>
        </w:tc>
      </w:tr>
      <w:tr w14:paraId="5350B043">
        <w:tblPrEx>
          <w:tblCellMar>
            <w:top w:w="0" w:type="dxa"/>
            <w:left w:w="108" w:type="dxa"/>
            <w:bottom w:w="0" w:type="dxa"/>
            <w:right w:w="108" w:type="dxa"/>
          </w:tblCellMar>
        </w:tblPrEx>
        <w:trPr>
          <w:trHeight w:val="298" w:hRule="atLeast"/>
          <w:jc w:val="center"/>
        </w:trPr>
        <w:tc>
          <w:tcPr>
            <w:tcW w:w="2474" w:type="dxa"/>
            <w:vMerge w:val="restart"/>
            <w:tcBorders>
              <w:top w:val="nil"/>
              <w:left w:val="single" w:color="auto" w:sz="4" w:space="0"/>
              <w:bottom w:val="single" w:color="auto" w:sz="4" w:space="0"/>
              <w:right w:val="single" w:color="auto" w:sz="4" w:space="0"/>
            </w:tcBorders>
            <w:vAlign w:val="center"/>
          </w:tcPr>
          <w:p w14:paraId="7EFDA23C">
            <w:pPr>
              <w:widowControl/>
              <w:ind w:firstLine="361"/>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住宿业</w:t>
            </w:r>
          </w:p>
        </w:tc>
        <w:tc>
          <w:tcPr>
            <w:tcW w:w="1403" w:type="dxa"/>
            <w:tcBorders>
              <w:top w:val="nil"/>
              <w:left w:val="nil"/>
              <w:bottom w:val="single" w:color="auto" w:sz="4" w:space="0"/>
              <w:right w:val="single" w:color="auto" w:sz="4" w:space="0"/>
            </w:tcBorders>
            <w:vAlign w:val="center"/>
          </w:tcPr>
          <w:p w14:paraId="6345CE2F">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926" w:type="dxa"/>
            <w:tcBorders>
              <w:top w:val="nil"/>
              <w:left w:val="nil"/>
              <w:bottom w:val="single" w:color="auto" w:sz="4" w:space="0"/>
              <w:right w:val="single" w:color="auto" w:sz="4" w:space="0"/>
            </w:tcBorders>
            <w:vAlign w:val="center"/>
          </w:tcPr>
          <w:p w14:paraId="0803BA9E">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643" w:type="dxa"/>
            <w:tcBorders>
              <w:top w:val="nil"/>
              <w:left w:val="nil"/>
              <w:bottom w:val="single" w:color="auto" w:sz="4" w:space="0"/>
              <w:right w:val="single" w:color="auto" w:sz="4" w:space="0"/>
            </w:tcBorders>
            <w:vAlign w:val="center"/>
          </w:tcPr>
          <w:p w14:paraId="121AF533">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100≤X＜300</w:t>
            </w:r>
          </w:p>
        </w:tc>
        <w:tc>
          <w:tcPr>
            <w:tcW w:w="1460" w:type="dxa"/>
            <w:tcBorders>
              <w:top w:val="nil"/>
              <w:left w:val="nil"/>
              <w:bottom w:val="single" w:color="auto" w:sz="4" w:space="0"/>
              <w:right w:val="single" w:color="auto" w:sz="4" w:space="0"/>
            </w:tcBorders>
            <w:vAlign w:val="center"/>
          </w:tcPr>
          <w:p w14:paraId="2F3D690A">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10≤X＜100</w:t>
            </w:r>
          </w:p>
        </w:tc>
        <w:tc>
          <w:tcPr>
            <w:tcW w:w="1347" w:type="dxa"/>
            <w:tcBorders>
              <w:top w:val="nil"/>
              <w:left w:val="nil"/>
              <w:bottom w:val="single" w:color="auto" w:sz="4" w:space="0"/>
              <w:right w:val="single" w:color="auto" w:sz="4" w:space="0"/>
            </w:tcBorders>
            <w:vAlign w:val="center"/>
          </w:tcPr>
          <w:p w14:paraId="61F3715C">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X＜10</w:t>
            </w:r>
          </w:p>
        </w:tc>
      </w:tr>
      <w:tr w14:paraId="60B9B9CA">
        <w:tblPrEx>
          <w:tblCellMar>
            <w:top w:w="0" w:type="dxa"/>
            <w:left w:w="108" w:type="dxa"/>
            <w:bottom w:w="0" w:type="dxa"/>
            <w:right w:w="108" w:type="dxa"/>
          </w:tblCellMar>
        </w:tblPrEx>
        <w:trPr>
          <w:trHeight w:val="298" w:hRule="atLeast"/>
          <w:jc w:val="center"/>
        </w:trPr>
        <w:tc>
          <w:tcPr>
            <w:tcW w:w="2474" w:type="dxa"/>
            <w:vMerge w:val="continue"/>
            <w:tcBorders>
              <w:top w:val="nil"/>
              <w:left w:val="single" w:color="auto" w:sz="4" w:space="0"/>
              <w:bottom w:val="single" w:color="auto" w:sz="4" w:space="0"/>
              <w:right w:val="single" w:color="auto" w:sz="4" w:space="0"/>
            </w:tcBorders>
            <w:vAlign w:val="center"/>
          </w:tcPr>
          <w:p w14:paraId="5986CC03">
            <w:pPr>
              <w:widowControl/>
              <w:ind w:firstLine="360"/>
              <w:jc w:val="center"/>
              <w:rPr>
                <w:rFonts w:hint="eastAsia" w:ascii="宋体" w:hAnsi="宋体" w:eastAsia="宋体" w:cs="宋体"/>
                <w:b/>
                <w:bCs/>
                <w:kern w:val="0"/>
                <w:sz w:val="18"/>
                <w:szCs w:val="18"/>
              </w:rPr>
            </w:pPr>
          </w:p>
        </w:tc>
        <w:tc>
          <w:tcPr>
            <w:tcW w:w="1403" w:type="dxa"/>
            <w:tcBorders>
              <w:top w:val="nil"/>
              <w:left w:val="nil"/>
              <w:bottom w:val="single" w:color="auto" w:sz="4" w:space="0"/>
              <w:right w:val="single" w:color="auto" w:sz="4" w:space="0"/>
            </w:tcBorders>
            <w:vAlign w:val="center"/>
          </w:tcPr>
          <w:p w14:paraId="234D687B">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926" w:type="dxa"/>
            <w:tcBorders>
              <w:top w:val="nil"/>
              <w:left w:val="nil"/>
              <w:bottom w:val="single" w:color="auto" w:sz="4" w:space="0"/>
              <w:right w:val="single" w:color="auto" w:sz="4" w:space="0"/>
            </w:tcBorders>
            <w:vAlign w:val="center"/>
          </w:tcPr>
          <w:p w14:paraId="6BAE04E8">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643" w:type="dxa"/>
            <w:tcBorders>
              <w:top w:val="nil"/>
              <w:left w:val="nil"/>
              <w:bottom w:val="single" w:color="auto" w:sz="4" w:space="0"/>
              <w:right w:val="single" w:color="auto" w:sz="4" w:space="0"/>
            </w:tcBorders>
            <w:vAlign w:val="center"/>
          </w:tcPr>
          <w:p w14:paraId="0DFF2A67">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2000≤Y＜10000</w:t>
            </w:r>
          </w:p>
        </w:tc>
        <w:tc>
          <w:tcPr>
            <w:tcW w:w="1460" w:type="dxa"/>
            <w:tcBorders>
              <w:top w:val="nil"/>
              <w:left w:val="nil"/>
              <w:bottom w:val="single" w:color="auto" w:sz="4" w:space="0"/>
              <w:right w:val="single" w:color="auto" w:sz="4" w:space="0"/>
            </w:tcBorders>
            <w:vAlign w:val="center"/>
          </w:tcPr>
          <w:p w14:paraId="110A571C">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100≤Y＜2000</w:t>
            </w:r>
          </w:p>
        </w:tc>
        <w:tc>
          <w:tcPr>
            <w:tcW w:w="1347" w:type="dxa"/>
            <w:tcBorders>
              <w:top w:val="nil"/>
              <w:left w:val="nil"/>
              <w:bottom w:val="single" w:color="auto" w:sz="4" w:space="0"/>
              <w:right w:val="single" w:color="auto" w:sz="4" w:space="0"/>
            </w:tcBorders>
            <w:vAlign w:val="center"/>
          </w:tcPr>
          <w:p w14:paraId="54BC8EA9">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Y＜100</w:t>
            </w:r>
          </w:p>
        </w:tc>
      </w:tr>
      <w:tr w14:paraId="5994A350">
        <w:tblPrEx>
          <w:tblCellMar>
            <w:top w:w="0" w:type="dxa"/>
            <w:left w:w="108" w:type="dxa"/>
            <w:bottom w:w="0" w:type="dxa"/>
            <w:right w:w="108" w:type="dxa"/>
          </w:tblCellMar>
        </w:tblPrEx>
        <w:trPr>
          <w:trHeight w:val="298" w:hRule="atLeast"/>
          <w:jc w:val="center"/>
        </w:trPr>
        <w:tc>
          <w:tcPr>
            <w:tcW w:w="2474" w:type="dxa"/>
            <w:vMerge w:val="restart"/>
            <w:tcBorders>
              <w:top w:val="nil"/>
              <w:left w:val="single" w:color="auto" w:sz="4" w:space="0"/>
              <w:bottom w:val="single" w:color="auto" w:sz="4" w:space="0"/>
              <w:right w:val="single" w:color="auto" w:sz="4" w:space="0"/>
            </w:tcBorders>
            <w:vAlign w:val="center"/>
          </w:tcPr>
          <w:p w14:paraId="501976C3">
            <w:pPr>
              <w:widowControl/>
              <w:ind w:firstLine="361"/>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餐饮业</w:t>
            </w:r>
          </w:p>
        </w:tc>
        <w:tc>
          <w:tcPr>
            <w:tcW w:w="1403" w:type="dxa"/>
            <w:tcBorders>
              <w:top w:val="nil"/>
              <w:left w:val="nil"/>
              <w:bottom w:val="single" w:color="auto" w:sz="4" w:space="0"/>
              <w:right w:val="single" w:color="auto" w:sz="4" w:space="0"/>
            </w:tcBorders>
            <w:vAlign w:val="center"/>
          </w:tcPr>
          <w:p w14:paraId="7BEE04C2">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926" w:type="dxa"/>
            <w:tcBorders>
              <w:top w:val="nil"/>
              <w:left w:val="nil"/>
              <w:bottom w:val="single" w:color="auto" w:sz="4" w:space="0"/>
              <w:right w:val="single" w:color="auto" w:sz="4" w:space="0"/>
            </w:tcBorders>
            <w:vAlign w:val="center"/>
          </w:tcPr>
          <w:p w14:paraId="75397238">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643" w:type="dxa"/>
            <w:tcBorders>
              <w:top w:val="nil"/>
              <w:left w:val="nil"/>
              <w:bottom w:val="single" w:color="auto" w:sz="4" w:space="0"/>
              <w:right w:val="single" w:color="auto" w:sz="4" w:space="0"/>
            </w:tcBorders>
            <w:vAlign w:val="center"/>
          </w:tcPr>
          <w:p w14:paraId="37DFD657">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100≤X＜300</w:t>
            </w:r>
          </w:p>
        </w:tc>
        <w:tc>
          <w:tcPr>
            <w:tcW w:w="1460" w:type="dxa"/>
            <w:tcBorders>
              <w:top w:val="nil"/>
              <w:left w:val="nil"/>
              <w:bottom w:val="single" w:color="auto" w:sz="4" w:space="0"/>
              <w:right w:val="single" w:color="auto" w:sz="4" w:space="0"/>
            </w:tcBorders>
            <w:vAlign w:val="center"/>
          </w:tcPr>
          <w:p w14:paraId="212E9529">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10≤X＜100</w:t>
            </w:r>
          </w:p>
        </w:tc>
        <w:tc>
          <w:tcPr>
            <w:tcW w:w="1347" w:type="dxa"/>
            <w:tcBorders>
              <w:top w:val="nil"/>
              <w:left w:val="nil"/>
              <w:bottom w:val="single" w:color="auto" w:sz="4" w:space="0"/>
              <w:right w:val="single" w:color="auto" w:sz="4" w:space="0"/>
            </w:tcBorders>
            <w:vAlign w:val="center"/>
          </w:tcPr>
          <w:p w14:paraId="131CF94C">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X＜10</w:t>
            </w:r>
          </w:p>
        </w:tc>
      </w:tr>
      <w:tr w14:paraId="0055DB60">
        <w:tblPrEx>
          <w:tblCellMar>
            <w:top w:w="0" w:type="dxa"/>
            <w:left w:w="108" w:type="dxa"/>
            <w:bottom w:w="0" w:type="dxa"/>
            <w:right w:w="108" w:type="dxa"/>
          </w:tblCellMar>
        </w:tblPrEx>
        <w:trPr>
          <w:trHeight w:val="298" w:hRule="atLeast"/>
          <w:jc w:val="center"/>
        </w:trPr>
        <w:tc>
          <w:tcPr>
            <w:tcW w:w="2474" w:type="dxa"/>
            <w:vMerge w:val="continue"/>
            <w:tcBorders>
              <w:top w:val="nil"/>
              <w:left w:val="single" w:color="auto" w:sz="4" w:space="0"/>
              <w:bottom w:val="single" w:color="auto" w:sz="4" w:space="0"/>
              <w:right w:val="single" w:color="auto" w:sz="4" w:space="0"/>
            </w:tcBorders>
            <w:vAlign w:val="center"/>
          </w:tcPr>
          <w:p w14:paraId="364A1193">
            <w:pPr>
              <w:widowControl/>
              <w:ind w:firstLine="360"/>
              <w:jc w:val="center"/>
              <w:rPr>
                <w:rFonts w:hint="eastAsia" w:ascii="宋体" w:hAnsi="宋体" w:eastAsia="宋体" w:cs="宋体"/>
                <w:b/>
                <w:bCs/>
                <w:kern w:val="0"/>
                <w:sz w:val="18"/>
                <w:szCs w:val="18"/>
              </w:rPr>
            </w:pPr>
          </w:p>
        </w:tc>
        <w:tc>
          <w:tcPr>
            <w:tcW w:w="1403" w:type="dxa"/>
            <w:tcBorders>
              <w:top w:val="nil"/>
              <w:left w:val="nil"/>
              <w:bottom w:val="single" w:color="auto" w:sz="4" w:space="0"/>
              <w:right w:val="single" w:color="auto" w:sz="4" w:space="0"/>
            </w:tcBorders>
            <w:vAlign w:val="center"/>
          </w:tcPr>
          <w:p w14:paraId="52910241">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926" w:type="dxa"/>
            <w:tcBorders>
              <w:top w:val="nil"/>
              <w:left w:val="nil"/>
              <w:bottom w:val="single" w:color="auto" w:sz="4" w:space="0"/>
              <w:right w:val="single" w:color="auto" w:sz="4" w:space="0"/>
            </w:tcBorders>
            <w:vAlign w:val="center"/>
          </w:tcPr>
          <w:p w14:paraId="201046E4">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643" w:type="dxa"/>
            <w:tcBorders>
              <w:top w:val="nil"/>
              <w:left w:val="nil"/>
              <w:bottom w:val="single" w:color="auto" w:sz="4" w:space="0"/>
              <w:right w:val="single" w:color="auto" w:sz="4" w:space="0"/>
            </w:tcBorders>
            <w:vAlign w:val="center"/>
          </w:tcPr>
          <w:p w14:paraId="2B7C530D">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2000≤Y＜10000</w:t>
            </w:r>
          </w:p>
        </w:tc>
        <w:tc>
          <w:tcPr>
            <w:tcW w:w="1460" w:type="dxa"/>
            <w:tcBorders>
              <w:top w:val="nil"/>
              <w:left w:val="nil"/>
              <w:bottom w:val="single" w:color="auto" w:sz="4" w:space="0"/>
              <w:right w:val="single" w:color="auto" w:sz="4" w:space="0"/>
            </w:tcBorders>
            <w:vAlign w:val="center"/>
          </w:tcPr>
          <w:p w14:paraId="5B8AD25E">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100≤Y＜2000</w:t>
            </w:r>
          </w:p>
        </w:tc>
        <w:tc>
          <w:tcPr>
            <w:tcW w:w="1347" w:type="dxa"/>
            <w:tcBorders>
              <w:top w:val="nil"/>
              <w:left w:val="nil"/>
              <w:bottom w:val="single" w:color="auto" w:sz="4" w:space="0"/>
              <w:right w:val="single" w:color="auto" w:sz="4" w:space="0"/>
            </w:tcBorders>
            <w:vAlign w:val="center"/>
          </w:tcPr>
          <w:p w14:paraId="77B54646">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Y＜100</w:t>
            </w:r>
          </w:p>
        </w:tc>
      </w:tr>
      <w:tr w14:paraId="7634F2AF">
        <w:tblPrEx>
          <w:tblCellMar>
            <w:top w:w="0" w:type="dxa"/>
            <w:left w:w="108" w:type="dxa"/>
            <w:bottom w:w="0" w:type="dxa"/>
            <w:right w:w="108" w:type="dxa"/>
          </w:tblCellMar>
        </w:tblPrEx>
        <w:trPr>
          <w:trHeight w:val="298" w:hRule="atLeast"/>
          <w:jc w:val="center"/>
        </w:trPr>
        <w:tc>
          <w:tcPr>
            <w:tcW w:w="2474" w:type="dxa"/>
            <w:vMerge w:val="restart"/>
            <w:tcBorders>
              <w:top w:val="nil"/>
              <w:left w:val="single" w:color="auto" w:sz="4" w:space="0"/>
              <w:bottom w:val="single" w:color="auto" w:sz="4" w:space="0"/>
              <w:right w:val="single" w:color="auto" w:sz="4" w:space="0"/>
            </w:tcBorders>
            <w:vAlign w:val="center"/>
          </w:tcPr>
          <w:p w14:paraId="78CDB3BC">
            <w:pPr>
              <w:widowControl/>
              <w:ind w:firstLine="361"/>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信息传输业</w:t>
            </w:r>
          </w:p>
        </w:tc>
        <w:tc>
          <w:tcPr>
            <w:tcW w:w="1403" w:type="dxa"/>
            <w:tcBorders>
              <w:top w:val="nil"/>
              <w:left w:val="nil"/>
              <w:bottom w:val="single" w:color="auto" w:sz="4" w:space="0"/>
              <w:right w:val="single" w:color="auto" w:sz="4" w:space="0"/>
            </w:tcBorders>
            <w:vAlign w:val="center"/>
          </w:tcPr>
          <w:p w14:paraId="0675268B">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926" w:type="dxa"/>
            <w:tcBorders>
              <w:top w:val="nil"/>
              <w:left w:val="nil"/>
              <w:bottom w:val="single" w:color="auto" w:sz="4" w:space="0"/>
              <w:right w:val="single" w:color="auto" w:sz="4" w:space="0"/>
            </w:tcBorders>
            <w:vAlign w:val="center"/>
          </w:tcPr>
          <w:p w14:paraId="57544BEE">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643" w:type="dxa"/>
            <w:tcBorders>
              <w:top w:val="nil"/>
              <w:left w:val="nil"/>
              <w:bottom w:val="single" w:color="auto" w:sz="4" w:space="0"/>
              <w:right w:val="single" w:color="auto" w:sz="4" w:space="0"/>
            </w:tcBorders>
            <w:vAlign w:val="center"/>
          </w:tcPr>
          <w:p w14:paraId="57F1D475">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100≤X＜2000</w:t>
            </w:r>
          </w:p>
        </w:tc>
        <w:tc>
          <w:tcPr>
            <w:tcW w:w="1460" w:type="dxa"/>
            <w:tcBorders>
              <w:top w:val="nil"/>
              <w:left w:val="nil"/>
              <w:bottom w:val="single" w:color="auto" w:sz="4" w:space="0"/>
              <w:right w:val="single" w:color="auto" w:sz="4" w:space="0"/>
            </w:tcBorders>
            <w:vAlign w:val="center"/>
          </w:tcPr>
          <w:p w14:paraId="73707507">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10≤X＜100</w:t>
            </w:r>
          </w:p>
        </w:tc>
        <w:tc>
          <w:tcPr>
            <w:tcW w:w="1347" w:type="dxa"/>
            <w:tcBorders>
              <w:top w:val="nil"/>
              <w:left w:val="nil"/>
              <w:bottom w:val="single" w:color="auto" w:sz="4" w:space="0"/>
              <w:right w:val="single" w:color="auto" w:sz="4" w:space="0"/>
            </w:tcBorders>
            <w:vAlign w:val="center"/>
          </w:tcPr>
          <w:p w14:paraId="3C46764B">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X＜10</w:t>
            </w:r>
          </w:p>
        </w:tc>
      </w:tr>
      <w:tr w14:paraId="23C0FA7C">
        <w:tblPrEx>
          <w:tblCellMar>
            <w:top w:w="0" w:type="dxa"/>
            <w:left w:w="108" w:type="dxa"/>
            <w:bottom w:w="0" w:type="dxa"/>
            <w:right w:w="108" w:type="dxa"/>
          </w:tblCellMar>
        </w:tblPrEx>
        <w:trPr>
          <w:trHeight w:val="298" w:hRule="atLeast"/>
          <w:jc w:val="center"/>
        </w:trPr>
        <w:tc>
          <w:tcPr>
            <w:tcW w:w="2474" w:type="dxa"/>
            <w:vMerge w:val="continue"/>
            <w:tcBorders>
              <w:top w:val="nil"/>
              <w:left w:val="single" w:color="auto" w:sz="4" w:space="0"/>
              <w:bottom w:val="single" w:color="auto" w:sz="4" w:space="0"/>
              <w:right w:val="single" w:color="auto" w:sz="4" w:space="0"/>
            </w:tcBorders>
            <w:vAlign w:val="center"/>
          </w:tcPr>
          <w:p w14:paraId="684F22CD">
            <w:pPr>
              <w:widowControl/>
              <w:ind w:firstLine="360"/>
              <w:jc w:val="center"/>
              <w:rPr>
                <w:rFonts w:hint="eastAsia" w:ascii="宋体" w:hAnsi="宋体" w:eastAsia="宋体" w:cs="宋体"/>
                <w:b/>
                <w:bCs/>
                <w:kern w:val="0"/>
                <w:sz w:val="18"/>
                <w:szCs w:val="18"/>
              </w:rPr>
            </w:pPr>
          </w:p>
        </w:tc>
        <w:tc>
          <w:tcPr>
            <w:tcW w:w="1403" w:type="dxa"/>
            <w:tcBorders>
              <w:top w:val="nil"/>
              <w:left w:val="nil"/>
              <w:bottom w:val="single" w:color="auto" w:sz="4" w:space="0"/>
              <w:right w:val="single" w:color="auto" w:sz="4" w:space="0"/>
            </w:tcBorders>
            <w:vAlign w:val="center"/>
          </w:tcPr>
          <w:p w14:paraId="3EF6FCCC">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926" w:type="dxa"/>
            <w:tcBorders>
              <w:top w:val="nil"/>
              <w:left w:val="nil"/>
              <w:bottom w:val="single" w:color="auto" w:sz="4" w:space="0"/>
              <w:right w:val="single" w:color="auto" w:sz="4" w:space="0"/>
            </w:tcBorders>
            <w:vAlign w:val="center"/>
          </w:tcPr>
          <w:p w14:paraId="244CEE49">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643" w:type="dxa"/>
            <w:tcBorders>
              <w:top w:val="nil"/>
              <w:left w:val="nil"/>
              <w:bottom w:val="single" w:color="auto" w:sz="4" w:space="0"/>
              <w:right w:val="single" w:color="auto" w:sz="4" w:space="0"/>
            </w:tcBorders>
            <w:vAlign w:val="center"/>
          </w:tcPr>
          <w:p w14:paraId="365E27A2">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1000≤Y＜100000</w:t>
            </w:r>
          </w:p>
        </w:tc>
        <w:tc>
          <w:tcPr>
            <w:tcW w:w="1460" w:type="dxa"/>
            <w:tcBorders>
              <w:top w:val="nil"/>
              <w:left w:val="nil"/>
              <w:bottom w:val="single" w:color="auto" w:sz="4" w:space="0"/>
              <w:right w:val="single" w:color="auto" w:sz="4" w:space="0"/>
            </w:tcBorders>
            <w:vAlign w:val="center"/>
          </w:tcPr>
          <w:p w14:paraId="552345C5">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100≤Y＜1000</w:t>
            </w:r>
          </w:p>
        </w:tc>
        <w:tc>
          <w:tcPr>
            <w:tcW w:w="1347" w:type="dxa"/>
            <w:tcBorders>
              <w:top w:val="nil"/>
              <w:left w:val="nil"/>
              <w:bottom w:val="single" w:color="auto" w:sz="4" w:space="0"/>
              <w:right w:val="single" w:color="auto" w:sz="4" w:space="0"/>
            </w:tcBorders>
            <w:vAlign w:val="center"/>
          </w:tcPr>
          <w:p w14:paraId="45388130">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Y＜100</w:t>
            </w:r>
          </w:p>
        </w:tc>
      </w:tr>
      <w:tr w14:paraId="12D2488C">
        <w:tblPrEx>
          <w:tblCellMar>
            <w:top w:w="0" w:type="dxa"/>
            <w:left w:w="108" w:type="dxa"/>
            <w:bottom w:w="0" w:type="dxa"/>
            <w:right w:w="108" w:type="dxa"/>
          </w:tblCellMar>
        </w:tblPrEx>
        <w:trPr>
          <w:trHeight w:val="298" w:hRule="atLeast"/>
          <w:jc w:val="center"/>
        </w:trPr>
        <w:tc>
          <w:tcPr>
            <w:tcW w:w="2474" w:type="dxa"/>
            <w:vMerge w:val="restart"/>
            <w:tcBorders>
              <w:top w:val="nil"/>
              <w:left w:val="single" w:color="auto" w:sz="4" w:space="0"/>
              <w:bottom w:val="single" w:color="auto" w:sz="4" w:space="0"/>
              <w:right w:val="single" w:color="auto" w:sz="4" w:space="0"/>
            </w:tcBorders>
            <w:vAlign w:val="center"/>
          </w:tcPr>
          <w:p w14:paraId="3D563E0A">
            <w:pPr>
              <w:widowControl/>
              <w:ind w:firstLine="361"/>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软件和信息技术服务业</w:t>
            </w:r>
          </w:p>
        </w:tc>
        <w:tc>
          <w:tcPr>
            <w:tcW w:w="1403" w:type="dxa"/>
            <w:tcBorders>
              <w:top w:val="nil"/>
              <w:left w:val="nil"/>
              <w:bottom w:val="single" w:color="auto" w:sz="4" w:space="0"/>
              <w:right w:val="single" w:color="auto" w:sz="4" w:space="0"/>
            </w:tcBorders>
            <w:vAlign w:val="center"/>
          </w:tcPr>
          <w:p w14:paraId="3096DB0D">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926" w:type="dxa"/>
            <w:tcBorders>
              <w:top w:val="nil"/>
              <w:left w:val="nil"/>
              <w:bottom w:val="single" w:color="auto" w:sz="4" w:space="0"/>
              <w:right w:val="single" w:color="auto" w:sz="4" w:space="0"/>
            </w:tcBorders>
            <w:vAlign w:val="center"/>
          </w:tcPr>
          <w:p w14:paraId="265E5E43">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643" w:type="dxa"/>
            <w:tcBorders>
              <w:top w:val="nil"/>
              <w:left w:val="nil"/>
              <w:bottom w:val="single" w:color="auto" w:sz="4" w:space="0"/>
              <w:right w:val="single" w:color="auto" w:sz="4" w:space="0"/>
            </w:tcBorders>
            <w:vAlign w:val="center"/>
          </w:tcPr>
          <w:p w14:paraId="0D52F055">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100≤X＜300</w:t>
            </w:r>
          </w:p>
        </w:tc>
        <w:tc>
          <w:tcPr>
            <w:tcW w:w="1460" w:type="dxa"/>
            <w:tcBorders>
              <w:top w:val="nil"/>
              <w:left w:val="nil"/>
              <w:bottom w:val="single" w:color="auto" w:sz="4" w:space="0"/>
              <w:right w:val="single" w:color="auto" w:sz="4" w:space="0"/>
            </w:tcBorders>
            <w:vAlign w:val="center"/>
          </w:tcPr>
          <w:p w14:paraId="41DAA500">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10≤X＜100</w:t>
            </w:r>
          </w:p>
        </w:tc>
        <w:tc>
          <w:tcPr>
            <w:tcW w:w="1347" w:type="dxa"/>
            <w:tcBorders>
              <w:top w:val="nil"/>
              <w:left w:val="nil"/>
              <w:bottom w:val="single" w:color="auto" w:sz="4" w:space="0"/>
              <w:right w:val="single" w:color="auto" w:sz="4" w:space="0"/>
            </w:tcBorders>
            <w:vAlign w:val="center"/>
          </w:tcPr>
          <w:p w14:paraId="7BF8CCB5">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X＜10</w:t>
            </w:r>
          </w:p>
        </w:tc>
      </w:tr>
      <w:tr w14:paraId="3A8DEEBD">
        <w:tblPrEx>
          <w:tblCellMar>
            <w:top w:w="0" w:type="dxa"/>
            <w:left w:w="108" w:type="dxa"/>
            <w:bottom w:w="0" w:type="dxa"/>
            <w:right w:w="108" w:type="dxa"/>
          </w:tblCellMar>
        </w:tblPrEx>
        <w:trPr>
          <w:trHeight w:val="298" w:hRule="atLeast"/>
          <w:jc w:val="center"/>
        </w:trPr>
        <w:tc>
          <w:tcPr>
            <w:tcW w:w="2474" w:type="dxa"/>
            <w:vMerge w:val="continue"/>
            <w:tcBorders>
              <w:top w:val="nil"/>
              <w:left w:val="single" w:color="auto" w:sz="4" w:space="0"/>
              <w:bottom w:val="single" w:color="auto" w:sz="4" w:space="0"/>
              <w:right w:val="single" w:color="auto" w:sz="4" w:space="0"/>
            </w:tcBorders>
            <w:vAlign w:val="center"/>
          </w:tcPr>
          <w:p w14:paraId="2835E207">
            <w:pPr>
              <w:widowControl/>
              <w:ind w:firstLine="360"/>
              <w:jc w:val="center"/>
              <w:rPr>
                <w:rFonts w:hint="eastAsia" w:ascii="宋体" w:hAnsi="宋体" w:eastAsia="宋体" w:cs="宋体"/>
                <w:b/>
                <w:bCs/>
                <w:kern w:val="0"/>
                <w:sz w:val="18"/>
                <w:szCs w:val="18"/>
              </w:rPr>
            </w:pPr>
          </w:p>
        </w:tc>
        <w:tc>
          <w:tcPr>
            <w:tcW w:w="1403" w:type="dxa"/>
            <w:tcBorders>
              <w:top w:val="nil"/>
              <w:left w:val="nil"/>
              <w:bottom w:val="single" w:color="auto" w:sz="4" w:space="0"/>
              <w:right w:val="single" w:color="auto" w:sz="4" w:space="0"/>
            </w:tcBorders>
            <w:vAlign w:val="center"/>
          </w:tcPr>
          <w:p w14:paraId="362CDEBD">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926" w:type="dxa"/>
            <w:tcBorders>
              <w:top w:val="nil"/>
              <w:left w:val="nil"/>
              <w:bottom w:val="single" w:color="auto" w:sz="4" w:space="0"/>
              <w:right w:val="single" w:color="auto" w:sz="4" w:space="0"/>
            </w:tcBorders>
            <w:vAlign w:val="center"/>
          </w:tcPr>
          <w:p w14:paraId="7269DB57">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643" w:type="dxa"/>
            <w:tcBorders>
              <w:top w:val="nil"/>
              <w:left w:val="nil"/>
              <w:bottom w:val="single" w:color="auto" w:sz="4" w:space="0"/>
              <w:right w:val="single" w:color="auto" w:sz="4" w:space="0"/>
            </w:tcBorders>
            <w:vAlign w:val="center"/>
          </w:tcPr>
          <w:p w14:paraId="62107AE9">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1000≤Y＜10000</w:t>
            </w:r>
          </w:p>
        </w:tc>
        <w:tc>
          <w:tcPr>
            <w:tcW w:w="1460" w:type="dxa"/>
            <w:tcBorders>
              <w:top w:val="nil"/>
              <w:left w:val="nil"/>
              <w:bottom w:val="single" w:color="auto" w:sz="4" w:space="0"/>
              <w:right w:val="single" w:color="auto" w:sz="4" w:space="0"/>
            </w:tcBorders>
            <w:vAlign w:val="center"/>
          </w:tcPr>
          <w:p w14:paraId="2D482279">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50≤Y＜1000</w:t>
            </w:r>
          </w:p>
        </w:tc>
        <w:tc>
          <w:tcPr>
            <w:tcW w:w="1347" w:type="dxa"/>
            <w:tcBorders>
              <w:top w:val="nil"/>
              <w:left w:val="nil"/>
              <w:bottom w:val="single" w:color="auto" w:sz="4" w:space="0"/>
              <w:right w:val="single" w:color="auto" w:sz="4" w:space="0"/>
            </w:tcBorders>
            <w:vAlign w:val="center"/>
          </w:tcPr>
          <w:p w14:paraId="435F5007">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Y＜50</w:t>
            </w:r>
          </w:p>
        </w:tc>
      </w:tr>
      <w:tr w14:paraId="7B4BE2DB">
        <w:tblPrEx>
          <w:tblCellMar>
            <w:top w:w="0" w:type="dxa"/>
            <w:left w:w="108" w:type="dxa"/>
            <w:bottom w:w="0" w:type="dxa"/>
            <w:right w:w="108" w:type="dxa"/>
          </w:tblCellMar>
        </w:tblPrEx>
        <w:trPr>
          <w:trHeight w:val="298" w:hRule="atLeast"/>
          <w:jc w:val="center"/>
        </w:trPr>
        <w:tc>
          <w:tcPr>
            <w:tcW w:w="2474" w:type="dxa"/>
            <w:vMerge w:val="restart"/>
            <w:tcBorders>
              <w:top w:val="nil"/>
              <w:left w:val="single" w:color="auto" w:sz="4" w:space="0"/>
              <w:bottom w:val="single" w:color="auto" w:sz="4" w:space="0"/>
              <w:right w:val="single" w:color="auto" w:sz="4" w:space="0"/>
            </w:tcBorders>
            <w:vAlign w:val="center"/>
          </w:tcPr>
          <w:p w14:paraId="720CAC76">
            <w:pPr>
              <w:widowControl/>
              <w:ind w:firstLine="361"/>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房地产开发经营</w:t>
            </w:r>
          </w:p>
        </w:tc>
        <w:tc>
          <w:tcPr>
            <w:tcW w:w="1403" w:type="dxa"/>
            <w:tcBorders>
              <w:top w:val="nil"/>
              <w:left w:val="nil"/>
              <w:bottom w:val="single" w:color="auto" w:sz="4" w:space="0"/>
              <w:right w:val="single" w:color="auto" w:sz="4" w:space="0"/>
            </w:tcBorders>
            <w:vAlign w:val="center"/>
          </w:tcPr>
          <w:p w14:paraId="6B4128F8">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926" w:type="dxa"/>
            <w:tcBorders>
              <w:top w:val="nil"/>
              <w:left w:val="nil"/>
              <w:bottom w:val="single" w:color="auto" w:sz="4" w:space="0"/>
              <w:right w:val="single" w:color="auto" w:sz="4" w:space="0"/>
            </w:tcBorders>
            <w:vAlign w:val="center"/>
          </w:tcPr>
          <w:p w14:paraId="3DCDA6E8">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643" w:type="dxa"/>
            <w:tcBorders>
              <w:top w:val="nil"/>
              <w:left w:val="nil"/>
              <w:bottom w:val="single" w:color="auto" w:sz="4" w:space="0"/>
              <w:right w:val="single" w:color="auto" w:sz="4" w:space="0"/>
            </w:tcBorders>
            <w:vAlign w:val="center"/>
          </w:tcPr>
          <w:p w14:paraId="1588F304">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1000≤Y＜200000</w:t>
            </w:r>
          </w:p>
        </w:tc>
        <w:tc>
          <w:tcPr>
            <w:tcW w:w="1460" w:type="dxa"/>
            <w:tcBorders>
              <w:top w:val="nil"/>
              <w:left w:val="nil"/>
              <w:bottom w:val="single" w:color="auto" w:sz="4" w:space="0"/>
              <w:right w:val="single" w:color="auto" w:sz="4" w:space="0"/>
            </w:tcBorders>
            <w:vAlign w:val="center"/>
          </w:tcPr>
          <w:p w14:paraId="41DFA709">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100≤X＜1000</w:t>
            </w:r>
          </w:p>
        </w:tc>
        <w:tc>
          <w:tcPr>
            <w:tcW w:w="1347" w:type="dxa"/>
            <w:tcBorders>
              <w:top w:val="nil"/>
              <w:left w:val="nil"/>
              <w:bottom w:val="single" w:color="auto" w:sz="4" w:space="0"/>
              <w:right w:val="single" w:color="auto" w:sz="4" w:space="0"/>
            </w:tcBorders>
            <w:vAlign w:val="center"/>
          </w:tcPr>
          <w:p w14:paraId="3C17E228">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X＜100</w:t>
            </w:r>
          </w:p>
        </w:tc>
      </w:tr>
      <w:tr w14:paraId="642FD005">
        <w:tblPrEx>
          <w:tblCellMar>
            <w:top w:w="0" w:type="dxa"/>
            <w:left w:w="108" w:type="dxa"/>
            <w:bottom w:w="0" w:type="dxa"/>
            <w:right w:w="108" w:type="dxa"/>
          </w:tblCellMar>
        </w:tblPrEx>
        <w:trPr>
          <w:trHeight w:val="298" w:hRule="atLeast"/>
          <w:jc w:val="center"/>
        </w:trPr>
        <w:tc>
          <w:tcPr>
            <w:tcW w:w="2474" w:type="dxa"/>
            <w:vMerge w:val="continue"/>
            <w:tcBorders>
              <w:top w:val="nil"/>
              <w:left w:val="single" w:color="auto" w:sz="4" w:space="0"/>
              <w:bottom w:val="single" w:color="auto" w:sz="4" w:space="0"/>
              <w:right w:val="single" w:color="auto" w:sz="4" w:space="0"/>
            </w:tcBorders>
            <w:vAlign w:val="center"/>
          </w:tcPr>
          <w:p w14:paraId="294AF2F5">
            <w:pPr>
              <w:widowControl/>
              <w:ind w:firstLine="360"/>
              <w:jc w:val="center"/>
              <w:rPr>
                <w:rFonts w:hint="eastAsia" w:ascii="宋体" w:hAnsi="宋体" w:eastAsia="宋体" w:cs="宋体"/>
                <w:b/>
                <w:bCs/>
                <w:kern w:val="0"/>
                <w:sz w:val="18"/>
                <w:szCs w:val="18"/>
              </w:rPr>
            </w:pPr>
          </w:p>
        </w:tc>
        <w:tc>
          <w:tcPr>
            <w:tcW w:w="1403" w:type="dxa"/>
            <w:tcBorders>
              <w:top w:val="nil"/>
              <w:left w:val="nil"/>
              <w:bottom w:val="single" w:color="auto" w:sz="4" w:space="0"/>
              <w:right w:val="single" w:color="auto" w:sz="4" w:space="0"/>
            </w:tcBorders>
            <w:vAlign w:val="center"/>
          </w:tcPr>
          <w:p w14:paraId="3B575D2C">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资产总额（Z）</w:t>
            </w:r>
          </w:p>
        </w:tc>
        <w:tc>
          <w:tcPr>
            <w:tcW w:w="926" w:type="dxa"/>
            <w:tcBorders>
              <w:top w:val="nil"/>
              <w:left w:val="nil"/>
              <w:bottom w:val="single" w:color="auto" w:sz="4" w:space="0"/>
              <w:right w:val="single" w:color="auto" w:sz="4" w:space="0"/>
            </w:tcBorders>
            <w:vAlign w:val="center"/>
          </w:tcPr>
          <w:p w14:paraId="219E355B">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643" w:type="dxa"/>
            <w:tcBorders>
              <w:top w:val="nil"/>
              <w:left w:val="nil"/>
              <w:bottom w:val="single" w:color="auto" w:sz="4" w:space="0"/>
              <w:right w:val="single" w:color="auto" w:sz="4" w:space="0"/>
            </w:tcBorders>
            <w:vAlign w:val="center"/>
          </w:tcPr>
          <w:p w14:paraId="4D71ABC4">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5000≤Z＜10000</w:t>
            </w:r>
          </w:p>
        </w:tc>
        <w:tc>
          <w:tcPr>
            <w:tcW w:w="1460" w:type="dxa"/>
            <w:tcBorders>
              <w:top w:val="nil"/>
              <w:left w:val="nil"/>
              <w:bottom w:val="single" w:color="auto" w:sz="4" w:space="0"/>
              <w:right w:val="single" w:color="auto" w:sz="4" w:space="0"/>
            </w:tcBorders>
            <w:vAlign w:val="center"/>
          </w:tcPr>
          <w:p w14:paraId="1CD75187">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2000≤Y＜5000</w:t>
            </w:r>
          </w:p>
        </w:tc>
        <w:tc>
          <w:tcPr>
            <w:tcW w:w="1347" w:type="dxa"/>
            <w:tcBorders>
              <w:top w:val="nil"/>
              <w:left w:val="nil"/>
              <w:bottom w:val="single" w:color="auto" w:sz="4" w:space="0"/>
              <w:right w:val="single" w:color="auto" w:sz="4" w:space="0"/>
            </w:tcBorders>
            <w:vAlign w:val="center"/>
          </w:tcPr>
          <w:p w14:paraId="0B5F5AEC">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Y＜2000</w:t>
            </w:r>
          </w:p>
        </w:tc>
      </w:tr>
      <w:tr w14:paraId="33915CB0">
        <w:tblPrEx>
          <w:tblCellMar>
            <w:top w:w="0" w:type="dxa"/>
            <w:left w:w="108" w:type="dxa"/>
            <w:bottom w:w="0" w:type="dxa"/>
            <w:right w:w="108" w:type="dxa"/>
          </w:tblCellMar>
        </w:tblPrEx>
        <w:trPr>
          <w:trHeight w:val="298" w:hRule="atLeast"/>
          <w:jc w:val="center"/>
        </w:trPr>
        <w:tc>
          <w:tcPr>
            <w:tcW w:w="2474" w:type="dxa"/>
            <w:vMerge w:val="restart"/>
            <w:tcBorders>
              <w:top w:val="nil"/>
              <w:left w:val="single" w:color="auto" w:sz="4" w:space="0"/>
              <w:bottom w:val="single" w:color="auto" w:sz="4" w:space="0"/>
              <w:right w:val="single" w:color="auto" w:sz="4" w:space="0"/>
            </w:tcBorders>
            <w:vAlign w:val="center"/>
          </w:tcPr>
          <w:p w14:paraId="194C4A2D">
            <w:pPr>
              <w:widowControl/>
              <w:ind w:firstLine="361"/>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物业管理</w:t>
            </w:r>
          </w:p>
        </w:tc>
        <w:tc>
          <w:tcPr>
            <w:tcW w:w="1403" w:type="dxa"/>
            <w:tcBorders>
              <w:top w:val="nil"/>
              <w:left w:val="nil"/>
              <w:bottom w:val="single" w:color="auto" w:sz="4" w:space="0"/>
              <w:right w:val="single" w:color="auto" w:sz="4" w:space="0"/>
            </w:tcBorders>
            <w:vAlign w:val="center"/>
          </w:tcPr>
          <w:p w14:paraId="1EC66B94">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926" w:type="dxa"/>
            <w:tcBorders>
              <w:top w:val="nil"/>
              <w:left w:val="nil"/>
              <w:bottom w:val="single" w:color="auto" w:sz="4" w:space="0"/>
              <w:right w:val="single" w:color="auto" w:sz="4" w:space="0"/>
            </w:tcBorders>
            <w:vAlign w:val="center"/>
          </w:tcPr>
          <w:p w14:paraId="3D19CE54">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643" w:type="dxa"/>
            <w:tcBorders>
              <w:top w:val="nil"/>
              <w:left w:val="nil"/>
              <w:bottom w:val="single" w:color="auto" w:sz="4" w:space="0"/>
              <w:right w:val="single" w:color="auto" w:sz="4" w:space="0"/>
            </w:tcBorders>
            <w:vAlign w:val="center"/>
          </w:tcPr>
          <w:p w14:paraId="220D43E2">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300≤X＜1000</w:t>
            </w:r>
          </w:p>
        </w:tc>
        <w:tc>
          <w:tcPr>
            <w:tcW w:w="1460" w:type="dxa"/>
            <w:tcBorders>
              <w:top w:val="nil"/>
              <w:left w:val="nil"/>
              <w:bottom w:val="single" w:color="auto" w:sz="4" w:space="0"/>
              <w:right w:val="single" w:color="auto" w:sz="4" w:space="0"/>
            </w:tcBorders>
            <w:vAlign w:val="center"/>
          </w:tcPr>
          <w:p w14:paraId="71F206FF">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100≤X＜300</w:t>
            </w:r>
          </w:p>
        </w:tc>
        <w:tc>
          <w:tcPr>
            <w:tcW w:w="1347" w:type="dxa"/>
            <w:tcBorders>
              <w:top w:val="nil"/>
              <w:left w:val="nil"/>
              <w:bottom w:val="single" w:color="auto" w:sz="4" w:space="0"/>
              <w:right w:val="single" w:color="auto" w:sz="4" w:space="0"/>
            </w:tcBorders>
            <w:vAlign w:val="center"/>
          </w:tcPr>
          <w:p w14:paraId="6D0352EE">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X＜100</w:t>
            </w:r>
          </w:p>
        </w:tc>
      </w:tr>
      <w:tr w14:paraId="2E5BCE1D">
        <w:tblPrEx>
          <w:tblCellMar>
            <w:top w:w="0" w:type="dxa"/>
            <w:left w:w="108" w:type="dxa"/>
            <w:bottom w:w="0" w:type="dxa"/>
            <w:right w:w="108" w:type="dxa"/>
          </w:tblCellMar>
        </w:tblPrEx>
        <w:trPr>
          <w:trHeight w:val="298" w:hRule="atLeast"/>
          <w:jc w:val="center"/>
        </w:trPr>
        <w:tc>
          <w:tcPr>
            <w:tcW w:w="2474" w:type="dxa"/>
            <w:vMerge w:val="continue"/>
            <w:tcBorders>
              <w:top w:val="nil"/>
              <w:left w:val="single" w:color="auto" w:sz="4" w:space="0"/>
              <w:bottom w:val="single" w:color="auto" w:sz="4" w:space="0"/>
              <w:right w:val="single" w:color="auto" w:sz="4" w:space="0"/>
            </w:tcBorders>
            <w:vAlign w:val="center"/>
          </w:tcPr>
          <w:p w14:paraId="6A9D98E3">
            <w:pPr>
              <w:widowControl/>
              <w:ind w:firstLine="360"/>
              <w:jc w:val="center"/>
              <w:rPr>
                <w:rFonts w:hint="eastAsia" w:ascii="宋体" w:hAnsi="宋体" w:eastAsia="宋体" w:cs="宋体"/>
                <w:b/>
                <w:bCs/>
                <w:kern w:val="0"/>
                <w:sz w:val="18"/>
                <w:szCs w:val="18"/>
              </w:rPr>
            </w:pPr>
          </w:p>
        </w:tc>
        <w:tc>
          <w:tcPr>
            <w:tcW w:w="1403" w:type="dxa"/>
            <w:tcBorders>
              <w:top w:val="nil"/>
              <w:left w:val="nil"/>
              <w:bottom w:val="single" w:color="auto" w:sz="4" w:space="0"/>
              <w:right w:val="single" w:color="auto" w:sz="4" w:space="0"/>
            </w:tcBorders>
            <w:vAlign w:val="center"/>
          </w:tcPr>
          <w:p w14:paraId="3AFF2B36">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926" w:type="dxa"/>
            <w:tcBorders>
              <w:top w:val="nil"/>
              <w:left w:val="nil"/>
              <w:bottom w:val="single" w:color="auto" w:sz="4" w:space="0"/>
              <w:right w:val="single" w:color="auto" w:sz="4" w:space="0"/>
            </w:tcBorders>
            <w:vAlign w:val="center"/>
          </w:tcPr>
          <w:p w14:paraId="6A297BEC">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643" w:type="dxa"/>
            <w:tcBorders>
              <w:top w:val="nil"/>
              <w:left w:val="nil"/>
              <w:bottom w:val="single" w:color="auto" w:sz="4" w:space="0"/>
              <w:right w:val="single" w:color="auto" w:sz="4" w:space="0"/>
            </w:tcBorders>
            <w:vAlign w:val="center"/>
          </w:tcPr>
          <w:p w14:paraId="54840D9C">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1000≤Y＜5000</w:t>
            </w:r>
          </w:p>
        </w:tc>
        <w:tc>
          <w:tcPr>
            <w:tcW w:w="1460" w:type="dxa"/>
            <w:tcBorders>
              <w:top w:val="nil"/>
              <w:left w:val="nil"/>
              <w:bottom w:val="single" w:color="auto" w:sz="4" w:space="0"/>
              <w:right w:val="single" w:color="auto" w:sz="4" w:space="0"/>
            </w:tcBorders>
            <w:vAlign w:val="center"/>
          </w:tcPr>
          <w:p w14:paraId="690B03B1">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500≤Y＜1000</w:t>
            </w:r>
          </w:p>
        </w:tc>
        <w:tc>
          <w:tcPr>
            <w:tcW w:w="1347" w:type="dxa"/>
            <w:tcBorders>
              <w:top w:val="nil"/>
              <w:left w:val="nil"/>
              <w:bottom w:val="single" w:color="auto" w:sz="4" w:space="0"/>
              <w:right w:val="single" w:color="auto" w:sz="4" w:space="0"/>
            </w:tcBorders>
            <w:vAlign w:val="center"/>
          </w:tcPr>
          <w:p w14:paraId="66999E53">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Y＜500</w:t>
            </w:r>
          </w:p>
        </w:tc>
      </w:tr>
      <w:tr w14:paraId="7E628A53">
        <w:tblPrEx>
          <w:tblCellMar>
            <w:top w:w="0" w:type="dxa"/>
            <w:left w:w="108" w:type="dxa"/>
            <w:bottom w:w="0" w:type="dxa"/>
            <w:right w:w="108" w:type="dxa"/>
          </w:tblCellMar>
        </w:tblPrEx>
        <w:trPr>
          <w:trHeight w:val="298" w:hRule="atLeast"/>
          <w:jc w:val="center"/>
        </w:trPr>
        <w:tc>
          <w:tcPr>
            <w:tcW w:w="2474" w:type="dxa"/>
            <w:vMerge w:val="restart"/>
            <w:tcBorders>
              <w:top w:val="nil"/>
              <w:left w:val="single" w:color="auto" w:sz="4" w:space="0"/>
              <w:bottom w:val="single" w:color="auto" w:sz="4" w:space="0"/>
              <w:right w:val="single" w:color="auto" w:sz="4" w:space="0"/>
            </w:tcBorders>
            <w:vAlign w:val="center"/>
          </w:tcPr>
          <w:p w14:paraId="12FF00F6">
            <w:pPr>
              <w:widowControl/>
              <w:ind w:firstLine="361"/>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租赁和商务服务业</w:t>
            </w:r>
          </w:p>
        </w:tc>
        <w:tc>
          <w:tcPr>
            <w:tcW w:w="1403" w:type="dxa"/>
            <w:tcBorders>
              <w:top w:val="nil"/>
              <w:left w:val="nil"/>
              <w:bottom w:val="single" w:color="auto" w:sz="4" w:space="0"/>
              <w:right w:val="single" w:color="auto" w:sz="4" w:space="0"/>
            </w:tcBorders>
            <w:vAlign w:val="center"/>
          </w:tcPr>
          <w:p w14:paraId="5BD48959">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926" w:type="dxa"/>
            <w:tcBorders>
              <w:top w:val="nil"/>
              <w:left w:val="nil"/>
              <w:bottom w:val="single" w:color="auto" w:sz="4" w:space="0"/>
              <w:right w:val="single" w:color="auto" w:sz="4" w:space="0"/>
            </w:tcBorders>
            <w:vAlign w:val="center"/>
          </w:tcPr>
          <w:p w14:paraId="03A60D14">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643" w:type="dxa"/>
            <w:tcBorders>
              <w:top w:val="nil"/>
              <w:left w:val="nil"/>
              <w:bottom w:val="single" w:color="auto" w:sz="4" w:space="0"/>
              <w:right w:val="single" w:color="auto" w:sz="4" w:space="0"/>
            </w:tcBorders>
            <w:vAlign w:val="center"/>
          </w:tcPr>
          <w:p w14:paraId="14506167">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100≤X＜300</w:t>
            </w:r>
          </w:p>
        </w:tc>
        <w:tc>
          <w:tcPr>
            <w:tcW w:w="1460" w:type="dxa"/>
            <w:tcBorders>
              <w:top w:val="nil"/>
              <w:left w:val="nil"/>
              <w:bottom w:val="single" w:color="auto" w:sz="4" w:space="0"/>
              <w:right w:val="single" w:color="auto" w:sz="4" w:space="0"/>
            </w:tcBorders>
            <w:vAlign w:val="center"/>
          </w:tcPr>
          <w:p w14:paraId="6AB57B8A">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10≤X＜100</w:t>
            </w:r>
          </w:p>
        </w:tc>
        <w:tc>
          <w:tcPr>
            <w:tcW w:w="1347" w:type="dxa"/>
            <w:tcBorders>
              <w:top w:val="nil"/>
              <w:left w:val="nil"/>
              <w:bottom w:val="single" w:color="auto" w:sz="4" w:space="0"/>
              <w:right w:val="single" w:color="auto" w:sz="4" w:space="0"/>
            </w:tcBorders>
            <w:vAlign w:val="center"/>
          </w:tcPr>
          <w:p w14:paraId="4F515624">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X＜10</w:t>
            </w:r>
          </w:p>
        </w:tc>
      </w:tr>
      <w:tr w14:paraId="796D1DD2">
        <w:tblPrEx>
          <w:tblCellMar>
            <w:top w:w="0" w:type="dxa"/>
            <w:left w:w="108" w:type="dxa"/>
            <w:bottom w:w="0" w:type="dxa"/>
            <w:right w:w="108" w:type="dxa"/>
          </w:tblCellMar>
        </w:tblPrEx>
        <w:trPr>
          <w:trHeight w:val="298" w:hRule="atLeast"/>
          <w:jc w:val="center"/>
        </w:trPr>
        <w:tc>
          <w:tcPr>
            <w:tcW w:w="2474" w:type="dxa"/>
            <w:vMerge w:val="continue"/>
            <w:tcBorders>
              <w:top w:val="nil"/>
              <w:left w:val="single" w:color="auto" w:sz="4" w:space="0"/>
              <w:bottom w:val="single" w:color="auto" w:sz="4" w:space="0"/>
              <w:right w:val="single" w:color="auto" w:sz="4" w:space="0"/>
            </w:tcBorders>
            <w:vAlign w:val="center"/>
          </w:tcPr>
          <w:p w14:paraId="25619DE5">
            <w:pPr>
              <w:widowControl/>
              <w:ind w:firstLine="360"/>
              <w:jc w:val="center"/>
              <w:rPr>
                <w:rFonts w:hint="eastAsia" w:ascii="宋体" w:hAnsi="宋体" w:eastAsia="宋体" w:cs="宋体"/>
                <w:b/>
                <w:bCs/>
                <w:kern w:val="0"/>
                <w:sz w:val="18"/>
                <w:szCs w:val="18"/>
              </w:rPr>
            </w:pPr>
          </w:p>
        </w:tc>
        <w:tc>
          <w:tcPr>
            <w:tcW w:w="1403" w:type="dxa"/>
            <w:tcBorders>
              <w:top w:val="nil"/>
              <w:left w:val="nil"/>
              <w:bottom w:val="single" w:color="auto" w:sz="4" w:space="0"/>
              <w:right w:val="single" w:color="auto" w:sz="4" w:space="0"/>
            </w:tcBorders>
            <w:vAlign w:val="center"/>
          </w:tcPr>
          <w:p w14:paraId="2CF32AE4">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资产总额（Z）</w:t>
            </w:r>
          </w:p>
        </w:tc>
        <w:tc>
          <w:tcPr>
            <w:tcW w:w="926" w:type="dxa"/>
            <w:tcBorders>
              <w:top w:val="nil"/>
              <w:left w:val="nil"/>
              <w:bottom w:val="single" w:color="auto" w:sz="4" w:space="0"/>
              <w:right w:val="single" w:color="auto" w:sz="4" w:space="0"/>
            </w:tcBorders>
            <w:vAlign w:val="center"/>
          </w:tcPr>
          <w:p w14:paraId="07C1385C">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643" w:type="dxa"/>
            <w:tcBorders>
              <w:top w:val="nil"/>
              <w:left w:val="nil"/>
              <w:bottom w:val="single" w:color="auto" w:sz="4" w:space="0"/>
              <w:right w:val="single" w:color="auto" w:sz="4" w:space="0"/>
            </w:tcBorders>
            <w:vAlign w:val="center"/>
          </w:tcPr>
          <w:p w14:paraId="1A9BD87F">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8000≤Z＜120000</w:t>
            </w:r>
          </w:p>
        </w:tc>
        <w:tc>
          <w:tcPr>
            <w:tcW w:w="1460" w:type="dxa"/>
            <w:tcBorders>
              <w:top w:val="nil"/>
              <w:left w:val="nil"/>
              <w:bottom w:val="single" w:color="auto" w:sz="4" w:space="0"/>
              <w:right w:val="single" w:color="auto" w:sz="4" w:space="0"/>
            </w:tcBorders>
            <w:vAlign w:val="center"/>
          </w:tcPr>
          <w:p w14:paraId="67CD4704">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100≤Z＜8000</w:t>
            </w:r>
          </w:p>
        </w:tc>
        <w:tc>
          <w:tcPr>
            <w:tcW w:w="1347" w:type="dxa"/>
            <w:tcBorders>
              <w:top w:val="nil"/>
              <w:left w:val="nil"/>
              <w:bottom w:val="single" w:color="auto" w:sz="4" w:space="0"/>
              <w:right w:val="single" w:color="auto" w:sz="4" w:space="0"/>
            </w:tcBorders>
            <w:vAlign w:val="center"/>
          </w:tcPr>
          <w:p w14:paraId="492A5E36">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Y＜100</w:t>
            </w:r>
          </w:p>
        </w:tc>
      </w:tr>
      <w:tr w14:paraId="263AE260">
        <w:tblPrEx>
          <w:tblCellMar>
            <w:top w:w="0" w:type="dxa"/>
            <w:left w:w="108" w:type="dxa"/>
            <w:bottom w:w="0" w:type="dxa"/>
            <w:right w:w="108" w:type="dxa"/>
          </w:tblCellMar>
        </w:tblPrEx>
        <w:trPr>
          <w:trHeight w:val="310" w:hRule="atLeast"/>
          <w:jc w:val="center"/>
        </w:trPr>
        <w:tc>
          <w:tcPr>
            <w:tcW w:w="2474" w:type="dxa"/>
            <w:tcBorders>
              <w:top w:val="nil"/>
              <w:left w:val="single" w:color="auto" w:sz="4" w:space="0"/>
              <w:bottom w:val="single" w:color="auto" w:sz="4" w:space="0"/>
              <w:right w:val="single" w:color="auto" w:sz="4" w:space="0"/>
            </w:tcBorders>
            <w:vAlign w:val="center"/>
          </w:tcPr>
          <w:p w14:paraId="6A1E0A2E">
            <w:pPr>
              <w:widowControl/>
              <w:ind w:firstLine="361"/>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其他未列明行业</w:t>
            </w:r>
          </w:p>
        </w:tc>
        <w:tc>
          <w:tcPr>
            <w:tcW w:w="1403" w:type="dxa"/>
            <w:tcBorders>
              <w:top w:val="nil"/>
              <w:left w:val="nil"/>
              <w:bottom w:val="single" w:color="auto" w:sz="4" w:space="0"/>
              <w:right w:val="single" w:color="auto" w:sz="4" w:space="0"/>
            </w:tcBorders>
            <w:vAlign w:val="center"/>
          </w:tcPr>
          <w:p w14:paraId="1D798185">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926" w:type="dxa"/>
            <w:tcBorders>
              <w:top w:val="nil"/>
              <w:left w:val="nil"/>
              <w:bottom w:val="single" w:color="auto" w:sz="4" w:space="0"/>
              <w:right w:val="single" w:color="auto" w:sz="4" w:space="0"/>
            </w:tcBorders>
            <w:vAlign w:val="center"/>
          </w:tcPr>
          <w:p w14:paraId="596A99FD">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643" w:type="dxa"/>
            <w:tcBorders>
              <w:top w:val="nil"/>
              <w:left w:val="nil"/>
              <w:bottom w:val="single" w:color="auto" w:sz="4" w:space="0"/>
              <w:right w:val="single" w:color="auto" w:sz="4" w:space="0"/>
            </w:tcBorders>
            <w:vAlign w:val="center"/>
          </w:tcPr>
          <w:p w14:paraId="69A27478">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100≤X＜300</w:t>
            </w:r>
          </w:p>
        </w:tc>
        <w:tc>
          <w:tcPr>
            <w:tcW w:w="1460" w:type="dxa"/>
            <w:tcBorders>
              <w:top w:val="nil"/>
              <w:left w:val="nil"/>
              <w:bottom w:val="single" w:color="auto" w:sz="4" w:space="0"/>
              <w:right w:val="single" w:color="auto" w:sz="4" w:space="0"/>
            </w:tcBorders>
            <w:vAlign w:val="center"/>
          </w:tcPr>
          <w:p w14:paraId="185B1F93">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10≤X＜100</w:t>
            </w:r>
          </w:p>
        </w:tc>
        <w:tc>
          <w:tcPr>
            <w:tcW w:w="1347" w:type="dxa"/>
            <w:tcBorders>
              <w:top w:val="nil"/>
              <w:left w:val="nil"/>
              <w:bottom w:val="single" w:color="auto" w:sz="4" w:space="0"/>
              <w:right w:val="single" w:color="auto" w:sz="4" w:space="0"/>
            </w:tcBorders>
            <w:vAlign w:val="center"/>
          </w:tcPr>
          <w:p w14:paraId="7AD7072A">
            <w:pPr>
              <w:widowControl/>
              <w:ind w:firstLine="361"/>
              <w:jc w:val="center"/>
              <w:rPr>
                <w:rFonts w:hint="eastAsia" w:ascii="宋体" w:hAnsi="宋体" w:eastAsia="宋体" w:cs="宋体"/>
                <w:kern w:val="0"/>
                <w:sz w:val="18"/>
                <w:szCs w:val="18"/>
              </w:rPr>
            </w:pPr>
            <w:r>
              <w:rPr>
                <w:rFonts w:hint="eastAsia" w:ascii="宋体" w:hAnsi="宋体" w:eastAsia="宋体" w:cs="宋体"/>
                <w:kern w:val="0"/>
                <w:sz w:val="18"/>
                <w:szCs w:val="18"/>
              </w:rPr>
              <w:t>X＜10</w:t>
            </w:r>
          </w:p>
        </w:tc>
      </w:tr>
    </w:tbl>
    <w:p w14:paraId="3C0B4A20">
      <w:pPr>
        <w:spacing w:line="360" w:lineRule="auto"/>
        <w:ind w:firstLine="525" w:firstLineChars="250"/>
        <w:jc w:val="left"/>
        <w:rPr>
          <w:rFonts w:hint="eastAsia" w:eastAsia="宋体"/>
        </w:rPr>
        <w:sectPr>
          <w:headerReference r:id="rId12" w:type="default"/>
          <w:footerReference r:id="rId13" w:type="default"/>
          <w:pgSz w:w="11906" w:h="16838"/>
          <w:pgMar w:top="1440" w:right="1080" w:bottom="1440" w:left="1080" w:header="720" w:footer="720" w:gutter="0"/>
          <w:cols w:space="720" w:num="1"/>
          <w:docGrid w:type="lines" w:linePitch="312" w:charSpace="0"/>
        </w:sectPr>
      </w:pPr>
      <w:r>
        <w:rPr>
          <w:rFonts w:hint="eastAsia" w:ascii="宋体" w:hAnsi="宋体" w:eastAsia="宋体" w:cs="宋体"/>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182791E2">
      <w:pPr>
        <w:pStyle w:val="2"/>
        <w:ind w:firstLine="880"/>
        <w:jc w:val="center"/>
        <w:rPr>
          <w:rFonts w:hint="eastAsia" w:ascii="宋体" w:hAnsi="宋体" w:eastAsia="宋体"/>
        </w:rPr>
      </w:pPr>
      <w:bookmarkStart w:id="82" w:name="_Toc20956"/>
      <w:bookmarkStart w:id="83" w:name="_Toc25285"/>
      <w:bookmarkStart w:id="84" w:name="_Toc7450"/>
      <w:bookmarkStart w:id="85" w:name="_Toc74323458"/>
      <w:bookmarkStart w:id="86" w:name="_Toc31540"/>
      <w:bookmarkStart w:id="87" w:name="_Toc10042"/>
      <w:r>
        <w:rPr>
          <w:rFonts w:hint="eastAsia" w:ascii="宋体" w:hAnsi="宋体" w:eastAsia="宋体"/>
        </w:rPr>
        <w:t>第三章 采购需求</w:t>
      </w:r>
      <w:bookmarkEnd w:id="82"/>
      <w:bookmarkEnd w:id="83"/>
      <w:bookmarkEnd w:id="84"/>
      <w:bookmarkEnd w:id="85"/>
      <w:bookmarkEnd w:id="86"/>
      <w:bookmarkEnd w:id="87"/>
    </w:p>
    <w:p w14:paraId="41143FED">
      <w:pPr>
        <w:spacing w:line="360" w:lineRule="auto"/>
        <w:ind w:firstLine="422" w:firstLineChars="200"/>
        <w:jc w:val="left"/>
        <w:rPr>
          <w:rFonts w:hint="eastAsia" w:ascii="宋体" w:hAnsi="宋体" w:eastAsia="宋体" w:cs="宋体"/>
          <w:b/>
          <w:szCs w:val="21"/>
        </w:rPr>
      </w:pPr>
      <w:r>
        <w:rPr>
          <w:rFonts w:hint="eastAsia" w:ascii="宋体" w:hAnsi="宋体" w:eastAsia="宋体" w:cs="宋体"/>
          <w:b/>
          <w:szCs w:val="21"/>
        </w:rPr>
        <w:t>说明：</w:t>
      </w:r>
    </w:p>
    <w:p w14:paraId="40E5431C">
      <w:pPr>
        <w:spacing w:line="360" w:lineRule="auto"/>
        <w:ind w:left="-10" w:leftChars="-5" w:right="2" w:rightChars="1" w:firstLine="422" w:firstLineChars="200"/>
        <w:rPr>
          <w:rFonts w:hint="eastAsia" w:ascii="宋体" w:hAnsi="宋体" w:eastAsia="宋体" w:cs="宋体"/>
          <w:b/>
        </w:rPr>
      </w:pPr>
      <w:r>
        <w:rPr>
          <w:rFonts w:hint="eastAsia" w:ascii="宋体" w:hAnsi="宋体" w:eastAsia="宋体" w:cs="宋体"/>
          <w:b/>
        </w:rPr>
        <w:t>1.为落实政府采购政策需满足的要求：</w:t>
      </w:r>
    </w:p>
    <w:p w14:paraId="364C651C">
      <w:pPr>
        <w:spacing w:line="360" w:lineRule="auto"/>
        <w:ind w:left="-10" w:leftChars="-5" w:right="2" w:rightChars="1" w:firstLine="422" w:firstLineChars="200"/>
        <w:rPr>
          <w:rFonts w:hint="eastAsia" w:ascii="宋体" w:hAnsi="宋体" w:eastAsia="宋体" w:cs="宋体"/>
          <w:b/>
        </w:rPr>
      </w:pPr>
      <w:r>
        <w:rPr>
          <w:rFonts w:hint="eastAsia" w:ascii="宋体" w:hAnsi="宋体" w:eastAsia="宋体" w:cs="宋体"/>
          <w:b/>
        </w:rPr>
        <w:t>本竞争性磋商采购文件所称中小企业必须符合《政府采购促进中小企业发展管理办法》（财库〔2020〕46号）的规定。</w:t>
      </w:r>
    </w:p>
    <w:p w14:paraId="2BCFB824">
      <w:pPr>
        <w:spacing w:line="360" w:lineRule="auto"/>
        <w:ind w:left="-10" w:leftChars="-5" w:right="2" w:rightChars="1" w:firstLine="422" w:firstLineChars="200"/>
        <w:rPr>
          <w:rFonts w:hint="eastAsia" w:ascii="宋体" w:hAnsi="宋体" w:eastAsia="宋体" w:cs="宋体"/>
          <w:b/>
        </w:rPr>
      </w:pPr>
      <w:r>
        <w:rPr>
          <w:rFonts w:hint="eastAsia" w:ascii="宋体" w:hAnsi="宋体" w:eastAsia="宋体" w:cs="宋体"/>
          <w:b/>
        </w:rPr>
        <w:t>2.“实质性要求”是指采购文件中已经指明不满足则响应无效的条款，或者不能负偏离的条款，或者采购需求中带“▲”的条款。</w:t>
      </w:r>
    </w:p>
    <w:p w14:paraId="5AD8162B">
      <w:pPr>
        <w:spacing w:line="360" w:lineRule="auto"/>
        <w:ind w:left="-10" w:leftChars="-5" w:right="2" w:rightChars="1" w:firstLine="422" w:firstLineChars="200"/>
        <w:rPr>
          <w:rFonts w:hint="eastAsia" w:ascii="宋体" w:hAnsi="宋体" w:eastAsia="宋体" w:cs="宋体"/>
          <w:b/>
        </w:rPr>
      </w:pPr>
      <w:r>
        <w:rPr>
          <w:rFonts w:hint="eastAsia" w:ascii="宋体" w:hAnsi="宋体" w:eastAsia="宋体" w:cs="宋体"/>
          <w:b/>
        </w:rPr>
        <w:t>3.如供应商竞标产品存在侵犯他人的知识产权或者专利成果行为的，由供应商自行承担相应法律责任。</w:t>
      </w:r>
    </w:p>
    <w:p w14:paraId="2ED74856">
      <w:pPr>
        <w:spacing w:line="360" w:lineRule="auto"/>
        <w:ind w:left="-10" w:leftChars="-5" w:right="2" w:rightChars="1" w:firstLine="422" w:firstLineChars="200"/>
        <w:rPr>
          <w:rFonts w:hint="eastAsia"/>
        </w:rPr>
      </w:pPr>
      <w:r>
        <w:rPr>
          <w:rFonts w:hint="eastAsia" w:ascii="宋体" w:hAnsi="宋体" w:eastAsia="宋体" w:cs="宋体"/>
          <w:b/>
        </w:rPr>
        <w:t>4.采购需求中如出现品牌、型号或者生产厂家等均仅起参考作用，不属于指定品牌、型号或者生产厂家的情形，供应商可参照或者选用其他相当的品牌、型号或者生产供应商替代。但供应商的产品实质上应相当于或优于本需求中的技术要求。</w:t>
      </w:r>
    </w:p>
    <w:p w14:paraId="13FEE77B">
      <w:pPr>
        <w:spacing w:line="360" w:lineRule="auto"/>
        <w:ind w:left="-10" w:leftChars="-5" w:right="2" w:rightChars="1" w:firstLine="422" w:firstLineChars="200"/>
        <w:rPr>
          <w:rFonts w:hint="eastAsia" w:ascii="宋体" w:hAnsi="宋体" w:eastAsia="宋体" w:cs="宋体"/>
          <w:b/>
        </w:rPr>
      </w:pPr>
      <w:r>
        <w:rPr>
          <w:rFonts w:hint="eastAsia" w:ascii="宋体" w:hAnsi="宋体" w:eastAsia="宋体" w:cs="宋体"/>
          <w:b/>
        </w:rPr>
        <w:t>5.所属行业：软件和信息技术服务业</w:t>
      </w:r>
    </w:p>
    <w:p w14:paraId="3503242A">
      <w:pPr>
        <w:spacing w:line="360" w:lineRule="auto"/>
        <w:ind w:left="-10" w:leftChars="-5" w:right="2" w:rightChars="1" w:firstLine="422"/>
        <w:rPr>
          <w:rFonts w:hint="eastAsia" w:ascii="宋体" w:hAnsi="宋体" w:eastAsia="宋体" w:cs="宋体"/>
          <w:b/>
        </w:rPr>
      </w:pPr>
      <w:r>
        <w:rPr>
          <w:rFonts w:hint="eastAsia" w:ascii="宋体" w:hAnsi="宋体" w:eastAsia="宋体" w:cs="宋体"/>
          <w:b/>
        </w:rPr>
        <w:t>6.预算金额：106万元</w:t>
      </w:r>
    </w:p>
    <w:p w14:paraId="548F27DD">
      <w:pPr>
        <w:pStyle w:val="42"/>
        <w:ind w:left="842" w:hanging="422"/>
        <w:rPr>
          <w:rFonts w:hint="eastAsia" w:ascii="宋体" w:hAnsi="宋体" w:eastAsia="宋体" w:cs="宋体"/>
          <w:b/>
          <w:bCs/>
        </w:rPr>
      </w:pPr>
      <w:bookmarkStart w:id="88" w:name="_Toc74323459"/>
    </w:p>
    <w:tbl>
      <w:tblPr>
        <w:tblStyle w:val="52"/>
        <w:tblW w:w="9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9"/>
        <w:gridCol w:w="175"/>
        <w:gridCol w:w="1322"/>
        <w:gridCol w:w="850"/>
        <w:gridCol w:w="81"/>
        <w:gridCol w:w="6830"/>
        <w:gridCol w:w="25"/>
      </w:tblGrid>
      <w:tr w14:paraId="7AD3B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5" w:type="dxa"/>
          <w:trHeight w:val="619" w:hRule="atLeast"/>
          <w:jc w:val="center"/>
        </w:trPr>
        <w:tc>
          <w:tcPr>
            <w:tcW w:w="9747" w:type="dxa"/>
            <w:gridSpan w:val="6"/>
            <w:tcMar>
              <w:top w:w="13" w:type="dxa"/>
              <w:left w:w="57" w:type="dxa"/>
              <w:bottom w:w="0" w:type="dxa"/>
              <w:right w:w="57" w:type="dxa"/>
            </w:tcMar>
            <w:vAlign w:val="center"/>
          </w:tcPr>
          <w:p w14:paraId="12F92380">
            <w:pPr>
              <w:spacing w:line="360" w:lineRule="auto"/>
              <w:rPr>
                <w:rFonts w:hint="eastAsia" w:ascii="宋体" w:hAnsi="宋体" w:eastAsia="宋体" w:cs="宋体"/>
                <w:b/>
                <w:bCs/>
                <w:szCs w:val="21"/>
              </w:rPr>
            </w:pPr>
            <w:r>
              <w:rPr>
                <w:rFonts w:hint="eastAsia" w:ascii="宋体" w:hAnsi="宋体" w:eastAsia="宋体" w:cs="宋体"/>
                <w:b/>
                <w:bCs/>
                <w:szCs w:val="21"/>
              </w:rPr>
              <w:t>一、采购内容及技术要求</w:t>
            </w:r>
          </w:p>
        </w:tc>
      </w:tr>
      <w:tr w14:paraId="2051D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5" w:type="dxa"/>
          <w:trHeight w:val="566" w:hRule="atLeast"/>
          <w:jc w:val="center"/>
        </w:trPr>
        <w:tc>
          <w:tcPr>
            <w:tcW w:w="664" w:type="dxa"/>
            <w:gridSpan w:val="2"/>
            <w:tcMar>
              <w:top w:w="13" w:type="dxa"/>
              <w:left w:w="57" w:type="dxa"/>
              <w:bottom w:w="0" w:type="dxa"/>
              <w:right w:w="57" w:type="dxa"/>
            </w:tcMar>
            <w:vAlign w:val="center"/>
          </w:tcPr>
          <w:p w14:paraId="269FD274">
            <w:pPr>
              <w:spacing w:line="360" w:lineRule="auto"/>
              <w:jc w:val="center"/>
              <w:rPr>
                <w:rFonts w:hint="eastAsia" w:ascii="宋体" w:hAnsi="宋体" w:eastAsia="宋体" w:cs="宋体"/>
                <w:b/>
                <w:kern w:val="0"/>
                <w:szCs w:val="21"/>
              </w:rPr>
            </w:pPr>
            <w:r>
              <w:rPr>
                <w:rFonts w:hint="eastAsia" w:ascii="宋体" w:hAnsi="宋体" w:eastAsia="宋体" w:cs="宋体"/>
                <w:b/>
                <w:kern w:val="0"/>
                <w:szCs w:val="21"/>
              </w:rPr>
              <w:t>序号</w:t>
            </w:r>
          </w:p>
        </w:tc>
        <w:tc>
          <w:tcPr>
            <w:tcW w:w="1322" w:type="dxa"/>
            <w:tcMar>
              <w:top w:w="13" w:type="dxa"/>
              <w:left w:w="57" w:type="dxa"/>
              <w:bottom w:w="0" w:type="dxa"/>
              <w:right w:w="57" w:type="dxa"/>
            </w:tcMar>
            <w:vAlign w:val="center"/>
          </w:tcPr>
          <w:p w14:paraId="5C597C63">
            <w:pPr>
              <w:snapToGrid w:val="0"/>
              <w:spacing w:line="360" w:lineRule="auto"/>
              <w:jc w:val="center"/>
              <w:rPr>
                <w:rFonts w:hint="eastAsia" w:ascii="宋体" w:hAnsi="宋体" w:eastAsia="宋体" w:cs="宋体"/>
                <w:b/>
                <w:szCs w:val="21"/>
              </w:rPr>
            </w:pPr>
            <w:r>
              <w:rPr>
                <w:rFonts w:hint="eastAsia" w:ascii="宋体" w:hAnsi="宋体" w:eastAsia="宋体" w:cs="宋体"/>
                <w:b/>
                <w:szCs w:val="21"/>
              </w:rPr>
              <w:t>标的（服务）的名称</w:t>
            </w:r>
          </w:p>
        </w:tc>
        <w:tc>
          <w:tcPr>
            <w:tcW w:w="850" w:type="dxa"/>
            <w:tcMar>
              <w:top w:w="13" w:type="dxa"/>
              <w:left w:w="57" w:type="dxa"/>
              <w:bottom w:w="0" w:type="dxa"/>
              <w:right w:w="57" w:type="dxa"/>
            </w:tcMar>
            <w:vAlign w:val="center"/>
          </w:tcPr>
          <w:p w14:paraId="7005D068">
            <w:pPr>
              <w:spacing w:line="360" w:lineRule="auto"/>
              <w:jc w:val="center"/>
              <w:rPr>
                <w:rFonts w:hint="eastAsia" w:ascii="宋体" w:hAnsi="宋体" w:eastAsia="宋体" w:cs="宋体"/>
                <w:b/>
                <w:kern w:val="0"/>
                <w:szCs w:val="21"/>
              </w:rPr>
            </w:pPr>
            <w:r>
              <w:rPr>
                <w:rFonts w:hint="eastAsia" w:ascii="宋体" w:hAnsi="宋体" w:eastAsia="宋体" w:cs="宋体"/>
                <w:b/>
                <w:kern w:val="0"/>
                <w:szCs w:val="21"/>
              </w:rPr>
              <w:t>数量及单位</w:t>
            </w:r>
          </w:p>
        </w:tc>
        <w:tc>
          <w:tcPr>
            <w:tcW w:w="6911" w:type="dxa"/>
            <w:gridSpan w:val="2"/>
            <w:tcMar>
              <w:top w:w="13" w:type="dxa"/>
              <w:left w:w="57" w:type="dxa"/>
              <w:bottom w:w="0" w:type="dxa"/>
              <w:right w:w="57" w:type="dxa"/>
            </w:tcMar>
            <w:vAlign w:val="center"/>
          </w:tcPr>
          <w:p w14:paraId="2A191BF2">
            <w:pPr>
              <w:spacing w:line="360" w:lineRule="auto"/>
              <w:jc w:val="center"/>
              <w:rPr>
                <w:rFonts w:hint="eastAsia" w:ascii="宋体" w:hAnsi="宋体" w:eastAsia="宋体" w:cs="宋体"/>
                <w:b/>
                <w:bCs/>
                <w:szCs w:val="21"/>
              </w:rPr>
            </w:pPr>
            <w:r>
              <w:rPr>
                <w:rFonts w:hint="eastAsia" w:ascii="宋体" w:hAnsi="宋体" w:eastAsia="宋体" w:cs="宋体"/>
                <w:b/>
                <w:bCs/>
                <w:szCs w:val="21"/>
              </w:rPr>
              <w:t>技术或服务要求</w:t>
            </w:r>
          </w:p>
        </w:tc>
      </w:tr>
      <w:tr w14:paraId="2D4B1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5" w:type="dxa"/>
          <w:trHeight w:val="90" w:hRule="atLeast"/>
          <w:jc w:val="center"/>
        </w:trPr>
        <w:tc>
          <w:tcPr>
            <w:tcW w:w="664" w:type="dxa"/>
            <w:gridSpan w:val="2"/>
            <w:tcMar>
              <w:top w:w="13" w:type="dxa"/>
              <w:left w:w="57" w:type="dxa"/>
              <w:bottom w:w="0" w:type="dxa"/>
              <w:right w:w="57" w:type="dxa"/>
            </w:tcMar>
            <w:vAlign w:val="center"/>
          </w:tcPr>
          <w:p w14:paraId="7EC9DE40">
            <w:pPr>
              <w:widowControl/>
              <w:tabs>
                <w:tab w:val="left" w:pos="420"/>
              </w:tabs>
              <w:spacing w:line="360" w:lineRule="auto"/>
              <w:ind w:firstLine="422"/>
              <w:rPr>
                <w:rFonts w:hint="eastAsia" w:ascii="宋体" w:hAnsi="宋体" w:eastAsia="宋体" w:cs="宋体"/>
                <w:szCs w:val="21"/>
              </w:rPr>
            </w:pPr>
            <w:r>
              <w:rPr>
                <w:rFonts w:hint="eastAsia" w:ascii="宋体" w:hAnsi="宋体" w:eastAsia="宋体" w:cs="宋体"/>
                <w:szCs w:val="21"/>
              </w:rPr>
              <w:t>1</w:t>
            </w:r>
          </w:p>
        </w:tc>
        <w:tc>
          <w:tcPr>
            <w:tcW w:w="1322" w:type="dxa"/>
            <w:tcMar>
              <w:top w:w="13" w:type="dxa"/>
              <w:left w:w="57" w:type="dxa"/>
              <w:bottom w:w="0" w:type="dxa"/>
              <w:right w:w="57" w:type="dxa"/>
            </w:tcMar>
            <w:vAlign w:val="center"/>
          </w:tcPr>
          <w:p w14:paraId="2160483F">
            <w:pPr>
              <w:spacing w:line="360" w:lineRule="auto"/>
              <w:rPr>
                <w:rFonts w:hint="eastAsia" w:ascii="宋体" w:hAnsi="宋体" w:eastAsia="宋体" w:cs="宋体"/>
                <w:kern w:val="0"/>
                <w:szCs w:val="21"/>
              </w:rPr>
            </w:pPr>
            <w:r>
              <w:rPr>
                <w:rFonts w:hint="eastAsia" w:ascii="宋体" w:hAnsi="宋体" w:eastAsia="宋体" w:cs="宋体"/>
                <w:kern w:val="0"/>
                <w:szCs w:val="21"/>
              </w:rPr>
              <w:t>单位网络系统运维服务</w:t>
            </w:r>
          </w:p>
        </w:tc>
        <w:tc>
          <w:tcPr>
            <w:tcW w:w="850" w:type="dxa"/>
            <w:tcMar>
              <w:top w:w="13" w:type="dxa"/>
              <w:left w:w="57" w:type="dxa"/>
              <w:bottom w:w="0" w:type="dxa"/>
              <w:right w:w="57" w:type="dxa"/>
            </w:tcMar>
            <w:vAlign w:val="center"/>
          </w:tcPr>
          <w:p w14:paraId="05C04A45">
            <w:pPr>
              <w:spacing w:line="360" w:lineRule="auto"/>
              <w:rPr>
                <w:rFonts w:hint="eastAsia" w:ascii="宋体" w:hAnsi="宋体" w:eastAsia="宋体" w:cs="宋体"/>
              </w:rPr>
            </w:pPr>
            <w:r>
              <w:rPr>
                <w:rFonts w:hint="eastAsia" w:ascii="宋体" w:hAnsi="宋体" w:eastAsia="宋体" w:cs="宋体"/>
              </w:rPr>
              <w:t>1项</w:t>
            </w:r>
          </w:p>
        </w:tc>
        <w:tc>
          <w:tcPr>
            <w:tcW w:w="6911" w:type="dxa"/>
            <w:gridSpan w:val="2"/>
            <w:tcMar>
              <w:top w:w="13" w:type="dxa"/>
              <w:left w:w="57" w:type="dxa"/>
              <w:bottom w:w="0" w:type="dxa"/>
              <w:right w:w="57" w:type="dxa"/>
            </w:tcMar>
            <w:vAlign w:val="center"/>
          </w:tcPr>
          <w:p w14:paraId="3CEDE114">
            <w:pPr>
              <w:spacing w:line="360" w:lineRule="auto"/>
              <w:ind w:firstLine="422" w:firstLineChars="200"/>
              <w:rPr>
                <w:rFonts w:hint="eastAsia" w:ascii="宋体" w:hAnsi="宋体" w:eastAsia="宋体" w:cs="宋体"/>
                <w:b/>
                <w:bCs/>
              </w:rPr>
            </w:pPr>
            <w:r>
              <w:rPr>
                <w:rFonts w:hint="eastAsia" w:ascii="宋体" w:hAnsi="宋体" w:eastAsia="宋体" w:cs="宋体"/>
                <w:b/>
                <w:bCs/>
              </w:rPr>
              <w:t>一、门户网站维护</w:t>
            </w:r>
          </w:p>
          <w:p w14:paraId="0CE095F5">
            <w:pPr>
              <w:spacing w:line="360" w:lineRule="auto"/>
              <w:ind w:firstLine="420" w:firstLineChars="200"/>
              <w:rPr>
                <w:rFonts w:hint="eastAsia" w:ascii="宋体" w:hAnsi="宋体" w:eastAsia="宋体" w:cs="宋体"/>
              </w:rPr>
            </w:pPr>
            <w:bookmarkStart w:id="89" w:name="_Hlk197589609"/>
            <w:r>
              <w:rPr>
                <w:rFonts w:hint="eastAsia" w:ascii="宋体" w:hAnsi="宋体" w:eastAsia="宋体" w:cs="宋体"/>
              </w:rPr>
              <w:t>（一）门户网站的日常维护管理</w:t>
            </w:r>
          </w:p>
          <w:p w14:paraId="1EE59BBE">
            <w:pPr>
              <w:spacing w:line="360" w:lineRule="auto"/>
              <w:ind w:firstLine="420" w:firstLineChars="200"/>
              <w:rPr>
                <w:rFonts w:hint="eastAsia" w:ascii="宋体" w:hAnsi="宋体" w:eastAsia="宋体" w:cs="宋体"/>
              </w:rPr>
            </w:pPr>
            <w:r>
              <w:rPr>
                <w:rFonts w:hint="eastAsia" w:ascii="宋体" w:hAnsi="宋体" w:eastAsia="宋体" w:cs="宋体"/>
              </w:rPr>
              <w:t>1.门户网站的页面布局调整、随时根据需要对网站栏目内容临时修改、增添新栏目内容；</w:t>
            </w:r>
          </w:p>
          <w:p w14:paraId="6994834A">
            <w:pPr>
              <w:spacing w:line="360" w:lineRule="auto"/>
              <w:ind w:firstLine="420" w:firstLineChars="200"/>
              <w:rPr>
                <w:rFonts w:hint="eastAsia" w:ascii="宋体" w:hAnsi="宋体" w:eastAsia="宋体" w:cs="宋体"/>
              </w:rPr>
            </w:pPr>
            <w:r>
              <w:rPr>
                <w:rFonts w:hint="eastAsia" w:ascii="宋体" w:hAnsi="宋体" w:eastAsia="宋体" w:cs="宋体"/>
              </w:rPr>
              <w:t>对门户网站系统定期备份与恢复，系统数据及相关配置文件在每月进行一次手动备份；</w:t>
            </w:r>
          </w:p>
          <w:p w14:paraId="017DA1BA">
            <w:pPr>
              <w:spacing w:line="360" w:lineRule="auto"/>
              <w:ind w:firstLine="420" w:firstLineChars="200"/>
              <w:rPr>
                <w:rFonts w:hint="eastAsia" w:ascii="宋体" w:hAnsi="宋体" w:eastAsia="宋体" w:cs="宋体"/>
              </w:rPr>
            </w:pPr>
            <w:r>
              <w:rPr>
                <w:rFonts w:hint="eastAsia" w:ascii="宋体" w:hAnsi="宋体" w:eastAsia="宋体" w:cs="宋体"/>
              </w:rPr>
              <w:t>巡检管理：日常巡检，按照巡检方案每日对网站43个一级板块页面进行浏览式巡检，对异常情况及时处理并留下记录，每季度提交1次巡检记录汇总；重大活动会议、工作检查、节假日等特殊时期按采购方要求追加巡检和假期值班巡检维护；承担网站域名管理费用，网站SSL安全证书管理费用，2个微信公众号注册费用等相关互联网注册管理费用。</w:t>
            </w:r>
          </w:p>
          <w:p w14:paraId="4BB20901">
            <w:pPr>
              <w:spacing w:line="360" w:lineRule="auto"/>
              <w:ind w:firstLine="420" w:firstLineChars="200"/>
              <w:rPr>
                <w:rFonts w:hint="eastAsia" w:ascii="宋体" w:hAnsi="宋体" w:eastAsia="宋体" w:cs="宋体"/>
              </w:rPr>
            </w:pPr>
            <w:r>
              <w:rPr>
                <w:rFonts w:hint="eastAsia" w:ascii="宋体" w:hAnsi="宋体" w:eastAsia="宋体" w:cs="宋体"/>
              </w:rPr>
              <w:t>2.增加水情测报栏目文章自动生成功能，每日定时自动获取水位数据生成文章，由审核人确认后一键发布。</w:t>
            </w:r>
          </w:p>
          <w:bookmarkEnd w:id="89"/>
          <w:p w14:paraId="08103A31">
            <w:pPr>
              <w:spacing w:line="360" w:lineRule="auto"/>
              <w:ind w:firstLine="420" w:firstLineChars="200"/>
              <w:rPr>
                <w:rFonts w:hint="eastAsia" w:ascii="宋体" w:hAnsi="宋体" w:eastAsia="宋体" w:cs="宋体"/>
              </w:rPr>
            </w:pPr>
            <w:r>
              <w:rPr>
                <w:rFonts w:hint="eastAsia" w:ascii="宋体" w:hAnsi="宋体" w:eastAsia="宋体" w:cs="宋体"/>
              </w:rPr>
              <w:t>（二）软件维护</w:t>
            </w:r>
          </w:p>
          <w:p w14:paraId="71952C09">
            <w:pPr>
              <w:spacing w:line="360" w:lineRule="auto"/>
              <w:ind w:firstLine="420" w:firstLineChars="200"/>
              <w:rPr>
                <w:rFonts w:hint="eastAsia" w:ascii="宋体" w:hAnsi="宋体" w:eastAsia="宋体" w:cs="宋体"/>
              </w:rPr>
            </w:pPr>
            <w:r>
              <w:rPr>
                <w:rFonts w:hint="eastAsia" w:ascii="宋体" w:hAnsi="宋体" w:eastAsia="宋体" w:cs="宋体"/>
              </w:rPr>
              <w:t>1.系统使用操作指导。</w:t>
            </w:r>
          </w:p>
          <w:p w14:paraId="02C744FE">
            <w:pPr>
              <w:spacing w:line="360" w:lineRule="auto"/>
              <w:ind w:firstLine="420" w:firstLineChars="200"/>
              <w:rPr>
                <w:rFonts w:hint="eastAsia" w:ascii="宋体" w:hAnsi="宋体" w:eastAsia="宋体" w:cs="宋体"/>
              </w:rPr>
            </w:pPr>
            <w:r>
              <w:rPr>
                <w:rFonts w:hint="eastAsia" w:ascii="宋体" w:hAnsi="宋体" w:eastAsia="宋体" w:cs="宋体"/>
              </w:rPr>
              <w:t>2.及时响应并配合采购方对系统所在服务器及系统漏洞及弱口令等安全隐患进行修复，因系统缺陷导致的各种漏洞的修复。</w:t>
            </w:r>
          </w:p>
          <w:p w14:paraId="31AE7128">
            <w:pPr>
              <w:spacing w:line="360" w:lineRule="auto"/>
              <w:ind w:firstLine="420" w:firstLineChars="200"/>
              <w:rPr>
                <w:rFonts w:hint="eastAsia" w:ascii="宋体" w:hAnsi="宋体" w:eastAsia="宋体" w:cs="宋体"/>
              </w:rPr>
            </w:pPr>
            <w:r>
              <w:rPr>
                <w:rFonts w:hint="eastAsia" w:ascii="宋体" w:hAnsi="宋体" w:eastAsia="宋体" w:cs="宋体"/>
              </w:rPr>
              <w:t>3.日常运行状态监控。每月进行系统运行巡检，巡检软件主要功能是否正常，系统服务器负荷情况、系统内部数据状态，数据库运行状态、数据备份状态、存储空间是否正常。每月巡检后提交1次巡检记录（含异常情况处理记录）。</w:t>
            </w:r>
          </w:p>
          <w:p w14:paraId="0C37DDCF">
            <w:pPr>
              <w:spacing w:line="360" w:lineRule="auto"/>
              <w:ind w:firstLine="420" w:firstLineChars="200"/>
              <w:rPr>
                <w:rFonts w:hint="eastAsia" w:ascii="宋体" w:hAnsi="宋体" w:eastAsia="宋体" w:cs="宋体"/>
              </w:rPr>
            </w:pPr>
            <w:r>
              <w:rPr>
                <w:rFonts w:hint="eastAsia" w:ascii="宋体" w:hAnsi="宋体" w:eastAsia="宋体" w:cs="宋体"/>
              </w:rPr>
              <w:t>4.对突发故障的诊断、排除、修复，故障处理后及时提交处理报告。</w:t>
            </w:r>
          </w:p>
          <w:p w14:paraId="5645033F">
            <w:pPr>
              <w:spacing w:line="360" w:lineRule="auto"/>
              <w:ind w:firstLine="420" w:firstLineChars="200"/>
              <w:rPr>
                <w:rFonts w:hint="eastAsia" w:ascii="宋体" w:hAnsi="宋体" w:eastAsia="宋体" w:cs="宋体"/>
              </w:rPr>
            </w:pPr>
            <w:r>
              <w:rPr>
                <w:rFonts w:hint="eastAsia" w:ascii="宋体" w:hAnsi="宋体" w:eastAsia="宋体" w:cs="宋体"/>
              </w:rPr>
              <w:t>5.采购方对系统提出的修改建议，至少每月更新一次，对影响系统使用的故障，修复时长不超过24小时。</w:t>
            </w:r>
          </w:p>
          <w:p w14:paraId="309A78CE">
            <w:pPr>
              <w:spacing w:line="360" w:lineRule="auto"/>
              <w:ind w:firstLine="420" w:firstLineChars="200"/>
              <w:rPr>
                <w:rFonts w:hint="eastAsia" w:ascii="宋体" w:hAnsi="宋体" w:eastAsia="宋体" w:cs="宋体"/>
              </w:rPr>
            </w:pPr>
            <w:r>
              <w:rPr>
                <w:rFonts w:hint="eastAsia" w:ascii="宋体" w:hAnsi="宋体" w:eastAsia="宋体" w:cs="宋体"/>
              </w:rPr>
              <w:t>6. 协助采购人进行网站管理工作，包括但不限于网站文章的批量增加、删除、修改、查询等操作。</w:t>
            </w:r>
          </w:p>
          <w:p w14:paraId="31194669">
            <w:pPr>
              <w:spacing w:line="360" w:lineRule="auto"/>
              <w:ind w:firstLine="420" w:firstLineChars="200"/>
              <w:rPr>
                <w:rFonts w:hint="eastAsia" w:ascii="宋体" w:hAnsi="宋体" w:eastAsia="宋体" w:cs="宋体"/>
              </w:rPr>
            </w:pPr>
            <w:r>
              <w:rPr>
                <w:rFonts w:hint="eastAsia" w:ascii="宋体" w:hAnsi="宋体" w:eastAsia="宋体" w:cs="宋体"/>
              </w:rPr>
              <w:t>7.严格遵循采购人信息安全管理制度体系要求，与采购方签订保密协议。</w:t>
            </w:r>
          </w:p>
          <w:p w14:paraId="31AF003D">
            <w:pPr>
              <w:spacing w:line="360" w:lineRule="auto"/>
              <w:ind w:firstLine="420" w:firstLineChars="200"/>
              <w:rPr>
                <w:rFonts w:hint="eastAsia" w:ascii="宋体" w:hAnsi="宋体" w:eastAsia="宋体" w:cs="宋体"/>
              </w:rPr>
            </w:pPr>
            <w:r>
              <w:rPr>
                <w:rFonts w:hint="eastAsia" w:ascii="宋体" w:hAnsi="宋体" w:eastAsia="宋体" w:cs="宋体"/>
              </w:rPr>
              <w:t>（三）数据维护</w:t>
            </w:r>
          </w:p>
          <w:p w14:paraId="21A8F2B0">
            <w:pPr>
              <w:spacing w:line="360" w:lineRule="auto"/>
              <w:ind w:firstLine="420" w:firstLineChars="200"/>
              <w:rPr>
                <w:rFonts w:hint="eastAsia" w:ascii="宋体" w:hAnsi="宋体" w:eastAsia="宋体" w:cs="宋体"/>
              </w:rPr>
            </w:pPr>
            <w:r>
              <w:rPr>
                <w:rFonts w:hint="eastAsia" w:ascii="宋体" w:hAnsi="宋体" w:eastAsia="宋体" w:cs="宋体"/>
              </w:rPr>
              <w:t>1.每周一次在后台对系统数据进行滚动备份。</w:t>
            </w:r>
          </w:p>
          <w:p w14:paraId="69730B33">
            <w:pPr>
              <w:spacing w:line="360" w:lineRule="auto"/>
              <w:ind w:firstLine="420" w:firstLineChars="200"/>
              <w:rPr>
                <w:rFonts w:hint="eastAsia" w:ascii="宋体" w:hAnsi="宋体" w:eastAsia="宋体" w:cs="宋体"/>
              </w:rPr>
            </w:pPr>
            <w:r>
              <w:rPr>
                <w:rFonts w:hint="eastAsia" w:ascii="宋体" w:hAnsi="宋体" w:eastAsia="宋体" w:cs="宋体"/>
              </w:rPr>
              <w:t>2.因操作失误导致的数据错误修复。</w:t>
            </w:r>
          </w:p>
          <w:p w14:paraId="7D818561">
            <w:pPr>
              <w:spacing w:line="360" w:lineRule="auto"/>
              <w:ind w:firstLine="420" w:firstLineChars="200"/>
              <w:rPr>
                <w:rFonts w:hint="eastAsia" w:ascii="宋体" w:hAnsi="宋体" w:eastAsia="宋体" w:cs="宋体"/>
              </w:rPr>
            </w:pPr>
            <w:r>
              <w:rPr>
                <w:rFonts w:hint="eastAsia" w:ascii="宋体" w:hAnsi="宋体" w:eastAsia="宋体" w:cs="宋体"/>
              </w:rPr>
              <w:t>3.解决系统数据库表和数据出现的各类问题。</w:t>
            </w:r>
          </w:p>
          <w:p w14:paraId="6CE6E2FB">
            <w:pPr>
              <w:spacing w:line="360" w:lineRule="auto"/>
              <w:ind w:firstLine="420" w:firstLineChars="200"/>
              <w:rPr>
                <w:rFonts w:hint="eastAsia" w:ascii="宋体" w:hAnsi="宋体" w:eastAsia="宋体" w:cs="宋体"/>
              </w:rPr>
            </w:pPr>
            <w:r>
              <w:rPr>
                <w:rFonts w:hint="eastAsia" w:ascii="宋体" w:hAnsi="宋体" w:eastAsia="宋体" w:cs="宋体"/>
              </w:rPr>
              <w:t>（四）服务器运行维护</w:t>
            </w:r>
          </w:p>
          <w:p w14:paraId="709EA40D">
            <w:pPr>
              <w:spacing w:line="360" w:lineRule="auto"/>
              <w:ind w:firstLine="420" w:firstLineChars="200"/>
              <w:rPr>
                <w:rFonts w:hint="eastAsia" w:ascii="宋体" w:hAnsi="宋体" w:eastAsia="宋体" w:cs="宋体"/>
              </w:rPr>
            </w:pPr>
            <w:r>
              <w:rPr>
                <w:rFonts w:ascii="宋体" w:hAnsi="宋体" w:eastAsia="宋体" w:cs="宋体"/>
              </w:rPr>
              <w:t>1.定期对服务器已有的病毒防护软件、病毒库进行升级、更新，保持病毒防护系统、病毒库版本为最新状态，并进行病毒检测，根据检测结果进行杀毒处理（病毒防护软件由业主提供，升级所需授权由业主购买）。</w:t>
            </w:r>
          </w:p>
          <w:p w14:paraId="11088415">
            <w:pPr>
              <w:spacing w:line="360" w:lineRule="auto"/>
              <w:ind w:firstLine="420" w:firstLineChars="200"/>
              <w:rPr>
                <w:rFonts w:hint="eastAsia" w:ascii="宋体" w:hAnsi="宋体" w:eastAsia="宋体" w:cs="宋体"/>
              </w:rPr>
            </w:pPr>
            <w:r>
              <w:rPr>
                <w:rFonts w:ascii="宋体" w:hAnsi="宋体" w:eastAsia="宋体" w:cs="宋体"/>
              </w:rPr>
              <w:t>2.根据安全漏洞检测结果，对服务器操作系统进行安全漏洞修复。</w:t>
            </w:r>
          </w:p>
          <w:p w14:paraId="0EBFC8C3">
            <w:pPr>
              <w:spacing w:line="360" w:lineRule="auto"/>
              <w:ind w:firstLine="420" w:firstLineChars="200"/>
              <w:rPr>
                <w:rFonts w:hint="eastAsia" w:ascii="宋体" w:hAnsi="宋体" w:eastAsia="宋体" w:cs="宋体"/>
              </w:rPr>
            </w:pPr>
            <w:r>
              <w:rPr>
                <w:rFonts w:hint="eastAsia" w:ascii="宋体" w:hAnsi="宋体" w:eastAsia="宋体" w:cs="宋体"/>
              </w:rPr>
              <w:t>（五）运维方式</w:t>
            </w:r>
          </w:p>
          <w:p w14:paraId="6E859DFB">
            <w:pPr>
              <w:spacing w:line="360" w:lineRule="auto"/>
              <w:ind w:firstLine="420" w:firstLineChars="200"/>
              <w:rPr>
                <w:rFonts w:hint="eastAsia" w:ascii="宋体" w:hAnsi="宋体" w:eastAsia="宋体" w:cs="宋体"/>
              </w:rPr>
            </w:pPr>
            <w:r>
              <w:rPr>
                <w:rFonts w:hint="eastAsia" w:ascii="宋体" w:hAnsi="宋体" w:eastAsia="宋体" w:cs="宋体"/>
              </w:rPr>
              <w:t>1.远程维护：系统发生故障时，通过电话、即时通讯工具或远程访问等方式进行系统故障的处理、技术支持、咨询服务等工作。</w:t>
            </w:r>
          </w:p>
          <w:p w14:paraId="170A886B">
            <w:pPr>
              <w:spacing w:line="360" w:lineRule="auto"/>
              <w:ind w:firstLine="420" w:firstLineChars="200"/>
              <w:rPr>
                <w:rFonts w:hint="eastAsia" w:ascii="宋体" w:hAnsi="宋体" w:eastAsia="宋体" w:cs="宋体"/>
              </w:rPr>
            </w:pPr>
            <w:r>
              <w:rPr>
                <w:rFonts w:hint="eastAsia" w:ascii="宋体" w:hAnsi="宋体" w:eastAsia="宋体" w:cs="宋体"/>
              </w:rPr>
              <w:t>2.现场技术服务：即系统软件出现重大故障导致系统业务中止时，供应商收到通知后应立即指派技术人员到达现场对故障进行处理和排除。</w:t>
            </w:r>
          </w:p>
          <w:p w14:paraId="0A202972">
            <w:pPr>
              <w:spacing w:line="360" w:lineRule="auto"/>
              <w:ind w:firstLine="420" w:firstLineChars="200"/>
              <w:rPr>
                <w:rFonts w:hint="eastAsia" w:ascii="宋体" w:hAnsi="宋体" w:eastAsia="宋体" w:cs="宋体"/>
              </w:rPr>
            </w:pPr>
            <w:r>
              <w:rPr>
                <w:rFonts w:hint="eastAsia" w:ascii="宋体" w:hAnsi="宋体" w:eastAsia="宋体" w:cs="宋体"/>
              </w:rPr>
              <w:t>（六）服务要求</w:t>
            </w:r>
          </w:p>
          <w:p w14:paraId="0EE2B337">
            <w:pPr>
              <w:spacing w:line="360" w:lineRule="auto"/>
              <w:ind w:firstLine="420" w:firstLineChars="200"/>
              <w:rPr>
                <w:rFonts w:hint="eastAsia" w:ascii="宋体" w:hAnsi="宋体" w:eastAsia="宋体" w:cs="宋体"/>
              </w:rPr>
            </w:pPr>
            <w:r>
              <w:rPr>
                <w:rFonts w:hint="eastAsia" w:ascii="宋体" w:hAnsi="宋体" w:eastAsia="宋体" w:cs="宋体"/>
              </w:rPr>
              <w:t>1.提供7*24小时技术支持服务和咨询服务。</w:t>
            </w:r>
          </w:p>
          <w:p w14:paraId="2A01EC52">
            <w:pPr>
              <w:spacing w:line="360" w:lineRule="auto"/>
              <w:ind w:firstLine="420" w:firstLineChars="200"/>
              <w:rPr>
                <w:rFonts w:hint="eastAsia" w:ascii="宋体" w:hAnsi="宋体" w:eastAsia="宋体" w:cs="宋体"/>
                <w:b/>
                <w:bCs/>
              </w:rPr>
            </w:pPr>
            <w:r>
              <w:rPr>
                <w:rFonts w:hint="eastAsia" w:ascii="宋体" w:hAnsi="宋体" w:eastAsia="宋体" w:cs="宋体"/>
              </w:rPr>
              <w:t>2.保障采购方的信创电脑客户端能够正常使用系统。</w:t>
            </w:r>
          </w:p>
          <w:p w14:paraId="26D3C721">
            <w:pPr>
              <w:spacing w:line="360" w:lineRule="auto"/>
              <w:ind w:firstLine="422" w:firstLineChars="200"/>
              <w:rPr>
                <w:rFonts w:hint="eastAsia" w:ascii="宋体" w:hAnsi="宋体" w:eastAsia="宋体" w:cs="宋体"/>
                <w:b/>
                <w:bCs/>
              </w:rPr>
            </w:pPr>
            <w:r>
              <w:rPr>
                <w:rFonts w:hint="eastAsia" w:ascii="宋体" w:hAnsi="宋体" w:eastAsia="宋体" w:cs="宋体"/>
                <w:b/>
                <w:bCs/>
              </w:rPr>
              <w:t>二、综合办公平台维护</w:t>
            </w:r>
          </w:p>
          <w:p w14:paraId="258AFF74">
            <w:pPr>
              <w:spacing w:line="360" w:lineRule="auto"/>
              <w:ind w:firstLine="420" w:firstLineChars="200"/>
              <w:rPr>
                <w:rFonts w:hint="eastAsia" w:ascii="宋体" w:hAnsi="宋体" w:eastAsia="宋体" w:cs="宋体"/>
              </w:rPr>
            </w:pPr>
            <w:r>
              <w:rPr>
                <w:rFonts w:hint="eastAsia" w:ascii="宋体" w:hAnsi="宋体" w:eastAsia="宋体" w:cs="宋体"/>
              </w:rPr>
              <w:t>(一)综合办公平台维护</w:t>
            </w:r>
          </w:p>
          <w:p w14:paraId="6076BD09">
            <w:pPr>
              <w:spacing w:line="360" w:lineRule="auto"/>
              <w:ind w:firstLine="420" w:firstLineChars="200"/>
              <w:rPr>
                <w:rFonts w:hint="eastAsia" w:ascii="宋体" w:hAnsi="宋体" w:eastAsia="宋体" w:cs="宋体"/>
              </w:rPr>
            </w:pPr>
            <w:r>
              <w:rPr>
                <w:rFonts w:hint="eastAsia" w:ascii="宋体" w:hAnsi="宋体" w:eastAsia="宋体" w:cs="宋体"/>
              </w:rPr>
              <w:t>对广西壮族自治区港航发展中心综合办公平台提供远程技术支撑，包括各项功能模块维护、内容管理、系统流程审批管理使用指导、资料及文档支撑等工作。</w:t>
            </w:r>
          </w:p>
          <w:p w14:paraId="463EEF71">
            <w:pPr>
              <w:spacing w:line="360" w:lineRule="auto"/>
              <w:ind w:firstLine="420" w:firstLineChars="200"/>
              <w:rPr>
                <w:rFonts w:hint="eastAsia" w:ascii="宋体" w:hAnsi="宋体" w:eastAsia="宋体" w:cs="宋体"/>
              </w:rPr>
            </w:pPr>
            <w:r>
              <w:rPr>
                <w:rFonts w:hint="eastAsia" w:ascii="宋体" w:hAnsi="宋体" w:eastAsia="宋体" w:cs="宋体"/>
              </w:rPr>
              <w:t>（二）维护要求</w:t>
            </w:r>
          </w:p>
          <w:p w14:paraId="77748E79">
            <w:pPr>
              <w:spacing w:line="360" w:lineRule="auto"/>
              <w:ind w:firstLine="420" w:firstLineChars="200"/>
              <w:rPr>
                <w:rFonts w:hint="eastAsia" w:ascii="宋体" w:hAnsi="宋体" w:eastAsia="宋体" w:cs="宋体"/>
              </w:rPr>
            </w:pPr>
            <w:r>
              <w:rPr>
                <w:rFonts w:hint="eastAsia" w:ascii="宋体" w:hAnsi="宋体" w:eastAsia="宋体" w:cs="宋体"/>
              </w:rPr>
              <w:t>1.远程维护：系统发生故障时，通过电话、即时通讯工具或远程访问等方式进行系统故障的处理、技术支持、咨询服务等工作。</w:t>
            </w:r>
          </w:p>
          <w:p w14:paraId="4D8AC2A6">
            <w:pPr>
              <w:spacing w:line="360" w:lineRule="auto"/>
              <w:ind w:firstLine="420" w:firstLineChars="200"/>
              <w:rPr>
                <w:rFonts w:hint="eastAsia" w:ascii="宋体" w:hAnsi="宋体" w:eastAsia="宋体" w:cs="宋体"/>
              </w:rPr>
            </w:pPr>
            <w:r>
              <w:rPr>
                <w:rFonts w:hint="eastAsia" w:ascii="宋体" w:hAnsi="宋体" w:eastAsia="宋体" w:cs="宋体"/>
              </w:rPr>
              <w:t>2.权限调整：负责维护系统菜单权限变更，人员权限变更，新增、删除、修改用户信息等后台管理功能。</w:t>
            </w:r>
          </w:p>
          <w:p w14:paraId="5F5A3C89">
            <w:pPr>
              <w:spacing w:line="360" w:lineRule="auto"/>
              <w:ind w:firstLine="420" w:firstLineChars="200"/>
              <w:rPr>
                <w:rFonts w:hint="eastAsia" w:ascii="宋体" w:hAnsi="宋体" w:eastAsia="宋体" w:cs="宋体"/>
              </w:rPr>
            </w:pPr>
            <w:r>
              <w:rPr>
                <w:rFonts w:hint="eastAsia" w:ascii="宋体" w:hAnsi="宋体" w:eastAsia="宋体" w:cs="宋体"/>
              </w:rPr>
              <w:t>3.业务咨询：如系统操作、流程流转、字段含义、系统功能使用、某项新功能的相关业务、技术实现情况等。</w:t>
            </w:r>
          </w:p>
          <w:p w14:paraId="23D132A1">
            <w:pPr>
              <w:spacing w:line="360" w:lineRule="auto"/>
              <w:ind w:firstLine="420" w:firstLineChars="200"/>
              <w:rPr>
                <w:rFonts w:hint="eastAsia" w:ascii="宋体" w:hAnsi="宋体" w:eastAsia="宋体" w:cs="宋体"/>
              </w:rPr>
            </w:pPr>
            <w:r>
              <w:rPr>
                <w:rFonts w:hint="eastAsia" w:ascii="宋体" w:hAnsi="宋体" w:eastAsia="宋体" w:cs="宋体"/>
              </w:rPr>
              <w:t>4服务支撑：负责电脑端软件的安装，移动端环境配置。</w:t>
            </w:r>
          </w:p>
          <w:p w14:paraId="2B9022AE">
            <w:pPr>
              <w:spacing w:line="360" w:lineRule="auto"/>
              <w:ind w:firstLine="420" w:firstLineChars="200"/>
              <w:rPr>
                <w:rFonts w:hint="eastAsia" w:ascii="宋体" w:hAnsi="宋体" w:eastAsia="宋体" w:cs="宋体"/>
              </w:rPr>
            </w:pPr>
            <w:r>
              <w:rPr>
                <w:rFonts w:hint="eastAsia" w:ascii="宋体" w:hAnsi="宋体" w:eastAsia="宋体" w:cs="宋体"/>
              </w:rPr>
              <w:t>5.系统缺陷：对系统或应用在电脑端、移动端上运行时存在的缺陷进行处理、记录、反馈。</w:t>
            </w:r>
          </w:p>
          <w:p w14:paraId="538F3F08">
            <w:pPr>
              <w:spacing w:line="360" w:lineRule="auto"/>
              <w:ind w:firstLine="420" w:firstLineChars="200"/>
              <w:rPr>
                <w:rFonts w:hint="eastAsia" w:ascii="宋体" w:hAnsi="宋体" w:eastAsia="宋体" w:cs="宋体"/>
              </w:rPr>
            </w:pPr>
            <w:r>
              <w:rPr>
                <w:rFonts w:hint="eastAsia" w:ascii="宋体" w:hAnsi="宋体" w:eastAsia="宋体" w:cs="宋体"/>
              </w:rPr>
              <w:t>6.数据调整：用户使用系统存在录入错误、数据调整信息，需要修改、删除数据。</w:t>
            </w:r>
          </w:p>
          <w:p w14:paraId="3971FD3C">
            <w:pPr>
              <w:spacing w:line="360" w:lineRule="auto"/>
              <w:ind w:firstLine="420" w:firstLineChars="200"/>
              <w:rPr>
                <w:rFonts w:hint="eastAsia" w:ascii="宋体" w:hAnsi="宋体" w:eastAsia="宋体" w:cs="宋体"/>
              </w:rPr>
            </w:pPr>
            <w:r>
              <w:rPr>
                <w:rFonts w:hint="eastAsia" w:ascii="宋体" w:hAnsi="宋体" w:eastAsia="宋体" w:cs="宋体"/>
              </w:rPr>
              <w:t>7.工作配合：协助处理表格、文档的编写、数据汇总统计、数据流转、流程退回、提供操作手册等具体工作。</w:t>
            </w:r>
          </w:p>
          <w:p w14:paraId="650CACC7">
            <w:pPr>
              <w:spacing w:line="360" w:lineRule="auto"/>
              <w:ind w:firstLine="420" w:firstLineChars="200"/>
              <w:rPr>
                <w:rFonts w:hint="eastAsia" w:ascii="宋体" w:hAnsi="宋体" w:eastAsia="宋体" w:cs="宋体"/>
              </w:rPr>
            </w:pPr>
            <w:r>
              <w:rPr>
                <w:rFonts w:hint="eastAsia" w:ascii="宋体" w:hAnsi="宋体" w:eastAsia="宋体" w:cs="宋体"/>
              </w:rPr>
              <w:t>8.现场技术服务：即系统软件出现重大故障导致系统业务中止时，供应商收到通知后应立即指派技术人员到达现场对故障进行处理和排除。</w:t>
            </w:r>
          </w:p>
          <w:p w14:paraId="324D4129">
            <w:pPr>
              <w:spacing w:line="360" w:lineRule="auto"/>
              <w:ind w:firstLine="420" w:firstLineChars="200"/>
              <w:rPr>
                <w:rFonts w:hint="eastAsia" w:ascii="宋体" w:hAnsi="宋体" w:eastAsia="宋体" w:cs="宋体"/>
              </w:rPr>
            </w:pPr>
            <w:r>
              <w:rPr>
                <w:rFonts w:hint="eastAsia" w:ascii="宋体" w:hAnsi="宋体" w:eastAsia="宋体" w:cs="宋体"/>
              </w:rPr>
              <w:t>9.提供5*8小时技术支持服务和咨询服务。</w:t>
            </w:r>
          </w:p>
          <w:p w14:paraId="58C986D4">
            <w:pPr>
              <w:spacing w:line="360" w:lineRule="auto"/>
              <w:ind w:firstLine="422" w:firstLineChars="200"/>
              <w:rPr>
                <w:rFonts w:hint="eastAsia" w:ascii="宋体" w:hAnsi="宋体" w:eastAsia="宋体" w:cs="宋体"/>
                <w:b/>
                <w:bCs/>
              </w:rPr>
            </w:pPr>
            <w:r>
              <w:rPr>
                <w:rFonts w:hint="eastAsia" w:ascii="宋体" w:hAnsi="宋体" w:eastAsia="宋体" w:cs="宋体"/>
                <w:b/>
                <w:bCs/>
              </w:rPr>
              <w:t>三、电子航道图生产发布系统运维服务</w:t>
            </w:r>
          </w:p>
          <w:p w14:paraId="4646510D">
            <w:pPr>
              <w:spacing w:line="360" w:lineRule="auto"/>
              <w:ind w:firstLine="420" w:firstLineChars="200"/>
              <w:rPr>
                <w:rFonts w:hint="eastAsia" w:ascii="宋体" w:hAnsi="宋体" w:eastAsia="宋体" w:cs="宋体"/>
              </w:rPr>
            </w:pPr>
            <w:r>
              <w:rPr>
                <w:rFonts w:ascii="宋体" w:hAnsi="宋体" w:eastAsia="宋体" w:cs="宋体"/>
              </w:rPr>
              <w:t>1.按照采购人要求保障电子航道图生产发布系统正常的运行，及提供系统使用操作指导。</w:t>
            </w:r>
          </w:p>
          <w:p w14:paraId="12A037FE">
            <w:pPr>
              <w:spacing w:line="360" w:lineRule="auto"/>
              <w:ind w:firstLine="420" w:firstLineChars="200"/>
              <w:rPr>
                <w:rFonts w:hint="eastAsia" w:ascii="宋体" w:hAnsi="宋体" w:eastAsia="宋体" w:cs="宋体"/>
              </w:rPr>
            </w:pPr>
            <w:r>
              <w:rPr>
                <w:rFonts w:ascii="宋体" w:hAnsi="宋体" w:eastAsia="宋体" w:cs="宋体"/>
              </w:rPr>
              <w:t>2.接到电子航道图生产发布系统故障问题反馈后，对各类问题进行排查和分类，包括用户账户问题、权限问题、异常数据等，然后进行必要的处理。</w:t>
            </w:r>
          </w:p>
          <w:p w14:paraId="2790BDB4">
            <w:pPr>
              <w:spacing w:line="360" w:lineRule="auto"/>
              <w:ind w:firstLine="420" w:firstLineChars="200"/>
              <w:rPr>
                <w:rFonts w:hint="eastAsia" w:ascii="宋体" w:hAnsi="宋体" w:eastAsia="宋体" w:cs="宋体"/>
              </w:rPr>
            </w:pPr>
            <w:r>
              <w:rPr>
                <w:rFonts w:ascii="宋体" w:hAnsi="宋体" w:eastAsia="宋体" w:cs="宋体"/>
              </w:rPr>
              <w:t>3.每月对系统所部署的相关服务和数据库进行1次例行检查并备份数据,及时响应并配合采购方对系统所在服务器及系统漏洞及弱口令等安全隐患进行修复，定期对系统进行优化升级。</w:t>
            </w:r>
          </w:p>
          <w:p w14:paraId="76CA5F3B">
            <w:pPr>
              <w:spacing w:line="360" w:lineRule="auto"/>
              <w:ind w:firstLine="420" w:firstLineChars="200"/>
              <w:rPr>
                <w:rFonts w:hint="eastAsia" w:ascii="宋体" w:hAnsi="宋体" w:eastAsia="宋体" w:cs="宋体"/>
              </w:rPr>
            </w:pPr>
            <w:r>
              <w:rPr>
                <w:rFonts w:hint="eastAsia" w:ascii="宋体" w:hAnsi="宋体" w:eastAsia="宋体" w:cs="宋体"/>
              </w:rPr>
              <w:t>4.对突发故障的诊断、排除、修复，故障处理后及时提交处理报告。</w:t>
            </w:r>
          </w:p>
          <w:p w14:paraId="4CB44727">
            <w:pPr>
              <w:spacing w:line="360" w:lineRule="auto"/>
              <w:ind w:firstLine="420" w:firstLineChars="200"/>
              <w:rPr>
                <w:rFonts w:hint="eastAsia" w:ascii="宋体" w:hAnsi="宋体" w:eastAsia="宋体" w:cs="宋体"/>
              </w:rPr>
            </w:pPr>
            <w:r>
              <w:rPr>
                <w:rFonts w:hint="eastAsia" w:ascii="宋体" w:hAnsi="宋体" w:eastAsia="宋体" w:cs="宋体"/>
              </w:rPr>
              <w:t>5</w:t>
            </w:r>
            <w:r>
              <w:rPr>
                <w:rFonts w:ascii="宋体" w:hAnsi="宋体" w:eastAsia="宋体" w:cs="宋体"/>
              </w:rPr>
              <w:t>.保障电子航道图生产发布系统和其他系统对接数据服务的稳定推送，保证对外服务数据的及时性。</w:t>
            </w:r>
          </w:p>
          <w:p w14:paraId="3B1A9296">
            <w:pPr>
              <w:spacing w:line="360" w:lineRule="auto"/>
              <w:ind w:firstLine="420" w:firstLineChars="200"/>
              <w:rPr>
                <w:rFonts w:hint="eastAsia" w:ascii="宋体" w:hAnsi="宋体" w:eastAsia="宋体" w:cs="宋体"/>
              </w:rPr>
            </w:pPr>
            <w:r>
              <w:rPr>
                <w:rFonts w:hint="eastAsia" w:ascii="宋体" w:hAnsi="宋体" w:eastAsia="宋体" w:cs="宋体"/>
              </w:rPr>
              <w:t>6</w:t>
            </w:r>
            <w:r>
              <w:rPr>
                <w:rFonts w:ascii="宋体" w:hAnsi="宋体" w:eastAsia="宋体" w:cs="宋体"/>
              </w:rPr>
              <w:t>.保障电子航道图生产发布系统与其它系统数据服务应用的稳定，配合排查处理异常的数据服务应用问题，按要求进行数据勘误。</w:t>
            </w:r>
          </w:p>
          <w:p w14:paraId="05766228">
            <w:pPr>
              <w:spacing w:line="360" w:lineRule="auto"/>
              <w:ind w:firstLine="420" w:firstLineChars="200"/>
              <w:rPr>
                <w:rFonts w:hint="eastAsia" w:ascii="宋体" w:hAnsi="宋体" w:eastAsia="宋体" w:cs="宋体"/>
              </w:rPr>
            </w:pPr>
            <w:r>
              <w:rPr>
                <w:rFonts w:hint="eastAsia" w:ascii="宋体" w:hAnsi="宋体" w:eastAsia="宋体" w:cs="宋体"/>
              </w:rPr>
              <w:t>7</w:t>
            </w:r>
            <w:r>
              <w:rPr>
                <w:rFonts w:ascii="宋体" w:hAnsi="宋体" w:eastAsia="宋体" w:cs="宋体"/>
              </w:rPr>
              <w:t>.配合制定系统和数据的备份策略，根据工作安排进行相应的备份。</w:t>
            </w:r>
          </w:p>
          <w:p w14:paraId="29A04DF5">
            <w:pPr>
              <w:spacing w:line="360" w:lineRule="auto"/>
              <w:ind w:firstLine="420" w:firstLineChars="200"/>
              <w:rPr>
                <w:rFonts w:hint="eastAsia" w:ascii="宋体" w:hAnsi="宋体" w:eastAsia="宋体" w:cs="宋体"/>
              </w:rPr>
            </w:pPr>
            <w:r>
              <w:rPr>
                <w:rFonts w:hint="eastAsia" w:ascii="宋体" w:hAnsi="宋体" w:eastAsia="宋体" w:cs="宋体"/>
              </w:rPr>
              <w:t>8</w:t>
            </w:r>
            <w:r>
              <w:rPr>
                <w:rFonts w:ascii="宋体" w:hAnsi="宋体" w:eastAsia="宋体" w:cs="宋体"/>
              </w:rPr>
              <w:t>.定期对服务器已有的病毒防护软件、病毒库进行升级、更新，保持病毒防护系统、病毒库版本为最新状态，并进行病毒检测，根据检测结果进行杀毒处理（病毒防护软件由业主提供，升级所需授权由业主购买）。</w:t>
            </w:r>
          </w:p>
          <w:p w14:paraId="05DB770A">
            <w:pPr>
              <w:spacing w:line="360" w:lineRule="auto"/>
              <w:ind w:firstLine="420" w:firstLineChars="200"/>
              <w:rPr>
                <w:rFonts w:hint="eastAsia" w:ascii="宋体" w:hAnsi="宋体" w:eastAsia="宋体" w:cs="宋体"/>
              </w:rPr>
            </w:pPr>
            <w:r>
              <w:rPr>
                <w:rFonts w:hint="eastAsia" w:ascii="宋体" w:hAnsi="宋体" w:eastAsia="宋体" w:cs="宋体"/>
              </w:rPr>
              <w:t>9</w:t>
            </w:r>
            <w:r>
              <w:rPr>
                <w:rFonts w:ascii="宋体" w:hAnsi="宋体" w:eastAsia="宋体" w:cs="宋体"/>
              </w:rPr>
              <w:t>.根据安全漏洞检测结果，对服务器操作系统进行安全漏洞修复。</w:t>
            </w:r>
          </w:p>
          <w:p w14:paraId="4F72759A">
            <w:pPr>
              <w:spacing w:line="360" w:lineRule="auto"/>
              <w:ind w:firstLine="420" w:firstLineChars="200"/>
              <w:rPr>
                <w:rFonts w:hint="eastAsia" w:ascii="宋体" w:hAnsi="宋体" w:eastAsia="宋体" w:cs="宋体"/>
              </w:rPr>
            </w:pPr>
            <w:r>
              <w:rPr>
                <w:rFonts w:hint="eastAsia" w:ascii="宋体" w:hAnsi="宋体" w:eastAsia="宋体" w:cs="宋体"/>
              </w:rPr>
              <w:t>10</w:t>
            </w:r>
            <w:r>
              <w:rPr>
                <w:rFonts w:ascii="宋体" w:hAnsi="宋体" w:eastAsia="宋体" w:cs="宋体"/>
              </w:rPr>
              <w:t>.严格遵循采购人信息安全管理制度体系要求，与采购方签订保密协议。</w:t>
            </w:r>
          </w:p>
          <w:p w14:paraId="75166CE9">
            <w:pPr>
              <w:spacing w:line="360" w:lineRule="auto"/>
              <w:ind w:firstLine="420" w:firstLineChars="200"/>
              <w:rPr>
                <w:rFonts w:hint="eastAsia" w:ascii="宋体" w:hAnsi="宋体" w:eastAsia="宋体" w:cs="宋体"/>
              </w:rPr>
            </w:pPr>
            <w:r>
              <w:rPr>
                <w:rFonts w:hint="eastAsia" w:ascii="宋体" w:hAnsi="宋体" w:eastAsia="宋体" w:cs="宋体"/>
              </w:rPr>
              <w:t>11</w:t>
            </w:r>
            <w:r>
              <w:rPr>
                <w:rFonts w:ascii="宋体" w:hAnsi="宋体" w:eastAsia="宋体" w:cs="宋体"/>
              </w:rPr>
              <w:t>.配合采购人开展一次电子航道图生产发布系统的全流程培训，并</w:t>
            </w:r>
            <w:r>
              <w:rPr>
                <w:rFonts w:hint="eastAsia" w:ascii="宋体" w:hAnsi="宋体" w:eastAsia="宋体" w:cs="宋体"/>
              </w:rPr>
              <w:t>承担培训讲师的相应费用</w:t>
            </w:r>
            <w:r>
              <w:rPr>
                <w:rFonts w:ascii="宋体" w:hAnsi="宋体" w:eastAsia="宋体" w:cs="宋体"/>
              </w:rPr>
              <w:t>。</w:t>
            </w:r>
          </w:p>
          <w:p w14:paraId="785D09EC">
            <w:pPr>
              <w:spacing w:line="360" w:lineRule="auto"/>
              <w:ind w:firstLine="420" w:firstLineChars="200"/>
              <w:rPr>
                <w:rFonts w:hint="eastAsia" w:ascii="宋体" w:hAnsi="宋体" w:eastAsia="宋体" w:cs="宋体"/>
              </w:rPr>
            </w:pPr>
            <w:r>
              <w:rPr>
                <w:rFonts w:ascii="宋体" w:hAnsi="宋体" w:eastAsia="宋体" w:cs="宋体"/>
              </w:rPr>
              <w:t>1</w:t>
            </w:r>
            <w:r>
              <w:rPr>
                <w:rFonts w:hint="eastAsia" w:ascii="宋体" w:hAnsi="宋体" w:eastAsia="宋体" w:cs="宋体"/>
              </w:rPr>
              <w:t>2</w:t>
            </w:r>
            <w:r>
              <w:rPr>
                <w:rFonts w:ascii="宋体" w:hAnsi="宋体" w:eastAsia="宋体" w:cs="宋体"/>
              </w:rPr>
              <w:t>.提供7*24小时监测</w:t>
            </w:r>
            <w:r>
              <w:rPr>
                <w:rFonts w:hint="eastAsia" w:ascii="宋体" w:hAnsi="宋体" w:eastAsia="宋体" w:cs="宋体"/>
              </w:rPr>
              <w:t>技术支持服务和咨询服务</w:t>
            </w:r>
            <w:r>
              <w:rPr>
                <w:rFonts w:ascii="宋体" w:hAnsi="宋体" w:eastAsia="宋体" w:cs="宋体"/>
              </w:rPr>
              <w:t>。</w:t>
            </w:r>
          </w:p>
          <w:p w14:paraId="24529680">
            <w:pPr>
              <w:spacing w:line="360" w:lineRule="auto"/>
              <w:ind w:firstLine="422" w:firstLineChars="200"/>
              <w:rPr>
                <w:rFonts w:hint="eastAsia" w:ascii="宋体" w:hAnsi="宋体" w:eastAsia="宋体" w:cs="宋体"/>
                <w:b/>
                <w:bCs/>
              </w:rPr>
            </w:pPr>
            <w:r>
              <w:rPr>
                <w:rFonts w:hint="eastAsia" w:ascii="宋体" w:hAnsi="宋体" w:eastAsia="宋体" w:cs="宋体"/>
                <w:b/>
                <w:bCs/>
              </w:rPr>
              <w:t>四、广西港航内控系统运维服务</w:t>
            </w:r>
          </w:p>
          <w:p w14:paraId="0F647868">
            <w:pPr>
              <w:spacing w:line="360" w:lineRule="auto"/>
              <w:ind w:firstLine="420" w:firstLineChars="200"/>
              <w:rPr>
                <w:rFonts w:hint="eastAsia" w:ascii="宋体" w:hAnsi="宋体" w:eastAsia="宋体" w:cs="宋体"/>
              </w:rPr>
            </w:pPr>
            <w:r>
              <w:rPr>
                <w:rFonts w:hint="eastAsia" w:ascii="宋体" w:hAnsi="宋体" w:eastAsia="宋体" w:cs="宋体"/>
              </w:rPr>
              <w:t>（一）服务内容：</w:t>
            </w:r>
          </w:p>
          <w:p w14:paraId="1C6BE156">
            <w:pPr>
              <w:spacing w:line="360" w:lineRule="auto"/>
              <w:ind w:firstLine="420" w:firstLineChars="200"/>
              <w:rPr>
                <w:rFonts w:hint="eastAsia" w:ascii="宋体" w:hAnsi="宋体" w:eastAsia="宋体" w:cs="宋体"/>
              </w:rPr>
            </w:pPr>
            <w:r>
              <w:rPr>
                <w:rFonts w:hint="eastAsia" w:ascii="宋体" w:hAnsi="宋体" w:eastAsia="宋体" w:cs="宋体"/>
              </w:rPr>
              <w:t>1．包括系统基础信息配置及维护、帐号信息维护、用户权限维护、系统参数维护、系统审批流程维护、系统操作使用咨询、用户操作疑问解答、系统环境异常处理、系统故障排除、系统bug修复等。保障系统的正常运行及用户的操作使用。</w:t>
            </w:r>
          </w:p>
          <w:p w14:paraId="71B05284">
            <w:pPr>
              <w:spacing w:line="360" w:lineRule="auto"/>
              <w:ind w:firstLine="420" w:firstLineChars="200"/>
              <w:rPr>
                <w:rFonts w:hint="eastAsia" w:ascii="宋体" w:hAnsi="宋体" w:eastAsia="宋体" w:cs="宋体"/>
              </w:rPr>
            </w:pPr>
            <w:r>
              <w:rPr>
                <w:rFonts w:hint="eastAsia" w:ascii="宋体" w:hAnsi="宋体" w:eastAsia="宋体" w:cs="宋体"/>
              </w:rPr>
              <w:t>2.对采购人指定的技术员进行不少于1次系统操作培训，并为该技术员配置相应的系统操作权限。</w:t>
            </w:r>
          </w:p>
          <w:p w14:paraId="145A8D96">
            <w:pPr>
              <w:spacing w:line="360" w:lineRule="auto"/>
              <w:ind w:firstLine="420" w:firstLineChars="200"/>
              <w:rPr>
                <w:rFonts w:hint="eastAsia" w:ascii="宋体" w:hAnsi="宋体" w:eastAsia="宋体" w:cs="宋体"/>
              </w:rPr>
            </w:pPr>
            <w:r>
              <w:rPr>
                <w:rFonts w:hint="eastAsia" w:ascii="宋体" w:hAnsi="宋体" w:eastAsia="宋体" w:cs="宋体"/>
              </w:rPr>
              <w:t>3.派遣一名运维人员在采购人指定地点进行驻场运维，驻场运维人员工作时间同采购人工作时间一致。</w:t>
            </w:r>
          </w:p>
          <w:p w14:paraId="70F6823D">
            <w:pPr>
              <w:spacing w:line="360" w:lineRule="auto"/>
              <w:ind w:firstLine="420" w:firstLineChars="200"/>
              <w:rPr>
                <w:rFonts w:hint="eastAsia" w:ascii="宋体" w:hAnsi="宋体" w:eastAsia="宋体" w:cs="宋体"/>
              </w:rPr>
            </w:pPr>
            <w:r>
              <w:rPr>
                <w:rFonts w:hint="eastAsia" w:ascii="宋体" w:hAnsi="宋体" w:eastAsia="宋体" w:cs="宋体"/>
              </w:rPr>
              <w:t>（二）软件维护</w:t>
            </w:r>
          </w:p>
          <w:p w14:paraId="3BEF5AB1">
            <w:pPr>
              <w:spacing w:line="360" w:lineRule="auto"/>
              <w:ind w:firstLine="420" w:firstLineChars="200"/>
              <w:rPr>
                <w:rFonts w:hint="eastAsia" w:ascii="宋体" w:hAnsi="宋体" w:eastAsia="宋体" w:cs="宋体"/>
              </w:rPr>
            </w:pPr>
            <w:r>
              <w:rPr>
                <w:rFonts w:hint="eastAsia" w:ascii="宋体" w:hAnsi="宋体" w:eastAsia="宋体" w:cs="宋体"/>
              </w:rPr>
              <w:t>1.系统使用操作指导；</w:t>
            </w:r>
          </w:p>
          <w:p w14:paraId="68770DF1">
            <w:pPr>
              <w:spacing w:line="360" w:lineRule="auto"/>
              <w:ind w:firstLine="420" w:firstLineChars="200"/>
              <w:rPr>
                <w:rFonts w:hint="eastAsia" w:ascii="宋体" w:hAnsi="宋体" w:eastAsia="宋体" w:cs="宋体"/>
              </w:rPr>
            </w:pPr>
            <w:r>
              <w:rPr>
                <w:rFonts w:hint="eastAsia" w:ascii="宋体" w:hAnsi="宋体" w:eastAsia="宋体" w:cs="宋体"/>
              </w:rPr>
              <w:t>2.及时响应并配合采购方对系统所在服务器及系统漏洞及弱口令等安全隐患进行修复，因系统缺陷导致的各种漏洞的修复。</w:t>
            </w:r>
          </w:p>
          <w:p w14:paraId="3A5EC7FE">
            <w:pPr>
              <w:spacing w:line="360" w:lineRule="auto"/>
              <w:ind w:firstLine="420" w:firstLineChars="200"/>
              <w:rPr>
                <w:rFonts w:hint="eastAsia" w:ascii="宋体" w:hAnsi="宋体" w:eastAsia="宋体" w:cs="宋体"/>
              </w:rPr>
            </w:pPr>
            <w:r>
              <w:rPr>
                <w:rFonts w:hint="eastAsia" w:ascii="宋体" w:hAnsi="宋体" w:eastAsia="宋体" w:cs="宋体"/>
              </w:rPr>
              <w:t>3.日常运行状态监控。每月进行系统运行巡检，巡检软件主要功能是否正常，系统服务器负荷情况、系统内部数据状态，数据库运行状态、数据备份状态、存储空间是否正常。每月巡检后提交1次巡检记录（含异常情况处理记录）。</w:t>
            </w:r>
          </w:p>
          <w:p w14:paraId="612B3543">
            <w:pPr>
              <w:spacing w:line="360" w:lineRule="auto"/>
              <w:ind w:firstLine="420" w:firstLineChars="200"/>
              <w:rPr>
                <w:rFonts w:hint="eastAsia" w:ascii="宋体" w:hAnsi="宋体" w:eastAsia="宋体" w:cs="宋体"/>
              </w:rPr>
            </w:pPr>
            <w:r>
              <w:rPr>
                <w:rFonts w:hint="eastAsia" w:ascii="宋体" w:hAnsi="宋体" w:eastAsia="宋体" w:cs="宋体"/>
              </w:rPr>
              <w:t>4.对突发故障的诊断、排除、修复，故障处理后及时提交处理报告。</w:t>
            </w:r>
          </w:p>
          <w:p w14:paraId="51A72AF3">
            <w:pPr>
              <w:spacing w:line="360" w:lineRule="auto"/>
              <w:ind w:firstLine="420" w:firstLineChars="200"/>
              <w:rPr>
                <w:rFonts w:hint="eastAsia" w:ascii="宋体" w:hAnsi="宋体" w:eastAsia="宋体" w:cs="宋体"/>
              </w:rPr>
            </w:pPr>
            <w:r>
              <w:rPr>
                <w:rFonts w:hint="eastAsia" w:ascii="宋体" w:hAnsi="宋体" w:eastAsia="宋体" w:cs="宋体"/>
              </w:rPr>
              <w:t>5.对影响系统使用的故障，修复时长不超过</w:t>
            </w:r>
            <w:r>
              <w:rPr>
                <w:rFonts w:ascii="宋体" w:hAnsi="宋体" w:eastAsia="宋体" w:cs="宋体"/>
              </w:rPr>
              <w:t>24小时；如修复工作量较大的，经双方沟通后再决定修复方案</w:t>
            </w:r>
            <w:r>
              <w:rPr>
                <w:rFonts w:hint="eastAsia" w:ascii="宋体" w:hAnsi="宋体" w:eastAsia="宋体" w:cs="宋体"/>
              </w:rPr>
              <w:t>。</w:t>
            </w:r>
          </w:p>
          <w:p w14:paraId="15277D6D">
            <w:pPr>
              <w:spacing w:line="360" w:lineRule="auto"/>
              <w:ind w:firstLine="420" w:firstLineChars="200"/>
              <w:rPr>
                <w:rFonts w:hint="eastAsia" w:ascii="宋体" w:hAnsi="宋体" w:eastAsia="宋体" w:cs="宋体"/>
              </w:rPr>
            </w:pPr>
            <w:r>
              <w:rPr>
                <w:rFonts w:hint="eastAsia" w:ascii="宋体" w:hAnsi="宋体" w:eastAsia="宋体" w:cs="宋体"/>
              </w:rPr>
              <w:t>6.严格遵循采购人信息安全管理制度体系要求，与采购方签订保密协议。</w:t>
            </w:r>
          </w:p>
          <w:p w14:paraId="27038D93">
            <w:pPr>
              <w:spacing w:line="360" w:lineRule="auto"/>
              <w:ind w:firstLine="420" w:firstLineChars="200"/>
              <w:rPr>
                <w:rFonts w:hint="eastAsia" w:ascii="宋体" w:hAnsi="宋体" w:eastAsia="宋体" w:cs="宋体"/>
              </w:rPr>
            </w:pPr>
            <w:r>
              <w:rPr>
                <w:rFonts w:hint="eastAsia" w:ascii="宋体" w:hAnsi="宋体" w:eastAsia="宋体" w:cs="宋体"/>
              </w:rPr>
              <w:t>（三）数据维护</w:t>
            </w:r>
          </w:p>
          <w:p w14:paraId="4E5B051C">
            <w:pPr>
              <w:spacing w:line="360" w:lineRule="auto"/>
              <w:ind w:firstLine="420" w:firstLineChars="200"/>
              <w:rPr>
                <w:rFonts w:hint="eastAsia" w:ascii="宋体" w:hAnsi="宋体" w:eastAsia="宋体" w:cs="宋体"/>
              </w:rPr>
            </w:pPr>
            <w:r>
              <w:rPr>
                <w:rFonts w:hint="eastAsia" w:ascii="宋体" w:hAnsi="宋体" w:eastAsia="宋体" w:cs="宋体"/>
              </w:rPr>
              <w:t>1.每周一次在后台对系统数据进行滚动备份。</w:t>
            </w:r>
          </w:p>
          <w:p w14:paraId="14DFF2AB">
            <w:pPr>
              <w:spacing w:line="360" w:lineRule="auto"/>
              <w:ind w:firstLine="420" w:firstLineChars="200"/>
              <w:rPr>
                <w:rFonts w:hint="eastAsia" w:ascii="宋体" w:hAnsi="宋体" w:eastAsia="宋体" w:cs="宋体"/>
              </w:rPr>
            </w:pPr>
            <w:r>
              <w:rPr>
                <w:rFonts w:hint="eastAsia" w:ascii="宋体" w:hAnsi="宋体" w:eastAsia="宋体" w:cs="宋体"/>
              </w:rPr>
              <w:t>2.因操作失误导致的数据错误修复。</w:t>
            </w:r>
          </w:p>
          <w:p w14:paraId="6E6D4862">
            <w:pPr>
              <w:spacing w:line="360" w:lineRule="auto"/>
              <w:ind w:firstLine="420" w:firstLineChars="200"/>
              <w:rPr>
                <w:rFonts w:hint="eastAsia" w:ascii="宋体" w:hAnsi="宋体" w:eastAsia="宋体" w:cs="宋体"/>
              </w:rPr>
            </w:pPr>
            <w:r>
              <w:rPr>
                <w:rFonts w:hint="eastAsia" w:ascii="宋体" w:hAnsi="宋体" w:eastAsia="宋体" w:cs="宋体"/>
              </w:rPr>
              <w:t>3.解决系统数据库表和数据出现的各类问题。</w:t>
            </w:r>
          </w:p>
          <w:p w14:paraId="717ED5A1">
            <w:pPr>
              <w:spacing w:line="360" w:lineRule="auto"/>
              <w:ind w:firstLine="420" w:firstLineChars="200"/>
              <w:rPr>
                <w:rFonts w:hint="eastAsia" w:ascii="宋体" w:hAnsi="宋体" w:eastAsia="宋体" w:cs="宋体"/>
              </w:rPr>
            </w:pPr>
            <w:r>
              <w:rPr>
                <w:rFonts w:hint="eastAsia" w:ascii="宋体" w:hAnsi="宋体" w:eastAsia="宋体" w:cs="宋体"/>
              </w:rPr>
              <w:t>（四）服务器运行维护</w:t>
            </w:r>
          </w:p>
          <w:p w14:paraId="29D66F69">
            <w:pPr>
              <w:spacing w:line="360" w:lineRule="auto"/>
              <w:ind w:firstLine="420" w:firstLineChars="200"/>
              <w:rPr>
                <w:rFonts w:hint="eastAsia" w:ascii="宋体" w:hAnsi="宋体" w:eastAsia="宋体" w:cs="宋体"/>
              </w:rPr>
            </w:pPr>
            <w:r>
              <w:rPr>
                <w:rFonts w:ascii="宋体" w:hAnsi="宋体" w:eastAsia="宋体" w:cs="宋体"/>
              </w:rPr>
              <w:t>1.定期对服务器已有的病毒防护软件、病毒库进行升级、更新，保持病毒防护系统、病毒库版本为最新状态，并进行病毒检测，根据检测结果进行杀毒处理（病毒防护软件由业主提供，升级所需授权由业主购买）。</w:t>
            </w:r>
          </w:p>
          <w:p w14:paraId="227CD49B">
            <w:pPr>
              <w:spacing w:line="360" w:lineRule="auto"/>
              <w:ind w:firstLine="420" w:firstLineChars="200"/>
              <w:rPr>
                <w:rFonts w:hint="eastAsia" w:ascii="宋体" w:hAnsi="宋体" w:eastAsia="宋体" w:cs="宋体"/>
              </w:rPr>
            </w:pPr>
            <w:r>
              <w:rPr>
                <w:rFonts w:ascii="宋体" w:hAnsi="宋体" w:eastAsia="宋体" w:cs="宋体"/>
              </w:rPr>
              <w:t>2.根据安全漏洞检测结果，对服务器操作系统进行安全漏洞修复。</w:t>
            </w:r>
          </w:p>
          <w:p w14:paraId="29F50066">
            <w:pPr>
              <w:spacing w:line="360" w:lineRule="auto"/>
              <w:ind w:firstLine="420" w:firstLineChars="200"/>
              <w:rPr>
                <w:rFonts w:hint="eastAsia" w:ascii="宋体" w:hAnsi="宋体" w:eastAsia="宋体" w:cs="宋体"/>
              </w:rPr>
            </w:pPr>
            <w:r>
              <w:rPr>
                <w:rFonts w:hint="eastAsia" w:ascii="宋体" w:hAnsi="宋体" w:eastAsia="宋体" w:cs="宋体"/>
              </w:rPr>
              <w:t>（五）运维方式</w:t>
            </w:r>
          </w:p>
          <w:p w14:paraId="371D0479">
            <w:pPr>
              <w:spacing w:line="360" w:lineRule="auto"/>
              <w:ind w:firstLine="420" w:firstLineChars="200"/>
              <w:rPr>
                <w:rFonts w:hint="eastAsia" w:ascii="宋体" w:hAnsi="宋体" w:eastAsia="宋体" w:cs="宋体"/>
              </w:rPr>
            </w:pPr>
            <w:r>
              <w:rPr>
                <w:rFonts w:hint="eastAsia" w:ascii="宋体" w:hAnsi="宋体" w:eastAsia="宋体" w:cs="宋体"/>
              </w:rPr>
              <w:t>1.远程维护：系统发生故障时，通过电话、即时通讯工具或远程访问等方式进行系统故障的处理、技术支持、咨询服务等工作。</w:t>
            </w:r>
          </w:p>
          <w:p w14:paraId="6F41715E">
            <w:pPr>
              <w:spacing w:line="360" w:lineRule="auto"/>
              <w:ind w:firstLine="420" w:firstLineChars="200"/>
              <w:rPr>
                <w:rFonts w:hint="eastAsia" w:ascii="宋体" w:hAnsi="宋体" w:eastAsia="宋体" w:cs="宋体"/>
              </w:rPr>
            </w:pPr>
            <w:r>
              <w:rPr>
                <w:rFonts w:hint="eastAsia" w:ascii="宋体" w:hAnsi="宋体" w:eastAsia="宋体" w:cs="宋体"/>
              </w:rPr>
              <w:t>2.现场技术服务：即系统软件出现重大故障导致系统业务中止时，供应商收到通知后应立即指派技术人员到达现场对故障进行处理和排除。</w:t>
            </w:r>
          </w:p>
          <w:p w14:paraId="3CA71411">
            <w:pPr>
              <w:spacing w:line="360" w:lineRule="auto"/>
              <w:ind w:firstLine="420" w:firstLineChars="200"/>
              <w:rPr>
                <w:rFonts w:hint="eastAsia" w:ascii="宋体" w:hAnsi="宋体" w:eastAsia="宋体" w:cs="宋体"/>
              </w:rPr>
            </w:pPr>
            <w:r>
              <w:rPr>
                <w:rFonts w:hint="eastAsia" w:ascii="宋体" w:hAnsi="宋体" w:eastAsia="宋体" w:cs="宋体"/>
              </w:rPr>
              <w:t>（六）服务要求</w:t>
            </w:r>
          </w:p>
          <w:p w14:paraId="70B99FD2">
            <w:pPr>
              <w:spacing w:line="360" w:lineRule="auto"/>
              <w:ind w:firstLine="420" w:firstLineChars="200"/>
              <w:rPr>
                <w:rFonts w:hint="eastAsia" w:ascii="宋体" w:hAnsi="宋体" w:eastAsia="宋体" w:cs="宋体"/>
              </w:rPr>
            </w:pPr>
            <w:r>
              <w:rPr>
                <w:rFonts w:hint="eastAsia" w:ascii="宋体" w:hAnsi="宋体" w:eastAsia="宋体" w:cs="宋体"/>
              </w:rPr>
              <w:t>1.提供7*24小时技术支持服务和咨询服务。</w:t>
            </w:r>
          </w:p>
          <w:p w14:paraId="1C353EB7">
            <w:pPr>
              <w:spacing w:line="360" w:lineRule="auto"/>
              <w:ind w:firstLine="420" w:firstLineChars="200"/>
              <w:rPr>
                <w:rFonts w:hint="eastAsia" w:ascii="宋体" w:hAnsi="宋体" w:eastAsia="宋体" w:cs="宋体"/>
              </w:rPr>
            </w:pPr>
            <w:r>
              <w:rPr>
                <w:rFonts w:hint="eastAsia" w:ascii="宋体" w:hAnsi="宋体" w:eastAsia="宋体" w:cs="宋体"/>
              </w:rPr>
              <w:t>2.</w:t>
            </w:r>
            <w:r>
              <w:rPr>
                <w:rFonts w:hint="eastAsia"/>
              </w:rPr>
              <w:t xml:space="preserve"> </w:t>
            </w:r>
            <w:r>
              <w:rPr>
                <w:rFonts w:hint="eastAsia" w:ascii="宋体" w:hAnsi="宋体" w:eastAsia="宋体" w:cs="宋体"/>
              </w:rPr>
              <w:t>保障采购方的信创电脑客户端能够正常使用系统。</w:t>
            </w:r>
          </w:p>
          <w:p w14:paraId="41B3BD09">
            <w:pPr>
              <w:spacing w:line="360" w:lineRule="auto"/>
              <w:ind w:firstLine="422" w:firstLineChars="200"/>
              <w:rPr>
                <w:rFonts w:hint="eastAsia" w:ascii="宋体" w:hAnsi="宋体" w:eastAsia="宋体" w:cs="宋体"/>
                <w:b/>
                <w:bCs/>
              </w:rPr>
            </w:pPr>
            <w:r>
              <w:rPr>
                <w:rFonts w:hint="eastAsia" w:ascii="宋体" w:hAnsi="宋体" w:eastAsia="宋体" w:cs="宋体"/>
                <w:b/>
                <w:bCs/>
              </w:rPr>
              <w:t>五、广西船舶建造检验系统运维服务</w:t>
            </w:r>
          </w:p>
          <w:p w14:paraId="2767D1D8">
            <w:pPr>
              <w:spacing w:line="360" w:lineRule="auto"/>
              <w:ind w:firstLine="420" w:firstLineChars="200"/>
              <w:rPr>
                <w:rFonts w:hint="eastAsia" w:ascii="宋体" w:hAnsi="宋体" w:eastAsia="宋体" w:cs="宋体"/>
              </w:rPr>
            </w:pPr>
            <w:r>
              <w:rPr>
                <w:rFonts w:hint="eastAsia" w:ascii="宋体" w:hAnsi="宋体" w:eastAsia="宋体" w:cs="宋体"/>
              </w:rPr>
              <w:t>（一）软件维护</w:t>
            </w:r>
          </w:p>
          <w:p w14:paraId="54EA218F">
            <w:pPr>
              <w:spacing w:line="360" w:lineRule="auto"/>
              <w:ind w:firstLine="420" w:firstLineChars="200"/>
              <w:rPr>
                <w:rFonts w:hint="eastAsia" w:ascii="宋体" w:hAnsi="宋体" w:eastAsia="宋体" w:cs="宋体"/>
              </w:rPr>
            </w:pPr>
            <w:r>
              <w:rPr>
                <w:rFonts w:ascii="宋体" w:hAnsi="宋体" w:eastAsia="宋体" w:cs="宋体"/>
              </w:rPr>
              <w:t>1.系统使用操作指导；</w:t>
            </w:r>
          </w:p>
          <w:p w14:paraId="35165FD7">
            <w:pPr>
              <w:spacing w:line="360" w:lineRule="auto"/>
              <w:ind w:firstLine="420" w:firstLineChars="200"/>
              <w:rPr>
                <w:rFonts w:hint="eastAsia" w:ascii="宋体" w:hAnsi="宋体" w:eastAsia="宋体" w:cs="宋体"/>
              </w:rPr>
            </w:pPr>
            <w:r>
              <w:rPr>
                <w:rFonts w:ascii="宋体" w:hAnsi="宋体" w:eastAsia="宋体" w:cs="宋体"/>
              </w:rPr>
              <w:t>2.及时响应并配合采购方对系统漏洞及弱口令等安全隐患进行修复，对突发故障的诊断、排除、修复，并在</w:t>
            </w:r>
            <w:r>
              <w:rPr>
                <w:rFonts w:hint="eastAsia" w:ascii="宋体" w:hAnsi="宋体" w:eastAsia="宋体" w:cs="宋体"/>
              </w:rPr>
              <w:t>故障处理后及时提交处理报告</w:t>
            </w:r>
            <w:r>
              <w:rPr>
                <w:rFonts w:ascii="宋体" w:hAnsi="宋体" w:eastAsia="宋体" w:cs="宋体"/>
              </w:rPr>
              <w:t>。</w:t>
            </w:r>
          </w:p>
          <w:p w14:paraId="36677C5E">
            <w:pPr>
              <w:spacing w:line="360" w:lineRule="auto"/>
              <w:ind w:firstLine="420" w:firstLineChars="200"/>
              <w:rPr>
                <w:rFonts w:hint="eastAsia" w:ascii="宋体" w:hAnsi="宋体" w:eastAsia="宋体" w:cs="宋体"/>
              </w:rPr>
            </w:pPr>
            <w:r>
              <w:rPr>
                <w:rFonts w:ascii="宋体" w:hAnsi="宋体" w:eastAsia="宋体" w:cs="宋体"/>
              </w:rPr>
              <w:t>3.日常运行状态监控。</w:t>
            </w:r>
          </w:p>
          <w:p w14:paraId="3B1B0401">
            <w:pPr>
              <w:spacing w:line="360" w:lineRule="auto"/>
              <w:ind w:firstLine="420" w:firstLineChars="200"/>
              <w:rPr>
                <w:rFonts w:hint="eastAsia" w:ascii="宋体" w:hAnsi="宋体" w:eastAsia="宋体" w:cs="宋体"/>
              </w:rPr>
            </w:pPr>
            <w:r>
              <w:rPr>
                <w:rFonts w:ascii="宋体" w:hAnsi="宋体" w:eastAsia="宋体" w:cs="宋体"/>
              </w:rPr>
              <w:t>4.严格遵循采购人信息安全管理制度体系要求，对系统进行安全管理维护。</w:t>
            </w:r>
          </w:p>
          <w:p w14:paraId="16757CBF">
            <w:pPr>
              <w:spacing w:line="360" w:lineRule="auto"/>
              <w:ind w:firstLine="420" w:firstLineChars="200"/>
              <w:rPr>
                <w:rFonts w:hint="eastAsia" w:ascii="宋体" w:hAnsi="宋体" w:eastAsia="宋体" w:cs="宋体"/>
              </w:rPr>
            </w:pPr>
            <w:r>
              <w:rPr>
                <w:rFonts w:ascii="宋体" w:hAnsi="宋体" w:eastAsia="宋体" w:cs="宋体"/>
              </w:rPr>
              <w:t>5.补充完善船舶建造管理数据统计功能。</w:t>
            </w:r>
          </w:p>
          <w:p w14:paraId="343F71D2">
            <w:pPr>
              <w:spacing w:line="360" w:lineRule="auto"/>
              <w:ind w:firstLine="420" w:firstLineChars="200"/>
              <w:rPr>
                <w:rFonts w:hint="eastAsia" w:ascii="宋体" w:hAnsi="宋体" w:eastAsia="宋体" w:cs="宋体"/>
              </w:rPr>
            </w:pPr>
            <w:r>
              <w:rPr>
                <w:rFonts w:hint="eastAsia" w:ascii="宋体" w:hAnsi="宋体" w:eastAsia="宋体" w:cs="宋体"/>
              </w:rPr>
              <w:t>（二）数据维护</w:t>
            </w:r>
          </w:p>
          <w:p w14:paraId="00FE553E">
            <w:pPr>
              <w:spacing w:line="360" w:lineRule="auto"/>
              <w:ind w:firstLine="420" w:firstLineChars="200"/>
              <w:rPr>
                <w:rFonts w:hint="eastAsia" w:ascii="宋体" w:hAnsi="宋体" w:eastAsia="宋体" w:cs="宋体"/>
              </w:rPr>
            </w:pPr>
            <w:r>
              <w:rPr>
                <w:rFonts w:ascii="宋体" w:hAnsi="宋体" w:eastAsia="宋体" w:cs="宋体"/>
              </w:rPr>
              <w:t>1.每周一次在后台对系统数据进行滚动备份，甲方应提供设备保障备份数据和源数据不在同一台服务器上。</w:t>
            </w:r>
          </w:p>
          <w:p w14:paraId="3818D7BB">
            <w:pPr>
              <w:spacing w:line="360" w:lineRule="auto"/>
              <w:ind w:firstLine="420" w:firstLineChars="200"/>
              <w:rPr>
                <w:rFonts w:hint="eastAsia" w:ascii="宋体" w:hAnsi="宋体" w:eastAsia="宋体" w:cs="宋体"/>
              </w:rPr>
            </w:pPr>
            <w:r>
              <w:rPr>
                <w:rFonts w:ascii="宋体" w:hAnsi="宋体" w:eastAsia="宋体" w:cs="宋体"/>
              </w:rPr>
              <w:t>2.在情况允许的条件下，因甲方操作失误导致的数据错误修复。</w:t>
            </w:r>
          </w:p>
          <w:p w14:paraId="2C190138">
            <w:pPr>
              <w:spacing w:line="360" w:lineRule="auto"/>
              <w:ind w:firstLine="420" w:firstLineChars="200"/>
              <w:rPr>
                <w:rFonts w:hint="eastAsia" w:ascii="宋体" w:hAnsi="宋体" w:eastAsia="宋体" w:cs="宋体"/>
              </w:rPr>
            </w:pPr>
            <w:r>
              <w:rPr>
                <w:rFonts w:ascii="宋体" w:hAnsi="宋体" w:eastAsia="宋体" w:cs="宋体"/>
              </w:rPr>
              <w:t>3.按季度对系统数据运行支撑条件进行巡检，巡检具体内容包括系统服务器负荷情况、系统内部数据整理情况，检查数据库运行状态、数据备份状态、存储管理，记录系统故障情况、系统优化情况、存在问题解决情况报告。</w:t>
            </w:r>
          </w:p>
          <w:p w14:paraId="56508FF1">
            <w:pPr>
              <w:spacing w:line="360" w:lineRule="auto"/>
              <w:ind w:firstLine="420" w:firstLineChars="200"/>
              <w:rPr>
                <w:rFonts w:hint="eastAsia" w:ascii="宋体" w:hAnsi="宋体" w:eastAsia="宋体" w:cs="宋体"/>
              </w:rPr>
            </w:pPr>
            <w:r>
              <w:rPr>
                <w:rFonts w:hint="eastAsia" w:ascii="宋体" w:hAnsi="宋体" w:eastAsia="宋体" w:cs="宋体"/>
              </w:rPr>
              <w:t>（三）服务器运行维护</w:t>
            </w:r>
          </w:p>
          <w:p w14:paraId="6BAEFF25">
            <w:pPr>
              <w:spacing w:line="360" w:lineRule="auto"/>
              <w:ind w:firstLine="420" w:firstLineChars="200"/>
              <w:rPr>
                <w:rFonts w:hint="eastAsia" w:ascii="宋体" w:hAnsi="宋体" w:eastAsia="宋体" w:cs="宋体"/>
              </w:rPr>
            </w:pPr>
            <w:r>
              <w:rPr>
                <w:rFonts w:ascii="宋体" w:hAnsi="宋体" w:eastAsia="宋体" w:cs="宋体"/>
              </w:rPr>
              <w:t>1.定期对服务器已有的病毒防护软件、病毒库进行升级、更新，保持病毒防护系统、病毒库版本为最新状态，并进行病毒检测，根据检测结果进行杀毒处理（病毒防护软件由业主提供，升级所需授权由业主购买）。</w:t>
            </w:r>
          </w:p>
          <w:p w14:paraId="337F0C2E">
            <w:pPr>
              <w:spacing w:line="360" w:lineRule="auto"/>
              <w:ind w:firstLine="420" w:firstLineChars="200"/>
              <w:rPr>
                <w:rFonts w:hint="eastAsia" w:ascii="宋体" w:hAnsi="宋体" w:eastAsia="宋体" w:cs="宋体"/>
              </w:rPr>
            </w:pPr>
            <w:r>
              <w:rPr>
                <w:rFonts w:ascii="宋体" w:hAnsi="宋体" w:eastAsia="宋体" w:cs="宋体"/>
              </w:rPr>
              <w:t>2.根据安全漏洞检测结果，对服务器操作系统进行安全漏洞修复。</w:t>
            </w:r>
          </w:p>
          <w:p w14:paraId="2C02FD2E">
            <w:pPr>
              <w:spacing w:line="360" w:lineRule="auto"/>
              <w:ind w:firstLine="420" w:firstLineChars="200"/>
              <w:rPr>
                <w:rFonts w:hint="eastAsia" w:ascii="宋体" w:hAnsi="宋体" w:eastAsia="宋体" w:cs="宋体"/>
              </w:rPr>
            </w:pPr>
            <w:r>
              <w:rPr>
                <w:rFonts w:hint="eastAsia" w:ascii="宋体" w:hAnsi="宋体" w:eastAsia="宋体" w:cs="宋体"/>
              </w:rPr>
              <w:t>（四）运维方式</w:t>
            </w:r>
          </w:p>
          <w:p w14:paraId="09B79798">
            <w:pPr>
              <w:spacing w:line="360" w:lineRule="auto"/>
              <w:ind w:firstLine="420" w:firstLineChars="200"/>
              <w:rPr>
                <w:rFonts w:hint="eastAsia" w:ascii="宋体" w:hAnsi="宋体" w:eastAsia="宋体" w:cs="宋体"/>
              </w:rPr>
            </w:pPr>
            <w:r>
              <w:rPr>
                <w:rFonts w:hint="eastAsia" w:ascii="宋体" w:hAnsi="宋体" w:eastAsia="宋体" w:cs="宋体"/>
              </w:rPr>
              <w:t>远程维护：系统发生故障时，通过电话、即时通讯工具或远程访问等方式进行系统故障的处理、技术支持、咨询服务等工作。</w:t>
            </w:r>
          </w:p>
          <w:p w14:paraId="633F5970">
            <w:pPr>
              <w:spacing w:line="360" w:lineRule="auto"/>
              <w:ind w:firstLine="420" w:firstLineChars="200"/>
              <w:rPr>
                <w:rFonts w:hint="eastAsia" w:ascii="宋体" w:hAnsi="宋体" w:eastAsia="宋体" w:cs="宋体"/>
              </w:rPr>
            </w:pPr>
            <w:r>
              <w:rPr>
                <w:rFonts w:hint="eastAsia" w:ascii="宋体" w:hAnsi="宋体" w:eastAsia="宋体" w:cs="宋体"/>
              </w:rPr>
              <w:t>（五）服务要求</w:t>
            </w:r>
          </w:p>
          <w:p w14:paraId="105718DF">
            <w:pPr>
              <w:spacing w:line="360" w:lineRule="auto"/>
              <w:ind w:firstLine="420" w:firstLineChars="200"/>
              <w:rPr>
                <w:rFonts w:hint="eastAsia" w:ascii="宋体" w:hAnsi="宋体" w:eastAsia="宋体" w:cs="宋体"/>
              </w:rPr>
            </w:pPr>
            <w:r>
              <w:rPr>
                <w:rFonts w:hint="eastAsia" w:ascii="宋体" w:hAnsi="宋体" w:eastAsia="宋体" w:cs="宋体"/>
              </w:rPr>
              <w:t>提供</w:t>
            </w:r>
            <w:r>
              <w:rPr>
                <w:rFonts w:ascii="宋体" w:hAnsi="宋体" w:eastAsia="宋体" w:cs="宋体"/>
              </w:rPr>
              <w:t>7*24小时</w:t>
            </w:r>
            <w:r>
              <w:rPr>
                <w:rFonts w:hint="eastAsia" w:ascii="宋体" w:hAnsi="宋体" w:eastAsia="宋体" w:cs="宋体"/>
              </w:rPr>
              <w:t>技术支持服务和咨询服务</w:t>
            </w:r>
            <w:r>
              <w:rPr>
                <w:rFonts w:ascii="宋体" w:hAnsi="宋体" w:eastAsia="宋体" w:cs="宋体"/>
              </w:rPr>
              <w:t>。</w:t>
            </w:r>
          </w:p>
          <w:p w14:paraId="7861EE29">
            <w:pPr>
              <w:spacing w:line="360" w:lineRule="auto"/>
              <w:ind w:firstLine="422" w:firstLineChars="200"/>
              <w:rPr>
                <w:rFonts w:hint="eastAsia" w:ascii="宋体" w:hAnsi="宋体" w:eastAsia="宋体" w:cs="宋体"/>
                <w:b/>
                <w:bCs/>
              </w:rPr>
            </w:pPr>
            <w:r>
              <w:rPr>
                <w:rFonts w:hint="eastAsia" w:ascii="宋体" w:hAnsi="宋体" w:eastAsia="宋体" w:cs="宋体"/>
                <w:b/>
                <w:bCs/>
              </w:rPr>
              <w:t>六、优先过闸船舶管理系统</w:t>
            </w:r>
          </w:p>
          <w:p w14:paraId="5FFAA237">
            <w:pPr>
              <w:spacing w:line="360" w:lineRule="auto"/>
              <w:ind w:firstLine="420" w:firstLineChars="200"/>
              <w:rPr>
                <w:rFonts w:hint="eastAsia" w:ascii="宋体" w:hAnsi="宋体" w:eastAsia="宋体" w:cs="宋体"/>
              </w:rPr>
            </w:pPr>
            <w:bookmarkStart w:id="90" w:name="OLE_LINK1"/>
            <w:r>
              <w:rPr>
                <w:rFonts w:hint="eastAsia" w:ascii="宋体" w:hAnsi="宋体" w:eastAsia="宋体" w:cs="宋体"/>
              </w:rPr>
              <w:t>（一）功能完善</w:t>
            </w:r>
          </w:p>
          <w:p w14:paraId="2D2DF39F">
            <w:pPr>
              <w:spacing w:line="360" w:lineRule="auto"/>
              <w:ind w:firstLine="420" w:firstLineChars="200"/>
              <w:rPr>
                <w:rFonts w:hint="eastAsia" w:ascii="宋体" w:hAnsi="宋体" w:eastAsia="宋体" w:cs="宋体"/>
              </w:rPr>
            </w:pPr>
            <w:r>
              <w:rPr>
                <w:rFonts w:hint="eastAsia" w:ascii="宋体" w:hAnsi="宋体" w:eastAsia="宋体" w:cs="宋体"/>
              </w:rPr>
              <w:t>1.与大藤峡、长洲过闸系统联通数据，可实时查看过往船舶信息。</w:t>
            </w:r>
          </w:p>
          <w:p w14:paraId="56E7D3DB">
            <w:pPr>
              <w:spacing w:line="360" w:lineRule="auto"/>
              <w:ind w:firstLine="420" w:firstLineChars="200"/>
              <w:rPr>
                <w:rFonts w:hint="eastAsia" w:ascii="宋体" w:hAnsi="宋体" w:eastAsia="宋体" w:cs="宋体"/>
              </w:rPr>
            </w:pPr>
            <w:r>
              <w:rPr>
                <w:rFonts w:hint="eastAsia" w:ascii="宋体" w:hAnsi="宋体" w:eastAsia="宋体" w:cs="宋体"/>
              </w:rPr>
              <w:t>2.优化数据统计分析功能。</w:t>
            </w:r>
          </w:p>
          <w:p w14:paraId="16B76223">
            <w:pPr>
              <w:spacing w:line="360" w:lineRule="auto"/>
              <w:ind w:firstLine="420" w:firstLineChars="200"/>
              <w:rPr>
                <w:rFonts w:hint="eastAsia" w:ascii="宋体" w:hAnsi="宋体" w:eastAsia="宋体" w:cs="宋体"/>
              </w:rPr>
            </w:pPr>
            <w:r>
              <w:rPr>
                <w:rFonts w:hint="eastAsia" w:ascii="宋体" w:hAnsi="宋体" w:eastAsia="宋体" w:cs="宋体"/>
              </w:rPr>
              <w:t>（二）软件维护</w:t>
            </w:r>
          </w:p>
          <w:p w14:paraId="143C8992">
            <w:pPr>
              <w:spacing w:line="360" w:lineRule="auto"/>
              <w:ind w:firstLine="420" w:firstLineChars="200"/>
              <w:rPr>
                <w:rFonts w:hint="eastAsia" w:ascii="宋体" w:hAnsi="宋体" w:eastAsia="宋体" w:cs="宋体"/>
              </w:rPr>
            </w:pPr>
            <w:r>
              <w:rPr>
                <w:rFonts w:hint="eastAsia" w:ascii="宋体" w:hAnsi="宋体" w:eastAsia="宋体" w:cs="宋体"/>
              </w:rPr>
              <w:t>1.系统使用操作指导。</w:t>
            </w:r>
          </w:p>
          <w:p w14:paraId="717669FF">
            <w:pPr>
              <w:spacing w:line="360" w:lineRule="auto"/>
              <w:ind w:firstLine="420" w:firstLineChars="200"/>
              <w:rPr>
                <w:rFonts w:hint="eastAsia" w:ascii="宋体" w:hAnsi="宋体" w:eastAsia="宋体" w:cs="宋体"/>
              </w:rPr>
            </w:pPr>
            <w:r>
              <w:rPr>
                <w:rFonts w:hint="eastAsia" w:ascii="宋体" w:hAnsi="宋体" w:eastAsia="宋体" w:cs="宋体"/>
              </w:rPr>
              <w:t>2.系统突发故障的诊断、排除、修复，并在故障处理后及时提交处理报告。因系统缺陷导致的各种漏洞的修复。</w:t>
            </w:r>
          </w:p>
          <w:p w14:paraId="66CD522C">
            <w:pPr>
              <w:spacing w:line="360" w:lineRule="auto"/>
              <w:ind w:firstLine="420" w:firstLineChars="200"/>
              <w:rPr>
                <w:rFonts w:hint="eastAsia" w:ascii="宋体" w:hAnsi="宋体" w:eastAsia="宋体" w:cs="宋体"/>
              </w:rPr>
            </w:pPr>
            <w:r>
              <w:rPr>
                <w:rFonts w:hint="eastAsia" w:ascii="宋体" w:hAnsi="宋体" w:eastAsia="宋体" w:cs="宋体"/>
              </w:rPr>
              <w:t>3.日常运行状态监控。每季度进行系统运行巡检，巡检软件主要功能是否正常，系统服务器负荷情况、系统内部数据状态，数据库运行状态、数据备份状态、存储空间是否正常。每季度巡检后提交1次巡检记录（含异常情况处理记录）。</w:t>
            </w:r>
          </w:p>
          <w:p w14:paraId="6DD6499C">
            <w:pPr>
              <w:spacing w:line="360" w:lineRule="auto"/>
              <w:ind w:firstLine="420" w:firstLineChars="200"/>
              <w:rPr>
                <w:rFonts w:hint="eastAsia" w:ascii="宋体" w:hAnsi="宋体" w:eastAsia="宋体" w:cs="宋体"/>
              </w:rPr>
            </w:pPr>
            <w:r>
              <w:rPr>
                <w:rFonts w:hint="eastAsia" w:ascii="宋体" w:hAnsi="宋体" w:eastAsia="宋体" w:cs="宋体"/>
              </w:rPr>
              <w:t>4.严格遵循采购人信息安全管理制度体系要求，对系统进行安全管理维护。</w:t>
            </w:r>
          </w:p>
          <w:p w14:paraId="50D2C787">
            <w:pPr>
              <w:spacing w:line="360" w:lineRule="auto"/>
              <w:ind w:firstLine="420" w:firstLineChars="200"/>
              <w:rPr>
                <w:rFonts w:hint="eastAsia" w:ascii="宋体" w:hAnsi="宋体" w:eastAsia="宋体" w:cs="宋体"/>
              </w:rPr>
            </w:pPr>
            <w:bookmarkStart w:id="91" w:name="OLE_LINK4"/>
            <w:r>
              <w:rPr>
                <w:rFonts w:hint="eastAsia" w:ascii="宋体" w:hAnsi="宋体" w:eastAsia="宋体" w:cs="宋体"/>
              </w:rPr>
              <w:t>（三）数据维护</w:t>
            </w:r>
          </w:p>
          <w:p w14:paraId="413D6893">
            <w:pPr>
              <w:spacing w:line="360" w:lineRule="auto"/>
              <w:ind w:firstLine="420" w:firstLineChars="200"/>
              <w:rPr>
                <w:rFonts w:hint="eastAsia" w:ascii="宋体" w:hAnsi="宋体" w:eastAsia="宋体" w:cs="宋体"/>
              </w:rPr>
            </w:pPr>
            <w:r>
              <w:rPr>
                <w:rFonts w:hint="eastAsia" w:ascii="宋体" w:hAnsi="宋体" w:eastAsia="宋体" w:cs="宋体"/>
              </w:rPr>
              <w:t>1.每周一次在后台对系统数据进行滚动备份。</w:t>
            </w:r>
          </w:p>
          <w:p w14:paraId="6BE1A3C5">
            <w:pPr>
              <w:spacing w:line="360" w:lineRule="auto"/>
              <w:ind w:firstLine="420" w:firstLineChars="200"/>
              <w:rPr>
                <w:rFonts w:hint="eastAsia" w:ascii="宋体" w:hAnsi="宋体" w:eastAsia="宋体" w:cs="宋体"/>
              </w:rPr>
            </w:pPr>
            <w:r>
              <w:rPr>
                <w:rFonts w:hint="eastAsia" w:ascii="宋体" w:hAnsi="宋体" w:eastAsia="宋体" w:cs="宋体"/>
              </w:rPr>
              <w:t>2.因操作失误导致的数据错误修复。</w:t>
            </w:r>
          </w:p>
          <w:p w14:paraId="4A54AAA3">
            <w:pPr>
              <w:spacing w:line="360" w:lineRule="auto"/>
              <w:ind w:firstLine="420" w:firstLineChars="200"/>
              <w:rPr>
                <w:rFonts w:hint="eastAsia" w:ascii="宋体" w:hAnsi="宋体" w:eastAsia="宋体" w:cs="宋体"/>
              </w:rPr>
            </w:pPr>
            <w:r>
              <w:rPr>
                <w:rFonts w:hint="eastAsia" w:ascii="宋体" w:hAnsi="宋体" w:eastAsia="宋体" w:cs="宋体"/>
              </w:rPr>
              <w:t>3.解决系统数据库表和数据出现的各类问题。</w:t>
            </w:r>
          </w:p>
          <w:p w14:paraId="2D23029D">
            <w:pPr>
              <w:spacing w:line="360" w:lineRule="auto"/>
              <w:ind w:firstLine="420" w:firstLineChars="200"/>
              <w:rPr>
                <w:rFonts w:hint="eastAsia" w:ascii="宋体" w:hAnsi="宋体" w:eastAsia="宋体" w:cs="宋体"/>
              </w:rPr>
            </w:pPr>
            <w:r>
              <w:rPr>
                <w:rFonts w:hint="eastAsia" w:ascii="宋体" w:hAnsi="宋体" w:eastAsia="宋体" w:cs="宋体"/>
              </w:rPr>
              <w:t>（四）服务器运行维护</w:t>
            </w:r>
          </w:p>
          <w:p w14:paraId="3327FAE2">
            <w:pPr>
              <w:spacing w:line="360" w:lineRule="auto"/>
              <w:ind w:firstLine="420" w:firstLineChars="200"/>
              <w:rPr>
                <w:rFonts w:hint="eastAsia" w:ascii="宋体" w:hAnsi="宋体" w:eastAsia="宋体" w:cs="宋体"/>
              </w:rPr>
            </w:pPr>
            <w:r>
              <w:rPr>
                <w:rFonts w:ascii="宋体" w:hAnsi="宋体" w:eastAsia="宋体" w:cs="宋体"/>
              </w:rPr>
              <w:t>1.定期对服务器已有的病毒防护软件、病毒库进行升级、更新，保持病毒防护系统、病毒库版本为最新状态，并进行病毒检测，根据检测结果进行杀毒处理（病毒防护软件由业主提供，升级所需授权由业主购买）。</w:t>
            </w:r>
          </w:p>
          <w:p w14:paraId="1FD06C45">
            <w:pPr>
              <w:spacing w:line="360" w:lineRule="auto"/>
              <w:ind w:firstLine="420" w:firstLineChars="200"/>
              <w:rPr>
                <w:rFonts w:hint="eastAsia" w:ascii="宋体" w:hAnsi="宋体" w:eastAsia="宋体" w:cs="宋体"/>
              </w:rPr>
            </w:pPr>
            <w:r>
              <w:rPr>
                <w:rFonts w:ascii="宋体" w:hAnsi="宋体" w:eastAsia="宋体" w:cs="宋体"/>
              </w:rPr>
              <w:t>2.根据安全漏洞检测结果，对服务器操作系统进行安全漏洞修复。</w:t>
            </w:r>
          </w:p>
          <w:p w14:paraId="19D66770">
            <w:pPr>
              <w:spacing w:line="360" w:lineRule="auto"/>
              <w:ind w:firstLine="420" w:firstLineChars="200"/>
              <w:rPr>
                <w:rFonts w:hint="eastAsia" w:ascii="宋体" w:hAnsi="宋体" w:eastAsia="宋体" w:cs="宋体"/>
              </w:rPr>
            </w:pPr>
            <w:r>
              <w:rPr>
                <w:rFonts w:hint="eastAsia" w:ascii="宋体" w:hAnsi="宋体" w:eastAsia="宋体" w:cs="宋体"/>
              </w:rPr>
              <w:t>（五）运维方式</w:t>
            </w:r>
          </w:p>
          <w:p w14:paraId="514AFB65">
            <w:pPr>
              <w:spacing w:line="360" w:lineRule="auto"/>
              <w:ind w:firstLine="420" w:firstLineChars="200"/>
              <w:rPr>
                <w:rFonts w:hint="eastAsia" w:ascii="宋体" w:hAnsi="宋体" w:eastAsia="宋体" w:cs="宋体"/>
              </w:rPr>
            </w:pPr>
            <w:r>
              <w:rPr>
                <w:rFonts w:hint="eastAsia" w:ascii="宋体" w:hAnsi="宋体" w:eastAsia="宋体" w:cs="宋体"/>
              </w:rPr>
              <w:t>1.远程维护：系统发生故障时，通过电话、即时通讯工具或远程访问等方式进行系统故障的处理、技术支持、咨询服务等工作。</w:t>
            </w:r>
          </w:p>
          <w:p w14:paraId="449B2503">
            <w:pPr>
              <w:spacing w:line="360" w:lineRule="auto"/>
              <w:ind w:firstLine="420" w:firstLineChars="200"/>
              <w:rPr>
                <w:rFonts w:hint="eastAsia" w:ascii="宋体" w:hAnsi="宋体" w:eastAsia="宋体" w:cs="宋体"/>
              </w:rPr>
            </w:pPr>
            <w:r>
              <w:rPr>
                <w:rFonts w:hint="eastAsia" w:ascii="宋体" w:hAnsi="宋体" w:eastAsia="宋体" w:cs="宋体"/>
              </w:rPr>
              <w:t>2.现场技术服务：即系统软件出现重大故障导致系统业务中止时，供应商收到通知后应立即指派技术人员到达现场对故障进行处理和排除。</w:t>
            </w:r>
          </w:p>
          <w:p w14:paraId="0EE7BD55">
            <w:pPr>
              <w:spacing w:line="360" w:lineRule="auto"/>
              <w:ind w:firstLine="420" w:firstLineChars="200"/>
              <w:rPr>
                <w:rFonts w:hint="eastAsia" w:ascii="宋体" w:hAnsi="宋体" w:eastAsia="宋体" w:cs="宋体"/>
              </w:rPr>
            </w:pPr>
            <w:r>
              <w:rPr>
                <w:rFonts w:hint="eastAsia" w:ascii="宋体" w:hAnsi="宋体" w:eastAsia="宋体" w:cs="宋体"/>
              </w:rPr>
              <w:t>（六）服务要求</w:t>
            </w:r>
          </w:p>
          <w:bookmarkEnd w:id="90"/>
          <w:bookmarkEnd w:id="91"/>
          <w:p w14:paraId="6B57262A">
            <w:pPr>
              <w:spacing w:line="360" w:lineRule="auto"/>
              <w:ind w:firstLine="420" w:firstLineChars="200"/>
              <w:rPr>
                <w:rFonts w:hint="eastAsia" w:ascii="宋体" w:hAnsi="宋体" w:eastAsia="宋体" w:cs="宋体"/>
              </w:rPr>
            </w:pPr>
            <w:r>
              <w:rPr>
                <w:rFonts w:hint="eastAsia" w:ascii="宋体" w:hAnsi="宋体" w:eastAsia="宋体" w:cs="宋体"/>
              </w:rPr>
              <w:t>1.提供7*24小时技术支持服务和咨询服务。</w:t>
            </w:r>
          </w:p>
          <w:p w14:paraId="0960139F">
            <w:pPr>
              <w:spacing w:line="360" w:lineRule="auto"/>
              <w:ind w:firstLine="420" w:firstLineChars="200"/>
              <w:rPr>
                <w:rFonts w:hint="eastAsia" w:ascii="宋体" w:hAnsi="宋体" w:eastAsia="宋体" w:cs="宋体"/>
              </w:rPr>
            </w:pPr>
            <w:r>
              <w:rPr>
                <w:rFonts w:hint="eastAsia" w:ascii="宋体" w:hAnsi="宋体" w:eastAsia="宋体" w:cs="宋体"/>
              </w:rPr>
              <w:t>2.</w:t>
            </w:r>
            <w:r>
              <w:rPr>
                <w:rFonts w:hint="eastAsia"/>
              </w:rPr>
              <w:t xml:space="preserve"> </w:t>
            </w:r>
            <w:r>
              <w:rPr>
                <w:rFonts w:hint="eastAsia" w:ascii="宋体" w:hAnsi="宋体" w:eastAsia="宋体" w:cs="宋体"/>
              </w:rPr>
              <w:t>保障采购方的信创电脑客户端能够正常使用系统。</w:t>
            </w:r>
          </w:p>
          <w:p w14:paraId="45DD5FB4">
            <w:pPr>
              <w:spacing w:line="360" w:lineRule="auto"/>
              <w:ind w:firstLine="422" w:firstLineChars="200"/>
              <w:rPr>
                <w:rFonts w:hint="eastAsia" w:ascii="宋体" w:hAnsi="宋体" w:eastAsia="宋体" w:cs="宋体"/>
                <w:b/>
                <w:bCs/>
              </w:rPr>
            </w:pPr>
            <w:r>
              <w:rPr>
                <w:rFonts w:hint="eastAsia" w:ascii="宋体" w:hAnsi="宋体" w:eastAsia="宋体" w:cs="宋体"/>
                <w:b/>
                <w:bCs/>
              </w:rPr>
              <w:t>七、水路运输市场信用信息管理系统</w:t>
            </w:r>
          </w:p>
          <w:p w14:paraId="58AD44EC">
            <w:pPr>
              <w:spacing w:line="360" w:lineRule="auto"/>
              <w:ind w:firstLine="420" w:firstLineChars="200"/>
              <w:rPr>
                <w:rFonts w:hint="eastAsia" w:ascii="宋体" w:hAnsi="宋体" w:eastAsia="宋体" w:cs="宋体"/>
              </w:rPr>
            </w:pPr>
            <w:bookmarkStart w:id="92" w:name="_Hlk194937776"/>
            <w:r>
              <w:rPr>
                <w:rFonts w:hint="eastAsia" w:ascii="宋体" w:hAnsi="宋体" w:eastAsia="宋体" w:cs="宋体"/>
              </w:rPr>
              <w:t>（一）功能完善</w:t>
            </w:r>
          </w:p>
          <w:p w14:paraId="0A39E4FC">
            <w:pPr>
              <w:spacing w:line="360" w:lineRule="auto"/>
              <w:ind w:firstLine="420" w:firstLineChars="200"/>
              <w:rPr>
                <w:rFonts w:hint="eastAsia" w:ascii="宋体" w:hAnsi="宋体" w:eastAsia="宋体" w:cs="宋体"/>
              </w:rPr>
            </w:pPr>
            <w:r>
              <w:rPr>
                <w:rFonts w:ascii="宋体" w:hAnsi="宋体" w:eastAsia="宋体" w:cs="宋体"/>
              </w:rPr>
              <w:t>1.信用等级与交通执法联动：企业和船舶信用数据关联交通执法系统，标注与信用相关的执法数据。分评价结果级别、提示执法部门及检查频次。</w:t>
            </w:r>
          </w:p>
          <w:p w14:paraId="6A124374">
            <w:pPr>
              <w:spacing w:line="360" w:lineRule="auto"/>
              <w:ind w:firstLine="420" w:firstLineChars="200"/>
              <w:rPr>
                <w:rFonts w:hint="eastAsia" w:ascii="宋体" w:hAnsi="宋体" w:eastAsia="宋体" w:cs="宋体"/>
              </w:rPr>
            </w:pPr>
            <w:r>
              <w:rPr>
                <w:rFonts w:ascii="宋体" w:hAnsi="宋体" w:eastAsia="宋体" w:cs="宋体"/>
              </w:rPr>
              <w:t>2.信用公告：开设对社会公开栏。公示水路运输市场信用评级和积分，以及各级评价结果奖惩内容。</w:t>
            </w:r>
          </w:p>
          <w:p w14:paraId="59B2A3EA">
            <w:pPr>
              <w:spacing w:line="360" w:lineRule="auto"/>
              <w:ind w:firstLine="420" w:firstLineChars="200"/>
              <w:rPr>
                <w:rFonts w:hint="eastAsia" w:ascii="宋体" w:hAnsi="宋体" w:eastAsia="宋体" w:cs="宋体"/>
              </w:rPr>
            </w:pPr>
            <w:r>
              <w:rPr>
                <w:rFonts w:ascii="宋体" w:hAnsi="宋体" w:eastAsia="宋体" w:cs="宋体"/>
              </w:rPr>
              <w:t>3.信用修复：开设企业信用修复功能，失信企业通过电子申报，上传修复材料，通过审核流程，可升级信用积分。</w:t>
            </w:r>
          </w:p>
          <w:p w14:paraId="35471BA1">
            <w:pPr>
              <w:spacing w:line="360" w:lineRule="auto"/>
              <w:ind w:firstLine="420" w:firstLineChars="200"/>
              <w:rPr>
                <w:rFonts w:hint="eastAsia" w:ascii="宋体" w:hAnsi="宋体" w:eastAsia="宋体" w:cs="宋体"/>
              </w:rPr>
            </w:pPr>
            <w:r>
              <w:rPr>
                <w:rFonts w:ascii="宋体" w:hAnsi="宋体" w:eastAsia="宋体" w:cs="宋体"/>
              </w:rPr>
              <w:t>4.信用应用：评价结果推送至船闸系统。</w:t>
            </w:r>
          </w:p>
          <w:p w14:paraId="03FBBE3E">
            <w:pPr>
              <w:spacing w:line="360" w:lineRule="auto"/>
              <w:ind w:firstLine="420" w:firstLineChars="200"/>
              <w:rPr>
                <w:rFonts w:hint="eastAsia" w:ascii="宋体" w:hAnsi="宋体" w:eastAsia="宋体" w:cs="宋体"/>
              </w:rPr>
            </w:pPr>
            <w:r>
              <w:rPr>
                <w:rFonts w:ascii="宋体" w:hAnsi="宋体" w:eastAsia="宋体" w:cs="宋体"/>
              </w:rPr>
              <w:t>5.系统上线移动端。</w:t>
            </w:r>
          </w:p>
          <w:p w14:paraId="6BBE0053">
            <w:pPr>
              <w:spacing w:line="360" w:lineRule="auto"/>
              <w:ind w:firstLine="420" w:firstLineChars="200"/>
              <w:rPr>
                <w:rFonts w:hint="eastAsia" w:ascii="宋体" w:hAnsi="宋体" w:eastAsia="宋体" w:cs="宋体"/>
              </w:rPr>
            </w:pPr>
            <w:r>
              <w:rPr>
                <w:rFonts w:hint="eastAsia" w:ascii="宋体" w:hAnsi="宋体" w:eastAsia="宋体" w:cs="宋体"/>
              </w:rPr>
              <w:t>（二）软件维护</w:t>
            </w:r>
          </w:p>
          <w:p w14:paraId="731F6C02">
            <w:pPr>
              <w:spacing w:line="360" w:lineRule="auto"/>
              <w:ind w:firstLine="420" w:firstLineChars="200"/>
              <w:rPr>
                <w:rFonts w:hint="eastAsia" w:ascii="宋体" w:hAnsi="宋体" w:eastAsia="宋体" w:cs="宋体"/>
              </w:rPr>
            </w:pPr>
            <w:r>
              <w:rPr>
                <w:rFonts w:hint="eastAsia" w:ascii="宋体" w:hAnsi="宋体" w:eastAsia="宋体" w:cs="宋体"/>
              </w:rPr>
              <w:t>1.系统使用操作指导。</w:t>
            </w:r>
          </w:p>
          <w:p w14:paraId="177F6C4F">
            <w:pPr>
              <w:spacing w:line="360" w:lineRule="auto"/>
              <w:ind w:firstLine="420" w:firstLineChars="200"/>
              <w:rPr>
                <w:rFonts w:hint="eastAsia" w:ascii="宋体" w:hAnsi="宋体" w:eastAsia="宋体" w:cs="宋体"/>
              </w:rPr>
            </w:pPr>
            <w:r>
              <w:rPr>
                <w:rFonts w:hint="eastAsia" w:ascii="宋体" w:hAnsi="宋体" w:eastAsia="宋体" w:cs="宋体"/>
              </w:rPr>
              <w:t>2.系统突发故障的诊断、排除、修复，</w:t>
            </w:r>
            <w:r>
              <w:rPr>
                <w:rFonts w:ascii="宋体" w:hAnsi="宋体" w:eastAsia="宋体" w:cs="宋体"/>
              </w:rPr>
              <w:t>并在</w:t>
            </w:r>
            <w:r>
              <w:rPr>
                <w:rFonts w:hint="eastAsia" w:ascii="宋体" w:hAnsi="宋体" w:eastAsia="宋体" w:cs="宋体"/>
              </w:rPr>
              <w:t>故障处理后及时提交处理报告。因系统缺陷导致的各种漏洞的修复。</w:t>
            </w:r>
          </w:p>
          <w:p w14:paraId="0E6AD59D">
            <w:pPr>
              <w:spacing w:line="360" w:lineRule="auto"/>
              <w:ind w:firstLine="420" w:firstLineChars="200"/>
              <w:rPr>
                <w:rFonts w:hint="eastAsia" w:ascii="宋体" w:hAnsi="宋体" w:eastAsia="宋体" w:cs="宋体"/>
              </w:rPr>
            </w:pPr>
            <w:r>
              <w:rPr>
                <w:rFonts w:hint="eastAsia" w:ascii="宋体" w:hAnsi="宋体" w:eastAsia="宋体" w:cs="宋体"/>
              </w:rPr>
              <w:t>3.日常运行状态监控。每季度进行系统运行巡检，巡检软件主要功能是否正常，系统服务器负荷情况、系统内部数据状态，数据库运行状态、数据备份状态、存储空间是否正常。每季度巡检后提交1次巡检记录（含异常情况处理记录）。</w:t>
            </w:r>
          </w:p>
          <w:p w14:paraId="3391A361">
            <w:pPr>
              <w:spacing w:line="360" w:lineRule="auto"/>
              <w:ind w:firstLine="420" w:firstLineChars="200"/>
              <w:rPr>
                <w:rFonts w:hint="eastAsia" w:ascii="宋体" w:hAnsi="宋体" w:eastAsia="宋体" w:cs="宋体"/>
              </w:rPr>
            </w:pPr>
            <w:r>
              <w:rPr>
                <w:rFonts w:hint="eastAsia" w:ascii="宋体" w:hAnsi="宋体" w:eastAsia="宋体" w:cs="宋体"/>
              </w:rPr>
              <w:t>4.严格遵循采购人信息安全管理制度体系要求，对系统进行安全管理维护。</w:t>
            </w:r>
          </w:p>
          <w:p w14:paraId="753594AE">
            <w:pPr>
              <w:spacing w:line="360" w:lineRule="auto"/>
              <w:ind w:firstLine="420" w:firstLineChars="200"/>
              <w:rPr>
                <w:rFonts w:hint="eastAsia" w:ascii="宋体" w:hAnsi="宋体" w:eastAsia="宋体" w:cs="宋体"/>
              </w:rPr>
            </w:pPr>
            <w:r>
              <w:rPr>
                <w:rFonts w:hint="eastAsia" w:ascii="宋体" w:hAnsi="宋体" w:eastAsia="宋体" w:cs="宋体"/>
              </w:rPr>
              <w:t>（三）数据维护</w:t>
            </w:r>
          </w:p>
          <w:p w14:paraId="2395CC40">
            <w:pPr>
              <w:spacing w:line="360" w:lineRule="auto"/>
              <w:ind w:firstLine="420" w:firstLineChars="200"/>
              <w:rPr>
                <w:rFonts w:hint="eastAsia" w:ascii="宋体" w:hAnsi="宋体" w:eastAsia="宋体" w:cs="宋体"/>
              </w:rPr>
            </w:pPr>
            <w:r>
              <w:rPr>
                <w:rFonts w:hint="eastAsia" w:ascii="宋体" w:hAnsi="宋体" w:eastAsia="宋体" w:cs="宋体"/>
              </w:rPr>
              <w:t>1.每周一次在后台对系统数据进行滚动备份。</w:t>
            </w:r>
          </w:p>
          <w:p w14:paraId="44C98299">
            <w:pPr>
              <w:spacing w:line="360" w:lineRule="auto"/>
              <w:ind w:firstLine="420" w:firstLineChars="200"/>
              <w:rPr>
                <w:rFonts w:hint="eastAsia" w:ascii="宋体" w:hAnsi="宋体" w:eastAsia="宋体" w:cs="宋体"/>
              </w:rPr>
            </w:pPr>
            <w:r>
              <w:rPr>
                <w:rFonts w:hint="eastAsia" w:ascii="宋体" w:hAnsi="宋体" w:eastAsia="宋体" w:cs="宋体"/>
              </w:rPr>
              <w:t>2.因操作失误导致的数据错误修复。</w:t>
            </w:r>
          </w:p>
          <w:p w14:paraId="01A40F23">
            <w:pPr>
              <w:spacing w:line="360" w:lineRule="auto"/>
              <w:ind w:firstLine="420" w:firstLineChars="200"/>
              <w:rPr>
                <w:rFonts w:hint="eastAsia" w:ascii="宋体" w:hAnsi="宋体" w:eastAsia="宋体" w:cs="宋体"/>
              </w:rPr>
            </w:pPr>
            <w:r>
              <w:rPr>
                <w:rFonts w:hint="eastAsia" w:ascii="宋体" w:hAnsi="宋体" w:eastAsia="宋体" w:cs="宋体"/>
              </w:rPr>
              <w:t>3.解决系统数据库表和数据出现的各类问题。</w:t>
            </w:r>
          </w:p>
          <w:p w14:paraId="0DE5663E">
            <w:pPr>
              <w:spacing w:line="360" w:lineRule="auto"/>
              <w:ind w:firstLine="420" w:firstLineChars="200"/>
              <w:rPr>
                <w:rFonts w:hint="eastAsia" w:ascii="宋体" w:hAnsi="宋体" w:eastAsia="宋体" w:cs="宋体"/>
              </w:rPr>
            </w:pPr>
            <w:r>
              <w:rPr>
                <w:rFonts w:hint="eastAsia" w:ascii="宋体" w:hAnsi="宋体" w:eastAsia="宋体" w:cs="宋体"/>
              </w:rPr>
              <w:t>（四）服务器运行维护</w:t>
            </w:r>
          </w:p>
          <w:p w14:paraId="349018AA">
            <w:pPr>
              <w:spacing w:line="360" w:lineRule="auto"/>
              <w:ind w:firstLine="420" w:firstLineChars="200"/>
              <w:rPr>
                <w:rFonts w:hint="eastAsia" w:ascii="宋体" w:hAnsi="宋体" w:eastAsia="宋体" w:cs="宋体"/>
              </w:rPr>
            </w:pPr>
            <w:r>
              <w:rPr>
                <w:rFonts w:ascii="宋体" w:hAnsi="宋体" w:eastAsia="宋体" w:cs="宋体"/>
              </w:rPr>
              <w:t>1.定期对服务器已有的病毒防护软件、病毒库进行升级、更新，保持病毒防护系统、病毒库版本为最新状态，并进行病毒检测，根据检测结果进行杀毒处理（病毒防护软件由业主提供，升级所需授权由业主购买）。</w:t>
            </w:r>
          </w:p>
          <w:p w14:paraId="170F0352">
            <w:pPr>
              <w:spacing w:line="360" w:lineRule="auto"/>
              <w:ind w:firstLine="420" w:firstLineChars="200"/>
              <w:rPr>
                <w:rFonts w:hint="eastAsia" w:ascii="宋体" w:hAnsi="宋体" w:eastAsia="宋体" w:cs="宋体"/>
              </w:rPr>
            </w:pPr>
            <w:r>
              <w:rPr>
                <w:rFonts w:ascii="宋体" w:hAnsi="宋体" w:eastAsia="宋体" w:cs="宋体"/>
              </w:rPr>
              <w:t>2.根据安全漏洞检测结果，对服务器操作系统进行安全漏洞修复。</w:t>
            </w:r>
          </w:p>
          <w:p w14:paraId="35FF1C8C">
            <w:pPr>
              <w:spacing w:line="360" w:lineRule="auto"/>
              <w:ind w:firstLine="420" w:firstLineChars="200"/>
              <w:rPr>
                <w:rFonts w:hint="eastAsia" w:ascii="宋体" w:hAnsi="宋体" w:eastAsia="宋体" w:cs="宋体"/>
              </w:rPr>
            </w:pPr>
            <w:r>
              <w:rPr>
                <w:rFonts w:hint="eastAsia" w:ascii="宋体" w:hAnsi="宋体" w:eastAsia="宋体" w:cs="宋体"/>
              </w:rPr>
              <w:t>（五）运维方式</w:t>
            </w:r>
          </w:p>
          <w:p w14:paraId="16F6E816">
            <w:pPr>
              <w:spacing w:line="360" w:lineRule="auto"/>
              <w:ind w:firstLine="420" w:firstLineChars="200"/>
              <w:rPr>
                <w:rFonts w:hint="eastAsia" w:ascii="宋体" w:hAnsi="宋体" w:eastAsia="宋体" w:cs="宋体"/>
              </w:rPr>
            </w:pPr>
            <w:r>
              <w:rPr>
                <w:rFonts w:hint="eastAsia" w:ascii="宋体" w:hAnsi="宋体" w:eastAsia="宋体" w:cs="宋体"/>
              </w:rPr>
              <w:t>1.远程维护：系统发生故障时，通过电话、即时通讯工具或远程访问等方式进行系统故障的处理、技术支持、咨询服务等工作。</w:t>
            </w:r>
          </w:p>
          <w:p w14:paraId="19325F39">
            <w:pPr>
              <w:spacing w:line="360" w:lineRule="auto"/>
              <w:ind w:firstLine="420" w:firstLineChars="200"/>
              <w:rPr>
                <w:rFonts w:hint="eastAsia" w:ascii="宋体" w:hAnsi="宋体" w:eastAsia="宋体" w:cs="宋体"/>
              </w:rPr>
            </w:pPr>
            <w:r>
              <w:rPr>
                <w:rFonts w:hint="eastAsia" w:ascii="宋体" w:hAnsi="宋体" w:eastAsia="宋体" w:cs="宋体"/>
              </w:rPr>
              <w:t>2.现场技术服务：即系统软件出现重大故障导致系统业务中止时，供应商收到通知后应立即指派技术人员到达现场对故障进行处理和排除。</w:t>
            </w:r>
          </w:p>
          <w:p w14:paraId="3C7BCF45">
            <w:pPr>
              <w:spacing w:line="360" w:lineRule="auto"/>
              <w:ind w:firstLine="420" w:firstLineChars="200"/>
              <w:rPr>
                <w:rFonts w:hint="eastAsia" w:ascii="宋体" w:hAnsi="宋体" w:eastAsia="宋体" w:cs="宋体"/>
              </w:rPr>
            </w:pPr>
            <w:r>
              <w:rPr>
                <w:rFonts w:hint="eastAsia" w:ascii="宋体" w:hAnsi="宋体" w:eastAsia="宋体" w:cs="宋体"/>
              </w:rPr>
              <w:t>（六）服务要求</w:t>
            </w:r>
          </w:p>
          <w:bookmarkEnd w:id="92"/>
          <w:p w14:paraId="74CB616E">
            <w:pPr>
              <w:spacing w:line="360" w:lineRule="auto"/>
              <w:ind w:firstLine="420" w:firstLineChars="200"/>
              <w:rPr>
                <w:rFonts w:hint="eastAsia" w:ascii="宋体" w:hAnsi="宋体" w:eastAsia="宋体" w:cs="宋体"/>
              </w:rPr>
            </w:pPr>
            <w:r>
              <w:rPr>
                <w:rFonts w:hint="eastAsia" w:ascii="宋体" w:hAnsi="宋体" w:eastAsia="宋体" w:cs="宋体"/>
              </w:rPr>
              <w:t>1.提供7*24小时技术支持服务和咨询服务。</w:t>
            </w:r>
          </w:p>
          <w:p w14:paraId="3965B139">
            <w:pPr>
              <w:spacing w:line="360" w:lineRule="auto"/>
              <w:ind w:firstLine="420" w:firstLineChars="200"/>
              <w:rPr>
                <w:rFonts w:hint="eastAsia" w:ascii="宋体" w:hAnsi="宋体" w:eastAsia="宋体" w:cs="宋体"/>
              </w:rPr>
            </w:pPr>
            <w:r>
              <w:rPr>
                <w:rFonts w:hint="eastAsia" w:ascii="宋体" w:hAnsi="宋体" w:eastAsia="宋体" w:cs="宋体"/>
              </w:rPr>
              <w:t>2.保障采购方的信创电脑客户端能够正常使用系统。</w:t>
            </w:r>
          </w:p>
          <w:p w14:paraId="0D4C9FB7">
            <w:pPr>
              <w:spacing w:line="360" w:lineRule="auto"/>
              <w:ind w:firstLine="422" w:firstLineChars="200"/>
              <w:rPr>
                <w:rFonts w:hint="eastAsia" w:ascii="宋体" w:hAnsi="宋体" w:eastAsia="宋体" w:cs="宋体"/>
                <w:b/>
                <w:bCs/>
              </w:rPr>
            </w:pPr>
            <w:r>
              <w:rPr>
                <w:rFonts w:hint="eastAsia" w:ascii="宋体" w:hAnsi="宋体" w:eastAsia="宋体" w:cs="宋体"/>
                <w:b/>
                <w:bCs/>
              </w:rPr>
              <w:t>八、数字港航一体化平台运维</w:t>
            </w:r>
          </w:p>
          <w:p w14:paraId="4F97F84F">
            <w:pPr>
              <w:spacing w:line="360" w:lineRule="auto"/>
              <w:ind w:firstLine="420" w:firstLineChars="200"/>
              <w:rPr>
                <w:rFonts w:hint="eastAsia" w:ascii="宋体" w:hAnsi="宋体" w:eastAsia="宋体" w:cs="宋体"/>
              </w:rPr>
            </w:pPr>
            <w:r>
              <w:rPr>
                <w:rFonts w:hint="eastAsia" w:ascii="宋体" w:hAnsi="宋体" w:eastAsia="宋体" w:cs="宋体"/>
              </w:rPr>
              <w:t>（一）系统接入及维护</w:t>
            </w:r>
          </w:p>
          <w:p w14:paraId="141DDDD2">
            <w:pPr>
              <w:spacing w:line="360" w:lineRule="auto"/>
              <w:ind w:firstLine="420" w:firstLineChars="200"/>
              <w:rPr>
                <w:rFonts w:hint="eastAsia" w:ascii="宋体" w:hAnsi="宋体" w:eastAsia="宋体" w:cs="宋体"/>
              </w:rPr>
            </w:pPr>
            <w:r>
              <w:rPr>
                <w:rFonts w:hint="eastAsia" w:ascii="宋体" w:hAnsi="宋体" w:eastAsia="宋体" w:cs="宋体"/>
              </w:rPr>
              <w:t>1.按照采购人要求完成采购人指定的视频平台接入数字港航一体化平台。</w:t>
            </w:r>
          </w:p>
          <w:p w14:paraId="58D38313">
            <w:pPr>
              <w:spacing w:line="360" w:lineRule="auto"/>
              <w:ind w:firstLine="420" w:firstLineChars="200"/>
              <w:rPr>
                <w:rFonts w:hint="eastAsia" w:ascii="宋体" w:hAnsi="宋体" w:eastAsia="宋体" w:cs="宋体"/>
              </w:rPr>
            </w:pPr>
            <w:r>
              <w:rPr>
                <w:rFonts w:hint="eastAsia" w:ascii="宋体" w:hAnsi="宋体" w:eastAsia="宋体" w:cs="宋体"/>
              </w:rPr>
              <w:t>2.完成数字港航一体化平台用户信息采集改造，包括注册页面的信息改造及组织架构模块的完善。</w:t>
            </w:r>
          </w:p>
          <w:p w14:paraId="45585C2C">
            <w:pPr>
              <w:spacing w:line="360" w:lineRule="auto"/>
              <w:ind w:firstLine="420" w:firstLineChars="200"/>
              <w:rPr>
                <w:rFonts w:hint="eastAsia" w:ascii="宋体" w:hAnsi="宋体" w:eastAsia="宋体" w:cs="宋体"/>
              </w:rPr>
            </w:pPr>
            <w:r>
              <w:rPr>
                <w:rFonts w:hint="eastAsia" w:ascii="宋体" w:hAnsi="宋体" w:eastAsia="宋体" w:cs="宋体"/>
              </w:rPr>
              <w:t>3.完善平台内部系统用户信息推送机制，确保用户信息每次推送至子模块后及时更新子模块数据。</w:t>
            </w:r>
          </w:p>
          <w:p w14:paraId="69D4EFE1">
            <w:pPr>
              <w:spacing w:line="360" w:lineRule="auto"/>
              <w:ind w:firstLine="420" w:firstLineChars="200"/>
              <w:rPr>
                <w:rFonts w:hint="eastAsia" w:ascii="宋体" w:hAnsi="宋体" w:eastAsia="宋体" w:cs="宋体"/>
              </w:rPr>
            </w:pPr>
            <w:r>
              <w:rPr>
                <w:rFonts w:hint="eastAsia" w:ascii="宋体" w:hAnsi="宋体" w:eastAsia="宋体" w:cs="宋体"/>
              </w:rPr>
              <w:t>4.按采购人要求对数字港航一体化平台港航“一张图”要素类别进行增加、删除、修改处理。</w:t>
            </w:r>
          </w:p>
          <w:p w14:paraId="29037A29">
            <w:pPr>
              <w:spacing w:line="360" w:lineRule="auto"/>
              <w:ind w:firstLine="420" w:firstLineChars="200"/>
              <w:rPr>
                <w:rFonts w:hint="eastAsia" w:ascii="宋体" w:hAnsi="宋体" w:eastAsia="宋体" w:cs="宋体"/>
              </w:rPr>
            </w:pPr>
            <w:r>
              <w:rPr>
                <w:rFonts w:hint="eastAsia" w:ascii="宋体" w:hAnsi="宋体" w:eastAsia="宋体" w:cs="宋体"/>
              </w:rPr>
              <w:t>5.根据采购人需求，每月不少于2次将采购人提供的图层数据叠加至数字港航一体化平台港航“一张图”中。</w:t>
            </w:r>
          </w:p>
          <w:p w14:paraId="05722E32">
            <w:pPr>
              <w:spacing w:line="360" w:lineRule="auto"/>
              <w:ind w:firstLine="420" w:firstLineChars="200"/>
              <w:rPr>
                <w:rFonts w:hint="eastAsia" w:ascii="宋体" w:hAnsi="宋体" w:eastAsia="宋体" w:cs="宋体"/>
              </w:rPr>
            </w:pPr>
            <w:r>
              <w:rPr>
                <w:rFonts w:hint="eastAsia" w:ascii="宋体" w:hAnsi="宋体" w:eastAsia="宋体" w:cs="宋体"/>
              </w:rPr>
              <w:t>6.按采购人要求定期对数字港航一体化平台5大板块内容进行调整。</w:t>
            </w:r>
          </w:p>
          <w:p w14:paraId="0862E997">
            <w:pPr>
              <w:spacing w:line="360" w:lineRule="auto"/>
              <w:ind w:firstLine="420" w:firstLineChars="200"/>
              <w:rPr>
                <w:rFonts w:hint="eastAsia" w:ascii="宋体" w:hAnsi="宋体" w:eastAsia="宋体" w:cs="宋体"/>
              </w:rPr>
            </w:pPr>
            <w:r>
              <w:rPr>
                <w:rFonts w:hint="eastAsia" w:ascii="宋体" w:hAnsi="宋体" w:eastAsia="宋体" w:cs="宋体"/>
              </w:rPr>
              <w:t>（二）数据维护</w:t>
            </w:r>
          </w:p>
          <w:p w14:paraId="55A80CE3">
            <w:pPr>
              <w:spacing w:line="360" w:lineRule="auto"/>
              <w:ind w:firstLine="420" w:firstLineChars="200"/>
              <w:rPr>
                <w:rFonts w:hint="eastAsia" w:ascii="宋体" w:hAnsi="宋体" w:eastAsia="宋体" w:cs="宋体"/>
              </w:rPr>
            </w:pPr>
            <w:r>
              <w:rPr>
                <w:rFonts w:hint="eastAsia" w:ascii="宋体" w:hAnsi="宋体" w:eastAsia="宋体" w:cs="宋体"/>
              </w:rPr>
              <w:t>1.每周一次在后台对系统数据进行滚动备份。</w:t>
            </w:r>
          </w:p>
          <w:p w14:paraId="2B0341CC">
            <w:pPr>
              <w:spacing w:line="360" w:lineRule="auto"/>
              <w:ind w:firstLine="420" w:firstLineChars="200"/>
              <w:rPr>
                <w:rFonts w:hint="eastAsia" w:ascii="宋体" w:hAnsi="宋体" w:eastAsia="宋体" w:cs="宋体"/>
              </w:rPr>
            </w:pPr>
            <w:r>
              <w:rPr>
                <w:rFonts w:hint="eastAsia" w:ascii="宋体" w:hAnsi="宋体" w:eastAsia="宋体" w:cs="宋体"/>
              </w:rPr>
              <w:t>2.因操作失误导致的数据错误修复。</w:t>
            </w:r>
          </w:p>
          <w:p w14:paraId="37000713">
            <w:pPr>
              <w:spacing w:line="360" w:lineRule="auto"/>
              <w:ind w:firstLine="420" w:firstLineChars="200"/>
              <w:rPr>
                <w:rFonts w:hint="eastAsia" w:ascii="宋体" w:hAnsi="宋体" w:eastAsia="宋体" w:cs="宋体"/>
              </w:rPr>
            </w:pPr>
            <w:r>
              <w:rPr>
                <w:rFonts w:hint="eastAsia" w:ascii="宋体" w:hAnsi="宋体" w:eastAsia="宋体" w:cs="宋体"/>
              </w:rPr>
              <w:t>3.解决系统数据库表和数据出现的各类问题。</w:t>
            </w:r>
          </w:p>
          <w:p w14:paraId="171C472F">
            <w:pPr>
              <w:spacing w:line="360" w:lineRule="auto"/>
              <w:ind w:firstLine="420" w:firstLineChars="200"/>
              <w:rPr>
                <w:rFonts w:hint="eastAsia" w:ascii="宋体" w:hAnsi="宋体" w:eastAsia="宋体" w:cs="宋体"/>
              </w:rPr>
            </w:pPr>
            <w:r>
              <w:rPr>
                <w:rFonts w:hint="eastAsia" w:ascii="宋体" w:hAnsi="宋体" w:eastAsia="宋体" w:cs="宋体"/>
              </w:rPr>
              <w:t>4.定期检查更新船舶AIS、航标、水位站、视频点位等数据，保证数据正常展示。</w:t>
            </w:r>
          </w:p>
          <w:p w14:paraId="32E3A367">
            <w:pPr>
              <w:spacing w:line="360" w:lineRule="auto"/>
              <w:ind w:firstLine="420" w:firstLineChars="200"/>
              <w:rPr>
                <w:rFonts w:hint="eastAsia" w:ascii="宋体" w:hAnsi="宋体" w:eastAsia="宋体" w:cs="宋体"/>
              </w:rPr>
            </w:pPr>
            <w:r>
              <w:rPr>
                <w:rFonts w:hint="eastAsia" w:ascii="宋体" w:hAnsi="宋体" w:eastAsia="宋体" w:cs="宋体"/>
              </w:rPr>
              <w:t>（三）服务器运行维护</w:t>
            </w:r>
          </w:p>
          <w:p w14:paraId="62006B46">
            <w:pPr>
              <w:spacing w:line="360" w:lineRule="auto"/>
              <w:ind w:firstLine="420" w:firstLineChars="200"/>
              <w:rPr>
                <w:rFonts w:hint="eastAsia" w:ascii="宋体" w:hAnsi="宋体" w:eastAsia="宋体" w:cs="宋体"/>
              </w:rPr>
            </w:pPr>
            <w:r>
              <w:rPr>
                <w:rFonts w:ascii="宋体" w:hAnsi="宋体" w:eastAsia="宋体" w:cs="宋体"/>
              </w:rPr>
              <w:t>1.定期对服务器已有的病毒防护软件、病毒库进行升级、更新，保持病毒防护系统、病毒库版本为最新状态，并进行病毒检测，根据检测结果进行杀毒处理（病毒防护软件由业主提供，升级所需授权由业主购买）。</w:t>
            </w:r>
          </w:p>
          <w:p w14:paraId="452059DC">
            <w:pPr>
              <w:spacing w:line="360" w:lineRule="auto"/>
              <w:ind w:firstLine="420" w:firstLineChars="200"/>
              <w:rPr>
                <w:rFonts w:hint="eastAsia" w:ascii="宋体" w:hAnsi="宋体" w:eastAsia="宋体" w:cs="宋体"/>
              </w:rPr>
            </w:pPr>
            <w:r>
              <w:rPr>
                <w:rFonts w:ascii="宋体" w:hAnsi="宋体" w:eastAsia="宋体" w:cs="宋体"/>
              </w:rPr>
              <w:t>2.根据安全漏洞检测结果，对服务器操作系统进行安全漏洞修复。</w:t>
            </w:r>
          </w:p>
          <w:p w14:paraId="05242950">
            <w:pPr>
              <w:spacing w:line="360" w:lineRule="auto"/>
              <w:ind w:firstLine="420" w:firstLineChars="200"/>
              <w:rPr>
                <w:rFonts w:hint="eastAsia" w:ascii="宋体" w:hAnsi="宋体" w:eastAsia="宋体" w:cs="宋体"/>
              </w:rPr>
            </w:pPr>
            <w:r>
              <w:rPr>
                <w:rFonts w:hint="eastAsia" w:ascii="宋体" w:hAnsi="宋体" w:eastAsia="宋体" w:cs="宋体"/>
              </w:rPr>
              <w:t>（四）运维方式</w:t>
            </w:r>
          </w:p>
          <w:p w14:paraId="5751941D">
            <w:pPr>
              <w:spacing w:line="360" w:lineRule="auto"/>
              <w:ind w:firstLine="420" w:firstLineChars="200"/>
              <w:rPr>
                <w:rFonts w:hint="eastAsia" w:ascii="宋体" w:hAnsi="宋体" w:eastAsia="宋体" w:cs="宋体"/>
              </w:rPr>
            </w:pPr>
            <w:r>
              <w:rPr>
                <w:rFonts w:hint="eastAsia" w:ascii="宋体" w:hAnsi="宋体" w:eastAsia="宋体" w:cs="宋体"/>
              </w:rPr>
              <w:t>1.远程维护：系统发生故障时，通过电话、即时通讯工具或远程访问等方式进行系统故障的处理、技术支持、咨询服务等工作。</w:t>
            </w:r>
          </w:p>
          <w:p w14:paraId="6FAC0342">
            <w:pPr>
              <w:spacing w:line="360" w:lineRule="auto"/>
              <w:ind w:firstLine="420" w:firstLineChars="200"/>
              <w:rPr>
                <w:rFonts w:hint="eastAsia" w:ascii="宋体" w:hAnsi="宋体" w:eastAsia="宋体" w:cs="宋体"/>
              </w:rPr>
            </w:pPr>
            <w:r>
              <w:rPr>
                <w:rFonts w:hint="eastAsia" w:ascii="宋体" w:hAnsi="宋体" w:eastAsia="宋体" w:cs="宋体"/>
              </w:rPr>
              <w:t>2.现场技术服务：即系统软件出现重大故障导致系统业务中止时，供应商收到通知后应立即指派技术人员到达现场对故障进行处理和排除。</w:t>
            </w:r>
          </w:p>
          <w:p w14:paraId="3505FC4E">
            <w:pPr>
              <w:spacing w:line="360" w:lineRule="auto"/>
              <w:ind w:firstLine="420" w:firstLineChars="200"/>
              <w:rPr>
                <w:rFonts w:hint="eastAsia" w:ascii="宋体" w:hAnsi="宋体" w:eastAsia="宋体" w:cs="宋体"/>
              </w:rPr>
            </w:pPr>
            <w:r>
              <w:rPr>
                <w:rFonts w:hint="eastAsia" w:ascii="宋体" w:hAnsi="宋体" w:eastAsia="宋体" w:cs="宋体"/>
              </w:rPr>
              <w:t>（五）服务要求</w:t>
            </w:r>
          </w:p>
          <w:p w14:paraId="41AD0398">
            <w:pPr>
              <w:spacing w:line="360" w:lineRule="auto"/>
              <w:ind w:firstLine="420" w:firstLineChars="200"/>
              <w:rPr>
                <w:rFonts w:hint="eastAsia" w:ascii="宋体" w:hAnsi="宋体" w:eastAsia="宋体" w:cs="宋体"/>
              </w:rPr>
            </w:pPr>
            <w:r>
              <w:rPr>
                <w:rFonts w:hint="eastAsia" w:ascii="宋体" w:hAnsi="宋体" w:eastAsia="宋体" w:cs="宋体"/>
              </w:rPr>
              <w:t>提供7*24小时技术支持服务和咨询服务。</w:t>
            </w:r>
          </w:p>
          <w:p w14:paraId="256FAE18">
            <w:pPr>
              <w:spacing w:line="360" w:lineRule="auto"/>
              <w:ind w:firstLine="422" w:firstLineChars="200"/>
              <w:rPr>
                <w:rFonts w:hint="eastAsia" w:ascii="宋体" w:hAnsi="宋体" w:eastAsia="宋体" w:cs="宋体"/>
                <w:b/>
              </w:rPr>
            </w:pPr>
            <w:r>
              <w:rPr>
                <w:rFonts w:hint="eastAsia" w:ascii="宋体" w:hAnsi="宋体" w:eastAsia="宋体" w:cs="宋体"/>
                <w:b/>
              </w:rPr>
              <w:t>九、航标</w:t>
            </w:r>
            <w:r>
              <w:rPr>
                <w:rFonts w:ascii="宋体" w:hAnsi="宋体" w:eastAsia="宋体" w:cs="宋体"/>
                <w:b/>
              </w:rPr>
              <w:t>(水位)上位机系统维护</w:t>
            </w:r>
          </w:p>
          <w:p w14:paraId="48769A52">
            <w:pPr>
              <w:spacing w:line="360" w:lineRule="auto"/>
              <w:ind w:firstLine="420" w:firstLineChars="200"/>
              <w:rPr>
                <w:rFonts w:hint="eastAsia" w:ascii="宋体" w:hAnsi="宋体" w:eastAsia="宋体" w:cs="宋体"/>
              </w:rPr>
            </w:pPr>
            <w:r>
              <w:rPr>
                <w:rFonts w:hint="eastAsia" w:ascii="宋体" w:hAnsi="宋体" w:eastAsia="宋体" w:cs="宋体"/>
              </w:rPr>
              <w:t>（一）保障航道综合监控平台正常运行：</w:t>
            </w:r>
          </w:p>
          <w:p w14:paraId="090B2032">
            <w:pPr>
              <w:spacing w:line="360" w:lineRule="auto"/>
              <w:ind w:firstLine="420" w:firstLineChars="200"/>
              <w:rPr>
                <w:rFonts w:hint="eastAsia" w:ascii="宋体" w:hAnsi="宋体" w:eastAsia="宋体" w:cs="宋体"/>
              </w:rPr>
            </w:pPr>
            <w:r>
              <w:rPr>
                <w:rFonts w:ascii="宋体" w:hAnsi="宋体" w:eastAsia="宋体" w:cs="宋体"/>
              </w:rPr>
              <w:t>1.协助采购人对航标、水位终端进行录入、设置等维护工作。</w:t>
            </w:r>
          </w:p>
          <w:p w14:paraId="0ADEE0EE">
            <w:pPr>
              <w:spacing w:line="360" w:lineRule="auto"/>
              <w:ind w:firstLine="420" w:firstLineChars="200"/>
              <w:rPr>
                <w:rFonts w:hint="eastAsia" w:ascii="宋体" w:hAnsi="宋体" w:eastAsia="宋体" w:cs="宋体"/>
              </w:rPr>
            </w:pPr>
            <w:r>
              <w:rPr>
                <w:rFonts w:ascii="宋体" w:hAnsi="宋体" w:eastAsia="宋体" w:cs="宋体"/>
              </w:rPr>
              <w:t>2.配合硬件服务商对水位、航标终端故障进行排查，如果是平台软件问题，应及时进行解决。</w:t>
            </w:r>
          </w:p>
          <w:p w14:paraId="2367B7DF">
            <w:pPr>
              <w:spacing w:line="360" w:lineRule="auto"/>
              <w:ind w:firstLine="420" w:firstLineChars="200"/>
              <w:rPr>
                <w:rFonts w:hint="eastAsia" w:ascii="宋体" w:hAnsi="宋体" w:eastAsia="宋体" w:cs="宋体"/>
              </w:rPr>
            </w:pPr>
            <w:r>
              <w:rPr>
                <w:rFonts w:ascii="宋体" w:hAnsi="宋体" w:eastAsia="宋体" w:cs="宋体"/>
              </w:rPr>
              <w:t>3.充分沟通后，针对采购人对航道综合监控平台提出的修改内容（BUG处理、界面优化等）进行完善。</w:t>
            </w:r>
          </w:p>
          <w:p w14:paraId="5D059C55">
            <w:pPr>
              <w:spacing w:line="360" w:lineRule="auto"/>
              <w:ind w:firstLine="420" w:firstLineChars="200"/>
              <w:rPr>
                <w:rFonts w:hint="eastAsia" w:ascii="宋体" w:hAnsi="宋体" w:eastAsia="宋体" w:cs="宋体"/>
              </w:rPr>
            </w:pPr>
            <w:r>
              <w:rPr>
                <w:rFonts w:ascii="宋体" w:hAnsi="宋体" w:eastAsia="宋体" w:cs="宋体"/>
              </w:rPr>
              <w:t>4.开展每</w:t>
            </w:r>
            <w:r>
              <w:rPr>
                <w:rFonts w:hint="eastAsia" w:ascii="宋体" w:hAnsi="宋体" w:eastAsia="宋体" w:cs="宋体"/>
              </w:rPr>
              <w:t>月</w:t>
            </w:r>
            <w:r>
              <w:rPr>
                <w:rFonts w:ascii="宋体" w:hAnsi="宋体" w:eastAsia="宋体" w:cs="宋体"/>
              </w:rPr>
              <w:t>维护性检修工作，检查平台运行情况，及时对可能影响平台运行的情况进行修正。</w:t>
            </w:r>
          </w:p>
          <w:p w14:paraId="3B4B5D2B">
            <w:pPr>
              <w:spacing w:line="360" w:lineRule="auto"/>
              <w:ind w:firstLine="420" w:firstLineChars="200"/>
              <w:rPr>
                <w:rFonts w:hint="eastAsia" w:ascii="宋体" w:hAnsi="宋体" w:eastAsia="宋体" w:cs="宋体"/>
              </w:rPr>
            </w:pPr>
            <w:r>
              <w:rPr>
                <w:rFonts w:ascii="宋体" w:hAnsi="宋体" w:eastAsia="宋体" w:cs="宋体"/>
              </w:rPr>
              <w:t>5.保障数据库运行、数据通讯连接稳定（对于由通信运营商责任造成的通讯故障，负责协调联系通信运营商，并持续跟进处理）。</w:t>
            </w:r>
          </w:p>
          <w:p w14:paraId="554210DD">
            <w:pPr>
              <w:spacing w:line="360" w:lineRule="auto"/>
              <w:ind w:firstLine="420" w:firstLineChars="200"/>
              <w:rPr>
                <w:rFonts w:hint="eastAsia" w:ascii="宋体" w:hAnsi="宋体" w:eastAsia="宋体" w:cs="宋体"/>
              </w:rPr>
            </w:pPr>
            <w:r>
              <w:rPr>
                <w:rFonts w:hint="eastAsia" w:ascii="宋体" w:hAnsi="宋体" w:eastAsia="宋体" w:cs="宋体"/>
              </w:rPr>
              <w:t>（二）每月自动</w:t>
            </w:r>
            <w:r>
              <w:rPr>
                <w:rFonts w:ascii="宋体" w:hAnsi="宋体" w:eastAsia="宋体" w:cs="宋体"/>
              </w:rPr>
              <w:t>+手动相结合的方式备份航标、水位动态的最新数据到港航发展中心机房的指定的设备上。</w:t>
            </w:r>
          </w:p>
          <w:p w14:paraId="628DCABF">
            <w:pPr>
              <w:spacing w:line="360" w:lineRule="auto"/>
              <w:ind w:firstLine="420" w:firstLineChars="200"/>
              <w:rPr>
                <w:rFonts w:hint="eastAsia" w:ascii="宋体" w:hAnsi="宋体" w:eastAsia="宋体" w:cs="宋体"/>
              </w:rPr>
            </w:pPr>
            <w:r>
              <w:rPr>
                <w:rFonts w:hint="eastAsia" w:ascii="宋体" w:hAnsi="宋体" w:eastAsia="宋体" w:cs="宋体"/>
              </w:rPr>
              <w:t>（三）</w:t>
            </w:r>
            <w:r>
              <w:rPr>
                <w:rFonts w:ascii="宋体" w:hAnsi="宋体" w:eastAsia="宋体" w:cs="宋体"/>
              </w:rPr>
              <w:t>CORS系统后台软件维护</w:t>
            </w:r>
          </w:p>
          <w:p w14:paraId="74A7E0C4">
            <w:pPr>
              <w:spacing w:line="360" w:lineRule="auto"/>
              <w:ind w:firstLine="420" w:firstLineChars="200"/>
              <w:rPr>
                <w:rFonts w:hint="eastAsia" w:ascii="宋体" w:hAnsi="宋体" w:eastAsia="宋体" w:cs="宋体"/>
              </w:rPr>
            </w:pPr>
            <w:r>
              <w:rPr>
                <w:rFonts w:hint="eastAsia" w:ascii="宋体" w:hAnsi="宋体" w:eastAsia="宋体" w:cs="宋体"/>
              </w:rPr>
              <w:t>确保浮标</w:t>
            </w:r>
            <w:r>
              <w:rPr>
                <w:rFonts w:ascii="宋体" w:hAnsi="宋体" w:eastAsia="宋体" w:cs="宋体"/>
              </w:rPr>
              <w:t>RTU能实时通过CORS服务器进行位置差分；查询CORS各站点状态，将不正常状态信息通知相关人员进行硬件维护或设备重启；监控CORS后台软件的异常，并负责软件重启、重装和参数配置，及时恢复软件正常运行。</w:t>
            </w:r>
          </w:p>
          <w:p w14:paraId="6766C82C">
            <w:pPr>
              <w:spacing w:line="360" w:lineRule="auto"/>
              <w:ind w:firstLine="420" w:firstLineChars="200"/>
              <w:rPr>
                <w:rFonts w:hint="eastAsia" w:ascii="宋体" w:hAnsi="宋体" w:eastAsia="宋体" w:cs="宋体"/>
              </w:rPr>
            </w:pPr>
            <w:r>
              <w:rPr>
                <w:rFonts w:hint="eastAsia" w:ascii="宋体" w:hAnsi="宋体" w:eastAsia="宋体" w:cs="宋体"/>
              </w:rPr>
              <w:t>（四）服务器运行维护</w:t>
            </w:r>
          </w:p>
          <w:p w14:paraId="6D1A1B52">
            <w:pPr>
              <w:spacing w:line="360" w:lineRule="auto"/>
              <w:ind w:firstLine="420" w:firstLineChars="200"/>
              <w:rPr>
                <w:rFonts w:hint="eastAsia" w:ascii="宋体" w:hAnsi="宋体" w:eastAsia="宋体" w:cs="宋体"/>
              </w:rPr>
            </w:pPr>
            <w:r>
              <w:rPr>
                <w:rFonts w:ascii="宋体" w:hAnsi="宋体" w:eastAsia="宋体" w:cs="宋体"/>
              </w:rPr>
              <w:t>1.定期对服务器已有的病毒防护软件、病毒库进行升级、更新，保持病毒防护系统、病毒库版本为最新状态，并进行病毒检测，根据检测结果进行杀毒处理（病毒防护软件由业主提供，升级所需授权由业主购买）。</w:t>
            </w:r>
          </w:p>
          <w:p w14:paraId="1D9702BD">
            <w:pPr>
              <w:spacing w:line="360" w:lineRule="auto"/>
              <w:ind w:firstLine="420" w:firstLineChars="200"/>
              <w:rPr>
                <w:rFonts w:hint="eastAsia" w:ascii="宋体" w:hAnsi="宋体" w:eastAsia="宋体" w:cs="宋体"/>
              </w:rPr>
            </w:pPr>
            <w:r>
              <w:rPr>
                <w:rFonts w:ascii="宋体" w:hAnsi="宋体" w:eastAsia="宋体" w:cs="宋体"/>
              </w:rPr>
              <w:t>2.根据安全漏洞检测结果，对服务器操作系统进行安全漏洞修复。</w:t>
            </w:r>
          </w:p>
          <w:p w14:paraId="4550E081">
            <w:pPr>
              <w:spacing w:line="360" w:lineRule="auto"/>
              <w:ind w:firstLine="420" w:firstLineChars="200"/>
              <w:rPr>
                <w:rFonts w:hint="eastAsia" w:ascii="宋体" w:hAnsi="宋体" w:eastAsia="宋体" w:cs="宋体"/>
              </w:rPr>
            </w:pPr>
            <w:r>
              <w:rPr>
                <w:rFonts w:hint="eastAsia" w:ascii="宋体" w:hAnsi="宋体" w:eastAsia="宋体" w:cs="宋体"/>
              </w:rPr>
              <w:t>（五）服务要求</w:t>
            </w:r>
          </w:p>
          <w:p w14:paraId="4AC19884">
            <w:pPr>
              <w:spacing w:line="360" w:lineRule="auto"/>
              <w:ind w:firstLine="420" w:firstLineChars="200"/>
              <w:rPr>
                <w:rFonts w:hint="eastAsia" w:ascii="宋体" w:hAnsi="宋体" w:eastAsia="宋体" w:cs="宋体"/>
              </w:rPr>
            </w:pPr>
            <w:r>
              <w:rPr>
                <w:rFonts w:hint="eastAsia" w:ascii="宋体" w:hAnsi="宋体" w:eastAsia="宋体" w:cs="宋体"/>
              </w:rPr>
              <w:t>提供</w:t>
            </w:r>
            <w:r>
              <w:rPr>
                <w:rFonts w:ascii="宋体" w:hAnsi="宋体" w:eastAsia="宋体" w:cs="宋体"/>
              </w:rPr>
              <w:t>7*</w:t>
            </w:r>
            <w:r>
              <w:rPr>
                <w:rFonts w:hint="eastAsia" w:ascii="宋体" w:hAnsi="宋体" w:eastAsia="宋体" w:cs="宋体"/>
              </w:rPr>
              <w:t>8</w:t>
            </w:r>
            <w:r>
              <w:rPr>
                <w:rFonts w:ascii="宋体" w:hAnsi="宋体" w:eastAsia="宋体" w:cs="宋体"/>
              </w:rPr>
              <w:t>小时</w:t>
            </w:r>
            <w:r>
              <w:rPr>
                <w:rFonts w:hint="eastAsia" w:ascii="宋体" w:hAnsi="宋体" w:eastAsia="宋体" w:cs="宋体"/>
              </w:rPr>
              <w:t>技术支持服务和咨询服务</w:t>
            </w:r>
            <w:r>
              <w:rPr>
                <w:rFonts w:ascii="宋体" w:hAnsi="宋体" w:eastAsia="宋体" w:cs="宋体"/>
              </w:rPr>
              <w:t>。</w:t>
            </w:r>
          </w:p>
          <w:p w14:paraId="0004F020">
            <w:pPr>
              <w:spacing w:line="360" w:lineRule="auto"/>
              <w:ind w:firstLine="422" w:firstLineChars="200"/>
              <w:rPr>
                <w:rFonts w:hint="eastAsia" w:ascii="宋体" w:hAnsi="宋体" w:eastAsia="宋体" w:cs="宋体"/>
                <w:b/>
              </w:rPr>
            </w:pPr>
            <w:r>
              <w:rPr>
                <w:rFonts w:ascii="宋体" w:hAnsi="宋体" w:eastAsia="宋体" w:cs="宋体"/>
                <w:b/>
              </w:rPr>
              <w:t>十</w:t>
            </w:r>
            <w:r>
              <w:rPr>
                <w:rFonts w:hint="eastAsia" w:ascii="宋体" w:hAnsi="宋体" w:eastAsia="宋体" w:cs="宋体"/>
                <w:b/>
              </w:rPr>
              <w:t>、职工食堂订餐平台运维</w:t>
            </w:r>
          </w:p>
          <w:p w14:paraId="587CABE1">
            <w:pPr>
              <w:spacing w:line="360" w:lineRule="auto"/>
              <w:ind w:firstLine="420" w:firstLineChars="200"/>
              <w:rPr>
                <w:rFonts w:hint="eastAsia" w:ascii="宋体" w:hAnsi="宋体" w:eastAsia="宋体" w:cs="宋体"/>
              </w:rPr>
            </w:pPr>
            <w:r>
              <w:rPr>
                <w:rFonts w:hint="eastAsia" w:ascii="宋体" w:hAnsi="宋体" w:eastAsia="宋体" w:cs="宋体"/>
              </w:rPr>
              <w:t>（一）维护菜单管理和订餐功能</w:t>
            </w:r>
          </w:p>
          <w:p w14:paraId="41DAAFAE">
            <w:pPr>
              <w:spacing w:line="360" w:lineRule="auto"/>
              <w:ind w:firstLine="420" w:firstLineChars="200"/>
              <w:rPr>
                <w:rFonts w:hint="eastAsia" w:ascii="宋体" w:hAnsi="宋体" w:eastAsia="宋体" w:cs="宋体"/>
              </w:rPr>
            </w:pPr>
            <w:r>
              <w:rPr>
                <w:rFonts w:ascii="宋体" w:hAnsi="宋体" w:eastAsia="宋体" w:cs="宋体"/>
              </w:rPr>
              <w:t>1.维持以下功能可正常使用：职工食堂订餐软件可正常设置订餐菜单、订餐开放时段，保障订餐人、预订菜谱、用餐时段、菜谱数量、已预订的各种菜品的总数、单项及每人预订数量，菜品库存，临时追加和取消订单进行智能分类汇总功能，手机端支持查询分类汇总结果。对订餐人同一时段多份订餐、多份菜品支持选择性追加或取消。支持全时段追加临时订单和后台取消订单。</w:t>
            </w:r>
          </w:p>
          <w:p w14:paraId="7D927ED9">
            <w:pPr>
              <w:spacing w:line="360" w:lineRule="auto"/>
              <w:ind w:firstLine="420" w:firstLineChars="200"/>
              <w:rPr>
                <w:rFonts w:hint="eastAsia" w:ascii="宋体" w:hAnsi="宋体" w:eastAsia="宋体" w:cs="宋体"/>
              </w:rPr>
            </w:pPr>
            <w:r>
              <w:rPr>
                <w:rFonts w:ascii="宋体" w:hAnsi="宋体" w:eastAsia="宋体" w:cs="宋体"/>
              </w:rPr>
              <w:t>2.每2周进行一次平台更新，包括采购方对系统提出的修改建议、非紧急缺陷修复、性能优化等。</w:t>
            </w:r>
          </w:p>
          <w:p w14:paraId="78194676">
            <w:pPr>
              <w:spacing w:line="360" w:lineRule="auto"/>
              <w:ind w:firstLine="420" w:firstLineChars="200"/>
              <w:rPr>
                <w:rFonts w:hint="eastAsia" w:ascii="宋体" w:hAnsi="宋体" w:eastAsia="宋体" w:cs="宋体"/>
              </w:rPr>
            </w:pPr>
            <w:r>
              <w:rPr>
                <w:rFonts w:hint="eastAsia" w:ascii="宋体" w:hAnsi="宋体" w:eastAsia="宋体" w:cs="宋体"/>
              </w:rPr>
              <w:t>（二）硬件维护</w:t>
            </w:r>
          </w:p>
          <w:p w14:paraId="7CB111FA">
            <w:pPr>
              <w:spacing w:line="360" w:lineRule="auto"/>
              <w:ind w:firstLine="420" w:firstLineChars="200"/>
              <w:rPr>
                <w:rFonts w:hint="eastAsia" w:ascii="宋体" w:hAnsi="宋体" w:eastAsia="宋体" w:cs="宋体"/>
              </w:rPr>
            </w:pPr>
            <w:r>
              <w:rPr>
                <w:rFonts w:hint="eastAsia" w:ascii="宋体" w:hAnsi="宋体" w:eastAsia="宋体" w:cs="宋体"/>
              </w:rPr>
              <w:t>对订餐系统人脸识别等设备进行维护。</w:t>
            </w:r>
          </w:p>
          <w:p w14:paraId="300BA06D">
            <w:pPr>
              <w:spacing w:line="360" w:lineRule="auto"/>
              <w:ind w:firstLine="420" w:firstLineChars="200"/>
              <w:rPr>
                <w:rFonts w:hint="eastAsia" w:ascii="宋体" w:hAnsi="宋体" w:eastAsia="宋体" w:cs="宋体"/>
              </w:rPr>
            </w:pPr>
            <w:r>
              <w:rPr>
                <w:rFonts w:hint="eastAsia" w:ascii="宋体" w:hAnsi="宋体" w:eastAsia="宋体" w:cs="宋体"/>
              </w:rPr>
              <w:t>（三）数据维护</w:t>
            </w:r>
          </w:p>
          <w:p w14:paraId="49165222">
            <w:pPr>
              <w:spacing w:line="360" w:lineRule="auto"/>
              <w:ind w:firstLine="420" w:firstLineChars="200"/>
              <w:rPr>
                <w:rFonts w:hint="eastAsia" w:ascii="宋体" w:hAnsi="宋体" w:eastAsia="宋体" w:cs="宋体"/>
              </w:rPr>
            </w:pPr>
            <w:r>
              <w:rPr>
                <w:rFonts w:ascii="宋体" w:hAnsi="宋体" w:eastAsia="宋体" w:cs="宋体"/>
              </w:rPr>
              <w:t>1.每天一次在后台对系统数据进行滚动备份。</w:t>
            </w:r>
          </w:p>
          <w:p w14:paraId="7859C8B3">
            <w:pPr>
              <w:spacing w:line="360" w:lineRule="auto"/>
              <w:ind w:firstLine="420" w:firstLineChars="200"/>
              <w:rPr>
                <w:rFonts w:hint="eastAsia" w:ascii="宋体" w:hAnsi="宋体" w:eastAsia="宋体" w:cs="宋体"/>
              </w:rPr>
            </w:pPr>
            <w:r>
              <w:rPr>
                <w:rFonts w:ascii="宋体" w:hAnsi="宋体" w:eastAsia="宋体" w:cs="宋体"/>
              </w:rPr>
              <w:t>2.对操作失误导致的数据错误进行修复。</w:t>
            </w:r>
          </w:p>
          <w:p w14:paraId="27757FE1">
            <w:pPr>
              <w:spacing w:line="360" w:lineRule="auto"/>
              <w:ind w:firstLine="420" w:firstLineChars="200"/>
              <w:rPr>
                <w:rFonts w:hint="eastAsia" w:ascii="宋体" w:hAnsi="宋体" w:eastAsia="宋体" w:cs="宋体"/>
              </w:rPr>
            </w:pPr>
            <w:r>
              <w:rPr>
                <w:rFonts w:ascii="宋体" w:hAnsi="宋体" w:eastAsia="宋体" w:cs="宋体"/>
              </w:rPr>
              <w:t>3.按季度对系统数据运行支撑条件进行巡检，巡检具体内容包括系统服务器负荷情况、系统内部数据整理情况，检查数据库运行状态、数据备份状态、存储管理，记录系统故障情况、系统优化情况、存在问题解决情况报告。</w:t>
            </w:r>
          </w:p>
          <w:p w14:paraId="61B79029">
            <w:pPr>
              <w:spacing w:line="360" w:lineRule="auto"/>
              <w:ind w:firstLine="420" w:firstLineChars="200"/>
              <w:rPr>
                <w:rFonts w:hint="eastAsia" w:ascii="宋体" w:hAnsi="宋体" w:eastAsia="宋体" w:cs="宋体"/>
              </w:rPr>
            </w:pPr>
            <w:r>
              <w:rPr>
                <w:rFonts w:hint="eastAsia" w:ascii="宋体" w:hAnsi="宋体" w:eastAsia="宋体" w:cs="宋体"/>
              </w:rPr>
              <w:t>（四）服务器运行维护</w:t>
            </w:r>
          </w:p>
          <w:p w14:paraId="5A22624A">
            <w:pPr>
              <w:spacing w:line="360" w:lineRule="auto"/>
              <w:ind w:firstLine="420" w:firstLineChars="200"/>
              <w:rPr>
                <w:rFonts w:hint="eastAsia" w:ascii="宋体" w:hAnsi="宋体" w:eastAsia="宋体" w:cs="宋体"/>
              </w:rPr>
            </w:pPr>
            <w:r>
              <w:rPr>
                <w:rFonts w:ascii="宋体" w:hAnsi="宋体" w:eastAsia="宋体" w:cs="宋体"/>
              </w:rPr>
              <w:t>1.定期对服务器已有的病毒防护软件、病毒库进行升级、更新，保持病毒防护系统、病毒库版本为最新状态，并进行病毒检测，根据检测结果进行杀毒处理（病毒防护软件由业主提供，升级所需授权由业主购买）。</w:t>
            </w:r>
          </w:p>
          <w:p w14:paraId="74219236">
            <w:pPr>
              <w:spacing w:line="360" w:lineRule="auto"/>
              <w:ind w:firstLine="420" w:firstLineChars="200"/>
              <w:rPr>
                <w:rFonts w:hint="eastAsia" w:ascii="宋体" w:hAnsi="宋体" w:eastAsia="宋体" w:cs="宋体"/>
              </w:rPr>
            </w:pPr>
            <w:r>
              <w:rPr>
                <w:rFonts w:ascii="宋体" w:hAnsi="宋体" w:eastAsia="宋体" w:cs="宋体"/>
              </w:rPr>
              <w:t>2.根据安全漏洞检测结果，对服务器操作系统进行安全漏洞修复。</w:t>
            </w:r>
          </w:p>
          <w:p w14:paraId="46F31FF2">
            <w:pPr>
              <w:spacing w:line="360" w:lineRule="auto"/>
              <w:ind w:firstLine="420" w:firstLineChars="200"/>
              <w:rPr>
                <w:rFonts w:hint="eastAsia" w:ascii="宋体" w:hAnsi="宋体" w:eastAsia="宋体" w:cs="宋体"/>
              </w:rPr>
            </w:pPr>
            <w:r>
              <w:rPr>
                <w:rFonts w:hint="eastAsia" w:ascii="宋体" w:hAnsi="宋体" w:eastAsia="宋体" w:cs="宋体"/>
              </w:rPr>
              <w:t>（五）服务要求</w:t>
            </w:r>
          </w:p>
          <w:p w14:paraId="781D6A57">
            <w:pPr>
              <w:spacing w:line="360" w:lineRule="auto"/>
              <w:ind w:firstLine="420" w:firstLineChars="200"/>
              <w:rPr>
                <w:rFonts w:hint="eastAsia" w:ascii="宋体" w:hAnsi="宋体" w:eastAsia="宋体" w:cs="宋体"/>
              </w:rPr>
            </w:pPr>
            <w:r>
              <w:rPr>
                <w:rFonts w:hint="eastAsia" w:ascii="宋体" w:hAnsi="宋体" w:eastAsia="宋体" w:cs="宋体"/>
              </w:rPr>
              <w:t>1.提供</w:t>
            </w:r>
            <w:r>
              <w:rPr>
                <w:rFonts w:ascii="宋体" w:hAnsi="宋体" w:eastAsia="宋体" w:cs="宋体"/>
              </w:rPr>
              <w:t>7*24小时</w:t>
            </w:r>
            <w:r>
              <w:rPr>
                <w:rFonts w:hint="eastAsia" w:ascii="宋体" w:hAnsi="宋体" w:eastAsia="宋体" w:cs="宋体"/>
              </w:rPr>
              <w:t>技术支持服务和咨询服务</w:t>
            </w:r>
            <w:r>
              <w:rPr>
                <w:rFonts w:ascii="宋体" w:hAnsi="宋体" w:eastAsia="宋体" w:cs="宋体"/>
              </w:rPr>
              <w:t>。</w:t>
            </w:r>
          </w:p>
          <w:p w14:paraId="1B858D3C">
            <w:pPr>
              <w:spacing w:line="360" w:lineRule="auto"/>
              <w:ind w:firstLine="420" w:firstLineChars="200"/>
              <w:rPr>
                <w:rFonts w:hint="eastAsia" w:ascii="宋体" w:hAnsi="宋体" w:eastAsia="宋体" w:cs="宋体"/>
              </w:rPr>
            </w:pPr>
            <w:r>
              <w:rPr>
                <w:rFonts w:hint="eastAsia" w:ascii="宋体" w:hAnsi="宋体" w:eastAsia="宋体" w:cs="宋体"/>
              </w:rPr>
              <w:t>2.保障采购方的信创电脑客户端能够正常使用系统。</w:t>
            </w:r>
          </w:p>
          <w:p w14:paraId="6D87F390">
            <w:pPr>
              <w:spacing w:line="360" w:lineRule="auto"/>
              <w:ind w:firstLine="422" w:firstLineChars="200"/>
              <w:rPr>
                <w:rFonts w:hint="eastAsia" w:ascii="宋体" w:hAnsi="宋体" w:eastAsia="宋体" w:cs="宋体"/>
              </w:rPr>
            </w:pPr>
            <w:r>
              <w:rPr>
                <w:rFonts w:hint="eastAsia" w:ascii="宋体" w:hAnsi="宋体" w:eastAsia="宋体" w:cs="宋体"/>
                <w:b/>
              </w:rPr>
              <w:t>十一、广西港航会议预定系统运维</w:t>
            </w:r>
          </w:p>
          <w:p w14:paraId="1397C111">
            <w:pPr>
              <w:spacing w:line="360" w:lineRule="auto"/>
              <w:ind w:firstLine="420" w:firstLineChars="200"/>
              <w:rPr>
                <w:rFonts w:hint="eastAsia" w:ascii="宋体" w:hAnsi="宋体" w:eastAsia="宋体" w:cs="宋体"/>
              </w:rPr>
            </w:pPr>
            <w:r>
              <w:rPr>
                <w:rFonts w:hint="eastAsia" w:ascii="宋体" w:hAnsi="宋体" w:eastAsia="宋体" w:cs="宋体"/>
              </w:rPr>
              <w:t>（一）业务功能完善</w:t>
            </w:r>
          </w:p>
          <w:p w14:paraId="3FD6766D">
            <w:pPr>
              <w:spacing w:line="360" w:lineRule="auto"/>
              <w:ind w:firstLine="420" w:firstLineChars="200"/>
              <w:rPr>
                <w:rFonts w:hint="eastAsia" w:ascii="宋体" w:hAnsi="宋体" w:eastAsia="宋体" w:cs="宋体"/>
              </w:rPr>
            </w:pPr>
            <w:r>
              <w:rPr>
                <w:rFonts w:ascii="宋体" w:hAnsi="宋体" w:eastAsia="宋体" w:cs="宋体"/>
              </w:rPr>
              <w:t>1.会议室管理</w:t>
            </w:r>
          </w:p>
          <w:p w14:paraId="218A17DB">
            <w:pPr>
              <w:spacing w:line="360" w:lineRule="auto"/>
              <w:ind w:firstLine="420" w:firstLineChars="200"/>
              <w:rPr>
                <w:rFonts w:hint="eastAsia" w:ascii="宋体" w:hAnsi="宋体" w:eastAsia="宋体" w:cs="宋体"/>
              </w:rPr>
            </w:pPr>
            <w:r>
              <w:rPr>
                <w:rFonts w:hint="eastAsia" w:ascii="宋体" w:hAnsi="宋体" w:eastAsia="宋体" w:cs="宋体"/>
              </w:rPr>
              <w:t>可新建、撤销、删除会议室，管理会议室信息。</w:t>
            </w:r>
          </w:p>
          <w:p w14:paraId="49C1E162">
            <w:pPr>
              <w:spacing w:line="360" w:lineRule="auto"/>
              <w:ind w:firstLine="420" w:firstLineChars="200"/>
              <w:rPr>
                <w:rFonts w:hint="eastAsia" w:ascii="宋体" w:hAnsi="宋体" w:eastAsia="宋体" w:cs="宋体"/>
              </w:rPr>
            </w:pPr>
            <w:r>
              <w:rPr>
                <w:rFonts w:ascii="宋体" w:hAnsi="宋体" w:eastAsia="宋体" w:cs="宋体"/>
              </w:rPr>
              <w:t>2.预定会议室</w:t>
            </w:r>
          </w:p>
          <w:p w14:paraId="2DF0489D">
            <w:pPr>
              <w:spacing w:line="360" w:lineRule="auto"/>
              <w:ind w:firstLine="420" w:firstLineChars="200"/>
              <w:rPr>
                <w:rFonts w:hint="eastAsia" w:ascii="宋体" w:hAnsi="宋体" w:eastAsia="宋体" w:cs="宋体"/>
              </w:rPr>
            </w:pPr>
            <w:r>
              <w:rPr>
                <w:rFonts w:hint="eastAsia" w:ascii="宋体" w:hAnsi="宋体" w:eastAsia="宋体" w:cs="宋体"/>
              </w:rPr>
              <w:t>填写预定信息，预约会议室的使用。可随时撤销预定。</w:t>
            </w:r>
          </w:p>
          <w:p w14:paraId="761E8AF8">
            <w:pPr>
              <w:spacing w:line="360" w:lineRule="auto"/>
              <w:ind w:firstLine="420" w:firstLineChars="200"/>
              <w:rPr>
                <w:rFonts w:hint="eastAsia" w:ascii="宋体" w:hAnsi="宋体" w:eastAsia="宋体" w:cs="宋体"/>
              </w:rPr>
            </w:pPr>
            <w:r>
              <w:rPr>
                <w:rFonts w:ascii="宋体" w:hAnsi="宋体" w:eastAsia="宋体" w:cs="宋体"/>
              </w:rPr>
              <w:t>3.审批预定申请</w:t>
            </w:r>
          </w:p>
          <w:p w14:paraId="0CC6476E">
            <w:pPr>
              <w:spacing w:line="360" w:lineRule="auto"/>
              <w:ind w:firstLine="420" w:firstLineChars="200"/>
              <w:rPr>
                <w:rFonts w:hint="eastAsia" w:ascii="宋体" w:hAnsi="宋体" w:eastAsia="宋体" w:cs="宋体"/>
              </w:rPr>
            </w:pPr>
            <w:r>
              <w:rPr>
                <w:rFonts w:hint="eastAsia" w:ascii="宋体" w:hAnsi="宋体" w:eastAsia="宋体" w:cs="宋体"/>
              </w:rPr>
              <w:t>支持自动审批和人工审批，预设的审批人可查看申请信息和附件，审批申请。</w:t>
            </w:r>
          </w:p>
          <w:p w14:paraId="2DAEF9D7">
            <w:pPr>
              <w:spacing w:line="360" w:lineRule="auto"/>
              <w:ind w:firstLine="420" w:firstLineChars="200"/>
              <w:rPr>
                <w:rFonts w:hint="eastAsia" w:ascii="宋体" w:hAnsi="宋体" w:eastAsia="宋体" w:cs="宋体"/>
              </w:rPr>
            </w:pPr>
            <w:r>
              <w:rPr>
                <w:rFonts w:ascii="宋体" w:hAnsi="宋体" w:eastAsia="宋体" w:cs="宋体"/>
              </w:rPr>
              <w:t>4．会议室预定中心</w:t>
            </w:r>
          </w:p>
          <w:p w14:paraId="2CB36D65">
            <w:pPr>
              <w:spacing w:line="360" w:lineRule="auto"/>
              <w:ind w:firstLine="420" w:firstLineChars="200"/>
              <w:rPr>
                <w:rFonts w:hint="eastAsia" w:ascii="宋体" w:hAnsi="宋体" w:eastAsia="宋体" w:cs="宋体"/>
              </w:rPr>
            </w:pPr>
            <w:r>
              <w:rPr>
                <w:rFonts w:hint="eastAsia" w:ascii="宋体" w:hAnsi="宋体" w:eastAsia="宋体" w:cs="宋体"/>
              </w:rPr>
              <w:t>可直观查看当前会议室空闲、预定情况、预定详情、历史预定情况。支持会务人员免登录查看预定情况。</w:t>
            </w:r>
          </w:p>
          <w:p w14:paraId="7A788FAF">
            <w:pPr>
              <w:spacing w:line="360" w:lineRule="auto"/>
              <w:ind w:firstLine="420" w:firstLineChars="200"/>
              <w:rPr>
                <w:rFonts w:hint="eastAsia" w:ascii="宋体" w:hAnsi="宋体" w:eastAsia="宋体" w:cs="宋体"/>
              </w:rPr>
            </w:pPr>
            <w:r>
              <w:rPr>
                <w:rFonts w:ascii="宋体" w:hAnsi="宋体" w:eastAsia="宋体" w:cs="宋体"/>
              </w:rPr>
              <w:t>5.统计</w:t>
            </w:r>
          </w:p>
          <w:p w14:paraId="7E2D1E29">
            <w:pPr>
              <w:spacing w:line="360" w:lineRule="auto"/>
              <w:ind w:firstLine="420" w:firstLineChars="200"/>
              <w:rPr>
                <w:rFonts w:hint="eastAsia" w:ascii="宋体" w:hAnsi="宋体" w:eastAsia="宋体" w:cs="宋体"/>
              </w:rPr>
            </w:pPr>
            <w:r>
              <w:rPr>
                <w:rFonts w:hint="eastAsia" w:ascii="宋体" w:hAnsi="宋体" w:eastAsia="宋体" w:cs="宋体"/>
              </w:rPr>
              <w:t>对会议室预定情况进行统计。</w:t>
            </w:r>
          </w:p>
          <w:p w14:paraId="23EB192F">
            <w:pPr>
              <w:spacing w:line="360" w:lineRule="auto"/>
              <w:ind w:firstLine="420" w:firstLineChars="200"/>
              <w:rPr>
                <w:rFonts w:hint="eastAsia" w:ascii="宋体" w:hAnsi="宋体" w:eastAsia="宋体" w:cs="宋体"/>
              </w:rPr>
            </w:pPr>
            <w:r>
              <w:rPr>
                <w:rFonts w:hint="eastAsia" w:ascii="宋体" w:hAnsi="宋体" w:eastAsia="宋体" w:cs="宋体"/>
              </w:rPr>
              <w:t>（二）维护系统功能</w:t>
            </w:r>
          </w:p>
          <w:p w14:paraId="0D31F785">
            <w:pPr>
              <w:spacing w:line="360" w:lineRule="auto"/>
              <w:ind w:firstLine="420" w:firstLineChars="200"/>
              <w:rPr>
                <w:rFonts w:hint="eastAsia" w:ascii="宋体" w:hAnsi="宋体" w:eastAsia="宋体" w:cs="宋体"/>
              </w:rPr>
            </w:pPr>
            <w:r>
              <w:rPr>
                <w:rFonts w:ascii="宋体" w:hAnsi="宋体" w:eastAsia="宋体" w:cs="宋体"/>
              </w:rPr>
              <w:t>1.保障系统功能正常使用。</w:t>
            </w:r>
          </w:p>
          <w:p w14:paraId="50F15BD1">
            <w:pPr>
              <w:spacing w:line="360" w:lineRule="auto"/>
              <w:ind w:firstLine="420" w:firstLineChars="200"/>
              <w:rPr>
                <w:rFonts w:hint="eastAsia" w:ascii="宋体" w:hAnsi="宋体" w:eastAsia="宋体" w:cs="宋体"/>
              </w:rPr>
            </w:pPr>
            <w:r>
              <w:rPr>
                <w:rFonts w:ascii="宋体" w:hAnsi="宋体" w:eastAsia="宋体" w:cs="宋体"/>
              </w:rPr>
              <w:t>2.系统突发事件的诊断、排除、修复，并在故障处理后及时提交处理报告。因系统缺陷导致的各种漏洞的修复。</w:t>
            </w:r>
          </w:p>
          <w:p w14:paraId="565C4B19">
            <w:pPr>
              <w:spacing w:line="360" w:lineRule="auto"/>
              <w:ind w:firstLine="420" w:firstLineChars="200"/>
              <w:rPr>
                <w:rFonts w:hint="eastAsia" w:ascii="宋体" w:hAnsi="宋体" w:eastAsia="宋体" w:cs="宋体"/>
              </w:rPr>
            </w:pPr>
            <w:r>
              <w:rPr>
                <w:rFonts w:ascii="宋体" w:hAnsi="宋体" w:eastAsia="宋体" w:cs="宋体"/>
              </w:rPr>
              <w:t>3.系统日常运行状态监控。</w:t>
            </w:r>
          </w:p>
          <w:p w14:paraId="2DB9E6AF">
            <w:pPr>
              <w:spacing w:line="360" w:lineRule="auto"/>
              <w:ind w:firstLine="420" w:firstLineChars="200"/>
              <w:rPr>
                <w:rFonts w:hint="eastAsia" w:ascii="宋体" w:hAnsi="宋体" w:eastAsia="宋体" w:cs="宋体"/>
              </w:rPr>
            </w:pPr>
            <w:r>
              <w:rPr>
                <w:rFonts w:ascii="宋体" w:hAnsi="宋体" w:eastAsia="宋体" w:cs="宋体"/>
              </w:rPr>
              <w:t>4.每2周进行一次系统更新，包括采购方对系统提出的修改建议、非紧急缺陷修复、性能优化等。</w:t>
            </w:r>
          </w:p>
          <w:p w14:paraId="4FD390EE">
            <w:pPr>
              <w:spacing w:line="360" w:lineRule="auto"/>
              <w:ind w:firstLine="420" w:firstLineChars="200"/>
              <w:rPr>
                <w:rFonts w:hint="eastAsia" w:ascii="宋体" w:hAnsi="宋体" w:eastAsia="宋体" w:cs="宋体"/>
              </w:rPr>
            </w:pPr>
            <w:r>
              <w:rPr>
                <w:rFonts w:hint="eastAsia" w:ascii="宋体" w:hAnsi="宋体" w:eastAsia="宋体" w:cs="宋体"/>
              </w:rPr>
              <w:t>（三）数据维护</w:t>
            </w:r>
          </w:p>
          <w:p w14:paraId="026BCDA3">
            <w:pPr>
              <w:spacing w:line="360" w:lineRule="auto"/>
              <w:ind w:firstLine="420" w:firstLineChars="200"/>
              <w:rPr>
                <w:rFonts w:hint="eastAsia" w:ascii="宋体" w:hAnsi="宋体" w:eastAsia="宋体" w:cs="宋体"/>
              </w:rPr>
            </w:pPr>
            <w:r>
              <w:rPr>
                <w:rFonts w:ascii="宋体" w:hAnsi="宋体" w:eastAsia="宋体" w:cs="宋体"/>
              </w:rPr>
              <w:t>1.每天一次在后台对系统数据进行滚动备份。</w:t>
            </w:r>
          </w:p>
          <w:p w14:paraId="7CBC8B27">
            <w:pPr>
              <w:spacing w:line="360" w:lineRule="auto"/>
              <w:ind w:firstLine="420" w:firstLineChars="200"/>
              <w:rPr>
                <w:rFonts w:hint="eastAsia" w:ascii="宋体" w:hAnsi="宋体" w:eastAsia="宋体" w:cs="宋体"/>
              </w:rPr>
            </w:pPr>
            <w:r>
              <w:rPr>
                <w:rFonts w:ascii="宋体" w:hAnsi="宋体" w:eastAsia="宋体" w:cs="宋体"/>
              </w:rPr>
              <w:t>2.对操作失误导致的数据错误进行修复。</w:t>
            </w:r>
          </w:p>
          <w:p w14:paraId="68334610">
            <w:pPr>
              <w:spacing w:line="360" w:lineRule="auto"/>
              <w:ind w:firstLine="420" w:firstLineChars="200"/>
              <w:rPr>
                <w:rFonts w:hint="eastAsia" w:ascii="宋体" w:hAnsi="宋体" w:eastAsia="宋体" w:cs="宋体"/>
              </w:rPr>
            </w:pPr>
            <w:r>
              <w:rPr>
                <w:rFonts w:ascii="宋体" w:hAnsi="宋体" w:eastAsia="宋体" w:cs="宋体"/>
              </w:rPr>
              <w:t>3.按季度对系统数据运行支撑条件进行巡检，巡检具体内容包括系统服务器负荷情况、系统内部数据整理情况，检查数据库运行状态、数据备份状态、存储管理，记录系统故障情况、系统优化情况、存在问题解决情况报告。</w:t>
            </w:r>
          </w:p>
          <w:p w14:paraId="1213BE24">
            <w:pPr>
              <w:spacing w:line="360" w:lineRule="auto"/>
              <w:ind w:firstLine="420" w:firstLineChars="200"/>
              <w:rPr>
                <w:rFonts w:hint="eastAsia" w:ascii="宋体" w:hAnsi="宋体" w:eastAsia="宋体" w:cs="宋体"/>
              </w:rPr>
            </w:pPr>
            <w:r>
              <w:rPr>
                <w:rFonts w:hint="eastAsia" w:ascii="宋体" w:hAnsi="宋体" w:eastAsia="宋体" w:cs="宋体"/>
              </w:rPr>
              <w:t>（四）服务器运行维护</w:t>
            </w:r>
          </w:p>
          <w:p w14:paraId="1A7214E4">
            <w:pPr>
              <w:spacing w:line="360" w:lineRule="auto"/>
              <w:ind w:firstLine="420" w:firstLineChars="200"/>
              <w:rPr>
                <w:rFonts w:hint="eastAsia" w:ascii="宋体" w:hAnsi="宋体" w:eastAsia="宋体" w:cs="宋体"/>
              </w:rPr>
            </w:pPr>
            <w:r>
              <w:rPr>
                <w:rFonts w:ascii="宋体" w:hAnsi="宋体" w:eastAsia="宋体" w:cs="宋体"/>
              </w:rPr>
              <w:t>1.定期对服务器已有的病毒防护软件、病毒库进行升级、更新，保持病毒防护系统、病毒库版本为最新状态，并进行病毒检测，根据检测结果进行杀毒处理（病毒防护软件由业主提供，升级所需授权由业主购买）。</w:t>
            </w:r>
          </w:p>
          <w:p w14:paraId="25982FF1">
            <w:pPr>
              <w:spacing w:line="360" w:lineRule="auto"/>
              <w:ind w:firstLine="420" w:firstLineChars="200"/>
              <w:rPr>
                <w:rFonts w:hint="eastAsia" w:ascii="宋体" w:hAnsi="宋体" w:eastAsia="宋体" w:cs="宋体"/>
              </w:rPr>
            </w:pPr>
            <w:r>
              <w:rPr>
                <w:rFonts w:ascii="宋体" w:hAnsi="宋体" w:eastAsia="宋体" w:cs="宋体"/>
              </w:rPr>
              <w:t>2.根据安全漏洞检测结果，对服务器操作系统进行安全漏洞修复。</w:t>
            </w:r>
          </w:p>
          <w:p w14:paraId="5A740478">
            <w:pPr>
              <w:spacing w:line="360" w:lineRule="auto"/>
              <w:ind w:firstLine="420" w:firstLineChars="200"/>
              <w:rPr>
                <w:rFonts w:hint="eastAsia" w:ascii="宋体" w:hAnsi="宋体" w:eastAsia="宋体" w:cs="宋体"/>
              </w:rPr>
            </w:pPr>
            <w:r>
              <w:rPr>
                <w:rFonts w:hint="eastAsia" w:ascii="宋体" w:hAnsi="宋体" w:eastAsia="宋体" w:cs="宋体"/>
              </w:rPr>
              <w:t>（五）服务要求</w:t>
            </w:r>
          </w:p>
          <w:p w14:paraId="2FDC5A38">
            <w:pPr>
              <w:spacing w:line="360" w:lineRule="auto"/>
              <w:ind w:firstLine="420" w:firstLineChars="200"/>
              <w:rPr>
                <w:rFonts w:hint="eastAsia" w:ascii="宋体" w:hAnsi="宋体" w:eastAsia="宋体" w:cs="宋体"/>
              </w:rPr>
            </w:pPr>
            <w:r>
              <w:rPr>
                <w:rFonts w:hint="eastAsia" w:ascii="宋体" w:hAnsi="宋体" w:eastAsia="宋体" w:cs="宋体"/>
              </w:rPr>
              <w:t>1.提供</w:t>
            </w:r>
            <w:r>
              <w:rPr>
                <w:rFonts w:ascii="宋体" w:hAnsi="宋体" w:eastAsia="宋体" w:cs="宋体"/>
              </w:rPr>
              <w:t>7*24小时</w:t>
            </w:r>
            <w:r>
              <w:rPr>
                <w:rFonts w:hint="eastAsia" w:ascii="宋体" w:hAnsi="宋体" w:eastAsia="宋体" w:cs="宋体"/>
              </w:rPr>
              <w:t>技术支持服务和咨询服务</w:t>
            </w:r>
            <w:r>
              <w:rPr>
                <w:rFonts w:ascii="宋体" w:hAnsi="宋体" w:eastAsia="宋体" w:cs="宋体"/>
              </w:rPr>
              <w:t>。</w:t>
            </w:r>
          </w:p>
          <w:p w14:paraId="337DDC07">
            <w:pPr>
              <w:spacing w:line="360" w:lineRule="auto"/>
              <w:ind w:firstLine="420" w:firstLineChars="200"/>
              <w:rPr>
                <w:rFonts w:hint="eastAsia" w:ascii="宋体" w:hAnsi="宋体" w:eastAsia="宋体" w:cs="宋体"/>
              </w:rPr>
            </w:pPr>
            <w:r>
              <w:rPr>
                <w:rFonts w:hint="eastAsia" w:ascii="宋体" w:hAnsi="宋体" w:eastAsia="宋体" w:cs="宋体"/>
              </w:rPr>
              <w:t>2.保障采购方的信创电脑客户端能够正常使用系统。</w:t>
            </w:r>
          </w:p>
          <w:p w14:paraId="7E6ECF88">
            <w:pPr>
              <w:spacing w:line="360" w:lineRule="auto"/>
              <w:ind w:firstLine="422" w:firstLineChars="200"/>
              <w:rPr>
                <w:rFonts w:hint="eastAsia" w:ascii="宋体" w:hAnsi="宋体" w:eastAsia="宋体" w:cs="宋体"/>
              </w:rPr>
            </w:pPr>
            <w:r>
              <w:rPr>
                <w:rFonts w:hint="eastAsia" w:ascii="宋体" w:hAnsi="宋体" w:eastAsia="宋体" w:cs="宋体"/>
                <w:b/>
              </w:rPr>
              <w:t>十二、广西水路运单系统维护服务</w:t>
            </w:r>
          </w:p>
          <w:p w14:paraId="7C1C902F">
            <w:pPr>
              <w:spacing w:line="360" w:lineRule="auto"/>
              <w:ind w:firstLine="420" w:firstLineChars="200"/>
              <w:rPr>
                <w:rFonts w:hint="eastAsia" w:ascii="宋体" w:hAnsi="宋体" w:eastAsia="宋体" w:cs="宋体"/>
              </w:rPr>
            </w:pPr>
            <w:r>
              <w:rPr>
                <w:rFonts w:hint="eastAsia" w:ascii="宋体" w:hAnsi="宋体" w:eastAsia="宋体" w:cs="宋体"/>
              </w:rPr>
              <w:t>（一）软件维护</w:t>
            </w:r>
          </w:p>
          <w:p w14:paraId="6ED45DF9">
            <w:pPr>
              <w:spacing w:line="360" w:lineRule="auto"/>
              <w:ind w:firstLine="420" w:firstLineChars="200"/>
              <w:rPr>
                <w:rFonts w:hint="eastAsia" w:ascii="宋体" w:hAnsi="宋体" w:eastAsia="宋体" w:cs="宋体"/>
              </w:rPr>
            </w:pPr>
            <w:r>
              <w:rPr>
                <w:rFonts w:ascii="宋体" w:hAnsi="宋体" w:eastAsia="宋体" w:cs="宋体"/>
              </w:rPr>
              <w:t>1.系统使用操作指导。</w:t>
            </w:r>
          </w:p>
          <w:p w14:paraId="6425FFE2">
            <w:pPr>
              <w:spacing w:line="360" w:lineRule="auto"/>
              <w:ind w:firstLine="420" w:firstLineChars="200"/>
              <w:rPr>
                <w:rFonts w:hint="eastAsia" w:ascii="宋体" w:hAnsi="宋体" w:eastAsia="宋体" w:cs="宋体"/>
              </w:rPr>
            </w:pPr>
            <w:r>
              <w:rPr>
                <w:rFonts w:ascii="宋体" w:hAnsi="宋体" w:eastAsia="宋体" w:cs="宋体"/>
              </w:rPr>
              <w:t>2.系统突发事件的诊断、排除、修复，并在故障处理后及时提交处理报告。因系统缺陷导致的各种漏洞的修复。</w:t>
            </w:r>
          </w:p>
          <w:p w14:paraId="20D666A2">
            <w:pPr>
              <w:spacing w:line="360" w:lineRule="auto"/>
              <w:ind w:firstLine="420" w:firstLineChars="200"/>
              <w:rPr>
                <w:rFonts w:hint="eastAsia" w:ascii="宋体" w:hAnsi="宋体" w:eastAsia="宋体" w:cs="宋体"/>
              </w:rPr>
            </w:pPr>
            <w:r>
              <w:rPr>
                <w:rFonts w:ascii="宋体" w:hAnsi="宋体" w:eastAsia="宋体" w:cs="宋体"/>
              </w:rPr>
              <w:t>3.日常运行状态监控。每季度进行软件功能巡检，巡检具体内容包括浏览船舶运单详细内容是否正常，按不同货品、运输时段、航区的运单记录查询测试是否正常。每季度巡检后提交1次巡检记录（含异常情况处理记录）。</w:t>
            </w:r>
          </w:p>
          <w:p w14:paraId="5C2C0D0C">
            <w:pPr>
              <w:spacing w:line="360" w:lineRule="auto"/>
              <w:ind w:firstLine="420" w:firstLineChars="200"/>
              <w:rPr>
                <w:rFonts w:hint="eastAsia" w:ascii="宋体" w:hAnsi="宋体" w:eastAsia="宋体" w:cs="宋体"/>
              </w:rPr>
            </w:pPr>
            <w:r>
              <w:rPr>
                <w:rFonts w:ascii="宋体" w:hAnsi="宋体" w:eastAsia="宋体" w:cs="宋体"/>
              </w:rPr>
              <w:t>4.严格遵循采购人信息安全管理制度体系要求，对系统进行安全管理维护。</w:t>
            </w:r>
          </w:p>
          <w:p w14:paraId="20FD680B">
            <w:pPr>
              <w:spacing w:line="360" w:lineRule="auto"/>
              <w:ind w:firstLine="420" w:firstLineChars="200"/>
              <w:rPr>
                <w:rFonts w:hint="eastAsia" w:ascii="宋体" w:hAnsi="宋体" w:eastAsia="宋体" w:cs="宋体"/>
              </w:rPr>
            </w:pPr>
            <w:r>
              <w:rPr>
                <w:rFonts w:ascii="宋体" w:hAnsi="宋体" w:eastAsia="宋体" w:cs="宋体"/>
              </w:rPr>
              <w:t>5.实现单点登录模式，嵌入对接广西数字港航一体化平台，通过合理的权限分配、验证和更新机制，确保用户能够直接从广西数字港航一体化平台直接访问进入系统。</w:t>
            </w:r>
          </w:p>
          <w:p w14:paraId="348D29F1">
            <w:pPr>
              <w:spacing w:line="360" w:lineRule="auto"/>
              <w:ind w:firstLine="420" w:firstLineChars="200"/>
              <w:rPr>
                <w:rFonts w:hint="eastAsia" w:ascii="宋体" w:hAnsi="宋体" w:eastAsia="宋体" w:cs="宋体"/>
              </w:rPr>
            </w:pPr>
            <w:r>
              <w:rPr>
                <w:rFonts w:hint="eastAsia" w:ascii="宋体" w:hAnsi="宋体" w:eastAsia="宋体" w:cs="宋体"/>
              </w:rPr>
              <w:t>（二）数据维护</w:t>
            </w:r>
          </w:p>
          <w:p w14:paraId="268EC204">
            <w:pPr>
              <w:spacing w:line="360" w:lineRule="auto"/>
              <w:ind w:firstLine="420" w:firstLineChars="200"/>
              <w:rPr>
                <w:rFonts w:hint="eastAsia" w:ascii="宋体" w:hAnsi="宋体" w:eastAsia="宋体" w:cs="宋体"/>
              </w:rPr>
            </w:pPr>
            <w:r>
              <w:rPr>
                <w:rFonts w:ascii="宋体" w:hAnsi="宋体" w:eastAsia="宋体" w:cs="宋体"/>
              </w:rPr>
              <w:t>1.每天一次在后台对系统数据进行滚动备份。</w:t>
            </w:r>
          </w:p>
          <w:p w14:paraId="4DB5E786">
            <w:pPr>
              <w:spacing w:line="360" w:lineRule="auto"/>
              <w:ind w:firstLine="420" w:firstLineChars="200"/>
              <w:rPr>
                <w:rFonts w:hint="eastAsia" w:ascii="宋体" w:hAnsi="宋体" w:eastAsia="宋体" w:cs="宋体"/>
              </w:rPr>
            </w:pPr>
            <w:r>
              <w:rPr>
                <w:rFonts w:ascii="宋体" w:hAnsi="宋体" w:eastAsia="宋体" w:cs="宋体"/>
              </w:rPr>
              <w:t>2.修复因操作失误导致的数据错误。</w:t>
            </w:r>
          </w:p>
          <w:p w14:paraId="567FD1E0">
            <w:pPr>
              <w:spacing w:line="360" w:lineRule="auto"/>
              <w:ind w:firstLine="420" w:firstLineChars="200"/>
              <w:rPr>
                <w:rFonts w:hint="eastAsia" w:ascii="宋体" w:hAnsi="宋体" w:eastAsia="宋体" w:cs="宋体"/>
              </w:rPr>
            </w:pPr>
            <w:r>
              <w:rPr>
                <w:rFonts w:ascii="宋体" w:hAnsi="宋体" w:eastAsia="宋体" w:cs="宋体"/>
              </w:rPr>
              <w:t>3.按季度对系统数据运行支撑条件进行巡检，巡检具体内容包括系统服务器负荷情况、系统内部数据整理情况，检查数据库运行状态、数据备份状态、存储管理，记录系统故障情况、系统优化情况、存在问题解决情况报告。</w:t>
            </w:r>
          </w:p>
          <w:p w14:paraId="00A3622F">
            <w:pPr>
              <w:spacing w:line="360" w:lineRule="auto"/>
              <w:ind w:firstLine="420" w:firstLineChars="200"/>
              <w:rPr>
                <w:rFonts w:hint="eastAsia" w:ascii="宋体" w:hAnsi="宋体" w:eastAsia="宋体" w:cs="宋体"/>
              </w:rPr>
            </w:pPr>
            <w:r>
              <w:rPr>
                <w:rFonts w:ascii="宋体" w:hAnsi="宋体" w:eastAsia="宋体" w:cs="宋体"/>
              </w:rPr>
              <w:t>4.解决系统数据库表和数据出现的各类问题。</w:t>
            </w:r>
          </w:p>
          <w:p w14:paraId="16FA5674">
            <w:pPr>
              <w:spacing w:line="360" w:lineRule="auto"/>
              <w:ind w:firstLine="420" w:firstLineChars="200"/>
              <w:rPr>
                <w:rFonts w:hint="eastAsia" w:ascii="宋体" w:hAnsi="宋体" w:eastAsia="宋体" w:cs="宋体"/>
              </w:rPr>
            </w:pPr>
            <w:r>
              <w:rPr>
                <w:rFonts w:hint="eastAsia" w:ascii="宋体" w:hAnsi="宋体" w:eastAsia="宋体" w:cs="宋体"/>
              </w:rPr>
              <w:t>（三）服务器运行维护</w:t>
            </w:r>
          </w:p>
          <w:p w14:paraId="1CD36E85">
            <w:pPr>
              <w:spacing w:line="360" w:lineRule="auto"/>
              <w:ind w:firstLine="420" w:firstLineChars="200"/>
              <w:rPr>
                <w:rFonts w:hint="eastAsia" w:ascii="宋体" w:hAnsi="宋体" w:eastAsia="宋体" w:cs="宋体"/>
              </w:rPr>
            </w:pPr>
            <w:r>
              <w:rPr>
                <w:rFonts w:ascii="宋体" w:hAnsi="宋体" w:eastAsia="宋体" w:cs="宋体"/>
              </w:rPr>
              <w:t>1.定期对服务器已有的病毒防护软件、病毒库进行升级、更新，保持病毒防护系统、病毒库版本为最新状态，并进行病毒检测，根据检测结果进行杀毒处理（病毒防护软件由业主提供，升级所需授权由业主购买）。</w:t>
            </w:r>
          </w:p>
          <w:p w14:paraId="7643A324">
            <w:pPr>
              <w:spacing w:line="360" w:lineRule="auto"/>
              <w:ind w:firstLine="420" w:firstLineChars="200"/>
              <w:rPr>
                <w:rFonts w:hint="eastAsia" w:ascii="宋体" w:hAnsi="宋体" w:eastAsia="宋体" w:cs="宋体"/>
              </w:rPr>
            </w:pPr>
            <w:r>
              <w:rPr>
                <w:rFonts w:ascii="宋体" w:hAnsi="宋体" w:eastAsia="宋体" w:cs="宋体"/>
              </w:rPr>
              <w:t>2.根据安全漏洞检测结果，对服务器操作系统进行安全漏洞修复。</w:t>
            </w:r>
          </w:p>
          <w:p w14:paraId="1BD694D4">
            <w:pPr>
              <w:spacing w:line="360" w:lineRule="auto"/>
              <w:ind w:firstLine="420" w:firstLineChars="200"/>
              <w:rPr>
                <w:rFonts w:hint="eastAsia" w:ascii="宋体" w:hAnsi="宋体" w:eastAsia="宋体" w:cs="宋体"/>
              </w:rPr>
            </w:pPr>
            <w:r>
              <w:rPr>
                <w:rFonts w:hint="eastAsia" w:ascii="宋体" w:hAnsi="宋体" w:eastAsia="宋体" w:cs="宋体"/>
              </w:rPr>
              <w:t>（四）运维方式</w:t>
            </w:r>
          </w:p>
          <w:p w14:paraId="121844BD">
            <w:pPr>
              <w:spacing w:line="360" w:lineRule="auto"/>
              <w:ind w:firstLine="420" w:firstLineChars="200"/>
              <w:rPr>
                <w:rFonts w:hint="eastAsia" w:ascii="宋体" w:hAnsi="宋体" w:eastAsia="宋体" w:cs="宋体"/>
              </w:rPr>
            </w:pPr>
            <w:r>
              <w:rPr>
                <w:rFonts w:ascii="宋体" w:hAnsi="宋体" w:eastAsia="宋体" w:cs="宋体"/>
              </w:rPr>
              <w:t>1.远程维护：系统发生故障时，通过电话、即时通讯工具或远程访问等方式进行系统故障的处理、技术支持、咨询服务等工作。</w:t>
            </w:r>
          </w:p>
          <w:p w14:paraId="4811B138">
            <w:pPr>
              <w:spacing w:line="360" w:lineRule="auto"/>
              <w:ind w:firstLine="420" w:firstLineChars="200"/>
              <w:rPr>
                <w:rFonts w:hint="eastAsia" w:ascii="宋体" w:hAnsi="宋体" w:eastAsia="宋体" w:cs="宋体"/>
              </w:rPr>
            </w:pPr>
            <w:r>
              <w:rPr>
                <w:rFonts w:ascii="宋体" w:hAnsi="宋体" w:eastAsia="宋体" w:cs="宋体"/>
              </w:rPr>
              <w:t>2.现场技术服务：即系统软件出现重大故障导致系统业务中止时，供应商收到通知后应立即指派技术人员到达现场对故障进行处理和排除。</w:t>
            </w:r>
          </w:p>
          <w:p w14:paraId="69C891C6">
            <w:pPr>
              <w:spacing w:line="360" w:lineRule="auto"/>
              <w:ind w:firstLine="420" w:firstLineChars="200"/>
              <w:rPr>
                <w:rFonts w:hint="eastAsia" w:ascii="宋体" w:hAnsi="宋体" w:eastAsia="宋体" w:cs="宋体"/>
              </w:rPr>
            </w:pPr>
            <w:r>
              <w:rPr>
                <w:rFonts w:hint="eastAsia" w:ascii="宋体" w:hAnsi="宋体" w:eastAsia="宋体" w:cs="宋体"/>
              </w:rPr>
              <w:t>（五）服务要求</w:t>
            </w:r>
          </w:p>
          <w:p w14:paraId="4E8D505D">
            <w:pPr>
              <w:spacing w:line="360" w:lineRule="auto"/>
              <w:ind w:firstLine="420" w:firstLineChars="200"/>
              <w:rPr>
                <w:rFonts w:hint="eastAsia" w:ascii="宋体" w:hAnsi="宋体" w:eastAsia="宋体" w:cs="宋体"/>
              </w:rPr>
            </w:pPr>
            <w:r>
              <w:rPr>
                <w:rFonts w:hint="eastAsia" w:ascii="宋体" w:hAnsi="宋体" w:eastAsia="宋体" w:cs="宋体"/>
              </w:rPr>
              <w:t>提供</w:t>
            </w:r>
            <w:r>
              <w:rPr>
                <w:rFonts w:ascii="宋体" w:hAnsi="宋体" w:eastAsia="宋体" w:cs="宋体"/>
              </w:rPr>
              <w:t>7*24小时</w:t>
            </w:r>
            <w:r>
              <w:rPr>
                <w:rFonts w:hint="eastAsia" w:ascii="宋体" w:hAnsi="宋体" w:eastAsia="宋体" w:cs="宋体"/>
              </w:rPr>
              <w:t>技术支持服务和咨询服务</w:t>
            </w:r>
            <w:r>
              <w:rPr>
                <w:rFonts w:ascii="宋体" w:hAnsi="宋体" w:eastAsia="宋体" w:cs="宋体"/>
              </w:rPr>
              <w:t>。</w:t>
            </w:r>
          </w:p>
          <w:p w14:paraId="1E50EE28">
            <w:pPr>
              <w:spacing w:line="360" w:lineRule="auto"/>
              <w:ind w:firstLine="422" w:firstLineChars="200"/>
              <w:rPr>
                <w:rFonts w:hint="eastAsia" w:ascii="宋体" w:hAnsi="宋体" w:eastAsia="宋体" w:cs="宋体"/>
              </w:rPr>
            </w:pPr>
            <w:r>
              <w:rPr>
                <w:rFonts w:hint="eastAsia" w:ascii="宋体" w:hAnsi="宋体" w:eastAsia="宋体" w:cs="宋体"/>
                <w:b/>
              </w:rPr>
              <w:t>十三、广西船舶过闸调度系统维护服务</w:t>
            </w:r>
          </w:p>
          <w:p w14:paraId="21CD3D5D">
            <w:pPr>
              <w:spacing w:line="360" w:lineRule="auto"/>
              <w:ind w:firstLine="420" w:firstLineChars="200"/>
              <w:rPr>
                <w:rFonts w:hint="eastAsia" w:ascii="宋体" w:hAnsi="宋体" w:eastAsia="宋体" w:cs="宋体"/>
              </w:rPr>
            </w:pPr>
            <w:r>
              <w:rPr>
                <w:rFonts w:hint="eastAsia" w:ascii="宋体" w:hAnsi="宋体" w:eastAsia="宋体" w:cs="宋体"/>
              </w:rPr>
              <w:t>（一）软件维护</w:t>
            </w:r>
          </w:p>
          <w:p w14:paraId="59B7E18A">
            <w:pPr>
              <w:spacing w:line="360" w:lineRule="auto"/>
              <w:ind w:firstLine="420" w:firstLineChars="200"/>
              <w:rPr>
                <w:rFonts w:hint="eastAsia" w:ascii="宋体" w:hAnsi="宋体" w:eastAsia="宋体" w:cs="宋体"/>
              </w:rPr>
            </w:pPr>
            <w:r>
              <w:rPr>
                <w:rFonts w:ascii="宋体" w:hAnsi="宋体" w:eastAsia="宋体" w:cs="宋体"/>
              </w:rPr>
              <w:t>1.系统使用操作指导。</w:t>
            </w:r>
          </w:p>
          <w:p w14:paraId="7E545348">
            <w:pPr>
              <w:spacing w:line="360" w:lineRule="auto"/>
              <w:ind w:firstLine="420" w:firstLineChars="200"/>
              <w:rPr>
                <w:rFonts w:hint="eastAsia" w:ascii="宋体" w:hAnsi="宋体" w:eastAsia="宋体" w:cs="宋体"/>
              </w:rPr>
            </w:pPr>
            <w:r>
              <w:rPr>
                <w:rFonts w:ascii="宋体" w:hAnsi="宋体" w:eastAsia="宋体" w:cs="宋体"/>
              </w:rPr>
              <w:t>2.系统突发事件的诊断、排除、修复，并在故障处理后及时提交处理报告。因系统缺陷导致的各种漏洞的修复。</w:t>
            </w:r>
          </w:p>
          <w:p w14:paraId="040BDD6E">
            <w:pPr>
              <w:spacing w:line="360" w:lineRule="auto"/>
              <w:ind w:firstLine="420" w:firstLineChars="200"/>
              <w:rPr>
                <w:rFonts w:hint="eastAsia" w:ascii="宋体" w:hAnsi="宋体" w:eastAsia="宋体" w:cs="宋体"/>
              </w:rPr>
            </w:pPr>
            <w:r>
              <w:rPr>
                <w:rFonts w:ascii="宋体" w:hAnsi="宋体" w:eastAsia="宋体" w:cs="宋体"/>
              </w:rPr>
              <w:t>3.日常运行状态监控。每季度进行软件功能巡检，巡检具体内容包括浏览船舶运单详细内容是否正常，按不同货品、运输时段、航区的运单记录查询测试是否正常。每季度巡检后提交1次巡检记录（含异常情况处理记录）。</w:t>
            </w:r>
          </w:p>
          <w:p w14:paraId="563A8A91">
            <w:pPr>
              <w:spacing w:line="360" w:lineRule="auto"/>
              <w:ind w:firstLine="420" w:firstLineChars="200"/>
              <w:rPr>
                <w:rFonts w:hint="eastAsia" w:ascii="宋体" w:hAnsi="宋体" w:eastAsia="宋体" w:cs="宋体"/>
              </w:rPr>
            </w:pPr>
            <w:r>
              <w:rPr>
                <w:rFonts w:ascii="宋体" w:hAnsi="宋体" w:eastAsia="宋体" w:cs="宋体"/>
              </w:rPr>
              <w:t>4.严格遵循采购人信息安全管理制度体系要求，对系统进行安全管理维护。</w:t>
            </w:r>
          </w:p>
          <w:p w14:paraId="1EE2D311">
            <w:pPr>
              <w:spacing w:line="360" w:lineRule="auto"/>
              <w:ind w:firstLine="420" w:firstLineChars="200"/>
              <w:rPr>
                <w:rFonts w:hint="eastAsia" w:ascii="宋体" w:hAnsi="宋体" w:eastAsia="宋体" w:cs="宋体"/>
              </w:rPr>
            </w:pPr>
            <w:r>
              <w:rPr>
                <w:rFonts w:ascii="宋体" w:hAnsi="宋体" w:eastAsia="宋体" w:cs="宋体"/>
              </w:rPr>
              <w:t>5.实现单点登录模式，嵌入对接广西数字港航一体化平台，通过合理的权限分配、验证和更新机制，确保用户能够直接从广西数字港航一体化平台直接访问进入系统。</w:t>
            </w:r>
          </w:p>
          <w:p w14:paraId="7EC7E659">
            <w:pPr>
              <w:spacing w:line="360" w:lineRule="auto"/>
              <w:ind w:firstLine="420" w:firstLineChars="200"/>
              <w:rPr>
                <w:rFonts w:hint="eastAsia" w:ascii="宋体" w:hAnsi="宋体" w:eastAsia="宋体" w:cs="宋体"/>
              </w:rPr>
            </w:pPr>
            <w:r>
              <w:rPr>
                <w:rFonts w:hint="eastAsia" w:ascii="宋体" w:hAnsi="宋体" w:eastAsia="宋体" w:cs="宋体"/>
              </w:rPr>
              <w:t>（二）数据维护</w:t>
            </w:r>
          </w:p>
          <w:p w14:paraId="55DCE6DB">
            <w:pPr>
              <w:spacing w:line="360" w:lineRule="auto"/>
              <w:ind w:firstLine="420" w:firstLineChars="200"/>
              <w:rPr>
                <w:rFonts w:hint="eastAsia" w:ascii="宋体" w:hAnsi="宋体" w:eastAsia="宋体" w:cs="宋体"/>
              </w:rPr>
            </w:pPr>
            <w:r>
              <w:rPr>
                <w:rFonts w:ascii="宋体" w:hAnsi="宋体" w:eastAsia="宋体" w:cs="宋体"/>
              </w:rPr>
              <w:t>1.每天一次在后台对系统数据进行滚动备份。</w:t>
            </w:r>
          </w:p>
          <w:p w14:paraId="16914996">
            <w:pPr>
              <w:spacing w:line="360" w:lineRule="auto"/>
              <w:ind w:firstLine="420" w:firstLineChars="200"/>
              <w:rPr>
                <w:rFonts w:hint="eastAsia" w:ascii="宋体" w:hAnsi="宋体" w:eastAsia="宋体" w:cs="宋体"/>
              </w:rPr>
            </w:pPr>
            <w:r>
              <w:rPr>
                <w:rFonts w:ascii="宋体" w:hAnsi="宋体" w:eastAsia="宋体" w:cs="宋体"/>
              </w:rPr>
              <w:t>2.因操作失误导致的数据错误修复。</w:t>
            </w:r>
          </w:p>
          <w:p w14:paraId="5EC0B3CA">
            <w:pPr>
              <w:spacing w:line="360" w:lineRule="auto"/>
              <w:ind w:firstLine="420" w:firstLineChars="200"/>
              <w:rPr>
                <w:rFonts w:hint="eastAsia" w:ascii="宋体" w:hAnsi="宋体" w:eastAsia="宋体" w:cs="宋体"/>
              </w:rPr>
            </w:pPr>
            <w:r>
              <w:rPr>
                <w:rFonts w:ascii="宋体" w:hAnsi="宋体" w:eastAsia="宋体" w:cs="宋体"/>
              </w:rPr>
              <w:t>3.按季度对系统数据运行支撑条件进行巡检，巡检具体内容包括系统服务器负荷情况、系统内部数据整理情况，检查数据库运行状态、数据备份状态、存储管理，记录系统故障情况、系统优化情况、存在问题解决情况报告。</w:t>
            </w:r>
          </w:p>
          <w:p w14:paraId="21BE4458">
            <w:pPr>
              <w:spacing w:line="360" w:lineRule="auto"/>
              <w:ind w:firstLine="420" w:firstLineChars="200"/>
              <w:rPr>
                <w:rFonts w:hint="eastAsia" w:ascii="宋体" w:hAnsi="宋体" w:eastAsia="宋体" w:cs="宋体"/>
              </w:rPr>
            </w:pPr>
            <w:r>
              <w:rPr>
                <w:rFonts w:hint="eastAsia" w:ascii="宋体" w:hAnsi="宋体" w:eastAsia="宋体" w:cs="宋体"/>
              </w:rPr>
              <w:t>（三）服务器运行维护</w:t>
            </w:r>
          </w:p>
          <w:p w14:paraId="1B50B664">
            <w:pPr>
              <w:spacing w:line="360" w:lineRule="auto"/>
              <w:ind w:firstLine="420" w:firstLineChars="200"/>
              <w:rPr>
                <w:rFonts w:hint="eastAsia" w:ascii="宋体" w:hAnsi="宋体" w:eastAsia="宋体" w:cs="宋体"/>
              </w:rPr>
            </w:pPr>
            <w:r>
              <w:rPr>
                <w:rFonts w:ascii="宋体" w:hAnsi="宋体" w:eastAsia="宋体" w:cs="宋体"/>
              </w:rPr>
              <w:t>1.定期对服务器已有的病毒防护软件、病毒库进行升级、更新，保持病毒防护系统、病毒库版本为最新状态，并进行病毒检测，根据检测结果进行杀毒处理（病毒防护软件由业主提供，升级所需授权由业主购买）。</w:t>
            </w:r>
          </w:p>
          <w:p w14:paraId="0271ECAE">
            <w:pPr>
              <w:spacing w:line="360" w:lineRule="auto"/>
              <w:ind w:firstLine="420" w:firstLineChars="200"/>
              <w:rPr>
                <w:rFonts w:hint="eastAsia" w:ascii="宋体" w:hAnsi="宋体" w:eastAsia="宋体" w:cs="宋体"/>
              </w:rPr>
            </w:pPr>
            <w:r>
              <w:rPr>
                <w:rFonts w:ascii="宋体" w:hAnsi="宋体" w:eastAsia="宋体" w:cs="宋体"/>
              </w:rPr>
              <w:t>2.根据安全漏洞检测结果，对服务器操作系统进行安全漏洞修复。</w:t>
            </w:r>
          </w:p>
          <w:p w14:paraId="67917439">
            <w:pPr>
              <w:spacing w:line="360" w:lineRule="auto"/>
              <w:ind w:firstLine="420" w:firstLineChars="200"/>
              <w:rPr>
                <w:rFonts w:hint="eastAsia" w:ascii="宋体" w:hAnsi="宋体" w:eastAsia="宋体" w:cs="宋体"/>
              </w:rPr>
            </w:pPr>
            <w:r>
              <w:rPr>
                <w:rFonts w:hint="eastAsia" w:ascii="宋体" w:hAnsi="宋体" w:eastAsia="宋体" w:cs="宋体"/>
              </w:rPr>
              <w:t>（四）运维方式</w:t>
            </w:r>
          </w:p>
          <w:p w14:paraId="5224A492">
            <w:pPr>
              <w:spacing w:line="360" w:lineRule="auto"/>
              <w:ind w:firstLine="420" w:firstLineChars="200"/>
              <w:rPr>
                <w:rFonts w:hint="eastAsia" w:ascii="宋体" w:hAnsi="宋体" w:eastAsia="宋体" w:cs="宋体"/>
              </w:rPr>
            </w:pPr>
            <w:r>
              <w:rPr>
                <w:rFonts w:ascii="宋体" w:hAnsi="宋体" w:eastAsia="宋体" w:cs="宋体"/>
              </w:rPr>
              <w:t>1.远程维护：系统发生故障时，通过电话、即时通讯工具或远程访问等方式进行系统故障的处理、技术支持、咨询服务等工作。</w:t>
            </w:r>
          </w:p>
          <w:p w14:paraId="62CA5B2A">
            <w:pPr>
              <w:spacing w:line="360" w:lineRule="auto"/>
              <w:ind w:firstLine="420" w:firstLineChars="200"/>
              <w:rPr>
                <w:rFonts w:hint="eastAsia" w:ascii="宋体" w:hAnsi="宋体" w:eastAsia="宋体" w:cs="宋体"/>
              </w:rPr>
            </w:pPr>
            <w:r>
              <w:rPr>
                <w:rFonts w:ascii="宋体" w:hAnsi="宋体" w:eastAsia="宋体" w:cs="宋体"/>
              </w:rPr>
              <w:t>2.现场技术服务：即系统软件出现重大故障导致系统业务中止时，供应商收到通知后应立即指派技术人员到达现场对故障进行处理和排除。</w:t>
            </w:r>
          </w:p>
          <w:p w14:paraId="08184A34">
            <w:pPr>
              <w:spacing w:line="360" w:lineRule="auto"/>
              <w:ind w:firstLine="420" w:firstLineChars="200"/>
              <w:rPr>
                <w:rFonts w:hint="eastAsia" w:ascii="宋体" w:hAnsi="宋体" w:eastAsia="宋体" w:cs="宋体"/>
              </w:rPr>
            </w:pPr>
            <w:r>
              <w:rPr>
                <w:rFonts w:hint="eastAsia" w:ascii="宋体" w:hAnsi="宋体" w:eastAsia="宋体" w:cs="宋体"/>
              </w:rPr>
              <w:t>（五）服务要求</w:t>
            </w:r>
          </w:p>
          <w:p w14:paraId="26E36E9B">
            <w:pPr>
              <w:spacing w:line="360" w:lineRule="auto"/>
              <w:ind w:firstLine="420" w:firstLineChars="200"/>
              <w:rPr>
                <w:rFonts w:hint="eastAsia" w:ascii="宋体" w:hAnsi="宋体" w:eastAsia="宋体" w:cs="宋体"/>
              </w:rPr>
            </w:pPr>
            <w:r>
              <w:rPr>
                <w:rFonts w:hint="eastAsia" w:ascii="宋体" w:hAnsi="宋体" w:eastAsia="宋体" w:cs="宋体"/>
              </w:rPr>
              <w:t>提供</w:t>
            </w:r>
            <w:r>
              <w:rPr>
                <w:rFonts w:ascii="宋体" w:hAnsi="宋体" w:eastAsia="宋体" w:cs="宋体"/>
              </w:rPr>
              <w:t>7*24小时</w:t>
            </w:r>
            <w:r>
              <w:rPr>
                <w:rFonts w:hint="eastAsia" w:ascii="宋体" w:hAnsi="宋体" w:eastAsia="宋体" w:cs="宋体"/>
              </w:rPr>
              <w:t>技术支持服务和咨询服务</w:t>
            </w:r>
            <w:r>
              <w:rPr>
                <w:rFonts w:ascii="宋体" w:hAnsi="宋体" w:eastAsia="宋体" w:cs="宋体"/>
              </w:rPr>
              <w:t>。</w:t>
            </w:r>
          </w:p>
          <w:p w14:paraId="7E16EF3F">
            <w:pPr>
              <w:spacing w:line="360" w:lineRule="auto"/>
              <w:ind w:firstLine="422" w:firstLineChars="200"/>
              <w:rPr>
                <w:rFonts w:hint="eastAsia" w:ascii="宋体" w:hAnsi="宋体" w:eastAsia="宋体" w:cs="宋体"/>
              </w:rPr>
            </w:pPr>
            <w:r>
              <w:rPr>
                <w:rFonts w:hint="eastAsia" w:ascii="宋体" w:hAnsi="宋体" w:eastAsia="宋体" w:cs="宋体"/>
                <w:b/>
              </w:rPr>
              <w:t>十四、航道信息管理系统维护</w:t>
            </w:r>
          </w:p>
          <w:p w14:paraId="50E533E7">
            <w:pPr>
              <w:spacing w:line="360" w:lineRule="auto"/>
              <w:ind w:firstLine="420" w:firstLineChars="200"/>
              <w:rPr>
                <w:rFonts w:hint="eastAsia" w:ascii="宋体" w:hAnsi="宋体" w:eastAsia="宋体" w:cs="宋体"/>
              </w:rPr>
            </w:pPr>
            <w:r>
              <w:rPr>
                <w:rFonts w:hint="eastAsia" w:ascii="宋体" w:hAnsi="宋体" w:eastAsia="宋体" w:cs="宋体"/>
              </w:rPr>
              <w:t>（一）软件维护</w:t>
            </w:r>
          </w:p>
          <w:p w14:paraId="0405140A">
            <w:pPr>
              <w:spacing w:line="360" w:lineRule="auto"/>
              <w:ind w:firstLine="420" w:firstLineChars="200"/>
              <w:rPr>
                <w:rFonts w:hint="eastAsia" w:ascii="宋体" w:hAnsi="宋体" w:eastAsia="宋体" w:cs="宋体"/>
              </w:rPr>
            </w:pPr>
            <w:r>
              <w:rPr>
                <w:rFonts w:ascii="宋体" w:hAnsi="宋体" w:eastAsia="宋体" w:cs="宋体"/>
              </w:rPr>
              <w:t>1.对终端通讯平台和系统使用进行操作指导。</w:t>
            </w:r>
          </w:p>
          <w:p w14:paraId="51DE856B">
            <w:pPr>
              <w:spacing w:line="360" w:lineRule="auto"/>
              <w:ind w:firstLine="420" w:firstLineChars="200"/>
              <w:rPr>
                <w:rFonts w:hint="eastAsia" w:ascii="宋体" w:hAnsi="宋体" w:eastAsia="宋体" w:cs="宋体"/>
              </w:rPr>
            </w:pPr>
            <w:r>
              <w:rPr>
                <w:rFonts w:ascii="宋体" w:hAnsi="宋体" w:eastAsia="宋体" w:cs="宋体"/>
              </w:rPr>
              <w:t>2.及时响应并配合采购方对系统漏洞及弱口令等安全隐患进行修复，对突发故障的诊断、排除、修复，并在故障处理后及时提交处理报告。因系统缺陷导致的各种漏洞的修复。</w:t>
            </w:r>
          </w:p>
          <w:p w14:paraId="60B14624">
            <w:pPr>
              <w:spacing w:line="360" w:lineRule="auto"/>
              <w:ind w:firstLine="420" w:firstLineChars="200"/>
              <w:rPr>
                <w:rFonts w:hint="eastAsia" w:ascii="宋体" w:hAnsi="宋体" w:eastAsia="宋体" w:cs="宋体"/>
              </w:rPr>
            </w:pPr>
            <w:r>
              <w:rPr>
                <w:rFonts w:ascii="宋体" w:hAnsi="宋体" w:eastAsia="宋体" w:cs="宋体"/>
              </w:rPr>
              <w:t>3.对终端通讯平台、电子航道图、视频监控、航标、水位等日常运行状态监控。</w:t>
            </w:r>
          </w:p>
          <w:p w14:paraId="0BDCBEFA">
            <w:pPr>
              <w:spacing w:line="360" w:lineRule="auto"/>
              <w:ind w:firstLine="420" w:firstLineChars="200"/>
              <w:rPr>
                <w:rFonts w:hint="eastAsia" w:ascii="宋体" w:hAnsi="宋体" w:eastAsia="宋体" w:cs="宋体"/>
              </w:rPr>
            </w:pPr>
            <w:r>
              <w:rPr>
                <w:rFonts w:ascii="宋体" w:hAnsi="宋体" w:eastAsia="宋体" w:cs="宋体"/>
              </w:rPr>
              <w:t>4.对各类问题进行排查和分类，包括用户账户问题、权限问题、异常数据等，然后进行必要的处理。</w:t>
            </w:r>
          </w:p>
          <w:p w14:paraId="2E9745E0">
            <w:pPr>
              <w:spacing w:line="360" w:lineRule="auto"/>
              <w:ind w:firstLine="420" w:firstLineChars="200"/>
              <w:rPr>
                <w:rFonts w:hint="eastAsia" w:ascii="宋体" w:hAnsi="宋体" w:eastAsia="宋体" w:cs="宋体"/>
              </w:rPr>
            </w:pPr>
            <w:r>
              <w:rPr>
                <w:rFonts w:ascii="宋体" w:hAnsi="宋体" w:eastAsia="宋体" w:cs="宋体"/>
              </w:rPr>
              <w:t>5.</w:t>
            </w:r>
            <w:r>
              <w:rPr>
                <w:rFonts w:hint="eastAsia" w:ascii="宋体" w:hAnsi="宋体" w:eastAsia="宋体" w:cs="宋体"/>
              </w:rPr>
              <w:t>保障采购方的信创电脑客户端能够正常使用系统。</w:t>
            </w:r>
          </w:p>
          <w:p w14:paraId="7C608008">
            <w:pPr>
              <w:spacing w:line="360" w:lineRule="auto"/>
              <w:ind w:firstLine="420" w:firstLineChars="200"/>
              <w:rPr>
                <w:rFonts w:hint="eastAsia" w:ascii="宋体" w:hAnsi="宋体" w:eastAsia="宋体" w:cs="宋体"/>
              </w:rPr>
            </w:pPr>
            <w:r>
              <w:rPr>
                <w:rFonts w:ascii="宋体" w:hAnsi="宋体" w:eastAsia="宋体" w:cs="宋体"/>
              </w:rPr>
              <w:t>6.采购方对系统提出的修改建议，至少每月更新一次，对影响系统使用的故障，修复时长不超过24小时。</w:t>
            </w:r>
          </w:p>
          <w:p w14:paraId="1D1CB50F">
            <w:pPr>
              <w:spacing w:line="360" w:lineRule="auto"/>
              <w:ind w:firstLine="420" w:firstLineChars="200"/>
              <w:rPr>
                <w:rFonts w:hint="eastAsia" w:ascii="宋体" w:hAnsi="宋体" w:eastAsia="宋体" w:cs="宋体"/>
              </w:rPr>
            </w:pPr>
            <w:r>
              <w:rPr>
                <w:rFonts w:hint="eastAsia" w:ascii="宋体" w:hAnsi="宋体" w:eastAsia="宋体" w:cs="宋体"/>
              </w:rPr>
              <w:t>（二）数据维护</w:t>
            </w:r>
          </w:p>
          <w:p w14:paraId="715AC78E">
            <w:pPr>
              <w:spacing w:line="360" w:lineRule="auto"/>
              <w:ind w:firstLine="420" w:firstLineChars="200"/>
              <w:rPr>
                <w:rFonts w:hint="eastAsia" w:ascii="宋体" w:hAnsi="宋体" w:eastAsia="宋体" w:cs="宋体"/>
              </w:rPr>
            </w:pPr>
            <w:r>
              <w:rPr>
                <w:rFonts w:ascii="宋体" w:hAnsi="宋体" w:eastAsia="宋体" w:cs="宋体"/>
              </w:rPr>
              <w:t>1.每周一次在后台对系统数据进行滚动备份。</w:t>
            </w:r>
          </w:p>
          <w:p w14:paraId="42A67AE3">
            <w:pPr>
              <w:spacing w:line="360" w:lineRule="auto"/>
              <w:ind w:firstLine="420" w:firstLineChars="200"/>
              <w:rPr>
                <w:rFonts w:hint="eastAsia" w:ascii="宋体" w:hAnsi="宋体" w:eastAsia="宋体" w:cs="宋体"/>
              </w:rPr>
            </w:pPr>
            <w:r>
              <w:rPr>
                <w:rFonts w:ascii="宋体" w:hAnsi="宋体" w:eastAsia="宋体" w:cs="宋体"/>
              </w:rPr>
              <w:t>2.在情况允许的条件下，因甲方操作失误导致的数据错误修复。</w:t>
            </w:r>
          </w:p>
          <w:p w14:paraId="07C52A50">
            <w:pPr>
              <w:spacing w:line="360" w:lineRule="auto"/>
              <w:ind w:firstLine="420" w:firstLineChars="200"/>
              <w:rPr>
                <w:rFonts w:hint="eastAsia" w:ascii="宋体" w:hAnsi="宋体" w:eastAsia="宋体" w:cs="宋体"/>
              </w:rPr>
            </w:pPr>
            <w:r>
              <w:rPr>
                <w:rFonts w:ascii="宋体" w:hAnsi="宋体" w:eastAsia="宋体" w:cs="宋体"/>
              </w:rPr>
              <w:t>3.按季度对系统数据运行支撑条件进行巡检，巡检具体内容包括系统服务器负荷情况、系统内部数据整理情况，检查数据库运行状态、数据备份状态、存储管理，记录系统故障情况、系统优化情况、存在问题解决情况报告，巡检后提交1次巡检记录（含异常情况处理记录）。</w:t>
            </w:r>
          </w:p>
          <w:p w14:paraId="31F4FC5B">
            <w:pPr>
              <w:spacing w:line="360" w:lineRule="auto"/>
              <w:ind w:firstLine="420" w:firstLineChars="200"/>
              <w:rPr>
                <w:rFonts w:hint="eastAsia" w:ascii="宋体" w:hAnsi="宋体" w:eastAsia="宋体" w:cs="宋体"/>
              </w:rPr>
            </w:pPr>
            <w:r>
              <w:rPr>
                <w:rFonts w:hint="eastAsia" w:ascii="宋体" w:hAnsi="宋体" w:eastAsia="宋体" w:cs="宋体"/>
              </w:rPr>
              <w:t>（三）服务器运行维护</w:t>
            </w:r>
          </w:p>
          <w:p w14:paraId="1E81F8DE">
            <w:pPr>
              <w:spacing w:line="360" w:lineRule="auto"/>
              <w:ind w:firstLine="420" w:firstLineChars="200"/>
              <w:rPr>
                <w:rFonts w:hint="eastAsia" w:ascii="宋体" w:hAnsi="宋体" w:eastAsia="宋体" w:cs="宋体"/>
              </w:rPr>
            </w:pPr>
            <w:r>
              <w:rPr>
                <w:rFonts w:ascii="宋体" w:hAnsi="宋体" w:eastAsia="宋体" w:cs="宋体"/>
              </w:rPr>
              <w:t>1.定期对服务器已有的病毒防护软件、病毒库进行升级、更新，保持病毒防护系统、病毒库版本为最新状态，并进行病毒检测，根据检测结果进行杀毒处理（病毒防护软件由业主提供，升级所需授权由业主购买）。</w:t>
            </w:r>
          </w:p>
          <w:p w14:paraId="7B350CE6">
            <w:pPr>
              <w:spacing w:line="360" w:lineRule="auto"/>
              <w:ind w:firstLine="420" w:firstLineChars="200"/>
              <w:rPr>
                <w:rFonts w:hint="eastAsia" w:ascii="宋体" w:hAnsi="宋体" w:eastAsia="宋体" w:cs="宋体"/>
              </w:rPr>
            </w:pPr>
            <w:r>
              <w:rPr>
                <w:rFonts w:ascii="宋体" w:hAnsi="宋体" w:eastAsia="宋体" w:cs="宋体"/>
              </w:rPr>
              <w:t>2.根据安全漏洞检测结果，对服务器操作系统进行安全漏洞修复。</w:t>
            </w:r>
          </w:p>
          <w:p w14:paraId="3D3CD2DC">
            <w:pPr>
              <w:spacing w:line="360" w:lineRule="auto"/>
              <w:ind w:firstLine="420" w:firstLineChars="200"/>
              <w:rPr>
                <w:rFonts w:hint="eastAsia" w:ascii="宋体" w:hAnsi="宋体" w:eastAsia="宋体" w:cs="宋体"/>
              </w:rPr>
            </w:pPr>
            <w:r>
              <w:rPr>
                <w:rFonts w:hint="eastAsia" w:ascii="宋体" w:hAnsi="宋体" w:eastAsia="宋体" w:cs="宋体"/>
              </w:rPr>
              <w:t>（四）运维方式</w:t>
            </w:r>
          </w:p>
          <w:p w14:paraId="61720CC6">
            <w:pPr>
              <w:spacing w:line="360" w:lineRule="auto"/>
              <w:ind w:firstLine="420" w:firstLineChars="200"/>
              <w:rPr>
                <w:rFonts w:hint="eastAsia" w:ascii="宋体" w:hAnsi="宋体" w:eastAsia="宋体" w:cs="宋体"/>
              </w:rPr>
            </w:pPr>
            <w:r>
              <w:rPr>
                <w:rFonts w:hint="eastAsia" w:ascii="宋体" w:hAnsi="宋体" w:eastAsia="宋体" w:cs="宋体"/>
              </w:rPr>
              <w:t>远程维护：系统发生故障时，通过电话、即时通讯工具或远程访问等方式进行系统故障的处理、技术支持、咨询服务等工作。</w:t>
            </w:r>
          </w:p>
          <w:p w14:paraId="6F60F360">
            <w:pPr>
              <w:spacing w:line="360" w:lineRule="auto"/>
              <w:ind w:firstLine="420" w:firstLineChars="200"/>
              <w:rPr>
                <w:rFonts w:hint="eastAsia" w:ascii="宋体" w:hAnsi="宋体" w:eastAsia="宋体" w:cs="宋体"/>
              </w:rPr>
            </w:pPr>
            <w:r>
              <w:rPr>
                <w:rFonts w:hint="eastAsia" w:ascii="宋体" w:hAnsi="宋体" w:eastAsia="宋体" w:cs="宋体"/>
              </w:rPr>
              <w:t>（五）服务要求</w:t>
            </w:r>
          </w:p>
          <w:p w14:paraId="756595D8">
            <w:pPr>
              <w:spacing w:line="360" w:lineRule="auto"/>
              <w:ind w:firstLine="420" w:firstLineChars="200"/>
              <w:rPr>
                <w:rFonts w:hint="eastAsia" w:ascii="宋体" w:hAnsi="宋体" w:eastAsia="宋体" w:cs="宋体"/>
              </w:rPr>
            </w:pPr>
            <w:r>
              <w:rPr>
                <w:rFonts w:hint="eastAsia" w:ascii="宋体" w:hAnsi="宋体" w:eastAsia="宋体" w:cs="宋体"/>
              </w:rPr>
              <w:t>提供</w:t>
            </w:r>
            <w:r>
              <w:rPr>
                <w:rFonts w:ascii="宋体" w:hAnsi="宋体" w:eastAsia="宋体" w:cs="宋体"/>
              </w:rPr>
              <w:t>7*24小时</w:t>
            </w:r>
            <w:r>
              <w:rPr>
                <w:rFonts w:hint="eastAsia" w:ascii="宋体" w:hAnsi="宋体" w:eastAsia="宋体" w:cs="宋体"/>
              </w:rPr>
              <w:t>技术支持服务和咨询服务</w:t>
            </w:r>
            <w:r>
              <w:rPr>
                <w:rFonts w:ascii="宋体" w:hAnsi="宋体" w:eastAsia="宋体" w:cs="宋体"/>
              </w:rPr>
              <w:t>。</w:t>
            </w:r>
          </w:p>
          <w:p w14:paraId="553275EE">
            <w:pPr>
              <w:spacing w:line="360" w:lineRule="auto"/>
              <w:ind w:firstLine="422" w:firstLineChars="200"/>
              <w:rPr>
                <w:rFonts w:hint="eastAsia" w:ascii="宋体" w:hAnsi="宋体" w:eastAsia="宋体" w:cs="宋体"/>
              </w:rPr>
            </w:pPr>
            <w:r>
              <w:rPr>
                <w:rFonts w:hint="eastAsia" w:ascii="宋体" w:hAnsi="宋体" w:eastAsia="宋体" w:cs="宋体"/>
                <w:b/>
              </w:rPr>
              <w:t>十五、数字档案系统维护</w:t>
            </w:r>
          </w:p>
          <w:p w14:paraId="0BE30C0C">
            <w:pPr>
              <w:spacing w:line="360" w:lineRule="auto"/>
              <w:ind w:firstLine="420" w:firstLineChars="200"/>
              <w:rPr>
                <w:rFonts w:hint="eastAsia" w:ascii="宋体" w:hAnsi="宋体" w:eastAsia="宋体" w:cs="宋体"/>
              </w:rPr>
            </w:pPr>
            <w:r>
              <w:rPr>
                <w:rFonts w:hint="eastAsia" w:ascii="宋体" w:hAnsi="宋体" w:eastAsia="宋体" w:cs="宋体"/>
              </w:rPr>
              <w:t>（一）软件维护</w:t>
            </w:r>
          </w:p>
          <w:p w14:paraId="2051E102">
            <w:pPr>
              <w:spacing w:line="360" w:lineRule="auto"/>
              <w:ind w:firstLine="420" w:firstLineChars="200"/>
              <w:rPr>
                <w:rFonts w:hint="eastAsia" w:ascii="宋体" w:hAnsi="宋体" w:eastAsia="宋体" w:cs="宋体"/>
              </w:rPr>
            </w:pPr>
            <w:r>
              <w:rPr>
                <w:rFonts w:ascii="宋体" w:hAnsi="宋体" w:eastAsia="宋体" w:cs="宋体"/>
              </w:rPr>
              <w:t>1.系统使用操作指导。</w:t>
            </w:r>
          </w:p>
          <w:p w14:paraId="0031C97F">
            <w:pPr>
              <w:spacing w:line="360" w:lineRule="auto"/>
              <w:ind w:firstLine="420" w:firstLineChars="200"/>
              <w:rPr>
                <w:rFonts w:hint="eastAsia" w:ascii="宋体" w:hAnsi="宋体" w:eastAsia="宋体" w:cs="宋体"/>
              </w:rPr>
            </w:pPr>
            <w:r>
              <w:rPr>
                <w:rFonts w:ascii="宋体" w:hAnsi="宋体" w:eastAsia="宋体" w:cs="宋体"/>
              </w:rPr>
              <w:t>2.及时响应并配合采购方对系统所在服务器及系统漏洞及弱口令等安全隐患进行修复，对突发故障的诊断、排除、修复，并在故障处理后及时提交处理报告。因系统缺陷导致的各种漏洞的修复。</w:t>
            </w:r>
          </w:p>
          <w:p w14:paraId="110BB05B">
            <w:pPr>
              <w:spacing w:line="360" w:lineRule="auto"/>
              <w:ind w:firstLine="420" w:firstLineChars="200"/>
              <w:rPr>
                <w:rFonts w:hint="eastAsia" w:ascii="宋体" w:hAnsi="宋体" w:eastAsia="宋体" w:cs="宋体"/>
              </w:rPr>
            </w:pPr>
            <w:r>
              <w:rPr>
                <w:rFonts w:ascii="宋体" w:hAnsi="宋体" w:eastAsia="宋体" w:cs="宋体"/>
              </w:rPr>
              <w:t>3.日常运行状态监控。每月进行系统运行巡检，巡检软件主要功能是否正常，系统服务器负荷情况、系统内部数据状态，数据库运行状态、数据备份状态、存储空间是否正常。每月巡检后提交1次巡检记录（含异常情况处理记录）。</w:t>
            </w:r>
          </w:p>
          <w:p w14:paraId="087954C7">
            <w:pPr>
              <w:spacing w:line="360" w:lineRule="auto"/>
              <w:ind w:firstLine="420" w:firstLineChars="200"/>
              <w:rPr>
                <w:rFonts w:hint="eastAsia" w:ascii="宋体" w:hAnsi="宋体" w:eastAsia="宋体" w:cs="宋体"/>
              </w:rPr>
            </w:pPr>
            <w:r>
              <w:rPr>
                <w:rFonts w:ascii="宋体" w:hAnsi="宋体" w:eastAsia="宋体" w:cs="宋体"/>
              </w:rPr>
              <w:t>4. 采购方对系统提出的修改建议，至少每月更新一次，对影响系统使用的故障，修复时长不超过24小时。</w:t>
            </w:r>
          </w:p>
          <w:p w14:paraId="31B5FD3D">
            <w:pPr>
              <w:spacing w:line="360" w:lineRule="auto"/>
              <w:ind w:firstLine="420" w:firstLineChars="200"/>
              <w:rPr>
                <w:rFonts w:hint="eastAsia" w:ascii="宋体" w:hAnsi="宋体" w:eastAsia="宋体" w:cs="宋体"/>
              </w:rPr>
            </w:pPr>
            <w:r>
              <w:rPr>
                <w:rFonts w:ascii="宋体" w:hAnsi="宋体" w:eastAsia="宋体" w:cs="宋体"/>
              </w:rPr>
              <w:t>4.严格遵循采购人信息安全管理制度体系要求，与采购方签订保密协议。</w:t>
            </w:r>
          </w:p>
          <w:p w14:paraId="2DC0D9DF">
            <w:pPr>
              <w:spacing w:line="360" w:lineRule="auto"/>
              <w:ind w:firstLine="420" w:firstLineChars="200"/>
              <w:rPr>
                <w:rFonts w:hint="eastAsia" w:ascii="宋体" w:hAnsi="宋体" w:eastAsia="宋体" w:cs="宋体"/>
              </w:rPr>
            </w:pPr>
            <w:r>
              <w:rPr>
                <w:rFonts w:hint="eastAsia" w:ascii="宋体" w:hAnsi="宋体" w:eastAsia="宋体" w:cs="宋体"/>
              </w:rPr>
              <w:t>（二）数据维护</w:t>
            </w:r>
          </w:p>
          <w:p w14:paraId="5A72FB5B">
            <w:pPr>
              <w:spacing w:line="360" w:lineRule="auto"/>
              <w:ind w:firstLine="420" w:firstLineChars="200"/>
              <w:rPr>
                <w:rFonts w:hint="eastAsia" w:ascii="宋体" w:hAnsi="宋体" w:eastAsia="宋体" w:cs="宋体"/>
              </w:rPr>
            </w:pPr>
            <w:r>
              <w:rPr>
                <w:rFonts w:ascii="宋体" w:hAnsi="宋体" w:eastAsia="宋体" w:cs="宋体"/>
              </w:rPr>
              <w:t>1.</w:t>
            </w:r>
            <w:r>
              <w:rPr>
                <w:rFonts w:hint="eastAsia" w:ascii="宋体" w:hAnsi="宋体" w:eastAsia="宋体" w:cs="宋体"/>
              </w:rPr>
              <w:t>每周一次在后台对系统数据库数据进行简单数据的滚动备份</w:t>
            </w:r>
            <w:r>
              <w:rPr>
                <w:rFonts w:ascii="宋体" w:hAnsi="宋体" w:eastAsia="宋体" w:cs="宋体"/>
              </w:rPr>
              <w:t>。</w:t>
            </w:r>
          </w:p>
          <w:p w14:paraId="0821A682">
            <w:pPr>
              <w:spacing w:line="360" w:lineRule="auto"/>
              <w:ind w:firstLine="420" w:firstLineChars="200"/>
              <w:rPr>
                <w:rFonts w:hint="eastAsia" w:ascii="宋体" w:hAnsi="宋体" w:eastAsia="宋体" w:cs="宋体"/>
              </w:rPr>
            </w:pPr>
            <w:r>
              <w:rPr>
                <w:rFonts w:ascii="宋体" w:hAnsi="宋体" w:eastAsia="宋体" w:cs="宋体"/>
              </w:rPr>
              <w:t>2.因操作失误导致的数据错误修复。</w:t>
            </w:r>
          </w:p>
          <w:p w14:paraId="0DFD718B">
            <w:pPr>
              <w:spacing w:line="360" w:lineRule="auto"/>
              <w:ind w:firstLine="420" w:firstLineChars="200"/>
              <w:rPr>
                <w:rFonts w:hint="eastAsia" w:ascii="宋体" w:hAnsi="宋体" w:eastAsia="宋体" w:cs="宋体"/>
              </w:rPr>
            </w:pPr>
            <w:r>
              <w:rPr>
                <w:rFonts w:ascii="宋体" w:hAnsi="宋体" w:eastAsia="宋体" w:cs="宋体"/>
              </w:rPr>
              <w:t>3.解决系统数据库表和数据出现的各类问题。</w:t>
            </w:r>
          </w:p>
          <w:p w14:paraId="4EF98A55">
            <w:pPr>
              <w:spacing w:line="360" w:lineRule="auto"/>
              <w:ind w:firstLine="420" w:firstLineChars="200"/>
              <w:rPr>
                <w:rFonts w:hint="eastAsia" w:ascii="宋体" w:hAnsi="宋体" w:eastAsia="宋体" w:cs="宋体"/>
              </w:rPr>
            </w:pPr>
            <w:r>
              <w:rPr>
                <w:rFonts w:hint="eastAsia" w:ascii="宋体" w:hAnsi="宋体" w:eastAsia="宋体" w:cs="宋体"/>
              </w:rPr>
              <w:t>（三）服务器运行维护</w:t>
            </w:r>
          </w:p>
          <w:p w14:paraId="563CB87E">
            <w:pPr>
              <w:spacing w:line="360" w:lineRule="auto"/>
              <w:ind w:firstLine="420" w:firstLineChars="200"/>
              <w:rPr>
                <w:rFonts w:hint="eastAsia" w:ascii="宋体" w:hAnsi="宋体" w:eastAsia="宋体" w:cs="宋体"/>
              </w:rPr>
            </w:pPr>
            <w:r>
              <w:rPr>
                <w:rFonts w:ascii="宋体" w:hAnsi="宋体" w:eastAsia="宋体" w:cs="宋体"/>
              </w:rPr>
              <w:t>1.定期对服务器已有的病毒防护软件、病毒库进行升级、更新，保持病毒防护系统、病毒库版本为最新状态，并进行病毒检测，根据检测结果进行杀毒处理（病毒防护软件由业主提供，升级所需授权由业主购买）。</w:t>
            </w:r>
          </w:p>
          <w:p w14:paraId="727E9CE7">
            <w:pPr>
              <w:spacing w:line="360" w:lineRule="auto"/>
              <w:ind w:firstLine="420" w:firstLineChars="200"/>
              <w:rPr>
                <w:rFonts w:hint="eastAsia" w:ascii="宋体" w:hAnsi="宋体" w:eastAsia="宋体" w:cs="宋体"/>
              </w:rPr>
            </w:pPr>
            <w:r>
              <w:rPr>
                <w:rFonts w:ascii="宋体" w:hAnsi="宋体" w:eastAsia="宋体" w:cs="宋体"/>
              </w:rPr>
              <w:t>2.根据安全漏洞检测结果，对服务器操作系统进行安全漏洞修复。</w:t>
            </w:r>
          </w:p>
          <w:p w14:paraId="7E562FAB">
            <w:pPr>
              <w:spacing w:line="360" w:lineRule="auto"/>
              <w:ind w:firstLine="420" w:firstLineChars="200"/>
              <w:rPr>
                <w:rFonts w:hint="eastAsia" w:ascii="宋体" w:hAnsi="宋体" w:eastAsia="宋体" w:cs="宋体"/>
              </w:rPr>
            </w:pPr>
            <w:r>
              <w:rPr>
                <w:rFonts w:hint="eastAsia" w:ascii="宋体" w:hAnsi="宋体" w:eastAsia="宋体" w:cs="宋体"/>
              </w:rPr>
              <w:t>（四）运维方式</w:t>
            </w:r>
          </w:p>
          <w:p w14:paraId="4B6FA6BC">
            <w:pPr>
              <w:spacing w:line="360" w:lineRule="auto"/>
              <w:ind w:firstLine="420" w:firstLineChars="200"/>
              <w:rPr>
                <w:rFonts w:hint="eastAsia" w:ascii="宋体" w:hAnsi="宋体" w:eastAsia="宋体" w:cs="宋体"/>
              </w:rPr>
            </w:pPr>
            <w:r>
              <w:rPr>
                <w:rFonts w:ascii="宋体" w:hAnsi="宋体" w:eastAsia="宋体" w:cs="宋体"/>
              </w:rPr>
              <w:t>1.远程维护：系统发生故障时，通过电话、即时通讯工具或远程访问等方式进行系统故障的处理、技术支持、咨询服务等工作。</w:t>
            </w:r>
          </w:p>
          <w:p w14:paraId="155C5EA1">
            <w:pPr>
              <w:spacing w:line="360" w:lineRule="auto"/>
              <w:ind w:firstLine="420" w:firstLineChars="200"/>
              <w:rPr>
                <w:rFonts w:hint="eastAsia" w:ascii="宋体" w:hAnsi="宋体" w:eastAsia="宋体" w:cs="宋体"/>
              </w:rPr>
            </w:pPr>
            <w:r>
              <w:rPr>
                <w:rFonts w:ascii="宋体" w:hAnsi="宋体" w:eastAsia="宋体" w:cs="宋体"/>
              </w:rPr>
              <w:t>2.现场技术服务：即系统软件出现重大故障导致系统业务中止时，供应商收到通知后应立即指派技术人员到达现场对故障进行处理和排除。</w:t>
            </w:r>
          </w:p>
          <w:p w14:paraId="13A70249">
            <w:pPr>
              <w:spacing w:line="360" w:lineRule="auto"/>
              <w:ind w:firstLine="420" w:firstLineChars="200"/>
              <w:rPr>
                <w:rFonts w:hint="eastAsia" w:ascii="宋体" w:hAnsi="宋体" w:eastAsia="宋体" w:cs="宋体"/>
              </w:rPr>
            </w:pPr>
            <w:r>
              <w:rPr>
                <w:rFonts w:hint="eastAsia" w:ascii="宋体" w:hAnsi="宋体" w:eastAsia="宋体" w:cs="宋体"/>
              </w:rPr>
              <w:t>（五）服务要求</w:t>
            </w:r>
          </w:p>
          <w:p w14:paraId="090F5C0D">
            <w:pPr>
              <w:spacing w:line="360" w:lineRule="auto"/>
              <w:ind w:firstLine="420" w:firstLineChars="200"/>
              <w:rPr>
                <w:rFonts w:hint="eastAsia" w:ascii="宋体" w:hAnsi="宋体" w:eastAsia="宋体" w:cs="宋体"/>
              </w:rPr>
            </w:pPr>
            <w:r>
              <w:rPr>
                <w:rFonts w:hint="eastAsia" w:ascii="宋体" w:hAnsi="宋体" w:eastAsia="宋体" w:cs="宋体"/>
              </w:rPr>
              <w:t>提供</w:t>
            </w:r>
            <w:r>
              <w:rPr>
                <w:rFonts w:ascii="宋体" w:hAnsi="宋体" w:eastAsia="宋体" w:cs="宋体"/>
              </w:rPr>
              <w:t>7*24小时</w:t>
            </w:r>
            <w:r>
              <w:rPr>
                <w:rFonts w:hint="eastAsia" w:ascii="宋体" w:hAnsi="宋体" w:eastAsia="宋体" w:cs="宋体"/>
              </w:rPr>
              <w:t>技术支持服务和咨询服务</w:t>
            </w:r>
            <w:r>
              <w:rPr>
                <w:rFonts w:ascii="宋体" w:hAnsi="宋体" w:eastAsia="宋体" w:cs="宋体"/>
              </w:rPr>
              <w:t>。</w:t>
            </w:r>
          </w:p>
        </w:tc>
      </w:tr>
      <w:tr w14:paraId="1C562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5" w:type="dxa"/>
          <w:jc w:val="center"/>
        </w:trPr>
        <w:tc>
          <w:tcPr>
            <w:tcW w:w="9747" w:type="dxa"/>
            <w:gridSpan w:val="6"/>
            <w:tcMar>
              <w:top w:w="13" w:type="dxa"/>
              <w:left w:w="57" w:type="dxa"/>
              <w:bottom w:w="0" w:type="dxa"/>
              <w:right w:w="57" w:type="dxa"/>
            </w:tcMar>
            <w:vAlign w:val="center"/>
          </w:tcPr>
          <w:p w14:paraId="3464DBEF">
            <w:pPr>
              <w:spacing w:line="360" w:lineRule="auto"/>
              <w:rPr>
                <w:rFonts w:hint="eastAsia" w:ascii="宋体" w:hAnsi="宋体" w:eastAsia="宋体" w:cs="宋体"/>
                <w:kern w:val="0"/>
                <w:szCs w:val="21"/>
              </w:rPr>
            </w:pPr>
            <w:r>
              <w:rPr>
                <w:rFonts w:hint="eastAsia" w:ascii="宋体" w:hAnsi="宋体" w:eastAsia="宋体" w:cs="宋体"/>
                <w:b/>
              </w:rPr>
              <w:t>▲</w:t>
            </w:r>
            <w:r>
              <w:rPr>
                <w:rFonts w:hint="eastAsia" w:ascii="宋体" w:hAnsi="宋体" w:eastAsia="宋体" w:cs="宋体"/>
                <w:b/>
                <w:szCs w:val="21"/>
              </w:rPr>
              <w:t>二、商务条款要求</w:t>
            </w:r>
          </w:p>
        </w:tc>
      </w:tr>
      <w:tr w14:paraId="0D1D045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08"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2FBBC54A">
            <w:pPr>
              <w:wordWrap w:val="0"/>
              <w:spacing w:line="360"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2428" w:type="dxa"/>
            <w:gridSpan w:val="4"/>
            <w:tcBorders>
              <w:top w:val="single" w:color="auto" w:sz="4" w:space="0"/>
              <w:left w:val="single" w:color="auto" w:sz="4" w:space="0"/>
              <w:bottom w:val="single" w:color="auto" w:sz="4" w:space="0"/>
              <w:right w:val="single" w:color="auto" w:sz="4" w:space="0"/>
            </w:tcBorders>
            <w:vAlign w:val="center"/>
          </w:tcPr>
          <w:p w14:paraId="518C7283">
            <w:pPr>
              <w:wordWrap w:val="0"/>
              <w:spacing w:line="360" w:lineRule="auto"/>
              <w:jc w:val="center"/>
              <w:rPr>
                <w:rFonts w:hint="eastAsia" w:ascii="宋体" w:hAnsi="宋体" w:eastAsia="宋体" w:cs="宋体"/>
                <w:b/>
                <w:bCs/>
                <w:szCs w:val="21"/>
              </w:rPr>
            </w:pPr>
            <w:r>
              <w:rPr>
                <w:rFonts w:hint="eastAsia" w:ascii="宋体" w:hAnsi="宋体" w:eastAsia="宋体" w:cs="宋体"/>
                <w:b/>
                <w:bCs/>
                <w:szCs w:val="21"/>
              </w:rPr>
              <w:t>商务条款</w:t>
            </w:r>
          </w:p>
        </w:tc>
        <w:tc>
          <w:tcPr>
            <w:tcW w:w="6855" w:type="dxa"/>
            <w:gridSpan w:val="2"/>
            <w:tcBorders>
              <w:top w:val="single" w:color="auto" w:sz="4" w:space="0"/>
              <w:left w:val="single" w:color="auto" w:sz="4" w:space="0"/>
              <w:bottom w:val="single" w:color="auto" w:sz="4" w:space="0"/>
              <w:right w:val="single" w:color="auto" w:sz="4" w:space="0"/>
            </w:tcBorders>
            <w:vAlign w:val="center"/>
          </w:tcPr>
          <w:p w14:paraId="1411E223">
            <w:pPr>
              <w:wordWrap w:val="0"/>
              <w:spacing w:line="360" w:lineRule="auto"/>
              <w:jc w:val="center"/>
              <w:rPr>
                <w:rFonts w:hint="eastAsia" w:ascii="宋体" w:hAnsi="宋体" w:eastAsia="宋体" w:cs="宋体"/>
                <w:b/>
                <w:bCs/>
                <w:szCs w:val="21"/>
              </w:rPr>
            </w:pPr>
            <w:r>
              <w:rPr>
                <w:rFonts w:hint="eastAsia" w:ascii="宋体" w:hAnsi="宋体" w:eastAsia="宋体" w:cs="宋体"/>
                <w:b/>
                <w:bCs/>
                <w:szCs w:val="21"/>
              </w:rPr>
              <w:t>商务要求</w:t>
            </w:r>
          </w:p>
        </w:tc>
      </w:tr>
      <w:tr w14:paraId="039AA3F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08"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2D3BB30E">
            <w:pPr>
              <w:wordWrap w:val="0"/>
              <w:spacing w:line="360" w:lineRule="auto"/>
              <w:ind w:firstLine="155"/>
              <w:jc w:val="center"/>
              <w:rPr>
                <w:rFonts w:hint="eastAsia" w:ascii="宋体" w:hAnsi="宋体" w:eastAsia="宋体" w:cs="宋体"/>
                <w:szCs w:val="21"/>
              </w:rPr>
            </w:pPr>
            <w:r>
              <w:rPr>
                <w:rFonts w:hint="eastAsia" w:ascii="宋体" w:hAnsi="宋体" w:eastAsia="宋体" w:cs="宋体"/>
                <w:szCs w:val="21"/>
              </w:rPr>
              <w:t>1</w:t>
            </w:r>
          </w:p>
        </w:tc>
        <w:tc>
          <w:tcPr>
            <w:tcW w:w="2428" w:type="dxa"/>
            <w:gridSpan w:val="4"/>
            <w:tcBorders>
              <w:top w:val="single" w:color="auto" w:sz="4" w:space="0"/>
              <w:left w:val="single" w:color="auto" w:sz="4" w:space="0"/>
              <w:bottom w:val="single" w:color="auto" w:sz="4" w:space="0"/>
              <w:right w:val="single" w:color="auto" w:sz="4" w:space="0"/>
            </w:tcBorders>
            <w:vAlign w:val="center"/>
          </w:tcPr>
          <w:p w14:paraId="6650DDD3">
            <w:pPr>
              <w:wordWrap w:val="0"/>
              <w:spacing w:line="360" w:lineRule="auto"/>
              <w:jc w:val="center"/>
              <w:rPr>
                <w:rFonts w:hint="eastAsia" w:ascii="宋体" w:hAnsi="宋体" w:eastAsia="宋体" w:cs="宋体"/>
                <w:szCs w:val="21"/>
              </w:rPr>
            </w:pPr>
            <w:r>
              <w:rPr>
                <w:rFonts w:hint="eastAsia" w:ascii="宋体" w:hAnsi="宋体" w:eastAsia="宋体" w:cs="宋体"/>
                <w:szCs w:val="21"/>
              </w:rPr>
              <w:t>报价要求</w:t>
            </w:r>
          </w:p>
        </w:tc>
        <w:tc>
          <w:tcPr>
            <w:tcW w:w="6855" w:type="dxa"/>
            <w:gridSpan w:val="2"/>
            <w:tcBorders>
              <w:top w:val="single" w:color="auto" w:sz="4" w:space="0"/>
              <w:left w:val="single" w:color="auto" w:sz="4" w:space="0"/>
              <w:bottom w:val="single" w:color="auto" w:sz="4" w:space="0"/>
              <w:right w:val="single" w:color="auto" w:sz="4" w:space="0"/>
            </w:tcBorders>
            <w:vAlign w:val="center"/>
          </w:tcPr>
          <w:p w14:paraId="475ADB44">
            <w:pPr>
              <w:wordWrap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本项目报价是履行合同的最终价格为总包干价人民币含税价，包含但不限于提供技术服务有关的价格、调试、培训、技术支持、售后服务等费用、必要的保险费用和各项税费、差旅费、项目所需投入的人员、办公设备、会议、印刷、项目评审、采购代理服务、验收、后续服务支持、税费等费用。采购人不再支付任何合同金额以外的费用。</w:t>
            </w:r>
          </w:p>
        </w:tc>
      </w:tr>
      <w:tr w14:paraId="5D87868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35"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5E90C931">
            <w:pPr>
              <w:wordWrap w:val="0"/>
              <w:spacing w:line="360" w:lineRule="auto"/>
              <w:ind w:firstLine="155"/>
              <w:jc w:val="center"/>
              <w:rPr>
                <w:rFonts w:hint="eastAsia" w:ascii="宋体" w:hAnsi="宋体" w:eastAsia="宋体" w:cs="宋体"/>
                <w:szCs w:val="21"/>
              </w:rPr>
            </w:pPr>
            <w:r>
              <w:rPr>
                <w:rFonts w:hint="eastAsia" w:ascii="宋体" w:hAnsi="宋体" w:eastAsia="宋体" w:cs="宋体"/>
                <w:szCs w:val="21"/>
              </w:rPr>
              <w:t>2</w:t>
            </w:r>
          </w:p>
        </w:tc>
        <w:tc>
          <w:tcPr>
            <w:tcW w:w="2428" w:type="dxa"/>
            <w:gridSpan w:val="4"/>
            <w:tcBorders>
              <w:top w:val="single" w:color="auto" w:sz="4" w:space="0"/>
              <w:left w:val="single" w:color="auto" w:sz="4" w:space="0"/>
              <w:bottom w:val="single" w:color="auto" w:sz="4" w:space="0"/>
              <w:right w:val="single" w:color="auto" w:sz="4" w:space="0"/>
            </w:tcBorders>
            <w:vAlign w:val="center"/>
          </w:tcPr>
          <w:p w14:paraId="738338CF">
            <w:pPr>
              <w:wordWrap w:val="0"/>
              <w:spacing w:line="360" w:lineRule="auto"/>
              <w:jc w:val="center"/>
              <w:rPr>
                <w:rFonts w:hint="eastAsia" w:ascii="宋体" w:hAnsi="宋体" w:eastAsia="宋体" w:cs="宋体"/>
                <w:szCs w:val="21"/>
              </w:rPr>
            </w:pPr>
            <w:r>
              <w:rPr>
                <w:rFonts w:hint="eastAsia" w:ascii="宋体" w:hAnsi="宋体" w:eastAsia="宋体" w:cs="宋体"/>
                <w:szCs w:val="21"/>
              </w:rPr>
              <w:t>合同签订时间</w:t>
            </w:r>
          </w:p>
        </w:tc>
        <w:tc>
          <w:tcPr>
            <w:tcW w:w="6855" w:type="dxa"/>
            <w:gridSpan w:val="2"/>
            <w:tcBorders>
              <w:top w:val="single" w:color="auto" w:sz="4" w:space="0"/>
              <w:left w:val="single" w:color="auto" w:sz="4" w:space="0"/>
              <w:bottom w:val="single" w:color="auto" w:sz="4" w:space="0"/>
              <w:right w:val="single" w:color="auto" w:sz="4" w:space="0"/>
            </w:tcBorders>
            <w:vAlign w:val="center"/>
          </w:tcPr>
          <w:p w14:paraId="0C275F81">
            <w:pPr>
              <w:wordWrap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自成交通知书发出之日起25日内。</w:t>
            </w:r>
          </w:p>
        </w:tc>
      </w:tr>
      <w:tr w14:paraId="1B373A1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2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3341628E">
            <w:pPr>
              <w:wordWrap w:val="0"/>
              <w:spacing w:line="360" w:lineRule="auto"/>
              <w:ind w:firstLine="155"/>
              <w:jc w:val="center"/>
              <w:rPr>
                <w:rFonts w:hint="eastAsia" w:ascii="宋体" w:hAnsi="宋体" w:eastAsia="宋体" w:cs="宋体"/>
                <w:szCs w:val="21"/>
              </w:rPr>
            </w:pPr>
            <w:r>
              <w:rPr>
                <w:rFonts w:hint="eastAsia" w:ascii="宋体" w:hAnsi="宋体" w:eastAsia="宋体" w:cs="宋体"/>
                <w:szCs w:val="21"/>
              </w:rPr>
              <w:t>3</w:t>
            </w:r>
          </w:p>
        </w:tc>
        <w:tc>
          <w:tcPr>
            <w:tcW w:w="2428" w:type="dxa"/>
            <w:gridSpan w:val="4"/>
            <w:tcBorders>
              <w:top w:val="single" w:color="auto" w:sz="4" w:space="0"/>
              <w:left w:val="single" w:color="auto" w:sz="4" w:space="0"/>
              <w:bottom w:val="single" w:color="auto" w:sz="4" w:space="0"/>
              <w:right w:val="single" w:color="auto" w:sz="4" w:space="0"/>
            </w:tcBorders>
            <w:vAlign w:val="center"/>
          </w:tcPr>
          <w:p w14:paraId="6E6EB62D">
            <w:pPr>
              <w:wordWrap w:val="0"/>
              <w:spacing w:line="360" w:lineRule="auto"/>
              <w:jc w:val="center"/>
              <w:rPr>
                <w:rFonts w:hint="eastAsia" w:ascii="宋体" w:hAnsi="宋体" w:eastAsia="宋体" w:cs="宋体"/>
                <w:szCs w:val="21"/>
              </w:rPr>
            </w:pPr>
            <w:r>
              <w:rPr>
                <w:rFonts w:hint="eastAsia" w:ascii="宋体" w:hAnsi="宋体" w:eastAsia="宋体" w:cs="宋体"/>
                <w:szCs w:val="21"/>
              </w:rPr>
              <w:t>服务的时间或服务期限</w:t>
            </w:r>
          </w:p>
        </w:tc>
        <w:tc>
          <w:tcPr>
            <w:tcW w:w="6855" w:type="dxa"/>
            <w:gridSpan w:val="2"/>
            <w:tcBorders>
              <w:top w:val="single" w:color="auto" w:sz="4" w:space="0"/>
              <w:left w:val="single" w:color="auto" w:sz="4" w:space="0"/>
              <w:bottom w:val="single" w:color="auto" w:sz="4" w:space="0"/>
              <w:right w:val="single" w:color="auto" w:sz="4" w:space="0"/>
            </w:tcBorders>
            <w:vAlign w:val="center"/>
          </w:tcPr>
          <w:p w14:paraId="284FDF53">
            <w:pPr>
              <w:wordWrap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自合同生效之日起12个月。</w:t>
            </w:r>
          </w:p>
        </w:tc>
      </w:tr>
      <w:tr w14:paraId="00E05B1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08"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30BD1E89">
            <w:pPr>
              <w:wordWrap w:val="0"/>
              <w:spacing w:line="360" w:lineRule="auto"/>
              <w:ind w:firstLine="155"/>
              <w:jc w:val="center"/>
              <w:rPr>
                <w:rFonts w:hint="eastAsia" w:ascii="宋体" w:hAnsi="宋体" w:eastAsia="宋体" w:cs="宋体"/>
                <w:szCs w:val="21"/>
              </w:rPr>
            </w:pPr>
            <w:r>
              <w:rPr>
                <w:rFonts w:hint="eastAsia" w:ascii="宋体" w:hAnsi="宋体" w:eastAsia="宋体" w:cs="宋体"/>
                <w:szCs w:val="21"/>
              </w:rPr>
              <w:t>4</w:t>
            </w:r>
          </w:p>
        </w:tc>
        <w:tc>
          <w:tcPr>
            <w:tcW w:w="2428" w:type="dxa"/>
            <w:gridSpan w:val="4"/>
            <w:tcBorders>
              <w:top w:val="single" w:color="auto" w:sz="4" w:space="0"/>
              <w:left w:val="single" w:color="auto" w:sz="4" w:space="0"/>
              <w:bottom w:val="single" w:color="auto" w:sz="4" w:space="0"/>
              <w:right w:val="single" w:color="auto" w:sz="4" w:space="0"/>
            </w:tcBorders>
            <w:vAlign w:val="center"/>
          </w:tcPr>
          <w:p w14:paraId="624949DB">
            <w:pPr>
              <w:wordWrap w:val="0"/>
              <w:spacing w:line="360" w:lineRule="auto"/>
              <w:jc w:val="center"/>
              <w:rPr>
                <w:rFonts w:hint="eastAsia" w:ascii="宋体" w:hAnsi="宋体" w:eastAsia="宋体" w:cs="宋体"/>
                <w:szCs w:val="21"/>
              </w:rPr>
            </w:pPr>
            <w:r>
              <w:rPr>
                <w:rFonts w:hint="eastAsia" w:ascii="宋体" w:hAnsi="宋体" w:eastAsia="宋体" w:cs="宋体"/>
                <w:szCs w:val="21"/>
              </w:rPr>
              <w:t>服务地点或交付地点</w:t>
            </w:r>
          </w:p>
        </w:tc>
        <w:tc>
          <w:tcPr>
            <w:tcW w:w="6855" w:type="dxa"/>
            <w:gridSpan w:val="2"/>
            <w:tcBorders>
              <w:top w:val="single" w:color="auto" w:sz="4" w:space="0"/>
              <w:left w:val="single" w:color="auto" w:sz="4" w:space="0"/>
              <w:bottom w:val="single" w:color="auto" w:sz="4" w:space="0"/>
              <w:right w:val="single" w:color="auto" w:sz="4" w:space="0"/>
            </w:tcBorders>
            <w:vAlign w:val="center"/>
          </w:tcPr>
          <w:p w14:paraId="30A33977">
            <w:pPr>
              <w:wordWrap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广西壮族自治区内采购人指定地点。</w:t>
            </w:r>
          </w:p>
        </w:tc>
      </w:tr>
      <w:tr w14:paraId="415C175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08"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3A12E7BB">
            <w:pPr>
              <w:wordWrap w:val="0"/>
              <w:spacing w:line="360" w:lineRule="auto"/>
              <w:ind w:firstLine="155"/>
              <w:jc w:val="center"/>
              <w:rPr>
                <w:rFonts w:hint="eastAsia" w:ascii="宋体" w:hAnsi="宋体" w:eastAsia="宋体" w:cs="宋体"/>
                <w:szCs w:val="21"/>
              </w:rPr>
            </w:pPr>
            <w:r>
              <w:rPr>
                <w:rFonts w:hint="eastAsia" w:ascii="宋体" w:hAnsi="宋体" w:eastAsia="宋体" w:cs="宋体"/>
                <w:szCs w:val="21"/>
              </w:rPr>
              <w:t>5</w:t>
            </w:r>
          </w:p>
        </w:tc>
        <w:tc>
          <w:tcPr>
            <w:tcW w:w="2428" w:type="dxa"/>
            <w:gridSpan w:val="4"/>
            <w:tcBorders>
              <w:top w:val="single" w:color="auto" w:sz="4" w:space="0"/>
              <w:left w:val="single" w:color="auto" w:sz="4" w:space="0"/>
              <w:bottom w:val="single" w:color="auto" w:sz="4" w:space="0"/>
              <w:right w:val="single" w:color="auto" w:sz="4" w:space="0"/>
            </w:tcBorders>
            <w:vAlign w:val="center"/>
          </w:tcPr>
          <w:p w14:paraId="0250C622">
            <w:pPr>
              <w:wordWrap w:val="0"/>
              <w:spacing w:line="360" w:lineRule="auto"/>
              <w:jc w:val="center"/>
              <w:rPr>
                <w:rFonts w:hint="eastAsia" w:ascii="宋体" w:hAnsi="宋体" w:eastAsia="宋体" w:cs="宋体"/>
                <w:szCs w:val="21"/>
              </w:rPr>
            </w:pPr>
            <w:r>
              <w:rPr>
                <w:rFonts w:hint="eastAsia" w:ascii="宋体" w:hAnsi="宋体" w:eastAsia="宋体" w:cs="宋体"/>
                <w:szCs w:val="21"/>
              </w:rPr>
              <w:t>付款方式、时间、条件</w:t>
            </w:r>
          </w:p>
        </w:tc>
        <w:tc>
          <w:tcPr>
            <w:tcW w:w="68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CDB315">
            <w:pPr>
              <w:wordWrap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合同签订后，采购人支付合同金额</w:t>
            </w:r>
            <w:r>
              <w:rPr>
                <w:rFonts w:ascii="宋体" w:hAnsi="宋体" w:eastAsia="宋体" w:cs="宋体"/>
                <w:szCs w:val="21"/>
              </w:rPr>
              <w:t>10%（最高不超过9万元整）；成交供应商提供维护服务至202</w:t>
            </w:r>
            <w:r>
              <w:rPr>
                <w:rFonts w:hint="eastAsia" w:ascii="宋体" w:hAnsi="宋体" w:eastAsia="宋体" w:cs="宋体"/>
                <w:szCs w:val="21"/>
              </w:rPr>
              <w:t>6</w:t>
            </w:r>
            <w:r>
              <w:rPr>
                <w:rFonts w:ascii="宋体" w:hAnsi="宋体" w:eastAsia="宋体" w:cs="宋体"/>
                <w:szCs w:val="21"/>
              </w:rPr>
              <w:t>年2月</w:t>
            </w:r>
            <w:r>
              <w:rPr>
                <w:rFonts w:hint="eastAsia" w:ascii="宋体" w:hAnsi="宋体" w:eastAsia="宋体" w:cs="宋体"/>
                <w:szCs w:val="21"/>
              </w:rPr>
              <w:t>28日</w:t>
            </w:r>
            <w:r>
              <w:rPr>
                <w:rFonts w:ascii="宋体" w:hAnsi="宋体" w:eastAsia="宋体" w:cs="宋体"/>
                <w:szCs w:val="21"/>
              </w:rPr>
              <w:t>，采购人支付至合同金额90%；合同验收通过后，采购人支付剩余款项。</w:t>
            </w:r>
          </w:p>
        </w:tc>
      </w:tr>
      <w:tr w14:paraId="17AE8BE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08"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04F7D540">
            <w:pPr>
              <w:wordWrap w:val="0"/>
              <w:spacing w:line="360" w:lineRule="auto"/>
              <w:ind w:firstLine="155"/>
              <w:jc w:val="center"/>
              <w:rPr>
                <w:rFonts w:hint="eastAsia" w:ascii="宋体" w:hAnsi="宋体" w:eastAsia="宋体" w:cs="宋体"/>
                <w:szCs w:val="21"/>
              </w:rPr>
            </w:pPr>
            <w:r>
              <w:rPr>
                <w:rFonts w:hint="eastAsia" w:ascii="宋体" w:hAnsi="宋体" w:eastAsia="宋体" w:cs="宋体"/>
                <w:szCs w:val="21"/>
              </w:rPr>
              <w:t>6</w:t>
            </w:r>
          </w:p>
        </w:tc>
        <w:tc>
          <w:tcPr>
            <w:tcW w:w="2428" w:type="dxa"/>
            <w:gridSpan w:val="4"/>
            <w:tcBorders>
              <w:top w:val="single" w:color="auto" w:sz="4" w:space="0"/>
              <w:left w:val="single" w:color="auto" w:sz="4" w:space="0"/>
              <w:bottom w:val="single" w:color="auto" w:sz="4" w:space="0"/>
              <w:right w:val="single" w:color="auto" w:sz="4" w:space="0"/>
            </w:tcBorders>
            <w:vAlign w:val="center"/>
          </w:tcPr>
          <w:p w14:paraId="32BCA2A9">
            <w:pPr>
              <w:wordWrap w:val="0"/>
              <w:spacing w:line="360" w:lineRule="auto"/>
              <w:jc w:val="center"/>
              <w:rPr>
                <w:rFonts w:hint="eastAsia" w:ascii="宋体" w:hAnsi="宋体" w:eastAsia="宋体" w:cs="宋体"/>
                <w:szCs w:val="21"/>
              </w:rPr>
            </w:pPr>
            <w:r>
              <w:rPr>
                <w:rFonts w:hint="eastAsia" w:ascii="宋体" w:hAnsi="宋体" w:eastAsia="宋体" w:cs="宋体"/>
                <w:szCs w:val="21"/>
              </w:rPr>
              <w:t>售后服务要求</w:t>
            </w:r>
          </w:p>
        </w:tc>
        <w:tc>
          <w:tcPr>
            <w:tcW w:w="6855" w:type="dxa"/>
            <w:gridSpan w:val="2"/>
            <w:tcBorders>
              <w:top w:val="single" w:color="auto" w:sz="4" w:space="0"/>
              <w:left w:val="single" w:color="auto" w:sz="4" w:space="0"/>
              <w:bottom w:val="single" w:color="auto" w:sz="4" w:space="0"/>
              <w:right w:val="single" w:color="auto" w:sz="4" w:space="0"/>
            </w:tcBorders>
            <w:vAlign w:val="center"/>
          </w:tcPr>
          <w:p w14:paraId="6D41FDB2">
            <w:pPr>
              <w:wordWrap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成交供应商应当为采购人提供技术援助电话并在接到采购人技术咨询后，30分钟内响应，解答采购人在使用中遇到的问题，及时为采购人提出解决问题的建议。如电话咨询不能解决的，若为南宁市本地供应商则需4小时内到达现场处置，若为南宁市外供应商则需1小时内进行服务器及信息系统的远程处置，8小时内确认修复方案，故障的最终修复从报修时间算起不能超过72小时。如遇较复杂问题，供应商应向采购人说明并征得采购人同意后，组织技术专家，会同采购人制定技术处理方案，并按方案约定时间要求修复系统故障。</w:t>
            </w:r>
          </w:p>
        </w:tc>
      </w:tr>
      <w:tr w14:paraId="2B10A7B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08"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1E39E8AC">
            <w:pPr>
              <w:wordWrap w:val="0"/>
              <w:spacing w:line="360" w:lineRule="auto"/>
              <w:ind w:firstLine="155"/>
              <w:jc w:val="center"/>
              <w:rPr>
                <w:rFonts w:hint="eastAsia" w:ascii="宋体" w:hAnsi="宋体" w:eastAsia="宋体" w:cs="宋体"/>
                <w:szCs w:val="21"/>
              </w:rPr>
            </w:pPr>
            <w:r>
              <w:rPr>
                <w:rFonts w:hint="eastAsia" w:ascii="宋体" w:hAnsi="宋体" w:eastAsia="宋体" w:cs="宋体"/>
                <w:szCs w:val="21"/>
              </w:rPr>
              <w:t>7</w:t>
            </w:r>
          </w:p>
        </w:tc>
        <w:tc>
          <w:tcPr>
            <w:tcW w:w="2428" w:type="dxa"/>
            <w:gridSpan w:val="4"/>
            <w:tcBorders>
              <w:top w:val="single" w:color="auto" w:sz="4" w:space="0"/>
              <w:left w:val="single" w:color="auto" w:sz="4" w:space="0"/>
              <w:bottom w:val="single" w:color="auto" w:sz="4" w:space="0"/>
              <w:right w:val="single" w:color="auto" w:sz="4" w:space="0"/>
            </w:tcBorders>
            <w:vAlign w:val="center"/>
          </w:tcPr>
          <w:p w14:paraId="2E9FDA77">
            <w:pPr>
              <w:wordWrap w:val="0"/>
              <w:spacing w:line="360" w:lineRule="auto"/>
              <w:jc w:val="center"/>
              <w:rPr>
                <w:rFonts w:hint="eastAsia" w:ascii="宋体" w:hAnsi="宋体" w:eastAsia="宋体" w:cs="宋体"/>
                <w:szCs w:val="21"/>
              </w:rPr>
            </w:pPr>
            <w:r>
              <w:rPr>
                <w:rFonts w:hint="eastAsia" w:ascii="宋体" w:hAnsi="宋体" w:eastAsia="宋体" w:cs="宋体"/>
                <w:szCs w:val="21"/>
              </w:rPr>
              <w:t>验收方式及标准</w:t>
            </w:r>
          </w:p>
        </w:tc>
        <w:tc>
          <w:tcPr>
            <w:tcW w:w="6855" w:type="dxa"/>
            <w:gridSpan w:val="2"/>
            <w:tcBorders>
              <w:top w:val="single" w:color="auto" w:sz="4" w:space="0"/>
              <w:left w:val="single" w:color="auto" w:sz="4" w:space="0"/>
              <w:bottom w:val="single" w:color="auto" w:sz="4" w:space="0"/>
              <w:right w:val="single" w:color="auto" w:sz="4" w:space="0"/>
            </w:tcBorders>
            <w:vAlign w:val="center"/>
          </w:tcPr>
          <w:p w14:paraId="458CC1C0">
            <w:pPr>
              <w:numPr>
                <w:ilvl w:val="255"/>
                <w:numId w:val="0"/>
              </w:numPr>
              <w:wordWrap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验收要求按第五章《合同主要条款格式》执行，未尽事宜按照《关于印发广西壮族自治区政府采购项目履约验收管理办法的通知》[桂财采〔2015〕22号]以及《财政部关于进一步加强政府采购需求和履约验收管理的指导意见》[财库〔2016〕205号]规定执行。</w:t>
            </w:r>
          </w:p>
          <w:p w14:paraId="43F1B745">
            <w:pPr>
              <w:numPr>
                <w:ilvl w:val="255"/>
                <w:numId w:val="0"/>
              </w:numPr>
              <w:wordWrap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2.采购标的需执行的国家标准、行业标准、地方标准或者其他标准、规范；多项标准的，按最新标准或较高标准执行。</w:t>
            </w:r>
          </w:p>
        </w:tc>
      </w:tr>
      <w:tr w14:paraId="3C374A5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08"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38FEBC32">
            <w:pPr>
              <w:wordWrap w:val="0"/>
              <w:spacing w:line="360" w:lineRule="auto"/>
              <w:ind w:firstLine="155"/>
              <w:jc w:val="center"/>
              <w:rPr>
                <w:rFonts w:hint="eastAsia" w:ascii="宋体" w:hAnsi="宋体" w:eastAsia="宋体" w:cs="宋体"/>
                <w:szCs w:val="21"/>
              </w:rPr>
            </w:pPr>
            <w:r>
              <w:rPr>
                <w:rFonts w:hint="eastAsia" w:ascii="宋体" w:hAnsi="宋体" w:eastAsia="宋体" w:cs="宋体"/>
                <w:szCs w:val="21"/>
              </w:rPr>
              <w:t>8</w:t>
            </w:r>
          </w:p>
        </w:tc>
        <w:tc>
          <w:tcPr>
            <w:tcW w:w="2428" w:type="dxa"/>
            <w:gridSpan w:val="4"/>
            <w:tcBorders>
              <w:top w:val="single" w:color="auto" w:sz="4" w:space="0"/>
              <w:left w:val="single" w:color="auto" w:sz="4" w:space="0"/>
              <w:bottom w:val="single" w:color="auto" w:sz="4" w:space="0"/>
              <w:right w:val="single" w:color="auto" w:sz="4" w:space="0"/>
            </w:tcBorders>
            <w:vAlign w:val="center"/>
          </w:tcPr>
          <w:p w14:paraId="1F86A428">
            <w:pPr>
              <w:wordWrap w:val="0"/>
              <w:spacing w:line="360" w:lineRule="auto"/>
              <w:jc w:val="center"/>
              <w:rPr>
                <w:rFonts w:hint="eastAsia" w:ascii="宋体" w:hAnsi="宋体" w:eastAsia="宋体" w:cs="宋体"/>
                <w:szCs w:val="21"/>
              </w:rPr>
            </w:pPr>
            <w:r>
              <w:rPr>
                <w:rFonts w:hint="eastAsia" w:ascii="宋体" w:hAnsi="宋体" w:eastAsia="宋体" w:cs="宋体"/>
                <w:szCs w:val="21"/>
              </w:rPr>
              <w:t>其他要求</w:t>
            </w:r>
          </w:p>
        </w:tc>
        <w:tc>
          <w:tcPr>
            <w:tcW w:w="6855" w:type="dxa"/>
            <w:gridSpan w:val="2"/>
            <w:tcBorders>
              <w:top w:val="single" w:color="auto" w:sz="4" w:space="0"/>
              <w:left w:val="single" w:color="auto" w:sz="4" w:space="0"/>
              <w:bottom w:val="single" w:color="auto" w:sz="4" w:space="0"/>
              <w:right w:val="single" w:color="auto" w:sz="4" w:space="0"/>
            </w:tcBorders>
            <w:vAlign w:val="center"/>
          </w:tcPr>
          <w:p w14:paraId="0B544BC8">
            <w:pPr>
              <w:numPr>
                <w:ilvl w:val="255"/>
                <w:numId w:val="0"/>
              </w:numPr>
              <w:wordWrap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知识产权：采购人在中华人民共和国境内使用供应商提供的产品及服务时免受第三方提出的侵犯其专利权或其它知识产权的起诉。如果第三方提出侵权指控，成交供应商应承担由此而引起的一切法律责任和费用。供应商在响应文件中提供承诺或证明材料。</w:t>
            </w:r>
          </w:p>
          <w:p w14:paraId="3BEBE271">
            <w:pPr>
              <w:numPr>
                <w:ilvl w:val="255"/>
                <w:numId w:val="0"/>
              </w:numPr>
              <w:wordWrap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 xml:space="preserve">2.供应商在磋商活动中提供任何虚假材料，以及响应服务所涉及内容不如实说明，其响应文件按无效处理，并报监管部门查处； </w:t>
            </w:r>
          </w:p>
          <w:p w14:paraId="635AD806">
            <w:pPr>
              <w:numPr>
                <w:ilvl w:val="255"/>
                <w:numId w:val="0"/>
              </w:numPr>
              <w:wordWrap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3.未经采购人允许，不得使用或以其它方式给任何第三方提供本项目的相关信息或数据，必须对项目实施过程中获取的相关信息保密（相关信息包括但不限于本项目），如发生失泄密事件即终止合同，且成交供应商不得参与后续采购人项目投标活动。</w:t>
            </w:r>
          </w:p>
          <w:p w14:paraId="2F1E4941">
            <w:pPr>
              <w:numPr>
                <w:ilvl w:val="255"/>
                <w:numId w:val="0"/>
              </w:numPr>
              <w:wordWrap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4.供应商须为本项目服务实施投入充足的服务人员，并确保竞标文件中的人员信息真实、有效。</w:t>
            </w:r>
          </w:p>
          <w:p w14:paraId="37ED0BBE">
            <w:pPr>
              <w:wordWrap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 xml:space="preserve">5.成交人不得将项目非法分包或转包给任何单位和个人，否则采购人有权即刻终止合同， 并要求成交人赔偿相应损失。 </w:t>
            </w:r>
          </w:p>
          <w:p w14:paraId="1BE85CA8">
            <w:pPr>
              <w:numPr>
                <w:ilvl w:val="255"/>
                <w:numId w:val="0"/>
              </w:numPr>
              <w:wordWrap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6.其他未尽事宜由供需双方在采购合同中详细约定。</w:t>
            </w:r>
          </w:p>
        </w:tc>
      </w:tr>
    </w:tbl>
    <w:p w14:paraId="302B8CA6">
      <w:pPr>
        <w:ind w:firstLine="422"/>
        <w:rPr>
          <w:rFonts w:hint="eastAsia" w:ascii="宋体" w:hAnsi="宋体" w:eastAsia="宋体" w:cs="宋体"/>
        </w:rPr>
      </w:pPr>
    </w:p>
    <w:p w14:paraId="11BF9A1E">
      <w:pPr>
        <w:rPr>
          <w:rFonts w:hint="eastAsia" w:ascii="宋体" w:hAnsi="宋体" w:eastAsia="宋体" w:cs="宋体"/>
          <w:b/>
          <w:bCs/>
        </w:rPr>
      </w:pPr>
      <w:r>
        <w:rPr>
          <w:rFonts w:hint="eastAsia" w:ascii="宋体" w:hAnsi="宋体" w:eastAsia="宋体" w:cs="宋体"/>
          <w:b/>
          <w:bCs/>
        </w:rPr>
        <w:br w:type="page"/>
      </w:r>
    </w:p>
    <w:p w14:paraId="7E883441">
      <w:pPr>
        <w:pStyle w:val="2"/>
        <w:ind w:firstLine="880"/>
        <w:jc w:val="center"/>
        <w:rPr>
          <w:rFonts w:hint="eastAsia" w:ascii="宋体" w:hAnsi="宋体" w:eastAsia="宋体"/>
        </w:rPr>
      </w:pPr>
      <w:bookmarkStart w:id="93" w:name="_Toc31976"/>
      <w:bookmarkStart w:id="94" w:name="_Toc10219"/>
      <w:bookmarkStart w:id="95" w:name="_Toc22263"/>
      <w:bookmarkStart w:id="96" w:name="_Toc21356"/>
      <w:bookmarkStart w:id="97" w:name="_Toc13699"/>
      <w:r>
        <w:rPr>
          <w:rFonts w:hint="eastAsia" w:ascii="宋体" w:hAnsi="宋体" w:eastAsia="宋体"/>
        </w:rPr>
        <w:t>第四章  评审程序、评审方法和评审标准</w:t>
      </w:r>
      <w:bookmarkEnd w:id="88"/>
      <w:bookmarkEnd w:id="93"/>
      <w:bookmarkEnd w:id="94"/>
      <w:bookmarkEnd w:id="95"/>
      <w:bookmarkEnd w:id="96"/>
      <w:bookmarkEnd w:id="97"/>
    </w:p>
    <w:p w14:paraId="4A49AD21">
      <w:pPr>
        <w:spacing w:line="360" w:lineRule="auto"/>
        <w:ind w:firstLine="643"/>
        <w:jc w:val="center"/>
        <w:rPr>
          <w:rFonts w:hint="eastAsia" w:ascii="宋体" w:hAnsi="宋体" w:eastAsia="宋体"/>
          <w:b/>
          <w:sz w:val="32"/>
          <w:szCs w:val="32"/>
        </w:rPr>
      </w:pPr>
      <w:r>
        <w:rPr>
          <w:rFonts w:hint="eastAsia" w:ascii="宋体" w:hAnsi="宋体" w:eastAsia="宋体"/>
          <w:b/>
          <w:sz w:val="32"/>
          <w:szCs w:val="32"/>
        </w:rPr>
        <w:t>一、评审程序和评审方法</w:t>
      </w:r>
    </w:p>
    <w:p w14:paraId="0783AD39">
      <w:pPr>
        <w:spacing w:line="360" w:lineRule="auto"/>
        <w:ind w:firstLine="482" w:firstLineChars="200"/>
        <w:rPr>
          <w:rFonts w:hint="eastAsia" w:ascii="宋体" w:hAnsi="宋体" w:eastAsia="宋体" w:cs="Calibri"/>
          <w:b/>
          <w:bCs/>
          <w:sz w:val="24"/>
        </w:rPr>
      </w:pPr>
      <w:r>
        <w:rPr>
          <w:rFonts w:ascii="宋体" w:hAnsi="宋体" w:eastAsia="宋体" w:cs="Calibri"/>
          <w:b/>
          <w:bCs/>
          <w:sz w:val="24"/>
        </w:rPr>
        <w:t>1</w:t>
      </w:r>
      <w:r>
        <w:rPr>
          <w:rFonts w:hint="eastAsia" w:ascii="宋体" w:hAnsi="宋体" w:eastAsia="宋体" w:cs="Calibri"/>
          <w:b/>
          <w:bCs/>
          <w:sz w:val="24"/>
        </w:rPr>
        <w:t>.资格审查</w:t>
      </w:r>
    </w:p>
    <w:p w14:paraId="61991C34">
      <w:pPr>
        <w:snapToGrid w:val="0"/>
        <w:spacing w:line="360" w:lineRule="auto"/>
        <w:ind w:firstLine="420" w:firstLineChars="200"/>
        <w:rPr>
          <w:rFonts w:hint="eastAsia" w:ascii="宋体" w:hAnsi="宋体" w:eastAsia="宋体"/>
          <w:szCs w:val="21"/>
        </w:rPr>
      </w:pPr>
      <w:r>
        <w:rPr>
          <w:rFonts w:ascii="宋体" w:hAnsi="宋体" w:eastAsia="宋体" w:cs="Calibri"/>
          <w:szCs w:val="21"/>
        </w:rPr>
        <w:t>1</w:t>
      </w:r>
      <w:r>
        <w:rPr>
          <w:rFonts w:hint="eastAsia" w:ascii="宋体" w:hAnsi="宋体" w:eastAsia="宋体" w:cs="Calibri"/>
          <w:szCs w:val="21"/>
        </w:rPr>
        <w:t>.1</w:t>
      </w:r>
      <w:r>
        <w:rPr>
          <w:rFonts w:hint="eastAsia" w:ascii="宋体" w:hAnsi="宋体" w:eastAsia="宋体"/>
          <w:szCs w:val="21"/>
        </w:rPr>
        <w:t>响应文件开启后，磋商小组依法对供应商的资格证明文件进行审查。</w:t>
      </w:r>
    </w:p>
    <w:p w14:paraId="49DBCF15">
      <w:pPr>
        <w:snapToGrid w:val="0"/>
        <w:spacing w:line="360" w:lineRule="auto"/>
        <w:ind w:firstLine="420" w:firstLineChars="200"/>
        <w:rPr>
          <w:rFonts w:hint="eastAsia" w:ascii="宋体" w:hAnsi="宋体" w:eastAsia="宋体" w:cs="Calibri"/>
          <w:szCs w:val="21"/>
        </w:rPr>
      </w:pPr>
      <w:r>
        <w:rPr>
          <w:rFonts w:hint="eastAsia" w:ascii="宋体" w:hAnsi="宋体" w:eastAsia="宋体" w:cs="Calibri"/>
          <w:szCs w:val="21"/>
        </w:rPr>
        <w:t>注：</w:t>
      </w:r>
      <w:r>
        <w:rPr>
          <w:rFonts w:hint="eastAsia" w:ascii="宋体" w:hAnsi="宋体" w:eastAsia="宋体"/>
        </w:rPr>
        <w:t>磋商小组</w:t>
      </w:r>
      <w:r>
        <w:rPr>
          <w:rFonts w:hint="eastAsia" w:ascii="宋体" w:hAnsi="宋体" w:eastAsia="宋体" w:cs="Calibri"/>
          <w:szCs w:val="21"/>
        </w:rPr>
        <w:t>在资格审查结束前，对供应商进行信用查询。</w:t>
      </w:r>
    </w:p>
    <w:p w14:paraId="10A42A74">
      <w:pPr>
        <w:snapToGrid w:val="0"/>
        <w:spacing w:line="360" w:lineRule="auto"/>
        <w:ind w:firstLine="420" w:firstLineChars="200"/>
        <w:rPr>
          <w:rFonts w:hint="eastAsia" w:ascii="宋体" w:hAnsi="宋体" w:eastAsia="宋体" w:cs="Calibri"/>
          <w:szCs w:val="21"/>
        </w:rPr>
      </w:pPr>
      <w:r>
        <w:rPr>
          <w:rFonts w:hint="eastAsia" w:ascii="宋体" w:hAnsi="宋体" w:eastAsia="宋体" w:cs="Calibri"/>
          <w:szCs w:val="21"/>
        </w:rPr>
        <w:t>（1）查询渠道：广西政府采购云平台“信用中国”网站(www.creditchina.gov.cn)、中国政府采购网(www.ccgp.gov.cn)链接入口。</w:t>
      </w:r>
    </w:p>
    <w:p w14:paraId="04FD651B">
      <w:pPr>
        <w:snapToGrid w:val="0"/>
        <w:spacing w:line="360" w:lineRule="auto"/>
        <w:ind w:firstLine="420" w:firstLineChars="200"/>
        <w:rPr>
          <w:rFonts w:hint="eastAsia" w:ascii="宋体" w:hAnsi="宋体" w:eastAsia="宋体" w:cs="Calibri"/>
          <w:szCs w:val="21"/>
        </w:rPr>
      </w:pPr>
      <w:r>
        <w:rPr>
          <w:rFonts w:hint="eastAsia" w:ascii="宋体" w:hAnsi="宋体" w:eastAsia="宋体" w:cs="Calibri"/>
          <w:szCs w:val="21"/>
        </w:rPr>
        <w:t>（2）信用查询截止时点：资格审查结束前。</w:t>
      </w:r>
    </w:p>
    <w:p w14:paraId="081C82CC">
      <w:pPr>
        <w:snapToGrid w:val="0"/>
        <w:spacing w:line="360" w:lineRule="auto"/>
        <w:ind w:firstLine="420" w:firstLineChars="200"/>
        <w:rPr>
          <w:rFonts w:hint="eastAsia" w:ascii="宋体" w:hAnsi="宋体" w:eastAsia="宋体" w:cs="Calibri"/>
          <w:szCs w:val="21"/>
        </w:rPr>
      </w:pPr>
      <w:r>
        <w:rPr>
          <w:rFonts w:hint="eastAsia" w:ascii="宋体" w:hAnsi="宋体" w:eastAsia="宋体" w:cs="Calibri"/>
          <w:szCs w:val="21"/>
        </w:rPr>
        <w:t>（3）查询记录和证据留存方式：在查询网站中直接查询，截图另存为电子文档作为评审资料保存。</w:t>
      </w:r>
    </w:p>
    <w:p w14:paraId="48D2723F">
      <w:pPr>
        <w:snapToGrid w:val="0"/>
        <w:spacing w:line="360" w:lineRule="auto"/>
        <w:ind w:firstLine="420" w:firstLineChars="200"/>
        <w:rPr>
          <w:rFonts w:hint="eastAsia" w:ascii="宋体" w:hAnsi="宋体" w:eastAsia="宋体" w:cs="Calibri"/>
          <w:szCs w:val="21"/>
        </w:rPr>
      </w:pPr>
      <w:r>
        <w:rPr>
          <w:rFonts w:hint="eastAsia" w:ascii="宋体" w:hAnsi="宋体" w:eastAsia="宋体" w:cs="Calibri"/>
          <w:szCs w:val="21"/>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eastAsia="宋体"/>
          <w:szCs w:val="21"/>
        </w:rPr>
        <w:t>两个以上的自然人、法人或者其他组织组成一个联合体，以一个供应商的身份共同参加政府采购活动的，应当对所有联合体成员进行信用记录查询，联合体成员存在不良信用记录（被列入失信被执行人、</w:t>
      </w:r>
      <w:r>
        <w:rPr>
          <w:rFonts w:hint="eastAsia" w:ascii="宋体" w:hAnsi="宋体" w:eastAsia="宋体" w:cs="Calibri"/>
          <w:szCs w:val="21"/>
        </w:rPr>
        <w:t>重大税收违法失信主体</w:t>
      </w:r>
      <w:r>
        <w:rPr>
          <w:rFonts w:hint="eastAsia" w:ascii="宋体" w:hAnsi="宋体" w:eastAsia="宋体"/>
          <w:szCs w:val="21"/>
        </w:rPr>
        <w:t>、政府采购严重违法失信行为记录名单及其他不符合《中华人民共和国政府采购法》第二十二条规定条件的供应商）的，视同联合体存在不良信用记录</w:t>
      </w:r>
      <w:r>
        <w:rPr>
          <w:rFonts w:hint="eastAsia" w:ascii="宋体" w:hAnsi="宋体" w:eastAsia="宋体" w:cs="Calibri"/>
          <w:szCs w:val="21"/>
        </w:rPr>
        <w:t>。</w:t>
      </w:r>
    </w:p>
    <w:p w14:paraId="4C75C62F">
      <w:pPr>
        <w:spacing w:line="360" w:lineRule="auto"/>
        <w:ind w:firstLine="420" w:firstLineChars="200"/>
        <w:rPr>
          <w:rFonts w:hint="eastAsia" w:ascii="宋体" w:hAnsi="宋体" w:eastAsia="宋体" w:cs="Calibri"/>
          <w:szCs w:val="21"/>
        </w:rPr>
      </w:pPr>
      <w:r>
        <w:rPr>
          <w:rFonts w:ascii="宋体" w:hAnsi="宋体" w:eastAsia="宋体" w:cs="Calibri"/>
          <w:szCs w:val="21"/>
        </w:rPr>
        <w:t>1</w:t>
      </w:r>
      <w:r>
        <w:rPr>
          <w:rFonts w:hint="eastAsia" w:ascii="宋体" w:hAnsi="宋体" w:eastAsia="宋体" w:cs="Calibri"/>
          <w:szCs w:val="21"/>
        </w:rPr>
        <w:t>.2资格审查标准为本磋商文件中载明对供应商资格要求的条件。资格审查采用合格制，凡符合磋商文件规定的供应商资格要求的响应文件均通过资格审查。</w:t>
      </w:r>
    </w:p>
    <w:p w14:paraId="5D40D71C">
      <w:pPr>
        <w:spacing w:line="360" w:lineRule="auto"/>
        <w:ind w:firstLine="420" w:firstLineChars="200"/>
        <w:rPr>
          <w:rFonts w:hint="eastAsia" w:ascii="宋体" w:hAnsi="宋体" w:eastAsia="宋体" w:cs="Calibri"/>
          <w:szCs w:val="21"/>
        </w:rPr>
      </w:pPr>
      <w:r>
        <w:rPr>
          <w:rFonts w:ascii="宋体" w:hAnsi="宋体" w:eastAsia="宋体" w:cs="Calibri"/>
          <w:szCs w:val="21"/>
        </w:rPr>
        <w:t>1</w:t>
      </w:r>
      <w:r>
        <w:rPr>
          <w:rFonts w:hint="eastAsia" w:ascii="宋体" w:hAnsi="宋体" w:eastAsia="宋体" w:cs="Calibri"/>
          <w:szCs w:val="21"/>
        </w:rPr>
        <w:t>.3供应商有下列情形之一的，资格审查不通过，其响应文件按无效响应处理：</w:t>
      </w:r>
    </w:p>
    <w:p w14:paraId="1B892571">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w:t>
      </w:r>
      <w:r>
        <w:rPr>
          <w:rFonts w:ascii="宋体" w:hAnsi="宋体" w:eastAsia="宋体" w:cs="Calibri"/>
          <w:szCs w:val="21"/>
        </w:rPr>
        <w:t>1</w:t>
      </w:r>
      <w:r>
        <w:rPr>
          <w:rFonts w:hint="eastAsia" w:ascii="宋体" w:hAnsi="宋体" w:eastAsia="宋体" w:cs="Calibri"/>
          <w:szCs w:val="21"/>
        </w:rPr>
        <w:t>）不具备磋商文件中规定的资格要求的；</w:t>
      </w:r>
    </w:p>
    <w:p w14:paraId="776E1279">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（2）未按磋商文件规定的方式获取本磋商文件的供应商；</w:t>
      </w:r>
    </w:p>
    <w:p w14:paraId="54C7B586">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w:t>
      </w:r>
      <w:r>
        <w:rPr>
          <w:rFonts w:ascii="宋体" w:hAnsi="宋体" w:eastAsia="宋体" w:cs="Calibri"/>
          <w:szCs w:val="21"/>
        </w:rPr>
        <w:t>3</w:t>
      </w:r>
      <w:r>
        <w:rPr>
          <w:rFonts w:hint="eastAsia" w:ascii="宋体" w:hAnsi="宋体" w:eastAsia="宋体" w:cs="Calibri"/>
          <w:szCs w:val="21"/>
        </w:rPr>
        <w:t>）响应文件的资格证明文件缺少任一项“供应商须知前附表”资格证明文件规定的“必须提供”的文件资料的；</w:t>
      </w:r>
    </w:p>
    <w:p w14:paraId="0C8BC267">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w:t>
      </w:r>
      <w:r>
        <w:rPr>
          <w:rFonts w:ascii="宋体" w:hAnsi="宋体" w:eastAsia="宋体" w:cs="Calibri"/>
          <w:szCs w:val="21"/>
        </w:rPr>
        <w:t>4</w:t>
      </w:r>
      <w:r>
        <w:rPr>
          <w:rFonts w:hint="eastAsia" w:ascii="宋体" w:hAnsi="宋体" w:eastAsia="宋体" w:cs="Calibri"/>
          <w:szCs w:val="21"/>
        </w:rPr>
        <w:t>）响应文件中的资格证明文件出现任一项不符合“供应商须知前附表”资格证明文件规定的“必须提供”的文件资料要求或者无效的；</w:t>
      </w:r>
    </w:p>
    <w:p w14:paraId="68ADB265">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w:t>
      </w:r>
      <w:r>
        <w:rPr>
          <w:rFonts w:ascii="宋体" w:hAnsi="宋体" w:eastAsia="宋体" w:cs="Calibri"/>
          <w:szCs w:val="21"/>
        </w:rPr>
        <w:t>5</w:t>
      </w:r>
      <w:r>
        <w:rPr>
          <w:rFonts w:hint="eastAsia" w:ascii="宋体" w:hAnsi="宋体" w:eastAsia="宋体" w:cs="Calibri"/>
          <w:szCs w:val="21"/>
        </w:rPr>
        <w:t>）同一合同项下的不同供应商，单位负责人为同一人或者存在直接控股、管理关系的；为本项目提供过整体设计、规范编制或者项目管理、监理、检测等服务的供应商，再参加该采购项目的其他采购活动的。</w:t>
      </w:r>
    </w:p>
    <w:p w14:paraId="6AA1C9BF">
      <w:pPr>
        <w:spacing w:line="360" w:lineRule="auto"/>
        <w:ind w:firstLine="420" w:firstLineChars="200"/>
        <w:rPr>
          <w:rFonts w:hint="eastAsia" w:ascii="宋体" w:hAnsi="宋体" w:eastAsia="宋体" w:cs="Calibri"/>
          <w:szCs w:val="21"/>
        </w:rPr>
      </w:pPr>
      <w:r>
        <w:rPr>
          <w:rFonts w:ascii="宋体" w:hAnsi="宋体" w:eastAsia="宋体" w:cs="Calibri"/>
          <w:szCs w:val="21"/>
        </w:rPr>
        <w:t>1</w:t>
      </w:r>
      <w:r>
        <w:rPr>
          <w:rFonts w:hint="eastAsia" w:ascii="宋体" w:hAnsi="宋体" w:eastAsia="宋体" w:cs="Calibri"/>
          <w:szCs w:val="21"/>
        </w:rPr>
        <w:t>.4通过资格审查的合格供应商不足3家的，不得进入符合性审查环节，</w:t>
      </w:r>
      <w:r>
        <w:rPr>
          <w:rFonts w:hint="eastAsia" w:ascii="宋体" w:hAnsi="宋体" w:eastAsia="宋体"/>
          <w:szCs w:val="21"/>
        </w:rPr>
        <w:t>采购人或者采购代理机构应当重新开展采购活动。</w:t>
      </w:r>
    </w:p>
    <w:p w14:paraId="5BC5844B">
      <w:pPr>
        <w:spacing w:line="360" w:lineRule="auto"/>
        <w:ind w:firstLine="482" w:firstLineChars="200"/>
        <w:rPr>
          <w:rFonts w:hint="eastAsia" w:ascii="宋体" w:hAnsi="宋体" w:eastAsia="宋体" w:cs="Calibri"/>
          <w:b/>
          <w:bCs/>
          <w:sz w:val="24"/>
        </w:rPr>
      </w:pPr>
      <w:r>
        <w:rPr>
          <w:rFonts w:ascii="宋体" w:hAnsi="宋体" w:eastAsia="宋体" w:cs="Calibri"/>
          <w:b/>
          <w:bCs/>
          <w:sz w:val="24"/>
        </w:rPr>
        <w:t>2</w:t>
      </w:r>
      <w:r>
        <w:rPr>
          <w:rFonts w:hint="eastAsia" w:ascii="宋体" w:hAnsi="宋体" w:eastAsia="宋体" w:cs="Calibri"/>
          <w:b/>
          <w:bCs/>
          <w:sz w:val="24"/>
        </w:rPr>
        <w:t>.符合性审查</w:t>
      </w:r>
    </w:p>
    <w:p w14:paraId="43711E44">
      <w:pPr>
        <w:spacing w:line="360" w:lineRule="auto"/>
        <w:ind w:firstLine="420" w:firstLineChars="200"/>
        <w:rPr>
          <w:rFonts w:hint="eastAsia" w:ascii="宋体" w:hAnsi="宋体" w:eastAsia="宋体" w:cs="Calibri"/>
          <w:szCs w:val="21"/>
        </w:rPr>
      </w:pPr>
      <w:bookmarkStart w:id="98" w:name="_Hlk42528882"/>
      <w:r>
        <w:rPr>
          <w:rFonts w:ascii="宋体" w:hAnsi="宋体" w:eastAsia="宋体" w:cs="Calibri"/>
          <w:szCs w:val="21"/>
        </w:rPr>
        <w:t>2.1</w:t>
      </w:r>
      <w:r>
        <w:rPr>
          <w:rFonts w:hint="eastAsia" w:ascii="宋体" w:hAnsi="宋体" w:eastAsia="宋体" w:cs="Calibri"/>
          <w:szCs w:val="21"/>
        </w:rPr>
        <w:t>由磋商小组对</w:t>
      </w:r>
      <w:r>
        <w:rPr>
          <w:rFonts w:hint="eastAsia" w:ascii="宋体" w:hAnsi="宋体" w:eastAsia="宋体"/>
          <w:szCs w:val="21"/>
        </w:rPr>
        <w:t>通过资格审查的合格供应商</w:t>
      </w:r>
      <w:r>
        <w:rPr>
          <w:rFonts w:hint="eastAsia" w:ascii="宋体" w:hAnsi="宋体" w:eastAsia="宋体" w:cs="Calibri"/>
          <w:szCs w:val="21"/>
        </w:rPr>
        <w:t>的响应文件的竞标报价、商务、技术等实质性要求进行符合性审查，以确定其是否满足磋商文件的实质性要求。</w:t>
      </w:r>
    </w:p>
    <w:bookmarkEnd w:id="98"/>
    <w:p w14:paraId="65A2FB8E">
      <w:pPr>
        <w:spacing w:line="360" w:lineRule="auto"/>
        <w:ind w:firstLine="420" w:firstLineChars="200"/>
        <w:rPr>
          <w:rFonts w:hint="eastAsia" w:ascii="宋体" w:hAnsi="宋体" w:eastAsia="宋体" w:cs="Calibri"/>
          <w:szCs w:val="21"/>
        </w:rPr>
      </w:pPr>
      <w:r>
        <w:rPr>
          <w:rFonts w:ascii="宋体" w:hAnsi="宋体" w:eastAsia="宋体" w:cs="Calibri"/>
          <w:szCs w:val="21"/>
        </w:rPr>
        <w:t>2.2</w:t>
      </w:r>
      <w:r>
        <w:rPr>
          <w:rFonts w:hint="eastAsia" w:ascii="宋体" w:hAnsi="宋体" w:eastAsia="宋体" w:cs="Calibri"/>
          <w:szCs w:val="21"/>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8996328">
      <w:pPr>
        <w:spacing w:line="360" w:lineRule="auto"/>
        <w:ind w:firstLine="420" w:firstLineChars="200"/>
        <w:rPr>
          <w:rFonts w:hint="eastAsia" w:ascii="宋体" w:hAnsi="宋体" w:eastAsia="宋体" w:cs="Calibri"/>
          <w:spacing w:val="-6"/>
          <w:szCs w:val="21"/>
        </w:rPr>
      </w:pPr>
      <w:r>
        <w:rPr>
          <w:rFonts w:ascii="宋体" w:hAnsi="宋体" w:eastAsia="宋体" w:cs="Calibri"/>
          <w:szCs w:val="21"/>
        </w:rPr>
        <w:t>2</w:t>
      </w:r>
      <w:r>
        <w:rPr>
          <w:rFonts w:hint="eastAsia" w:ascii="宋体" w:hAnsi="宋体" w:eastAsia="宋体" w:cs="Calibri"/>
          <w:szCs w:val="21"/>
        </w:rPr>
        <w:t>.</w:t>
      </w:r>
      <w:r>
        <w:rPr>
          <w:rFonts w:ascii="宋体" w:hAnsi="宋体" w:eastAsia="宋体" w:cs="Calibri"/>
          <w:szCs w:val="21"/>
        </w:rPr>
        <w:t>3</w:t>
      </w:r>
      <w:r>
        <w:rPr>
          <w:rFonts w:hint="eastAsia" w:ascii="宋体" w:hAnsi="宋体" w:eastAsia="宋体" w:cs="Calibri"/>
          <w:szCs w:val="21"/>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ascii="宋体" w:hAnsi="宋体" w:eastAsia="宋体"/>
        </w:rPr>
        <w:t>签章</w:t>
      </w:r>
      <w:r>
        <w:rPr>
          <w:rFonts w:hint="eastAsia" w:ascii="宋体" w:hAnsi="宋体" w:eastAsia="宋体" w:cs="Calibri"/>
          <w:spacing w:val="-6"/>
          <w:szCs w:val="21"/>
        </w:rPr>
        <w:t>。</w:t>
      </w:r>
    </w:p>
    <w:p w14:paraId="6F7DD6EF">
      <w:pPr>
        <w:spacing w:line="360" w:lineRule="auto"/>
        <w:ind w:firstLine="420" w:firstLineChars="200"/>
        <w:rPr>
          <w:rFonts w:hint="eastAsia" w:ascii="宋体" w:hAnsi="宋体" w:eastAsia="宋体" w:cs="Calibri"/>
          <w:spacing w:val="-6"/>
          <w:szCs w:val="21"/>
        </w:rPr>
      </w:pPr>
      <w:r>
        <w:rPr>
          <w:rFonts w:hint="eastAsia" w:ascii="宋体" w:hAnsi="宋体" w:eastAsia="宋体" w:cs="Cambria"/>
          <w:szCs w:val="21"/>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49AB941F">
      <w:pPr>
        <w:spacing w:line="360" w:lineRule="auto"/>
        <w:ind w:firstLine="396" w:firstLineChars="200"/>
        <w:rPr>
          <w:rFonts w:hint="eastAsia" w:ascii="宋体" w:hAnsi="宋体" w:eastAsia="宋体" w:cs="Calibri"/>
          <w:szCs w:val="21"/>
        </w:rPr>
      </w:pPr>
      <w:r>
        <w:rPr>
          <w:rFonts w:ascii="宋体" w:hAnsi="宋体" w:eastAsia="宋体" w:cs="Calibri"/>
          <w:spacing w:val="-6"/>
          <w:szCs w:val="21"/>
        </w:rPr>
        <w:t>2.4</w:t>
      </w:r>
      <w:r>
        <w:rPr>
          <w:rFonts w:hint="eastAsia" w:ascii="宋体" w:hAnsi="宋体" w:eastAsia="宋体" w:cs="Calibri"/>
          <w:szCs w:val="21"/>
        </w:rPr>
        <w:t xml:space="preserve">首次响应文件报价出现前后不一致的，按照下列规定修正： </w:t>
      </w:r>
    </w:p>
    <w:p w14:paraId="565E487F">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（1）响应文件中报价表内容与响应文件中相应内容不一致的，以报价表为准；</w:t>
      </w:r>
    </w:p>
    <w:p w14:paraId="7A1004CD">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（2）大写金额和小写金额不一致的，以大写金额为准；</w:t>
      </w:r>
    </w:p>
    <w:p w14:paraId="5395366A">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（3）单价金额小数点或者百分比有明显错位的，以报价表的总价为准，并修改单价；</w:t>
      </w:r>
    </w:p>
    <w:p w14:paraId="1E5569C9">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（4）总价金额与按单价汇总金额不一致的，以单价金额计算结果为准。</w:t>
      </w:r>
    </w:p>
    <w:p w14:paraId="4DC7FF5D">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同时出现两种以上不一致的，按照以上（1）-（4）规定的顺序逐条进行修正。修正后的报价经供应商确认后产生约束力，供应商不确认的，其响应文件按无效响应处理。</w:t>
      </w:r>
    </w:p>
    <w:p w14:paraId="0C9C673C">
      <w:pPr>
        <w:spacing w:line="360" w:lineRule="auto"/>
        <w:ind w:firstLine="420" w:firstLineChars="200"/>
        <w:rPr>
          <w:rFonts w:hint="eastAsia" w:ascii="宋体" w:hAnsi="宋体" w:eastAsia="宋体" w:cs="Calibri"/>
          <w:szCs w:val="21"/>
        </w:rPr>
      </w:pPr>
      <w:r>
        <w:rPr>
          <w:rFonts w:ascii="宋体" w:hAnsi="宋体" w:eastAsia="宋体" w:cs="Calibri"/>
          <w:szCs w:val="21"/>
        </w:rPr>
        <w:t>2</w:t>
      </w:r>
      <w:r>
        <w:rPr>
          <w:rFonts w:hint="eastAsia" w:ascii="宋体" w:hAnsi="宋体" w:eastAsia="宋体" w:cs="Calibri"/>
          <w:szCs w:val="21"/>
        </w:rPr>
        <w:t>.</w:t>
      </w:r>
      <w:r>
        <w:rPr>
          <w:rFonts w:ascii="宋体" w:hAnsi="宋体" w:eastAsia="宋体" w:cs="Calibri"/>
          <w:szCs w:val="21"/>
        </w:rPr>
        <w:t>5</w:t>
      </w:r>
      <w:r>
        <w:rPr>
          <w:rFonts w:hint="eastAsia" w:ascii="宋体" w:hAnsi="宋体" w:eastAsia="宋体" w:cs="Calibri"/>
          <w:szCs w:val="21"/>
        </w:rPr>
        <w:t>商务技术报价评审</w:t>
      </w:r>
    </w:p>
    <w:p w14:paraId="6731111B">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在评审时，如发现下列情形之一的，将被视为响应文件无效处理：</w:t>
      </w:r>
    </w:p>
    <w:p w14:paraId="606A2E5F">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（1）商务技术评审</w:t>
      </w:r>
    </w:p>
    <w:p w14:paraId="6481CC20">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1）提供响应文件正、副本数量不足；</w:t>
      </w:r>
    </w:p>
    <w:p w14:paraId="6280CAC1">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2）响应文件未按磋商文件要求签署、盖章；</w:t>
      </w:r>
    </w:p>
    <w:p w14:paraId="01EF33DF">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 xml:space="preserve">3）委托代理人未能出具有效身份证或者出具的身份证与授权委托书中的信息不符的； </w:t>
      </w:r>
    </w:p>
    <w:p w14:paraId="50A598C0">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4）提交的磋商保证金无效的或者未按照磋商文件的规定提交磋商保证金；</w:t>
      </w:r>
    </w:p>
    <w:p w14:paraId="7BE1D411">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5）响应文件未提供任一项“供应商须知前附表”商务技术文件中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21918A9C">
      <w:pPr>
        <w:spacing w:line="360" w:lineRule="auto"/>
        <w:ind w:firstLine="420" w:firstLineChars="200"/>
        <w:rPr>
          <w:rFonts w:hint="eastAsia" w:ascii="宋体" w:hAnsi="宋体" w:eastAsia="宋体" w:cs="Calibri"/>
          <w:szCs w:val="21"/>
        </w:rPr>
      </w:pPr>
      <w:r>
        <w:rPr>
          <w:rFonts w:ascii="宋体" w:hAnsi="宋体" w:eastAsia="宋体" w:cs="Calibri"/>
          <w:szCs w:val="21"/>
        </w:rPr>
        <w:t>6</w:t>
      </w:r>
      <w:r>
        <w:rPr>
          <w:rFonts w:hint="eastAsia" w:ascii="宋体" w:hAnsi="宋体" w:eastAsia="宋体" w:cs="Calibri"/>
          <w:szCs w:val="21"/>
        </w:rPr>
        <w:t>）商务要求允许负偏离的条款数超过“供应商须知前附表”规定项数的；</w:t>
      </w:r>
    </w:p>
    <w:p w14:paraId="677F5504">
      <w:pPr>
        <w:spacing w:line="360" w:lineRule="auto"/>
        <w:ind w:firstLine="420" w:firstLineChars="200"/>
        <w:rPr>
          <w:rFonts w:hint="eastAsia" w:ascii="宋体" w:hAnsi="宋体" w:eastAsia="宋体" w:cs="Calibri"/>
          <w:szCs w:val="21"/>
        </w:rPr>
      </w:pPr>
      <w:r>
        <w:rPr>
          <w:rFonts w:ascii="宋体" w:hAnsi="宋体" w:eastAsia="宋体" w:cs="Calibri"/>
          <w:szCs w:val="21"/>
        </w:rPr>
        <w:t>7</w:t>
      </w:r>
      <w:r>
        <w:rPr>
          <w:rFonts w:hint="eastAsia" w:ascii="宋体" w:hAnsi="宋体" w:eastAsia="宋体" w:cs="Calibri"/>
          <w:szCs w:val="21"/>
        </w:rPr>
        <w:t>）未对竞标有效期作出响应或者响应文件承诺的竞标有效期不满足磋商文件要求；</w:t>
      </w:r>
    </w:p>
    <w:p w14:paraId="1AED6C32">
      <w:pPr>
        <w:spacing w:line="360" w:lineRule="auto"/>
        <w:ind w:firstLine="420" w:firstLineChars="200"/>
        <w:rPr>
          <w:rFonts w:hint="eastAsia" w:ascii="宋体" w:hAnsi="宋体" w:eastAsia="宋体" w:cs="Calibri"/>
          <w:szCs w:val="21"/>
        </w:rPr>
      </w:pPr>
      <w:r>
        <w:rPr>
          <w:rFonts w:ascii="宋体" w:hAnsi="宋体" w:eastAsia="宋体" w:cs="Calibri"/>
          <w:szCs w:val="21"/>
        </w:rPr>
        <w:t>8</w:t>
      </w:r>
      <w:r>
        <w:rPr>
          <w:rFonts w:hint="eastAsia" w:ascii="宋体" w:hAnsi="宋体" w:eastAsia="宋体" w:cs="Calibri"/>
          <w:szCs w:val="21"/>
        </w:rPr>
        <w:t>）响应文件的实质性内容未使用中文表述、使用计量单位不符合磋商文件要求；</w:t>
      </w:r>
    </w:p>
    <w:p w14:paraId="215C89AA">
      <w:pPr>
        <w:spacing w:line="360" w:lineRule="auto"/>
        <w:ind w:firstLine="420" w:firstLineChars="200"/>
        <w:rPr>
          <w:rFonts w:hint="eastAsia" w:ascii="宋体" w:hAnsi="宋体" w:eastAsia="宋体" w:cs="Calibri"/>
          <w:szCs w:val="21"/>
        </w:rPr>
      </w:pPr>
      <w:r>
        <w:rPr>
          <w:rFonts w:ascii="宋体" w:hAnsi="宋体" w:eastAsia="宋体" w:cs="Calibri"/>
          <w:szCs w:val="21"/>
        </w:rPr>
        <w:t>9</w:t>
      </w:r>
      <w:r>
        <w:rPr>
          <w:rFonts w:hint="eastAsia" w:ascii="宋体" w:hAnsi="宋体" w:eastAsia="宋体" w:cs="Calibri"/>
          <w:szCs w:val="21"/>
        </w:rPr>
        <w:t>）响应文件中的文件资料因填写不齐全或者内容虚假或者出现其他情形而导致被磋商小组认定无效；</w:t>
      </w:r>
    </w:p>
    <w:p w14:paraId="761A0DE1">
      <w:pPr>
        <w:spacing w:line="360" w:lineRule="auto"/>
        <w:ind w:firstLine="420" w:firstLineChars="200"/>
        <w:rPr>
          <w:rFonts w:hint="eastAsia" w:ascii="宋体" w:hAnsi="宋体" w:eastAsia="宋体" w:cs="Calibri"/>
          <w:szCs w:val="21"/>
        </w:rPr>
      </w:pPr>
      <w:r>
        <w:rPr>
          <w:rFonts w:ascii="宋体" w:hAnsi="宋体" w:eastAsia="宋体" w:cs="Calibri"/>
          <w:szCs w:val="21"/>
        </w:rPr>
        <w:t>10</w:t>
      </w:r>
      <w:r>
        <w:rPr>
          <w:rFonts w:hint="eastAsia" w:ascii="宋体" w:hAnsi="宋体" w:eastAsia="宋体" w:cs="Calibri"/>
          <w:szCs w:val="21"/>
        </w:rPr>
        <w:t>）响应文件含有采购人不能接受的附加条件；</w:t>
      </w:r>
    </w:p>
    <w:p w14:paraId="609369BF">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1</w:t>
      </w:r>
      <w:r>
        <w:rPr>
          <w:rFonts w:ascii="宋体" w:hAnsi="宋体" w:eastAsia="宋体" w:cs="Calibri"/>
          <w:szCs w:val="21"/>
        </w:rPr>
        <w:t>1</w:t>
      </w:r>
      <w:r>
        <w:rPr>
          <w:rFonts w:hint="eastAsia" w:ascii="宋体" w:hAnsi="宋体" w:eastAsia="宋体" w:cs="Calibri"/>
          <w:szCs w:val="21"/>
        </w:rPr>
        <w:t>）属于“供应商须知正文”第7.</w:t>
      </w:r>
      <w:r>
        <w:rPr>
          <w:rFonts w:ascii="宋体" w:hAnsi="宋体" w:eastAsia="宋体" w:cs="Calibri"/>
          <w:szCs w:val="21"/>
        </w:rPr>
        <w:t>5</w:t>
      </w:r>
      <w:r>
        <w:rPr>
          <w:rFonts w:hint="eastAsia" w:ascii="宋体" w:hAnsi="宋体" w:eastAsia="宋体" w:cs="Calibri"/>
          <w:szCs w:val="21"/>
        </w:rPr>
        <w:t>条情形；</w:t>
      </w:r>
    </w:p>
    <w:p w14:paraId="124CABB7">
      <w:pPr>
        <w:spacing w:line="360" w:lineRule="auto"/>
        <w:ind w:firstLine="420" w:firstLineChars="200"/>
        <w:rPr>
          <w:rFonts w:hint="eastAsia" w:ascii="宋体" w:hAnsi="宋体" w:eastAsia="宋体" w:cs="Calibri"/>
          <w:szCs w:val="21"/>
        </w:rPr>
      </w:pPr>
      <w:r>
        <w:rPr>
          <w:rFonts w:ascii="宋体" w:hAnsi="宋体" w:eastAsia="宋体" w:cs="Calibri"/>
          <w:szCs w:val="21"/>
        </w:rPr>
        <w:t>1</w:t>
      </w:r>
      <w:r>
        <w:rPr>
          <w:rFonts w:hint="eastAsia" w:ascii="宋体" w:hAnsi="宋体" w:eastAsia="宋体" w:cs="Calibri"/>
          <w:szCs w:val="21"/>
        </w:rPr>
        <w:t>2）技术要求允许负偏离的条款数超过“供应商须知前附表”规定项数；</w:t>
      </w:r>
    </w:p>
    <w:p w14:paraId="22645177">
      <w:pPr>
        <w:spacing w:line="360" w:lineRule="auto"/>
        <w:ind w:firstLine="420" w:firstLineChars="200"/>
        <w:rPr>
          <w:rFonts w:hint="eastAsia" w:ascii="宋体" w:hAnsi="宋体" w:eastAsia="宋体" w:cs="Calibri"/>
          <w:szCs w:val="21"/>
        </w:rPr>
      </w:pPr>
      <w:r>
        <w:rPr>
          <w:rFonts w:ascii="宋体" w:hAnsi="宋体" w:eastAsia="宋体" w:cs="Calibri"/>
          <w:szCs w:val="21"/>
        </w:rPr>
        <w:t>1</w:t>
      </w:r>
      <w:r>
        <w:rPr>
          <w:rFonts w:hint="eastAsia" w:ascii="宋体" w:hAnsi="宋体" w:eastAsia="宋体" w:cs="Calibri"/>
          <w:szCs w:val="21"/>
        </w:rPr>
        <w:t>3）虚假竞标，或者出现其他情形而导致被磋商小组认定无效；</w:t>
      </w:r>
    </w:p>
    <w:p w14:paraId="7D960EBB">
      <w:pPr>
        <w:spacing w:line="360" w:lineRule="auto"/>
        <w:ind w:firstLine="420" w:firstLineChars="200"/>
        <w:rPr>
          <w:rFonts w:hint="eastAsia" w:ascii="宋体" w:hAnsi="宋体" w:eastAsia="宋体" w:cs="Calibri"/>
          <w:szCs w:val="21"/>
        </w:rPr>
      </w:pPr>
      <w:r>
        <w:rPr>
          <w:rFonts w:ascii="宋体" w:hAnsi="宋体" w:eastAsia="宋体" w:cs="Calibri"/>
          <w:szCs w:val="21"/>
        </w:rPr>
        <w:t>1</w:t>
      </w:r>
      <w:r>
        <w:rPr>
          <w:rFonts w:hint="eastAsia" w:ascii="宋体" w:hAnsi="宋体" w:eastAsia="宋体" w:cs="Calibri"/>
          <w:szCs w:val="21"/>
        </w:rPr>
        <w:t>4）</w:t>
      </w:r>
      <w:bookmarkStart w:id="99" w:name="_Hlk71704147"/>
      <w:r>
        <w:rPr>
          <w:rFonts w:hint="eastAsia" w:ascii="宋体" w:hAnsi="宋体" w:eastAsia="宋体" w:cs="Calibri"/>
          <w:szCs w:val="21"/>
        </w:rPr>
        <w:t>磋商文件未载明允许提供备选（替代）竞标方案或明确不允许提供备选（替代）竞标方案时，供应商提供了备选（替代）竞标方案的；</w:t>
      </w:r>
      <w:bookmarkEnd w:id="99"/>
    </w:p>
    <w:p w14:paraId="00C0073C">
      <w:pPr>
        <w:spacing w:line="360" w:lineRule="auto"/>
        <w:ind w:firstLine="420" w:firstLineChars="200"/>
        <w:rPr>
          <w:rFonts w:hint="eastAsia" w:ascii="宋体" w:hAnsi="宋体" w:eastAsia="宋体" w:cs="Calibri"/>
          <w:szCs w:val="21"/>
        </w:rPr>
      </w:pPr>
      <w:r>
        <w:rPr>
          <w:rFonts w:ascii="宋体" w:hAnsi="宋体" w:eastAsia="宋体" w:cs="Calibri"/>
          <w:szCs w:val="21"/>
        </w:rPr>
        <w:t>15</w:t>
      </w:r>
      <w:r>
        <w:rPr>
          <w:rFonts w:hint="eastAsia" w:ascii="宋体" w:hAnsi="宋体" w:eastAsia="宋体" w:cs="Calibri"/>
          <w:szCs w:val="21"/>
        </w:rPr>
        <w:t>）响应文件标注的项目名称或者项目编号与磋商文件标注的项目名称或者项目编号不一致的；</w:t>
      </w:r>
    </w:p>
    <w:p w14:paraId="61E24078">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1</w:t>
      </w:r>
      <w:r>
        <w:rPr>
          <w:rFonts w:ascii="宋体" w:hAnsi="宋体" w:eastAsia="宋体" w:cs="Calibri"/>
          <w:szCs w:val="21"/>
        </w:rPr>
        <w:t>6</w:t>
      </w:r>
      <w:r>
        <w:rPr>
          <w:rFonts w:hint="eastAsia" w:ascii="宋体" w:hAnsi="宋体" w:eastAsia="宋体" w:cs="Calibri"/>
          <w:szCs w:val="21"/>
        </w:rPr>
        <w:t>）</w:t>
      </w:r>
      <w:r>
        <w:rPr>
          <w:rFonts w:hint="eastAsia" w:ascii="宋体" w:hAnsi="宋体" w:eastAsia="宋体"/>
          <w:b/>
          <w:szCs w:val="21"/>
        </w:rPr>
        <w:t>竞争性磋商文件明确不允许分包，响应文件拟分包的；</w:t>
      </w:r>
    </w:p>
    <w:p w14:paraId="3FD013DC">
      <w:pPr>
        <w:spacing w:line="360" w:lineRule="auto"/>
        <w:ind w:firstLine="420" w:firstLineChars="200"/>
        <w:rPr>
          <w:rFonts w:hint="eastAsia" w:ascii="宋体" w:hAnsi="宋体" w:eastAsia="宋体" w:cs="Calibri"/>
          <w:szCs w:val="21"/>
        </w:rPr>
      </w:pPr>
      <w:r>
        <w:rPr>
          <w:rFonts w:ascii="宋体" w:hAnsi="宋体" w:eastAsia="宋体" w:cs="Calibri"/>
          <w:szCs w:val="21"/>
        </w:rPr>
        <w:t>17</w:t>
      </w:r>
      <w:r>
        <w:rPr>
          <w:rFonts w:hint="eastAsia" w:ascii="宋体" w:hAnsi="宋体" w:eastAsia="宋体" w:cs="Calibri"/>
          <w:szCs w:val="21"/>
        </w:rPr>
        <w:t>）未响应磋商文件实质性要求；</w:t>
      </w:r>
    </w:p>
    <w:p w14:paraId="2C96C32D">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1</w:t>
      </w:r>
      <w:r>
        <w:rPr>
          <w:rFonts w:ascii="宋体" w:hAnsi="宋体" w:eastAsia="宋体" w:cs="Calibri"/>
          <w:szCs w:val="21"/>
        </w:rPr>
        <w:t>8</w:t>
      </w:r>
      <w:r>
        <w:rPr>
          <w:rFonts w:hint="eastAsia" w:ascii="宋体" w:hAnsi="宋体" w:eastAsia="宋体" w:cs="Calibri"/>
          <w:szCs w:val="21"/>
        </w:rPr>
        <w:t>）法律、法规和磋商文件规定的其他无效情形。</w:t>
      </w:r>
    </w:p>
    <w:p w14:paraId="2ECA7089">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w:t>
      </w:r>
      <w:r>
        <w:rPr>
          <w:rFonts w:ascii="宋体" w:hAnsi="宋体" w:eastAsia="宋体" w:cs="Calibri"/>
          <w:szCs w:val="21"/>
        </w:rPr>
        <w:t>2</w:t>
      </w:r>
      <w:r>
        <w:rPr>
          <w:rFonts w:hint="eastAsia" w:ascii="宋体" w:hAnsi="宋体" w:eastAsia="宋体" w:cs="Calibri"/>
          <w:szCs w:val="21"/>
        </w:rPr>
        <w:t>）报价评审</w:t>
      </w:r>
    </w:p>
    <w:p w14:paraId="274C13C9">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1）</w:t>
      </w:r>
      <w:r>
        <w:rPr>
          <w:rFonts w:ascii="宋体" w:hAnsi="宋体" w:eastAsia="宋体" w:cs="Calibri"/>
          <w:szCs w:val="21"/>
        </w:rPr>
        <w:t xml:space="preserve"> </w:t>
      </w:r>
      <w:r>
        <w:rPr>
          <w:rFonts w:hint="eastAsia" w:ascii="宋体" w:hAnsi="宋体" w:eastAsia="宋体" w:cs="Calibri"/>
          <w:szCs w:val="21"/>
        </w:rPr>
        <w:t>响应文件未提供“供应商须知前附表” 报价文件中规定的“竞标报价表”；</w:t>
      </w:r>
    </w:p>
    <w:p w14:paraId="2C9FBB98">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2）未采用人民币报价或者未按照磋商文件标明的币种报价；</w:t>
      </w:r>
    </w:p>
    <w:p w14:paraId="06EC8B31">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3BA48987">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4）竞标报价（包含首次报价、最后报价）超过所竞标分标规定的采购预算金额或者最高限价的（如本项目公布了最高限价）；</w:t>
      </w:r>
      <w:bookmarkStart w:id="100" w:name="_Hlk42596405"/>
      <w:r>
        <w:rPr>
          <w:rFonts w:hint="eastAsia" w:ascii="宋体" w:hAnsi="宋体" w:eastAsia="宋体" w:cs="Calibri"/>
          <w:szCs w:val="21"/>
        </w:rPr>
        <w:t>竞标报价（包含首次报价、最后报价）</w:t>
      </w:r>
      <w:bookmarkEnd w:id="100"/>
      <w:bookmarkStart w:id="101" w:name="_Hlk42596276"/>
      <w:r>
        <w:rPr>
          <w:rFonts w:hint="eastAsia" w:ascii="宋体" w:hAnsi="宋体" w:eastAsia="宋体" w:cs="Calibri"/>
          <w:szCs w:val="21"/>
        </w:rPr>
        <w:t>超过磋商文件分项采购预算金额或者最高限价的</w:t>
      </w:r>
      <w:bookmarkEnd w:id="101"/>
      <w:r>
        <w:rPr>
          <w:rFonts w:hint="eastAsia" w:ascii="宋体" w:hAnsi="宋体" w:eastAsia="宋体" w:cs="Calibri"/>
          <w:szCs w:val="21"/>
        </w:rPr>
        <w:t>（如本项目公布了最高限价）；</w:t>
      </w:r>
    </w:p>
    <w:p w14:paraId="323CD8C2">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635466B6">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6）</w:t>
      </w:r>
      <w:r>
        <w:rPr>
          <w:rFonts w:hint="eastAsia" w:ascii="宋体" w:hAnsi="宋体" w:eastAsia="宋体"/>
          <w:szCs w:val="21"/>
        </w:rPr>
        <w:t>响应文件响应的标的数量及单位与竞争性磋商采购文件要求实质性不一致的。</w:t>
      </w:r>
    </w:p>
    <w:p w14:paraId="37F544F6">
      <w:pPr>
        <w:spacing w:line="360" w:lineRule="auto"/>
        <w:ind w:firstLine="420" w:firstLineChars="200"/>
        <w:rPr>
          <w:rFonts w:hint="eastAsia" w:ascii="宋体" w:hAnsi="宋体" w:eastAsia="宋体" w:cs="Calibri"/>
          <w:szCs w:val="21"/>
        </w:rPr>
      </w:pPr>
      <w:r>
        <w:rPr>
          <w:rFonts w:ascii="宋体" w:hAnsi="宋体" w:eastAsia="宋体" w:cs="Calibri"/>
          <w:szCs w:val="21"/>
        </w:rPr>
        <w:t>2.6</w:t>
      </w:r>
      <w:r>
        <w:rPr>
          <w:rFonts w:hint="eastAsia" w:ascii="宋体" w:hAnsi="宋体" w:eastAsia="宋体" w:cs="Calibri"/>
          <w:szCs w:val="21"/>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576359F9">
      <w:pPr>
        <w:spacing w:line="360" w:lineRule="auto"/>
        <w:ind w:firstLine="420" w:firstLineChars="200"/>
        <w:rPr>
          <w:rFonts w:hint="eastAsia" w:ascii="宋体" w:hAnsi="宋体" w:eastAsia="宋体" w:cs="Calibri"/>
          <w:szCs w:val="21"/>
        </w:rPr>
      </w:pPr>
      <w:r>
        <w:rPr>
          <w:rFonts w:ascii="宋体" w:hAnsi="宋体" w:eastAsia="宋体" w:cs="Calibri"/>
          <w:szCs w:val="21"/>
        </w:rPr>
        <w:t>2.7</w:t>
      </w:r>
      <w:r>
        <w:rPr>
          <w:rFonts w:hint="eastAsia" w:ascii="宋体" w:hAnsi="宋体" w:eastAsia="宋体"/>
          <w:szCs w:val="21"/>
        </w:rPr>
        <w:t>通过符合性审查的合格供应商不足3家的，不得进入磋商环节，采购人或者采购代理机构应当重新开展采购活动。</w:t>
      </w:r>
    </w:p>
    <w:p w14:paraId="197F7FAC">
      <w:pPr>
        <w:spacing w:line="360" w:lineRule="auto"/>
        <w:ind w:firstLine="482" w:firstLineChars="200"/>
        <w:rPr>
          <w:rFonts w:hint="eastAsia" w:ascii="宋体" w:hAnsi="宋体" w:eastAsia="宋体" w:cs="Calibri"/>
          <w:b/>
          <w:bCs/>
          <w:sz w:val="24"/>
        </w:rPr>
      </w:pPr>
      <w:r>
        <w:rPr>
          <w:rFonts w:ascii="宋体" w:hAnsi="宋体" w:eastAsia="宋体" w:cs="Calibri"/>
          <w:b/>
          <w:bCs/>
          <w:sz w:val="24"/>
        </w:rPr>
        <w:t>3</w:t>
      </w:r>
      <w:r>
        <w:rPr>
          <w:rFonts w:hint="eastAsia" w:ascii="宋体" w:hAnsi="宋体" w:eastAsia="宋体" w:cs="Calibri"/>
          <w:b/>
          <w:bCs/>
          <w:sz w:val="24"/>
        </w:rPr>
        <w:t>.磋商程序</w:t>
      </w:r>
    </w:p>
    <w:p w14:paraId="4B51B7A2">
      <w:pPr>
        <w:spacing w:line="360" w:lineRule="auto"/>
        <w:ind w:firstLine="420" w:firstLineChars="200"/>
        <w:rPr>
          <w:rFonts w:hint="eastAsia" w:ascii="宋体" w:hAnsi="宋体" w:eastAsia="宋体" w:cs="Calibri"/>
          <w:kern w:val="0"/>
          <w:szCs w:val="21"/>
        </w:rPr>
      </w:pPr>
      <w:r>
        <w:rPr>
          <w:rFonts w:hint="eastAsia" w:ascii="宋体" w:hAnsi="宋体" w:eastAsia="宋体" w:cs="Calibri"/>
          <w:kern w:val="0"/>
          <w:szCs w:val="21"/>
        </w:rPr>
        <w:t>3</w:t>
      </w:r>
      <w:r>
        <w:rPr>
          <w:rFonts w:ascii="宋体" w:hAnsi="宋体" w:eastAsia="宋体" w:cs="Calibri"/>
          <w:kern w:val="0"/>
          <w:szCs w:val="21"/>
        </w:rPr>
        <w:t>.1</w:t>
      </w:r>
      <w:r>
        <w:rPr>
          <w:rFonts w:hint="eastAsia" w:ascii="宋体" w:hAnsi="宋体" w:eastAsia="宋体" w:cs="Calibri"/>
          <w:kern w:val="0"/>
          <w:szCs w:val="21"/>
        </w:rPr>
        <w:t>磋商小组</w:t>
      </w:r>
      <w:r>
        <w:rPr>
          <w:rFonts w:hint="eastAsia" w:ascii="宋体" w:hAnsi="宋体" w:eastAsia="宋体" w:cs="Calibri"/>
          <w:szCs w:val="21"/>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18FEAD00">
      <w:pPr>
        <w:spacing w:line="360" w:lineRule="auto"/>
        <w:ind w:firstLine="420" w:firstLineChars="200"/>
        <w:rPr>
          <w:rFonts w:hint="eastAsia" w:ascii="宋体" w:hAnsi="宋体" w:eastAsia="宋体" w:cs="Calibri"/>
          <w:szCs w:val="21"/>
        </w:rPr>
      </w:pPr>
      <w:r>
        <w:rPr>
          <w:rFonts w:ascii="宋体" w:hAnsi="宋体" w:eastAsia="宋体" w:cs="Calibri"/>
          <w:szCs w:val="21"/>
        </w:rPr>
        <w:t>3.2</w:t>
      </w:r>
      <w:r>
        <w:rPr>
          <w:rFonts w:hint="eastAsia" w:ascii="宋体" w:hAnsi="宋体" w:eastAsia="宋体" w:cs="Calibri"/>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7D3FA918">
      <w:pPr>
        <w:spacing w:line="360" w:lineRule="auto"/>
        <w:ind w:firstLine="420" w:firstLineChars="200"/>
        <w:rPr>
          <w:rFonts w:hint="eastAsia" w:ascii="宋体" w:hAnsi="宋体" w:eastAsia="宋体" w:cs="Calibri"/>
          <w:szCs w:val="21"/>
        </w:rPr>
      </w:pPr>
      <w:r>
        <w:rPr>
          <w:rFonts w:ascii="宋体" w:hAnsi="宋体" w:eastAsia="宋体" w:cs="Calibri"/>
          <w:szCs w:val="21"/>
        </w:rPr>
        <w:t>3.3</w:t>
      </w:r>
      <w:r>
        <w:rPr>
          <w:rFonts w:hint="eastAsia" w:ascii="宋体" w:hAnsi="宋体" w:eastAsia="宋体" w:cs="Calibri"/>
          <w:szCs w:val="21"/>
        </w:rPr>
        <w:t>对磋商文件作出的实质性变动是磋商文件的有效组成部分，由磋商小组及时以电子澄清函形式同时通知所有参加磋商的供应商。</w:t>
      </w:r>
    </w:p>
    <w:p w14:paraId="0E470498">
      <w:pPr>
        <w:spacing w:line="360" w:lineRule="auto"/>
        <w:ind w:firstLine="420" w:firstLineChars="200"/>
        <w:rPr>
          <w:rFonts w:hint="eastAsia" w:ascii="宋体" w:hAnsi="宋体" w:eastAsia="宋体" w:cs="Calibri"/>
          <w:szCs w:val="21"/>
        </w:rPr>
      </w:pPr>
      <w:r>
        <w:rPr>
          <w:rFonts w:ascii="宋体" w:hAnsi="宋体" w:eastAsia="宋体" w:cs="Calibri"/>
          <w:szCs w:val="21"/>
        </w:rPr>
        <w:t>3.4</w:t>
      </w:r>
      <w:r>
        <w:rPr>
          <w:rFonts w:hint="eastAsia" w:ascii="宋体" w:hAnsi="宋体" w:eastAsia="宋体" w:cs="Calibri"/>
          <w:szCs w:val="21"/>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5587ECE5">
      <w:pPr>
        <w:spacing w:line="360" w:lineRule="auto"/>
        <w:ind w:firstLine="420" w:firstLineChars="200"/>
        <w:rPr>
          <w:rFonts w:hint="eastAsia" w:ascii="宋体" w:hAnsi="宋体" w:eastAsia="宋体" w:cs="Calibri"/>
          <w:szCs w:val="21"/>
        </w:rPr>
      </w:pPr>
      <w:r>
        <w:rPr>
          <w:rFonts w:ascii="宋体" w:hAnsi="宋体" w:eastAsia="宋体" w:cs="Calibri"/>
          <w:szCs w:val="21"/>
        </w:rPr>
        <w:t>3.5</w:t>
      </w:r>
      <w:r>
        <w:rPr>
          <w:rFonts w:hint="eastAsia" w:ascii="宋体" w:hAnsi="宋体" w:eastAsia="宋体" w:cs="Calibri"/>
          <w:szCs w:val="21"/>
        </w:rPr>
        <w:t>磋商中，</w:t>
      </w:r>
      <w:r>
        <w:rPr>
          <w:rFonts w:hint="eastAsia" w:ascii="宋体" w:hAnsi="宋体" w:eastAsia="宋体" w:cs="Calibri"/>
          <w:spacing w:val="-6"/>
          <w:szCs w:val="21"/>
        </w:rPr>
        <w:t>磋商的任何一方不得透露与磋商有关的其他供应商的技术资料、价格和其他信息。</w:t>
      </w:r>
    </w:p>
    <w:p w14:paraId="5A97F770">
      <w:pPr>
        <w:widowControl/>
        <w:tabs>
          <w:tab w:val="left" w:pos="540"/>
        </w:tabs>
        <w:spacing w:line="360" w:lineRule="auto"/>
        <w:ind w:firstLine="420" w:firstLineChars="200"/>
        <w:jc w:val="left"/>
        <w:rPr>
          <w:rFonts w:hint="eastAsia" w:ascii="宋体" w:hAnsi="宋体" w:eastAsia="宋体" w:cs="Calibri"/>
          <w:szCs w:val="21"/>
        </w:rPr>
      </w:pPr>
      <w:r>
        <w:rPr>
          <w:rFonts w:ascii="宋体" w:hAnsi="宋体" w:eastAsia="宋体" w:cs="Calibri"/>
          <w:szCs w:val="21"/>
        </w:rPr>
        <w:t>3.6</w:t>
      </w:r>
      <w:r>
        <w:rPr>
          <w:rFonts w:hint="eastAsia" w:ascii="宋体" w:hAnsi="宋体" w:eastAsia="宋体" w:cs="Calibri"/>
          <w:szCs w:val="21"/>
        </w:rPr>
        <w:t>采购代理机构对磋商过程和重要磋商内容进行记录。</w:t>
      </w:r>
    </w:p>
    <w:p w14:paraId="12FC7342">
      <w:pPr>
        <w:widowControl/>
        <w:tabs>
          <w:tab w:val="left" w:pos="540"/>
        </w:tabs>
        <w:spacing w:line="360" w:lineRule="auto"/>
        <w:ind w:firstLine="420" w:firstLineChars="200"/>
        <w:jc w:val="left"/>
        <w:rPr>
          <w:rFonts w:hint="eastAsia" w:ascii="宋体" w:hAnsi="宋体" w:eastAsia="宋体" w:cs="Calibri"/>
          <w:szCs w:val="21"/>
        </w:rPr>
      </w:pPr>
      <w:r>
        <w:rPr>
          <w:rFonts w:hint="eastAsia" w:ascii="宋体" w:hAnsi="宋体" w:eastAsia="宋体" w:cs="Calibri"/>
          <w:szCs w:val="21"/>
        </w:rPr>
        <w:t>3</w:t>
      </w:r>
      <w:r>
        <w:rPr>
          <w:rFonts w:ascii="宋体" w:hAnsi="宋体" w:eastAsia="宋体" w:cs="Calibri"/>
          <w:szCs w:val="21"/>
        </w:rPr>
        <w:t>.7</w:t>
      </w:r>
      <w:r>
        <w:rPr>
          <w:rFonts w:ascii="宋体" w:hAnsi="宋体" w:eastAsia="宋体"/>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79DE7035">
      <w:pPr>
        <w:tabs>
          <w:tab w:val="left" w:pos="2835"/>
        </w:tabs>
        <w:spacing w:line="360" w:lineRule="auto"/>
        <w:ind w:firstLine="420" w:firstLineChars="200"/>
        <w:rPr>
          <w:rFonts w:hint="eastAsia" w:ascii="宋体" w:hAnsi="宋体" w:eastAsia="宋体" w:cs="Calibri"/>
          <w:szCs w:val="21"/>
        </w:rPr>
      </w:pPr>
      <w:r>
        <w:rPr>
          <w:rFonts w:ascii="宋体" w:hAnsi="宋体" w:eastAsia="宋体" w:cs="Calibri"/>
          <w:szCs w:val="21"/>
        </w:rPr>
        <w:t>3.8除</w:t>
      </w:r>
      <w:r>
        <w:rPr>
          <w:rFonts w:ascii="宋体" w:hAnsi="宋体" w:eastAsia="宋体"/>
        </w:rPr>
        <w:t>本章第3.7条情形</w:t>
      </w:r>
      <w:r>
        <w:rPr>
          <w:rFonts w:hint="eastAsia" w:ascii="宋体" w:hAnsi="宋体" w:eastAsia="宋体"/>
        </w:rPr>
        <w:t>外，</w:t>
      </w:r>
      <w:r>
        <w:rPr>
          <w:rFonts w:hint="eastAsia" w:ascii="宋体" w:hAnsi="宋体" w:eastAsia="宋体"/>
          <w:szCs w:val="21"/>
        </w:rPr>
        <w:t>对磋商过程提交的响应文件进行有效性、完整性和响应程度审查，通过审查的合格供应商不足3家的，采购人或者采购代理机构应当重新开展采购活动。</w:t>
      </w:r>
    </w:p>
    <w:p w14:paraId="65839B29">
      <w:pPr>
        <w:spacing w:line="360" w:lineRule="auto"/>
        <w:ind w:firstLine="482" w:firstLineChars="200"/>
        <w:rPr>
          <w:rFonts w:hint="eastAsia" w:ascii="宋体" w:hAnsi="宋体" w:eastAsia="宋体" w:cs="Calibri"/>
          <w:szCs w:val="21"/>
        </w:rPr>
      </w:pPr>
      <w:r>
        <w:rPr>
          <w:rFonts w:ascii="宋体" w:hAnsi="宋体" w:eastAsia="宋体" w:cs="Calibri"/>
          <w:b/>
          <w:bCs/>
          <w:sz w:val="24"/>
        </w:rPr>
        <w:t>4.</w:t>
      </w:r>
      <w:r>
        <w:rPr>
          <w:rFonts w:hint="eastAsia" w:ascii="宋体" w:hAnsi="宋体" w:eastAsia="宋体" w:cs="Calibri"/>
          <w:b/>
          <w:bCs/>
          <w:sz w:val="24"/>
        </w:rPr>
        <w:t xml:space="preserve"> 最后报价</w:t>
      </w:r>
    </w:p>
    <w:p w14:paraId="04E4621E">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4</w:t>
      </w:r>
      <w:r>
        <w:rPr>
          <w:rFonts w:ascii="宋体" w:hAnsi="宋体" w:eastAsia="宋体" w:cs="Calibri"/>
          <w:szCs w:val="21"/>
        </w:rPr>
        <w:t>.1</w:t>
      </w:r>
      <w:r>
        <w:rPr>
          <w:rFonts w:hint="eastAsia" w:ascii="宋体" w:hAnsi="宋体" w:eastAsia="宋体" w:cs="Calibri"/>
          <w:szCs w:val="21"/>
        </w:rPr>
        <w:t>磋商文件能够详细列明采购标的的技术、服务要求的，磋商结束后，磋商小组应当要求所有继续参加磋商的供应商在规定时间内在广西政府采购云平台开标大厅提交最后报价，除本章第</w:t>
      </w:r>
      <w:r>
        <w:rPr>
          <w:rFonts w:ascii="宋体" w:hAnsi="宋体" w:eastAsia="宋体" w:cs="Calibri"/>
          <w:szCs w:val="21"/>
        </w:rPr>
        <w:t>4.3</w:t>
      </w:r>
      <w:r>
        <w:rPr>
          <w:rFonts w:hint="eastAsia" w:ascii="宋体" w:hAnsi="宋体" w:eastAsia="宋体" w:cs="Calibri"/>
          <w:szCs w:val="21"/>
        </w:rPr>
        <w:t>条外，提交最后报价的供应商不得少于3家，否则必须重新采购。</w:t>
      </w:r>
    </w:p>
    <w:p w14:paraId="4894D3CB">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4</w:t>
      </w:r>
      <w:r>
        <w:rPr>
          <w:rFonts w:ascii="宋体" w:hAnsi="宋体" w:eastAsia="宋体" w:cs="Calibri"/>
          <w:szCs w:val="21"/>
        </w:rPr>
        <w:t>.2</w:t>
      </w:r>
      <w:r>
        <w:rPr>
          <w:rFonts w:hint="eastAsia" w:ascii="宋体" w:hAnsi="宋体" w:eastAsia="宋体" w:cs="Calibri"/>
          <w:szCs w:val="21"/>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14:paraId="108DE3BF">
      <w:pPr>
        <w:spacing w:line="360" w:lineRule="auto"/>
        <w:ind w:firstLine="420" w:firstLineChars="200"/>
        <w:rPr>
          <w:rFonts w:hint="eastAsia" w:ascii="宋体" w:hAnsi="宋体" w:eastAsia="宋体" w:cs="Calibri"/>
          <w:szCs w:val="21"/>
        </w:rPr>
      </w:pPr>
      <w:r>
        <w:rPr>
          <w:rFonts w:ascii="宋体" w:hAnsi="宋体" w:eastAsia="宋体" w:cs="Calibri"/>
          <w:szCs w:val="21"/>
        </w:rPr>
        <w:t>4.3</w:t>
      </w:r>
      <w:r>
        <w:rPr>
          <w:rFonts w:hint="eastAsia" w:ascii="宋体" w:hAnsi="宋体" w:eastAsia="宋体" w:cs="Calibri"/>
          <w:szCs w:val="21"/>
        </w:rPr>
        <w:t xml:space="preserve"> 最后报价是供应商响应文件的有效组成部分。符合《政府采购竞争性磋商采购方式管理暂行办法》（财库〔2014〕214号）第三条第四项“市场竞争不充分的科研项目，以及需要扶持的科技成果转化项目”和</w:t>
      </w:r>
      <w:r>
        <w:rPr>
          <w:rFonts w:ascii="宋体" w:hAnsi="宋体" w:eastAsia="宋体"/>
        </w:rPr>
        <w:t>本章第3.7条情形的，</w:t>
      </w:r>
      <w:r>
        <w:rPr>
          <w:rFonts w:hint="eastAsia" w:ascii="宋体" w:hAnsi="宋体" w:eastAsia="宋体" w:cs="Calibri"/>
          <w:szCs w:val="21"/>
        </w:rPr>
        <w:t>提交最后报价的供应商可以为2家。</w:t>
      </w:r>
    </w:p>
    <w:p w14:paraId="2E66D76D">
      <w:pPr>
        <w:spacing w:line="360" w:lineRule="auto"/>
        <w:ind w:firstLine="420" w:firstLineChars="200"/>
        <w:rPr>
          <w:rFonts w:hint="eastAsia" w:ascii="宋体" w:hAnsi="宋体" w:eastAsia="宋体" w:cs="Calibri"/>
          <w:szCs w:val="21"/>
        </w:rPr>
      </w:pPr>
      <w:r>
        <w:rPr>
          <w:rFonts w:ascii="宋体" w:hAnsi="宋体" w:eastAsia="宋体" w:cs="Calibri"/>
          <w:szCs w:val="21"/>
        </w:rPr>
        <w:t>4.4</w:t>
      </w:r>
      <w:r>
        <w:rPr>
          <w:rFonts w:hint="eastAsia" w:ascii="宋体" w:hAnsi="宋体" w:eastAsia="宋体" w:cs="Calibri"/>
          <w:szCs w:val="21"/>
        </w:rPr>
        <w:t>已经提交响应文件的供应商，在提交最后报价之前，可以根据磋商情况退出磋商，退出磋商的供应商的响应文件按无效响应处理。采购人、采购代理机构将退还退出磋商的供应商的保证金。</w:t>
      </w:r>
    </w:p>
    <w:p w14:paraId="3A633D8D">
      <w:pPr>
        <w:spacing w:line="360" w:lineRule="auto"/>
        <w:ind w:firstLine="420" w:firstLineChars="200"/>
        <w:rPr>
          <w:rFonts w:hint="eastAsia" w:ascii="宋体" w:hAnsi="宋体" w:eastAsia="宋体" w:cs="Calibri"/>
          <w:szCs w:val="21"/>
        </w:rPr>
      </w:pPr>
      <w:r>
        <w:rPr>
          <w:rFonts w:ascii="宋体" w:hAnsi="宋体" w:eastAsia="宋体" w:cs="Calibri"/>
          <w:szCs w:val="21"/>
        </w:rPr>
        <w:t>4.5</w:t>
      </w:r>
      <w:r>
        <w:rPr>
          <w:rFonts w:hint="eastAsia" w:ascii="宋体" w:hAnsi="宋体" w:eastAsia="宋体" w:cs="Calibri"/>
          <w:szCs w:val="21"/>
        </w:rPr>
        <w:t>供应商未在规定时间内提交最后报价的，视同退出磋商，其响应文件按无效处理。</w:t>
      </w:r>
    </w:p>
    <w:p w14:paraId="0C3D129B">
      <w:pPr>
        <w:spacing w:line="360" w:lineRule="auto"/>
        <w:ind w:firstLine="420" w:firstLineChars="200"/>
        <w:rPr>
          <w:rFonts w:hint="eastAsia" w:ascii="宋体" w:hAnsi="宋体" w:eastAsia="宋体" w:cs="Calibri"/>
          <w:szCs w:val="21"/>
        </w:rPr>
      </w:pPr>
      <w:r>
        <w:rPr>
          <w:rFonts w:ascii="宋体" w:hAnsi="宋体" w:eastAsia="宋体" w:cs="Calibri"/>
          <w:szCs w:val="21"/>
        </w:rPr>
        <w:t>4.6</w:t>
      </w:r>
      <w:r>
        <w:rPr>
          <w:rFonts w:hint="eastAsia" w:ascii="宋体" w:hAnsi="宋体" w:eastAsia="宋体" w:cs="Calibri"/>
          <w:szCs w:val="21"/>
        </w:rPr>
        <w:t>最后报价统一开启后，磋商小组对最后报价进行有效性、完整性和响应程度的审查。</w:t>
      </w:r>
    </w:p>
    <w:p w14:paraId="1DFF899F">
      <w:pPr>
        <w:spacing w:line="360" w:lineRule="auto"/>
        <w:ind w:firstLine="420" w:firstLineChars="200"/>
        <w:rPr>
          <w:rFonts w:hint="eastAsia" w:ascii="宋体" w:hAnsi="宋体" w:eastAsia="宋体" w:cs="Calibri"/>
          <w:szCs w:val="21"/>
        </w:rPr>
      </w:pPr>
      <w:r>
        <w:rPr>
          <w:rFonts w:ascii="宋体" w:hAnsi="宋体" w:eastAsia="宋体" w:cs="Calibri"/>
          <w:szCs w:val="21"/>
        </w:rPr>
        <w:t>4.7</w:t>
      </w:r>
      <w:r>
        <w:rPr>
          <w:rFonts w:hint="eastAsia" w:ascii="宋体" w:hAnsi="宋体" w:eastAsia="宋体" w:cs="Calibri"/>
          <w:szCs w:val="21"/>
        </w:rPr>
        <w:t>最后报价出现前后不一致的，按照本章第</w:t>
      </w:r>
      <w:r>
        <w:rPr>
          <w:rFonts w:ascii="宋体" w:hAnsi="宋体" w:eastAsia="宋体" w:cs="Calibri"/>
          <w:szCs w:val="21"/>
        </w:rPr>
        <w:t>2.4</w:t>
      </w:r>
      <w:r>
        <w:rPr>
          <w:rFonts w:hint="eastAsia" w:ascii="宋体" w:hAnsi="宋体" w:eastAsia="宋体" w:cs="Calibri"/>
          <w:szCs w:val="21"/>
        </w:rPr>
        <w:t xml:space="preserve">条的规定修正。 </w:t>
      </w:r>
    </w:p>
    <w:p w14:paraId="6F4F4CE9">
      <w:pPr>
        <w:spacing w:line="360" w:lineRule="auto"/>
        <w:ind w:firstLine="420" w:firstLineChars="200"/>
        <w:rPr>
          <w:rFonts w:hint="eastAsia" w:ascii="宋体" w:hAnsi="宋体" w:eastAsia="宋体" w:cs="Calibri"/>
          <w:szCs w:val="21"/>
        </w:rPr>
      </w:pPr>
      <w:r>
        <w:rPr>
          <w:rFonts w:ascii="宋体" w:hAnsi="宋体" w:eastAsia="宋体" w:cs="Calibri"/>
          <w:szCs w:val="21"/>
        </w:rPr>
        <w:t>4.8</w:t>
      </w:r>
      <w:r>
        <w:rPr>
          <w:rFonts w:hint="eastAsia" w:ascii="宋体" w:hAnsi="宋体" w:eastAsia="宋体" w:cs="Calibri"/>
          <w:szCs w:val="21"/>
        </w:rPr>
        <w:t>修正后的报价出现下列情形的，按无效响应处理：</w:t>
      </w:r>
    </w:p>
    <w:p w14:paraId="504670AB">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（1）供应商不确认的（全流程电子化评标采取在线确认）；</w:t>
      </w:r>
    </w:p>
    <w:p w14:paraId="395D2ADC">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（2）经供应商确认修正后的竞标报价（包含首次报价、最后报价）超过所竞标分标规定的采购预算金额或者最高限价的（如本项目公布了最高限价）；</w:t>
      </w:r>
    </w:p>
    <w:p w14:paraId="4642127D">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（3）经供应商确认修正后的竞标报价（包含首次报价、最后报价）超过分项采购预算金额或者最高限价的（如本项目公布了最高限价）。</w:t>
      </w:r>
    </w:p>
    <w:p w14:paraId="6FCC13B5">
      <w:pPr>
        <w:spacing w:line="360" w:lineRule="auto"/>
        <w:ind w:firstLine="420" w:firstLineChars="200"/>
        <w:rPr>
          <w:rFonts w:hint="eastAsia" w:ascii="宋体" w:hAnsi="宋体" w:eastAsia="宋体" w:cs="Calibri"/>
          <w:szCs w:val="21"/>
        </w:rPr>
      </w:pPr>
      <w:r>
        <w:rPr>
          <w:rFonts w:ascii="宋体" w:hAnsi="宋体" w:eastAsia="宋体" w:cs="Calibri"/>
          <w:szCs w:val="21"/>
        </w:rPr>
        <w:t>4.9</w:t>
      </w:r>
      <w:r>
        <w:rPr>
          <w:rFonts w:hint="eastAsia" w:ascii="宋体" w:hAnsi="宋体" w:eastAsia="宋体" w:cs="Calibri"/>
          <w:szCs w:val="21"/>
        </w:rPr>
        <w:t>经供应商确认修正后的最后报价作为评审及签订合同的依据。</w:t>
      </w:r>
    </w:p>
    <w:p w14:paraId="031CFFD8">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4.10供应商出现最后报价按无效响应处理或者响应文件按无效处理时</w:t>
      </w:r>
      <w:r>
        <w:rPr>
          <w:rFonts w:hint="eastAsia" w:ascii="宋体" w:hAnsi="宋体" w:eastAsia="宋体"/>
          <w:sz w:val="22"/>
          <w:szCs w:val="22"/>
        </w:rPr>
        <w:t>，磋商小组应当告知有关供应商</w:t>
      </w:r>
      <w:r>
        <w:rPr>
          <w:rFonts w:hint="eastAsia" w:ascii="宋体" w:hAnsi="宋体" w:eastAsia="宋体" w:cs="Calibri"/>
          <w:szCs w:val="21"/>
        </w:rPr>
        <w:t>。</w:t>
      </w:r>
    </w:p>
    <w:p w14:paraId="0A8FA2F7">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4</w:t>
      </w:r>
      <w:r>
        <w:rPr>
          <w:rFonts w:ascii="宋体" w:hAnsi="宋体" w:eastAsia="宋体" w:cs="Calibri"/>
          <w:szCs w:val="21"/>
        </w:rPr>
        <w:t>.1</w:t>
      </w:r>
      <w:r>
        <w:rPr>
          <w:rFonts w:hint="eastAsia" w:ascii="宋体" w:hAnsi="宋体" w:eastAsia="宋体" w:cs="Calibri"/>
          <w:szCs w:val="21"/>
        </w:rPr>
        <w:t>1最后报价结束后，磋商小组不得再与供应商进行任何形式的商谈。</w:t>
      </w:r>
    </w:p>
    <w:p w14:paraId="436B98A0">
      <w:pPr>
        <w:spacing w:line="360" w:lineRule="auto"/>
        <w:ind w:firstLine="482" w:firstLineChars="200"/>
        <w:rPr>
          <w:rFonts w:hint="eastAsia" w:ascii="宋体" w:hAnsi="宋体" w:eastAsia="宋体" w:cs="Calibri"/>
          <w:b/>
          <w:bCs/>
          <w:sz w:val="24"/>
        </w:rPr>
      </w:pPr>
      <w:r>
        <w:rPr>
          <w:rFonts w:hint="eastAsia" w:ascii="宋体" w:hAnsi="宋体" w:eastAsia="宋体" w:cs="Calibri"/>
          <w:b/>
          <w:bCs/>
          <w:sz w:val="24"/>
        </w:rPr>
        <w:t>5</w:t>
      </w:r>
      <w:r>
        <w:rPr>
          <w:rFonts w:ascii="宋体" w:hAnsi="宋体" w:eastAsia="宋体" w:cs="Calibri"/>
          <w:b/>
          <w:bCs/>
          <w:sz w:val="24"/>
        </w:rPr>
        <w:t>.</w:t>
      </w:r>
      <w:r>
        <w:rPr>
          <w:rFonts w:hint="eastAsia" w:ascii="宋体" w:hAnsi="宋体" w:eastAsia="宋体" w:cs="Calibri"/>
          <w:b/>
          <w:bCs/>
          <w:sz w:val="24"/>
        </w:rPr>
        <w:t>比较与评价</w:t>
      </w:r>
    </w:p>
    <w:p w14:paraId="11CB1A1F">
      <w:pPr>
        <w:spacing w:line="360" w:lineRule="auto"/>
        <w:ind w:firstLine="420" w:firstLineChars="200"/>
        <w:rPr>
          <w:rFonts w:hint="eastAsia" w:ascii="宋体" w:hAnsi="宋体" w:eastAsia="宋体" w:cs="Calibri"/>
          <w:szCs w:val="21"/>
        </w:rPr>
      </w:pPr>
      <w:r>
        <w:rPr>
          <w:rFonts w:ascii="宋体" w:hAnsi="宋体" w:eastAsia="宋体" w:cs="Calibri"/>
          <w:szCs w:val="21"/>
        </w:rPr>
        <w:t>5.1</w:t>
      </w:r>
      <w:r>
        <w:rPr>
          <w:rFonts w:hint="eastAsia" w:ascii="宋体" w:hAnsi="宋体" w:eastAsia="宋体" w:cs="Calibri"/>
          <w:szCs w:val="21"/>
        </w:rPr>
        <w:t>评审方法：综合评分法。</w:t>
      </w:r>
    </w:p>
    <w:p w14:paraId="37B5BFF3">
      <w:pPr>
        <w:spacing w:line="360" w:lineRule="auto"/>
        <w:ind w:firstLine="420" w:firstLineChars="200"/>
        <w:rPr>
          <w:rFonts w:hint="eastAsia" w:ascii="宋体" w:hAnsi="宋体" w:eastAsia="宋体" w:cs="Calibri"/>
          <w:szCs w:val="21"/>
        </w:rPr>
      </w:pPr>
      <w:r>
        <w:rPr>
          <w:rFonts w:ascii="宋体" w:hAnsi="宋体" w:eastAsia="宋体" w:cs="Calibri"/>
          <w:szCs w:val="21"/>
        </w:rPr>
        <w:t>5.2</w:t>
      </w:r>
      <w:r>
        <w:rPr>
          <w:rFonts w:hint="eastAsia" w:ascii="宋体" w:hAnsi="宋体" w:eastAsia="宋体" w:cs="Calibri"/>
          <w:szCs w:val="21"/>
        </w:rPr>
        <w:t>经磋商确定最终采购需求和提交最后报价的供应商后，由磋商小组采用综合评分法对提交最后报价的供应商的响应文件和最后报价进行综合评分。</w:t>
      </w:r>
    </w:p>
    <w:p w14:paraId="529198F4">
      <w:pPr>
        <w:spacing w:line="360" w:lineRule="auto"/>
        <w:ind w:firstLine="420" w:firstLineChars="200"/>
        <w:rPr>
          <w:rFonts w:hint="eastAsia" w:ascii="宋体" w:hAnsi="宋体" w:eastAsia="宋体" w:cs="Calibri"/>
          <w:szCs w:val="21"/>
        </w:rPr>
      </w:pPr>
      <w:r>
        <w:rPr>
          <w:rFonts w:ascii="宋体" w:hAnsi="宋体" w:eastAsia="宋体" w:cs="Calibri"/>
          <w:szCs w:val="21"/>
        </w:rPr>
        <w:t>5.3</w:t>
      </w:r>
      <w:r>
        <w:rPr>
          <w:rFonts w:hint="eastAsia" w:ascii="宋体" w:hAnsi="宋体" w:eastAsia="宋体" w:cs="Calibri"/>
          <w:szCs w:val="21"/>
        </w:rPr>
        <w:t>评审时，磋商小组各成员应当独立对每个有效响应的文件进行评价、打分，然后汇总每个供应商每项评分因素的得分。</w:t>
      </w:r>
    </w:p>
    <w:p w14:paraId="36A5B404">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（1）磋商小组按照磋商文件中规定的评审标准计算各供应商的报价得分。项目评审过程中，不得去掉最后报价中的最高报价和最低报价。</w:t>
      </w:r>
    </w:p>
    <w:p w14:paraId="0DF7BC19">
      <w:pPr>
        <w:spacing w:line="360" w:lineRule="auto"/>
        <w:ind w:firstLine="420" w:firstLineChars="200"/>
        <w:rPr>
          <w:rFonts w:hint="eastAsia" w:ascii="宋体" w:hAnsi="宋体" w:eastAsia="宋体" w:cs="Calibri"/>
          <w:szCs w:val="21"/>
        </w:rPr>
      </w:pPr>
      <w:r>
        <w:rPr>
          <w:rFonts w:hint="eastAsia" w:ascii="宋体" w:hAnsi="宋体" w:eastAsia="宋体" w:cs="Calibri"/>
          <w:szCs w:val="21"/>
        </w:rPr>
        <w:t>（2）各供应商的得分为磋商小组所有成员的有效评分的算术平均数。</w:t>
      </w:r>
    </w:p>
    <w:p w14:paraId="73F7B8DC">
      <w:pPr>
        <w:spacing w:line="360" w:lineRule="auto"/>
        <w:ind w:firstLine="420" w:firstLineChars="200"/>
        <w:rPr>
          <w:rFonts w:hint="eastAsia" w:ascii="宋体" w:hAnsi="宋体" w:eastAsia="宋体" w:cs="Calibri"/>
          <w:szCs w:val="21"/>
        </w:rPr>
      </w:pPr>
      <w:r>
        <w:rPr>
          <w:rFonts w:ascii="宋体" w:hAnsi="宋体" w:eastAsia="宋体" w:cs="Calibri"/>
          <w:szCs w:val="21"/>
        </w:rPr>
        <w:t>5.4</w:t>
      </w:r>
      <w:r>
        <w:rPr>
          <w:rFonts w:hint="eastAsia" w:ascii="宋体" w:hAnsi="宋体" w:eastAsia="宋体" w:cs="Calibri"/>
          <w:szCs w:val="21"/>
        </w:rPr>
        <w:t>评审价为供应商的最后报价进行政策性扣除后的价格，评审价只是作为评审时使用。最终成交供应商的成交金额等于最后报价（如有修正，以确认修正后的最后报价为准）。</w:t>
      </w:r>
    </w:p>
    <w:p w14:paraId="017BCF74">
      <w:pPr>
        <w:spacing w:line="360" w:lineRule="auto"/>
        <w:ind w:firstLine="420" w:firstLineChars="200"/>
        <w:rPr>
          <w:rFonts w:hint="eastAsia" w:ascii="宋体" w:hAnsi="宋体" w:eastAsia="宋体"/>
          <w:kern w:val="0"/>
          <w:szCs w:val="21"/>
        </w:rPr>
      </w:pPr>
      <w:r>
        <w:rPr>
          <w:rFonts w:ascii="宋体" w:hAnsi="宋体" w:eastAsia="宋体" w:cs="Calibri"/>
          <w:szCs w:val="21"/>
        </w:rPr>
        <w:t>5.5</w:t>
      </w:r>
      <w:r>
        <w:rPr>
          <w:rFonts w:hint="eastAsia" w:ascii="宋体" w:hAnsi="宋体" w:eastAsia="宋体" w:cs="Calibri"/>
          <w:szCs w:val="21"/>
        </w:rPr>
        <w:t>由磋商小组根据综合评分情况，按照评审得分由高到低顺序推荐3名以上成交候选供应商，并编写评</w:t>
      </w:r>
      <w:r>
        <w:rPr>
          <w:rFonts w:hint="eastAsia" w:ascii="宋体" w:hAnsi="宋体" w:eastAsia="宋体"/>
          <w:kern w:val="0"/>
          <w:szCs w:val="21"/>
        </w:rPr>
        <w:t>审报告。符合本章第</w:t>
      </w:r>
      <w:r>
        <w:rPr>
          <w:rFonts w:ascii="宋体" w:hAnsi="宋体" w:eastAsia="宋体"/>
          <w:kern w:val="0"/>
          <w:szCs w:val="21"/>
        </w:rPr>
        <w:t>4.3</w:t>
      </w:r>
      <w:r>
        <w:rPr>
          <w:rFonts w:hint="eastAsia" w:ascii="宋体" w:hAnsi="宋体" w:eastAsia="宋体"/>
          <w:kern w:val="0"/>
          <w:szCs w:val="21"/>
        </w:rPr>
        <w:t>条情形的，可以推荐2家成交候选供应商。评审得分相同的，按照最后报价由低到高的顺序推荐。评审得分且最后报价相同的，按照技术指标优劣顺序推荐。</w:t>
      </w:r>
    </w:p>
    <w:p w14:paraId="05D24E9D">
      <w:pPr>
        <w:spacing w:line="360" w:lineRule="auto"/>
        <w:ind w:firstLine="420" w:firstLineChars="200"/>
        <w:rPr>
          <w:rFonts w:hint="eastAsia" w:ascii="宋体" w:hAnsi="宋体" w:eastAsia="宋体" w:cs="Calibri"/>
          <w:szCs w:val="21"/>
        </w:rPr>
      </w:pPr>
      <w:r>
        <w:rPr>
          <w:rFonts w:ascii="宋体" w:hAnsi="宋体" w:eastAsia="宋体"/>
          <w:kern w:val="0"/>
          <w:szCs w:val="21"/>
        </w:rPr>
        <w:t>5.6</w:t>
      </w:r>
      <w:r>
        <w:rPr>
          <w:rFonts w:hint="eastAsia" w:ascii="宋体" w:hAnsi="宋体" w:eastAsia="宋体"/>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01E9CB9">
      <w:pPr>
        <w:spacing w:line="360" w:lineRule="auto"/>
        <w:ind w:firstLine="643"/>
        <w:jc w:val="center"/>
        <w:rPr>
          <w:rFonts w:hint="eastAsia" w:ascii="宋体" w:hAnsi="宋体" w:eastAsia="宋体"/>
          <w:b/>
          <w:sz w:val="32"/>
          <w:szCs w:val="32"/>
        </w:rPr>
      </w:pPr>
      <w:r>
        <w:rPr>
          <w:rFonts w:hint="eastAsia" w:ascii="宋体" w:hAnsi="宋体" w:eastAsia="宋体"/>
          <w:b/>
          <w:sz w:val="32"/>
          <w:szCs w:val="32"/>
        </w:rPr>
        <w:t>二、评审标准</w:t>
      </w:r>
    </w:p>
    <w:p w14:paraId="616F59AD">
      <w:pPr>
        <w:pStyle w:val="128"/>
        <w:snapToGrid w:val="0"/>
        <w:spacing w:line="288" w:lineRule="auto"/>
        <w:ind w:firstLine="0" w:firstLineChars="0"/>
        <w:rPr>
          <w:rFonts w:hint="eastAsia" w:ascii="宋体" w:hAnsi="宋体" w:eastAsia="宋体"/>
          <w:bCs/>
          <w:szCs w:val="21"/>
        </w:rPr>
      </w:pPr>
      <w:r>
        <w:rPr>
          <w:rFonts w:hint="eastAsia" w:ascii="宋体" w:hAnsi="宋体" w:eastAsia="宋体"/>
          <w:b/>
          <w:szCs w:val="21"/>
        </w:rPr>
        <w:t>6</w:t>
      </w:r>
      <w:r>
        <w:rPr>
          <w:rFonts w:ascii="宋体" w:hAnsi="宋体" w:eastAsia="宋体"/>
          <w:b/>
          <w:szCs w:val="21"/>
        </w:rPr>
        <w:t>.</w:t>
      </w:r>
      <w:r>
        <w:rPr>
          <w:rFonts w:hint="eastAsia" w:ascii="宋体" w:hAnsi="宋体" w:eastAsia="宋体"/>
          <w:b/>
          <w:szCs w:val="21"/>
        </w:rPr>
        <w:t>详细评审：</w:t>
      </w:r>
      <w:r>
        <w:rPr>
          <w:rFonts w:hint="eastAsia" w:ascii="宋体" w:hAnsi="宋体" w:eastAsia="宋体"/>
          <w:bCs/>
          <w:szCs w:val="21"/>
        </w:rPr>
        <w:t>磋商小组将以磋商响应文件为评审依据，对供应商的报价、技术、服务、商务等方面内容按百分制打分。（计分方法按四舍五入取至百分位）</w:t>
      </w:r>
    </w:p>
    <w:p w14:paraId="07D0352B">
      <w:pPr>
        <w:pStyle w:val="128"/>
        <w:snapToGrid w:val="0"/>
        <w:spacing w:line="288" w:lineRule="auto"/>
        <w:ind w:firstLine="0" w:firstLineChars="0"/>
        <w:rPr>
          <w:rFonts w:hint="eastAsia" w:ascii="宋体" w:hAnsi="宋体" w:eastAsia="宋体" w:cs="宋体"/>
          <w:bCs/>
          <w:szCs w:val="21"/>
        </w:rPr>
      </w:pPr>
    </w:p>
    <w:tbl>
      <w:tblPr>
        <w:tblStyle w:val="52"/>
        <w:tblW w:w="101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3"/>
        <w:gridCol w:w="1737"/>
        <w:gridCol w:w="6127"/>
        <w:gridCol w:w="706"/>
      </w:tblGrid>
      <w:tr w14:paraId="16CBB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jc w:val="center"/>
        </w:trPr>
        <w:tc>
          <w:tcPr>
            <w:tcW w:w="1533" w:type="dxa"/>
            <w:tcBorders>
              <w:tl2br w:val="nil"/>
              <w:tr2bl w:val="nil"/>
            </w:tcBorders>
            <w:vAlign w:val="center"/>
          </w:tcPr>
          <w:p w14:paraId="599454A3">
            <w:pPr>
              <w:spacing w:line="360" w:lineRule="auto"/>
              <w:jc w:val="center"/>
              <w:textAlignment w:val="center"/>
              <w:rPr>
                <w:rFonts w:hint="eastAsia" w:ascii="宋体" w:hAnsi="宋体" w:eastAsia="宋体" w:cs="宋体"/>
                <w:b/>
                <w:bCs/>
                <w:color w:val="000000"/>
                <w:szCs w:val="21"/>
                <w:lang w:bidi="ar"/>
              </w:rPr>
            </w:pPr>
            <w:r>
              <w:rPr>
                <w:rFonts w:hint="eastAsia" w:ascii="宋体" w:hAnsi="宋体" w:eastAsia="宋体" w:cs="宋体"/>
                <w:b/>
                <w:bCs/>
                <w:color w:val="000000"/>
                <w:szCs w:val="21"/>
                <w:lang w:bidi="ar"/>
              </w:rPr>
              <w:t>得分</w:t>
            </w:r>
          </w:p>
        </w:tc>
        <w:tc>
          <w:tcPr>
            <w:tcW w:w="1737" w:type="dxa"/>
            <w:tcBorders>
              <w:tl2br w:val="nil"/>
              <w:tr2bl w:val="nil"/>
            </w:tcBorders>
            <w:noWrap/>
            <w:vAlign w:val="center"/>
          </w:tcPr>
          <w:p w14:paraId="2A7FDCE3">
            <w:pPr>
              <w:spacing w:line="360" w:lineRule="auto"/>
              <w:jc w:val="center"/>
              <w:textAlignment w:val="center"/>
              <w:rPr>
                <w:rFonts w:hint="eastAsia" w:ascii="宋体" w:hAnsi="宋体" w:eastAsia="宋体" w:cs="宋体"/>
                <w:b/>
                <w:bCs/>
                <w:color w:val="000000"/>
                <w:szCs w:val="21"/>
                <w:lang w:bidi="ar"/>
              </w:rPr>
            </w:pPr>
            <w:r>
              <w:rPr>
                <w:rFonts w:hint="eastAsia" w:ascii="宋体" w:hAnsi="宋体" w:eastAsia="宋体" w:cs="宋体"/>
                <w:b/>
                <w:bCs/>
                <w:color w:val="000000"/>
                <w:szCs w:val="21"/>
                <w:lang w:bidi="ar"/>
              </w:rPr>
              <w:t>评审因素</w:t>
            </w:r>
          </w:p>
        </w:tc>
        <w:tc>
          <w:tcPr>
            <w:tcW w:w="6127" w:type="dxa"/>
            <w:tcBorders>
              <w:tl2br w:val="nil"/>
              <w:tr2bl w:val="nil"/>
            </w:tcBorders>
            <w:noWrap/>
            <w:vAlign w:val="center"/>
          </w:tcPr>
          <w:p w14:paraId="0649CAFB">
            <w:pPr>
              <w:spacing w:line="360" w:lineRule="auto"/>
              <w:ind w:firstLine="422"/>
              <w:jc w:val="center"/>
              <w:textAlignment w:val="center"/>
              <w:rPr>
                <w:rFonts w:hint="eastAsia" w:ascii="宋体" w:hAnsi="宋体" w:eastAsia="宋体" w:cs="宋体"/>
                <w:b/>
                <w:bCs/>
                <w:color w:val="000000"/>
                <w:szCs w:val="21"/>
                <w:lang w:bidi="ar"/>
              </w:rPr>
            </w:pPr>
            <w:r>
              <w:rPr>
                <w:rFonts w:hint="eastAsia" w:ascii="宋体" w:hAnsi="宋体" w:eastAsia="宋体" w:cs="宋体"/>
                <w:b/>
                <w:bCs/>
                <w:color w:val="000000"/>
                <w:szCs w:val="21"/>
                <w:lang w:bidi="ar"/>
              </w:rPr>
              <w:t>评审标准</w:t>
            </w:r>
          </w:p>
        </w:tc>
        <w:tc>
          <w:tcPr>
            <w:tcW w:w="706" w:type="dxa"/>
            <w:tcBorders>
              <w:tl2br w:val="nil"/>
              <w:tr2bl w:val="nil"/>
            </w:tcBorders>
            <w:noWrap/>
            <w:vAlign w:val="center"/>
          </w:tcPr>
          <w:p w14:paraId="57FCC2D8">
            <w:pPr>
              <w:spacing w:line="360" w:lineRule="auto"/>
              <w:jc w:val="center"/>
              <w:textAlignment w:val="center"/>
              <w:rPr>
                <w:rFonts w:hint="eastAsia" w:ascii="宋体" w:hAnsi="宋体" w:eastAsia="宋体" w:cs="宋体"/>
                <w:b/>
                <w:bCs/>
                <w:color w:val="000000"/>
                <w:szCs w:val="21"/>
                <w:lang w:bidi="ar"/>
              </w:rPr>
            </w:pPr>
            <w:r>
              <w:rPr>
                <w:rFonts w:hint="eastAsia" w:ascii="宋体" w:hAnsi="宋体" w:eastAsia="宋体" w:cs="宋体"/>
                <w:b/>
                <w:bCs/>
                <w:color w:val="000000"/>
                <w:szCs w:val="21"/>
                <w:lang w:bidi="ar"/>
              </w:rPr>
              <w:t>分值</w:t>
            </w:r>
          </w:p>
        </w:tc>
      </w:tr>
      <w:tr w14:paraId="72264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33" w:type="dxa"/>
            <w:tcBorders>
              <w:tl2br w:val="nil"/>
              <w:tr2bl w:val="nil"/>
            </w:tcBorders>
            <w:vAlign w:val="center"/>
          </w:tcPr>
          <w:p w14:paraId="1FA3F0F3">
            <w:pPr>
              <w:spacing w:line="360" w:lineRule="auto"/>
              <w:jc w:val="center"/>
              <w:textAlignment w:val="center"/>
              <w:rPr>
                <w:rFonts w:hint="eastAsia" w:ascii="宋体" w:hAnsi="宋体" w:eastAsia="宋体" w:cs="宋体"/>
                <w:b/>
                <w:bCs/>
                <w:color w:val="000000"/>
                <w:szCs w:val="21"/>
                <w:lang w:bidi="ar"/>
              </w:rPr>
            </w:pPr>
            <w:r>
              <w:rPr>
                <w:rFonts w:hint="eastAsia" w:ascii="宋体" w:hAnsi="宋体" w:eastAsia="宋体" w:cs="宋体"/>
                <w:b/>
                <w:bCs/>
                <w:color w:val="000000"/>
                <w:szCs w:val="21"/>
                <w:lang w:bidi="ar"/>
              </w:rPr>
              <w:t>价格分</w:t>
            </w:r>
          </w:p>
          <w:p w14:paraId="6F5F6CB2">
            <w:pPr>
              <w:spacing w:line="360" w:lineRule="auto"/>
              <w:jc w:val="center"/>
              <w:textAlignment w:val="center"/>
              <w:rPr>
                <w:rFonts w:hint="eastAsia" w:ascii="宋体" w:hAnsi="宋体" w:eastAsia="宋体" w:cs="宋体"/>
                <w:b/>
                <w:bCs/>
                <w:color w:val="000000"/>
                <w:szCs w:val="21"/>
                <w:lang w:bidi="ar"/>
              </w:rPr>
            </w:pPr>
            <w:r>
              <w:rPr>
                <w:rFonts w:hint="eastAsia" w:ascii="宋体" w:hAnsi="宋体" w:eastAsia="宋体" w:cs="宋体"/>
                <w:b/>
                <w:bCs/>
                <w:color w:val="000000"/>
                <w:szCs w:val="21"/>
                <w:lang w:bidi="ar"/>
              </w:rPr>
              <w:t>（满分10分）</w:t>
            </w:r>
          </w:p>
        </w:tc>
        <w:tc>
          <w:tcPr>
            <w:tcW w:w="1737" w:type="dxa"/>
            <w:tcBorders>
              <w:tl2br w:val="nil"/>
              <w:tr2bl w:val="nil"/>
            </w:tcBorders>
            <w:noWrap/>
            <w:vAlign w:val="center"/>
          </w:tcPr>
          <w:p w14:paraId="3AD9E160">
            <w:pPr>
              <w:spacing w:line="360" w:lineRule="auto"/>
              <w:jc w:val="center"/>
              <w:textAlignment w:val="center"/>
              <w:rPr>
                <w:rFonts w:hint="eastAsia" w:ascii="宋体" w:hAnsi="宋体" w:eastAsia="宋体" w:cs="宋体"/>
                <w:b/>
                <w:bCs/>
                <w:color w:val="000000"/>
                <w:szCs w:val="21"/>
                <w:lang w:bidi="ar"/>
              </w:rPr>
            </w:pPr>
            <w:r>
              <w:rPr>
                <w:rFonts w:hint="eastAsia" w:ascii="宋体" w:hAnsi="宋体" w:eastAsia="宋体" w:cs="宋体"/>
                <w:b/>
                <w:bCs/>
                <w:color w:val="000000"/>
                <w:szCs w:val="21"/>
                <w:lang w:bidi="ar"/>
              </w:rPr>
              <w:t>价格</w:t>
            </w:r>
          </w:p>
          <w:p w14:paraId="53A7EB54">
            <w:pPr>
              <w:spacing w:line="360" w:lineRule="auto"/>
              <w:ind w:firstLine="420"/>
              <w:jc w:val="center"/>
              <w:textAlignment w:val="center"/>
              <w:rPr>
                <w:rFonts w:hint="eastAsia" w:ascii="宋体" w:hAnsi="宋体" w:eastAsia="宋体" w:cs="宋体"/>
                <w:b/>
                <w:bCs/>
                <w:color w:val="000000"/>
                <w:szCs w:val="21"/>
                <w:lang w:bidi="ar"/>
              </w:rPr>
            </w:pPr>
          </w:p>
        </w:tc>
        <w:tc>
          <w:tcPr>
            <w:tcW w:w="6127" w:type="dxa"/>
            <w:tcBorders>
              <w:tl2br w:val="nil"/>
              <w:tr2bl w:val="nil"/>
            </w:tcBorders>
            <w:noWrap/>
            <w:vAlign w:val="center"/>
          </w:tcPr>
          <w:p w14:paraId="6BFBCBFB">
            <w:pPr>
              <w:spacing w:line="360" w:lineRule="auto"/>
              <w:ind w:firstLine="422"/>
              <w:textAlignment w:val="center"/>
              <w:rPr>
                <w:rFonts w:hint="eastAsia" w:ascii="宋体" w:hAnsi="宋体" w:eastAsia="宋体" w:cs="宋体"/>
                <w:color w:val="000000"/>
                <w:szCs w:val="21"/>
                <w:lang w:bidi="ar"/>
              </w:rPr>
            </w:pPr>
            <w:r>
              <w:rPr>
                <w:rFonts w:hint="eastAsia" w:ascii="宋体" w:hAnsi="宋体" w:eastAsia="宋体" w:cs="宋体"/>
                <w:color w:val="000000"/>
                <w:szCs w:val="21"/>
                <w:lang w:bidi="ar"/>
              </w:rPr>
              <w:t>（1）评审价为供应商的最后报价，评审价只是作为评审时使用。最终成交供应商的成交金额等于最后报价（如有修正，以确认修正后的最后报价为准）。</w:t>
            </w:r>
          </w:p>
          <w:p w14:paraId="35CD4D8D">
            <w:pPr>
              <w:spacing w:line="360" w:lineRule="auto"/>
              <w:ind w:firstLine="422"/>
              <w:textAlignment w:val="center"/>
              <w:rPr>
                <w:rFonts w:hint="eastAsia" w:ascii="宋体" w:hAnsi="宋体" w:eastAsia="宋体" w:cs="宋体"/>
                <w:color w:val="000000"/>
                <w:szCs w:val="21"/>
                <w:lang w:bidi="ar"/>
              </w:rPr>
            </w:pPr>
            <w:r>
              <w:rPr>
                <w:rFonts w:hint="eastAsia" w:ascii="宋体" w:hAnsi="宋体" w:eastAsia="宋体" w:cs="宋体"/>
                <w:b/>
                <w:bCs/>
                <w:color w:val="000000"/>
                <w:szCs w:val="21"/>
                <w:lang w:bidi="ar"/>
              </w:rPr>
              <w:t>（2）本项目为专门面向中小企业采购项目</w:t>
            </w:r>
            <w:r>
              <w:rPr>
                <w:rFonts w:hint="eastAsia" w:ascii="宋体" w:hAnsi="宋体" w:eastAsia="宋体" w:cs="宋体"/>
                <w:color w:val="000000"/>
                <w:szCs w:val="21"/>
                <w:lang w:bidi="ar"/>
              </w:rPr>
              <w:t>，按照《政府采购促进中小企业发展管理办法》（财库〔2020〕46号）的规定，对供应商最后报价不再执行价格评审优惠的扶持政策。</w:t>
            </w:r>
          </w:p>
          <w:p w14:paraId="2024ED52">
            <w:pPr>
              <w:spacing w:line="360" w:lineRule="auto"/>
              <w:ind w:firstLine="422"/>
              <w:textAlignment w:val="center"/>
              <w:rPr>
                <w:rFonts w:hint="eastAsia" w:ascii="宋体" w:hAnsi="宋体" w:eastAsia="宋体" w:cs="宋体"/>
                <w:color w:val="000000"/>
                <w:szCs w:val="21"/>
                <w:lang w:bidi="ar"/>
              </w:rPr>
            </w:pPr>
            <w:r>
              <w:rPr>
                <w:rFonts w:hint="eastAsia" w:ascii="宋体" w:hAnsi="宋体" w:eastAsia="宋体" w:cs="宋体"/>
                <w:color w:val="000000"/>
                <w:szCs w:val="21"/>
                <w:lang w:bidi="ar"/>
              </w:rPr>
              <w:t>（3）以进入比较与评价环节的最低的评审价为基准价，基准价得分为10分。</w:t>
            </w:r>
          </w:p>
          <w:p w14:paraId="43B12720">
            <w:pPr>
              <w:spacing w:line="360" w:lineRule="auto"/>
              <w:ind w:firstLine="422"/>
              <w:textAlignment w:val="center"/>
              <w:rPr>
                <w:rFonts w:hint="eastAsia" w:ascii="宋体" w:hAnsi="宋体" w:eastAsia="宋体" w:cs="宋体"/>
                <w:b/>
                <w:bCs/>
                <w:color w:val="000000"/>
                <w:szCs w:val="21"/>
                <w:lang w:bidi="ar"/>
              </w:rPr>
            </w:pPr>
            <w:r>
              <w:rPr>
                <w:rFonts w:hint="eastAsia" w:ascii="宋体" w:hAnsi="宋体" w:eastAsia="宋体" w:cs="宋体"/>
                <w:b/>
                <w:bCs/>
                <w:color w:val="000000"/>
                <w:szCs w:val="21"/>
                <w:lang w:bidi="ar"/>
              </w:rPr>
              <w:t>（4）其他供应商的价格分统一按照下列公式计算：</w:t>
            </w:r>
          </w:p>
          <w:p w14:paraId="7E36C346">
            <w:pPr>
              <w:spacing w:line="360" w:lineRule="auto"/>
              <w:ind w:firstLine="422"/>
              <w:textAlignment w:val="center"/>
              <w:rPr>
                <w:rFonts w:hint="eastAsia" w:ascii="宋体" w:hAnsi="宋体" w:eastAsia="宋体" w:cs="宋体"/>
                <w:b/>
                <w:bCs/>
                <w:color w:val="000000"/>
                <w:szCs w:val="21"/>
                <w:lang w:bidi="ar"/>
              </w:rPr>
            </w:pPr>
            <w:r>
              <w:rPr>
                <w:rFonts w:hint="eastAsia" w:ascii="宋体" w:hAnsi="宋体" w:eastAsia="宋体" w:cs="宋体"/>
                <w:b/>
                <w:bCs/>
                <w:color w:val="000000"/>
                <w:szCs w:val="21"/>
                <w:lang w:bidi="ar"/>
              </w:rPr>
              <w:t>某有效供应商的报价分=（基准价／某有效供应商最终报价）×10分</w:t>
            </w:r>
          </w:p>
        </w:tc>
        <w:tc>
          <w:tcPr>
            <w:tcW w:w="706" w:type="dxa"/>
            <w:tcBorders>
              <w:tl2br w:val="nil"/>
              <w:tr2bl w:val="nil"/>
            </w:tcBorders>
            <w:noWrap/>
            <w:vAlign w:val="center"/>
          </w:tcPr>
          <w:p w14:paraId="15EE4DAB">
            <w:pPr>
              <w:spacing w:line="360" w:lineRule="auto"/>
              <w:jc w:val="center"/>
              <w:textAlignment w:val="center"/>
              <w:rPr>
                <w:rFonts w:hint="eastAsia" w:ascii="宋体" w:hAnsi="宋体" w:eastAsia="宋体" w:cs="宋体"/>
                <w:b/>
                <w:bCs/>
                <w:color w:val="000000"/>
                <w:szCs w:val="21"/>
                <w:lang w:bidi="ar"/>
              </w:rPr>
            </w:pPr>
            <w:r>
              <w:rPr>
                <w:rFonts w:hint="eastAsia" w:ascii="宋体" w:hAnsi="宋体" w:eastAsia="宋体" w:cs="宋体"/>
                <w:b/>
                <w:bCs/>
                <w:color w:val="000000"/>
                <w:szCs w:val="21"/>
                <w:lang w:bidi="ar"/>
              </w:rPr>
              <w:t>10</w:t>
            </w:r>
          </w:p>
        </w:tc>
      </w:tr>
      <w:tr w14:paraId="209CD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jc w:val="center"/>
        </w:trPr>
        <w:tc>
          <w:tcPr>
            <w:tcW w:w="1533" w:type="dxa"/>
            <w:vMerge w:val="restart"/>
            <w:tcBorders>
              <w:tl2br w:val="nil"/>
              <w:tr2bl w:val="nil"/>
            </w:tcBorders>
            <w:vAlign w:val="center"/>
          </w:tcPr>
          <w:p w14:paraId="41BFE1FB">
            <w:pPr>
              <w:spacing w:line="360" w:lineRule="auto"/>
              <w:jc w:val="center"/>
              <w:textAlignment w:val="center"/>
              <w:rPr>
                <w:rFonts w:hint="eastAsia" w:ascii="宋体" w:hAnsi="宋体" w:eastAsia="宋体" w:cs="宋体"/>
                <w:b/>
                <w:bCs/>
                <w:color w:val="000000"/>
                <w:szCs w:val="21"/>
                <w:lang w:bidi="ar"/>
              </w:rPr>
            </w:pPr>
            <w:r>
              <w:rPr>
                <w:rFonts w:hint="eastAsia" w:ascii="宋体" w:hAnsi="宋体" w:eastAsia="宋体" w:cs="宋体"/>
                <w:b/>
                <w:bCs/>
                <w:color w:val="000000"/>
                <w:szCs w:val="21"/>
                <w:lang w:bidi="ar"/>
              </w:rPr>
              <w:t>技术分</w:t>
            </w:r>
          </w:p>
          <w:p w14:paraId="794D23D6">
            <w:pPr>
              <w:spacing w:line="360" w:lineRule="auto"/>
              <w:jc w:val="center"/>
              <w:textAlignment w:val="center"/>
              <w:rPr>
                <w:rFonts w:hint="eastAsia" w:ascii="宋体" w:hAnsi="宋体" w:eastAsia="宋体" w:cs="宋体"/>
                <w:b/>
                <w:bCs/>
                <w:color w:val="000000"/>
                <w:szCs w:val="21"/>
              </w:rPr>
            </w:pPr>
            <w:r>
              <w:rPr>
                <w:rFonts w:hint="eastAsia" w:ascii="宋体" w:hAnsi="宋体" w:eastAsia="宋体" w:cs="宋体"/>
                <w:b/>
                <w:bCs/>
                <w:color w:val="000000"/>
                <w:szCs w:val="21"/>
                <w:lang w:bidi="ar"/>
              </w:rPr>
              <w:t>（满分65分）</w:t>
            </w:r>
          </w:p>
        </w:tc>
        <w:tc>
          <w:tcPr>
            <w:tcW w:w="1737" w:type="dxa"/>
            <w:tcBorders>
              <w:tl2br w:val="nil"/>
              <w:tr2bl w:val="nil"/>
            </w:tcBorders>
            <w:noWrap/>
            <w:vAlign w:val="center"/>
          </w:tcPr>
          <w:p w14:paraId="1F64B7CA">
            <w:pPr>
              <w:spacing w:line="360" w:lineRule="auto"/>
              <w:jc w:val="center"/>
              <w:textAlignment w:val="center"/>
              <w:rPr>
                <w:rFonts w:hint="eastAsia" w:ascii="宋体" w:hAnsi="宋体" w:eastAsia="宋体" w:cs="宋体"/>
                <w:b/>
                <w:bCs/>
                <w:szCs w:val="21"/>
              </w:rPr>
            </w:pPr>
            <w:r>
              <w:rPr>
                <w:rFonts w:hint="eastAsia" w:ascii="宋体" w:hAnsi="宋体" w:eastAsia="宋体" w:cs="宋体"/>
                <w:b/>
                <w:kern w:val="0"/>
                <w:szCs w:val="21"/>
              </w:rPr>
              <w:t>拟投入人员</w:t>
            </w:r>
          </w:p>
        </w:tc>
        <w:tc>
          <w:tcPr>
            <w:tcW w:w="6127" w:type="dxa"/>
            <w:tcBorders>
              <w:tl2br w:val="nil"/>
              <w:tr2bl w:val="nil"/>
            </w:tcBorders>
            <w:vAlign w:val="center"/>
          </w:tcPr>
          <w:p w14:paraId="75EB7B59">
            <w:pPr>
              <w:spacing w:line="360" w:lineRule="auto"/>
              <w:ind w:firstLine="420" w:firstLineChars="200"/>
              <w:textAlignment w:val="center"/>
              <w:rPr>
                <w:rFonts w:hint="eastAsia" w:ascii="宋体" w:hAnsi="宋体" w:eastAsia="宋体" w:cs="宋体"/>
                <w:szCs w:val="21"/>
              </w:rPr>
            </w:pPr>
            <w:r>
              <w:rPr>
                <w:rFonts w:hint="eastAsia" w:ascii="宋体" w:hAnsi="宋体" w:eastAsia="宋体" w:cs="宋体"/>
                <w:szCs w:val="21"/>
              </w:rPr>
              <w:t>1.拟投入本项目的项目负责人：具备系统集成信息管理工程师（中级）证书，同时具备软件类或计算机类中级职称以上的证书的，得1分，本项满分1分；</w:t>
            </w:r>
          </w:p>
          <w:p w14:paraId="65E803A9">
            <w:pPr>
              <w:spacing w:line="360" w:lineRule="auto"/>
              <w:ind w:firstLine="420" w:firstLineChars="200"/>
              <w:textAlignment w:val="center"/>
              <w:rPr>
                <w:rFonts w:hint="eastAsia" w:ascii="宋体" w:hAnsi="宋体" w:eastAsia="宋体" w:cs="宋体"/>
                <w:szCs w:val="21"/>
              </w:rPr>
            </w:pPr>
            <w:r>
              <w:rPr>
                <w:rFonts w:hint="eastAsia" w:ascii="宋体" w:hAnsi="宋体" w:eastAsia="宋体" w:cs="宋体"/>
                <w:szCs w:val="21"/>
              </w:rPr>
              <w:t>2.其他人员（不含项目负责人）：</w:t>
            </w:r>
          </w:p>
          <w:p w14:paraId="10E14DD4">
            <w:pPr>
              <w:spacing w:line="360" w:lineRule="auto"/>
              <w:ind w:firstLine="420" w:firstLineChars="200"/>
              <w:textAlignment w:val="center"/>
              <w:rPr>
                <w:rFonts w:hint="eastAsia" w:ascii="宋体" w:hAnsi="宋体" w:eastAsia="宋体" w:cs="宋体"/>
                <w:szCs w:val="21"/>
              </w:rPr>
            </w:pPr>
            <w:r>
              <w:rPr>
                <w:rFonts w:hint="eastAsia" w:ascii="宋体" w:hAnsi="宋体" w:eastAsia="宋体" w:cs="宋体"/>
                <w:szCs w:val="21"/>
              </w:rPr>
              <w:t>具备通信、软件、计算机等信息技术相关专业高级以上(含高级)职称证书的，每具备一人得2分，本项满分4分。</w:t>
            </w:r>
          </w:p>
          <w:p w14:paraId="1E0C5DFE">
            <w:pPr>
              <w:spacing w:line="360" w:lineRule="auto"/>
              <w:ind w:firstLine="420" w:firstLineChars="200"/>
              <w:textAlignment w:val="center"/>
              <w:rPr>
                <w:rFonts w:hint="eastAsia" w:ascii="宋体" w:hAnsi="宋体" w:eastAsia="宋体" w:cs="宋体"/>
                <w:szCs w:val="21"/>
              </w:rPr>
            </w:pPr>
            <w:r>
              <w:rPr>
                <w:rFonts w:hint="eastAsia" w:ascii="宋体" w:hAnsi="宋体" w:eastAsia="宋体" w:cs="宋体"/>
                <w:szCs w:val="21"/>
              </w:rPr>
              <w:t>注：</w:t>
            </w:r>
            <w:r>
              <w:rPr>
                <w:rFonts w:ascii="宋体" w:hAnsi="宋体" w:eastAsia="宋体" w:cs="宋体"/>
                <w:szCs w:val="21"/>
              </w:rPr>
              <w:t>以上人员须提供相关职称证书等证明材料复印件</w:t>
            </w:r>
            <w:r>
              <w:rPr>
                <w:rFonts w:hint="eastAsia" w:ascii="宋体" w:hAnsi="宋体" w:eastAsia="宋体" w:cs="宋体"/>
                <w:szCs w:val="21"/>
              </w:rPr>
              <w:t>，同一人只计一次分。</w:t>
            </w:r>
          </w:p>
        </w:tc>
        <w:tc>
          <w:tcPr>
            <w:tcW w:w="706" w:type="dxa"/>
            <w:tcBorders>
              <w:tl2br w:val="nil"/>
              <w:tr2bl w:val="nil"/>
            </w:tcBorders>
            <w:noWrap/>
            <w:vAlign w:val="center"/>
          </w:tcPr>
          <w:p w14:paraId="5B7E8ABA">
            <w:pPr>
              <w:spacing w:line="360" w:lineRule="auto"/>
              <w:jc w:val="center"/>
              <w:textAlignment w:val="center"/>
              <w:rPr>
                <w:rFonts w:hint="eastAsia" w:ascii="宋体" w:hAnsi="宋体" w:eastAsia="宋体" w:cs="宋体"/>
                <w:szCs w:val="21"/>
              </w:rPr>
            </w:pPr>
            <w:r>
              <w:rPr>
                <w:rFonts w:hint="eastAsia" w:ascii="宋体" w:hAnsi="宋体" w:eastAsia="宋体" w:cs="宋体"/>
                <w:b/>
                <w:bCs/>
                <w:szCs w:val="21"/>
              </w:rPr>
              <w:t>5</w:t>
            </w:r>
          </w:p>
        </w:tc>
      </w:tr>
      <w:tr w14:paraId="273F1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33" w:type="dxa"/>
            <w:vMerge w:val="continue"/>
            <w:tcBorders>
              <w:tl2br w:val="nil"/>
              <w:tr2bl w:val="nil"/>
            </w:tcBorders>
            <w:vAlign w:val="center"/>
          </w:tcPr>
          <w:p w14:paraId="3BEDA494">
            <w:pPr>
              <w:spacing w:line="360" w:lineRule="auto"/>
              <w:ind w:firstLine="420"/>
              <w:rPr>
                <w:rFonts w:hint="eastAsia" w:ascii="宋体" w:hAnsi="宋体" w:eastAsia="宋体" w:cs="宋体"/>
                <w:b/>
                <w:bCs/>
                <w:color w:val="000000"/>
                <w:szCs w:val="21"/>
              </w:rPr>
            </w:pPr>
          </w:p>
        </w:tc>
        <w:tc>
          <w:tcPr>
            <w:tcW w:w="1737" w:type="dxa"/>
            <w:tcBorders>
              <w:tl2br w:val="nil"/>
              <w:tr2bl w:val="nil"/>
            </w:tcBorders>
            <w:noWrap/>
            <w:vAlign w:val="center"/>
          </w:tcPr>
          <w:p w14:paraId="26CF85E1">
            <w:pPr>
              <w:spacing w:line="360" w:lineRule="auto"/>
              <w:jc w:val="center"/>
              <w:textAlignment w:val="center"/>
              <w:rPr>
                <w:rFonts w:hint="eastAsia" w:ascii="宋体" w:hAnsi="宋体" w:eastAsia="宋体" w:cs="宋体"/>
                <w:b/>
                <w:bCs/>
                <w:color w:val="000000"/>
                <w:szCs w:val="21"/>
                <w:lang w:bidi="ar"/>
              </w:rPr>
            </w:pPr>
            <w:r>
              <w:rPr>
                <w:rFonts w:hint="eastAsia" w:ascii="宋体" w:hAnsi="宋体" w:eastAsia="宋体" w:cs="宋体"/>
                <w:b/>
                <w:bCs/>
                <w:color w:val="000000"/>
                <w:szCs w:val="21"/>
                <w:lang w:bidi="ar"/>
              </w:rPr>
              <w:t>系统运维工作</w:t>
            </w:r>
          </w:p>
          <w:p w14:paraId="024FC07D">
            <w:pPr>
              <w:spacing w:line="360" w:lineRule="auto"/>
              <w:jc w:val="center"/>
              <w:textAlignment w:val="center"/>
              <w:rPr>
                <w:rFonts w:hint="eastAsia" w:ascii="宋体" w:hAnsi="宋体" w:eastAsia="宋体" w:cs="宋体"/>
                <w:b/>
                <w:bCs/>
                <w:color w:val="000000"/>
                <w:szCs w:val="21"/>
                <w:lang w:bidi="ar"/>
              </w:rPr>
            </w:pPr>
            <w:r>
              <w:rPr>
                <w:rFonts w:hint="eastAsia" w:ascii="宋体" w:hAnsi="宋体" w:eastAsia="宋体" w:cs="宋体"/>
                <w:b/>
                <w:bCs/>
                <w:color w:val="000000"/>
                <w:szCs w:val="21"/>
                <w:lang w:bidi="ar"/>
              </w:rPr>
              <w:t>方案</w:t>
            </w:r>
          </w:p>
        </w:tc>
        <w:tc>
          <w:tcPr>
            <w:tcW w:w="6127" w:type="dxa"/>
            <w:tcBorders>
              <w:tl2br w:val="nil"/>
              <w:tr2bl w:val="nil"/>
            </w:tcBorders>
            <w:vAlign w:val="center"/>
          </w:tcPr>
          <w:p w14:paraId="48983448">
            <w:pPr>
              <w:spacing w:line="360" w:lineRule="auto"/>
              <w:ind w:firstLine="422"/>
              <w:textAlignment w:val="center"/>
              <w:rPr>
                <w:rFonts w:hint="eastAsia" w:ascii="宋体" w:hAnsi="宋体" w:eastAsia="宋体" w:cs="宋体"/>
                <w:color w:val="000000"/>
                <w:szCs w:val="21"/>
                <w:lang w:bidi="ar"/>
              </w:rPr>
            </w:pPr>
            <w:r>
              <w:rPr>
                <w:rFonts w:hint="eastAsia" w:ascii="宋体" w:hAnsi="宋体" w:eastAsia="宋体" w:cs="宋体"/>
                <w:color w:val="000000"/>
                <w:szCs w:val="21"/>
                <w:lang w:bidi="ar"/>
              </w:rPr>
              <w:t>对供应商的系统运维方案和管理措施的合理性科学性，从以下方面进行评估：</w:t>
            </w:r>
          </w:p>
          <w:p w14:paraId="121A82D5">
            <w:pPr>
              <w:spacing w:line="360" w:lineRule="auto"/>
              <w:ind w:firstLine="422"/>
              <w:textAlignment w:val="center"/>
              <w:rPr>
                <w:rFonts w:hint="eastAsia" w:ascii="宋体" w:hAnsi="宋体" w:eastAsia="宋体" w:cs="宋体"/>
                <w:color w:val="000000"/>
                <w:szCs w:val="21"/>
                <w:lang w:bidi="ar"/>
              </w:rPr>
            </w:pPr>
            <w:r>
              <w:rPr>
                <w:rFonts w:hint="eastAsia" w:ascii="宋体" w:hAnsi="宋体" w:eastAsia="宋体" w:cs="宋体"/>
                <w:b/>
                <w:bCs/>
                <w:color w:val="000000"/>
                <w:szCs w:val="21"/>
                <w:lang w:bidi="ar"/>
              </w:rPr>
              <w:t>一档（16分）：</w:t>
            </w:r>
            <w:r>
              <w:rPr>
                <w:rFonts w:hint="eastAsia" w:ascii="宋体" w:hAnsi="宋体" w:eastAsia="宋体" w:cs="宋体"/>
                <w:color w:val="000000"/>
                <w:szCs w:val="21"/>
                <w:lang w:bidi="ar"/>
              </w:rPr>
              <w:t>系统运维方案完整，基本覆盖服务内容要求，对采购人需求一般理解，对港航行业的信息系统建设或信息化维护的特点和功能有基本了解，实施计划可行；</w:t>
            </w:r>
          </w:p>
          <w:p w14:paraId="1E19D33D">
            <w:pPr>
              <w:spacing w:line="360" w:lineRule="auto"/>
              <w:ind w:firstLine="422"/>
              <w:textAlignment w:val="center"/>
              <w:rPr>
                <w:rFonts w:hint="eastAsia" w:ascii="宋体" w:hAnsi="宋体" w:eastAsia="宋体" w:cs="宋体"/>
                <w:color w:val="000000"/>
                <w:szCs w:val="21"/>
                <w:lang w:bidi="ar"/>
              </w:rPr>
            </w:pPr>
            <w:r>
              <w:rPr>
                <w:rFonts w:hint="eastAsia" w:ascii="宋体" w:hAnsi="宋体" w:eastAsia="宋体" w:cs="宋体"/>
                <w:b/>
                <w:bCs/>
                <w:color w:val="000000"/>
                <w:szCs w:val="21"/>
                <w:lang w:bidi="ar"/>
              </w:rPr>
              <w:t>二档（23分）：</w:t>
            </w:r>
            <w:r>
              <w:rPr>
                <w:rFonts w:hint="eastAsia" w:ascii="宋体" w:hAnsi="宋体" w:eastAsia="宋体" w:cs="宋体"/>
                <w:color w:val="000000"/>
                <w:szCs w:val="21"/>
                <w:lang w:bidi="ar"/>
              </w:rPr>
              <w:t>系统运维方案完整、清晰，完全覆盖服务内容要求，较全面理解采购人需求，对港航行业的信息系统建设或信息化维护的特点和功能有一定程度了解，熟悉在广西电子航道图生产发布系统及数字港航一体化平台运行维护的要求及注意事项，实施计划完整可行；</w:t>
            </w:r>
          </w:p>
          <w:p w14:paraId="5FC984EE">
            <w:pPr>
              <w:spacing w:line="360" w:lineRule="auto"/>
              <w:ind w:firstLine="422"/>
              <w:textAlignment w:val="center"/>
              <w:rPr>
                <w:rFonts w:hint="eastAsia" w:ascii="宋体" w:hAnsi="宋体" w:eastAsia="宋体" w:cs="宋体"/>
                <w:color w:val="000000"/>
                <w:szCs w:val="21"/>
                <w:lang w:bidi="ar"/>
              </w:rPr>
            </w:pPr>
            <w:r>
              <w:rPr>
                <w:rFonts w:hint="eastAsia" w:ascii="宋体" w:hAnsi="宋体" w:eastAsia="宋体" w:cs="宋体"/>
                <w:b/>
                <w:bCs/>
                <w:color w:val="000000"/>
                <w:szCs w:val="21"/>
                <w:lang w:bidi="ar"/>
              </w:rPr>
              <w:t>三档（30分）：</w:t>
            </w:r>
            <w:r>
              <w:rPr>
                <w:rFonts w:hint="eastAsia" w:ascii="宋体" w:hAnsi="宋体" w:eastAsia="宋体" w:cs="宋体"/>
                <w:color w:val="000000"/>
                <w:szCs w:val="21"/>
                <w:lang w:bidi="ar"/>
              </w:rPr>
              <w:t>系统运维方案全面、清晰，完全详尽覆盖服务内容要求，准确把握采购人需求，对港航行业信息系统建设或信息化维护的特点和功能理解透彻，能进行深入详尽分析，服务措施实用性和可操作性强，对广西政务云及其子云实施信息系统运行维护有完善且行之有效的措施方法和机制流程，对广西电子航道图生产发布系统及数字港航一体化平台运行维护有完善且行之有效的措施方法和机制流程，对系统运行正常要求的理解和响应内容具体可行，实施计划完整明晰、可操作性强。</w:t>
            </w:r>
          </w:p>
        </w:tc>
        <w:tc>
          <w:tcPr>
            <w:tcW w:w="706" w:type="dxa"/>
            <w:tcBorders>
              <w:tl2br w:val="nil"/>
              <w:tr2bl w:val="nil"/>
            </w:tcBorders>
            <w:noWrap/>
            <w:vAlign w:val="center"/>
          </w:tcPr>
          <w:p w14:paraId="50FD7A06">
            <w:pPr>
              <w:spacing w:line="360" w:lineRule="auto"/>
              <w:jc w:val="center"/>
              <w:rPr>
                <w:rFonts w:hint="eastAsia" w:ascii="宋体" w:hAnsi="宋体" w:eastAsia="宋体" w:cs="宋体"/>
                <w:color w:val="000000"/>
                <w:szCs w:val="21"/>
                <w:lang w:bidi="ar"/>
              </w:rPr>
            </w:pPr>
            <w:r>
              <w:rPr>
                <w:rFonts w:hint="eastAsia" w:ascii="宋体" w:hAnsi="宋体" w:eastAsia="宋体" w:cs="宋体"/>
                <w:b/>
                <w:bCs/>
                <w:color w:val="000000"/>
                <w:szCs w:val="21"/>
                <w:lang w:bidi="ar"/>
              </w:rPr>
              <w:t>30</w:t>
            </w:r>
          </w:p>
        </w:tc>
      </w:tr>
      <w:tr w14:paraId="22434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1533" w:type="dxa"/>
            <w:vMerge w:val="continue"/>
            <w:tcBorders>
              <w:tl2br w:val="nil"/>
              <w:tr2bl w:val="nil"/>
            </w:tcBorders>
            <w:vAlign w:val="center"/>
          </w:tcPr>
          <w:p w14:paraId="396F5DD1">
            <w:pPr>
              <w:spacing w:line="360" w:lineRule="auto"/>
              <w:ind w:firstLine="420"/>
              <w:rPr>
                <w:rFonts w:hint="eastAsia" w:ascii="宋体" w:hAnsi="宋体" w:eastAsia="宋体" w:cs="宋体"/>
                <w:b/>
                <w:bCs/>
                <w:color w:val="000000"/>
                <w:szCs w:val="21"/>
              </w:rPr>
            </w:pPr>
          </w:p>
        </w:tc>
        <w:tc>
          <w:tcPr>
            <w:tcW w:w="1737" w:type="dxa"/>
            <w:tcBorders>
              <w:tl2br w:val="nil"/>
              <w:tr2bl w:val="nil"/>
            </w:tcBorders>
            <w:noWrap/>
            <w:vAlign w:val="center"/>
          </w:tcPr>
          <w:p w14:paraId="006EF1C6">
            <w:pPr>
              <w:spacing w:line="360" w:lineRule="auto"/>
              <w:jc w:val="center"/>
              <w:textAlignment w:val="center"/>
              <w:rPr>
                <w:rFonts w:hint="eastAsia" w:ascii="宋体" w:hAnsi="宋体" w:eastAsia="宋体" w:cs="宋体"/>
                <w:b/>
                <w:bCs/>
                <w:color w:val="000000"/>
                <w:szCs w:val="21"/>
              </w:rPr>
            </w:pPr>
            <w:r>
              <w:rPr>
                <w:rFonts w:hint="eastAsia" w:ascii="宋体" w:hAnsi="宋体" w:eastAsia="宋体" w:cs="宋体"/>
                <w:b/>
                <w:bCs/>
                <w:color w:val="000000"/>
                <w:szCs w:val="21"/>
              </w:rPr>
              <w:t>项目质量控制</w:t>
            </w:r>
          </w:p>
          <w:p w14:paraId="3B3DDA0C">
            <w:pPr>
              <w:spacing w:line="360" w:lineRule="auto"/>
              <w:jc w:val="center"/>
              <w:textAlignment w:val="center"/>
              <w:rPr>
                <w:rFonts w:hint="eastAsia" w:ascii="宋体" w:hAnsi="宋体" w:eastAsia="宋体" w:cs="宋体"/>
                <w:b/>
                <w:bCs/>
                <w:color w:val="000000"/>
                <w:szCs w:val="21"/>
              </w:rPr>
            </w:pPr>
            <w:r>
              <w:rPr>
                <w:rFonts w:hint="eastAsia" w:ascii="宋体" w:hAnsi="宋体" w:eastAsia="宋体" w:cs="宋体"/>
                <w:b/>
                <w:bCs/>
                <w:color w:val="000000"/>
                <w:szCs w:val="21"/>
              </w:rPr>
              <w:t>措施</w:t>
            </w:r>
          </w:p>
          <w:p w14:paraId="4EE2E323">
            <w:pPr>
              <w:spacing w:line="360" w:lineRule="auto"/>
              <w:ind w:firstLine="420"/>
              <w:jc w:val="center"/>
              <w:textAlignment w:val="center"/>
              <w:rPr>
                <w:rFonts w:hint="eastAsia" w:ascii="宋体" w:hAnsi="宋体" w:eastAsia="宋体" w:cs="宋体"/>
                <w:b/>
                <w:bCs/>
                <w:color w:val="000000"/>
                <w:szCs w:val="21"/>
              </w:rPr>
            </w:pPr>
          </w:p>
        </w:tc>
        <w:tc>
          <w:tcPr>
            <w:tcW w:w="6127" w:type="dxa"/>
            <w:tcBorders>
              <w:tl2br w:val="nil"/>
              <w:tr2bl w:val="nil"/>
            </w:tcBorders>
            <w:vAlign w:val="center"/>
          </w:tcPr>
          <w:p w14:paraId="7130A6C7">
            <w:pPr>
              <w:spacing w:line="360" w:lineRule="auto"/>
              <w:ind w:firstLine="422" w:firstLineChars="200"/>
              <w:rPr>
                <w:rFonts w:hint="eastAsia" w:ascii="宋体" w:hAnsi="宋体" w:eastAsia="宋体" w:cs="宋体"/>
                <w:color w:val="000000"/>
                <w:szCs w:val="21"/>
              </w:rPr>
            </w:pPr>
            <w:r>
              <w:rPr>
                <w:rFonts w:hint="eastAsia" w:ascii="宋体" w:hAnsi="宋体" w:eastAsia="宋体" w:cs="宋体"/>
                <w:b/>
                <w:bCs/>
                <w:color w:val="000000"/>
                <w:szCs w:val="21"/>
              </w:rPr>
              <w:t>一档（7分）：</w:t>
            </w:r>
            <w:r>
              <w:rPr>
                <w:rFonts w:hint="eastAsia" w:ascii="宋体" w:hAnsi="宋体" w:eastAsia="宋体" w:cs="宋体"/>
                <w:color w:val="000000"/>
                <w:szCs w:val="21"/>
              </w:rPr>
              <w:t>提供有质量保证措施，能提出质量目标，服务承诺有处理故障响应时间等相关内容；</w:t>
            </w:r>
          </w:p>
          <w:p w14:paraId="727B242A">
            <w:pPr>
              <w:spacing w:line="360" w:lineRule="auto"/>
              <w:ind w:firstLine="422" w:firstLineChars="200"/>
              <w:rPr>
                <w:rFonts w:hint="eastAsia" w:ascii="宋体" w:hAnsi="宋体" w:eastAsia="宋体" w:cs="宋体"/>
                <w:color w:val="000000"/>
                <w:szCs w:val="21"/>
              </w:rPr>
            </w:pPr>
            <w:r>
              <w:rPr>
                <w:rFonts w:hint="eastAsia" w:ascii="宋体" w:hAnsi="宋体" w:eastAsia="宋体" w:cs="宋体"/>
                <w:b/>
                <w:bCs/>
                <w:color w:val="000000"/>
                <w:szCs w:val="21"/>
              </w:rPr>
              <w:t>二档（11分）：</w:t>
            </w:r>
            <w:r>
              <w:rPr>
                <w:rFonts w:hint="eastAsia" w:ascii="宋体" w:hAnsi="宋体" w:eastAsia="宋体" w:cs="宋体"/>
                <w:color w:val="000000"/>
                <w:szCs w:val="21"/>
              </w:rPr>
              <w:t>质量保证措施贴合项目要求，提出的质量目标实用性和可操作性强，服务承诺措施全面、可行，故障请求实质响应时间在12小时内，服务承诺列有定期巡检承诺等相关内容；</w:t>
            </w:r>
          </w:p>
          <w:p w14:paraId="79275378">
            <w:pPr>
              <w:spacing w:line="360" w:lineRule="auto"/>
              <w:ind w:firstLine="422" w:firstLineChars="200"/>
              <w:rPr>
                <w:rFonts w:hint="eastAsia" w:ascii="宋体" w:hAnsi="宋体" w:eastAsia="宋体" w:cs="宋体"/>
                <w:color w:val="000000"/>
                <w:szCs w:val="21"/>
              </w:rPr>
            </w:pPr>
            <w:r>
              <w:rPr>
                <w:rFonts w:hint="eastAsia" w:ascii="宋体" w:hAnsi="宋体" w:eastAsia="宋体" w:cs="宋体"/>
                <w:b/>
                <w:bCs/>
                <w:color w:val="000000"/>
                <w:szCs w:val="21"/>
              </w:rPr>
              <w:t>三档（15分）：</w:t>
            </w:r>
            <w:r>
              <w:rPr>
                <w:rFonts w:hint="eastAsia" w:ascii="宋体" w:hAnsi="宋体" w:eastAsia="宋体" w:cs="宋体"/>
                <w:color w:val="000000"/>
                <w:szCs w:val="21"/>
              </w:rPr>
              <w:t>质量保证措施贴合项目要求，有针对性，提出的质量目标实用性和可操作性强，服务承诺内容较详细，故障请求实质响应时间在半小时内，故障响应时间快速可行，对技术支持服务承诺较好等相关内容，并在服务要求范围之外提供附加实质性承诺措施的。</w:t>
            </w:r>
          </w:p>
        </w:tc>
        <w:tc>
          <w:tcPr>
            <w:tcW w:w="706" w:type="dxa"/>
            <w:tcBorders>
              <w:tl2br w:val="nil"/>
              <w:tr2bl w:val="nil"/>
            </w:tcBorders>
            <w:noWrap/>
            <w:vAlign w:val="center"/>
          </w:tcPr>
          <w:p w14:paraId="74BA184E">
            <w:pPr>
              <w:spacing w:line="360" w:lineRule="auto"/>
              <w:jc w:val="center"/>
              <w:textAlignment w:val="center"/>
              <w:rPr>
                <w:rFonts w:hint="eastAsia" w:ascii="宋体" w:hAnsi="宋体" w:eastAsia="宋体" w:cs="宋体"/>
                <w:b/>
                <w:bCs/>
                <w:color w:val="000000"/>
                <w:szCs w:val="21"/>
              </w:rPr>
            </w:pPr>
            <w:r>
              <w:rPr>
                <w:rFonts w:hint="eastAsia" w:ascii="宋体" w:hAnsi="宋体" w:eastAsia="宋体" w:cs="宋体"/>
                <w:b/>
                <w:bCs/>
                <w:color w:val="000000"/>
                <w:szCs w:val="21"/>
              </w:rPr>
              <w:t>15</w:t>
            </w:r>
          </w:p>
        </w:tc>
      </w:tr>
      <w:tr w14:paraId="26729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6" w:hRule="atLeast"/>
          <w:jc w:val="center"/>
        </w:trPr>
        <w:tc>
          <w:tcPr>
            <w:tcW w:w="1533" w:type="dxa"/>
            <w:vMerge w:val="continue"/>
            <w:tcBorders>
              <w:tl2br w:val="nil"/>
              <w:tr2bl w:val="nil"/>
            </w:tcBorders>
            <w:vAlign w:val="center"/>
          </w:tcPr>
          <w:p w14:paraId="0B5F724D">
            <w:pPr>
              <w:spacing w:line="360" w:lineRule="auto"/>
              <w:ind w:firstLine="420"/>
              <w:rPr>
                <w:rFonts w:hint="eastAsia" w:ascii="宋体" w:hAnsi="宋体" w:eastAsia="宋体" w:cs="宋体"/>
                <w:b/>
                <w:bCs/>
                <w:color w:val="000000"/>
                <w:szCs w:val="21"/>
              </w:rPr>
            </w:pPr>
          </w:p>
        </w:tc>
        <w:tc>
          <w:tcPr>
            <w:tcW w:w="1737" w:type="dxa"/>
            <w:tcBorders>
              <w:tl2br w:val="nil"/>
              <w:tr2bl w:val="nil"/>
            </w:tcBorders>
            <w:noWrap/>
            <w:vAlign w:val="center"/>
          </w:tcPr>
          <w:p w14:paraId="67B0B6F5">
            <w:pPr>
              <w:spacing w:line="360" w:lineRule="auto"/>
              <w:ind w:firstLine="422" w:firstLineChars="200"/>
              <w:jc w:val="left"/>
              <w:rPr>
                <w:rFonts w:hint="eastAsia" w:ascii="宋体" w:hAnsi="宋体" w:eastAsia="宋体" w:cs="宋体"/>
                <w:color w:val="000000"/>
                <w:szCs w:val="21"/>
              </w:rPr>
            </w:pPr>
            <w:r>
              <w:rPr>
                <w:rFonts w:hint="eastAsia" w:ascii="宋体" w:hAnsi="宋体" w:eastAsia="宋体" w:cs="宋体"/>
                <w:b/>
                <w:kern w:val="0"/>
                <w:szCs w:val="21"/>
              </w:rPr>
              <w:t>组织管理</w:t>
            </w:r>
          </w:p>
        </w:tc>
        <w:tc>
          <w:tcPr>
            <w:tcW w:w="6127" w:type="dxa"/>
            <w:tcBorders>
              <w:tl2br w:val="nil"/>
              <w:tr2bl w:val="nil"/>
            </w:tcBorders>
            <w:vAlign w:val="center"/>
          </w:tcPr>
          <w:p w14:paraId="0167BDAF">
            <w:pPr>
              <w:spacing w:line="360" w:lineRule="auto"/>
              <w:ind w:firstLine="422" w:firstLineChars="200"/>
              <w:jc w:val="left"/>
              <w:textAlignment w:val="center"/>
              <w:rPr>
                <w:rFonts w:hint="eastAsia" w:ascii="宋体" w:hAnsi="宋体" w:eastAsia="宋体" w:cs="宋体"/>
                <w:color w:val="000000"/>
                <w:szCs w:val="21"/>
              </w:rPr>
            </w:pPr>
            <w:r>
              <w:rPr>
                <w:rFonts w:hint="eastAsia" w:ascii="宋体" w:hAnsi="宋体" w:eastAsia="宋体" w:cs="宋体"/>
                <w:b/>
                <w:bCs/>
                <w:color w:val="000000"/>
                <w:szCs w:val="21"/>
              </w:rPr>
              <w:t>一档（7分）：</w:t>
            </w:r>
            <w:r>
              <w:rPr>
                <w:rFonts w:hint="eastAsia" w:ascii="宋体" w:hAnsi="宋体" w:eastAsia="宋体" w:cs="宋体"/>
                <w:color w:val="000000"/>
                <w:szCs w:val="21"/>
                <w:lang w:bidi="ar"/>
              </w:rPr>
              <w:t>供应商建立有岗位、企业管理制度，</w:t>
            </w:r>
            <w:r>
              <w:rPr>
                <w:rFonts w:hint="eastAsia" w:ascii="宋体" w:hAnsi="宋体" w:eastAsia="宋体" w:cs="宋体"/>
                <w:color w:val="000000"/>
                <w:szCs w:val="21"/>
              </w:rPr>
              <w:t>有项目管理组织机构、岗位职责、人员职能等</w:t>
            </w:r>
            <w:r>
              <w:rPr>
                <w:rFonts w:hint="eastAsia" w:ascii="宋体" w:hAnsi="宋体" w:eastAsia="宋体" w:cs="宋体"/>
                <w:color w:val="000000"/>
                <w:szCs w:val="21"/>
                <w:lang w:bidi="ar"/>
              </w:rPr>
              <w:t>方案基本符合项目要求</w:t>
            </w:r>
            <w:r>
              <w:rPr>
                <w:rFonts w:hint="eastAsia" w:ascii="宋体" w:hAnsi="宋体" w:eastAsia="宋体" w:cs="宋体"/>
                <w:color w:val="000000"/>
                <w:szCs w:val="21"/>
              </w:rPr>
              <w:t>，但整体描述简单粗略；</w:t>
            </w:r>
          </w:p>
          <w:p w14:paraId="03E48C8A">
            <w:pPr>
              <w:spacing w:line="360" w:lineRule="auto"/>
              <w:ind w:firstLine="422" w:firstLineChars="200"/>
              <w:jc w:val="left"/>
              <w:rPr>
                <w:rFonts w:hint="eastAsia" w:ascii="宋体" w:hAnsi="宋体" w:eastAsia="宋体" w:cs="宋体"/>
                <w:color w:val="000000"/>
                <w:szCs w:val="21"/>
              </w:rPr>
            </w:pPr>
            <w:r>
              <w:rPr>
                <w:rFonts w:hint="eastAsia" w:ascii="宋体" w:hAnsi="宋体" w:eastAsia="宋体" w:cs="宋体"/>
                <w:b/>
                <w:bCs/>
                <w:color w:val="000000"/>
                <w:szCs w:val="21"/>
              </w:rPr>
              <w:t>二档（11分）：</w:t>
            </w:r>
            <w:r>
              <w:rPr>
                <w:rFonts w:hint="eastAsia" w:ascii="宋体" w:hAnsi="宋体" w:eastAsia="宋体" w:cs="宋体"/>
                <w:color w:val="000000"/>
                <w:szCs w:val="21"/>
                <w:lang w:bidi="ar"/>
              </w:rPr>
              <w:t>供应商建立有岗位、企业管理制度，</w:t>
            </w:r>
            <w:r>
              <w:rPr>
                <w:rFonts w:hint="eastAsia" w:ascii="宋体" w:hAnsi="宋体" w:eastAsia="宋体" w:cs="宋体"/>
                <w:color w:val="000000"/>
                <w:szCs w:val="21"/>
              </w:rPr>
              <w:t>项目管理组织机构、岗位职责、人员职能表述完整、清晰，可执行性较强，初步贴近采购人总体服务需求；</w:t>
            </w:r>
          </w:p>
          <w:p w14:paraId="71F032D1">
            <w:pPr>
              <w:spacing w:line="360" w:lineRule="auto"/>
              <w:ind w:firstLine="422" w:firstLineChars="200"/>
              <w:jc w:val="left"/>
              <w:rPr>
                <w:rFonts w:hint="eastAsia" w:ascii="宋体" w:hAnsi="宋体" w:eastAsia="宋体" w:cs="宋体"/>
                <w:color w:val="000000"/>
                <w:szCs w:val="21"/>
              </w:rPr>
            </w:pPr>
            <w:r>
              <w:rPr>
                <w:rFonts w:hint="eastAsia" w:ascii="宋体" w:hAnsi="宋体" w:eastAsia="宋体" w:cs="宋体"/>
                <w:b/>
                <w:bCs/>
                <w:color w:val="000000"/>
                <w:szCs w:val="21"/>
              </w:rPr>
              <w:t>三档（15分）</w:t>
            </w:r>
            <w:r>
              <w:rPr>
                <w:rFonts w:hint="eastAsia" w:ascii="宋体" w:hAnsi="宋体" w:eastAsia="宋体" w:cs="宋体"/>
                <w:color w:val="000000"/>
                <w:szCs w:val="21"/>
              </w:rPr>
              <w:t>：在</w:t>
            </w:r>
            <w:r>
              <w:rPr>
                <w:rFonts w:hint="eastAsia" w:ascii="宋体" w:hAnsi="宋体" w:eastAsia="宋体" w:cs="宋体"/>
                <w:color w:val="000000"/>
                <w:szCs w:val="21"/>
                <w:lang w:bidi="ar"/>
              </w:rPr>
              <w:t>二档的基础上，供应商管理制度完善，对企业文化、重点环节、岗位制度、</w:t>
            </w:r>
            <w:r>
              <w:rPr>
                <w:rFonts w:hint="eastAsia" w:ascii="宋体" w:hAnsi="宋体" w:eastAsia="宋体" w:cs="宋体"/>
                <w:color w:val="000000"/>
                <w:szCs w:val="21"/>
              </w:rPr>
              <w:t>项目管理组织机构、岗位职责、人员职能</w:t>
            </w:r>
            <w:r>
              <w:rPr>
                <w:rFonts w:hint="eastAsia" w:ascii="宋体" w:hAnsi="宋体" w:eastAsia="宋体" w:cs="宋体"/>
                <w:color w:val="000000"/>
                <w:szCs w:val="21"/>
                <w:lang w:bidi="ar"/>
              </w:rPr>
              <w:t>等管理体系建立健全且规范科学，完全契合项目要求，各项内容逻辑严谨，方案详实、全面，针对性、可行性、能充分满足采购人需求。</w:t>
            </w:r>
          </w:p>
        </w:tc>
        <w:tc>
          <w:tcPr>
            <w:tcW w:w="706" w:type="dxa"/>
            <w:tcBorders>
              <w:tl2br w:val="nil"/>
              <w:tr2bl w:val="nil"/>
            </w:tcBorders>
            <w:noWrap/>
            <w:vAlign w:val="center"/>
          </w:tcPr>
          <w:p w14:paraId="26DA7977">
            <w:pPr>
              <w:spacing w:line="360" w:lineRule="auto"/>
              <w:jc w:val="center"/>
              <w:rPr>
                <w:rFonts w:hint="eastAsia" w:ascii="宋体" w:hAnsi="宋体" w:eastAsia="宋体" w:cs="宋体"/>
                <w:color w:val="000000"/>
                <w:szCs w:val="21"/>
              </w:rPr>
            </w:pPr>
            <w:r>
              <w:rPr>
                <w:rFonts w:hint="eastAsia" w:ascii="宋体" w:hAnsi="宋体" w:eastAsia="宋体" w:cs="宋体"/>
                <w:b/>
                <w:bCs/>
                <w:color w:val="000000"/>
                <w:szCs w:val="21"/>
              </w:rPr>
              <w:t>15</w:t>
            </w:r>
          </w:p>
        </w:tc>
      </w:tr>
      <w:tr w14:paraId="5BCE2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1533" w:type="dxa"/>
            <w:vMerge w:val="restart"/>
            <w:tcBorders>
              <w:tl2br w:val="nil"/>
              <w:tr2bl w:val="nil"/>
            </w:tcBorders>
            <w:vAlign w:val="center"/>
          </w:tcPr>
          <w:p w14:paraId="14FC3003">
            <w:pPr>
              <w:spacing w:line="360" w:lineRule="auto"/>
              <w:jc w:val="center"/>
              <w:textAlignment w:val="center"/>
              <w:rPr>
                <w:rFonts w:hint="eastAsia" w:ascii="宋体" w:hAnsi="宋体" w:eastAsia="宋体" w:cs="宋体"/>
                <w:b/>
                <w:bCs/>
                <w:color w:val="000000"/>
                <w:szCs w:val="21"/>
                <w:lang w:bidi="ar"/>
              </w:rPr>
            </w:pPr>
            <w:r>
              <w:rPr>
                <w:rFonts w:hint="eastAsia" w:ascii="宋体" w:hAnsi="宋体" w:eastAsia="宋体" w:cs="宋体"/>
                <w:b/>
                <w:bCs/>
                <w:color w:val="000000"/>
                <w:szCs w:val="21"/>
                <w:lang w:bidi="ar"/>
              </w:rPr>
              <w:t>商务分</w:t>
            </w:r>
          </w:p>
          <w:p w14:paraId="29CA8D20">
            <w:pPr>
              <w:spacing w:line="360" w:lineRule="auto"/>
              <w:jc w:val="center"/>
              <w:textAlignment w:val="center"/>
              <w:rPr>
                <w:rFonts w:hint="eastAsia" w:ascii="宋体" w:hAnsi="宋体" w:eastAsia="宋体" w:cs="宋体"/>
                <w:b/>
                <w:bCs/>
                <w:color w:val="000000"/>
                <w:szCs w:val="21"/>
              </w:rPr>
            </w:pPr>
            <w:r>
              <w:rPr>
                <w:rFonts w:hint="eastAsia" w:ascii="宋体" w:hAnsi="宋体" w:eastAsia="宋体" w:cs="宋体"/>
                <w:b/>
                <w:bCs/>
                <w:color w:val="000000"/>
                <w:szCs w:val="21"/>
                <w:lang w:bidi="ar"/>
              </w:rPr>
              <w:t>（满分25分）</w:t>
            </w:r>
          </w:p>
        </w:tc>
        <w:tc>
          <w:tcPr>
            <w:tcW w:w="1737" w:type="dxa"/>
            <w:tcBorders>
              <w:tl2br w:val="nil"/>
              <w:tr2bl w:val="nil"/>
            </w:tcBorders>
            <w:noWrap/>
            <w:vAlign w:val="center"/>
          </w:tcPr>
          <w:p w14:paraId="5A94DAA4">
            <w:pPr>
              <w:spacing w:line="360" w:lineRule="auto"/>
              <w:jc w:val="center"/>
              <w:textAlignment w:val="center"/>
              <w:rPr>
                <w:rFonts w:hint="eastAsia" w:ascii="宋体" w:hAnsi="宋体" w:eastAsia="宋体" w:cs="宋体"/>
                <w:b/>
                <w:bCs/>
                <w:color w:val="000000"/>
                <w:szCs w:val="21"/>
                <w:lang w:bidi="ar"/>
              </w:rPr>
            </w:pPr>
            <w:r>
              <w:rPr>
                <w:rFonts w:hint="eastAsia" w:ascii="宋体" w:hAnsi="宋体" w:eastAsia="宋体" w:cs="宋体"/>
                <w:b/>
                <w:bCs/>
                <w:color w:val="000000"/>
                <w:szCs w:val="21"/>
                <w:lang w:bidi="ar"/>
              </w:rPr>
              <w:t>信誉实力</w:t>
            </w:r>
          </w:p>
          <w:p w14:paraId="1B94B380">
            <w:pPr>
              <w:spacing w:line="360" w:lineRule="auto"/>
              <w:ind w:firstLine="420"/>
              <w:jc w:val="center"/>
              <w:textAlignment w:val="center"/>
              <w:rPr>
                <w:rFonts w:hint="eastAsia" w:ascii="宋体" w:hAnsi="宋体" w:eastAsia="宋体" w:cs="宋体"/>
                <w:b/>
                <w:bCs/>
                <w:color w:val="000000"/>
                <w:szCs w:val="21"/>
                <w:lang w:bidi="ar"/>
              </w:rPr>
            </w:pPr>
          </w:p>
        </w:tc>
        <w:tc>
          <w:tcPr>
            <w:tcW w:w="6127" w:type="dxa"/>
            <w:tcBorders>
              <w:tl2br w:val="nil"/>
              <w:tr2bl w:val="nil"/>
            </w:tcBorders>
            <w:vAlign w:val="center"/>
          </w:tcPr>
          <w:p w14:paraId="32B6FAE2">
            <w:pPr>
              <w:spacing w:line="360" w:lineRule="auto"/>
              <w:ind w:firstLine="420" w:firstLineChars="200"/>
              <w:textAlignment w:val="center"/>
              <w:rPr>
                <w:rFonts w:hint="eastAsia" w:ascii="宋体" w:hAnsi="宋体" w:eastAsia="宋体" w:cs="宋体"/>
                <w:color w:val="000000"/>
                <w:szCs w:val="21"/>
                <w:lang w:bidi="ar"/>
              </w:rPr>
            </w:pPr>
            <w:r>
              <w:rPr>
                <w:rFonts w:hint="eastAsia" w:ascii="宋体" w:hAnsi="宋体" w:eastAsia="宋体" w:cs="宋体"/>
                <w:color w:val="000000"/>
                <w:szCs w:val="21"/>
                <w:lang w:bidi="ar"/>
              </w:rPr>
              <w:t>1.供应商具有</w:t>
            </w:r>
            <w:r>
              <w:rPr>
                <w:rFonts w:ascii="宋体" w:hAnsi="宋体" w:eastAsia="宋体" w:cs="宋体"/>
                <w:color w:val="000000"/>
                <w:szCs w:val="21"/>
                <w:lang w:bidi="ar"/>
              </w:rPr>
              <w:t>ISO9001质量管理体系、ISO20000信息技术服务管理体系、ISO14001环境管理体系、ISO45001职业健康安全管理体系证书的每项得</w:t>
            </w:r>
            <w:r>
              <w:rPr>
                <w:rFonts w:hint="eastAsia" w:ascii="宋体" w:hAnsi="宋体" w:eastAsia="宋体" w:cs="宋体"/>
                <w:color w:val="000000"/>
                <w:szCs w:val="21"/>
                <w:lang w:bidi="ar"/>
              </w:rPr>
              <w:t>3</w:t>
            </w:r>
            <w:r>
              <w:rPr>
                <w:rFonts w:ascii="宋体" w:hAnsi="宋体" w:eastAsia="宋体" w:cs="宋体"/>
                <w:color w:val="000000"/>
                <w:szCs w:val="21"/>
                <w:lang w:bidi="ar"/>
              </w:rPr>
              <w:t>分</w:t>
            </w:r>
            <w:r>
              <w:rPr>
                <w:rFonts w:hint="eastAsia" w:ascii="宋体" w:hAnsi="宋体" w:eastAsia="宋体" w:cs="宋体"/>
                <w:color w:val="000000"/>
                <w:szCs w:val="21"/>
                <w:lang w:bidi="ar"/>
              </w:rPr>
              <w:t>，本项满分3分；</w:t>
            </w:r>
          </w:p>
          <w:p w14:paraId="30C39196">
            <w:pPr>
              <w:spacing w:line="360" w:lineRule="auto"/>
              <w:ind w:firstLine="420" w:firstLineChars="200"/>
              <w:textAlignment w:val="center"/>
              <w:rPr>
                <w:rFonts w:hint="eastAsia" w:ascii="宋体" w:hAnsi="宋体" w:eastAsia="宋体" w:cs="宋体"/>
                <w:color w:val="000000"/>
                <w:szCs w:val="21"/>
                <w:lang w:bidi="ar"/>
              </w:rPr>
            </w:pPr>
            <w:r>
              <w:rPr>
                <w:rFonts w:hint="eastAsia" w:ascii="宋体" w:hAnsi="宋体" w:eastAsia="宋体" w:cs="宋体"/>
                <w:color w:val="000000"/>
                <w:szCs w:val="21"/>
                <w:lang w:bidi="ar"/>
              </w:rPr>
              <w:t>2.供应商每具有1项港航相关信息化专利证书（包括实用新型专利）或软件著作权，得2分，本项满分10分。</w:t>
            </w:r>
          </w:p>
          <w:p w14:paraId="59B4E708">
            <w:pPr>
              <w:spacing w:line="360" w:lineRule="auto"/>
              <w:ind w:firstLine="420" w:firstLineChars="200"/>
              <w:textAlignment w:val="center"/>
              <w:rPr>
                <w:rFonts w:hint="eastAsia" w:ascii="宋体" w:hAnsi="宋体" w:eastAsia="宋体" w:cs="宋体"/>
                <w:color w:val="000000"/>
                <w:szCs w:val="21"/>
                <w:lang w:bidi="ar"/>
              </w:rPr>
            </w:pPr>
            <w:r>
              <w:rPr>
                <w:rFonts w:hint="eastAsia" w:ascii="宋体" w:hAnsi="宋体" w:eastAsia="宋体" w:cs="宋体"/>
                <w:color w:val="000000"/>
                <w:szCs w:val="21"/>
                <w:lang w:bidi="ar"/>
              </w:rPr>
              <w:t>（以提供相关认证证书复印件为准并加盖供应商公章）</w:t>
            </w:r>
          </w:p>
        </w:tc>
        <w:tc>
          <w:tcPr>
            <w:tcW w:w="706" w:type="dxa"/>
            <w:tcBorders>
              <w:tl2br w:val="nil"/>
              <w:tr2bl w:val="nil"/>
            </w:tcBorders>
            <w:vAlign w:val="center"/>
          </w:tcPr>
          <w:p w14:paraId="0C0FF8F3">
            <w:pPr>
              <w:spacing w:line="360" w:lineRule="auto"/>
              <w:textAlignment w:val="center"/>
              <w:rPr>
                <w:rFonts w:hint="eastAsia" w:ascii="宋体" w:hAnsi="宋体" w:eastAsia="宋体" w:cs="宋体"/>
                <w:color w:val="000000"/>
                <w:szCs w:val="21"/>
                <w:lang w:bidi="ar"/>
              </w:rPr>
            </w:pPr>
            <w:r>
              <w:rPr>
                <w:rFonts w:hint="eastAsia" w:ascii="宋体" w:hAnsi="宋体" w:eastAsia="宋体" w:cs="宋体"/>
                <w:b/>
                <w:bCs/>
                <w:color w:val="000000"/>
                <w:szCs w:val="21"/>
                <w:lang w:bidi="ar"/>
              </w:rPr>
              <w:t>13</w:t>
            </w:r>
          </w:p>
        </w:tc>
      </w:tr>
      <w:tr w14:paraId="6C2E3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1533" w:type="dxa"/>
            <w:vMerge w:val="continue"/>
            <w:tcBorders>
              <w:tl2br w:val="nil"/>
              <w:tr2bl w:val="nil"/>
            </w:tcBorders>
            <w:vAlign w:val="center"/>
          </w:tcPr>
          <w:p w14:paraId="0F2DB318">
            <w:pPr>
              <w:spacing w:line="360" w:lineRule="auto"/>
              <w:ind w:firstLine="420"/>
              <w:jc w:val="center"/>
              <w:textAlignment w:val="center"/>
              <w:rPr>
                <w:rFonts w:hint="eastAsia" w:ascii="宋体" w:hAnsi="宋体" w:eastAsia="宋体" w:cs="宋体"/>
                <w:b/>
                <w:bCs/>
                <w:color w:val="000000"/>
                <w:szCs w:val="21"/>
                <w:lang w:bidi="ar"/>
              </w:rPr>
            </w:pPr>
          </w:p>
        </w:tc>
        <w:tc>
          <w:tcPr>
            <w:tcW w:w="1737" w:type="dxa"/>
            <w:tcBorders>
              <w:tl2br w:val="nil"/>
              <w:tr2bl w:val="nil"/>
            </w:tcBorders>
            <w:noWrap/>
            <w:vAlign w:val="center"/>
          </w:tcPr>
          <w:p w14:paraId="673C4D93">
            <w:pPr>
              <w:spacing w:line="360" w:lineRule="auto"/>
              <w:jc w:val="center"/>
              <w:rPr>
                <w:rFonts w:hint="eastAsia" w:ascii="宋体" w:hAnsi="宋体" w:eastAsia="宋体" w:cs="宋体"/>
                <w:b/>
                <w:bCs/>
                <w:color w:val="000000"/>
                <w:szCs w:val="21"/>
                <w:lang w:bidi="ar"/>
              </w:rPr>
            </w:pPr>
            <w:r>
              <w:rPr>
                <w:rFonts w:hint="eastAsia" w:ascii="宋体" w:hAnsi="宋体" w:eastAsia="宋体" w:cs="宋体"/>
                <w:b/>
                <w:bCs/>
                <w:szCs w:val="20"/>
              </w:rPr>
              <w:t>业绩分</w:t>
            </w:r>
          </w:p>
          <w:p w14:paraId="0F78E08A">
            <w:pPr>
              <w:pStyle w:val="42"/>
              <w:spacing w:line="360" w:lineRule="auto"/>
              <w:ind w:left="840" w:hanging="420"/>
              <w:rPr>
                <w:rFonts w:hint="eastAsia" w:ascii="宋体" w:hAnsi="宋体" w:eastAsia="宋体" w:cs="宋体"/>
              </w:rPr>
            </w:pPr>
          </w:p>
        </w:tc>
        <w:tc>
          <w:tcPr>
            <w:tcW w:w="6127" w:type="dxa"/>
            <w:tcBorders>
              <w:tl2br w:val="nil"/>
              <w:tr2bl w:val="nil"/>
            </w:tcBorders>
            <w:vAlign w:val="center"/>
          </w:tcPr>
          <w:p w14:paraId="2B4AC355">
            <w:pPr>
              <w:spacing w:line="360" w:lineRule="auto"/>
              <w:ind w:firstLine="420" w:firstLineChars="200"/>
              <w:textAlignment w:val="center"/>
              <w:rPr>
                <w:rFonts w:hint="eastAsia" w:ascii="宋体" w:hAnsi="宋体" w:eastAsia="宋体" w:cs="宋体"/>
                <w:color w:val="000000"/>
                <w:szCs w:val="21"/>
                <w:lang w:bidi="ar"/>
              </w:rPr>
            </w:pPr>
            <w:r>
              <w:rPr>
                <w:rFonts w:hint="eastAsia" w:ascii="宋体" w:hAnsi="宋体" w:eastAsia="宋体" w:cs="宋体"/>
                <w:color w:val="000000"/>
                <w:szCs w:val="21"/>
                <w:lang w:bidi="ar"/>
              </w:rPr>
              <w:t>2020年1月1日至响应文件递交截止日期止，供应商具备港航相关信息化系统运维类项目业绩，每具有一项得 2分，本项满分12分。（以合同或者中标（成交）通知书复印件为准，并加盖供应商公章）</w:t>
            </w:r>
          </w:p>
        </w:tc>
        <w:tc>
          <w:tcPr>
            <w:tcW w:w="706" w:type="dxa"/>
            <w:tcBorders>
              <w:tl2br w:val="nil"/>
              <w:tr2bl w:val="nil"/>
            </w:tcBorders>
            <w:vAlign w:val="center"/>
          </w:tcPr>
          <w:p w14:paraId="6E346C5E">
            <w:pPr>
              <w:spacing w:line="360" w:lineRule="auto"/>
              <w:textAlignment w:val="center"/>
              <w:rPr>
                <w:rFonts w:hint="eastAsia" w:ascii="宋体" w:hAnsi="宋体" w:cs="宋体"/>
                <w:color w:val="000000"/>
                <w:szCs w:val="21"/>
                <w:lang w:bidi="ar"/>
              </w:rPr>
            </w:pPr>
            <w:r>
              <w:rPr>
                <w:rFonts w:hint="eastAsia" w:ascii="宋体" w:hAnsi="宋体"/>
                <w:b/>
                <w:bCs/>
                <w:szCs w:val="20"/>
              </w:rPr>
              <w:t>12</w:t>
            </w:r>
          </w:p>
        </w:tc>
      </w:tr>
    </w:tbl>
    <w:p w14:paraId="45541850">
      <w:pPr>
        <w:ind w:firstLine="422"/>
        <w:rPr>
          <w:rFonts w:hint="eastAsia"/>
        </w:rPr>
        <w:sectPr>
          <w:pgSz w:w="11906" w:h="16838"/>
          <w:pgMar w:top="1440" w:right="1080" w:bottom="1440" w:left="1080" w:header="720" w:footer="720" w:gutter="0"/>
          <w:cols w:space="720" w:num="1"/>
          <w:docGrid w:type="lines" w:linePitch="312" w:charSpace="0"/>
        </w:sectPr>
      </w:pPr>
    </w:p>
    <w:p w14:paraId="46357C9E">
      <w:pPr>
        <w:ind w:firstLine="422"/>
        <w:rPr>
          <w:rFonts w:hint="eastAsia"/>
        </w:rPr>
      </w:pPr>
    </w:p>
    <w:p w14:paraId="0CFAA526">
      <w:pPr>
        <w:spacing w:line="360" w:lineRule="auto"/>
        <w:ind w:firstLine="420" w:firstLineChars="200"/>
        <w:rPr>
          <w:rFonts w:hint="eastAsia" w:ascii="宋体" w:hAnsi="宋体" w:eastAsia="宋体" w:cs="Calibri"/>
          <w:bCs/>
          <w:szCs w:val="21"/>
        </w:rPr>
      </w:pPr>
      <w:r>
        <w:rPr>
          <w:rFonts w:hint="eastAsia" w:ascii="宋体" w:hAnsi="宋体" w:eastAsia="宋体" w:cs="Calibri"/>
          <w:bCs/>
          <w:szCs w:val="21"/>
        </w:rPr>
        <w:t>由磋商小组根据综合评分情况，按照评审得分由高到低顺序推荐成交候选供应商，并编写评审报告。评审得分相同的，按照项目服务方案分优劣顺序推荐。评审得分、服务方案分、服务质量承诺分、</w:t>
      </w:r>
      <w:r>
        <w:rPr>
          <w:rFonts w:hint="eastAsia" w:ascii="宋体" w:hAnsi="宋体" w:eastAsia="宋体"/>
          <w:kern w:val="0"/>
          <w:szCs w:val="21"/>
        </w:rPr>
        <w:t>服务进度保证措施</w:t>
      </w:r>
      <w:r>
        <w:rPr>
          <w:rFonts w:hint="eastAsia" w:ascii="宋体" w:hAnsi="宋体" w:eastAsia="宋体" w:cs="Calibri"/>
          <w:bCs/>
          <w:szCs w:val="21"/>
        </w:rPr>
        <w:t>分均相同的，由磋商小组随机抽取推荐。</w:t>
      </w:r>
    </w:p>
    <w:p w14:paraId="069E5DED">
      <w:pPr>
        <w:spacing w:line="360" w:lineRule="auto"/>
        <w:ind w:firstLine="422" w:firstLineChars="200"/>
        <w:rPr>
          <w:rFonts w:hint="eastAsia" w:ascii="宋体" w:hAnsi="宋体" w:eastAsia="宋体" w:cs="Calibri"/>
          <w:b/>
          <w:bCs/>
          <w:kern w:val="0"/>
          <w:szCs w:val="21"/>
        </w:rPr>
      </w:pPr>
      <w:r>
        <w:rPr>
          <w:rFonts w:hint="eastAsia" w:ascii="宋体" w:hAnsi="宋体" w:eastAsia="宋体" w:cs="Calibri"/>
          <w:b/>
          <w:bCs/>
          <w:kern w:val="0"/>
          <w:szCs w:val="21"/>
        </w:rPr>
        <w:t>五、其他</w:t>
      </w:r>
    </w:p>
    <w:p w14:paraId="04860CA4">
      <w:pPr>
        <w:spacing w:line="360" w:lineRule="auto"/>
        <w:ind w:firstLine="420" w:firstLineChars="200"/>
        <w:rPr>
          <w:rFonts w:hint="eastAsia" w:ascii="宋体" w:hAnsi="宋体" w:eastAsia="宋体" w:cs="Calibri"/>
          <w:kern w:val="0"/>
          <w:szCs w:val="21"/>
        </w:rPr>
      </w:pPr>
      <w:r>
        <w:rPr>
          <w:rFonts w:hint="eastAsia" w:ascii="宋体" w:hAnsi="宋体" w:eastAsia="宋体" w:cs="Calibri"/>
          <w:kern w:val="0"/>
          <w:szCs w:val="21"/>
        </w:rPr>
        <w:t>（1）磋商小组应按竞争性磋商文件公布的评审标准进行评审，不得擅自更改竞争性磋商文件的评审标准。</w:t>
      </w:r>
    </w:p>
    <w:p w14:paraId="259FA441">
      <w:pPr>
        <w:spacing w:line="360" w:lineRule="auto"/>
        <w:ind w:firstLine="420" w:firstLineChars="200"/>
        <w:rPr>
          <w:rFonts w:hint="eastAsia" w:ascii="宋体" w:hAnsi="宋体" w:eastAsia="宋体" w:cs="Calibri"/>
          <w:kern w:val="0"/>
          <w:szCs w:val="21"/>
        </w:rPr>
      </w:pPr>
      <w:r>
        <w:rPr>
          <w:rFonts w:hint="eastAsia" w:ascii="宋体" w:hAnsi="宋体" w:eastAsia="宋体" w:cs="Calibri"/>
          <w:kern w:val="0"/>
          <w:szCs w:val="21"/>
        </w:rPr>
        <w:t>（2）在评审过程中，磋商小组任何人不得对某个供应商发表任何倾向性意见，不得向其他专家评委明示或者暗示自己的评审意见。</w:t>
      </w:r>
    </w:p>
    <w:p w14:paraId="786D1FAF">
      <w:pPr>
        <w:spacing w:line="360" w:lineRule="auto"/>
        <w:ind w:firstLine="420" w:firstLineChars="200"/>
        <w:rPr>
          <w:rFonts w:hint="eastAsia" w:ascii="宋体" w:hAnsi="宋体" w:eastAsia="宋体" w:cs="Calibri"/>
          <w:snapToGrid w:val="0"/>
          <w:kern w:val="0"/>
          <w:sz w:val="24"/>
        </w:rPr>
      </w:pPr>
      <w:r>
        <w:rPr>
          <w:rFonts w:hint="eastAsia" w:ascii="宋体" w:hAnsi="宋体" w:eastAsia="宋体" w:cs="Calibri"/>
        </w:rPr>
        <w:t>（3）采购代理机构或现场监督人员发现磋商小组有明显的违规倾向或歧视现象，或不按规定的评审方法和标准进行，或其他不正常行为的，应当及时制止和纠正。如制止无效，应及时向同级政府采购监督管理部门报告，由政府采购监督管理部门依照法律、法规章规作出处理。</w:t>
      </w:r>
    </w:p>
    <w:p w14:paraId="0D65871F">
      <w:pPr>
        <w:ind w:firstLine="422"/>
        <w:rPr>
          <w:rFonts w:hint="eastAsia" w:ascii="宋体" w:hAnsi="宋体" w:eastAsia="宋体"/>
        </w:rPr>
      </w:pPr>
    </w:p>
    <w:p w14:paraId="0AFD5E32">
      <w:pPr>
        <w:ind w:firstLine="422"/>
        <w:rPr>
          <w:rFonts w:hint="eastAsia" w:ascii="宋体" w:hAnsi="宋体" w:eastAsia="宋体"/>
        </w:rPr>
      </w:pPr>
      <w:r>
        <w:rPr>
          <w:rFonts w:ascii="宋体" w:hAnsi="宋体" w:eastAsia="宋体"/>
        </w:rPr>
        <w:br w:type="page"/>
      </w:r>
    </w:p>
    <w:p w14:paraId="351364E7">
      <w:pPr>
        <w:ind w:firstLine="422"/>
        <w:rPr>
          <w:rFonts w:hint="eastAsia" w:ascii="宋体" w:hAnsi="宋体" w:eastAsia="宋体"/>
        </w:rPr>
      </w:pPr>
    </w:p>
    <w:p w14:paraId="4412C95C">
      <w:pPr>
        <w:ind w:firstLine="422"/>
        <w:rPr>
          <w:rFonts w:hint="eastAsia" w:ascii="宋体" w:hAnsi="宋体" w:eastAsia="宋体"/>
        </w:rPr>
      </w:pPr>
    </w:p>
    <w:p w14:paraId="1FC3A74A">
      <w:pPr>
        <w:ind w:firstLine="422"/>
        <w:rPr>
          <w:rFonts w:hint="eastAsia" w:ascii="宋体" w:hAnsi="宋体" w:eastAsia="宋体"/>
        </w:rPr>
      </w:pPr>
    </w:p>
    <w:p w14:paraId="2FF585B2">
      <w:pPr>
        <w:ind w:firstLine="422"/>
        <w:rPr>
          <w:rFonts w:hint="eastAsia" w:ascii="宋体" w:hAnsi="宋体" w:eastAsia="宋体"/>
        </w:rPr>
      </w:pPr>
    </w:p>
    <w:p w14:paraId="7916BFE6">
      <w:pPr>
        <w:ind w:firstLine="422"/>
        <w:rPr>
          <w:rFonts w:hint="eastAsia" w:ascii="宋体" w:hAnsi="宋体" w:eastAsia="宋体"/>
        </w:rPr>
      </w:pPr>
    </w:p>
    <w:p w14:paraId="78CCCA45">
      <w:pPr>
        <w:ind w:firstLine="422"/>
        <w:rPr>
          <w:rFonts w:hint="eastAsia" w:ascii="宋体" w:hAnsi="宋体" w:eastAsia="宋体"/>
        </w:rPr>
      </w:pPr>
    </w:p>
    <w:p w14:paraId="6378B2AC">
      <w:pPr>
        <w:ind w:firstLine="422"/>
        <w:rPr>
          <w:rFonts w:hint="eastAsia" w:ascii="宋体" w:hAnsi="宋体" w:eastAsia="宋体"/>
        </w:rPr>
      </w:pPr>
    </w:p>
    <w:p w14:paraId="286B6932">
      <w:pPr>
        <w:ind w:firstLine="422"/>
        <w:rPr>
          <w:rFonts w:hint="eastAsia" w:ascii="宋体" w:hAnsi="宋体" w:eastAsia="宋体"/>
        </w:rPr>
      </w:pPr>
    </w:p>
    <w:p w14:paraId="3BAF6E8B">
      <w:pPr>
        <w:ind w:firstLine="422"/>
        <w:rPr>
          <w:rFonts w:hint="eastAsia" w:ascii="宋体" w:hAnsi="宋体" w:eastAsia="宋体"/>
        </w:rPr>
      </w:pPr>
    </w:p>
    <w:p w14:paraId="543099FE">
      <w:pPr>
        <w:ind w:firstLine="422"/>
        <w:rPr>
          <w:rFonts w:hint="eastAsia" w:ascii="宋体" w:hAnsi="宋体" w:eastAsia="宋体"/>
        </w:rPr>
      </w:pPr>
    </w:p>
    <w:p w14:paraId="67909AC2">
      <w:pPr>
        <w:ind w:firstLine="422"/>
        <w:rPr>
          <w:rFonts w:hint="eastAsia" w:ascii="宋体" w:hAnsi="宋体" w:eastAsia="宋体"/>
        </w:rPr>
      </w:pPr>
    </w:p>
    <w:p w14:paraId="318DFD7D">
      <w:pPr>
        <w:ind w:firstLine="422"/>
        <w:rPr>
          <w:rFonts w:hint="eastAsia" w:ascii="宋体" w:hAnsi="宋体" w:eastAsia="宋体"/>
        </w:rPr>
      </w:pPr>
    </w:p>
    <w:p w14:paraId="2F42654D">
      <w:pPr>
        <w:ind w:firstLine="422"/>
        <w:rPr>
          <w:rFonts w:hint="eastAsia" w:ascii="宋体" w:hAnsi="宋体" w:eastAsia="宋体"/>
        </w:rPr>
      </w:pPr>
    </w:p>
    <w:p w14:paraId="2134F9FD">
      <w:pPr>
        <w:ind w:firstLine="422"/>
        <w:rPr>
          <w:rFonts w:hint="eastAsia" w:ascii="宋体" w:hAnsi="宋体" w:eastAsia="宋体"/>
        </w:rPr>
      </w:pPr>
    </w:p>
    <w:p w14:paraId="08672F89">
      <w:pPr>
        <w:ind w:firstLine="422"/>
        <w:rPr>
          <w:rFonts w:hint="eastAsia" w:ascii="宋体" w:hAnsi="宋体" w:eastAsia="宋体"/>
        </w:rPr>
      </w:pPr>
    </w:p>
    <w:p w14:paraId="79975F53">
      <w:pPr>
        <w:ind w:firstLine="422"/>
        <w:rPr>
          <w:rFonts w:hint="eastAsia" w:ascii="宋体" w:hAnsi="宋体" w:eastAsia="宋体"/>
        </w:rPr>
      </w:pPr>
    </w:p>
    <w:p w14:paraId="3F30FB13">
      <w:pPr>
        <w:pStyle w:val="2"/>
        <w:ind w:firstLine="880"/>
        <w:jc w:val="center"/>
        <w:rPr>
          <w:rFonts w:hint="eastAsia" w:ascii="宋体" w:hAnsi="宋体" w:eastAsia="宋体"/>
        </w:rPr>
        <w:sectPr>
          <w:pgSz w:w="11906" w:h="16838"/>
          <w:pgMar w:top="1440" w:right="1080" w:bottom="1440" w:left="1080" w:header="720" w:footer="720" w:gutter="0"/>
          <w:cols w:space="720" w:num="1"/>
          <w:docGrid w:type="lines" w:linePitch="312" w:charSpace="0"/>
        </w:sectPr>
      </w:pPr>
      <w:bookmarkStart w:id="102" w:name="_Toc74323460"/>
      <w:bookmarkStart w:id="103" w:name="_Toc11149"/>
      <w:bookmarkStart w:id="104" w:name="_Toc14643"/>
      <w:bookmarkStart w:id="105" w:name="_Toc19233"/>
      <w:bookmarkStart w:id="106" w:name="_Toc12285"/>
      <w:bookmarkStart w:id="107" w:name="_Toc21624"/>
      <w:r>
        <w:rPr>
          <w:rFonts w:hint="eastAsia" w:ascii="宋体" w:hAnsi="宋体" w:eastAsia="宋体"/>
        </w:rPr>
        <w:t>第五章 响应文件格式</w:t>
      </w:r>
      <w:bookmarkEnd w:id="102"/>
      <w:bookmarkEnd w:id="103"/>
      <w:bookmarkEnd w:id="104"/>
      <w:bookmarkEnd w:id="105"/>
      <w:bookmarkEnd w:id="106"/>
      <w:bookmarkEnd w:id="107"/>
    </w:p>
    <w:p w14:paraId="551CCE8F">
      <w:pPr>
        <w:snapToGrid w:val="0"/>
        <w:spacing w:before="156" w:beforeLines="50" w:after="50"/>
        <w:ind w:firstLine="883"/>
        <w:jc w:val="center"/>
        <w:rPr>
          <w:rFonts w:hint="eastAsia" w:ascii="宋体" w:hAnsi="宋体" w:eastAsia="宋体" w:cs="宋体"/>
          <w:bCs/>
          <w:sz w:val="44"/>
          <w:szCs w:val="44"/>
        </w:rPr>
      </w:pPr>
    </w:p>
    <w:p w14:paraId="4D2D28CD">
      <w:pPr>
        <w:snapToGrid w:val="0"/>
        <w:spacing w:before="156" w:beforeLines="50" w:after="50"/>
        <w:ind w:firstLine="883"/>
        <w:jc w:val="center"/>
        <w:rPr>
          <w:rFonts w:hint="eastAsia" w:ascii="宋体" w:hAnsi="宋体" w:eastAsia="宋体" w:cs="宋体"/>
          <w:bCs/>
          <w:sz w:val="44"/>
          <w:szCs w:val="44"/>
        </w:rPr>
      </w:pPr>
    </w:p>
    <w:p w14:paraId="58832D0B">
      <w:pPr>
        <w:snapToGrid w:val="0"/>
        <w:spacing w:before="156" w:beforeLines="50" w:after="50"/>
        <w:ind w:firstLine="883"/>
        <w:jc w:val="center"/>
        <w:rPr>
          <w:rFonts w:hint="eastAsia" w:ascii="宋体" w:hAnsi="宋体" w:eastAsia="宋体" w:cs="宋体"/>
          <w:bCs/>
          <w:sz w:val="44"/>
          <w:szCs w:val="44"/>
        </w:rPr>
      </w:pPr>
    </w:p>
    <w:p w14:paraId="3B63E067">
      <w:pPr>
        <w:snapToGrid w:val="0"/>
        <w:spacing w:before="156" w:beforeLines="50" w:after="50"/>
        <w:ind w:firstLine="883"/>
        <w:jc w:val="center"/>
        <w:rPr>
          <w:rFonts w:hint="eastAsia" w:ascii="宋体" w:hAnsi="宋体" w:eastAsia="宋体" w:cs="宋体"/>
          <w:bCs/>
          <w:sz w:val="44"/>
          <w:szCs w:val="44"/>
        </w:rPr>
      </w:pPr>
    </w:p>
    <w:p w14:paraId="01A4AE5B">
      <w:pPr>
        <w:snapToGrid w:val="0"/>
        <w:spacing w:before="156" w:beforeLines="50" w:after="50"/>
        <w:ind w:firstLine="883"/>
        <w:jc w:val="center"/>
        <w:rPr>
          <w:rFonts w:hint="eastAsia" w:ascii="宋体" w:hAnsi="宋体" w:eastAsia="宋体" w:cs="宋体"/>
          <w:bCs/>
          <w:sz w:val="44"/>
          <w:szCs w:val="44"/>
        </w:rPr>
      </w:pPr>
      <w:r>
        <w:rPr>
          <w:rFonts w:hint="eastAsia" w:ascii="宋体" w:hAnsi="宋体" w:eastAsia="宋体" w:cs="宋体"/>
          <w:bCs/>
          <w:sz w:val="44"/>
          <w:szCs w:val="44"/>
        </w:rPr>
        <w:t>响  应  文  件</w:t>
      </w:r>
    </w:p>
    <w:p w14:paraId="25C191DB">
      <w:pPr>
        <w:snapToGrid w:val="0"/>
        <w:spacing w:before="156" w:beforeLines="50" w:after="50"/>
        <w:ind w:firstLine="482"/>
        <w:rPr>
          <w:rFonts w:hint="eastAsia" w:ascii="宋体" w:hAnsi="宋体" w:eastAsia="宋体" w:cs="宋体"/>
          <w:bCs/>
          <w:sz w:val="24"/>
          <w:szCs w:val="20"/>
        </w:rPr>
      </w:pPr>
    </w:p>
    <w:p w14:paraId="0E054C44">
      <w:pPr>
        <w:snapToGrid w:val="0"/>
        <w:spacing w:before="156" w:beforeLines="50" w:after="50"/>
        <w:ind w:firstLine="482"/>
        <w:rPr>
          <w:rFonts w:hint="eastAsia" w:ascii="宋体" w:hAnsi="宋体" w:eastAsia="宋体" w:cs="宋体"/>
          <w:bCs/>
          <w:sz w:val="24"/>
          <w:szCs w:val="20"/>
        </w:rPr>
      </w:pPr>
    </w:p>
    <w:p w14:paraId="7C4B732D">
      <w:pPr>
        <w:snapToGrid w:val="0"/>
        <w:spacing w:before="156" w:beforeLines="50" w:after="50"/>
        <w:ind w:firstLine="643"/>
        <w:rPr>
          <w:rFonts w:hint="eastAsia" w:ascii="宋体" w:hAnsi="宋体" w:eastAsia="宋体" w:cs="宋体"/>
          <w:bCs/>
          <w:sz w:val="32"/>
          <w:szCs w:val="32"/>
        </w:rPr>
      </w:pPr>
    </w:p>
    <w:p w14:paraId="758E7CD1">
      <w:pPr>
        <w:snapToGrid w:val="0"/>
        <w:spacing w:before="156" w:beforeLines="50" w:after="50"/>
        <w:ind w:firstLine="640" w:firstLineChars="200"/>
        <w:rPr>
          <w:rFonts w:hint="eastAsia" w:ascii="宋体" w:hAnsi="宋体" w:eastAsia="宋体" w:cs="宋体"/>
          <w:bCs/>
          <w:sz w:val="32"/>
          <w:szCs w:val="32"/>
        </w:rPr>
      </w:pPr>
      <w:r>
        <w:rPr>
          <w:rFonts w:hint="eastAsia" w:ascii="宋体" w:hAnsi="宋体" w:eastAsia="宋体" w:cs="宋体"/>
          <w:bCs/>
          <w:sz w:val="32"/>
          <w:szCs w:val="32"/>
        </w:rPr>
        <w:t>项目名称：</w:t>
      </w:r>
    </w:p>
    <w:p w14:paraId="76576312">
      <w:pPr>
        <w:snapToGrid w:val="0"/>
        <w:spacing w:before="156" w:beforeLines="50" w:after="50"/>
        <w:ind w:firstLine="480" w:firstLineChars="150"/>
        <w:rPr>
          <w:rFonts w:hint="eastAsia" w:ascii="宋体" w:hAnsi="宋体" w:eastAsia="宋体" w:cs="宋体"/>
          <w:bCs/>
          <w:sz w:val="32"/>
          <w:szCs w:val="32"/>
        </w:rPr>
      </w:pPr>
    </w:p>
    <w:p w14:paraId="1180A134">
      <w:pPr>
        <w:snapToGrid w:val="0"/>
        <w:spacing w:before="156" w:beforeLines="50" w:after="50"/>
        <w:ind w:firstLine="640" w:firstLineChars="200"/>
        <w:rPr>
          <w:rFonts w:hint="eastAsia" w:ascii="宋体" w:hAnsi="宋体" w:eastAsia="宋体" w:cs="宋体"/>
          <w:bCs/>
          <w:sz w:val="32"/>
          <w:szCs w:val="32"/>
        </w:rPr>
      </w:pPr>
      <w:r>
        <w:rPr>
          <w:rFonts w:hint="eastAsia" w:ascii="宋体" w:hAnsi="宋体" w:eastAsia="宋体" w:cs="宋体"/>
          <w:bCs/>
          <w:sz w:val="32"/>
          <w:szCs w:val="32"/>
        </w:rPr>
        <w:t>项目编号：</w:t>
      </w:r>
    </w:p>
    <w:p w14:paraId="0EB4FE84">
      <w:pPr>
        <w:snapToGrid w:val="0"/>
        <w:spacing w:before="156" w:beforeLines="50" w:after="50"/>
        <w:ind w:firstLine="480" w:firstLineChars="150"/>
        <w:rPr>
          <w:rFonts w:hint="eastAsia" w:ascii="宋体" w:hAnsi="宋体" w:eastAsia="宋体" w:cs="宋体"/>
          <w:bCs/>
          <w:sz w:val="32"/>
          <w:szCs w:val="32"/>
        </w:rPr>
      </w:pPr>
    </w:p>
    <w:p w14:paraId="5094D163">
      <w:pPr>
        <w:snapToGrid w:val="0"/>
        <w:spacing w:before="156" w:beforeLines="50" w:after="50"/>
        <w:ind w:firstLine="640" w:firstLineChars="200"/>
        <w:rPr>
          <w:rFonts w:hint="eastAsia" w:ascii="宋体" w:hAnsi="宋体" w:eastAsia="宋体" w:cs="宋体"/>
          <w:bCs/>
          <w:sz w:val="32"/>
          <w:szCs w:val="32"/>
        </w:rPr>
      </w:pPr>
      <w:r>
        <w:rPr>
          <w:rFonts w:hint="eastAsia" w:ascii="宋体" w:hAnsi="宋体" w:eastAsia="宋体" w:cs="宋体"/>
          <w:bCs/>
          <w:sz w:val="32"/>
          <w:szCs w:val="32"/>
        </w:rPr>
        <w:t>所竞分标（如有则填写，无分标时填写“无”或者留空）：</w:t>
      </w:r>
    </w:p>
    <w:p w14:paraId="7831AF15">
      <w:pPr>
        <w:snapToGrid w:val="0"/>
        <w:spacing w:before="156" w:beforeLines="50" w:after="50"/>
        <w:ind w:firstLine="643"/>
        <w:rPr>
          <w:rFonts w:hint="eastAsia" w:ascii="宋体" w:hAnsi="宋体" w:eastAsia="宋体" w:cs="宋体"/>
          <w:bCs/>
          <w:sz w:val="32"/>
          <w:szCs w:val="32"/>
        </w:rPr>
      </w:pPr>
    </w:p>
    <w:p w14:paraId="2516BCF4">
      <w:pPr>
        <w:snapToGrid w:val="0"/>
        <w:spacing w:before="156" w:beforeLines="50" w:after="50"/>
        <w:ind w:firstLine="640" w:firstLineChars="200"/>
        <w:rPr>
          <w:rFonts w:hint="eastAsia" w:ascii="宋体" w:hAnsi="宋体" w:eastAsia="宋体" w:cs="宋体"/>
          <w:bCs/>
          <w:sz w:val="32"/>
          <w:szCs w:val="32"/>
        </w:rPr>
      </w:pPr>
      <w:r>
        <w:rPr>
          <w:rFonts w:hint="eastAsia" w:ascii="宋体" w:hAnsi="宋体" w:eastAsia="宋体" w:cs="宋体"/>
          <w:bCs/>
          <w:sz w:val="32"/>
          <w:szCs w:val="32"/>
        </w:rPr>
        <w:t>供应商名称：</w:t>
      </w:r>
    </w:p>
    <w:p w14:paraId="745BAE16">
      <w:pPr>
        <w:snapToGrid w:val="0"/>
        <w:spacing w:before="156" w:beforeLines="50" w:after="50"/>
        <w:ind w:firstLine="643"/>
        <w:rPr>
          <w:rFonts w:hint="eastAsia" w:ascii="宋体" w:hAnsi="宋体" w:eastAsia="宋体" w:cs="宋体"/>
          <w:bCs/>
          <w:sz w:val="32"/>
          <w:szCs w:val="32"/>
        </w:rPr>
      </w:pPr>
    </w:p>
    <w:p w14:paraId="7C326CD6">
      <w:pPr>
        <w:snapToGrid w:val="0"/>
        <w:spacing w:before="156" w:beforeLines="50" w:after="50"/>
        <w:ind w:firstLine="480" w:firstLineChars="150"/>
        <w:jc w:val="center"/>
        <w:rPr>
          <w:rFonts w:hint="eastAsia" w:ascii="宋体" w:hAnsi="宋体" w:eastAsia="宋体" w:cs="宋体"/>
          <w:bCs/>
          <w:sz w:val="32"/>
          <w:szCs w:val="32"/>
        </w:rPr>
      </w:pPr>
      <w:r>
        <w:rPr>
          <w:rFonts w:hint="eastAsia" w:ascii="宋体" w:hAnsi="宋体" w:eastAsia="宋体" w:cs="宋体"/>
          <w:bCs/>
          <w:sz w:val="32"/>
          <w:szCs w:val="32"/>
        </w:rPr>
        <w:t>首次响应文件提交截止时间前不得解密</w:t>
      </w:r>
    </w:p>
    <w:p w14:paraId="35864ED8">
      <w:pPr>
        <w:snapToGrid w:val="0"/>
        <w:spacing w:before="156" w:beforeLines="50" w:after="50"/>
        <w:ind w:firstLine="5440" w:firstLineChars="1700"/>
        <w:jc w:val="center"/>
        <w:rPr>
          <w:rFonts w:hint="eastAsia" w:ascii="宋体" w:hAnsi="宋体" w:eastAsia="宋体" w:cs="宋体"/>
          <w:bCs/>
          <w:sz w:val="32"/>
          <w:szCs w:val="32"/>
        </w:rPr>
      </w:pPr>
    </w:p>
    <w:p w14:paraId="7C8B8D1B">
      <w:pPr>
        <w:snapToGrid w:val="0"/>
        <w:spacing w:before="156" w:beforeLines="50" w:after="50"/>
        <w:ind w:firstLine="643"/>
        <w:jc w:val="center"/>
        <w:rPr>
          <w:rFonts w:hint="eastAsia" w:ascii="宋体" w:hAnsi="宋体" w:eastAsia="宋体" w:cs="宋体"/>
          <w:bCs/>
          <w:sz w:val="32"/>
          <w:szCs w:val="32"/>
        </w:rPr>
      </w:pPr>
      <w:r>
        <w:rPr>
          <w:rFonts w:hint="eastAsia" w:ascii="宋体" w:hAnsi="宋体" w:eastAsia="宋体" w:cs="宋体"/>
          <w:bCs/>
          <w:sz w:val="32"/>
          <w:szCs w:val="32"/>
        </w:rPr>
        <w:t>年    月    日</w:t>
      </w:r>
    </w:p>
    <w:p w14:paraId="10B14072">
      <w:pPr>
        <w:ind w:firstLine="422"/>
        <w:rPr>
          <w:rFonts w:hint="eastAsia"/>
        </w:rPr>
        <w:sectPr>
          <w:pgSz w:w="11906" w:h="16838"/>
          <w:pgMar w:top="1440" w:right="1080" w:bottom="1440" w:left="1080" w:header="720" w:footer="720" w:gutter="0"/>
          <w:cols w:space="720" w:num="1"/>
          <w:docGrid w:type="lines" w:linePitch="312" w:charSpace="0"/>
        </w:sectPr>
      </w:pPr>
    </w:p>
    <w:p w14:paraId="7B01FDCC">
      <w:pPr>
        <w:ind w:firstLine="643"/>
        <w:rPr>
          <w:rFonts w:hint="eastAsia" w:ascii="宋体" w:hAnsi="宋体" w:eastAsia="宋体"/>
          <w:b/>
          <w:sz w:val="32"/>
          <w:szCs w:val="32"/>
        </w:rPr>
      </w:pPr>
      <w:bookmarkStart w:id="108" w:name="_Toc44229899"/>
      <w:bookmarkStart w:id="109" w:name="_Toc71366186"/>
      <w:bookmarkStart w:id="110" w:name="_Toc35611516"/>
      <w:bookmarkStart w:id="111" w:name="_Toc35611438"/>
      <w:bookmarkStart w:id="112" w:name="_Toc31728084"/>
      <w:bookmarkStart w:id="113" w:name="_Toc31723070"/>
      <w:r>
        <w:rPr>
          <w:rFonts w:hint="eastAsia" w:ascii="宋体" w:hAnsi="宋体" w:eastAsia="宋体"/>
          <w:b/>
          <w:sz w:val="32"/>
          <w:szCs w:val="32"/>
        </w:rPr>
        <w:t>一、资格证明文件格式</w:t>
      </w:r>
      <w:bookmarkEnd w:id="108"/>
      <w:bookmarkEnd w:id="109"/>
      <w:bookmarkEnd w:id="110"/>
      <w:bookmarkEnd w:id="111"/>
      <w:bookmarkEnd w:id="112"/>
      <w:bookmarkEnd w:id="113"/>
    </w:p>
    <w:p w14:paraId="167277A5">
      <w:pPr>
        <w:snapToGrid w:val="0"/>
        <w:spacing w:before="156" w:beforeLines="50" w:after="50" w:line="360" w:lineRule="auto"/>
        <w:ind w:firstLine="643"/>
        <w:jc w:val="left"/>
        <w:rPr>
          <w:rFonts w:hint="eastAsia" w:ascii="宋体" w:hAnsi="宋体" w:eastAsia="宋体"/>
          <w:b/>
          <w:sz w:val="24"/>
        </w:rPr>
      </w:pPr>
      <w:r>
        <w:rPr>
          <w:rFonts w:hint="eastAsia" w:ascii="宋体" w:hAnsi="宋体" w:eastAsia="宋体"/>
          <w:b/>
          <w:sz w:val="32"/>
          <w:szCs w:val="32"/>
        </w:rPr>
        <w:t>1.资格证明文件封面格式：</w:t>
      </w:r>
      <w:r>
        <w:rPr>
          <w:rFonts w:hint="eastAsia" w:ascii="宋体" w:hAnsi="宋体" w:eastAsia="宋体"/>
          <w:b/>
          <w:sz w:val="24"/>
        </w:rPr>
        <w:t xml:space="preserve"> </w:t>
      </w:r>
    </w:p>
    <w:p w14:paraId="4064A439">
      <w:pPr>
        <w:snapToGrid w:val="0"/>
        <w:spacing w:before="156" w:beforeLines="50" w:after="50"/>
        <w:ind w:firstLine="883"/>
        <w:jc w:val="center"/>
        <w:rPr>
          <w:rFonts w:hint="eastAsia" w:ascii="宋体" w:hAnsi="宋体" w:eastAsia="宋体"/>
          <w:sz w:val="44"/>
          <w:szCs w:val="44"/>
        </w:rPr>
      </w:pPr>
    </w:p>
    <w:p w14:paraId="6FFCE9C8">
      <w:pPr>
        <w:snapToGrid w:val="0"/>
        <w:spacing w:before="156" w:beforeLines="50" w:after="50"/>
        <w:ind w:firstLine="883"/>
        <w:jc w:val="center"/>
        <w:rPr>
          <w:rFonts w:hint="eastAsia" w:ascii="宋体" w:hAnsi="宋体" w:eastAsia="宋体"/>
          <w:sz w:val="44"/>
          <w:szCs w:val="44"/>
        </w:rPr>
      </w:pPr>
      <w:r>
        <w:rPr>
          <w:rFonts w:hint="eastAsia" w:ascii="宋体" w:hAnsi="宋体" w:eastAsia="宋体"/>
          <w:sz w:val="44"/>
          <w:szCs w:val="44"/>
        </w:rPr>
        <w:t>电 子 响 应 文 件</w:t>
      </w:r>
    </w:p>
    <w:p w14:paraId="54A19E02">
      <w:pPr>
        <w:snapToGrid w:val="0"/>
        <w:spacing w:before="156" w:beforeLines="50" w:after="50"/>
        <w:ind w:firstLine="482"/>
        <w:rPr>
          <w:rFonts w:hint="eastAsia" w:ascii="宋体" w:hAnsi="宋体" w:eastAsia="宋体"/>
          <w:sz w:val="24"/>
          <w:szCs w:val="20"/>
        </w:rPr>
      </w:pPr>
    </w:p>
    <w:p w14:paraId="57379269">
      <w:pPr>
        <w:snapToGrid w:val="0"/>
        <w:spacing w:before="156" w:beforeLines="50" w:after="50"/>
        <w:ind w:firstLine="883"/>
        <w:jc w:val="center"/>
        <w:rPr>
          <w:rFonts w:hint="eastAsia" w:ascii="宋体" w:hAnsi="宋体" w:eastAsia="宋体" w:cs="Tahoma"/>
          <w:bCs/>
          <w:sz w:val="44"/>
          <w:szCs w:val="44"/>
        </w:rPr>
      </w:pPr>
      <w:r>
        <w:rPr>
          <w:rFonts w:hint="eastAsia" w:ascii="宋体" w:hAnsi="宋体" w:eastAsia="宋体" w:cs="Tahoma"/>
          <w:bCs/>
          <w:sz w:val="44"/>
          <w:szCs w:val="44"/>
        </w:rPr>
        <w:t>资  格  证  明  文  件</w:t>
      </w:r>
    </w:p>
    <w:p w14:paraId="09F89E44">
      <w:pPr>
        <w:snapToGrid w:val="0"/>
        <w:spacing w:before="156" w:beforeLines="50" w:after="50"/>
        <w:ind w:firstLine="482"/>
        <w:rPr>
          <w:rFonts w:hint="eastAsia" w:ascii="宋体" w:hAnsi="宋体" w:eastAsia="宋体"/>
          <w:bCs/>
          <w:sz w:val="24"/>
          <w:szCs w:val="20"/>
        </w:rPr>
      </w:pPr>
    </w:p>
    <w:p w14:paraId="21DC3B32">
      <w:pPr>
        <w:snapToGrid w:val="0"/>
        <w:spacing w:before="156" w:beforeLines="50" w:after="50"/>
        <w:ind w:firstLine="482"/>
        <w:rPr>
          <w:rFonts w:hint="eastAsia" w:ascii="宋体" w:hAnsi="宋体" w:eastAsia="宋体"/>
          <w:bCs/>
          <w:sz w:val="24"/>
          <w:szCs w:val="20"/>
        </w:rPr>
      </w:pPr>
    </w:p>
    <w:p w14:paraId="18D7B240">
      <w:pPr>
        <w:snapToGrid w:val="0"/>
        <w:spacing w:before="156" w:beforeLines="50" w:after="50"/>
        <w:ind w:firstLine="482"/>
        <w:rPr>
          <w:rFonts w:hint="eastAsia" w:ascii="宋体" w:hAnsi="宋体" w:eastAsia="宋体"/>
          <w:bCs/>
          <w:sz w:val="24"/>
          <w:szCs w:val="20"/>
        </w:rPr>
      </w:pPr>
    </w:p>
    <w:p w14:paraId="25DE06DC">
      <w:pPr>
        <w:snapToGrid w:val="0"/>
        <w:spacing w:before="156" w:beforeLines="50" w:after="50"/>
        <w:ind w:firstLine="482"/>
        <w:rPr>
          <w:rFonts w:hint="eastAsia" w:ascii="宋体" w:hAnsi="宋体" w:eastAsia="宋体"/>
          <w:bCs/>
          <w:sz w:val="24"/>
          <w:szCs w:val="20"/>
        </w:rPr>
      </w:pPr>
    </w:p>
    <w:p w14:paraId="51B9F5F2">
      <w:pPr>
        <w:snapToGrid w:val="0"/>
        <w:spacing w:before="156" w:beforeLines="50" w:after="50"/>
        <w:ind w:firstLine="482"/>
        <w:rPr>
          <w:rFonts w:hint="eastAsia" w:ascii="宋体" w:hAnsi="宋体" w:eastAsia="宋体"/>
          <w:bCs/>
          <w:sz w:val="24"/>
          <w:szCs w:val="20"/>
        </w:rPr>
      </w:pPr>
    </w:p>
    <w:p w14:paraId="661D1E74">
      <w:pPr>
        <w:snapToGrid w:val="0"/>
        <w:spacing w:before="156" w:beforeLines="50" w:after="50"/>
        <w:ind w:firstLine="643"/>
        <w:rPr>
          <w:rFonts w:hint="eastAsia" w:ascii="宋体" w:hAnsi="宋体" w:eastAsia="宋体" w:cs="Calibri"/>
          <w:bCs/>
          <w:sz w:val="32"/>
          <w:szCs w:val="32"/>
        </w:rPr>
      </w:pPr>
      <w:r>
        <w:rPr>
          <w:rFonts w:hint="eastAsia" w:ascii="宋体" w:hAnsi="宋体" w:eastAsia="宋体" w:cs="Calibri"/>
          <w:bCs/>
          <w:sz w:val="32"/>
          <w:szCs w:val="32"/>
        </w:rPr>
        <w:t>项目名称：</w:t>
      </w:r>
    </w:p>
    <w:p w14:paraId="0626244E">
      <w:pPr>
        <w:snapToGrid w:val="0"/>
        <w:spacing w:before="156" w:beforeLines="50" w:after="50"/>
        <w:ind w:firstLine="720" w:firstLineChars="225"/>
        <w:rPr>
          <w:rFonts w:hint="eastAsia" w:ascii="宋体" w:hAnsi="宋体" w:eastAsia="宋体" w:cs="Calibri"/>
          <w:bCs/>
          <w:sz w:val="32"/>
          <w:szCs w:val="32"/>
        </w:rPr>
      </w:pPr>
    </w:p>
    <w:p w14:paraId="004B87DA">
      <w:pPr>
        <w:snapToGrid w:val="0"/>
        <w:spacing w:before="156" w:beforeLines="50" w:after="50"/>
        <w:ind w:firstLine="643"/>
        <w:rPr>
          <w:rFonts w:hint="eastAsia" w:ascii="宋体" w:hAnsi="宋体" w:eastAsia="宋体" w:cs="Calibri"/>
          <w:bCs/>
          <w:sz w:val="32"/>
          <w:szCs w:val="32"/>
        </w:rPr>
      </w:pPr>
      <w:r>
        <w:rPr>
          <w:rFonts w:hint="eastAsia" w:ascii="宋体" w:hAnsi="宋体" w:eastAsia="宋体" w:cs="Calibri"/>
          <w:bCs/>
          <w:sz w:val="32"/>
          <w:szCs w:val="32"/>
        </w:rPr>
        <w:t>项目编号：</w:t>
      </w:r>
    </w:p>
    <w:p w14:paraId="6CA75C8E">
      <w:pPr>
        <w:snapToGrid w:val="0"/>
        <w:spacing w:before="156" w:beforeLines="50" w:after="50"/>
        <w:ind w:firstLine="720" w:firstLineChars="225"/>
        <w:rPr>
          <w:rFonts w:hint="eastAsia" w:ascii="宋体" w:hAnsi="宋体" w:eastAsia="宋体" w:cs="Calibri"/>
          <w:bCs/>
          <w:sz w:val="32"/>
          <w:szCs w:val="32"/>
        </w:rPr>
      </w:pPr>
      <w:r>
        <w:rPr>
          <w:rFonts w:hint="eastAsia" w:ascii="宋体" w:hAnsi="宋体" w:eastAsia="宋体" w:cs="Calibri"/>
          <w:bCs/>
          <w:sz w:val="32"/>
          <w:szCs w:val="32"/>
        </w:rPr>
        <w:t xml:space="preserve"> </w:t>
      </w:r>
    </w:p>
    <w:p w14:paraId="6B96B3CA">
      <w:pPr>
        <w:snapToGrid w:val="0"/>
        <w:spacing w:before="156" w:beforeLines="50" w:after="50"/>
        <w:ind w:firstLine="643"/>
        <w:rPr>
          <w:rFonts w:hint="eastAsia" w:ascii="宋体" w:hAnsi="宋体" w:eastAsia="宋体" w:cs="Calibri"/>
          <w:bCs/>
          <w:sz w:val="32"/>
          <w:szCs w:val="32"/>
        </w:rPr>
      </w:pPr>
      <w:r>
        <w:rPr>
          <w:rFonts w:hint="eastAsia" w:ascii="宋体" w:hAnsi="宋体" w:eastAsia="宋体" w:cs="Calibri"/>
          <w:bCs/>
          <w:sz w:val="32"/>
          <w:szCs w:val="32"/>
        </w:rPr>
        <w:t>所竞分标（如有则填写，无分标时填写“无”或者留空）：</w:t>
      </w:r>
    </w:p>
    <w:p w14:paraId="0F7C2C85">
      <w:pPr>
        <w:snapToGrid w:val="0"/>
        <w:spacing w:before="156" w:beforeLines="50" w:after="50"/>
        <w:ind w:firstLine="720" w:firstLineChars="225"/>
        <w:rPr>
          <w:rFonts w:hint="eastAsia" w:ascii="宋体" w:hAnsi="宋体" w:eastAsia="宋体" w:cs="Calibri"/>
          <w:bCs/>
          <w:sz w:val="32"/>
          <w:szCs w:val="32"/>
        </w:rPr>
      </w:pPr>
    </w:p>
    <w:p w14:paraId="29C49F98">
      <w:pPr>
        <w:pStyle w:val="7"/>
        <w:snapToGrid w:val="0"/>
        <w:spacing w:before="50" w:after="50"/>
        <w:ind w:firstLine="643"/>
        <w:rPr>
          <w:rFonts w:hint="eastAsia" w:ascii="宋体" w:hAnsi="宋体" w:eastAsia="宋体" w:cs="Calibri"/>
          <w:bCs/>
          <w:sz w:val="32"/>
          <w:szCs w:val="32"/>
        </w:rPr>
      </w:pPr>
      <w:r>
        <w:rPr>
          <w:rFonts w:hint="eastAsia" w:ascii="宋体" w:hAnsi="宋体" w:eastAsia="宋体" w:cs="Calibri"/>
          <w:bCs/>
          <w:sz w:val="32"/>
          <w:szCs w:val="32"/>
        </w:rPr>
        <w:t>供应商名称：</w:t>
      </w:r>
    </w:p>
    <w:p w14:paraId="772B4350">
      <w:pPr>
        <w:snapToGrid w:val="0"/>
        <w:spacing w:before="156" w:beforeLines="50" w:after="50"/>
        <w:ind w:firstLine="640" w:firstLineChars="200"/>
        <w:rPr>
          <w:rFonts w:hint="eastAsia" w:ascii="宋体" w:hAnsi="宋体" w:eastAsia="宋体" w:cs="Calibri"/>
          <w:bCs/>
          <w:sz w:val="32"/>
          <w:szCs w:val="32"/>
        </w:rPr>
      </w:pPr>
    </w:p>
    <w:p w14:paraId="51C23DA3">
      <w:pPr>
        <w:pStyle w:val="7"/>
        <w:snapToGrid w:val="0"/>
        <w:spacing w:before="50" w:after="50"/>
        <w:ind w:firstLine="720" w:firstLineChars="225"/>
        <w:rPr>
          <w:rFonts w:hint="eastAsia" w:ascii="宋体" w:hAnsi="宋体" w:eastAsia="宋体" w:cs="Calibri"/>
          <w:bCs/>
          <w:sz w:val="32"/>
          <w:szCs w:val="32"/>
        </w:rPr>
      </w:pPr>
    </w:p>
    <w:p w14:paraId="23C36D82">
      <w:pPr>
        <w:pStyle w:val="7"/>
        <w:snapToGrid w:val="0"/>
        <w:spacing w:before="50" w:after="50"/>
        <w:ind w:firstLine="720" w:firstLineChars="225"/>
        <w:rPr>
          <w:rFonts w:hint="eastAsia" w:ascii="宋体" w:hAnsi="宋体" w:eastAsia="宋体" w:cs="Calibri"/>
          <w:bCs/>
          <w:sz w:val="32"/>
          <w:szCs w:val="32"/>
        </w:rPr>
      </w:pPr>
    </w:p>
    <w:p w14:paraId="1B4CDF28">
      <w:pPr>
        <w:pStyle w:val="7"/>
        <w:snapToGrid w:val="0"/>
        <w:spacing w:before="50" w:after="50"/>
        <w:ind w:firstLine="1280" w:firstLineChars="400"/>
        <w:rPr>
          <w:rFonts w:hint="eastAsia" w:ascii="宋体" w:hAnsi="宋体" w:eastAsia="宋体" w:cs="Calibri"/>
          <w:bCs/>
          <w:sz w:val="32"/>
          <w:szCs w:val="32"/>
        </w:rPr>
      </w:pPr>
    </w:p>
    <w:p w14:paraId="6F19CD95">
      <w:pPr>
        <w:snapToGrid w:val="0"/>
        <w:spacing w:before="156" w:beforeLines="50" w:after="50"/>
        <w:ind w:firstLine="643"/>
        <w:jc w:val="center"/>
        <w:rPr>
          <w:rFonts w:hint="eastAsia" w:ascii="宋体" w:hAnsi="宋体" w:eastAsia="宋体" w:cs="Calibri"/>
          <w:sz w:val="32"/>
          <w:szCs w:val="32"/>
        </w:rPr>
      </w:pPr>
      <w:r>
        <w:rPr>
          <w:rFonts w:hint="eastAsia" w:ascii="宋体" w:hAnsi="宋体" w:eastAsia="宋体" w:cs="Calibri"/>
          <w:sz w:val="32"/>
          <w:szCs w:val="32"/>
        </w:rPr>
        <w:t>年    月    日</w:t>
      </w:r>
    </w:p>
    <w:p w14:paraId="4BF0B4FB">
      <w:pPr>
        <w:snapToGrid w:val="0"/>
        <w:spacing w:before="156" w:beforeLines="50" w:after="50" w:line="360" w:lineRule="auto"/>
        <w:ind w:left="142" w:firstLine="482"/>
        <w:jc w:val="left"/>
        <w:rPr>
          <w:rFonts w:hint="eastAsia" w:ascii="宋体" w:hAnsi="宋体" w:eastAsia="宋体"/>
          <w:b/>
          <w:bCs/>
          <w:sz w:val="32"/>
          <w:szCs w:val="32"/>
        </w:rPr>
      </w:pPr>
      <w:r>
        <w:rPr>
          <w:rFonts w:ascii="宋体" w:hAnsi="宋体" w:eastAsia="宋体"/>
          <w:sz w:val="24"/>
        </w:rPr>
        <w:br w:type="page"/>
      </w:r>
      <w:r>
        <w:rPr>
          <w:rFonts w:hint="eastAsia" w:ascii="宋体" w:hAnsi="宋体" w:eastAsia="宋体"/>
          <w:b/>
          <w:bCs/>
          <w:sz w:val="32"/>
          <w:szCs w:val="32"/>
        </w:rPr>
        <w:t>2.资格证明文件目录</w:t>
      </w:r>
    </w:p>
    <w:p w14:paraId="6C5BD1BB">
      <w:pPr>
        <w:snapToGrid w:val="0"/>
        <w:spacing w:before="156" w:beforeLines="50" w:after="50" w:line="360" w:lineRule="auto"/>
        <w:ind w:firstLine="643"/>
        <w:rPr>
          <w:rFonts w:hint="eastAsia" w:ascii="宋体" w:hAnsi="宋体" w:eastAsia="宋体"/>
          <w:sz w:val="32"/>
          <w:szCs w:val="32"/>
        </w:rPr>
      </w:pPr>
      <w:r>
        <w:rPr>
          <w:rFonts w:hint="eastAsia" w:ascii="宋体" w:hAnsi="宋体" w:eastAsia="宋体"/>
          <w:sz w:val="32"/>
          <w:szCs w:val="32"/>
        </w:rPr>
        <w:t>根据磋商文件规定及供应商提供的材料自行编写目录（部分格式后附）。</w:t>
      </w:r>
    </w:p>
    <w:p w14:paraId="1989D6E4">
      <w:pPr>
        <w:snapToGrid w:val="0"/>
        <w:spacing w:before="156" w:beforeLines="50" w:after="50"/>
        <w:ind w:firstLine="482"/>
        <w:rPr>
          <w:rFonts w:hint="eastAsia" w:ascii="宋体" w:hAnsi="宋体" w:eastAsia="宋体"/>
          <w:sz w:val="24"/>
          <w:szCs w:val="20"/>
        </w:rPr>
      </w:pPr>
      <w:r>
        <w:rPr>
          <w:rFonts w:ascii="宋体" w:hAnsi="宋体" w:eastAsia="宋体"/>
          <w:sz w:val="24"/>
          <w:szCs w:val="20"/>
        </w:rPr>
        <w:t xml:space="preserve"> </w:t>
      </w:r>
    </w:p>
    <w:p w14:paraId="5805A84B">
      <w:pPr>
        <w:spacing w:line="300" w:lineRule="auto"/>
        <w:ind w:firstLine="422"/>
        <w:rPr>
          <w:rFonts w:hint="eastAsia" w:ascii="宋体" w:hAnsi="宋体" w:eastAsia="宋体"/>
          <w:szCs w:val="21"/>
        </w:rPr>
      </w:pPr>
    </w:p>
    <w:p w14:paraId="6C161950">
      <w:pPr>
        <w:spacing w:line="300" w:lineRule="auto"/>
        <w:ind w:firstLine="422"/>
        <w:rPr>
          <w:rFonts w:hint="eastAsia" w:ascii="宋体" w:hAnsi="宋体" w:eastAsia="宋体"/>
          <w:szCs w:val="21"/>
        </w:rPr>
      </w:pPr>
    </w:p>
    <w:p w14:paraId="26D60AA0">
      <w:pPr>
        <w:spacing w:line="300" w:lineRule="auto"/>
        <w:ind w:firstLine="422"/>
        <w:rPr>
          <w:rFonts w:hint="eastAsia" w:ascii="宋体" w:hAnsi="宋体" w:eastAsia="宋体"/>
          <w:szCs w:val="21"/>
        </w:rPr>
      </w:pPr>
    </w:p>
    <w:p w14:paraId="7C6259A3">
      <w:pPr>
        <w:spacing w:line="300" w:lineRule="auto"/>
        <w:ind w:firstLine="422"/>
        <w:rPr>
          <w:rFonts w:hint="eastAsia" w:ascii="宋体" w:hAnsi="宋体" w:eastAsia="宋体"/>
          <w:szCs w:val="21"/>
        </w:rPr>
      </w:pPr>
    </w:p>
    <w:p w14:paraId="6415C749">
      <w:pPr>
        <w:spacing w:line="300" w:lineRule="auto"/>
        <w:ind w:firstLine="422"/>
        <w:rPr>
          <w:rFonts w:hint="eastAsia" w:ascii="宋体" w:hAnsi="宋体" w:eastAsia="宋体"/>
          <w:szCs w:val="21"/>
        </w:rPr>
      </w:pPr>
    </w:p>
    <w:p w14:paraId="328B2C23">
      <w:pPr>
        <w:spacing w:line="300" w:lineRule="auto"/>
        <w:ind w:firstLine="422"/>
        <w:rPr>
          <w:rFonts w:hint="eastAsia" w:ascii="宋体" w:hAnsi="宋体" w:eastAsia="宋体"/>
          <w:szCs w:val="21"/>
        </w:rPr>
      </w:pPr>
    </w:p>
    <w:p w14:paraId="202914C8">
      <w:pPr>
        <w:spacing w:line="300" w:lineRule="auto"/>
        <w:ind w:firstLine="422"/>
        <w:rPr>
          <w:rFonts w:hint="eastAsia" w:ascii="宋体" w:hAnsi="宋体" w:eastAsia="宋体"/>
          <w:szCs w:val="21"/>
        </w:rPr>
      </w:pPr>
    </w:p>
    <w:p w14:paraId="630EFCDE">
      <w:pPr>
        <w:spacing w:line="300" w:lineRule="auto"/>
        <w:ind w:firstLine="422"/>
        <w:rPr>
          <w:rFonts w:hint="eastAsia" w:ascii="宋体" w:hAnsi="宋体" w:eastAsia="宋体"/>
          <w:szCs w:val="21"/>
        </w:rPr>
      </w:pPr>
    </w:p>
    <w:p w14:paraId="5107C40A">
      <w:pPr>
        <w:spacing w:line="300" w:lineRule="auto"/>
        <w:ind w:firstLine="422"/>
        <w:rPr>
          <w:rFonts w:hint="eastAsia" w:ascii="宋体" w:hAnsi="宋体" w:eastAsia="宋体"/>
          <w:szCs w:val="21"/>
        </w:rPr>
      </w:pPr>
    </w:p>
    <w:p w14:paraId="31F882FC">
      <w:pPr>
        <w:spacing w:line="300" w:lineRule="auto"/>
        <w:ind w:firstLine="422"/>
        <w:rPr>
          <w:rFonts w:hint="eastAsia" w:ascii="宋体" w:hAnsi="宋体" w:eastAsia="宋体"/>
          <w:szCs w:val="21"/>
        </w:rPr>
      </w:pPr>
    </w:p>
    <w:p w14:paraId="25C5BEBD">
      <w:pPr>
        <w:spacing w:line="300" w:lineRule="auto"/>
        <w:ind w:firstLine="422"/>
        <w:rPr>
          <w:rFonts w:hint="eastAsia" w:ascii="宋体" w:hAnsi="宋体" w:eastAsia="宋体"/>
          <w:szCs w:val="21"/>
        </w:rPr>
      </w:pPr>
    </w:p>
    <w:p w14:paraId="2E330D30">
      <w:pPr>
        <w:spacing w:line="300" w:lineRule="auto"/>
        <w:ind w:firstLine="422"/>
        <w:rPr>
          <w:rFonts w:hint="eastAsia" w:ascii="宋体" w:hAnsi="宋体" w:eastAsia="宋体"/>
          <w:szCs w:val="21"/>
        </w:rPr>
      </w:pPr>
    </w:p>
    <w:p w14:paraId="778DAA93">
      <w:pPr>
        <w:spacing w:line="300" w:lineRule="auto"/>
        <w:ind w:firstLine="422"/>
        <w:rPr>
          <w:rFonts w:hint="eastAsia" w:ascii="宋体" w:hAnsi="宋体" w:eastAsia="宋体"/>
          <w:szCs w:val="21"/>
        </w:rPr>
      </w:pPr>
    </w:p>
    <w:p w14:paraId="10D5B5D4">
      <w:pPr>
        <w:spacing w:line="300" w:lineRule="auto"/>
        <w:ind w:firstLine="422"/>
        <w:rPr>
          <w:rFonts w:hint="eastAsia" w:ascii="宋体" w:hAnsi="宋体" w:eastAsia="宋体"/>
          <w:szCs w:val="21"/>
        </w:rPr>
      </w:pPr>
    </w:p>
    <w:p w14:paraId="71AD3332">
      <w:pPr>
        <w:spacing w:line="300" w:lineRule="auto"/>
        <w:ind w:firstLine="422"/>
        <w:rPr>
          <w:rFonts w:hint="eastAsia" w:ascii="宋体" w:hAnsi="宋体" w:eastAsia="宋体"/>
          <w:szCs w:val="21"/>
        </w:rPr>
      </w:pPr>
    </w:p>
    <w:p w14:paraId="1C91F350">
      <w:pPr>
        <w:spacing w:line="320" w:lineRule="exact"/>
        <w:ind w:firstLine="422"/>
        <w:jc w:val="left"/>
        <w:rPr>
          <w:rFonts w:hint="eastAsia" w:ascii="宋体" w:hAnsi="宋体" w:eastAsia="宋体"/>
          <w:szCs w:val="21"/>
        </w:rPr>
      </w:pPr>
      <w:r>
        <w:rPr>
          <w:rFonts w:ascii="宋体" w:hAnsi="宋体" w:eastAsia="宋体"/>
          <w:szCs w:val="21"/>
        </w:rPr>
        <w:br w:type="page"/>
      </w:r>
      <w:r>
        <w:rPr>
          <w:rFonts w:hint="eastAsia" w:ascii="宋体" w:hAnsi="宋体" w:eastAsia="宋体"/>
          <w:szCs w:val="21"/>
        </w:rPr>
        <w:t xml:space="preserve"> </w:t>
      </w:r>
    </w:p>
    <w:p w14:paraId="262FF824">
      <w:pPr>
        <w:wordWrap w:val="0"/>
        <w:spacing w:before="156" w:beforeLines="50" w:after="50" w:line="320" w:lineRule="exact"/>
        <w:ind w:right="482" w:firstLine="210" w:firstLineChars="100"/>
        <w:contextualSpacing/>
        <w:jc w:val="center"/>
        <w:rPr>
          <w:rFonts w:hint="eastAsia" w:ascii="宋体" w:hAnsi="宋体" w:eastAsia="宋体"/>
          <w:szCs w:val="21"/>
        </w:rPr>
      </w:pPr>
    </w:p>
    <w:p w14:paraId="194F39C6">
      <w:pPr>
        <w:spacing w:line="320" w:lineRule="exact"/>
        <w:ind w:firstLine="643"/>
        <w:jc w:val="left"/>
        <w:rPr>
          <w:rFonts w:hint="eastAsia" w:ascii="宋体" w:hAnsi="宋体" w:eastAsia="宋体"/>
          <w:b/>
          <w:sz w:val="32"/>
          <w:szCs w:val="32"/>
        </w:rPr>
      </w:pPr>
      <w:r>
        <w:rPr>
          <w:rFonts w:hint="eastAsia" w:ascii="宋体" w:hAnsi="宋体" w:eastAsia="宋体"/>
          <w:b/>
          <w:sz w:val="32"/>
          <w:szCs w:val="32"/>
        </w:rPr>
        <w:t>3.供应商直接控股、管理关系信息表</w:t>
      </w:r>
    </w:p>
    <w:p w14:paraId="0F68195B">
      <w:pPr>
        <w:snapToGrid w:val="0"/>
        <w:spacing w:before="156" w:beforeLines="50" w:after="50" w:line="360" w:lineRule="auto"/>
        <w:ind w:firstLine="480"/>
        <w:jc w:val="center"/>
        <w:rPr>
          <w:rFonts w:hint="eastAsia" w:ascii="宋体" w:hAnsi="宋体" w:eastAsia="宋体"/>
          <w:b/>
          <w:sz w:val="24"/>
        </w:rPr>
      </w:pPr>
    </w:p>
    <w:p w14:paraId="27A162EB">
      <w:pPr>
        <w:pStyle w:val="7"/>
        <w:overflowPunct w:val="0"/>
        <w:spacing w:line="520" w:lineRule="exact"/>
        <w:ind w:firstLine="1760" w:firstLineChars="400"/>
        <w:rPr>
          <w:rFonts w:hint="eastAsia" w:ascii="宋体" w:hAnsi="宋体" w:eastAsia="宋体" w:cs="Tahoma"/>
          <w:sz w:val="44"/>
          <w:szCs w:val="44"/>
        </w:rPr>
      </w:pPr>
      <w:r>
        <w:rPr>
          <w:rFonts w:hint="eastAsia" w:ascii="宋体" w:hAnsi="宋体" w:eastAsia="宋体" w:cs="Tahoma"/>
          <w:sz w:val="44"/>
          <w:szCs w:val="44"/>
        </w:rPr>
        <w:t>供应商直接控股股东信息表</w:t>
      </w:r>
    </w:p>
    <w:p w14:paraId="755CA750">
      <w:pPr>
        <w:spacing w:line="360" w:lineRule="auto"/>
        <w:ind w:firstLine="480"/>
        <w:contextualSpacing/>
        <w:jc w:val="center"/>
        <w:rPr>
          <w:rFonts w:hint="eastAsia" w:ascii="宋体" w:hAnsi="宋体" w:eastAsia="宋体"/>
          <w:b/>
          <w:sz w:val="24"/>
        </w:rPr>
      </w:pPr>
    </w:p>
    <w:tbl>
      <w:tblPr>
        <w:tblStyle w:val="52"/>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7860A2E4">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E8B8F03">
            <w:pPr>
              <w:widowControl/>
              <w:spacing w:line="360" w:lineRule="auto"/>
              <w:contextualSpacing/>
              <w:rPr>
                <w:rFonts w:hint="eastAsia" w:ascii="宋体" w:hAnsi="宋体" w:eastAsia="宋体" w:cs="Calibri"/>
                <w:b/>
                <w:bCs/>
                <w:kern w:val="0"/>
                <w:sz w:val="24"/>
              </w:rPr>
            </w:pPr>
            <w:r>
              <w:rPr>
                <w:rFonts w:hint="eastAsia" w:ascii="宋体" w:hAnsi="宋体" w:eastAsia="宋体" w:cs="Calibri"/>
                <w:b/>
                <w:bCs/>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AFA561B">
            <w:pPr>
              <w:widowControl/>
              <w:spacing w:line="360" w:lineRule="auto"/>
              <w:ind w:firstLine="482"/>
              <w:contextualSpacing/>
              <w:rPr>
                <w:rFonts w:hint="eastAsia" w:ascii="宋体" w:hAnsi="宋体" w:eastAsia="宋体" w:cs="Calibri"/>
                <w:b/>
                <w:bCs/>
                <w:kern w:val="0"/>
                <w:sz w:val="24"/>
              </w:rPr>
            </w:pPr>
            <w:r>
              <w:rPr>
                <w:rFonts w:hint="eastAsia" w:ascii="宋体" w:hAnsi="宋体" w:eastAsia="宋体" w:cs="Calibri"/>
                <w:b/>
                <w:bCs/>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0C638EE">
            <w:pPr>
              <w:widowControl/>
              <w:spacing w:line="360" w:lineRule="auto"/>
              <w:contextualSpacing/>
              <w:rPr>
                <w:rFonts w:hint="eastAsia" w:ascii="宋体" w:hAnsi="宋体" w:eastAsia="宋体" w:cs="Calibri"/>
                <w:b/>
                <w:bCs/>
                <w:kern w:val="0"/>
                <w:sz w:val="24"/>
              </w:rPr>
            </w:pPr>
            <w:r>
              <w:rPr>
                <w:rFonts w:hint="eastAsia" w:ascii="宋体" w:hAnsi="宋体" w:eastAsia="宋体" w:cs="Calibri"/>
                <w:b/>
                <w:bCs/>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F82C43F">
            <w:pPr>
              <w:widowControl/>
              <w:spacing w:line="360" w:lineRule="auto"/>
              <w:contextualSpacing/>
              <w:rPr>
                <w:rFonts w:hint="eastAsia" w:ascii="宋体" w:hAnsi="宋体" w:eastAsia="宋体" w:cs="Calibri"/>
                <w:b/>
                <w:bCs/>
                <w:kern w:val="0"/>
                <w:sz w:val="24"/>
              </w:rPr>
            </w:pPr>
            <w:r>
              <w:rPr>
                <w:rFonts w:hint="eastAsia" w:ascii="宋体" w:hAnsi="宋体" w:eastAsia="宋体" w:cs="Calibri"/>
                <w:b/>
                <w:bCs/>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6AF9128">
            <w:pPr>
              <w:widowControl/>
              <w:spacing w:line="360" w:lineRule="auto"/>
              <w:contextualSpacing/>
              <w:rPr>
                <w:rFonts w:hint="eastAsia" w:ascii="宋体" w:hAnsi="宋体" w:eastAsia="宋体" w:cs="Calibri"/>
                <w:b/>
                <w:bCs/>
                <w:kern w:val="0"/>
                <w:sz w:val="24"/>
              </w:rPr>
            </w:pPr>
            <w:r>
              <w:rPr>
                <w:rFonts w:hint="eastAsia" w:ascii="宋体" w:hAnsi="宋体" w:eastAsia="宋体" w:cs="Calibri"/>
                <w:b/>
                <w:bCs/>
                <w:kern w:val="0"/>
                <w:sz w:val="24"/>
              </w:rPr>
              <w:t>备注</w:t>
            </w:r>
          </w:p>
        </w:tc>
      </w:tr>
      <w:tr w14:paraId="45E7FB61">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E55EC3B">
            <w:pPr>
              <w:widowControl/>
              <w:spacing w:line="360" w:lineRule="auto"/>
              <w:ind w:firstLine="240" w:firstLineChars="100"/>
              <w:contextualSpacing/>
              <w:rPr>
                <w:rFonts w:hint="eastAsia" w:ascii="宋体" w:hAnsi="宋体" w:eastAsia="宋体" w:cs="Calibri"/>
                <w:kern w:val="0"/>
                <w:sz w:val="24"/>
              </w:rPr>
            </w:pPr>
            <w:r>
              <w:rPr>
                <w:rFonts w:hint="eastAsia" w:ascii="宋体" w:hAnsi="宋体" w:eastAsia="宋体" w:cs="Calibri"/>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1546063">
            <w:pPr>
              <w:widowControl/>
              <w:spacing w:line="360" w:lineRule="auto"/>
              <w:ind w:firstLine="482"/>
              <w:contextualSpacing/>
              <w:jc w:val="center"/>
              <w:rPr>
                <w:rFonts w:hint="eastAsia" w:ascii="宋体" w:hAnsi="宋体" w:eastAsia="宋体" w:cs="Calibri"/>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D027E59">
            <w:pPr>
              <w:widowControl/>
              <w:spacing w:line="360" w:lineRule="auto"/>
              <w:ind w:firstLine="482"/>
              <w:contextualSpacing/>
              <w:jc w:val="center"/>
              <w:rPr>
                <w:rFonts w:hint="eastAsia" w:ascii="宋体" w:hAnsi="宋体" w:eastAsia="宋体" w:cs="Calibri"/>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3B5E1A4">
            <w:pPr>
              <w:widowControl/>
              <w:spacing w:line="360" w:lineRule="auto"/>
              <w:ind w:firstLine="482"/>
              <w:contextualSpacing/>
              <w:jc w:val="center"/>
              <w:rPr>
                <w:rFonts w:hint="eastAsia" w:ascii="宋体" w:hAnsi="宋体" w:eastAsia="宋体" w:cs="Calibri"/>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39E2B17">
            <w:pPr>
              <w:widowControl/>
              <w:spacing w:line="360" w:lineRule="auto"/>
              <w:ind w:firstLine="482"/>
              <w:contextualSpacing/>
              <w:jc w:val="center"/>
              <w:rPr>
                <w:rFonts w:hint="eastAsia" w:ascii="宋体" w:hAnsi="宋体" w:eastAsia="宋体" w:cs="Calibri"/>
                <w:kern w:val="0"/>
                <w:sz w:val="24"/>
              </w:rPr>
            </w:pPr>
          </w:p>
        </w:tc>
      </w:tr>
      <w:tr w14:paraId="42A07B96">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FA392E6">
            <w:pPr>
              <w:widowControl/>
              <w:spacing w:line="360" w:lineRule="auto"/>
              <w:ind w:firstLine="240" w:firstLineChars="100"/>
              <w:contextualSpacing/>
              <w:rPr>
                <w:rFonts w:hint="eastAsia" w:ascii="宋体" w:hAnsi="宋体" w:eastAsia="宋体" w:cs="Calibri"/>
                <w:kern w:val="0"/>
                <w:sz w:val="24"/>
              </w:rPr>
            </w:pPr>
            <w:r>
              <w:rPr>
                <w:rFonts w:hint="eastAsia" w:ascii="宋体" w:hAnsi="宋体" w:eastAsia="宋体" w:cs="Calibri"/>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1477983">
            <w:pPr>
              <w:widowControl/>
              <w:spacing w:line="360" w:lineRule="auto"/>
              <w:ind w:firstLine="482"/>
              <w:contextualSpacing/>
              <w:jc w:val="center"/>
              <w:rPr>
                <w:rFonts w:hint="eastAsia" w:ascii="宋体" w:hAnsi="宋体" w:eastAsia="宋体" w:cs="Calibri"/>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E0D8F73">
            <w:pPr>
              <w:widowControl/>
              <w:spacing w:line="360" w:lineRule="auto"/>
              <w:ind w:firstLine="482"/>
              <w:contextualSpacing/>
              <w:jc w:val="center"/>
              <w:rPr>
                <w:rFonts w:hint="eastAsia" w:ascii="宋体" w:hAnsi="宋体" w:eastAsia="宋体" w:cs="Calibri"/>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945082B">
            <w:pPr>
              <w:widowControl/>
              <w:spacing w:line="360" w:lineRule="auto"/>
              <w:ind w:firstLine="482"/>
              <w:contextualSpacing/>
              <w:jc w:val="center"/>
              <w:rPr>
                <w:rFonts w:hint="eastAsia" w:ascii="宋体" w:hAnsi="宋体" w:eastAsia="宋体" w:cs="Calibri"/>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85727D8">
            <w:pPr>
              <w:widowControl/>
              <w:spacing w:line="360" w:lineRule="auto"/>
              <w:ind w:firstLine="482"/>
              <w:contextualSpacing/>
              <w:jc w:val="center"/>
              <w:rPr>
                <w:rFonts w:hint="eastAsia" w:ascii="宋体" w:hAnsi="宋体" w:eastAsia="宋体" w:cs="Calibri"/>
                <w:kern w:val="0"/>
                <w:sz w:val="24"/>
              </w:rPr>
            </w:pPr>
          </w:p>
        </w:tc>
      </w:tr>
      <w:tr w14:paraId="18E15FFD">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1B1F58C">
            <w:pPr>
              <w:widowControl/>
              <w:spacing w:line="360" w:lineRule="auto"/>
              <w:ind w:firstLine="240" w:firstLineChars="100"/>
              <w:contextualSpacing/>
              <w:rPr>
                <w:rFonts w:hint="eastAsia" w:ascii="宋体" w:hAnsi="宋体" w:eastAsia="宋体" w:cs="Calibri"/>
                <w:kern w:val="0"/>
                <w:sz w:val="24"/>
              </w:rPr>
            </w:pPr>
            <w:r>
              <w:rPr>
                <w:rFonts w:hint="eastAsia" w:ascii="宋体" w:hAnsi="宋体" w:eastAsia="宋体" w:cs="Calibri"/>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325BD59">
            <w:pPr>
              <w:widowControl/>
              <w:spacing w:line="360" w:lineRule="auto"/>
              <w:ind w:firstLine="482"/>
              <w:contextualSpacing/>
              <w:jc w:val="center"/>
              <w:rPr>
                <w:rFonts w:hint="eastAsia" w:ascii="宋体" w:hAnsi="宋体" w:eastAsia="宋体" w:cs="Calibri"/>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9DDCFBC">
            <w:pPr>
              <w:widowControl/>
              <w:spacing w:line="360" w:lineRule="auto"/>
              <w:ind w:firstLine="482"/>
              <w:contextualSpacing/>
              <w:jc w:val="center"/>
              <w:rPr>
                <w:rFonts w:hint="eastAsia" w:ascii="宋体" w:hAnsi="宋体" w:eastAsia="宋体" w:cs="Calibri"/>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D770EF3">
            <w:pPr>
              <w:widowControl/>
              <w:spacing w:line="360" w:lineRule="auto"/>
              <w:ind w:firstLine="482"/>
              <w:contextualSpacing/>
              <w:jc w:val="center"/>
              <w:rPr>
                <w:rFonts w:hint="eastAsia" w:ascii="宋体" w:hAnsi="宋体" w:eastAsia="宋体" w:cs="Calibri"/>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B856E33">
            <w:pPr>
              <w:widowControl/>
              <w:spacing w:line="360" w:lineRule="auto"/>
              <w:ind w:firstLine="482"/>
              <w:contextualSpacing/>
              <w:jc w:val="center"/>
              <w:rPr>
                <w:rFonts w:hint="eastAsia" w:ascii="宋体" w:hAnsi="宋体" w:eastAsia="宋体" w:cs="Calibri"/>
                <w:kern w:val="0"/>
                <w:sz w:val="24"/>
              </w:rPr>
            </w:pPr>
          </w:p>
        </w:tc>
      </w:tr>
      <w:tr w14:paraId="5F2D9B69">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92C2F00">
            <w:pPr>
              <w:widowControl/>
              <w:spacing w:line="360" w:lineRule="auto"/>
              <w:contextualSpacing/>
              <w:rPr>
                <w:rFonts w:hint="eastAsia" w:ascii="宋体" w:hAnsi="宋体" w:eastAsia="宋体" w:cs="Calibri"/>
                <w:kern w:val="0"/>
                <w:sz w:val="24"/>
              </w:rPr>
            </w:pPr>
            <w:r>
              <w:rPr>
                <w:rFonts w:hint="eastAsia" w:ascii="宋体" w:hAnsi="宋体" w:eastAsia="宋体" w:cs="Calibri"/>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F13CE6B">
            <w:pPr>
              <w:widowControl/>
              <w:spacing w:line="360" w:lineRule="auto"/>
              <w:ind w:firstLine="482"/>
              <w:contextualSpacing/>
              <w:jc w:val="center"/>
              <w:rPr>
                <w:rFonts w:hint="eastAsia" w:ascii="宋体" w:hAnsi="宋体" w:eastAsia="宋体" w:cs="Calibri"/>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5E2BA49">
            <w:pPr>
              <w:widowControl/>
              <w:spacing w:line="360" w:lineRule="auto"/>
              <w:ind w:firstLine="482"/>
              <w:contextualSpacing/>
              <w:jc w:val="center"/>
              <w:rPr>
                <w:rFonts w:hint="eastAsia" w:ascii="宋体" w:hAnsi="宋体" w:eastAsia="宋体" w:cs="Calibri"/>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6114D13">
            <w:pPr>
              <w:widowControl/>
              <w:spacing w:line="360" w:lineRule="auto"/>
              <w:ind w:firstLine="482"/>
              <w:contextualSpacing/>
              <w:jc w:val="center"/>
              <w:rPr>
                <w:rFonts w:hint="eastAsia" w:ascii="宋体" w:hAnsi="宋体" w:eastAsia="宋体" w:cs="Calibri"/>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0C6A17B">
            <w:pPr>
              <w:widowControl/>
              <w:spacing w:line="360" w:lineRule="auto"/>
              <w:ind w:firstLine="482"/>
              <w:contextualSpacing/>
              <w:jc w:val="center"/>
              <w:rPr>
                <w:rFonts w:hint="eastAsia" w:ascii="宋体" w:hAnsi="宋体" w:eastAsia="宋体" w:cs="Calibri"/>
                <w:kern w:val="0"/>
                <w:sz w:val="24"/>
              </w:rPr>
            </w:pPr>
          </w:p>
        </w:tc>
      </w:tr>
    </w:tbl>
    <w:p w14:paraId="73B00008">
      <w:pPr>
        <w:spacing w:line="360" w:lineRule="auto"/>
        <w:ind w:firstLine="482"/>
        <w:contextualSpacing/>
        <w:jc w:val="left"/>
        <w:rPr>
          <w:rFonts w:hint="eastAsia" w:ascii="宋体" w:hAnsi="宋体" w:eastAsia="宋体" w:cs="Calibri"/>
          <w:sz w:val="24"/>
        </w:rPr>
      </w:pPr>
      <w:r>
        <w:rPr>
          <w:rFonts w:hint="eastAsia" w:ascii="宋体" w:hAnsi="宋体" w:eastAsia="宋体" w:cs="Calibri"/>
          <w:sz w:val="24"/>
        </w:rPr>
        <w:t>注：</w:t>
      </w:r>
    </w:p>
    <w:p w14:paraId="41FE25FF">
      <w:pPr>
        <w:spacing w:line="360" w:lineRule="auto"/>
        <w:ind w:firstLine="480" w:firstLineChars="200"/>
        <w:contextualSpacing/>
        <w:jc w:val="left"/>
        <w:rPr>
          <w:rFonts w:hint="eastAsia" w:ascii="宋体" w:hAnsi="宋体" w:eastAsia="宋体" w:cs="Calibri"/>
          <w:sz w:val="24"/>
        </w:rPr>
      </w:pPr>
      <w:r>
        <w:rPr>
          <w:rFonts w:hint="eastAsia" w:ascii="宋体" w:hAnsi="宋体" w:eastAsia="宋体" w:cs="Calibri"/>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E04817A">
      <w:pPr>
        <w:spacing w:line="360" w:lineRule="auto"/>
        <w:ind w:firstLine="480" w:firstLineChars="200"/>
        <w:contextualSpacing/>
        <w:jc w:val="left"/>
        <w:rPr>
          <w:rFonts w:hint="eastAsia" w:ascii="宋体" w:hAnsi="宋体" w:eastAsia="宋体" w:cs="Calibri"/>
          <w:sz w:val="24"/>
        </w:rPr>
      </w:pPr>
      <w:r>
        <w:rPr>
          <w:rFonts w:hint="eastAsia" w:ascii="宋体" w:hAnsi="宋体" w:eastAsia="宋体" w:cs="Calibri"/>
          <w:sz w:val="24"/>
        </w:rPr>
        <w:t>2.本表所指的控股关系仅限于直接控股关系，不包括间接的控股关系。公司实际控制人与公司之间的关系不属于本表所指的直接控股关系。</w:t>
      </w:r>
    </w:p>
    <w:p w14:paraId="1DE7F6FF">
      <w:pPr>
        <w:spacing w:line="360" w:lineRule="auto"/>
        <w:ind w:firstLine="480" w:firstLineChars="200"/>
        <w:contextualSpacing/>
        <w:jc w:val="left"/>
        <w:rPr>
          <w:rFonts w:hint="eastAsia" w:ascii="宋体" w:hAnsi="宋体" w:eastAsia="宋体" w:cs="Calibri"/>
          <w:sz w:val="24"/>
        </w:rPr>
      </w:pPr>
      <w:r>
        <w:rPr>
          <w:rFonts w:hint="eastAsia" w:ascii="宋体" w:hAnsi="宋体" w:eastAsia="宋体" w:cs="Calibri"/>
          <w:sz w:val="24"/>
        </w:rPr>
        <w:t>3.供应商不存在直接控股股东的，</w:t>
      </w:r>
      <w:r>
        <w:rPr>
          <w:rFonts w:hint="eastAsia" w:ascii="宋体" w:hAnsi="宋体" w:eastAsia="宋体"/>
          <w:sz w:val="24"/>
        </w:rPr>
        <w:t>则在“直接控股股东名称”填“无”</w:t>
      </w:r>
      <w:r>
        <w:rPr>
          <w:rFonts w:hint="eastAsia" w:ascii="宋体" w:hAnsi="宋体" w:eastAsia="宋体" w:cs="Calibri"/>
          <w:sz w:val="24"/>
        </w:rPr>
        <w:t>。</w:t>
      </w:r>
    </w:p>
    <w:p w14:paraId="66FB47A9">
      <w:pPr>
        <w:spacing w:line="360" w:lineRule="auto"/>
        <w:ind w:firstLine="420" w:firstLineChars="200"/>
        <w:contextualSpacing/>
        <w:jc w:val="left"/>
        <w:rPr>
          <w:rFonts w:hint="eastAsia" w:ascii="宋体" w:hAnsi="宋体" w:eastAsia="宋体" w:cs="Calibri"/>
          <w:szCs w:val="21"/>
        </w:rPr>
      </w:pPr>
    </w:p>
    <w:p w14:paraId="50F912FB">
      <w:pPr>
        <w:spacing w:line="360" w:lineRule="auto"/>
        <w:ind w:firstLine="560" w:firstLineChars="200"/>
        <w:contextualSpacing/>
        <w:jc w:val="left"/>
        <w:rPr>
          <w:rFonts w:hint="eastAsia" w:ascii="宋体" w:hAnsi="宋体" w:eastAsia="宋体" w:cs="Calibri"/>
          <w:sz w:val="28"/>
          <w:szCs w:val="28"/>
        </w:rPr>
      </w:pPr>
    </w:p>
    <w:p w14:paraId="7E5A194C">
      <w:pPr>
        <w:spacing w:line="360" w:lineRule="auto"/>
        <w:ind w:right="480" w:firstLine="482"/>
        <w:contextualSpacing/>
        <w:jc w:val="center"/>
        <w:rPr>
          <w:rFonts w:hint="eastAsia" w:ascii="宋体" w:hAnsi="宋体" w:eastAsia="宋体" w:cs="Calibri"/>
          <w:sz w:val="24"/>
          <w:u w:val="single"/>
        </w:rPr>
      </w:pPr>
      <w:r>
        <w:rPr>
          <w:rFonts w:hint="eastAsia" w:ascii="宋体" w:hAnsi="宋体" w:eastAsia="宋体" w:cs="Calibri"/>
          <w:sz w:val="24"/>
        </w:rPr>
        <w:t xml:space="preserve"> </w:t>
      </w:r>
      <w:r>
        <w:rPr>
          <w:rFonts w:ascii="宋体" w:hAnsi="宋体" w:eastAsia="宋体" w:cs="Calibri"/>
          <w:sz w:val="24"/>
        </w:rPr>
        <w:t xml:space="preserve">       </w:t>
      </w:r>
      <w:r>
        <w:rPr>
          <w:rFonts w:hint="eastAsia" w:ascii="宋体" w:hAnsi="宋体" w:eastAsia="宋体" w:cs="Calibri"/>
          <w:sz w:val="24"/>
        </w:rPr>
        <w:t>法定代表人或者委托代理人</w:t>
      </w:r>
      <w:r>
        <w:rPr>
          <w:rFonts w:hint="eastAsia" w:ascii="宋体" w:hAnsi="宋体" w:eastAsia="宋体"/>
          <w:sz w:val="24"/>
        </w:rPr>
        <w:t>（签字或者电子签名）</w:t>
      </w:r>
      <w:r>
        <w:rPr>
          <w:rFonts w:hint="eastAsia" w:ascii="宋体" w:hAnsi="宋体" w:eastAsia="宋体" w:cs="Calibri"/>
          <w:sz w:val="24"/>
        </w:rPr>
        <w:t>：</w:t>
      </w:r>
      <w:r>
        <w:rPr>
          <w:rFonts w:hint="eastAsia" w:ascii="宋体" w:hAnsi="宋体" w:eastAsia="宋体" w:cs="Calibri"/>
          <w:sz w:val="24"/>
          <w:u w:val="single"/>
        </w:rPr>
        <w:t xml:space="preserve"> </w:t>
      </w:r>
      <w:r>
        <w:rPr>
          <w:rFonts w:ascii="宋体" w:hAnsi="宋体" w:eastAsia="宋体" w:cs="Calibri"/>
          <w:sz w:val="24"/>
          <w:u w:val="single"/>
        </w:rPr>
        <w:t xml:space="preserve">                   </w:t>
      </w:r>
    </w:p>
    <w:p w14:paraId="61896AF3">
      <w:pPr>
        <w:spacing w:line="360" w:lineRule="auto"/>
        <w:ind w:right="480" w:firstLine="3000" w:firstLineChars="1250"/>
        <w:contextualSpacing/>
        <w:rPr>
          <w:rFonts w:hint="eastAsia" w:ascii="宋体" w:hAnsi="宋体" w:eastAsia="宋体" w:cs="Calibri"/>
          <w:sz w:val="24"/>
          <w:u w:val="single"/>
        </w:rPr>
      </w:pPr>
      <w:r>
        <w:rPr>
          <w:rFonts w:hint="eastAsia" w:ascii="宋体" w:hAnsi="宋体" w:eastAsia="宋体" w:cs="Calibri"/>
          <w:sz w:val="24"/>
        </w:rPr>
        <w:t>供应商</w:t>
      </w:r>
      <w:r>
        <w:rPr>
          <w:rFonts w:hint="eastAsia" w:ascii="宋体" w:hAnsi="宋体" w:eastAsia="宋体"/>
          <w:sz w:val="24"/>
        </w:rPr>
        <w:t>（电子签章）</w:t>
      </w:r>
      <w:r>
        <w:rPr>
          <w:rFonts w:hint="eastAsia" w:ascii="宋体" w:hAnsi="宋体" w:eastAsia="宋体" w:cs="Calibri"/>
          <w:sz w:val="24"/>
        </w:rPr>
        <w:t xml:space="preserve">： </w:t>
      </w:r>
      <w:r>
        <w:rPr>
          <w:rFonts w:hint="eastAsia" w:ascii="宋体" w:hAnsi="宋体" w:eastAsia="宋体" w:cs="Calibri"/>
          <w:sz w:val="24"/>
          <w:u w:val="single"/>
        </w:rPr>
        <w:t xml:space="preserve">                              </w:t>
      </w:r>
    </w:p>
    <w:p w14:paraId="6FD8CD4F">
      <w:pPr>
        <w:spacing w:line="360" w:lineRule="auto"/>
        <w:ind w:firstLine="480" w:firstLineChars="200"/>
        <w:contextualSpacing/>
        <w:jc w:val="right"/>
        <w:rPr>
          <w:rFonts w:hint="eastAsia" w:ascii="宋体" w:hAnsi="宋体" w:eastAsia="宋体" w:cs="Calibri"/>
          <w:sz w:val="28"/>
          <w:szCs w:val="28"/>
        </w:rPr>
      </w:pPr>
      <w:r>
        <w:rPr>
          <w:rFonts w:hint="eastAsia" w:ascii="宋体" w:hAnsi="宋体" w:eastAsia="宋体" w:cs="Calibri"/>
          <w:sz w:val="24"/>
        </w:rPr>
        <w:t>年    月    日</w:t>
      </w:r>
    </w:p>
    <w:p w14:paraId="6B493227">
      <w:pPr>
        <w:snapToGrid w:val="0"/>
        <w:ind w:firstLine="562"/>
        <w:jc w:val="center"/>
        <w:rPr>
          <w:rFonts w:hint="eastAsia" w:ascii="宋体" w:hAnsi="宋体" w:eastAsia="宋体"/>
          <w:b/>
          <w:sz w:val="28"/>
          <w:szCs w:val="28"/>
        </w:rPr>
      </w:pPr>
      <w:r>
        <w:rPr>
          <w:rFonts w:ascii="宋体" w:hAnsi="宋体" w:eastAsia="宋体"/>
          <w:b/>
          <w:sz w:val="28"/>
          <w:szCs w:val="28"/>
        </w:rPr>
        <w:br w:type="page"/>
      </w:r>
    </w:p>
    <w:p w14:paraId="7215F614">
      <w:pPr>
        <w:pStyle w:val="7"/>
        <w:overflowPunct w:val="0"/>
        <w:spacing w:line="520" w:lineRule="exact"/>
        <w:ind w:firstLine="1760" w:firstLineChars="400"/>
        <w:rPr>
          <w:rFonts w:hint="eastAsia" w:ascii="宋体" w:hAnsi="宋体" w:eastAsia="宋体" w:cs="Tahoma"/>
          <w:sz w:val="44"/>
          <w:szCs w:val="44"/>
        </w:rPr>
      </w:pPr>
    </w:p>
    <w:p w14:paraId="4F8E5D78">
      <w:pPr>
        <w:pStyle w:val="7"/>
        <w:overflowPunct w:val="0"/>
        <w:spacing w:line="520" w:lineRule="exact"/>
        <w:ind w:firstLine="1760" w:firstLineChars="400"/>
        <w:rPr>
          <w:rFonts w:hint="eastAsia" w:ascii="宋体" w:hAnsi="宋体" w:eastAsia="宋体" w:cs="Tahoma"/>
          <w:sz w:val="44"/>
          <w:szCs w:val="44"/>
        </w:rPr>
      </w:pPr>
      <w:r>
        <w:rPr>
          <w:rFonts w:hint="eastAsia" w:ascii="宋体" w:hAnsi="宋体" w:eastAsia="宋体" w:cs="Tahoma"/>
          <w:sz w:val="44"/>
          <w:szCs w:val="44"/>
        </w:rPr>
        <w:t>供应商直接管理关系信息表</w:t>
      </w:r>
    </w:p>
    <w:p w14:paraId="23A49658">
      <w:pPr>
        <w:snapToGrid w:val="0"/>
        <w:spacing w:line="360" w:lineRule="auto"/>
        <w:ind w:firstLine="480"/>
        <w:jc w:val="center"/>
        <w:rPr>
          <w:rFonts w:hint="eastAsia" w:ascii="宋体" w:hAnsi="宋体" w:eastAsia="宋体"/>
          <w:b/>
          <w:sz w:val="24"/>
        </w:rPr>
      </w:pPr>
    </w:p>
    <w:tbl>
      <w:tblPr>
        <w:tblStyle w:val="52"/>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02B055C4">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C2867F6">
            <w:pPr>
              <w:widowControl/>
              <w:spacing w:line="360" w:lineRule="auto"/>
              <w:ind w:firstLine="482"/>
              <w:contextualSpacing/>
              <w:jc w:val="center"/>
              <w:rPr>
                <w:rFonts w:hint="eastAsia" w:ascii="宋体" w:hAnsi="宋体" w:eastAsia="宋体" w:cs="Calibri"/>
                <w:b/>
                <w:bCs/>
                <w:kern w:val="0"/>
                <w:sz w:val="24"/>
              </w:rPr>
            </w:pPr>
            <w:r>
              <w:rPr>
                <w:rFonts w:hint="eastAsia" w:ascii="宋体" w:hAnsi="宋体" w:eastAsia="宋体" w:cs="Calibri"/>
                <w:b/>
                <w:bCs/>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52938D6">
            <w:pPr>
              <w:widowControl/>
              <w:spacing w:line="360" w:lineRule="auto"/>
              <w:ind w:firstLine="482"/>
              <w:contextualSpacing/>
              <w:jc w:val="center"/>
              <w:rPr>
                <w:rFonts w:hint="eastAsia" w:ascii="宋体" w:hAnsi="宋体" w:eastAsia="宋体" w:cs="Calibri"/>
                <w:b/>
                <w:bCs/>
                <w:kern w:val="0"/>
                <w:sz w:val="24"/>
              </w:rPr>
            </w:pPr>
            <w:r>
              <w:rPr>
                <w:rFonts w:hint="eastAsia" w:ascii="宋体" w:hAnsi="宋体" w:eastAsia="宋体" w:cs="Calibri"/>
                <w:b/>
                <w:bCs/>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97635F3">
            <w:pPr>
              <w:widowControl/>
              <w:spacing w:line="360" w:lineRule="auto"/>
              <w:ind w:firstLine="482"/>
              <w:contextualSpacing/>
              <w:jc w:val="center"/>
              <w:rPr>
                <w:rFonts w:hint="eastAsia" w:ascii="宋体" w:hAnsi="宋体" w:eastAsia="宋体" w:cs="Calibri"/>
                <w:b/>
                <w:bCs/>
                <w:kern w:val="0"/>
                <w:sz w:val="24"/>
              </w:rPr>
            </w:pPr>
            <w:r>
              <w:rPr>
                <w:rFonts w:hint="eastAsia" w:ascii="宋体" w:hAnsi="宋体" w:eastAsia="宋体" w:cs="Calibri"/>
                <w:b/>
                <w:bCs/>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7005457">
            <w:pPr>
              <w:widowControl/>
              <w:spacing w:line="360" w:lineRule="auto"/>
              <w:ind w:firstLine="482"/>
              <w:contextualSpacing/>
              <w:jc w:val="center"/>
              <w:rPr>
                <w:rFonts w:hint="eastAsia" w:ascii="宋体" w:hAnsi="宋体" w:eastAsia="宋体" w:cs="Calibri"/>
                <w:b/>
                <w:bCs/>
                <w:kern w:val="0"/>
                <w:sz w:val="24"/>
              </w:rPr>
            </w:pPr>
            <w:r>
              <w:rPr>
                <w:rFonts w:hint="eastAsia" w:ascii="宋体" w:hAnsi="宋体" w:eastAsia="宋体" w:cs="Calibri"/>
                <w:b/>
                <w:bCs/>
                <w:kern w:val="0"/>
                <w:sz w:val="24"/>
              </w:rPr>
              <w:t>备注</w:t>
            </w:r>
          </w:p>
        </w:tc>
      </w:tr>
      <w:tr w14:paraId="284D9FEE">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1D6F09B">
            <w:pPr>
              <w:widowControl/>
              <w:spacing w:line="360" w:lineRule="auto"/>
              <w:ind w:firstLine="482"/>
              <w:contextualSpacing/>
              <w:jc w:val="center"/>
              <w:rPr>
                <w:rFonts w:hint="eastAsia" w:ascii="宋体" w:hAnsi="宋体" w:eastAsia="宋体" w:cs="Calibri"/>
                <w:kern w:val="0"/>
                <w:sz w:val="24"/>
              </w:rPr>
            </w:pPr>
            <w:r>
              <w:rPr>
                <w:rFonts w:hint="eastAsia" w:ascii="宋体" w:hAnsi="宋体" w:eastAsia="宋体" w:cs="Calibri"/>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DD9512F">
            <w:pPr>
              <w:widowControl/>
              <w:spacing w:line="360" w:lineRule="auto"/>
              <w:ind w:firstLine="482"/>
              <w:contextualSpacing/>
              <w:jc w:val="center"/>
              <w:rPr>
                <w:rFonts w:hint="eastAsia" w:ascii="宋体" w:hAnsi="宋体" w:eastAsia="宋体" w:cs="Calibri"/>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50C77FA">
            <w:pPr>
              <w:widowControl/>
              <w:spacing w:line="360" w:lineRule="auto"/>
              <w:ind w:firstLine="482"/>
              <w:contextualSpacing/>
              <w:jc w:val="center"/>
              <w:rPr>
                <w:rFonts w:hint="eastAsia" w:ascii="宋体" w:hAnsi="宋体" w:eastAsia="宋体" w:cs="Calibri"/>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A638E10">
            <w:pPr>
              <w:widowControl/>
              <w:spacing w:line="360" w:lineRule="auto"/>
              <w:ind w:firstLine="482"/>
              <w:contextualSpacing/>
              <w:jc w:val="center"/>
              <w:rPr>
                <w:rFonts w:hint="eastAsia" w:ascii="宋体" w:hAnsi="宋体" w:eastAsia="宋体" w:cs="Calibri"/>
                <w:kern w:val="0"/>
                <w:sz w:val="24"/>
              </w:rPr>
            </w:pPr>
          </w:p>
        </w:tc>
      </w:tr>
      <w:tr w14:paraId="2E6A00B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4FD3611">
            <w:pPr>
              <w:widowControl/>
              <w:spacing w:line="360" w:lineRule="auto"/>
              <w:ind w:firstLine="482"/>
              <w:contextualSpacing/>
              <w:jc w:val="center"/>
              <w:rPr>
                <w:rFonts w:hint="eastAsia" w:ascii="宋体" w:hAnsi="宋体" w:eastAsia="宋体" w:cs="Calibri"/>
                <w:kern w:val="0"/>
                <w:sz w:val="24"/>
              </w:rPr>
            </w:pPr>
            <w:r>
              <w:rPr>
                <w:rFonts w:hint="eastAsia" w:ascii="宋体" w:hAnsi="宋体" w:eastAsia="宋体" w:cs="Calibri"/>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1100464">
            <w:pPr>
              <w:widowControl/>
              <w:spacing w:line="360" w:lineRule="auto"/>
              <w:ind w:firstLine="482"/>
              <w:contextualSpacing/>
              <w:jc w:val="center"/>
              <w:rPr>
                <w:rFonts w:hint="eastAsia" w:ascii="宋体" w:hAnsi="宋体" w:eastAsia="宋体" w:cs="Calibri"/>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E853E7B">
            <w:pPr>
              <w:widowControl/>
              <w:spacing w:line="360" w:lineRule="auto"/>
              <w:ind w:firstLine="482"/>
              <w:contextualSpacing/>
              <w:jc w:val="center"/>
              <w:rPr>
                <w:rFonts w:hint="eastAsia" w:ascii="宋体" w:hAnsi="宋体" w:eastAsia="宋体" w:cs="Calibri"/>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8BAB977">
            <w:pPr>
              <w:widowControl/>
              <w:spacing w:line="360" w:lineRule="auto"/>
              <w:ind w:firstLine="482"/>
              <w:contextualSpacing/>
              <w:jc w:val="center"/>
              <w:rPr>
                <w:rFonts w:hint="eastAsia" w:ascii="宋体" w:hAnsi="宋体" w:eastAsia="宋体" w:cs="Calibri"/>
                <w:kern w:val="0"/>
                <w:sz w:val="24"/>
              </w:rPr>
            </w:pPr>
          </w:p>
        </w:tc>
      </w:tr>
      <w:tr w14:paraId="3E55FF4C">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3A966E2">
            <w:pPr>
              <w:widowControl/>
              <w:spacing w:line="360" w:lineRule="auto"/>
              <w:ind w:firstLine="482"/>
              <w:contextualSpacing/>
              <w:jc w:val="center"/>
              <w:rPr>
                <w:rFonts w:hint="eastAsia" w:ascii="宋体" w:hAnsi="宋体" w:eastAsia="宋体" w:cs="Calibri"/>
                <w:kern w:val="0"/>
                <w:sz w:val="24"/>
              </w:rPr>
            </w:pPr>
            <w:r>
              <w:rPr>
                <w:rFonts w:hint="eastAsia" w:ascii="宋体" w:hAnsi="宋体" w:eastAsia="宋体" w:cs="Calibri"/>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4DCCB1D">
            <w:pPr>
              <w:widowControl/>
              <w:spacing w:line="360" w:lineRule="auto"/>
              <w:ind w:firstLine="482"/>
              <w:contextualSpacing/>
              <w:jc w:val="center"/>
              <w:rPr>
                <w:rFonts w:hint="eastAsia" w:ascii="宋体" w:hAnsi="宋体" w:eastAsia="宋体" w:cs="Calibri"/>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568D74D">
            <w:pPr>
              <w:widowControl/>
              <w:spacing w:line="360" w:lineRule="auto"/>
              <w:ind w:firstLine="482"/>
              <w:contextualSpacing/>
              <w:jc w:val="center"/>
              <w:rPr>
                <w:rFonts w:hint="eastAsia" w:ascii="宋体" w:hAnsi="宋体" w:eastAsia="宋体" w:cs="Calibri"/>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2186E8D">
            <w:pPr>
              <w:widowControl/>
              <w:spacing w:line="360" w:lineRule="auto"/>
              <w:ind w:firstLine="482"/>
              <w:contextualSpacing/>
              <w:jc w:val="center"/>
              <w:rPr>
                <w:rFonts w:hint="eastAsia" w:ascii="宋体" w:hAnsi="宋体" w:eastAsia="宋体" w:cs="Calibri"/>
                <w:kern w:val="0"/>
                <w:sz w:val="24"/>
              </w:rPr>
            </w:pPr>
          </w:p>
        </w:tc>
      </w:tr>
      <w:tr w14:paraId="54B9890A">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42FEBEB">
            <w:pPr>
              <w:widowControl/>
              <w:spacing w:line="360" w:lineRule="auto"/>
              <w:ind w:firstLine="482"/>
              <w:contextualSpacing/>
              <w:jc w:val="center"/>
              <w:rPr>
                <w:rFonts w:hint="eastAsia" w:ascii="宋体" w:hAnsi="宋体" w:eastAsia="宋体" w:cs="Calibri"/>
                <w:kern w:val="0"/>
                <w:sz w:val="24"/>
              </w:rPr>
            </w:pPr>
            <w:r>
              <w:rPr>
                <w:rFonts w:hint="eastAsia" w:ascii="宋体" w:hAnsi="宋体" w:eastAsia="宋体" w:cs="Calibri"/>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D7A39AA">
            <w:pPr>
              <w:widowControl/>
              <w:spacing w:line="360" w:lineRule="auto"/>
              <w:ind w:firstLine="482"/>
              <w:contextualSpacing/>
              <w:jc w:val="center"/>
              <w:rPr>
                <w:rFonts w:hint="eastAsia" w:ascii="宋体" w:hAnsi="宋体" w:eastAsia="宋体" w:cs="Calibri"/>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502F771">
            <w:pPr>
              <w:widowControl/>
              <w:spacing w:line="360" w:lineRule="auto"/>
              <w:ind w:firstLine="482"/>
              <w:contextualSpacing/>
              <w:jc w:val="center"/>
              <w:rPr>
                <w:rFonts w:hint="eastAsia" w:ascii="宋体" w:hAnsi="宋体" w:eastAsia="宋体" w:cs="Calibri"/>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DDB64DF">
            <w:pPr>
              <w:widowControl/>
              <w:spacing w:line="360" w:lineRule="auto"/>
              <w:ind w:firstLine="482"/>
              <w:contextualSpacing/>
              <w:jc w:val="center"/>
              <w:rPr>
                <w:rFonts w:hint="eastAsia" w:ascii="宋体" w:hAnsi="宋体" w:eastAsia="宋体" w:cs="Calibri"/>
                <w:kern w:val="0"/>
                <w:sz w:val="24"/>
              </w:rPr>
            </w:pPr>
          </w:p>
        </w:tc>
      </w:tr>
    </w:tbl>
    <w:p w14:paraId="6CCB3027">
      <w:pPr>
        <w:spacing w:line="360" w:lineRule="auto"/>
        <w:ind w:firstLine="482"/>
        <w:contextualSpacing/>
        <w:jc w:val="left"/>
        <w:rPr>
          <w:rFonts w:hint="eastAsia" w:ascii="宋体" w:hAnsi="宋体" w:eastAsia="宋体"/>
          <w:sz w:val="24"/>
        </w:rPr>
      </w:pPr>
      <w:r>
        <w:rPr>
          <w:rFonts w:hint="eastAsia" w:ascii="宋体" w:hAnsi="宋体" w:eastAsia="宋体"/>
          <w:sz w:val="24"/>
        </w:rPr>
        <w:t>注：</w:t>
      </w:r>
    </w:p>
    <w:p w14:paraId="4A033B1C">
      <w:pPr>
        <w:spacing w:line="360" w:lineRule="auto"/>
        <w:ind w:firstLine="480" w:firstLineChars="200"/>
        <w:contextualSpacing/>
        <w:jc w:val="left"/>
        <w:rPr>
          <w:rFonts w:hint="eastAsia" w:ascii="宋体" w:hAnsi="宋体" w:eastAsia="宋体"/>
          <w:sz w:val="24"/>
        </w:rPr>
      </w:pPr>
      <w:r>
        <w:rPr>
          <w:rFonts w:hint="eastAsia" w:ascii="宋体" w:hAnsi="宋体" w:eastAsia="宋体"/>
          <w:sz w:val="24"/>
        </w:rPr>
        <w:t>1.管理关系：是指不具有出资持股关系的其他单位之间存在的管理与被管理关系，如一些上下级关系的事业单位和团体组织。</w:t>
      </w:r>
    </w:p>
    <w:p w14:paraId="78FF6D39">
      <w:pPr>
        <w:spacing w:line="360" w:lineRule="auto"/>
        <w:ind w:firstLine="480" w:firstLineChars="200"/>
        <w:contextualSpacing/>
        <w:jc w:val="left"/>
        <w:rPr>
          <w:rFonts w:hint="eastAsia" w:ascii="宋体" w:hAnsi="宋体" w:eastAsia="宋体"/>
          <w:sz w:val="24"/>
        </w:rPr>
      </w:pPr>
      <w:r>
        <w:rPr>
          <w:rFonts w:hint="eastAsia" w:ascii="宋体" w:hAnsi="宋体" w:eastAsia="宋体"/>
          <w:sz w:val="24"/>
        </w:rPr>
        <w:t>2.</w:t>
      </w:r>
      <w:r>
        <w:rPr>
          <w:rFonts w:hint="eastAsia" w:ascii="宋体" w:hAnsi="宋体" w:eastAsia="宋体"/>
          <w:spacing w:val="-6"/>
          <w:sz w:val="24"/>
        </w:rPr>
        <w:t>本表所指的管理关系仅限于直接管理关系，不包括间接的管理关系。</w:t>
      </w:r>
    </w:p>
    <w:p w14:paraId="7A0E0B8E">
      <w:pPr>
        <w:spacing w:line="360" w:lineRule="auto"/>
        <w:ind w:firstLine="480" w:firstLineChars="200"/>
        <w:contextualSpacing/>
        <w:jc w:val="left"/>
        <w:rPr>
          <w:rFonts w:hint="eastAsia" w:ascii="宋体" w:hAnsi="宋体" w:eastAsia="宋体"/>
          <w:sz w:val="24"/>
        </w:rPr>
      </w:pPr>
      <w:r>
        <w:rPr>
          <w:rFonts w:hint="eastAsia" w:ascii="宋体" w:hAnsi="宋体" w:eastAsia="宋体"/>
          <w:sz w:val="24"/>
        </w:rPr>
        <w:t>3.供应商不存在直接管理关系的，则在“直接管理关系单位名称”填“无”。</w:t>
      </w:r>
    </w:p>
    <w:p w14:paraId="07DE3D80">
      <w:pPr>
        <w:spacing w:line="360" w:lineRule="auto"/>
        <w:ind w:firstLine="562"/>
        <w:contextualSpacing/>
        <w:jc w:val="left"/>
        <w:rPr>
          <w:rFonts w:hint="eastAsia" w:ascii="宋体" w:hAnsi="宋体" w:eastAsia="宋体"/>
          <w:sz w:val="28"/>
          <w:szCs w:val="28"/>
        </w:rPr>
      </w:pPr>
    </w:p>
    <w:p w14:paraId="73EA152A">
      <w:pPr>
        <w:spacing w:line="360" w:lineRule="auto"/>
        <w:ind w:firstLine="562"/>
        <w:contextualSpacing/>
        <w:jc w:val="left"/>
        <w:rPr>
          <w:rFonts w:hint="eastAsia" w:ascii="宋体" w:hAnsi="宋体" w:eastAsia="宋体"/>
          <w:sz w:val="28"/>
          <w:szCs w:val="28"/>
        </w:rPr>
      </w:pPr>
    </w:p>
    <w:p w14:paraId="763AD8E7">
      <w:pPr>
        <w:spacing w:line="360" w:lineRule="auto"/>
        <w:ind w:firstLine="562"/>
        <w:contextualSpacing/>
        <w:jc w:val="left"/>
        <w:rPr>
          <w:rFonts w:hint="eastAsia" w:ascii="宋体" w:hAnsi="宋体" w:eastAsia="宋体"/>
          <w:sz w:val="28"/>
          <w:szCs w:val="28"/>
        </w:rPr>
      </w:pPr>
    </w:p>
    <w:p w14:paraId="4A9FFE71">
      <w:pPr>
        <w:spacing w:line="360" w:lineRule="auto"/>
        <w:ind w:firstLine="562"/>
        <w:contextualSpacing/>
        <w:jc w:val="left"/>
        <w:rPr>
          <w:rFonts w:hint="eastAsia" w:ascii="宋体" w:hAnsi="宋体" w:eastAsia="宋体"/>
          <w:sz w:val="28"/>
          <w:szCs w:val="28"/>
        </w:rPr>
      </w:pPr>
    </w:p>
    <w:p w14:paraId="76F11DDF">
      <w:pPr>
        <w:spacing w:line="360" w:lineRule="auto"/>
        <w:ind w:firstLine="562"/>
        <w:contextualSpacing/>
        <w:jc w:val="left"/>
        <w:rPr>
          <w:rFonts w:hint="eastAsia" w:ascii="宋体" w:hAnsi="宋体" w:eastAsia="宋体"/>
          <w:sz w:val="28"/>
          <w:szCs w:val="28"/>
        </w:rPr>
      </w:pPr>
    </w:p>
    <w:p w14:paraId="1B13F8A3">
      <w:pPr>
        <w:spacing w:line="360" w:lineRule="auto"/>
        <w:ind w:firstLine="562"/>
        <w:contextualSpacing/>
        <w:jc w:val="left"/>
        <w:rPr>
          <w:rFonts w:hint="eastAsia" w:ascii="宋体" w:hAnsi="宋体" w:eastAsia="宋体"/>
          <w:sz w:val="28"/>
          <w:szCs w:val="28"/>
        </w:rPr>
      </w:pPr>
    </w:p>
    <w:p w14:paraId="68364C2B">
      <w:pPr>
        <w:spacing w:line="360" w:lineRule="auto"/>
        <w:ind w:right="480" w:firstLine="482"/>
        <w:contextualSpacing/>
        <w:jc w:val="center"/>
        <w:rPr>
          <w:rFonts w:hint="eastAsia" w:ascii="宋体" w:hAnsi="宋体" w:eastAsia="宋体"/>
          <w:sz w:val="24"/>
          <w:u w:val="single"/>
        </w:rPr>
      </w:pPr>
      <w:r>
        <w:rPr>
          <w:rFonts w:hint="eastAsia" w:ascii="宋体" w:hAnsi="宋体" w:eastAsia="宋体"/>
          <w:sz w:val="24"/>
        </w:rPr>
        <w:t xml:space="preserve"> </w:t>
      </w:r>
      <w:r>
        <w:rPr>
          <w:rFonts w:ascii="宋体" w:hAnsi="宋体" w:eastAsia="宋体"/>
          <w:sz w:val="24"/>
        </w:rPr>
        <w:t xml:space="preserve">             </w:t>
      </w:r>
      <w:r>
        <w:rPr>
          <w:rFonts w:hint="eastAsia" w:ascii="宋体" w:hAnsi="宋体" w:eastAsia="宋体"/>
          <w:sz w:val="24"/>
        </w:rPr>
        <w:t>法定代表人或者委托代理人（签字或者电子签名）：</w:t>
      </w:r>
      <w:r>
        <w:rPr>
          <w:rFonts w:hint="eastAsia" w:ascii="宋体" w:hAnsi="宋体" w:eastAsia="宋体"/>
          <w:sz w:val="24"/>
          <w:u w:val="single"/>
        </w:rPr>
        <w:t xml:space="preserve"> </w:t>
      </w:r>
      <w:r>
        <w:rPr>
          <w:rFonts w:ascii="宋体" w:hAnsi="宋体" w:eastAsia="宋体"/>
          <w:sz w:val="24"/>
          <w:u w:val="single"/>
        </w:rPr>
        <w:t xml:space="preserve">                  </w:t>
      </w:r>
    </w:p>
    <w:p w14:paraId="06150E5A">
      <w:pPr>
        <w:spacing w:line="360" w:lineRule="auto"/>
        <w:ind w:right="480" w:firstLine="3360" w:firstLineChars="1400"/>
        <w:contextualSpacing/>
        <w:rPr>
          <w:rFonts w:hint="eastAsia" w:ascii="宋体" w:hAnsi="宋体" w:eastAsia="宋体"/>
          <w:sz w:val="24"/>
        </w:rPr>
      </w:pPr>
      <w:r>
        <w:rPr>
          <w:rFonts w:hint="eastAsia" w:ascii="宋体" w:hAnsi="宋体" w:eastAsia="宋体"/>
          <w:sz w:val="24"/>
        </w:rPr>
        <w:t>供应商（电子签章）：</w:t>
      </w:r>
      <w:r>
        <w:rPr>
          <w:rFonts w:hint="eastAsia" w:ascii="宋体" w:hAnsi="宋体" w:eastAsia="宋体"/>
          <w:sz w:val="24"/>
          <w:u w:val="single"/>
        </w:rPr>
        <w:t xml:space="preserve">                </w:t>
      </w:r>
    </w:p>
    <w:p w14:paraId="70D4486B">
      <w:pPr>
        <w:spacing w:line="360" w:lineRule="auto"/>
        <w:ind w:firstLine="480" w:firstLineChars="200"/>
        <w:contextualSpacing/>
        <w:jc w:val="left"/>
        <w:rPr>
          <w:rFonts w:hint="eastAsia" w:ascii="宋体" w:hAnsi="宋体" w:eastAsia="宋体"/>
          <w:sz w:val="28"/>
          <w:szCs w:val="28"/>
        </w:rPr>
      </w:pPr>
      <w:r>
        <w:rPr>
          <w:rFonts w:hint="eastAsia" w:ascii="宋体" w:hAnsi="宋体" w:eastAsia="宋体"/>
          <w:sz w:val="24"/>
        </w:rPr>
        <w:t xml:space="preserve">                                        年    月    日</w:t>
      </w:r>
    </w:p>
    <w:p w14:paraId="1AEB13C7">
      <w:pPr>
        <w:spacing w:line="320" w:lineRule="exact"/>
        <w:ind w:firstLine="562"/>
        <w:jc w:val="center"/>
        <w:rPr>
          <w:rFonts w:hint="eastAsia" w:ascii="宋体" w:hAnsi="宋体" w:eastAsia="宋体"/>
          <w:sz w:val="28"/>
          <w:szCs w:val="28"/>
        </w:rPr>
      </w:pPr>
      <w:r>
        <w:rPr>
          <w:rFonts w:ascii="宋体" w:hAnsi="宋体" w:eastAsia="宋体"/>
          <w:sz w:val="28"/>
          <w:szCs w:val="28"/>
        </w:rPr>
        <w:br w:type="page"/>
      </w:r>
    </w:p>
    <w:p w14:paraId="47628A24">
      <w:pPr>
        <w:spacing w:line="320" w:lineRule="exact"/>
        <w:ind w:firstLine="643"/>
        <w:jc w:val="left"/>
        <w:rPr>
          <w:rFonts w:hint="eastAsia" w:ascii="宋体" w:hAnsi="宋体" w:eastAsia="宋体"/>
          <w:b/>
          <w:sz w:val="32"/>
          <w:szCs w:val="32"/>
        </w:rPr>
      </w:pPr>
      <w:r>
        <w:rPr>
          <w:rFonts w:hint="eastAsia" w:ascii="宋体" w:hAnsi="宋体" w:eastAsia="宋体"/>
          <w:b/>
          <w:sz w:val="32"/>
          <w:szCs w:val="32"/>
        </w:rPr>
        <w:t>4.竞标声明</w:t>
      </w:r>
    </w:p>
    <w:p w14:paraId="2A5A608B">
      <w:pPr>
        <w:spacing w:line="320" w:lineRule="exact"/>
        <w:ind w:firstLine="640"/>
        <w:jc w:val="center"/>
        <w:rPr>
          <w:rFonts w:hint="eastAsia" w:ascii="宋体" w:hAnsi="宋体" w:eastAsia="宋体"/>
          <w:b/>
          <w:sz w:val="32"/>
          <w:szCs w:val="32"/>
        </w:rPr>
      </w:pPr>
    </w:p>
    <w:p w14:paraId="683689B0">
      <w:pPr>
        <w:pStyle w:val="7"/>
        <w:overflowPunct w:val="0"/>
        <w:spacing w:line="520" w:lineRule="exact"/>
        <w:ind w:firstLine="3080" w:firstLineChars="700"/>
        <w:rPr>
          <w:rFonts w:hint="eastAsia" w:ascii="宋体" w:hAnsi="宋体" w:eastAsia="宋体" w:cs="Tahoma"/>
          <w:sz w:val="44"/>
          <w:szCs w:val="44"/>
        </w:rPr>
      </w:pPr>
      <w:r>
        <w:rPr>
          <w:rFonts w:hint="eastAsia" w:ascii="宋体" w:hAnsi="宋体" w:eastAsia="宋体" w:cs="Tahoma"/>
          <w:sz w:val="44"/>
          <w:szCs w:val="44"/>
        </w:rPr>
        <w:t>竞标声明</w:t>
      </w:r>
    </w:p>
    <w:p w14:paraId="0F4D12EF">
      <w:pPr>
        <w:spacing w:line="320" w:lineRule="exact"/>
        <w:ind w:firstLine="482"/>
        <w:jc w:val="center"/>
        <w:rPr>
          <w:rFonts w:hint="eastAsia" w:ascii="宋体" w:hAnsi="宋体" w:eastAsia="宋体"/>
          <w:sz w:val="24"/>
          <w:szCs w:val="20"/>
        </w:rPr>
      </w:pPr>
    </w:p>
    <w:p w14:paraId="1ADC272E">
      <w:pPr>
        <w:wordWrap w:val="0"/>
        <w:spacing w:line="360" w:lineRule="auto"/>
        <w:ind w:firstLine="482"/>
        <w:contextualSpacing/>
        <w:jc w:val="left"/>
        <w:rPr>
          <w:rFonts w:hint="eastAsia" w:ascii="宋体" w:hAnsi="宋体" w:eastAsia="宋体" w:cs="Calibri"/>
          <w:sz w:val="24"/>
        </w:rPr>
      </w:pPr>
      <w:r>
        <w:rPr>
          <w:rFonts w:hint="eastAsia" w:ascii="宋体" w:hAnsi="宋体" w:eastAsia="宋体" w:cs="Calibri"/>
          <w:sz w:val="24"/>
        </w:rPr>
        <w:t>致：</w:t>
      </w:r>
      <w:r>
        <w:rPr>
          <w:rFonts w:hint="eastAsia" w:ascii="宋体" w:hAnsi="宋体" w:eastAsia="宋体" w:cs="Calibri"/>
          <w:sz w:val="24"/>
          <w:u w:val="single"/>
        </w:rPr>
        <w:t>（采购人名称）</w:t>
      </w:r>
      <w:r>
        <w:rPr>
          <w:rFonts w:hint="eastAsia" w:ascii="宋体" w:hAnsi="宋体" w:eastAsia="宋体" w:cs="Calibri"/>
          <w:sz w:val="24"/>
        </w:rPr>
        <w:t>：</w:t>
      </w:r>
    </w:p>
    <w:p w14:paraId="0AD7C6B6">
      <w:pPr>
        <w:wordWrap w:val="0"/>
        <w:spacing w:line="360" w:lineRule="auto"/>
        <w:ind w:firstLine="480" w:firstLineChars="200"/>
        <w:contextualSpacing/>
        <w:jc w:val="left"/>
        <w:rPr>
          <w:rFonts w:hint="eastAsia" w:ascii="宋体" w:hAnsi="宋体" w:eastAsia="宋体" w:cs="Calibri"/>
          <w:sz w:val="24"/>
        </w:rPr>
      </w:pPr>
      <w:r>
        <w:rPr>
          <w:rFonts w:hint="eastAsia" w:ascii="宋体" w:hAnsi="宋体" w:eastAsia="宋体" w:cs="Calibri"/>
          <w:sz w:val="24"/>
          <w:u w:val="single"/>
        </w:rPr>
        <w:t>（供应商名称）</w:t>
      </w:r>
      <w:r>
        <w:rPr>
          <w:rFonts w:hint="eastAsia" w:ascii="宋体" w:hAnsi="宋体" w:eastAsia="宋体" w:cs="Calibri"/>
          <w:sz w:val="24"/>
        </w:rPr>
        <w:t>系中华人民共和国合法供应商，经营地址</w:t>
      </w:r>
      <w:r>
        <w:rPr>
          <w:rFonts w:hint="eastAsia" w:ascii="宋体" w:hAnsi="宋体" w:eastAsia="宋体" w:cs="Calibri"/>
          <w:sz w:val="24"/>
          <w:u w:val="single"/>
        </w:rPr>
        <w:t xml:space="preserve">                            </w:t>
      </w:r>
      <w:r>
        <w:rPr>
          <w:rFonts w:hint="eastAsia" w:ascii="宋体" w:hAnsi="宋体" w:eastAsia="宋体" w:cs="Calibri"/>
          <w:sz w:val="24"/>
        </w:rPr>
        <w:t>。</w:t>
      </w:r>
    </w:p>
    <w:p w14:paraId="12EEF409">
      <w:pPr>
        <w:spacing w:line="360" w:lineRule="auto"/>
        <w:ind w:firstLine="480" w:firstLineChars="200"/>
        <w:contextualSpacing/>
        <w:rPr>
          <w:rFonts w:hint="eastAsia" w:ascii="宋体" w:hAnsi="宋体" w:eastAsia="宋体" w:cs="Calibri"/>
          <w:sz w:val="24"/>
        </w:rPr>
      </w:pPr>
      <w:r>
        <w:rPr>
          <w:rFonts w:hint="eastAsia" w:ascii="宋体" w:hAnsi="宋体" w:eastAsia="宋体" w:cs="Calibri"/>
          <w:sz w:val="24"/>
        </w:rPr>
        <w:t>我方愿意参加贵方组织的</w:t>
      </w:r>
      <w:r>
        <w:rPr>
          <w:rFonts w:hint="eastAsia" w:ascii="宋体" w:hAnsi="宋体" w:eastAsia="宋体" w:cs="Calibri"/>
          <w:sz w:val="24"/>
          <w:u w:val="single"/>
        </w:rPr>
        <w:t>（项目名称）</w:t>
      </w:r>
      <w:r>
        <w:rPr>
          <w:rFonts w:hint="eastAsia" w:ascii="宋体" w:hAnsi="宋体" w:eastAsia="宋体" w:cs="Calibri"/>
          <w:sz w:val="24"/>
        </w:rPr>
        <w:t>项目的竞标，为便于贵方公正、择优地确定成交供应商及其竞标产品和服务，我方就本次竞标有关事项郑重声明如下：</w:t>
      </w:r>
    </w:p>
    <w:p w14:paraId="7414AE6B">
      <w:pPr>
        <w:spacing w:line="360" w:lineRule="auto"/>
        <w:ind w:firstLine="480" w:firstLineChars="200"/>
        <w:contextualSpacing/>
        <w:rPr>
          <w:rFonts w:hint="eastAsia" w:ascii="宋体" w:hAnsi="宋体" w:eastAsia="宋体" w:cs="Calibri"/>
          <w:sz w:val="24"/>
        </w:rPr>
      </w:pPr>
      <w:r>
        <w:rPr>
          <w:rFonts w:hint="eastAsia" w:ascii="宋体" w:hAnsi="宋体" w:eastAsia="宋体" w:cs="Calibri"/>
          <w:sz w:val="24"/>
        </w:rPr>
        <w:t>1.我方向贵方提交的所有响应文件、资料都是准确的和真实的。</w:t>
      </w:r>
    </w:p>
    <w:p w14:paraId="58744511">
      <w:pPr>
        <w:spacing w:line="360" w:lineRule="auto"/>
        <w:ind w:firstLine="480" w:firstLineChars="200"/>
        <w:contextualSpacing/>
        <w:rPr>
          <w:rFonts w:hint="eastAsia" w:ascii="宋体" w:hAnsi="宋体" w:eastAsia="宋体" w:cs="Calibri"/>
          <w:sz w:val="24"/>
        </w:rPr>
      </w:pPr>
      <w:r>
        <w:rPr>
          <w:rFonts w:hint="eastAsia" w:ascii="宋体" w:hAnsi="宋体" w:eastAsia="宋体" w:cs="Calibri"/>
          <w:sz w:val="24"/>
        </w:rPr>
        <w:t>2.</w:t>
      </w:r>
      <w:r>
        <w:rPr>
          <w:rFonts w:hint="eastAsia" w:ascii="宋体" w:hAnsi="宋体" w:eastAsia="宋体"/>
          <w:sz w:val="24"/>
        </w:rPr>
        <w:t>我方不是为本次采购项目提供整体设计、规范编制或者项目管理、监理、检测等服务的供应商</w:t>
      </w:r>
      <w:r>
        <w:rPr>
          <w:rFonts w:hint="eastAsia" w:ascii="宋体" w:hAnsi="宋体" w:eastAsia="宋体" w:cs="Calibri"/>
          <w:sz w:val="24"/>
        </w:rPr>
        <w:t>。</w:t>
      </w:r>
    </w:p>
    <w:p w14:paraId="7F8A834D">
      <w:pPr>
        <w:spacing w:line="360" w:lineRule="auto"/>
        <w:ind w:firstLine="480" w:firstLineChars="200"/>
        <w:contextualSpacing/>
        <w:rPr>
          <w:rFonts w:hint="eastAsia" w:ascii="宋体" w:hAnsi="宋体" w:eastAsia="宋体" w:cs="Calibri"/>
          <w:sz w:val="24"/>
        </w:rPr>
      </w:pPr>
      <w:r>
        <w:rPr>
          <w:rFonts w:hint="eastAsia" w:ascii="宋体" w:hAnsi="宋体" w:eastAsia="宋体" w:cs="Calibri"/>
          <w:sz w:val="24"/>
        </w:rPr>
        <w:t>3.在此，我方宣布同意如下：</w:t>
      </w:r>
    </w:p>
    <w:p w14:paraId="7FDC10E9">
      <w:pPr>
        <w:spacing w:line="360" w:lineRule="auto"/>
        <w:ind w:firstLine="480" w:firstLineChars="200"/>
        <w:contextualSpacing/>
        <w:rPr>
          <w:rFonts w:hint="eastAsia" w:ascii="宋体" w:hAnsi="宋体" w:eastAsia="宋体" w:cs="Calibri"/>
          <w:sz w:val="24"/>
        </w:rPr>
      </w:pPr>
      <w:r>
        <w:rPr>
          <w:rFonts w:hint="eastAsia" w:ascii="宋体" w:hAnsi="宋体" w:eastAsia="宋体" w:cs="Calibri"/>
          <w:sz w:val="24"/>
        </w:rPr>
        <w:t>（1）将按磋商文件的约定履行合同责任和义务；</w:t>
      </w:r>
    </w:p>
    <w:p w14:paraId="3881C93C">
      <w:pPr>
        <w:spacing w:line="360" w:lineRule="auto"/>
        <w:ind w:firstLine="480" w:firstLineChars="200"/>
        <w:contextualSpacing/>
        <w:rPr>
          <w:rFonts w:hint="eastAsia" w:ascii="宋体" w:hAnsi="宋体" w:eastAsia="宋体" w:cs="Calibri"/>
          <w:sz w:val="24"/>
        </w:rPr>
      </w:pPr>
      <w:r>
        <w:rPr>
          <w:rFonts w:hint="eastAsia" w:ascii="宋体" w:hAnsi="宋体" w:eastAsia="宋体" w:cs="Calibri"/>
          <w:sz w:val="24"/>
        </w:rPr>
        <w:t>（2）已详细审查全部磋商文件，包括澄清或者更正公告（如有）；</w:t>
      </w:r>
    </w:p>
    <w:p w14:paraId="6611CFBF">
      <w:pPr>
        <w:spacing w:line="360" w:lineRule="auto"/>
        <w:ind w:firstLine="480" w:firstLineChars="200"/>
        <w:contextualSpacing/>
        <w:rPr>
          <w:rFonts w:hint="eastAsia" w:ascii="宋体" w:hAnsi="宋体" w:eastAsia="宋体" w:cs="Calibri"/>
          <w:sz w:val="24"/>
        </w:rPr>
      </w:pPr>
      <w:r>
        <w:rPr>
          <w:rFonts w:hint="eastAsia" w:ascii="宋体" w:hAnsi="宋体" w:eastAsia="宋体" w:cs="Calibri"/>
          <w:sz w:val="24"/>
        </w:rPr>
        <w:t>（3）同意提供按照贵方可能要求的与磋商有关的一切数据或者资料；</w:t>
      </w:r>
    </w:p>
    <w:p w14:paraId="545BC121">
      <w:pPr>
        <w:spacing w:line="360" w:lineRule="auto"/>
        <w:ind w:firstLine="480" w:firstLineChars="200"/>
        <w:contextualSpacing/>
        <w:rPr>
          <w:rFonts w:hint="eastAsia" w:ascii="宋体" w:hAnsi="宋体" w:eastAsia="宋体" w:cs="Calibri"/>
          <w:sz w:val="24"/>
        </w:rPr>
      </w:pPr>
      <w:r>
        <w:rPr>
          <w:rFonts w:hint="eastAsia" w:ascii="宋体" w:hAnsi="宋体" w:eastAsia="宋体" w:cs="Calibri"/>
          <w:sz w:val="24"/>
        </w:rPr>
        <w:t>（4）响应磋商文件规定的竞标有效期。</w:t>
      </w:r>
    </w:p>
    <w:p w14:paraId="5F0CFAA9">
      <w:pPr>
        <w:spacing w:line="360" w:lineRule="auto"/>
        <w:ind w:firstLine="480" w:firstLineChars="200"/>
        <w:contextualSpacing/>
        <w:rPr>
          <w:rFonts w:hint="eastAsia" w:ascii="宋体" w:hAnsi="宋体" w:eastAsia="宋体" w:cs="Calibri"/>
          <w:sz w:val="24"/>
        </w:rPr>
      </w:pPr>
      <w:r>
        <w:rPr>
          <w:rFonts w:hint="eastAsia" w:ascii="宋体" w:hAnsi="宋体" w:eastAsia="宋体" w:cs="Calibri"/>
          <w:sz w:val="24"/>
        </w:rPr>
        <w:t>4.我方承诺符合《中华人民共和国政府采购法》第二十二条规定：</w:t>
      </w:r>
    </w:p>
    <w:p w14:paraId="0FF8FFE9">
      <w:pPr>
        <w:spacing w:line="360" w:lineRule="auto"/>
        <w:ind w:firstLine="480" w:firstLineChars="200"/>
        <w:contextualSpacing/>
        <w:rPr>
          <w:rFonts w:hint="eastAsia" w:ascii="宋体" w:hAnsi="宋体" w:eastAsia="宋体" w:cs="Calibri"/>
          <w:sz w:val="24"/>
        </w:rPr>
      </w:pPr>
      <w:r>
        <w:rPr>
          <w:rFonts w:hint="eastAsia" w:ascii="宋体" w:hAnsi="宋体" w:eastAsia="宋体" w:cs="Calibri"/>
          <w:sz w:val="24"/>
        </w:rPr>
        <w:t>（1）具有独立承担民事责任的能力；</w:t>
      </w:r>
    </w:p>
    <w:p w14:paraId="5E7E514E">
      <w:pPr>
        <w:spacing w:line="360" w:lineRule="auto"/>
        <w:ind w:firstLine="480" w:firstLineChars="200"/>
        <w:contextualSpacing/>
        <w:rPr>
          <w:rFonts w:hint="eastAsia" w:ascii="宋体" w:hAnsi="宋体" w:eastAsia="宋体" w:cs="Calibri"/>
          <w:sz w:val="24"/>
        </w:rPr>
      </w:pPr>
      <w:r>
        <w:rPr>
          <w:rFonts w:hint="eastAsia" w:ascii="宋体" w:hAnsi="宋体" w:eastAsia="宋体" w:cs="Calibri"/>
          <w:sz w:val="24"/>
        </w:rPr>
        <w:t>（2）具有良好的商业信誉和健全的财务会计制度；</w:t>
      </w:r>
    </w:p>
    <w:p w14:paraId="2F01F800">
      <w:pPr>
        <w:spacing w:line="360" w:lineRule="auto"/>
        <w:ind w:firstLine="480" w:firstLineChars="200"/>
        <w:contextualSpacing/>
        <w:rPr>
          <w:rFonts w:hint="eastAsia" w:ascii="宋体" w:hAnsi="宋体" w:eastAsia="宋体" w:cs="Calibri"/>
          <w:sz w:val="24"/>
        </w:rPr>
      </w:pPr>
      <w:r>
        <w:rPr>
          <w:rFonts w:hint="eastAsia" w:ascii="宋体" w:hAnsi="宋体" w:eastAsia="宋体" w:cs="Calibri"/>
          <w:sz w:val="24"/>
        </w:rPr>
        <w:t>（3）具有履行合同所必需的设备和专业技术能力；</w:t>
      </w:r>
    </w:p>
    <w:p w14:paraId="7993E998">
      <w:pPr>
        <w:spacing w:line="360" w:lineRule="auto"/>
        <w:ind w:firstLine="480" w:firstLineChars="200"/>
        <w:contextualSpacing/>
        <w:rPr>
          <w:rFonts w:hint="eastAsia" w:ascii="宋体" w:hAnsi="宋体" w:eastAsia="宋体" w:cs="Calibri"/>
          <w:sz w:val="24"/>
        </w:rPr>
      </w:pPr>
      <w:r>
        <w:rPr>
          <w:rFonts w:hint="eastAsia" w:ascii="宋体" w:hAnsi="宋体" w:eastAsia="宋体" w:cs="Calibri"/>
          <w:sz w:val="24"/>
        </w:rPr>
        <w:t>（4）有依法缴纳税收和社会保障资金的良好记录；</w:t>
      </w:r>
    </w:p>
    <w:p w14:paraId="3A756501">
      <w:pPr>
        <w:spacing w:line="360" w:lineRule="auto"/>
        <w:ind w:firstLine="480" w:firstLineChars="200"/>
        <w:contextualSpacing/>
        <w:rPr>
          <w:rFonts w:hint="eastAsia" w:ascii="宋体" w:hAnsi="宋体" w:eastAsia="宋体" w:cs="Calibri"/>
          <w:sz w:val="24"/>
        </w:rPr>
      </w:pPr>
      <w:r>
        <w:rPr>
          <w:rFonts w:hint="eastAsia" w:ascii="宋体" w:hAnsi="宋体" w:eastAsia="宋体" w:cs="Calibri"/>
          <w:sz w:val="24"/>
        </w:rPr>
        <w:t>（5）参加政府采购活动前三年内，在经营活动中没有重大违法记录；</w:t>
      </w:r>
    </w:p>
    <w:p w14:paraId="44B0A9B6">
      <w:pPr>
        <w:spacing w:line="360" w:lineRule="auto"/>
        <w:ind w:firstLine="480" w:firstLineChars="200"/>
        <w:contextualSpacing/>
        <w:rPr>
          <w:rFonts w:hint="eastAsia" w:ascii="宋体" w:hAnsi="宋体" w:eastAsia="宋体" w:cs="Calibri"/>
          <w:sz w:val="24"/>
        </w:rPr>
      </w:pPr>
      <w:r>
        <w:rPr>
          <w:rFonts w:hint="eastAsia" w:ascii="宋体" w:hAnsi="宋体" w:eastAsia="宋体" w:cs="Calibri"/>
          <w:sz w:val="24"/>
        </w:rPr>
        <w:t>（6）法律、行政法规规定的其他条件。</w:t>
      </w:r>
    </w:p>
    <w:p w14:paraId="486B767F">
      <w:pPr>
        <w:spacing w:line="360" w:lineRule="auto"/>
        <w:ind w:firstLine="480" w:firstLineChars="200"/>
        <w:contextualSpacing/>
        <w:rPr>
          <w:rFonts w:hint="eastAsia" w:ascii="宋体" w:hAnsi="宋体" w:eastAsia="宋体" w:cs="Calibri"/>
          <w:sz w:val="24"/>
        </w:rPr>
      </w:pPr>
      <w:r>
        <w:rPr>
          <w:rFonts w:hint="eastAsia" w:ascii="宋体" w:hAnsi="宋体" w:eastAsia="宋体" w:cs="Calibri"/>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5DADB5A2">
      <w:pPr>
        <w:spacing w:line="360" w:lineRule="auto"/>
        <w:ind w:firstLine="480" w:firstLineChars="200"/>
        <w:contextualSpacing/>
        <w:rPr>
          <w:rFonts w:hint="eastAsia" w:ascii="宋体" w:hAnsi="宋体" w:eastAsia="宋体" w:cs="Calibri"/>
          <w:sz w:val="24"/>
        </w:rPr>
      </w:pPr>
      <w:r>
        <w:rPr>
          <w:rFonts w:hint="eastAsia" w:ascii="宋体" w:hAnsi="宋体" w:eastAsia="宋体" w:cs="Calibri"/>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6C1DFD56">
      <w:pPr>
        <w:spacing w:line="360" w:lineRule="auto"/>
        <w:ind w:firstLine="480" w:firstLineChars="200"/>
        <w:contextualSpacing/>
        <w:rPr>
          <w:rFonts w:hint="eastAsia" w:ascii="宋体" w:hAnsi="宋体" w:eastAsia="宋体" w:cs="Calibri"/>
          <w:sz w:val="24"/>
        </w:rPr>
      </w:pPr>
      <w:r>
        <w:rPr>
          <w:rFonts w:hint="eastAsia" w:ascii="宋体" w:hAnsi="宋体" w:eastAsia="宋体" w:cs="Calibri"/>
          <w:sz w:val="24"/>
        </w:rPr>
        <w:t>□我方本次响应文件</w:t>
      </w:r>
      <w:r>
        <w:rPr>
          <w:rFonts w:hint="eastAsia" w:ascii="宋体" w:hAnsi="宋体" w:eastAsia="宋体" w:cs="Calibri"/>
          <w:kern w:val="0"/>
          <w:sz w:val="24"/>
        </w:rPr>
        <w:t>内容中</w:t>
      </w:r>
      <w:r>
        <w:rPr>
          <w:rFonts w:hint="eastAsia" w:ascii="宋体" w:hAnsi="宋体" w:eastAsia="宋体" w:cs="Calibri"/>
          <w:sz w:val="24"/>
        </w:rPr>
        <w:t>未</w:t>
      </w:r>
      <w:r>
        <w:rPr>
          <w:rFonts w:hint="eastAsia" w:ascii="宋体" w:hAnsi="宋体" w:eastAsia="宋体" w:cs="Calibri"/>
          <w:kern w:val="0"/>
          <w:sz w:val="24"/>
        </w:rPr>
        <w:t>涉及商业秘密；</w:t>
      </w:r>
    </w:p>
    <w:p w14:paraId="558CC540">
      <w:pPr>
        <w:spacing w:line="360" w:lineRule="auto"/>
        <w:ind w:firstLine="480" w:firstLineChars="200"/>
        <w:contextualSpacing/>
        <w:rPr>
          <w:rFonts w:hint="eastAsia" w:ascii="宋体" w:hAnsi="宋体" w:eastAsia="宋体" w:cs="Calibri"/>
          <w:sz w:val="24"/>
        </w:rPr>
      </w:pPr>
      <w:r>
        <w:rPr>
          <w:rFonts w:hint="eastAsia" w:ascii="宋体" w:hAnsi="宋体" w:eastAsia="宋体" w:cs="Calibri"/>
          <w:sz w:val="24"/>
        </w:rPr>
        <w:t>□我方本次响应文件</w:t>
      </w:r>
      <w:r>
        <w:rPr>
          <w:rFonts w:hint="eastAsia" w:ascii="宋体" w:hAnsi="宋体" w:eastAsia="宋体" w:cs="Calibri"/>
          <w:kern w:val="0"/>
          <w:sz w:val="24"/>
        </w:rPr>
        <w:t>涉及商业秘密的内容有：</w:t>
      </w:r>
      <w:r>
        <w:rPr>
          <w:rFonts w:hint="eastAsia" w:ascii="宋体" w:hAnsi="宋体" w:eastAsia="宋体" w:cs="Calibri"/>
          <w:kern w:val="0"/>
          <w:sz w:val="24"/>
          <w:u w:val="single"/>
        </w:rPr>
        <w:t xml:space="preserve">                         </w:t>
      </w:r>
      <w:r>
        <w:rPr>
          <w:rFonts w:hint="eastAsia" w:ascii="宋体" w:hAnsi="宋体" w:eastAsia="宋体" w:cs="Calibri"/>
          <w:kern w:val="0"/>
          <w:sz w:val="24"/>
        </w:rPr>
        <w:t>；</w:t>
      </w:r>
    </w:p>
    <w:p w14:paraId="14780F94">
      <w:pPr>
        <w:pStyle w:val="30"/>
        <w:spacing w:line="360" w:lineRule="auto"/>
        <w:ind w:firstLine="480" w:firstLineChars="200"/>
        <w:contextualSpacing/>
        <w:rPr>
          <w:rFonts w:hint="eastAsia" w:ascii="宋体" w:hAnsi="宋体" w:eastAsia="宋体" w:cs="Calibri"/>
          <w:sz w:val="24"/>
          <w:szCs w:val="24"/>
          <w:u w:val="single"/>
        </w:rPr>
      </w:pPr>
      <w:r>
        <w:rPr>
          <w:rFonts w:hint="eastAsia" w:ascii="宋体" w:hAnsi="宋体" w:eastAsia="宋体" w:cs="Calibri"/>
          <w:sz w:val="24"/>
          <w:szCs w:val="24"/>
        </w:rPr>
        <w:t>7.与本磋商有关的一切正式往来信函请寄：</w:t>
      </w:r>
      <w:r>
        <w:rPr>
          <w:rFonts w:hint="eastAsia" w:ascii="宋体" w:hAnsi="宋体" w:eastAsia="宋体" w:cs="Calibri"/>
          <w:sz w:val="24"/>
          <w:szCs w:val="24"/>
          <w:u w:val="single"/>
        </w:rPr>
        <w:t xml:space="preserve">                  </w:t>
      </w:r>
      <w:r>
        <w:rPr>
          <w:rFonts w:hint="eastAsia" w:ascii="宋体" w:hAnsi="宋体" w:eastAsia="宋体" w:cs="Calibri"/>
          <w:sz w:val="24"/>
          <w:szCs w:val="24"/>
        </w:rPr>
        <w:t>邮政编号：</w:t>
      </w:r>
      <w:r>
        <w:rPr>
          <w:rFonts w:hint="eastAsia" w:ascii="宋体" w:hAnsi="宋体" w:eastAsia="宋体" w:cs="Calibri"/>
          <w:sz w:val="24"/>
          <w:szCs w:val="24"/>
          <w:u w:val="single"/>
        </w:rPr>
        <w:t xml:space="preserve">        </w:t>
      </w:r>
    </w:p>
    <w:p w14:paraId="5CFA66BF">
      <w:pPr>
        <w:pStyle w:val="30"/>
        <w:spacing w:line="360" w:lineRule="auto"/>
        <w:ind w:firstLine="480" w:firstLineChars="200"/>
        <w:contextualSpacing/>
        <w:rPr>
          <w:rFonts w:hint="eastAsia" w:ascii="宋体" w:hAnsi="宋体" w:eastAsia="宋体" w:cs="Calibri"/>
          <w:sz w:val="24"/>
          <w:szCs w:val="24"/>
        </w:rPr>
      </w:pPr>
      <w:r>
        <w:rPr>
          <w:rFonts w:hint="eastAsia" w:ascii="宋体" w:hAnsi="宋体" w:eastAsia="宋体" w:cs="Calibri"/>
          <w:sz w:val="24"/>
          <w:szCs w:val="24"/>
        </w:rPr>
        <w:t>电话/传真：</w:t>
      </w:r>
      <w:r>
        <w:rPr>
          <w:rFonts w:hint="eastAsia" w:ascii="宋体" w:hAnsi="宋体" w:eastAsia="宋体" w:cs="Calibri"/>
          <w:sz w:val="24"/>
          <w:szCs w:val="24"/>
          <w:u w:val="single"/>
        </w:rPr>
        <w:t xml:space="preserve">                        </w:t>
      </w:r>
      <w:r>
        <w:rPr>
          <w:rFonts w:hint="eastAsia" w:ascii="宋体" w:hAnsi="宋体" w:eastAsia="宋体" w:cs="Calibri"/>
          <w:sz w:val="24"/>
          <w:szCs w:val="24"/>
        </w:rPr>
        <w:t xml:space="preserve"> 电子邮箱：</w:t>
      </w:r>
      <w:r>
        <w:rPr>
          <w:rFonts w:hint="eastAsia" w:ascii="宋体" w:hAnsi="宋体" w:eastAsia="宋体" w:cs="Calibri"/>
          <w:sz w:val="24"/>
          <w:szCs w:val="24"/>
          <w:u w:val="single"/>
        </w:rPr>
        <w:t xml:space="preserve">                            </w:t>
      </w:r>
      <w:r>
        <w:rPr>
          <w:rFonts w:hint="eastAsia" w:ascii="宋体" w:hAnsi="宋体" w:eastAsia="宋体" w:cs="Calibri"/>
          <w:sz w:val="24"/>
          <w:szCs w:val="24"/>
        </w:rPr>
        <w:t xml:space="preserve">    </w:t>
      </w:r>
    </w:p>
    <w:p w14:paraId="0D44A041">
      <w:pPr>
        <w:pStyle w:val="27"/>
        <w:tabs>
          <w:tab w:val="left" w:pos="939"/>
        </w:tabs>
        <w:spacing w:line="360" w:lineRule="auto"/>
        <w:ind w:left="141" w:leftChars="67" w:firstLine="360" w:firstLineChars="150"/>
        <w:rPr>
          <w:rFonts w:hint="eastAsia" w:ascii="宋体" w:hAnsi="宋体" w:eastAsia="宋体" w:cs="Calibri"/>
          <w:sz w:val="24"/>
        </w:rPr>
      </w:pPr>
      <w:r>
        <w:rPr>
          <w:rFonts w:hint="eastAsia" w:ascii="宋体" w:hAnsi="宋体" w:eastAsia="宋体" w:cs="Calibri"/>
          <w:sz w:val="24"/>
        </w:rPr>
        <w:t>开户银行：</w:t>
      </w:r>
      <w:r>
        <w:rPr>
          <w:rFonts w:hint="eastAsia" w:ascii="宋体" w:hAnsi="宋体" w:eastAsia="宋体" w:cs="Calibri"/>
          <w:sz w:val="24"/>
          <w:u w:val="single"/>
        </w:rPr>
        <w:t xml:space="preserve">                         </w:t>
      </w:r>
      <w:r>
        <w:rPr>
          <w:rFonts w:hint="eastAsia" w:ascii="宋体" w:hAnsi="宋体" w:eastAsia="宋体" w:cs="Calibri"/>
          <w:sz w:val="24"/>
        </w:rPr>
        <w:t xml:space="preserve">  帐号：</w:t>
      </w:r>
      <w:r>
        <w:rPr>
          <w:rFonts w:hint="eastAsia" w:ascii="宋体" w:hAnsi="宋体" w:eastAsia="宋体" w:cs="Calibri"/>
          <w:sz w:val="24"/>
          <w:u w:val="single"/>
        </w:rPr>
        <w:t xml:space="preserve">                               </w:t>
      </w:r>
    </w:p>
    <w:p w14:paraId="1CC4A28D">
      <w:pPr>
        <w:pStyle w:val="27"/>
        <w:tabs>
          <w:tab w:val="left" w:pos="939"/>
        </w:tabs>
        <w:spacing w:line="360" w:lineRule="auto"/>
        <w:ind w:left="0" w:leftChars="0" w:firstLine="480" w:firstLineChars="200"/>
        <w:rPr>
          <w:rFonts w:hint="eastAsia" w:ascii="宋体" w:hAnsi="宋体" w:eastAsia="宋体" w:cs="Calibri"/>
          <w:sz w:val="24"/>
        </w:rPr>
      </w:pPr>
      <w:r>
        <w:rPr>
          <w:rFonts w:hint="eastAsia" w:ascii="宋体" w:hAnsi="宋体" w:eastAsia="宋体" w:cs="Calibri"/>
          <w:sz w:val="24"/>
        </w:rPr>
        <w:t>8.以上事项如有虚假或者隐瞒，我方愿意承担一切后果，并不再寻求任何旨在减轻或者免除法律责任的辩解。</w:t>
      </w:r>
    </w:p>
    <w:p w14:paraId="3E9CB2E5">
      <w:pPr>
        <w:pStyle w:val="27"/>
        <w:tabs>
          <w:tab w:val="left" w:pos="939"/>
        </w:tabs>
        <w:spacing w:line="360" w:lineRule="auto"/>
        <w:ind w:left="141" w:leftChars="67" w:firstLine="360" w:firstLineChars="150"/>
        <w:rPr>
          <w:rFonts w:hint="eastAsia" w:ascii="宋体" w:hAnsi="宋体" w:eastAsia="宋体" w:cs="Calibri"/>
          <w:sz w:val="24"/>
        </w:rPr>
      </w:pPr>
      <w:r>
        <w:rPr>
          <w:rFonts w:hint="eastAsia" w:ascii="宋体" w:hAnsi="宋体" w:eastAsia="宋体" w:cs="Calibri"/>
          <w:sz w:val="24"/>
        </w:rPr>
        <w:t>特此承诺。</w:t>
      </w:r>
    </w:p>
    <w:p w14:paraId="1C87D376">
      <w:pPr>
        <w:spacing w:line="360" w:lineRule="auto"/>
        <w:ind w:firstLine="482"/>
        <w:contextualSpacing/>
        <w:jc w:val="left"/>
        <w:rPr>
          <w:rFonts w:hint="eastAsia" w:ascii="宋体" w:hAnsi="宋体" w:eastAsia="宋体"/>
          <w:b/>
          <w:sz w:val="24"/>
        </w:rPr>
      </w:pPr>
      <w:r>
        <w:rPr>
          <w:rFonts w:hint="eastAsia" w:ascii="宋体" w:hAnsi="宋体" w:eastAsia="宋体" w:cs="Calibri"/>
          <w:b/>
          <w:sz w:val="24"/>
        </w:rPr>
        <w:t>注：</w:t>
      </w:r>
      <w:r>
        <w:rPr>
          <w:rFonts w:hint="eastAsia" w:ascii="宋体" w:hAnsi="宋体" w:eastAsia="宋体"/>
          <w:b/>
          <w:sz w:val="24"/>
        </w:rPr>
        <w:t>如为联合体竞标，盖章处须加盖联合体牵头人电子签章并由联合体牵头人法定代表人分别签字或者盖章或者电子签名，否则响应文件按无效处理。</w:t>
      </w:r>
    </w:p>
    <w:p w14:paraId="21C8084C">
      <w:pPr>
        <w:spacing w:line="360" w:lineRule="auto"/>
        <w:ind w:firstLine="422"/>
        <w:contextualSpacing/>
        <w:jc w:val="left"/>
        <w:rPr>
          <w:rFonts w:hint="eastAsia" w:ascii="宋体" w:hAnsi="宋体" w:eastAsia="宋体" w:cs="Calibri"/>
          <w:szCs w:val="21"/>
        </w:rPr>
      </w:pPr>
    </w:p>
    <w:p w14:paraId="11F30874">
      <w:pPr>
        <w:spacing w:line="360" w:lineRule="auto"/>
        <w:ind w:right="480" w:firstLine="482"/>
        <w:contextualSpacing/>
        <w:jc w:val="center"/>
        <w:rPr>
          <w:rFonts w:hint="eastAsia" w:ascii="宋体" w:hAnsi="宋体" w:eastAsia="宋体"/>
          <w:sz w:val="24"/>
        </w:rPr>
      </w:pPr>
      <w:r>
        <w:rPr>
          <w:rFonts w:hint="eastAsia" w:ascii="宋体" w:hAnsi="宋体" w:eastAsia="宋体"/>
          <w:sz w:val="24"/>
        </w:rPr>
        <w:t>法定代表人（签字或者盖章或者电子签名）：</w:t>
      </w:r>
      <w:r>
        <w:rPr>
          <w:rFonts w:hint="eastAsia" w:ascii="宋体" w:hAnsi="宋体" w:eastAsia="宋体"/>
          <w:sz w:val="24"/>
          <w:u w:val="single"/>
        </w:rPr>
        <w:t xml:space="preserve">               </w:t>
      </w:r>
      <w:r>
        <w:rPr>
          <w:rFonts w:hint="eastAsia" w:ascii="宋体" w:hAnsi="宋体" w:eastAsia="宋体"/>
          <w:sz w:val="24"/>
        </w:rPr>
        <w:t xml:space="preserve">                                                </w:t>
      </w:r>
    </w:p>
    <w:p w14:paraId="33981080">
      <w:pPr>
        <w:spacing w:line="360" w:lineRule="auto"/>
        <w:ind w:right="480" w:firstLine="482"/>
        <w:contextualSpacing/>
        <w:jc w:val="center"/>
        <w:rPr>
          <w:rFonts w:hint="eastAsia" w:ascii="宋体" w:hAnsi="宋体" w:eastAsia="宋体" w:cs="Calibri"/>
          <w:szCs w:val="21"/>
          <w:u w:val="single"/>
        </w:rPr>
      </w:pPr>
      <w:r>
        <w:rPr>
          <w:rFonts w:hint="eastAsia" w:ascii="宋体" w:hAnsi="宋体" w:eastAsia="宋体"/>
          <w:sz w:val="24"/>
        </w:rPr>
        <w:t>供应商（电子签章）：</w:t>
      </w:r>
      <w:r>
        <w:rPr>
          <w:rFonts w:hint="eastAsia" w:ascii="宋体" w:hAnsi="宋体" w:eastAsia="宋体"/>
          <w:sz w:val="24"/>
          <w:u w:val="single"/>
        </w:rPr>
        <w:t xml:space="preserve">                       </w:t>
      </w:r>
      <w:r>
        <w:rPr>
          <w:rFonts w:hint="eastAsia" w:ascii="宋体" w:hAnsi="宋体" w:eastAsia="宋体"/>
          <w:sz w:val="24"/>
        </w:rPr>
        <w:t xml:space="preserve">                           </w:t>
      </w:r>
      <w:r>
        <w:rPr>
          <w:rFonts w:hint="eastAsia" w:ascii="宋体" w:hAnsi="宋体" w:eastAsia="宋体"/>
          <w:u w:val="single"/>
        </w:rPr>
        <w:t xml:space="preserve">        </w:t>
      </w:r>
      <w:r>
        <w:rPr>
          <w:rFonts w:hint="eastAsia" w:ascii="宋体" w:hAnsi="宋体" w:eastAsia="宋体"/>
        </w:rPr>
        <w:t xml:space="preserve">       </w:t>
      </w:r>
      <w:r>
        <w:rPr>
          <w:rFonts w:hint="eastAsia" w:ascii="宋体" w:hAnsi="宋体" w:eastAsia="宋体" w:cs="Calibri"/>
          <w:szCs w:val="21"/>
        </w:rPr>
        <w:t xml:space="preserve">    </w:t>
      </w:r>
    </w:p>
    <w:p w14:paraId="6BBDC77A">
      <w:pPr>
        <w:pStyle w:val="27"/>
        <w:tabs>
          <w:tab w:val="left" w:pos="939"/>
        </w:tabs>
        <w:spacing w:line="360" w:lineRule="auto"/>
        <w:ind w:left="0" w:leftChars="0" w:firstLine="420" w:firstLineChars="200"/>
        <w:rPr>
          <w:rFonts w:hint="eastAsia" w:ascii="宋体" w:hAnsi="宋体" w:eastAsia="宋体"/>
          <w:sz w:val="24"/>
        </w:rPr>
      </w:pPr>
      <w:r>
        <w:rPr>
          <w:rFonts w:hint="eastAsia" w:ascii="宋体" w:hAnsi="宋体" w:eastAsia="宋体" w:cs="Calibri"/>
          <w:szCs w:val="21"/>
        </w:rPr>
        <w:t xml:space="preserve">                                                        </w:t>
      </w:r>
      <w:r>
        <w:rPr>
          <w:rFonts w:hint="eastAsia" w:ascii="宋体" w:hAnsi="宋体" w:eastAsia="宋体"/>
        </w:rPr>
        <w:t xml:space="preserve"> 年    月    日</w:t>
      </w:r>
    </w:p>
    <w:p w14:paraId="6A9A9060">
      <w:pPr>
        <w:pStyle w:val="7"/>
        <w:overflowPunct w:val="0"/>
        <w:spacing w:line="520" w:lineRule="exact"/>
        <w:ind w:firstLine="482"/>
        <w:jc w:val="center"/>
        <w:rPr>
          <w:rFonts w:hint="eastAsia" w:ascii="宋体" w:hAnsi="宋体" w:eastAsia="宋体"/>
          <w:sz w:val="24"/>
        </w:rPr>
      </w:pPr>
      <w:r>
        <w:rPr>
          <w:rFonts w:hint="eastAsia" w:ascii="宋体" w:hAnsi="宋体" w:eastAsia="宋体"/>
          <w:sz w:val="24"/>
        </w:rPr>
        <w:br w:type="page"/>
      </w:r>
    </w:p>
    <w:p w14:paraId="46A192DC">
      <w:pPr>
        <w:pStyle w:val="7"/>
        <w:overflowPunct w:val="0"/>
        <w:spacing w:line="520" w:lineRule="exact"/>
        <w:ind w:firstLine="482"/>
        <w:jc w:val="center"/>
        <w:rPr>
          <w:rFonts w:hint="eastAsia" w:ascii="宋体" w:hAnsi="宋体" w:eastAsia="宋体"/>
          <w:sz w:val="24"/>
        </w:rPr>
      </w:pPr>
    </w:p>
    <w:p w14:paraId="3F8BCF8C">
      <w:pPr>
        <w:spacing w:line="320" w:lineRule="exact"/>
        <w:ind w:firstLine="643"/>
        <w:jc w:val="left"/>
        <w:rPr>
          <w:rFonts w:hint="eastAsia" w:ascii="宋体" w:hAnsi="宋体" w:eastAsia="宋体"/>
          <w:b/>
          <w:sz w:val="32"/>
          <w:szCs w:val="32"/>
        </w:rPr>
      </w:pPr>
      <w:r>
        <w:rPr>
          <w:rFonts w:hint="eastAsia" w:ascii="宋体" w:hAnsi="宋体" w:eastAsia="宋体"/>
          <w:b/>
          <w:sz w:val="32"/>
          <w:szCs w:val="32"/>
        </w:rPr>
        <w:t>5.联合体竞标协议书</w:t>
      </w:r>
    </w:p>
    <w:p w14:paraId="71A60E97">
      <w:pPr>
        <w:pStyle w:val="7"/>
        <w:overflowPunct w:val="0"/>
        <w:spacing w:line="520" w:lineRule="exact"/>
        <w:ind w:firstLine="883"/>
        <w:jc w:val="center"/>
        <w:rPr>
          <w:rFonts w:hint="eastAsia" w:ascii="宋体" w:hAnsi="宋体" w:eastAsia="宋体" w:cs="Tahoma"/>
          <w:sz w:val="44"/>
          <w:szCs w:val="44"/>
        </w:rPr>
      </w:pPr>
    </w:p>
    <w:p w14:paraId="0A8AA3CE">
      <w:pPr>
        <w:pStyle w:val="7"/>
        <w:overflowPunct w:val="0"/>
        <w:spacing w:line="520" w:lineRule="exact"/>
        <w:ind w:firstLine="883"/>
        <w:jc w:val="center"/>
        <w:rPr>
          <w:rFonts w:hint="eastAsia" w:ascii="宋体" w:hAnsi="宋体" w:eastAsia="宋体" w:cs="Tahoma"/>
          <w:sz w:val="44"/>
          <w:szCs w:val="44"/>
        </w:rPr>
      </w:pPr>
      <w:r>
        <w:rPr>
          <w:rFonts w:hint="eastAsia" w:ascii="宋体" w:hAnsi="宋体" w:eastAsia="宋体" w:cs="Tahoma"/>
          <w:sz w:val="44"/>
          <w:szCs w:val="44"/>
        </w:rPr>
        <w:t>联合体竞标协议书（如有）</w:t>
      </w:r>
    </w:p>
    <w:p w14:paraId="03BACD83">
      <w:pPr>
        <w:pStyle w:val="7"/>
        <w:overflowPunct w:val="0"/>
        <w:spacing w:line="360" w:lineRule="auto"/>
        <w:ind w:firstLine="482"/>
        <w:rPr>
          <w:rFonts w:hint="eastAsia" w:ascii="宋体" w:hAnsi="宋体" w:eastAsia="宋体"/>
          <w:sz w:val="24"/>
          <w:szCs w:val="24"/>
        </w:rPr>
      </w:pPr>
    </w:p>
    <w:p w14:paraId="306ACC7E">
      <w:pPr>
        <w:pStyle w:val="7"/>
        <w:overflowPunct w:val="0"/>
        <w:spacing w:line="360" w:lineRule="auto"/>
        <w:ind w:firstLine="480" w:firstLineChars="200"/>
        <w:contextualSpacing/>
        <w:rPr>
          <w:rFonts w:hint="eastAsia" w:ascii="宋体" w:hAnsi="宋体" w:eastAsia="宋体" w:cs="Calibri"/>
          <w:sz w:val="24"/>
          <w:szCs w:val="24"/>
        </w:rPr>
      </w:pPr>
      <w:r>
        <w:rPr>
          <w:rFonts w:hint="eastAsia" w:ascii="宋体" w:hAnsi="宋体" w:eastAsia="宋体" w:cs="Calibri"/>
          <w:sz w:val="24"/>
          <w:szCs w:val="24"/>
          <w:u w:val="single"/>
        </w:rPr>
        <w:t xml:space="preserve">      </w:t>
      </w:r>
      <w:r>
        <w:rPr>
          <w:rFonts w:hint="eastAsia" w:ascii="宋体" w:hAnsi="宋体" w:eastAsia="宋体" w:cs="Calibri"/>
          <w:sz w:val="24"/>
          <w:szCs w:val="24"/>
        </w:rPr>
        <w:t>（所有成员单位名称）自愿组成</w:t>
      </w:r>
      <w:r>
        <w:rPr>
          <w:rFonts w:hint="eastAsia" w:ascii="宋体" w:hAnsi="宋体" w:eastAsia="宋体" w:cs="Calibri"/>
          <w:sz w:val="24"/>
          <w:szCs w:val="24"/>
          <w:u w:val="single"/>
        </w:rPr>
        <w:t xml:space="preserve">      </w:t>
      </w:r>
      <w:r>
        <w:rPr>
          <w:rFonts w:hint="eastAsia" w:ascii="宋体" w:hAnsi="宋体" w:eastAsia="宋体" w:cs="Calibri"/>
          <w:sz w:val="24"/>
          <w:szCs w:val="24"/>
        </w:rPr>
        <w:t>（联合体名称）联合体，共同参加</w:t>
      </w:r>
      <w:r>
        <w:rPr>
          <w:rFonts w:hint="eastAsia" w:ascii="宋体" w:hAnsi="宋体" w:eastAsia="宋体" w:cs="Calibri"/>
          <w:sz w:val="24"/>
          <w:szCs w:val="24"/>
          <w:u w:val="single"/>
        </w:rPr>
        <w:t xml:space="preserve">      </w:t>
      </w:r>
      <w:r>
        <w:rPr>
          <w:rFonts w:hint="eastAsia" w:ascii="宋体" w:hAnsi="宋体" w:eastAsia="宋体" w:cs="Calibri"/>
          <w:sz w:val="24"/>
          <w:szCs w:val="24"/>
        </w:rPr>
        <w:t>（项目名称）采购项目竞标。现就联合体竞标事宜订立如下协议。</w:t>
      </w:r>
    </w:p>
    <w:p w14:paraId="0C33D691">
      <w:pPr>
        <w:pStyle w:val="7"/>
        <w:overflowPunct w:val="0"/>
        <w:spacing w:line="360" w:lineRule="auto"/>
        <w:ind w:firstLine="480" w:firstLineChars="200"/>
        <w:contextualSpacing/>
        <w:rPr>
          <w:rFonts w:hint="eastAsia" w:ascii="宋体" w:hAnsi="宋体" w:eastAsia="宋体" w:cs="Calibri"/>
          <w:sz w:val="24"/>
          <w:szCs w:val="24"/>
        </w:rPr>
      </w:pPr>
      <w:r>
        <w:rPr>
          <w:rFonts w:hint="eastAsia" w:ascii="宋体" w:hAnsi="宋体" w:eastAsia="宋体" w:cs="Calibri"/>
          <w:sz w:val="24"/>
          <w:szCs w:val="24"/>
        </w:rPr>
        <w:t>1.</w:t>
      </w:r>
      <w:r>
        <w:rPr>
          <w:rFonts w:hint="eastAsia" w:ascii="宋体" w:hAnsi="宋体" w:eastAsia="宋体" w:cs="Calibri"/>
          <w:sz w:val="24"/>
          <w:szCs w:val="24"/>
          <w:u w:val="single"/>
        </w:rPr>
        <w:t xml:space="preserve"> </w:t>
      </w:r>
      <w:r>
        <w:rPr>
          <w:rFonts w:hint="eastAsia" w:ascii="宋体" w:hAnsi="宋体" w:eastAsia="宋体" w:cs="Calibri"/>
          <w:sz w:val="24"/>
          <w:szCs w:val="24"/>
          <w:u w:val="single"/>
        </w:rPr>
        <w:tab/>
      </w:r>
      <w:r>
        <w:rPr>
          <w:rFonts w:hint="eastAsia" w:ascii="宋体" w:hAnsi="宋体" w:eastAsia="宋体" w:cs="Calibri"/>
          <w:sz w:val="24"/>
          <w:szCs w:val="24"/>
          <w:u w:val="single"/>
        </w:rPr>
        <w:t xml:space="preserve">   </w:t>
      </w:r>
      <w:r>
        <w:rPr>
          <w:rFonts w:hint="eastAsia" w:ascii="宋体" w:hAnsi="宋体" w:eastAsia="宋体" w:cs="Calibri"/>
          <w:sz w:val="24"/>
          <w:szCs w:val="24"/>
        </w:rPr>
        <w:t>（某成员单位名称）为</w:t>
      </w:r>
      <w:r>
        <w:rPr>
          <w:rFonts w:hint="eastAsia" w:ascii="宋体" w:hAnsi="宋体" w:eastAsia="宋体" w:cs="Calibri"/>
          <w:sz w:val="24"/>
          <w:szCs w:val="24"/>
          <w:u w:val="single"/>
        </w:rPr>
        <w:t xml:space="preserve">     </w:t>
      </w:r>
      <w:r>
        <w:rPr>
          <w:rFonts w:hint="eastAsia" w:ascii="宋体" w:hAnsi="宋体" w:eastAsia="宋体" w:cs="Calibri"/>
          <w:sz w:val="24"/>
          <w:szCs w:val="24"/>
        </w:rPr>
        <w:t>（联合体名称）牵头人。</w:t>
      </w:r>
    </w:p>
    <w:p w14:paraId="3BBB3585">
      <w:pPr>
        <w:pStyle w:val="7"/>
        <w:overflowPunct w:val="0"/>
        <w:spacing w:line="360" w:lineRule="auto"/>
        <w:ind w:firstLine="480" w:firstLineChars="200"/>
        <w:contextualSpacing/>
        <w:rPr>
          <w:rFonts w:hint="eastAsia" w:ascii="宋体" w:hAnsi="宋体" w:eastAsia="宋体" w:cs="Calibri"/>
          <w:sz w:val="24"/>
          <w:szCs w:val="24"/>
        </w:rPr>
      </w:pPr>
      <w:r>
        <w:rPr>
          <w:rFonts w:hint="eastAsia" w:ascii="宋体" w:hAnsi="宋体" w:eastAsia="宋体" w:cs="Calibri"/>
          <w:sz w:val="24"/>
          <w:szCs w:val="24"/>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14:paraId="1800F5AD">
      <w:pPr>
        <w:pStyle w:val="7"/>
        <w:overflowPunct w:val="0"/>
        <w:spacing w:line="360" w:lineRule="auto"/>
        <w:ind w:firstLine="480" w:firstLineChars="200"/>
        <w:contextualSpacing/>
        <w:rPr>
          <w:rFonts w:hint="eastAsia" w:ascii="宋体" w:hAnsi="宋体" w:eastAsia="宋体" w:cs="Calibri"/>
          <w:sz w:val="24"/>
          <w:szCs w:val="24"/>
        </w:rPr>
      </w:pPr>
      <w:r>
        <w:rPr>
          <w:rFonts w:hint="eastAsia" w:ascii="宋体" w:hAnsi="宋体" w:eastAsia="宋体" w:cs="Calibri"/>
          <w:sz w:val="24"/>
          <w:szCs w:val="24"/>
        </w:rPr>
        <w:t>3.联合体牵头人在本项目中签署和盖章的一切文件和处理的一切事宜，联合体各成员均予以承认。联合体各成员将严格按照磋商文件、响应文件和合同的要求全面履行义务，并向采购人承担连带责任。</w:t>
      </w:r>
    </w:p>
    <w:p w14:paraId="77DDB6D3">
      <w:pPr>
        <w:pStyle w:val="7"/>
        <w:overflowPunct w:val="0"/>
        <w:spacing w:line="360" w:lineRule="auto"/>
        <w:ind w:firstLine="480" w:firstLineChars="200"/>
        <w:contextualSpacing/>
        <w:rPr>
          <w:rFonts w:hint="eastAsia" w:ascii="宋体" w:hAnsi="宋体" w:eastAsia="宋体" w:cs="Calibri"/>
          <w:sz w:val="24"/>
          <w:szCs w:val="24"/>
        </w:rPr>
      </w:pPr>
      <w:r>
        <w:rPr>
          <w:rFonts w:hint="eastAsia" w:ascii="宋体" w:hAnsi="宋体" w:eastAsia="宋体" w:cs="Calibri"/>
          <w:sz w:val="24"/>
          <w:szCs w:val="24"/>
        </w:rPr>
        <w:t>4.联合体各成员单位内部的职责分工如下：</w:t>
      </w:r>
      <w:r>
        <w:rPr>
          <w:rFonts w:hint="eastAsia" w:ascii="宋体" w:hAnsi="宋体" w:eastAsia="宋体" w:cs="Calibri"/>
          <w:sz w:val="24"/>
          <w:szCs w:val="24"/>
          <w:u w:val="single"/>
        </w:rPr>
        <w:t xml:space="preserve">       </w:t>
      </w:r>
      <w:r>
        <w:rPr>
          <w:rFonts w:hint="eastAsia" w:ascii="宋体" w:hAnsi="宋体" w:eastAsia="宋体" w:cs="Calibri"/>
          <w:sz w:val="24"/>
          <w:szCs w:val="24"/>
        </w:rPr>
        <w:t>。</w:t>
      </w:r>
    </w:p>
    <w:p w14:paraId="0FBBB9B6">
      <w:pPr>
        <w:pStyle w:val="7"/>
        <w:overflowPunct w:val="0"/>
        <w:spacing w:line="360" w:lineRule="auto"/>
        <w:ind w:firstLine="480" w:firstLineChars="200"/>
        <w:contextualSpacing/>
        <w:rPr>
          <w:rFonts w:hint="eastAsia" w:ascii="宋体" w:hAnsi="宋体" w:eastAsia="宋体" w:cs="Calibri"/>
          <w:sz w:val="24"/>
          <w:szCs w:val="24"/>
        </w:rPr>
      </w:pPr>
      <w:r>
        <w:rPr>
          <w:rFonts w:hint="eastAsia" w:ascii="宋体" w:hAnsi="宋体" w:eastAsia="宋体" w:cs="Calibri"/>
          <w:sz w:val="24"/>
          <w:szCs w:val="24"/>
        </w:rPr>
        <w:t>5.本</w:t>
      </w:r>
      <w:r>
        <w:rPr>
          <w:rFonts w:hint="eastAsia" w:ascii="宋体" w:hAnsi="宋体" w:eastAsia="宋体" w:cs="Calibri"/>
          <w:spacing w:val="-6"/>
          <w:sz w:val="24"/>
          <w:szCs w:val="24"/>
        </w:rPr>
        <w:t>协议书自所有成员单位法定代表人（单位负责人）或者其委托代理人签字或者盖单位章之日起生效，合同履行完毕后自动失效。</w:t>
      </w:r>
    </w:p>
    <w:p w14:paraId="2FD034BD">
      <w:pPr>
        <w:pStyle w:val="7"/>
        <w:overflowPunct w:val="0"/>
        <w:spacing w:line="360" w:lineRule="auto"/>
        <w:ind w:firstLine="480" w:firstLineChars="200"/>
        <w:contextualSpacing/>
        <w:rPr>
          <w:rFonts w:hint="eastAsia" w:ascii="宋体" w:hAnsi="宋体" w:eastAsia="宋体" w:cs="Calibri"/>
          <w:sz w:val="24"/>
          <w:szCs w:val="24"/>
        </w:rPr>
      </w:pPr>
      <w:r>
        <w:rPr>
          <w:rFonts w:hint="eastAsia" w:ascii="宋体" w:hAnsi="宋体" w:eastAsia="宋体" w:cs="Calibri"/>
          <w:sz w:val="24"/>
          <w:szCs w:val="24"/>
        </w:rPr>
        <w:t>6.本协议书一式</w:t>
      </w:r>
      <w:r>
        <w:rPr>
          <w:rFonts w:hint="eastAsia" w:ascii="宋体" w:hAnsi="宋体" w:eastAsia="宋体" w:cs="Calibri"/>
          <w:sz w:val="24"/>
          <w:szCs w:val="24"/>
          <w:u w:val="single"/>
        </w:rPr>
        <w:t xml:space="preserve"> </w:t>
      </w:r>
      <w:r>
        <w:rPr>
          <w:rFonts w:hint="eastAsia" w:ascii="宋体" w:hAnsi="宋体" w:eastAsia="宋体" w:cs="Calibri"/>
          <w:sz w:val="24"/>
          <w:szCs w:val="24"/>
          <w:u w:val="single"/>
        </w:rPr>
        <w:tab/>
      </w:r>
      <w:r>
        <w:rPr>
          <w:rFonts w:hint="eastAsia" w:ascii="宋体" w:hAnsi="宋体" w:eastAsia="宋体" w:cs="Calibri"/>
          <w:sz w:val="24"/>
          <w:szCs w:val="24"/>
        </w:rPr>
        <w:t>份，联合体成员和采购人各执一份。</w:t>
      </w:r>
    </w:p>
    <w:p w14:paraId="61840449">
      <w:pPr>
        <w:pStyle w:val="7"/>
        <w:overflowPunct w:val="0"/>
        <w:spacing w:line="360" w:lineRule="auto"/>
        <w:ind w:firstLine="480" w:firstLineChars="200"/>
        <w:contextualSpacing/>
        <w:rPr>
          <w:rFonts w:hint="eastAsia" w:ascii="宋体" w:hAnsi="宋体" w:eastAsia="宋体" w:cs="Calibri"/>
          <w:sz w:val="24"/>
          <w:szCs w:val="24"/>
        </w:rPr>
      </w:pPr>
      <w:r>
        <w:rPr>
          <w:rFonts w:hint="eastAsia" w:ascii="宋体" w:hAnsi="宋体" w:eastAsia="宋体" w:cs="Calibri"/>
          <w:sz w:val="24"/>
          <w:szCs w:val="24"/>
        </w:rPr>
        <w:t>注：本协议书应附法定代表人身份证明书；有委托代理的，应附权委托书（格式自拟）。</w:t>
      </w:r>
    </w:p>
    <w:p w14:paraId="20A54541">
      <w:pPr>
        <w:pStyle w:val="7"/>
        <w:overflowPunct w:val="0"/>
        <w:spacing w:line="360" w:lineRule="auto"/>
        <w:ind w:firstLineChars="175"/>
        <w:contextualSpacing/>
        <w:rPr>
          <w:rFonts w:hint="eastAsia" w:ascii="宋体" w:hAnsi="宋体" w:eastAsia="宋体" w:cs="Calibri"/>
          <w:sz w:val="24"/>
          <w:szCs w:val="24"/>
        </w:rPr>
      </w:pPr>
    </w:p>
    <w:p w14:paraId="7F5E9531">
      <w:pPr>
        <w:pStyle w:val="7"/>
        <w:overflowPunct w:val="0"/>
        <w:ind w:firstLine="482"/>
        <w:contextualSpacing/>
        <w:rPr>
          <w:rFonts w:hint="eastAsia" w:ascii="宋体" w:hAnsi="宋体" w:eastAsia="宋体" w:cs="Calibri"/>
          <w:sz w:val="24"/>
          <w:szCs w:val="24"/>
        </w:rPr>
      </w:pPr>
      <w:r>
        <w:rPr>
          <w:rFonts w:hint="eastAsia" w:ascii="宋体" w:hAnsi="宋体" w:eastAsia="宋体" w:cs="Calibri"/>
          <w:sz w:val="24"/>
          <w:szCs w:val="24"/>
        </w:rPr>
        <w:t>联合体牵头人名称（电子签章）：</w:t>
      </w:r>
    </w:p>
    <w:p w14:paraId="6A8E7D0C">
      <w:pPr>
        <w:pStyle w:val="7"/>
        <w:overflowPunct w:val="0"/>
        <w:ind w:firstLine="482"/>
        <w:contextualSpacing/>
        <w:rPr>
          <w:rFonts w:hint="eastAsia" w:ascii="宋体" w:hAnsi="宋体" w:eastAsia="宋体" w:cs="Calibri"/>
          <w:sz w:val="24"/>
          <w:szCs w:val="24"/>
        </w:rPr>
      </w:pPr>
      <w:r>
        <w:rPr>
          <w:rFonts w:hint="eastAsia" w:ascii="宋体" w:hAnsi="宋体" w:eastAsia="宋体" w:cs="Calibri"/>
          <w:sz w:val="24"/>
          <w:szCs w:val="24"/>
        </w:rPr>
        <w:t>法定代表人或者其委托代理人（签字或者电子签名）：</w:t>
      </w:r>
    </w:p>
    <w:p w14:paraId="77602620">
      <w:pPr>
        <w:pStyle w:val="7"/>
        <w:overflowPunct w:val="0"/>
        <w:ind w:firstLine="482"/>
        <w:contextualSpacing/>
        <w:rPr>
          <w:rFonts w:hint="eastAsia" w:ascii="宋体" w:hAnsi="宋体" w:eastAsia="宋体" w:cs="Calibri"/>
          <w:sz w:val="24"/>
          <w:szCs w:val="24"/>
        </w:rPr>
      </w:pPr>
    </w:p>
    <w:p w14:paraId="3EA381A0">
      <w:pPr>
        <w:pStyle w:val="7"/>
        <w:overflowPunct w:val="0"/>
        <w:ind w:firstLine="482"/>
        <w:contextualSpacing/>
        <w:rPr>
          <w:rFonts w:hint="eastAsia" w:ascii="宋体" w:hAnsi="宋体" w:eastAsia="宋体" w:cs="Calibri"/>
          <w:sz w:val="24"/>
          <w:szCs w:val="24"/>
        </w:rPr>
      </w:pPr>
      <w:r>
        <w:rPr>
          <w:rFonts w:hint="eastAsia" w:ascii="宋体" w:hAnsi="宋体" w:eastAsia="宋体" w:cs="Calibri"/>
          <w:sz w:val="24"/>
          <w:szCs w:val="24"/>
        </w:rPr>
        <w:t>联合体成员名称（盖公章或者电子签章）：</w:t>
      </w:r>
    </w:p>
    <w:p w14:paraId="21B0B576">
      <w:pPr>
        <w:pStyle w:val="7"/>
        <w:overflowPunct w:val="0"/>
        <w:ind w:firstLine="482"/>
        <w:contextualSpacing/>
        <w:rPr>
          <w:rFonts w:hint="eastAsia" w:ascii="宋体" w:hAnsi="宋体" w:eastAsia="宋体" w:cs="Calibri"/>
          <w:sz w:val="24"/>
          <w:szCs w:val="24"/>
        </w:rPr>
      </w:pPr>
      <w:r>
        <w:rPr>
          <w:rFonts w:hint="eastAsia" w:ascii="宋体" w:hAnsi="宋体" w:eastAsia="宋体" w:cs="Calibri"/>
          <w:sz w:val="24"/>
          <w:szCs w:val="24"/>
        </w:rPr>
        <w:t>法定代表人或者其委托代理人（签字或者电子签名）：</w:t>
      </w:r>
    </w:p>
    <w:p w14:paraId="132E3DA5">
      <w:pPr>
        <w:pStyle w:val="7"/>
        <w:overflowPunct w:val="0"/>
        <w:ind w:firstLine="482"/>
        <w:contextualSpacing/>
        <w:rPr>
          <w:rFonts w:hint="eastAsia" w:ascii="宋体" w:hAnsi="宋体" w:eastAsia="宋体" w:cs="Calibri"/>
          <w:sz w:val="24"/>
          <w:szCs w:val="24"/>
        </w:rPr>
      </w:pPr>
    </w:p>
    <w:p w14:paraId="6FFFAB3F">
      <w:pPr>
        <w:pStyle w:val="7"/>
        <w:overflowPunct w:val="0"/>
        <w:ind w:firstLine="482"/>
        <w:contextualSpacing/>
        <w:rPr>
          <w:rFonts w:hint="eastAsia" w:ascii="宋体" w:hAnsi="宋体" w:eastAsia="宋体" w:cs="Calibri"/>
          <w:sz w:val="24"/>
          <w:szCs w:val="24"/>
        </w:rPr>
      </w:pPr>
      <w:r>
        <w:rPr>
          <w:rFonts w:hint="eastAsia" w:ascii="宋体" w:hAnsi="宋体" w:eastAsia="宋体" w:cs="Calibri"/>
          <w:sz w:val="24"/>
          <w:szCs w:val="24"/>
        </w:rPr>
        <w:t>联合体成员名称（盖公章或者电子签章）：</w:t>
      </w:r>
    </w:p>
    <w:p w14:paraId="3E597497">
      <w:pPr>
        <w:pStyle w:val="7"/>
        <w:overflowPunct w:val="0"/>
        <w:ind w:firstLine="482"/>
        <w:contextualSpacing/>
        <w:rPr>
          <w:rFonts w:hint="eastAsia" w:ascii="宋体" w:hAnsi="宋体" w:eastAsia="宋体" w:cs="Calibri"/>
          <w:sz w:val="24"/>
          <w:szCs w:val="24"/>
        </w:rPr>
      </w:pPr>
      <w:r>
        <w:rPr>
          <w:rFonts w:hint="eastAsia" w:ascii="宋体" w:hAnsi="宋体" w:eastAsia="宋体" w:cs="Calibri"/>
          <w:sz w:val="24"/>
          <w:szCs w:val="24"/>
        </w:rPr>
        <w:t>法定代表人或者其委托代理人（签字或者电子签名）：</w:t>
      </w:r>
    </w:p>
    <w:p w14:paraId="08DAA37E">
      <w:pPr>
        <w:ind w:firstLine="482"/>
        <w:jc w:val="left"/>
        <w:rPr>
          <w:rFonts w:hint="eastAsia" w:ascii="宋体" w:hAnsi="宋体" w:eastAsia="宋体" w:cs="Calibri"/>
          <w:sz w:val="24"/>
        </w:rPr>
      </w:pPr>
      <w:r>
        <w:rPr>
          <w:rFonts w:hint="eastAsia" w:ascii="宋体" w:hAnsi="宋体" w:eastAsia="宋体" w:cs="Calibri"/>
          <w:sz w:val="24"/>
        </w:rPr>
        <w:t>……</w:t>
      </w:r>
    </w:p>
    <w:p w14:paraId="46BEDC0F">
      <w:pPr>
        <w:ind w:firstLine="4320" w:firstLineChars="1800"/>
        <w:jc w:val="left"/>
        <w:rPr>
          <w:rFonts w:hint="eastAsia" w:ascii="宋体" w:hAnsi="宋体" w:eastAsia="宋体" w:cs="Calibri"/>
          <w:sz w:val="24"/>
        </w:rPr>
      </w:pPr>
    </w:p>
    <w:p w14:paraId="230D09A3">
      <w:pPr>
        <w:ind w:firstLine="4320" w:firstLineChars="1800"/>
        <w:jc w:val="left"/>
        <w:rPr>
          <w:rFonts w:hint="eastAsia" w:ascii="宋体" w:hAnsi="宋体" w:eastAsia="宋体" w:cs="Calibri"/>
          <w:sz w:val="24"/>
        </w:rPr>
      </w:pPr>
    </w:p>
    <w:p w14:paraId="4637720E">
      <w:pPr>
        <w:ind w:firstLine="482"/>
        <w:jc w:val="right"/>
        <w:rPr>
          <w:rFonts w:hint="eastAsia" w:ascii="宋体" w:hAnsi="宋体" w:eastAsia="宋体" w:cs="Calibri"/>
          <w:sz w:val="24"/>
        </w:rPr>
      </w:pPr>
      <w:r>
        <w:rPr>
          <w:rFonts w:hint="eastAsia" w:ascii="宋体" w:hAnsi="宋体" w:eastAsia="宋体" w:cs="Calibri"/>
          <w:sz w:val="24"/>
        </w:rPr>
        <w:t xml:space="preserve">日期：   年  </w:t>
      </w:r>
      <w:r>
        <w:rPr>
          <w:rFonts w:hint="eastAsia" w:ascii="宋体" w:hAnsi="宋体" w:eastAsia="宋体" w:cs="Calibri"/>
          <w:sz w:val="24"/>
        </w:rPr>
        <w:tab/>
      </w:r>
      <w:r>
        <w:rPr>
          <w:rFonts w:hint="eastAsia" w:ascii="宋体" w:hAnsi="宋体" w:eastAsia="宋体" w:cs="Calibri"/>
          <w:sz w:val="24"/>
        </w:rPr>
        <w:t xml:space="preserve"> 月  </w:t>
      </w:r>
      <w:r>
        <w:rPr>
          <w:rFonts w:hint="eastAsia" w:ascii="宋体" w:hAnsi="宋体" w:eastAsia="宋体" w:cs="Calibri"/>
          <w:sz w:val="24"/>
        </w:rPr>
        <w:tab/>
      </w:r>
      <w:r>
        <w:rPr>
          <w:rFonts w:hint="eastAsia" w:ascii="宋体" w:hAnsi="宋体" w:eastAsia="宋体" w:cs="Calibri"/>
          <w:sz w:val="24"/>
        </w:rPr>
        <w:t>日</w:t>
      </w:r>
    </w:p>
    <w:p w14:paraId="581F53A2">
      <w:pPr>
        <w:ind w:firstLine="6720" w:firstLineChars="2800"/>
        <w:jc w:val="left"/>
        <w:rPr>
          <w:rFonts w:hint="eastAsia" w:ascii="宋体" w:hAnsi="宋体" w:eastAsia="宋体" w:cs="Calibri"/>
          <w:sz w:val="24"/>
        </w:rPr>
      </w:pPr>
      <w:r>
        <w:rPr>
          <w:rFonts w:ascii="宋体" w:hAnsi="宋体" w:eastAsia="宋体" w:cs="Calibri"/>
          <w:sz w:val="24"/>
        </w:rPr>
        <w:br w:type="page"/>
      </w:r>
      <w:bookmarkStart w:id="114" w:name="_Toc71366187"/>
    </w:p>
    <w:p w14:paraId="44D851CE">
      <w:pPr>
        <w:spacing w:line="320" w:lineRule="exact"/>
        <w:ind w:firstLine="643"/>
        <w:jc w:val="left"/>
        <w:rPr>
          <w:rFonts w:hint="eastAsia" w:ascii="宋体" w:hAnsi="宋体" w:eastAsia="宋体"/>
          <w:b/>
          <w:sz w:val="32"/>
          <w:szCs w:val="32"/>
        </w:rPr>
      </w:pPr>
      <w:r>
        <w:rPr>
          <w:rFonts w:hint="eastAsia" w:ascii="宋体" w:hAnsi="宋体" w:eastAsia="宋体"/>
          <w:b/>
          <w:sz w:val="32"/>
          <w:szCs w:val="32"/>
        </w:rPr>
        <w:t>6.中小企业声明函、残疾人福利性单位声明函</w:t>
      </w:r>
    </w:p>
    <w:p w14:paraId="39C73184">
      <w:pPr>
        <w:spacing w:line="320" w:lineRule="exact"/>
        <w:ind w:firstLine="640"/>
        <w:jc w:val="left"/>
        <w:rPr>
          <w:rFonts w:hint="eastAsia" w:ascii="宋体" w:hAnsi="宋体" w:eastAsia="宋体"/>
          <w:b/>
          <w:sz w:val="32"/>
          <w:szCs w:val="32"/>
        </w:rPr>
      </w:pPr>
    </w:p>
    <w:p w14:paraId="29C35B16">
      <w:pPr>
        <w:spacing w:line="300" w:lineRule="auto"/>
        <w:ind w:firstLine="1760" w:firstLineChars="400"/>
        <w:rPr>
          <w:rFonts w:hint="eastAsia" w:ascii="宋体" w:hAnsi="宋体" w:eastAsia="宋体" w:cs="宋体"/>
          <w:sz w:val="44"/>
          <w:szCs w:val="44"/>
        </w:rPr>
      </w:pPr>
    </w:p>
    <w:p w14:paraId="468A356E">
      <w:pPr>
        <w:spacing w:line="300" w:lineRule="auto"/>
        <w:ind w:firstLine="1760" w:firstLineChars="400"/>
        <w:rPr>
          <w:rFonts w:hint="eastAsia" w:ascii="宋体" w:hAnsi="宋体" w:eastAsia="宋体" w:cs="宋体"/>
          <w:sz w:val="44"/>
          <w:szCs w:val="44"/>
        </w:rPr>
      </w:pPr>
      <w:r>
        <w:rPr>
          <w:rFonts w:hint="eastAsia" w:ascii="宋体" w:hAnsi="宋体" w:eastAsia="宋体" w:cs="宋体"/>
          <w:sz w:val="44"/>
          <w:szCs w:val="44"/>
        </w:rPr>
        <w:t>中小企业声明函（服务）</w:t>
      </w:r>
    </w:p>
    <w:p w14:paraId="3F30A004">
      <w:pPr>
        <w:spacing w:line="360" w:lineRule="auto"/>
        <w:ind w:left="-426" w:right="142" w:firstLine="482"/>
        <w:contextualSpacing/>
        <w:rPr>
          <w:rFonts w:hint="eastAsia" w:ascii="宋体" w:hAnsi="宋体" w:eastAsia="宋体" w:cs="宋体"/>
          <w:sz w:val="24"/>
        </w:rPr>
      </w:pPr>
    </w:p>
    <w:p w14:paraId="4777983D">
      <w:pPr>
        <w:spacing w:line="360" w:lineRule="auto"/>
        <w:ind w:left="-426" w:right="142" w:firstLine="482"/>
        <w:contextualSpacing/>
        <w:rPr>
          <w:rFonts w:hint="eastAsia" w:ascii="宋体" w:hAnsi="宋体" w:eastAsia="宋体" w:cs="宋体"/>
          <w:sz w:val="24"/>
        </w:rPr>
      </w:pPr>
      <w:r>
        <w:rPr>
          <w:rFonts w:hint="eastAsia" w:ascii="宋体" w:hAnsi="宋体" w:eastAsia="宋体" w:cs="宋体"/>
          <w:sz w:val="24"/>
        </w:rPr>
        <w:t>本公司（联合体）郑重声明，根据《政府采购促进中小企业发展管理办法》（财库﹝2020﹞46号）的规定，本公司（联合体）参加</w:t>
      </w:r>
      <w:r>
        <w:rPr>
          <w:rFonts w:hint="eastAsia" w:ascii="宋体" w:hAnsi="宋体" w:eastAsia="宋体" w:cs="宋体"/>
          <w:sz w:val="24"/>
          <w:u w:val="single"/>
        </w:rPr>
        <w:t>（单位名称）</w:t>
      </w:r>
      <w:r>
        <w:rPr>
          <w:rFonts w:hint="eastAsia" w:ascii="宋体" w:hAnsi="宋体" w:eastAsia="宋体" w:cs="宋体"/>
          <w:sz w:val="24"/>
        </w:rPr>
        <w:t>的</w:t>
      </w:r>
      <w:r>
        <w:rPr>
          <w:rFonts w:hint="eastAsia" w:ascii="宋体" w:hAnsi="宋体" w:eastAsia="宋体" w:cs="宋体"/>
          <w:sz w:val="24"/>
          <w:u w:val="single"/>
        </w:rPr>
        <w:t>（项目名称）</w:t>
      </w:r>
      <w:r>
        <w:rPr>
          <w:rFonts w:hint="eastAsia" w:ascii="宋体" w:hAnsi="宋体" w:eastAsia="宋体" w:cs="宋体"/>
          <w:sz w:val="24"/>
        </w:rPr>
        <w:t>采购活动，提供的服务全部由符合政策要求的中小企业制造。相关企业（含联合体中的中小企业、签订分包意向协议的中小企业）的具体情况如下：</w:t>
      </w:r>
    </w:p>
    <w:p w14:paraId="52182D62">
      <w:pPr>
        <w:tabs>
          <w:tab w:val="left" w:pos="1384"/>
          <w:tab w:val="left" w:pos="4562"/>
          <w:tab w:val="left" w:pos="6803"/>
        </w:tabs>
        <w:spacing w:line="360" w:lineRule="auto"/>
        <w:ind w:left="-426" w:right="-58" w:firstLine="482"/>
        <w:contextualSpacing/>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u w:val="single"/>
        </w:rPr>
        <w:t>（标的名称）</w:t>
      </w:r>
      <w:r>
        <w:rPr>
          <w:rFonts w:hint="eastAsia" w:ascii="宋体" w:hAnsi="宋体" w:eastAsia="宋体" w:cs="宋体"/>
          <w:sz w:val="24"/>
        </w:rPr>
        <w:t>，属于</w:t>
      </w:r>
      <w:r>
        <w:rPr>
          <w:rFonts w:hint="eastAsia" w:ascii="宋体" w:hAnsi="宋体" w:eastAsia="宋体" w:cs="宋体"/>
          <w:sz w:val="24"/>
          <w:u w:val="single"/>
        </w:rPr>
        <w:t>（采购文件中明确的所属行业）</w:t>
      </w:r>
      <w:r>
        <w:rPr>
          <w:rFonts w:hint="eastAsia" w:ascii="宋体" w:hAnsi="宋体" w:eastAsia="宋体" w:cs="宋体"/>
          <w:sz w:val="24"/>
        </w:rPr>
        <w:t>行业；承接企业为</w:t>
      </w:r>
      <w:r>
        <w:rPr>
          <w:rFonts w:hint="eastAsia" w:ascii="宋体" w:hAnsi="宋体" w:eastAsia="宋体" w:cs="宋体"/>
          <w:sz w:val="24"/>
          <w:u w:val="single"/>
        </w:rPr>
        <w:t>（企业名称）</w:t>
      </w:r>
      <w:r>
        <w:rPr>
          <w:rFonts w:hint="eastAsia" w:ascii="宋体" w:hAnsi="宋体" w:eastAsia="宋体" w:cs="宋体"/>
          <w:sz w:val="24"/>
        </w:rPr>
        <w:t>，从业人员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（中型企业、小型企业、微型企业）</w:t>
      </w:r>
      <w:r>
        <w:rPr>
          <w:rFonts w:hint="eastAsia" w:ascii="宋体" w:hAnsi="宋体" w:eastAsia="宋体" w:cs="宋体"/>
          <w:sz w:val="24"/>
        </w:rPr>
        <w:t>；</w:t>
      </w:r>
    </w:p>
    <w:p w14:paraId="0491DE8C">
      <w:pPr>
        <w:tabs>
          <w:tab w:val="left" w:pos="1065"/>
          <w:tab w:val="left" w:pos="6477"/>
        </w:tabs>
        <w:spacing w:line="360" w:lineRule="auto"/>
        <w:ind w:left="-426" w:right="-58" w:firstLine="482"/>
        <w:contextualSpacing/>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u w:val="single"/>
        </w:rPr>
        <w:t>（标的名称）</w:t>
      </w:r>
      <w:r>
        <w:rPr>
          <w:rFonts w:hint="eastAsia" w:ascii="宋体" w:hAnsi="宋体" w:eastAsia="宋体" w:cs="宋体"/>
          <w:sz w:val="24"/>
        </w:rPr>
        <w:t>，属于</w:t>
      </w:r>
      <w:r>
        <w:rPr>
          <w:rFonts w:hint="eastAsia" w:ascii="宋体" w:hAnsi="宋体" w:eastAsia="宋体" w:cs="宋体"/>
          <w:sz w:val="24"/>
          <w:u w:val="single"/>
        </w:rPr>
        <w:t>（采购文件中明确的所属行业）</w:t>
      </w:r>
      <w:r>
        <w:rPr>
          <w:rFonts w:hint="eastAsia" w:ascii="宋体" w:hAnsi="宋体" w:eastAsia="宋体" w:cs="宋体"/>
          <w:sz w:val="24"/>
        </w:rPr>
        <w:t>行业；承接企业为</w:t>
      </w:r>
      <w:r>
        <w:rPr>
          <w:rFonts w:hint="eastAsia" w:ascii="宋体" w:hAnsi="宋体" w:eastAsia="宋体" w:cs="宋体"/>
          <w:sz w:val="24"/>
          <w:u w:val="single"/>
        </w:rPr>
        <w:t>（企业名称）</w:t>
      </w:r>
      <w:r>
        <w:rPr>
          <w:rFonts w:hint="eastAsia" w:ascii="宋体" w:hAnsi="宋体" w:eastAsia="宋体" w:cs="宋体"/>
          <w:sz w:val="24"/>
        </w:rPr>
        <w:t>，从业人员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（中型企业、小型企业、微型企业）</w:t>
      </w:r>
      <w:r>
        <w:rPr>
          <w:rFonts w:hint="eastAsia" w:ascii="宋体" w:hAnsi="宋体" w:eastAsia="宋体" w:cs="宋体"/>
          <w:sz w:val="24"/>
        </w:rPr>
        <w:t>；</w:t>
      </w:r>
    </w:p>
    <w:p w14:paraId="6B136172">
      <w:pPr>
        <w:spacing w:line="360" w:lineRule="auto"/>
        <w:ind w:left="142" w:right="142" w:firstLine="482"/>
        <w:contextualSpacing/>
        <w:rPr>
          <w:rFonts w:hint="eastAsia" w:ascii="宋体" w:hAnsi="宋体" w:eastAsia="宋体" w:cs="宋体"/>
          <w:sz w:val="24"/>
        </w:rPr>
      </w:pPr>
      <w:r>
        <w:rPr>
          <w:rFonts w:hint="eastAsia" w:ascii="宋体" w:hAnsi="宋体" w:eastAsia="宋体" w:cs="宋体"/>
          <w:sz w:val="24"/>
        </w:rPr>
        <w:t xml:space="preserve">…… </w:t>
      </w:r>
    </w:p>
    <w:p w14:paraId="618E4248">
      <w:pPr>
        <w:spacing w:line="360" w:lineRule="auto"/>
        <w:ind w:left="-405" w:leftChars="-193" w:right="142" w:firstLine="453" w:firstLineChars="189"/>
        <w:contextualSpacing/>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14:paraId="2991A557">
      <w:pPr>
        <w:spacing w:line="360" w:lineRule="auto"/>
        <w:ind w:left="-426" w:right="142" w:firstLine="482"/>
        <w:contextualSpacing/>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5380C4A2">
      <w:pPr>
        <w:spacing w:line="360" w:lineRule="auto"/>
        <w:ind w:left="3960" w:right="1808" w:firstLine="482"/>
        <w:contextualSpacing/>
        <w:rPr>
          <w:rFonts w:hint="eastAsia" w:ascii="宋体" w:hAnsi="宋体" w:eastAsia="宋体" w:cs="宋体"/>
          <w:sz w:val="24"/>
        </w:rPr>
      </w:pPr>
    </w:p>
    <w:p w14:paraId="0E046661">
      <w:pPr>
        <w:autoSpaceDE w:val="0"/>
        <w:autoSpaceDN w:val="0"/>
        <w:spacing w:line="360" w:lineRule="auto"/>
        <w:ind w:left="4335" w:leftChars="1950" w:hanging="240" w:hangingChars="100"/>
        <w:rPr>
          <w:rFonts w:hint="eastAsia" w:ascii="宋体" w:hAnsi="宋体" w:eastAsia="宋体" w:cs="宋体"/>
          <w:kern w:val="0"/>
          <w:sz w:val="24"/>
        </w:rPr>
      </w:pPr>
      <w:r>
        <w:rPr>
          <w:rFonts w:hint="eastAsia" w:ascii="宋体" w:hAnsi="宋体" w:eastAsia="宋体" w:cs="宋体"/>
          <w:kern w:val="0"/>
          <w:sz w:val="24"/>
        </w:rPr>
        <w:t>供应商名称（电子签章）：</w:t>
      </w:r>
    </w:p>
    <w:p w14:paraId="59D83D73">
      <w:pPr>
        <w:autoSpaceDE w:val="0"/>
        <w:autoSpaceDN w:val="0"/>
        <w:spacing w:line="360" w:lineRule="auto"/>
        <w:ind w:firstLine="4080" w:firstLineChars="1700"/>
        <w:rPr>
          <w:rFonts w:hint="eastAsia" w:ascii="宋体" w:hAnsi="宋体" w:eastAsia="宋体" w:cs="宋体"/>
          <w:kern w:val="0"/>
          <w:sz w:val="24"/>
          <w:lang w:val="zh-CN"/>
        </w:rPr>
      </w:pPr>
      <w:r>
        <w:rPr>
          <w:rFonts w:hint="eastAsia" w:ascii="宋体" w:hAnsi="宋体" w:eastAsia="宋体" w:cs="宋体"/>
          <w:kern w:val="0"/>
          <w:sz w:val="24"/>
          <w:lang w:val="zh-CN"/>
        </w:rPr>
        <w:t>日期：  年  月   日</w:t>
      </w:r>
    </w:p>
    <w:p w14:paraId="57BA570B">
      <w:pPr>
        <w:spacing w:line="360" w:lineRule="auto"/>
        <w:ind w:left="3960" w:right="1808" w:firstLine="422"/>
        <w:contextualSpacing/>
        <w:rPr>
          <w:rFonts w:hint="eastAsia" w:ascii="宋体" w:hAnsi="宋体" w:eastAsia="宋体" w:cs="宋体"/>
        </w:rPr>
      </w:pPr>
    </w:p>
    <w:p w14:paraId="22AA1AEA">
      <w:pPr>
        <w:spacing w:line="360" w:lineRule="auto"/>
        <w:ind w:firstLine="482"/>
        <w:contextualSpacing/>
        <w:jc w:val="left"/>
        <w:rPr>
          <w:rFonts w:hint="eastAsia" w:ascii="宋体" w:hAnsi="宋体" w:eastAsia="宋体" w:cs="宋体"/>
          <w:kern w:val="0"/>
          <w:sz w:val="24"/>
        </w:rPr>
      </w:pPr>
      <w:r>
        <w:rPr>
          <w:rFonts w:hint="eastAsia" w:ascii="宋体" w:hAnsi="宋体" w:eastAsia="宋体" w:cs="宋体"/>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72D73548">
      <w:pPr>
        <w:spacing w:line="520" w:lineRule="exact"/>
        <w:ind w:firstLine="482"/>
        <w:jc w:val="left"/>
        <w:rPr>
          <w:rFonts w:hint="eastAsia" w:ascii="宋体" w:hAnsi="宋体" w:eastAsia="宋体" w:cs="宋体"/>
          <w:sz w:val="32"/>
          <w:szCs w:val="32"/>
        </w:rPr>
      </w:pPr>
      <w:r>
        <w:rPr>
          <w:rFonts w:hint="eastAsia" w:ascii="宋体" w:hAnsi="宋体" w:eastAsia="宋体" w:cs="宋体"/>
          <w:sz w:val="24"/>
        </w:rPr>
        <w:br w:type="page"/>
      </w:r>
      <w:r>
        <w:rPr>
          <w:rFonts w:hint="eastAsia" w:ascii="宋体" w:hAnsi="宋体" w:eastAsia="宋体" w:cs="宋体"/>
          <w:sz w:val="24"/>
        </w:rPr>
        <w:t xml:space="preserve">                  </w:t>
      </w:r>
      <w:r>
        <w:rPr>
          <w:rFonts w:hint="eastAsia" w:ascii="宋体" w:hAnsi="宋体" w:eastAsia="宋体" w:cs="宋体"/>
          <w:sz w:val="44"/>
          <w:szCs w:val="44"/>
        </w:rPr>
        <w:t>残疾人福利性单位声明函</w:t>
      </w:r>
    </w:p>
    <w:p w14:paraId="452406CA">
      <w:pPr>
        <w:spacing w:line="520" w:lineRule="exact"/>
        <w:ind w:firstLine="643"/>
        <w:rPr>
          <w:rFonts w:hint="eastAsia" w:ascii="宋体" w:hAnsi="宋体" w:eastAsia="宋体" w:cs="宋体"/>
          <w:sz w:val="32"/>
          <w:szCs w:val="32"/>
        </w:rPr>
      </w:pPr>
    </w:p>
    <w:p w14:paraId="12254223">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z w:val="24"/>
          <w:u w:val="single"/>
        </w:rPr>
        <w:t xml:space="preserve">       </w:t>
      </w:r>
      <w:r>
        <w:rPr>
          <w:rFonts w:hint="eastAsia" w:ascii="宋体" w:hAnsi="宋体" w:eastAsia="宋体" w:cs="宋体"/>
          <w:sz w:val="24"/>
        </w:rPr>
        <w:t>单位的</w:t>
      </w:r>
      <w:r>
        <w:rPr>
          <w:rFonts w:hint="eastAsia" w:ascii="宋体" w:hAnsi="宋体" w:eastAsia="宋体" w:cs="宋体"/>
          <w:sz w:val="24"/>
          <w:u w:val="single"/>
        </w:rPr>
        <w:t xml:space="preserve">        </w:t>
      </w:r>
      <w:r>
        <w:rPr>
          <w:rFonts w:hint="eastAsia" w:ascii="宋体" w:hAnsi="宋体" w:eastAsia="宋体" w:cs="宋体"/>
          <w:sz w:val="24"/>
        </w:rPr>
        <w:t>项目采购活动由本单位提供服务。</w:t>
      </w:r>
    </w:p>
    <w:p w14:paraId="3A66E885">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18F30BD0">
      <w:pPr>
        <w:spacing w:line="360" w:lineRule="auto"/>
        <w:ind w:firstLine="482"/>
        <w:rPr>
          <w:rFonts w:hint="eastAsia" w:ascii="宋体" w:hAnsi="宋体" w:eastAsia="宋体" w:cs="宋体"/>
          <w:sz w:val="24"/>
        </w:rPr>
      </w:pPr>
    </w:p>
    <w:p w14:paraId="3F18E7B4">
      <w:pPr>
        <w:spacing w:line="360" w:lineRule="auto"/>
        <w:ind w:firstLine="482"/>
        <w:rPr>
          <w:rFonts w:hint="eastAsia" w:ascii="宋体" w:hAnsi="宋体" w:eastAsia="宋体" w:cs="宋体"/>
          <w:sz w:val="24"/>
        </w:rPr>
      </w:pPr>
    </w:p>
    <w:p w14:paraId="397DC69F">
      <w:pPr>
        <w:spacing w:line="360" w:lineRule="auto"/>
        <w:ind w:firstLine="482"/>
        <w:rPr>
          <w:rFonts w:hint="eastAsia" w:ascii="宋体" w:hAnsi="宋体" w:eastAsia="宋体" w:cs="宋体"/>
          <w:sz w:val="24"/>
        </w:rPr>
      </w:pPr>
    </w:p>
    <w:p w14:paraId="2939A09F">
      <w:pPr>
        <w:spacing w:line="360" w:lineRule="auto"/>
        <w:ind w:firstLine="2400" w:firstLineChars="1000"/>
        <w:rPr>
          <w:rFonts w:hint="eastAsia" w:ascii="宋体" w:hAnsi="宋体" w:eastAsia="宋体" w:cs="宋体"/>
          <w:sz w:val="24"/>
        </w:rPr>
      </w:pPr>
      <w:r>
        <w:rPr>
          <w:rFonts w:hint="eastAsia" w:ascii="宋体" w:hAnsi="宋体" w:eastAsia="宋体" w:cs="宋体"/>
          <w:sz w:val="24"/>
        </w:rPr>
        <w:t>供应商名称（电子签章）：</w:t>
      </w:r>
    </w:p>
    <w:p w14:paraId="22D3CBF4">
      <w:pPr>
        <w:spacing w:line="360" w:lineRule="auto"/>
        <w:ind w:firstLine="3600" w:firstLineChars="1500"/>
        <w:rPr>
          <w:rFonts w:hint="eastAsia" w:ascii="宋体" w:hAnsi="宋体" w:eastAsia="宋体" w:cs="宋体"/>
          <w:sz w:val="24"/>
        </w:rPr>
      </w:pPr>
      <w:r>
        <w:rPr>
          <w:rFonts w:hint="eastAsia" w:ascii="宋体" w:hAnsi="宋体" w:eastAsia="宋体" w:cs="宋体"/>
          <w:sz w:val="24"/>
        </w:rPr>
        <w:t>日  期：     年   月   日</w:t>
      </w:r>
    </w:p>
    <w:p w14:paraId="32442177">
      <w:pPr>
        <w:spacing w:line="360" w:lineRule="auto"/>
        <w:ind w:firstLine="482"/>
        <w:rPr>
          <w:rFonts w:hint="eastAsia" w:ascii="宋体" w:hAnsi="宋体" w:eastAsia="宋体" w:cs="宋体"/>
          <w:sz w:val="24"/>
        </w:rPr>
      </w:pPr>
    </w:p>
    <w:p w14:paraId="7AC49331">
      <w:pPr>
        <w:spacing w:line="360" w:lineRule="auto"/>
        <w:ind w:firstLine="482"/>
        <w:rPr>
          <w:rFonts w:hint="eastAsia" w:ascii="宋体" w:hAnsi="宋体" w:eastAsia="宋体" w:cs="宋体"/>
          <w:sz w:val="24"/>
        </w:rPr>
      </w:pPr>
    </w:p>
    <w:p w14:paraId="624FAB25">
      <w:pPr>
        <w:spacing w:line="360" w:lineRule="auto"/>
        <w:ind w:firstLine="482"/>
        <w:rPr>
          <w:rFonts w:hint="eastAsia" w:ascii="宋体" w:hAnsi="宋体" w:eastAsia="宋体" w:cs="宋体"/>
          <w:sz w:val="24"/>
        </w:rPr>
      </w:pPr>
    </w:p>
    <w:p w14:paraId="25659D75">
      <w:pPr>
        <w:ind w:firstLine="482"/>
        <w:jc w:val="left"/>
        <w:rPr>
          <w:rFonts w:hint="eastAsia" w:ascii="宋体" w:hAnsi="宋体" w:eastAsia="宋体"/>
          <w:b/>
          <w:bCs/>
          <w:sz w:val="32"/>
          <w:szCs w:val="32"/>
        </w:rPr>
      </w:pPr>
      <w:r>
        <w:rPr>
          <w:rFonts w:hint="eastAsia" w:ascii="宋体" w:hAnsi="宋体" w:eastAsia="宋体" w:cs="宋体"/>
          <w:sz w:val="24"/>
        </w:rPr>
        <w:t>注：请根据自己的真实情况出具《残疾人福利性单位声明函》。依法享受中小企业优惠政策的，采购人或者采购代理机构在公告成交结果时，同时公告其《残疾人福利性单位声明函》，接受社会监督。</w:t>
      </w:r>
      <w:bookmarkEnd w:id="114"/>
      <w:r>
        <w:rPr>
          <w:rFonts w:ascii="宋体" w:hAnsi="宋体" w:eastAsia="宋体"/>
          <w:b/>
          <w:bCs/>
          <w:sz w:val="32"/>
          <w:szCs w:val="32"/>
        </w:rPr>
        <w:br w:type="page"/>
      </w:r>
    </w:p>
    <w:p w14:paraId="46566460">
      <w:pPr>
        <w:spacing w:line="360" w:lineRule="auto"/>
        <w:ind w:right="420" w:firstLine="643"/>
        <w:contextualSpacing/>
        <w:jc w:val="left"/>
        <w:rPr>
          <w:rFonts w:hint="eastAsia" w:ascii="宋体" w:hAnsi="宋体" w:eastAsia="宋体"/>
          <w:b/>
          <w:sz w:val="32"/>
          <w:szCs w:val="32"/>
        </w:rPr>
      </w:pPr>
      <w:r>
        <w:rPr>
          <w:rFonts w:hint="eastAsia" w:ascii="宋体" w:hAnsi="宋体" w:eastAsia="宋体"/>
          <w:b/>
          <w:bCs/>
          <w:sz w:val="32"/>
          <w:szCs w:val="32"/>
        </w:rPr>
        <w:t>二、</w:t>
      </w:r>
      <w:r>
        <w:rPr>
          <w:rFonts w:hint="eastAsia" w:ascii="宋体" w:hAnsi="宋体" w:eastAsia="宋体"/>
          <w:b/>
          <w:sz w:val="32"/>
          <w:szCs w:val="32"/>
        </w:rPr>
        <w:t xml:space="preserve">报价文件格式 </w:t>
      </w:r>
    </w:p>
    <w:p w14:paraId="7B558CAA">
      <w:pPr>
        <w:snapToGrid w:val="0"/>
        <w:spacing w:before="156" w:beforeLines="50" w:after="50" w:line="360" w:lineRule="auto"/>
        <w:ind w:firstLine="643"/>
        <w:jc w:val="left"/>
        <w:rPr>
          <w:rFonts w:hint="eastAsia" w:ascii="宋体" w:hAnsi="宋体" w:eastAsia="宋体"/>
          <w:b/>
          <w:sz w:val="32"/>
          <w:szCs w:val="32"/>
        </w:rPr>
      </w:pPr>
      <w:r>
        <w:rPr>
          <w:rFonts w:hint="eastAsia" w:ascii="宋体" w:hAnsi="宋体" w:eastAsia="宋体"/>
          <w:b/>
          <w:sz w:val="32"/>
          <w:szCs w:val="32"/>
        </w:rPr>
        <w:t>1.报价文件封面格式</w:t>
      </w:r>
    </w:p>
    <w:p w14:paraId="1C025523">
      <w:pPr>
        <w:snapToGrid w:val="0"/>
        <w:spacing w:before="156" w:beforeLines="50" w:after="50"/>
        <w:ind w:firstLine="482"/>
        <w:rPr>
          <w:rFonts w:hint="eastAsia" w:ascii="宋体" w:hAnsi="宋体" w:eastAsia="宋体"/>
          <w:bCs/>
          <w:sz w:val="32"/>
          <w:szCs w:val="20"/>
        </w:rPr>
      </w:pPr>
      <w:r>
        <w:rPr>
          <w:rFonts w:hint="eastAsia" w:ascii="宋体" w:hAnsi="宋体" w:eastAsia="宋体"/>
          <w:sz w:val="24"/>
        </w:rPr>
        <w:t xml:space="preserve">                                                    </w:t>
      </w:r>
    </w:p>
    <w:p w14:paraId="2088F177">
      <w:pPr>
        <w:snapToGrid w:val="0"/>
        <w:spacing w:before="156" w:beforeLines="50" w:after="50"/>
        <w:ind w:firstLine="883"/>
        <w:jc w:val="center"/>
        <w:rPr>
          <w:rFonts w:hint="eastAsia" w:ascii="宋体" w:hAnsi="宋体" w:eastAsia="宋体"/>
          <w:sz w:val="24"/>
          <w:szCs w:val="20"/>
        </w:rPr>
      </w:pPr>
      <w:r>
        <w:rPr>
          <w:rFonts w:hint="eastAsia" w:ascii="宋体" w:hAnsi="宋体" w:eastAsia="宋体"/>
          <w:sz w:val="44"/>
          <w:szCs w:val="44"/>
        </w:rPr>
        <w:t>电 子 响 应 文 件</w:t>
      </w:r>
    </w:p>
    <w:p w14:paraId="40A41C3A">
      <w:pPr>
        <w:snapToGrid w:val="0"/>
        <w:spacing w:before="156" w:beforeLines="50" w:after="50"/>
        <w:ind w:firstLine="482"/>
        <w:rPr>
          <w:rFonts w:hint="eastAsia" w:ascii="宋体" w:hAnsi="宋体" w:eastAsia="宋体"/>
          <w:sz w:val="24"/>
          <w:szCs w:val="20"/>
        </w:rPr>
      </w:pPr>
    </w:p>
    <w:p w14:paraId="72DBA72C">
      <w:pPr>
        <w:snapToGrid w:val="0"/>
        <w:spacing w:before="156" w:beforeLines="50" w:after="50"/>
        <w:ind w:firstLine="482"/>
        <w:rPr>
          <w:rFonts w:hint="eastAsia" w:ascii="宋体" w:hAnsi="宋体" w:eastAsia="宋体"/>
          <w:sz w:val="24"/>
          <w:szCs w:val="20"/>
        </w:rPr>
      </w:pPr>
    </w:p>
    <w:p w14:paraId="6FA93579">
      <w:pPr>
        <w:snapToGrid w:val="0"/>
        <w:spacing w:before="156" w:beforeLines="50" w:after="50"/>
        <w:ind w:firstLine="883"/>
        <w:jc w:val="center"/>
        <w:rPr>
          <w:rFonts w:hint="eastAsia" w:ascii="宋体" w:hAnsi="宋体" w:eastAsia="宋体" w:cs="Tahoma"/>
          <w:bCs/>
          <w:sz w:val="44"/>
          <w:szCs w:val="44"/>
        </w:rPr>
      </w:pPr>
      <w:r>
        <w:rPr>
          <w:rFonts w:hint="eastAsia" w:ascii="宋体" w:hAnsi="宋体" w:eastAsia="宋体" w:cs="Tahoma"/>
          <w:bCs/>
          <w:sz w:val="44"/>
          <w:szCs w:val="44"/>
        </w:rPr>
        <w:t>报  价  文  件</w:t>
      </w:r>
    </w:p>
    <w:p w14:paraId="497551C7">
      <w:pPr>
        <w:snapToGrid w:val="0"/>
        <w:spacing w:before="156" w:beforeLines="50" w:after="50"/>
        <w:ind w:firstLine="482"/>
        <w:rPr>
          <w:rFonts w:hint="eastAsia" w:ascii="宋体" w:hAnsi="宋体" w:eastAsia="宋体"/>
          <w:bCs/>
          <w:sz w:val="24"/>
          <w:szCs w:val="20"/>
        </w:rPr>
      </w:pPr>
    </w:p>
    <w:p w14:paraId="34CF0BA5">
      <w:pPr>
        <w:snapToGrid w:val="0"/>
        <w:spacing w:before="156" w:beforeLines="50" w:after="50"/>
        <w:ind w:firstLine="482"/>
        <w:rPr>
          <w:rFonts w:hint="eastAsia" w:ascii="宋体" w:hAnsi="宋体" w:eastAsia="宋体"/>
          <w:bCs/>
          <w:sz w:val="24"/>
          <w:szCs w:val="20"/>
        </w:rPr>
      </w:pPr>
    </w:p>
    <w:p w14:paraId="05FE964E">
      <w:pPr>
        <w:snapToGrid w:val="0"/>
        <w:spacing w:before="156" w:beforeLines="50" w:after="50"/>
        <w:ind w:firstLine="482"/>
        <w:rPr>
          <w:rFonts w:hint="eastAsia" w:ascii="宋体" w:hAnsi="宋体" w:eastAsia="宋体"/>
          <w:bCs/>
          <w:sz w:val="24"/>
          <w:szCs w:val="20"/>
        </w:rPr>
      </w:pPr>
    </w:p>
    <w:p w14:paraId="12D8EE41">
      <w:pPr>
        <w:snapToGrid w:val="0"/>
        <w:spacing w:before="156" w:beforeLines="50" w:after="50"/>
        <w:ind w:firstLine="482"/>
        <w:rPr>
          <w:rFonts w:hint="eastAsia" w:ascii="宋体" w:hAnsi="宋体" w:eastAsia="宋体"/>
          <w:bCs/>
          <w:sz w:val="24"/>
          <w:szCs w:val="20"/>
        </w:rPr>
      </w:pPr>
    </w:p>
    <w:p w14:paraId="2738E4C5">
      <w:pPr>
        <w:snapToGrid w:val="0"/>
        <w:spacing w:before="156" w:beforeLines="50" w:after="50"/>
        <w:ind w:firstLine="482"/>
        <w:rPr>
          <w:rFonts w:hint="eastAsia" w:ascii="宋体" w:hAnsi="宋体" w:eastAsia="宋体"/>
          <w:bCs/>
          <w:sz w:val="24"/>
          <w:szCs w:val="20"/>
        </w:rPr>
      </w:pPr>
    </w:p>
    <w:p w14:paraId="4CAD1309">
      <w:pPr>
        <w:snapToGrid w:val="0"/>
        <w:spacing w:before="156" w:beforeLines="50" w:after="50"/>
        <w:ind w:firstLine="640" w:firstLineChars="200"/>
        <w:rPr>
          <w:rFonts w:hint="eastAsia" w:ascii="宋体" w:hAnsi="宋体" w:eastAsia="宋体" w:cs="Calibri"/>
          <w:bCs/>
          <w:sz w:val="32"/>
          <w:szCs w:val="32"/>
        </w:rPr>
      </w:pPr>
      <w:r>
        <w:rPr>
          <w:rFonts w:hint="eastAsia" w:ascii="宋体" w:hAnsi="宋体" w:eastAsia="宋体" w:cs="Calibri"/>
          <w:bCs/>
          <w:sz w:val="32"/>
          <w:szCs w:val="32"/>
        </w:rPr>
        <w:t>项目名称：</w:t>
      </w:r>
    </w:p>
    <w:p w14:paraId="26C02653">
      <w:pPr>
        <w:snapToGrid w:val="0"/>
        <w:spacing w:before="156" w:beforeLines="50" w:after="50"/>
        <w:ind w:firstLine="720" w:firstLineChars="225"/>
        <w:rPr>
          <w:rFonts w:hint="eastAsia" w:ascii="宋体" w:hAnsi="宋体" w:eastAsia="宋体" w:cs="Calibri"/>
          <w:bCs/>
          <w:sz w:val="32"/>
          <w:szCs w:val="32"/>
        </w:rPr>
      </w:pPr>
    </w:p>
    <w:p w14:paraId="348B00C4">
      <w:pPr>
        <w:snapToGrid w:val="0"/>
        <w:spacing w:before="156" w:beforeLines="50" w:after="50"/>
        <w:ind w:firstLine="640" w:firstLineChars="200"/>
        <w:rPr>
          <w:rFonts w:hint="eastAsia" w:ascii="宋体" w:hAnsi="宋体" w:eastAsia="宋体" w:cs="Calibri"/>
          <w:bCs/>
          <w:sz w:val="32"/>
          <w:szCs w:val="32"/>
        </w:rPr>
      </w:pPr>
      <w:r>
        <w:rPr>
          <w:rFonts w:hint="eastAsia" w:ascii="宋体" w:hAnsi="宋体" w:eastAsia="宋体" w:cs="Calibri"/>
          <w:bCs/>
          <w:sz w:val="32"/>
          <w:szCs w:val="32"/>
        </w:rPr>
        <w:t>项目编号：</w:t>
      </w:r>
    </w:p>
    <w:p w14:paraId="53A92509">
      <w:pPr>
        <w:snapToGrid w:val="0"/>
        <w:spacing w:before="156" w:beforeLines="50" w:after="50"/>
        <w:ind w:firstLine="720" w:firstLineChars="225"/>
        <w:rPr>
          <w:rFonts w:hint="eastAsia" w:ascii="宋体" w:hAnsi="宋体" w:eastAsia="宋体" w:cs="Calibri"/>
          <w:bCs/>
          <w:sz w:val="32"/>
          <w:szCs w:val="32"/>
        </w:rPr>
      </w:pPr>
      <w:r>
        <w:rPr>
          <w:rFonts w:hint="eastAsia" w:ascii="宋体" w:hAnsi="宋体" w:eastAsia="宋体" w:cs="Calibri"/>
          <w:bCs/>
          <w:sz w:val="32"/>
          <w:szCs w:val="32"/>
        </w:rPr>
        <w:t xml:space="preserve"> </w:t>
      </w:r>
    </w:p>
    <w:p w14:paraId="1AFEAF33">
      <w:pPr>
        <w:snapToGrid w:val="0"/>
        <w:spacing w:before="156" w:beforeLines="50" w:after="50"/>
        <w:ind w:firstLine="640" w:firstLineChars="200"/>
        <w:rPr>
          <w:rFonts w:hint="eastAsia" w:ascii="宋体" w:hAnsi="宋体" w:eastAsia="宋体" w:cs="Calibri"/>
          <w:bCs/>
          <w:sz w:val="32"/>
          <w:szCs w:val="32"/>
        </w:rPr>
      </w:pPr>
      <w:r>
        <w:rPr>
          <w:rFonts w:hint="eastAsia" w:ascii="宋体" w:hAnsi="宋体" w:eastAsia="宋体" w:cs="Calibri"/>
          <w:bCs/>
          <w:sz w:val="32"/>
          <w:szCs w:val="32"/>
        </w:rPr>
        <w:t>所竞分标（如有则填写，无分标时填写“无”或者留空）：</w:t>
      </w:r>
    </w:p>
    <w:p w14:paraId="379404B4">
      <w:pPr>
        <w:snapToGrid w:val="0"/>
        <w:spacing w:before="156" w:beforeLines="50" w:after="50"/>
        <w:ind w:firstLine="720" w:firstLineChars="225"/>
        <w:rPr>
          <w:rFonts w:hint="eastAsia" w:ascii="宋体" w:hAnsi="宋体" w:eastAsia="宋体" w:cs="Calibri"/>
          <w:bCs/>
          <w:sz w:val="32"/>
          <w:szCs w:val="32"/>
        </w:rPr>
      </w:pPr>
    </w:p>
    <w:p w14:paraId="44854AAD">
      <w:pPr>
        <w:pStyle w:val="7"/>
        <w:snapToGrid w:val="0"/>
        <w:spacing w:before="50" w:after="50"/>
        <w:ind w:firstLine="640" w:firstLineChars="200"/>
        <w:rPr>
          <w:rFonts w:hint="eastAsia" w:ascii="宋体" w:hAnsi="宋体" w:eastAsia="宋体" w:cs="Calibri"/>
          <w:bCs/>
          <w:sz w:val="32"/>
          <w:szCs w:val="32"/>
        </w:rPr>
      </w:pPr>
      <w:r>
        <w:rPr>
          <w:rFonts w:hint="eastAsia" w:ascii="宋体" w:hAnsi="宋体" w:eastAsia="宋体" w:cs="Calibri"/>
          <w:bCs/>
          <w:sz w:val="32"/>
          <w:szCs w:val="32"/>
        </w:rPr>
        <w:t>供应商名称：</w:t>
      </w:r>
    </w:p>
    <w:p w14:paraId="488EAE28">
      <w:pPr>
        <w:pStyle w:val="7"/>
        <w:snapToGrid w:val="0"/>
        <w:spacing w:before="50" w:after="50"/>
        <w:ind w:firstLine="640" w:firstLineChars="200"/>
        <w:rPr>
          <w:rFonts w:hint="eastAsia" w:ascii="宋体" w:hAnsi="宋体" w:eastAsia="宋体" w:cs="Calibri"/>
          <w:bCs/>
          <w:sz w:val="32"/>
          <w:szCs w:val="32"/>
        </w:rPr>
      </w:pPr>
    </w:p>
    <w:p w14:paraId="24BC102C">
      <w:pPr>
        <w:pStyle w:val="7"/>
        <w:snapToGrid w:val="0"/>
        <w:spacing w:before="50" w:after="50"/>
        <w:ind w:firstLine="720" w:firstLineChars="225"/>
        <w:rPr>
          <w:rFonts w:hint="eastAsia" w:ascii="宋体" w:hAnsi="宋体" w:eastAsia="宋体" w:cs="Calibri"/>
          <w:bCs/>
          <w:sz w:val="32"/>
          <w:szCs w:val="32"/>
        </w:rPr>
      </w:pPr>
    </w:p>
    <w:p w14:paraId="5DC52114">
      <w:pPr>
        <w:pStyle w:val="7"/>
        <w:snapToGrid w:val="0"/>
        <w:spacing w:before="50" w:after="50"/>
        <w:ind w:firstLine="643"/>
        <w:rPr>
          <w:rFonts w:hint="eastAsia" w:ascii="宋体" w:hAnsi="宋体" w:eastAsia="宋体" w:cs="Calibri"/>
          <w:bCs/>
          <w:sz w:val="32"/>
          <w:szCs w:val="32"/>
        </w:rPr>
      </w:pPr>
    </w:p>
    <w:p w14:paraId="6E92E5D6">
      <w:pPr>
        <w:pStyle w:val="7"/>
        <w:snapToGrid w:val="0"/>
        <w:spacing w:before="50" w:after="50"/>
        <w:ind w:firstLine="1280" w:firstLineChars="400"/>
        <w:rPr>
          <w:rFonts w:hint="eastAsia" w:ascii="宋体" w:hAnsi="宋体" w:eastAsia="宋体" w:cs="Calibri"/>
          <w:bCs/>
          <w:sz w:val="32"/>
          <w:szCs w:val="32"/>
        </w:rPr>
      </w:pPr>
    </w:p>
    <w:p w14:paraId="14884053">
      <w:pPr>
        <w:snapToGrid w:val="0"/>
        <w:spacing w:before="156" w:beforeLines="50" w:after="50"/>
        <w:ind w:firstLine="643"/>
        <w:jc w:val="center"/>
        <w:rPr>
          <w:rFonts w:hint="eastAsia" w:ascii="宋体" w:hAnsi="宋体" w:eastAsia="宋体" w:cs="Calibri"/>
          <w:sz w:val="32"/>
          <w:szCs w:val="32"/>
        </w:rPr>
      </w:pPr>
      <w:r>
        <w:rPr>
          <w:rFonts w:hint="eastAsia" w:ascii="宋体" w:hAnsi="宋体" w:eastAsia="宋体" w:cs="Calibri"/>
          <w:sz w:val="32"/>
          <w:szCs w:val="32"/>
        </w:rPr>
        <w:t>年    月    日</w:t>
      </w:r>
    </w:p>
    <w:p w14:paraId="4A18741D">
      <w:pPr>
        <w:snapToGrid w:val="0"/>
        <w:spacing w:before="156" w:beforeLines="50" w:after="50" w:line="360" w:lineRule="auto"/>
        <w:ind w:left="142" w:firstLine="422"/>
        <w:jc w:val="left"/>
        <w:rPr>
          <w:rFonts w:hint="eastAsia" w:ascii="宋体" w:hAnsi="宋体" w:eastAsia="宋体"/>
          <w:b/>
          <w:bCs/>
          <w:sz w:val="24"/>
        </w:rPr>
      </w:pPr>
      <w:r>
        <w:rPr>
          <w:rFonts w:hint="eastAsia" w:ascii="宋体" w:hAnsi="宋体" w:eastAsia="宋体"/>
          <w:szCs w:val="21"/>
        </w:rPr>
        <w:br w:type="page"/>
      </w:r>
      <w:r>
        <w:rPr>
          <w:rFonts w:hint="eastAsia" w:ascii="宋体" w:hAnsi="宋体" w:eastAsia="宋体"/>
          <w:b/>
          <w:bCs/>
          <w:sz w:val="32"/>
          <w:szCs w:val="32"/>
        </w:rPr>
        <w:t>2.报价文件目录</w:t>
      </w:r>
    </w:p>
    <w:p w14:paraId="272B4CB6">
      <w:pPr>
        <w:spacing w:line="300" w:lineRule="auto"/>
        <w:ind w:firstLine="643"/>
        <w:jc w:val="left"/>
        <w:rPr>
          <w:rFonts w:hint="eastAsia" w:ascii="宋体" w:hAnsi="宋体" w:eastAsia="宋体" w:cs="Calibri"/>
          <w:sz w:val="24"/>
        </w:rPr>
      </w:pPr>
      <w:r>
        <w:rPr>
          <w:rFonts w:hint="eastAsia" w:ascii="宋体" w:hAnsi="宋体" w:eastAsia="宋体"/>
          <w:sz w:val="32"/>
          <w:szCs w:val="32"/>
        </w:rPr>
        <w:t>根据磋商文件规定及供应商提供的材料自行编写目录（部分格式后附）。</w:t>
      </w:r>
      <w:r>
        <w:rPr>
          <w:rFonts w:ascii="宋体" w:hAnsi="宋体" w:eastAsia="宋体"/>
          <w:b/>
          <w:bCs/>
          <w:sz w:val="32"/>
          <w:szCs w:val="32"/>
        </w:rPr>
        <w:br w:type="page"/>
      </w:r>
    </w:p>
    <w:p w14:paraId="432AA33B">
      <w:pPr>
        <w:snapToGrid w:val="0"/>
        <w:spacing w:before="156" w:beforeLines="50" w:after="50" w:line="360" w:lineRule="auto"/>
        <w:ind w:left="142" w:firstLine="643"/>
        <w:jc w:val="left"/>
        <w:rPr>
          <w:rFonts w:hint="eastAsia" w:ascii="宋体" w:hAnsi="宋体" w:eastAsia="宋体"/>
          <w:b/>
          <w:bCs/>
          <w:sz w:val="32"/>
          <w:szCs w:val="32"/>
        </w:rPr>
      </w:pPr>
      <w:r>
        <w:rPr>
          <w:rFonts w:hint="eastAsia" w:ascii="宋体" w:hAnsi="宋体" w:eastAsia="宋体"/>
          <w:b/>
          <w:bCs/>
          <w:sz w:val="32"/>
          <w:szCs w:val="32"/>
        </w:rPr>
        <w:t>3.竞标报价表</w:t>
      </w:r>
    </w:p>
    <w:p w14:paraId="55C4E25A">
      <w:pPr>
        <w:spacing w:line="520" w:lineRule="exact"/>
        <w:ind w:firstLine="883"/>
        <w:jc w:val="center"/>
        <w:rPr>
          <w:rFonts w:hint="eastAsia" w:ascii="宋体" w:hAnsi="宋体" w:eastAsia="宋体" w:cs="宋体"/>
          <w:bCs/>
          <w:sz w:val="44"/>
          <w:szCs w:val="44"/>
        </w:rPr>
      </w:pPr>
    </w:p>
    <w:p w14:paraId="7D2C8151">
      <w:pPr>
        <w:spacing w:line="520" w:lineRule="exact"/>
        <w:ind w:firstLine="883"/>
        <w:jc w:val="center"/>
        <w:rPr>
          <w:rFonts w:hint="eastAsia" w:ascii="宋体" w:hAnsi="宋体" w:eastAsia="宋体" w:cs="宋体"/>
          <w:bCs/>
          <w:sz w:val="32"/>
          <w:szCs w:val="32"/>
        </w:rPr>
      </w:pPr>
      <w:r>
        <w:rPr>
          <w:rFonts w:hint="eastAsia" w:ascii="宋体" w:hAnsi="宋体" w:eastAsia="宋体" w:cs="宋体"/>
          <w:bCs/>
          <w:sz w:val="44"/>
          <w:szCs w:val="44"/>
        </w:rPr>
        <w:t>竞  标  报  价  表</w:t>
      </w:r>
    </w:p>
    <w:p w14:paraId="2F69EC79">
      <w:pPr>
        <w:ind w:firstLine="643"/>
        <w:rPr>
          <w:rFonts w:hint="eastAsia" w:ascii="宋体" w:hAnsi="宋体" w:eastAsia="宋体" w:cs="宋体"/>
          <w:snapToGrid w:val="0"/>
          <w:kern w:val="0"/>
          <w:sz w:val="32"/>
          <w:szCs w:val="32"/>
        </w:rPr>
      </w:pPr>
    </w:p>
    <w:p w14:paraId="0DA1B51A">
      <w:pPr>
        <w:ind w:firstLine="482"/>
        <w:jc w:val="center"/>
        <w:rPr>
          <w:rFonts w:hint="eastAsia" w:ascii="宋体" w:hAnsi="宋体" w:eastAsia="宋体" w:cs="宋体"/>
          <w:snapToGrid w:val="0"/>
          <w:kern w:val="0"/>
          <w:sz w:val="24"/>
        </w:rPr>
      </w:pPr>
      <w:r>
        <w:rPr>
          <w:rFonts w:hint="eastAsia" w:ascii="宋体" w:hAnsi="宋体" w:eastAsia="宋体" w:cs="宋体"/>
          <w:snapToGrid w:val="0"/>
          <w:kern w:val="0"/>
          <w:sz w:val="24"/>
        </w:rPr>
        <w:t xml:space="preserve">                   </w:t>
      </w:r>
    </w:p>
    <w:p w14:paraId="0FAD6371">
      <w:pPr>
        <w:snapToGrid w:val="0"/>
        <w:spacing w:before="50" w:after="50" w:line="360" w:lineRule="auto"/>
        <w:ind w:firstLine="482"/>
        <w:rPr>
          <w:rFonts w:hint="eastAsia" w:ascii="宋体" w:hAnsi="宋体" w:eastAsia="宋体" w:cs="宋体"/>
          <w:sz w:val="24"/>
          <w:u w:val="single"/>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rPr>
        <w:t>项目编号：</w:t>
      </w:r>
      <w:r>
        <w:rPr>
          <w:rFonts w:hint="eastAsia" w:ascii="宋体" w:hAnsi="宋体" w:eastAsia="宋体" w:cs="宋体"/>
          <w:sz w:val="24"/>
          <w:u w:val="single"/>
        </w:rPr>
        <w:t xml:space="preserve">                        </w:t>
      </w:r>
    </w:p>
    <w:p w14:paraId="09CC93FC">
      <w:pPr>
        <w:snapToGrid w:val="0"/>
        <w:spacing w:before="50" w:after="50" w:line="360" w:lineRule="auto"/>
        <w:ind w:firstLine="482"/>
        <w:rPr>
          <w:rFonts w:hint="eastAsia" w:ascii="宋体" w:hAnsi="宋体" w:eastAsia="宋体" w:cs="宋体"/>
          <w:sz w:val="24"/>
        </w:rPr>
      </w:pPr>
      <w:r>
        <w:rPr>
          <w:rFonts w:hint="eastAsia" w:ascii="宋体" w:hAnsi="宋体" w:eastAsia="宋体" w:cs="宋体"/>
          <w:sz w:val="24"/>
        </w:rPr>
        <w:t>分标（如有）：</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0855EB4A">
      <w:pPr>
        <w:snapToGrid w:val="0"/>
        <w:spacing w:before="50" w:after="50" w:line="360" w:lineRule="auto"/>
        <w:ind w:firstLine="482"/>
        <w:rPr>
          <w:rFonts w:hint="eastAsia" w:ascii="宋体" w:hAnsi="宋体" w:eastAsia="宋体" w:cs="宋体"/>
          <w:sz w:val="24"/>
        </w:rPr>
      </w:pPr>
      <w:r>
        <w:rPr>
          <w:rFonts w:hint="eastAsia" w:ascii="宋体" w:hAnsi="宋体" w:eastAsia="宋体" w:cs="宋体"/>
          <w:sz w:val="24"/>
        </w:rPr>
        <w:t>供应商名称：</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633026F6">
      <w:pPr>
        <w:snapToGrid w:val="0"/>
        <w:spacing w:before="50" w:after="50"/>
        <w:ind w:firstLine="482"/>
        <w:jc w:val="right"/>
        <w:rPr>
          <w:rFonts w:hint="eastAsia" w:ascii="宋体" w:hAnsi="宋体" w:eastAsia="宋体" w:cs="宋体"/>
          <w:sz w:val="24"/>
        </w:rPr>
      </w:pPr>
      <w:r>
        <w:rPr>
          <w:rFonts w:hint="eastAsia" w:ascii="宋体" w:hAnsi="宋体" w:eastAsia="宋体" w:cs="宋体"/>
          <w:sz w:val="24"/>
        </w:rPr>
        <w:t xml:space="preserve">单位：元      </w:t>
      </w:r>
    </w:p>
    <w:tbl>
      <w:tblPr>
        <w:tblStyle w:val="52"/>
        <w:tblpPr w:leftFromText="180" w:rightFromText="180" w:vertAnchor="text" w:horzAnchor="page" w:tblpX="1364" w:tblpY="495"/>
        <w:tblOverlap w:val="never"/>
        <w:tblW w:w="9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468"/>
        <w:gridCol w:w="982"/>
        <w:gridCol w:w="1036"/>
        <w:gridCol w:w="1746"/>
        <w:gridCol w:w="2004"/>
        <w:gridCol w:w="600"/>
      </w:tblGrid>
      <w:tr w14:paraId="6FF20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723" w:type="dxa"/>
            <w:tcBorders>
              <w:top w:val="single" w:color="auto" w:sz="4" w:space="0"/>
              <w:left w:val="single" w:color="auto" w:sz="4" w:space="0"/>
              <w:bottom w:val="single" w:color="auto" w:sz="4" w:space="0"/>
              <w:right w:val="single" w:color="auto" w:sz="4" w:space="0"/>
            </w:tcBorders>
            <w:vAlign w:val="center"/>
          </w:tcPr>
          <w:p w14:paraId="4953843B">
            <w:pPr>
              <w:rPr>
                <w:rFonts w:hint="eastAsia" w:ascii="宋体" w:hAnsi="宋体" w:eastAsia="宋体" w:cs="宋体"/>
                <w:sz w:val="24"/>
              </w:rPr>
            </w:pPr>
            <w:r>
              <w:rPr>
                <w:rFonts w:hint="eastAsia" w:ascii="宋体" w:hAnsi="宋体" w:eastAsia="宋体" w:cs="宋体"/>
                <w:sz w:val="24"/>
              </w:rPr>
              <w:t>序号</w:t>
            </w:r>
          </w:p>
        </w:tc>
        <w:tc>
          <w:tcPr>
            <w:tcW w:w="2468" w:type="dxa"/>
            <w:tcBorders>
              <w:top w:val="single" w:color="auto" w:sz="4" w:space="0"/>
              <w:left w:val="single" w:color="auto" w:sz="4" w:space="0"/>
              <w:bottom w:val="single" w:color="auto" w:sz="4" w:space="0"/>
              <w:right w:val="single" w:color="auto" w:sz="4" w:space="0"/>
            </w:tcBorders>
            <w:vAlign w:val="center"/>
          </w:tcPr>
          <w:p w14:paraId="2404B59C">
            <w:pPr>
              <w:ind w:firstLine="482"/>
              <w:jc w:val="center"/>
              <w:rPr>
                <w:rFonts w:hint="eastAsia" w:ascii="宋体" w:hAnsi="宋体" w:eastAsia="宋体" w:cs="宋体"/>
                <w:sz w:val="24"/>
              </w:rPr>
            </w:pPr>
            <w:r>
              <w:rPr>
                <w:rFonts w:hint="eastAsia" w:ascii="宋体" w:hAnsi="宋体" w:eastAsia="宋体" w:cs="宋体"/>
                <w:sz w:val="24"/>
              </w:rPr>
              <w:t>服务名称</w:t>
            </w:r>
          </w:p>
        </w:tc>
        <w:tc>
          <w:tcPr>
            <w:tcW w:w="982" w:type="dxa"/>
            <w:tcBorders>
              <w:top w:val="single" w:color="auto" w:sz="4" w:space="0"/>
              <w:left w:val="single" w:color="auto" w:sz="4" w:space="0"/>
              <w:bottom w:val="single" w:color="auto" w:sz="4" w:space="0"/>
              <w:right w:val="single" w:color="auto" w:sz="4" w:space="0"/>
            </w:tcBorders>
            <w:vAlign w:val="center"/>
          </w:tcPr>
          <w:p w14:paraId="63B7E3E8">
            <w:pPr>
              <w:rPr>
                <w:rFonts w:hint="eastAsia" w:ascii="宋体" w:hAnsi="宋体" w:eastAsia="宋体" w:cs="宋体"/>
                <w:sz w:val="24"/>
              </w:rPr>
            </w:pPr>
            <w:r>
              <w:rPr>
                <w:rFonts w:hint="eastAsia" w:ascii="宋体" w:hAnsi="宋体" w:eastAsia="宋体" w:cs="宋体"/>
                <w:sz w:val="24"/>
              </w:rPr>
              <w:t>①数量</w:t>
            </w:r>
          </w:p>
        </w:tc>
        <w:tc>
          <w:tcPr>
            <w:tcW w:w="1036" w:type="dxa"/>
            <w:tcBorders>
              <w:top w:val="single" w:color="auto" w:sz="4" w:space="0"/>
              <w:left w:val="single" w:color="auto" w:sz="4" w:space="0"/>
              <w:bottom w:val="single" w:color="auto" w:sz="4" w:space="0"/>
              <w:right w:val="single" w:color="auto" w:sz="4" w:space="0"/>
            </w:tcBorders>
            <w:vAlign w:val="center"/>
          </w:tcPr>
          <w:p w14:paraId="20AF2B00">
            <w:pPr>
              <w:rPr>
                <w:rFonts w:hint="eastAsia" w:ascii="宋体" w:hAnsi="宋体" w:eastAsia="宋体" w:cs="宋体"/>
                <w:sz w:val="24"/>
              </w:rPr>
            </w:pPr>
            <w:r>
              <w:rPr>
                <w:rFonts w:hint="eastAsia" w:ascii="宋体" w:hAnsi="宋体" w:eastAsia="宋体" w:cs="宋体"/>
                <w:sz w:val="24"/>
              </w:rPr>
              <w:t>单位</w:t>
            </w:r>
          </w:p>
        </w:tc>
        <w:tc>
          <w:tcPr>
            <w:tcW w:w="1746" w:type="dxa"/>
            <w:tcBorders>
              <w:top w:val="single" w:color="auto" w:sz="4" w:space="0"/>
              <w:left w:val="single" w:color="auto" w:sz="4" w:space="0"/>
              <w:bottom w:val="single" w:color="auto" w:sz="4" w:space="0"/>
              <w:right w:val="single" w:color="auto" w:sz="4" w:space="0"/>
            </w:tcBorders>
            <w:vAlign w:val="center"/>
          </w:tcPr>
          <w:p w14:paraId="7B11722B">
            <w:pPr>
              <w:rPr>
                <w:rFonts w:hint="eastAsia" w:ascii="宋体" w:hAnsi="宋体" w:eastAsia="宋体" w:cs="宋体"/>
                <w:sz w:val="24"/>
              </w:rPr>
            </w:pPr>
            <w:r>
              <w:rPr>
                <w:rFonts w:hint="eastAsia" w:ascii="宋体" w:hAnsi="宋体" w:eastAsia="宋体" w:cs="宋体"/>
                <w:sz w:val="24"/>
              </w:rPr>
              <w:t>②单价报价</w:t>
            </w:r>
          </w:p>
        </w:tc>
        <w:tc>
          <w:tcPr>
            <w:tcW w:w="2004" w:type="dxa"/>
            <w:tcBorders>
              <w:top w:val="single" w:color="auto" w:sz="4" w:space="0"/>
              <w:left w:val="single" w:color="auto" w:sz="4" w:space="0"/>
              <w:bottom w:val="single" w:color="auto" w:sz="4" w:space="0"/>
              <w:right w:val="single" w:color="auto" w:sz="4" w:space="0"/>
            </w:tcBorders>
            <w:vAlign w:val="center"/>
          </w:tcPr>
          <w:p w14:paraId="6755CD49">
            <w:pPr>
              <w:rPr>
                <w:rFonts w:hint="eastAsia" w:ascii="宋体" w:hAnsi="宋体" w:eastAsia="宋体" w:cs="宋体"/>
                <w:sz w:val="24"/>
              </w:rPr>
            </w:pPr>
            <w:r>
              <w:rPr>
                <w:rFonts w:hint="eastAsia" w:ascii="宋体" w:hAnsi="宋体" w:eastAsia="宋体" w:cs="宋体"/>
                <w:sz w:val="24"/>
              </w:rPr>
              <w:t>③小计（元）</w:t>
            </w:r>
          </w:p>
          <w:p w14:paraId="61B1587D">
            <w:pPr>
              <w:rPr>
                <w:rFonts w:hint="eastAsia" w:ascii="宋体" w:hAnsi="宋体" w:eastAsia="宋体" w:cs="宋体"/>
                <w:sz w:val="24"/>
              </w:rPr>
            </w:pPr>
            <w:r>
              <w:rPr>
                <w:rFonts w:hint="eastAsia" w:ascii="宋体" w:hAnsi="宋体" w:eastAsia="宋体" w:cs="宋体"/>
                <w:sz w:val="24"/>
              </w:rPr>
              <w:t>（③=①*②）</w:t>
            </w:r>
          </w:p>
        </w:tc>
        <w:tc>
          <w:tcPr>
            <w:tcW w:w="600" w:type="dxa"/>
            <w:tcBorders>
              <w:top w:val="single" w:color="auto" w:sz="4" w:space="0"/>
              <w:left w:val="single" w:color="auto" w:sz="4" w:space="0"/>
              <w:bottom w:val="single" w:color="auto" w:sz="4" w:space="0"/>
              <w:right w:val="single" w:color="auto" w:sz="4" w:space="0"/>
            </w:tcBorders>
            <w:vAlign w:val="center"/>
          </w:tcPr>
          <w:p w14:paraId="6B9C8D9F">
            <w:pPr>
              <w:ind w:firstLine="482"/>
              <w:jc w:val="center"/>
              <w:rPr>
                <w:rFonts w:hint="eastAsia" w:ascii="宋体" w:hAnsi="宋体" w:eastAsia="宋体" w:cs="宋体"/>
                <w:sz w:val="24"/>
              </w:rPr>
            </w:pPr>
            <w:r>
              <w:rPr>
                <w:rFonts w:hint="eastAsia" w:ascii="宋体" w:hAnsi="宋体" w:eastAsia="宋体" w:cs="宋体"/>
                <w:sz w:val="24"/>
              </w:rPr>
              <w:t>备注</w:t>
            </w:r>
          </w:p>
        </w:tc>
      </w:tr>
      <w:tr w14:paraId="689CB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2" w:hRule="atLeast"/>
        </w:trPr>
        <w:tc>
          <w:tcPr>
            <w:tcW w:w="723" w:type="dxa"/>
            <w:tcBorders>
              <w:top w:val="single" w:color="auto" w:sz="4" w:space="0"/>
              <w:left w:val="single" w:color="auto" w:sz="4" w:space="0"/>
              <w:bottom w:val="single" w:color="auto" w:sz="4" w:space="0"/>
              <w:right w:val="single" w:color="auto" w:sz="4" w:space="0"/>
            </w:tcBorders>
            <w:vAlign w:val="center"/>
          </w:tcPr>
          <w:p w14:paraId="3227C5A7">
            <w:pPr>
              <w:ind w:firstLine="240" w:firstLineChars="100"/>
              <w:rPr>
                <w:rFonts w:hint="eastAsia" w:ascii="宋体" w:hAnsi="宋体" w:eastAsia="宋体" w:cs="宋体"/>
                <w:sz w:val="24"/>
              </w:rPr>
            </w:pPr>
            <w:r>
              <w:rPr>
                <w:rFonts w:hint="eastAsia" w:ascii="宋体" w:hAnsi="宋体" w:eastAsia="宋体" w:cs="宋体"/>
                <w:sz w:val="24"/>
              </w:rPr>
              <w:t>1</w:t>
            </w:r>
          </w:p>
        </w:tc>
        <w:tc>
          <w:tcPr>
            <w:tcW w:w="2468" w:type="dxa"/>
            <w:tcBorders>
              <w:top w:val="single" w:color="auto" w:sz="4" w:space="0"/>
              <w:left w:val="single" w:color="auto" w:sz="4" w:space="0"/>
              <w:bottom w:val="single" w:color="auto" w:sz="4" w:space="0"/>
              <w:right w:val="single" w:color="auto" w:sz="4" w:space="0"/>
            </w:tcBorders>
            <w:vAlign w:val="center"/>
          </w:tcPr>
          <w:p w14:paraId="3AD66ECF">
            <w:pPr>
              <w:ind w:firstLine="482"/>
              <w:jc w:val="center"/>
              <w:rPr>
                <w:rFonts w:hint="eastAsia" w:ascii="宋体" w:hAnsi="宋体" w:eastAsia="宋体" w:cs="宋体"/>
                <w:sz w:val="24"/>
              </w:rPr>
            </w:pPr>
          </w:p>
        </w:tc>
        <w:tc>
          <w:tcPr>
            <w:tcW w:w="982" w:type="dxa"/>
            <w:tcBorders>
              <w:top w:val="single" w:color="auto" w:sz="4" w:space="0"/>
              <w:left w:val="single" w:color="auto" w:sz="4" w:space="0"/>
              <w:bottom w:val="single" w:color="auto" w:sz="4" w:space="0"/>
              <w:right w:val="single" w:color="auto" w:sz="4" w:space="0"/>
            </w:tcBorders>
            <w:vAlign w:val="center"/>
          </w:tcPr>
          <w:p w14:paraId="4F65DE8E">
            <w:pPr>
              <w:ind w:firstLine="482"/>
              <w:rPr>
                <w:rFonts w:hint="eastAsia" w:ascii="宋体" w:hAnsi="宋体" w:eastAsia="宋体" w:cs="宋体"/>
                <w:sz w:val="24"/>
              </w:rPr>
            </w:pPr>
          </w:p>
        </w:tc>
        <w:tc>
          <w:tcPr>
            <w:tcW w:w="1036" w:type="dxa"/>
            <w:tcBorders>
              <w:top w:val="single" w:color="auto" w:sz="4" w:space="0"/>
              <w:left w:val="single" w:color="auto" w:sz="4" w:space="0"/>
              <w:bottom w:val="single" w:color="auto" w:sz="4" w:space="0"/>
              <w:right w:val="single" w:color="auto" w:sz="4" w:space="0"/>
            </w:tcBorders>
          </w:tcPr>
          <w:p w14:paraId="1217C1E2">
            <w:pPr>
              <w:ind w:firstLine="482"/>
              <w:rPr>
                <w:rFonts w:hint="eastAsia" w:ascii="宋体" w:hAnsi="宋体" w:eastAsia="宋体" w:cs="宋体"/>
                <w:sz w:val="24"/>
              </w:rPr>
            </w:pPr>
          </w:p>
        </w:tc>
        <w:tc>
          <w:tcPr>
            <w:tcW w:w="1746" w:type="dxa"/>
            <w:tcBorders>
              <w:top w:val="single" w:color="auto" w:sz="4" w:space="0"/>
              <w:left w:val="single" w:color="auto" w:sz="4" w:space="0"/>
              <w:bottom w:val="single" w:color="auto" w:sz="4" w:space="0"/>
              <w:right w:val="single" w:color="auto" w:sz="4" w:space="0"/>
            </w:tcBorders>
          </w:tcPr>
          <w:p w14:paraId="3475BBD7">
            <w:pPr>
              <w:ind w:firstLine="482"/>
              <w:rPr>
                <w:rFonts w:hint="eastAsia" w:ascii="宋体" w:hAnsi="宋体" w:eastAsia="宋体" w:cs="宋体"/>
                <w:sz w:val="24"/>
              </w:rPr>
            </w:pPr>
          </w:p>
        </w:tc>
        <w:tc>
          <w:tcPr>
            <w:tcW w:w="2004" w:type="dxa"/>
            <w:tcBorders>
              <w:top w:val="single" w:color="auto" w:sz="4" w:space="0"/>
              <w:left w:val="single" w:color="auto" w:sz="4" w:space="0"/>
              <w:bottom w:val="single" w:color="auto" w:sz="4" w:space="0"/>
              <w:right w:val="single" w:color="auto" w:sz="4" w:space="0"/>
            </w:tcBorders>
            <w:vAlign w:val="center"/>
          </w:tcPr>
          <w:p w14:paraId="23B3FE8D">
            <w:pPr>
              <w:ind w:firstLine="482"/>
              <w:rPr>
                <w:rFonts w:hint="eastAsia" w:ascii="宋体" w:hAnsi="宋体" w:eastAsia="宋体" w:cs="宋体"/>
                <w:sz w:val="24"/>
              </w:rPr>
            </w:pPr>
          </w:p>
        </w:tc>
        <w:tc>
          <w:tcPr>
            <w:tcW w:w="600" w:type="dxa"/>
            <w:tcBorders>
              <w:top w:val="single" w:color="auto" w:sz="4" w:space="0"/>
              <w:left w:val="single" w:color="auto" w:sz="4" w:space="0"/>
              <w:bottom w:val="single" w:color="auto" w:sz="4" w:space="0"/>
              <w:right w:val="single" w:color="auto" w:sz="4" w:space="0"/>
            </w:tcBorders>
            <w:vAlign w:val="center"/>
          </w:tcPr>
          <w:p w14:paraId="4B3919B9">
            <w:pPr>
              <w:ind w:firstLine="482"/>
              <w:rPr>
                <w:rFonts w:hint="eastAsia" w:ascii="宋体" w:hAnsi="宋体" w:eastAsia="宋体" w:cs="宋体"/>
                <w:sz w:val="24"/>
              </w:rPr>
            </w:pPr>
          </w:p>
        </w:tc>
      </w:tr>
      <w:tr w14:paraId="05A24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723" w:type="dxa"/>
            <w:tcBorders>
              <w:top w:val="single" w:color="auto" w:sz="4" w:space="0"/>
              <w:left w:val="single" w:color="auto" w:sz="4" w:space="0"/>
              <w:bottom w:val="single" w:color="auto" w:sz="4" w:space="0"/>
              <w:right w:val="single" w:color="auto" w:sz="4" w:space="0"/>
            </w:tcBorders>
            <w:vAlign w:val="center"/>
          </w:tcPr>
          <w:p w14:paraId="5F5A49D6">
            <w:pPr>
              <w:rPr>
                <w:rFonts w:hint="eastAsia" w:ascii="宋体" w:hAnsi="宋体" w:eastAsia="宋体" w:cs="宋体"/>
                <w:sz w:val="24"/>
              </w:rPr>
            </w:pPr>
            <w:r>
              <w:rPr>
                <w:rFonts w:hint="eastAsia" w:ascii="宋体" w:hAnsi="宋体"/>
                <w:b/>
                <w:sz w:val="24"/>
              </w:rPr>
              <w:t>……</w:t>
            </w:r>
          </w:p>
        </w:tc>
        <w:tc>
          <w:tcPr>
            <w:tcW w:w="2468" w:type="dxa"/>
            <w:tcBorders>
              <w:top w:val="single" w:color="auto" w:sz="4" w:space="0"/>
              <w:left w:val="single" w:color="auto" w:sz="4" w:space="0"/>
              <w:bottom w:val="single" w:color="auto" w:sz="4" w:space="0"/>
              <w:right w:val="single" w:color="auto" w:sz="4" w:space="0"/>
            </w:tcBorders>
            <w:vAlign w:val="center"/>
          </w:tcPr>
          <w:p w14:paraId="25CF8676">
            <w:pPr>
              <w:ind w:firstLine="482"/>
              <w:jc w:val="center"/>
              <w:rPr>
                <w:rFonts w:hint="eastAsia" w:ascii="宋体" w:hAnsi="宋体" w:eastAsia="宋体" w:cs="宋体"/>
                <w:sz w:val="24"/>
              </w:rPr>
            </w:pPr>
          </w:p>
        </w:tc>
        <w:tc>
          <w:tcPr>
            <w:tcW w:w="982" w:type="dxa"/>
            <w:tcBorders>
              <w:top w:val="single" w:color="auto" w:sz="4" w:space="0"/>
              <w:left w:val="single" w:color="auto" w:sz="4" w:space="0"/>
              <w:bottom w:val="single" w:color="auto" w:sz="4" w:space="0"/>
              <w:right w:val="single" w:color="auto" w:sz="4" w:space="0"/>
            </w:tcBorders>
            <w:vAlign w:val="center"/>
          </w:tcPr>
          <w:p w14:paraId="2566300A">
            <w:pPr>
              <w:ind w:firstLine="482"/>
              <w:rPr>
                <w:rFonts w:hint="eastAsia" w:ascii="宋体" w:hAnsi="宋体" w:eastAsia="宋体" w:cs="宋体"/>
                <w:sz w:val="24"/>
              </w:rPr>
            </w:pPr>
          </w:p>
        </w:tc>
        <w:tc>
          <w:tcPr>
            <w:tcW w:w="1036" w:type="dxa"/>
            <w:tcBorders>
              <w:top w:val="single" w:color="auto" w:sz="4" w:space="0"/>
              <w:left w:val="single" w:color="auto" w:sz="4" w:space="0"/>
              <w:bottom w:val="single" w:color="auto" w:sz="4" w:space="0"/>
              <w:right w:val="single" w:color="auto" w:sz="4" w:space="0"/>
            </w:tcBorders>
          </w:tcPr>
          <w:p w14:paraId="5C4DBAEF">
            <w:pPr>
              <w:ind w:firstLine="482"/>
              <w:rPr>
                <w:rFonts w:hint="eastAsia" w:ascii="宋体" w:hAnsi="宋体" w:eastAsia="宋体" w:cs="宋体"/>
                <w:sz w:val="24"/>
              </w:rPr>
            </w:pPr>
          </w:p>
        </w:tc>
        <w:tc>
          <w:tcPr>
            <w:tcW w:w="1746" w:type="dxa"/>
            <w:tcBorders>
              <w:top w:val="single" w:color="auto" w:sz="4" w:space="0"/>
              <w:left w:val="single" w:color="auto" w:sz="4" w:space="0"/>
              <w:bottom w:val="single" w:color="auto" w:sz="4" w:space="0"/>
              <w:right w:val="single" w:color="auto" w:sz="4" w:space="0"/>
            </w:tcBorders>
          </w:tcPr>
          <w:p w14:paraId="2D0951B8">
            <w:pPr>
              <w:ind w:firstLine="482"/>
              <w:rPr>
                <w:rFonts w:hint="eastAsia" w:ascii="宋体" w:hAnsi="宋体" w:eastAsia="宋体" w:cs="宋体"/>
                <w:sz w:val="24"/>
              </w:rPr>
            </w:pPr>
          </w:p>
        </w:tc>
        <w:tc>
          <w:tcPr>
            <w:tcW w:w="2004" w:type="dxa"/>
            <w:tcBorders>
              <w:top w:val="single" w:color="auto" w:sz="4" w:space="0"/>
              <w:left w:val="single" w:color="auto" w:sz="4" w:space="0"/>
              <w:bottom w:val="single" w:color="auto" w:sz="4" w:space="0"/>
              <w:right w:val="single" w:color="auto" w:sz="4" w:space="0"/>
            </w:tcBorders>
            <w:vAlign w:val="center"/>
          </w:tcPr>
          <w:p w14:paraId="5990D316">
            <w:pPr>
              <w:ind w:firstLine="482"/>
              <w:rPr>
                <w:rFonts w:hint="eastAsia" w:ascii="宋体" w:hAnsi="宋体" w:eastAsia="宋体" w:cs="宋体"/>
                <w:sz w:val="24"/>
              </w:rPr>
            </w:pPr>
          </w:p>
        </w:tc>
        <w:tc>
          <w:tcPr>
            <w:tcW w:w="600" w:type="dxa"/>
            <w:tcBorders>
              <w:top w:val="single" w:color="auto" w:sz="4" w:space="0"/>
              <w:left w:val="single" w:color="auto" w:sz="4" w:space="0"/>
              <w:bottom w:val="single" w:color="auto" w:sz="4" w:space="0"/>
              <w:right w:val="single" w:color="auto" w:sz="4" w:space="0"/>
            </w:tcBorders>
            <w:vAlign w:val="center"/>
          </w:tcPr>
          <w:p w14:paraId="23FEEBA1">
            <w:pPr>
              <w:ind w:firstLine="482"/>
              <w:rPr>
                <w:rFonts w:hint="eastAsia" w:ascii="宋体" w:hAnsi="宋体" w:eastAsia="宋体" w:cs="宋体"/>
                <w:sz w:val="24"/>
              </w:rPr>
            </w:pPr>
          </w:p>
        </w:tc>
      </w:tr>
      <w:tr w14:paraId="35416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7" w:hRule="atLeast"/>
        </w:trPr>
        <w:tc>
          <w:tcPr>
            <w:tcW w:w="9559" w:type="dxa"/>
            <w:gridSpan w:val="7"/>
            <w:tcBorders>
              <w:top w:val="single" w:color="auto" w:sz="4" w:space="0"/>
              <w:left w:val="single" w:color="auto" w:sz="4" w:space="0"/>
              <w:bottom w:val="single" w:color="auto" w:sz="4" w:space="0"/>
              <w:right w:val="single" w:color="auto" w:sz="4" w:space="0"/>
            </w:tcBorders>
            <w:vAlign w:val="center"/>
          </w:tcPr>
          <w:p w14:paraId="3D13A22D">
            <w:pPr>
              <w:snapToGrid w:val="0"/>
              <w:spacing w:before="50" w:after="50"/>
              <w:ind w:firstLine="482"/>
              <w:rPr>
                <w:rFonts w:hint="eastAsia" w:ascii="宋体" w:hAnsi="宋体" w:eastAsia="宋体" w:cs="宋体"/>
                <w:sz w:val="24"/>
              </w:rPr>
            </w:pPr>
            <w:r>
              <w:rPr>
                <w:rFonts w:hint="eastAsia" w:ascii="宋体" w:hAnsi="宋体" w:eastAsia="宋体" w:cs="宋体"/>
                <w:sz w:val="24"/>
              </w:rPr>
              <w:t>合计金额大写：人民币</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w:t>
            </w:r>
          </w:p>
        </w:tc>
      </w:tr>
    </w:tbl>
    <w:p w14:paraId="291D0040">
      <w:pPr>
        <w:snapToGrid w:val="0"/>
        <w:spacing w:before="50" w:after="50" w:line="360" w:lineRule="auto"/>
        <w:jc w:val="left"/>
        <w:rPr>
          <w:rFonts w:hint="eastAsia" w:ascii="宋体" w:hAnsi="宋体" w:eastAsia="宋体" w:cs="宋体"/>
          <w:sz w:val="24"/>
        </w:rPr>
      </w:pPr>
      <w:r>
        <w:rPr>
          <w:rFonts w:hint="eastAsia" w:ascii="宋体" w:hAnsi="宋体" w:eastAsia="宋体" w:cs="宋体"/>
          <w:sz w:val="24"/>
        </w:rPr>
        <w:t xml:space="preserve"> 注:</w:t>
      </w:r>
    </w:p>
    <w:p w14:paraId="589F6CBE">
      <w:pPr>
        <w:snapToGrid w:val="0"/>
        <w:spacing w:before="50" w:after="50"/>
        <w:ind w:firstLine="480" w:firstLineChars="200"/>
        <w:jc w:val="left"/>
        <w:rPr>
          <w:rFonts w:hint="eastAsia" w:ascii="宋体" w:hAnsi="宋体" w:eastAsia="宋体" w:cs="宋体"/>
          <w:sz w:val="24"/>
        </w:rPr>
      </w:pPr>
      <w:r>
        <w:rPr>
          <w:rFonts w:hint="eastAsia" w:ascii="宋体" w:hAnsi="宋体" w:eastAsia="宋体" w:cs="宋体"/>
          <w:sz w:val="24"/>
        </w:rPr>
        <w:t>1.供应商的竞标报价表必须加盖电子签章并由法定代表人或者委托代理人签字或者电子签名，</w:t>
      </w:r>
      <w:r>
        <w:rPr>
          <w:rFonts w:hint="eastAsia" w:ascii="宋体" w:hAnsi="宋体" w:eastAsia="宋体" w:cs="宋体"/>
          <w:b/>
          <w:sz w:val="24"/>
        </w:rPr>
        <w:t>否则其投标作无效标处理</w:t>
      </w:r>
      <w:r>
        <w:rPr>
          <w:rFonts w:hint="eastAsia" w:ascii="宋体" w:hAnsi="宋体" w:eastAsia="宋体" w:cs="宋体"/>
          <w:sz w:val="24"/>
        </w:rPr>
        <w:t>。</w:t>
      </w:r>
    </w:p>
    <w:p w14:paraId="771B9886">
      <w:pPr>
        <w:snapToGrid w:val="0"/>
        <w:spacing w:before="50" w:after="50"/>
        <w:ind w:firstLine="480" w:firstLineChars="200"/>
        <w:jc w:val="left"/>
        <w:rPr>
          <w:rFonts w:hint="eastAsia" w:ascii="宋体" w:hAnsi="宋体" w:eastAsia="宋体" w:cs="宋体"/>
          <w:b/>
          <w:sz w:val="24"/>
        </w:rPr>
      </w:pPr>
      <w:r>
        <w:rPr>
          <w:rFonts w:hint="eastAsia" w:ascii="宋体" w:hAnsi="宋体" w:eastAsia="宋体" w:cs="宋体"/>
          <w:bCs/>
          <w:sz w:val="24"/>
        </w:rPr>
        <w:t>2.</w:t>
      </w:r>
      <w:r>
        <w:rPr>
          <w:rFonts w:hint="eastAsia" w:ascii="宋体" w:hAnsi="宋体" w:eastAsia="宋体" w:cs="宋体"/>
          <w:sz w:val="24"/>
        </w:rPr>
        <w:t>报价一经涂改，应在涂改处加盖电子签章或者由法定代表人或者授权委托人签字（或者电子签名）或者公章</w:t>
      </w:r>
      <w:r>
        <w:rPr>
          <w:rFonts w:hint="eastAsia" w:ascii="宋体" w:hAnsi="宋体" w:eastAsia="宋体" w:cs="宋体"/>
          <w:b/>
          <w:sz w:val="24"/>
        </w:rPr>
        <w:t>，否则其投标作无效标处理。</w:t>
      </w:r>
    </w:p>
    <w:p w14:paraId="78B75545">
      <w:pPr>
        <w:snapToGrid w:val="0"/>
        <w:spacing w:before="50" w:after="50"/>
        <w:ind w:firstLine="480" w:firstLineChars="200"/>
        <w:jc w:val="left"/>
        <w:rPr>
          <w:rFonts w:hint="eastAsia" w:ascii="宋体" w:hAnsi="宋体" w:eastAsia="宋体" w:cs="宋体"/>
          <w:sz w:val="24"/>
        </w:rPr>
      </w:pPr>
      <w:r>
        <w:rPr>
          <w:rFonts w:hint="eastAsia" w:ascii="宋体" w:hAnsi="宋体" w:eastAsia="宋体" w:cs="宋体"/>
          <w:sz w:val="24"/>
        </w:rPr>
        <w:t>3.如为联合体投标，“供应商名称”处必须列明联合体各方名称，并标注联合体牵头人名称，</w:t>
      </w:r>
      <w:r>
        <w:rPr>
          <w:rFonts w:hint="eastAsia" w:ascii="宋体" w:hAnsi="宋体" w:eastAsia="宋体" w:cs="宋体"/>
          <w:b/>
          <w:sz w:val="24"/>
        </w:rPr>
        <w:t>否则其投标作无效标处理。</w:t>
      </w:r>
    </w:p>
    <w:p w14:paraId="2C4F3D5E">
      <w:pPr>
        <w:snapToGrid w:val="0"/>
        <w:spacing w:before="50" w:after="50"/>
        <w:ind w:firstLine="480" w:firstLineChars="200"/>
        <w:jc w:val="left"/>
        <w:rPr>
          <w:rFonts w:hint="eastAsia" w:ascii="宋体" w:hAnsi="宋体" w:eastAsia="宋体" w:cs="宋体"/>
          <w:sz w:val="24"/>
        </w:rPr>
      </w:pPr>
      <w:r>
        <w:rPr>
          <w:rFonts w:hint="eastAsia" w:ascii="宋体" w:hAnsi="宋体" w:eastAsia="宋体" w:cs="宋体"/>
          <w:sz w:val="24"/>
        </w:rPr>
        <w:t>4.如为联合体投标，盖章处须加盖联合体各方公章，</w:t>
      </w:r>
      <w:r>
        <w:rPr>
          <w:rFonts w:hint="eastAsia" w:ascii="宋体" w:hAnsi="宋体" w:eastAsia="宋体" w:cs="宋体"/>
          <w:b/>
          <w:sz w:val="24"/>
        </w:rPr>
        <w:t>否则其投标作无效标处理。</w:t>
      </w:r>
    </w:p>
    <w:p w14:paraId="76F1F804">
      <w:pPr>
        <w:snapToGrid w:val="0"/>
        <w:spacing w:before="50" w:after="50"/>
        <w:ind w:firstLine="480" w:firstLineChars="200"/>
        <w:rPr>
          <w:rFonts w:hint="eastAsia" w:ascii="宋体" w:hAnsi="宋体" w:eastAsia="宋体" w:cs="宋体"/>
        </w:rPr>
      </w:pPr>
      <w:r>
        <w:rPr>
          <w:rFonts w:hint="eastAsia" w:ascii="宋体" w:hAnsi="宋体" w:eastAsia="宋体" w:cs="宋体"/>
          <w:sz w:val="24"/>
        </w:rPr>
        <w:t>5.如有多分标，按分标分别提供竞标报价表，</w:t>
      </w:r>
      <w:r>
        <w:rPr>
          <w:rFonts w:hint="eastAsia" w:ascii="宋体" w:hAnsi="宋体" w:eastAsia="宋体" w:cs="宋体"/>
          <w:b/>
          <w:sz w:val="24"/>
        </w:rPr>
        <w:t>否则投标无效。</w:t>
      </w:r>
    </w:p>
    <w:p w14:paraId="3BC4AC7C">
      <w:pPr>
        <w:wordWrap w:val="0"/>
        <w:snapToGrid w:val="0"/>
        <w:spacing w:before="50" w:after="50" w:line="360" w:lineRule="auto"/>
        <w:ind w:left="-2" w:leftChars="-1" w:right="-817" w:rightChars="-389" w:firstLine="482"/>
        <w:jc w:val="right"/>
        <w:rPr>
          <w:rFonts w:hint="eastAsia" w:ascii="宋体" w:hAnsi="宋体" w:eastAsia="宋体" w:cs="宋体"/>
          <w:sz w:val="24"/>
        </w:rPr>
      </w:pPr>
      <w:r>
        <w:rPr>
          <w:rFonts w:hint="eastAsia" w:ascii="宋体" w:hAnsi="宋体" w:eastAsia="宋体" w:cs="宋体"/>
          <w:sz w:val="24"/>
        </w:rPr>
        <w:t xml:space="preserve">             </w:t>
      </w:r>
    </w:p>
    <w:p w14:paraId="0319F4C8">
      <w:pPr>
        <w:snapToGrid w:val="0"/>
        <w:spacing w:before="50" w:after="50" w:line="360"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      法定代表人或者委托代理人（签字或者电子签名）：                    </w:t>
      </w:r>
    </w:p>
    <w:p w14:paraId="15D04712">
      <w:pPr>
        <w:snapToGrid w:val="0"/>
        <w:spacing w:before="50" w:after="50" w:line="360"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                                供应商（电子签章）：</w:t>
      </w:r>
    </w:p>
    <w:p w14:paraId="724329AC">
      <w:pPr>
        <w:snapToGrid w:val="0"/>
        <w:spacing w:before="50" w:after="50" w:line="360" w:lineRule="auto"/>
        <w:ind w:firstLine="480" w:firstLineChars="200"/>
        <w:jc w:val="left"/>
        <w:rPr>
          <w:rFonts w:hint="eastAsia" w:ascii="宋体" w:hAnsi="宋体" w:eastAsia="宋体"/>
          <w:b/>
          <w:sz w:val="32"/>
          <w:szCs w:val="32"/>
        </w:rPr>
      </w:pPr>
      <w:r>
        <w:rPr>
          <w:rFonts w:hint="eastAsia" w:ascii="宋体" w:hAnsi="宋体" w:eastAsia="宋体" w:cs="宋体"/>
          <w:sz w:val="24"/>
        </w:rPr>
        <w:t xml:space="preserve">                                日期：    年   月   日</w:t>
      </w:r>
      <w:r>
        <w:rPr>
          <w:rFonts w:hint="eastAsia" w:ascii="宋体" w:hAnsi="宋体" w:eastAsia="宋体" w:cs="宋体"/>
          <w:sz w:val="24"/>
        </w:rPr>
        <w:br w:type="page"/>
      </w:r>
      <w:r>
        <w:rPr>
          <w:rFonts w:hint="eastAsia" w:ascii="宋体" w:hAnsi="宋体" w:eastAsia="宋体"/>
          <w:b/>
          <w:bCs/>
          <w:sz w:val="32"/>
          <w:szCs w:val="32"/>
        </w:rPr>
        <w:t>三、</w:t>
      </w:r>
      <w:r>
        <w:rPr>
          <w:rFonts w:hint="eastAsia" w:ascii="宋体" w:hAnsi="宋体" w:eastAsia="宋体"/>
          <w:b/>
          <w:sz w:val="32"/>
          <w:szCs w:val="32"/>
        </w:rPr>
        <w:t xml:space="preserve">商务技术文件格式 </w:t>
      </w:r>
    </w:p>
    <w:p w14:paraId="15A29BCE">
      <w:pPr>
        <w:snapToGrid w:val="0"/>
        <w:spacing w:before="156" w:beforeLines="50" w:after="50" w:line="360" w:lineRule="auto"/>
        <w:ind w:firstLine="643"/>
        <w:jc w:val="left"/>
        <w:rPr>
          <w:rFonts w:hint="eastAsia" w:ascii="宋体" w:hAnsi="宋体" w:eastAsia="宋体"/>
          <w:b/>
          <w:sz w:val="32"/>
          <w:szCs w:val="32"/>
        </w:rPr>
      </w:pPr>
      <w:r>
        <w:rPr>
          <w:rFonts w:hint="eastAsia" w:ascii="宋体" w:hAnsi="宋体" w:eastAsia="宋体"/>
          <w:b/>
          <w:sz w:val="32"/>
          <w:szCs w:val="32"/>
        </w:rPr>
        <w:t>1.商务技术文件封面格式</w:t>
      </w:r>
    </w:p>
    <w:p w14:paraId="1A3FEC1B">
      <w:pPr>
        <w:snapToGrid w:val="0"/>
        <w:spacing w:before="156" w:beforeLines="50" w:after="50"/>
        <w:ind w:firstLine="482"/>
        <w:rPr>
          <w:rFonts w:hint="eastAsia" w:ascii="宋体" w:hAnsi="宋体" w:eastAsia="宋体"/>
          <w:bCs/>
          <w:sz w:val="32"/>
          <w:szCs w:val="20"/>
        </w:rPr>
      </w:pPr>
      <w:r>
        <w:rPr>
          <w:rFonts w:hint="eastAsia" w:ascii="宋体" w:hAnsi="宋体" w:eastAsia="宋体"/>
          <w:sz w:val="24"/>
        </w:rPr>
        <w:t xml:space="preserve">                                                    </w:t>
      </w:r>
    </w:p>
    <w:p w14:paraId="2151791D">
      <w:pPr>
        <w:snapToGrid w:val="0"/>
        <w:spacing w:before="156" w:beforeLines="50" w:after="50"/>
        <w:ind w:firstLine="883"/>
        <w:jc w:val="center"/>
        <w:rPr>
          <w:rFonts w:hint="eastAsia" w:ascii="宋体" w:hAnsi="宋体" w:eastAsia="宋体"/>
          <w:sz w:val="24"/>
          <w:szCs w:val="20"/>
        </w:rPr>
      </w:pPr>
      <w:r>
        <w:rPr>
          <w:rFonts w:hint="eastAsia" w:ascii="宋体" w:hAnsi="宋体" w:eastAsia="宋体"/>
          <w:sz w:val="44"/>
          <w:szCs w:val="44"/>
        </w:rPr>
        <w:t>电 子 响 应 文 件</w:t>
      </w:r>
    </w:p>
    <w:p w14:paraId="4DA014F1">
      <w:pPr>
        <w:snapToGrid w:val="0"/>
        <w:spacing w:before="156" w:beforeLines="50" w:after="50"/>
        <w:ind w:firstLine="482"/>
        <w:rPr>
          <w:rFonts w:hint="eastAsia" w:ascii="宋体" w:hAnsi="宋体" w:eastAsia="宋体"/>
          <w:sz w:val="24"/>
          <w:szCs w:val="20"/>
        </w:rPr>
      </w:pPr>
    </w:p>
    <w:p w14:paraId="11503F5D">
      <w:pPr>
        <w:snapToGrid w:val="0"/>
        <w:spacing w:before="156" w:beforeLines="50" w:after="50"/>
        <w:ind w:firstLine="482"/>
        <w:rPr>
          <w:rFonts w:hint="eastAsia" w:ascii="宋体" w:hAnsi="宋体" w:eastAsia="宋体"/>
          <w:sz w:val="24"/>
          <w:szCs w:val="20"/>
        </w:rPr>
      </w:pPr>
    </w:p>
    <w:p w14:paraId="4E9B9625">
      <w:pPr>
        <w:snapToGrid w:val="0"/>
        <w:spacing w:before="156" w:beforeLines="50" w:after="50"/>
        <w:ind w:firstLine="883"/>
        <w:jc w:val="center"/>
        <w:rPr>
          <w:rFonts w:hint="eastAsia" w:ascii="宋体" w:hAnsi="宋体" w:eastAsia="宋体" w:cs="Tahoma"/>
          <w:bCs/>
          <w:sz w:val="44"/>
          <w:szCs w:val="44"/>
        </w:rPr>
      </w:pPr>
      <w:r>
        <w:rPr>
          <w:rFonts w:hint="eastAsia" w:ascii="宋体" w:hAnsi="宋体" w:eastAsia="宋体" w:cs="Tahoma"/>
          <w:bCs/>
          <w:sz w:val="44"/>
          <w:szCs w:val="44"/>
        </w:rPr>
        <w:t>商  务  技  术  文  件</w:t>
      </w:r>
    </w:p>
    <w:p w14:paraId="41DBEE98">
      <w:pPr>
        <w:snapToGrid w:val="0"/>
        <w:spacing w:before="156" w:beforeLines="50" w:after="50"/>
        <w:ind w:firstLine="482"/>
        <w:rPr>
          <w:rFonts w:hint="eastAsia" w:ascii="宋体" w:hAnsi="宋体" w:eastAsia="宋体"/>
          <w:bCs/>
          <w:sz w:val="24"/>
          <w:szCs w:val="20"/>
        </w:rPr>
      </w:pPr>
    </w:p>
    <w:p w14:paraId="2D5D1F4D">
      <w:pPr>
        <w:snapToGrid w:val="0"/>
        <w:spacing w:before="156" w:beforeLines="50" w:after="50"/>
        <w:ind w:firstLine="482"/>
        <w:rPr>
          <w:rFonts w:hint="eastAsia" w:ascii="宋体" w:hAnsi="宋体" w:eastAsia="宋体"/>
          <w:bCs/>
          <w:sz w:val="24"/>
          <w:szCs w:val="20"/>
        </w:rPr>
      </w:pPr>
    </w:p>
    <w:p w14:paraId="68869DE5">
      <w:pPr>
        <w:snapToGrid w:val="0"/>
        <w:spacing w:before="156" w:beforeLines="50" w:after="50"/>
        <w:ind w:firstLine="482"/>
        <w:rPr>
          <w:rFonts w:hint="eastAsia" w:ascii="宋体" w:hAnsi="宋体" w:eastAsia="宋体"/>
          <w:bCs/>
          <w:sz w:val="24"/>
          <w:szCs w:val="20"/>
        </w:rPr>
      </w:pPr>
    </w:p>
    <w:p w14:paraId="0F643AA1">
      <w:pPr>
        <w:snapToGrid w:val="0"/>
        <w:spacing w:before="156" w:beforeLines="50" w:after="50"/>
        <w:ind w:firstLine="482"/>
        <w:rPr>
          <w:rFonts w:hint="eastAsia" w:ascii="宋体" w:hAnsi="宋体" w:eastAsia="宋体"/>
          <w:bCs/>
          <w:sz w:val="24"/>
          <w:szCs w:val="20"/>
        </w:rPr>
      </w:pPr>
    </w:p>
    <w:p w14:paraId="1329DD33">
      <w:pPr>
        <w:snapToGrid w:val="0"/>
        <w:spacing w:before="156" w:beforeLines="50" w:after="50"/>
        <w:ind w:firstLine="482"/>
        <w:rPr>
          <w:rFonts w:hint="eastAsia" w:ascii="宋体" w:hAnsi="宋体" w:eastAsia="宋体"/>
          <w:bCs/>
          <w:sz w:val="24"/>
          <w:szCs w:val="20"/>
        </w:rPr>
      </w:pPr>
    </w:p>
    <w:p w14:paraId="4817B589">
      <w:pPr>
        <w:snapToGrid w:val="0"/>
        <w:spacing w:before="156" w:beforeLines="50" w:after="50"/>
        <w:ind w:firstLine="640" w:firstLineChars="200"/>
        <w:rPr>
          <w:rFonts w:hint="eastAsia" w:ascii="宋体" w:hAnsi="宋体" w:eastAsia="宋体" w:cs="Calibri"/>
          <w:bCs/>
          <w:sz w:val="32"/>
          <w:szCs w:val="32"/>
        </w:rPr>
      </w:pPr>
      <w:r>
        <w:rPr>
          <w:rFonts w:hint="eastAsia" w:ascii="宋体" w:hAnsi="宋体" w:eastAsia="宋体" w:cs="Calibri"/>
          <w:bCs/>
          <w:sz w:val="32"/>
          <w:szCs w:val="32"/>
        </w:rPr>
        <w:t>项目名称：</w:t>
      </w:r>
    </w:p>
    <w:p w14:paraId="509C1199">
      <w:pPr>
        <w:snapToGrid w:val="0"/>
        <w:spacing w:before="156" w:beforeLines="50" w:after="50"/>
        <w:ind w:firstLine="720" w:firstLineChars="225"/>
        <w:rPr>
          <w:rFonts w:hint="eastAsia" w:ascii="宋体" w:hAnsi="宋体" w:eastAsia="宋体" w:cs="Calibri"/>
          <w:bCs/>
          <w:sz w:val="32"/>
          <w:szCs w:val="32"/>
        </w:rPr>
      </w:pPr>
    </w:p>
    <w:p w14:paraId="0E5C09B4">
      <w:pPr>
        <w:snapToGrid w:val="0"/>
        <w:spacing w:before="156" w:beforeLines="50" w:after="50"/>
        <w:ind w:firstLine="640" w:firstLineChars="200"/>
        <w:rPr>
          <w:rFonts w:hint="eastAsia" w:ascii="宋体" w:hAnsi="宋体" w:eastAsia="宋体" w:cs="Calibri"/>
          <w:bCs/>
          <w:sz w:val="32"/>
          <w:szCs w:val="32"/>
        </w:rPr>
      </w:pPr>
      <w:r>
        <w:rPr>
          <w:rFonts w:hint="eastAsia" w:ascii="宋体" w:hAnsi="宋体" w:eastAsia="宋体" w:cs="Calibri"/>
          <w:bCs/>
          <w:sz w:val="32"/>
          <w:szCs w:val="32"/>
        </w:rPr>
        <w:t>项目编号：</w:t>
      </w:r>
    </w:p>
    <w:p w14:paraId="7BED002D">
      <w:pPr>
        <w:snapToGrid w:val="0"/>
        <w:spacing w:before="156" w:beforeLines="50" w:after="50"/>
        <w:ind w:firstLine="720" w:firstLineChars="225"/>
        <w:rPr>
          <w:rFonts w:hint="eastAsia" w:ascii="宋体" w:hAnsi="宋体" w:eastAsia="宋体" w:cs="Calibri"/>
          <w:bCs/>
          <w:sz w:val="32"/>
          <w:szCs w:val="32"/>
        </w:rPr>
      </w:pPr>
      <w:r>
        <w:rPr>
          <w:rFonts w:hint="eastAsia" w:ascii="宋体" w:hAnsi="宋体" w:eastAsia="宋体" w:cs="Calibri"/>
          <w:bCs/>
          <w:sz w:val="32"/>
          <w:szCs w:val="32"/>
        </w:rPr>
        <w:t xml:space="preserve"> </w:t>
      </w:r>
    </w:p>
    <w:p w14:paraId="4E2CAA9E">
      <w:pPr>
        <w:snapToGrid w:val="0"/>
        <w:spacing w:before="156" w:beforeLines="50" w:after="50"/>
        <w:ind w:firstLine="640" w:firstLineChars="200"/>
        <w:rPr>
          <w:rFonts w:hint="eastAsia" w:ascii="宋体" w:hAnsi="宋体" w:eastAsia="宋体" w:cs="Calibri"/>
          <w:bCs/>
          <w:sz w:val="32"/>
          <w:szCs w:val="32"/>
        </w:rPr>
      </w:pPr>
      <w:r>
        <w:rPr>
          <w:rFonts w:hint="eastAsia" w:ascii="宋体" w:hAnsi="宋体" w:eastAsia="宋体" w:cs="Calibri"/>
          <w:bCs/>
          <w:sz w:val="32"/>
          <w:szCs w:val="32"/>
        </w:rPr>
        <w:t>所竞分标（如有则填写，无分标时填写“无”或者留空）：</w:t>
      </w:r>
    </w:p>
    <w:p w14:paraId="229A5B5F">
      <w:pPr>
        <w:snapToGrid w:val="0"/>
        <w:spacing w:before="156" w:beforeLines="50" w:after="50"/>
        <w:ind w:firstLine="720" w:firstLineChars="225"/>
        <w:rPr>
          <w:rFonts w:hint="eastAsia" w:ascii="宋体" w:hAnsi="宋体" w:eastAsia="宋体" w:cs="Calibri"/>
          <w:bCs/>
          <w:sz w:val="32"/>
          <w:szCs w:val="32"/>
        </w:rPr>
      </w:pPr>
    </w:p>
    <w:p w14:paraId="16B01B8A">
      <w:pPr>
        <w:pStyle w:val="7"/>
        <w:snapToGrid w:val="0"/>
        <w:spacing w:before="50" w:after="50"/>
        <w:ind w:firstLine="640" w:firstLineChars="200"/>
        <w:rPr>
          <w:rFonts w:hint="eastAsia" w:ascii="宋体" w:hAnsi="宋体" w:eastAsia="宋体" w:cs="Calibri"/>
          <w:bCs/>
          <w:sz w:val="32"/>
          <w:szCs w:val="32"/>
        </w:rPr>
      </w:pPr>
      <w:r>
        <w:rPr>
          <w:rFonts w:hint="eastAsia" w:ascii="宋体" w:hAnsi="宋体" w:eastAsia="宋体" w:cs="Calibri"/>
          <w:bCs/>
          <w:sz w:val="32"/>
          <w:szCs w:val="32"/>
        </w:rPr>
        <w:t>供应商名称：</w:t>
      </w:r>
    </w:p>
    <w:p w14:paraId="7D1D304E">
      <w:pPr>
        <w:pStyle w:val="7"/>
        <w:snapToGrid w:val="0"/>
        <w:spacing w:before="50" w:after="50"/>
        <w:ind w:firstLine="640" w:firstLineChars="200"/>
        <w:rPr>
          <w:rFonts w:hint="eastAsia" w:ascii="宋体" w:hAnsi="宋体" w:eastAsia="宋体" w:cs="Calibri"/>
          <w:bCs/>
          <w:sz w:val="32"/>
          <w:szCs w:val="32"/>
        </w:rPr>
      </w:pPr>
    </w:p>
    <w:p w14:paraId="63D322DC">
      <w:pPr>
        <w:pStyle w:val="7"/>
        <w:snapToGrid w:val="0"/>
        <w:spacing w:before="50" w:after="50"/>
        <w:ind w:firstLine="720" w:firstLineChars="225"/>
        <w:rPr>
          <w:rFonts w:hint="eastAsia" w:ascii="宋体" w:hAnsi="宋体" w:eastAsia="宋体" w:cs="Calibri"/>
          <w:bCs/>
          <w:sz w:val="32"/>
          <w:szCs w:val="32"/>
        </w:rPr>
      </w:pPr>
    </w:p>
    <w:p w14:paraId="35ED3BF2">
      <w:pPr>
        <w:pStyle w:val="7"/>
        <w:snapToGrid w:val="0"/>
        <w:spacing w:before="50" w:after="50"/>
        <w:ind w:firstLine="643"/>
        <w:rPr>
          <w:rFonts w:hint="eastAsia" w:ascii="宋体" w:hAnsi="宋体" w:eastAsia="宋体" w:cs="Calibri"/>
          <w:bCs/>
          <w:sz w:val="32"/>
          <w:szCs w:val="32"/>
        </w:rPr>
      </w:pPr>
    </w:p>
    <w:p w14:paraId="69218D93">
      <w:pPr>
        <w:pStyle w:val="7"/>
        <w:snapToGrid w:val="0"/>
        <w:spacing w:before="50" w:after="50"/>
        <w:ind w:firstLine="1280" w:firstLineChars="400"/>
        <w:rPr>
          <w:rFonts w:hint="eastAsia" w:ascii="宋体" w:hAnsi="宋体" w:eastAsia="宋体" w:cs="Calibri"/>
          <w:bCs/>
          <w:sz w:val="32"/>
          <w:szCs w:val="32"/>
        </w:rPr>
      </w:pPr>
    </w:p>
    <w:p w14:paraId="4741385D">
      <w:pPr>
        <w:snapToGrid w:val="0"/>
        <w:spacing w:before="156" w:beforeLines="50" w:after="50"/>
        <w:ind w:firstLine="643"/>
        <w:jc w:val="center"/>
        <w:rPr>
          <w:rFonts w:hint="eastAsia" w:ascii="宋体" w:hAnsi="宋体" w:eastAsia="宋体" w:cs="Calibri"/>
          <w:sz w:val="32"/>
          <w:szCs w:val="32"/>
        </w:rPr>
      </w:pPr>
      <w:r>
        <w:rPr>
          <w:rFonts w:hint="eastAsia" w:ascii="宋体" w:hAnsi="宋体" w:eastAsia="宋体" w:cs="Calibri"/>
          <w:sz w:val="32"/>
          <w:szCs w:val="32"/>
        </w:rPr>
        <w:t>年    月    日</w:t>
      </w:r>
    </w:p>
    <w:p w14:paraId="2C1C1A35">
      <w:pPr>
        <w:snapToGrid w:val="0"/>
        <w:spacing w:before="156" w:beforeLines="50" w:after="50" w:line="360" w:lineRule="auto"/>
        <w:ind w:right="480" w:firstLine="240" w:firstLineChars="100"/>
        <w:jc w:val="left"/>
        <w:rPr>
          <w:rFonts w:hint="eastAsia" w:ascii="宋体" w:hAnsi="宋体" w:eastAsia="宋体"/>
          <w:b/>
          <w:bCs/>
          <w:sz w:val="24"/>
        </w:rPr>
      </w:pPr>
      <w:r>
        <w:rPr>
          <w:rFonts w:ascii="宋体" w:hAnsi="宋体" w:eastAsia="宋体"/>
          <w:sz w:val="24"/>
        </w:rPr>
        <w:br w:type="page"/>
      </w:r>
      <w:r>
        <w:rPr>
          <w:rFonts w:hint="eastAsia" w:ascii="宋体" w:hAnsi="宋体" w:eastAsia="宋体"/>
          <w:b/>
          <w:bCs/>
          <w:sz w:val="32"/>
          <w:szCs w:val="32"/>
        </w:rPr>
        <w:t>2.商务技术文件目录</w:t>
      </w:r>
    </w:p>
    <w:p w14:paraId="4D26359A">
      <w:pPr>
        <w:snapToGrid w:val="0"/>
        <w:spacing w:before="156" w:beforeLines="50" w:after="50" w:line="360" w:lineRule="auto"/>
        <w:ind w:firstLine="640" w:firstLineChars="200"/>
        <w:rPr>
          <w:rFonts w:hint="eastAsia" w:ascii="宋体" w:hAnsi="宋体" w:eastAsia="宋体"/>
          <w:sz w:val="32"/>
          <w:szCs w:val="32"/>
        </w:rPr>
      </w:pPr>
      <w:r>
        <w:rPr>
          <w:rFonts w:hint="eastAsia" w:ascii="宋体" w:hAnsi="宋体" w:eastAsia="宋体"/>
          <w:sz w:val="32"/>
          <w:szCs w:val="32"/>
        </w:rPr>
        <w:t>根据磋商文件规定及供应商提供的材料自行编写目录（部分格式后附）。</w:t>
      </w:r>
    </w:p>
    <w:p w14:paraId="4DE32053">
      <w:pPr>
        <w:spacing w:line="400" w:lineRule="exact"/>
        <w:ind w:firstLine="643"/>
        <w:rPr>
          <w:rFonts w:hint="eastAsia" w:ascii="宋体" w:hAnsi="宋体" w:eastAsia="宋体" w:cs="Calibri"/>
          <w:sz w:val="32"/>
          <w:szCs w:val="32"/>
        </w:rPr>
      </w:pPr>
    </w:p>
    <w:p w14:paraId="1D5BDFA7">
      <w:pPr>
        <w:spacing w:line="520" w:lineRule="exact"/>
        <w:ind w:firstLine="883"/>
        <w:jc w:val="center"/>
        <w:rPr>
          <w:rFonts w:hint="eastAsia" w:ascii="宋体" w:hAnsi="宋体" w:eastAsia="宋体" w:cs="Tahoma"/>
          <w:sz w:val="44"/>
          <w:szCs w:val="44"/>
        </w:rPr>
      </w:pPr>
      <w:r>
        <w:rPr>
          <w:rFonts w:hint="eastAsia" w:ascii="宋体" w:hAnsi="宋体" w:eastAsia="宋体" w:cs="Tahoma"/>
          <w:sz w:val="44"/>
          <w:szCs w:val="44"/>
        </w:rPr>
        <w:br w:type="page"/>
      </w:r>
    </w:p>
    <w:p w14:paraId="689FD8CA">
      <w:pPr>
        <w:snapToGrid w:val="0"/>
        <w:spacing w:before="156" w:beforeLines="50" w:after="50" w:line="360" w:lineRule="auto"/>
        <w:ind w:right="480" w:firstLine="321" w:firstLineChars="100"/>
        <w:jc w:val="left"/>
        <w:rPr>
          <w:rFonts w:hint="eastAsia" w:ascii="宋体" w:hAnsi="宋体" w:eastAsia="宋体" w:cs="Tahoma"/>
          <w:sz w:val="44"/>
          <w:szCs w:val="44"/>
        </w:rPr>
      </w:pPr>
      <w:r>
        <w:rPr>
          <w:rFonts w:hint="eastAsia" w:ascii="宋体" w:hAnsi="宋体" w:eastAsia="宋体"/>
          <w:b/>
          <w:bCs/>
          <w:sz w:val="32"/>
          <w:szCs w:val="32"/>
        </w:rPr>
        <w:t>3.无串通竞标行为的承诺函</w:t>
      </w:r>
    </w:p>
    <w:p w14:paraId="574CB664">
      <w:pPr>
        <w:spacing w:line="520" w:lineRule="exact"/>
        <w:ind w:firstLine="883"/>
        <w:jc w:val="center"/>
        <w:rPr>
          <w:rFonts w:hint="eastAsia" w:ascii="宋体" w:hAnsi="宋体" w:eastAsia="宋体" w:cs="Tahoma"/>
          <w:sz w:val="44"/>
          <w:szCs w:val="44"/>
        </w:rPr>
      </w:pPr>
    </w:p>
    <w:p w14:paraId="34FE0195">
      <w:pPr>
        <w:spacing w:line="520" w:lineRule="exact"/>
        <w:ind w:firstLine="883"/>
        <w:jc w:val="center"/>
        <w:rPr>
          <w:rFonts w:hint="eastAsia" w:ascii="宋体" w:hAnsi="宋体" w:eastAsia="宋体" w:cs="Calibri"/>
          <w:sz w:val="32"/>
          <w:szCs w:val="32"/>
        </w:rPr>
      </w:pPr>
      <w:r>
        <w:rPr>
          <w:rFonts w:hint="eastAsia" w:ascii="宋体" w:hAnsi="宋体" w:eastAsia="宋体" w:cs="Tahoma"/>
          <w:sz w:val="44"/>
          <w:szCs w:val="44"/>
        </w:rPr>
        <w:t>无串通竞标行为的承诺函</w:t>
      </w:r>
    </w:p>
    <w:p w14:paraId="0F8F7026">
      <w:pPr>
        <w:spacing w:line="360" w:lineRule="auto"/>
        <w:ind w:firstLine="482" w:firstLineChars="200"/>
        <w:contextualSpacing/>
        <w:rPr>
          <w:rFonts w:hint="eastAsia" w:ascii="宋体" w:hAnsi="宋体" w:eastAsia="宋体" w:cs="Calibri"/>
          <w:b/>
          <w:bCs/>
          <w:sz w:val="24"/>
        </w:rPr>
      </w:pPr>
    </w:p>
    <w:p w14:paraId="0CCE0C11">
      <w:pPr>
        <w:spacing w:line="360" w:lineRule="auto"/>
        <w:ind w:firstLine="482" w:firstLineChars="200"/>
        <w:contextualSpacing/>
        <w:rPr>
          <w:rFonts w:hint="eastAsia" w:ascii="宋体" w:hAnsi="宋体" w:eastAsia="宋体" w:cs="Calibri"/>
          <w:b/>
          <w:bCs/>
          <w:sz w:val="24"/>
        </w:rPr>
      </w:pPr>
      <w:r>
        <w:rPr>
          <w:rFonts w:hint="eastAsia" w:ascii="宋体" w:hAnsi="宋体" w:eastAsia="宋体" w:cs="Calibri"/>
          <w:b/>
          <w:bCs/>
          <w:sz w:val="24"/>
        </w:rPr>
        <w:t>一、我方承诺无下列相互串通竞标的情形：</w:t>
      </w:r>
    </w:p>
    <w:p w14:paraId="57B1ACBC">
      <w:pPr>
        <w:spacing w:line="360" w:lineRule="auto"/>
        <w:ind w:firstLine="480" w:firstLineChars="200"/>
        <w:contextualSpacing/>
        <w:rPr>
          <w:rFonts w:hint="eastAsia" w:ascii="宋体" w:hAnsi="宋体" w:eastAsia="宋体" w:cs="Calibri"/>
          <w:sz w:val="24"/>
        </w:rPr>
      </w:pPr>
      <w:r>
        <w:rPr>
          <w:rFonts w:hint="eastAsia" w:ascii="宋体" w:hAnsi="宋体" w:eastAsia="宋体" w:cs="Calibri"/>
          <w:sz w:val="24"/>
        </w:rPr>
        <w:t xml:space="preserve">1.不同供应商的响应文件由同一单位或者个人编制； </w:t>
      </w:r>
    </w:p>
    <w:p w14:paraId="563C89DA">
      <w:pPr>
        <w:spacing w:line="360" w:lineRule="auto"/>
        <w:ind w:firstLine="480" w:firstLineChars="200"/>
        <w:contextualSpacing/>
        <w:rPr>
          <w:rFonts w:hint="eastAsia" w:ascii="宋体" w:hAnsi="宋体" w:eastAsia="宋体" w:cs="Calibri"/>
          <w:sz w:val="24"/>
        </w:rPr>
      </w:pPr>
      <w:r>
        <w:rPr>
          <w:rFonts w:hint="eastAsia" w:ascii="宋体" w:hAnsi="宋体" w:eastAsia="宋体" w:cs="Calibri"/>
          <w:sz w:val="24"/>
        </w:rPr>
        <w:t>2.不同供应商委托同一单位或者个人办理竞标事宜；</w:t>
      </w:r>
    </w:p>
    <w:p w14:paraId="6B815D10">
      <w:pPr>
        <w:spacing w:line="360" w:lineRule="auto"/>
        <w:ind w:firstLine="480" w:firstLineChars="200"/>
        <w:contextualSpacing/>
        <w:rPr>
          <w:rFonts w:hint="eastAsia" w:ascii="宋体" w:hAnsi="宋体" w:eastAsia="宋体" w:cs="Calibri"/>
          <w:sz w:val="24"/>
        </w:rPr>
      </w:pPr>
      <w:r>
        <w:rPr>
          <w:rFonts w:hint="eastAsia" w:ascii="宋体" w:hAnsi="宋体" w:eastAsia="宋体" w:cs="Calibri"/>
          <w:sz w:val="24"/>
        </w:rPr>
        <w:t>3.不同供应商的响应文件载明的项目管理员为同一个人；</w:t>
      </w:r>
    </w:p>
    <w:p w14:paraId="5CDC2C17">
      <w:pPr>
        <w:spacing w:line="360" w:lineRule="auto"/>
        <w:ind w:firstLine="480" w:firstLineChars="200"/>
        <w:contextualSpacing/>
        <w:rPr>
          <w:rFonts w:hint="eastAsia" w:ascii="宋体" w:hAnsi="宋体" w:eastAsia="宋体" w:cs="Calibri"/>
          <w:sz w:val="24"/>
        </w:rPr>
      </w:pPr>
      <w:r>
        <w:rPr>
          <w:rFonts w:hint="eastAsia" w:ascii="宋体" w:hAnsi="宋体" w:eastAsia="宋体" w:cs="Calibri"/>
          <w:sz w:val="24"/>
        </w:rPr>
        <w:t>4.不</w:t>
      </w:r>
      <w:r>
        <w:rPr>
          <w:rFonts w:hint="eastAsia" w:ascii="宋体" w:hAnsi="宋体" w:eastAsia="宋体" w:cs="Calibri"/>
          <w:spacing w:val="-6"/>
          <w:sz w:val="24"/>
        </w:rPr>
        <w:t>同供应商的响应文件异常一致或者竞标报价呈规律性差异；</w:t>
      </w:r>
    </w:p>
    <w:p w14:paraId="0594632C">
      <w:pPr>
        <w:spacing w:line="360" w:lineRule="auto"/>
        <w:ind w:firstLine="480" w:firstLineChars="200"/>
        <w:contextualSpacing/>
        <w:rPr>
          <w:rFonts w:hint="eastAsia" w:ascii="宋体" w:hAnsi="宋体" w:eastAsia="宋体" w:cs="Calibri"/>
          <w:sz w:val="24"/>
        </w:rPr>
      </w:pPr>
      <w:r>
        <w:rPr>
          <w:rFonts w:hint="eastAsia" w:ascii="宋体" w:hAnsi="宋体" w:eastAsia="宋体" w:cs="Calibri"/>
          <w:sz w:val="24"/>
        </w:rPr>
        <w:t>5.不同供应商的响应文件相互混装；</w:t>
      </w:r>
    </w:p>
    <w:p w14:paraId="28AD4948">
      <w:pPr>
        <w:spacing w:line="360" w:lineRule="auto"/>
        <w:ind w:firstLine="480" w:firstLineChars="200"/>
        <w:contextualSpacing/>
        <w:rPr>
          <w:rFonts w:hint="eastAsia" w:ascii="宋体" w:hAnsi="宋体" w:eastAsia="宋体" w:cs="Calibri"/>
          <w:sz w:val="24"/>
        </w:rPr>
      </w:pPr>
      <w:r>
        <w:rPr>
          <w:rFonts w:hint="eastAsia" w:ascii="宋体" w:hAnsi="宋体" w:eastAsia="宋体" w:cs="Calibri"/>
          <w:sz w:val="24"/>
        </w:rPr>
        <w:t>6.不同供应商的磋商保证金从同一单位或者个人账户转出。</w:t>
      </w:r>
    </w:p>
    <w:p w14:paraId="1AE10EC6">
      <w:pPr>
        <w:spacing w:line="360" w:lineRule="auto"/>
        <w:ind w:firstLine="482" w:firstLineChars="200"/>
        <w:contextualSpacing/>
        <w:rPr>
          <w:rFonts w:hint="eastAsia" w:ascii="宋体" w:hAnsi="宋体" w:eastAsia="宋体" w:cs="Calibri"/>
          <w:b/>
          <w:bCs/>
          <w:sz w:val="24"/>
        </w:rPr>
      </w:pPr>
      <w:r>
        <w:rPr>
          <w:rFonts w:hint="eastAsia" w:ascii="宋体" w:hAnsi="宋体" w:eastAsia="宋体" w:cs="Calibri"/>
          <w:b/>
          <w:bCs/>
          <w:sz w:val="24"/>
        </w:rPr>
        <w:t>二、我方承诺无下列恶意串通的情形：</w:t>
      </w:r>
    </w:p>
    <w:p w14:paraId="47007D93">
      <w:pPr>
        <w:spacing w:line="360" w:lineRule="auto"/>
        <w:ind w:firstLine="480" w:firstLineChars="200"/>
        <w:contextualSpacing/>
        <w:rPr>
          <w:rFonts w:hint="eastAsia" w:ascii="宋体" w:hAnsi="宋体" w:eastAsia="宋体" w:cs="Calibri"/>
          <w:sz w:val="24"/>
        </w:rPr>
      </w:pPr>
      <w:r>
        <w:rPr>
          <w:rFonts w:hint="eastAsia" w:ascii="宋体" w:hAnsi="宋体" w:eastAsia="宋体" w:cs="Calibri"/>
          <w:sz w:val="24"/>
        </w:rPr>
        <w:t>1.供应商直接或者间接从采购人或者采购代理机构处获得其他供应商的相关信息并修改其响应文件；</w:t>
      </w:r>
    </w:p>
    <w:p w14:paraId="78DE3A5A">
      <w:pPr>
        <w:spacing w:line="360" w:lineRule="auto"/>
        <w:ind w:firstLine="480" w:firstLineChars="200"/>
        <w:contextualSpacing/>
        <w:rPr>
          <w:rFonts w:hint="eastAsia" w:ascii="宋体" w:hAnsi="宋体" w:eastAsia="宋体" w:cs="Calibri"/>
          <w:sz w:val="24"/>
        </w:rPr>
      </w:pPr>
      <w:r>
        <w:rPr>
          <w:rFonts w:hint="eastAsia" w:ascii="宋体" w:hAnsi="宋体" w:eastAsia="宋体" w:cs="Calibri"/>
          <w:sz w:val="24"/>
        </w:rPr>
        <w:t>2.供应商按照采购人或者采购代理机构的授意撤换、修改响应文件；</w:t>
      </w:r>
    </w:p>
    <w:p w14:paraId="0071999E">
      <w:pPr>
        <w:spacing w:line="360" w:lineRule="auto"/>
        <w:ind w:firstLine="480" w:firstLineChars="200"/>
        <w:contextualSpacing/>
        <w:rPr>
          <w:rFonts w:hint="eastAsia" w:ascii="宋体" w:hAnsi="宋体" w:eastAsia="宋体" w:cs="Calibri"/>
          <w:sz w:val="24"/>
        </w:rPr>
      </w:pPr>
      <w:r>
        <w:rPr>
          <w:rFonts w:hint="eastAsia" w:ascii="宋体" w:hAnsi="宋体" w:eastAsia="宋体" w:cs="Calibri"/>
          <w:sz w:val="24"/>
        </w:rPr>
        <w:t>3.供</w:t>
      </w:r>
      <w:r>
        <w:rPr>
          <w:rFonts w:hint="eastAsia" w:ascii="宋体" w:hAnsi="宋体" w:eastAsia="宋体" w:cs="Calibri"/>
          <w:spacing w:val="-6"/>
          <w:sz w:val="24"/>
        </w:rPr>
        <w:t>应商之间协商报价、技术方案等响应文件的实质性内容；</w:t>
      </w:r>
    </w:p>
    <w:p w14:paraId="211EECE3">
      <w:pPr>
        <w:spacing w:line="360" w:lineRule="auto"/>
        <w:ind w:firstLine="480" w:firstLineChars="200"/>
        <w:contextualSpacing/>
        <w:rPr>
          <w:rFonts w:hint="eastAsia" w:ascii="宋体" w:hAnsi="宋体" w:eastAsia="宋体" w:cs="Calibri"/>
          <w:sz w:val="24"/>
        </w:rPr>
      </w:pPr>
      <w:r>
        <w:rPr>
          <w:rFonts w:hint="eastAsia" w:ascii="宋体" w:hAnsi="宋体" w:eastAsia="宋体" w:cs="Calibri"/>
          <w:sz w:val="24"/>
        </w:rPr>
        <w:t>4.属于同一集团、协会、商会等组织成员的供应商按照该组织要求协同参加政府采购活动；</w:t>
      </w:r>
    </w:p>
    <w:p w14:paraId="3A727391">
      <w:pPr>
        <w:spacing w:line="360" w:lineRule="auto"/>
        <w:ind w:firstLine="480" w:firstLineChars="200"/>
        <w:contextualSpacing/>
        <w:rPr>
          <w:rFonts w:hint="eastAsia" w:ascii="宋体" w:hAnsi="宋体" w:eastAsia="宋体" w:cs="Calibri"/>
          <w:sz w:val="24"/>
        </w:rPr>
      </w:pPr>
      <w:r>
        <w:rPr>
          <w:rFonts w:hint="eastAsia" w:ascii="宋体" w:hAnsi="宋体" w:eastAsia="宋体" w:cs="Calibri"/>
          <w:sz w:val="24"/>
        </w:rPr>
        <w:t>5.供应商之间事先约定一致抬高或者压低竞标报价，或者在竞争性磋商项目中事先约定轮流以高价位或者低价位成交，或者事先约定由某一特定供应商成交，然后再参加竞标；</w:t>
      </w:r>
    </w:p>
    <w:p w14:paraId="53C8625F">
      <w:pPr>
        <w:spacing w:line="360" w:lineRule="auto"/>
        <w:ind w:firstLine="480" w:firstLineChars="200"/>
        <w:contextualSpacing/>
        <w:rPr>
          <w:rFonts w:hint="eastAsia" w:ascii="宋体" w:hAnsi="宋体" w:eastAsia="宋体" w:cs="Calibri"/>
          <w:sz w:val="24"/>
        </w:rPr>
      </w:pPr>
      <w:r>
        <w:rPr>
          <w:rFonts w:hint="eastAsia" w:ascii="宋体" w:hAnsi="宋体" w:eastAsia="宋体" w:cs="Calibri"/>
          <w:sz w:val="24"/>
        </w:rPr>
        <w:t>6.供应商之间商定部分供应商放弃参加政府采购活动或者放弃成交；</w:t>
      </w:r>
    </w:p>
    <w:p w14:paraId="4972ACD4">
      <w:pPr>
        <w:spacing w:line="360" w:lineRule="auto"/>
        <w:ind w:firstLine="480" w:firstLineChars="200"/>
        <w:contextualSpacing/>
        <w:rPr>
          <w:rFonts w:hint="eastAsia" w:ascii="宋体" w:hAnsi="宋体" w:eastAsia="宋体" w:cs="Calibri"/>
          <w:sz w:val="24"/>
        </w:rPr>
      </w:pPr>
      <w:r>
        <w:rPr>
          <w:rFonts w:hint="eastAsia" w:ascii="宋体" w:hAnsi="宋体" w:eastAsia="宋体" w:cs="Calibri"/>
          <w:sz w:val="24"/>
        </w:rPr>
        <w:t>7.供应商与采购人或者采购代理机构之间、供应商相互之间，为</w:t>
      </w:r>
      <w:r>
        <w:rPr>
          <w:rFonts w:hint="eastAsia" w:ascii="宋体" w:hAnsi="宋体" w:eastAsia="宋体" w:cs="Calibri"/>
          <w:spacing w:val="-6"/>
          <w:sz w:val="24"/>
        </w:rPr>
        <w:t>谋求特定供应商成交或者排斥其他供应商的其他串通行为。</w:t>
      </w:r>
    </w:p>
    <w:p w14:paraId="4F5D2472">
      <w:pPr>
        <w:spacing w:line="360" w:lineRule="auto"/>
        <w:ind w:firstLine="482" w:firstLineChars="200"/>
        <w:contextualSpacing/>
        <w:rPr>
          <w:rFonts w:hint="eastAsia" w:ascii="宋体" w:hAnsi="宋体" w:eastAsia="宋体" w:cs="Calibri"/>
          <w:b/>
          <w:bCs/>
          <w:sz w:val="24"/>
        </w:rPr>
      </w:pPr>
      <w:r>
        <w:rPr>
          <w:rFonts w:hint="eastAsia" w:ascii="宋体" w:hAnsi="宋体" w:eastAsia="宋体" w:cs="Calibri"/>
          <w:b/>
          <w:bCs/>
          <w:sz w:val="24"/>
        </w:rPr>
        <w:t>以上情形一经核查属实，我方愿意承担一切后果，并不再寻求任何旨在减轻或者免除法律责任的辩解。</w:t>
      </w:r>
    </w:p>
    <w:p w14:paraId="434C04AD">
      <w:pPr>
        <w:spacing w:line="360" w:lineRule="auto"/>
        <w:ind w:firstLine="482"/>
        <w:contextualSpacing/>
        <w:rPr>
          <w:rFonts w:hint="eastAsia" w:ascii="宋体" w:hAnsi="宋体" w:eastAsia="宋体" w:cs="Calibri"/>
          <w:sz w:val="24"/>
        </w:rPr>
      </w:pPr>
    </w:p>
    <w:p w14:paraId="565C43D4">
      <w:pPr>
        <w:spacing w:line="360" w:lineRule="auto"/>
        <w:ind w:firstLine="3600" w:firstLineChars="1500"/>
        <w:contextualSpacing/>
        <w:rPr>
          <w:rFonts w:hint="eastAsia" w:ascii="宋体" w:hAnsi="宋体" w:eastAsia="宋体" w:cs="Calibri"/>
          <w:sz w:val="24"/>
        </w:rPr>
      </w:pPr>
      <w:r>
        <w:rPr>
          <w:rFonts w:hint="eastAsia" w:ascii="宋体" w:hAnsi="宋体" w:eastAsia="宋体" w:cs="Calibri"/>
          <w:sz w:val="24"/>
        </w:rPr>
        <w:t>供应商（电子签章）：</w:t>
      </w:r>
    </w:p>
    <w:p w14:paraId="2CA2F3D5">
      <w:pPr>
        <w:spacing w:line="360" w:lineRule="auto"/>
        <w:ind w:firstLine="480" w:firstLineChars="200"/>
        <w:contextualSpacing/>
        <w:jc w:val="center"/>
        <w:rPr>
          <w:rFonts w:hint="eastAsia" w:ascii="宋体" w:hAnsi="宋体" w:eastAsia="宋体" w:cs="Calibri"/>
          <w:sz w:val="32"/>
          <w:szCs w:val="32"/>
        </w:rPr>
      </w:pPr>
      <w:r>
        <w:rPr>
          <w:rFonts w:hint="eastAsia" w:ascii="宋体" w:hAnsi="宋体" w:eastAsia="宋体" w:cs="Calibri"/>
          <w:sz w:val="24"/>
        </w:rPr>
        <w:t xml:space="preserve">                               年   月   日</w:t>
      </w:r>
    </w:p>
    <w:p w14:paraId="027107BA">
      <w:pPr>
        <w:spacing w:line="520" w:lineRule="exact"/>
        <w:ind w:firstLine="883"/>
        <w:jc w:val="center"/>
        <w:rPr>
          <w:rFonts w:hint="eastAsia" w:ascii="宋体" w:hAnsi="宋体" w:eastAsia="宋体" w:cs="Tahoma"/>
          <w:bCs/>
          <w:sz w:val="44"/>
          <w:szCs w:val="44"/>
        </w:rPr>
      </w:pPr>
      <w:r>
        <w:rPr>
          <w:rFonts w:hint="eastAsia" w:ascii="宋体" w:hAnsi="宋体" w:eastAsia="宋体" w:cs="Tahoma"/>
          <w:bCs/>
          <w:sz w:val="44"/>
          <w:szCs w:val="44"/>
        </w:rPr>
        <w:br w:type="page"/>
      </w:r>
    </w:p>
    <w:p w14:paraId="454219C6">
      <w:pPr>
        <w:snapToGrid w:val="0"/>
        <w:spacing w:before="156" w:beforeLines="50" w:after="50" w:line="360" w:lineRule="auto"/>
        <w:ind w:right="480" w:firstLine="321" w:firstLineChars="100"/>
        <w:jc w:val="left"/>
        <w:rPr>
          <w:rFonts w:hint="eastAsia" w:ascii="宋体" w:hAnsi="宋体" w:eastAsia="宋体"/>
          <w:b/>
          <w:bCs/>
          <w:sz w:val="32"/>
          <w:szCs w:val="32"/>
        </w:rPr>
      </w:pPr>
      <w:r>
        <w:rPr>
          <w:rFonts w:hint="eastAsia" w:ascii="宋体" w:hAnsi="宋体" w:eastAsia="宋体"/>
          <w:b/>
          <w:bCs/>
          <w:sz w:val="32"/>
          <w:szCs w:val="32"/>
        </w:rPr>
        <w:t>4.法定代表人证明书</w:t>
      </w:r>
    </w:p>
    <w:p w14:paraId="13E3AB68">
      <w:pPr>
        <w:spacing w:line="520" w:lineRule="exact"/>
        <w:ind w:firstLine="883"/>
        <w:jc w:val="center"/>
        <w:rPr>
          <w:rFonts w:hint="eastAsia" w:ascii="宋体" w:hAnsi="宋体" w:eastAsia="宋体" w:cs="Tahoma"/>
          <w:bCs/>
          <w:sz w:val="44"/>
          <w:szCs w:val="44"/>
        </w:rPr>
      </w:pPr>
    </w:p>
    <w:p w14:paraId="20338388">
      <w:pPr>
        <w:spacing w:line="520" w:lineRule="exact"/>
        <w:ind w:firstLine="883"/>
        <w:jc w:val="center"/>
        <w:rPr>
          <w:rFonts w:hint="eastAsia" w:ascii="宋体" w:hAnsi="宋体" w:eastAsia="宋体" w:cs="Calibri"/>
          <w:sz w:val="32"/>
          <w:szCs w:val="32"/>
        </w:rPr>
      </w:pPr>
      <w:r>
        <w:rPr>
          <w:rFonts w:hint="eastAsia" w:ascii="宋体" w:hAnsi="宋体" w:eastAsia="宋体" w:cs="Tahoma"/>
          <w:bCs/>
          <w:sz w:val="44"/>
          <w:szCs w:val="44"/>
        </w:rPr>
        <w:t>法定代表人证明书</w:t>
      </w:r>
    </w:p>
    <w:p w14:paraId="7349CE92">
      <w:pPr>
        <w:spacing w:line="360" w:lineRule="auto"/>
        <w:ind w:left="540" w:firstLine="643"/>
        <w:contextualSpacing/>
        <w:rPr>
          <w:rFonts w:hint="eastAsia" w:ascii="宋体" w:hAnsi="宋体" w:eastAsia="宋体" w:cs="Calibri"/>
          <w:sz w:val="32"/>
          <w:szCs w:val="32"/>
        </w:rPr>
      </w:pPr>
    </w:p>
    <w:p w14:paraId="7186B2E5">
      <w:pPr>
        <w:spacing w:line="360" w:lineRule="auto"/>
        <w:ind w:left="540" w:firstLine="482"/>
        <w:contextualSpacing/>
        <w:rPr>
          <w:rFonts w:hint="eastAsia" w:ascii="宋体" w:hAnsi="宋体" w:eastAsia="宋体" w:cs="Calibri"/>
          <w:sz w:val="24"/>
        </w:rPr>
      </w:pPr>
      <w:r>
        <w:rPr>
          <w:rFonts w:hint="eastAsia" w:ascii="宋体" w:hAnsi="宋体" w:eastAsia="宋体" w:cs="Calibri"/>
          <w:sz w:val="24"/>
        </w:rPr>
        <w:t>供应商名称：</w:t>
      </w:r>
      <w:r>
        <w:rPr>
          <w:rFonts w:hint="eastAsia" w:ascii="宋体" w:hAnsi="宋体" w:eastAsia="宋体" w:cs="Calibri"/>
          <w:sz w:val="24"/>
          <w:u w:val="single"/>
        </w:rPr>
        <w:t xml:space="preserve">                                                        </w:t>
      </w:r>
    </w:p>
    <w:p w14:paraId="5789DEC5">
      <w:pPr>
        <w:spacing w:line="360" w:lineRule="auto"/>
        <w:ind w:left="540" w:firstLine="482"/>
        <w:contextualSpacing/>
        <w:rPr>
          <w:rFonts w:hint="eastAsia" w:ascii="宋体" w:hAnsi="宋体" w:eastAsia="宋体" w:cs="Calibri"/>
          <w:sz w:val="24"/>
        </w:rPr>
      </w:pPr>
      <w:r>
        <w:rPr>
          <w:rFonts w:hint="eastAsia" w:ascii="宋体" w:hAnsi="宋体" w:eastAsia="宋体" w:cs="Calibri"/>
          <w:sz w:val="24"/>
        </w:rPr>
        <w:t>地    址：</w:t>
      </w:r>
      <w:r>
        <w:rPr>
          <w:rFonts w:hint="eastAsia" w:ascii="宋体" w:hAnsi="宋体" w:eastAsia="宋体" w:cs="Calibri"/>
          <w:sz w:val="24"/>
          <w:u w:val="single"/>
        </w:rPr>
        <w:t xml:space="preserve">                                                        </w:t>
      </w:r>
    </w:p>
    <w:p w14:paraId="5F3414D7">
      <w:pPr>
        <w:spacing w:line="360" w:lineRule="auto"/>
        <w:ind w:left="540" w:firstLine="482"/>
        <w:contextualSpacing/>
        <w:rPr>
          <w:rFonts w:hint="eastAsia" w:ascii="宋体" w:hAnsi="宋体" w:eastAsia="宋体" w:cs="Calibri"/>
          <w:sz w:val="24"/>
        </w:rPr>
      </w:pPr>
      <w:r>
        <w:rPr>
          <w:rFonts w:hint="eastAsia" w:ascii="宋体" w:hAnsi="宋体" w:eastAsia="宋体" w:cs="Calibri"/>
          <w:sz w:val="24"/>
        </w:rPr>
        <w:t>姓    名：</w:t>
      </w:r>
      <w:r>
        <w:rPr>
          <w:rFonts w:hint="eastAsia" w:ascii="宋体" w:hAnsi="宋体" w:eastAsia="宋体" w:cs="Calibri"/>
          <w:sz w:val="24"/>
          <w:u w:val="single"/>
        </w:rPr>
        <w:t xml:space="preserve">                </w:t>
      </w:r>
      <w:r>
        <w:rPr>
          <w:rFonts w:hint="eastAsia" w:ascii="宋体" w:hAnsi="宋体" w:eastAsia="宋体" w:cs="Calibri"/>
          <w:sz w:val="24"/>
        </w:rPr>
        <w:t>性     别：</w:t>
      </w:r>
      <w:r>
        <w:rPr>
          <w:rFonts w:hint="eastAsia" w:ascii="宋体" w:hAnsi="宋体" w:eastAsia="宋体" w:cs="Calibri"/>
          <w:sz w:val="24"/>
          <w:u w:val="single"/>
        </w:rPr>
        <w:t xml:space="preserve">                </w:t>
      </w:r>
    </w:p>
    <w:p w14:paraId="6C105DCF">
      <w:pPr>
        <w:spacing w:line="360" w:lineRule="auto"/>
        <w:ind w:left="540" w:firstLine="482"/>
        <w:contextualSpacing/>
        <w:rPr>
          <w:rFonts w:hint="eastAsia" w:ascii="宋体" w:hAnsi="宋体" w:eastAsia="宋体" w:cs="Calibri"/>
          <w:sz w:val="24"/>
          <w:u w:val="single"/>
        </w:rPr>
      </w:pPr>
      <w:r>
        <w:rPr>
          <w:rFonts w:hint="eastAsia" w:ascii="宋体" w:hAnsi="宋体" w:eastAsia="宋体" w:cs="Calibri"/>
          <w:sz w:val="24"/>
        </w:rPr>
        <w:t>年    龄：</w:t>
      </w:r>
      <w:r>
        <w:rPr>
          <w:rFonts w:hint="eastAsia" w:ascii="宋体" w:hAnsi="宋体" w:eastAsia="宋体" w:cs="Calibri"/>
          <w:sz w:val="24"/>
          <w:u w:val="single"/>
        </w:rPr>
        <w:t xml:space="preserve">                </w:t>
      </w:r>
      <w:r>
        <w:rPr>
          <w:rFonts w:hint="eastAsia" w:ascii="宋体" w:hAnsi="宋体" w:eastAsia="宋体" w:cs="Calibri"/>
          <w:sz w:val="24"/>
        </w:rPr>
        <w:t>职     务：</w:t>
      </w:r>
      <w:r>
        <w:rPr>
          <w:rFonts w:hint="eastAsia" w:ascii="宋体" w:hAnsi="宋体" w:eastAsia="宋体" w:cs="Calibri"/>
          <w:sz w:val="24"/>
          <w:u w:val="single"/>
        </w:rPr>
        <w:t xml:space="preserve">                </w:t>
      </w:r>
    </w:p>
    <w:p w14:paraId="4AEBC902">
      <w:pPr>
        <w:spacing w:line="360" w:lineRule="auto"/>
        <w:ind w:left="540" w:firstLine="482"/>
        <w:contextualSpacing/>
        <w:rPr>
          <w:rFonts w:hint="eastAsia" w:ascii="宋体" w:hAnsi="宋体" w:eastAsia="宋体" w:cs="Calibri"/>
          <w:sz w:val="24"/>
        </w:rPr>
      </w:pPr>
      <w:r>
        <w:rPr>
          <w:rFonts w:hint="eastAsia" w:ascii="宋体" w:hAnsi="宋体" w:eastAsia="宋体" w:cs="Calibri"/>
          <w:sz w:val="24"/>
        </w:rPr>
        <w:t>身份证号码：</w:t>
      </w:r>
      <w:r>
        <w:rPr>
          <w:rFonts w:hint="eastAsia" w:ascii="宋体" w:hAnsi="宋体" w:eastAsia="宋体" w:cs="Calibri"/>
          <w:sz w:val="24"/>
          <w:u w:val="single"/>
        </w:rPr>
        <w:t xml:space="preserve">                                        </w:t>
      </w:r>
    </w:p>
    <w:p w14:paraId="528B207A">
      <w:pPr>
        <w:spacing w:line="360" w:lineRule="auto"/>
        <w:ind w:firstLine="480" w:firstLineChars="200"/>
        <w:contextualSpacing/>
        <w:rPr>
          <w:rFonts w:hint="eastAsia" w:ascii="宋体" w:hAnsi="宋体" w:eastAsia="宋体" w:cs="Calibri"/>
          <w:sz w:val="24"/>
        </w:rPr>
      </w:pPr>
      <w:r>
        <w:rPr>
          <w:rFonts w:hint="eastAsia" w:ascii="宋体" w:hAnsi="宋体" w:eastAsia="宋体" w:cs="Calibri"/>
          <w:sz w:val="24"/>
        </w:rPr>
        <w:t>系</w:t>
      </w:r>
      <w:r>
        <w:rPr>
          <w:rFonts w:hint="eastAsia" w:ascii="宋体" w:hAnsi="宋体" w:eastAsia="宋体" w:cs="Calibri"/>
          <w:sz w:val="24"/>
          <w:u w:val="single"/>
        </w:rPr>
        <w:t>（供应商名称）</w:t>
      </w:r>
      <w:r>
        <w:rPr>
          <w:rFonts w:hint="eastAsia" w:ascii="宋体" w:hAnsi="宋体" w:eastAsia="宋体" w:cs="Calibri"/>
          <w:sz w:val="24"/>
        </w:rPr>
        <w:t>的法定代表人。</w:t>
      </w:r>
    </w:p>
    <w:p w14:paraId="3E69BE7D">
      <w:pPr>
        <w:spacing w:line="360" w:lineRule="auto"/>
        <w:ind w:left="540" w:firstLine="482"/>
        <w:contextualSpacing/>
        <w:rPr>
          <w:rFonts w:hint="eastAsia" w:ascii="宋体" w:hAnsi="宋体" w:eastAsia="宋体" w:cs="Calibri"/>
          <w:sz w:val="24"/>
        </w:rPr>
      </w:pPr>
      <w:r>
        <w:rPr>
          <w:rFonts w:hint="eastAsia" w:ascii="宋体" w:hAnsi="宋体" w:eastAsia="宋体" w:cs="Calibri"/>
          <w:sz w:val="24"/>
        </w:rPr>
        <w:t>特此证明。</w:t>
      </w:r>
    </w:p>
    <w:p w14:paraId="79BD96E6">
      <w:pPr>
        <w:spacing w:line="360" w:lineRule="auto"/>
        <w:ind w:left="540" w:firstLine="482"/>
        <w:contextualSpacing/>
        <w:rPr>
          <w:rFonts w:hint="eastAsia" w:ascii="宋体" w:hAnsi="宋体" w:eastAsia="宋体" w:cs="Calibri"/>
          <w:sz w:val="24"/>
        </w:rPr>
      </w:pPr>
    </w:p>
    <w:p w14:paraId="7952FF6B">
      <w:pPr>
        <w:spacing w:line="360" w:lineRule="auto"/>
        <w:ind w:left="540" w:firstLine="482"/>
        <w:contextualSpacing/>
        <w:rPr>
          <w:rFonts w:hint="eastAsia" w:ascii="宋体" w:hAnsi="宋体" w:eastAsia="宋体" w:cs="Calibri"/>
          <w:sz w:val="24"/>
        </w:rPr>
      </w:pPr>
    </w:p>
    <w:p w14:paraId="001DB478">
      <w:pPr>
        <w:spacing w:line="360" w:lineRule="auto"/>
        <w:ind w:left="540" w:firstLine="482"/>
        <w:contextualSpacing/>
        <w:rPr>
          <w:rFonts w:hint="eastAsia" w:ascii="宋体" w:hAnsi="宋体" w:eastAsia="宋体" w:cs="Calibri"/>
          <w:sz w:val="24"/>
        </w:rPr>
      </w:pPr>
    </w:p>
    <w:p w14:paraId="0EA1182B">
      <w:pPr>
        <w:spacing w:line="360" w:lineRule="auto"/>
        <w:ind w:left="540" w:firstLine="482"/>
        <w:contextualSpacing/>
        <w:rPr>
          <w:rFonts w:hint="eastAsia" w:ascii="宋体" w:hAnsi="宋体" w:eastAsia="宋体" w:cs="Calibri"/>
          <w:sz w:val="24"/>
        </w:rPr>
      </w:pPr>
      <w:r>
        <w:rPr>
          <w:rFonts w:hint="eastAsia" w:ascii="宋体" w:hAnsi="宋体" w:eastAsia="宋体" w:cs="Calibri"/>
          <w:sz w:val="24"/>
        </w:rPr>
        <w:t>附件：法定代表人有效身份证正反面复印件</w:t>
      </w:r>
    </w:p>
    <w:p w14:paraId="5528E26B">
      <w:pPr>
        <w:spacing w:line="360" w:lineRule="auto"/>
        <w:ind w:left="540" w:firstLine="482"/>
        <w:contextualSpacing/>
        <w:rPr>
          <w:rFonts w:hint="eastAsia" w:ascii="宋体" w:hAnsi="宋体" w:eastAsia="宋体" w:cs="Calibri"/>
          <w:sz w:val="24"/>
        </w:rPr>
      </w:pPr>
    </w:p>
    <w:p w14:paraId="1C82FEF1">
      <w:pPr>
        <w:spacing w:line="360" w:lineRule="auto"/>
        <w:ind w:firstLine="482"/>
        <w:jc w:val="center"/>
        <w:rPr>
          <w:rFonts w:hint="eastAsia" w:ascii="宋体" w:hAnsi="宋体" w:eastAsia="宋体" w:cs="Calibri"/>
          <w:sz w:val="24"/>
        </w:rPr>
      </w:pPr>
      <w:r>
        <w:rPr>
          <w:rFonts w:hint="eastAsia" w:ascii="宋体" w:hAnsi="宋体" w:eastAsia="宋体" w:cs="Calibri"/>
          <w:sz w:val="24"/>
        </w:rPr>
        <w:t xml:space="preserve">                供应商（电子签章）：                      </w:t>
      </w:r>
    </w:p>
    <w:p w14:paraId="687B27F5">
      <w:pPr>
        <w:spacing w:line="360" w:lineRule="auto"/>
        <w:ind w:firstLine="482"/>
        <w:jc w:val="right"/>
        <w:rPr>
          <w:rFonts w:hint="eastAsia" w:ascii="宋体" w:hAnsi="宋体" w:eastAsia="宋体" w:cs="Calibri"/>
          <w:sz w:val="24"/>
        </w:rPr>
      </w:pPr>
      <w:r>
        <w:rPr>
          <w:rFonts w:hint="eastAsia" w:ascii="宋体" w:hAnsi="宋体" w:eastAsia="宋体" w:cs="Calibri"/>
          <w:sz w:val="24"/>
        </w:rPr>
        <w:t xml:space="preserve">                                         日期：   年    月    日</w:t>
      </w:r>
    </w:p>
    <w:p w14:paraId="57B8DBFC">
      <w:pPr>
        <w:spacing w:line="360" w:lineRule="auto"/>
        <w:ind w:firstLine="480"/>
        <w:contextualSpacing/>
        <w:jc w:val="center"/>
        <w:rPr>
          <w:rFonts w:hint="eastAsia" w:ascii="宋体" w:hAnsi="宋体" w:eastAsia="宋体" w:cs="Calibri"/>
          <w:b/>
          <w:sz w:val="24"/>
        </w:rPr>
      </w:pPr>
    </w:p>
    <w:p w14:paraId="69DC47A8">
      <w:pPr>
        <w:spacing w:line="360" w:lineRule="auto"/>
        <w:ind w:firstLine="482"/>
        <w:contextualSpacing/>
        <w:jc w:val="left"/>
        <w:rPr>
          <w:rFonts w:hint="eastAsia" w:ascii="宋体" w:hAnsi="宋体" w:eastAsia="宋体" w:cs="Calibri"/>
          <w:sz w:val="24"/>
        </w:rPr>
      </w:pPr>
    </w:p>
    <w:p w14:paraId="42B5F490">
      <w:pPr>
        <w:spacing w:line="360" w:lineRule="auto"/>
        <w:ind w:firstLine="482"/>
        <w:contextualSpacing/>
        <w:jc w:val="left"/>
        <w:rPr>
          <w:rFonts w:hint="eastAsia" w:ascii="宋体" w:hAnsi="宋体" w:eastAsia="宋体" w:cs="Calibri"/>
          <w:sz w:val="24"/>
        </w:rPr>
      </w:pPr>
      <w:r>
        <w:rPr>
          <w:rFonts w:hint="eastAsia" w:ascii="宋体" w:hAnsi="宋体" w:eastAsia="宋体" w:cs="Calibri"/>
          <w:sz w:val="24"/>
        </w:rPr>
        <w:t>注：自然人竞标的无需提供，联合体竞标的只需牵头人出具。</w:t>
      </w:r>
    </w:p>
    <w:p w14:paraId="59740DCE">
      <w:pPr>
        <w:adjustRightInd w:val="0"/>
        <w:snapToGrid w:val="0"/>
        <w:spacing w:line="300" w:lineRule="auto"/>
        <w:ind w:firstLine="420"/>
        <w:jc w:val="left"/>
        <w:rPr>
          <w:rFonts w:hint="eastAsia" w:ascii="宋体" w:hAnsi="宋体" w:eastAsia="宋体"/>
          <w:b/>
          <w:szCs w:val="21"/>
        </w:rPr>
      </w:pPr>
    </w:p>
    <w:p w14:paraId="54427B57">
      <w:pPr>
        <w:spacing w:line="520" w:lineRule="exact"/>
        <w:ind w:firstLine="883"/>
        <w:jc w:val="left"/>
        <w:rPr>
          <w:rFonts w:hint="eastAsia" w:ascii="宋体" w:hAnsi="宋体" w:eastAsia="宋体" w:cs="Tahoma"/>
          <w:sz w:val="44"/>
          <w:szCs w:val="44"/>
        </w:rPr>
      </w:pPr>
      <w:r>
        <w:rPr>
          <w:rFonts w:hint="eastAsia" w:ascii="宋体" w:hAnsi="宋体" w:eastAsia="宋体" w:cs="Tahoma"/>
          <w:sz w:val="44"/>
          <w:szCs w:val="44"/>
        </w:rPr>
        <w:br w:type="page"/>
      </w:r>
      <w:r>
        <w:rPr>
          <w:rFonts w:hint="eastAsia" w:ascii="宋体" w:hAnsi="宋体" w:eastAsia="宋体"/>
          <w:b/>
          <w:bCs/>
          <w:sz w:val="32"/>
          <w:szCs w:val="32"/>
        </w:rPr>
        <w:t>5.授权委托书</w:t>
      </w:r>
    </w:p>
    <w:p w14:paraId="15829AD7">
      <w:pPr>
        <w:spacing w:line="500" w:lineRule="exact"/>
        <w:ind w:firstLine="883"/>
        <w:jc w:val="center"/>
        <w:rPr>
          <w:rFonts w:hint="eastAsia" w:ascii="宋体" w:hAnsi="宋体" w:eastAsia="宋体" w:cs="Tahoma"/>
          <w:sz w:val="44"/>
          <w:szCs w:val="44"/>
        </w:rPr>
      </w:pPr>
      <w:r>
        <w:rPr>
          <w:rFonts w:ascii="宋体" w:hAnsi="宋体" w:eastAsia="宋体" w:cs="Tahoma"/>
          <w:sz w:val="44"/>
          <w:szCs w:val="44"/>
        </w:rPr>
        <w:t xml:space="preserve"> </w:t>
      </w:r>
    </w:p>
    <w:p w14:paraId="4E7AE29A">
      <w:pPr>
        <w:spacing w:line="520" w:lineRule="exact"/>
        <w:ind w:firstLine="883"/>
        <w:jc w:val="center"/>
        <w:rPr>
          <w:rFonts w:hint="eastAsia" w:ascii="宋体" w:hAnsi="宋体" w:eastAsia="宋体" w:cs="Tahoma"/>
          <w:sz w:val="44"/>
          <w:szCs w:val="44"/>
        </w:rPr>
      </w:pPr>
      <w:bookmarkStart w:id="115" w:name="_Hlk65853643"/>
      <w:r>
        <w:rPr>
          <w:rFonts w:hint="eastAsia" w:ascii="宋体" w:hAnsi="宋体" w:eastAsia="宋体" w:cs="Tahoma"/>
          <w:sz w:val="44"/>
          <w:szCs w:val="44"/>
        </w:rPr>
        <w:t>授权委托书</w:t>
      </w:r>
    </w:p>
    <w:p w14:paraId="5B540622">
      <w:pPr>
        <w:spacing w:line="520" w:lineRule="exact"/>
        <w:ind w:firstLine="643"/>
        <w:jc w:val="center"/>
        <w:rPr>
          <w:rFonts w:hint="eastAsia" w:ascii="宋体" w:hAnsi="宋体" w:eastAsia="宋体" w:cs="Tahoma"/>
          <w:sz w:val="32"/>
          <w:szCs w:val="32"/>
        </w:rPr>
      </w:pPr>
      <w:r>
        <w:rPr>
          <w:rFonts w:hint="eastAsia" w:ascii="宋体" w:hAnsi="宋体" w:eastAsia="宋体" w:cs="Tahoma"/>
          <w:sz w:val="32"/>
          <w:szCs w:val="32"/>
        </w:rPr>
        <w:t>（非联合体竞标格式）</w:t>
      </w:r>
    </w:p>
    <w:p w14:paraId="417C3E89">
      <w:pPr>
        <w:spacing w:line="520" w:lineRule="exact"/>
        <w:ind w:firstLine="643"/>
        <w:jc w:val="center"/>
        <w:rPr>
          <w:rFonts w:hint="eastAsia" w:ascii="宋体" w:hAnsi="宋体" w:eastAsia="宋体" w:cs="Tahoma"/>
          <w:sz w:val="44"/>
          <w:szCs w:val="44"/>
        </w:rPr>
      </w:pPr>
      <w:r>
        <w:rPr>
          <w:rFonts w:hint="eastAsia" w:ascii="宋体" w:hAnsi="宋体" w:eastAsia="宋体" w:cs="Tahoma"/>
          <w:sz w:val="32"/>
          <w:szCs w:val="32"/>
        </w:rPr>
        <w:t>（如有委托时）</w:t>
      </w:r>
    </w:p>
    <w:p w14:paraId="5677F518">
      <w:pPr>
        <w:spacing w:line="520" w:lineRule="exact"/>
        <w:ind w:firstLine="643"/>
        <w:rPr>
          <w:rFonts w:hint="eastAsia" w:ascii="宋体" w:hAnsi="宋体" w:eastAsia="宋体" w:cs="Calibri"/>
          <w:sz w:val="32"/>
          <w:szCs w:val="32"/>
        </w:rPr>
      </w:pPr>
    </w:p>
    <w:p w14:paraId="53028610">
      <w:pPr>
        <w:spacing w:line="360" w:lineRule="auto"/>
        <w:ind w:firstLine="482"/>
        <w:rPr>
          <w:rFonts w:hint="eastAsia" w:ascii="宋体" w:hAnsi="宋体" w:eastAsia="宋体" w:cs="Calibri"/>
          <w:sz w:val="24"/>
        </w:rPr>
      </w:pPr>
      <w:r>
        <w:rPr>
          <w:rFonts w:hint="eastAsia" w:ascii="宋体" w:hAnsi="宋体" w:eastAsia="宋体" w:cs="Calibri"/>
          <w:sz w:val="24"/>
        </w:rPr>
        <w:t>致：</w:t>
      </w:r>
      <w:r>
        <w:rPr>
          <w:rFonts w:hint="eastAsia" w:ascii="宋体" w:hAnsi="宋体" w:eastAsia="宋体" w:cs="Calibri"/>
          <w:sz w:val="24"/>
          <w:u w:val="single"/>
        </w:rPr>
        <w:t>（采购人名称）</w:t>
      </w:r>
      <w:r>
        <w:rPr>
          <w:rFonts w:hint="eastAsia" w:ascii="宋体" w:hAnsi="宋体" w:eastAsia="宋体" w:cs="Calibri"/>
          <w:sz w:val="24"/>
        </w:rPr>
        <w:t>：</w:t>
      </w:r>
    </w:p>
    <w:p w14:paraId="22DE06AE">
      <w:pPr>
        <w:spacing w:line="360" w:lineRule="auto"/>
        <w:ind w:firstLine="480" w:firstLineChars="200"/>
        <w:rPr>
          <w:rFonts w:hint="eastAsia" w:ascii="宋体" w:hAnsi="宋体" w:eastAsia="宋体" w:cs="Calibri"/>
          <w:sz w:val="24"/>
        </w:rPr>
      </w:pPr>
      <w:r>
        <w:rPr>
          <w:rFonts w:hint="eastAsia" w:ascii="宋体" w:hAnsi="宋体" w:eastAsia="宋体" w:cs="Calibri"/>
          <w:sz w:val="24"/>
        </w:rPr>
        <w:t>我</w:t>
      </w:r>
      <w:r>
        <w:rPr>
          <w:rFonts w:hint="eastAsia" w:ascii="宋体" w:hAnsi="宋体" w:eastAsia="宋体" w:cs="Calibri"/>
          <w:sz w:val="24"/>
          <w:u w:val="single"/>
        </w:rPr>
        <w:t xml:space="preserve">  （姓名）  </w:t>
      </w:r>
      <w:r>
        <w:rPr>
          <w:rFonts w:hint="eastAsia" w:ascii="宋体" w:hAnsi="宋体" w:eastAsia="宋体" w:cs="Calibri"/>
          <w:sz w:val="24"/>
        </w:rPr>
        <w:t>系</w:t>
      </w:r>
      <w:r>
        <w:rPr>
          <w:rFonts w:hint="eastAsia" w:ascii="宋体" w:hAnsi="宋体" w:eastAsia="宋体" w:cs="Calibri"/>
          <w:sz w:val="24"/>
          <w:u w:val="single"/>
        </w:rPr>
        <w:t xml:space="preserve">  （供应商名称）  </w:t>
      </w:r>
      <w:r>
        <w:rPr>
          <w:rFonts w:hint="eastAsia" w:ascii="宋体" w:hAnsi="宋体" w:eastAsia="宋体" w:cs="Calibri"/>
          <w:sz w:val="24"/>
        </w:rPr>
        <w:t>的（</w:t>
      </w:r>
      <w:r>
        <w:rPr>
          <w:rFonts w:hint="eastAsia" w:ascii="宋体" w:hAnsi="宋体" w:eastAsia="宋体" w:cs="Calibri"/>
          <w:sz w:val="24"/>
          <w:u w:val="single"/>
        </w:rPr>
        <w:sym w:font="等线" w:char="00A3"/>
      </w:r>
      <w:r>
        <w:rPr>
          <w:rFonts w:hint="eastAsia" w:ascii="宋体" w:hAnsi="宋体" w:eastAsia="宋体" w:cs="Calibri"/>
          <w:sz w:val="24"/>
          <w:u w:val="single"/>
        </w:rPr>
        <w:t>法定代表人/□负责人/□自然人本人</w:t>
      </w:r>
      <w:r>
        <w:rPr>
          <w:rFonts w:hint="eastAsia" w:ascii="宋体" w:hAnsi="宋体" w:eastAsia="宋体" w:cs="Calibri"/>
          <w:sz w:val="24"/>
        </w:rPr>
        <w:t>），现授权</w:t>
      </w:r>
      <w:r>
        <w:rPr>
          <w:rFonts w:hint="eastAsia" w:ascii="宋体" w:hAnsi="宋体" w:eastAsia="宋体" w:cs="Calibri"/>
          <w:sz w:val="24"/>
          <w:u w:val="single"/>
        </w:rPr>
        <w:t xml:space="preserve"> （姓名） </w:t>
      </w:r>
      <w:r>
        <w:rPr>
          <w:rFonts w:hint="eastAsia" w:ascii="宋体" w:hAnsi="宋体" w:eastAsia="宋体" w:cs="Calibri"/>
          <w:sz w:val="24"/>
        </w:rPr>
        <w:t>以我方的名义参加</w:t>
      </w:r>
      <w:r>
        <w:rPr>
          <w:rFonts w:hint="eastAsia" w:ascii="宋体" w:hAnsi="宋体" w:eastAsia="宋体" w:cs="Calibri"/>
          <w:sz w:val="24"/>
          <w:u w:val="single"/>
        </w:rPr>
        <w:t xml:space="preserve">              </w:t>
      </w:r>
      <w:r>
        <w:rPr>
          <w:rFonts w:hint="eastAsia" w:ascii="宋体" w:hAnsi="宋体" w:eastAsia="宋体" w:cs="Calibri"/>
          <w:sz w:val="24"/>
        </w:rPr>
        <w:t>项目的竞标活动，并代表我方全权办理针对上述项目的所有采购程序和环节的具体事务和签署相关文件。</w:t>
      </w:r>
    </w:p>
    <w:p w14:paraId="3AB30625">
      <w:pPr>
        <w:spacing w:line="360" w:lineRule="auto"/>
        <w:ind w:firstLine="482"/>
        <w:rPr>
          <w:rFonts w:hint="eastAsia" w:ascii="宋体" w:hAnsi="宋体" w:eastAsia="宋体" w:cs="Calibri"/>
          <w:sz w:val="24"/>
        </w:rPr>
      </w:pPr>
      <w:r>
        <w:rPr>
          <w:rFonts w:hint="eastAsia" w:ascii="宋体" w:hAnsi="宋体" w:eastAsia="宋体" w:cs="Calibri"/>
          <w:sz w:val="24"/>
        </w:rPr>
        <w:t xml:space="preserve">    我方对委托代理人的签字</w:t>
      </w:r>
      <w:r>
        <w:rPr>
          <w:rFonts w:hint="eastAsia" w:ascii="宋体" w:hAnsi="宋体" w:eastAsia="宋体"/>
          <w:sz w:val="24"/>
        </w:rPr>
        <w:t>或者电子签名</w:t>
      </w:r>
      <w:r>
        <w:rPr>
          <w:rFonts w:hint="eastAsia" w:ascii="宋体" w:hAnsi="宋体" w:eastAsia="宋体" w:cs="Calibri"/>
          <w:sz w:val="24"/>
        </w:rPr>
        <w:t>事项负全部责任。</w:t>
      </w:r>
    </w:p>
    <w:p w14:paraId="00FF977B">
      <w:pPr>
        <w:spacing w:line="360" w:lineRule="auto"/>
        <w:ind w:firstLine="480" w:firstLineChars="200"/>
        <w:rPr>
          <w:rFonts w:hint="eastAsia" w:ascii="宋体" w:hAnsi="宋体" w:eastAsia="宋体" w:cs="Calibri"/>
          <w:sz w:val="24"/>
        </w:rPr>
      </w:pPr>
      <w:r>
        <w:rPr>
          <w:rFonts w:hint="eastAsia" w:ascii="宋体" w:hAnsi="宋体" w:eastAsia="宋体" w:cs="Calibri"/>
          <w:sz w:val="24"/>
        </w:rPr>
        <w:t>本授权书自签署之日起生效，在撤销授权的书面通知以前，本授权书一直有效。委托代理人在授权书有效期内签署的所有文件不因授权的撤销而失效。</w:t>
      </w:r>
    </w:p>
    <w:p w14:paraId="6862FB95">
      <w:pPr>
        <w:spacing w:line="360" w:lineRule="auto"/>
        <w:ind w:firstLine="480" w:firstLineChars="200"/>
        <w:rPr>
          <w:rFonts w:hint="eastAsia" w:ascii="宋体" w:hAnsi="宋体" w:eastAsia="宋体" w:cs="Calibri"/>
          <w:sz w:val="24"/>
        </w:rPr>
      </w:pPr>
      <w:r>
        <w:rPr>
          <w:rFonts w:hint="eastAsia" w:ascii="宋体" w:hAnsi="宋体" w:eastAsia="宋体" w:cs="Calibri"/>
          <w:sz w:val="24"/>
        </w:rPr>
        <w:t>委托代理人无转委托权，特此委托。</w:t>
      </w:r>
    </w:p>
    <w:p w14:paraId="385A8249">
      <w:pPr>
        <w:spacing w:line="360" w:lineRule="auto"/>
        <w:ind w:firstLine="480" w:firstLineChars="200"/>
        <w:rPr>
          <w:rFonts w:hint="eastAsia" w:ascii="宋体" w:hAnsi="宋体" w:eastAsia="宋体" w:cs="Calibri"/>
          <w:sz w:val="24"/>
        </w:rPr>
      </w:pPr>
      <w:r>
        <w:rPr>
          <w:rFonts w:hint="eastAsia" w:ascii="宋体" w:hAnsi="宋体" w:eastAsia="宋体" w:cs="Calibri"/>
          <w:sz w:val="24"/>
        </w:rPr>
        <w:t>附：法定代表人身份证明书及委托代理人有效身份证正反面复印件</w:t>
      </w:r>
    </w:p>
    <w:p w14:paraId="0344F2D4">
      <w:pPr>
        <w:spacing w:line="360" w:lineRule="auto"/>
        <w:ind w:firstLine="482"/>
        <w:rPr>
          <w:rFonts w:hint="eastAsia" w:ascii="宋体" w:hAnsi="宋体" w:eastAsia="宋体" w:cs="Calibri"/>
          <w:sz w:val="24"/>
        </w:rPr>
      </w:pPr>
    </w:p>
    <w:p w14:paraId="07246D5C">
      <w:pPr>
        <w:spacing w:line="360" w:lineRule="auto"/>
        <w:ind w:firstLine="482"/>
        <w:contextualSpacing/>
        <w:rPr>
          <w:rFonts w:hint="eastAsia" w:ascii="宋体" w:hAnsi="宋体" w:eastAsia="宋体" w:cs="Calibri"/>
          <w:sz w:val="24"/>
        </w:rPr>
      </w:pPr>
      <w:r>
        <w:rPr>
          <w:rFonts w:hint="eastAsia" w:ascii="宋体" w:hAnsi="宋体" w:eastAsia="宋体" w:cs="Calibri"/>
          <w:sz w:val="24"/>
        </w:rPr>
        <w:t>委托代理人（</w:t>
      </w:r>
      <w:r>
        <w:rPr>
          <w:rFonts w:hint="eastAsia" w:ascii="宋体" w:hAnsi="宋体" w:eastAsia="宋体"/>
          <w:sz w:val="24"/>
        </w:rPr>
        <w:t>签字或者电子签名</w:t>
      </w:r>
      <w:r>
        <w:rPr>
          <w:rFonts w:hint="eastAsia" w:ascii="宋体" w:hAnsi="宋体" w:eastAsia="宋体" w:cs="Calibri"/>
          <w:sz w:val="24"/>
        </w:rPr>
        <w:t xml:space="preserve">）：     法定代表人（签字或者盖章或者电子签名）：                    </w:t>
      </w:r>
    </w:p>
    <w:p w14:paraId="1B841AB3">
      <w:pPr>
        <w:spacing w:line="360" w:lineRule="auto"/>
        <w:ind w:firstLine="482"/>
        <w:contextualSpacing/>
        <w:rPr>
          <w:rFonts w:hint="eastAsia" w:ascii="宋体" w:hAnsi="宋体" w:eastAsia="宋体" w:cs="Calibri"/>
          <w:sz w:val="24"/>
        </w:rPr>
      </w:pPr>
      <w:r>
        <w:rPr>
          <w:rFonts w:hint="eastAsia" w:ascii="宋体" w:hAnsi="宋体" w:eastAsia="宋体" w:cs="Calibri"/>
          <w:sz w:val="24"/>
        </w:rPr>
        <w:t xml:space="preserve">委托代理人身份证号码：                              </w:t>
      </w:r>
    </w:p>
    <w:p w14:paraId="3600F8F2">
      <w:pPr>
        <w:spacing w:line="360" w:lineRule="auto"/>
        <w:ind w:firstLine="482"/>
        <w:contextualSpacing/>
        <w:rPr>
          <w:rFonts w:hint="eastAsia" w:ascii="宋体" w:hAnsi="宋体" w:eastAsia="宋体" w:cs="Calibri"/>
          <w:sz w:val="24"/>
        </w:rPr>
      </w:pPr>
      <w:r>
        <w:rPr>
          <w:rFonts w:hint="eastAsia" w:ascii="宋体" w:hAnsi="宋体" w:eastAsia="宋体" w:cs="Calibri"/>
          <w:sz w:val="24"/>
        </w:rPr>
        <w:t xml:space="preserve">                                </w:t>
      </w:r>
    </w:p>
    <w:p w14:paraId="5E5B21C8">
      <w:pPr>
        <w:spacing w:line="360" w:lineRule="auto"/>
        <w:ind w:firstLine="482"/>
        <w:rPr>
          <w:rFonts w:hint="eastAsia" w:ascii="宋体" w:hAnsi="宋体" w:eastAsia="宋体" w:cs="Calibri"/>
          <w:sz w:val="24"/>
        </w:rPr>
      </w:pPr>
      <w:r>
        <w:rPr>
          <w:rFonts w:hint="eastAsia" w:ascii="宋体" w:hAnsi="宋体" w:eastAsia="宋体" w:cs="Calibri"/>
          <w:sz w:val="24"/>
        </w:rPr>
        <w:t xml:space="preserve">                           供应商（电子签章）：                      </w:t>
      </w:r>
    </w:p>
    <w:p w14:paraId="692BF149">
      <w:pPr>
        <w:spacing w:line="360" w:lineRule="auto"/>
        <w:ind w:firstLine="482"/>
        <w:rPr>
          <w:rFonts w:hint="eastAsia" w:ascii="宋体" w:hAnsi="宋体" w:eastAsia="宋体" w:cs="Calibri"/>
          <w:sz w:val="24"/>
        </w:rPr>
      </w:pPr>
      <w:r>
        <w:rPr>
          <w:rFonts w:hint="eastAsia" w:ascii="宋体" w:hAnsi="宋体" w:eastAsia="宋体" w:cs="Calibri"/>
          <w:sz w:val="24"/>
        </w:rPr>
        <w:t xml:space="preserve">                                         日期：   年    月    日</w:t>
      </w:r>
    </w:p>
    <w:p w14:paraId="55D4727B">
      <w:pPr>
        <w:spacing w:line="360" w:lineRule="auto"/>
        <w:ind w:firstLine="482"/>
        <w:rPr>
          <w:rFonts w:hint="eastAsia" w:ascii="宋体" w:hAnsi="宋体" w:eastAsia="宋体" w:cs="Calibri"/>
          <w:sz w:val="24"/>
        </w:rPr>
      </w:pPr>
    </w:p>
    <w:p w14:paraId="5238C747">
      <w:pPr>
        <w:spacing w:line="360" w:lineRule="auto"/>
        <w:ind w:firstLine="482"/>
        <w:rPr>
          <w:rFonts w:hint="eastAsia" w:ascii="宋体" w:hAnsi="宋体" w:eastAsia="宋体" w:cs="Calibri"/>
          <w:sz w:val="24"/>
        </w:rPr>
      </w:pPr>
      <w:r>
        <w:rPr>
          <w:rFonts w:hint="eastAsia" w:ascii="宋体" w:hAnsi="宋体" w:eastAsia="宋体" w:cs="Calibri"/>
          <w:sz w:val="24"/>
        </w:rPr>
        <w:t>注：1. 法定代表人必须在授权委托书上签字或者盖章</w:t>
      </w:r>
      <w:r>
        <w:rPr>
          <w:rFonts w:hint="eastAsia" w:ascii="宋体" w:hAnsi="宋体" w:eastAsia="宋体"/>
          <w:sz w:val="24"/>
        </w:rPr>
        <w:t>或者电子签名</w:t>
      </w:r>
      <w:r>
        <w:rPr>
          <w:rFonts w:hint="eastAsia" w:ascii="宋体" w:hAnsi="宋体" w:eastAsia="宋体" w:cs="Calibri"/>
          <w:sz w:val="24"/>
        </w:rPr>
        <w:t>，委托代理人必须在授权委托书上签字或者电子签名，</w:t>
      </w:r>
      <w:r>
        <w:rPr>
          <w:rFonts w:hint="eastAsia" w:ascii="宋体" w:hAnsi="宋体" w:eastAsia="宋体" w:cs="Calibri"/>
          <w:b/>
          <w:sz w:val="24"/>
        </w:rPr>
        <w:t>否则其响应文件按无效响应处理。</w:t>
      </w:r>
    </w:p>
    <w:p w14:paraId="6741CC87">
      <w:pPr>
        <w:spacing w:line="360" w:lineRule="auto"/>
        <w:ind w:firstLine="480" w:firstLineChars="200"/>
        <w:jc w:val="left"/>
        <w:rPr>
          <w:rFonts w:hint="eastAsia" w:ascii="宋体" w:hAnsi="宋体" w:eastAsia="宋体" w:cs="Calibri"/>
          <w:szCs w:val="21"/>
        </w:rPr>
      </w:pPr>
      <w:r>
        <w:rPr>
          <w:rFonts w:ascii="宋体" w:hAnsi="宋体" w:eastAsia="宋体" w:cs="Calibri"/>
          <w:sz w:val="24"/>
        </w:rPr>
        <w:t>2.</w:t>
      </w:r>
      <w:bookmarkStart w:id="116" w:name="_Hlk65853109"/>
      <w:bookmarkStart w:id="117" w:name="_Hlk65853542"/>
      <w:r>
        <w:rPr>
          <w:rFonts w:hint="eastAsia" w:ascii="宋体" w:hAnsi="宋体" w:eastAsia="宋体" w:cs="Calibri"/>
          <w:sz w:val="24"/>
        </w:rPr>
        <w:t>法人、其他组织竞标时“我方”是指“我单位”，自然人竞标时“我方”是指“本人”。</w:t>
      </w:r>
      <w:bookmarkEnd w:id="116"/>
      <w:bookmarkEnd w:id="117"/>
    </w:p>
    <w:p w14:paraId="625039CC">
      <w:pPr>
        <w:spacing w:line="500" w:lineRule="exact"/>
        <w:ind w:firstLine="422"/>
        <w:jc w:val="center"/>
        <w:rPr>
          <w:rFonts w:hint="eastAsia" w:ascii="宋体" w:hAnsi="宋体" w:eastAsia="宋体" w:cs="Tahoma"/>
          <w:sz w:val="44"/>
          <w:szCs w:val="44"/>
        </w:rPr>
      </w:pPr>
      <w:r>
        <w:rPr>
          <w:rFonts w:ascii="宋体" w:hAnsi="宋体" w:eastAsia="宋体" w:cs="Calibri"/>
          <w:szCs w:val="21"/>
        </w:rPr>
        <w:br w:type="page"/>
      </w:r>
      <w:r>
        <w:rPr>
          <w:rFonts w:hint="eastAsia" w:ascii="宋体" w:hAnsi="宋体" w:eastAsia="宋体" w:cs="Tahoma"/>
          <w:sz w:val="44"/>
          <w:szCs w:val="44"/>
        </w:rPr>
        <w:t>授权委托书</w:t>
      </w:r>
    </w:p>
    <w:p w14:paraId="3AC63062">
      <w:pPr>
        <w:spacing w:line="500" w:lineRule="exact"/>
        <w:ind w:firstLine="643"/>
        <w:jc w:val="center"/>
        <w:rPr>
          <w:rFonts w:hint="eastAsia" w:ascii="宋体" w:hAnsi="宋体" w:eastAsia="宋体" w:cs="Tahoma"/>
          <w:sz w:val="32"/>
          <w:szCs w:val="32"/>
        </w:rPr>
      </w:pPr>
      <w:r>
        <w:rPr>
          <w:rFonts w:hint="eastAsia" w:ascii="宋体" w:hAnsi="宋体" w:eastAsia="宋体" w:cs="Tahoma"/>
          <w:sz w:val="32"/>
          <w:szCs w:val="32"/>
        </w:rPr>
        <w:t>（联合体竞标格式）</w:t>
      </w:r>
    </w:p>
    <w:p w14:paraId="603B014E">
      <w:pPr>
        <w:spacing w:line="500" w:lineRule="exact"/>
        <w:ind w:firstLine="643"/>
        <w:jc w:val="center"/>
        <w:rPr>
          <w:rFonts w:hint="eastAsia" w:ascii="宋体" w:hAnsi="宋体" w:eastAsia="宋体" w:cs="Tahoma"/>
          <w:sz w:val="44"/>
          <w:szCs w:val="44"/>
        </w:rPr>
      </w:pPr>
      <w:r>
        <w:rPr>
          <w:rFonts w:hint="eastAsia" w:ascii="宋体" w:hAnsi="宋体" w:eastAsia="宋体" w:cs="Tahoma"/>
          <w:sz w:val="32"/>
          <w:szCs w:val="32"/>
        </w:rPr>
        <w:t>（如有委托时）</w:t>
      </w:r>
    </w:p>
    <w:p w14:paraId="52AE0825">
      <w:pPr>
        <w:spacing w:line="500" w:lineRule="exact"/>
        <w:ind w:firstLine="883"/>
        <w:jc w:val="center"/>
        <w:rPr>
          <w:rFonts w:hint="eastAsia" w:ascii="宋体" w:hAnsi="宋体" w:eastAsia="宋体" w:cs="Tahoma"/>
          <w:sz w:val="44"/>
          <w:szCs w:val="44"/>
        </w:rPr>
      </w:pPr>
    </w:p>
    <w:p w14:paraId="797B421D">
      <w:pPr>
        <w:spacing w:line="500" w:lineRule="exact"/>
        <w:ind w:firstLine="643"/>
        <w:jc w:val="center"/>
        <w:rPr>
          <w:rFonts w:hint="eastAsia" w:ascii="宋体" w:hAnsi="宋体" w:eastAsia="宋体" w:cs="Calibri"/>
          <w:sz w:val="32"/>
          <w:szCs w:val="32"/>
        </w:rPr>
      </w:pPr>
    </w:p>
    <w:p w14:paraId="08A4481A">
      <w:pPr>
        <w:spacing w:line="360" w:lineRule="auto"/>
        <w:ind w:firstLine="480" w:firstLineChars="200"/>
        <w:jc w:val="left"/>
        <w:rPr>
          <w:rFonts w:hint="eastAsia" w:ascii="宋体" w:hAnsi="宋体" w:eastAsia="宋体" w:cs="Calibri"/>
          <w:sz w:val="24"/>
        </w:rPr>
      </w:pPr>
      <w:r>
        <w:rPr>
          <w:rFonts w:hint="eastAsia" w:ascii="宋体" w:hAnsi="宋体" w:eastAsia="宋体" w:cs="Calibri"/>
          <w:sz w:val="24"/>
        </w:rPr>
        <w:t>本授权委托书声明：根据</w:t>
      </w:r>
      <w:r>
        <w:rPr>
          <w:rFonts w:hint="eastAsia" w:ascii="宋体" w:hAnsi="宋体" w:eastAsia="宋体" w:cs="Calibri"/>
          <w:sz w:val="24"/>
          <w:u w:val="single"/>
        </w:rPr>
        <w:t xml:space="preserve">                </w:t>
      </w:r>
      <w:r>
        <w:rPr>
          <w:rFonts w:hint="eastAsia" w:ascii="宋体" w:hAnsi="宋体" w:eastAsia="宋体" w:cs="Calibri"/>
          <w:sz w:val="24"/>
        </w:rPr>
        <w:t>（牵头人名称）与</w:t>
      </w:r>
      <w:r>
        <w:rPr>
          <w:rFonts w:hint="eastAsia" w:ascii="宋体" w:hAnsi="宋体" w:eastAsia="宋体" w:cs="Calibri"/>
          <w:sz w:val="24"/>
          <w:u w:val="single"/>
        </w:rPr>
        <w:t xml:space="preserve">              </w:t>
      </w:r>
      <w:r>
        <w:rPr>
          <w:rFonts w:hint="eastAsia" w:ascii="宋体" w:hAnsi="宋体" w:eastAsia="宋体" w:cs="Calibri"/>
          <w:sz w:val="24"/>
        </w:rPr>
        <w:t>（联合体其他成员名称）签订的《联合体竞标协议书》的内容，</w:t>
      </w:r>
      <w:r>
        <w:rPr>
          <w:rFonts w:hint="eastAsia" w:ascii="宋体" w:hAnsi="宋体" w:eastAsia="宋体" w:cs="Calibri"/>
          <w:sz w:val="24"/>
          <w:u w:val="single"/>
        </w:rPr>
        <w:t xml:space="preserve">                       </w:t>
      </w:r>
      <w:r>
        <w:rPr>
          <w:rFonts w:hint="eastAsia" w:ascii="宋体" w:hAnsi="宋体" w:eastAsia="宋体" w:cs="Calibri"/>
          <w:sz w:val="24"/>
        </w:rPr>
        <w:t>（牵头人名称）的法定代表人</w:t>
      </w:r>
      <w:r>
        <w:rPr>
          <w:rFonts w:hint="eastAsia" w:ascii="宋体" w:hAnsi="宋体" w:eastAsia="宋体" w:cs="Calibri"/>
          <w:sz w:val="24"/>
          <w:u w:val="single"/>
        </w:rPr>
        <w:t xml:space="preserve">      </w:t>
      </w:r>
      <w:r>
        <w:rPr>
          <w:rFonts w:hint="eastAsia" w:ascii="宋体" w:hAnsi="宋体" w:eastAsia="宋体" w:cs="Calibri"/>
          <w:sz w:val="24"/>
        </w:rPr>
        <w:t>（姓名）现授权</w:t>
      </w:r>
      <w:r>
        <w:rPr>
          <w:rFonts w:hint="eastAsia" w:ascii="宋体" w:hAnsi="宋体" w:eastAsia="宋体" w:cs="Calibri"/>
          <w:sz w:val="24"/>
          <w:u w:val="single"/>
        </w:rPr>
        <w:t xml:space="preserve">      </w:t>
      </w:r>
      <w:r>
        <w:rPr>
          <w:rFonts w:hint="eastAsia" w:ascii="宋体" w:hAnsi="宋体" w:eastAsia="宋体" w:cs="Calibri"/>
          <w:sz w:val="24"/>
        </w:rPr>
        <w:t>（姓名）为联合委托代理人，并代表我方全权办理针对上述项目的所有采购程序和环节的具体事务和签署相关文件。</w:t>
      </w:r>
    </w:p>
    <w:p w14:paraId="216EC0C6">
      <w:pPr>
        <w:spacing w:line="360" w:lineRule="auto"/>
        <w:ind w:firstLine="480" w:firstLineChars="200"/>
        <w:contextualSpacing/>
        <w:rPr>
          <w:rFonts w:hint="eastAsia" w:ascii="宋体" w:hAnsi="宋体" w:eastAsia="宋体" w:cs="Calibri"/>
          <w:sz w:val="24"/>
        </w:rPr>
      </w:pPr>
      <w:r>
        <w:rPr>
          <w:rFonts w:hint="eastAsia" w:ascii="宋体" w:hAnsi="宋体" w:eastAsia="宋体" w:cs="Calibri"/>
          <w:sz w:val="24"/>
        </w:rPr>
        <w:t>我方对委托代理人的</w:t>
      </w:r>
      <w:r>
        <w:rPr>
          <w:rFonts w:hint="eastAsia" w:ascii="宋体" w:hAnsi="宋体" w:eastAsia="宋体"/>
          <w:sz w:val="24"/>
        </w:rPr>
        <w:t>签字或者电子签名</w:t>
      </w:r>
      <w:r>
        <w:rPr>
          <w:rFonts w:hint="eastAsia" w:ascii="宋体" w:hAnsi="宋体" w:eastAsia="宋体" w:cs="Calibri"/>
          <w:sz w:val="24"/>
        </w:rPr>
        <w:t>事项负全部责任。</w:t>
      </w:r>
    </w:p>
    <w:p w14:paraId="30E62FAB">
      <w:pPr>
        <w:spacing w:line="360" w:lineRule="auto"/>
        <w:ind w:firstLine="480" w:firstLineChars="200"/>
        <w:contextualSpacing/>
        <w:rPr>
          <w:rFonts w:hint="eastAsia" w:ascii="宋体" w:hAnsi="宋体" w:eastAsia="宋体" w:cs="Calibri"/>
          <w:sz w:val="24"/>
        </w:rPr>
      </w:pPr>
      <w:r>
        <w:rPr>
          <w:rFonts w:hint="eastAsia" w:ascii="宋体" w:hAnsi="宋体" w:eastAsia="宋体" w:cs="Calibri"/>
          <w:sz w:val="24"/>
        </w:rPr>
        <w:t>本授权书自签署之日起生效，在撤销授权的书面通知以前，本授权书一直有效。委托代理人在授权书有效期内签署的所有文件不因授权的撤销而失效。</w:t>
      </w:r>
    </w:p>
    <w:p w14:paraId="09BF6E65">
      <w:pPr>
        <w:spacing w:line="360" w:lineRule="auto"/>
        <w:ind w:firstLine="480" w:firstLineChars="200"/>
        <w:contextualSpacing/>
        <w:rPr>
          <w:rFonts w:hint="eastAsia" w:ascii="宋体" w:hAnsi="宋体" w:eastAsia="宋体" w:cs="Calibri"/>
          <w:sz w:val="24"/>
        </w:rPr>
      </w:pPr>
      <w:r>
        <w:rPr>
          <w:rFonts w:hint="eastAsia" w:ascii="宋体" w:hAnsi="宋体" w:eastAsia="宋体" w:cs="Calibri"/>
          <w:sz w:val="24"/>
        </w:rPr>
        <w:t>委托代理人无转委托权，特此委托。</w:t>
      </w:r>
    </w:p>
    <w:p w14:paraId="0FFABFCF">
      <w:pPr>
        <w:spacing w:line="360" w:lineRule="auto"/>
        <w:ind w:firstLine="482"/>
        <w:contextualSpacing/>
        <w:rPr>
          <w:rFonts w:hint="eastAsia" w:ascii="宋体" w:hAnsi="宋体" w:eastAsia="宋体" w:cs="Calibri"/>
          <w:sz w:val="24"/>
        </w:rPr>
      </w:pPr>
      <w:r>
        <w:rPr>
          <w:rFonts w:hint="eastAsia" w:ascii="宋体" w:hAnsi="宋体" w:eastAsia="宋体" w:cs="Calibri"/>
          <w:sz w:val="24"/>
        </w:rPr>
        <w:t xml:space="preserve">    附：法定代表人身份证明书及委托代理人有效身份证正反面复印件</w:t>
      </w:r>
    </w:p>
    <w:p w14:paraId="219D14A2">
      <w:pPr>
        <w:spacing w:line="360" w:lineRule="auto"/>
        <w:ind w:firstLine="480" w:firstLineChars="200"/>
        <w:contextualSpacing/>
        <w:rPr>
          <w:rFonts w:hint="eastAsia" w:ascii="宋体" w:hAnsi="宋体" w:eastAsia="宋体" w:cs="Calibri"/>
          <w:sz w:val="24"/>
        </w:rPr>
      </w:pPr>
      <w:r>
        <w:rPr>
          <w:rFonts w:hint="eastAsia" w:ascii="宋体" w:hAnsi="宋体" w:eastAsia="宋体" w:cs="Calibri"/>
          <w:sz w:val="24"/>
        </w:rPr>
        <w:t>牵头人法定代表人（签字或者盖章或者电子签名）：</w:t>
      </w:r>
    </w:p>
    <w:p w14:paraId="222D59AE">
      <w:pPr>
        <w:spacing w:line="360" w:lineRule="auto"/>
        <w:ind w:firstLine="3120" w:firstLineChars="1300"/>
        <w:contextualSpacing/>
        <w:rPr>
          <w:rFonts w:hint="eastAsia" w:ascii="宋体" w:hAnsi="宋体" w:eastAsia="宋体" w:cs="Calibri"/>
          <w:sz w:val="24"/>
        </w:rPr>
      </w:pPr>
      <w:r>
        <w:rPr>
          <w:rFonts w:hint="eastAsia" w:ascii="宋体" w:hAnsi="宋体" w:eastAsia="宋体" w:cs="Calibri"/>
          <w:sz w:val="24"/>
        </w:rPr>
        <w:t>牵头人（电子签章）：</w:t>
      </w:r>
    </w:p>
    <w:p w14:paraId="40D61EFC">
      <w:pPr>
        <w:spacing w:line="360" w:lineRule="auto"/>
        <w:ind w:firstLine="3840" w:firstLineChars="1600"/>
        <w:contextualSpacing/>
        <w:rPr>
          <w:rFonts w:hint="eastAsia" w:ascii="宋体" w:hAnsi="宋体" w:eastAsia="宋体" w:cs="Calibri"/>
          <w:sz w:val="24"/>
        </w:rPr>
      </w:pPr>
      <w:r>
        <w:rPr>
          <w:rFonts w:hint="eastAsia" w:ascii="宋体" w:hAnsi="宋体" w:eastAsia="宋体" w:cs="Calibri"/>
          <w:sz w:val="24"/>
        </w:rPr>
        <w:t>日期：    年   月   日</w:t>
      </w:r>
    </w:p>
    <w:p w14:paraId="716F7AEB">
      <w:pPr>
        <w:spacing w:line="360" w:lineRule="auto"/>
        <w:ind w:firstLine="482"/>
        <w:contextualSpacing/>
        <w:rPr>
          <w:rFonts w:hint="eastAsia" w:ascii="宋体" w:hAnsi="宋体" w:eastAsia="宋体" w:cs="Calibri"/>
          <w:sz w:val="24"/>
        </w:rPr>
      </w:pPr>
    </w:p>
    <w:p w14:paraId="5CCB6D40">
      <w:pPr>
        <w:spacing w:line="360" w:lineRule="auto"/>
        <w:ind w:firstLine="3120" w:firstLineChars="1300"/>
        <w:contextualSpacing/>
        <w:rPr>
          <w:rFonts w:hint="eastAsia" w:ascii="宋体" w:hAnsi="宋体" w:eastAsia="宋体" w:cs="Calibri"/>
          <w:sz w:val="24"/>
        </w:rPr>
      </w:pPr>
      <w:r>
        <w:rPr>
          <w:rFonts w:hint="eastAsia" w:ascii="宋体" w:hAnsi="宋体" w:eastAsia="宋体" w:cs="Calibri"/>
          <w:sz w:val="24"/>
        </w:rPr>
        <w:t>被授权人（签字或者电子签名）：</w:t>
      </w:r>
    </w:p>
    <w:p w14:paraId="032B0F0A">
      <w:pPr>
        <w:spacing w:line="360" w:lineRule="auto"/>
        <w:ind w:firstLine="3840" w:firstLineChars="1600"/>
        <w:contextualSpacing/>
        <w:rPr>
          <w:rFonts w:hint="eastAsia" w:ascii="宋体" w:hAnsi="宋体" w:eastAsia="宋体" w:cs="Calibri"/>
          <w:sz w:val="24"/>
        </w:rPr>
      </w:pPr>
      <w:r>
        <w:rPr>
          <w:rFonts w:hint="eastAsia" w:ascii="宋体" w:hAnsi="宋体" w:eastAsia="宋体" w:cs="Calibri"/>
          <w:sz w:val="24"/>
        </w:rPr>
        <w:t>日期：    年   月   日</w:t>
      </w:r>
    </w:p>
    <w:p w14:paraId="25EC9D7E">
      <w:pPr>
        <w:spacing w:line="360" w:lineRule="auto"/>
        <w:ind w:firstLine="482"/>
        <w:contextualSpacing/>
        <w:rPr>
          <w:rFonts w:hint="eastAsia" w:ascii="宋体" w:hAnsi="宋体" w:eastAsia="宋体" w:cs="Calibri"/>
          <w:sz w:val="24"/>
        </w:rPr>
      </w:pPr>
    </w:p>
    <w:p w14:paraId="0162C0B9">
      <w:pPr>
        <w:spacing w:line="360" w:lineRule="auto"/>
        <w:ind w:firstLine="482"/>
        <w:contextualSpacing/>
        <w:rPr>
          <w:rFonts w:hint="eastAsia" w:ascii="宋体" w:hAnsi="宋体" w:eastAsia="宋体" w:cs="Calibri"/>
          <w:sz w:val="24"/>
        </w:rPr>
      </w:pPr>
      <w:r>
        <w:rPr>
          <w:rFonts w:hint="eastAsia" w:ascii="宋体" w:hAnsi="宋体" w:eastAsia="宋体" w:cs="Calibri"/>
          <w:sz w:val="24"/>
        </w:rPr>
        <w:t>注：1. 法定代表人必须在授权委托书上签字或者盖章</w:t>
      </w:r>
      <w:r>
        <w:rPr>
          <w:rFonts w:hint="eastAsia" w:ascii="宋体" w:hAnsi="宋体" w:eastAsia="宋体"/>
          <w:sz w:val="24"/>
        </w:rPr>
        <w:t>或者电子签名</w:t>
      </w:r>
      <w:r>
        <w:rPr>
          <w:rFonts w:hint="eastAsia" w:ascii="宋体" w:hAnsi="宋体" w:eastAsia="宋体" w:cs="Calibri"/>
          <w:sz w:val="24"/>
        </w:rPr>
        <w:t>，委托代理人必须在授权委托书上签字或者电子签名，</w:t>
      </w:r>
      <w:r>
        <w:rPr>
          <w:rFonts w:hint="eastAsia" w:ascii="宋体" w:hAnsi="宋体" w:eastAsia="宋体" w:cs="Calibri"/>
          <w:b/>
          <w:sz w:val="24"/>
        </w:rPr>
        <w:t>否则其响应文件按无效响应处理。</w:t>
      </w:r>
    </w:p>
    <w:p w14:paraId="44882A6F">
      <w:pPr>
        <w:spacing w:line="360" w:lineRule="auto"/>
        <w:ind w:firstLine="480" w:firstLineChars="200"/>
        <w:jc w:val="left"/>
        <w:rPr>
          <w:rFonts w:hint="eastAsia" w:ascii="宋体" w:hAnsi="宋体" w:eastAsia="宋体" w:cs="Calibri"/>
          <w:spacing w:val="-11"/>
          <w:sz w:val="24"/>
        </w:rPr>
      </w:pPr>
      <w:r>
        <w:rPr>
          <w:rFonts w:ascii="宋体" w:hAnsi="宋体" w:eastAsia="宋体" w:cs="Calibri"/>
          <w:sz w:val="24"/>
        </w:rPr>
        <w:t>2.</w:t>
      </w:r>
      <w:r>
        <w:rPr>
          <w:rFonts w:hint="eastAsia" w:ascii="宋体" w:hAnsi="宋体" w:eastAsia="宋体" w:cs="Calibri"/>
          <w:sz w:val="24"/>
        </w:rPr>
        <w:t>法人、其他组织竞标时“我方”是指“我单位”，自然人竞标时“我方”是指“本人”。</w:t>
      </w:r>
    </w:p>
    <w:bookmarkEnd w:id="115"/>
    <w:p w14:paraId="36D0CB21">
      <w:pPr>
        <w:ind w:firstLine="643"/>
        <w:jc w:val="center"/>
        <w:rPr>
          <w:rFonts w:hint="eastAsia" w:ascii="宋体" w:hAnsi="宋体" w:eastAsia="宋体" w:cs="Tahoma"/>
          <w:bCs/>
          <w:sz w:val="44"/>
          <w:szCs w:val="44"/>
        </w:rPr>
      </w:pPr>
      <w:r>
        <w:rPr>
          <w:rFonts w:ascii="宋体" w:hAnsi="宋体" w:eastAsia="宋体" w:cs="Calibri"/>
          <w:sz w:val="32"/>
          <w:szCs w:val="32"/>
        </w:rPr>
        <w:br w:type="page"/>
      </w:r>
    </w:p>
    <w:p w14:paraId="030D7806">
      <w:pPr>
        <w:spacing w:line="520" w:lineRule="exact"/>
        <w:ind w:firstLine="643"/>
        <w:jc w:val="left"/>
        <w:rPr>
          <w:rFonts w:hint="eastAsia" w:ascii="宋体" w:hAnsi="宋体" w:eastAsia="宋体"/>
          <w:b/>
          <w:bCs/>
          <w:sz w:val="32"/>
          <w:szCs w:val="32"/>
        </w:rPr>
      </w:pPr>
      <w:r>
        <w:rPr>
          <w:rFonts w:hint="eastAsia" w:ascii="宋体" w:hAnsi="宋体" w:eastAsia="宋体"/>
          <w:b/>
          <w:bCs/>
          <w:sz w:val="32"/>
          <w:szCs w:val="32"/>
        </w:rPr>
        <w:t>6.商务要求偏离表</w:t>
      </w:r>
    </w:p>
    <w:p w14:paraId="36C23926">
      <w:pPr>
        <w:spacing w:line="500" w:lineRule="exact"/>
        <w:ind w:firstLine="883"/>
        <w:jc w:val="center"/>
        <w:rPr>
          <w:rFonts w:hint="eastAsia" w:ascii="宋体" w:hAnsi="宋体" w:eastAsia="宋体" w:cs="Tahoma"/>
          <w:bCs/>
          <w:sz w:val="44"/>
          <w:szCs w:val="44"/>
        </w:rPr>
      </w:pPr>
    </w:p>
    <w:p w14:paraId="54173EC6">
      <w:pPr>
        <w:spacing w:line="500" w:lineRule="exact"/>
        <w:ind w:firstLine="883"/>
        <w:jc w:val="center"/>
        <w:rPr>
          <w:rFonts w:hint="eastAsia" w:ascii="宋体" w:hAnsi="宋体" w:eastAsia="宋体" w:cs="Tahoma"/>
          <w:bCs/>
          <w:sz w:val="44"/>
          <w:szCs w:val="44"/>
        </w:rPr>
      </w:pPr>
      <w:r>
        <w:rPr>
          <w:rFonts w:hint="eastAsia" w:ascii="宋体" w:hAnsi="宋体" w:eastAsia="宋体" w:cs="Tahoma"/>
          <w:bCs/>
          <w:sz w:val="44"/>
          <w:szCs w:val="44"/>
        </w:rPr>
        <w:t>商务要求偏离表（格式）</w:t>
      </w:r>
    </w:p>
    <w:p w14:paraId="1AD005DA">
      <w:pPr>
        <w:ind w:firstLine="1600" w:firstLineChars="500"/>
        <w:rPr>
          <w:rFonts w:hint="eastAsia" w:ascii="宋体" w:hAnsi="宋体" w:eastAsia="宋体" w:cs="Tahoma"/>
          <w:sz w:val="32"/>
          <w:szCs w:val="32"/>
        </w:rPr>
      </w:pPr>
      <w:r>
        <w:rPr>
          <w:rFonts w:ascii="宋体" w:hAnsi="宋体" w:eastAsia="宋体" w:cs="Tahoma"/>
          <w:sz w:val="32"/>
          <w:szCs w:val="32"/>
        </w:rPr>
        <w:t>（注：按采购需求具体条款修改）</w:t>
      </w:r>
    </w:p>
    <w:p w14:paraId="397D4075">
      <w:pPr>
        <w:pStyle w:val="35"/>
        <w:ind w:firstLine="361"/>
        <w:rPr>
          <w:rFonts w:hint="eastAsia"/>
        </w:rPr>
      </w:pPr>
    </w:p>
    <w:p w14:paraId="151E8E31">
      <w:pPr>
        <w:spacing w:line="360" w:lineRule="auto"/>
        <w:ind w:firstLine="482"/>
        <w:contextualSpacing/>
        <w:jc w:val="left"/>
        <w:rPr>
          <w:rFonts w:hint="eastAsia" w:ascii="宋体" w:hAnsi="宋体" w:eastAsia="宋体"/>
          <w:sz w:val="24"/>
        </w:rPr>
      </w:pPr>
    </w:p>
    <w:p w14:paraId="50419E6E">
      <w:pPr>
        <w:spacing w:line="360" w:lineRule="auto"/>
        <w:ind w:firstLine="482"/>
        <w:contextualSpacing/>
        <w:rPr>
          <w:rFonts w:hint="eastAsia" w:ascii="宋体" w:hAnsi="宋体" w:eastAsia="宋体" w:cs="Calibri"/>
          <w:sz w:val="24"/>
          <w:u w:val="single"/>
        </w:rPr>
      </w:pPr>
      <w:r>
        <w:rPr>
          <w:rFonts w:hint="eastAsia" w:ascii="宋体" w:hAnsi="宋体" w:eastAsia="宋体" w:cs="Calibri"/>
          <w:sz w:val="24"/>
        </w:rPr>
        <w:t>采购项目编号：</w:t>
      </w:r>
      <w:r>
        <w:rPr>
          <w:rFonts w:hint="eastAsia" w:ascii="宋体" w:hAnsi="宋体" w:eastAsia="宋体" w:cs="Calibri"/>
          <w:sz w:val="24"/>
          <w:u w:val="single"/>
        </w:rPr>
        <w:t xml:space="preserve">                 </w:t>
      </w:r>
    </w:p>
    <w:p w14:paraId="0067B762">
      <w:pPr>
        <w:spacing w:line="360" w:lineRule="auto"/>
        <w:ind w:firstLine="482"/>
        <w:contextualSpacing/>
        <w:rPr>
          <w:rFonts w:hint="eastAsia" w:ascii="宋体" w:hAnsi="宋体" w:eastAsia="宋体" w:cs="Calibri"/>
          <w:sz w:val="24"/>
        </w:rPr>
      </w:pPr>
      <w:r>
        <w:rPr>
          <w:rFonts w:hint="eastAsia" w:ascii="宋体" w:hAnsi="宋体" w:eastAsia="宋体" w:cs="Calibri"/>
          <w:sz w:val="24"/>
        </w:rPr>
        <w:t>采购项目名称：</w:t>
      </w:r>
      <w:r>
        <w:rPr>
          <w:rFonts w:hint="eastAsia" w:ascii="宋体" w:hAnsi="宋体" w:eastAsia="宋体" w:cs="Calibri"/>
          <w:sz w:val="24"/>
          <w:u w:val="single"/>
        </w:rPr>
        <w:t xml:space="preserve">                 </w:t>
      </w:r>
    </w:p>
    <w:p w14:paraId="25F2E0C7">
      <w:pPr>
        <w:spacing w:line="360" w:lineRule="auto"/>
        <w:ind w:firstLine="482"/>
        <w:contextualSpacing/>
        <w:rPr>
          <w:rFonts w:hint="eastAsia" w:ascii="宋体" w:hAnsi="宋体" w:eastAsia="宋体" w:cs="Calibri"/>
          <w:sz w:val="24"/>
          <w:u w:val="single"/>
        </w:rPr>
      </w:pPr>
      <w:r>
        <w:rPr>
          <w:rFonts w:hint="eastAsia" w:ascii="宋体" w:hAnsi="宋体" w:eastAsia="宋体" w:cs="Calibri"/>
          <w:sz w:val="24"/>
        </w:rPr>
        <w:t>分标号：</w:t>
      </w:r>
      <w:r>
        <w:rPr>
          <w:rFonts w:hint="eastAsia" w:ascii="宋体" w:hAnsi="宋体" w:eastAsia="宋体" w:cs="Calibri"/>
          <w:sz w:val="24"/>
          <w:u w:val="single"/>
        </w:rPr>
        <w:t xml:space="preserve">   </w:t>
      </w:r>
      <w:r>
        <w:rPr>
          <w:rFonts w:hint="eastAsia" w:ascii="宋体" w:hAnsi="宋体" w:eastAsia="宋体" w:cs="宋体"/>
          <w:sz w:val="24"/>
          <w:u w:val="single"/>
        </w:rPr>
        <w:t>（有分标时填写）</w:t>
      </w:r>
      <w:r>
        <w:rPr>
          <w:rFonts w:hint="eastAsia" w:ascii="宋体" w:hAnsi="宋体" w:eastAsia="宋体" w:cs="Calibri"/>
          <w:sz w:val="24"/>
          <w:u w:val="single"/>
        </w:rPr>
        <w:t xml:space="preserve">    </w:t>
      </w:r>
    </w:p>
    <w:p w14:paraId="71A5F248">
      <w:pPr>
        <w:spacing w:line="360" w:lineRule="auto"/>
        <w:ind w:firstLine="482"/>
        <w:contextualSpacing/>
        <w:jc w:val="left"/>
        <w:rPr>
          <w:rFonts w:hint="eastAsia" w:ascii="宋体" w:hAnsi="宋体" w:eastAsia="宋体" w:cs="Calibri"/>
          <w:sz w:val="24"/>
          <w:u w:val="single"/>
        </w:rPr>
      </w:pPr>
    </w:p>
    <w:tbl>
      <w:tblPr>
        <w:tblStyle w:val="52"/>
        <w:tblpPr w:leftFromText="180" w:rightFromText="180" w:vertAnchor="text" w:horzAnchor="margin" w:tblpY="-9"/>
        <w:tblOverlap w:val="never"/>
        <w:tblW w:w="91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52"/>
        <w:gridCol w:w="2637"/>
        <w:gridCol w:w="2322"/>
        <w:gridCol w:w="2087"/>
      </w:tblGrid>
      <w:tr w14:paraId="5037D4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2152" w:type="dxa"/>
            <w:tcBorders>
              <w:top w:val="single" w:color="auto" w:sz="4" w:space="0"/>
              <w:left w:val="single" w:color="auto" w:sz="4" w:space="0"/>
              <w:bottom w:val="single" w:color="auto" w:sz="4" w:space="0"/>
              <w:right w:val="single" w:color="auto" w:sz="4" w:space="0"/>
            </w:tcBorders>
            <w:vAlign w:val="center"/>
          </w:tcPr>
          <w:p w14:paraId="064CA108">
            <w:pPr>
              <w:spacing w:line="360" w:lineRule="auto"/>
              <w:ind w:firstLine="482"/>
              <w:contextualSpacing/>
              <w:jc w:val="center"/>
              <w:rPr>
                <w:rFonts w:hint="eastAsia" w:ascii="宋体" w:hAnsi="宋体" w:eastAsia="宋体" w:cs="Calibri"/>
                <w:sz w:val="24"/>
              </w:rPr>
            </w:pPr>
            <w:r>
              <w:rPr>
                <w:rFonts w:hint="eastAsia" w:ascii="宋体" w:hAnsi="宋体" w:eastAsia="宋体" w:cs="Calibri"/>
                <w:sz w:val="24"/>
              </w:rPr>
              <w:t>项目</w:t>
            </w:r>
          </w:p>
        </w:tc>
        <w:tc>
          <w:tcPr>
            <w:tcW w:w="2637" w:type="dxa"/>
            <w:tcBorders>
              <w:top w:val="single" w:color="auto" w:sz="4" w:space="0"/>
              <w:left w:val="single" w:color="auto" w:sz="4" w:space="0"/>
              <w:bottom w:val="single" w:color="auto" w:sz="4" w:space="0"/>
              <w:right w:val="single" w:color="auto" w:sz="4" w:space="0"/>
            </w:tcBorders>
            <w:vAlign w:val="center"/>
          </w:tcPr>
          <w:p w14:paraId="44CA6089">
            <w:pPr>
              <w:spacing w:line="360" w:lineRule="auto"/>
              <w:ind w:firstLine="482"/>
              <w:contextualSpacing/>
              <w:jc w:val="center"/>
              <w:rPr>
                <w:rFonts w:hint="eastAsia" w:ascii="宋体" w:hAnsi="宋体" w:eastAsia="宋体" w:cs="Calibri"/>
                <w:sz w:val="24"/>
              </w:rPr>
            </w:pPr>
            <w:r>
              <w:rPr>
                <w:rFonts w:hint="eastAsia" w:ascii="宋体" w:hAnsi="宋体" w:eastAsia="宋体" w:cs="Calibri"/>
                <w:sz w:val="24"/>
              </w:rPr>
              <w:t>磋商文件商务条款要求</w:t>
            </w:r>
          </w:p>
        </w:tc>
        <w:tc>
          <w:tcPr>
            <w:tcW w:w="2322" w:type="dxa"/>
            <w:tcBorders>
              <w:top w:val="single" w:color="auto" w:sz="4" w:space="0"/>
              <w:left w:val="single" w:color="auto" w:sz="4" w:space="0"/>
              <w:bottom w:val="single" w:color="auto" w:sz="4" w:space="0"/>
              <w:right w:val="single" w:color="auto" w:sz="4" w:space="0"/>
            </w:tcBorders>
            <w:vAlign w:val="center"/>
          </w:tcPr>
          <w:p w14:paraId="22E63D31">
            <w:pPr>
              <w:spacing w:line="360" w:lineRule="auto"/>
              <w:ind w:firstLine="482"/>
              <w:contextualSpacing/>
              <w:jc w:val="center"/>
              <w:rPr>
                <w:rFonts w:hint="eastAsia" w:ascii="宋体" w:hAnsi="宋体" w:eastAsia="宋体" w:cs="Calibri"/>
                <w:sz w:val="24"/>
              </w:rPr>
            </w:pPr>
            <w:r>
              <w:rPr>
                <w:rFonts w:hint="eastAsia" w:ascii="宋体" w:hAnsi="宋体" w:eastAsia="宋体" w:cs="Calibri"/>
                <w:sz w:val="24"/>
              </w:rPr>
              <w:t>供应商的响应</w:t>
            </w:r>
          </w:p>
        </w:tc>
        <w:tc>
          <w:tcPr>
            <w:tcW w:w="2087" w:type="dxa"/>
            <w:tcBorders>
              <w:top w:val="single" w:color="auto" w:sz="4" w:space="0"/>
              <w:left w:val="single" w:color="auto" w:sz="4" w:space="0"/>
              <w:bottom w:val="single" w:color="auto" w:sz="4" w:space="0"/>
              <w:right w:val="single" w:color="auto" w:sz="4" w:space="0"/>
            </w:tcBorders>
            <w:vAlign w:val="center"/>
          </w:tcPr>
          <w:p w14:paraId="75C636F9">
            <w:pPr>
              <w:spacing w:line="360" w:lineRule="auto"/>
              <w:ind w:firstLine="482"/>
              <w:contextualSpacing/>
              <w:jc w:val="center"/>
              <w:rPr>
                <w:rFonts w:hint="eastAsia" w:ascii="宋体" w:hAnsi="宋体" w:eastAsia="宋体" w:cs="Calibri"/>
                <w:sz w:val="24"/>
              </w:rPr>
            </w:pPr>
            <w:r>
              <w:rPr>
                <w:rFonts w:hint="eastAsia" w:ascii="宋体" w:hAnsi="宋体" w:eastAsia="宋体" w:cs="Calibri"/>
                <w:sz w:val="24"/>
              </w:rPr>
              <w:t>偏离说明</w:t>
            </w:r>
          </w:p>
        </w:tc>
      </w:tr>
      <w:tr w14:paraId="4FB787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152" w:type="dxa"/>
            <w:tcBorders>
              <w:top w:val="single" w:color="auto" w:sz="4" w:space="0"/>
              <w:left w:val="single" w:color="auto" w:sz="4" w:space="0"/>
              <w:bottom w:val="single" w:color="auto" w:sz="4" w:space="0"/>
              <w:right w:val="single" w:color="auto" w:sz="4" w:space="0"/>
            </w:tcBorders>
            <w:vAlign w:val="center"/>
          </w:tcPr>
          <w:p w14:paraId="08EBE7D6">
            <w:pPr>
              <w:ind w:firstLine="482"/>
              <w:jc w:val="center"/>
              <w:rPr>
                <w:rFonts w:hint="eastAsia" w:ascii="宋体" w:hAnsi="宋体" w:eastAsia="宋体"/>
                <w:sz w:val="24"/>
              </w:rPr>
            </w:pPr>
          </w:p>
        </w:tc>
        <w:tc>
          <w:tcPr>
            <w:tcW w:w="2637" w:type="dxa"/>
            <w:tcBorders>
              <w:top w:val="single" w:color="auto" w:sz="4" w:space="0"/>
              <w:left w:val="single" w:color="auto" w:sz="4" w:space="0"/>
              <w:bottom w:val="single" w:color="auto" w:sz="4" w:space="0"/>
              <w:right w:val="single" w:color="auto" w:sz="4" w:space="0"/>
            </w:tcBorders>
            <w:vAlign w:val="center"/>
          </w:tcPr>
          <w:p w14:paraId="5D29C007">
            <w:pPr>
              <w:spacing w:line="360" w:lineRule="auto"/>
              <w:ind w:firstLine="482"/>
              <w:contextualSpacing/>
              <w:jc w:val="center"/>
              <w:rPr>
                <w:rFonts w:hint="eastAsia" w:ascii="宋体" w:hAnsi="宋体" w:eastAsia="宋体" w:cs="Calibri"/>
                <w:sz w:val="24"/>
              </w:rPr>
            </w:pPr>
          </w:p>
        </w:tc>
        <w:tc>
          <w:tcPr>
            <w:tcW w:w="2322" w:type="dxa"/>
            <w:tcBorders>
              <w:top w:val="single" w:color="auto" w:sz="4" w:space="0"/>
              <w:left w:val="single" w:color="auto" w:sz="4" w:space="0"/>
              <w:bottom w:val="single" w:color="auto" w:sz="4" w:space="0"/>
              <w:right w:val="single" w:color="auto" w:sz="4" w:space="0"/>
            </w:tcBorders>
            <w:vAlign w:val="center"/>
          </w:tcPr>
          <w:p w14:paraId="25B8AABB">
            <w:pPr>
              <w:spacing w:line="360" w:lineRule="auto"/>
              <w:ind w:firstLine="482"/>
              <w:contextualSpacing/>
              <w:jc w:val="center"/>
              <w:rPr>
                <w:rFonts w:hint="eastAsia" w:ascii="宋体" w:hAnsi="宋体" w:eastAsia="宋体" w:cs="Calibri"/>
                <w:sz w:val="24"/>
              </w:rPr>
            </w:pPr>
          </w:p>
        </w:tc>
        <w:tc>
          <w:tcPr>
            <w:tcW w:w="2087" w:type="dxa"/>
            <w:tcBorders>
              <w:top w:val="single" w:color="auto" w:sz="4" w:space="0"/>
              <w:left w:val="single" w:color="auto" w:sz="4" w:space="0"/>
              <w:bottom w:val="single" w:color="auto" w:sz="4" w:space="0"/>
              <w:right w:val="single" w:color="auto" w:sz="4" w:space="0"/>
            </w:tcBorders>
            <w:vAlign w:val="center"/>
          </w:tcPr>
          <w:p w14:paraId="387A87C6">
            <w:pPr>
              <w:spacing w:line="360" w:lineRule="auto"/>
              <w:ind w:firstLine="482"/>
              <w:contextualSpacing/>
              <w:jc w:val="center"/>
              <w:rPr>
                <w:rFonts w:hint="eastAsia" w:ascii="宋体" w:hAnsi="宋体" w:eastAsia="宋体" w:cs="Calibri"/>
                <w:sz w:val="24"/>
              </w:rPr>
            </w:pPr>
          </w:p>
        </w:tc>
      </w:tr>
      <w:tr w14:paraId="51FB3E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2152" w:type="dxa"/>
            <w:tcBorders>
              <w:top w:val="single" w:color="auto" w:sz="4" w:space="0"/>
              <w:left w:val="single" w:color="auto" w:sz="4" w:space="0"/>
              <w:bottom w:val="single" w:color="auto" w:sz="4" w:space="0"/>
              <w:right w:val="single" w:color="auto" w:sz="4" w:space="0"/>
            </w:tcBorders>
            <w:vAlign w:val="center"/>
          </w:tcPr>
          <w:p w14:paraId="4ED53746">
            <w:pPr>
              <w:ind w:firstLine="482"/>
              <w:jc w:val="center"/>
              <w:rPr>
                <w:rFonts w:hint="eastAsia" w:ascii="宋体" w:hAnsi="宋体" w:eastAsia="宋体"/>
                <w:sz w:val="24"/>
              </w:rPr>
            </w:pPr>
          </w:p>
        </w:tc>
        <w:tc>
          <w:tcPr>
            <w:tcW w:w="2637" w:type="dxa"/>
            <w:tcBorders>
              <w:top w:val="single" w:color="auto" w:sz="4" w:space="0"/>
              <w:left w:val="single" w:color="auto" w:sz="4" w:space="0"/>
              <w:bottom w:val="single" w:color="auto" w:sz="4" w:space="0"/>
              <w:right w:val="single" w:color="auto" w:sz="4" w:space="0"/>
            </w:tcBorders>
            <w:vAlign w:val="center"/>
          </w:tcPr>
          <w:p w14:paraId="64B65E1B">
            <w:pPr>
              <w:spacing w:line="360" w:lineRule="auto"/>
              <w:ind w:firstLine="482"/>
              <w:contextualSpacing/>
              <w:jc w:val="center"/>
              <w:rPr>
                <w:rFonts w:hint="eastAsia" w:ascii="宋体" w:hAnsi="宋体" w:eastAsia="宋体" w:cs="Calibri"/>
                <w:sz w:val="24"/>
              </w:rPr>
            </w:pPr>
          </w:p>
        </w:tc>
        <w:tc>
          <w:tcPr>
            <w:tcW w:w="2322" w:type="dxa"/>
            <w:tcBorders>
              <w:top w:val="single" w:color="auto" w:sz="4" w:space="0"/>
              <w:left w:val="single" w:color="auto" w:sz="4" w:space="0"/>
              <w:bottom w:val="single" w:color="auto" w:sz="4" w:space="0"/>
              <w:right w:val="single" w:color="auto" w:sz="4" w:space="0"/>
            </w:tcBorders>
            <w:vAlign w:val="center"/>
          </w:tcPr>
          <w:p w14:paraId="43451E4E">
            <w:pPr>
              <w:spacing w:line="360" w:lineRule="auto"/>
              <w:ind w:left="43" w:firstLine="482"/>
              <w:contextualSpacing/>
              <w:jc w:val="center"/>
              <w:rPr>
                <w:rFonts w:hint="eastAsia" w:ascii="宋体" w:hAnsi="宋体" w:eastAsia="宋体" w:cs="Calibri"/>
                <w:sz w:val="24"/>
              </w:rPr>
            </w:pPr>
          </w:p>
        </w:tc>
        <w:tc>
          <w:tcPr>
            <w:tcW w:w="2087" w:type="dxa"/>
            <w:tcBorders>
              <w:top w:val="single" w:color="auto" w:sz="4" w:space="0"/>
              <w:left w:val="single" w:color="auto" w:sz="4" w:space="0"/>
              <w:bottom w:val="single" w:color="auto" w:sz="4" w:space="0"/>
              <w:right w:val="single" w:color="auto" w:sz="4" w:space="0"/>
            </w:tcBorders>
            <w:vAlign w:val="center"/>
          </w:tcPr>
          <w:p w14:paraId="4DA870C6">
            <w:pPr>
              <w:spacing w:line="360" w:lineRule="auto"/>
              <w:ind w:left="43" w:firstLine="482"/>
              <w:contextualSpacing/>
              <w:jc w:val="center"/>
              <w:rPr>
                <w:rFonts w:hint="eastAsia" w:ascii="宋体" w:hAnsi="宋体" w:eastAsia="宋体" w:cs="Calibri"/>
                <w:sz w:val="24"/>
              </w:rPr>
            </w:pPr>
          </w:p>
        </w:tc>
      </w:tr>
      <w:tr w14:paraId="18718D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2152" w:type="dxa"/>
            <w:tcBorders>
              <w:top w:val="single" w:color="auto" w:sz="4" w:space="0"/>
              <w:left w:val="single" w:color="auto" w:sz="4" w:space="0"/>
              <w:bottom w:val="single" w:color="auto" w:sz="4" w:space="0"/>
              <w:right w:val="single" w:color="auto" w:sz="4" w:space="0"/>
            </w:tcBorders>
            <w:vAlign w:val="center"/>
          </w:tcPr>
          <w:p w14:paraId="2EAC2855">
            <w:pPr>
              <w:spacing w:line="360" w:lineRule="auto"/>
              <w:ind w:firstLine="482"/>
              <w:contextualSpacing/>
              <w:jc w:val="center"/>
              <w:rPr>
                <w:rFonts w:hint="eastAsia" w:ascii="宋体" w:hAnsi="宋体" w:eastAsia="宋体" w:cs="Calibri"/>
                <w:sz w:val="24"/>
              </w:rPr>
            </w:pPr>
            <w:r>
              <w:rPr>
                <w:rFonts w:hint="eastAsia" w:ascii="宋体" w:hAnsi="宋体" w:eastAsia="宋体" w:cs="Calibri"/>
                <w:sz w:val="24"/>
              </w:rPr>
              <w:t>…</w:t>
            </w:r>
          </w:p>
        </w:tc>
        <w:tc>
          <w:tcPr>
            <w:tcW w:w="2637" w:type="dxa"/>
            <w:tcBorders>
              <w:top w:val="single" w:color="auto" w:sz="4" w:space="0"/>
              <w:left w:val="single" w:color="auto" w:sz="4" w:space="0"/>
              <w:bottom w:val="single" w:color="auto" w:sz="4" w:space="0"/>
              <w:right w:val="single" w:color="auto" w:sz="4" w:space="0"/>
            </w:tcBorders>
            <w:vAlign w:val="center"/>
          </w:tcPr>
          <w:p w14:paraId="1D94161B">
            <w:pPr>
              <w:spacing w:line="360" w:lineRule="auto"/>
              <w:ind w:firstLine="482"/>
              <w:contextualSpacing/>
              <w:jc w:val="center"/>
              <w:rPr>
                <w:rFonts w:hint="eastAsia" w:ascii="宋体" w:hAnsi="宋体" w:eastAsia="宋体" w:cs="Calibri"/>
                <w:sz w:val="24"/>
              </w:rPr>
            </w:pPr>
          </w:p>
        </w:tc>
        <w:tc>
          <w:tcPr>
            <w:tcW w:w="2322" w:type="dxa"/>
            <w:tcBorders>
              <w:top w:val="single" w:color="auto" w:sz="4" w:space="0"/>
              <w:left w:val="single" w:color="auto" w:sz="4" w:space="0"/>
              <w:bottom w:val="single" w:color="auto" w:sz="4" w:space="0"/>
              <w:right w:val="single" w:color="auto" w:sz="4" w:space="0"/>
            </w:tcBorders>
            <w:vAlign w:val="center"/>
          </w:tcPr>
          <w:p w14:paraId="5520B963">
            <w:pPr>
              <w:spacing w:line="360" w:lineRule="auto"/>
              <w:ind w:firstLine="482"/>
              <w:contextualSpacing/>
              <w:jc w:val="center"/>
              <w:rPr>
                <w:rFonts w:hint="eastAsia" w:ascii="宋体" w:hAnsi="宋体" w:eastAsia="宋体" w:cs="Calibri"/>
                <w:sz w:val="24"/>
              </w:rPr>
            </w:pPr>
          </w:p>
        </w:tc>
        <w:tc>
          <w:tcPr>
            <w:tcW w:w="2087" w:type="dxa"/>
            <w:tcBorders>
              <w:top w:val="single" w:color="auto" w:sz="4" w:space="0"/>
              <w:left w:val="single" w:color="auto" w:sz="4" w:space="0"/>
              <w:bottom w:val="single" w:color="auto" w:sz="4" w:space="0"/>
              <w:right w:val="single" w:color="auto" w:sz="4" w:space="0"/>
            </w:tcBorders>
            <w:vAlign w:val="center"/>
          </w:tcPr>
          <w:p w14:paraId="6374F1EA">
            <w:pPr>
              <w:spacing w:line="360" w:lineRule="auto"/>
              <w:ind w:firstLine="482"/>
              <w:contextualSpacing/>
              <w:jc w:val="center"/>
              <w:rPr>
                <w:rFonts w:hint="eastAsia" w:ascii="宋体" w:hAnsi="宋体" w:eastAsia="宋体" w:cs="Calibri"/>
                <w:sz w:val="24"/>
              </w:rPr>
            </w:pPr>
          </w:p>
        </w:tc>
      </w:tr>
    </w:tbl>
    <w:p w14:paraId="575CAB7B">
      <w:pPr>
        <w:pStyle w:val="22"/>
        <w:spacing w:after="0" w:line="360" w:lineRule="auto"/>
        <w:ind w:firstLine="482"/>
        <w:contextualSpacing/>
        <w:rPr>
          <w:rFonts w:hint="eastAsia" w:ascii="宋体" w:hAnsi="宋体" w:eastAsia="宋体"/>
          <w:kern w:val="0"/>
          <w:sz w:val="24"/>
          <w:szCs w:val="24"/>
        </w:rPr>
      </w:pPr>
      <w:r>
        <w:rPr>
          <w:rFonts w:hint="eastAsia" w:ascii="宋体" w:hAnsi="宋体" w:eastAsia="宋体"/>
          <w:kern w:val="0"/>
          <w:sz w:val="24"/>
          <w:szCs w:val="24"/>
        </w:rPr>
        <w:t>注：</w:t>
      </w:r>
    </w:p>
    <w:p w14:paraId="192B771C">
      <w:pPr>
        <w:pStyle w:val="22"/>
        <w:spacing w:after="0" w:line="360" w:lineRule="auto"/>
        <w:ind w:firstLine="482"/>
        <w:contextualSpacing/>
        <w:rPr>
          <w:rFonts w:hint="eastAsia" w:ascii="宋体" w:hAnsi="宋体" w:eastAsia="宋体"/>
          <w:kern w:val="0"/>
          <w:sz w:val="24"/>
          <w:szCs w:val="24"/>
        </w:rPr>
      </w:pPr>
      <w:r>
        <w:rPr>
          <w:rFonts w:hint="eastAsia" w:ascii="宋体" w:hAnsi="宋体" w:eastAsia="宋体"/>
          <w:kern w:val="0"/>
          <w:sz w:val="24"/>
          <w:szCs w:val="24"/>
        </w:rPr>
        <w:t>1. 说明：应对照磋商文件“第三章 采购需求”中的商务要求逐条作出明确响应，并作出偏离说明。</w:t>
      </w:r>
    </w:p>
    <w:p w14:paraId="33853674">
      <w:pPr>
        <w:spacing w:line="360" w:lineRule="auto"/>
        <w:ind w:firstLine="482"/>
        <w:contextualSpacing/>
        <w:jc w:val="left"/>
        <w:rPr>
          <w:rFonts w:hint="eastAsia" w:ascii="宋体" w:hAnsi="宋体" w:eastAsia="宋体" w:cs="Calibri"/>
          <w:sz w:val="24"/>
          <w:u w:val="single"/>
        </w:rPr>
      </w:pPr>
      <w:r>
        <w:rPr>
          <w:rFonts w:hint="eastAsia" w:ascii="宋体" w:hAnsi="宋体" w:eastAsia="宋体"/>
          <w:kern w:val="0"/>
          <w:sz w:val="24"/>
        </w:rPr>
        <w:t>2.供应商应根据自身的承诺，对照磋商文件要求在“偏离说明”中注明“正偏离”、“负偏离”或者“无偏离”。既不属于“正偏离”也不属于“负偏离”即为“无偏离”。</w:t>
      </w:r>
    </w:p>
    <w:p w14:paraId="1886CC58">
      <w:pPr>
        <w:spacing w:line="360" w:lineRule="auto"/>
        <w:ind w:right="-817" w:rightChars="-389" w:firstLine="482"/>
        <w:contextualSpacing/>
        <w:rPr>
          <w:rFonts w:hint="eastAsia" w:ascii="宋体" w:hAnsi="宋体" w:eastAsia="宋体" w:cs="Calibri"/>
          <w:sz w:val="24"/>
        </w:rPr>
      </w:pPr>
    </w:p>
    <w:p w14:paraId="065A1B66">
      <w:pPr>
        <w:spacing w:line="360" w:lineRule="auto"/>
        <w:ind w:right="-817" w:rightChars="-389" w:firstLine="482"/>
        <w:contextualSpacing/>
        <w:jc w:val="center"/>
        <w:rPr>
          <w:rFonts w:hint="eastAsia" w:ascii="宋体" w:hAnsi="宋体" w:eastAsia="宋体" w:cs="Calibri"/>
          <w:sz w:val="24"/>
        </w:rPr>
      </w:pPr>
      <w:r>
        <w:rPr>
          <w:rFonts w:hint="eastAsia" w:ascii="宋体" w:hAnsi="宋体" w:eastAsia="宋体" w:cs="Calibri"/>
          <w:sz w:val="24"/>
        </w:rPr>
        <w:t>法定代表人或者委托代理人（签字或者电子签名）：</w:t>
      </w:r>
    </w:p>
    <w:p w14:paraId="49D9B9D9">
      <w:pPr>
        <w:spacing w:line="360" w:lineRule="auto"/>
        <w:ind w:right="-817" w:rightChars="-389" w:firstLine="2640" w:firstLineChars="1100"/>
        <w:contextualSpacing/>
        <w:rPr>
          <w:rFonts w:hint="eastAsia" w:ascii="宋体" w:hAnsi="宋体" w:eastAsia="宋体" w:cs="Calibri"/>
          <w:sz w:val="24"/>
        </w:rPr>
      </w:pPr>
      <w:r>
        <w:rPr>
          <w:rFonts w:hint="eastAsia" w:ascii="宋体" w:hAnsi="宋体" w:eastAsia="宋体" w:cs="Calibri"/>
          <w:sz w:val="24"/>
        </w:rPr>
        <w:t xml:space="preserve">供应商（电子签章）：      </w:t>
      </w:r>
    </w:p>
    <w:p w14:paraId="40BB9099">
      <w:pPr>
        <w:spacing w:line="360" w:lineRule="auto"/>
        <w:ind w:right="-817" w:rightChars="-389" w:firstLine="4080" w:firstLineChars="1700"/>
        <w:contextualSpacing/>
        <w:rPr>
          <w:rFonts w:hint="eastAsia" w:ascii="宋体" w:hAnsi="宋体" w:eastAsia="宋体" w:cs="Tahoma"/>
          <w:bCs/>
          <w:sz w:val="44"/>
          <w:szCs w:val="44"/>
        </w:rPr>
      </w:pPr>
      <w:r>
        <w:rPr>
          <w:rFonts w:hint="eastAsia" w:ascii="宋体" w:hAnsi="宋体" w:eastAsia="宋体" w:cs="Calibri"/>
          <w:sz w:val="24"/>
        </w:rPr>
        <w:t>日期：   年   月   日</w:t>
      </w:r>
    </w:p>
    <w:p w14:paraId="76A72475">
      <w:pPr>
        <w:adjustRightInd w:val="0"/>
        <w:snapToGrid w:val="0"/>
        <w:spacing w:line="300" w:lineRule="auto"/>
        <w:ind w:firstLine="883"/>
        <w:jc w:val="center"/>
        <w:rPr>
          <w:rFonts w:hint="eastAsia" w:ascii="宋体" w:hAnsi="宋体" w:eastAsia="宋体" w:cs="Tahoma"/>
          <w:bCs/>
          <w:sz w:val="44"/>
          <w:szCs w:val="44"/>
        </w:rPr>
      </w:pPr>
      <w:r>
        <w:rPr>
          <w:rFonts w:ascii="宋体" w:hAnsi="宋体" w:eastAsia="宋体" w:cs="Tahoma"/>
          <w:bCs/>
          <w:sz w:val="44"/>
          <w:szCs w:val="44"/>
        </w:rPr>
        <w:br w:type="page"/>
      </w:r>
    </w:p>
    <w:p w14:paraId="052E8568">
      <w:pPr>
        <w:spacing w:line="520" w:lineRule="exact"/>
        <w:ind w:firstLine="643"/>
        <w:jc w:val="left"/>
        <w:rPr>
          <w:rFonts w:hint="eastAsia" w:ascii="宋体" w:hAnsi="宋体" w:eastAsia="宋体"/>
          <w:b/>
          <w:bCs/>
          <w:sz w:val="32"/>
          <w:szCs w:val="32"/>
        </w:rPr>
      </w:pPr>
      <w:r>
        <w:rPr>
          <w:rFonts w:hint="eastAsia" w:ascii="宋体" w:hAnsi="宋体" w:eastAsia="宋体"/>
          <w:b/>
          <w:bCs/>
          <w:sz w:val="32"/>
          <w:szCs w:val="32"/>
        </w:rPr>
        <w:t>7.技术要求偏离表</w:t>
      </w:r>
    </w:p>
    <w:p w14:paraId="64C0A5A5">
      <w:pPr>
        <w:adjustRightInd w:val="0"/>
        <w:snapToGrid w:val="0"/>
        <w:spacing w:line="300" w:lineRule="auto"/>
        <w:ind w:firstLine="883"/>
        <w:jc w:val="center"/>
        <w:rPr>
          <w:rFonts w:hint="eastAsia" w:ascii="宋体" w:hAnsi="宋体" w:eastAsia="宋体" w:cs="Tahoma"/>
          <w:bCs/>
          <w:sz w:val="44"/>
          <w:szCs w:val="44"/>
        </w:rPr>
      </w:pPr>
    </w:p>
    <w:p w14:paraId="4D9F93FE">
      <w:pPr>
        <w:adjustRightInd w:val="0"/>
        <w:snapToGrid w:val="0"/>
        <w:spacing w:line="300" w:lineRule="auto"/>
        <w:ind w:firstLine="883"/>
        <w:jc w:val="center"/>
        <w:rPr>
          <w:rFonts w:hint="eastAsia" w:ascii="宋体" w:hAnsi="宋体" w:eastAsia="宋体" w:cs="Tahoma"/>
          <w:bCs/>
          <w:sz w:val="44"/>
          <w:szCs w:val="44"/>
        </w:rPr>
      </w:pPr>
      <w:r>
        <w:rPr>
          <w:rFonts w:hint="eastAsia" w:ascii="宋体" w:hAnsi="宋体" w:eastAsia="宋体" w:cs="Tahoma"/>
          <w:bCs/>
          <w:sz w:val="44"/>
          <w:szCs w:val="44"/>
        </w:rPr>
        <w:t>技术要求偏离表（格式）</w:t>
      </w:r>
    </w:p>
    <w:p w14:paraId="7DFD4412">
      <w:pPr>
        <w:adjustRightInd w:val="0"/>
        <w:snapToGrid w:val="0"/>
        <w:spacing w:line="300" w:lineRule="auto"/>
        <w:ind w:firstLine="643"/>
        <w:jc w:val="center"/>
        <w:rPr>
          <w:rFonts w:hint="eastAsia" w:ascii="宋体" w:hAnsi="宋体" w:eastAsia="宋体" w:cs="Tahoma"/>
          <w:bCs/>
          <w:sz w:val="44"/>
          <w:szCs w:val="44"/>
        </w:rPr>
      </w:pPr>
      <w:r>
        <w:rPr>
          <w:rFonts w:ascii="宋体" w:hAnsi="宋体" w:eastAsia="宋体" w:cs="Tahoma"/>
          <w:sz w:val="32"/>
          <w:szCs w:val="32"/>
        </w:rPr>
        <w:t>（注：按采购需求具体条款修改）</w:t>
      </w:r>
    </w:p>
    <w:p w14:paraId="78296DB5">
      <w:pPr>
        <w:spacing w:line="520" w:lineRule="exact"/>
        <w:ind w:firstLine="643"/>
        <w:rPr>
          <w:rFonts w:hint="eastAsia" w:ascii="宋体" w:hAnsi="宋体" w:eastAsia="宋体" w:cs="Calibri"/>
          <w:sz w:val="32"/>
          <w:szCs w:val="32"/>
        </w:rPr>
      </w:pPr>
    </w:p>
    <w:p w14:paraId="6862ACAA">
      <w:pPr>
        <w:spacing w:line="360" w:lineRule="auto"/>
        <w:ind w:firstLine="482"/>
        <w:contextualSpacing/>
        <w:rPr>
          <w:rFonts w:hint="eastAsia" w:ascii="宋体" w:hAnsi="宋体" w:eastAsia="宋体" w:cs="Calibri"/>
          <w:sz w:val="24"/>
          <w:u w:val="single"/>
        </w:rPr>
      </w:pPr>
      <w:r>
        <w:rPr>
          <w:rFonts w:hint="eastAsia" w:ascii="宋体" w:hAnsi="宋体" w:eastAsia="宋体" w:cs="Calibri"/>
          <w:sz w:val="24"/>
        </w:rPr>
        <w:t>采购项目编号：</w:t>
      </w:r>
      <w:r>
        <w:rPr>
          <w:rFonts w:hint="eastAsia" w:ascii="宋体" w:hAnsi="宋体" w:eastAsia="宋体" w:cs="Calibri"/>
          <w:sz w:val="24"/>
          <w:u w:val="single"/>
        </w:rPr>
        <w:t xml:space="preserve">                 </w:t>
      </w:r>
    </w:p>
    <w:p w14:paraId="2C86F5F6">
      <w:pPr>
        <w:spacing w:line="360" w:lineRule="auto"/>
        <w:ind w:firstLine="482"/>
        <w:contextualSpacing/>
        <w:rPr>
          <w:rFonts w:hint="eastAsia" w:ascii="宋体" w:hAnsi="宋体" w:eastAsia="宋体" w:cs="Calibri"/>
          <w:sz w:val="24"/>
        </w:rPr>
      </w:pPr>
      <w:r>
        <w:rPr>
          <w:rFonts w:hint="eastAsia" w:ascii="宋体" w:hAnsi="宋体" w:eastAsia="宋体" w:cs="Calibri"/>
          <w:sz w:val="24"/>
        </w:rPr>
        <w:t>采购项目名称：</w:t>
      </w:r>
      <w:r>
        <w:rPr>
          <w:rFonts w:hint="eastAsia" w:ascii="宋体" w:hAnsi="宋体" w:eastAsia="宋体" w:cs="Calibri"/>
          <w:sz w:val="24"/>
          <w:u w:val="single"/>
        </w:rPr>
        <w:t xml:space="preserve">                 </w:t>
      </w:r>
    </w:p>
    <w:p w14:paraId="5096B00A">
      <w:pPr>
        <w:spacing w:line="360" w:lineRule="auto"/>
        <w:ind w:firstLine="482"/>
        <w:contextualSpacing/>
        <w:rPr>
          <w:rFonts w:hint="eastAsia" w:ascii="宋体" w:hAnsi="宋体" w:eastAsia="宋体" w:cs="Calibri"/>
          <w:sz w:val="24"/>
          <w:u w:val="single"/>
        </w:rPr>
      </w:pPr>
      <w:r>
        <w:rPr>
          <w:rFonts w:hint="eastAsia" w:ascii="宋体" w:hAnsi="宋体" w:eastAsia="宋体" w:cs="Calibri"/>
          <w:sz w:val="24"/>
        </w:rPr>
        <w:t>分标号：</w:t>
      </w:r>
      <w:r>
        <w:rPr>
          <w:rFonts w:hint="eastAsia" w:ascii="宋体" w:hAnsi="宋体" w:eastAsia="宋体" w:cs="Calibri"/>
          <w:sz w:val="24"/>
          <w:u w:val="single"/>
        </w:rPr>
        <w:t xml:space="preserve">   </w:t>
      </w:r>
      <w:r>
        <w:rPr>
          <w:rFonts w:hint="eastAsia" w:ascii="宋体" w:hAnsi="宋体" w:eastAsia="宋体" w:cs="宋体"/>
          <w:sz w:val="24"/>
          <w:u w:val="single"/>
        </w:rPr>
        <w:t>（有分标时填写）</w:t>
      </w:r>
      <w:r>
        <w:rPr>
          <w:rFonts w:hint="eastAsia" w:ascii="宋体" w:hAnsi="宋体" w:eastAsia="宋体" w:cs="Calibri"/>
          <w:sz w:val="24"/>
          <w:u w:val="single"/>
        </w:rPr>
        <w:t xml:space="preserve">    </w:t>
      </w:r>
    </w:p>
    <w:p w14:paraId="3FEC4906">
      <w:pPr>
        <w:spacing w:line="360" w:lineRule="auto"/>
        <w:ind w:firstLine="482"/>
        <w:contextualSpacing/>
        <w:rPr>
          <w:rFonts w:hint="eastAsia" w:ascii="宋体" w:hAnsi="宋体" w:eastAsia="宋体" w:cs="Calibri"/>
          <w:sz w:val="24"/>
          <w:u w:val="single"/>
        </w:rPr>
      </w:pP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6"/>
        <w:gridCol w:w="915"/>
        <w:gridCol w:w="3038"/>
        <w:gridCol w:w="2734"/>
        <w:gridCol w:w="1492"/>
      </w:tblGrid>
      <w:tr w14:paraId="1AF904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66BA3967">
            <w:pPr>
              <w:pStyle w:val="25"/>
              <w:spacing w:line="360" w:lineRule="auto"/>
              <w:ind w:firstLine="0" w:firstLineChars="0"/>
              <w:contextualSpacing/>
              <w:jc w:val="center"/>
              <w:rPr>
                <w:rFonts w:hint="eastAsia" w:ascii="宋体" w:hAnsi="宋体" w:eastAsia="宋体" w:cs="Calibri"/>
                <w:kern w:val="2"/>
                <w:sz w:val="24"/>
                <w:szCs w:val="24"/>
                <w:lang w:val="en-US"/>
              </w:rPr>
            </w:pPr>
            <w:bookmarkStart w:id="118" w:name="_Toc373333689"/>
            <w:bookmarkStart w:id="119" w:name="_Toc295404981"/>
            <w:bookmarkStart w:id="120" w:name="_Toc297193185"/>
            <w:bookmarkStart w:id="121" w:name="_Toc383699906"/>
            <w:bookmarkStart w:id="122" w:name="_Toc254970729"/>
            <w:bookmarkStart w:id="123" w:name="_Toc173211900"/>
            <w:bookmarkStart w:id="124" w:name="_Toc173066401"/>
            <w:bookmarkStart w:id="125" w:name="_Toc254970588"/>
            <w:bookmarkStart w:id="126" w:name="_Toc301781611"/>
            <w:r>
              <w:rPr>
                <w:rFonts w:hint="eastAsia" w:ascii="宋体" w:hAnsi="宋体" w:eastAsia="宋体" w:cs="Calibri"/>
                <w:kern w:val="2"/>
                <w:sz w:val="24"/>
                <w:szCs w:val="24"/>
                <w:lang w:val="en-US"/>
              </w:rPr>
              <w:t>序号</w:t>
            </w:r>
            <w:bookmarkEnd w:id="118"/>
            <w:bookmarkEnd w:id="119"/>
            <w:bookmarkEnd w:id="120"/>
            <w:bookmarkEnd w:id="121"/>
            <w:bookmarkEnd w:id="122"/>
            <w:bookmarkEnd w:id="123"/>
            <w:bookmarkEnd w:id="124"/>
            <w:bookmarkEnd w:id="125"/>
            <w:bookmarkEnd w:id="126"/>
          </w:p>
        </w:tc>
        <w:tc>
          <w:tcPr>
            <w:tcW w:w="915" w:type="dxa"/>
            <w:tcBorders>
              <w:right w:val="single" w:color="auto" w:sz="4" w:space="0"/>
            </w:tcBorders>
            <w:vAlign w:val="center"/>
          </w:tcPr>
          <w:p w14:paraId="11391689">
            <w:pPr>
              <w:pStyle w:val="25"/>
              <w:spacing w:line="360" w:lineRule="auto"/>
              <w:ind w:firstLine="0" w:firstLineChars="0"/>
              <w:contextualSpacing/>
              <w:jc w:val="center"/>
              <w:rPr>
                <w:rFonts w:hint="eastAsia" w:ascii="宋体" w:hAnsi="宋体" w:eastAsia="宋体" w:cs="Calibri"/>
                <w:kern w:val="2"/>
                <w:sz w:val="24"/>
                <w:szCs w:val="24"/>
                <w:lang w:val="en-US"/>
              </w:rPr>
            </w:pPr>
            <w:r>
              <w:rPr>
                <w:rFonts w:hint="eastAsia" w:ascii="宋体" w:hAnsi="宋体" w:eastAsia="宋体" w:cs="Calibri"/>
                <w:kern w:val="2"/>
                <w:sz w:val="24"/>
                <w:szCs w:val="24"/>
                <w:lang w:val="en-US"/>
              </w:rPr>
              <w:t>标的名称</w:t>
            </w:r>
          </w:p>
        </w:tc>
        <w:tc>
          <w:tcPr>
            <w:tcW w:w="3038" w:type="dxa"/>
            <w:tcBorders>
              <w:left w:val="single" w:color="auto" w:sz="4" w:space="0"/>
            </w:tcBorders>
            <w:vAlign w:val="center"/>
          </w:tcPr>
          <w:p w14:paraId="562251BF">
            <w:pPr>
              <w:pStyle w:val="25"/>
              <w:spacing w:line="360" w:lineRule="auto"/>
              <w:ind w:firstLine="0" w:firstLineChars="0"/>
              <w:contextualSpacing/>
              <w:jc w:val="center"/>
              <w:rPr>
                <w:rFonts w:hint="eastAsia" w:ascii="宋体" w:hAnsi="宋体" w:eastAsia="宋体" w:cs="Calibri"/>
                <w:kern w:val="2"/>
                <w:sz w:val="24"/>
                <w:szCs w:val="24"/>
                <w:lang w:val="en-US"/>
              </w:rPr>
            </w:pPr>
            <w:r>
              <w:rPr>
                <w:rFonts w:hint="eastAsia" w:ascii="宋体" w:hAnsi="宋体" w:eastAsia="宋体" w:cs="Calibri"/>
                <w:kern w:val="2"/>
                <w:sz w:val="24"/>
                <w:szCs w:val="24"/>
                <w:lang w:val="en-US"/>
              </w:rPr>
              <w:t>磋商文件技术要求</w:t>
            </w:r>
          </w:p>
        </w:tc>
        <w:tc>
          <w:tcPr>
            <w:tcW w:w="2734" w:type="dxa"/>
            <w:vAlign w:val="center"/>
          </w:tcPr>
          <w:p w14:paraId="7DA6ED44">
            <w:pPr>
              <w:pStyle w:val="25"/>
              <w:spacing w:line="360" w:lineRule="auto"/>
              <w:ind w:firstLine="0" w:firstLineChars="0"/>
              <w:contextualSpacing/>
              <w:jc w:val="center"/>
              <w:rPr>
                <w:rFonts w:hint="eastAsia" w:ascii="宋体" w:hAnsi="宋体" w:eastAsia="宋体" w:cs="Calibri"/>
                <w:kern w:val="2"/>
                <w:sz w:val="24"/>
                <w:szCs w:val="24"/>
                <w:lang w:val="en-US"/>
              </w:rPr>
            </w:pPr>
            <w:bookmarkStart w:id="127" w:name="_Toc373333691"/>
            <w:bookmarkStart w:id="128" w:name="_Toc173211902"/>
            <w:bookmarkStart w:id="129" w:name="_Toc297193187"/>
            <w:bookmarkStart w:id="130" w:name="_Toc383699908"/>
            <w:bookmarkStart w:id="131" w:name="_Toc254970590"/>
            <w:bookmarkStart w:id="132" w:name="_Toc173066403"/>
            <w:bookmarkStart w:id="133" w:name="_Toc254970731"/>
            <w:bookmarkStart w:id="134" w:name="_Toc301781613"/>
            <w:bookmarkStart w:id="135" w:name="_Toc295404983"/>
            <w:r>
              <w:rPr>
                <w:rFonts w:hint="eastAsia" w:ascii="宋体" w:hAnsi="宋体" w:eastAsia="宋体" w:cs="Calibri"/>
                <w:sz w:val="24"/>
              </w:rPr>
              <w:t>供应商的响应</w:t>
            </w:r>
            <w:bookmarkEnd w:id="127"/>
            <w:bookmarkEnd w:id="128"/>
            <w:bookmarkEnd w:id="129"/>
            <w:bookmarkEnd w:id="130"/>
            <w:bookmarkEnd w:id="131"/>
            <w:bookmarkEnd w:id="132"/>
            <w:bookmarkEnd w:id="133"/>
            <w:bookmarkEnd w:id="134"/>
            <w:bookmarkEnd w:id="135"/>
          </w:p>
        </w:tc>
        <w:tc>
          <w:tcPr>
            <w:tcW w:w="1492" w:type="dxa"/>
            <w:vAlign w:val="center"/>
          </w:tcPr>
          <w:p w14:paraId="07E94497">
            <w:pPr>
              <w:pStyle w:val="25"/>
              <w:spacing w:line="360" w:lineRule="auto"/>
              <w:ind w:firstLine="0" w:firstLineChars="0"/>
              <w:contextualSpacing/>
              <w:jc w:val="center"/>
              <w:rPr>
                <w:rFonts w:hint="eastAsia" w:ascii="宋体" w:hAnsi="宋体" w:eastAsia="宋体" w:cs="Calibri"/>
                <w:kern w:val="2"/>
                <w:sz w:val="24"/>
                <w:szCs w:val="24"/>
                <w:lang w:val="en-US"/>
              </w:rPr>
            </w:pPr>
            <w:bookmarkStart w:id="136" w:name="_Toc295404984"/>
            <w:bookmarkStart w:id="137" w:name="_Toc383699909"/>
            <w:bookmarkStart w:id="138" w:name="_Toc254970732"/>
            <w:bookmarkStart w:id="139" w:name="_Toc301781614"/>
            <w:bookmarkStart w:id="140" w:name="_Toc297193188"/>
            <w:bookmarkStart w:id="141" w:name="_Toc373333692"/>
            <w:bookmarkStart w:id="142" w:name="_Toc173211903"/>
            <w:bookmarkStart w:id="143" w:name="_Toc173066404"/>
            <w:bookmarkStart w:id="144" w:name="_Toc254970591"/>
            <w:r>
              <w:rPr>
                <w:rFonts w:hint="eastAsia" w:ascii="宋体" w:hAnsi="宋体" w:eastAsia="宋体" w:cs="Calibri"/>
                <w:kern w:val="2"/>
                <w:sz w:val="24"/>
                <w:szCs w:val="24"/>
                <w:lang w:val="en-US"/>
              </w:rPr>
              <w:t>偏离</w:t>
            </w:r>
            <w:bookmarkEnd w:id="136"/>
            <w:bookmarkEnd w:id="137"/>
            <w:bookmarkEnd w:id="138"/>
            <w:bookmarkEnd w:id="139"/>
            <w:bookmarkEnd w:id="140"/>
            <w:bookmarkEnd w:id="141"/>
            <w:bookmarkEnd w:id="142"/>
            <w:bookmarkEnd w:id="143"/>
            <w:bookmarkEnd w:id="144"/>
            <w:bookmarkStart w:id="145" w:name="_Toc373333693"/>
            <w:bookmarkStart w:id="146" w:name="_Toc254970733"/>
            <w:bookmarkStart w:id="147" w:name="_Toc173211904"/>
            <w:bookmarkStart w:id="148" w:name="_Toc383699910"/>
            <w:bookmarkStart w:id="149" w:name="_Toc173066405"/>
            <w:bookmarkStart w:id="150" w:name="_Toc297193189"/>
            <w:bookmarkStart w:id="151" w:name="_Toc295404985"/>
            <w:bookmarkStart w:id="152" w:name="_Toc254970592"/>
            <w:bookmarkStart w:id="153" w:name="_Toc301781615"/>
            <w:r>
              <w:rPr>
                <w:rFonts w:hint="eastAsia" w:ascii="宋体" w:hAnsi="宋体" w:eastAsia="宋体" w:cs="Calibri"/>
                <w:kern w:val="2"/>
                <w:sz w:val="24"/>
                <w:szCs w:val="24"/>
                <w:lang w:val="en-US"/>
              </w:rPr>
              <w:t>说明</w:t>
            </w:r>
            <w:bookmarkEnd w:id="145"/>
            <w:bookmarkEnd w:id="146"/>
            <w:bookmarkEnd w:id="147"/>
            <w:bookmarkEnd w:id="148"/>
            <w:bookmarkEnd w:id="149"/>
            <w:bookmarkEnd w:id="150"/>
            <w:bookmarkEnd w:id="151"/>
            <w:bookmarkEnd w:id="152"/>
            <w:bookmarkEnd w:id="153"/>
          </w:p>
        </w:tc>
      </w:tr>
      <w:tr w14:paraId="4888DF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5E207DCB">
            <w:pPr>
              <w:pStyle w:val="25"/>
              <w:spacing w:line="360" w:lineRule="auto"/>
              <w:ind w:firstLine="0" w:firstLineChars="0"/>
              <w:contextualSpacing/>
              <w:jc w:val="center"/>
              <w:rPr>
                <w:rFonts w:hint="eastAsia" w:ascii="宋体" w:hAnsi="宋体" w:eastAsia="宋体" w:cs="Calibri"/>
                <w:kern w:val="2"/>
                <w:sz w:val="24"/>
                <w:szCs w:val="24"/>
                <w:lang w:val="en-US"/>
              </w:rPr>
            </w:pPr>
            <w:bookmarkStart w:id="154" w:name="_Toc295404986"/>
            <w:bookmarkStart w:id="155" w:name="_Toc173211905"/>
            <w:bookmarkStart w:id="156" w:name="_Toc297193190"/>
            <w:bookmarkStart w:id="157" w:name="_Toc254970593"/>
            <w:bookmarkStart w:id="158" w:name="_Toc301781616"/>
            <w:bookmarkStart w:id="159" w:name="_Toc254970734"/>
            <w:bookmarkStart w:id="160" w:name="_Toc373333694"/>
            <w:bookmarkStart w:id="161" w:name="_Toc173066406"/>
            <w:bookmarkStart w:id="162" w:name="_Toc383699911"/>
            <w:r>
              <w:rPr>
                <w:rFonts w:hint="eastAsia" w:ascii="宋体" w:hAnsi="宋体" w:eastAsia="宋体" w:cs="Calibri"/>
                <w:kern w:val="2"/>
                <w:sz w:val="24"/>
                <w:szCs w:val="24"/>
                <w:lang w:val="en-US"/>
              </w:rPr>
              <w:t>1</w:t>
            </w:r>
            <w:bookmarkEnd w:id="154"/>
            <w:bookmarkEnd w:id="155"/>
            <w:bookmarkEnd w:id="156"/>
            <w:bookmarkEnd w:id="157"/>
            <w:bookmarkEnd w:id="158"/>
            <w:bookmarkEnd w:id="159"/>
            <w:bookmarkEnd w:id="160"/>
            <w:bookmarkEnd w:id="161"/>
            <w:bookmarkEnd w:id="162"/>
          </w:p>
        </w:tc>
        <w:tc>
          <w:tcPr>
            <w:tcW w:w="915" w:type="dxa"/>
            <w:tcBorders>
              <w:right w:val="single" w:color="auto" w:sz="4" w:space="0"/>
            </w:tcBorders>
            <w:vAlign w:val="center"/>
          </w:tcPr>
          <w:p w14:paraId="1F86AEBD">
            <w:pPr>
              <w:pStyle w:val="25"/>
              <w:spacing w:line="360" w:lineRule="auto"/>
              <w:ind w:firstLine="0" w:firstLineChars="0"/>
              <w:contextualSpacing/>
              <w:jc w:val="center"/>
              <w:rPr>
                <w:rFonts w:hint="eastAsia" w:ascii="宋体" w:hAnsi="宋体" w:eastAsia="宋体" w:cs="Calibri"/>
                <w:kern w:val="2"/>
                <w:sz w:val="24"/>
                <w:szCs w:val="24"/>
                <w:lang w:val="en-US"/>
              </w:rPr>
            </w:pPr>
          </w:p>
        </w:tc>
        <w:tc>
          <w:tcPr>
            <w:tcW w:w="3038" w:type="dxa"/>
            <w:tcBorders>
              <w:left w:val="single" w:color="auto" w:sz="4" w:space="0"/>
            </w:tcBorders>
            <w:vAlign w:val="center"/>
          </w:tcPr>
          <w:p w14:paraId="0CEA41E9">
            <w:pPr>
              <w:pStyle w:val="25"/>
              <w:spacing w:line="360" w:lineRule="auto"/>
              <w:ind w:firstLine="0" w:firstLineChars="0"/>
              <w:contextualSpacing/>
              <w:jc w:val="center"/>
              <w:rPr>
                <w:rFonts w:hint="eastAsia" w:ascii="宋体" w:hAnsi="宋体" w:eastAsia="宋体" w:cs="Calibri"/>
                <w:kern w:val="2"/>
                <w:sz w:val="24"/>
                <w:szCs w:val="24"/>
                <w:lang w:val="en-US"/>
              </w:rPr>
            </w:pPr>
          </w:p>
        </w:tc>
        <w:tc>
          <w:tcPr>
            <w:tcW w:w="2734" w:type="dxa"/>
            <w:vAlign w:val="center"/>
          </w:tcPr>
          <w:p w14:paraId="11EF326F">
            <w:pPr>
              <w:pStyle w:val="25"/>
              <w:spacing w:line="360" w:lineRule="auto"/>
              <w:ind w:firstLine="0" w:firstLineChars="0"/>
              <w:contextualSpacing/>
              <w:jc w:val="center"/>
              <w:rPr>
                <w:rFonts w:hint="eastAsia" w:ascii="宋体" w:hAnsi="宋体" w:eastAsia="宋体" w:cs="Calibri"/>
                <w:kern w:val="2"/>
                <w:sz w:val="24"/>
                <w:szCs w:val="24"/>
                <w:lang w:val="en-US"/>
              </w:rPr>
            </w:pPr>
          </w:p>
        </w:tc>
        <w:tc>
          <w:tcPr>
            <w:tcW w:w="1492" w:type="dxa"/>
            <w:vAlign w:val="center"/>
          </w:tcPr>
          <w:p w14:paraId="206E74F0">
            <w:pPr>
              <w:pStyle w:val="25"/>
              <w:spacing w:line="360" w:lineRule="auto"/>
              <w:ind w:firstLine="0" w:firstLineChars="0"/>
              <w:contextualSpacing/>
              <w:jc w:val="center"/>
              <w:rPr>
                <w:rFonts w:hint="eastAsia" w:ascii="宋体" w:hAnsi="宋体" w:eastAsia="宋体" w:cs="Calibri"/>
                <w:kern w:val="2"/>
                <w:sz w:val="24"/>
                <w:szCs w:val="24"/>
                <w:lang w:val="en-US"/>
              </w:rPr>
            </w:pPr>
          </w:p>
        </w:tc>
      </w:tr>
      <w:tr w14:paraId="540FFA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460243AF">
            <w:pPr>
              <w:pStyle w:val="25"/>
              <w:spacing w:line="360" w:lineRule="auto"/>
              <w:ind w:firstLine="0" w:firstLineChars="0"/>
              <w:contextualSpacing/>
              <w:jc w:val="center"/>
              <w:rPr>
                <w:rFonts w:hint="eastAsia" w:ascii="宋体" w:hAnsi="宋体" w:eastAsia="宋体" w:cs="Calibri"/>
                <w:kern w:val="2"/>
                <w:sz w:val="24"/>
                <w:szCs w:val="24"/>
                <w:lang w:val="en-US"/>
              </w:rPr>
            </w:pPr>
            <w:bookmarkStart w:id="163" w:name="_Toc301781617"/>
            <w:bookmarkStart w:id="164" w:name="_Toc254970594"/>
            <w:bookmarkStart w:id="165" w:name="_Toc383699912"/>
            <w:bookmarkStart w:id="166" w:name="_Toc254970735"/>
            <w:bookmarkStart w:id="167" w:name="_Toc373333695"/>
            <w:bookmarkStart w:id="168" w:name="_Toc297193191"/>
            <w:bookmarkStart w:id="169" w:name="_Toc295404987"/>
            <w:bookmarkStart w:id="170" w:name="_Toc173066407"/>
            <w:bookmarkStart w:id="171" w:name="_Toc173211906"/>
            <w:r>
              <w:rPr>
                <w:rFonts w:hint="eastAsia" w:ascii="宋体" w:hAnsi="宋体" w:eastAsia="宋体" w:cs="Calibri"/>
                <w:kern w:val="2"/>
                <w:sz w:val="24"/>
                <w:szCs w:val="24"/>
                <w:lang w:val="en-US"/>
              </w:rPr>
              <w:t>2</w:t>
            </w:r>
            <w:bookmarkEnd w:id="163"/>
            <w:bookmarkEnd w:id="164"/>
            <w:bookmarkEnd w:id="165"/>
            <w:bookmarkEnd w:id="166"/>
            <w:bookmarkEnd w:id="167"/>
            <w:bookmarkEnd w:id="168"/>
            <w:bookmarkEnd w:id="169"/>
            <w:bookmarkEnd w:id="170"/>
            <w:bookmarkEnd w:id="171"/>
          </w:p>
        </w:tc>
        <w:tc>
          <w:tcPr>
            <w:tcW w:w="915" w:type="dxa"/>
            <w:tcBorders>
              <w:right w:val="single" w:color="auto" w:sz="4" w:space="0"/>
            </w:tcBorders>
            <w:vAlign w:val="center"/>
          </w:tcPr>
          <w:p w14:paraId="5FEB7534">
            <w:pPr>
              <w:pStyle w:val="25"/>
              <w:spacing w:line="360" w:lineRule="auto"/>
              <w:ind w:firstLine="0" w:firstLineChars="0"/>
              <w:contextualSpacing/>
              <w:jc w:val="center"/>
              <w:rPr>
                <w:rFonts w:hint="eastAsia" w:ascii="宋体" w:hAnsi="宋体" w:eastAsia="宋体" w:cs="Calibri"/>
                <w:kern w:val="2"/>
                <w:sz w:val="24"/>
                <w:szCs w:val="24"/>
                <w:lang w:val="en-US"/>
              </w:rPr>
            </w:pPr>
          </w:p>
        </w:tc>
        <w:tc>
          <w:tcPr>
            <w:tcW w:w="3038" w:type="dxa"/>
            <w:tcBorders>
              <w:left w:val="single" w:color="auto" w:sz="4" w:space="0"/>
            </w:tcBorders>
            <w:vAlign w:val="center"/>
          </w:tcPr>
          <w:p w14:paraId="66FC238E">
            <w:pPr>
              <w:pStyle w:val="25"/>
              <w:spacing w:line="360" w:lineRule="auto"/>
              <w:ind w:firstLine="0" w:firstLineChars="0"/>
              <w:contextualSpacing/>
              <w:jc w:val="center"/>
              <w:rPr>
                <w:rFonts w:hint="eastAsia" w:ascii="宋体" w:hAnsi="宋体" w:eastAsia="宋体" w:cs="Calibri"/>
                <w:kern w:val="2"/>
                <w:sz w:val="24"/>
                <w:szCs w:val="24"/>
                <w:lang w:val="en-US"/>
              </w:rPr>
            </w:pPr>
          </w:p>
        </w:tc>
        <w:tc>
          <w:tcPr>
            <w:tcW w:w="2734" w:type="dxa"/>
            <w:vAlign w:val="center"/>
          </w:tcPr>
          <w:p w14:paraId="71ECEC5A">
            <w:pPr>
              <w:pStyle w:val="25"/>
              <w:spacing w:line="360" w:lineRule="auto"/>
              <w:ind w:firstLine="0" w:firstLineChars="0"/>
              <w:contextualSpacing/>
              <w:jc w:val="center"/>
              <w:rPr>
                <w:rFonts w:hint="eastAsia" w:ascii="宋体" w:hAnsi="宋体" w:eastAsia="宋体" w:cs="Calibri"/>
                <w:kern w:val="2"/>
                <w:sz w:val="24"/>
                <w:szCs w:val="24"/>
                <w:lang w:val="en-US"/>
              </w:rPr>
            </w:pPr>
          </w:p>
        </w:tc>
        <w:tc>
          <w:tcPr>
            <w:tcW w:w="1492" w:type="dxa"/>
            <w:vAlign w:val="center"/>
          </w:tcPr>
          <w:p w14:paraId="29343CDF">
            <w:pPr>
              <w:pStyle w:val="25"/>
              <w:spacing w:line="360" w:lineRule="auto"/>
              <w:ind w:firstLine="0" w:firstLineChars="0"/>
              <w:contextualSpacing/>
              <w:jc w:val="center"/>
              <w:rPr>
                <w:rFonts w:hint="eastAsia" w:ascii="宋体" w:hAnsi="宋体" w:eastAsia="宋体" w:cs="Calibri"/>
                <w:kern w:val="2"/>
                <w:sz w:val="24"/>
                <w:szCs w:val="24"/>
                <w:lang w:val="en-US"/>
              </w:rPr>
            </w:pPr>
          </w:p>
        </w:tc>
      </w:tr>
      <w:tr w14:paraId="2C069F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0404F3AB">
            <w:pPr>
              <w:pStyle w:val="25"/>
              <w:spacing w:line="360" w:lineRule="auto"/>
              <w:ind w:firstLine="0" w:firstLineChars="0"/>
              <w:contextualSpacing/>
              <w:jc w:val="center"/>
              <w:rPr>
                <w:rFonts w:hint="eastAsia" w:ascii="宋体" w:hAnsi="宋体" w:eastAsia="宋体" w:cs="Calibri"/>
                <w:kern w:val="2"/>
                <w:sz w:val="24"/>
                <w:szCs w:val="24"/>
                <w:lang w:val="en-US"/>
              </w:rPr>
            </w:pPr>
            <w:bookmarkStart w:id="172" w:name="_Toc373333696"/>
            <w:bookmarkStart w:id="173" w:name="_Toc295404988"/>
            <w:bookmarkStart w:id="174" w:name="_Toc254970595"/>
            <w:bookmarkStart w:id="175" w:name="_Toc254970736"/>
            <w:bookmarkStart w:id="176" w:name="_Toc297193192"/>
            <w:bookmarkStart w:id="177" w:name="_Toc301781618"/>
            <w:bookmarkStart w:id="178" w:name="_Toc383699913"/>
            <w:bookmarkStart w:id="179" w:name="_Toc173211907"/>
            <w:bookmarkStart w:id="180" w:name="_Toc173066408"/>
            <w:r>
              <w:rPr>
                <w:rFonts w:hint="eastAsia" w:ascii="宋体" w:hAnsi="宋体" w:eastAsia="宋体" w:cs="Calibri"/>
                <w:kern w:val="2"/>
                <w:sz w:val="24"/>
                <w:szCs w:val="24"/>
                <w:lang w:val="en-US"/>
              </w:rPr>
              <w:t>3</w:t>
            </w:r>
            <w:bookmarkEnd w:id="172"/>
            <w:bookmarkEnd w:id="173"/>
            <w:bookmarkEnd w:id="174"/>
            <w:bookmarkEnd w:id="175"/>
            <w:bookmarkEnd w:id="176"/>
            <w:bookmarkEnd w:id="177"/>
            <w:bookmarkEnd w:id="178"/>
            <w:bookmarkEnd w:id="179"/>
            <w:bookmarkEnd w:id="180"/>
          </w:p>
        </w:tc>
        <w:tc>
          <w:tcPr>
            <w:tcW w:w="915" w:type="dxa"/>
            <w:tcBorders>
              <w:right w:val="single" w:color="auto" w:sz="4" w:space="0"/>
            </w:tcBorders>
            <w:vAlign w:val="center"/>
          </w:tcPr>
          <w:p w14:paraId="4D04A2D7">
            <w:pPr>
              <w:pStyle w:val="25"/>
              <w:spacing w:line="360" w:lineRule="auto"/>
              <w:ind w:firstLine="0" w:firstLineChars="0"/>
              <w:contextualSpacing/>
              <w:jc w:val="center"/>
              <w:rPr>
                <w:rFonts w:hint="eastAsia" w:ascii="宋体" w:hAnsi="宋体" w:eastAsia="宋体" w:cs="Calibri"/>
                <w:kern w:val="2"/>
                <w:sz w:val="24"/>
                <w:szCs w:val="24"/>
                <w:lang w:val="en-US"/>
              </w:rPr>
            </w:pPr>
          </w:p>
        </w:tc>
        <w:tc>
          <w:tcPr>
            <w:tcW w:w="3038" w:type="dxa"/>
            <w:tcBorders>
              <w:left w:val="single" w:color="auto" w:sz="4" w:space="0"/>
            </w:tcBorders>
            <w:vAlign w:val="center"/>
          </w:tcPr>
          <w:p w14:paraId="45E7E307">
            <w:pPr>
              <w:pStyle w:val="25"/>
              <w:spacing w:line="360" w:lineRule="auto"/>
              <w:ind w:firstLine="0" w:firstLineChars="0"/>
              <w:contextualSpacing/>
              <w:jc w:val="center"/>
              <w:rPr>
                <w:rFonts w:hint="eastAsia" w:ascii="宋体" w:hAnsi="宋体" w:eastAsia="宋体" w:cs="Calibri"/>
                <w:kern w:val="2"/>
                <w:sz w:val="24"/>
                <w:szCs w:val="24"/>
                <w:lang w:val="en-US"/>
              </w:rPr>
            </w:pPr>
          </w:p>
        </w:tc>
        <w:tc>
          <w:tcPr>
            <w:tcW w:w="2734" w:type="dxa"/>
            <w:vAlign w:val="center"/>
          </w:tcPr>
          <w:p w14:paraId="6BFD63F9">
            <w:pPr>
              <w:pStyle w:val="25"/>
              <w:spacing w:line="360" w:lineRule="auto"/>
              <w:ind w:firstLine="0" w:firstLineChars="0"/>
              <w:contextualSpacing/>
              <w:jc w:val="center"/>
              <w:rPr>
                <w:rFonts w:hint="eastAsia" w:ascii="宋体" w:hAnsi="宋体" w:eastAsia="宋体" w:cs="Calibri"/>
                <w:kern w:val="2"/>
                <w:sz w:val="24"/>
                <w:szCs w:val="24"/>
                <w:lang w:val="en-US"/>
              </w:rPr>
            </w:pPr>
          </w:p>
        </w:tc>
        <w:tc>
          <w:tcPr>
            <w:tcW w:w="1492" w:type="dxa"/>
            <w:vAlign w:val="center"/>
          </w:tcPr>
          <w:p w14:paraId="72F13EE4">
            <w:pPr>
              <w:pStyle w:val="25"/>
              <w:spacing w:line="360" w:lineRule="auto"/>
              <w:ind w:firstLine="0" w:firstLineChars="0"/>
              <w:contextualSpacing/>
              <w:jc w:val="center"/>
              <w:rPr>
                <w:rFonts w:hint="eastAsia" w:ascii="宋体" w:hAnsi="宋体" w:eastAsia="宋体" w:cs="Calibri"/>
                <w:kern w:val="2"/>
                <w:sz w:val="24"/>
                <w:szCs w:val="24"/>
                <w:lang w:val="en-US"/>
              </w:rPr>
            </w:pPr>
          </w:p>
        </w:tc>
      </w:tr>
      <w:tr w14:paraId="01045A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151BF02D">
            <w:pPr>
              <w:pStyle w:val="25"/>
              <w:spacing w:line="360" w:lineRule="auto"/>
              <w:ind w:firstLine="0" w:firstLineChars="0"/>
              <w:contextualSpacing/>
              <w:jc w:val="center"/>
              <w:rPr>
                <w:rFonts w:hint="eastAsia" w:ascii="宋体" w:hAnsi="宋体" w:eastAsia="宋体" w:cs="Calibri"/>
                <w:kern w:val="2"/>
                <w:sz w:val="24"/>
                <w:szCs w:val="24"/>
                <w:lang w:val="en-US"/>
              </w:rPr>
            </w:pPr>
            <w:bookmarkStart w:id="181" w:name="_Toc173066409"/>
            <w:bookmarkStart w:id="182" w:name="_Toc373333697"/>
            <w:bookmarkStart w:id="183" w:name="_Toc254970596"/>
            <w:bookmarkStart w:id="184" w:name="_Toc383699914"/>
            <w:bookmarkStart w:id="185" w:name="_Toc173211908"/>
            <w:bookmarkStart w:id="186" w:name="_Toc295404989"/>
            <w:bookmarkStart w:id="187" w:name="_Toc254970737"/>
            <w:bookmarkStart w:id="188" w:name="_Toc301781619"/>
            <w:bookmarkStart w:id="189" w:name="_Toc297193193"/>
            <w:r>
              <w:rPr>
                <w:rFonts w:hint="eastAsia" w:ascii="宋体" w:hAnsi="宋体" w:eastAsia="宋体" w:cs="Calibri"/>
                <w:kern w:val="2"/>
                <w:sz w:val="24"/>
                <w:szCs w:val="24"/>
                <w:lang w:val="en-US"/>
              </w:rPr>
              <w:t>4</w:t>
            </w:r>
            <w:bookmarkEnd w:id="181"/>
            <w:bookmarkEnd w:id="182"/>
            <w:bookmarkEnd w:id="183"/>
            <w:bookmarkEnd w:id="184"/>
            <w:bookmarkEnd w:id="185"/>
            <w:bookmarkEnd w:id="186"/>
            <w:bookmarkEnd w:id="187"/>
            <w:bookmarkEnd w:id="188"/>
            <w:bookmarkEnd w:id="189"/>
          </w:p>
        </w:tc>
        <w:tc>
          <w:tcPr>
            <w:tcW w:w="915" w:type="dxa"/>
            <w:tcBorders>
              <w:right w:val="single" w:color="auto" w:sz="4" w:space="0"/>
            </w:tcBorders>
            <w:vAlign w:val="center"/>
          </w:tcPr>
          <w:p w14:paraId="6BD9B5D4">
            <w:pPr>
              <w:pStyle w:val="25"/>
              <w:spacing w:line="360" w:lineRule="auto"/>
              <w:ind w:firstLine="0" w:firstLineChars="0"/>
              <w:contextualSpacing/>
              <w:jc w:val="center"/>
              <w:rPr>
                <w:rFonts w:hint="eastAsia" w:ascii="宋体" w:hAnsi="宋体" w:eastAsia="宋体" w:cs="Calibri"/>
                <w:kern w:val="2"/>
                <w:sz w:val="24"/>
                <w:szCs w:val="24"/>
                <w:lang w:val="en-US"/>
              </w:rPr>
            </w:pPr>
          </w:p>
        </w:tc>
        <w:tc>
          <w:tcPr>
            <w:tcW w:w="3038" w:type="dxa"/>
            <w:tcBorders>
              <w:left w:val="single" w:color="auto" w:sz="4" w:space="0"/>
            </w:tcBorders>
            <w:vAlign w:val="center"/>
          </w:tcPr>
          <w:p w14:paraId="1A216ACC">
            <w:pPr>
              <w:pStyle w:val="25"/>
              <w:spacing w:line="360" w:lineRule="auto"/>
              <w:ind w:firstLine="0" w:firstLineChars="0"/>
              <w:contextualSpacing/>
              <w:jc w:val="center"/>
              <w:rPr>
                <w:rFonts w:hint="eastAsia" w:ascii="宋体" w:hAnsi="宋体" w:eastAsia="宋体" w:cs="Calibri"/>
                <w:kern w:val="2"/>
                <w:sz w:val="24"/>
                <w:szCs w:val="24"/>
                <w:lang w:val="en-US"/>
              </w:rPr>
            </w:pPr>
          </w:p>
        </w:tc>
        <w:tc>
          <w:tcPr>
            <w:tcW w:w="2734" w:type="dxa"/>
            <w:vAlign w:val="center"/>
          </w:tcPr>
          <w:p w14:paraId="0F0AD36D">
            <w:pPr>
              <w:pStyle w:val="25"/>
              <w:spacing w:line="360" w:lineRule="auto"/>
              <w:ind w:firstLine="0" w:firstLineChars="0"/>
              <w:contextualSpacing/>
              <w:jc w:val="center"/>
              <w:rPr>
                <w:rFonts w:hint="eastAsia" w:ascii="宋体" w:hAnsi="宋体" w:eastAsia="宋体" w:cs="Calibri"/>
                <w:kern w:val="2"/>
                <w:sz w:val="24"/>
                <w:szCs w:val="24"/>
                <w:lang w:val="en-US"/>
              </w:rPr>
            </w:pPr>
          </w:p>
        </w:tc>
        <w:tc>
          <w:tcPr>
            <w:tcW w:w="1492" w:type="dxa"/>
            <w:vAlign w:val="center"/>
          </w:tcPr>
          <w:p w14:paraId="2D5DC2BB">
            <w:pPr>
              <w:pStyle w:val="25"/>
              <w:spacing w:line="360" w:lineRule="auto"/>
              <w:ind w:firstLine="0" w:firstLineChars="0"/>
              <w:contextualSpacing/>
              <w:jc w:val="center"/>
              <w:rPr>
                <w:rFonts w:hint="eastAsia" w:ascii="宋体" w:hAnsi="宋体" w:eastAsia="宋体" w:cs="Calibri"/>
                <w:kern w:val="2"/>
                <w:sz w:val="24"/>
                <w:szCs w:val="24"/>
                <w:lang w:val="en-US"/>
              </w:rPr>
            </w:pPr>
          </w:p>
        </w:tc>
      </w:tr>
      <w:tr w14:paraId="4CF6C4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1F0BD192">
            <w:pPr>
              <w:pStyle w:val="25"/>
              <w:spacing w:line="360" w:lineRule="auto"/>
              <w:ind w:firstLine="0" w:firstLineChars="0"/>
              <w:contextualSpacing/>
              <w:jc w:val="center"/>
              <w:rPr>
                <w:rFonts w:hint="eastAsia" w:ascii="宋体" w:hAnsi="宋体" w:eastAsia="宋体" w:cs="Calibri"/>
                <w:kern w:val="2"/>
                <w:sz w:val="24"/>
                <w:szCs w:val="24"/>
                <w:lang w:val="en-US"/>
              </w:rPr>
            </w:pPr>
            <w:bookmarkStart w:id="190" w:name="_Toc295404990"/>
            <w:bookmarkStart w:id="191" w:name="_Toc173211909"/>
            <w:bookmarkStart w:id="192" w:name="_Toc173066410"/>
            <w:bookmarkStart w:id="193" w:name="_Toc254970738"/>
            <w:bookmarkStart w:id="194" w:name="_Toc373333698"/>
            <w:bookmarkStart w:id="195" w:name="_Toc383699915"/>
            <w:bookmarkStart w:id="196" w:name="_Toc297193194"/>
            <w:bookmarkStart w:id="197" w:name="_Toc301781620"/>
            <w:bookmarkStart w:id="198" w:name="_Toc254970597"/>
            <w:r>
              <w:rPr>
                <w:rFonts w:hint="eastAsia" w:ascii="宋体" w:hAnsi="宋体" w:eastAsia="宋体" w:cs="Calibri"/>
                <w:kern w:val="2"/>
                <w:sz w:val="24"/>
                <w:szCs w:val="24"/>
                <w:lang w:val="en-US"/>
              </w:rPr>
              <w:t>5</w:t>
            </w:r>
            <w:bookmarkEnd w:id="190"/>
            <w:bookmarkEnd w:id="191"/>
            <w:bookmarkEnd w:id="192"/>
            <w:bookmarkEnd w:id="193"/>
            <w:bookmarkEnd w:id="194"/>
            <w:bookmarkEnd w:id="195"/>
            <w:bookmarkEnd w:id="196"/>
            <w:bookmarkEnd w:id="197"/>
            <w:bookmarkEnd w:id="198"/>
          </w:p>
        </w:tc>
        <w:tc>
          <w:tcPr>
            <w:tcW w:w="915" w:type="dxa"/>
            <w:tcBorders>
              <w:right w:val="single" w:color="auto" w:sz="4" w:space="0"/>
            </w:tcBorders>
            <w:vAlign w:val="center"/>
          </w:tcPr>
          <w:p w14:paraId="23738677">
            <w:pPr>
              <w:pStyle w:val="25"/>
              <w:spacing w:line="360" w:lineRule="auto"/>
              <w:ind w:firstLine="0" w:firstLineChars="0"/>
              <w:contextualSpacing/>
              <w:jc w:val="center"/>
              <w:rPr>
                <w:rFonts w:hint="eastAsia" w:ascii="宋体" w:hAnsi="宋体" w:eastAsia="宋体" w:cs="Calibri"/>
                <w:kern w:val="2"/>
                <w:sz w:val="24"/>
                <w:szCs w:val="24"/>
                <w:lang w:val="en-US"/>
              </w:rPr>
            </w:pPr>
          </w:p>
        </w:tc>
        <w:tc>
          <w:tcPr>
            <w:tcW w:w="3038" w:type="dxa"/>
            <w:tcBorders>
              <w:left w:val="single" w:color="auto" w:sz="4" w:space="0"/>
            </w:tcBorders>
            <w:vAlign w:val="center"/>
          </w:tcPr>
          <w:p w14:paraId="21FA3998">
            <w:pPr>
              <w:pStyle w:val="25"/>
              <w:spacing w:line="360" w:lineRule="auto"/>
              <w:ind w:firstLine="0" w:firstLineChars="0"/>
              <w:contextualSpacing/>
              <w:jc w:val="center"/>
              <w:rPr>
                <w:rFonts w:hint="eastAsia" w:ascii="宋体" w:hAnsi="宋体" w:eastAsia="宋体" w:cs="Calibri"/>
                <w:kern w:val="2"/>
                <w:sz w:val="24"/>
                <w:szCs w:val="24"/>
                <w:lang w:val="en-US"/>
              </w:rPr>
            </w:pPr>
          </w:p>
        </w:tc>
        <w:tc>
          <w:tcPr>
            <w:tcW w:w="2734" w:type="dxa"/>
            <w:vAlign w:val="center"/>
          </w:tcPr>
          <w:p w14:paraId="17803A73">
            <w:pPr>
              <w:pStyle w:val="25"/>
              <w:spacing w:line="360" w:lineRule="auto"/>
              <w:ind w:firstLine="0" w:firstLineChars="0"/>
              <w:contextualSpacing/>
              <w:jc w:val="center"/>
              <w:rPr>
                <w:rFonts w:hint="eastAsia" w:ascii="宋体" w:hAnsi="宋体" w:eastAsia="宋体" w:cs="Calibri"/>
                <w:kern w:val="2"/>
                <w:sz w:val="24"/>
                <w:szCs w:val="24"/>
                <w:lang w:val="en-US"/>
              </w:rPr>
            </w:pPr>
          </w:p>
        </w:tc>
        <w:tc>
          <w:tcPr>
            <w:tcW w:w="1492" w:type="dxa"/>
            <w:vAlign w:val="center"/>
          </w:tcPr>
          <w:p w14:paraId="2D4F0EC7">
            <w:pPr>
              <w:pStyle w:val="25"/>
              <w:spacing w:line="360" w:lineRule="auto"/>
              <w:ind w:firstLine="0" w:firstLineChars="0"/>
              <w:contextualSpacing/>
              <w:jc w:val="center"/>
              <w:rPr>
                <w:rFonts w:hint="eastAsia" w:ascii="宋体" w:hAnsi="宋体" w:eastAsia="宋体" w:cs="Calibri"/>
                <w:kern w:val="2"/>
                <w:sz w:val="24"/>
                <w:szCs w:val="24"/>
                <w:lang w:val="en-US"/>
              </w:rPr>
            </w:pPr>
          </w:p>
        </w:tc>
      </w:tr>
      <w:tr w14:paraId="258B57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6" w:type="dxa"/>
            <w:vAlign w:val="center"/>
          </w:tcPr>
          <w:p w14:paraId="31EE2F2D">
            <w:pPr>
              <w:pStyle w:val="25"/>
              <w:spacing w:line="360" w:lineRule="auto"/>
              <w:ind w:firstLine="0" w:firstLineChars="0"/>
              <w:contextualSpacing/>
              <w:jc w:val="center"/>
              <w:rPr>
                <w:rFonts w:hint="eastAsia" w:ascii="宋体" w:hAnsi="宋体" w:eastAsia="宋体" w:cs="Calibri"/>
                <w:kern w:val="2"/>
                <w:sz w:val="24"/>
                <w:szCs w:val="24"/>
                <w:lang w:val="en-US"/>
              </w:rPr>
            </w:pPr>
            <w:bookmarkStart w:id="199" w:name="_Toc254970602"/>
            <w:bookmarkStart w:id="200" w:name="_Toc254970743"/>
            <w:bookmarkStart w:id="201" w:name="_Toc383699916"/>
            <w:bookmarkStart w:id="202" w:name="_Toc295404991"/>
            <w:bookmarkStart w:id="203" w:name="_Toc173066415"/>
            <w:bookmarkStart w:id="204" w:name="_Toc173211914"/>
            <w:bookmarkStart w:id="205" w:name="_Toc301781621"/>
            <w:bookmarkStart w:id="206" w:name="_Toc373333699"/>
            <w:bookmarkStart w:id="207" w:name="_Toc297193195"/>
            <w:r>
              <w:rPr>
                <w:rFonts w:hint="eastAsia" w:ascii="宋体" w:hAnsi="宋体" w:eastAsia="宋体" w:cs="Calibri"/>
                <w:kern w:val="2"/>
                <w:sz w:val="24"/>
                <w:szCs w:val="24"/>
                <w:lang w:val="en-US"/>
              </w:rPr>
              <w:t>…</w:t>
            </w:r>
            <w:bookmarkEnd w:id="199"/>
            <w:bookmarkEnd w:id="200"/>
            <w:bookmarkEnd w:id="201"/>
            <w:bookmarkEnd w:id="202"/>
            <w:bookmarkEnd w:id="203"/>
            <w:bookmarkEnd w:id="204"/>
            <w:bookmarkEnd w:id="205"/>
            <w:bookmarkEnd w:id="206"/>
            <w:bookmarkEnd w:id="207"/>
          </w:p>
        </w:tc>
        <w:tc>
          <w:tcPr>
            <w:tcW w:w="915" w:type="dxa"/>
            <w:tcBorders>
              <w:right w:val="single" w:color="auto" w:sz="4" w:space="0"/>
            </w:tcBorders>
            <w:vAlign w:val="center"/>
          </w:tcPr>
          <w:p w14:paraId="1994966F">
            <w:pPr>
              <w:pStyle w:val="25"/>
              <w:spacing w:line="360" w:lineRule="auto"/>
              <w:ind w:firstLine="0" w:firstLineChars="0"/>
              <w:contextualSpacing/>
              <w:jc w:val="center"/>
              <w:rPr>
                <w:rFonts w:hint="eastAsia" w:ascii="宋体" w:hAnsi="宋体" w:eastAsia="宋体" w:cs="Calibri"/>
                <w:kern w:val="2"/>
                <w:sz w:val="24"/>
                <w:szCs w:val="24"/>
                <w:lang w:val="en-US"/>
              </w:rPr>
            </w:pPr>
          </w:p>
        </w:tc>
        <w:tc>
          <w:tcPr>
            <w:tcW w:w="3038" w:type="dxa"/>
            <w:tcBorders>
              <w:left w:val="single" w:color="auto" w:sz="4" w:space="0"/>
            </w:tcBorders>
            <w:vAlign w:val="center"/>
          </w:tcPr>
          <w:p w14:paraId="745BE5EE">
            <w:pPr>
              <w:pStyle w:val="25"/>
              <w:spacing w:line="360" w:lineRule="auto"/>
              <w:ind w:firstLine="0" w:firstLineChars="0"/>
              <w:contextualSpacing/>
              <w:jc w:val="center"/>
              <w:rPr>
                <w:rFonts w:hint="eastAsia" w:ascii="宋体" w:hAnsi="宋体" w:eastAsia="宋体" w:cs="Calibri"/>
                <w:kern w:val="2"/>
                <w:sz w:val="24"/>
                <w:szCs w:val="24"/>
                <w:lang w:val="en-US"/>
              </w:rPr>
            </w:pPr>
          </w:p>
        </w:tc>
        <w:tc>
          <w:tcPr>
            <w:tcW w:w="2734" w:type="dxa"/>
            <w:vAlign w:val="center"/>
          </w:tcPr>
          <w:p w14:paraId="0490D1DA">
            <w:pPr>
              <w:pStyle w:val="25"/>
              <w:spacing w:line="360" w:lineRule="auto"/>
              <w:ind w:firstLine="0" w:firstLineChars="0"/>
              <w:contextualSpacing/>
              <w:jc w:val="center"/>
              <w:rPr>
                <w:rFonts w:hint="eastAsia" w:ascii="宋体" w:hAnsi="宋体" w:eastAsia="宋体" w:cs="Calibri"/>
                <w:kern w:val="2"/>
                <w:sz w:val="24"/>
                <w:szCs w:val="24"/>
                <w:lang w:val="en-US"/>
              </w:rPr>
            </w:pPr>
          </w:p>
        </w:tc>
        <w:tc>
          <w:tcPr>
            <w:tcW w:w="1492" w:type="dxa"/>
            <w:tcBorders>
              <w:right w:val="single" w:color="auto" w:sz="4" w:space="0"/>
            </w:tcBorders>
            <w:vAlign w:val="center"/>
          </w:tcPr>
          <w:p w14:paraId="42CF4B5F">
            <w:pPr>
              <w:pStyle w:val="25"/>
              <w:spacing w:line="360" w:lineRule="auto"/>
              <w:ind w:firstLine="0" w:firstLineChars="0"/>
              <w:contextualSpacing/>
              <w:jc w:val="center"/>
              <w:rPr>
                <w:rFonts w:hint="eastAsia" w:ascii="宋体" w:hAnsi="宋体" w:eastAsia="宋体" w:cs="Calibri"/>
                <w:kern w:val="2"/>
                <w:sz w:val="24"/>
                <w:szCs w:val="24"/>
                <w:lang w:val="en-US"/>
              </w:rPr>
            </w:pPr>
          </w:p>
        </w:tc>
      </w:tr>
    </w:tbl>
    <w:p w14:paraId="6DAF4B5B">
      <w:pPr>
        <w:adjustRightInd w:val="0"/>
        <w:spacing w:line="360" w:lineRule="auto"/>
        <w:ind w:firstLine="482"/>
        <w:contextualSpacing/>
        <w:rPr>
          <w:rFonts w:hint="eastAsia" w:ascii="宋体" w:hAnsi="宋体" w:eastAsia="宋体" w:cs="Calibri"/>
          <w:sz w:val="24"/>
        </w:rPr>
      </w:pPr>
    </w:p>
    <w:p w14:paraId="78EAD525">
      <w:pPr>
        <w:pStyle w:val="25"/>
        <w:spacing w:line="360" w:lineRule="auto"/>
        <w:ind w:firstLine="0" w:firstLineChars="0"/>
        <w:contextualSpacing/>
        <w:rPr>
          <w:rFonts w:hint="eastAsia" w:ascii="宋体" w:hAnsi="宋体" w:eastAsia="宋体" w:cs="Calibri"/>
          <w:sz w:val="24"/>
          <w:szCs w:val="24"/>
        </w:rPr>
      </w:pPr>
      <w:r>
        <w:rPr>
          <w:rFonts w:hint="eastAsia" w:ascii="宋体" w:hAnsi="宋体" w:eastAsia="宋体" w:cs="Calibri"/>
          <w:sz w:val="24"/>
          <w:szCs w:val="24"/>
        </w:rPr>
        <w:t>注：</w:t>
      </w:r>
    </w:p>
    <w:p w14:paraId="63FFECA4">
      <w:pPr>
        <w:pStyle w:val="25"/>
        <w:spacing w:line="360" w:lineRule="auto"/>
        <w:ind w:firstLine="0" w:firstLineChars="0"/>
        <w:contextualSpacing/>
        <w:rPr>
          <w:rFonts w:hint="eastAsia" w:ascii="宋体" w:hAnsi="宋体" w:eastAsia="宋体" w:cs="Calibri"/>
          <w:sz w:val="24"/>
          <w:szCs w:val="24"/>
        </w:rPr>
      </w:pPr>
      <w:r>
        <w:rPr>
          <w:rFonts w:hint="eastAsia" w:ascii="宋体" w:hAnsi="宋体" w:eastAsia="宋体" w:cs="Calibri"/>
          <w:sz w:val="24"/>
          <w:szCs w:val="24"/>
        </w:rPr>
        <w:t>1. 说明：应对照磋商文件“第三章 采购需求”中的技术要求逐条作出明确响应，并作出偏离说明。</w:t>
      </w:r>
    </w:p>
    <w:p w14:paraId="6C2647B0">
      <w:pPr>
        <w:pStyle w:val="25"/>
        <w:spacing w:line="360" w:lineRule="auto"/>
        <w:ind w:firstLine="0" w:firstLineChars="0"/>
        <w:contextualSpacing/>
        <w:rPr>
          <w:rFonts w:hint="eastAsia" w:ascii="宋体" w:hAnsi="宋体" w:eastAsia="宋体" w:cs="Calibri"/>
          <w:sz w:val="24"/>
          <w:szCs w:val="24"/>
        </w:rPr>
      </w:pPr>
      <w:r>
        <w:rPr>
          <w:rFonts w:hint="eastAsia" w:ascii="宋体" w:hAnsi="宋体" w:eastAsia="宋体" w:cs="Calibri"/>
          <w:sz w:val="24"/>
          <w:szCs w:val="24"/>
        </w:rPr>
        <w:t>2.供应商应根据自身的承诺，对照磋商文件要求，在“偏离说明”中注明“正偏离”、“负偏离”或者“无偏离”。既不属于“正偏离”也不属于“负偏离”即为“无偏离”。</w:t>
      </w:r>
    </w:p>
    <w:p w14:paraId="13990B4C">
      <w:pPr>
        <w:spacing w:line="360" w:lineRule="auto"/>
        <w:ind w:right="-817" w:rightChars="-389" w:firstLine="482"/>
        <w:contextualSpacing/>
        <w:rPr>
          <w:rFonts w:hint="eastAsia" w:ascii="宋体" w:hAnsi="宋体" w:eastAsia="宋体" w:cs="Calibri"/>
          <w:sz w:val="24"/>
        </w:rPr>
      </w:pPr>
    </w:p>
    <w:p w14:paraId="71532CDC">
      <w:pPr>
        <w:spacing w:line="360" w:lineRule="auto"/>
        <w:ind w:right="-817" w:rightChars="-389" w:firstLine="1680" w:firstLineChars="700"/>
        <w:contextualSpacing/>
        <w:rPr>
          <w:rFonts w:hint="eastAsia" w:ascii="宋体" w:hAnsi="宋体" w:eastAsia="宋体" w:cs="Calibri"/>
          <w:sz w:val="24"/>
        </w:rPr>
      </w:pPr>
      <w:r>
        <w:rPr>
          <w:rFonts w:hint="eastAsia" w:ascii="宋体" w:hAnsi="宋体" w:eastAsia="宋体" w:cs="Calibri"/>
          <w:sz w:val="24"/>
        </w:rPr>
        <w:t>法定代表人或者委托代理人（签字或者电子签名）：</w:t>
      </w:r>
    </w:p>
    <w:p w14:paraId="1EECF45A">
      <w:pPr>
        <w:spacing w:line="360" w:lineRule="auto"/>
        <w:ind w:right="-817" w:rightChars="-389" w:firstLine="2640" w:firstLineChars="1100"/>
        <w:contextualSpacing/>
        <w:jc w:val="center"/>
        <w:rPr>
          <w:rFonts w:hint="eastAsia" w:ascii="宋体" w:hAnsi="宋体" w:eastAsia="宋体" w:cs="Calibri"/>
          <w:sz w:val="24"/>
        </w:rPr>
      </w:pPr>
      <w:r>
        <w:rPr>
          <w:rFonts w:hint="eastAsia" w:ascii="宋体" w:hAnsi="宋体" w:eastAsia="宋体" w:cs="Calibri"/>
          <w:sz w:val="24"/>
        </w:rPr>
        <w:t xml:space="preserve"> 供应商（电子签章）：      </w:t>
      </w:r>
    </w:p>
    <w:p w14:paraId="0366E110">
      <w:pPr>
        <w:spacing w:line="360" w:lineRule="auto"/>
        <w:ind w:right="-817" w:rightChars="-389" w:firstLine="4080" w:firstLineChars="1700"/>
        <w:contextualSpacing/>
        <w:jc w:val="center"/>
        <w:rPr>
          <w:rFonts w:hint="eastAsia" w:ascii="宋体" w:hAnsi="宋体" w:eastAsia="宋体" w:cs="Calibri"/>
          <w:sz w:val="24"/>
        </w:rPr>
      </w:pPr>
      <w:r>
        <w:rPr>
          <w:rFonts w:hint="eastAsia" w:ascii="宋体" w:hAnsi="宋体" w:eastAsia="宋体" w:cs="Calibri"/>
          <w:sz w:val="24"/>
        </w:rPr>
        <w:t xml:space="preserve">                  日期：   年   月   日</w:t>
      </w:r>
    </w:p>
    <w:p w14:paraId="1CD4D76A">
      <w:pPr>
        <w:snapToGrid w:val="0"/>
        <w:spacing w:before="156" w:beforeLines="50" w:after="50"/>
        <w:ind w:left="142" w:firstLine="482"/>
        <w:jc w:val="left"/>
        <w:rPr>
          <w:rFonts w:hint="eastAsia" w:ascii="宋体" w:hAnsi="宋体" w:eastAsia="宋体"/>
          <w:b/>
          <w:sz w:val="24"/>
        </w:rPr>
      </w:pPr>
      <w:r>
        <w:rPr>
          <w:rFonts w:ascii="宋体" w:hAnsi="宋体" w:eastAsia="宋体" w:cs="Calibri"/>
          <w:sz w:val="24"/>
        </w:rPr>
        <w:br w:type="page"/>
      </w:r>
      <w:r>
        <w:rPr>
          <w:rFonts w:hint="eastAsia" w:ascii="宋体" w:hAnsi="宋体" w:eastAsia="宋体"/>
          <w:b/>
          <w:bCs/>
          <w:sz w:val="32"/>
          <w:szCs w:val="32"/>
        </w:rPr>
        <w:t>8.项目实施人员一览表格式</w:t>
      </w:r>
    </w:p>
    <w:p w14:paraId="2C58C49E">
      <w:pPr>
        <w:snapToGrid w:val="0"/>
        <w:spacing w:before="156" w:beforeLines="50" w:after="50"/>
        <w:ind w:left="142" w:firstLine="480"/>
        <w:jc w:val="left"/>
        <w:rPr>
          <w:rFonts w:hint="eastAsia" w:ascii="宋体" w:hAnsi="宋体" w:eastAsia="宋体"/>
          <w:b/>
          <w:sz w:val="24"/>
        </w:rPr>
      </w:pPr>
    </w:p>
    <w:p w14:paraId="647BA355">
      <w:pPr>
        <w:adjustRightInd w:val="0"/>
        <w:snapToGrid w:val="0"/>
        <w:spacing w:line="300" w:lineRule="auto"/>
        <w:ind w:firstLine="883"/>
        <w:jc w:val="center"/>
        <w:rPr>
          <w:rFonts w:hint="eastAsia" w:ascii="宋体" w:hAnsi="宋体" w:eastAsia="宋体" w:cs="Tahoma"/>
          <w:bCs/>
          <w:sz w:val="44"/>
          <w:szCs w:val="44"/>
        </w:rPr>
      </w:pPr>
      <w:r>
        <w:rPr>
          <w:rFonts w:hint="eastAsia" w:ascii="宋体" w:hAnsi="宋体" w:eastAsia="宋体" w:cs="Tahoma"/>
          <w:bCs/>
          <w:sz w:val="44"/>
          <w:szCs w:val="44"/>
        </w:rPr>
        <w:t>项目实施人员一览表</w:t>
      </w:r>
    </w:p>
    <w:p w14:paraId="7635EE15">
      <w:pPr>
        <w:pStyle w:val="30"/>
        <w:spacing w:line="360" w:lineRule="auto"/>
        <w:ind w:firstLine="482"/>
        <w:contextualSpacing/>
        <w:rPr>
          <w:rFonts w:hint="eastAsia" w:ascii="宋体" w:hAnsi="宋体" w:eastAsia="宋体"/>
          <w:sz w:val="24"/>
          <w:szCs w:val="24"/>
        </w:rPr>
      </w:pPr>
    </w:p>
    <w:tbl>
      <w:tblPr>
        <w:tblStyle w:val="52"/>
        <w:tblW w:w="9280" w:type="dxa"/>
        <w:tblInd w:w="-2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1355"/>
        <w:gridCol w:w="2737"/>
        <w:gridCol w:w="1657"/>
        <w:gridCol w:w="1581"/>
        <w:gridCol w:w="1033"/>
      </w:tblGrid>
      <w:tr w14:paraId="0EA5F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917" w:type="dxa"/>
            <w:vAlign w:val="center"/>
          </w:tcPr>
          <w:p w14:paraId="0DFBA5A6">
            <w:pPr>
              <w:spacing w:line="360" w:lineRule="auto"/>
              <w:contextualSpacing/>
              <w:rPr>
                <w:rFonts w:hint="eastAsia" w:ascii="宋体" w:hAnsi="宋体" w:eastAsia="宋体"/>
                <w:sz w:val="24"/>
                <w:szCs w:val="20"/>
              </w:rPr>
            </w:pPr>
            <w:r>
              <w:rPr>
                <w:rFonts w:hint="eastAsia" w:ascii="宋体" w:hAnsi="宋体" w:eastAsia="宋体"/>
                <w:sz w:val="24"/>
                <w:szCs w:val="20"/>
              </w:rPr>
              <w:t>姓名</w:t>
            </w:r>
          </w:p>
        </w:tc>
        <w:tc>
          <w:tcPr>
            <w:tcW w:w="1355" w:type="dxa"/>
            <w:vAlign w:val="center"/>
          </w:tcPr>
          <w:p w14:paraId="0A0E9B43">
            <w:pPr>
              <w:spacing w:line="360" w:lineRule="auto"/>
              <w:contextualSpacing/>
              <w:rPr>
                <w:rFonts w:hint="eastAsia" w:ascii="宋体" w:hAnsi="宋体" w:eastAsia="宋体"/>
                <w:sz w:val="24"/>
                <w:szCs w:val="20"/>
              </w:rPr>
            </w:pPr>
            <w:r>
              <w:rPr>
                <w:rFonts w:hint="eastAsia" w:ascii="宋体" w:hAnsi="宋体" w:eastAsia="宋体"/>
                <w:sz w:val="24"/>
                <w:szCs w:val="20"/>
              </w:rPr>
              <w:t>本项目担任职务</w:t>
            </w:r>
          </w:p>
        </w:tc>
        <w:tc>
          <w:tcPr>
            <w:tcW w:w="2737" w:type="dxa"/>
            <w:vAlign w:val="center"/>
          </w:tcPr>
          <w:p w14:paraId="6D671787">
            <w:pPr>
              <w:spacing w:line="360" w:lineRule="auto"/>
              <w:contextualSpacing/>
              <w:rPr>
                <w:rFonts w:hint="eastAsia" w:ascii="宋体" w:hAnsi="宋体" w:eastAsia="宋体"/>
                <w:sz w:val="24"/>
                <w:szCs w:val="20"/>
              </w:rPr>
            </w:pPr>
            <w:r>
              <w:rPr>
                <w:rFonts w:hint="eastAsia" w:ascii="宋体" w:hAnsi="宋体" w:eastAsia="宋体"/>
                <w:sz w:val="24"/>
                <w:szCs w:val="20"/>
              </w:rPr>
              <w:t>专业技术资格（职称）或者职业资格或者执业资格证或者其他证书</w:t>
            </w:r>
          </w:p>
        </w:tc>
        <w:tc>
          <w:tcPr>
            <w:tcW w:w="1657" w:type="dxa"/>
            <w:vAlign w:val="center"/>
          </w:tcPr>
          <w:p w14:paraId="26FE8D1B">
            <w:pPr>
              <w:spacing w:line="360" w:lineRule="auto"/>
              <w:contextualSpacing/>
              <w:rPr>
                <w:rFonts w:hint="eastAsia" w:ascii="宋体" w:hAnsi="宋体" w:eastAsia="宋体"/>
                <w:sz w:val="24"/>
                <w:szCs w:val="20"/>
              </w:rPr>
            </w:pPr>
            <w:r>
              <w:rPr>
                <w:rFonts w:hint="eastAsia" w:ascii="宋体" w:hAnsi="宋体" w:eastAsia="宋体"/>
                <w:sz w:val="24"/>
                <w:szCs w:val="20"/>
              </w:rPr>
              <w:t>证书编号</w:t>
            </w:r>
          </w:p>
        </w:tc>
        <w:tc>
          <w:tcPr>
            <w:tcW w:w="1581" w:type="dxa"/>
            <w:vAlign w:val="center"/>
          </w:tcPr>
          <w:p w14:paraId="0E78106A">
            <w:pPr>
              <w:spacing w:line="360" w:lineRule="auto"/>
              <w:contextualSpacing/>
              <w:rPr>
                <w:rFonts w:hint="eastAsia" w:ascii="宋体" w:hAnsi="宋体" w:eastAsia="宋体"/>
                <w:sz w:val="24"/>
                <w:szCs w:val="20"/>
              </w:rPr>
            </w:pPr>
            <w:r>
              <w:rPr>
                <w:rFonts w:hint="eastAsia" w:ascii="宋体" w:hAnsi="宋体" w:eastAsia="宋体"/>
                <w:sz w:val="24"/>
                <w:szCs w:val="20"/>
              </w:rPr>
              <w:t>参加本单位</w:t>
            </w:r>
          </w:p>
          <w:p w14:paraId="2F1A708D">
            <w:pPr>
              <w:spacing w:line="360" w:lineRule="auto"/>
              <w:contextualSpacing/>
              <w:rPr>
                <w:rFonts w:hint="eastAsia" w:ascii="宋体" w:hAnsi="宋体" w:eastAsia="宋体"/>
                <w:sz w:val="24"/>
                <w:szCs w:val="20"/>
              </w:rPr>
            </w:pPr>
            <w:r>
              <w:rPr>
                <w:rFonts w:hint="eastAsia" w:ascii="宋体" w:hAnsi="宋体" w:eastAsia="宋体"/>
                <w:sz w:val="24"/>
                <w:szCs w:val="20"/>
              </w:rPr>
              <w:t>工作时间</w:t>
            </w:r>
          </w:p>
        </w:tc>
        <w:tc>
          <w:tcPr>
            <w:tcW w:w="1033" w:type="dxa"/>
            <w:vAlign w:val="center"/>
          </w:tcPr>
          <w:p w14:paraId="245C93FC">
            <w:pPr>
              <w:spacing w:line="360" w:lineRule="auto"/>
              <w:ind w:firstLine="240" w:firstLineChars="100"/>
              <w:contextualSpacing/>
              <w:rPr>
                <w:rFonts w:hint="eastAsia" w:ascii="宋体" w:hAnsi="宋体" w:eastAsia="宋体"/>
                <w:sz w:val="24"/>
                <w:szCs w:val="20"/>
              </w:rPr>
            </w:pPr>
            <w:r>
              <w:rPr>
                <w:rFonts w:hint="eastAsia" w:ascii="宋体" w:hAnsi="宋体" w:eastAsia="宋体"/>
                <w:sz w:val="24"/>
                <w:szCs w:val="20"/>
              </w:rPr>
              <w:t>备注</w:t>
            </w:r>
          </w:p>
        </w:tc>
      </w:tr>
      <w:tr w14:paraId="15735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17" w:type="dxa"/>
            <w:vAlign w:val="center"/>
          </w:tcPr>
          <w:p w14:paraId="111A461E">
            <w:pPr>
              <w:spacing w:line="360" w:lineRule="auto"/>
              <w:ind w:firstLine="482"/>
              <w:contextualSpacing/>
              <w:jc w:val="center"/>
              <w:rPr>
                <w:rFonts w:hint="eastAsia" w:ascii="宋体" w:hAnsi="宋体" w:eastAsia="宋体"/>
                <w:sz w:val="24"/>
                <w:szCs w:val="20"/>
              </w:rPr>
            </w:pPr>
          </w:p>
        </w:tc>
        <w:tc>
          <w:tcPr>
            <w:tcW w:w="1355" w:type="dxa"/>
            <w:vAlign w:val="center"/>
          </w:tcPr>
          <w:p w14:paraId="38009476">
            <w:pPr>
              <w:spacing w:line="360" w:lineRule="auto"/>
              <w:ind w:firstLine="482"/>
              <w:contextualSpacing/>
              <w:jc w:val="center"/>
              <w:rPr>
                <w:rFonts w:hint="eastAsia" w:ascii="宋体" w:hAnsi="宋体" w:eastAsia="宋体"/>
                <w:sz w:val="24"/>
                <w:szCs w:val="20"/>
              </w:rPr>
            </w:pPr>
          </w:p>
        </w:tc>
        <w:tc>
          <w:tcPr>
            <w:tcW w:w="2737" w:type="dxa"/>
            <w:vAlign w:val="center"/>
          </w:tcPr>
          <w:p w14:paraId="094C491D">
            <w:pPr>
              <w:spacing w:line="360" w:lineRule="auto"/>
              <w:ind w:firstLine="482"/>
              <w:contextualSpacing/>
              <w:jc w:val="center"/>
              <w:rPr>
                <w:rFonts w:hint="eastAsia" w:ascii="宋体" w:hAnsi="宋体" w:eastAsia="宋体"/>
                <w:sz w:val="24"/>
                <w:szCs w:val="20"/>
              </w:rPr>
            </w:pPr>
          </w:p>
        </w:tc>
        <w:tc>
          <w:tcPr>
            <w:tcW w:w="1657" w:type="dxa"/>
            <w:vAlign w:val="center"/>
          </w:tcPr>
          <w:p w14:paraId="4E9D93A2">
            <w:pPr>
              <w:spacing w:line="360" w:lineRule="auto"/>
              <w:ind w:firstLine="482"/>
              <w:contextualSpacing/>
              <w:jc w:val="center"/>
              <w:rPr>
                <w:rFonts w:hint="eastAsia" w:ascii="宋体" w:hAnsi="宋体" w:eastAsia="宋体"/>
                <w:sz w:val="24"/>
                <w:szCs w:val="20"/>
              </w:rPr>
            </w:pPr>
          </w:p>
        </w:tc>
        <w:tc>
          <w:tcPr>
            <w:tcW w:w="1581" w:type="dxa"/>
            <w:vAlign w:val="center"/>
          </w:tcPr>
          <w:p w14:paraId="0E358D3D">
            <w:pPr>
              <w:spacing w:line="360" w:lineRule="auto"/>
              <w:ind w:firstLine="482"/>
              <w:contextualSpacing/>
              <w:jc w:val="center"/>
              <w:rPr>
                <w:rFonts w:hint="eastAsia" w:ascii="宋体" w:hAnsi="宋体" w:eastAsia="宋体"/>
                <w:sz w:val="24"/>
                <w:szCs w:val="20"/>
              </w:rPr>
            </w:pPr>
          </w:p>
        </w:tc>
        <w:tc>
          <w:tcPr>
            <w:tcW w:w="1033" w:type="dxa"/>
            <w:vAlign w:val="center"/>
          </w:tcPr>
          <w:p w14:paraId="37781967">
            <w:pPr>
              <w:spacing w:line="360" w:lineRule="auto"/>
              <w:ind w:firstLine="482"/>
              <w:contextualSpacing/>
              <w:jc w:val="center"/>
              <w:rPr>
                <w:rFonts w:hint="eastAsia" w:ascii="宋体" w:hAnsi="宋体" w:eastAsia="宋体"/>
                <w:sz w:val="24"/>
                <w:szCs w:val="20"/>
              </w:rPr>
            </w:pPr>
          </w:p>
        </w:tc>
      </w:tr>
      <w:tr w14:paraId="34FD3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17" w:type="dxa"/>
            <w:vAlign w:val="center"/>
          </w:tcPr>
          <w:p w14:paraId="062D5911">
            <w:pPr>
              <w:spacing w:line="360" w:lineRule="auto"/>
              <w:ind w:firstLine="482"/>
              <w:contextualSpacing/>
              <w:jc w:val="center"/>
              <w:rPr>
                <w:rFonts w:hint="eastAsia" w:ascii="宋体" w:hAnsi="宋体" w:eastAsia="宋体"/>
                <w:sz w:val="24"/>
                <w:szCs w:val="20"/>
              </w:rPr>
            </w:pPr>
          </w:p>
        </w:tc>
        <w:tc>
          <w:tcPr>
            <w:tcW w:w="1355" w:type="dxa"/>
            <w:vAlign w:val="center"/>
          </w:tcPr>
          <w:p w14:paraId="14BE8E83">
            <w:pPr>
              <w:spacing w:line="360" w:lineRule="auto"/>
              <w:ind w:firstLine="482"/>
              <w:contextualSpacing/>
              <w:jc w:val="center"/>
              <w:rPr>
                <w:rFonts w:hint="eastAsia" w:ascii="宋体" w:hAnsi="宋体" w:eastAsia="宋体"/>
                <w:sz w:val="24"/>
                <w:szCs w:val="20"/>
              </w:rPr>
            </w:pPr>
          </w:p>
        </w:tc>
        <w:tc>
          <w:tcPr>
            <w:tcW w:w="2737" w:type="dxa"/>
            <w:vAlign w:val="center"/>
          </w:tcPr>
          <w:p w14:paraId="6D6DE6F1">
            <w:pPr>
              <w:spacing w:line="360" w:lineRule="auto"/>
              <w:ind w:firstLine="482"/>
              <w:contextualSpacing/>
              <w:jc w:val="center"/>
              <w:rPr>
                <w:rFonts w:hint="eastAsia" w:ascii="宋体" w:hAnsi="宋体" w:eastAsia="宋体"/>
                <w:sz w:val="24"/>
                <w:szCs w:val="20"/>
              </w:rPr>
            </w:pPr>
          </w:p>
        </w:tc>
        <w:tc>
          <w:tcPr>
            <w:tcW w:w="1657" w:type="dxa"/>
            <w:vAlign w:val="center"/>
          </w:tcPr>
          <w:p w14:paraId="2C41A3F6">
            <w:pPr>
              <w:spacing w:line="360" w:lineRule="auto"/>
              <w:ind w:firstLine="482"/>
              <w:contextualSpacing/>
              <w:jc w:val="center"/>
              <w:rPr>
                <w:rFonts w:hint="eastAsia" w:ascii="宋体" w:hAnsi="宋体" w:eastAsia="宋体"/>
                <w:sz w:val="24"/>
                <w:szCs w:val="20"/>
              </w:rPr>
            </w:pPr>
          </w:p>
        </w:tc>
        <w:tc>
          <w:tcPr>
            <w:tcW w:w="1581" w:type="dxa"/>
            <w:vAlign w:val="center"/>
          </w:tcPr>
          <w:p w14:paraId="6D3BEA4F">
            <w:pPr>
              <w:spacing w:line="360" w:lineRule="auto"/>
              <w:ind w:firstLine="482"/>
              <w:contextualSpacing/>
              <w:jc w:val="center"/>
              <w:rPr>
                <w:rFonts w:hint="eastAsia" w:ascii="宋体" w:hAnsi="宋体" w:eastAsia="宋体"/>
                <w:sz w:val="24"/>
                <w:szCs w:val="20"/>
              </w:rPr>
            </w:pPr>
          </w:p>
        </w:tc>
        <w:tc>
          <w:tcPr>
            <w:tcW w:w="1033" w:type="dxa"/>
            <w:vAlign w:val="center"/>
          </w:tcPr>
          <w:p w14:paraId="2E98BFA7">
            <w:pPr>
              <w:spacing w:line="360" w:lineRule="auto"/>
              <w:ind w:firstLine="482"/>
              <w:contextualSpacing/>
              <w:jc w:val="center"/>
              <w:rPr>
                <w:rFonts w:hint="eastAsia" w:ascii="宋体" w:hAnsi="宋体" w:eastAsia="宋体"/>
                <w:sz w:val="24"/>
                <w:szCs w:val="20"/>
              </w:rPr>
            </w:pPr>
          </w:p>
        </w:tc>
      </w:tr>
      <w:tr w14:paraId="1EF2C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17" w:type="dxa"/>
            <w:vAlign w:val="center"/>
          </w:tcPr>
          <w:p w14:paraId="70A6BFD5">
            <w:pPr>
              <w:spacing w:line="360" w:lineRule="auto"/>
              <w:ind w:firstLine="482"/>
              <w:contextualSpacing/>
              <w:jc w:val="center"/>
              <w:rPr>
                <w:rFonts w:hint="eastAsia" w:ascii="宋体" w:hAnsi="宋体" w:eastAsia="宋体"/>
                <w:sz w:val="24"/>
                <w:szCs w:val="20"/>
              </w:rPr>
            </w:pPr>
          </w:p>
        </w:tc>
        <w:tc>
          <w:tcPr>
            <w:tcW w:w="1355" w:type="dxa"/>
            <w:vAlign w:val="center"/>
          </w:tcPr>
          <w:p w14:paraId="481A2F90">
            <w:pPr>
              <w:spacing w:line="360" w:lineRule="auto"/>
              <w:ind w:firstLine="482"/>
              <w:contextualSpacing/>
              <w:jc w:val="center"/>
              <w:rPr>
                <w:rFonts w:hint="eastAsia" w:ascii="宋体" w:hAnsi="宋体" w:eastAsia="宋体"/>
                <w:sz w:val="24"/>
                <w:szCs w:val="20"/>
              </w:rPr>
            </w:pPr>
          </w:p>
        </w:tc>
        <w:tc>
          <w:tcPr>
            <w:tcW w:w="2737" w:type="dxa"/>
            <w:vAlign w:val="center"/>
          </w:tcPr>
          <w:p w14:paraId="2F9F716B">
            <w:pPr>
              <w:spacing w:line="360" w:lineRule="auto"/>
              <w:ind w:firstLine="482"/>
              <w:contextualSpacing/>
              <w:jc w:val="center"/>
              <w:rPr>
                <w:rFonts w:hint="eastAsia" w:ascii="宋体" w:hAnsi="宋体" w:eastAsia="宋体"/>
                <w:sz w:val="24"/>
                <w:szCs w:val="20"/>
              </w:rPr>
            </w:pPr>
          </w:p>
        </w:tc>
        <w:tc>
          <w:tcPr>
            <w:tcW w:w="1657" w:type="dxa"/>
            <w:vAlign w:val="center"/>
          </w:tcPr>
          <w:p w14:paraId="12CEE200">
            <w:pPr>
              <w:spacing w:line="360" w:lineRule="auto"/>
              <w:ind w:firstLine="482"/>
              <w:contextualSpacing/>
              <w:jc w:val="center"/>
              <w:rPr>
                <w:rFonts w:hint="eastAsia" w:ascii="宋体" w:hAnsi="宋体" w:eastAsia="宋体"/>
                <w:sz w:val="24"/>
                <w:szCs w:val="20"/>
              </w:rPr>
            </w:pPr>
          </w:p>
        </w:tc>
        <w:tc>
          <w:tcPr>
            <w:tcW w:w="1581" w:type="dxa"/>
            <w:vAlign w:val="center"/>
          </w:tcPr>
          <w:p w14:paraId="25C0E275">
            <w:pPr>
              <w:spacing w:line="360" w:lineRule="auto"/>
              <w:ind w:firstLine="482"/>
              <w:contextualSpacing/>
              <w:jc w:val="center"/>
              <w:rPr>
                <w:rFonts w:hint="eastAsia" w:ascii="宋体" w:hAnsi="宋体" w:eastAsia="宋体"/>
                <w:sz w:val="24"/>
                <w:szCs w:val="20"/>
              </w:rPr>
            </w:pPr>
          </w:p>
        </w:tc>
        <w:tc>
          <w:tcPr>
            <w:tcW w:w="1033" w:type="dxa"/>
            <w:vAlign w:val="center"/>
          </w:tcPr>
          <w:p w14:paraId="73BC6EC7">
            <w:pPr>
              <w:spacing w:line="360" w:lineRule="auto"/>
              <w:ind w:firstLine="482"/>
              <w:contextualSpacing/>
              <w:jc w:val="center"/>
              <w:rPr>
                <w:rFonts w:hint="eastAsia" w:ascii="宋体" w:hAnsi="宋体" w:eastAsia="宋体"/>
                <w:sz w:val="24"/>
                <w:szCs w:val="20"/>
              </w:rPr>
            </w:pPr>
          </w:p>
        </w:tc>
      </w:tr>
    </w:tbl>
    <w:p w14:paraId="627E47D5">
      <w:pPr>
        <w:spacing w:line="360" w:lineRule="auto"/>
        <w:ind w:firstLine="482"/>
        <w:contextualSpacing/>
        <w:jc w:val="left"/>
        <w:rPr>
          <w:rFonts w:hint="eastAsia" w:ascii="宋体" w:hAnsi="宋体" w:eastAsia="宋体"/>
          <w:sz w:val="24"/>
          <w:szCs w:val="20"/>
        </w:rPr>
      </w:pPr>
      <w:r>
        <w:rPr>
          <w:rFonts w:hint="eastAsia" w:ascii="宋体" w:hAnsi="宋体" w:eastAsia="宋体"/>
          <w:sz w:val="24"/>
          <w:szCs w:val="20"/>
        </w:rPr>
        <w:t>注：</w:t>
      </w:r>
    </w:p>
    <w:p w14:paraId="2196947E">
      <w:pPr>
        <w:spacing w:line="360" w:lineRule="auto"/>
        <w:ind w:firstLine="482"/>
        <w:contextualSpacing/>
        <w:jc w:val="left"/>
        <w:rPr>
          <w:rFonts w:hint="eastAsia" w:ascii="宋体" w:hAnsi="宋体" w:eastAsia="宋体"/>
          <w:sz w:val="24"/>
          <w:szCs w:val="20"/>
        </w:rPr>
      </w:pPr>
      <w:r>
        <w:rPr>
          <w:rFonts w:hint="eastAsia" w:ascii="宋体" w:hAnsi="宋体" w:eastAsia="宋体"/>
          <w:sz w:val="24"/>
          <w:szCs w:val="20"/>
        </w:rPr>
        <w:t>1</w:t>
      </w:r>
      <w:r>
        <w:rPr>
          <w:rFonts w:ascii="宋体" w:hAnsi="宋体" w:eastAsia="宋体"/>
          <w:sz w:val="24"/>
          <w:szCs w:val="20"/>
        </w:rPr>
        <w:t>.</w:t>
      </w:r>
      <w:r>
        <w:rPr>
          <w:rFonts w:hint="eastAsia" w:ascii="宋体" w:hAnsi="宋体" w:eastAsia="宋体"/>
          <w:sz w:val="24"/>
          <w:szCs w:val="20"/>
        </w:rPr>
        <w:t>在填写时，如本表格不适合供应商的实际情况，可根据本表格式自行制表填写。</w:t>
      </w:r>
    </w:p>
    <w:p w14:paraId="28CB5EA5">
      <w:pPr>
        <w:spacing w:line="360" w:lineRule="auto"/>
        <w:ind w:firstLine="482"/>
        <w:contextualSpacing/>
        <w:jc w:val="left"/>
        <w:rPr>
          <w:rFonts w:hint="eastAsia" w:ascii="宋体" w:hAnsi="宋体" w:eastAsia="宋体"/>
          <w:sz w:val="24"/>
          <w:szCs w:val="20"/>
        </w:rPr>
      </w:pPr>
      <w:r>
        <w:rPr>
          <w:rFonts w:ascii="宋体" w:hAnsi="宋体" w:eastAsia="宋体"/>
          <w:sz w:val="24"/>
          <w:szCs w:val="20"/>
        </w:rPr>
        <w:t>2.</w:t>
      </w:r>
      <w:r>
        <w:rPr>
          <w:rFonts w:hint="eastAsia" w:ascii="宋体" w:hAnsi="宋体" w:eastAsia="宋体"/>
          <w:sz w:val="24"/>
          <w:szCs w:val="20"/>
        </w:rPr>
        <w:t>供应商应当附本表所列证书的复印件并加盖供应商电子签章。</w:t>
      </w:r>
    </w:p>
    <w:p w14:paraId="1CFAB49D">
      <w:pPr>
        <w:spacing w:line="360" w:lineRule="auto"/>
        <w:ind w:firstLine="482"/>
        <w:contextualSpacing/>
        <w:jc w:val="left"/>
        <w:rPr>
          <w:rFonts w:hint="eastAsia" w:ascii="宋体" w:hAnsi="宋体" w:eastAsia="宋体"/>
          <w:sz w:val="24"/>
        </w:rPr>
      </w:pPr>
      <w:r>
        <w:rPr>
          <w:rFonts w:hint="eastAsia" w:ascii="宋体" w:hAnsi="宋体" w:eastAsia="宋体"/>
          <w:sz w:val="24"/>
        </w:rPr>
        <w:t xml:space="preserve">  </w:t>
      </w:r>
    </w:p>
    <w:p w14:paraId="58EFA840">
      <w:pPr>
        <w:spacing w:line="360" w:lineRule="auto"/>
        <w:ind w:firstLine="482"/>
        <w:contextualSpacing/>
        <w:jc w:val="center"/>
        <w:rPr>
          <w:rFonts w:hint="eastAsia" w:ascii="宋体" w:hAnsi="宋体" w:eastAsia="宋体"/>
          <w:sz w:val="24"/>
          <w:szCs w:val="20"/>
        </w:rPr>
      </w:pPr>
      <w:r>
        <w:rPr>
          <w:rFonts w:hint="eastAsia" w:ascii="宋体" w:hAnsi="宋体" w:eastAsia="宋体"/>
          <w:sz w:val="24"/>
          <w:szCs w:val="20"/>
        </w:rPr>
        <w:t>法定代表人或者委托代理人（签字或者电子签名）：</w:t>
      </w:r>
    </w:p>
    <w:p w14:paraId="7D168872">
      <w:pPr>
        <w:spacing w:line="360" w:lineRule="auto"/>
        <w:ind w:firstLine="482"/>
        <w:contextualSpacing/>
        <w:jc w:val="center"/>
        <w:rPr>
          <w:rFonts w:hint="eastAsia" w:ascii="宋体" w:hAnsi="宋体" w:eastAsia="宋体"/>
          <w:sz w:val="24"/>
          <w:szCs w:val="20"/>
        </w:rPr>
      </w:pPr>
      <w:r>
        <w:rPr>
          <w:rFonts w:hint="eastAsia" w:ascii="宋体" w:hAnsi="宋体" w:eastAsia="宋体"/>
          <w:sz w:val="24"/>
          <w:szCs w:val="20"/>
        </w:rPr>
        <w:t xml:space="preserve">                          供应商（电子签章）：</w:t>
      </w:r>
    </w:p>
    <w:p w14:paraId="647D7E83">
      <w:pPr>
        <w:spacing w:line="360" w:lineRule="auto"/>
        <w:ind w:firstLine="482"/>
        <w:contextualSpacing/>
        <w:jc w:val="right"/>
        <w:rPr>
          <w:rFonts w:hint="eastAsia" w:ascii="宋体" w:hAnsi="宋体" w:eastAsia="宋体"/>
          <w:sz w:val="24"/>
          <w:szCs w:val="20"/>
        </w:rPr>
      </w:pPr>
      <w:r>
        <w:rPr>
          <w:rFonts w:hint="eastAsia" w:ascii="宋体" w:hAnsi="宋体" w:eastAsia="宋体"/>
          <w:sz w:val="24"/>
          <w:szCs w:val="20"/>
        </w:rPr>
        <w:t xml:space="preserve">日期：   年   月   日     </w:t>
      </w:r>
    </w:p>
    <w:p w14:paraId="3D6B6698">
      <w:pPr>
        <w:snapToGrid w:val="0"/>
        <w:spacing w:before="50" w:after="156" w:afterLines="50"/>
        <w:ind w:firstLine="482"/>
        <w:jc w:val="left"/>
        <w:rPr>
          <w:rFonts w:hint="eastAsia" w:ascii="宋体" w:hAnsi="宋体" w:eastAsia="宋体"/>
          <w:sz w:val="24"/>
          <w:szCs w:val="20"/>
        </w:rPr>
      </w:pPr>
    </w:p>
    <w:p w14:paraId="5C4BAA7C">
      <w:pPr>
        <w:snapToGrid w:val="0"/>
        <w:spacing w:before="50" w:after="50" w:line="360" w:lineRule="auto"/>
        <w:ind w:right="-817" w:rightChars="-389" w:firstLine="5461" w:firstLineChars="1700"/>
        <w:rPr>
          <w:rFonts w:hint="eastAsia" w:ascii="宋体" w:hAnsi="宋体" w:eastAsia="宋体" w:cs="Calibri"/>
          <w:b/>
          <w:sz w:val="32"/>
          <w:szCs w:val="32"/>
        </w:rPr>
      </w:pPr>
    </w:p>
    <w:p w14:paraId="5DD84C02">
      <w:pPr>
        <w:spacing w:line="300" w:lineRule="auto"/>
        <w:ind w:firstLine="482"/>
        <w:rPr>
          <w:rFonts w:hint="eastAsia" w:ascii="宋体" w:hAnsi="宋体" w:eastAsia="宋体"/>
          <w:szCs w:val="21"/>
        </w:rPr>
      </w:pPr>
      <w:r>
        <w:rPr>
          <w:rFonts w:ascii="宋体" w:hAnsi="宋体" w:eastAsia="宋体"/>
          <w:b/>
          <w:bCs/>
          <w:sz w:val="24"/>
        </w:rPr>
        <w:br w:type="page"/>
      </w:r>
      <w:r>
        <w:rPr>
          <w:rFonts w:hint="eastAsia" w:ascii="宋体" w:hAnsi="宋体" w:eastAsia="宋体"/>
          <w:b/>
          <w:bCs/>
          <w:sz w:val="32"/>
          <w:szCs w:val="32"/>
        </w:rPr>
        <w:t>9.其他文书、文件格式</w:t>
      </w:r>
    </w:p>
    <w:p w14:paraId="4DE8D752">
      <w:pPr>
        <w:spacing w:line="360" w:lineRule="auto"/>
        <w:ind w:firstLine="482"/>
        <w:jc w:val="center"/>
        <w:rPr>
          <w:rFonts w:hint="eastAsia" w:ascii="宋体" w:hAnsi="宋体" w:eastAsia="宋体" w:cs="Calibri"/>
          <w:sz w:val="24"/>
        </w:rPr>
      </w:pPr>
    </w:p>
    <w:p w14:paraId="78994285">
      <w:pPr>
        <w:spacing w:line="360" w:lineRule="auto"/>
        <w:ind w:firstLine="883"/>
        <w:jc w:val="center"/>
        <w:rPr>
          <w:rFonts w:hint="eastAsia" w:ascii="宋体" w:hAnsi="宋体" w:eastAsia="宋体"/>
          <w:b/>
          <w:bCs/>
          <w:sz w:val="32"/>
          <w:szCs w:val="32"/>
        </w:rPr>
      </w:pPr>
      <w:r>
        <w:rPr>
          <w:rFonts w:hint="eastAsia" w:ascii="宋体" w:hAnsi="宋体" w:eastAsia="宋体" w:cs="Tahoma"/>
          <w:sz w:val="44"/>
          <w:szCs w:val="44"/>
        </w:rPr>
        <w:t xml:space="preserve"> 质疑函（格式）</w:t>
      </w:r>
    </w:p>
    <w:p w14:paraId="2A99F170">
      <w:pPr>
        <w:pStyle w:val="30"/>
        <w:spacing w:line="360" w:lineRule="auto"/>
        <w:ind w:firstLine="482" w:firstLineChars="200"/>
        <w:contextualSpacing/>
        <w:rPr>
          <w:rFonts w:hint="eastAsia" w:ascii="宋体" w:hAnsi="宋体" w:eastAsia="宋体"/>
          <w:b/>
          <w:bCs/>
          <w:sz w:val="24"/>
          <w:szCs w:val="24"/>
        </w:rPr>
      </w:pPr>
      <w:r>
        <w:rPr>
          <w:rFonts w:hint="eastAsia" w:ascii="宋体" w:hAnsi="宋体" w:eastAsia="宋体"/>
          <w:b/>
          <w:bCs/>
          <w:sz w:val="24"/>
          <w:szCs w:val="24"/>
        </w:rPr>
        <w:t>一、质疑供应商基本信息：</w:t>
      </w:r>
    </w:p>
    <w:p w14:paraId="6ED018BF">
      <w:pPr>
        <w:pStyle w:val="30"/>
        <w:spacing w:line="360" w:lineRule="auto"/>
        <w:ind w:firstLine="480" w:firstLineChars="200"/>
        <w:contextualSpacing/>
        <w:rPr>
          <w:rFonts w:hint="eastAsia" w:ascii="宋体" w:hAnsi="宋体" w:eastAsia="宋体"/>
          <w:bCs/>
          <w:sz w:val="24"/>
          <w:szCs w:val="24"/>
          <w:u w:val="single"/>
        </w:rPr>
      </w:pPr>
      <w:r>
        <w:rPr>
          <w:rFonts w:hint="eastAsia" w:ascii="宋体" w:hAnsi="宋体" w:eastAsia="宋体"/>
          <w:bCs/>
          <w:sz w:val="24"/>
          <w:szCs w:val="24"/>
        </w:rPr>
        <w:t>质疑供应商：</w:t>
      </w:r>
      <w:r>
        <w:rPr>
          <w:rFonts w:hint="eastAsia" w:ascii="宋体" w:hAnsi="宋体" w:eastAsia="宋体"/>
          <w:bCs/>
          <w:sz w:val="24"/>
          <w:szCs w:val="24"/>
          <w:u w:val="single"/>
        </w:rPr>
        <w:t xml:space="preserve">                                       </w:t>
      </w:r>
      <w:r>
        <w:rPr>
          <w:rFonts w:hint="eastAsia" w:ascii="宋体" w:hAnsi="宋体" w:eastAsia="宋体"/>
          <w:bCs/>
          <w:sz w:val="24"/>
          <w:szCs w:val="24"/>
        </w:rPr>
        <w:t xml:space="preserve">                 </w:t>
      </w:r>
    </w:p>
    <w:p w14:paraId="40524708">
      <w:pPr>
        <w:pStyle w:val="30"/>
        <w:spacing w:line="360" w:lineRule="auto"/>
        <w:ind w:firstLine="480" w:firstLineChars="200"/>
        <w:contextualSpacing/>
        <w:rPr>
          <w:rFonts w:hint="eastAsia" w:ascii="宋体" w:hAnsi="宋体" w:eastAsia="宋体"/>
          <w:bCs/>
          <w:sz w:val="24"/>
          <w:szCs w:val="24"/>
        </w:rPr>
      </w:pPr>
      <w:r>
        <w:rPr>
          <w:rFonts w:ascii="宋体" w:hAnsi="宋体" w:eastAsia="宋体"/>
          <w:bCs/>
          <w:sz w:val="24"/>
          <w:szCs w:val="24"/>
        </w:rPr>
        <w:t>地址</w:t>
      </w:r>
      <w:r>
        <w:rPr>
          <w:rFonts w:hint="eastAsia" w:ascii="宋体" w:hAnsi="宋体" w:eastAsia="宋体"/>
          <w:bCs/>
          <w:sz w:val="24"/>
          <w:szCs w:val="24"/>
        </w:rPr>
        <w:t>：</w:t>
      </w:r>
      <w:r>
        <w:rPr>
          <w:rFonts w:hint="eastAsia" w:ascii="宋体" w:hAnsi="宋体" w:eastAsia="宋体"/>
          <w:bCs/>
          <w:sz w:val="24"/>
          <w:szCs w:val="24"/>
          <w:u w:val="single"/>
        </w:rPr>
        <w:t xml:space="preserve">                                          </w:t>
      </w:r>
      <w:r>
        <w:rPr>
          <w:rFonts w:ascii="宋体" w:hAnsi="宋体" w:eastAsia="宋体"/>
          <w:bCs/>
          <w:sz w:val="24"/>
          <w:szCs w:val="24"/>
        </w:rPr>
        <w:t>邮编</w:t>
      </w:r>
      <w:r>
        <w:rPr>
          <w:rFonts w:hint="eastAsia" w:ascii="宋体" w:hAnsi="宋体" w:eastAsia="宋体"/>
          <w:bCs/>
          <w:sz w:val="24"/>
          <w:szCs w:val="24"/>
        </w:rPr>
        <w:t>：</w:t>
      </w:r>
      <w:r>
        <w:rPr>
          <w:rFonts w:hint="eastAsia" w:ascii="宋体" w:hAnsi="宋体" w:eastAsia="宋体"/>
          <w:bCs/>
          <w:sz w:val="24"/>
          <w:szCs w:val="24"/>
          <w:u w:val="single"/>
        </w:rPr>
        <w:t xml:space="preserve">                  </w:t>
      </w:r>
      <w:r>
        <w:rPr>
          <w:rFonts w:hint="eastAsia" w:ascii="宋体" w:hAnsi="宋体" w:eastAsia="宋体"/>
          <w:bCs/>
          <w:sz w:val="24"/>
          <w:szCs w:val="24"/>
        </w:rPr>
        <w:t xml:space="preserve">                 </w:t>
      </w:r>
    </w:p>
    <w:p w14:paraId="2F7BCA42">
      <w:pPr>
        <w:pStyle w:val="30"/>
        <w:spacing w:line="360" w:lineRule="auto"/>
        <w:ind w:firstLine="480" w:firstLineChars="200"/>
        <w:contextualSpacing/>
        <w:rPr>
          <w:rFonts w:hint="eastAsia" w:ascii="宋体" w:hAnsi="宋体" w:eastAsia="宋体"/>
          <w:bCs/>
          <w:sz w:val="24"/>
          <w:szCs w:val="24"/>
        </w:rPr>
      </w:pPr>
      <w:r>
        <w:rPr>
          <w:rFonts w:ascii="宋体" w:hAnsi="宋体" w:eastAsia="宋体"/>
          <w:bCs/>
          <w:sz w:val="24"/>
          <w:szCs w:val="24"/>
        </w:rPr>
        <w:t>联系人</w:t>
      </w:r>
      <w:r>
        <w:rPr>
          <w:rFonts w:hint="eastAsia" w:ascii="宋体" w:hAnsi="宋体" w:eastAsia="宋体"/>
          <w:bCs/>
          <w:sz w:val="24"/>
          <w:szCs w:val="24"/>
        </w:rPr>
        <w:t>：</w:t>
      </w:r>
      <w:r>
        <w:rPr>
          <w:rFonts w:hint="eastAsia" w:ascii="宋体" w:hAnsi="宋体" w:eastAsia="宋体"/>
          <w:bCs/>
          <w:sz w:val="24"/>
          <w:szCs w:val="24"/>
          <w:u w:val="single"/>
        </w:rPr>
        <w:t xml:space="preserve">                     </w:t>
      </w:r>
      <w:r>
        <w:rPr>
          <w:rFonts w:ascii="宋体" w:hAnsi="宋体" w:eastAsia="宋体"/>
          <w:bCs/>
          <w:sz w:val="24"/>
          <w:szCs w:val="24"/>
        </w:rPr>
        <w:t>联系电话</w:t>
      </w:r>
      <w:r>
        <w:rPr>
          <w:rFonts w:hint="eastAsia" w:ascii="宋体" w:hAnsi="宋体" w:eastAsia="宋体"/>
          <w:bCs/>
          <w:sz w:val="24"/>
          <w:szCs w:val="24"/>
        </w:rPr>
        <w:t>：</w:t>
      </w:r>
      <w:r>
        <w:rPr>
          <w:rFonts w:hint="eastAsia" w:ascii="宋体" w:hAnsi="宋体" w:eastAsia="宋体"/>
          <w:bCs/>
          <w:sz w:val="24"/>
          <w:szCs w:val="24"/>
          <w:u w:val="single"/>
        </w:rPr>
        <w:t xml:space="preserve">                 </w:t>
      </w:r>
    </w:p>
    <w:p w14:paraId="3B0B2356">
      <w:pPr>
        <w:pStyle w:val="30"/>
        <w:spacing w:line="360" w:lineRule="auto"/>
        <w:ind w:firstLine="480" w:firstLineChars="200"/>
        <w:contextualSpacing/>
        <w:rPr>
          <w:rFonts w:hint="eastAsia" w:ascii="宋体" w:hAnsi="宋体" w:eastAsia="宋体"/>
          <w:bCs/>
          <w:sz w:val="24"/>
          <w:szCs w:val="24"/>
        </w:rPr>
      </w:pPr>
      <w:r>
        <w:rPr>
          <w:rFonts w:hint="eastAsia" w:ascii="宋体" w:hAnsi="宋体" w:eastAsia="宋体"/>
          <w:bCs/>
          <w:sz w:val="24"/>
          <w:szCs w:val="24"/>
        </w:rPr>
        <w:t>授权代表：</w:t>
      </w:r>
      <w:r>
        <w:rPr>
          <w:rFonts w:hint="eastAsia" w:ascii="宋体" w:hAnsi="宋体" w:eastAsia="宋体"/>
          <w:bCs/>
          <w:sz w:val="24"/>
          <w:szCs w:val="24"/>
          <w:u w:val="single"/>
        </w:rPr>
        <w:t xml:space="preserve">                      </w:t>
      </w:r>
    </w:p>
    <w:p w14:paraId="35578085">
      <w:pPr>
        <w:pStyle w:val="30"/>
        <w:spacing w:line="360" w:lineRule="auto"/>
        <w:ind w:firstLine="480" w:firstLineChars="200"/>
        <w:contextualSpacing/>
        <w:rPr>
          <w:rFonts w:hint="eastAsia" w:ascii="宋体" w:hAnsi="宋体" w:eastAsia="宋体"/>
          <w:bCs/>
          <w:sz w:val="24"/>
          <w:szCs w:val="24"/>
          <w:u w:val="single"/>
        </w:rPr>
      </w:pPr>
      <w:r>
        <w:rPr>
          <w:rFonts w:ascii="宋体" w:hAnsi="宋体" w:eastAsia="宋体"/>
          <w:bCs/>
          <w:sz w:val="24"/>
          <w:szCs w:val="24"/>
        </w:rPr>
        <w:t>联系</w:t>
      </w:r>
      <w:r>
        <w:rPr>
          <w:rFonts w:hint="eastAsia" w:ascii="宋体" w:hAnsi="宋体" w:eastAsia="宋体"/>
          <w:bCs/>
          <w:sz w:val="24"/>
          <w:szCs w:val="24"/>
        </w:rPr>
        <w:t>电话：</w:t>
      </w:r>
      <w:r>
        <w:rPr>
          <w:rFonts w:hint="eastAsia" w:ascii="宋体" w:hAnsi="宋体" w:eastAsia="宋体"/>
          <w:bCs/>
          <w:sz w:val="24"/>
          <w:szCs w:val="24"/>
          <w:u w:val="single"/>
        </w:rPr>
        <w:t xml:space="preserve">                      </w:t>
      </w:r>
    </w:p>
    <w:p w14:paraId="78EA45D4">
      <w:pPr>
        <w:pStyle w:val="30"/>
        <w:spacing w:line="360" w:lineRule="auto"/>
        <w:ind w:firstLine="480" w:firstLineChars="200"/>
        <w:contextualSpacing/>
        <w:rPr>
          <w:rFonts w:hint="eastAsia" w:ascii="宋体" w:hAnsi="宋体" w:eastAsia="宋体"/>
          <w:bCs/>
          <w:sz w:val="24"/>
          <w:szCs w:val="24"/>
        </w:rPr>
      </w:pPr>
      <w:r>
        <w:rPr>
          <w:rFonts w:ascii="宋体" w:hAnsi="宋体" w:eastAsia="宋体"/>
          <w:bCs/>
          <w:sz w:val="24"/>
          <w:szCs w:val="24"/>
        </w:rPr>
        <w:t>地址</w:t>
      </w:r>
      <w:r>
        <w:rPr>
          <w:rFonts w:hint="eastAsia" w:ascii="宋体" w:hAnsi="宋体" w:eastAsia="宋体"/>
          <w:bCs/>
          <w:sz w:val="24"/>
          <w:szCs w:val="24"/>
        </w:rPr>
        <w:t>：</w:t>
      </w:r>
      <w:r>
        <w:rPr>
          <w:rFonts w:hint="eastAsia" w:ascii="宋体" w:hAnsi="宋体" w:eastAsia="宋体"/>
          <w:bCs/>
          <w:sz w:val="24"/>
          <w:szCs w:val="24"/>
          <w:u w:val="single"/>
        </w:rPr>
        <w:t xml:space="preserve">                 </w:t>
      </w:r>
      <w:r>
        <w:rPr>
          <w:rFonts w:ascii="宋体" w:hAnsi="宋体" w:eastAsia="宋体"/>
          <w:bCs/>
          <w:sz w:val="24"/>
          <w:szCs w:val="24"/>
        </w:rPr>
        <w:t>邮编</w:t>
      </w:r>
      <w:r>
        <w:rPr>
          <w:rFonts w:hint="eastAsia" w:ascii="宋体" w:hAnsi="宋体" w:eastAsia="宋体"/>
          <w:bCs/>
          <w:sz w:val="24"/>
          <w:szCs w:val="24"/>
        </w:rPr>
        <w:t>：</w:t>
      </w:r>
      <w:r>
        <w:rPr>
          <w:rFonts w:hint="eastAsia" w:ascii="宋体" w:hAnsi="宋体" w:eastAsia="宋体"/>
          <w:bCs/>
          <w:sz w:val="24"/>
          <w:szCs w:val="24"/>
          <w:u w:val="single"/>
        </w:rPr>
        <w:t xml:space="preserve">                  </w:t>
      </w:r>
      <w:r>
        <w:rPr>
          <w:rFonts w:hint="eastAsia" w:ascii="宋体" w:hAnsi="宋体" w:eastAsia="宋体"/>
          <w:bCs/>
          <w:sz w:val="24"/>
          <w:szCs w:val="24"/>
        </w:rPr>
        <w:t xml:space="preserve">     </w:t>
      </w:r>
    </w:p>
    <w:p w14:paraId="4E85DC36">
      <w:pPr>
        <w:pStyle w:val="30"/>
        <w:spacing w:line="360" w:lineRule="auto"/>
        <w:ind w:firstLine="482" w:firstLineChars="200"/>
        <w:contextualSpacing/>
        <w:rPr>
          <w:rFonts w:hint="eastAsia" w:ascii="宋体" w:hAnsi="宋体" w:eastAsia="宋体"/>
          <w:b/>
          <w:bCs/>
          <w:sz w:val="24"/>
          <w:szCs w:val="24"/>
        </w:rPr>
      </w:pPr>
      <w:r>
        <w:rPr>
          <w:rFonts w:hint="eastAsia" w:ascii="宋体" w:hAnsi="宋体" w:eastAsia="宋体"/>
          <w:b/>
          <w:bCs/>
          <w:sz w:val="24"/>
          <w:szCs w:val="24"/>
        </w:rPr>
        <w:t>二、质疑项目基本情况：</w:t>
      </w:r>
    </w:p>
    <w:p w14:paraId="005DE9C0">
      <w:pPr>
        <w:pStyle w:val="30"/>
        <w:spacing w:line="360" w:lineRule="auto"/>
        <w:ind w:left="25" w:leftChars="12" w:firstLine="472" w:firstLineChars="197"/>
        <w:contextualSpacing/>
        <w:rPr>
          <w:rFonts w:hint="eastAsia" w:ascii="宋体" w:hAnsi="宋体" w:eastAsia="宋体"/>
          <w:sz w:val="24"/>
          <w:szCs w:val="24"/>
        </w:rPr>
      </w:pPr>
      <w:r>
        <w:rPr>
          <w:rFonts w:hint="eastAsia" w:ascii="宋体" w:hAnsi="宋体" w:eastAsia="宋体"/>
          <w:bCs/>
          <w:sz w:val="24"/>
          <w:szCs w:val="24"/>
        </w:rPr>
        <w:t>质疑</w:t>
      </w:r>
      <w:r>
        <w:rPr>
          <w:rFonts w:hint="eastAsia" w:ascii="宋体" w:hAnsi="宋体" w:eastAsia="宋体"/>
          <w:sz w:val="24"/>
          <w:szCs w:val="24"/>
        </w:rPr>
        <w:t>项目的名称：</w:t>
      </w:r>
      <w:r>
        <w:rPr>
          <w:rFonts w:hint="eastAsia" w:ascii="宋体" w:hAnsi="宋体" w:eastAsia="宋体"/>
          <w:bCs/>
          <w:sz w:val="24"/>
          <w:szCs w:val="24"/>
          <w:u w:val="single"/>
        </w:rPr>
        <w:t xml:space="preserve">                                     </w:t>
      </w:r>
    </w:p>
    <w:p w14:paraId="2DDD0DF8">
      <w:pPr>
        <w:pStyle w:val="30"/>
        <w:spacing w:line="360" w:lineRule="auto"/>
        <w:ind w:left="25" w:leftChars="12" w:firstLine="472" w:firstLineChars="197"/>
        <w:contextualSpacing/>
        <w:rPr>
          <w:rFonts w:hint="eastAsia" w:ascii="宋体" w:hAnsi="宋体" w:eastAsia="宋体"/>
          <w:sz w:val="24"/>
          <w:szCs w:val="24"/>
        </w:rPr>
      </w:pPr>
      <w:r>
        <w:rPr>
          <w:rFonts w:hint="eastAsia" w:ascii="宋体" w:hAnsi="宋体" w:eastAsia="宋体"/>
          <w:bCs/>
          <w:sz w:val="24"/>
          <w:szCs w:val="24"/>
        </w:rPr>
        <w:t>质疑</w:t>
      </w:r>
      <w:r>
        <w:rPr>
          <w:rFonts w:hint="eastAsia" w:ascii="宋体" w:hAnsi="宋体" w:eastAsia="宋体"/>
          <w:sz w:val="24"/>
          <w:szCs w:val="24"/>
        </w:rPr>
        <w:t>项目的编号：</w:t>
      </w:r>
      <w:r>
        <w:rPr>
          <w:rFonts w:hint="eastAsia" w:ascii="宋体" w:hAnsi="宋体" w:eastAsia="宋体"/>
          <w:bCs/>
          <w:sz w:val="24"/>
          <w:szCs w:val="24"/>
          <w:u w:val="single"/>
        </w:rPr>
        <w:t xml:space="preserve">                                     </w:t>
      </w:r>
    </w:p>
    <w:p w14:paraId="146DA4CF">
      <w:pPr>
        <w:pStyle w:val="30"/>
        <w:spacing w:line="360" w:lineRule="auto"/>
        <w:ind w:left="25" w:leftChars="12" w:firstLine="472" w:firstLineChars="197"/>
        <w:contextualSpacing/>
        <w:rPr>
          <w:rFonts w:hint="eastAsia" w:ascii="宋体" w:hAnsi="宋体" w:eastAsia="宋体"/>
          <w:sz w:val="24"/>
          <w:szCs w:val="24"/>
        </w:rPr>
      </w:pPr>
      <w:r>
        <w:rPr>
          <w:rFonts w:hint="eastAsia" w:ascii="宋体" w:hAnsi="宋体" w:eastAsia="宋体"/>
          <w:sz w:val="24"/>
          <w:szCs w:val="24"/>
        </w:rPr>
        <w:t>采购人名称：</w:t>
      </w:r>
      <w:r>
        <w:rPr>
          <w:rFonts w:hint="eastAsia" w:ascii="宋体" w:hAnsi="宋体" w:eastAsia="宋体"/>
          <w:bCs/>
          <w:sz w:val="24"/>
          <w:szCs w:val="24"/>
          <w:u w:val="single"/>
        </w:rPr>
        <w:t xml:space="preserve">                                         </w:t>
      </w:r>
    </w:p>
    <w:p w14:paraId="4D586686">
      <w:pPr>
        <w:pStyle w:val="30"/>
        <w:spacing w:line="360" w:lineRule="auto"/>
        <w:ind w:left="25" w:leftChars="12" w:firstLine="472" w:firstLineChars="197"/>
        <w:contextualSpacing/>
        <w:rPr>
          <w:rFonts w:hint="eastAsia" w:ascii="宋体" w:hAnsi="宋体" w:eastAsia="宋体"/>
          <w:sz w:val="24"/>
          <w:szCs w:val="24"/>
        </w:rPr>
      </w:pPr>
      <w:r>
        <w:rPr>
          <w:rFonts w:hint="eastAsia" w:ascii="宋体" w:hAnsi="宋体" w:eastAsia="宋体"/>
          <w:sz w:val="24"/>
          <w:szCs w:val="24"/>
        </w:rPr>
        <w:t>质疑事项：</w:t>
      </w:r>
    </w:p>
    <w:p w14:paraId="53620DE7">
      <w:pPr>
        <w:pStyle w:val="30"/>
        <w:spacing w:line="360" w:lineRule="auto"/>
        <w:ind w:left="25" w:leftChars="12" w:firstLine="352" w:firstLineChars="147"/>
        <w:contextualSpacing/>
        <w:rPr>
          <w:rFonts w:hint="eastAsia" w:ascii="宋体" w:hAnsi="宋体" w:eastAsia="宋体"/>
          <w:sz w:val="24"/>
          <w:szCs w:val="24"/>
        </w:rPr>
      </w:pPr>
      <w:r>
        <w:rPr>
          <w:rFonts w:hint="eastAsia" w:ascii="宋体" w:hAnsi="宋体" w:eastAsia="宋体"/>
          <w:sz w:val="24"/>
          <w:szCs w:val="24"/>
        </w:rPr>
        <w:t>□采购文件   采购文件获取日期：</w:t>
      </w:r>
      <w:r>
        <w:rPr>
          <w:rFonts w:hint="eastAsia" w:ascii="宋体" w:hAnsi="宋体" w:eastAsia="宋体"/>
          <w:bCs/>
          <w:sz w:val="24"/>
          <w:szCs w:val="24"/>
          <w:u w:val="single"/>
        </w:rPr>
        <w:t xml:space="preserve">                                   </w:t>
      </w:r>
    </w:p>
    <w:p w14:paraId="73BC2DFB">
      <w:pPr>
        <w:pStyle w:val="30"/>
        <w:spacing w:line="360" w:lineRule="auto"/>
        <w:ind w:left="25" w:leftChars="12" w:firstLine="352" w:firstLineChars="147"/>
        <w:contextualSpacing/>
        <w:rPr>
          <w:rFonts w:hint="eastAsia" w:ascii="宋体" w:hAnsi="宋体" w:eastAsia="宋体"/>
          <w:sz w:val="24"/>
          <w:szCs w:val="24"/>
        </w:rPr>
      </w:pPr>
      <w:r>
        <w:rPr>
          <w:rFonts w:hint="eastAsia" w:ascii="宋体" w:hAnsi="宋体" w:eastAsia="宋体"/>
          <w:sz w:val="24"/>
          <w:szCs w:val="24"/>
        </w:rPr>
        <w:t xml:space="preserve">□采购过程   </w:t>
      </w:r>
    </w:p>
    <w:p w14:paraId="153CF8F0">
      <w:pPr>
        <w:pStyle w:val="30"/>
        <w:spacing w:line="360" w:lineRule="auto"/>
        <w:ind w:left="25" w:leftChars="12" w:firstLine="352" w:firstLineChars="147"/>
        <w:contextualSpacing/>
        <w:rPr>
          <w:rFonts w:hint="eastAsia" w:ascii="宋体" w:hAnsi="宋体" w:eastAsia="宋体"/>
          <w:bCs/>
          <w:sz w:val="24"/>
          <w:szCs w:val="24"/>
          <w:u w:val="single"/>
        </w:rPr>
      </w:pPr>
      <w:r>
        <w:rPr>
          <w:rFonts w:hint="eastAsia" w:ascii="宋体" w:hAnsi="宋体" w:eastAsia="宋体"/>
          <w:sz w:val="24"/>
          <w:szCs w:val="24"/>
        </w:rPr>
        <w:t xml:space="preserve">□成交结果   </w:t>
      </w:r>
    </w:p>
    <w:p w14:paraId="5F26C150">
      <w:pPr>
        <w:pStyle w:val="30"/>
        <w:spacing w:line="360" w:lineRule="auto"/>
        <w:ind w:left="25" w:leftChars="12" w:firstLine="472" w:firstLineChars="196"/>
        <w:contextualSpacing/>
        <w:rPr>
          <w:rFonts w:hint="eastAsia" w:ascii="宋体" w:hAnsi="宋体" w:eastAsia="宋体"/>
          <w:b/>
          <w:sz w:val="24"/>
          <w:szCs w:val="24"/>
        </w:rPr>
      </w:pPr>
      <w:r>
        <w:rPr>
          <w:rFonts w:hint="eastAsia" w:ascii="宋体" w:hAnsi="宋体" w:eastAsia="宋体"/>
          <w:b/>
          <w:sz w:val="24"/>
          <w:szCs w:val="24"/>
        </w:rPr>
        <w:t>三、质疑事项具体内容</w:t>
      </w:r>
    </w:p>
    <w:p w14:paraId="6CD307C1">
      <w:pPr>
        <w:pStyle w:val="30"/>
        <w:spacing w:line="360" w:lineRule="auto"/>
        <w:ind w:left="25" w:leftChars="12" w:firstLine="472" w:firstLineChars="197"/>
        <w:contextualSpacing/>
        <w:rPr>
          <w:rFonts w:hint="eastAsia" w:ascii="宋体" w:hAnsi="宋体" w:eastAsia="宋体"/>
          <w:sz w:val="24"/>
          <w:szCs w:val="24"/>
        </w:rPr>
      </w:pPr>
      <w:r>
        <w:rPr>
          <w:rFonts w:hint="eastAsia" w:ascii="宋体" w:hAnsi="宋体" w:eastAsia="宋体"/>
          <w:sz w:val="24"/>
          <w:szCs w:val="24"/>
        </w:rPr>
        <w:t>质疑事项1：</w:t>
      </w:r>
      <w:r>
        <w:rPr>
          <w:rFonts w:hint="eastAsia" w:ascii="宋体" w:hAnsi="宋体" w:eastAsia="宋体"/>
          <w:bCs/>
          <w:sz w:val="24"/>
          <w:szCs w:val="24"/>
          <w:u w:val="single"/>
        </w:rPr>
        <w:t xml:space="preserve">                                                                    </w:t>
      </w:r>
    </w:p>
    <w:p w14:paraId="76DD7451">
      <w:pPr>
        <w:pStyle w:val="30"/>
        <w:spacing w:line="360" w:lineRule="auto"/>
        <w:ind w:left="25" w:leftChars="12" w:firstLine="472" w:firstLineChars="197"/>
        <w:contextualSpacing/>
        <w:rPr>
          <w:rFonts w:hint="eastAsia" w:ascii="宋体" w:hAnsi="宋体" w:eastAsia="宋体"/>
          <w:sz w:val="24"/>
          <w:szCs w:val="24"/>
        </w:rPr>
      </w:pPr>
      <w:r>
        <w:rPr>
          <w:rFonts w:hint="eastAsia" w:ascii="宋体" w:hAnsi="宋体" w:eastAsia="宋体"/>
          <w:sz w:val="24"/>
          <w:szCs w:val="24"/>
        </w:rPr>
        <w:t>事实依据：</w:t>
      </w:r>
      <w:r>
        <w:rPr>
          <w:rFonts w:hint="eastAsia" w:ascii="宋体" w:hAnsi="宋体" w:eastAsia="宋体"/>
          <w:bCs/>
          <w:sz w:val="24"/>
          <w:szCs w:val="24"/>
          <w:u w:val="single"/>
        </w:rPr>
        <w:t xml:space="preserve">                                                                      </w:t>
      </w:r>
    </w:p>
    <w:p w14:paraId="28C43559">
      <w:pPr>
        <w:pStyle w:val="30"/>
        <w:spacing w:line="360" w:lineRule="auto"/>
        <w:ind w:left="25" w:leftChars="12" w:firstLine="472" w:firstLineChars="197"/>
        <w:contextualSpacing/>
        <w:rPr>
          <w:rFonts w:hint="eastAsia" w:ascii="宋体" w:hAnsi="宋体" w:eastAsia="宋体"/>
          <w:sz w:val="24"/>
          <w:szCs w:val="24"/>
        </w:rPr>
      </w:pPr>
      <w:r>
        <w:rPr>
          <w:rFonts w:hint="eastAsia" w:ascii="宋体" w:hAnsi="宋体" w:eastAsia="宋体"/>
          <w:sz w:val="24"/>
          <w:szCs w:val="24"/>
        </w:rPr>
        <w:t>法律依据：</w:t>
      </w:r>
      <w:r>
        <w:rPr>
          <w:rFonts w:hint="eastAsia" w:ascii="宋体" w:hAnsi="宋体" w:eastAsia="宋体"/>
          <w:sz w:val="24"/>
          <w:szCs w:val="24"/>
          <w:u w:val="single"/>
        </w:rPr>
        <w:t xml:space="preserve">                                                        </w:t>
      </w:r>
      <w:r>
        <w:rPr>
          <w:rFonts w:hint="eastAsia" w:ascii="宋体" w:hAnsi="宋体" w:eastAsia="宋体"/>
          <w:bCs/>
          <w:sz w:val="24"/>
          <w:szCs w:val="24"/>
          <w:u w:val="single"/>
        </w:rPr>
        <w:t xml:space="preserve">               </w:t>
      </w:r>
    </w:p>
    <w:p w14:paraId="0A3F5CCB">
      <w:pPr>
        <w:pStyle w:val="30"/>
        <w:spacing w:line="360" w:lineRule="auto"/>
        <w:ind w:left="25" w:leftChars="12" w:firstLine="472" w:firstLineChars="197"/>
        <w:contextualSpacing/>
        <w:rPr>
          <w:rFonts w:hint="eastAsia" w:ascii="宋体" w:hAnsi="宋体" w:eastAsia="宋体"/>
          <w:sz w:val="24"/>
          <w:szCs w:val="24"/>
        </w:rPr>
      </w:pPr>
      <w:r>
        <w:rPr>
          <w:rFonts w:hint="eastAsia" w:ascii="宋体" w:hAnsi="宋体" w:eastAsia="宋体"/>
          <w:sz w:val="24"/>
          <w:szCs w:val="24"/>
        </w:rPr>
        <w:t>质疑事项2</w:t>
      </w:r>
    </w:p>
    <w:p w14:paraId="3BD799D5">
      <w:pPr>
        <w:pStyle w:val="30"/>
        <w:spacing w:line="360" w:lineRule="auto"/>
        <w:ind w:left="25" w:leftChars="12" w:firstLine="472" w:firstLineChars="197"/>
        <w:contextualSpacing/>
        <w:rPr>
          <w:rFonts w:hint="eastAsia" w:ascii="宋体" w:hAnsi="宋体" w:eastAsia="宋体"/>
          <w:sz w:val="24"/>
          <w:szCs w:val="24"/>
        </w:rPr>
      </w:pPr>
      <w:r>
        <w:rPr>
          <w:rFonts w:ascii="宋体" w:hAnsi="宋体" w:eastAsia="宋体"/>
          <w:sz w:val="24"/>
          <w:szCs w:val="24"/>
        </w:rPr>
        <w:t>……</w:t>
      </w:r>
    </w:p>
    <w:p w14:paraId="59356229">
      <w:pPr>
        <w:pStyle w:val="30"/>
        <w:spacing w:line="360" w:lineRule="auto"/>
        <w:ind w:left="25" w:leftChars="12" w:firstLine="472" w:firstLineChars="197"/>
        <w:contextualSpacing/>
        <w:rPr>
          <w:rFonts w:hint="eastAsia" w:ascii="宋体" w:hAnsi="宋体" w:eastAsia="宋体"/>
          <w:sz w:val="24"/>
          <w:szCs w:val="24"/>
        </w:rPr>
      </w:pPr>
      <w:r>
        <w:rPr>
          <w:rFonts w:hint="eastAsia" w:ascii="宋体" w:hAnsi="宋体" w:eastAsia="宋体"/>
          <w:sz w:val="24"/>
          <w:szCs w:val="24"/>
        </w:rPr>
        <w:t>四、与质疑事项相关的质疑请求：</w:t>
      </w:r>
    </w:p>
    <w:p w14:paraId="70039A4E">
      <w:pPr>
        <w:pStyle w:val="30"/>
        <w:spacing w:line="360" w:lineRule="auto"/>
        <w:ind w:left="25" w:leftChars="12" w:firstLine="472" w:firstLineChars="197"/>
        <w:contextualSpacing/>
        <w:rPr>
          <w:rFonts w:hint="eastAsia" w:ascii="宋体" w:hAnsi="宋体" w:eastAsia="宋体"/>
          <w:sz w:val="24"/>
          <w:szCs w:val="24"/>
        </w:rPr>
      </w:pPr>
      <w:r>
        <w:rPr>
          <w:rFonts w:hint="eastAsia" w:ascii="宋体" w:hAnsi="宋体" w:eastAsia="宋体"/>
          <w:sz w:val="24"/>
          <w:szCs w:val="24"/>
        </w:rPr>
        <w:t>请求：</w:t>
      </w:r>
      <w:r>
        <w:rPr>
          <w:rFonts w:hint="eastAsia" w:ascii="宋体" w:hAnsi="宋体" w:eastAsia="宋体"/>
          <w:bCs/>
          <w:sz w:val="24"/>
          <w:szCs w:val="24"/>
          <w:u w:val="single"/>
        </w:rPr>
        <w:t xml:space="preserve">                                                                </w:t>
      </w:r>
    </w:p>
    <w:p w14:paraId="55439340">
      <w:pPr>
        <w:pStyle w:val="30"/>
        <w:spacing w:line="360" w:lineRule="auto"/>
        <w:ind w:left="25" w:leftChars="12" w:firstLine="352" w:firstLineChars="147"/>
        <w:contextualSpacing/>
        <w:rPr>
          <w:rFonts w:hint="eastAsia" w:ascii="宋体" w:hAnsi="宋体" w:eastAsia="宋体"/>
          <w:sz w:val="24"/>
          <w:szCs w:val="24"/>
        </w:rPr>
      </w:pPr>
    </w:p>
    <w:p w14:paraId="1C74F444">
      <w:pPr>
        <w:pStyle w:val="30"/>
        <w:spacing w:line="360" w:lineRule="auto"/>
        <w:ind w:left="25" w:leftChars="12" w:firstLine="472" w:firstLineChars="197"/>
        <w:contextualSpacing/>
        <w:rPr>
          <w:rFonts w:hint="eastAsia" w:ascii="宋体" w:hAnsi="宋体" w:eastAsia="宋体"/>
          <w:sz w:val="24"/>
          <w:szCs w:val="24"/>
        </w:rPr>
      </w:pPr>
      <w:r>
        <w:rPr>
          <w:rFonts w:hint="eastAsia" w:ascii="宋体" w:hAnsi="宋体" w:eastAsia="宋体"/>
          <w:sz w:val="24"/>
          <w:szCs w:val="24"/>
        </w:rPr>
        <w:t>签字（签章）：                                       公章：</w:t>
      </w:r>
    </w:p>
    <w:p w14:paraId="4DCB8B66">
      <w:pPr>
        <w:pStyle w:val="30"/>
        <w:spacing w:line="360" w:lineRule="auto"/>
        <w:ind w:firstLine="480" w:firstLineChars="200"/>
        <w:contextualSpacing/>
        <w:rPr>
          <w:rFonts w:hint="eastAsia" w:ascii="宋体" w:hAnsi="宋体" w:eastAsia="宋体"/>
          <w:b/>
          <w:sz w:val="24"/>
          <w:szCs w:val="24"/>
        </w:rPr>
      </w:pPr>
      <w:r>
        <w:rPr>
          <w:rFonts w:hint="eastAsia" w:ascii="宋体" w:hAnsi="宋体" w:eastAsia="宋体"/>
          <w:sz w:val="24"/>
          <w:szCs w:val="24"/>
        </w:rPr>
        <w:t>日期：</w:t>
      </w:r>
    </w:p>
    <w:p w14:paraId="14AFB8D3">
      <w:pPr>
        <w:pStyle w:val="30"/>
        <w:spacing w:line="360" w:lineRule="auto"/>
        <w:ind w:firstLine="482"/>
        <w:contextualSpacing/>
        <w:rPr>
          <w:rFonts w:hint="eastAsia" w:ascii="宋体" w:hAnsi="宋体" w:eastAsia="宋体"/>
          <w:b/>
          <w:sz w:val="24"/>
          <w:szCs w:val="24"/>
        </w:rPr>
      </w:pPr>
      <w:r>
        <w:rPr>
          <w:rFonts w:hint="eastAsia" w:ascii="宋体" w:hAnsi="宋体" w:eastAsia="宋体"/>
          <w:b/>
          <w:sz w:val="24"/>
          <w:szCs w:val="24"/>
        </w:rPr>
        <w:t>说明：</w:t>
      </w:r>
    </w:p>
    <w:p w14:paraId="3452384A">
      <w:pPr>
        <w:pStyle w:val="30"/>
        <w:spacing w:line="360" w:lineRule="auto"/>
        <w:ind w:left="25" w:leftChars="12" w:firstLine="354" w:firstLineChars="147"/>
        <w:contextualSpacing/>
        <w:rPr>
          <w:rFonts w:hint="eastAsia" w:ascii="宋体" w:hAnsi="宋体" w:eastAsia="宋体"/>
          <w:b/>
          <w:bCs/>
          <w:sz w:val="24"/>
          <w:szCs w:val="24"/>
        </w:rPr>
      </w:pPr>
      <w:r>
        <w:rPr>
          <w:rFonts w:hint="eastAsia" w:ascii="宋体" w:hAnsi="宋体" w:eastAsia="宋体"/>
          <w:b/>
          <w:sz w:val="24"/>
          <w:szCs w:val="24"/>
        </w:rPr>
        <w:t>1.供应商提出质疑时，应提交质疑函和必要的证明材料</w:t>
      </w:r>
      <w:r>
        <w:rPr>
          <w:rFonts w:hint="eastAsia" w:ascii="宋体" w:hAnsi="宋体" w:eastAsia="宋体"/>
          <w:b/>
          <w:bCs/>
          <w:sz w:val="24"/>
          <w:szCs w:val="24"/>
        </w:rPr>
        <w:t>。</w:t>
      </w:r>
    </w:p>
    <w:p w14:paraId="51464D38">
      <w:pPr>
        <w:pStyle w:val="30"/>
        <w:spacing w:line="360" w:lineRule="auto"/>
        <w:ind w:left="25" w:leftChars="12" w:firstLine="354" w:firstLineChars="147"/>
        <w:contextualSpacing/>
        <w:rPr>
          <w:rFonts w:hint="eastAsia" w:ascii="宋体" w:hAnsi="宋体" w:eastAsia="宋体"/>
          <w:b/>
          <w:sz w:val="24"/>
          <w:szCs w:val="24"/>
        </w:rPr>
      </w:pPr>
      <w:r>
        <w:rPr>
          <w:rFonts w:hint="eastAsia" w:ascii="宋体" w:hAnsi="宋体" w:eastAsia="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10D2B1F">
      <w:pPr>
        <w:pStyle w:val="30"/>
        <w:spacing w:line="360" w:lineRule="auto"/>
        <w:ind w:left="25" w:leftChars="12" w:firstLine="354" w:firstLineChars="147"/>
        <w:contextualSpacing/>
        <w:rPr>
          <w:rFonts w:hint="eastAsia" w:ascii="宋体" w:hAnsi="宋体" w:eastAsia="宋体"/>
          <w:b/>
          <w:sz w:val="24"/>
          <w:szCs w:val="24"/>
        </w:rPr>
      </w:pPr>
      <w:r>
        <w:rPr>
          <w:rFonts w:hint="eastAsia" w:ascii="宋体" w:hAnsi="宋体" w:eastAsia="宋体"/>
          <w:b/>
          <w:sz w:val="24"/>
          <w:szCs w:val="24"/>
        </w:rPr>
        <w:t>3.质疑函的质疑事项应具体、明确，并有必要的事实依据和法律依据。</w:t>
      </w:r>
    </w:p>
    <w:p w14:paraId="413C0C91">
      <w:pPr>
        <w:pStyle w:val="30"/>
        <w:spacing w:line="360" w:lineRule="auto"/>
        <w:ind w:left="25" w:leftChars="12" w:firstLine="354" w:firstLineChars="147"/>
        <w:contextualSpacing/>
        <w:rPr>
          <w:rFonts w:hint="eastAsia" w:ascii="宋体" w:hAnsi="宋体" w:eastAsia="宋体"/>
          <w:b/>
          <w:sz w:val="24"/>
          <w:szCs w:val="24"/>
        </w:rPr>
      </w:pPr>
      <w:r>
        <w:rPr>
          <w:rFonts w:hint="eastAsia" w:ascii="宋体" w:hAnsi="宋体" w:eastAsia="宋体"/>
          <w:b/>
          <w:sz w:val="24"/>
          <w:szCs w:val="24"/>
        </w:rPr>
        <w:t>4.质疑函的质疑请求应与质疑事项相关。</w:t>
      </w:r>
    </w:p>
    <w:p w14:paraId="37BAFB61">
      <w:pPr>
        <w:pStyle w:val="30"/>
        <w:spacing w:line="360" w:lineRule="auto"/>
        <w:ind w:left="25" w:leftChars="12" w:firstLine="354" w:firstLineChars="147"/>
        <w:contextualSpacing/>
        <w:rPr>
          <w:rFonts w:hint="eastAsia" w:ascii="宋体" w:hAnsi="宋体" w:eastAsia="宋体"/>
          <w:b/>
        </w:rPr>
      </w:pPr>
      <w:r>
        <w:rPr>
          <w:rFonts w:hint="eastAsia" w:ascii="宋体" w:hAnsi="宋体" w:eastAsia="宋体"/>
          <w:b/>
          <w:sz w:val="24"/>
          <w:szCs w:val="24"/>
        </w:rPr>
        <w:t>5.质疑供应商为法人或者其他组织的，质疑函应由法定代表人、主要负责人，或者其授权代表签字或者盖章，并加盖公章。</w:t>
      </w:r>
    </w:p>
    <w:p w14:paraId="1B4A96E0">
      <w:pPr>
        <w:widowControl/>
        <w:ind w:firstLine="482"/>
        <w:jc w:val="left"/>
        <w:rPr>
          <w:rFonts w:hint="eastAsia" w:ascii="宋体" w:hAnsi="宋体" w:eastAsia="宋体" w:cs="Times New Roman"/>
          <w:b/>
          <w:kern w:val="0"/>
          <w:sz w:val="24"/>
          <w:lang w:val="zh-CN"/>
        </w:rPr>
      </w:pPr>
      <w:r>
        <w:rPr>
          <w:rFonts w:ascii="宋体" w:hAnsi="宋体" w:eastAsia="宋体" w:cs="Times New Roman"/>
          <w:b/>
          <w:kern w:val="0"/>
          <w:sz w:val="24"/>
          <w:lang w:val="zh-CN"/>
        </w:rPr>
        <w:br w:type="page"/>
      </w:r>
    </w:p>
    <w:p w14:paraId="178AD2AA">
      <w:pPr>
        <w:spacing w:line="360" w:lineRule="auto"/>
        <w:ind w:firstLine="883"/>
        <w:jc w:val="center"/>
        <w:rPr>
          <w:rFonts w:hint="eastAsia" w:ascii="宋体" w:hAnsi="宋体" w:eastAsia="宋体" w:cs="Tahoma"/>
          <w:sz w:val="44"/>
          <w:szCs w:val="44"/>
        </w:rPr>
      </w:pPr>
      <w:r>
        <w:rPr>
          <w:rFonts w:hint="eastAsia" w:ascii="宋体" w:hAnsi="宋体" w:eastAsia="宋体" w:cs="Tahoma"/>
          <w:sz w:val="44"/>
          <w:szCs w:val="44"/>
        </w:rPr>
        <w:t>投诉书（格式）</w:t>
      </w:r>
    </w:p>
    <w:p w14:paraId="43C07B94">
      <w:pPr>
        <w:pStyle w:val="30"/>
        <w:snapToGrid w:val="0"/>
        <w:spacing w:line="360" w:lineRule="auto"/>
        <w:ind w:firstLine="482" w:firstLineChars="200"/>
        <w:rPr>
          <w:rFonts w:hint="eastAsia" w:ascii="宋体" w:hAnsi="宋体" w:eastAsia="宋体"/>
          <w:b/>
          <w:bCs/>
          <w:sz w:val="24"/>
          <w:szCs w:val="24"/>
        </w:rPr>
      </w:pPr>
      <w:r>
        <w:rPr>
          <w:rFonts w:hint="eastAsia" w:ascii="宋体" w:hAnsi="宋体" w:eastAsia="宋体"/>
          <w:b/>
          <w:bCs/>
          <w:sz w:val="24"/>
          <w:szCs w:val="24"/>
        </w:rPr>
        <w:t>一、投诉相关主体基本情况：</w:t>
      </w:r>
    </w:p>
    <w:p w14:paraId="4A51C2F8">
      <w:pPr>
        <w:pStyle w:val="30"/>
        <w:snapToGrid w:val="0"/>
        <w:spacing w:line="360" w:lineRule="auto"/>
        <w:ind w:firstLine="480" w:firstLineChars="200"/>
        <w:rPr>
          <w:rFonts w:hint="eastAsia" w:ascii="宋体" w:hAnsi="宋体" w:eastAsia="宋体"/>
          <w:bCs/>
          <w:sz w:val="24"/>
          <w:szCs w:val="24"/>
          <w:u w:val="single"/>
        </w:rPr>
      </w:pPr>
      <w:r>
        <w:rPr>
          <w:rFonts w:hint="eastAsia" w:ascii="宋体" w:hAnsi="宋体" w:eastAsia="宋体"/>
          <w:bCs/>
          <w:sz w:val="24"/>
          <w:szCs w:val="24"/>
        </w:rPr>
        <w:t>供应商：</w:t>
      </w:r>
      <w:r>
        <w:rPr>
          <w:rFonts w:hint="eastAsia" w:ascii="宋体" w:hAnsi="宋体" w:eastAsia="宋体"/>
          <w:bCs/>
          <w:sz w:val="24"/>
          <w:szCs w:val="24"/>
          <w:u w:val="single"/>
        </w:rPr>
        <w:t xml:space="preserve">                                                                        </w:t>
      </w:r>
      <w:r>
        <w:rPr>
          <w:rFonts w:hint="eastAsia" w:ascii="宋体" w:hAnsi="宋体" w:eastAsia="宋体"/>
          <w:bCs/>
          <w:sz w:val="24"/>
          <w:szCs w:val="24"/>
        </w:rPr>
        <w:t xml:space="preserve">                 </w:t>
      </w:r>
    </w:p>
    <w:p w14:paraId="3DB174A4">
      <w:pPr>
        <w:pStyle w:val="30"/>
        <w:snapToGrid w:val="0"/>
        <w:spacing w:line="360" w:lineRule="auto"/>
        <w:ind w:firstLine="480" w:firstLineChars="200"/>
        <w:rPr>
          <w:rFonts w:hint="eastAsia" w:ascii="宋体" w:hAnsi="宋体" w:eastAsia="宋体"/>
          <w:bCs/>
          <w:sz w:val="24"/>
          <w:szCs w:val="24"/>
        </w:rPr>
      </w:pPr>
      <w:r>
        <w:rPr>
          <w:rFonts w:ascii="宋体" w:hAnsi="宋体" w:eastAsia="宋体"/>
          <w:bCs/>
          <w:sz w:val="24"/>
          <w:szCs w:val="24"/>
        </w:rPr>
        <w:t>地址</w:t>
      </w:r>
      <w:r>
        <w:rPr>
          <w:rFonts w:hint="eastAsia" w:ascii="宋体" w:hAnsi="宋体" w:eastAsia="宋体"/>
          <w:bCs/>
          <w:sz w:val="24"/>
          <w:szCs w:val="24"/>
        </w:rPr>
        <w:t>：</w:t>
      </w:r>
      <w:r>
        <w:rPr>
          <w:rFonts w:hint="eastAsia" w:ascii="宋体" w:hAnsi="宋体" w:eastAsia="宋体"/>
          <w:bCs/>
          <w:sz w:val="24"/>
          <w:szCs w:val="24"/>
          <w:u w:val="single"/>
        </w:rPr>
        <w:t xml:space="preserve">                                          </w:t>
      </w:r>
      <w:r>
        <w:rPr>
          <w:rFonts w:ascii="宋体" w:hAnsi="宋体" w:eastAsia="宋体"/>
          <w:bCs/>
          <w:sz w:val="24"/>
          <w:szCs w:val="24"/>
        </w:rPr>
        <w:t>邮编</w:t>
      </w:r>
      <w:r>
        <w:rPr>
          <w:rFonts w:hint="eastAsia" w:ascii="宋体" w:hAnsi="宋体" w:eastAsia="宋体"/>
          <w:bCs/>
          <w:sz w:val="24"/>
          <w:szCs w:val="24"/>
        </w:rPr>
        <w:t>：</w:t>
      </w:r>
      <w:r>
        <w:rPr>
          <w:rFonts w:hint="eastAsia" w:ascii="宋体" w:hAnsi="宋体" w:eastAsia="宋体"/>
          <w:bCs/>
          <w:sz w:val="24"/>
          <w:szCs w:val="24"/>
          <w:u w:val="single"/>
        </w:rPr>
        <w:t xml:space="preserve">                          </w:t>
      </w:r>
      <w:r>
        <w:rPr>
          <w:rFonts w:hint="eastAsia" w:ascii="宋体" w:hAnsi="宋体" w:eastAsia="宋体"/>
          <w:bCs/>
          <w:sz w:val="24"/>
          <w:szCs w:val="24"/>
        </w:rPr>
        <w:t xml:space="preserve">                 </w:t>
      </w:r>
    </w:p>
    <w:p w14:paraId="5BD49B88">
      <w:pPr>
        <w:pStyle w:val="30"/>
        <w:snapToGrid w:val="0"/>
        <w:spacing w:line="360" w:lineRule="auto"/>
        <w:ind w:firstLine="480" w:firstLineChars="200"/>
        <w:rPr>
          <w:rFonts w:hint="eastAsia" w:ascii="宋体" w:hAnsi="宋体" w:eastAsia="宋体"/>
          <w:bCs/>
          <w:sz w:val="24"/>
          <w:szCs w:val="24"/>
          <w:u w:val="single"/>
        </w:rPr>
      </w:pPr>
      <w:r>
        <w:rPr>
          <w:rFonts w:hint="eastAsia" w:ascii="宋体" w:hAnsi="宋体" w:eastAsia="宋体"/>
          <w:bCs/>
          <w:sz w:val="24"/>
          <w:szCs w:val="24"/>
        </w:rPr>
        <w:t>法定代表人/主要负责人：</w:t>
      </w:r>
      <w:r>
        <w:rPr>
          <w:rFonts w:hint="eastAsia" w:ascii="宋体" w:hAnsi="宋体" w:eastAsia="宋体"/>
          <w:bCs/>
          <w:sz w:val="24"/>
          <w:szCs w:val="24"/>
          <w:u w:val="single"/>
        </w:rPr>
        <w:t xml:space="preserve">                                                         </w:t>
      </w:r>
    </w:p>
    <w:p w14:paraId="065F9616">
      <w:pPr>
        <w:pStyle w:val="30"/>
        <w:snapToGrid w:val="0"/>
        <w:spacing w:line="360" w:lineRule="auto"/>
        <w:ind w:firstLine="480" w:firstLineChars="200"/>
        <w:rPr>
          <w:rFonts w:hint="eastAsia" w:ascii="宋体" w:hAnsi="宋体" w:eastAsia="宋体"/>
          <w:bCs/>
          <w:sz w:val="24"/>
          <w:szCs w:val="24"/>
        </w:rPr>
      </w:pPr>
      <w:r>
        <w:rPr>
          <w:rFonts w:ascii="宋体" w:hAnsi="宋体" w:eastAsia="宋体"/>
          <w:bCs/>
          <w:sz w:val="24"/>
          <w:szCs w:val="24"/>
        </w:rPr>
        <w:t>联系电话</w:t>
      </w:r>
      <w:r>
        <w:rPr>
          <w:rFonts w:hint="eastAsia" w:ascii="宋体" w:hAnsi="宋体" w:eastAsia="宋体"/>
          <w:bCs/>
          <w:sz w:val="24"/>
          <w:szCs w:val="24"/>
        </w:rPr>
        <w:t>：</w:t>
      </w:r>
      <w:r>
        <w:rPr>
          <w:rFonts w:hint="eastAsia" w:ascii="宋体" w:hAnsi="宋体" w:eastAsia="宋体"/>
          <w:bCs/>
          <w:sz w:val="24"/>
          <w:szCs w:val="24"/>
          <w:u w:val="single"/>
        </w:rPr>
        <w:t xml:space="preserve">                                         </w:t>
      </w:r>
    </w:p>
    <w:p w14:paraId="1C0D9021">
      <w:pPr>
        <w:pStyle w:val="30"/>
        <w:snapToGrid w:val="0"/>
        <w:spacing w:line="360" w:lineRule="auto"/>
        <w:ind w:firstLine="480" w:firstLineChars="200"/>
        <w:rPr>
          <w:rFonts w:hint="eastAsia" w:ascii="宋体" w:hAnsi="宋体" w:eastAsia="宋体"/>
          <w:bCs/>
          <w:sz w:val="24"/>
          <w:szCs w:val="24"/>
          <w:u w:val="single"/>
        </w:rPr>
      </w:pPr>
      <w:r>
        <w:rPr>
          <w:rFonts w:hint="eastAsia" w:ascii="宋体" w:hAnsi="宋体" w:eastAsia="宋体"/>
          <w:bCs/>
          <w:sz w:val="24"/>
          <w:szCs w:val="24"/>
        </w:rPr>
        <w:t>授权代表：</w:t>
      </w:r>
      <w:r>
        <w:rPr>
          <w:rFonts w:hint="eastAsia" w:ascii="宋体" w:hAnsi="宋体" w:eastAsia="宋体"/>
          <w:bCs/>
          <w:sz w:val="24"/>
          <w:szCs w:val="24"/>
          <w:u w:val="single"/>
        </w:rPr>
        <w:t xml:space="preserve">                                         </w:t>
      </w:r>
      <w:r>
        <w:rPr>
          <w:rFonts w:ascii="宋体" w:hAnsi="宋体" w:eastAsia="宋体"/>
          <w:bCs/>
          <w:sz w:val="24"/>
          <w:szCs w:val="24"/>
        </w:rPr>
        <w:t>联系</w:t>
      </w:r>
      <w:r>
        <w:rPr>
          <w:rFonts w:hint="eastAsia" w:ascii="宋体" w:hAnsi="宋体" w:eastAsia="宋体"/>
          <w:bCs/>
          <w:sz w:val="24"/>
          <w:szCs w:val="24"/>
        </w:rPr>
        <w:t>电话：</w:t>
      </w:r>
      <w:r>
        <w:rPr>
          <w:rFonts w:hint="eastAsia" w:ascii="宋体" w:hAnsi="宋体" w:eastAsia="宋体"/>
          <w:bCs/>
          <w:sz w:val="24"/>
          <w:szCs w:val="24"/>
          <w:u w:val="single"/>
        </w:rPr>
        <w:t xml:space="preserve">                   </w:t>
      </w:r>
    </w:p>
    <w:p w14:paraId="4F5EF610">
      <w:pPr>
        <w:pStyle w:val="30"/>
        <w:snapToGrid w:val="0"/>
        <w:spacing w:line="360" w:lineRule="auto"/>
        <w:ind w:firstLine="480" w:firstLineChars="200"/>
        <w:rPr>
          <w:rFonts w:hint="eastAsia" w:ascii="宋体" w:hAnsi="宋体" w:eastAsia="宋体"/>
          <w:bCs/>
          <w:sz w:val="24"/>
          <w:szCs w:val="24"/>
          <w:u w:val="single"/>
        </w:rPr>
      </w:pPr>
      <w:r>
        <w:rPr>
          <w:rFonts w:ascii="宋体" w:hAnsi="宋体" w:eastAsia="宋体"/>
          <w:bCs/>
          <w:sz w:val="24"/>
          <w:szCs w:val="24"/>
        </w:rPr>
        <w:t>地址</w:t>
      </w:r>
      <w:r>
        <w:rPr>
          <w:rFonts w:hint="eastAsia" w:ascii="宋体" w:hAnsi="宋体" w:eastAsia="宋体"/>
          <w:bCs/>
          <w:sz w:val="24"/>
          <w:szCs w:val="24"/>
        </w:rPr>
        <w:t>：</w:t>
      </w:r>
      <w:r>
        <w:rPr>
          <w:rFonts w:hint="eastAsia" w:ascii="宋体" w:hAnsi="宋体" w:eastAsia="宋体"/>
          <w:bCs/>
          <w:sz w:val="24"/>
          <w:szCs w:val="24"/>
          <w:u w:val="single"/>
        </w:rPr>
        <w:t xml:space="preserve">                                                            </w:t>
      </w:r>
    </w:p>
    <w:p w14:paraId="0912A6DF">
      <w:pPr>
        <w:pStyle w:val="30"/>
        <w:snapToGrid w:val="0"/>
        <w:spacing w:line="360" w:lineRule="auto"/>
        <w:ind w:firstLine="480" w:firstLineChars="200"/>
        <w:rPr>
          <w:rFonts w:hint="eastAsia" w:ascii="宋体" w:hAnsi="宋体" w:eastAsia="宋体"/>
          <w:bCs/>
          <w:sz w:val="24"/>
          <w:szCs w:val="24"/>
        </w:rPr>
      </w:pPr>
      <w:r>
        <w:rPr>
          <w:rFonts w:ascii="宋体" w:hAnsi="宋体" w:eastAsia="宋体"/>
          <w:bCs/>
          <w:sz w:val="24"/>
          <w:szCs w:val="24"/>
        </w:rPr>
        <w:t>邮编</w:t>
      </w:r>
      <w:r>
        <w:rPr>
          <w:rFonts w:hint="eastAsia" w:ascii="宋体" w:hAnsi="宋体" w:eastAsia="宋体"/>
          <w:bCs/>
          <w:sz w:val="24"/>
          <w:szCs w:val="24"/>
        </w:rPr>
        <w:t>：</w:t>
      </w:r>
      <w:r>
        <w:rPr>
          <w:rFonts w:hint="eastAsia" w:ascii="宋体" w:hAnsi="宋体" w:eastAsia="宋体"/>
          <w:bCs/>
          <w:sz w:val="24"/>
          <w:szCs w:val="24"/>
          <w:u w:val="single"/>
        </w:rPr>
        <w:t xml:space="preserve">         </w:t>
      </w:r>
      <w:r>
        <w:rPr>
          <w:rFonts w:hint="eastAsia" w:ascii="宋体" w:hAnsi="宋体" w:eastAsia="宋体"/>
          <w:bCs/>
          <w:sz w:val="24"/>
          <w:szCs w:val="24"/>
        </w:rPr>
        <w:t xml:space="preserve">   </w:t>
      </w:r>
    </w:p>
    <w:p w14:paraId="2B98716F">
      <w:pPr>
        <w:pStyle w:val="30"/>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被投诉人1：</w:t>
      </w:r>
    </w:p>
    <w:p w14:paraId="1244808D">
      <w:pPr>
        <w:pStyle w:val="30"/>
        <w:snapToGrid w:val="0"/>
        <w:spacing w:line="360" w:lineRule="auto"/>
        <w:ind w:firstLine="480" w:firstLineChars="200"/>
        <w:rPr>
          <w:rFonts w:hint="eastAsia" w:ascii="宋体" w:hAnsi="宋体" w:eastAsia="宋体"/>
          <w:bCs/>
          <w:sz w:val="24"/>
          <w:szCs w:val="24"/>
          <w:u w:val="single"/>
        </w:rPr>
      </w:pPr>
      <w:r>
        <w:rPr>
          <w:rFonts w:hint="eastAsia" w:ascii="宋体" w:hAnsi="宋体" w:eastAsia="宋体"/>
          <w:bCs/>
          <w:sz w:val="24"/>
          <w:szCs w:val="24"/>
        </w:rPr>
        <w:t>地址：</w:t>
      </w:r>
      <w:r>
        <w:rPr>
          <w:rFonts w:hint="eastAsia" w:ascii="宋体" w:hAnsi="宋体" w:eastAsia="宋体"/>
          <w:bCs/>
          <w:sz w:val="24"/>
          <w:szCs w:val="24"/>
          <w:u w:val="single"/>
        </w:rPr>
        <w:t xml:space="preserve">                                                            </w:t>
      </w:r>
    </w:p>
    <w:p w14:paraId="690450CD">
      <w:pPr>
        <w:pStyle w:val="30"/>
        <w:snapToGrid w:val="0"/>
        <w:spacing w:line="360" w:lineRule="auto"/>
        <w:ind w:firstLine="480" w:firstLineChars="200"/>
        <w:rPr>
          <w:rFonts w:hint="eastAsia" w:ascii="宋体" w:hAnsi="宋体" w:eastAsia="宋体"/>
          <w:bCs/>
          <w:sz w:val="24"/>
          <w:szCs w:val="24"/>
        </w:rPr>
      </w:pPr>
      <w:r>
        <w:rPr>
          <w:rFonts w:ascii="宋体" w:hAnsi="宋体" w:eastAsia="宋体"/>
          <w:bCs/>
          <w:sz w:val="24"/>
          <w:szCs w:val="24"/>
        </w:rPr>
        <w:t>邮编</w:t>
      </w:r>
      <w:r>
        <w:rPr>
          <w:rFonts w:hint="eastAsia" w:ascii="宋体" w:hAnsi="宋体" w:eastAsia="宋体"/>
          <w:bCs/>
          <w:sz w:val="24"/>
          <w:szCs w:val="24"/>
        </w:rPr>
        <w:t>：</w:t>
      </w:r>
      <w:r>
        <w:rPr>
          <w:rFonts w:hint="eastAsia" w:ascii="宋体" w:hAnsi="宋体" w:eastAsia="宋体"/>
          <w:bCs/>
          <w:sz w:val="24"/>
          <w:szCs w:val="24"/>
          <w:u w:val="single"/>
        </w:rPr>
        <w:t xml:space="preserve">         </w:t>
      </w:r>
      <w:r>
        <w:rPr>
          <w:rFonts w:hint="eastAsia" w:ascii="宋体" w:hAnsi="宋体" w:eastAsia="宋体"/>
          <w:bCs/>
          <w:sz w:val="24"/>
          <w:szCs w:val="24"/>
        </w:rPr>
        <w:t xml:space="preserve">  </w:t>
      </w:r>
    </w:p>
    <w:p w14:paraId="659CAF6C">
      <w:pPr>
        <w:pStyle w:val="30"/>
        <w:snapToGrid w:val="0"/>
        <w:spacing w:line="360" w:lineRule="auto"/>
        <w:ind w:firstLine="480" w:firstLineChars="200"/>
        <w:rPr>
          <w:rFonts w:hint="eastAsia" w:ascii="宋体" w:hAnsi="宋体" w:eastAsia="宋体"/>
          <w:bCs/>
          <w:sz w:val="24"/>
          <w:szCs w:val="24"/>
          <w:u w:val="single"/>
        </w:rPr>
      </w:pPr>
      <w:r>
        <w:rPr>
          <w:rFonts w:hint="eastAsia" w:ascii="宋体" w:hAnsi="宋体" w:eastAsia="宋体"/>
          <w:bCs/>
          <w:sz w:val="24"/>
          <w:szCs w:val="24"/>
        </w:rPr>
        <w:t>联系人：</w:t>
      </w:r>
      <w:r>
        <w:rPr>
          <w:rFonts w:hint="eastAsia" w:ascii="宋体" w:hAnsi="宋体" w:eastAsia="宋体"/>
          <w:bCs/>
          <w:sz w:val="24"/>
          <w:szCs w:val="24"/>
          <w:u w:val="single"/>
        </w:rPr>
        <w:t xml:space="preserve">                                                </w:t>
      </w:r>
      <w:r>
        <w:rPr>
          <w:rFonts w:ascii="宋体" w:hAnsi="宋体" w:eastAsia="宋体"/>
          <w:bCs/>
          <w:sz w:val="24"/>
          <w:szCs w:val="24"/>
        </w:rPr>
        <w:t>联系</w:t>
      </w:r>
      <w:r>
        <w:rPr>
          <w:rFonts w:hint="eastAsia" w:ascii="宋体" w:hAnsi="宋体" w:eastAsia="宋体"/>
          <w:bCs/>
          <w:sz w:val="24"/>
          <w:szCs w:val="24"/>
        </w:rPr>
        <w:t>电话：</w:t>
      </w:r>
      <w:r>
        <w:rPr>
          <w:rFonts w:hint="eastAsia" w:ascii="宋体" w:hAnsi="宋体" w:eastAsia="宋体"/>
          <w:bCs/>
          <w:sz w:val="24"/>
          <w:szCs w:val="24"/>
          <w:u w:val="single"/>
        </w:rPr>
        <w:t xml:space="preserve">                </w:t>
      </w:r>
    </w:p>
    <w:p w14:paraId="4702B21A">
      <w:pPr>
        <w:pStyle w:val="30"/>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被投诉人2：</w:t>
      </w:r>
    </w:p>
    <w:p w14:paraId="4D77708D">
      <w:pPr>
        <w:pStyle w:val="30"/>
        <w:snapToGrid w:val="0"/>
        <w:spacing w:line="360" w:lineRule="auto"/>
        <w:ind w:firstLine="480" w:firstLineChars="200"/>
        <w:rPr>
          <w:rFonts w:hint="eastAsia" w:ascii="宋体" w:hAnsi="宋体" w:eastAsia="宋体"/>
          <w:bCs/>
          <w:sz w:val="24"/>
          <w:szCs w:val="24"/>
        </w:rPr>
      </w:pPr>
      <w:r>
        <w:rPr>
          <w:rFonts w:ascii="宋体" w:hAnsi="宋体" w:eastAsia="宋体"/>
          <w:bCs/>
          <w:sz w:val="24"/>
          <w:szCs w:val="24"/>
        </w:rPr>
        <w:t>……</w:t>
      </w:r>
    </w:p>
    <w:p w14:paraId="7A25BAA5">
      <w:pPr>
        <w:pStyle w:val="30"/>
        <w:snapToGrid w:val="0"/>
        <w:spacing w:line="360" w:lineRule="auto"/>
        <w:ind w:firstLine="480" w:firstLineChars="200"/>
        <w:rPr>
          <w:rFonts w:hint="eastAsia" w:ascii="宋体" w:hAnsi="宋体" w:eastAsia="宋体"/>
          <w:bCs/>
          <w:sz w:val="24"/>
          <w:szCs w:val="24"/>
          <w:u w:val="single"/>
        </w:rPr>
      </w:pPr>
      <w:r>
        <w:rPr>
          <w:rFonts w:hint="eastAsia" w:ascii="宋体" w:hAnsi="宋体" w:eastAsia="宋体"/>
          <w:bCs/>
          <w:sz w:val="24"/>
          <w:szCs w:val="24"/>
        </w:rPr>
        <w:t>相关供应商：</w:t>
      </w:r>
      <w:r>
        <w:rPr>
          <w:rFonts w:hint="eastAsia" w:ascii="宋体" w:hAnsi="宋体" w:eastAsia="宋体"/>
          <w:bCs/>
          <w:sz w:val="24"/>
          <w:szCs w:val="24"/>
          <w:u w:val="single"/>
        </w:rPr>
        <w:t xml:space="preserve">                                                                       </w:t>
      </w:r>
    </w:p>
    <w:p w14:paraId="14763B96">
      <w:pPr>
        <w:pStyle w:val="30"/>
        <w:snapToGrid w:val="0"/>
        <w:spacing w:line="360" w:lineRule="auto"/>
        <w:ind w:firstLine="480" w:firstLineChars="200"/>
        <w:rPr>
          <w:rFonts w:hint="eastAsia" w:ascii="宋体" w:hAnsi="宋体" w:eastAsia="宋体"/>
          <w:bCs/>
          <w:sz w:val="24"/>
          <w:szCs w:val="24"/>
          <w:u w:val="single"/>
        </w:rPr>
      </w:pPr>
      <w:r>
        <w:rPr>
          <w:rFonts w:ascii="宋体" w:hAnsi="宋体" w:eastAsia="宋体"/>
          <w:bCs/>
          <w:sz w:val="24"/>
          <w:szCs w:val="24"/>
        </w:rPr>
        <w:t>地址</w:t>
      </w:r>
      <w:r>
        <w:rPr>
          <w:rFonts w:hint="eastAsia" w:ascii="宋体" w:hAnsi="宋体" w:eastAsia="宋体"/>
          <w:bCs/>
          <w:sz w:val="24"/>
          <w:szCs w:val="24"/>
        </w:rPr>
        <w:t>：</w:t>
      </w:r>
      <w:r>
        <w:rPr>
          <w:rFonts w:hint="eastAsia" w:ascii="宋体" w:hAnsi="宋体" w:eastAsia="宋体"/>
          <w:bCs/>
          <w:sz w:val="24"/>
          <w:szCs w:val="24"/>
          <w:u w:val="single"/>
        </w:rPr>
        <w:t xml:space="preserve">                                              </w:t>
      </w:r>
      <w:r>
        <w:rPr>
          <w:rFonts w:ascii="宋体" w:hAnsi="宋体" w:eastAsia="宋体"/>
          <w:bCs/>
          <w:sz w:val="24"/>
          <w:szCs w:val="24"/>
        </w:rPr>
        <w:t>邮编</w:t>
      </w:r>
      <w:r>
        <w:rPr>
          <w:rFonts w:hint="eastAsia" w:ascii="宋体" w:hAnsi="宋体" w:eastAsia="宋体"/>
          <w:bCs/>
          <w:sz w:val="24"/>
          <w:szCs w:val="24"/>
        </w:rPr>
        <w:t>：</w:t>
      </w:r>
      <w:r>
        <w:rPr>
          <w:rFonts w:hint="eastAsia" w:ascii="宋体" w:hAnsi="宋体" w:eastAsia="宋体"/>
          <w:bCs/>
          <w:sz w:val="24"/>
          <w:szCs w:val="24"/>
          <w:u w:val="single"/>
        </w:rPr>
        <w:t xml:space="preserve">                         </w:t>
      </w:r>
    </w:p>
    <w:p w14:paraId="16D8B5D9">
      <w:pPr>
        <w:pStyle w:val="30"/>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联系人：</w:t>
      </w:r>
      <w:r>
        <w:rPr>
          <w:rFonts w:hint="eastAsia" w:ascii="宋体" w:hAnsi="宋体" w:eastAsia="宋体"/>
          <w:bCs/>
          <w:sz w:val="24"/>
          <w:szCs w:val="24"/>
          <w:u w:val="single"/>
        </w:rPr>
        <w:t xml:space="preserve">                                            </w:t>
      </w:r>
      <w:r>
        <w:rPr>
          <w:rFonts w:ascii="宋体" w:hAnsi="宋体" w:eastAsia="宋体"/>
          <w:bCs/>
          <w:sz w:val="24"/>
          <w:szCs w:val="24"/>
        </w:rPr>
        <w:t>联系</w:t>
      </w:r>
      <w:r>
        <w:rPr>
          <w:rFonts w:hint="eastAsia" w:ascii="宋体" w:hAnsi="宋体" w:eastAsia="宋体"/>
          <w:bCs/>
          <w:sz w:val="24"/>
          <w:szCs w:val="24"/>
        </w:rPr>
        <w:t>电话：</w:t>
      </w:r>
      <w:r>
        <w:rPr>
          <w:rFonts w:hint="eastAsia" w:ascii="宋体" w:hAnsi="宋体" w:eastAsia="宋体"/>
          <w:bCs/>
          <w:sz w:val="24"/>
          <w:szCs w:val="24"/>
          <w:u w:val="single"/>
        </w:rPr>
        <w:t xml:space="preserve">                     </w:t>
      </w:r>
      <w:r>
        <w:rPr>
          <w:rFonts w:hint="eastAsia" w:ascii="宋体" w:hAnsi="宋体" w:eastAsia="宋体"/>
          <w:bCs/>
          <w:sz w:val="24"/>
          <w:szCs w:val="24"/>
        </w:rPr>
        <w:t xml:space="preserve">                </w:t>
      </w:r>
    </w:p>
    <w:p w14:paraId="12C4FCD5">
      <w:pPr>
        <w:pStyle w:val="30"/>
        <w:snapToGrid w:val="0"/>
        <w:spacing w:line="360" w:lineRule="auto"/>
        <w:ind w:firstLine="482" w:firstLineChars="200"/>
        <w:rPr>
          <w:rFonts w:hint="eastAsia" w:ascii="宋体" w:hAnsi="宋体" w:eastAsia="宋体"/>
          <w:b/>
          <w:bCs/>
          <w:sz w:val="24"/>
          <w:szCs w:val="24"/>
        </w:rPr>
      </w:pPr>
      <w:r>
        <w:rPr>
          <w:rFonts w:hint="eastAsia" w:ascii="宋体" w:hAnsi="宋体" w:eastAsia="宋体"/>
          <w:b/>
          <w:bCs/>
          <w:sz w:val="24"/>
          <w:szCs w:val="24"/>
        </w:rPr>
        <w:t>二、投诉项目基本情况：</w:t>
      </w:r>
    </w:p>
    <w:p w14:paraId="2A24374B">
      <w:pPr>
        <w:pStyle w:val="30"/>
        <w:spacing w:line="360" w:lineRule="auto"/>
        <w:ind w:left="25" w:leftChars="12" w:firstLine="472" w:firstLineChars="197"/>
        <w:rPr>
          <w:rFonts w:hint="eastAsia" w:ascii="宋体" w:hAnsi="宋体" w:eastAsia="宋体"/>
          <w:sz w:val="24"/>
          <w:szCs w:val="24"/>
        </w:rPr>
      </w:pPr>
      <w:r>
        <w:rPr>
          <w:rFonts w:hint="eastAsia" w:ascii="宋体" w:hAnsi="宋体" w:eastAsia="宋体"/>
          <w:bCs/>
          <w:sz w:val="24"/>
          <w:szCs w:val="24"/>
        </w:rPr>
        <w:t>采购</w:t>
      </w:r>
      <w:r>
        <w:rPr>
          <w:rFonts w:hint="eastAsia" w:ascii="宋体" w:hAnsi="宋体" w:eastAsia="宋体"/>
          <w:sz w:val="24"/>
          <w:szCs w:val="24"/>
        </w:rPr>
        <w:t>项目的名称：</w:t>
      </w:r>
      <w:r>
        <w:rPr>
          <w:rFonts w:hint="eastAsia" w:ascii="宋体" w:hAnsi="宋体" w:eastAsia="宋体"/>
          <w:bCs/>
          <w:sz w:val="24"/>
          <w:szCs w:val="24"/>
          <w:u w:val="single"/>
        </w:rPr>
        <w:t xml:space="preserve">                                                                   </w:t>
      </w:r>
    </w:p>
    <w:p w14:paraId="4A6A0FC3">
      <w:pPr>
        <w:pStyle w:val="30"/>
        <w:spacing w:line="360" w:lineRule="auto"/>
        <w:ind w:left="25" w:leftChars="12" w:firstLine="472" w:firstLineChars="197"/>
        <w:rPr>
          <w:rFonts w:hint="eastAsia" w:ascii="宋体" w:hAnsi="宋体" w:eastAsia="宋体"/>
          <w:sz w:val="24"/>
          <w:szCs w:val="24"/>
        </w:rPr>
      </w:pPr>
      <w:r>
        <w:rPr>
          <w:rFonts w:hint="eastAsia" w:ascii="宋体" w:hAnsi="宋体" w:eastAsia="宋体"/>
          <w:bCs/>
          <w:sz w:val="24"/>
          <w:szCs w:val="24"/>
        </w:rPr>
        <w:t>采购</w:t>
      </w:r>
      <w:r>
        <w:rPr>
          <w:rFonts w:hint="eastAsia" w:ascii="宋体" w:hAnsi="宋体" w:eastAsia="宋体"/>
          <w:sz w:val="24"/>
          <w:szCs w:val="24"/>
        </w:rPr>
        <w:t>项目的编号：</w:t>
      </w:r>
      <w:r>
        <w:rPr>
          <w:rFonts w:hint="eastAsia" w:ascii="宋体" w:hAnsi="宋体" w:eastAsia="宋体"/>
          <w:bCs/>
          <w:sz w:val="24"/>
          <w:szCs w:val="24"/>
          <w:u w:val="single"/>
        </w:rPr>
        <w:t xml:space="preserve">                                          </w:t>
      </w:r>
    </w:p>
    <w:p w14:paraId="61EB8BAC">
      <w:pPr>
        <w:pStyle w:val="30"/>
        <w:spacing w:line="360" w:lineRule="auto"/>
        <w:ind w:left="25" w:leftChars="12" w:firstLine="472" w:firstLineChars="197"/>
        <w:rPr>
          <w:rFonts w:hint="eastAsia" w:ascii="宋体" w:hAnsi="宋体" w:eastAsia="宋体"/>
          <w:bCs/>
          <w:sz w:val="24"/>
          <w:szCs w:val="24"/>
          <w:u w:val="single"/>
        </w:rPr>
      </w:pPr>
      <w:r>
        <w:rPr>
          <w:rFonts w:hint="eastAsia" w:ascii="宋体" w:hAnsi="宋体" w:eastAsia="宋体"/>
          <w:sz w:val="24"/>
          <w:szCs w:val="24"/>
        </w:rPr>
        <w:t>采购人名称：</w:t>
      </w:r>
      <w:r>
        <w:rPr>
          <w:rFonts w:hint="eastAsia" w:ascii="宋体" w:hAnsi="宋体" w:eastAsia="宋体"/>
          <w:bCs/>
          <w:sz w:val="24"/>
          <w:szCs w:val="24"/>
          <w:u w:val="single"/>
        </w:rPr>
        <w:t xml:space="preserve">                                                                        </w:t>
      </w:r>
    </w:p>
    <w:p w14:paraId="245A2B8A">
      <w:pPr>
        <w:pStyle w:val="30"/>
        <w:spacing w:line="360" w:lineRule="auto"/>
        <w:ind w:left="25" w:leftChars="12" w:firstLine="472" w:firstLineChars="197"/>
        <w:rPr>
          <w:rFonts w:hint="eastAsia" w:ascii="宋体" w:hAnsi="宋体" w:eastAsia="宋体"/>
          <w:bCs/>
          <w:sz w:val="24"/>
          <w:szCs w:val="24"/>
          <w:u w:val="single"/>
        </w:rPr>
      </w:pPr>
      <w:r>
        <w:rPr>
          <w:rFonts w:hint="eastAsia" w:ascii="宋体" w:hAnsi="宋体" w:eastAsia="宋体"/>
          <w:sz w:val="24"/>
          <w:szCs w:val="24"/>
        </w:rPr>
        <w:t>代理机构名称：</w:t>
      </w:r>
      <w:r>
        <w:rPr>
          <w:rFonts w:hint="eastAsia" w:ascii="宋体" w:hAnsi="宋体" w:eastAsia="宋体"/>
          <w:bCs/>
          <w:sz w:val="24"/>
          <w:szCs w:val="24"/>
          <w:u w:val="single"/>
        </w:rPr>
        <w:t xml:space="preserve">                                                                      </w:t>
      </w:r>
    </w:p>
    <w:p w14:paraId="32450FBF">
      <w:pPr>
        <w:pStyle w:val="30"/>
        <w:spacing w:line="360" w:lineRule="auto"/>
        <w:ind w:left="25" w:leftChars="12" w:firstLine="472" w:firstLineChars="197"/>
        <w:rPr>
          <w:rFonts w:hint="eastAsia" w:ascii="宋体" w:hAnsi="宋体" w:eastAsia="宋体"/>
          <w:bCs/>
          <w:sz w:val="24"/>
          <w:szCs w:val="24"/>
          <w:u w:val="single"/>
        </w:rPr>
      </w:pPr>
      <w:r>
        <w:rPr>
          <w:rFonts w:hint="eastAsia" w:ascii="宋体" w:hAnsi="宋体" w:eastAsia="宋体"/>
          <w:bCs/>
          <w:sz w:val="24"/>
          <w:szCs w:val="24"/>
        </w:rPr>
        <w:t>采购文件公告：</w:t>
      </w:r>
      <w:r>
        <w:rPr>
          <w:rFonts w:hint="eastAsia" w:ascii="宋体" w:hAnsi="宋体" w:eastAsia="宋体"/>
          <w:bCs/>
          <w:sz w:val="24"/>
          <w:szCs w:val="24"/>
          <w:u w:val="single"/>
        </w:rPr>
        <w:t>是/否</w:t>
      </w:r>
      <w:r>
        <w:rPr>
          <w:rFonts w:hint="eastAsia" w:ascii="宋体" w:hAnsi="宋体" w:eastAsia="宋体"/>
          <w:bCs/>
          <w:sz w:val="24"/>
          <w:szCs w:val="24"/>
        </w:rPr>
        <w:t>公告期限：</w:t>
      </w:r>
      <w:r>
        <w:rPr>
          <w:rFonts w:hint="eastAsia" w:ascii="宋体" w:hAnsi="宋体" w:eastAsia="宋体"/>
          <w:bCs/>
          <w:sz w:val="24"/>
          <w:szCs w:val="24"/>
          <w:u w:val="single"/>
        </w:rPr>
        <w:t xml:space="preserve">                                                       </w:t>
      </w:r>
    </w:p>
    <w:p w14:paraId="1E79D839">
      <w:pPr>
        <w:pStyle w:val="30"/>
        <w:spacing w:line="360" w:lineRule="auto"/>
        <w:ind w:left="25" w:leftChars="12" w:firstLine="472" w:firstLineChars="197"/>
        <w:rPr>
          <w:rFonts w:hint="eastAsia" w:ascii="宋体" w:hAnsi="宋体" w:eastAsia="宋体"/>
          <w:b/>
          <w:sz w:val="24"/>
          <w:szCs w:val="24"/>
        </w:rPr>
      </w:pPr>
      <w:r>
        <w:rPr>
          <w:rFonts w:hint="eastAsia" w:ascii="宋体" w:hAnsi="宋体" w:eastAsia="宋体"/>
          <w:bCs/>
          <w:sz w:val="24"/>
          <w:szCs w:val="24"/>
        </w:rPr>
        <w:t>采购结果公告：</w:t>
      </w:r>
      <w:r>
        <w:rPr>
          <w:rFonts w:hint="eastAsia" w:ascii="宋体" w:hAnsi="宋体" w:eastAsia="宋体"/>
          <w:bCs/>
          <w:sz w:val="24"/>
          <w:szCs w:val="24"/>
          <w:u w:val="single"/>
        </w:rPr>
        <w:t>是/否</w:t>
      </w:r>
      <w:r>
        <w:rPr>
          <w:rFonts w:hint="eastAsia" w:ascii="宋体" w:hAnsi="宋体" w:eastAsia="宋体"/>
          <w:bCs/>
          <w:sz w:val="24"/>
          <w:szCs w:val="24"/>
        </w:rPr>
        <w:t>公告期限：</w:t>
      </w:r>
      <w:r>
        <w:rPr>
          <w:rFonts w:hint="eastAsia" w:ascii="宋体" w:hAnsi="宋体" w:eastAsia="宋体"/>
          <w:bCs/>
          <w:sz w:val="24"/>
          <w:szCs w:val="24"/>
          <w:u w:val="single"/>
        </w:rPr>
        <w:t xml:space="preserve">                                                       </w:t>
      </w:r>
    </w:p>
    <w:p w14:paraId="4368C146">
      <w:pPr>
        <w:pStyle w:val="30"/>
        <w:spacing w:line="360" w:lineRule="auto"/>
        <w:ind w:left="25" w:leftChars="12" w:firstLine="472" w:firstLineChars="196"/>
        <w:rPr>
          <w:rFonts w:hint="eastAsia" w:ascii="宋体" w:hAnsi="宋体" w:eastAsia="宋体"/>
          <w:b/>
          <w:sz w:val="24"/>
          <w:szCs w:val="24"/>
        </w:rPr>
      </w:pPr>
      <w:r>
        <w:rPr>
          <w:rFonts w:hint="eastAsia" w:ascii="宋体" w:hAnsi="宋体" w:eastAsia="宋体"/>
          <w:b/>
          <w:sz w:val="24"/>
          <w:szCs w:val="24"/>
        </w:rPr>
        <w:t>三、质疑基本情况</w:t>
      </w:r>
    </w:p>
    <w:p w14:paraId="24CB679C">
      <w:pPr>
        <w:pStyle w:val="30"/>
        <w:spacing w:line="360" w:lineRule="auto"/>
        <w:ind w:firstLine="480" w:firstLineChars="200"/>
        <w:rPr>
          <w:rFonts w:hint="eastAsia" w:ascii="宋体" w:hAnsi="宋体" w:eastAsia="宋体"/>
          <w:sz w:val="24"/>
          <w:szCs w:val="24"/>
        </w:rPr>
      </w:pPr>
      <w:r>
        <w:rPr>
          <w:rFonts w:hint="eastAsia" w:ascii="宋体" w:hAnsi="宋体" w:eastAsia="宋体"/>
          <w:sz w:val="24"/>
          <w:szCs w:val="24"/>
        </w:rPr>
        <w:t>投诉人于</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日，向</w:t>
      </w:r>
      <w:r>
        <w:rPr>
          <w:rFonts w:hint="eastAsia" w:ascii="宋体" w:hAnsi="宋体" w:eastAsia="宋体"/>
          <w:sz w:val="24"/>
          <w:szCs w:val="24"/>
          <w:u w:val="single"/>
        </w:rPr>
        <w:t xml:space="preserve">                                </w:t>
      </w:r>
      <w:r>
        <w:rPr>
          <w:rFonts w:hint="eastAsia" w:ascii="宋体" w:hAnsi="宋体" w:eastAsia="宋体"/>
          <w:sz w:val="24"/>
          <w:szCs w:val="24"/>
        </w:rPr>
        <w:t>提出质疑，质疑事项为：</w:t>
      </w:r>
    </w:p>
    <w:p w14:paraId="2A528299">
      <w:pPr>
        <w:pStyle w:val="30"/>
        <w:spacing w:line="360" w:lineRule="auto"/>
        <w:ind w:firstLine="482"/>
        <w:rPr>
          <w:rFonts w:hint="eastAsia" w:ascii="宋体" w:hAnsi="宋体" w:eastAsia="宋体"/>
          <w:bCs/>
          <w:sz w:val="24"/>
          <w:szCs w:val="24"/>
          <w:u w:val="single"/>
        </w:rPr>
      </w:pPr>
      <w:r>
        <w:rPr>
          <w:rFonts w:hint="eastAsia" w:ascii="宋体" w:hAnsi="宋体" w:eastAsia="宋体"/>
          <w:sz w:val="24"/>
          <w:szCs w:val="24"/>
        </w:rPr>
        <w:t xml:space="preserve">    </w:t>
      </w:r>
      <w:r>
        <w:rPr>
          <w:rFonts w:hint="eastAsia" w:ascii="宋体" w:hAnsi="宋体" w:eastAsia="宋体"/>
          <w:bCs/>
          <w:sz w:val="24"/>
          <w:szCs w:val="24"/>
          <w:u w:val="single"/>
        </w:rPr>
        <w:t xml:space="preserve">                                                                                      </w:t>
      </w:r>
    </w:p>
    <w:p w14:paraId="3A68E087">
      <w:pPr>
        <w:pStyle w:val="30"/>
        <w:spacing w:line="360" w:lineRule="auto"/>
        <w:ind w:firstLine="482"/>
        <w:rPr>
          <w:rFonts w:hint="eastAsia" w:ascii="宋体" w:hAnsi="宋体" w:eastAsia="宋体"/>
          <w:bCs/>
          <w:sz w:val="24"/>
          <w:szCs w:val="24"/>
          <w:u w:val="single"/>
        </w:rPr>
      </w:pPr>
      <w:r>
        <w:rPr>
          <w:rFonts w:hint="eastAsia" w:ascii="宋体" w:hAnsi="宋体" w:eastAsia="宋体"/>
          <w:bCs/>
          <w:sz w:val="24"/>
          <w:szCs w:val="24"/>
        </w:rPr>
        <w:t xml:space="preserve">    </w:t>
      </w:r>
      <w:r>
        <w:rPr>
          <w:rFonts w:hint="eastAsia" w:ascii="宋体" w:hAnsi="宋体" w:eastAsia="宋体"/>
          <w:bCs/>
          <w:sz w:val="24"/>
          <w:szCs w:val="24"/>
          <w:u w:val="single"/>
        </w:rPr>
        <w:t xml:space="preserve">                                                                                      </w:t>
      </w:r>
    </w:p>
    <w:p w14:paraId="647A76AE">
      <w:pPr>
        <w:pStyle w:val="30"/>
        <w:spacing w:line="360" w:lineRule="auto"/>
        <w:ind w:firstLine="480" w:firstLineChars="200"/>
        <w:rPr>
          <w:rFonts w:hint="eastAsia" w:ascii="宋体" w:hAnsi="宋体" w:eastAsia="宋体"/>
          <w:sz w:val="24"/>
          <w:szCs w:val="24"/>
        </w:rPr>
      </w:pPr>
      <w:r>
        <w:rPr>
          <w:rFonts w:hint="eastAsia" w:ascii="宋体" w:hAnsi="宋体" w:eastAsia="宋体"/>
          <w:bCs/>
          <w:sz w:val="24"/>
          <w:szCs w:val="24"/>
          <w:u w:val="single"/>
        </w:rPr>
        <w:t>采购人/代理机构</w:t>
      </w:r>
      <w:r>
        <w:rPr>
          <w:rFonts w:hint="eastAsia" w:ascii="宋体" w:hAnsi="宋体" w:eastAsia="宋体"/>
          <w:bCs/>
          <w:sz w:val="24"/>
          <w:szCs w:val="24"/>
        </w:rPr>
        <w:t>于</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r>
        <w:rPr>
          <w:rFonts w:hint="eastAsia" w:ascii="宋体" w:hAnsi="宋体" w:eastAsia="宋体"/>
          <w:bCs/>
          <w:sz w:val="24"/>
          <w:szCs w:val="24"/>
        </w:rPr>
        <w:t xml:space="preserve">就质疑事项作出了答复/没有在法定期限内作出答复。                                                                                             </w:t>
      </w:r>
    </w:p>
    <w:p w14:paraId="4927D0AB">
      <w:pPr>
        <w:pStyle w:val="30"/>
        <w:spacing w:line="360" w:lineRule="auto"/>
        <w:ind w:left="25" w:leftChars="12" w:firstLine="472" w:firstLineChars="196"/>
        <w:rPr>
          <w:rFonts w:hint="eastAsia" w:ascii="宋体" w:hAnsi="宋体" w:eastAsia="宋体"/>
          <w:b/>
          <w:sz w:val="24"/>
          <w:szCs w:val="24"/>
        </w:rPr>
      </w:pPr>
      <w:r>
        <w:rPr>
          <w:rFonts w:hint="eastAsia" w:ascii="宋体" w:hAnsi="宋体" w:eastAsia="宋体"/>
          <w:b/>
          <w:sz w:val="24"/>
          <w:szCs w:val="24"/>
        </w:rPr>
        <w:t>四、投诉事项具体内容</w:t>
      </w:r>
    </w:p>
    <w:p w14:paraId="177D19B3">
      <w:pPr>
        <w:pStyle w:val="30"/>
        <w:spacing w:line="360" w:lineRule="auto"/>
        <w:ind w:left="25" w:leftChars="12" w:firstLine="472" w:firstLineChars="197"/>
        <w:rPr>
          <w:rFonts w:hint="eastAsia" w:ascii="宋体" w:hAnsi="宋体" w:eastAsia="宋体"/>
          <w:bCs/>
          <w:sz w:val="24"/>
          <w:szCs w:val="24"/>
          <w:u w:val="single"/>
        </w:rPr>
      </w:pPr>
      <w:r>
        <w:rPr>
          <w:rFonts w:hint="eastAsia" w:ascii="宋体" w:hAnsi="宋体" w:eastAsia="宋体"/>
          <w:sz w:val="24"/>
          <w:szCs w:val="24"/>
        </w:rPr>
        <w:t>投诉事项1：</w:t>
      </w:r>
      <w:r>
        <w:rPr>
          <w:rFonts w:hint="eastAsia" w:ascii="宋体" w:hAnsi="宋体" w:eastAsia="宋体"/>
          <w:bCs/>
          <w:sz w:val="24"/>
          <w:szCs w:val="24"/>
          <w:u w:val="single"/>
        </w:rPr>
        <w:t xml:space="preserve">                                                                           </w:t>
      </w:r>
    </w:p>
    <w:p w14:paraId="354F98E2">
      <w:pPr>
        <w:pStyle w:val="30"/>
        <w:spacing w:line="360" w:lineRule="auto"/>
        <w:ind w:firstLine="480" w:firstLineChars="200"/>
        <w:rPr>
          <w:rFonts w:hint="eastAsia" w:ascii="宋体" w:hAnsi="宋体" w:eastAsia="宋体"/>
          <w:bCs/>
          <w:sz w:val="24"/>
          <w:szCs w:val="24"/>
          <w:u w:val="single"/>
        </w:rPr>
      </w:pPr>
      <w:r>
        <w:rPr>
          <w:rFonts w:hint="eastAsia" w:ascii="宋体" w:hAnsi="宋体" w:eastAsia="宋体"/>
          <w:bCs/>
          <w:sz w:val="24"/>
          <w:szCs w:val="24"/>
        </w:rPr>
        <w:t>事实依据：</w:t>
      </w:r>
      <w:r>
        <w:rPr>
          <w:rFonts w:hint="eastAsia" w:ascii="宋体" w:hAnsi="宋体" w:eastAsia="宋体"/>
          <w:sz w:val="24"/>
          <w:szCs w:val="24"/>
        </w:rPr>
        <w:t xml:space="preserve"> </w:t>
      </w:r>
      <w:r>
        <w:rPr>
          <w:rFonts w:hint="eastAsia" w:ascii="宋体" w:hAnsi="宋体" w:eastAsia="宋体"/>
          <w:bCs/>
          <w:sz w:val="24"/>
          <w:szCs w:val="24"/>
          <w:u w:val="single"/>
        </w:rPr>
        <w:t xml:space="preserve">                                                                                      </w:t>
      </w:r>
    </w:p>
    <w:p w14:paraId="49A8DA10">
      <w:pPr>
        <w:pStyle w:val="30"/>
        <w:spacing w:line="360" w:lineRule="auto"/>
        <w:ind w:left="25" w:leftChars="12" w:firstLine="472" w:firstLineChars="197"/>
        <w:rPr>
          <w:rFonts w:hint="eastAsia" w:ascii="宋体" w:hAnsi="宋体" w:eastAsia="宋体"/>
          <w:sz w:val="24"/>
          <w:szCs w:val="24"/>
        </w:rPr>
      </w:pPr>
      <w:r>
        <w:rPr>
          <w:rFonts w:hint="eastAsia" w:ascii="宋体" w:hAnsi="宋体" w:eastAsia="宋体"/>
          <w:bCs/>
          <w:sz w:val="24"/>
          <w:szCs w:val="24"/>
          <w:u w:val="single"/>
        </w:rPr>
        <w:t xml:space="preserve">                                                                                        </w:t>
      </w:r>
    </w:p>
    <w:p w14:paraId="6DC267FC">
      <w:pPr>
        <w:pStyle w:val="30"/>
        <w:spacing w:line="360" w:lineRule="auto"/>
        <w:ind w:firstLine="480" w:firstLineChars="200"/>
        <w:rPr>
          <w:rFonts w:hint="eastAsia" w:ascii="宋体" w:hAnsi="宋体" w:eastAsia="宋体"/>
          <w:bCs/>
          <w:sz w:val="24"/>
          <w:szCs w:val="24"/>
          <w:u w:val="single"/>
        </w:rPr>
      </w:pPr>
      <w:r>
        <w:rPr>
          <w:rFonts w:hint="eastAsia" w:ascii="宋体" w:hAnsi="宋体" w:eastAsia="宋体"/>
          <w:bCs/>
          <w:sz w:val="24"/>
          <w:szCs w:val="24"/>
        </w:rPr>
        <w:t>法律依据：</w:t>
      </w:r>
      <w:r>
        <w:rPr>
          <w:rFonts w:hint="eastAsia" w:ascii="宋体" w:hAnsi="宋体" w:eastAsia="宋体"/>
          <w:sz w:val="24"/>
          <w:szCs w:val="24"/>
        </w:rPr>
        <w:t xml:space="preserve"> </w:t>
      </w:r>
      <w:r>
        <w:rPr>
          <w:rFonts w:hint="eastAsia" w:ascii="宋体" w:hAnsi="宋体" w:eastAsia="宋体"/>
          <w:bCs/>
          <w:sz w:val="24"/>
          <w:szCs w:val="24"/>
          <w:u w:val="single"/>
        </w:rPr>
        <w:t xml:space="preserve">                                                                                      </w:t>
      </w:r>
    </w:p>
    <w:p w14:paraId="561C1606">
      <w:pPr>
        <w:pStyle w:val="30"/>
        <w:spacing w:line="360" w:lineRule="auto"/>
        <w:ind w:left="25" w:leftChars="12" w:firstLine="352" w:firstLineChars="147"/>
        <w:rPr>
          <w:rFonts w:hint="eastAsia" w:ascii="宋体" w:hAnsi="宋体" w:eastAsia="宋体"/>
          <w:bCs/>
          <w:sz w:val="24"/>
          <w:szCs w:val="24"/>
          <w:u w:val="single"/>
        </w:rPr>
      </w:pPr>
      <w:r>
        <w:rPr>
          <w:rFonts w:hint="eastAsia" w:ascii="宋体" w:hAnsi="宋体" w:eastAsia="宋体"/>
          <w:bCs/>
          <w:sz w:val="24"/>
          <w:szCs w:val="24"/>
        </w:rPr>
        <w:t xml:space="preserve"> </w:t>
      </w:r>
      <w:r>
        <w:rPr>
          <w:rFonts w:hint="eastAsia" w:ascii="宋体" w:hAnsi="宋体" w:eastAsia="宋体"/>
          <w:bCs/>
          <w:sz w:val="24"/>
          <w:szCs w:val="24"/>
          <w:u w:val="single"/>
        </w:rPr>
        <w:t xml:space="preserve">                                                                                        </w:t>
      </w:r>
    </w:p>
    <w:p w14:paraId="0E85B82D">
      <w:pPr>
        <w:pStyle w:val="30"/>
        <w:spacing w:line="360" w:lineRule="auto"/>
        <w:ind w:left="25" w:leftChars="12" w:firstLine="472" w:firstLineChars="197"/>
        <w:rPr>
          <w:rFonts w:hint="eastAsia" w:ascii="宋体" w:hAnsi="宋体" w:eastAsia="宋体"/>
          <w:bCs/>
          <w:sz w:val="24"/>
          <w:szCs w:val="24"/>
        </w:rPr>
      </w:pPr>
      <w:r>
        <w:rPr>
          <w:rFonts w:hint="eastAsia" w:ascii="宋体" w:hAnsi="宋体" w:eastAsia="宋体"/>
          <w:sz w:val="24"/>
          <w:szCs w:val="24"/>
        </w:rPr>
        <w:t xml:space="preserve">投诉事项2  </w:t>
      </w:r>
      <w:r>
        <w:rPr>
          <w:rFonts w:hint="eastAsia" w:ascii="宋体" w:hAnsi="宋体" w:eastAsia="宋体"/>
          <w:bCs/>
          <w:sz w:val="24"/>
          <w:szCs w:val="24"/>
        </w:rPr>
        <w:t xml:space="preserve">   </w:t>
      </w:r>
    </w:p>
    <w:p w14:paraId="3AF76194">
      <w:pPr>
        <w:pStyle w:val="30"/>
        <w:spacing w:line="360" w:lineRule="auto"/>
        <w:ind w:left="25" w:leftChars="12" w:firstLine="472" w:firstLineChars="197"/>
        <w:rPr>
          <w:rFonts w:hint="eastAsia" w:ascii="宋体" w:hAnsi="宋体" w:eastAsia="宋体"/>
          <w:bCs/>
          <w:sz w:val="24"/>
          <w:szCs w:val="24"/>
        </w:rPr>
      </w:pPr>
      <w:r>
        <w:rPr>
          <w:rFonts w:ascii="宋体" w:hAnsi="宋体" w:eastAsia="宋体"/>
          <w:bCs/>
          <w:sz w:val="24"/>
          <w:szCs w:val="24"/>
        </w:rPr>
        <w:t>……</w:t>
      </w:r>
    </w:p>
    <w:p w14:paraId="3F672C54">
      <w:pPr>
        <w:pStyle w:val="30"/>
        <w:spacing w:line="360" w:lineRule="auto"/>
        <w:ind w:left="25" w:leftChars="12" w:firstLine="472" w:firstLineChars="196"/>
        <w:rPr>
          <w:rFonts w:hint="eastAsia" w:ascii="宋体" w:hAnsi="宋体" w:eastAsia="宋体"/>
          <w:b/>
          <w:sz w:val="24"/>
          <w:szCs w:val="24"/>
        </w:rPr>
      </w:pPr>
      <w:r>
        <w:rPr>
          <w:rFonts w:hint="eastAsia" w:ascii="宋体" w:hAnsi="宋体" w:eastAsia="宋体"/>
          <w:b/>
          <w:sz w:val="24"/>
          <w:szCs w:val="24"/>
        </w:rPr>
        <w:t>五、与投诉事项相关的投诉请求：</w:t>
      </w:r>
    </w:p>
    <w:p w14:paraId="741C69E1">
      <w:pPr>
        <w:pStyle w:val="30"/>
        <w:spacing w:line="360" w:lineRule="auto"/>
        <w:ind w:left="25" w:leftChars="12" w:firstLine="472" w:firstLineChars="197"/>
        <w:rPr>
          <w:rFonts w:hint="eastAsia" w:ascii="宋体" w:hAnsi="宋体" w:eastAsia="宋体"/>
          <w:sz w:val="24"/>
          <w:szCs w:val="24"/>
        </w:rPr>
      </w:pPr>
      <w:r>
        <w:rPr>
          <w:rFonts w:hint="eastAsia" w:ascii="宋体" w:hAnsi="宋体" w:eastAsia="宋体"/>
          <w:sz w:val="24"/>
          <w:szCs w:val="24"/>
        </w:rPr>
        <w:t>请求：</w:t>
      </w:r>
      <w:r>
        <w:rPr>
          <w:rFonts w:hint="eastAsia" w:ascii="宋体" w:hAnsi="宋体" w:eastAsia="宋体"/>
          <w:bCs/>
          <w:sz w:val="24"/>
          <w:szCs w:val="24"/>
          <w:u w:val="single"/>
        </w:rPr>
        <w:t xml:space="preserve">                                                                                 </w:t>
      </w:r>
    </w:p>
    <w:p w14:paraId="0116D501">
      <w:pPr>
        <w:pStyle w:val="30"/>
        <w:spacing w:line="360" w:lineRule="auto"/>
        <w:ind w:left="25" w:leftChars="12" w:firstLine="352" w:firstLineChars="147"/>
        <w:rPr>
          <w:rFonts w:hint="eastAsia" w:ascii="宋体" w:hAnsi="宋体" w:eastAsia="宋体"/>
          <w:sz w:val="24"/>
          <w:szCs w:val="24"/>
        </w:rPr>
      </w:pPr>
    </w:p>
    <w:p w14:paraId="63F62901">
      <w:pPr>
        <w:pStyle w:val="30"/>
        <w:spacing w:line="360" w:lineRule="auto"/>
        <w:ind w:left="25" w:leftChars="12" w:firstLine="472" w:firstLineChars="197"/>
        <w:rPr>
          <w:rFonts w:hint="eastAsia" w:ascii="宋体" w:hAnsi="宋体" w:eastAsia="宋体"/>
          <w:sz w:val="24"/>
          <w:szCs w:val="24"/>
        </w:rPr>
      </w:pPr>
      <w:r>
        <w:rPr>
          <w:rFonts w:hint="eastAsia" w:ascii="宋体" w:hAnsi="宋体" w:eastAsia="宋体"/>
          <w:sz w:val="24"/>
          <w:szCs w:val="24"/>
        </w:rPr>
        <w:t>签字（签章）：                                       公章：</w:t>
      </w:r>
    </w:p>
    <w:p w14:paraId="758FFA8E">
      <w:pPr>
        <w:pStyle w:val="30"/>
        <w:spacing w:line="360" w:lineRule="auto"/>
        <w:ind w:left="25" w:leftChars="12" w:firstLine="352" w:firstLineChars="147"/>
        <w:rPr>
          <w:rFonts w:hint="eastAsia" w:ascii="宋体" w:hAnsi="宋体" w:eastAsia="宋体"/>
          <w:sz w:val="24"/>
          <w:szCs w:val="24"/>
        </w:rPr>
      </w:pPr>
    </w:p>
    <w:p w14:paraId="2F8C142C">
      <w:pPr>
        <w:pStyle w:val="30"/>
        <w:spacing w:line="360" w:lineRule="auto"/>
        <w:ind w:left="25" w:leftChars="12" w:firstLine="472" w:firstLineChars="197"/>
        <w:rPr>
          <w:rFonts w:hint="eastAsia" w:ascii="宋体" w:hAnsi="宋体" w:eastAsia="宋体"/>
          <w:sz w:val="24"/>
          <w:szCs w:val="24"/>
        </w:rPr>
      </w:pPr>
      <w:r>
        <w:rPr>
          <w:rFonts w:hint="eastAsia" w:ascii="宋体" w:hAnsi="宋体" w:eastAsia="宋体"/>
          <w:sz w:val="24"/>
          <w:szCs w:val="24"/>
        </w:rPr>
        <w:t>日期：</w:t>
      </w:r>
    </w:p>
    <w:p w14:paraId="2BEE95C1">
      <w:pPr>
        <w:pStyle w:val="30"/>
        <w:spacing w:line="360" w:lineRule="auto"/>
        <w:ind w:left="25" w:leftChars="12" w:firstLine="472" w:firstLineChars="197"/>
        <w:rPr>
          <w:rFonts w:hint="eastAsia" w:ascii="宋体" w:hAnsi="宋体" w:eastAsia="宋体"/>
          <w:b/>
          <w:sz w:val="24"/>
          <w:szCs w:val="24"/>
        </w:rPr>
      </w:pPr>
      <w:r>
        <w:rPr>
          <w:rFonts w:hint="eastAsia" w:ascii="宋体" w:hAnsi="宋体" w:eastAsia="宋体"/>
          <w:bCs/>
          <w:sz w:val="24"/>
          <w:szCs w:val="24"/>
        </w:rPr>
        <w:t xml:space="preserve">                                                                                 </w:t>
      </w:r>
    </w:p>
    <w:p w14:paraId="7AF3E8AC">
      <w:pPr>
        <w:pStyle w:val="30"/>
        <w:snapToGrid w:val="0"/>
        <w:spacing w:line="360" w:lineRule="auto"/>
        <w:ind w:firstLine="482"/>
        <w:rPr>
          <w:rFonts w:hint="eastAsia" w:ascii="宋体" w:hAnsi="宋体" w:eastAsia="宋体"/>
          <w:b/>
          <w:sz w:val="24"/>
          <w:szCs w:val="24"/>
        </w:rPr>
      </w:pPr>
      <w:r>
        <w:rPr>
          <w:rFonts w:hint="eastAsia" w:ascii="宋体" w:hAnsi="宋体" w:eastAsia="宋体"/>
          <w:b/>
          <w:sz w:val="24"/>
          <w:szCs w:val="24"/>
        </w:rPr>
        <w:t>说明：</w:t>
      </w:r>
    </w:p>
    <w:p w14:paraId="7A320D56">
      <w:pPr>
        <w:pStyle w:val="30"/>
        <w:spacing w:line="360" w:lineRule="auto"/>
        <w:ind w:left="25" w:leftChars="12" w:firstLine="354" w:firstLineChars="147"/>
        <w:rPr>
          <w:rFonts w:hint="eastAsia" w:ascii="宋体" w:hAnsi="宋体" w:eastAsia="宋体"/>
          <w:b/>
          <w:bCs/>
          <w:sz w:val="24"/>
          <w:szCs w:val="24"/>
        </w:rPr>
      </w:pPr>
      <w:r>
        <w:rPr>
          <w:rFonts w:hint="eastAsia" w:ascii="宋体" w:hAnsi="宋体" w:eastAsia="宋体"/>
          <w:b/>
          <w:sz w:val="24"/>
          <w:szCs w:val="24"/>
        </w:rPr>
        <w:t>1.投诉人提起投诉时，应当提交投诉书和必要的证明材料，并按照被投诉人和与投诉事项有关的供应商数量提供投诉书副本</w:t>
      </w:r>
      <w:r>
        <w:rPr>
          <w:rFonts w:hint="eastAsia" w:ascii="宋体" w:hAnsi="宋体" w:eastAsia="宋体"/>
          <w:b/>
          <w:bCs/>
          <w:sz w:val="24"/>
          <w:szCs w:val="24"/>
        </w:rPr>
        <w:t>。</w:t>
      </w:r>
    </w:p>
    <w:p w14:paraId="6D368A02">
      <w:pPr>
        <w:pStyle w:val="30"/>
        <w:spacing w:line="360" w:lineRule="auto"/>
        <w:ind w:left="25" w:leftChars="12" w:firstLine="354" w:firstLineChars="147"/>
        <w:rPr>
          <w:rFonts w:hint="eastAsia" w:ascii="宋体" w:hAnsi="宋体" w:eastAsia="宋体"/>
          <w:b/>
          <w:sz w:val="24"/>
          <w:szCs w:val="24"/>
        </w:rPr>
      </w:pPr>
      <w:r>
        <w:rPr>
          <w:rFonts w:hint="eastAsia" w:ascii="宋体" w:hAnsi="宋体" w:eastAsia="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05972F9">
      <w:pPr>
        <w:pStyle w:val="30"/>
        <w:spacing w:line="360" w:lineRule="auto"/>
        <w:ind w:left="25" w:leftChars="12" w:firstLine="354" w:firstLineChars="147"/>
        <w:rPr>
          <w:rFonts w:hint="eastAsia" w:ascii="宋体" w:hAnsi="宋体" w:eastAsia="宋体"/>
          <w:b/>
          <w:sz w:val="24"/>
          <w:szCs w:val="24"/>
        </w:rPr>
      </w:pPr>
      <w:r>
        <w:rPr>
          <w:rFonts w:hint="eastAsia" w:ascii="宋体" w:hAnsi="宋体" w:eastAsia="宋体"/>
          <w:b/>
          <w:sz w:val="24"/>
          <w:szCs w:val="24"/>
        </w:rPr>
        <w:t>3.投诉书应简要列明质疑事项，质疑函、质疑答复等作为附件材料提供。</w:t>
      </w:r>
    </w:p>
    <w:p w14:paraId="629CAB39">
      <w:pPr>
        <w:pStyle w:val="30"/>
        <w:spacing w:line="360" w:lineRule="auto"/>
        <w:ind w:left="25" w:leftChars="12" w:firstLine="354" w:firstLineChars="147"/>
        <w:rPr>
          <w:rFonts w:hint="eastAsia" w:ascii="宋体" w:hAnsi="宋体" w:eastAsia="宋体"/>
          <w:b/>
          <w:sz w:val="24"/>
          <w:szCs w:val="24"/>
        </w:rPr>
      </w:pPr>
      <w:r>
        <w:rPr>
          <w:rFonts w:hint="eastAsia" w:ascii="宋体" w:hAnsi="宋体" w:eastAsia="宋体"/>
          <w:b/>
          <w:sz w:val="24"/>
          <w:szCs w:val="24"/>
        </w:rPr>
        <w:t>4.投诉书的投诉事项应具体、明确，并有必要的事实依据和法律依据。</w:t>
      </w:r>
    </w:p>
    <w:p w14:paraId="2F6191B5">
      <w:pPr>
        <w:pStyle w:val="30"/>
        <w:spacing w:line="360" w:lineRule="auto"/>
        <w:ind w:left="25" w:leftChars="12" w:firstLine="354" w:firstLineChars="147"/>
        <w:rPr>
          <w:rFonts w:hint="eastAsia" w:ascii="宋体" w:hAnsi="宋体" w:eastAsia="宋体"/>
          <w:b/>
          <w:sz w:val="24"/>
          <w:szCs w:val="24"/>
        </w:rPr>
      </w:pPr>
      <w:r>
        <w:rPr>
          <w:rFonts w:hint="eastAsia" w:ascii="宋体" w:hAnsi="宋体" w:eastAsia="宋体"/>
          <w:b/>
          <w:sz w:val="24"/>
          <w:szCs w:val="24"/>
        </w:rPr>
        <w:t>5.投诉书的投诉请求应与投诉事项相关。</w:t>
      </w:r>
    </w:p>
    <w:p w14:paraId="4D1FAB17">
      <w:pPr>
        <w:pStyle w:val="30"/>
        <w:spacing w:line="360" w:lineRule="auto"/>
        <w:ind w:left="25" w:leftChars="12" w:firstLine="354" w:firstLineChars="147"/>
        <w:rPr>
          <w:rFonts w:hint="eastAsia" w:ascii="宋体" w:hAnsi="宋体" w:eastAsia="宋体"/>
          <w:b/>
          <w:sz w:val="24"/>
          <w:szCs w:val="24"/>
        </w:rPr>
      </w:pPr>
      <w:r>
        <w:rPr>
          <w:rFonts w:hint="eastAsia" w:ascii="宋体" w:hAnsi="宋体" w:eastAsia="宋体"/>
          <w:b/>
          <w:sz w:val="24"/>
          <w:szCs w:val="24"/>
        </w:rPr>
        <w:t>6.投诉人为法人或者其他组织的，投诉书应由法定代表人、主要负责人，或者其授权代表签字或者盖章，并加盖公章。</w:t>
      </w:r>
    </w:p>
    <w:p w14:paraId="52F35F21">
      <w:pPr>
        <w:widowControl/>
        <w:ind w:firstLine="482"/>
        <w:jc w:val="left"/>
        <w:rPr>
          <w:rFonts w:hint="eastAsia" w:ascii="宋体" w:hAnsi="宋体" w:eastAsia="宋体" w:cs="Times New Roman"/>
          <w:b/>
          <w:kern w:val="0"/>
          <w:sz w:val="24"/>
          <w:lang w:val="zh-CN"/>
        </w:rPr>
      </w:pPr>
      <w:r>
        <w:rPr>
          <w:rFonts w:ascii="宋体" w:hAnsi="宋体" w:eastAsia="宋体"/>
          <w:b/>
          <w:sz w:val="24"/>
        </w:rPr>
        <w:br w:type="page"/>
      </w:r>
    </w:p>
    <w:p w14:paraId="5D9563A8">
      <w:pPr>
        <w:pStyle w:val="30"/>
        <w:spacing w:line="360" w:lineRule="auto"/>
        <w:ind w:left="25" w:leftChars="12" w:firstLine="295" w:firstLineChars="147"/>
        <w:rPr>
          <w:rFonts w:hint="eastAsia" w:ascii="宋体" w:hAnsi="宋体" w:eastAsia="宋体"/>
          <w:b/>
        </w:rPr>
      </w:pPr>
    </w:p>
    <w:p w14:paraId="471D08BC">
      <w:pPr>
        <w:pStyle w:val="2"/>
        <w:ind w:firstLine="880"/>
        <w:jc w:val="center"/>
        <w:rPr>
          <w:rFonts w:hint="eastAsia" w:ascii="宋体" w:hAnsi="宋体" w:eastAsia="宋体"/>
          <w:lang w:val="en-US"/>
        </w:rPr>
      </w:pPr>
      <w:bookmarkStart w:id="208" w:name="_Toc74323461"/>
      <w:bookmarkStart w:id="209" w:name="_Toc9933"/>
      <w:bookmarkStart w:id="210" w:name="_Toc6932"/>
      <w:bookmarkStart w:id="211" w:name="_Toc6290"/>
      <w:bookmarkStart w:id="212" w:name="_Toc26094"/>
      <w:bookmarkStart w:id="213" w:name="_Toc17285"/>
      <w:r>
        <w:rPr>
          <w:rFonts w:hint="eastAsia" w:ascii="宋体" w:hAnsi="宋体" w:eastAsia="宋体"/>
        </w:rPr>
        <w:t xml:space="preserve">第六章 </w:t>
      </w:r>
      <w:bookmarkEnd w:id="208"/>
      <w:r>
        <w:rPr>
          <w:rFonts w:hint="eastAsia" w:ascii="宋体" w:hAnsi="宋体" w:eastAsia="宋体"/>
          <w:lang w:val="en-US"/>
        </w:rPr>
        <w:t>拟定的合同文本</w:t>
      </w:r>
      <w:bookmarkEnd w:id="209"/>
      <w:bookmarkEnd w:id="210"/>
      <w:bookmarkEnd w:id="211"/>
      <w:bookmarkEnd w:id="212"/>
      <w:bookmarkEnd w:id="213"/>
    </w:p>
    <w:p w14:paraId="3FE4F2EE">
      <w:pPr>
        <w:widowControl/>
        <w:ind w:firstLine="422"/>
        <w:jc w:val="left"/>
        <w:rPr>
          <w:rFonts w:hint="eastAsia" w:ascii="宋体" w:hAnsi="宋体" w:eastAsia="宋体" w:cs="宋体"/>
        </w:rPr>
      </w:pPr>
    </w:p>
    <w:p w14:paraId="4D487E1C">
      <w:pPr>
        <w:spacing w:line="360" w:lineRule="auto"/>
        <w:ind w:right="800" w:firstLine="422"/>
        <w:rPr>
          <w:rFonts w:hint="eastAsia" w:ascii="宋体" w:hAnsi="宋体" w:eastAsia="宋体" w:cs="宋体"/>
          <w:szCs w:val="21"/>
        </w:rPr>
      </w:pPr>
    </w:p>
    <w:p w14:paraId="711AD65B">
      <w:pPr>
        <w:spacing w:line="360" w:lineRule="auto"/>
        <w:ind w:right="800" w:firstLine="422"/>
        <w:jc w:val="center"/>
        <w:rPr>
          <w:rFonts w:hint="eastAsia" w:ascii="宋体" w:hAnsi="宋体" w:eastAsia="宋体" w:cs="宋体"/>
          <w:szCs w:val="21"/>
        </w:rPr>
      </w:pPr>
      <w:r>
        <w:rPr>
          <w:rFonts w:hint="eastAsia" w:ascii="宋体" w:hAnsi="宋体" w:eastAsia="宋体" w:cs="宋体"/>
          <w:szCs w:val="21"/>
        </w:rPr>
        <w:t xml:space="preserve">         （本合同仅为参考，未尽条款在合同签订时由双方协商 ）</w:t>
      </w:r>
    </w:p>
    <w:p w14:paraId="2D9E4743">
      <w:pPr>
        <w:snapToGrid w:val="0"/>
        <w:spacing w:before="156" w:beforeLines="50" w:line="360" w:lineRule="auto"/>
        <w:ind w:firstLine="1446"/>
        <w:jc w:val="center"/>
        <w:rPr>
          <w:rFonts w:hint="eastAsia" w:ascii="宋体" w:hAnsi="宋体" w:eastAsia="宋体" w:cs="宋体"/>
          <w:b/>
          <w:bCs/>
          <w:sz w:val="30"/>
          <w:szCs w:val="72"/>
        </w:rPr>
      </w:pPr>
      <w:r>
        <w:rPr>
          <w:rFonts w:hint="eastAsia" w:ascii="宋体" w:hAnsi="宋体" w:eastAsia="宋体" w:cs="宋体"/>
          <w:b/>
          <w:bCs/>
          <w:sz w:val="72"/>
          <w:szCs w:val="72"/>
        </w:rPr>
        <w:t>政府采购合同</w:t>
      </w:r>
    </w:p>
    <w:p w14:paraId="2C20A5E4">
      <w:pPr>
        <w:snapToGrid w:val="0"/>
        <w:spacing w:before="156" w:beforeLines="50" w:line="360" w:lineRule="auto"/>
        <w:ind w:firstLine="602"/>
        <w:rPr>
          <w:rFonts w:hint="eastAsia" w:ascii="宋体" w:hAnsi="宋体" w:eastAsia="宋体" w:cs="宋体"/>
          <w:sz w:val="30"/>
          <w:szCs w:val="72"/>
        </w:rPr>
      </w:pPr>
    </w:p>
    <w:p w14:paraId="7B88D96A">
      <w:pPr>
        <w:pStyle w:val="30"/>
        <w:snapToGrid w:val="0"/>
        <w:spacing w:before="50" w:after="120" w:line="360" w:lineRule="auto"/>
        <w:ind w:firstLine="708" w:firstLineChars="235"/>
        <w:rPr>
          <w:rFonts w:hint="eastAsia" w:ascii="宋体" w:hAnsi="宋体" w:eastAsia="宋体" w:cs="宋体"/>
          <w:b/>
          <w:bCs/>
          <w:sz w:val="30"/>
          <w:szCs w:val="30"/>
        </w:rPr>
      </w:pPr>
      <w:r>
        <w:rPr>
          <w:rFonts w:hint="eastAsia" w:ascii="宋体" w:hAnsi="宋体" w:eastAsia="宋体" w:cs="宋体"/>
          <w:b/>
          <w:bCs/>
          <w:sz w:val="30"/>
          <w:szCs w:val="30"/>
        </w:rPr>
        <w:t>项目名称：</w:t>
      </w:r>
    </w:p>
    <w:p w14:paraId="4C09C38C">
      <w:pPr>
        <w:pStyle w:val="30"/>
        <w:snapToGrid w:val="0"/>
        <w:spacing w:before="50" w:after="120" w:line="360" w:lineRule="auto"/>
        <w:ind w:firstLine="708" w:firstLineChars="235"/>
        <w:rPr>
          <w:rFonts w:hint="eastAsia" w:ascii="宋体" w:hAnsi="宋体" w:eastAsia="宋体" w:cs="宋体"/>
          <w:b/>
          <w:bCs/>
          <w:sz w:val="30"/>
          <w:szCs w:val="30"/>
        </w:rPr>
      </w:pPr>
      <w:r>
        <w:rPr>
          <w:rFonts w:hint="eastAsia" w:ascii="宋体" w:hAnsi="宋体" w:eastAsia="宋体" w:cs="宋体"/>
          <w:b/>
          <w:bCs/>
          <w:sz w:val="30"/>
          <w:szCs w:val="30"/>
        </w:rPr>
        <w:t>项目编号：</w:t>
      </w:r>
    </w:p>
    <w:p w14:paraId="2D9FBE6F">
      <w:pPr>
        <w:pStyle w:val="30"/>
        <w:snapToGrid w:val="0"/>
        <w:spacing w:before="50" w:after="120" w:line="360" w:lineRule="auto"/>
        <w:ind w:firstLine="708" w:firstLineChars="235"/>
        <w:rPr>
          <w:rFonts w:hint="eastAsia" w:ascii="宋体" w:hAnsi="宋体" w:eastAsia="宋体" w:cs="宋体"/>
          <w:b/>
          <w:bCs/>
          <w:sz w:val="30"/>
          <w:szCs w:val="30"/>
        </w:rPr>
      </w:pPr>
    </w:p>
    <w:p w14:paraId="6459635E">
      <w:pPr>
        <w:pStyle w:val="30"/>
        <w:snapToGrid w:val="0"/>
        <w:spacing w:before="50" w:after="120" w:line="360" w:lineRule="auto"/>
        <w:ind w:firstLine="708" w:firstLineChars="235"/>
        <w:rPr>
          <w:rFonts w:hint="eastAsia" w:ascii="宋体" w:hAnsi="宋体" w:eastAsia="宋体" w:cs="宋体"/>
          <w:b/>
          <w:bCs/>
          <w:sz w:val="30"/>
          <w:szCs w:val="30"/>
        </w:rPr>
      </w:pPr>
    </w:p>
    <w:p w14:paraId="5445EC15">
      <w:pPr>
        <w:pStyle w:val="30"/>
        <w:snapToGrid w:val="0"/>
        <w:spacing w:before="50" w:after="120" w:line="360" w:lineRule="auto"/>
        <w:ind w:firstLine="708" w:firstLineChars="235"/>
        <w:rPr>
          <w:rFonts w:hint="eastAsia" w:ascii="宋体" w:hAnsi="宋体" w:eastAsia="宋体" w:cs="宋体"/>
          <w:b/>
          <w:bCs/>
          <w:sz w:val="30"/>
          <w:szCs w:val="30"/>
        </w:rPr>
      </w:pPr>
    </w:p>
    <w:p w14:paraId="197EC0CA">
      <w:pPr>
        <w:pStyle w:val="30"/>
        <w:snapToGrid w:val="0"/>
        <w:spacing w:before="50" w:after="120" w:line="360" w:lineRule="auto"/>
        <w:ind w:firstLine="708" w:firstLineChars="235"/>
        <w:rPr>
          <w:rFonts w:hint="eastAsia" w:ascii="宋体" w:hAnsi="宋体" w:eastAsia="宋体" w:cs="宋体"/>
          <w:b/>
          <w:bCs/>
          <w:sz w:val="30"/>
          <w:szCs w:val="30"/>
        </w:rPr>
      </w:pPr>
      <w:r>
        <w:rPr>
          <w:rFonts w:hint="eastAsia" w:ascii="宋体" w:hAnsi="宋体" w:eastAsia="宋体" w:cs="宋体"/>
          <w:b/>
          <w:bCs/>
          <w:sz w:val="30"/>
          <w:szCs w:val="30"/>
        </w:rPr>
        <w:t>采购人（甲方）：</w:t>
      </w:r>
      <w:r>
        <w:rPr>
          <w:rFonts w:hint="eastAsia" w:ascii="宋体" w:hAnsi="宋体" w:eastAsia="宋体" w:cs="宋体"/>
          <w:b/>
          <w:bCs/>
          <w:sz w:val="30"/>
          <w:szCs w:val="30"/>
          <w:lang w:val="en-US"/>
        </w:rPr>
        <w:t xml:space="preserve"> </w:t>
      </w:r>
      <w:r>
        <w:rPr>
          <w:rFonts w:hint="eastAsia" w:ascii="宋体" w:hAnsi="宋体" w:eastAsia="宋体" w:cs="宋体"/>
          <w:b/>
          <w:bCs/>
          <w:sz w:val="30"/>
          <w:szCs w:val="30"/>
        </w:rPr>
        <w:t xml:space="preserve">                     </w:t>
      </w:r>
    </w:p>
    <w:p w14:paraId="2EB6D316">
      <w:pPr>
        <w:pStyle w:val="30"/>
        <w:snapToGrid w:val="0"/>
        <w:spacing w:before="50" w:after="120" w:line="360" w:lineRule="auto"/>
        <w:ind w:firstLine="708" w:firstLineChars="235"/>
        <w:rPr>
          <w:rFonts w:hint="eastAsia" w:ascii="宋体" w:hAnsi="宋体" w:eastAsia="宋体" w:cs="宋体"/>
          <w:b/>
          <w:bCs/>
          <w:sz w:val="30"/>
          <w:szCs w:val="30"/>
        </w:rPr>
      </w:pPr>
      <w:r>
        <w:rPr>
          <w:rFonts w:hint="eastAsia" w:ascii="宋体" w:hAnsi="宋体" w:eastAsia="宋体" w:cs="宋体"/>
          <w:b/>
          <w:bCs/>
          <w:sz w:val="30"/>
          <w:szCs w:val="30"/>
        </w:rPr>
        <w:t>供应商（乙方）：</w:t>
      </w:r>
    </w:p>
    <w:p w14:paraId="36CCB455">
      <w:pPr>
        <w:pStyle w:val="30"/>
        <w:snapToGrid w:val="0"/>
        <w:spacing w:before="50" w:after="120" w:line="360" w:lineRule="auto"/>
        <w:ind w:firstLine="470" w:firstLineChars="235"/>
        <w:rPr>
          <w:rFonts w:hint="eastAsia" w:ascii="宋体" w:hAnsi="宋体" w:eastAsia="宋体" w:cs="宋体"/>
        </w:rPr>
      </w:pPr>
    </w:p>
    <w:p w14:paraId="662EE357">
      <w:pPr>
        <w:spacing w:line="360" w:lineRule="auto"/>
        <w:ind w:right="800" w:firstLine="422"/>
        <w:rPr>
          <w:rFonts w:hint="eastAsia" w:ascii="宋体" w:hAnsi="宋体" w:eastAsia="宋体" w:cs="宋体"/>
          <w:szCs w:val="21"/>
        </w:rPr>
      </w:pPr>
    </w:p>
    <w:p w14:paraId="2FD45EDE">
      <w:pPr>
        <w:spacing w:line="360" w:lineRule="auto"/>
        <w:ind w:right="800" w:firstLine="422"/>
        <w:rPr>
          <w:rFonts w:hint="eastAsia" w:ascii="宋体" w:hAnsi="宋体" w:eastAsia="宋体" w:cs="宋体"/>
          <w:szCs w:val="21"/>
        </w:rPr>
      </w:pPr>
    </w:p>
    <w:p w14:paraId="01483176">
      <w:pPr>
        <w:pStyle w:val="3"/>
        <w:spacing w:line="400" w:lineRule="exact"/>
        <w:ind w:firstLine="640"/>
        <w:rPr>
          <w:rFonts w:hint="eastAsia" w:ascii="宋体" w:hAnsi="宋体" w:eastAsia="宋体" w:cs="宋体"/>
        </w:rPr>
        <w:sectPr>
          <w:pgSz w:w="11906" w:h="16838"/>
          <w:pgMar w:top="1440" w:right="1800" w:bottom="1440" w:left="1800" w:header="851" w:footer="992" w:gutter="0"/>
          <w:cols w:space="425" w:num="1"/>
          <w:docGrid w:type="lines" w:linePitch="312" w:charSpace="0"/>
        </w:sectPr>
      </w:pPr>
    </w:p>
    <w:p w14:paraId="499E21EE">
      <w:pPr>
        <w:keepNext/>
        <w:keepLines/>
        <w:spacing w:before="260" w:after="260" w:line="520" w:lineRule="exact"/>
        <w:ind w:firstLine="643"/>
        <w:jc w:val="center"/>
        <w:outlineLvl w:val="1"/>
        <w:rPr>
          <w:rFonts w:hint="eastAsia" w:ascii="新宋体" w:hAnsi="新宋体" w:eastAsia="新宋体" w:cs="新宋体"/>
          <w:b/>
          <w:bCs/>
          <w:sz w:val="32"/>
          <w:szCs w:val="32"/>
        </w:rPr>
      </w:pPr>
      <w:bookmarkStart w:id="214" w:name="_Toc19681"/>
      <w:bookmarkStart w:id="215" w:name="_Toc23467"/>
      <w:r>
        <w:rPr>
          <w:rFonts w:hint="eastAsia" w:ascii="新宋体" w:hAnsi="新宋体" w:eastAsia="新宋体" w:cs="新宋体"/>
          <w:b/>
          <w:bCs/>
          <w:sz w:val="32"/>
          <w:szCs w:val="32"/>
        </w:rPr>
        <w:t>合同文本</w:t>
      </w:r>
      <w:bookmarkEnd w:id="214"/>
    </w:p>
    <w:p w14:paraId="52888BCA">
      <w:pPr>
        <w:spacing w:line="520" w:lineRule="exact"/>
        <w:ind w:firstLine="640"/>
        <w:rPr>
          <w:rFonts w:hint="eastAsia" w:ascii="新宋体" w:hAnsi="新宋体" w:eastAsia="新宋体" w:cs="新宋体"/>
          <w:b/>
          <w:sz w:val="32"/>
          <w:szCs w:val="32"/>
        </w:rPr>
      </w:pPr>
    </w:p>
    <w:p w14:paraId="5B67B200">
      <w:pPr>
        <w:spacing w:line="360" w:lineRule="auto"/>
        <w:ind w:right="800" w:firstLine="422"/>
        <w:rPr>
          <w:rFonts w:hint="eastAsia" w:ascii="新宋体" w:hAnsi="新宋体" w:eastAsia="新宋体" w:cs="新宋体"/>
          <w:bCs/>
          <w:szCs w:val="21"/>
          <w:u w:val="single"/>
        </w:rPr>
      </w:pPr>
      <w:r>
        <w:rPr>
          <w:rFonts w:hint="eastAsia" w:ascii="新宋体" w:hAnsi="新宋体" w:eastAsia="新宋体" w:cs="新宋体"/>
          <w:szCs w:val="21"/>
        </w:rPr>
        <w:t>采购计划号：</w:t>
      </w:r>
      <w:r>
        <w:rPr>
          <w:rFonts w:hint="eastAsia" w:ascii="新宋体" w:hAnsi="新宋体" w:eastAsia="新宋体" w:cs="新宋体"/>
          <w:szCs w:val="21"/>
          <w:u w:val="single"/>
        </w:rPr>
        <w:t xml:space="preserve">                         </w:t>
      </w:r>
      <w:r>
        <w:rPr>
          <w:rFonts w:hint="eastAsia" w:ascii="新宋体" w:hAnsi="新宋体" w:eastAsia="新宋体" w:cs="新宋体"/>
          <w:szCs w:val="21"/>
        </w:rPr>
        <w:t xml:space="preserve">   </w:t>
      </w:r>
      <w:r>
        <w:rPr>
          <w:rFonts w:hint="eastAsia" w:ascii="新宋体" w:hAnsi="新宋体" w:eastAsia="新宋体" w:cs="新宋体"/>
          <w:bCs/>
          <w:szCs w:val="21"/>
        </w:rPr>
        <w:t>合同编号：</w:t>
      </w:r>
      <w:r>
        <w:rPr>
          <w:rFonts w:hint="eastAsia" w:ascii="新宋体" w:hAnsi="新宋体" w:eastAsia="新宋体" w:cs="新宋体"/>
          <w:szCs w:val="21"/>
          <w:u w:val="single"/>
        </w:rPr>
        <w:t xml:space="preserve">                  </w:t>
      </w:r>
    </w:p>
    <w:p w14:paraId="3424A03D">
      <w:pPr>
        <w:spacing w:line="360" w:lineRule="auto"/>
        <w:ind w:firstLine="422"/>
        <w:rPr>
          <w:rFonts w:hint="eastAsia" w:ascii="新宋体" w:hAnsi="新宋体" w:eastAsia="新宋体" w:cs="新宋体"/>
          <w:szCs w:val="21"/>
        </w:rPr>
      </w:pPr>
      <w:r>
        <w:rPr>
          <w:rFonts w:hint="eastAsia" w:ascii="新宋体" w:hAnsi="新宋体" w:eastAsia="新宋体" w:cs="新宋体"/>
          <w:szCs w:val="21"/>
        </w:rPr>
        <w:t>采购人（甲方）：</w:t>
      </w:r>
      <w:r>
        <w:rPr>
          <w:rFonts w:hint="eastAsia" w:ascii="新宋体" w:hAnsi="新宋体" w:eastAsia="新宋体" w:cs="新宋体"/>
          <w:szCs w:val="21"/>
          <w:u w:val="single"/>
        </w:rPr>
        <w:t xml:space="preserve">                     </w:t>
      </w:r>
      <w:r>
        <w:rPr>
          <w:rFonts w:hint="eastAsia" w:ascii="新宋体" w:hAnsi="新宋体" w:eastAsia="新宋体" w:cs="新宋体"/>
          <w:szCs w:val="21"/>
        </w:rPr>
        <w:t xml:space="preserve">   </w:t>
      </w:r>
    </w:p>
    <w:p w14:paraId="7C240FC2">
      <w:pPr>
        <w:spacing w:line="360" w:lineRule="auto"/>
        <w:ind w:firstLine="422"/>
        <w:rPr>
          <w:rFonts w:hint="eastAsia" w:ascii="新宋体" w:hAnsi="新宋体" w:eastAsia="新宋体" w:cs="新宋体"/>
          <w:szCs w:val="21"/>
          <w:u w:val="single"/>
        </w:rPr>
      </w:pPr>
      <w:r>
        <w:rPr>
          <w:rFonts w:hint="eastAsia" w:ascii="新宋体" w:hAnsi="新宋体" w:eastAsia="新宋体" w:cs="新宋体"/>
          <w:szCs w:val="21"/>
        </w:rPr>
        <w:t>供应商（乙方）：</w:t>
      </w:r>
      <w:r>
        <w:rPr>
          <w:rFonts w:hint="eastAsia" w:ascii="新宋体" w:hAnsi="新宋体" w:eastAsia="新宋体" w:cs="新宋体"/>
          <w:szCs w:val="21"/>
          <w:u w:val="single"/>
        </w:rPr>
        <w:t xml:space="preserve">                    </w:t>
      </w:r>
      <w:r>
        <w:rPr>
          <w:rFonts w:hint="eastAsia" w:ascii="新宋体" w:hAnsi="新宋体" w:eastAsia="新宋体" w:cs="新宋体"/>
          <w:szCs w:val="21"/>
        </w:rPr>
        <w:t xml:space="preserve">    </w:t>
      </w:r>
    </w:p>
    <w:p w14:paraId="0E7D903F">
      <w:pPr>
        <w:spacing w:line="360" w:lineRule="auto"/>
        <w:ind w:firstLine="422"/>
        <w:rPr>
          <w:rFonts w:hint="eastAsia" w:ascii="新宋体" w:hAnsi="新宋体" w:eastAsia="新宋体" w:cs="新宋体"/>
          <w:szCs w:val="21"/>
          <w:u w:val="single"/>
        </w:rPr>
      </w:pPr>
      <w:r>
        <w:rPr>
          <w:rFonts w:hint="eastAsia" w:ascii="新宋体" w:hAnsi="新宋体" w:eastAsia="新宋体" w:cs="新宋体"/>
          <w:szCs w:val="21"/>
        </w:rPr>
        <w:t>项目名称：</w:t>
      </w:r>
      <w:r>
        <w:rPr>
          <w:rFonts w:hint="eastAsia" w:ascii="新宋体" w:hAnsi="新宋体" w:eastAsia="新宋体" w:cs="新宋体"/>
          <w:szCs w:val="21"/>
          <w:u w:val="single"/>
        </w:rPr>
        <w:t xml:space="preserve">                           </w:t>
      </w:r>
      <w:r>
        <w:rPr>
          <w:rFonts w:hint="eastAsia" w:ascii="新宋体" w:hAnsi="新宋体" w:eastAsia="新宋体" w:cs="新宋体"/>
          <w:szCs w:val="21"/>
        </w:rPr>
        <w:t xml:space="preserve">   项目编号：</w:t>
      </w:r>
      <w:r>
        <w:rPr>
          <w:rFonts w:hint="eastAsia" w:ascii="新宋体" w:hAnsi="新宋体" w:eastAsia="新宋体" w:cs="新宋体"/>
          <w:szCs w:val="21"/>
          <w:u w:val="single"/>
        </w:rPr>
        <w:t xml:space="preserve">                          </w:t>
      </w:r>
    </w:p>
    <w:p w14:paraId="021383A7">
      <w:pPr>
        <w:spacing w:line="360" w:lineRule="auto"/>
        <w:ind w:firstLine="422"/>
        <w:rPr>
          <w:rFonts w:hint="eastAsia" w:ascii="新宋体" w:hAnsi="新宋体" w:eastAsia="新宋体" w:cs="新宋体"/>
          <w:szCs w:val="21"/>
          <w:u w:val="single"/>
        </w:rPr>
      </w:pPr>
      <w:r>
        <w:rPr>
          <w:rFonts w:hint="eastAsia" w:ascii="新宋体" w:hAnsi="新宋体" w:eastAsia="新宋体" w:cs="新宋体"/>
          <w:szCs w:val="21"/>
        </w:rPr>
        <w:t>签订地点：</w:t>
      </w:r>
      <w:r>
        <w:rPr>
          <w:rFonts w:hint="eastAsia" w:ascii="新宋体" w:hAnsi="新宋体" w:eastAsia="新宋体" w:cs="新宋体"/>
          <w:szCs w:val="21"/>
          <w:u w:val="single"/>
        </w:rPr>
        <w:t xml:space="preserve">          南宁市           </w:t>
      </w:r>
      <w:r>
        <w:rPr>
          <w:rFonts w:hint="eastAsia" w:ascii="新宋体" w:hAnsi="新宋体" w:eastAsia="新宋体" w:cs="新宋体"/>
          <w:szCs w:val="21"/>
        </w:rPr>
        <w:t xml:space="preserve">   签订时间：</w:t>
      </w:r>
      <w:r>
        <w:rPr>
          <w:rFonts w:hint="eastAsia" w:ascii="新宋体" w:hAnsi="新宋体" w:eastAsia="新宋体" w:cs="新宋体"/>
          <w:u w:val="single"/>
        </w:rPr>
        <w:t xml:space="preserve">       </w:t>
      </w:r>
      <w:r>
        <w:rPr>
          <w:rFonts w:hint="eastAsia" w:ascii="新宋体" w:hAnsi="新宋体" w:eastAsia="新宋体" w:cs="新宋体"/>
        </w:rPr>
        <w:t>年</w:t>
      </w:r>
      <w:r>
        <w:rPr>
          <w:rFonts w:hint="eastAsia" w:ascii="新宋体" w:hAnsi="新宋体" w:eastAsia="新宋体" w:cs="新宋体"/>
          <w:u w:val="single"/>
        </w:rPr>
        <w:t xml:space="preserve">     </w:t>
      </w:r>
      <w:r>
        <w:rPr>
          <w:rFonts w:hint="eastAsia" w:ascii="新宋体" w:hAnsi="新宋体" w:eastAsia="新宋体" w:cs="新宋体"/>
        </w:rPr>
        <w:t>月</w:t>
      </w:r>
      <w:r>
        <w:rPr>
          <w:rFonts w:hint="eastAsia" w:ascii="新宋体" w:hAnsi="新宋体" w:eastAsia="新宋体" w:cs="新宋体"/>
          <w:u w:val="single"/>
        </w:rPr>
        <w:t xml:space="preserve">     </w:t>
      </w:r>
      <w:r>
        <w:rPr>
          <w:rFonts w:hint="eastAsia" w:ascii="新宋体" w:hAnsi="新宋体" w:eastAsia="新宋体" w:cs="新宋体"/>
        </w:rPr>
        <w:t>日</w:t>
      </w:r>
    </w:p>
    <w:p w14:paraId="41AE4B13">
      <w:pPr>
        <w:snapToGrid w:val="0"/>
        <w:spacing w:line="420" w:lineRule="exact"/>
        <w:ind w:firstLine="420" w:firstLineChars="200"/>
        <w:rPr>
          <w:rFonts w:hint="eastAsia" w:ascii="新宋体" w:hAnsi="新宋体" w:eastAsia="新宋体" w:cs="新宋体"/>
          <w:szCs w:val="21"/>
        </w:rPr>
      </w:pPr>
    </w:p>
    <w:p w14:paraId="5682F497">
      <w:pPr>
        <w:snapToGrid w:val="0"/>
        <w:spacing w:line="420" w:lineRule="exact"/>
        <w:ind w:firstLine="420" w:firstLineChars="200"/>
        <w:rPr>
          <w:rFonts w:hint="eastAsia" w:ascii="新宋体" w:hAnsi="新宋体" w:eastAsia="新宋体" w:cs="新宋体"/>
          <w:szCs w:val="21"/>
        </w:rPr>
      </w:pPr>
      <w:r>
        <w:rPr>
          <w:rFonts w:hint="eastAsia" w:ascii="新宋体" w:hAnsi="新宋体" w:eastAsia="新宋体" w:cs="新宋体"/>
          <w:szCs w:val="21"/>
        </w:rPr>
        <w:t>根据《中华人民共和国政府采购法》、《中华人民共和国民法典》等法律、法规规定，按照竞争性磋商采购文件规定条款和乙方承诺，甲乙双方签订本合同。</w:t>
      </w:r>
    </w:p>
    <w:p w14:paraId="78EE29C8">
      <w:pPr>
        <w:snapToGrid w:val="0"/>
        <w:spacing w:line="420" w:lineRule="exact"/>
        <w:ind w:firstLine="422" w:firstLineChars="200"/>
        <w:rPr>
          <w:rFonts w:hint="eastAsia" w:ascii="新宋体" w:hAnsi="新宋体" w:eastAsia="新宋体" w:cs="新宋体"/>
          <w:b/>
          <w:szCs w:val="21"/>
        </w:rPr>
      </w:pPr>
      <w:r>
        <w:rPr>
          <w:rFonts w:hint="eastAsia" w:ascii="新宋体" w:hAnsi="新宋体" w:eastAsia="新宋体" w:cs="新宋体"/>
          <w:b/>
          <w:szCs w:val="21"/>
        </w:rPr>
        <w:t>第一条　合同标的</w:t>
      </w:r>
    </w:p>
    <w:p w14:paraId="63C5D132">
      <w:pPr>
        <w:snapToGrid w:val="0"/>
        <w:spacing w:line="420" w:lineRule="exact"/>
        <w:ind w:firstLine="420" w:firstLineChars="200"/>
        <w:rPr>
          <w:rFonts w:hint="eastAsia" w:ascii="新宋体" w:hAnsi="新宋体" w:eastAsia="新宋体" w:cs="新宋体"/>
          <w:szCs w:val="21"/>
        </w:rPr>
      </w:pPr>
      <w:r>
        <w:rPr>
          <w:rFonts w:hint="eastAsia" w:ascii="新宋体" w:hAnsi="新宋体" w:eastAsia="新宋体" w:cs="新宋体"/>
          <w:szCs w:val="21"/>
        </w:rPr>
        <w:t>1、服务内容一览表</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3443"/>
        <w:gridCol w:w="850"/>
        <w:gridCol w:w="992"/>
        <w:gridCol w:w="1276"/>
        <w:gridCol w:w="1883"/>
      </w:tblGrid>
      <w:tr w14:paraId="2C16E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681" w:type="dxa"/>
            <w:vAlign w:val="center"/>
          </w:tcPr>
          <w:p w14:paraId="36F7489A">
            <w:pPr>
              <w:snapToGrid w:val="0"/>
              <w:spacing w:line="320" w:lineRule="exact"/>
              <w:ind w:firstLine="422"/>
              <w:jc w:val="center"/>
              <w:rPr>
                <w:rFonts w:hint="eastAsia" w:ascii="新宋体" w:hAnsi="新宋体" w:eastAsia="新宋体" w:cs="新宋体"/>
                <w:szCs w:val="21"/>
              </w:rPr>
            </w:pPr>
            <w:r>
              <w:rPr>
                <w:rFonts w:hint="eastAsia" w:ascii="新宋体" w:hAnsi="新宋体" w:eastAsia="新宋体" w:cs="新宋体"/>
                <w:szCs w:val="21"/>
              </w:rPr>
              <w:t>序号</w:t>
            </w:r>
          </w:p>
        </w:tc>
        <w:tc>
          <w:tcPr>
            <w:tcW w:w="3443" w:type="dxa"/>
            <w:vAlign w:val="center"/>
          </w:tcPr>
          <w:p w14:paraId="47A902D4">
            <w:pPr>
              <w:snapToGrid w:val="0"/>
              <w:spacing w:line="320" w:lineRule="exact"/>
              <w:ind w:firstLine="422"/>
              <w:jc w:val="center"/>
              <w:rPr>
                <w:rFonts w:hint="eastAsia" w:ascii="新宋体" w:hAnsi="新宋体" w:eastAsia="新宋体" w:cs="新宋体"/>
                <w:szCs w:val="21"/>
              </w:rPr>
            </w:pPr>
            <w:r>
              <w:rPr>
                <w:rFonts w:hint="eastAsia" w:ascii="新宋体" w:hAnsi="新宋体" w:eastAsia="新宋体" w:cs="新宋体"/>
                <w:szCs w:val="21"/>
              </w:rPr>
              <w:t>服务内容</w:t>
            </w:r>
          </w:p>
        </w:tc>
        <w:tc>
          <w:tcPr>
            <w:tcW w:w="850" w:type="dxa"/>
            <w:vAlign w:val="center"/>
          </w:tcPr>
          <w:p w14:paraId="39DE5269">
            <w:pPr>
              <w:snapToGrid w:val="0"/>
              <w:spacing w:line="320" w:lineRule="exact"/>
              <w:ind w:firstLine="422"/>
              <w:jc w:val="center"/>
              <w:rPr>
                <w:rFonts w:hint="eastAsia" w:ascii="新宋体" w:hAnsi="新宋体" w:eastAsia="新宋体" w:cs="新宋体"/>
                <w:szCs w:val="21"/>
              </w:rPr>
            </w:pPr>
            <w:r>
              <w:rPr>
                <w:rFonts w:hint="eastAsia" w:ascii="新宋体" w:hAnsi="新宋体" w:eastAsia="新宋体" w:cs="新宋体"/>
                <w:szCs w:val="21"/>
              </w:rPr>
              <w:t>数量</w:t>
            </w:r>
          </w:p>
        </w:tc>
        <w:tc>
          <w:tcPr>
            <w:tcW w:w="992" w:type="dxa"/>
            <w:vAlign w:val="center"/>
          </w:tcPr>
          <w:p w14:paraId="210C665B">
            <w:pPr>
              <w:snapToGrid w:val="0"/>
              <w:spacing w:line="320" w:lineRule="exact"/>
              <w:ind w:firstLine="422"/>
              <w:jc w:val="center"/>
              <w:rPr>
                <w:rFonts w:hint="eastAsia" w:ascii="新宋体" w:hAnsi="新宋体" w:eastAsia="新宋体" w:cs="新宋体"/>
                <w:szCs w:val="21"/>
              </w:rPr>
            </w:pPr>
            <w:r>
              <w:rPr>
                <w:rFonts w:hint="eastAsia" w:ascii="新宋体" w:hAnsi="新宋体" w:eastAsia="新宋体" w:cs="新宋体"/>
                <w:szCs w:val="21"/>
              </w:rPr>
              <w:t>单位</w:t>
            </w:r>
          </w:p>
        </w:tc>
        <w:tc>
          <w:tcPr>
            <w:tcW w:w="1276" w:type="dxa"/>
            <w:vAlign w:val="center"/>
          </w:tcPr>
          <w:p w14:paraId="73BF6D39">
            <w:pPr>
              <w:snapToGrid w:val="0"/>
              <w:spacing w:line="320" w:lineRule="exact"/>
              <w:ind w:firstLine="422"/>
              <w:jc w:val="center"/>
              <w:rPr>
                <w:rFonts w:hint="eastAsia" w:ascii="新宋体" w:hAnsi="新宋体" w:eastAsia="新宋体" w:cs="新宋体"/>
                <w:szCs w:val="21"/>
              </w:rPr>
            </w:pPr>
            <w:r>
              <w:rPr>
                <w:rFonts w:hint="eastAsia" w:ascii="新宋体" w:hAnsi="新宋体" w:eastAsia="新宋体" w:cs="新宋体"/>
                <w:szCs w:val="21"/>
              </w:rPr>
              <w:t>单价</w:t>
            </w:r>
          </w:p>
          <w:p w14:paraId="11CE1E71">
            <w:pPr>
              <w:snapToGrid w:val="0"/>
              <w:spacing w:line="320" w:lineRule="exact"/>
              <w:ind w:firstLine="422"/>
              <w:jc w:val="center"/>
              <w:rPr>
                <w:rFonts w:hint="eastAsia" w:ascii="新宋体" w:hAnsi="新宋体" w:eastAsia="新宋体" w:cs="新宋体"/>
                <w:szCs w:val="21"/>
              </w:rPr>
            </w:pPr>
            <w:r>
              <w:rPr>
                <w:rFonts w:hint="eastAsia" w:ascii="新宋体" w:hAnsi="新宋体" w:eastAsia="新宋体" w:cs="新宋体"/>
                <w:szCs w:val="21"/>
              </w:rPr>
              <w:t>（元）</w:t>
            </w:r>
          </w:p>
        </w:tc>
        <w:tc>
          <w:tcPr>
            <w:tcW w:w="1883" w:type="dxa"/>
            <w:vAlign w:val="center"/>
          </w:tcPr>
          <w:p w14:paraId="2B729CE9">
            <w:pPr>
              <w:snapToGrid w:val="0"/>
              <w:spacing w:line="320" w:lineRule="exact"/>
              <w:ind w:firstLine="422"/>
              <w:jc w:val="center"/>
              <w:rPr>
                <w:rFonts w:hint="eastAsia" w:ascii="新宋体" w:hAnsi="新宋体" w:eastAsia="新宋体" w:cs="新宋体"/>
                <w:szCs w:val="21"/>
              </w:rPr>
            </w:pPr>
            <w:r>
              <w:rPr>
                <w:rFonts w:hint="eastAsia" w:ascii="新宋体" w:hAnsi="新宋体" w:eastAsia="新宋体" w:cs="新宋体"/>
                <w:szCs w:val="21"/>
              </w:rPr>
              <w:t>金额</w:t>
            </w:r>
          </w:p>
          <w:p w14:paraId="66FA5189">
            <w:pPr>
              <w:snapToGrid w:val="0"/>
              <w:spacing w:line="320" w:lineRule="exact"/>
              <w:ind w:firstLine="422"/>
              <w:jc w:val="center"/>
              <w:rPr>
                <w:rFonts w:hint="eastAsia" w:ascii="新宋体" w:hAnsi="新宋体" w:eastAsia="新宋体" w:cs="新宋体"/>
                <w:szCs w:val="21"/>
              </w:rPr>
            </w:pPr>
            <w:r>
              <w:rPr>
                <w:rFonts w:hint="eastAsia" w:ascii="新宋体" w:hAnsi="新宋体" w:eastAsia="新宋体" w:cs="新宋体"/>
                <w:szCs w:val="21"/>
              </w:rPr>
              <w:t>（元）</w:t>
            </w:r>
          </w:p>
        </w:tc>
      </w:tr>
      <w:tr w14:paraId="51B16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81" w:type="dxa"/>
            <w:vAlign w:val="center"/>
          </w:tcPr>
          <w:p w14:paraId="066D9565">
            <w:pPr>
              <w:snapToGrid w:val="0"/>
              <w:spacing w:line="400" w:lineRule="exact"/>
              <w:ind w:firstLine="422"/>
              <w:jc w:val="center"/>
              <w:rPr>
                <w:rFonts w:hint="eastAsia" w:ascii="新宋体" w:hAnsi="新宋体" w:eastAsia="新宋体" w:cs="新宋体"/>
                <w:szCs w:val="21"/>
              </w:rPr>
            </w:pPr>
            <w:r>
              <w:rPr>
                <w:rFonts w:hint="eastAsia" w:ascii="新宋体" w:hAnsi="新宋体" w:eastAsia="新宋体" w:cs="新宋体"/>
                <w:szCs w:val="21"/>
              </w:rPr>
              <w:t>1</w:t>
            </w:r>
          </w:p>
        </w:tc>
        <w:tc>
          <w:tcPr>
            <w:tcW w:w="3443" w:type="dxa"/>
            <w:vAlign w:val="center"/>
          </w:tcPr>
          <w:p w14:paraId="3508EA48">
            <w:pPr>
              <w:snapToGrid w:val="0"/>
              <w:spacing w:line="400" w:lineRule="exact"/>
              <w:ind w:firstLine="422"/>
              <w:jc w:val="center"/>
              <w:rPr>
                <w:rFonts w:hint="eastAsia" w:ascii="新宋体" w:hAnsi="新宋体" w:eastAsia="新宋体" w:cs="新宋体"/>
                <w:szCs w:val="21"/>
              </w:rPr>
            </w:pPr>
          </w:p>
        </w:tc>
        <w:tc>
          <w:tcPr>
            <w:tcW w:w="850" w:type="dxa"/>
          </w:tcPr>
          <w:p w14:paraId="3210948A">
            <w:pPr>
              <w:snapToGrid w:val="0"/>
              <w:spacing w:line="400" w:lineRule="exact"/>
              <w:ind w:firstLine="422"/>
              <w:jc w:val="center"/>
              <w:rPr>
                <w:rFonts w:hint="eastAsia" w:ascii="新宋体" w:hAnsi="新宋体" w:eastAsia="新宋体" w:cs="新宋体"/>
                <w:szCs w:val="21"/>
              </w:rPr>
            </w:pPr>
          </w:p>
        </w:tc>
        <w:tc>
          <w:tcPr>
            <w:tcW w:w="992" w:type="dxa"/>
          </w:tcPr>
          <w:p w14:paraId="411F3771">
            <w:pPr>
              <w:snapToGrid w:val="0"/>
              <w:spacing w:line="400" w:lineRule="exact"/>
              <w:ind w:firstLine="422"/>
              <w:jc w:val="center"/>
              <w:rPr>
                <w:rFonts w:hint="eastAsia" w:ascii="新宋体" w:hAnsi="新宋体" w:eastAsia="新宋体" w:cs="新宋体"/>
                <w:szCs w:val="21"/>
              </w:rPr>
            </w:pPr>
          </w:p>
        </w:tc>
        <w:tc>
          <w:tcPr>
            <w:tcW w:w="1276" w:type="dxa"/>
            <w:vAlign w:val="center"/>
          </w:tcPr>
          <w:p w14:paraId="659EC490">
            <w:pPr>
              <w:snapToGrid w:val="0"/>
              <w:spacing w:line="400" w:lineRule="exact"/>
              <w:ind w:firstLine="422"/>
              <w:jc w:val="center"/>
              <w:rPr>
                <w:rFonts w:hint="eastAsia" w:ascii="新宋体" w:hAnsi="新宋体" w:eastAsia="新宋体" w:cs="新宋体"/>
                <w:szCs w:val="21"/>
              </w:rPr>
            </w:pPr>
          </w:p>
        </w:tc>
        <w:tc>
          <w:tcPr>
            <w:tcW w:w="1883" w:type="dxa"/>
            <w:vAlign w:val="center"/>
          </w:tcPr>
          <w:p w14:paraId="16E7B257">
            <w:pPr>
              <w:snapToGrid w:val="0"/>
              <w:spacing w:line="400" w:lineRule="exact"/>
              <w:ind w:firstLine="422"/>
              <w:jc w:val="center"/>
              <w:rPr>
                <w:rFonts w:hint="eastAsia" w:ascii="新宋体" w:hAnsi="新宋体" w:eastAsia="新宋体" w:cs="新宋体"/>
                <w:szCs w:val="21"/>
              </w:rPr>
            </w:pPr>
          </w:p>
        </w:tc>
      </w:tr>
      <w:tr w14:paraId="01EA8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125" w:type="dxa"/>
            <w:gridSpan w:val="6"/>
            <w:vAlign w:val="center"/>
          </w:tcPr>
          <w:p w14:paraId="1DEC00E1">
            <w:pPr>
              <w:snapToGrid w:val="0"/>
              <w:spacing w:line="400" w:lineRule="exact"/>
              <w:ind w:firstLine="422"/>
              <w:jc w:val="left"/>
              <w:rPr>
                <w:rFonts w:hint="eastAsia" w:ascii="新宋体" w:hAnsi="新宋体" w:eastAsia="新宋体" w:cs="新宋体"/>
                <w:szCs w:val="21"/>
              </w:rPr>
            </w:pPr>
            <w:r>
              <w:rPr>
                <w:rFonts w:hint="eastAsia" w:ascii="新宋体" w:hAnsi="新宋体" w:eastAsia="新宋体" w:cs="新宋体"/>
                <w:szCs w:val="21"/>
              </w:rPr>
              <w:t xml:space="preserve">合同总金额（人民币大写）：                      （￥            ） </w:t>
            </w:r>
          </w:p>
        </w:tc>
      </w:tr>
    </w:tbl>
    <w:p w14:paraId="1DC3193E">
      <w:pPr>
        <w:snapToGrid w:val="0"/>
        <w:spacing w:line="400" w:lineRule="exact"/>
        <w:ind w:right="-82" w:firstLine="420" w:firstLineChars="200"/>
        <w:rPr>
          <w:rFonts w:hint="eastAsia" w:ascii="新宋体" w:hAnsi="新宋体" w:eastAsia="新宋体" w:cs="新宋体"/>
          <w:szCs w:val="21"/>
        </w:rPr>
      </w:pPr>
      <w:r>
        <w:rPr>
          <w:rFonts w:hint="eastAsia" w:ascii="新宋体" w:hAnsi="新宋体" w:eastAsia="新宋体" w:cs="新宋体"/>
          <w:szCs w:val="21"/>
        </w:rPr>
        <w:t>2、服务时间：</w:t>
      </w:r>
      <w:r>
        <w:rPr>
          <w:rFonts w:hint="eastAsia" w:ascii="新宋体" w:hAnsi="新宋体" w:eastAsia="新宋体" w:cs="新宋体"/>
          <w:szCs w:val="21"/>
          <w:u w:val="single"/>
        </w:rPr>
        <w:t xml:space="preserve">         </w:t>
      </w:r>
      <w:r>
        <w:rPr>
          <w:rFonts w:hint="eastAsia" w:ascii="新宋体" w:hAnsi="新宋体" w:eastAsia="新宋体" w:cs="新宋体"/>
          <w:szCs w:val="21"/>
        </w:rPr>
        <w:t>。</w:t>
      </w:r>
    </w:p>
    <w:p w14:paraId="60AC2AE7">
      <w:pPr>
        <w:snapToGrid w:val="0"/>
        <w:spacing w:line="400" w:lineRule="exact"/>
        <w:ind w:right="-82" w:firstLine="420" w:firstLineChars="200"/>
        <w:rPr>
          <w:rFonts w:hint="eastAsia" w:ascii="新宋体" w:hAnsi="新宋体" w:eastAsia="新宋体" w:cs="新宋体"/>
          <w:szCs w:val="21"/>
        </w:rPr>
      </w:pPr>
      <w:r>
        <w:rPr>
          <w:rFonts w:hint="eastAsia" w:ascii="新宋体" w:hAnsi="新宋体" w:eastAsia="新宋体" w:cs="新宋体"/>
          <w:szCs w:val="21"/>
        </w:rPr>
        <w:t>3、服务具体内容：详见响应文件</w:t>
      </w:r>
    </w:p>
    <w:p w14:paraId="47F6C66B">
      <w:pPr>
        <w:snapToGrid w:val="0"/>
        <w:spacing w:line="400" w:lineRule="exact"/>
        <w:ind w:right="-82" w:firstLine="420" w:firstLineChars="200"/>
        <w:rPr>
          <w:rFonts w:hint="eastAsia" w:ascii="新宋体" w:hAnsi="新宋体" w:eastAsia="新宋体" w:cs="新宋体"/>
          <w:szCs w:val="21"/>
        </w:rPr>
      </w:pPr>
      <w:r>
        <w:rPr>
          <w:rFonts w:hint="eastAsia" w:ascii="新宋体" w:hAnsi="新宋体" w:eastAsia="新宋体" w:cs="新宋体"/>
          <w:szCs w:val="21"/>
        </w:rPr>
        <w:t>4、报价应包含但不限于为履行本项目所有服务内容所涉及的知识产权、劳务、运输、旅差、管理、材料、维护、保险、维护期内所有升级、技术支持等相关服务费用，验收专家劳务费、验收会务费，利润、税金，政策性文件规定及合同包含的应有风险、责任，招标代理服务费等本合同涉及的服务业务及其它所有成本费用的总和，除此之外，甲方不再另行支付任何费用。如竞争性磋商文件对其另有规定的，从其规定。</w:t>
      </w:r>
    </w:p>
    <w:p w14:paraId="6126E34A">
      <w:pPr>
        <w:snapToGrid w:val="0"/>
        <w:spacing w:line="400" w:lineRule="exact"/>
        <w:ind w:firstLine="422" w:firstLineChars="200"/>
        <w:rPr>
          <w:rFonts w:hint="eastAsia" w:ascii="新宋体" w:hAnsi="新宋体" w:eastAsia="新宋体" w:cs="新宋体"/>
          <w:szCs w:val="21"/>
        </w:rPr>
      </w:pPr>
      <w:r>
        <w:rPr>
          <w:rFonts w:hint="eastAsia" w:ascii="新宋体" w:hAnsi="新宋体" w:eastAsia="新宋体" w:cs="新宋体"/>
          <w:b/>
          <w:szCs w:val="21"/>
        </w:rPr>
        <w:t>第二条　质量保证</w:t>
      </w:r>
    </w:p>
    <w:p w14:paraId="2BEA87B8">
      <w:pPr>
        <w:snapToGrid w:val="0"/>
        <w:spacing w:line="400" w:lineRule="exact"/>
        <w:ind w:firstLine="420" w:firstLineChars="200"/>
        <w:rPr>
          <w:rFonts w:hint="eastAsia" w:ascii="新宋体" w:hAnsi="新宋体" w:eastAsia="新宋体" w:cs="新宋体"/>
          <w:szCs w:val="21"/>
        </w:rPr>
      </w:pPr>
      <w:r>
        <w:rPr>
          <w:rFonts w:hint="eastAsia" w:ascii="新宋体" w:hAnsi="新宋体" w:eastAsia="新宋体" w:cs="新宋体"/>
          <w:szCs w:val="21"/>
        </w:rPr>
        <w:t>1、乙方所提供的产品及服务内容、技术规格、技术参数等质量必须与竞争性磋商文件和承诺相一致。</w:t>
      </w:r>
    </w:p>
    <w:p w14:paraId="5F655EA8">
      <w:pPr>
        <w:snapToGrid w:val="0"/>
        <w:spacing w:line="400" w:lineRule="exact"/>
        <w:ind w:firstLine="420" w:firstLineChars="200"/>
        <w:rPr>
          <w:rFonts w:hint="eastAsia" w:ascii="新宋体" w:hAnsi="新宋体" w:eastAsia="新宋体" w:cs="新宋体"/>
          <w:szCs w:val="21"/>
          <w:u w:val="single"/>
        </w:rPr>
      </w:pPr>
      <w:r>
        <w:rPr>
          <w:rFonts w:hint="eastAsia" w:ascii="新宋体" w:hAnsi="新宋体" w:eastAsia="新宋体" w:cs="新宋体"/>
          <w:szCs w:val="21"/>
        </w:rPr>
        <w:t>2、乙方所提供的产品及服务各项指标均达到质量要求。</w:t>
      </w:r>
    </w:p>
    <w:p w14:paraId="4EED3171">
      <w:pPr>
        <w:snapToGrid w:val="0"/>
        <w:spacing w:line="400" w:lineRule="exact"/>
        <w:ind w:firstLine="422" w:firstLineChars="200"/>
        <w:rPr>
          <w:rFonts w:hint="eastAsia" w:ascii="新宋体" w:hAnsi="新宋体" w:eastAsia="新宋体" w:cs="新宋体"/>
          <w:szCs w:val="21"/>
        </w:rPr>
      </w:pPr>
      <w:r>
        <w:rPr>
          <w:rFonts w:hint="eastAsia" w:ascii="新宋体" w:hAnsi="新宋体" w:eastAsia="新宋体" w:cs="新宋体"/>
          <w:b/>
          <w:szCs w:val="21"/>
        </w:rPr>
        <w:t>第三条　权利保证</w:t>
      </w:r>
    </w:p>
    <w:p w14:paraId="7C8E90CB">
      <w:pPr>
        <w:snapToGrid w:val="0"/>
        <w:spacing w:line="400" w:lineRule="exact"/>
        <w:ind w:firstLine="420" w:firstLineChars="200"/>
        <w:rPr>
          <w:rFonts w:hint="eastAsia" w:ascii="新宋体" w:hAnsi="新宋体" w:eastAsia="新宋体" w:cs="新宋体"/>
          <w:szCs w:val="21"/>
        </w:rPr>
      </w:pPr>
      <w:r>
        <w:rPr>
          <w:rFonts w:hint="eastAsia" w:ascii="新宋体" w:hAnsi="新宋体" w:eastAsia="新宋体" w:cs="新宋体"/>
          <w:szCs w:val="21"/>
        </w:rPr>
        <w:t>1、乙方应保证所提供产品及服务内容不会侵犯任何第三方的专利权、商标权、工业设计权或其他权利。</w:t>
      </w:r>
    </w:p>
    <w:p w14:paraId="0455A64C">
      <w:pPr>
        <w:snapToGrid w:val="0"/>
        <w:spacing w:line="400" w:lineRule="exact"/>
        <w:ind w:firstLine="420" w:firstLineChars="200"/>
        <w:rPr>
          <w:rFonts w:hint="eastAsia" w:ascii="新宋体" w:hAnsi="新宋体" w:eastAsia="新宋体" w:cs="新宋体"/>
          <w:szCs w:val="21"/>
        </w:rPr>
      </w:pPr>
      <w:r>
        <w:rPr>
          <w:rFonts w:hint="eastAsia" w:ascii="新宋体" w:hAnsi="新宋体" w:eastAsia="新宋体" w:cs="新宋体"/>
          <w:szCs w:val="21"/>
        </w:rPr>
        <w:t>2、乙方应按竞争性磋商文件规定的时间向甲方提供有关技术资料。</w:t>
      </w:r>
    </w:p>
    <w:p w14:paraId="64D97079">
      <w:pPr>
        <w:snapToGrid w:val="0"/>
        <w:spacing w:line="400" w:lineRule="exact"/>
        <w:ind w:firstLine="420" w:firstLineChars="200"/>
        <w:rPr>
          <w:rFonts w:hint="eastAsia" w:ascii="新宋体" w:hAnsi="新宋体" w:eastAsia="新宋体" w:cs="新宋体"/>
          <w:szCs w:val="21"/>
        </w:rPr>
      </w:pPr>
      <w:r>
        <w:rPr>
          <w:rFonts w:hint="eastAsia" w:ascii="新宋体" w:hAnsi="新宋体" w:eastAsia="新宋体" w:cs="新宋体"/>
          <w:szCs w:val="21"/>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乙方应对承担维护服务的网络和信息系统履行数据安全防护和安全保密义务，不得违规将系统数据用于商业用途、向境外提供系统数据。提供维护服务过程中，应注意防止系统数据暴露于无关人员或完全开发的数据共享接口上。本条款为长期有效条款，不因本合同的解除、终止、被撤销、无效等事由而失去效力。</w:t>
      </w:r>
    </w:p>
    <w:p w14:paraId="04BCBB03">
      <w:pPr>
        <w:snapToGrid w:val="0"/>
        <w:spacing w:line="400" w:lineRule="exact"/>
        <w:ind w:firstLine="422" w:firstLineChars="200"/>
        <w:rPr>
          <w:rFonts w:hint="eastAsia" w:ascii="新宋体" w:hAnsi="新宋体" w:eastAsia="新宋体" w:cs="新宋体"/>
          <w:szCs w:val="21"/>
        </w:rPr>
      </w:pPr>
      <w:r>
        <w:rPr>
          <w:rFonts w:hint="eastAsia" w:ascii="新宋体" w:hAnsi="新宋体" w:eastAsia="新宋体" w:cs="新宋体"/>
          <w:b/>
          <w:szCs w:val="21"/>
        </w:rPr>
        <w:t>第四条　交付和验收</w:t>
      </w:r>
    </w:p>
    <w:p w14:paraId="575F0887">
      <w:pPr>
        <w:snapToGrid w:val="0"/>
        <w:spacing w:line="400" w:lineRule="exact"/>
        <w:ind w:firstLine="420" w:firstLineChars="200"/>
        <w:rPr>
          <w:rFonts w:hint="eastAsia" w:ascii="新宋体" w:hAnsi="新宋体" w:eastAsia="新宋体" w:cs="新宋体"/>
          <w:szCs w:val="21"/>
        </w:rPr>
      </w:pPr>
      <w:r>
        <w:rPr>
          <w:rFonts w:hint="eastAsia" w:ascii="新宋体" w:hAnsi="新宋体" w:eastAsia="新宋体" w:cs="新宋体"/>
          <w:szCs w:val="21"/>
        </w:rPr>
        <w:t>1、交付时间要求：</w:t>
      </w:r>
      <w:r>
        <w:rPr>
          <w:rFonts w:hint="eastAsia" w:ascii="新宋体" w:hAnsi="新宋体" w:eastAsia="新宋体" w:cs="新宋体"/>
          <w:szCs w:val="21"/>
          <w:u w:val="single"/>
        </w:rPr>
        <w:t xml:space="preserve">                    </w:t>
      </w:r>
      <w:r>
        <w:rPr>
          <w:rFonts w:hint="eastAsia" w:ascii="新宋体" w:hAnsi="新宋体" w:eastAsia="新宋体" w:cs="新宋体"/>
          <w:szCs w:val="21"/>
        </w:rPr>
        <w:t>。服务地点：</w:t>
      </w:r>
      <w:r>
        <w:rPr>
          <w:rFonts w:hint="eastAsia" w:ascii="新宋体" w:hAnsi="新宋体" w:eastAsia="新宋体" w:cs="新宋体"/>
          <w:szCs w:val="21"/>
          <w:u w:val="single"/>
        </w:rPr>
        <w:t xml:space="preserve"> 广西区内采购人指定地点 </w:t>
      </w:r>
      <w:r>
        <w:rPr>
          <w:rFonts w:hint="eastAsia" w:ascii="新宋体" w:hAnsi="新宋体" w:eastAsia="新宋体" w:cs="新宋体"/>
          <w:szCs w:val="21"/>
        </w:rPr>
        <w:t>。</w:t>
      </w:r>
    </w:p>
    <w:p w14:paraId="73D703D9">
      <w:pPr>
        <w:snapToGrid w:val="0"/>
        <w:spacing w:line="400" w:lineRule="exact"/>
        <w:ind w:firstLine="420" w:firstLineChars="200"/>
        <w:rPr>
          <w:rFonts w:hint="eastAsia" w:ascii="新宋体" w:hAnsi="新宋体" w:eastAsia="新宋体" w:cs="新宋体"/>
          <w:szCs w:val="21"/>
        </w:rPr>
      </w:pPr>
      <w:r>
        <w:rPr>
          <w:rFonts w:hint="eastAsia" w:ascii="新宋体" w:hAnsi="新宋体" w:eastAsia="新宋体" w:cs="新宋体"/>
          <w:szCs w:val="21"/>
        </w:rPr>
        <w:t>2、乙方提供不符合竞争性磋商文件和本合同规定的产品及服务内容，甲方有权拒绝接受。乙方提供的服务承诺、质量保证及其它具体约定事项，详见竞争性磋商文件、响应文件或者双方签订的补充协议。</w:t>
      </w:r>
    </w:p>
    <w:p w14:paraId="1ABB8FC0">
      <w:pPr>
        <w:snapToGrid w:val="0"/>
        <w:spacing w:line="400" w:lineRule="exact"/>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3、当项目完成后，由乙方向甲方提出验收申请，并同时向甲方提交</w:t>
      </w:r>
      <w:r>
        <w:rPr>
          <w:rFonts w:hint="eastAsia" w:ascii="新宋体" w:hAnsi="新宋体" w:eastAsia="新宋体" w:cs="新宋体"/>
          <w:szCs w:val="21"/>
          <w:u w:val="single"/>
        </w:rPr>
        <w:t xml:space="preserve">                             </w:t>
      </w:r>
      <w:r>
        <w:rPr>
          <w:rFonts w:hint="eastAsia" w:ascii="新宋体" w:hAnsi="新宋体" w:eastAsia="新宋体" w:cs="新宋体"/>
          <w:szCs w:val="21"/>
        </w:rPr>
        <w:t>等验收材料。甲方应当在乙方提交验收申请后</w:t>
      </w:r>
      <w:r>
        <w:rPr>
          <w:rFonts w:hint="eastAsia" w:ascii="新宋体" w:hAnsi="新宋体" w:eastAsia="新宋体" w:cs="新宋体"/>
          <w:szCs w:val="21"/>
          <w:u w:val="single"/>
        </w:rPr>
        <w:t xml:space="preserve"> 20</w:t>
      </w:r>
      <w:r>
        <w:rPr>
          <w:rFonts w:hint="eastAsia" w:ascii="新宋体" w:hAnsi="新宋体" w:eastAsia="新宋体" w:cs="新宋体"/>
          <w:szCs w:val="21"/>
        </w:rPr>
        <w:t>个工作日内进行验收。在验收过程中发现乙方有违约问题，可暂缓资金结算，验收期限也相应顺延，待违约问题解决后，方可办理资金结算事宜。验收合格后由甲乙双方确认的验收代表签署验收单并加盖双方单位公章，甲乙双方各执一份。</w:t>
      </w:r>
    </w:p>
    <w:p w14:paraId="28866C3A">
      <w:pPr>
        <w:snapToGrid w:val="0"/>
        <w:spacing w:line="400" w:lineRule="exact"/>
        <w:ind w:firstLine="420" w:firstLineChars="200"/>
        <w:rPr>
          <w:rFonts w:hint="eastAsia" w:ascii="新宋体" w:hAnsi="新宋体" w:eastAsia="新宋体" w:cs="新宋体"/>
          <w:szCs w:val="21"/>
        </w:rPr>
      </w:pPr>
      <w:r>
        <w:rPr>
          <w:rFonts w:hint="eastAsia" w:ascii="新宋体" w:hAnsi="新宋体" w:eastAsia="新宋体" w:cs="新宋体"/>
          <w:szCs w:val="21"/>
        </w:rPr>
        <w:t>4、甲方委托采购代理机构组织的验收项目，其验收时间以该项目验收方案确定的验收时间为准，验收结果以该项目验收报告结论为准。</w:t>
      </w:r>
    </w:p>
    <w:p w14:paraId="47F2BEBE">
      <w:pPr>
        <w:snapToGrid w:val="0"/>
        <w:spacing w:line="400" w:lineRule="exact"/>
        <w:ind w:firstLine="420" w:firstLineChars="200"/>
        <w:rPr>
          <w:rFonts w:hint="eastAsia" w:ascii="新宋体" w:hAnsi="新宋体" w:eastAsia="新宋体" w:cs="新宋体"/>
          <w:szCs w:val="21"/>
        </w:rPr>
      </w:pPr>
      <w:r>
        <w:rPr>
          <w:rFonts w:hint="eastAsia" w:ascii="新宋体" w:hAnsi="新宋体" w:eastAsia="新宋体" w:cs="新宋体"/>
          <w:szCs w:val="21"/>
        </w:rPr>
        <w:t>5、验收不合格的，甲方在验收后10个工作日内以书面形式向乙方提出整改意见，乙方应自收到甲方书面意见后10日内及时予以整改。</w:t>
      </w:r>
    </w:p>
    <w:p w14:paraId="468C586A">
      <w:pPr>
        <w:snapToGrid w:val="0"/>
        <w:spacing w:line="400" w:lineRule="exact"/>
        <w:ind w:firstLine="420" w:firstLineChars="200"/>
        <w:rPr>
          <w:rFonts w:hint="eastAsia" w:ascii="新宋体" w:hAnsi="新宋体" w:eastAsia="新宋体" w:cs="新宋体"/>
          <w:szCs w:val="21"/>
        </w:rPr>
      </w:pPr>
      <w:r>
        <w:rPr>
          <w:rFonts w:hint="eastAsia" w:ascii="新宋体" w:hAnsi="新宋体" w:eastAsia="新宋体" w:cs="新宋体"/>
          <w:szCs w:val="21"/>
        </w:rPr>
        <w:t>6、验收费用：验收所发生的费用由乙方负责。</w:t>
      </w:r>
    </w:p>
    <w:p w14:paraId="1128A8BC">
      <w:pPr>
        <w:snapToGrid w:val="0"/>
        <w:spacing w:line="400" w:lineRule="exact"/>
        <w:ind w:firstLine="422" w:firstLineChars="200"/>
        <w:rPr>
          <w:rFonts w:hint="eastAsia" w:ascii="新宋体" w:hAnsi="新宋体" w:eastAsia="新宋体" w:cs="新宋体"/>
          <w:b/>
          <w:szCs w:val="21"/>
        </w:rPr>
      </w:pPr>
      <w:r>
        <w:rPr>
          <w:rFonts w:hint="eastAsia" w:ascii="新宋体" w:hAnsi="新宋体" w:eastAsia="新宋体" w:cs="新宋体"/>
          <w:b/>
          <w:szCs w:val="21"/>
        </w:rPr>
        <w:t>第五条　安装和培训</w:t>
      </w:r>
    </w:p>
    <w:p w14:paraId="5FDE000C">
      <w:pPr>
        <w:snapToGrid w:val="0"/>
        <w:spacing w:line="400" w:lineRule="exact"/>
        <w:ind w:firstLine="420" w:firstLineChars="200"/>
        <w:rPr>
          <w:rFonts w:hint="eastAsia" w:ascii="新宋体" w:hAnsi="新宋体" w:eastAsia="新宋体" w:cs="新宋体"/>
          <w:szCs w:val="21"/>
        </w:rPr>
      </w:pPr>
      <w:r>
        <w:rPr>
          <w:rFonts w:hint="eastAsia" w:ascii="新宋体" w:hAnsi="新宋体" w:eastAsia="新宋体" w:cs="新宋体"/>
          <w:szCs w:val="21"/>
        </w:rPr>
        <w:t>甲方应提供必要安装条件（如场地、电源、水源等），并协调信息系统相关集成商、开发商提供协助以便开展项目实施工作，乙方对安装条件有特殊要求的，应及时向甲方书面提出，否则视为甲方提供的安装条件已符合合同要求。</w:t>
      </w:r>
    </w:p>
    <w:p w14:paraId="62B4BEB3">
      <w:pPr>
        <w:snapToGrid w:val="0"/>
        <w:spacing w:line="400" w:lineRule="exact"/>
        <w:ind w:firstLine="422" w:firstLineChars="200"/>
        <w:rPr>
          <w:rFonts w:hint="eastAsia" w:ascii="新宋体" w:hAnsi="新宋体" w:eastAsia="新宋体" w:cs="新宋体"/>
          <w:b/>
          <w:szCs w:val="21"/>
        </w:rPr>
      </w:pPr>
      <w:r>
        <w:rPr>
          <w:rFonts w:hint="eastAsia" w:ascii="新宋体" w:hAnsi="新宋体" w:eastAsia="新宋体" w:cs="新宋体"/>
          <w:b/>
          <w:szCs w:val="21"/>
        </w:rPr>
        <w:t>第六条  质量保证及售后服务</w:t>
      </w:r>
    </w:p>
    <w:p w14:paraId="4B04B9E9">
      <w:pPr>
        <w:snapToGrid w:val="0"/>
        <w:spacing w:line="400" w:lineRule="exact"/>
        <w:ind w:firstLine="420" w:firstLineChars="200"/>
        <w:rPr>
          <w:rFonts w:hint="eastAsia" w:ascii="新宋体" w:hAnsi="新宋体" w:eastAsia="新宋体" w:cs="新宋体"/>
          <w:szCs w:val="21"/>
        </w:rPr>
      </w:pPr>
      <w:r>
        <w:rPr>
          <w:rFonts w:hint="eastAsia" w:ascii="新宋体" w:hAnsi="新宋体" w:eastAsia="新宋体" w:cs="新宋体"/>
          <w:szCs w:val="21"/>
        </w:rPr>
        <w:t>1、乙方应按竞争性磋商文件规定的产品及服务内容、技术要求、质量标准向甲方提供相应服务。产品达不到竞争性磋商文件规定的质量、技术要求者，根据实际情况，经双方协商，可按以下办法处理：</w:t>
      </w:r>
    </w:p>
    <w:p w14:paraId="0F5CF42B">
      <w:pPr>
        <w:snapToGrid w:val="0"/>
        <w:spacing w:line="400" w:lineRule="exact"/>
        <w:ind w:firstLine="422"/>
        <w:rPr>
          <w:rFonts w:hint="eastAsia" w:ascii="新宋体" w:hAnsi="新宋体" w:eastAsia="新宋体" w:cs="新宋体"/>
          <w:szCs w:val="21"/>
        </w:rPr>
      </w:pPr>
      <w:r>
        <w:rPr>
          <w:rFonts w:hint="eastAsia" w:ascii="新宋体" w:hAnsi="新宋体" w:eastAsia="新宋体" w:cs="新宋体"/>
          <w:szCs w:val="21"/>
        </w:rPr>
        <w:t>　　（1）重新提供服务：由乙方承担所发生的全部费用。</w:t>
      </w:r>
    </w:p>
    <w:p w14:paraId="7C0FC4E6">
      <w:pPr>
        <w:snapToGrid w:val="0"/>
        <w:spacing w:line="400" w:lineRule="exact"/>
        <w:ind w:firstLine="420" w:firstLineChars="200"/>
        <w:rPr>
          <w:rFonts w:hint="eastAsia" w:ascii="新宋体" w:hAnsi="新宋体" w:eastAsia="新宋体" w:cs="新宋体"/>
          <w:szCs w:val="21"/>
        </w:rPr>
      </w:pPr>
      <w:r>
        <w:rPr>
          <w:rFonts w:hint="eastAsia" w:ascii="新宋体" w:hAnsi="新宋体" w:eastAsia="新宋体" w:cs="新宋体"/>
          <w:szCs w:val="21"/>
        </w:rPr>
        <w:t>（2）贬值处理：由甲乙双方合议定价。</w:t>
      </w:r>
    </w:p>
    <w:p w14:paraId="04019D00">
      <w:pPr>
        <w:snapToGrid w:val="0"/>
        <w:spacing w:line="400" w:lineRule="exact"/>
        <w:ind w:firstLine="420" w:firstLineChars="200"/>
        <w:rPr>
          <w:rFonts w:hint="eastAsia" w:ascii="新宋体" w:hAnsi="新宋体" w:eastAsia="新宋体" w:cs="新宋体"/>
          <w:szCs w:val="21"/>
        </w:rPr>
      </w:pPr>
      <w:r>
        <w:rPr>
          <w:rFonts w:hint="eastAsia" w:ascii="新宋体" w:hAnsi="新宋体" w:eastAsia="新宋体" w:cs="新宋体"/>
          <w:szCs w:val="21"/>
        </w:rPr>
        <w:t>乙方应按照国家有关法律法规和“三包”规定以及竞争性磋商文件和本合同所附的《售后服务承诺》，为甲方提供售后服务。</w:t>
      </w:r>
    </w:p>
    <w:p w14:paraId="4CF0BCC6">
      <w:pPr>
        <w:snapToGrid w:val="0"/>
        <w:spacing w:line="400" w:lineRule="exact"/>
        <w:ind w:firstLine="420" w:firstLineChars="200"/>
        <w:rPr>
          <w:rFonts w:hint="eastAsia" w:ascii="新宋体" w:hAnsi="新宋体" w:eastAsia="新宋体" w:cs="新宋体"/>
          <w:szCs w:val="21"/>
          <w:u w:val="single"/>
        </w:rPr>
      </w:pPr>
      <w:r>
        <w:rPr>
          <w:rFonts w:hint="eastAsia" w:ascii="新宋体" w:hAnsi="新宋体" w:eastAsia="新宋体" w:cs="新宋体"/>
          <w:szCs w:val="21"/>
        </w:rPr>
        <w:t>2、如在使用过程中发生运维技术问题，乙方在接到甲方通知后，</w:t>
      </w:r>
      <w:r>
        <w:rPr>
          <w:rFonts w:hint="eastAsia" w:ascii="新宋体" w:hAnsi="新宋体" w:eastAsia="新宋体" w:cs="新宋体"/>
          <w:szCs w:val="21"/>
          <w:u w:val="single"/>
        </w:rPr>
        <w:t xml:space="preserve">     分钟内实质响应；    最终修复从报修时间算起不能超过     小时</w:t>
      </w:r>
      <w:r>
        <w:rPr>
          <w:rFonts w:hint="eastAsia" w:ascii="新宋体" w:hAnsi="新宋体" w:eastAsia="新宋体" w:cs="新宋体"/>
          <w:szCs w:val="21"/>
        </w:rPr>
        <w:t>。</w:t>
      </w:r>
      <w:r>
        <w:rPr>
          <w:rFonts w:hint="eastAsia" w:ascii="新宋体" w:hAnsi="新宋体" w:eastAsia="新宋体" w:cs="新宋体"/>
        </w:rPr>
        <w:t>如乙方未能按时间要求逾期响应或无法修复的，视为乙方违约，按逾期提供服务确定违约责任和处理措施；乙方逾期响应或拒绝修复的，甲方可聘请第三方修复，由此产生的费用由乙方承担，甲方可直接在履约保证金中扣减，不足部分有权向乙方要求补足。</w:t>
      </w:r>
    </w:p>
    <w:p w14:paraId="4A86E579">
      <w:pPr>
        <w:snapToGrid w:val="0"/>
        <w:spacing w:line="400" w:lineRule="exact"/>
        <w:ind w:firstLine="422" w:firstLineChars="200"/>
        <w:rPr>
          <w:rFonts w:hint="eastAsia" w:ascii="新宋体" w:hAnsi="新宋体" w:eastAsia="新宋体" w:cs="新宋体"/>
          <w:szCs w:val="21"/>
        </w:rPr>
      </w:pPr>
      <w:r>
        <w:rPr>
          <w:rFonts w:hint="eastAsia" w:ascii="新宋体" w:hAnsi="新宋体" w:eastAsia="新宋体" w:cs="新宋体"/>
          <w:b/>
          <w:szCs w:val="21"/>
        </w:rPr>
        <w:t>第七条　合同费用和付款方式</w:t>
      </w:r>
    </w:p>
    <w:p w14:paraId="341E423A">
      <w:pPr>
        <w:snapToGrid w:val="0"/>
        <w:spacing w:line="400" w:lineRule="exact"/>
        <w:ind w:firstLine="420" w:firstLineChars="200"/>
        <w:rPr>
          <w:rFonts w:hint="eastAsia" w:ascii="新宋体" w:hAnsi="新宋体" w:eastAsia="新宋体" w:cs="新宋体"/>
          <w:kern w:val="0"/>
          <w:sz w:val="20"/>
          <w:szCs w:val="21"/>
        </w:rPr>
      </w:pPr>
      <w:r>
        <w:rPr>
          <w:rFonts w:hint="eastAsia" w:ascii="新宋体" w:hAnsi="新宋体" w:eastAsia="新宋体" w:cs="新宋体"/>
          <w:bCs/>
          <w:kern w:val="0"/>
          <w:szCs w:val="21"/>
        </w:rPr>
        <w:t>1、</w:t>
      </w:r>
      <w:r>
        <w:rPr>
          <w:rFonts w:hint="eastAsia" w:ascii="新宋体" w:hAnsi="新宋体" w:eastAsia="新宋体" w:cs="新宋体"/>
          <w:kern w:val="0"/>
          <w:szCs w:val="21"/>
        </w:rPr>
        <w:t>本项目合同金额为：人民币大写</w:t>
      </w:r>
      <w:r>
        <w:rPr>
          <w:rFonts w:hint="eastAsia" w:ascii="新宋体" w:hAnsi="新宋体" w:eastAsia="新宋体" w:cs="新宋体"/>
          <w:kern w:val="0"/>
          <w:szCs w:val="21"/>
          <w:u w:val="single"/>
        </w:rPr>
        <w:t xml:space="preserve">      元整</w:t>
      </w:r>
      <w:r>
        <w:rPr>
          <w:rFonts w:hint="eastAsia" w:ascii="新宋体" w:hAnsi="新宋体" w:eastAsia="新宋体" w:cs="新宋体"/>
          <w:kern w:val="0"/>
          <w:szCs w:val="21"/>
        </w:rPr>
        <w:t>，小写</w:t>
      </w:r>
      <w:r>
        <w:rPr>
          <w:rFonts w:hint="eastAsia" w:ascii="新宋体" w:hAnsi="新宋体" w:eastAsia="新宋体" w:cs="新宋体"/>
          <w:kern w:val="0"/>
          <w:szCs w:val="21"/>
          <w:u w:val="single"/>
        </w:rPr>
        <w:t xml:space="preserve">¥       </w:t>
      </w:r>
      <w:r>
        <w:rPr>
          <w:rFonts w:hint="eastAsia" w:ascii="新宋体" w:hAnsi="新宋体" w:eastAsia="新宋体" w:cs="新宋体"/>
          <w:kern w:val="0"/>
          <w:szCs w:val="21"/>
        </w:rPr>
        <w:t>元。包括为完成本合同所发生的一切费用（含完成合同项目过程中所需的知识产权、劳务、运输、旅差、管理、材料、维护、保险、维护期内所有升级、技术支持等相关服务费用、验收专家劳务费、验收会务费、利润、税金、政策性文件规定及合同包含的应有风险、责任和招标代理服务费等服务业务及其它所有成本费用等各种费用在内）。</w:t>
      </w:r>
    </w:p>
    <w:p w14:paraId="07DF7ACC">
      <w:pPr>
        <w:snapToGrid w:val="0"/>
        <w:spacing w:line="400" w:lineRule="exact"/>
        <w:ind w:firstLine="420" w:firstLineChars="200"/>
        <w:rPr>
          <w:rFonts w:hint="eastAsia" w:ascii="新宋体" w:hAnsi="新宋体" w:eastAsia="新宋体" w:cs="新宋体"/>
          <w:szCs w:val="21"/>
          <w:u w:val="single"/>
        </w:rPr>
      </w:pPr>
      <w:r>
        <w:rPr>
          <w:rFonts w:hint="eastAsia" w:ascii="新宋体" w:hAnsi="新宋体" w:eastAsia="新宋体" w:cs="新宋体"/>
          <w:szCs w:val="21"/>
        </w:rPr>
        <w:t>2、资金性质：</w:t>
      </w:r>
      <w:r>
        <w:rPr>
          <w:rFonts w:hint="eastAsia" w:ascii="新宋体" w:hAnsi="新宋体" w:eastAsia="新宋体" w:cs="新宋体"/>
          <w:szCs w:val="21"/>
          <w:u w:val="single"/>
        </w:rPr>
        <w:t>财政资金</w:t>
      </w:r>
      <w:r>
        <w:rPr>
          <w:rFonts w:hint="eastAsia" w:ascii="新宋体" w:hAnsi="新宋体" w:eastAsia="新宋体" w:cs="新宋体"/>
          <w:szCs w:val="21"/>
        </w:rPr>
        <w:t>。</w:t>
      </w:r>
    </w:p>
    <w:p w14:paraId="2376A1C7">
      <w:pPr>
        <w:snapToGrid w:val="0"/>
        <w:spacing w:line="400" w:lineRule="exact"/>
        <w:ind w:right="33" w:firstLine="420" w:firstLineChars="200"/>
        <w:rPr>
          <w:rFonts w:hint="eastAsia" w:ascii="新宋体" w:hAnsi="新宋体" w:eastAsia="新宋体" w:cs="新宋体"/>
          <w:szCs w:val="21"/>
        </w:rPr>
      </w:pPr>
      <w:r>
        <w:rPr>
          <w:rFonts w:hint="eastAsia" w:ascii="新宋体" w:hAnsi="新宋体" w:eastAsia="新宋体" w:cs="新宋体"/>
          <w:szCs w:val="21"/>
        </w:rPr>
        <w:t>3、付款方式：</w:t>
      </w:r>
    </w:p>
    <w:p w14:paraId="19291594">
      <w:pPr>
        <w:snapToGrid w:val="0"/>
        <w:spacing w:line="400" w:lineRule="exact"/>
        <w:ind w:right="33" w:firstLine="420" w:firstLineChars="200"/>
        <w:rPr>
          <w:rFonts w:hint="eastAsia" w:ascii="新宋体" w:hAnsi="新宋体" w:eastAsia="新宋体" w:cs="新宋体"/>
        </w:rPr>
      </w:pPr>
      <w:r>
        <w:rPr>
          <w:rFonts w:hint="eastAsia" w:ascii="新宋体" w:hAnsi="新宋体" w:eastAsia="新宋体" w:cs="新宋体"/>
        </w:rPr>
        <w:t>履约保证金：按成交金额的  /  %收取。</w:t>
      </w:r>
    </w:p>
    <w:p w14:paraId="582D90C7">
      <w:pPr>
        <w:snapToGrid w:val="0"/>
        <w:spacing w:line="400" w:lineRule="exact"/>
        <w:ind w:right="33" w:firstLine="420" w:firstLineChars="200"/>
        <w:rPr>
          <w:rFonts w:hint="eastAsia" w:ascii="新宋体" w:hAnsi="新宋体" w:eastAsia="新宋体" w:cs="新宋体"/>
        </w:rPr>
      </w:pPr>
      <w:r>
        <w:rPr>
          <w:rFonts w:hint="eastAsia" w:ascii="新宋体" w:hAnsi="新宋体" w:eastAsia="新宋体" w:cs="新宋体"/>
        </w:rPr>
        <w:t>履约保证金提交方式为，银行转账、支票、汇票、本票或者金融、担保机构出具的保函等非现金方式。待合同履行完毕通过验收后，如无违约问题，甲方在收到乙方退还履约保证金申请后的</w:t>
      </w:r>
      <w:r>
        <w:rPr>
          <w:rFonts w:ascii="新宋体" w:hAnsi="新宋体" w:eastAsia="新宋体" w:cs="新宋体"/>
        </w:rPr>
        <w:t>15个工作日内无息返还。</w:t>
      </w:r>
    </w:p>
    <w:p w14:paraId="6717FD1B">
      <w:pPr>
        <w:snapToGrid w:val="0"/>
        <w:spacing w:line="400" w:lineRule="exact"/>
        <w:ind w:right="33" w:firstLine="420" w:firstLineChars="200"/>
        <w:rPr>
          <w:rFonts w:hint="eastAsia" w:ascii="新宋体" w:hAnsi="新宋体" w:eastAsia="新宋体" w:cs="新宋体"/>
        </w:rPr>
      </w:pPr>
      <w:r>
        <w:rPr>
          <w:rFonts w:hint="eastAsia" w:ascii="新宋体" w:hAnsi="新宋体" w:eastAsia="新宋体" w:cs="新宋体"/>
        </w:rPr>
        <w:t>合同签订后10</w:t>
      </w:r>
      <w:r>
        <w:rPr>
          <w:rFonts w:ascii="新宋体" w:hAnsi="新宋体" w:eastAsia="新宋体" w:cs="新宋体"/>
        </w:rPr>
        <w:t>个工作日内甲方支付</w:t>
      </w:r>
      <w:r>
        <w:rPr>
          <w:rFonts w:hint="eastAsia" w:ascii="新宋体" w:hAnsi="新宋体" w:eastAsia="新宋体" w:cs="新宋体"/>
          <w:u w:val="single"/>
        </w:rPr>
        <w:t>合同总金额50</w:t>
      </w:r>
      <w:r>
        <w:rPr>
          <w:rFonts w:ascii="新宋体" w:hAnsi="新宋体" w:eastAsia="新宋体" w:cs="新宋体"/>
          <w:u w:val="single"/>
        </w:rPr>
        <w:t xml:space="preserve">%即人民币              </w:t>
      </w:r>
      <w:r>
        <w:rPr>
          <w:rFonts w:hint="eastAsia" w:ascii="新宋体" w:hAnsi="新宋体" w:eastAsia="新宋体" w:cs="新宋体"/>
          <w:u w:val="single"/>
        </w:rPr>
        <w:t>元整（¥</w:t>
      </w:r>
      <w:r>
        <w:rPr>
          <w:rFonts w:ascii="新宋体" w:hAnsi="新宋体" w:eastAsia="新宋体" w:cs="新宋体"/>
          <w:u w:val="single"/>
        </w:rPr>
        <w:t xml:space="preserve">      </w:t>
      </w:r>
      <w:r>
        <w:rPr>
          <w:rFonts w:hint="eastAsia" w:ascii="新宋体" w:hAnsi="新宋体" w:eastAsia="新宋体" w:cs="新宋体"/>
          <w:u w:val="single"/>
        </w:rPr>
        <w:t>元）</w:t>
      </w:r>
      <w:r>
        <w:rPr>
          <w:rFonts w:hint="eastAsia" w:ascii="新宋体" w:hAnsi="新宋体" w:eastAsia="新宋体" w:cs="新宋体"/>
        </w:rPr>
        <w:t>，在完成</w:t>
      </w:r>
      <w:r>
        <w:rPr>
          <w:rFonts w:ascii="新宋体" w:hAnsi="新宋体" w:eastAsia="新宋体" w:cs="新宋体"/>
          <w:u w:val="single"/>
        </w:rPr>
        <w:t xml:space="preserve">          </w:t>
      </w:r>
      <w:r>
        <w:rPr>
          <w:rFonts w:hint="eastAsia" w:ascii="新宋体" w:hAnsi="新宋体" w:eastAsia="新宋体" w:cs="新宋体"/>
        </w:rPr>
        <w:t>后，支付</w:t>
      </w:r>
      <w:r>
        <w:rPr>
          <w:rFonts w:hint="eastAsia" w:ascii="新宋体" w:hAnsi="新宋体" w:eastAsia="新宋体" w:cs="新宋体"/>
          <w:u w:val="single"/>
        </w:rPr>
        <w:t>合同总金额</w:t>
      </w:r>
      <w:r>
        <w:rPr>
          <w:rFonts w:ascii="新宋体" w:hAnsi="新宋体" w:eastAsia="新宋体" w:cs="新宋体"/>
          <w:u w:val="single"/>
        </w:rPr>
        <w:t xml:space="preserve">   %即人民币       </w:t>
      </w:r>
      <w:r>
        <w:rPr>
          <w:rFonts w:hint="eastAsia" w:ascii="新宋体" w:hAnsi="新宋体" w:eastAsia="新宋体" w:cs="新宋体"/>
          <w:u w:val="single"/>
        </w:rPr>
        <w:t>元整（¥</w:t>
      </w:r>
      <w:r>
        <w:rPr>
          <w:rFonts w:ascii="新宋体" w:hAnsi="新宋体" w:eastAsia="新宋体" w:cs="新宋体"/>
          <w:u w:val="single"/>
        </w:rPr>
        <w:t xml:space="preserve">      </w:t>
      </w:r>
      <w:r>
        <w:rPr>
          <w:rFonts w:hint="eastAsia" w:ascii="新宋体" w:hAnsi="新宋体" w:eastAsia="新宋体" w:cs="新宋体"/>
          <w:u w:val="single"/>
        </w:rPr>
        <w:t>元）</w:t>
      </w:r>
      <w:r>
        <w:rPr>
          <w:rFonts w:hint="eastAsia" w:ascii="新宋体" w:hAnsi="新宋体" w:eastAsia="新宋体" w:cs="新宋体"/>
        </w:rPr>
        <w:t>，项目通过验收后，支付</w:t>
      </w:r>
      <w:r>
        <w:rPr>
          <w:rFonts w:hint="eastAsia" w:ascii="新宋体" w:hAnsi="新宋体" w:eastAsia="新宋体" w:cs="新宋体"/>
          <w:u w:val="single"/>
        </w:rPr>
        <w:t>合同总金额</w:t>
      </w:r>
      <w:r>
        <w:rPr>
          <w:rFonts w:ascii="新宋体" w:hAnsi="新宋体" w:eastAsia="新宋体" w:cs="新宋体"/>
          <w:u w:val="single"/>
        </w:rPr>
        <w:t xml:space="preserve">     %即人民币       </w:t>
      </w:r>
      <w:r>
        <w:rPr>
          <w:rFonts w:hint="eastAsia" w:ascii="新宋体" w:hAnsi="新宋体" w:eastAsia="新宋体" w:cs="新宋体"/>
          <w:u w:val="single"/>
        </w:rPr>
        <w:t>元整（¥</w:t>
      </w:r>
      <w:r>
        <w:rPr>
          <w:rFonts w:ascii="新宋体" w:hAnsi="新宋体" w:eastAsia="新宋体" w:cs="新宋体"/>
          <w:u w:val="single"/>
        </w:rPr>
        <w:t xml:space="preserve">      </w:t>
      </w:r>
      <w:r>
        <w:rPr>
          <w:rFonts w:hint="eastAsia" w:ascii="新宋体" w:hAnsi="新宋体" w:eastAsia="新宋体" w:cs="新宋体"/>
          <w:u w:val="single"/>
        </w:rPr>
        <w:t>元）</w:t>
      </w:r>
      <w:r>
        <w:rPr>
          <w:rFonts w:hint="eastAsia" w:ascii="新宋体" w:hAnsi="新宋体" w:eastAsia="新宋体" w:cs="新宋体"/>
        </w:rPr>
        <w:t>。满足合同约定支付条件时，应由乙方向甲方提出付款申请，并开具合法足额的完税发票，否则甲方有权暂不付款且不视为甲方违约，甲方在收到付款申请和发票后</w:t>
      </w:r>
      <w:r>
        <w:rPr>
          <w:rFonts w:ascii="新宋体" w:hAnsi="新宋体" w:eastAsia="新宋体" w:cs="新宋体"/>
          <w:u w:val="single"/>
        </w:rPr>
        <w:t xml:space="preserve"> 5 </w:t>
      </w:r>
      <w:r>
        <w:rPr>
          <w:rFonts w:hint="eastAsia" w:ascii="新宋体" w:hAnsi="新宋体" w:eastAsia="新宋体" w:cs="新宋体"/>
        </w:rPr>
        <w:t>个工作日内通过银行转帐支付给乙方。</w:t>
      </w:r>
    </w:p>
    <w:p w14:paraId="1E55D458">
      <w:pPr>
        <w:snapToGrid w:val="0"/>
        <w:spacing w:line="400" w:lineRule="exact"/>
        <w:ind w:firstLine="420" w:firstLineChars="200"/>
        <w:rPr>
          <w:rFonts w:hint="eastAsia" w:ascii="新宋体" w:hAnsi="新宋体" w:eastAsia="新宋体" w:cs="新宋体"/>
        </w:rPr>
      </w:pPr>
      <w:r>
        <w:rPr>
          <w:rFonts w:hint="eastAsia" w:ascii="新宋体" w:hAnsi="新宋体" w:eastAsia="新宋体" w:cs="新宋体"/>
        </w:rPr>
        <w:t>4、银行账户信息</w:t>
      </w:r>
    </w:p>
    <w:p w14:paraId="5DBFFE25">
      <w:pPr>
        <w:snapToGrid w:val="0"/>
        <w:spacing w:line="400" w:lineRule="exact"/>
        <w:ind w:firstLine="420" w:firstLineChars="200"/>
        <w:rPr>
          <w:rFonts w:hint="eastAsia" w:ascii="新宋体" w:hAnsi="新宋体" w:eastAsia="新宋体" w:cs="新宋体"/>
          <w:szCs w:val="21"/>
        </w:rPr>
      </w:pPr>
      <w:r>
        <w:rPr>
          <w:rFonts w:hint="eastAsia" w:ascii="新宋体" w:hAnsi="新宋体" w:eastAsia="新宋体" w:cs="新宋体"/>
          <w:szCs w:val="21"/>
        </w:rPr>
        <w:t>（1）乙方银行账户信息：</w:t>
      </w:r>
    </w:p>
    <w:p w14:paraId="2985CAE7">
      <w:pPr>
        <w:snapToGrid w:val="0"/>
        <w:spacing w:line="400" w:lineRule="exact"/>
        <w:ind w:firstLine="420" w:firstLineChars="200"/>
        <w:rPr>
          <w:rFonts w:hint="eastAsia" w:ascii="新宋体" w:hAnsi="新宋体" w:eastAsia="新宋体" w:cs="新宋体"/>
          <w:szCs w:val="21"/>
        </w:rPr>
      </w:pPr>
      <w:r>
        <w:rPr>
          <w:rFonts w:hint="eastAsia" w:ascii="新宋体" w:hAnsi="新宋体" w:eastAsia="新宋体" w:cs="新宋体"/>
          <w:szCs w:val="21"/>
        </w:rPr>
        <w:t xml:space="preserve">开户名称： </w:t>
      </w:r>
    </w:p>
    <w:p w14:paraId="0CC5C442">
      <w:pPr>
        <w:snapToGrid w:val="0"/>
        <w:spacing w:line="400" w:lineRule="exact"/>
        <w:ind w:firstLine="420" w:firstLineChars="200"/>
        <w:rPr>
          <w:rFonts w:hint="eastAsia" w:ascii="新宋体" w:hAnsi="新宋体" w:eastAsia="新宋体" w:cs="新宋体"/>
          <w:szCs w:val="21"/>
        </w:rPr>
      </w:pPr>
      <w:r>
        <w:rPr>
          <w:rFonts w:hint="eastAsia" w:ascii="新宋体" w:hAnsi="新宋体" w:eastAsia="新宋体" w:cs="新宋体"/>
          <w:szCs w:val="21"/>
        </w:rPr>
        <w:t xml:space="preserve">开户银行： </w:t>
      </w:r>
    </w:p>
    <w:p w14:paraId="1A06BE44">
      <w:pPr>
        <w:snapToGrid w:val="0"/>
        <w:spacing w:line="400" w:lineRule="exact"/>
        <w:ind w:firstLine="420" w:firstLineChars="200"/>
        <w:rPr>
          <w:rFonts w:hint="eastAsia" w:ascii="新宋体" w:hAnsi="新宋体" w:eastAsia="新宋体" w:cs="新宋体"/>
          <w:szCs w:val="21"/>
        </w:rPr>
      </w:pPr>
      <w:r>
        <w:rPr>
          <w:rFonts w:hint="eastAsia" w:ascii="新宋体" w:hAnsi="新宋体" w:eastAsia="新宋体" w:cs="新宋体"/>
          <w:szCs w:val="21"/>
        </w:rPr>
        <w:t xml:space="preserve">银行账号： </w:t>
      </w:r>
    </w:p>
    <w:p w14:paraId="0FBE0994">
      <w:pPr>
        <w:snapToGrid w:val="0"/>
        <w:spacing w:line="400" w:lineRule="exact"/>
        <w:ind w:firstLine="420" w:firstLineChars="200"/>
        <w:rPr>
          <w:rFonts w:hint="eastAsia" w:ascii="新宋体" w:hAnsi="新宋体" w:eastAsia="新宋体" w:cs="新宋体"/>
          <w:szCs w:val="21"/>
        </w:rPr>
      </w:pPr>
      <w:r>
        <w:rPr>
          <w:rFonts w:hint="eastAsia" w:ascii="新宋体" w:hAnsi="新宋体" w:eastAsia="新宋体" w:cs="新宋体"/>
          <w:szCs w:val="21"/>
        </w:rPr>
        <w:t>（2）甲方收款银行账户信息</w:t>
      </w:r>
    </w:p>
    <w:p w14:paraId="08822233">
      <w:pPr>
        <w:snapToGrid w:val="0"/>
        <w:spacing w:line="400" w:lineRule="exact"/>
        <w:ind w:firstLine="420" w:firstLineChars="200"/>
        <w:rPr>
          <w:rFonts w:hint="eastAsia" w:ascii="新宋体" w:hAnsi="新宋体" w:eastAsia="新宋体" w:cs="新宋体"/>
          <w:szCs w:val="21"/>
        </w:rPr>
      </w:pPr>
      <w:r>
        <w:rPr>
          <w:rFonts w:hint="eastAsia" w:ascii="新宋体" w:hAnsi="新宋体" w:eastAsia="新宋体" w:cs="新宋体"/>
          <w:szCs w:val="21"/>
        </w:rPr>
        <w:t>开户名称：广西壮族自治区港航发展中心</w:t>
      </w:r>
    </w:p>
    <w:p w14:paraId="0366B12F">
      <w:pPr>
        <w:snapToGrid w:val="0"/>
        <w:spacing w:line="400" w:lineRule="exact"/>
        <w:ind w:firstLine="420" w:firstLineChars="200"/>
        <w:rPr>
          <w:rFonts w:hint="eastAsia" w:ascii="新宋体" w:hAnsi="新宋体" w:eastAsia="新宋体" w:cs="新宋体"/>
          <w:szCs w:val="21"/>
        </w:rPr>
      </w:pPr>
      <w:r>
        <w:rPr>
          <w:rFonts w:hint="eastAsia" w:ascii="新宋体" w:hAnsi="新宋体" w:eastAsia="新宋体" w:cs="新宋体"/>
          <w:szCs w:val="21"/>
        </w:rPr>
        <w:t>开户银行：工商银行南宁市枫林路支行</w:t>
      </w:r>
    </w:p>
    <w:p w14:paraId="15A80376">
      <w:pPr>
        <w:snapToGrid w:val="0"/>
        <w:spacing w:line="400" w:lineRule="exact"/>
        <w:ind w:firstLine="420" w:firstLineChars="200"/>
        <w:rPr>
          <w:rFonts w:hint="eastAsia" w:ascii="新宋体" w:hAnsi="新宋体" w:eastAsia="新宋体" w:cs="新宋体"/>
          <w:szCs w:val="21"/>
        </w:rPr>
      </w:pPr>
      <w:r>
        <w:rPr>
          <w:rFonts w:hint="eastAsia" w:ascii="新宋体" w:hAnsi="新宋体" w:eastAsia="新宋体" w:cs="新宋体"/>
          <w:szCs w:val="21"/>
        </w:rPr>
        <w:t>收款账号：2102 1011 0922 1001 515</w:t>
      </w:r>
    </w:p>
    <w:p w14:paraId="69997FDC">
      <w:pPr>
        <w:snapToGrid w:val="0"/>
        <w:spacing w:line="400" w:lineRule="exact"/>
        <w:ind w:firstLine="420" w:firstLineChars="200"/>
        <w:rPr>
          <w:rFonts w:hint="eastAsia" w:ascii="新宋体" w:hAnsi="新宋体" w:eastAsia="新宋体" w:cs="新宋体"/>
          <w:szCs w:val="21"/>
        </w:rPr>
      </w:pPr>
      <w:r>
        <w:rPr>
          <w:rFonts w:hint="eastAsia" w:ascii="新宋体" w:hAnsi="新宋体" w:eastAsia="新宋体" w:cs="新宋体"/>
          <w:szCs w:val="21"/>
        </w:rPr>
        <w:t>在合同履行期间，若乙方的开户名称、开户银行、收款账号发生变更的，应当在变更当日书面告知甲方，否则由此产生的损失后果由乙方承担。甲方不接受乙方委托第三方收款。</w:t>
      </w:r>
    </w:p>
    <w:p w14:paraId="40CB0B64">
      <w:pPr>
        <w:snapToGrid w:val="0"/>
        <w:spacing w:line="400" w:lineRule="exact"/>
        <w:ind w:firstLine="422" w:firstLineChars="200"/>
        <w:rPr>
          <w:rFonts w:hint="eastAsia" w:ascii="新宋体" w:hAnsi="新宋体" w:eastAsia="新宋体" w:cs="新宋体"/>
          <w:b/>
          <w:szCs w:val="21"/>
        </w:rPr>
      </w:pPr>
      <w:r>
        <w:rPr>
          <w:rFonts w:hint="eastAsia" w:ascii="新宋体" w:hAnsi="新宋体" w:eastAsia="新宋体" w:cs="新宋体"/>
          <w:b/>
          <w:szCs w:val="21"/>
        </w:rPr>
        <w:t>第八条　税费</w:t>
      </w:r>
    </w:p>
    <w:p w14:paraId="4880C774">
      <w:pPr>
        <w:snapToGrid w:val="0"/>
        <w:spacing w:line="400" w:lineRule="exact"/>
        <w:ind w:firstLine="420" w:firstLineChars="200"/>
        <w:rPr>
          <w:rFonts w:hint="eastAsia" w:ascii="新宋体" w:hAnsi="新宋体" w:eastAsia="新宋体" w:cs="新宋体"/>
          <w:szCs w:val="21"/>
        </w:rPr>
      </w:pPr>
      <w:r>
        <w:rPr>
          <w:rFonts w:hint="eastAsia" w:ascii="新宋体" w:hAnsi="新宋体" w:eastAsia="新宋体" w:cs="新宋体"/>
          <w:szCs w:val="21"/>
        </w:rPr>
        <w:t>本合同执行中相关的一切税费均由乙方负担。</w:t>
      </w:r>
    </w:p>
    <w:p w14:paraId="0F709BF6">
      <w:pPr>
        <w:snapToGrid w:val="0"/>
        <w:spacing w:line="400" w:lineRule="exact"/>
        <w:ind w:firstLine="422" w:firstLineChars="200"/>
        <w:rPr>
          <w:rFonts w:hint="eastAsia" w:ascii="新宋体" w:hAnsi="新宋体" w:eastAsia="新宋体" w:cs="新宋体"/>
          <w:b/>
          <w:szCs w:val="21"/>
        </w:rPr>
      </w:pPr>
      <w:r>
        <w:rPr>
          <w:rFonts w:hint="eastAsia" w:ascii="新宋体" w:hAnsi="新宋体" w:eastAsia="新宋体" w:cs="新宋体"/>
          <w:b/>
          <w:szCs w:val="21"/>
        </w:rPr>
        <w:t>第九条  违约责任</w:t>
      </w:r>
    </w:p>
    <w:p w14:paraId="6E1BF8A4">
      <w:pPr>
        <w:snapToGrid w:val="0"/>
        <w:spacing w:line="400" w:lineRule="exact"/>
        <w:ind w:firstLine="525" w:firstLineChars="250"/>
        <w:rPr>
          <w:rFonts w:hint="eastAsia" w:ascii="新宋体" w:hAnsi="新宋体" w:eastAsia="新宋体" w:cs="新宋体"/>
          <w:szCs w:val="21"/>
        </w:rPr>
      </w:pPr>
      <w:r>
        <w:rPr>
          <w:rFonts w:hint="eastAsia" w:ascii="新宋体" w:hAnsi="新宋体" w:eastAsia="新宋体" w:cs="新宋体"/>
          <w:szCs w:val="21"/>
        </w:rPr>
        <w:t xml:space="preserve">1、乙方所提供的产品及服务内容、技术标准、材料等质量不合格的，或者未按本合同和竞争性磋商采购、响应文件规定的技术要求和服务承诺提供产品及服务的，应按照甲方规定时限整改，整改不及时的按逾期交付处罚；对于经乙方三次（含三次）整改仍无法达到甲方要求或通过验收的，乙方应向甲方支付合同金额 5% 违约金并赔偿甲方经济损失，同时甲方有权解除合同并按合同约定总金额的20%向乙方主张违约金。                                       </w:t>
      </w:r>
    </w:p>
    <w:p w14:paraId="421EA855">
      <w:pPr>
        <w:snapToGrid w:val="0"/>
        <w:spacing w:line="400" w:lineRule="exact"/>
        <w:ind w:firstLine="472" w:firstLineChars="225"/>
        <w:rPr>
          <w:rFonts w:hint="eastAsia" w:ascii="新宋体" w:hAnsi="新宋体" w:eastAsia="新宋体" w:cs="新宋体"/>
          <w:szCs w:val="21"/>
        </w:rPr>
      </w:pPr>
      <w:r>
        <w:rPr>
          <w:rFonts w:hint="eastAsia" w:ascii="新宋体" w:hAnsi="新宋体" w:eastAsia="新宋体" w:cs="新宋体"/>
          <w:szCs w:val="21"/>
        </w:rPr>
        <w:t>2、乙方提供的产品及服务如侵犯了第三方合法权益而引发的任何纠纷或诉讼，均由乙方负责交涉并承担全部责任。如因此产生纠纷且甲方因此产生诉讼费用、执行费用、律师费以及赔偿款的，该费用由乙方承担。</w:t>
      </w:r>
    </w:p>
    <w:p w14:paraId="2D2CAF5A">
      <w:pPr>
        <w:snapToGrid w:val="0"/>
        <w:spacing w:line="400" w:lineRule="exact"/>
        <w:ind w:firstLine="420" w:firstLineChars="200"/>
        <w:rPr>
          <w:rFonts w:hint="eastAsia" w:ascii="新宋体" w:hAnsi="新宋体" w:eastAsia="新宋体" w:cs="新宋体"/>
          <w:szCs w:val="21"/>
        </w:rPr>
      </w:pPr>
      <w:r>
        <w:rPr>
          <w:rFonts w:hint="eastAsia" w:ascii="新宋体" w:hAnsi="新宋体" w:eastAsia="新宋体" w:cs="新宋体"/>
          <w:szCs w:val="21"/>
        </w:rPr>
        <w:t>3、乙方无故逾期提供服务的，逾期一方每天向对方偿付合同金额0.1‰违约金，超过20天（含20天）对方有权解除合同，乙方应按合同约定总金额的20%支付违约金。</w:t>
      </w:r>
    </w:p>
    <w:p w14:paraId="264FEDCF">
      <w:pPr>
        <w:snapToGrid w:val="0"/>
        <w:spacing w:line="400" w:lineRule="exact"/>
        <w:ind w:firstLine="420" w:firstLineChars="200"/>
        <w:rPr>
          <w:rFonts w:hint="eastAsia" w:ascii="新宋体" w:hAnsi="新宋体" w:eastAsia="新宋体" w:cs="新宋体"/>
          <w:szCs w:val="21"/>
        </w:rPr>
      </w:pPr>
      <w:r>
        <w:rPr>
          <w:rFonts w:hint="eastAsia" w:ascii="新宋体" w:hAnsi="新宋体" w:eastAsia="新宋体" w:cs="新宋体"/>
          <w:szCs w:val="21"/>
        </w:rPr>
        <w:t>4、乙方未按本合同和竞争性磋商响应文件中规定的服务承诺提供服务的，经</w:t>
      </w:r>
      <w:r>
        <w:rPr>
          <w:rFonts w:ascii="新宋体" w:hAnsi="新宋体" w:eastAsia="新宋体" w:cs="新宋体"/>
          <w:szCs w:val="21"/>
          <w:u w:val="single"/>
        </w:rPr>
        <w:t xml:space="preserve"> </w:t>
      </w:r>
      <w:r>
        <w:rPr>
          <w:rFonts w:hint="eastAsia" w:ascii="新宋体" w:hAnsi="新宋体" w:eastAsia="新宋体" w:cs="新宋体"/>
          <w:szCs w:val="21"/>
          <w:u w:val="single"/>
        </w:rPr>
        <w:t xml:space="preserve">3 </w:t>
      </w:r>
      <w:r>
        <w:rPr>
          <w:rFonts w:hint="eastAsia" w:ascii="新宋体" w:hAnsi="新宋体" w:eastAsia="新宋体" w:cs="新宋体"/>
          <w:szCs w:val="21"/>
        </w:rPr>
        <w:t>次（含</w:t>
      </w:r>
      <w:r>
        <w:rPr>
          <w:rFonts w:ascii="新宋体" w:hAnsi="新宋体" w:eastAsia="新宋体" w:cs="新宋体"/>
          <w:szCs w:val="21"/>
          <w:u w:val="single"/>
        </w:rPr>
        <w:t xml:space="preserve"> </w:t>
      </w:r>
      <w:r>
        <w:rPr>
          <w:rFonts w:hint="eastAsia" w:ascii="新宋体" w:hAnsi="新宋体" w:eastAsia="新宋体" w:cs="新宋体"/>
          <w:szCs w:val="21"/>
          <w:u w:val="single"/>
        </w:rPr>
        <w:t xml:space="preserve">3 </w:t>
      </w:r>
      <w:r>
        <w:rPr>
          <w:rFonts w:hint="eastAsia" w:ascii="新宋体" w:hAnsi="新宋体" w:eastAsia="新宋体" w:cs="新宋体"/>
          <w:szCs w:val="21"/>
        </w:rPr>
        <w:t>次）整改仍无法达到要求的，由双方确认后，乙方应按本合同金额</w:t>
      </w:r>
      <w:r>
        <w:rPr>
          <w:rFonts w:hint="eastAsia" w:ascii="新宋体" w:hAnsi="新宋体" w:eastAsia="新宋体" w:cs="新宋体"/>
          <w:szCs w:val="21"/>
          <w:u w:val="single"/>
        </w:rPr>
        <w:t xml:space="preserve"> 5% </w:t>
      </w:r>
      <w:r>
        <w:rPr>
          <w:rFonts w:hint="eastAsia" w:ascii="新宋体" w:hAnsi="新宋体" w:eastAsia="新宋体" w:cs="新宋体"/>
          <w:szCs w:val="21"/>
        </w:rPr>
        <w:t>向甲方支付违约金，并承担由此对甲方造成的损失。同时，甲方有权解除本合同，并保留追究乙方其它法律责任的权利。</w:t>
      </w:r>
    </w:p>
    <w:p w14:paraId="6362D711">
      <w:pPr>
        <w:spacing w:line="400" w:lineRule="exact"/>
        <w:ind w:firstLine="422"/>
        <w:rPr>
          <w:rFonts w:hint="eastAsia" w:ascii="新宋体" w:hAnsi="新宋体" w:eastAsia="新宋体" w:cs="新宋体"/>
          <w:kern w:val="0"/>
          <w:szCs w:val="21"/>
        </w:rPr>
      </w:pPr>
      <w:r>
        <w:rPr>
          <w:rFonts w:hint="eastAsia" w:ascii="新宋体" w:hAnsi="新宋体" w:eastAsia="新宋体" w:cs="新宋体"/>
          <w:kern w:val="0"/>
          <w:szCs w:val="21"/>
        </w:rPr>
        <w:t>5、由于乙方提供的产品及服务达不到竞争性磋商文件规定及响应文件提供的服务质量、技术要求，致使验收不合格的，甲方不予验收，后果由乙方负责。</w:t>
      </w:r>
    </w:p>
    <w:p w14:paraId="61E1A235">
      <w:pPr>
        <w:spacing w:line="400" w:lineRule="exact"/>
        <w:ind w:firstLine="422"/>
        <w:rPr>
          <w:rFonts w:hint="eastAsia" w:ascii="新宋体" w:hAnsi="新宋体" w:eastAsia="新宋体" w:cs="新宋体"/>
          <w:kern w:val="0"/>
          <w:szCs w:val="21"/>
        </w:rPr>
      </w:pPr>
      <w:r>
        <w:rPr>
          <w:rFonts w:hint="eastAsia" w:ascii="新宋体" w:hAnsi="新宋体" w:eastAsia="新宋体" w:cs="新宋体"/>
          <w:kern w:val="0"/>
          <w:szCs w:val="21"/>
        </w:rPr>
        <w:t>6、乙方不能就所成交的项目进行转包（包括但不限于主体部分分包、肢解分包等变相转包），如发现乙方有转包现象，甲方有权解除本合同，由此造成的损失由乙方负责，同时乙方应按本合同金额 5%向甲方支付违约金。</w:t>
      </w:r>
    </w:p>
    <w:p w14:paraId="2818AED6">
      <w:pPr>
        <w:spacing w:line="400" w:lineRule="exact"/>
        <w:ind w:firstLine="422"/>
        <w:rPr>
          <w:rFonts w:hint="eastAsia" w:ascii="新宋体" w:hAnsi="新宋体" w:eastAsia="新宋体" w:cs="新宋体"/>
          <w:kern w:val="0"/>
          <w:szCs w:val="21"/>
        </w:rPr>
      </w:pPr>
      <w:r>
        <w:rPr>
          <w:rFonts w:hint="eastAsia" w:ascii="新宋体" w:hAnsi="新宋体" w:eastAsia="新宋体" w:cs="新宋体"/>
          <w:kern w:val="0"/>
          <w:szCs w:val="21"/>
        </w:rPr>
        <w:t>7、其它违约行为按</w:t>
      </w:r>
      <w:r>
        <w:rPr>
          <w:rFonts w:hint="eastAsia" w:ascii="新宋体" w:hAnsi="新宋体" w:eastAsia="新宋体" w:cs="新宋体"/>
          <w:kern w:val="0"/>
          <w:szCs w:val="21"/>
          <w:u w:val="single"/>
        </w:rPr>
        <w:t>合同金额3%</w:t>
      </w:r>
      <w:r>
        <w:rPr>
          <w:rFonts w:hint="eastAsia" w:ascii="新宋体" w:hAnsi="新宋体" w:eastAsia="新宋体" w:cs="新宋体"/>
          <w:kern w:val="0"/>
          <w:szCs w:val="21"/>
        </w:rPr>
        <w:t>收取违约金并赔偿经济损失。</w:t>
      </w:r>
    </w:p>
    <w:p w14:paraId="55F80A94">
      <w:pPr>
        <w:spacing w:line="400" w:lineRule="exact"/>
        <w:ind w:firstLine="422"/>
        <w:rPr>
          <w:rFonts w:hint="eastAsia" w:ascii="新宋体" w:hAnsi="新宋体" w:eastAsia="新宋体" w:cs="新宋体"/>
          <w:kern w:val="0"/>
          <w:szCs w:val="21"/>
        </w:rPr>
      </w:pPr>
      <w:r>
        <w:rPr>
          <w:rFonts w:hint="eastAsia" w:ascii="新宋体" w:hAnsi="新宋体" w:eastAsia="新宋体" w:cs="新宋体"/>
          <w:kern w:val="0"/>
          <w:szCs w:val="21"/>
        </w:rPr>
        <w:t>8、因本合同一方违约而产生的一切法律纠纷，守约方为解决纠纷所产生的诉讼费、律师代理费、鉴定费、公证费、合理调查费、保全费、诉讼财产保全保险费及执行费等，均由违约方承担。</w:t>
      </w:r>
    </w:p>
    <w:p w14:paraId="27BAAA81">
      <w:pPr>
        <w:spacing w:line="400" w:lineRule="exact"/>
        <w:ind w:firstLine="422"/>
        <w:rPr>
          <w:rFonts w:hint="eastAsia" w:ascii="新宋体" w:hAnsi="新宋体" w:eastAsia="新宋体" w:cs="新宋体"/>
          <w:kern w:val="0"/>
          <w:szCs w:val="21"/>
        </w:rPr>
      </w:pPr>
      <w:r>
        <w:rPr>
          <w:rFonts w:hint="eastAsia" w:ascii="新宋体" w:hAnsi="新宋体" w:eastAsia="新宋体" w:cs="新宋体"/>
          <w:kern w:val="0"/>
          <w:szCs w:val="21"/>
        </w:rPr>
        <w:t>9、乙方违反本合同第三条约定的保密义务，甲方有权解除本合同，并要求乙方按合同金额5%支付违约金，同时甲方由此造成的损失由乙方全额赔偿。</w:t>
      </w:r>
    </w:p>
    <w:p w14:paraId="3F2BEF6E">
      <w:pPr>
        <w:spacing w:line="400" w:lineRule="exact"/>
        <w:ind w:firstLine="422"/>
        <w:rPr>
          <w:rFonts w:hint="eastAsia" w:ascii="新宋体" w:hAnsi="新宋体" w:eastAsia="新宋体" w:cs="新宋体"/>
          <w:kern w:val="0"/>
          <w:szCs w:val="21"/>
        </w:rPr>
      </w:pPr>
      <w:r>
        <w:rPr>
          <w:rFonts w:hint="eastAsia" w:ascii="新宋体" w:hAnsi="新宋体" w:eastAsia="新宋体" w:cs="新宋体"/>
          <w:kern w:val="0"/>
          <w:szCs w:val="21"/>
        </w:rPr>
        <w:t>10、甲方依据第九条的约定解除合同的，不再支付剩余合同款项，且有权要求乙方退还已支付的合同款项，同时有权要求乙方支付合同约定总金额的20%作为违约金。</w:t>
      </w:r>
    </w:p>
    <w:p w14:paraId="138D1D44">
      <w:pPr>
        <w:snapToGrid w:val="0"/>
        <w:spacing w:line="400" w:lineRule="exact"/>
        <w:ind w:firstLine="422" w:firstLineChars="200"/>
        <w:rPr>
          <w:rFonts w:hint="eastAsia" w:ascii="新宋体" w:hAnsi="新宋体" w:eastAsia="新宋体" w:cs="新宋体"/>
          <w:b/>
        </w:rPr>
      </w:pPr>
      <w:r>
        <w:rPr>
          <w:rFonts w:hint="eastAsia" w:ascii="新宋体" w:hAnsi="新宋体" w:eastAsia="新宋体" w:cs="新宋体"/>
          <w:b/>
          <w:szCs w:val="21"/>
        </w:rPr>
        <w:t>第十条　</w:t>
      </w:r>
      <w:r>
        <w:rPr>
          <w:rFonts w:hint="eastAsia" w:ascii="新宋体" w:hAnsi="新宋体" w:eastAsia="新宋体" w:cs="新宋体"/>
          <w:b/>
        </w:rPr>
        <w:t>不可抗力事件处理</w:t>
      </w:r>
    </w:p>
    <w:p w14:paraId="27A86610">
      <w:pPr>
        <w:snapToGrid w:val="0"/>
        <w:spacing w:line="400" w:lineRule="exact"/>
        <w:ind w:firstLine="420" w:firstLineChars="200"/>
        <w:rPr>
          <w:rFonts w:hint="eastAsia" w:ascii="新宋体" w:hAnsi="新宋体" w:eastAsia="新宋体" w:cs="新宋体"/>
          <w:kern w:val="0"/>
          <w:szCs w:val="21"/>
        </w:rPr>
      </w:pPr>
      <w:r>
        <w:rPr>
          <w:rFonts w:hint="eastAsia" w:ascii="新宋体" w:hAnsi="新宋体" w:eastAsia="新宋体" w:cs="新宋体"/>
          <w:kern w:val="0"/>
          <w:szCs w:val="21"/>
        </w:rPr>
        <w:t>1. 在合同有效期内，任何一方因不可抗力事件导致不能履行合同，则合同履行期可延长，其延长期与不可抗力影响期相同。</w:t>
      </w:r>
    </w:p>
    <w:p w14:paraId="02603BAC">
      <w:pPr>
        <w:snapToGrid w:val="0"/>
        <w:spacing w:line="400" w:lineRule="exact"/>
        <w:ind w:firstLine="420" w:firstLineChars="200"/>
        <w:rPr>
          <w:rFonts w:hint="eastAsia" w:ascii="新宋体" w:hAnsi="新宋体" w:eastAsia="新宋体" w:cs="新宋体"/>
          <w:kern w:val="0"/>
          <w:szCs w:val="21"/>
        </w:rPr>
      </w:pPr>
      <w:r>
        <w:rPr>
          <w:rFonts w:hint="eastAsia" w:ascii="新宋体" w:hAnsi="新宋体" w:eastAsia="新宋体" w:cs="新宋体"/>
          <w:kern w:val="0"/>
          <w:szCs w:val="21"/>
        </w:rPr>
        <w:t>2、不可抗力事件发生后，受不可抗力事件影响的一方应立即通知对方，并寄送有关权威机构出具的证明。同时应立即尽一切合理努力采取措施，消除影响，减少损失，否则失责而造成损失扩大的一方应对扩大的部分损失承担赔偿责任。</w:t>
      </w:r>
    </w:p>
    <w:p w14:paraId="40DDF061">
      <w:pPr>
        <w:snapToGrid w:val="0"/>
        <w:spacing w:line="400" w:lineRule="exact"/>
        <w:ind w:firstLine="420" w:firstLineChars="200"/>
        <w:rPr>
          <w:rFonts w:hint="eastAsia" w:ascii="新宋体" w:hAnsi="新宋体" w:eastAsia="新宋体" w:cs="新宋体"/>
          <w:kern w:val="0"/>
          <w:szCs w:val="21"/>
        </w:rPr>
      </w:pPr>
      <w:r>
        <w:rPr>
          <w:rFonts w:hint="eastAsia" w:ascii="新宋体" w:hAnsi="新宋体" w:eastAsia="新宋体" w:cs="新宋体"/>
          <w:kern w:val="0"/>
          <w:szCs w:val="21"/>
        </w:rPr>
        <w:t>3、不可抗力事件延续120天以上，双方应通过友好协商，确定是否继续履行合同。</w:t>
      </w:r>
    </w:p>
    <w:p w14:paraId="1D5B8A3E">
      <w:pPr>
        <w:snapToGrid w:val="0"/>
        <w:spacing w:line="400" w:lineRule="exact"/>
        <w:ind w:firstLine="420" w:firstLineChars="200"/>
        <w:rPr>
          <w:rFonts w:hint="eastAsia" w:ascii="新宋体" w:hAnsi="新宋体" w:eastAsia="新宋体" w:cs="新宋体"/>
          <w:kern w:val="0"/>
          <w:szCs w:val="21"/>
        </w:rPr>
      </w:pPr>
      <w:r>
        <w:rPr>
          <w:rFonts w:hint="eastAsia" w:ascii="新宋体" w:hAnsi="新宋体" w:eastAsia="新宋体" w:cs="新宋体"/>
          <w:kern w:val="0"/>
          <w:szCs w:val="21"/>
        </w:rPr>
        <w:t>4、一方逾期履行合同义务后发生不可抗力的，不适用本合同关于不可抗力的约定及法律规定。</w:t>
      </w:r>
    </w:p>
    <w:p w14:paraId="5BD31E33">
      <w:pPr>
        <w:snapToGrid w:val="0"/>
        <w:spacing w:line="400" w:lineRule="exact"/>
        <w:ind w:firstLine="422" w:firstLineChars="200"/>
        <w:rPr>
          <w:rFonts w:hint="eastAsia" w:ascii="新宋体" w:hAnsi="新宋体" w:eastAsia="新宋体" w:cs="新宋体"/>
          <w:szCs w:val="21"/>
        </w:rPr>
      </w:pPr>
      <w:r>
        <w:rPr>
          <w:rFonts w:hint="eastAsia" w:ascii="新宋体" w:hAnsi="新宋体" w:eastAsia="新宋体" w:cs="新宋体"/>
          <w:b/>
          <w:szCs w:val="21"/>
        </w:rPr>
        <w:t>第十一条  合同争议解决</w:t>
      </w:r>
    </w:p>
    <w:p w14:paraId="4D3A74C6">
      <w:pPr>
        <w:snapToGrid w:val="0"/>
        <w:spacing w:line="400" w:lineRule="exact"/>
        <w:ind w:firstLine="420" w:firstLineChars="200"/>
        <w:rPr>
          <w:rFonts w:hint="eastAsia" w:ascii="新宋体" w:hAnsi="新宋体" w:eastAsia="新宋体" w:cs="新宋体"/>
          <w:szCs w:val="21"/>
        </w:rPr>
      </w:pPr>
      <w:r>
        <w:rPr>
          <w:rFonts w:hint="eastAsia" w:ascii="新宋体" w:hAnsi="新宋体" w:eastAsia="新宋体" w:cs="新宋体"/>
          <w:szCs w:val="21"/>
        </w:rPr>
        <w:t>1、因产品质量问题发生争议的，应邀请国家认可的机构对产品质量进行鉴定。产品质量符合标准的，鉴定费由甲方承担；不符合标准的，鉴定费由乙方承担。</w:t>
      </w:r>
    </w:p>
    <w:p w14:paraId="569EBF7F">
      <w:pPr>
        <w:snapToGrid w:val="0"/>
        <w:spacing w:line="400" w:lineRule="exact"/>
        <w:ind w:firstLine="420" w:firstLineChars="200"/>
        <w:rPr>
          <w:rFonts w:hint="eastAsia" w:ascii="新宋体" w:hAnsi="新宋体" w:eastAsia="新宋体" w:cs="新宋体"/>
          <w:szCs w:val="21"/>
        </w:rPr>
      </w:pPr>
      <w:r>
        <w:rPr>
          <w:rFonts w:hint="eastAsia" w:ascii="新宋体" w:hAnsi="新宋体" w:eastAsia="新宋体" w:cs="新宋体"/>
          <w:szCs w:val="21"/>
        </w:rPr>
        <w:t>2、因履行本合同引起的或与本合同有关的争议，甲乙双方应首先通过友好协商解决，如果协商不能解决，可向甲方住所地有管辖权的人民法院提起诉讼。</w:t>
      </w:r>
    </w:p>
    <w:p w14:paraId="232556BC">
      <w:pPr>
        <w:snapToGrid w:val="0"/>
        <w:spacing w:line="400" w:lineRule="exact"/>
        <w:ind w:firstLine="420" w:firstLineChars="200"/>
        <w:rPr>
          <w:rFonts w:hint="eastAsia" w:ascii="新宋体" w:hAnsi="新宋体" w:eastAsia="新宋体" w:cs="新宋体"/>
          <w:szCs w:val="21"/>
        </w:rPr>
      </w:pPr>
      <w:r>
        <w:rPr>
          <w:rFonts w:hint="eastAsia" w:ascii="新宋体" w:hAnsi="新宋体" w:eastAsia="新宋体" w:cs="新宋体"/>
          <w:szCs w:val="21"/>
        </w:rPr>
        <w:t>3、诉讼期间，本合同中双方无争议的部分继续履行。</w:t>
      </w:r>
    </w:p>
    <w:p w14:paraId="6A7D3DD7">
      <w:pPr>
        <w:snapToGrid w:val="0"/>
        <w:spacing w:line="400" w:lineRule="exact"/>
        <w:ind w:firstLine="413" w:firstLineChars="196"/>
        <w:rPr>
          <w:rFonts w:hint="eastAsia" w:ascii="新宋体" w:hAnsi="新宋体" w:eastAsia="新宋体" w:cs="新宋体"/>
          <w:b/>
          <w:kern w:val="0"/>
          <w:szCs w:val="21"/>
        </w:rPr>
      </w:pPr>
      <w:r>
        <w:rPr>
          <w:rFonts w:hint="eastAsia" w:ascii="新宋体" w:hAnsi="新宋体" w:eastAsia="新宋体" w:cs="新宋体"/>
          <w:b/>
          <w:kern w:val="0"/>
          <w:szCs w:val="21"/>
        </w:rPr>
        <w:t>第十二条  通知与送达</w:t>
      </w:r>
    </w:p>
    <w:p w14:paraId="61BA4F40">
      <w:pPr>
        <w:snapToGrid w:val="0"/>
        <w:spacing w:line="400" w:lineRule="exact"/>
        <w:ind w:firstLine="420" w:firstLineChars="200"/>
        <w:rPr>
          <w:rFonts w:hint="eastAsia" w:ascii="新宋体" w:hAnsi="新宋体" w:eastAsia="新宋体" w:cs="新宋体"/>
          <w:szCs w:val="21"/>
        </w:rPr>
      </w:pPr>
      <w:r>
        <w:rPr>
          <w:rFonts w:hint="eastAsia" w:ascii="新宋体" w:hAnsi="新宋体" w:eastAsia="新宋体" w:cs="新宋体"/>
          <w:szCs w:val="20"/>
        </w:rPr>
        <w:t>本合同一方发给对方的文件均以本合同载明的地址、电话等通讯方式为准，若一方变更地址、电话等通讯信息的，应即时以书面形式通知对方，否则，通知人按合同中对方的地址、电话等通讯方式发给对方的文件即视为通知人履行了送达文件的义务。如因合同中一方地址错误或地址变更没有书面通知造成送达不能的，由该方自行承担一切损失和责任。各类书面通知以书面文件为准，接收方签收之时起即为送达。无法直接传送的，市区内自文件邮寄之日起三天后视为已送达，市区外自发送之日起五天后视为已送达。</w:t>
      </w:r>
    </w:p>
    <w:p w14:paraId="437F248A">
      <w:pPr>
        <w:snapToGrid w:val="0"/>
        <w:spacing w:line="400" w:lineRule="exact"/>
        <w:ind w:firstLine="413" w:firstLineChars="196"/>
        <w:rPr>
          <w:rFonts w:hint="eastAsia" w:ascii="新宋体" w:hAnsi="新宋体" w:eastAsia="新宋体" w:cs="新宋体"/>
          <w:b/>
          <w:kern w:val="0"/>
          <w:szCs w:val="21"/>
        </w:rPr>
      </w:pPr>
      <w:r>
        <w:rPr>
          <w:rFonts w:hint="eastAsia" w:ascii="新宋体" w:hAnsi="新宋体" w:eastAsia="新宋体" w:cs="新宋体"/>
          <w:b/>
          <w:kern w:val="0"/>
          <w:szCs w:val="21"/>
        </w:rPr>
        <w:t>第十三条  合同生效及其它</w:t>
      </w:r>
    </w:p>
    <w:p w14:paraId="7FA9973F">
      <w:pPr>
        <w:snapToGrid w:val="0"/>
        <w:spacing w:line="400" w:lineRule="exact"/>
        <w:ind w:firstLine="411" w:firstLineChars="196"/>
        <w:rPr>
          <w:rFonts w:hint="eastAsia" w:ascii="新宋体" w:hAnsi="新宋体" w:eastAsia="新宋体" w:cs="新宋体"/>
          <w:kern w:val="0"/>
          <w:szCs w:val="21"/>
        </w:rPr>
      </w:pPr>
      <w:r>
        <w:rPr>
          <w:rFonts w:hint="eastAsia" w:ascii="新宋体" w:hAnsi="新宋体" w:eastAsia="新宋体" w:cs="新宋体"/>
          <w:kern w:val="0"/>
          <w:szCs w:val="21"/>
        </w:rPr>
        <w:t>1、合同经双方法定代表人或授权代表签字并加盖单位公章后生效。</w:t>
      </w:r>
    </w:p>
    <w:p w14:paraId="281C5947">
      <w:pPr>
        <w:snapToGrid w:val="0"/>
        <w:spacing w:line="400" w:lineRule="exact"/>
        <w:ind w:firstLine="411" w:firstLineChars="196"/>
        <w:rPr>
          <w:rFonts w:hint="eastAsia" w:ascii="新宋体" w:hAnsi="新宋体" w:eastAsia="新宋体" w:cs="新宋体"/>
          <w:kern w:val="0"/>
          <w:szCs w:val="21"/>
        </w:rPr>
      </w:pPr>
      <w:r>
        <w:rPr>
          <w:rFonts w:hint="eastAsia" w:ascii="新宋体" w:hAnsi="新宋体" w:eastAsia="新宋体" w:cs="新宋体"/>
          <w:kern w:val="0"/>
          <w:szCs w:val="21"/>
        </w:rPr>
        <w:t>2、合同执行中涉及采购资金和采购内容修改或补充的，须经相关部门审批，并签书面补充协议报相关部门备案，方可作为主合同不可分割的一部分。</w:t>
      </w:r>
    </w:p>
    <w:p w14:paraId="6299C957">
      <w:pPr>
        <w:snapToGrid w:val="0"/>
        <w:spacing w:line="400" w:lineRule="exact"/>
        <w:ind w:firstLine="411" w:firstLineChars="196"/>
        <w:rPr>
          <w:rFonts w:hint="eastAsia" w:ascii="新宋体" w:hAnsi="新宋体" w:eastAsia="新宋体" w:cs="新宋体"/>
          <w:kern w:val="0"/>
          <w:szCs w:val="21"/>
        </w:rPr>
      </w:pPr>
      <w:r>
        <w:rPr>
          <w:rFonts w:hint="eastAsia" w:ascii="新宋体" w:hAnsi="新宋体" w:eastAsia="新宋体" w:cs="新宋体"/>
          <w:kern w:val="0"/>
          <w:szCs w:val="21"/>
        </w:rPr>
        <w:t>3、本合同未尽事宜，双方协商并签订补充协议予以解决。补充协议与本协议不一致的，以补充协议为准。</w:t>
      </w:r>
    </w:p>
    <w:p w14:paraId="40CDF28F">
      <w:pPr>
        <w:snapToGrid w:val="0"/>
        <w:spacing w:line="400" w:lineRule="exact"/>
        <w:ind w:firstLine="422" w:firstLineChars="200"/>
        <w:rPr>
          <w:rFonts w:hint="eastAsia" w:ascii="新宋体" w:hAnsi="新宋体" w:eastAsia="新宋体" w:cs="新宋体"/>
          <w:b/>
          <w:szCs w:val="21"/>
        </w:rPr>
      </w:pPr>
      <w:r>
        <w:rPr>
          <w:rFonts w:hint="eastAsia" w:ascii="新宋体" w:hAnsi="新宋体" w:eastAsia="新宋体" w:cs="新宋体"/>
          <w:b/>
          <w:szCs w:val="21"/>
        </w:rPr>
        <w:t>第十四条　合同的变更、终止与转让</w:t>
      </w:r>
    </w:p>
    <w:p w14:paraId="37DF3DA1">
      <w:pPr>
        <w:snapToGrid w:val="0"/>
        <w:spacing w:line="400" w:lineRule="exact"/>
        <w:ind w:firstLine="420" w:firstLineChars="200"/>
        <w:rPr>
          <w:rFonts w:hint="eastAsia" w:ascii="新宋体" w:hAnsi="新宋体" w:eastAsia="新宋体" w:cs="新宋体"/>
          <w:szCs w:val="21"/>
        </w:rPr>
      </w:pPr>
      <w:r>
        <w:rPr>
          <w:rFonts w:hint="eastAsia" w:ascii="新宋体" w:hAnsi="新宋体" w:eastAsia="新宋体" w:cs="新宋体"/>
          <w:szCs w:val="21"/>
        </w:rPr>
        <w:t>1、除《中华人民共和国政府采购法》第50条规定的情形、以及本合同或本项目竞争性磋商文件另有约定外，本合同一经签订，甲乙双方不得擅自变更、中止或终止。</w:t>
      </w:r>
    </w:p>
    <w:p w14:paraId="0A4C0FA0">
      <w:pPr>
        <w:snapToGrid w:val="0"/>
        <w:spacing w:line="400" w:lineRule="exact"/>
        <w:ind w:firstLine="411" w:firstLineChars="196"/>
        <w:rPr>
          <w:rFonts w:hint="eastAsia" w:ascii="新宋体" w:hAnsi="新宋体" w:eastAsia="新宋体" w:cs="新宋体"/>
          <w:kern w:val="0"/>
          <w:szCs w:val="21"/>
        </w:rPr>
      </w:pPr>
      <w:r>
        <w:rPr>
          <w:rFonts w:hint="eastAsia" w:ascii="新宋体" w:hAnsi="新宋体" w:eastAsia="新宋体" w:cs="新宋体"/>
          <w:kern w:val="0"/>
          <w:szCs w:val="21"/>
        </w:rPr>
        <w:t>2、乙方不得擅自转让（无进口资格的供应商委托进口货物除外）其应履行的合同义务。</w:t>
      </w:r>
    </w:p>
    <w:p w14:paraId="23002134">
      <w:pPr>
        <w:snapToGrid w:val="0"/>
        <w:spacing w:line="400" w:lineRule="exact"/>
        <w:ind w:firstLine="422" w:firstLineChars="200"/>
        <w:rPr>
          <w:rFonts w:hint="eastAsia" w:ascii="新宋体" w:hAnsi="新宋体" w:eastAsia="新宋体" w:cs="新宋体"/>
          <w:b/>
          <w:szCs w:val="21"/>
        </w:rPr>
      </w:pPr>
      <w:r>
        <w:rPr>
          <w:rFonts w:hint="eastAsia" w:ascii="新宋体" w:hAnsi="新宋体" w:eastAsia="新宋体" w:cs="新宋体"/>
          <w:b/>
          <w:szCs w:val="21"/>
        </w:rPr>
        <w:t>第十五条　签订本合同依据</w:t>
      </w:r>
    </w:p>
    <w:p w14:paraId="57068495">
      <w:pPr>
        <w:snapToGrid w:val="0"/>
        <w:spacing w:line="400" w:lineRule="exact"/>
        <w:ind w:firstLine="420" w:firstLineChars="200"/>
        <w:rPr>
          <w:rFonts w:hint="eastAsia" w:ascii="新宋体" w:hAnsi="新宋体" w:eastAsia="新宋体" w:cs="新宋体"/>
          <w:szCs w:val="21"/>
        </w:rPr>
      </w:pPr>
      <w:r>
        <w:rPr>
          <w:rFonts w:hint="eastAsia" w:ascii="新宋体" w:hAnsi="新宋体" w:eastAsia="新宋体" w:cs="新宋体"/>
          <w:szCs w:val="21"/>
        </w:rPr>
        <w:t>1、政府采购竞争性磋商文件；</w:t>
      </w:r>
    </w:p>
    <w:p w14:paraId="301926EA">
      <w:pPr>
        <w:snapToGrid w:val="0"/>
        <w:spacing w:line="420" w:lineRule="exact"/>
        <w:ind w:firstLine="420" w:firstLineChars="200"/>
        <w:rPr>
          <w:rFonts w:hint="eastAsia" w:ascii="新宋体" w:hAnsi="新宋体" w:eastAsia="新宋体" w:cs="新宋体"/>
          <w:szCs w:val="21"/>
        </w:rPr>
      </w:pPr>
      <w:r>
        <w:rPr>
          <w:rFonts w:hint="eastAsia" w:ascii="新宋体" w:hAnsi="新宋体" w:eastAsia="新宋体" w:cs="新宋体"/>
          <w:szCs w:val="21"/>
        </w:rPr>
        <w:t>2、乙方提供的竞争性磋商响应文件；</w:t>
      </w:r>
    </w:p>
    <w:p w14:paraId="4FF6B03B">
      <w:pPr>
        <w:snapToGrid w:val="0"/>
        <w:spacing w:line="400" w:lineRule="exact"/>
        <w:ind w:firstLine="420" w:firstLineChars="200"/>
        <w:rPr>
          <w:rFonts w:hint="eastAsia" w:ascii="新宋体" w:hAnsi="新宋体" w:eastAsia="新宋体" w:cs="新宋体"/>
          <w:szCs w:val="21"/>
          <w:u w:val="single"/>
        </w:rPr>
      </w:pPr>
      <w:r>
        <w:rPr>
          <w:rFonts w:hint="eastAsia" w:ascii="新宋体" w:hAnsi="新宋体" w:eastAsia="新宋体" w:cs="新宋体"/>
          <w:szCs w:val="21"/>
        </w:rPr>
        <w:t>3、成交通知书。</w:t>
      </w:r>
    </w:p>
    <w:p w14:paraId="45D39D60">
      <w:pPr>
        <w:spacing w:line="360" w:lineRule="auto"/>
        <w:ind w:firstLine="422"/>
        <w:rPr>
          <w:rFonts w:hint="eastAsia" w:ascii="宋体" w:hAnsi="宋体" w:eastAsia="宋体" w:cs="宋体"/>
        </w:rPr>
      </w:pPr>
      <w:r>
        <w:rPr>
          <w:rFonts w:hint="eastAsia" w:ascii="新宋体" w:hAnsi="新宋体" w:eastAsia="新宋体" w:cs="新宋体"/>
          <w:b/>
          <w:szCs w:val="21"/>
        </w:rPr>
        <w:t>第十六条　</w:t>
      </w:r>
      <w:r>
        <w:rPr>
          <w:rFonts w:hint="eastAsia" w:ascii="宋体" w:hAnsi="宋体" w:eastAsia="宋体" w:cs="宋体"/>
        </w:rPr>
        <w:t>本合同一式五份，具有同等法律效力，甲乙双方各二份，采购代理机构一份，（可根据需要另增加）。</w:t>
      </w:r>
    </w:p>
    <w:p w14:paraId="624952D3">
      <w:pPr>
        <w:spacing w:line="360" w:lineRule="auto"/>
        <w:ind w:firstLine="422"/>
        <w:rPr>
          <w:rFonts w:hint="eastAsia" w:ascii="宋体" w:hAnsi="宋体" w:eastAsia="宋体" w:cs="宋体"/>
        </w:rPr>
      </w:pPr>
      <w:r>
        <w:rPr>
          <w:rFonts w:hint="eastAsia" w:ascii="宋体" w:hAnsi="宋体" w:eastAsia="宋体" w:cs="宋体"/>
        </w:rPr>
        <w:t>本合同甲乙双方签字盖章后生效，本合同自签订之日起2个工作日内，甲方应当将采购合同在广西壮族自治区财政厅指定的媒体上公告。</w:t>
      </w:r>
    </w:p>
    <w:p w14:paraId="31FB5885">
      <w:pPr>
        <w:adjustRightInd w:val="0"/>
        <w:snapToGrid w:val="0"/>
        <w:spacing w:line="420" w:lineRule="exact"/>
        <w:ind w:firstLine="420" w:firstLineChars="200"/>
        <w:rPr>
          <w:rFonts w:hint="eastAsia" w:ascii="新宋体" w:hAnsi="新宋体" w:eastAsia="新宋体" w:cs="新宋体"/>
          <w:szCs w:val="21"/>
        </w:rPr>
      </w:pPr>
    </w:p>
    <w:p w14:paraId="127FC76D">
      <w:pPr>
        <w:adjustRightInd w:val="0"/>
        <w:snapToGrid w:val="0"/>
        <w:spacing w:line="420" w:lineRule="exact"/>
        <w:ind w:firstLine="420" w:firstLineChars="200"/>
        <w:rPr>
          <w:rFonts w:hint="eastAsia" w:ascii="新宋体" w:hAnsi="新宋体" w:eastAsia="新宋体" w:cs="新宋体"/>
          <w:szCs w:val="21"/>
        </w:rPr>
      </w:pP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64D4C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14:paraId="4B1263A8">
            <w:pPr>
              <w:snapToGrid w:val="0"/>
              <w:spacing w:line="400" w:lineRule="exact"/>
              <w:ind w:firstLine="422"/>
              <w:rPr>
                <w:rFonts w:hint="eastAsia" w:ascii="新宋体" w:hAnsi="新宋体" w:eastAsia="新宋体" w:cs="新宋体"/>
                <w:szCs w:val="21"/>
              </w:rPr>
            </w:pPr>
            <w:r>
              <w:rPr>
                <w:rFonts w:hint="eastAsia" w:ascii="新宋体" w:hAnsi="新宋体" w:eastAsia="新宋体" w:cs="新宋体"/>
                <w:szCs w:val="21"/>
              </w:rPr>
              <w:t xml:space="preserve">甲方（章）           </w:t>
            </w:r>
          </w:p>
          <w:p w14:paraId="1B8613AD">
            <w:pPr>
              <w:snapToGrid w:val="0"/>
              <w:spacing w:line="400" w:lineRule="exact"/>
              <w:ind w:firstLine="420" w:firstLineChars="200"/>
              <w:rPr>
                <w:rFonts w:hint="eastAsia" w:ascii="新宋体" w:hAnsi="新宋体" w:eastAsia="新宋体" w:cs="新宋体"/>
                <w:szCs w:val="21"/>
              </w:rPr>
            </w:pPr>
            <w:r>
              <w:rPr>
                <w:rFonts w:hint="eastAsia" w:ascii="新宋体" w:hAnsi="新宋体" w:eastAsia="新宋体" w:cs="新宋体"/>
                <w:szCs w:val="21"/>
              </w:rPr>
              <w:t>广西壮族自治区港航发展中心</w:t>
            </w:r>
          </w:p>
          <w:p w14:paraId="01ADA00E">
            <w:pPr>
              <w:snapToGrid w:val="0"/>
              <w:spacing w:line="400" w:lineRule="exact"/>
              <w:ind w:firstLine="420" w:firstLineChars="200"/>
              <w:rPr>
                <w:rFonts w:hint="eastAsia" w:ascii="新宋体" w:hAnsi="新宋体" w:eastAsia="新宋体" w:cs="新宋体"/>
                <w:szCs w:val="21"/>
              </w:rPr>
            </w:pPr>
          </w:p>
          <w:p w14:paraId="7CE1E225">
            <w:pPr>
              <w:snapToGrid w:val="0"/>
              <w:spacing w:line="400" w:lineRule="exact"/>
              <w:ind w:firstLine="945" w:firstLineChars="450"/>
              <w:jc w:val="right"/>
              <w:rPr>
                <w:rFonts w:hint="eastAsia" w:ascii="新宋体" w:hAnsi="新宋体" w:eastAsia="新宋体" w:cs="新宋体"/>
                <w:szCs w:val="21"/>
              </w:rPr>
            </w:pPr>
            <w:r>
              <w:rPr>
                <w:rFonts w:hint="eastAsia" w:ascii="新宋体" w:hAnsi="新宋体" w:eastAsia="新宋体" w:cs="新宋体"/>
                <w:szCs w:val="21"/>
              </w:rPr>
              <w:t>年    月    日</w:t>
            </w:r>
          </w:p>
        </w:tc>
        <w:tc>
          <w:tcPr>
            <w:tcW w:w="4517" w:type="dxa"/>
            <w:vAlign w:val="center"/>
          </w:tcPr>
          <w:p w14:paraId="00AD93F8">
            <w:pPr>
              <w:snapToGrid w:val="0"/>
              <w:spacing w:line="400" w:lineRule="exact"/>
              <w:ind w:firstLine="422"/>
              <w:rPr>
                <w:rFonts w:hint="eastAsia" w:ascii="新宋体" w:hAnsi="新宋体" w:eastAsia="新宋体" w:cs="新宋体"/>
                <w:szCs w:val="21"/>
              </w:rPr>
            </w:pPr>
            <w:r>
              <w:rPr>
                <w:rFonts w:hint="eastAsia" w:ascii="新宋体" w:hAnsi="新宋体" w:eastAsia="新宋体" w:cs="新宋体"/>
                <w:szCs w:val="21"/>
              </w:rPr>
              <w:t xml:space="preserve">乙方（章）              </w:t>
            </w:r>
          </w:p>
          <w:p w14:paraId="1E123224">
            <w:pPr>
              <w:snapToGrid w:val="0"/>
              <w:spacing w:line="400" w:lineRule="exact"/>
              <w:ind w:firstLine="422"/>
              <w:rPr>
                <w:rFonts w:hint="eastAsia" w:ascii="新宋体" w:hAnsi="新宋体" w:eastAsia="新宋体" w:cs="新宋体"/>
                <w:szCs w:val="21"/>
              </w:rPr>
            </w:pPr>
          </w:p>
          <w:p w14:paraId="3B1A4687">
            <w:pPr>
              <w:snapToGrid w:val="0"/>
              <w:spacing w:line="400" w:lineRule="exact"/>
              <w:ind w:firstLine="422"/>
              <w:rPr>
                <w:rFonts w:hint="eastAsia" w:ascii="新宋体" w:hAnsi="新宋体" w:eastAsia="新宋体" w:cs="新宋体"/>
                <w:szCs w:val="21"/>
              </w:rPr>
            </w:pPr>
          </w:p>
          <w:p w14:paraId="7A1077E7">
            <w:pPr>
              <w:snapToGrid w:val="0"/>
              <w:spacing w:line="400" w:lineRule="exact"/>
              <w:ind w:firstLine="422"/>
              <w:jc w:val="right"/>
              <w:rPr>
                <w:rFonts w:hint="eastAsia" w:ascii="新宋体" w:hAnsi="新宋体" w:eastAsia="新宋体" w:cs="新宋体"/>
                <w:szCs w:val="21"/>
              </w:rPr>
            </w:pPr>
            <w:r>
              <w:rPr>
                <w:rFonts w:hint="eastAsia" w:ascii="新宋体" w:hAnsi="新宋体" w:eastAsia="新宋体" w:cs="新宋体"/>
                <w:szCs w:val="21"/>
              </w:rPr>
              <w:t xml:space="preserve"> 年    月    日</w:t>
            </w:r>
          </w:p>
        </w:tc>
      </w:tr>
      <w:tr w14:paraId="74E71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tcPr>
          <w:p w14:paraId="52C0016C">
            <w:pPr>
              <w:snapToGrid w:val="0"/>
              <w:spacing w:line="400" w:lineRule="exact"/>
              <w:ind w:firstLine="422"/>
              <w:rPr>
                <w:rFonts w:hint="eastAsia" w:ascii="新宋体" w:hAnsi="新宋体" w:eastAsia="新宋体" w:cs="新宋体"/>
                <w:szCs w:val="21"/>
              </w:rPr>
            </w:pPr>
            <w:r>
              <w:rPr>
                <w:rFonts w:hint="eastAsia" w:ascii="新宋体" w:hAnsi="新宋体" w:eastAsia="新宋体" w:cs="新宋体"/>
                <w:szCs w:val="21"/>
              </w:rPr>
              <w:t>法定（授权）代表人</w:t>
            </w:r>
          </w:p>
          <w:p w14:paraId="2B0368FF">
            <w:pPr>
              <w:snapToGrid w:val="0"/>
              <w:spacing w:line="400" w:lineRule="exact"/>
              <w:ind w:firstLine="422"/>
              <w:rPr>
                <w:rFonts w:hint="eastAsia" w:ascii="新宋体" w:hAnsi="新宋体" w:eastAsia="新宋体" w:cs="新宋体"/>
                <w:szCs w:val="21"/>
              </w:rPr>
            </w:pPr>
            <w:r>
              <w:rPr>
                <w:rFonts w:hint="eastAsia" w:ascii="新宋体" w:hAnsi="新宋体" w:eastAsia="新宋体" w:cs="新宋体"/>
                <w:szCs w:val="21"/>
              </w:rPr>
              <w:t>（签字）：</w:t>
            </w:r>
          </w:p>
          <w:p w14:paraId="3CDFD388">
            <w:pPr>
              <w:snapToGrid w:val="0"/>
              <w:spacing w:line="400" w:lineRule="exact"/>
              <w:ind w:firstLine="422"/>
              <w:rPr>
                <w:rFonts w:hint="eastAsia" w:ascii="新宋体" w:hAnsi="新宋体" w:eastAsia="新宋体" w:cs="新宋体"/>
                <w:szCs w:val="21"/>
              </w:rPr>
            </w:pPr>
          </w:p>
          <w:p w14:paraId="71C2DA86">
            <w:pPr>
              <w:snapToGrid w:val="0"/>
              <w:spacing w:line="400" w:lineRule="exact"/>
              <w:ind w:firstLine="422"/>
              <w:rPr>
                <w:rFonts w:hint="eastAsia" w:ascii="新宋体" w:hAnsi="新宋体" w:eastAsia="新宋体" w:cs="新宋体"/>
                <w:szCs w:val="21"/>
              </w:rPr>
            </w:pPr>
          </w:p>
        </w:tc>
        <w:tc>
          <w:tcPr>
            <w:tcW w:w="4517" w:type="dxa"/>
          </w:tcPr>
          <w:p w14:paraId="5B4649E1">
            <w:pPr>
              <w:snapToGrid w:val="0"/>
              <w:spacing w:line="400" w:lineRule="exact"/>
              <w:ind w:firstLine="422"/>
              <w:rPr>
                <w:rFonts w:hint="eastAsia" w:ascii="新宋体" w:hAnsi="新宋体" w:eastAsia="新宋体" w:cs="新宋体"/>
                <w:szCs w:val="21"/>
              </w:rPr>
            </w:pPr>
            <w:r>
              <w:rPr>
                <w:rFonts w:hint="eastAsia" w:ascii="新宋体" w:hAnsi="新宋体" w:eastAsia="新宋体" w:cs="新宋体"/>
                <w:szCs w:val="21"/>
              </w:rPr>
              <w:t>法定（授权）代表人</w:t>
            </w:r>
          </w:p>
          <w:p w14:paraId="328D18AD">
            <w:pPr>
              <w:snapToGrid w:val="0"/>
              <w:spacing w:line="400" w:lineRule="exact"/>
              <w:ind w:firstLine="422"/>
              <w:rPr>
                <w:rFonts w:hint="eastAsia" w:ascii="新宋体" w:hAnsi="新宋体" w:eastAsia="新宋体" w:cs="新宋体"/>
                <w:szCs w:val="21"/>
              </w:rPr>
            </w:pPr>
            <w:r>
              <w:rPr>
                <w:rFonts w:hint="eastAsia" w:ascii="新宋体" w:hAnsi="新宋体" w:eastAsia="新宋体" w:cs="新宋体"/>
                <w:szCs w:val="21"/>
              </w:rPr>
              <w:t>（签字）：</w:t>
            </w:r>
          </w:p>
          <w:p w14:paraId="69F879D0">
            <w:pPr>
              <w:snapToGrid w:val="0"/>
              <w:spacing w:line="400" w:lineRule="exact"/>
              <w:ind w:firstLine="422"/>
              <w:rPr>
                <w:rFonts w:hint="eastAsia" w:ascii="新宋体" w:hAnsi="新宋体" w:eastAsia="新宋体" w:cs="新宋体"/>
                <w:szCs w:val="21"/>
              </w:rPr>
            </w:pPr>
          </w:p>
          <w:p w14:paraId="7C662003">
            <w:pPr>
              <w:snapToGrid w:val="0"/>
              <w:spacing w:line="400" w:lineRule="exact"/>
              <w:ind w:firstLine="422"/>
              <w:rPr>
                <w:rFonts w:hint="eastAsia" w:ascii="新宋体" w:hAnsi="新宋体" w:eastAsia="新宋体" w:cs="新宋体"/>
                <w:szCs w:val="21"/>
              </w:rPr>
            </w:pPr>
          </w:p>
        </w:tc>
      </w:tr>
      <w:tr w14:paraId="5F1E6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4516" w:type="dxa"/>
            <w:vAlign w:val="center"/>
          </w:tcPr>
          <w:p w14:paraId="5FB0D7DB">
            <w:pPr>
              <w:snapToGrid w:val="0"/>
              <w:spacing w:line="400" w:lineRule="exact"/>
              <w:ind w:firstLine="422"/>
              <w:rPr>
                <w:rFonts w:hint="eastAsia" w:ascii="新宋体" w:hAnsi="新宋体" w:eastAsia="新宋体" w:cs="新宋体"/>
                <w:szCs w:val="21"/>
              </w:rPr>
            </w:pPr>
            <w:r>
              <w:rPr>
                <w:rFonts w:hint="eastAsia" w:ascii="新宋体" w:hAnsi="新宋体" w:eastAsia="新宋体" w:cs="新宋体"/>
                <w:szCs w:val="21"/>
              </w:rPr>
              <w:t>单位地址：南宁市青秀区百花岭路6号</w:t>
            </w:r>
          </w:p>
        </w:tc>
        <w:tc>
          <w:tcPr>
            <w:tcW w:w="4517" w:type="dxa"/>
            <w:vAlign w:val="center"/>
          </w:tcPr>
          <w:p w14:paraId="1E55DD7A">
            <w:pPr>
              <w:snapToGrid w:val="0"/>
              <w:spacing w:line="400" w:lineRule="exact"/>
              <w:ind w:firstLine="422"/>
              <w:rPr>
                <w:rFonts w:hint="eastAsia" w:ascii="新宋体" w:hAnsi="新宋体" w:eastAsia="新宋体" w:cs="新宋体"/>
                <w:szCs w:val="21"/>
              </w:rPr>
            </w:pPr>
            <w:r>
              <w:rPr>
                <w:rFonts w:hint="eastAsia" w:ascii="新宋体" w:hAnsi="新宋体" w:eastAsia="新宋体" w:cs="新宋体"/>
                <w:szCs w:val="21"/>
              </w:rPr>
              <w:t>单位地址：</w:t>
            </w:r>
          </w:p>
        </w:tc>
      </w:tr>
      <w:tr w14:paraId="70716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4516" w:type="dxa"/>
            <w:vAlign w:val="center"/>
          </w:tcPr>
          <w:p w14:paraId="2B780749">
            <w:pPr>
              <w:snapToGrid w:val="0"/>
              <w:spacing w:line="400" w:lineRule="exact"/>
              <w:ind w:firstLine="422"/>
              <w:rPr>
                <w:rFonts w:hint="eastAsia" w:ascii="新宋体" w:hAnsi="新宋体" w:eastAsia="新宋体" w:cs="新宋体"/>
                <w:szCs w:val="21"/>
              </w:rPr>
            </w:pPr>
            <w:r>
              <w:rPr>
                <w:rFonts w:hint="eastAsia" w:ascii="新宋体" w:hAnsi="新宋体" w:eastAsia="新宋体" w:cs="新宋体"/>
                <w:szCs w:val="21"/>
              </w:rPr>
              <w:t>电话：</w:t>
            </w:r>
          </w:p>
        </w:tc>
        <w:tc>
          <w:tcPr>
            <w:tcW w:w="4517" w:type="dxa"/>
            <w:vAlign w:val="center"/>
          </w:tcPr>
          <w:p w14:paraId="36BC4A0C">
            <w:pPr>
              <w:snapToGrid w:val="0"/>
              <w:spacing w:line="400" w:lineRule="exact"/>
              <w:ind w:firstLine="422"/>
              <w:rPr>
                <w:rFonts w:hint="eastAsia" w:ascii="新宋体" w:hAnsi="新宋体" w:eastAsia="新宋体" w:cs="新宋体"/>
                <w:szCs w:val="21"/>
              </w:rPr>
            </w:pPr>
            <w:r>
              <w:rPr>
                <w:rFonts w:hint="eastAsia" w:ascii="新宋体" w:hAnsi="新宋体" w:eastAsia="新宋体" w:cs="新宋体"/>
                <w:szCs w:val="21"/>
              </w:rPr>
              <w:t>电话：</w:t>
            </w:r>
          </w:p>
        </w:tc>
      </w:tr>
      <w:tr w14:paraId="2714B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4516" w:type="dxa"/>
            <w:vAlign w:val="center"/>
          </w:tcPr>
          <w:p w14:paraId="4AD4089E">
            <w:pPr>
              <w:snapToGrid w:val="0"/>
              <w:spacing w:line="400" w:lineRule="exact"/>
              <w:ind w:firstLine="422"/>
              <w:rPr>
                <w:rFonts w:hint="eastAsia" w:ascii="新宋体" w:hAnsi="新宋体" w:eastAsia="新宋体" w:cs="新宋体"/>
                <w:szCs w:val="21"/>
              </w:rPr>
            </w:pPr>
            <w:r>
              <w:rPr>
                <w:rFonts w:hint="eastAsia" w:ascii="新宋体" w:hAnsi="新宋体" w:eastAsia="新宋体" w:cs="新宋体"/>
                <w:szCs w:val="21"/>
              </w:rPr>
              <w:t>经办人：</w:t>
            </w:r>
          </w:p>
        </w:tc>
        <w:tc>
          <w:tcPr>
            <w:tcW w:w="4517" w:type="dxa"/>
            <w:vAlign w:val="center"/>
          </w:tcPr>
          <w:p w14:paraId="435B77EE">
            <w:pPr>
              <w:snapToGrid w:val="0"/>
              <w:spacing w:line="400" w:lineRule="exact"/>
              <w:ind w:firstLine="422"/>
              <w:rPr>
                <w:rFonts w:hint="eastAsia" w:ascii="新宋体" w:hAnsi="新宋体" w:eastAsia="新宋体" w:cs="新宋体"/>
                <w:szCs w:val="21"/>
              </w:rPr>
            </w:pPr>
            <w:r>
              <w:rPr>
                <w:rFonts w:hint="eastAsia" w:ascii="新宋体" w:hAnsi="新宋体" w:eastAsia="新宋体" w:cs="新宋体"/>
                <w:szCs w:val="21"/>
              </w:rPr>
              <w:t>经办人：</w:t>
            </w:r>
          </w:p>
        </w:tc>
      </w:tr>
      <w:tr w14:paraId="26BD4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14:paraId="6129E815">
            <w:pPr>
              <w:snapToGrid w:val="0"/>
              <w:spacing w:line="400" w:lineRule="exact"/>
              <w:ind w:firstLine="422"/>
              <w:rPr>
                <w:rFonts w:hint="eastAsia" w:ascii="新宋体" w:hAnsi="新宋体" w:eastAsia="新宋体" w:cs="新宋体"/>
                <w:szCs w:val="21"/>
              </w:rPr>
            </w:pPr>
            <w:r>
              <w:rPr>
                <w:rFonts w:hint="eastAsia" w:ascii="新宋体" w:hAnsi="新宋体" w:eastAsia="新宋体" w:cs="新宋体"/>
                <w:szCs w:val="21"/>
              </w:rPr>
              <w:t>开户银行：工商银行南宁市枫林路支行</w:t>
            </w:r>
          </w:p>
        </w:tc>
        <w:tc>
          <w:tcPr>
            <w:tcW w:w="4517" w:type="dxa"/>
            <w:vAlign w:val="center"/>
          </w:tcPr>
          <w:p w14:paraId="1FB96751">
            <w:pPr>
              <w:snapToGrid w:val="0"/>
              <w:spacing w:line="400" w:lineRule="exact"/>
              <w:ind w:firstLine="422"/>
              <w:rPr>
                <w:rFonts w:hint="eastAsia" w:ascii="新宋体" w:hAnsi="新宋体" w:eastAsia="新宋体" w:cs="新宋体"/>
                <w:szCs w:val="21"/>
              </w:rPr>
            </w:pPr>
            <w:r>
              <w:rPr>
                <w:rFonts w:hint="eastAsia" w:ascii="新宋体" w:hAnsi="新宋体" w:eastAsia="新宋体" w:cs="新宋体"/>
                <w:szCs w:val="21"/>
              </w:rPr>
              <w:t>开户银行：</w:t>
            </w:r>
          </w:p>
        </w:tc>
      </w:tr>
      <w:tr w14:paraId="7E5E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14:paraId="457F0DA0">
            <w:pPr>
              <w:snapToGrid w:val="0"/>
              <w:spacing w:line="400" w:lineRule="exact"/>
              <w:ind w:firstLine="422"/>
              <w:rPr>
                <w:rFonts w:hint="eastAsia" w:ascii="新宋体" w:hAnsi="新宋体" w:eastAsia="新宋体" w:cs="新宋体"/>
                <w:szCs w:val="21"/>
              </w:rPr>
            </w:pPr>
            <w:r>
              <w:rPr>
                <w:rFonts w:hint="eastAsia" w:ascii="新宋体" w:hAnsi="新宋体" w:eastAsia="新宋体" w:cs="新宋体"/>
                <w:szCs w:val="21"/>
              </w:rPr>
              <w:t>账号：2102 1011 0922 1001 515</w:t>
            </w:r>
          </w:p>
        </w:tc>
        <w:tc>
          <w:tcPr>
            <w:tcW w:w="4517" w:type="dxa"/>
            <w:vAlign w:val="center"/>
          </w:tcPr>
          <w:p w14:paraId="363A871F">
            <w:pPr>
              <w:snapToGrid w:val="0"/>
              <w:spacing w:line="400" w:lineRule="exact"/>
              <w:ind w:firstLine="422"/>
              <w:rPr>
                <w:rFonts w:hint="eastAsia" w:ascii="新宋体" w:hAnsi="新宋体" w:eastAsia="新宋体" w:cs="新宋体"/>
                <w:szCs w:val="21"/>
              </w:rPr>
            </w:pPr>
            <w:r>
              <w:rPr>
                <w:rFonts w:hint="eastAsia" w:ascii="新宋体" w:hAnsi="新宋体" w:eastAsia="新宋体" w:cs="新宋体"/>
                <w:szCs w:val="21"/>
              </w:rPr>
              <w:t>账号：</w:t>
            </w:r>
          </w:p>
        </w:tc>
      </w:tr>
    </w:tbl>
    <w:p w14:paraId="09B45257">
      <w:pPr>
        <w:spacing w:after="120"/>
        <w:ind w:firstLine="422"/>
        <w:rPr>
          <w:rFonts w:hint="eastAsia" w:ascii="新宋体" w:hAnsi="新宋体" w:eastAsia="新宋体" w:cs="新宋体"/>
        </w:rPr>
      </w:pPr>
    </w:p>
    <w:p w14:paraId="65C784AE">
      <w:pPr>
        <w:spacing w:line="360" w:lineRule="auto"/>
        <w:ind w:firstLine="880" w:firstLineChars="200"/>
        <w:rPr>
          <w:rFonts w:hint="eastAsia" w:ascii="新宋体" w:hAnsi="新宋体" w:eastAsia="新宋体" w:cs="新宋体"/>
          <w:sz w:val="44"/>
        </w:rPr>
      </w:pPr>
    </w:p>
    <w:p w14:paraId="323A0671">
      <w:pPr>
        <w:snapToGrid w:val="0"/>
        <w:spacing w:line="390" w:lineRule="exact"/>
        <w:ind w:firstLine="643"/>
        <w:jc w:val="center"/>
        <w:rPr>
          <w:rFonts w:hint="eastAsia" w:ascii="新宋体" w:hAnsi="新宋体" w:eastAsia="新宋体" w:cs="新宋体"/>
          <w:b/>
          <w:sz w:val="32"/>
          <w:szCs w:val="32"/>
        </w:rPr>
      </w:pPr>
      <w:r>
        <w:rPr>
          <w:rFonts w:hint="eastAsia" w:ascii="新宋体" w:hAnsi="新宋体" w:eastAsia="新宋体" w:cs="新宋体"/>
          <w:b/>
          <w:sz w:val="32"/>
          <w:szCs w:val="32"/>
        </w:rPr>
        <w:t>合同附件</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14:paraId="1D604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4" w:type="dxa"/>
            <w:gridSpan w:val="2"/>
            <w:tcBorders>
              <w:top w:val="single" w:color="auto" w:sz="4" w:space="0"/>
              <w:left w:val="single" w:color="auto" w:sz="4" w:space="0"/>
              <w:bottom w:val="single" w:color="auto" w:sz="4" w:space="0"/>
              <w:right w:val="single" w:color="auto" w:sz="4" w:space="0"/>
            </w:tcBorders>
          </w:tcPr>
          <w:p w14:paraId="7715E0DC">
            <w:pPr>
              <w:snapToGrid w:val="0"/>
              <w:spacing w:line="390" w:lineRule="exact"/>
              <w:ind w:firstLine="482"/>
              <w:rPr>
                <w:rFonts w:hint="eastAsia" w:ascii="新宋体" w:hAnsi="新宋体" w:eastAsia="新宋体" w:cs="新宋体"/>
                <w:sz w:val="24"/>
              </w:rPr>
            </w:pPr>
            <w:r>
              <w:rPr>
                <w:rFonts w:hint="eastAsia" w:ascii="新宋体" w:hAnsi="新宋体" w:eastAsia="新宋体" w:cs="新宋体"/>
                <w:sz w:val="24"/>
              </w:rPr>
              <w:t>1、项目服务需求内容</w:t>
            </w:r>
          </w:p>
        </w:tc>
      </w:tr>
      <w:tr w14:paraId="36C51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4" w:type="dxa"/>
            <w:gridSpan w:val="2"/>
            <w:tcBorders>
              <w:top w:val="single" w:color="auto" w:sz="4" w:space="0"/>
              <w:left w:val="single" w:color="auto" w:sz="4" w:space="0"/>
              <w:bottom w:val="single" w:color="auto" w:sz="4" w:space="0"/>
              <w:right w:val="single" w:color="auto" w:sz="4" w:space="0"/>
            </w:tcBorders>
          </w:tcPr>
          <w:p w14:paraId="10981E0A">
            <w:pPr>
              <w:snapToGrid w:val="0"/>
              <w:spacing w:line="390" w:lineRule="exact"/>
              <w:ind w:firstLine="482"/>
              <w:rPr>
                <w:rFonts w:hint="eastAsia" w:ascii="新宋体" w:hAnsi="新宋体" w:eastAsia="新宋体" w:cs="新宋体"/>
                <w:sz w:val="24"/>
              </w:rPr>
            </w:pPr>
            <w:r>
              <w:rPr>
                <w:rFonts w:hint="eastAsia" w:ascii="新宋体" w:hAnsi="新宋体" w:eastAsia="新宋体" w:cs="新宋体"/>
                <w:sz w:val="24"/>
              </w:rPr>
              <w:t>2、磋商书</w:t>
            </w:r>
          </w:p>
        </w:tc>
      </w:tr>
      <w:tr w14:paraId="4B881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4" w:type="dxa"/>
            <w:gridSpan w:val="2"/>
            <w:tcBorders>
              <w:top w:val="single" w:color="auto" w:sz="4" w:space="0"/>
              <w:left w:val="single" w:color="auto" w:sz="4" w:space="0"/>
              <w:bottom w:val="single" w:color="auto" w:sz="4" w:space="0"/>
              <w:right w:val="single" w:color="auto" w:sz="4" w:space="0"/>
            </w:tcBorders>
          </w:tcPr>
          <w:p w14:paraId="4161445B">
            <w:pPr>
              <w:snapToGrid w:val="0"/>
              <w:spacing w:line="390" w:lineRule="exact"/>
              <w:ind w:firstLine="482"/>
              <w:rPr>
                <w:rFonts w:hint="eastAsia" w:ascii="新宋体" w:hAnsi="新宋体" w:eastAsia="新宋体" w:cs="新宋体"/>
                <w:sz w:val="24"/>
              </w:rPr>
            </w:pPr>
            <w:r>
              <w:rPr>
                <w:rFonts w:hint="eastAsia" w:ascii="新宋体" w:hAnsi="新宋体" w:eastAsia="新宋体" w:cs="新宋体"/>
                <w:sz w:val="24"/>
              </w:rPr>
              <w:t>3、磋商报价表</w:t>
            </w:r>
          </w:p>
        </w:tc>
      </w:tr>
      <w:tr w14:paraId="27ED3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4" w:type="dxa"/>
            <w:gridSpan w:val="2"/>
            <w:tcBorders>
              <w:top w:val="single" w:color="auto" w:sz="4" w:space="0"/>
              <w:left w:val="single" w:color="auto" w:sz="4" w:space="0"/>
              <w:bottom w:val="single" w:color="auto" w:sz="4" w:space="0"/>
              <w:right w:val="single" w:color="auto" w:sz="4" w:space="0"/>
            </w:tcBorders>
          </w:tcPr>
          <w:p w14:paraId="4030B71A">
            <w:pPr>
              <w:snapToGrid w:val="0"/>
              <w:spacing w:line="390" w:lineRule="exact"/>
              <w:ind w:firstLine="482"/>
              <w:rPr>
                <w:rFonts w:hint="eastAsia" w:ascii="新宋体" w:hAnsi="新宋体" w:eastAsia="新宋体" w:cs="新宋体"/>
                <w:sz w:val="24"/>
              </w:rPr>
            </w:pPr>
            <w:r>
              <w:rPr>
                <w:rFonts w:hint="eastAsia" w:ascii="新宋体" w:hAnsi="新宋体" w:eastAsia="新宋体" w:cs="新宋体"/>
                <w:sz w:val="24"/>
              </w:rPr>
              <w:t>4、磋商记录及应答文件</w:t>
            </w:r>
          </w:p>
        </w:tc>
      </w:tr>
      <w:tr w14:paraId="3ACE6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4" w:type="dxa"/>
            <w:gridSpan w:val="2"/>
            <w:tcBorders>
              <w:top w:val="single" w:color="auto" w:sz="4" w:space="0"/>
              <w:left w:val="single" w:color="auto" w:sz="4" w:space="0"/>
              <w:bottom w:val="single" w:color="auto" w:sz="4" w:space="0"/>
              <w:right w:val="single" w:color="auto" w:sz="4" w:space="0"/>
            </w:tcBorders>
          </w:tcPr>
          <w:p w14:paraId="51BF8141">
            <w:pPr>
              <w:snapToGrid w:val="0"/>
              <w:spacing w:line="390" w:lineRule="exact"/>
              <w:ind w:firstLine="482"/>
              <w:rPr>
                <w:rFonts w:hint="eastAsia" w:ascii="新宋体" w:hAnsi="新宋体" w:eastAsia="新宋体" w:cs="新宋体"/>
                <w:sz w:val="24"/>
              </w:rPr>
            </w:pPr>
            <w:r>
              <w:rPr>
                <w:rFonts w:hint="eastAsia" w:ascii="新宋体" w:hAnsi="新宋体" w:eastAsia="新宋体" w:cs="新宋体"/>
                <w:sz w:val="24"/>
              </w:rPr>
              <w:t>5、质量保证和服务承诺</w:t>
            </w:r>
          </w:p>
        </w:tc>
      </w:tr>
      <w:tr w14:paraId="539F4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4" w:type="dxa"/>
            <w:gridSpan w:val="2"/>
            <w:tcBorders>
              <w:top w:val="single" w:color="auto" w:sz="4" w:space="0"/>
              <w:left w:val="single" w:color="auto" w:sz="4" w:space="0"/>
              <w:bottom w:val="single" w:color="auto" w:sz="4" w:space="0"/>
              <w:right w:val="single" w:color="auto" w:sz="4" w:space="0"/>
            </w:tcBorders>
          </w:tcPr>
          <w:p w14:paraId="1C67C28D">
            <w:pPr>
              <w:snapToGrid w:val="0"/>
              <w:spacing w:line="390" w:lineRule="exact"/>
              <w:ind w:firstLine="482"/>
              <w:rPr>
                <w:rFonts w:hint="eastAsia" w:ascii="新宋体" w:hAnsi="新宋体" w:eastAsia="新宋体" w:cs="新宋体"/>
                <w:sz w:val="24"/>
              </w:rPr>
            </w:pPr>
            <w:r>
              <w:rPr>
                <w:rFonts w:hint="eastAsia" w:ascii="新宋体" w:hAnsi="新宋体" w:eastAsia="新宋体" w:cs="新宋体"/>
                <w:sz w:val="24"/>
              </w:rPr>
              <w:t>6、成交通知书</w:t>
            </w:r>
          </w:p>
        </w:tc>
      </w:tr>
      <w:tr w14:paraId="36163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4" w:type="dxa"/>
            <w:gridSpan w:val="2"/>
            <w:tcBorders>
              <w:top w:val="single" w:color="auto" w:sz="4" w:space="0"/>
              <w:left w:val="single" w:color="auto" w:sz="4" w:space="0"/>
              <w:bottom w:val="single" w:color="auto" w:sz="4" w:space="0"/>
              <w:right w:val="single" w:color="auto" w:sz="4" w:space="0"/>
            </w:tcBorders>
          </w:tcPr>
          <w:p w14:paraId="210E210A">
            <w:pPr>
              <w:snapToGrid w:val="0"/>
              <w:spacing w:line="390" w:lineRule="exact"/>
              <w:ind w:firstLine="482"/>
              <w:rPr>
                <w:rFonts w:hint="eastAsia" w:ascii="新宋体" w:hAnsi="新宋体" w:eastAsia="新宋体" w:cs="新宋体"/>
                <w:sz w:val="24"/>
              </w:rPr>
            </w:pPr>
            <w:r>
              <w:rPr>
                <w:rFonts w:hint="eastAsia" w:ascii="新宋体" w:hAnsi="新宋体" w:eastAsia="新宋体" w:cs="新宋体"/>
                <w:sz w:val="24"/>
              </w:rPr>
              <w:t>7、履约保证金</w:t>
            </w:r>
          </w:p>
        </w:tc>
      </w:tr>
      <w:tr w14:paraId="31245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4" w:type="dxa"/>
            <w:gridSpan w:val="2"/>
            <w:tcBorders>
              <w:top w:val="single" w:color="auto" w:sz="4" w:space="0"/>
              <w:left w:val="single" w:color="auto" w:sz="4" w:space="0"/>
              <w:bottom w:val="single" w:color="auto" w:sz="4" w:space="0"/>
              <w:right w:val="single" w:color="auto" w:sz="4" w:space="0"/>
            </w:tcBorders>
          </w:tcPr>
          <w:p w14:paraId="0DB3432A">
            <w:pPr>
              <w:snapToGrid w:val="0"/>
              <w:spacing w:line="390" w:lineRule="exact"/>
              <w:ind w:firstLine="482"/>
              <w:rPr>
                <w:rFonts w:hint="eastAsia" w:ascii="新宋体" w:hAnsi="新宋体" w:eastAsia="新宋体" w:cs="新宋体"/>
                <w:sz w:val="24"/>
              </w:rPr>
            </w:pPr>
            <w:r>
              <w:rPr>
                <w:rFonts w:hint="eastAsia" w:ascii="新宋体" w:hAnsi="新宋体" w:eastAsia="新宋体" w:cs="新宋体"/>
                <w:sz w:val="24"/>
              </w:rPr>
              <w:t>8、营业执照</w:t>
            </w:r>
          </w:p>
        </w:tc>
      </w:tr>
      <w:tr w14:paraId="3E596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4" w:type="dxa"/>
            <w:gridSpan w:val="2"/>
            <w:tcBorders>
              <w:top w:val="single" w:color="auto" w:sz="4" w:space="0"/>
              <w:left w:val="single" w:color="auto" w:sz="4" w:space="0"/>
              <w:bottom w:val="single" w:color="auto" w:sz="4" w:space="0"/>
              <w:right w:val="single" w:color="auto" w:sz="4" w:space="0"/>
            </w:tcBorders>
          </w:tcPr>
          <w:p w14:paraId="5ABA764D">
            <w:pPr>
              <w:snapToGrid w:val="0"/>
              <w:spacing w:line="390" w:lineRule="exact"/>
              <w:ind w:firstLine="482"/>
              <w:rPr>
                <w:rFonts w:hint="eastAsia" w:ascii="新宋体" w:hAnsi="新宋体" w:eastAsia="新宋体" w:cs="新宋体"/>
                <w:sz w:val="24"/>
              </w:rPr>
            </w:pPr>
            <w:r>
              <w:rPr>
                <w:rFonts w:hint="eastAsia" w:ascii="新宋体" w:hAnsi="新宋体" w:eastAsia="新宋体" w:cs="新宋体"/>
                <w:sz w:val="24"/>
              </w:rPr>
              <w:t>9、授权委托书</w:t>
            </w:r>
          </w:p>
        </w:tc>
      </w:tr>
      <w:tr w14:paraId="0CE06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7" w:type="dxa"/>
            <w:tcBorders>
              <w:top w:val="single" w:color="auto" w:sz="4" w:space="0"/>
              <w:left w:val="single" w:color="auto" w:sz="4" w:space="0"/>
              <w:bottom w:val="single" w:color="auto" w:sz="4" w:space="0"/>
              <w:right w:val="single" w:color="auto" w:sz="4" w:space="0"/>
            </w:tcBorders>
          </w:tcPr>
          <w:p w14:paraId="05CAC5DC">
            <w:pPr>
              <w:snapToGrid w:val="0"/>
              <w:spacing w:line="390" w:lineRule="exact"/>
              <w:ind w:firstLine="482"/>
              <w:rPr>
                <w:rFonts w:hint="eastAsia" w:ascii="新宋体" w:hAnsi="新宋体" w:eastAsia="新宋体" w:cs="新宋体"/>
                <w:sz w:val="24"/>
              </w:rPr>
            </w:pPr>
            <w:r>
              <w:rPr>
                <w:rFonts w:hint="eastAsia" w:ascii="新宋体" w:hAnsi="新宋体" w:eastAsia="新宋体" w:cs="新宋体"/>
                <w:sz w:val="24"/>
              </w:rPr>
              <w:t>甲方（章）：</w:t>
            </w:r>
          </w:p>
          <w:p w14:paraId="4F154EE8">
            <w:pPr>
              <w:snapToGrid w:val="0"/>
              <w:spacing w:line="390" w:lineRule="exact"/>
              <w:ind w:firstLine="482"/>
              <w:rPr>
                <w:rFonts w:hint="eastAsia" w:ascii="新宋体" w:hAnsi="新宋体" w:eastAsia="新宋体" w:cs="新宋体"/>
                <w:sz w:val="24"/>
              </w:rPr>
            </w:pPr>
            <w:r>
              <w:rPr>
                <w:rFonts w:hint="eastAsia" w:ascii="新宋体" w:hAnsi="新宋体" w:eastAsia="新宋体" w:cs="新宋体"/>
                <w:sz w:val="24"/>
              </w:rPr>
              <w:t>广西壮族自治区港航发展中心</w:t>
            </w:r>
          </w:p>
          <w:p w14:paraId="7F80E6C8">
            <w:pPr>
              <w:snapToGrid w:val="0"/>
              <w:spacing w:line="390" w:lineRule="exact"/>
              <w:ind w:firstLine="482"/>
              <w:rPr>
                <w:rFonts w:hint="eastAsia" w:ascii="新宋体" w:hAnsi="新宋体" w:eastAsia="新宋体" w:cs="新宋体"/>
                <w:sz w:val="24"/>
              </w:rPr>
            </w:pPr>
          </w:p>
          <w:p w14:paraId="0F2271F5">
            <w:pPr>
              <w:snapToGrid w:val="0"/>
              <w:spacing w:line="390" w:lineRule="exact"/>
              <w:ind w:firstLine="482"/>
              <w:rPr>
                <w:rFonts w:hint="eastAsia" w:ascii="新宋体" w:hAnsi="新宋体" w:eastAsia="新宋体" w:cs="新宋体"/>
                <w:sz w:val="24"/>
              </w:rPr>
            </w:pPr>
          </w:p>
          <w:p w14:paraId="377A7BAD">
            <w:pPr>
              <w:snapToGrid w:val="0"/>
              <w:spacing w:line="390" w:lineRule="exact"/>
              <w:ind w:firstLine="482"/>
              <w:jc w:val="right"/>
              <w:rPr>
                <w:rFonts w:hint="eastAsia" w:ascii="新宋体" w:hAnsi="新宋体" w:eastAsia="新宋体" w:cs="新宋体"/>
                <w:sz w:val="24"/>
              </w:rPr>
            </w:pPr>
            <w:r>
              <w:rPr>
                <w:rFonts w:hint="eastAsia" w:ascii="新宋体" w:hAnsi="新宋体" w:eastAsia="新宋体" w:cs="新宋体"/>
                <w:sz w:val="24"/>
              </w:rPr>
              <w:t>年   月   日</w:t>
            </w:r>
          </w:p>
        </w:tc>
        <w:tc>
          <w:tcPr>
            <w:tcW w:w="4927" w:type="dxa"/>
            <w:tcBorders>
              <w:top w:val="single" w:color="auto" w:sz="4" w:space="0"/>
              <w:left w:val="single" w:color="auto" w:sz="4" w:space="0"/>
              <w:bottom w:val="single" w:color="auto" w:sz="4" w:space="0"/>
              <w:right w:val="single" w:color="auto" w:sz="4" w:space="0"/>
            </w:tcBorders>
          </w:tcPr>
          <w:p w14:paraId="70E7741C">
            <w:pPr>
              <w:snapToGrid w:val="0"/>
              <w:spacing w:line="390" w:lineRule="exact"/>
              <w:ind w:firstLine="482"/>
              <w:rPr>
                <w:rFonts w:hint="eastAsia" w:ascii="新宋体" w:hAnsi="新宋体" w:eastAsia="新宋体" w:cs="新宋体"/>
                <w:sz w:val="24"/>
              </w:rPr>
            </w:pPr>
            <w:r>
              <w:rPr>
                <w:rFonts w:hint="eastAsia" w:ascii="新宋体" w:hAnsi="新宋体" w:eastAsia="新宋体" w:cs="新宋体"/>
                <w:sz w:val="24"/>
              </w:rPr>
              <w:t>乙方（章）：</w:t>
            </w:r>
          </w:p>
          <w:p w14:paraId="7A5E5552">
            <w:pPr>
              <w:snapToGrid w:val="0"/>
              <w:spacing w:line="390" w:lineRule="exact"/>
              <w:ind w:firstLine="482"/>
              <w:rPr>
                <w:rFonts w:hint="eastAsia" w:ascii="新宋体" w:hAnsi="新宋体" w:eastAsia="新宋体" w:cs="新宋体"/>
                <w:sz w:val="24"/>
              </w:rPr>
            </w:pPr>
          </w:p>
          <w:p w14:paraId="0FFC3470">
            <w:pPr>
              <w:snapToGrid w:val="0"/>
              <w:spacing w:line="390" w:lineRule="exact"/>
              <w:ind w:firstLine="482"/>
              <w:rPr>
                <w:rFonts w:hint="eastAsia" w:ascii="新宋体" w:hAnsi="新宋体" w:eastAsia="新宋体" w:cs="新宋体"/>
                <w:sz w:val="24"/>
              </w:rPr>
            </w:pPr>
          </w:p>
          <w:p w14:paraId="597453B9">
            <w:pPr>
              <w:snapToGrid w:val="0"/>
              <w:spacing w:line="390" w:lineRule="exact"/>
              <w:ind w:firstLine="482"/>
              <w:rPr>
                <w:rFonts w:hint="eastAsia" w:ascii="新宋体" w:hAnsi="新宋体" w:eastAsia="新宋体" w:cs="新宋体"/>
                <w:sz w:val="24"/>
              </w:rPr>
            </w:pPr>
          </w:p>
          <w:p w14:paraId="5EBCD265">
            <w:pPr>
              <w:snapToGrid w:val="0"/>
              <w:spacing w:line="390" w:lineRule="exact"/>
              <w:ind w:firstLine="482"/>
              <w:jc w:val="right"/>
              <w:rPr>
                <w:rFonts w:hint="eastAsia" w:ascii="新宋体" w:hAnsi="新宋体" w:eastAsia="新宋体" w:cs="新宋体"/>
                <w:sz w:val="24"/>
              </w:rPr>
            </w:pPr>
            <w:r>
              <w:rPr>
                <w:rFonts w:hint="eastAsia" w:ascii="新宋体" w:hAnsi="新宋体" w:eastAsia="新宋体" w:cs="新宋体"/>
                <w:sz w:val="24"/>
              </w:rPr>
              <w:t>年   月   日</w:t>
            </w:r>
          </w:p>
        </w:tc>
      </w:tr>
    </w:tbl>
    <w:p w14:paraId="17B5EAC4">
      <w:pPr>
        <w:adjustRightInd w:val="0"/>
        <w:snapToGrid w:val="0"/>
        <w:spacing w:line="300" w:lineRule="auto"/>
        <w:ind w:firstLine="420"/>
        <w:rPr>
          <w:rFonts w:hint="eastAsia" w:ascii="新宋体" w:hAnsi="新宋体" w:eastAsia="新宋体" w:cs="新宋体"/>
          <w:b/>
          <w:kern w:val="0"/>
          <w:szCs w:val="21"/>
        </w:rPr>
      </w:pPr>
    </w:p>
    <w:p w14:paraId="38FC0FBC">
      <w:pPr>
        <w:pStyle w:val="42"/>
        <w:ind w:left="840" w:hanging="420"/>
        <w:rPr>
          <w:rFonts w:hint="eastAsia" w:ascii="新宋体" w:hAnsi="新宋体" w:eastAsia="新宋体" w:cs="新宋体"/>
          <w:b/>
          <w:bCs/>
        </w:rPr>
      </w:pPr>
      <w:r>
        <w:rPr>
          <w:rFonts w:hint="eastAsia" w:ascii="新宋体" w:hAnsi="新宋体" w:eastAsia="新宋体" w:cs="新宋体"/>
        </w:rPr>
        <w:br w:type="page"/>
      </w:r>
      <w:r>
        <w:rPr>
          <w:rFonts w:hint="eastAsia" w:ascii="新宋体" w:hAnsi="新宋体" w:eastAsia="新宋体" w:cs="新宋体"/>
          <w:b/>
          <w:bCs/>
        </w:rPr>
        <w:t>附件 2</w:t>
      </w:r>
      <w:r>
        <w:rPr>
          <w:rFonts w:hint="eastAsia" w:ascii="新宋体" w:hAnsi="新宋体" w:eastAsia="新宋体" w:cs="新宋体"/>
          <w:b/>
          <w:bCs/>
        </w:rPr>
        <w:tab/>
      </w:r>
      <w:r>
        <w:rPr>
          <w:rFonts w:hint="eastAsia" w:ascii="新宋体" w:hAnsi="新宋体" w:eastAsia="新宋体" w:cs="新宋体"/>
          <w:b/>
          <w:bCs/>
        </w:rPr>
        <w:t>廉政合同</w:t>
      </w:r>
    </w:p>
    <w:p w14:paraId="38F4716B">
      <w:pPr>
        <w:pStyle w:val="24"/>
        <w:kinsoku w:val="0"/>
        <w:overflowPunct w:val="0"/>
        <w:adjustRightInd w:val="0"/>
        <w:snapToGrid w:val="0"/>
        <w:jc w:val="left"/>
        <w:rPr>
          <w:rFonts w:hint="eastAsia" w:ascii="新宋体" w:hAnsi="新宋体" w:eastAsia="新宋体" w:cs="新宋体"/>
        </w:rPr>
      </w:pPr>
    </w:p>
    <w:p w14:paraId="14AFF2B6">
      <w:pPr>
        <w:pStyle w:val="24"/>
        <w:kinsoku w:val="0"/>
        <w:overflowPunct w:val="0"/>
        <w:adjustRightInd w:val="0"/>
        <w:snapToGrid w:val="0"/>
        <w:spacing w:line="300" w:lineRule="auto"/>
        <w:ind w:firstLine="643" w:firstLineChars="200"/>
        <w:jc w:val="center"/>
        <w:rPr>
          <w:rFonts w:hint="eastAsia" w:ascii="新宋体" w:hAnsi="新宋体" w:eastAsia="新宋体" w:cs="新宋体"/>
          <w:b/>
          <w:bCs/>
          <w:sz w:val="32"/>
          <w:szCs w:val="32"/>
        </w:rPr>
      </w:pPr>
      <w:r>
        <w:rPr>
          <w:rFonts w:hint="eastAsia" w:ascii="新宋体" w:hAnsi="新宋体" w:eastAsia="新宋体" w:cs="新宋体"/>
          <w:b/>
          <w:bCs/>
          <w:sz w:val="32"/>
          <w:szCs w:val="32"/>
        </w:rPr>
        <w:t>廉政合同</w:t>
      </w:r>
    </w:p>
    <w:p w14:paraId="3CFEE59E">
      <w:pPr>
        <w:pStyle w:val="24"/>
        <w:kinsoku w:val="0"/>
        <w:overflowPunct w:val="0"/>
        <w:adjustRightInd w:val="0"/>
        <w:snapToGrid w:val="0"/>
        <w:spacing w:line="300" w:lineRule="auto"/>
        <w:ind w:firstLine="420" w:firstLineChars="200"/>
        <w:jc w:val="left"/>
        <w:rPr>
          <w:rFonts w:hint="eastAsia" w:ascii="新宋体" w:hAnsi="新宋体" w:eastAsia="新宋体" w:cs="新宋体"/>
          <w:spacing w:val="-95"/>
          <w:szCs w:val="21"/>
        </w:rPr>
      </w:pPr>
      <w:r>
        <w:rPr>
          <w:rFonts w:hint="eastAsia" w:ascii="新宋体" w:hAnsi="新宋体" w:eastAsia="新宋体" w:cs="新宋体"/>
          <w:szCs w:val="21"/>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新宋体" w:hAnsi="新宋体" w:eastAsia="新宋体" w:cs="新宋体"/>
          <w:spacing w:val="6"/>
          <w:szCs w:val="21"/>
        </w:rPr>
        <w:t>，</w:t>
      </w:r>
      <w:r>
        <w:rPr>
          <w:rFonts w:hint="eastAsia" w:ascii="新宋体" w:hAnsi="新宋体" w:eastAsia="新宋体" w:cs="新宋体"/>
          <w:spacing w:val="7"/>
          <w:szCs w:val="21"/>
          <w:u w:val="single"/>
        </w:rPr>
        <w:t>广西壮族自治区港航发展中心</w:t>
      </w:r>
      <w:r>
        <w:rPr>
          <w:rFonts w:hint="eastAsia" w:ascii="新宋体" w:hAnsi="新宋体" w:eastAsia="新宋体" w:cs="新宋体"/>
          <w:spacing w:val="7"/>
          <w:szCs w:val="21"/>
        </w:rPr>
        <w:t>（以下简称：甲方）为一方与另一方</w:t>
      </w:r>
      <w:r>
        <w:rPr>
          <w:rFonts w:hint="eastAsia" w:ascii="新宋体" w:hAnsi="新宋体" w:eastAsia="新宋体" w:cs="新宋体"/>
          <w:spacing w:val="112"/>
          <w:szCs w:val="21"/>
          <w:u w:val="single"/>
        </w:rPr>
        <w:t xml:space="preserve"> </w:t>
      </w:r>
      <w:r>
        <w:rPr>
          <w:rFonts w:hint="eastAsia" w:ascii="新宋体" w:hAnsi="新宋体" w:eastAsia="新宋体" w:cs="新宋体"/>
          <w:spacing w:val="3"/>
          <w:szCs w:val="21"/>
          <w:u w:val="single"/>
        </w:rPr>
        <w:t xml:space="preserve">全称  </w:t>
      </w:r>
      <w:r>
        <w:rPr>
          <w:rFonts w:hint="eastAsia" w:ascii="新宋体" w:hAnsi="新宋体" w:eastAsia="新宋体" w:cs="新宋体"/>
          <w:szCs w:val="21"/>
        </w:rPr>
        <w:t>（以下称乙方），特订立如下合同。</w:t>
      </w:r>
    </w:p>
    <w:p w14:paraId="19BBAC67">
      <w:pPr>
        <w:pStyle w:val="24"/>
        <w:tabs>
          <w:tab w:val="left" w:pos="1380"/>
        </w:tabs>
        <w:kinsoku w:val="0"/>
        <w:overflowPunct w:val="0"/>
        <w:adjustRightInd w:val="0"/>
        <w:snapToGrid w:val="0"/>
        <w:spacing w:line="30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第一条 双方的权利和义务</w:t>
      </w:r>
    </w:p>
    <w:p w14:paraId="4FD1A244">
      <w:pPr>
        <w:pStyle w:val="24"/>
        <w:kinsoku w:val="0"/>
        <w:overflowPunct w:val="0"/>
        <w:adjustRightInd w:val="0"/>
        <w:snapToGrid w:val="0"/>
        <w:spacing w:line="30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（一）严格遵守党和国家有关法律法规及交通运输部的有关规定。</w:t>
      </w:r>
    </w:p>
    <w:p w14:paraId="384AE30B">
      <w:pPr>
        <w:pStyle w:val="24"/>
        <w:tabs>
          <w:tab w:val="left" w:pos="3552"/>
        </w:tabs>
        <w:kinsoku w:val="0"/>
        <w:overflowPunct w:val="0"/>
        <w:adjustRightInd w:val="0"/>
        <w:snapToGrid w:val="0"/>
        <w:spacing w:line="30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（二）严格执行</w:t>
      </w:r>
      <w:r>
        <w:rPr>
          <w:rFonts w:hint="eastAsia" w:ascii="新宋体" w:hAnsi="新宋体" w:eastAsia="新宋体" w:cs="新宋体"/>
          <w:szCs w:val="21"/>
          <w:u w:val="single"/>
        </w:rPr>
        <w:tab/>
      </w:r>
      <w:r>
        <w:rPr>
          <w:rFonts w:hint="eastAsia" w:ascii="新宋体" w:hAnsi="新宋体" w:eastAsia="新宋体" w:cs="新宋体"/>
          <w:szCs w:val="21"/>
        </w:rPr>
        <w:t>合同文件，自觉按合同办事。</w:t>
      </w:r>
    </w:p>
    <w:p w14:paraId="2BF4FCC2">
      <w:pPr>
        <w:pStyle w:val="24"/>
        <w:kinsoku w:val="0"/>
        <w:overflowPunct w:val="0"/>
        <w:adjustRightInd w:val="0"/>
        <w:snapToGrid w:val="0"/>
        <w:spacing w:line="30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（三）双方的业务活动坚持公开、公正、诚信、透明的原则（除法律认定的商业秘密和合同文件另有规定之外），不得损害国家和集体利益，违反工程建设管理规章制度。</w:t>
      </w:r>
    </w:p>
    <w:p w14:paraId="70915732">
      <w:pPr>
        <w:pStyle w:val="24"/>
        <w:kinsoku w:val="0"/>
        <w:overflowPunct w:val="0"/>
        <w:adjustRightInd w:val="0"/>
        <w:snapToGrid w:val="0"/>
        <w:spacing w:line="30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（四）建立健全廉政制度，开展廉政教育，设立廉政告示牌，公布举报电话，监督并认真查处违法违纪行为。</w:t>
      </w:r>
    </w:p>
    <w:p w14:paraId="12CB0643">
      <w:pPr>
        <w:pStyle w:val="24"/>
        <w:kinsoku w:val="0"/>
        <w:overflowPunct w:val="0"/>
        <w:adjustRightInd w:val="0"/>
        <w:snapToGrid w:val="0"/>
        <w:spacing w:line="30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（五）发现对方在业务活动中有违反廉政规定的行为，有及时提醒对方纠正的权利和义务。</w:t>
      </w:r>
    </w:p>
    <w:p w14:paraId="11BBFDCD">
      <w:pPr>
        <w:pStyle w:val="24"/>
        <w:kinsoku w:val="0"/>
        <w:overflowPunct w:val="0"/>
        <w:adjustRightInd w:val="0"/>
        <w:snapToGrid w:val="0"/>
        <w:spacing w:line="30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（六）发现对方严重违反本合同义务条款的行为，有向其上级有关部门举报、建议给予处理并要求告知处理结果的权利。</w:t>
      </w:r>
    </w:p>
    <w:p w14:paraId="7404638E">
      <w:pPr>
        <w:pStyle w:val="24"/>
        <w:kinsoku w:val="0"/>
        <w:overflowPunct w:val="0"/>
        <w:adjustRightInd w:val="0"/>
        <w:snapToGrid w:val="0"/>
        <w:spacing w:line="30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第二条 甲方的义务</w:t>
      </w:r>
    </w:p>
    <w:p w14:paraId="676C46BB">
      <w:pPr>
        <w:pStyle w:val="24"/>
        <w:kinsoku w:val="0"/>
        <w:overflowPunct w:val="0"/>
        <w:adjustRightInd w:val="0"/>
        <w:snapToGrid w:val="0"/>
        <w:spacing w:line="30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（一）甲方及其工作人员不得索要或接受乙方的礼金、有价证券和贵重物品，不得让乙方报销任何应由甲方或个人支付的费用等。</w:t>
      </w:r>
    </w:p>
    <w:p w14:paraId="3FE24F6C">
      <w:pPr>
        <w:pStyle w:val="24"/>
        <w:kinsoku w:val="0"/>
        <w:overflowPunct w:val="0"/>
        <w:adjustRightInd w:val="0"/>
        <w:snapToGrid w:val="0"/>
        <w:spacing w:line="30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（二）甲方工作人员不得参加乙方安排的超标准宴请和娱乐活动；不得接受乙方提供的通讯工具、交通工具和高档办公用品等。</w:t>
      </w:r>
    </w:p>
    <w:p w14:paraId="680DB3C1">
      <w:pPr>
        <w:pStyle w:val="24"/>
        <w:kinsoku w:val="0"/>
        <w:overflowPunct w:val="0"/>
        <w:adjustRightInd w:val="0"/>
        <w:snapToGrid w:val="0"/>
        <w:spacing w:line="30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（三）甲方及其工作人员不得要求或者接受乙方为其住房装修、婚丧嫁娶活动、配偶子女的工作安排以及出国出境、旅游等提供方便等。</w:t>
      </w:r>
    </w:p>
    <w:p w14:paraId="70B5E4ED">
      <w:pPr>
        <w:pStyle w:val="24"/>
        <w:kinsoku w:val="0"/>
        <w:overflowPunct w:val="0"/>
        <w:adjustRightInd w:val="0"/>
        <w:snapToGrid w:val="0"/>
        <w:spacing w:line="30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（四）不准向乙方和相关单位介绍或为配偶、子女、亲属参与同甲方项目工程设计合同有关的设计业务等活动。不得以任何理由要求乙方和相关单位在设计中使用某种产品、材料和设备。</w:t>
      </w:r>
    </w:p>
    <w:p w14:paraId="0D1C54EE">
      <w:pPr>
        <w:pStyle w:val="24"/>
        <w:tabs>
          <w:tab w:val="left" w:pos="1440"/>
        </w:tabs>
        <w:kinsoku w:val="0"/>
        <w:overflowPunct w:val="0"/>
        <w:adjustRightInd w:val="0"/>
        <w:snapToGrid w:val="0"/>
        <w:spacing w:line="30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第三条 乙方义务</w:t>
      </w:r>
    </w:p>
    <w:p w14:paraId="12F2F99E">
      <w:pPr>
        <w:pStyle w:val="24"/>
        <w:kinsoku w:val="0"/>
        <w:overflowPunct w:val="0"/>
        <w:adjustRightInd w:val="0"/>
        <w:snapToGrid w:val="0"/>
        <w:spacing w:line="30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（一）乙方不得以任何理由向甲方及其工作人员行贿或馈赠礼金、有价证券、贵重礼品。</w:t>
      </w:r>
    </w:p>
    <w:p w14:paraId="0E5EDCFF">
      <w:pPr>
        <w:pStyle w:val="24"/>
        <w:kinsoku w:val="0"/>
        <w:overflowPunct w:val="0"/>
        <w:adjustRightInd w:val="0"/>
        <w:snapToGrid w:val="0"/>
        <w:spacing w:line="30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（二）乙方不得以任何名义为甲方及其工作人员报销应由甲方单位或个人支付的任何费用。</w:t>
      </w:r>
    </w:p>
    <w:p w14:paraId="6850D7C2">
      <w:pPr>
        <w:pStyle w:val="24"/>
        <w:kinsoku w:val="0"/>
        <w:overflowPunct w:val="0"/>
        <w:adjustRightInd w:val="0"/>
        <w:snapToGrid w:val="0"/>
        <w:spacing w:line="30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（三）乙方不得以任何理由安排甲方工作人员参加超标准宴请及娱乐活动。</w:t>
      </w:r>
    </w:p>
    <w:p w14:paraId="0072255E">
      <w:pPr>
        <w:pStyle w:val="24"/>
        <w:kinsoku w:val="0"/>
        <w:overflowPunct w:val="0"/>
        <w:adjustRightInd w:val="0"/>
        <w:snapToGrid w:val="0"/>
        <w:spacing w:line="30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（四）乙方不得为甲方单位和个人购置或提供通讯工具、交通工具和高档办公用品等。</w:t>
      </w:r>
    </w:p>
    <w:p w14:paraId="36102C3D">
      <w:pPr>
        <w:pStyle w:val="24"/>
        <w:kinsoku w:val="0"/>
        <w:overflowPunct w:val="0"/>
        <w:adjustRightInd w:val="0"/>
        <w:snapToGrid w:val="0"/>
        <w:spacing w:line="30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第四条 违约责任</w:t>
      </w:r>
    </w:p>
    <w:p w14:paraId="257DF6A1">
      <w:pPr>
        <w:pStyle w:val="24"/>
        <w:kinsoku w:val="0"/>
        <w:overflowPunct w:val="0"/>
        <w:adjustRightInd w:val="0"/>
        <w:snapToGrid w:val="0"/>
        <w:spacing w:line="30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（一）甲方及其工作人员违反本合同第一、二条，按管理权限，依据有关规定给予党纪、政纪处分或组织处理；涉嫌犯罪的，移交司法机关追究刑事责任；给乙方单位造成经济损失的，应予以赔偿。</w:t>
      </w:r>
    </w:p>
    <w:p w14:paraId="6C6B54F4">
      <w:pPr>
        <w:pStyle w:val="24"/>
        <w:kinsoku w:val="0"/>
        <w:overflowPunct w:val="0"/>
        <w:adjustRightInd w:val="0"/>
        <w:snapToGrid w:val="0"/>
        <w:spacing w:line="30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二）乙方及其工作人员违反本合同第一、三条，按管理权限，依据有关规定给予党纪、政纪处分或组织处理；给甲方单位造成经济损失的，应予以赔偿；情节严重的，甲方建议交通工程建设主管部门给予乙方一至三年内不得进入其主管的交通工程建设市场的处罚。</w:t>
      </w:r>
    </w:p>
    <w:p w14:paraId="6CA70601">
      <w:pPr>
        <w:pStyle w:val="24"/>
        <w:kinsoku w:val="0"/>
        <w:overflowPunct w:val="0"/>
        <w:adjustRightInd w:val="0"/>
        <w:snapToGrid w:val="0"/>
        <w:spacing w:line="30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第五条 双方约定：本合同由双方或双方上级单位的纪检监察机关负责监督。由甲方或甲方上级单位的纪检监察机关约请乙方或乙方上级单位纪检监察机关对本合同履行情况进行检查，提出在本合同规定范围内的裁定意见。</w:t>
      </w:r>
    </w:p>
    <w:p w14:paraId="5E9E4DD2">
      <w:pPr>
        <w:pStyle w:val="24"/>
        <w:kinsoku w:val="0"/>
        <w:overflowPunct w:val="0"/>
        <w:adjustRightInd w:val="0"/>
        <w:snapToGrid w:val="0"/>
        <w:spacing w:line="30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第六条 本合同有效期限为双方签署之日起至测量合同失效日止。</w:t>
      </w:r>
    </w:p>
    <w:p w14:paraId="7A1C5C0F">
      <w:pPr>
        <w:pStyle w:val="24"/>
        <w:tabs>
          <w:tab w:val="left" w:pos="3355"/>
        </w:tabs>
        <w:kinsoku w:val="0"/>
        <w:overflowPunct w:val="0"/>
        <w:adjustRightInd w:val="0"/>
        <w:snapToGrid w:val="0"/>
        <w:spacing w:line="300" w:lineRule="auto"/>
        <w:ind w:firstLine="428" w:firstLineChars="200"/>
        <w:jc w:val="left"/>
        <w:rPr>
          <w:rFonts w:hint="eastAsia" w:ascii="新宋体" w:hAnsi="新宋体" w:eastAsia="新宋体" w:cs="新宋体"/>
          <w:szCs w:val="21"/>
        </w:rPr>
      </w:pPr>
      <w:r>
        <w:rPr>
          <w:rFonts w:hint="eastAsia" w:ascii="新宋体" w:hAnsi="新宋体" w:eastAsia="新宋体" w:cs="新宋体"/>
          <w:spacing w:val="2"/>
          <w:szCs w:val="21"/>
        </w:rPr>
        <w:t>第七条 本合同作为</w:t>
      </w:r>
      <w:r>
        <w:rPr>
          <w:rFonts w:hint="eastAsia" w:ascii="新宋体" w:hAnsi="新宋体" w:eastAsia="新宋体" w:cs="新宋体"/>
          <w:spacing w:val="2"/>
          <w:szCs w:val="21"/>
          <w:u w:val="single"/>
        </w:rPr>
        <w:tab/>
      </w:r>
      <w:r>
        <w:rPr>
          <w:rFonts w:hint="eastAsia" w:ascii="新宋体" w:hAnsi="新宋体" w:eastAsia="新宋体" w:cs="新宋体"/>
          <w:szCs w:val="21"/>
        </w:rPr>
        <w:t>合同的附件，与设计合同具有同等的法律效力，经合同双方代表签字、加盖公章且在甲方收到乙方的履约担保后生效。</w:t>
      </w:r>
    </w:p>
    <w:p w14:paraId="2D04A56F">
      <w:pPr>
        <w:pStyle w:val="24"/>
        <w:tabs>
          <w:tab w:val="left" w:pos="2707"/>
          <w:tab w:val="left" w:pos="3763"/>
          <w:tab w:val="left" w:pos="4923"/>
        </w:tabs>
        <w:kinsoku w:val="0"/>
        <w:overflowPunct w:val="0"/>
        <w:adjustRightInd w:val="0"/>
        <w:snapToGrid w:val="0"/>
        <w:spacing w:line="30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第八条 本合同一式</w:t>
      </w:r>
      <w:r>
        <w:rPr>
          <w:rFonts w:hint="eastAsia" w:ascii="新宋体" w:hAnsi="新宋体" w:eastAsia="新宋体" w:cs="新宋体"/>
          <w:szCs w:val="21"/>
        </w:rPr>
        <w:tab/>
      </w:r>
      <w:r>
        <w:rPr>
          <w:rFonts w:hint="eastAsia" w:ascii="新宋体" w:hAnsi="新宋体" w:eastAsia="新宋体" w:cs="新宋体"/>
          <w:szCs w:val="21"/>
        </w:rPr>
        <w:t>份，甲方</w:t>
      </w:r>
      <w:r>
        <w:rPr>
          <w:rFonts w:hint="eastAsia" w:ascii="新宋体" w:hAnsi="新宋体" w:eastAsia="新宋体" w:cs="新宋体"/>
          <w:szCs w:val="21"/>
        </w:rPr>
        <w:tab/>
      </w:r>
      <w:r>
        <w:rPr>
          <w:rFonts w:hint="eastAsia" w:ascii="新宋体" w:hAnsi="新宋体" w:eastAsia="新宋体" w:cs="新宋体"/>
          <w:szCs w:val="21"/>
        </w:rPr>
        <w:t>份，乙方</w:t>
      </w:r>
      <w:r>
        <w:rPr>
          <w:rFonts w:hint="eastAsia" w:ascii="新宋体" w:hAnsi="新宋体" w:eastAsia="新宋体" w:cs="新宋体"/>
          <w:szCs w:val="21"/>
        </w:rPr>
        <w:tab/>
      </w:r>
      <w:r>
        <w:rPr>
          <w:rFonts w:hint="eastAsia" w:ascii="新宋体" w:hAnsi="新宋体" w:eastAsia="新宋体" w:cs="新宋体"/>
          <w:szCs w:val="21"/>
        </w:rPr>
        <w:t>份。</w:t>
      </w:r>
    </w:p>
    <w:p w14:paraId="264B6213">
      <w:pPr>
        <w:pStyle w:val="24"/>
        <w:tabs>
          <w:tab w:val="left" w:pos="2331"/>
          <w:tab w:val="left" w:pos="4440"/>
          <w:tab w:val="left" w:pos="6655"/>
        </w:tabs>
        <w:kinsoku w:val="0"/>
        <w:overflowPunct w:val="0"/>
        <w:adjustRightInd w:val="0"/>
        <w:snapToGrid w:val="0"/>
        <w:spacing w:line="30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甲方：</w:t>
      </w:r>
      <w:r>
        <w:rPr>
          <w:rFonts w:hint="eastAsia" w:ascii="新宋体" w:hAnsi="新宋体" w:eastAsia="新宋体" w:cs="新宋体"/>
          <w:szCs w:val="21"/>
          <w:u w:val="single"/>
        </w:rPr>
        <w:t>（单位全称）（盖单位章）</w:t>
      </w:r>
      <w:r>
        <w:rPr>
          <w:rFonts w:hint="eastAsia" w:ascii="新宋体" w:hAnsi="新宋体" w:eastAsia="新宋体" w:cs="新宋体"/>
          <w:szCs w:val="21"/>
        </w:rPr>
        <w:tab/>
      </w:r>
      <w:r>
        <w:rPr>
          <w:rFonts w:hint="eastAsia" w:ascii="新宋体" w:hAnsi="新宋体" w:eastAsia="新宋体" w:cs="新宋体"/>
          <w:szCs w:val="21"/>
        </w:rPr>
        <w:t>乙方：</w:t>
      </w:r>
      <w:r>
        <w:rPr>
          <w:rFonts w:hint="eastAsia" w:ascii="新宋体" w:hAnsi="新宋体" w:eastAsia="新宋体" w:cs="新宋体"/>
          <w:szCs w:val="21"/>
          <w:u w:val="single"/>
        </w:rPr>
        <w:t>（单位全称）</w:t>
      </w:r>
      <w:r>
        <w:rPr>
          <w:rFonts w:hint="eastAsia" w:ascii="新宋体" w:hAnsi="新宋体" w:eastAsia="新宋体" w:cs="新宋体"/>
          <w:szCs w:val="21"/>
          <w:u w:val="single"/>
        </w:rPr>
        <w:tab/>
      </w:r>
      <w:r>
        <w:rPr>
          <w:rFonts w:hint="eastAsia" w:ascii="新宋体" w:hAnsi="新宋体" w:eastAsia="新宋体" w:cs="新宋体"/>
          <w:szCs w:val="21"/>
          <w:u w:val="single"/>
        </w:rPr>
        <w:t>（盖单位章）</w:t>
      </w:r>
    </w:p>
    <w:p w14:paraId="34FE4912">
      <w:pPr>
        <w:pStyle w:val="24"/>
        <w:kinsoku w:val="0"/>
        <w:overflowPunct w:val="0"/>
        <w:adjustRightInd w:val="0"/>
        <w:snapToGrid w:val="0"/>
        <w:spacing w:line="300" w:lineRule="auto"/>
        <w:ind w:firstLine="420" w:firstLineChars="200"/>
        <w:jc w:val="left"/>
        <w:rPr>
          <w:rFonts w:hint="eastAsia" w:ascii="新宋体" w:hAnsi="新宋体" w:eastAsia="新宋体" w:cs="新宋体"/>
          <w:szCs w:val="21"/>
        </w:rPr>
      </w:pPr>
    </w:p>
    <w:p w14:paraId="1A460D09">
      <w:pPr>
        <w:pStyle w:val="24"/>
        <w:kinsoku w:val="0"/>
        <w:overflowPunct w:val="0"/>
        <w:adjustRightInd w:val="0"/>
        <w:snapToGrid w:val="0"/>
        <w:spacing w:line="300" w:lineRule="auto"/>
        <w:ind w:firstLine="420" w:firstLineChars="200"/>
        <w:jc w:val="left"/>
        <w:rPr>
          <w:rFonts w:hint="eastAsia" w:ascii="新宋体" w:hAnsi="新宋体" w:eastAsia="新宋体" w:cs="新宋体"/>
          <w:szCs w:val="21"/>
        </w:rPr>
      </w:pPr>
    </w:p>
    <w:p w14:paraId="0C6ECF6A">
      <w:pPr>
        <w:pStyle w:val="24"/>
        <w:tabs>
          <w:tab w:val="left" w:pos="4440"/>
        </w:tabs>
        <w:kinsoku w:val="0"/>
        <w:overflowPunct w:val="0"/>
        <w:adjustRightInd w:val="0"/>
        <w:snapToGrid w:val="0"/>
        <w:spacing w:line="30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法定代表人或</w:t>
      </w:r>
      <w:r>
        <w:rPr>
          <w:rFonts w:hint="eastAsia" w:ascii="新宋体" w:hAnsi="新宋体" w:eastAsia="新宋体" w:cs="新宋体"/>
          <w:szCs w:val="21"/>
        </w:rPr>
        <w:tab/>
      </w:r>
      <w:r>
        <w:rPr>
          <w:rFonts w:hint="eastAsia" w:ascii="新宋体" w:hAnsi="新宋体" w:eastAsia="新宋体" w:cs="新宋体"/>
          <w:szCs w:val="21"/>
        </w:rPr>
        <w:t>法定代表人或</w:t>
      </w:r>
    </w:p>
    <w:p w14:paraId="1217D161">
      <w:pPr>
        <w:pStyle w:val="24"/>
        <w:tabs>
          <w:tab w:val="left" w:pos="2119"/>
          <w:tab w:val="left" w:pos="4440"/>
          <w:tab w:val="left" w:pos="6235"/>
        </w:tabs>
        <w:kinsoku w:val="0"/>
        <w:overflowPunct w:val="0"/>
        <w:adjustRightInd w:val="0"/>
        <w:snapToGrid w:val="0"/>
        <w:spacing w:line="30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委托代理人</w:t>
      </w:r>
      <w:r>
        <w:rPr>
          <w:rFonts w:hint="eastAsia" w:ascii="新宋体" w:hAnsi="新宋体" w:eastAsia="新宋体" w:cs="新宋体"/>
          <w:szCs w:val="21"/>
          <w:u w:val="single"/>
        </w:rPr>
        <w:tab/>
      </w:r>
      <w:r>
        <w:rPr>
          <w:rFonts w:hint="eastAsia" w:ascii="新宋体" w:hAnsi="新宋体" w:eastAsia="新宋体" w:cs="新宋体"/>
          <w:szCs w:val="21"/>
          <w:u w:val="single"/>
        </w:rPr>
        <w:t>（职务）</w:t>
      </w:r>
      <w:r>
        <w:rPr>
          <w:rFonts w:hint="eastAsia" w:ascii="新宋体" w:hAnsi="新宋体" w:eastAsia="新宋体" w:cs="新宋体"/>
          <w:szCs w:val="21"/>
        </w:rPr>
        <w:tab/>
      </w:r>
      <w:r>
        <w:rPr>
          <w:rFonts w:hint="eastAsia" w:ascii="新宋体" w:hAnsi="新宋体" w:eastAsia="新宋体" w:cs="新宋体"/>
          <w:szCs w:val="21"/>
        </w:rPr>
        <w:t>委托代理人</w:t>
      </w:r>
      <w:r>
        <w:rPr>
          <w:rFonts w:hint="eastAsia" w:ascii="新宋体" w:hAnsi="新宋体" w:eastAsia="新宋体" w:cs="新宋体"/>
          <w:szCs w:val="21"/>
          <w:u w:val="single"/>
        </w:rPr>
        <w:tab/>
      </w:r>
      <w:r>
        <w:rPr>
          <w:rFonts w:hint="eastAsia" w:ascii="新宋体" w:hAnsi="新宋体" w:eastAsia="新宋体" w:cs="新宋体"/>
          <w:szCs w:val="21"/>
          <w:u w:val="single"/>
        </w:rPr>
        <w:t>（职务）</w:t>
      </w:r>
    </w:p>
    <w:p w14:paraId="36C82EBC">
      <w:pPr>
        <w:pStyle w:val="24"/>
        <w:tabs>
          <w:tab w:val="left" w:pos="2119"/>
          <w:tab w:val="left" w:pos="5284"/>
          <w:tab w:val="left" w:pos="6235"/>
        </w:tabs>
        <w:kinsoku w:val="0"/>
        <w:overflowPunct w:val="0"/>
        <w:adjustRightInd w:val="0"/>
        <w:snapToGrid w:val="0"/>
        <w:spacing w:line="300" w:lineRule="auto"/>
        <w:ind w:firstLine="414" w:firstLineChars="200"/>
        <w:jc w:val="left"/>
        <w:rPr>
          <w:rFonts w:hint="eastAsia" w:ascii="新宋体" w:hAnsi="新宋体" w:eastAsia="新宋体" w:cs="新宋体"/>
          <w:szCs w:val="21"/>
        </w:rPr>
      </w:pPr>
      <w:r>
        <w:rPr>
          <w:rFonts w:hint="eastAsia" w:ascii="新宋体" w:hAnsi="新宋体" w:eastAsia="新宋体" w:cs="新宋体"/>
          <w:w w:val="99"/>
          <w:szCs w:val="21"/>
          <w:u w:val="single"/>
        </w:rPr>
        <w:t xml:space="preserve"> </w:t>
      </w:r>
      <w:r>
        <w:rPr>
          <w:rFonts w:hint="eastAsia" w:ascii="新宋体" w:hAnsi="新宋体" w:eastAsia="新宋体" w:cs="新宋体"/>
          <w:szCs w:val="21"/>
          <w:u w:val="single"/>
        </w:rPr>
        <w:tab/>
      </w:r>
      <w:r>
        <w:rPr>
          <w:rFonts w:hint="eastAsia" w:ascii="新宋体" w:hAnsi="新宋体" w:eastAsia="新宋体" w:cs="新宋体"/>
          <w:szCs w:val="21"/>
          <w:u w:val="single"/>
        </w:rPr>
        <w:t>（姓名）</w:t>
      </w:r>
      <w:r>
        <w:rPr>
          <w:rFonts w:hint="eastAsia" w:ascii="新宋体" w:hAnsi="新宋体" w:eastAsia="新宋体" w:cs="新宋体"/>
          <w:szCs w:val="21"/>
        </w:rPr>
        <w:tab/>
      </w:r>
      <w:r>
        <w:rPr>
          <w:rFonts w:hint="eastAsia" w:ascii="新宋体" w:hAnsi="新宋体" w:eastAsia="新宋体" w:cs="新宋体"/>
          <w:szCs w:val="21"/>
          <w:u w:val="single"/>
        </w:rPr>
        <w:tab/>
      </w:r>
      <w:r>
        <w:rPr>
          <w:rFonts w:hint="eastAsia" w:ascii="新宋体" w:hAnsi="新宋体" w:eastAsia="新宋体" w:cs="新宋体"/>
          <w:szCs w:val="21"/>
          <w:u w:val="single"/>
        </w:rPr>
        <w:t>（姓名）</w:t>
      </w:r>
    </w:p>
    <w:p w14:paraId="38B5BA7D">
      <w:pPr>
        <w:pStyle w:val="24"/>
        <w:tabs>
          <w:tab w:val="left" w:pos="2119"/>
          <w:tab w:val="left" w:pos="5390"/>
          <w:tab w:val="left" w:pos="6339"/>
        </w:tabs>
        <w:kinsoku w:val="0"/>
        <w:overflowPunct w:val="0"/>
        <w:adjustRightInd w:val="0"/>
        <w:snapToGrid w:val="0"/>
        <w:spacing w:line="300" w:lineRule="auto"/>
        <w:ind w:firstLine="414" w:firstLineChars="200"/>
        <w:jc w:val="left"/>
        <w:rPr>
          <w:rFonts w:hint="eastAsia" w:ascii="新宋体" w:hAnsi="新宋体" w:eastAsia="新宋体" w:cs="新宋体"/>
          <w:szCs w:val="21"/>
        </w:rPr>
      </w:pPr>
      <w:r>
        <w:rPr>
          <w:rFonts w:hint="eastAsia" w:ascii="新宋体" w:hAnsi="新宋体" w:eastAsia="新宋体" w:cs="新宋体"/>
          <w:w w:val="99"/>
          <w:szCs w:val="21"/>
          <w:u w:val="single"/>
        </w:rPr>
        <w:t xml:space="preserve"> </w:t>
      </w:r>
      <w:r>
        <w:rPr>
          <w:rFonts w:hint="eastAsia" w:ascii="新宋体" w:hAnsi="新宋体" w:eastAsia="新宋体" w:cs="新宋体"/>
          <w:szCs w:val="21"/>
          <w:u w:val="single"/>
        </w:rPr>
        <w:tab/>
      </w:r>
      <w:r>
        <w:rPr>
          <w:rFonts w:hint="eastAsia" w:ascii="新宋体" w:hAnsi="新宋体" w:eastAsia="新宋体" w:cs="新宋体"/>
          <w:szCs w:val="21"/>
          <w:u w:val="single"/>
        </w:rPr>
        <w:t>（签字）</w:t>
      </w:r>
      <w:r>
        <w:rPr>
          <w:rFonts w:hint="eastAsia" w:ascii="新宋体" w:hAnsi="新宋体" w:eastAsia="新宋体" w:cs="新宋体"/>
          <w:szCs w:val="21"/>
        </w:rPr>
        <w:tab/>
      </w:r>
      <w:r>
        <w:rPr>
          <w:rFonts w:hint="eastAsia" w:ascii="新宋体" w:hAnsi="新宋体" w:eastAsia="新宋体" w:cs="新宋体"/>
          <w:szCs w:val="21"/>
          <w:u w:val="single"/>
        </w:rPr>
        <w:tab/>
      </w:r>
      <w:r>
        <w:rPr>
          <w:rFonts w:hint="eastAsia" w:ascii="新宋体" w:hAnsi="新宋体" w:eastAsia="新宋体" w:cs="新宋体"/>
          <w:szCs w:val="21"/>
          <w:u w:val="single"/>
        </w:rPr>
        <w:t>（签字）</w:t>
      </w:r>
    </w:p>
    <w:p w14:paraId="2EC01F3C">
      <w:pPr>
        <w:pStyle w:val="24"/>
        <w:tabs>
          <w:tab w:val="left" w:pos="2119"/>
          <w:tab w:val="left" w:pos="5390"/>
          <w:tab w:val="left" w:pos="6339"/>
        </w:tabs>
        <w:kinsoku w:val="0"/>
        <w:overflowPunct w:val="0"/>
        <w:spacing w:before="133"/>
        <w:ind w:left="1171"/>
        <w:rPr>
          <w:rFonts w:hint="eastAsia" w:ascii="新宋体" w:hAnsi="新宋体" w:eastAsia="新宋体" w:cs="新宋体"/>
          <w:szCs w:val="21"/>
        </w:rPr>
        <w:sectPr>
          <w:footerReference r:id="rId14" w:type="default"/>
          <w:pgSz w:w="11910" w:h="16840"/>
          <w:pgMar w:top="1360" w:right="1260" w:bottom="900" w:left="1300" w:header="0" w:footer="704" w:gutter="0"/>
          <w:cols w:space="720" w:num="1"/>
        </w:sectPr>
      </w:pPr>
    </w:p>
    <w:p w14:paraId="1B7B01C3">
      <w:pPr>
        <w:pStyle w:val="24"/>
        <w:kinsoku w:val="0"/>
        <w:overflowPunct w:val="0"/>
        <w:adjustRightInd w:val="0"/>
        <w:snapToGrid w:val="0"/>
        <w:spacing w:line="300" w:lineRule="auto"/>
        <w:jc w:val="left"/>
        <w:rPr>
          <w:rFonts w:hint="eastAsia" w:ascii="新宋体" w:hAnsi="新宋体" w:eastAsia="新宋体" w:cs="新宋体"/>
          <w:b/>
          <w:kern w:val="0"/>
          <w:szCs w:val="21"/>
        </w:rPr>
      </w:pPr>
      <w:r>
        <w:rPr>
          <w:rFonts w:hint="eastAsia" w:ascii="新宋体" w:hAnsi="新宋体" w:eastAsia="新宋体" w:cs="新宋体"/>
          <w:b/>
          <w:kern w:val="0"/>
          <w:szCs w:val="21"/>
        </w:rPr>
        <w:t>附件 3</w:t>
      </w:r>
      <w:r>
        <w:rPr>
          <w:rFonts w:hint="eastAsia" w:ascii="新宋体" w:hAnsi="新宋体" w:eastAsia="新宋体" w:cs="新宋体"/>
          <w:b/>
          <w:kern w:val="0"/>
          <w:szCs w:val="21"/>
        </w:rPr>
        <w:tab/>
      </w:r>
      <w:r>
        <w:rPr>
          <w:rFonts w:hint="eastAsia" w:ascii="新宋体" w:hAnsi="新宋体" w:eastAsia="新宋体" w:cs="新宋体"/>
          <w:b/>
          <w:kern w:val="0"/>
          <w:szCs w:val="21"/>
        </w:rPr>
        <w:t>安全生产合同</w:t>
      </w:r>
    </w:p>
    <w:p w14:paraId="58FF5BD2">
      <w:pPr>
        <w:pStyle w:val="24"/>
        <w:kinsoku w:val="0"/>
        <w:overflowPunct w:val="0"/>
        <w:spacing w:before="10"/>
        <w:ind w:firstLine="380"/>
        <w:rPr>
          <w:rFonts w:hint="eastAsia" w:ascii="新宋体" w:hAnsi="新宋体" w:eastAsia="新宋体" w:cs="新宋体"/>
          <w:b/>
          <w:sz w:val="19"/>
          <w:szCs w:val="19"/>
        </w:rPr>
      </w:pPr>
    </w:p>
    <w:p w14:paraId="57727A27">
      <w:pPr>
        <w:pStyle w:val="24"/>
        <w:kinsoku w:val="0"/>
        <w:overflowPunct w:val="0"/>
        <w:ind w:right="140" w:firstLine="643"/>
        <w:jc w:val="center"/>
        <w:rPr>
          <w:rFonts w:hint="eastAsia" w:ascii="新宋体" w:hAnsi="新宋体" w:eastAsia="新宋体" w:cs="新宋体"/>
          <w:sz w:val="32"/>
          <w:szCs w:val="32"/>
        </w:rPr>
      </w:pPr>
      <w:r>
        <w:rPr>
          <w:rFonts w:hint="eastAsia" w:ascii="新宋体" w:hAnsi="新宋体" w:eastAsia="新宋体" w:cs="新宋体"/>
          <w:b/>
          <w:sz w:val="32"/>
          <w:szCs w:val="32"/>
        </w:rPr>
        <w:t>安全生产合同</w:t>
      </w:r>
    </w:p>
    <w:p w14:paraId="5DC51577">
      <w:pPr>
        <w:pStyle w:val="24"/>
        <w:tabs>
          <w:tab w:val="left" w:pos="3120"/>
          <w:tab w:val="left" w:pos="8808"/>
        </w:tabs>
        <w:kinsoku w:val="0"/>
        <w:overflowPunct w:val="0"/>
        <w:adjustRightInd w:val="0"/>
        <w:snapToGrid w:val="0"/>
        <w:spacing w:line="30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为在</w:t>
      </w:r>
      <w:r>
        <w:rPr>
          <w:rFonts w:hint="eastAsia" w:ascii="新宋体" w:hAnsi="新宋体" w:eastAsia="新宋体" w:cs="新宋体"/>
          <w:szCs w:val="21"/>
          <w:u w:val="single"/>
        </w:rPr>
        <w:tab/>
      </w:r>
      <w:r>
        <w:rPr>
          <w:rFonts w:hint="eastAsia" w:ascii="新宋体" w:hAnsi="新宋体" w:eastAsia="新宋体" w:cs="新宋体"/>
          <w:szCs w:val="21"/>
        </w:rPr>
        <w:t>的实施过程中创造安全、高效的工作环境，切实搞好本工程的安全管理工作，本工程业主</w:t>
      </w:r>
      <w:r>
        <w:rPr>
          <w:rFonts w:hint="eastAsia" w:ascii="新宋体" w:hAnsi="新宋体" w:eastAsia="新宋体" w:cs="新宋体"/>
          <w:szCs w:val="21"/>
          <w:u w:val="single"/>
        </w:rPr>
        <w:t>广西壮族自治区港航发展中心</w:t>
      </w:r>
      <w:r>
        <w:rPr>
          <w:rFonts w:hint="eastAsia" w:ascii="新宋体" w:hAnsi="新宋体" w:eastAsia="新宋体" w:cs="新宋体"/>
          <w:szCs w:val="21"/>
        </w:rPr>
        <w:t>（以下简称“甲方”）与乙方</w:t>
      </w:r>
      <w:r>
        <w:rPr>
          <w:rFonts w:hint="eastAsia" w:ascii="新宋体" w:hAnsi="新宋体" w:eastAsia="新宋体" w:cs="新宋体"/>
          <w:spacing w:val="-10"/>
          <w:w w:val="95"/>
          <w:szCs w:val="21"/>
          <w:u w:val="single"/>
        </w:rPr>
        <w:tab/>
      </w:r>
      <w:r>
        <w:rPr>
          <w:rFonts w:hint="eastAsia" w:ascii="新宋体" w:hAnsi="新宋体" w:eastAsia="新宋体" w:cs="新宋体"/>
          <w:szCs w:val="21"/>
          <w:u w:val="single"/>
        </w:rPr>
        <w:t>（</w:t>
      </w:r>
      <w:r>
        <w:rPr>
          <w:rFonts w:hint="eastAsia" w:ascii="新宋体" w:hAnsi="新宋体" w:eastAsia="新宋体" w:cs="新宋体"/>
          <w:szCs w:val="21"/>
        </w:rPr>
        <w:t>以下简称“乙方”）特此签订安全生产合同：</w:t>
      </w:r>
    </w:p>
    <w:p w14:paraId="6CD55443">
      <w:pPr>
        <w:pStyle w:val="24"/>
        <w:kinsoku w:val="0"/>
        <w:overflowPunct w:val="0"/>
        <w:adjustRightInd w:val="0"/>
        <w:snapToGrid w:val="0"/>
        <w:spacing w:line="30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一、甲方职责：</w:t>
      </w:r>
    </w:p>
    <w:p w14:paraId="4F0E8CF8">
      <w:pPr>
        <w:pStyle w:val="24"/>
        <w:kinsoku w:val="0"/>
        <w:overflowPunct w:val="0"/>
        <w:adjustRightInd w:val="0"/>
        <w:snapToGrid w:val="0"/>
        <w:spacing w:line="30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1．严格遵守国家有关安全生产的法律法规，认真执行合同中的有关安全要求。</w:t>
      </w:r>
    </w:p>
    <w:p w14:paraId="7C42DF08">
      <w:pPr>
        <w:pStyle w:val="24"/>
        <w:kinsoku w:val="0"/>
        <w:overflowPunct w:val="0"/>
        <w:adjustRightInd w:val="0"/>
        <w:snapToGrid w:val="0"/>
        <w:spacing w:line="30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2．按照“安全第一、预防为主”和坚持“管生产必须管安全”的原则进行安全生产管理，做到生产与安全工作同时计划、布置、检查、总结和评比。</w:t>
      </w:r>
    </w:p>
    <w:p w14:paraId="2C73270D">
      <w:pPr>
        <w:pStyle w:val="24"/>
        <w:kinsoku w:val="0"/>
        <w:overflowPunct w:val="0"/>
        <w:adjustRightInd w:val="0"/>
        <w:snapToGrid w:val="0"/>
        <w:spacing w:line="30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3．重要的安全设施必须坚持与主体工程“三同时”的原则，即：同时设计、审批，同时施工，同时验收，投入使用。</w:t>
      </w:r>
    </w:p>
    <w:p w14:paraId="58ADDBFD">
      <w:pPr>
        <w:pStyle w:val="24"/>
        <w:kinsoku w:val="0"/>
        <w:overflowPunct w:val="0"/>
        <w:adjustRightInd w:val="0"/>
        <w:snapToGrid w:val="0"/>
        <w:spacing w:line="30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4．定期召开安全生产调度会，及时传达中央及地方有关安全生产的精神。</w:t>
      </w:r>
    </w:p>
    <w:p w14:paraId="20DD5094">
      <w:pPr>
        <w:pStyle w:val="24"/>
        <w:kinsoku w:val="0"/>
        <w:overflowPunct w:val="0"/>
        <w:adjustRightInd w:val="0"/>
        <w:snapToGrid w:val="0"/>
        <w:spacing w:line="30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5．组织对乙方施工现场安全生产检查，监督乙方及时处理发现的各项安全隐患。</w:t>
      </w:r>
    </w:p>
    <w:p w14:paraId="6569052C">
      <w:pPr>
        <w:pStyle w:val="24"/>
        <w:kinsoku w:val="0"/>
        <w:overflowPunct w:val="0"/>
        <w:adjustRightInd w:val="0"/>
        <w:snapToGrid w:val="0"/>
        <w:spacing w:line="30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二、乙方职责</w:t>
      </w:r>
    </w:p>
    <w:p w14:paraId="08F846CC">
      <w:pPr>
        <w:pStyle w:val="24"/>
        <w:kinsoku w:val="0"/>
        <w:overflowPunct w:val="0"/>
        <w:adjustRightInd w:val="0"/>
        <w:snapToGrid w:val="0"/>
        <w:spacing w:line="30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1．严格遵守国家有关安全生产的法律法规，执行交通部颁发的有关安全生产的规定，认真执行合同中的有安全要求。</w:t>
      </w:r>
    </w:p>
    <w:p w14:paraId="37C0C379">
      <w:pPr>
        <w:pStyle w:val="24"/>
        <w:kinsoku w:val="0"/>
        <w:overflowPunct w:val="0"/>
        <w:adjustRightInd w:val="0"/>
        <w:snapToGrid w:val="0"/>
        <w:spacing w:line="30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7917B7BE">
      <w:pPr>
        <w:pStyle w:val="24"/>
        <w:kinsoku w:val="0"/>
        <w:overflowPunct w:val="0"/>
        <w:adjustRightInd w:val="0"/>
        <w:snapToGrid w:val="0"/>
        <w:spacing w:line="30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3．建立健全安全生产责任制。从派往项目实施的设计（包括临时雇请的民工）的安全生产管理系统必须做到纵向到底，一环不漏；各职能部门、人员的安全生产责任制做到横向到边，人人有责。现场设置的安全机构，应按施工人员的1%～3%配备安全员，专职负责所有员工的安全和治安保卫工作及预防事故的发生。安全机构人员，有权按有关规定发布指令，并采取保护性措施防止事故发生。</w:t>
      </w:r>
    </w:p>
    <w:p w14:paraId="1DF0FC78">
      <w:pPr>
        <w:pStyle w:val="24"/>
        <w:kinsoku w:val="0"/>
        <w:overflowPunct w:val="0"/>
        <w:adjustRightInd w:val="0"/>
        <w:snapToGrid w:val="0"/>
        <w:spacing w:line="30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4．乙方在任何时候都应采取各种合理的预防措施，防止其员工发生任何违法、违禁、暴力或妨碍治安的行为。</w:t>
      </w:r>
    </w:p>
    <w:p w14:paraId="41125897">
      <w:pPr>
        <w:pStyle w:val="24"/>
        <w:kinsoku w:val="0"/>
        <w:overflowPunct w:val="0"/>
        <w:adjustRightInd w:val="0"/>
        <w:snapToGrid w:val="0"/>
        <w:spacing w:line="30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5．乙方必须具有劳动安全管理部门颁发的安全生产证书，参加测量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乙方必须承担管理责任。</w:t>
      </w:r>
    </w:p>
    <w:p w14:paraId="77DD8041">
      <w:pPr>
        <w:pStyle w:val="24"/>
        <w:kinsoku w:val="0"/>
        <w:overflowPunct w:val="0"/>
        <w:adjustRightInd w:val="0"/>
        <w:snapToGrid w:val="0"/>
        <w:spacing w:line="30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078E30EF">
      <w:pPr>
        <w:pStyle w:val="24"/>
        <w:kinsoku w:val="0"/>
        <w:overflowPunct w:val="0"/>
        <w:adjustRightInd w:val="0"/>
        <w:snapToGrid w:val="0"/>
        <w:spacing w:line="30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7．操作人员上岗，必须按规定穿戴防护用品。施工负责人和安全检查员应随时检查劳动防护用品的穿戴情况，不按规定穿戴防护用品的人员不得上岗。</w:t>
      </w:r>
    </w:p>
    <w:p w14:paraId="74F7E2EA">
      <w:pPr>
        <w:pStyle w:val="24"/>
        <w:kinsoku w:val="0"/>
        <w:overflowPunct w:val="0"/>
        <w:adjustRightInd w:val="0"/>
        <w:snapToGrid w:val="0"/>
        <w:spacing w:line="30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8．所有施工机具设备和高空作业的设备均应定期检查，并有安全员的签字记录，保证其经常处于完好状态；不合格的机具、设备和劳动保护用品严禁使用。</w:t>
      </w:r>
    </w:p>
    <w:p w14:paraId="64C91DA5">
      <w:pPr>
        <w:pStyle w:val="24"/>
        <w:kinsoku w:val="0"/>
        <w:overflowPunct w:val="0"/>
        <w:adjustRightInd w:val="0"/>
        <w:snapToGrid w:val="0"/>
        <w:spacing w:line="30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9．施工中采用新技术、新工艺、新设备、新材料时，必须制定相应的安全技术措施，施工现场必须具有相关的安全标志牌。</w:t>
      </w:r>
    </w:p>
    <w:p w14:paraId="12833FDA">
      <w:pPr>
        <w:pStyle w:val="24"/>
        <w:kinsoku w:val="0"/>
        <w:overflowPunct w:val="0"/>
        <w:adjustRightInd w:val="0"/>
        <w:snapToGrid w:val="0"/>
        <w:spacing w:line="30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503539CE">
      <w:pPr>
        <w:pStyle w:val="24"/>
        <w:kinsoku w:val="0"/>
        <w:overflowPunct w:val="0"/>
        <w:adjustRightInd w:val="0"/>
        <w:snapToGrid w:val="0"/>
        <w:spacing w:line="30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三、违约责任如因甲方或乙方违约造成安全事故，将依法追究责任。</w:t>
      </w:r>
    </w:p>
    <w:p w14:paraId="24F762BD">
      <w:pPr>
        <w:pStyle w:val="24"/>
        <w:kinsoku w:val="0"/>
        <w:overflowPunct w:val="0"/>
        <w:adjustRightInd w:val="0"/>
        <w:snapToGrid w:val="0"/>
        <w:spacing w:line="300" w:lineRule="auto"/>
        <w:ind w:firstLine="420" w:firstLineChars="200"/>
        <w:jc w:val="left"/>
        <w:rPr>
          <w:rFonts w:hint="eastAsia" w:ascii="新宋体" w:hAnsi="新宋体" w:eastAsia="新宋体" w:cs="新宋体"/>
          <w:szCs w:val="21"/>
        </w:rPr>
      </w:pPr>
      <w:r>
        <w:rPr>
          <w:rFonts w:hint="eastAsia" w:ascii="新宋体" w:hAnsi="新宋体" w:eastAsia="新宋体" w:cs="新宋体"/>
          <w:szCs w:val="21"/>
        </w:rPr>
        <w:t>本合同正本两份，双方各执壹份；副本壹拾贰份，业主执壹拾壹份，乙方执壹份。由双方法定代表人或其授权的代理人签署与加盖公章后生效。</w:t>
      </w:r>
    </w:p>
    <w:p w14:paraId="4193AA67">
      <w:pPr>
        <w:pStyle w:val="24"/>
        <w:kinsoku w:val="0"/>
        <w:overflowPunct w:val="0"/>
        <w:rPr>
          <w:rFonts w:hint="eastAsia" w:ascii="新宋体" w:hAnsi="新宋体" w:eastAsia="新宋体" w:cs="新宋体"/>
          <w:szCs w:val="21"/>
        </w:rPr>
      </w:pPr>
    </w:p>
    <w:p w14:paraId="58FCFEAB">
      <w:pPr>
        <w:pStyle w:val="24"/>
        <w:kinsoku w:val="0"/>
        <w:overflowPunct w:val="0"/>
        <w:spacing w:before="2"/>
        <w:rPr>
          <w:rFonts w:hint="eastAsia" w:ascii="新宋体" w:hAnsi="新宋体" w:eastAsia="新宋体" w:cs="新宋体"/>
          <w:szCs w:val="21"/>
        </w:rPr>
      </w:pPr>
    </w:p>
    <w:p w14:paraId="7CC2CA5F">
      <w:pPr>
        <w:pStyle w:val="24"/>
        <w:tabs>
          <w:tab w:val="left" w:pos="4231"/>
        </w:tabs>
        <w:kinsoku w:val="0"/>
        <w:overflowPunct w:val="0"/>
        <w:ind w:left="327"/>
        <w:rPr>
          <w:rFonts w:hint="eastAsia" w:ascii="新宋体" w:hAnsi="新宋体" w:eastAsia="新宋体" w:cs="新宋体"/>
          <w:szCs w:val="21"/>
        </w:rPr>
      </w:pPr>
      <w:r>
        <w:rPr>
          <w:rFonts w:hint="eastAsia" w:ascii="新宋体" w:hAnsi="新宋体" w:eastAsia="新宋体" w:cs="新宋体"/>
          <w:szCs w:val="21"/>
        </w:rPr>
        <w:t>甲方：（单位全称）（盖章）</w:t>
      </w:r>
      <w:r>
        <w:rPr>
          <w:rFonts w:hint="eastAsia" w:ascii="新宋体" w:hAnsi="新宋体" w:eastAsia="新宋体" w:cs="新宋体"/>
          <w:szCs w:val="21"/>
        </w:rPr>
        <w:tab/>
      </w:r>
      <w:r>
        <w:rPr>
          <w:rFonts w:hint="eastAsia" w:ascii="新宋体" w:hAnsi="新宋体" w:eastAsia="新宋体" w:cs="新宋体"/>
          <w:szCs w:val="21"/>
        </w:rPr>
        <w:t>乙方：（单位全称）（盖章）</w:t>
      </w:r>
    </w:p>
    <w:p w14:paraId="57DAA010">
      <w:pPr>
        <w:pStyle w:val="24"/>
        <w:kinsoku w:val="0"/>
        <w:overflowPunct w:val="0"/>
        <w:rPr>
          <w:rFonts w:hint="eastAsia" w:ascii="新宋体" w:hAnsi="新宋体" w:eastAsia="新宋体" w:cs="新宋体"/>
          <w:szCs w:val="21"/>
        </w:rPr>
      </w:pPr>
    </w:p>
    <w:p w14:paraId="793B61E5">
      <w:pPr>
        <w:pStyle w:val="24"/>
        <w:kinsoku w:val="0"/>
        <w:overflowPunct w:val="0"/>
        <w:rPr>
          <w:rFonts w:hint="eastAsia" w:ascii="新宋体" w:hAnsi="新宋体" w:eastAsia="新宋体" w:cs="新宋体"/>
          <w:szCs w:val="21"/>
        </w:rPr>
      </w:pPr>
    </w:p>
    <w:p w14:paraId="76279775">
      <w:pPr>
        <w:pStyle w:val="24"/>
        <w:tabs>
          <w:tab w:val="left" w:pos="4863"/>
        </w:tabs>
        <w:kinsoku w:val="0"/>
        <w:overflowPunct w:val="0"/>
        <w:spacing w:before="137"/>
        <w:ind w:left="327"/>
        <w:rPr>
          <w:rFonts w:hint="eastAsia" w:ascii="新宋体" w:hAnsi="新宋体" w:eastAsia="新宋体" w:cs="新宋体"/>
          <w:szCs w:val="21"/>
        </w:rPr>
      </w:pPr>
      <w:r>
        <w:rPr>
          <w:rFonts w:hint="eastAsia" w:ascii="新宋体" w:hAnsi="新宋体" w:eastAsia="新宋体" w:cs="新宋体"/>
          <w:szCs w:val="21"/>
        </w:rPr>
        <w:t>法定代表人</w:t>
      </w:r>
      <w:r>
        <w:rPr>
          <w:rFonts w:hint="eastAsia" w:ascii="新宋体" w:hAnsi="新宋体" w:eastAsia="新宋体" w:cs="新宋体"/>
          <w:szCs w:val="21"/>
        </w:rPr>
        <w:tab/>
      </w:r>
      <w:r>
        <w:rPr>
          <w:rFonts w:hint="eastAsia" w:ascii="新宋体" w:hAnsi="新宋体" w:eastAsia="新宋体" w:cs="新宋体"/>
          <w:szCs w:val="21"/>
        </w:rPr>
        <w:t>法定代表人</w:t>
      </w:r>
    </w:p>
    <w:p w14:paraId="67EA5AB6">
      <w:pPr>
        <w:pStyle w:val="24"/>
        <w:kinsoku w:val="0"/>
        <w:overflowPunct w:val="0"/>
        <w:spacing w:before="10"/>
        <w:rPr>
          <w:rFonts w:hint="eastAsia" w:ascii="新宋体" w:hAnsi="新宋体" w:eastAsia="新宋体" w:cs="新宋体"/>
          <w:szCs w:val="21"/>
        </w:rPr>
      </w:pPr>
    </w:p>
    <w:p w14:paraId="24A6F806">
      <w:pPr>
        <w:pStyle w:val="24"/>
        <w:tabs>
          <w:tab w:val="left" w:pos="2014"/>
          <w:tab w:val="left" w:pos="2542"/>
          <w:tab w:val="left" w:pos="2964"/>
          <w:tab w:val="left" w:pos="4387"/>
          <w:tab w:val="left" w:pos="4440"/>
          <w:tab w:val="left" w:pos="6127"/>
          <w:tab w:val="left" w:pos="6655"/>
          <w:tab w:val="left" w:pos="7078"/>
        </w:tabs>
        <w:kinsoku w:val="0"/>
        <w:overflowPunct w:val="0"/>
        <w:spacing w:line="408" w:lineRule="auto"/>
        <w:ind w:left="327" w:right="2056"/>
        <w:rPr>
          <w:rFonts w:hint="eastAsia" w:ascii="新宋体" w:hAnsi="新宋体" w:eastAsia="新宋体" w:cs="新宋体"/>
          <w:spacing w:val="-101"/>
          <w:szCs w:val="21"/>
        </w:rPr>
      </w:pPr>
      <w:r>
        <w:rPr>
          <w:rFonts w:hint="eastAsia" w:ascii="新宋体" w:hAnsi="新宋体" w:eastAsia="新宋体" w:cs="新宋体"/>
          <w:szCs w:val="21"/>
        </w:rPr>
        <w:t>或其委托代理人签名：</w:t>
      </w:r>
      <w:r>
        <w:rPr>
          <w:rFonts w:hint="eastAsia" w:ascii="新宋体" w:hAnsi="新宋体" w:eastAsia="新宋体" w:cs="新宋体"/>
          <w:szCs w:val="21"/>
        </w:rPr>
        <w:tab/>
      </w:r>
      <w:r>
        <w:rPr>
          <w:rFonts w:hint="eastAsia" w:ascii="新宋体" w:hAnsi="新宋体" w:eastAsia="新宋体" w:cs="新宋体"/>
          <w:szCs w:val="21"/>
        </w:rPr>
        <w:tab/>
      </w:r>
      <w:r>
        <w:rPr>
          <w:rFonts w:hint="eastAsia" w:ascii="新宋体" w:hAnsi="新宋体" w:eastAsia="新宋体" w:cs="新宋体"/>
          <w:szCs w:val="21"/>
        </w:rPr>
        <w:tab/>
      </w:r>
      <w:r>
        <w:rPr>
          <w:rFonts w:hint="eastAsia" w:ascii="新宋体" w:hAnsi="新宋体" w:eastAsia="新宋体" w:cs="新宋体"/>
          <w:szCs w:val="21"/>
        </w:rPr>
        <w:tab/>
      </w:r>
      <w:r>
        <w:rPr>
          <w:rFonts w:hint="eastAsia" w:ascii="新宋体" w:hAnsi="新宋体" w:eastAsia="新宋体" w:cs="新宋体"/>
          <w:szCs w:val="21"/>
        </w:rPr>
        <w:t>或其委托代理人签名：</w:t>
      </w:r>
    </w:p>
    <w:p w14:paraId="3485B3FB">
      <w:pPr>
        <w:pStyle w:val="24"/>
        <w:tabs>
          <w:tab w:val="left" w:pos="2014"/>
          <w:tab w:val="left" w:pos="2542"/>
          <w:tab w:val="left" w:pos="2964"/>
          <w:tab w:val="left" w:pos="4387"/>
          <w:tab w:val="left" w:pos="4440"/>
          <w:tab w:val="left" w:pos="6127"/>
          <w:tab w:val="left" w:pos="6655"/>
          <w:tab w:val="left" w:pos="7078"/>
        </w:tabs>
        <w:kinsoku w:val="0"/>
        <w:overflowPunct w:val="0"/>
        <w:spacing w:line="408" w:lineRule="auto"/>
        <w:ind w:left="327" w:right="2056"/>
        <w:rPr>
          <w:rFonts w:hint="eastAsia" w:ascii="新宋体" w:hAnsi="新宋体" w:eastAsia="新宋体" w:cs="新宋体"/>
          <w:szCs w:val="21"/>
        </w:rPr>
      </w:pPr>
      <w:r>
        <w:rPr>
          <w:rFonts w:hint="eastAsia" w:ascii="新宋体" w:hAnsi="新宋体" w:eastAsia="新宋体" w:cs="新宋体"/>
          <w:szCs w:val="21"/>
        </w:rPr>
        <w:t>签字日期：</w:t>
      </w:r>
      <w:r>
        <w:rPr>
          <w:rFonts w:hint="eastAsia" w:ascii="新宋体" w:hAnsi="新宋体" w:eastAsia="新宋体" w:cs="新宋体"/>
          <w:szCs w:val="21"/>
        </w:rPr>
        <w:tab/>
      </w:r>
      <w:r>
        <w:rPr>
          <w:rFonts w:hint="eastAsia" w:ascii="新宋体" w:hAnsi="新宋体" w:eastAsia="新宋体" w:cs="新宋体"/>
          <w:w w:val="95"/>
          <w:szCs w:val="21"/>
        </w:rPr>
        <w:t>年</w:t>
      </w:r>
      <w:r>
        <w:rPr>
          <w:rFonts w:hint="eastAsia" w:ascii="新宋体" w:hAnsi="新宋体" w:eastAsia="新宋体" w:cs="新宋体"/>
          <w:w w:val="95"/>
          <w:szCs w:val="21"/>
        </w:rPr>
        <w:tab/>
      </w:r>
      <w:r>
        <w:rPr>
          <w:rFonts w:hint="eastAsia" w:ascii="新宋体" w:hAnsi="新宋体" w:eastAsia="新宋体" w:cs="新宋体"/>
          <w:w w:val="95"/>
          <w:szCs w:val="21"/>
        </w:rPr>
        <w:t>月</w:t>
      </w:r>
      <w:r>
        <w:rPr>
          <w:rFonts w:hint="eastAsia" w:ascii="新宋体" w:hAnsi="新宋体" w:eastAsia="新宋体" w:cs="新宋体"/>
          <w:w w:val="95"/>
          <w:szCs w:val="21"/>
        </w:rPr>
        <w:tab/>
      </w:r>
      <w:r>
        <w:rPr>
          <w:rFonts w:hint="eastAsia" w:ascii="新宋体" w:hAnsi="新宋体" w:eastAsia="新宋体" w:cs="新宋体"/>
          <w:w w:val="95"/>
          <w:szCs w:val="21"/>
        </w:rPr>
        <w:t>日</w:t>
      </w:r>
      <w:r>
        <w:rPr>
          <w:rFonts w:hint="eastAsia" w:ascii="新宋体" w:hAnsi="新宋体" w:eastAsia="新宋体" w:cs="新宋体"/>
          <w:w w:val="95"/>
          <w:szCs w:val="21"/>
        </w:rPr>
        <w:tab/>
      </w:r>
      <w:r>
        <w:rPr>
          <w:rFonts w:hint="eastAsia" w:ascii="新宋体" w:hAnsi="新宋体" w:eastAsia="新宋体" w:cs="新宋体"/>
          <w:w w:val="95"/>
          <w:szCs w:val="21"/>
        </w:rPr>
        <w:tab/>
      </w:r>
      <w:r>
        <w:rPr>
          <w:rFonts w:hint="eastAsia" w:ascii="新宋体" w:hAnsi="新宋体" w:eastAsia="新宋体" w:cs="新宋体"/>
          <w:szCs w:val="21"/>
        </w:rPr>
        <w:t>签字日期：</w:t>
      </w:r>
      <w:r>
        <w:rPr>
          <w:rFonts w:hint="eastAsia" w:ascii="新宋体" w:hAnsi="新宋体" w:eastAsia="新宋体" w:cs="新宋体"/>
          <w:szCs w:val="21"/>
        </w:rPr>
        <w:tab/>
      </w:r>
      <w:r>
        <w:rPr>
          <w:rFonts w:hint="eastAsia" w:ascii="新宋体" w:hAnsi="新宋体" w:eastAsia="新宋体" w:cs="新宋体"/>
          <w:w w:val="95"/>
          <w:szCs w:val="21"/>
        </w:rPr>
        <w:t>年</w:t>
      </w:r>
      <w:r>
        <w:rPr>
          <w:rFonts w:hint="eastAsia" w:ascii="新宋体" w:hAnsi="新宋体" w:eastAsia="新宋体" w:cs="新宋体"/>
          <w:w w:val="95"/>
          <w:szCs w:val="21"/>
        </w:rPr>
        <w:tab/>
      </w:r>
      <w:r>
        <w:rPr>
          <w:rFonts w:hint="eastAsia" w:ascii="新宋体" w:hAnsi="新宋体" w:eastAsia="新宋体" w:cs="新宋体"/>
          <w:w w:val="95"/>
          <w:szCs w:val="21"/>
        </w:rPr>
        <w:t>月</w:t>
      </w:r>
      <w:r>
        <w:rPr>
          <w:rFonts w:hint="eastAsia" w:ascii="新宋体" w:hAnsi="新宋体" w:eastAsia="新宋体" w:cs="新宋体"/>
          <w:w w:val="95"/>
          <w:szCs w:val="21"/>
        </w:rPr>
        <w:tab/>
      </w:r>
      <w:r>
        <w:rPr>
          <w:rFonts w:hint="eastAsia" w:ascii="新宋体" w:hAnsi="新宋体" w:eastAsia="新宋体" w:cs="新宋体"/>
          <w:szCs w:val="21"/>
        </w:rPr>
        <w:t>日单位地址：</w:t>
      </w:r>
      <w:r>
        <w:rPr>
          <w:rFonts w:hint="eastAsia" w:ascii="新宋体" w:hAnsi="新宋体" w:eastAsia="新宋体" w:cs="新宋体"/>
          <w:szCs w:val="21"/>
        </w:rPr>
        <w:tab/>
      </w:r>
      <w:r>
        <w:rPr>
          <w:rFonts w:hint="eastAsia" w:ascii="新宋体" w:hAnsi="新宋体" w:eastAsia="新宋体" w:cs="新宋体"/>
          <w:szCs w:val="21"/>
        </w:rPr>
        <w:t xml:space="preserve">                       单位地址：</w:t>
      </w:r>
    </w:p>
    <w:p w14:paraId="085667B3">
      <w:pPr>
        <w:pStyle w:val="24"/>
        <w:tabs>
          <w:tab w:val="left" w:pos="4440"/>
        </w:tabs>
        <w:kinsoku w:val="0"/>
        <w:overflowPunct w:val="0"/>
        <w:spacing w:before="46"/>
        <w:ind w:left="327"/>
        <w:rPr>
          <w:rFonts w:hint="eastAsia" w:ascii="新宋体" w:hAnsi="新宋体" w:eastAsia="新宋体" w:cs="新宋体"/>
          <w:szCs w:val="21"/>
        </w:rPr>
      </w:pPr>
      <w:r>
        <w:rPr>
          <w:rFonts w:hint="eastAsia" w:ascii="新宋体" w:hAnsi="新宋体" w:eastAsia="新宋体" w:cs="新宋体"/>
          <w:szCs w:val="21"/>
        </w:rPr>
        <w:t>联系电话：</w:t>
      </w:r>
      <w:r>
        <w:rPr>
          <w:rFonts w:hint="eastAsia" w:ascii="新宋体" w:hAnsi="新宋体" w:eastAsia="新宋体" w:cs="新宋体"/>
          <w:szCs w:val="21"/>
        </w:rPr>
        <w:tab/>
      </w:r>
      <w:r>
        <w:rPr>
          <w:rFonts w:hint="eastAsia" w:ascii="新宋体" w:hAnsi="新宋体" w:eastAsia="新宋体" w:cs="新宋体"/>
          <w:szCs w:val="21"/>
        </w:rPr>
        <w:t>联系电话：</w:t>
      </w:r>
    </w:p>
    <w:p w14:paraId="75D4E463">
      <w:pPr>
        <w:pStyle w:val="24"/>
        <w:kinsoku w:val="0"/>
        <w:overflowPunct w:val="0"/>
        <w:spacing w:before="10"/>
        <w:rPr>
          <w:rFonts w:hint="eastAsia" w:ascii="新宋体" w:hAnsi="新宋体" w:eastAsia="新宋体" w:cs="新宋体"/>
          <w:szCs w:val="21"/>
        </w:rPr>
      </w:pPr>
    </w:p>
    <w:p w14:paraId="034AAA2C">
      <w:pPr>
        <w:pStyle w:val="24"/>
        <w:tabs>
          <w:tab w:val="left" w:pos="4440"/>
        </w:tabs>
        <w:kinsoku w:val="0"/>
        <w:overflowPunct w:val="0"/>
        <w:ind w:left="327"/>
        <w:rPr>
          <w:rFonts w:hint="eastAsia" w:ascii="新宋体" w:hAnsi="新宋体" w:eastAsia="新宋体" w:cs="新宋体"/>
          <w:szCs w:val="21"/>
        </w:rPr>
      </w:pPr>
      <w:r>
        <w:rPr>
          <w:rFonts w:hint="eastAsia" w:ascii="新宋体" w:hAnsi="新宋体" w:eastAsia="新宋体" w:cs="新宋体"/>
          <w:szCs w:val="21"/>
        </w:rPr>
        <w:t>传真：</w:t>
      </w:r>
      <w:r>
        <w:rPr>
          <w:rFonts w:hint="eastAsia" w:ascii="新宋体" w:hAnsi="新宋体" w:eastAsia="新宋体" w:cs="新宋体"/>
          <w:szCs w:val="21"/>
        </w:rPr>
        <w:tab/>
      </w:r>
      <w:r>
        <w:rPr>
          <w:rFonts w:hint="eastAsia" w:ascii="新宋体" w:hAnsi="新宋体" w:eastAsia="新宋体" w:cs="新宋体"/>
          <w:szCs w:val="21"/>
        </w:rPr>
        <w:t>传真：</w:t>
      </w:r>
    </w:p>
    <w:p w14:paraId="626F055E">
      <w:pPr>
        <w:pStyle w:val="24"/>
        <w:kinsoku w:val="0"/>
        <w:overflowPunct w:val="0"/>
        <w:spacing w:before="10"/>
        <w:rPr>
          <w:rFonts w:hint="eastAsia" w:ascii="新宋体" w:hAnsi="新宋体" w:eastAsia="新宋体" w:cs="新宋体"/>
          <w:szCs w:val="21"/>
        </w:rPr>
      </w:pPr>
    </w:p>
    <w:p w14:paraId="582DC782">
      <w:pPr>
        <w:pStyle w:val="24"/>
        <w:tabs>
          <w:tab w:val="left" w:pos="4440"/>
        </w:tabs>
        <w:kinsoku w:val="0"/>
        <w:overflowPunct w:val="0"/>
        <w:ind w:left="327"/>
        <w:rPr>
          <w:rFonts w:hint="eastAsia" w:ascii="新宋体" w:hAnsi="新宋体" w:eastAsia="新宋体" w:cs="新宋体"/>
          <w:szCs w:val="21"/>
        </w:rPr>
      </w:pPr>
      <w:r>
        <w:rPr>
          <w:rFonts w:hint="eastAsia" w:ascii="新宋体" w:hAnsi="新宋体" w:eastAsia="新宋体" w:cs="新宋体"/>
          <w:szCs w:val="21"/>
        </w:rPr>
        <w:t>邮政编码：</w:t>
      </w:r>
      <w:r>
        <w:rPr>
          <w:rFonts w:hint="eastAsia" w:ascii="新宋体" w:hAnsi="新宋体" w:eastAsia="新宋体" w:cs="新宋体"/>
          <w:szCs w:val="21"/>
        </w:rPr>
        <w:tab/>
      </w:r>
      <w:r>
        <w:rPr>
          <w:rFonts w:hint="eastAsia" w:ascii="新宋体" w:hAnsi="新宋体" w:eastAsia="新宋体" w:cs="新宋体"/>
          <w:szCs w:val="21"/>
        </w:rPr>
        <w:t>邮政编码：</w:t>
      </w:r>
    </w:p>
    <w:p w14:paraId="6F4BA755">
      <w:pPr>
        <w:pStyle w:val="24"/>
        <w:tabs>
          <w:tab w:val="left" w:pos="4440"/>
        </w:tabs>
        <w:kinsoku w:val="0"/>
        <w:overflowPunct w:val="0"/>
        <w:ind w:left="327"/>
        <w:rPr>
          <w:rFonts w:hint="eastAsia" w:ascii="新宋体" w:hAnsi="新宋体" w:eastAsia="新宋体" w:cs="新宋体"/>
          <w:szCs w:val="21"/>
        </w:rPr>
        <w:sectPr>
          <w:headerReference r:id="rId15" w:type="default"/>
          <w:footerReference r:id="rId16" w:type="default"/>
          <w:pgSz w:w="11910" w:h="16840"/>
          <w:pgMar w:top="1360" w:right="1260" w:bottom="900" w:left="1300" w:header="0" w:footer="704" w:gutter="0"/>
          <w:cols w:space="720" w:num="1"/>
        </w:sectPr>
      </w:pPr>
    </w:p>
    <w:p w14:paraId="445F514E">
      <w:pPr>
        <w:pStyle w:val="24"/>
        <w:kinsoku w:val="0"/>
        <w:overflowPunct w:val="0"/>
        <w:adjustRightInd w:val="0"/>
        <w:snapToGrid w:val="0"/>
        <w:spacing w:line="300" w:lineRule="auto"/>
        <w:jc w:val="left"/>
        <w:rPr>
          <w:rFonts w:hint="eastAsia" w:ascii="新宋体" w:hAnsi="新宋体" w:eastAsia="新宋体" w:cs="新宋体"/>
          <w:sz w:val="32"/>
          <w:szCs w:val="32"/>
        </w:rPr>
      </w:pPr>
      <w:r>
        <w:rPr>
          <w:rFonts w:hint="eastAsia" w:ascii="新宋体" w:hAnsi="新宋体" w:eastAsia="新宋体" w:cs="新宋体"/>
          <w:b/>
          <w:kern w:val="0"/>
          <w:szCs w:val="21"/>
        </w:rPr>
        <w:t>附件 4</w:t>
      </w:r>
      <w:r>
        <w:rPr>
          <w:rFonts w:hint="eastAsia" w:ascii="新宋体" w:hAnsi="新宋体" w:eastAsia="新宋体" w:cs="新宋体"/>
          <w:b/>
          <w:kern w:val="0"/>
          <w:szCs w:val="21"/>
        </w:rPr>
        <w:tab/>
      </w:r>
      <w:r>
        <w:rPr>
          <w:rFonts w:hint="eastAsia" w:ascii="新宋体" w:hAnsi="新宋体" w:eastAsia="新宋体" w:cs="新宋体"/>
          <w:b/>
          <w:kern w:val="0"/>
          <w:szCs w:val="21"/>
        </w:rPr>
        <w:t>合同验收报告</w:t>
      </w:r>
    </w:p>
    <w:p w14:paraId="17BEE6B2">
      <w:pPr>
        <w:pStyle w:val="24"/>
        <w:kinsoku w:val="0"/>
        <w:overflowPunct w:val="0"/>
        <w:ind w:right="140" w:firstLine="643"/>
        <w:jc w:val="center"/>
        <w:rPr>
          <w:rFonts w:hint="eastAsia" w:ascii="新宋体" w:hAnsi="新宋体" w:eastAsia="新宋体" w:cs="新宋体"/>
          <w:b/>
          <w:sz w:val="32"/>
          <w:szCs w:val="32"/>
        </w:rPr>
      </w:pPr>
      <w:r>
        <w:rPr>
          <w:rFonts w:hint="eastAsia" w:ascii="新宋体" w:hAnsi="新宋体" w:eastAsia="新宋体" w:cs="新宋体"/>
          <w:b/>
          <w:sz w:val="32"/>
          <w:szCs w:val="32"/>
        </w:rPr>
        <w:t>合同验收报告</w:t>
      </w:r>
    </w:p>
    <w:p w14:paraId="11A4E779">
      <w:pPr>
        <w:pStyle w:val="24"/>
        <w:kinsoku w:val="0"/>
        <w:overflowPunct w:val="0"/>
        <w:adjustRightInd w:val="0"/>
        <w:snapToGrid w:val="0"/>
        <w:spacing w:line="355" w:lineRule="auto"/>
        <w:ind w:left="195" w:firstLine="422"/>
        <w:rPr>
          <w:rFonts w:hint="eastAsia" w:ascii="新宋体" w:hAnsi="新宋体" w:eastAsia="新宋体" w:cs="新宋体"/>
          <w:szCs w:val="21"/>
        </w:rPr>
      </w:pPr>
      <w:r>
        <w:rPr>
          <w:rFonts w:hint="eastAsia" w:ascii="新宋体" w:hAnsi="新宋体" w:eastAsia="新宋体" w:cs="新宋体"/>
          <w:szCs w:val="21"/>
        </w:rPr>
        <w:t>根据合同约定，我单位对</w:t>
      </w:r>
      <w:r>
        <w:rPr>
          <w:rFonts w:hint="eastAsia" w:ascii="新宋体" w:hAnsi="新宋体" w:eastAsia="新宋体" w:cs="新宋体"/>
          <w:szCs w:val="21"/>
          <w:u w:val="single"/>
        </w:rPr>
        <w:t xml:space="preserve">        </w:t>
      </w:r>
      <w:r>
        <w:rPr>
          <w:rFonts w:hint="eastAsia" w:ascii="新宋体" w:hAnsi="新宋体" w:eastAsia="新宋体" w:cs="新宋体"/>
          <w:szCs w:val="21"/>
        </w:rPr>
        <w:t>项目</w:t>
      </w:r>
      <w:r>
        <w:rPr>
          <w:rFonts w:hint="eastAsia" w:ascii="新宋体" w:hAnsi="新宋体" w:eastAsia="新宋体" w:cs="新宋体"/>
          <w:szCs w:val="21"/>
          <w:u w:val="single"/>
        </w:rPr>
        <w:t xml:space="preserve">    </w:t>
      </w:r>
      <w:r>
        <w:rPr>
          <w:rFonts w:hint="eastAsia" w:ascii="新宋体" w:hAnsi="新宋体" w:eastAsia="新宋体" w:cs="新宋体"/>
          <w:szCs w:val="21"/>
        </w:rPr>
        <w:t>分标中标单位</w:t>
      </w:r>
      <w:r>
        <w:rPr>
          <w:rFonts w:hint="eastAsia" w:ascii="新宋体" w:hAnsi="新宋体" w:eastAsia="新宋体" w:cs="新宋体"/>
          <w:szCs w:val="21"/>
          <w:u w:val="single"/>
        </w:rPr>
        <w:t xml:space="preserve">  </w:t>
      </w:r>
      <w:r>
        <w:rPr>
          <w:rFonts w:hint="eastAsia" w:ascii="新宋体" w:hAnsi="新宋体" w:eastAsia="新宋体" w:cs="新宋体"/>
          <w:szCs w:val="21"/>
        </w:rPr>
        <w:t>（公司名称）提供的货物（或服务）进行了验收，验收情况如下：</w:t>
      </w:r>
    </w:p>
    <w:p w14:paraId="7E50D842">
      <w:pPr>
        <w:pStyle w:val="24"/>
        <w:kinsoku w:val="0"/>
        <w:overflowPunct w:val="0"/>
        <w:adjustRightInd w:val="0"/>
        <w:snapToGrid w:val="0"/>
        <w:rPr>
          <w:rFonts w:hint="eastAsia" w:ascii="新宋体" w:hAnsi="新宋体" w:eastAsia="新宋体" w:cs="新宋体"/>
          <w:szCs w:val="21"/>
        </w:rPr>
      </w:pPr>
    </w:p>
    <w:tbl>
      <w:tblPr>
        <w:tblStyle w:val="52"/>
        <w:tblW w:w="0" w:type="auto"/>
        <w:tblInd w:w="102" w:type="dxa"/>
        <w:tblLayout w:type="fixed"/>
        <w:tblCellMar>
          <w:top w:w="0" w:type="dxa"/>
          <w:left w:w="0" w:type="dxa"/>
          <w:bottom w:w="0" w:type="dxa"/>
          <w:right w:w="0" w:type="dxa"/>
        </w:tblCellMar>
      </w:tblPr>
      <w:tblGrid>
        <w:gridCol w:w="1728"/>
        <w:gridCol w:w="1272"/>
        <w:gridCol w:w="1565"/>
        <w:gridCol w:w="1847"/>
        <w:gridCol w:w="654"/>
        <w:gridCol w:w="335"/>
        <w:gridCol w:w="1538"/>
      </w:tblGrid>
      <w:tr w14:paraId="4C605653">
        <w:tblPrEx>
          <w:tblCellMar>
            <w:top w:w="0" w:type="dxa"/>
            <w:left w:w="0" w:type="dxa"/>
            <w:bottom w:w="0" w:type="dxa"/>
            <w:right w:w="0" w:type="dxa"/>
          </w:tblCellMar>
        </w:tblPrEx>
        <w:trPr>
          <w:trHeight w:val="365" w:hRule="exact"/>
        </w:trPr>
        <w:tc>
          <w:tcPr>
            <w:tcW w:w="3000" w:type="dxa"/>
            <w:gridSpan w:val="2"/>
            <w:tcBorders>
              <w:top w:val="single" w:color="000000" w:sz="6" w:space="0"/>
              <w:left w:val="single" w:color="000000" w:sz="6" w:space="0"/>
              <w:bottom w:val="single" w:color="000000" w:sz="6" w:space="0"/>
              <w:right w:val="single" w:color="000000" w:sz="6" w:space="0"/>
            </w:tcBorders>
            <w:vAlign w:val="center"/>
          </w:tcPr>
          <w:p w14:paraId="7E854ADE">
            <w:pPr>
              <w:pStyle w:val="130"/>
              <w:kinsoku w:val="0"/>
              <w:overflowPunct w:val="0"/>
              <w:adjustRightInd w:val="0"/>
              <w:snapToGrid w:val="0"/>
              <w:ind w:right="1" w:firstLine="442"/>
              <w:jc w:val="center"/>
              <w:rPr>
                <w:rFonts w:hint="eastAsia" w:ascii="新宋体" w:hAnsi="新宋体" w:eastAsia="新宋体" w:cs="新宋体"/>
                <w:szCs w:val="21"/>
              </w:rPr>
            </w:pPr>
            <w:r>
              <w:rPr>
                <w:rFonts w:hint="eastAsia" w:ascii="新宋体" w:hAnsi="新宋体" w:eastAsia="新宋体" w:cs="新宋体"/>
                <w:szCs w:val="21"/>
              </w:rPr>
              <w:t>验收方式：</w:t>
            </w:r>
          </w:p>
        </w:tc>
        <w:tc>
          <w:tcPr>
            <w:tcW w:w="5939" w:type="dxa"/>
            <w:gridSpan w:val="5"/>
            <w:tcBorders>
              <w:top w:val="single" w:color="000000" w:sz="6" w:space="0"/>
              <w:left w:val="single" w:color="000000" w:sz="6" w:space="0"/>
              <w:bottom w:val="single" w:color="000000" w:sz="6" w:space="0"/>
              <w:right w:val="single" w:color="000000" w:sz="6" w:space="0"/>
            </w:tcBorders>
            <w:vAlign w:val="center"/>
          </w:tcPr>
          <w:p w14:paraId="5A962041">
            <w:pPr>
              <w:pStyle w:val="130"/>
              <w:tabs>
                <w:tab w:val="left" w:pos="3998"/>
              </w:tabs>
              <w:kinsoku w:val="0"/>
              <w:overflowPunct w:val="0"/>
              <w:adjustRightInd w:val="0"/>
              <w:snapToGrid w:val="0"/>
              <w:ind w:left="1154" w:firstLine="442"/>
              <w:jc w:val="center"/>
              <w:rPr>
                <w:rFonts w:hint="eastAsia" w:ascii="新宋体" w:hAnsi="新宋体" w:eastAsia="新宋体" w:cs="新宋体"/>
                <w:szCs w:val="21"/>
                <w:lang w:eastAsia="zh-CN"/>
              </w:rPr>
            </w:pPr>
            <w:r>
              <w:rPr>
                <w:rFonts w:hint="eastAsia" w:ascii="新宋体" w:hAnsi="新宋体" w:eastAsia="新宋体" w:cs="新宋体"/>
                <w:szCs w:val="21"/>
                <w:lang w:eastAsia="zh-CN"/>
              </w:rPr>
              <w:t>□自行验收</w:t>
            </w:r>
            <w:r>
              <w:rPr>
                <w:rFonts w:hint="eastAsia" w:ascii="新宋体" w:hAnsi="新宋体" w:eastAsia="新宋体" w:cs="新宋体"/>
                <w:szCs w:val="21"/>
                <w:lang w:eastAsia="zh-CN"/>
              </w:rPr>
              <w:tab/>
            </w:r>
            <w:r>
              <w:rPr>
                <w:rFonts w:hint="eastAsia" w:ascii="新宋体" w:hAnsi="新宋体" w:eastAsia="新宋体" w:cs="新宋体"/>
                <w:szCs w:val="21"/>
                <w:lang w:eastAsia="zh-CN"/>
              </w:rPr>
              <w:t>□联合验收</w:t>
            </w:r>
          </w:p>
        </w:tc>
      </w:tr>
      <w:tr w14:paraId="3179A949">
        <w:tblPrEx>
          <w:tblCellMar>
            <w:top w:w="0" w:type="dxa"/>
            <w:left w:w="0" w:type="dxa"/>
            <w:bottom w:w="0" w:type="dxa"/>
            <w:right w:w="0" w:type="dxa"/>
          </w:tblCellMar>
        </w:tblPrEx>
        <w:trPr>
          <w:trHeight w:val="700" w:hRule="exact"/>
        </w:trPr>
        <w:tc>
          <w:tcPr>
            <w:tcW w:w="1728" w:type="dxa"/>
            <w:tcBorders>
              <w:top w:val="single" w:color="000000" w:sz="6" w:space="0"/>
              <w:left w:val="single" w:color="000000" w:sz="6" w:space="0"/>
              <w:bottom w:val="single" w:color="000000" w:sz="6" w:space="0"/>
              <w:right w:val="single" w:color="000000" w:sz="6" w:space="0"/>
            </w:tcBorders>
            <w:vAlign w:val="center"/>
          </w:tcPr>
          <w:p w14:paraId="26DC7988">
            <w:pPr>
              <w:pStyle w:val="130"/>
              <w:kinsoku w:val="0"/>
              <w:overflowPunct w:val="0"/>
              <w:adjustRightInd w:val="0"/>
              <w:snapToGrid w:val="0"/>
              <w:ind w:right="1" w:firstLine="442"/>
              <w:jc w:val="both"/>
              <w:rPr>
                <w:rFonts w:hint="eastAsia" w:ascii="新宋体" w:hAnsi="新宋体" w:eastAsia="新宋体" w:cs="新宋体"/>
                <w:szCs w:val="21"/>
              </w:rPr>
            </w:pPr>
            <w:r>
              <w:rPr>
                <w:rFonts w:hint="eastAsia" w:ascii="新宋体" w:hAnsi="新宋体" w:eastAsia="新宋体" w:cs="新宋体"/>
                <w:szCs w:val="21"/>
              </w:rPr>
              <w:t>序号</w:t>
            </w:r>
          </w:p>
        </w:tc>
        <w:tc>
          <w:tcPr>
            <w:tcW w:w="1272" w:type="dxa"/>
            <w:tcBorders>
              <w:top w:val="single" w:color="000000" w:sz="6" w:space="0"/>
              <w:left w:val="single" w:color="000000" w:sz="6" w:space="0"/>
              <w:bottom w:val="single" w:color="000000" w:sz="6" w:space="0"/>
              <w:right w:val="single" w:color="000000" w:sz="6" w:space="0"/>
            </w:tcBorders>
            <w:vAlign w:val="center"/>
          </w:tcPr>
          <w:p w14:paraId="732F25E7">
            <w:pPr>
              <w:pStyle w:val="130"/>
              <w:kinsoku w:val="0"/>
              <w:overflowPunct w:val="0"/>
              <w:adjustRightInd w:val="0"/>
              <w:snapToGrid w:val="0"/>
              <w:ind w:right="1" w:firstLine="442"/>
              <w:jc w:val="both"/>
              <w:rPr>
                <w:rFonts w:hint="eastAsia" w:ascii="新宋体" w:hAnsi="新宋体" w:eastAsia="新宋体" w:cs="新宋体"/>
                <w:szCs w:val="21"/>
              </w:rPr>
            </w:pPr>
            <w:r>
              <w:rPr>
                <w:rFonts w:hint="eastAsia" w:ascii="新宋体" w:hAnsi="新宋体" w:eastAsia="新宋体" w:cs="新宋体"/>
                <w:szCs w:val="21"/>
              </w:rPr>
              <w:t>名称</w:t>
            </w:r>
          </w:p>
        </w:tc>
        <w:tc>
          <w:tcPr>
            <w:tcW w:w="3412" w:type="dxa"/>
            <w:gridSpan w:val="2"/>
            <w:tcBorders>
              <w:top w:val="single" w:color="000000" w:sz="6" w:space="0"/>
              <w:left w:val="single" w:color="000000" w:sz="6" w:space="0"/>
              <w:bottom w:val="single" w:color="000000" w:sz="6" w:space="0"/>
              <w:right w:val="single" w:color="000000" w:sz="6" w:space="0"/>
            </w:tcBorders>
            <w:vAlign w:val="center"/>
          </w:tcPr>
          <w:p w14:paraId="72CE0467">
            <w:pPr>
              <w:pStyle w:val="130"/>
              <w:kinsoku w:val="0"/>
              <w:overflowPunct w:val="0"/>
              <w:adjustRightInd w:val="0"/>
              <w:snapToGrid w:val="0"/>
              <w:ind w:right="1" w:firstLine="442"/>
              <w:jc w:val="center"/>
              <w:rPr>
                <w:rFonts w:hint="eastAsia" w:ascii="新宋体" w:hAnsi="新宋体" w:eastAsia="新宋体" w:cs="新宋体"/>
                <w:szCs w:val="21"/>
                <w:lang w:eastAsia="zh-CN"/>
              </w:rPr>
            </w:pPr>
            <w:r>
              <w:rPr>
                <w:rFonts w:hint="eastAsia" w:ascii="新宋体" w:hAnsi="新宋体" w:eastAsia="新宋体" w:cs="新宋体"/>
                <w:szCs w:val="21"/>
                <w:lang w:eastAsia="zh-CN"/>
              </w:rPr>
              <w:t>货物型号规格、标准及配置</w:t>
            </w:r>
          </w:p>
          <w:p w14:paraId="648BDC6D">
            <w:pPr>
              <w:pStyle w:val="130"/>
              <w:kinsoku w:val="0"/>
              <w:overflowPunct w:val="0"/>
              <w:adjustRightInd w:val="0"/>
              <w:snapToGrid w:val="0"/>
              <w:ind w:right="1" w:firstLine="442"/>
              <w:jc w:val="center"/>
              <w:rPr>
                <w:rFonts w:hint="eastAsia" w:ascii="新宋体" w:hAnsi="新宋体" w:eastAsia="新宋体" w:cs="新宋体"/>
                <w:szCs w:val="21"/>
                <w:lang w:eastAsia="zh-CN"/>
              </w:rPr>
            </w:pPr>
            <w:r>
              <w:rPr>
                <w:rFonts w:hint="eastAsia" w:ascii="新宋体" w:hAnsi="新宋体" w:eastAsia="新宋体" w:cs="新宋体"/>
                <w:szCs w:val="21"/>
                <w:lang w:eastAsia="zh-CN"/>
              </w:rPr>
              <w:t>（或服务内容、标准）</w:t>
            </w:r>
          </w:p>
        </w:tc>
        <w:tc>
          <w:tcPr>
            <w:tcW w:w="989" w:type="dxa"/>
            <w:gridSpan w:val="2"/>
            <w:tcBorders>
              <w:top w:val="single" w:color="000000" w:sz="6" w:space="0"/>
              <w:left w:val="single" w:color="000000" w:sz="6" w:space="0"/>
              <w:bottom w:val="single" w:color="000000" w:sz="6" w:space="0"/>
              <w:right w:val="single" w:color="000000" w:sz="6" w:space="0"/>
            </w:tcBorders>
            <w:vAlign w:val="center"/>
          </w:tcPr>
          <w:p w14:paraId="649428EC">
            <w:pPr>
              <w:pStyle w:val="130"/>
              <w:kinsoku w:val="0"/>
              <w:overflowPunct w:val="0"/>
              <w:adjustRightInd w:val="0"/>
              <w:snapToGrid w:val="0"/>
              <w:ind w:right="1" w:firstLine="220" w:firstLineChars="100"/>
              <w:jc w:val="both"/>
              <w:rPr>
                <w:rFonts w:hint="eastAsia" w:ascii="新宋体" w:hAnsi="新宋体" w:eastAsia="新宋体" w:cs="新宋体"/>
                <w:szCs w:val="21"/>
              </w:rPr>
            </w:pPr>
            <w:r>
              <w:rPr>
                <w:rFonts w:hint="eastAsia" w:ascii="新宋体" w:hAnsi="新宋体" w:eastAsia="新宋体" w:cs="新宋体"/>
                <w:szCs w:val="21"/>
              </w:rPr>
              <w:t>数量</w:t>
            </w:r>
          </w:p>
        </w:tc>
        <w:tc>
          <w:tcPr>
            <w:tcW w:w="1538" w:type="dxa"/>
            <w:tcBorders>
              <w:top w:val="single" w:color="000000" w:sz="6" w:space="0"/>
              <w:left w:val="single" w:color="000000" w:sz="6" w:space="0"/>
              <w:bottom w:val="single" w:color="000000" w:sz="6" w:space="0"/>
              <w:right w:val="single" w:color="000000" w:sz="6" w:space="0"/>
            </w:tcBorders>
            <w:vAlign w:val="center"/>
          </w:tcPr>
          <w:p w14:paraId="22F2D215">
            <w:pPr>
              <w:pStyle w:val="130"/>
              <w:kinsoku w:val="0"/>
              <w:overflowPunct w:val="0"/>
              <w:adjustRightInd w:val="0"/>
              <w:snapToGrid w:val="0"/>
              <w:ind w:right="1" w:firstLine="0"/>
              <w:jc w:val="center"/>
              <w:rPr>
                <w:rFonts w:hint="eastAsia" w:ascii="新宋体" w:hAnsi="新宋体" w:eastAsia="新宋体" w:cs="新宋体"/>
                <w:szCs w:val="21"/>
              </w:rPr>
            </w:pPr>
            <w:r>
              <w:rPr>
                <w:rFonts w:hint="eastAsia" w:ascii="新宋体" w:hAnsi="新宋体" w:eastAsia="新宋体" w:cs="新宋体"/>
                <w:szCs w:val="21"/>
              </w:rPr>
              <w:t>与合同约定</w:t>
            </w:r>
          </w:p>
          <w:p w14:paraId="58723C21">
            <w:pPr>
              <w:pStyle w:val="130"/>
              <w:kinsoku w:val="0"/>
              <w:overflowPunct w:val="0"/>
              <w:adjustRightInd w:val="0"/>
              <w:snapToGrid w:val="0"/>
              <w:ind w:right="1" w:firstLine="0"/>
              <w:jc w:val="center"/>
              <w:rPr>
                <w:rFonts w:hint="eastAsia" w:ascii="新宋体" w:hAnsi="新宋体" w:eastAsia="新宋体" w:cs="新宋体"/>
                <w:szCs w:val="21"/>
              </w:rPr>
            </w:pPr>
            <w:r>
              <w:rPr>
                <w:rFonts w:hint="eastAsia" w:ascii="新宋体" w:hAnsi="新宋体" w:eastAsia="新宋体" w:cs="新宋体"/>
                <w:szCs w:val="21"/>
              </w:rPr>
              <w:t>是否一致</w:t>
            </w:r>
          </w:p>
        </w:tc>
      </w:tr>
      <w:tr w14:paraId="2315FFF0">
        <w:tblPrEx>
          <w:tblCellMar>
            <w:top w:w="0" w:type="dxa"/>
            <w:left w:w="0" w:type="dxa"/>
            <w:bottom w:w="0" w:type="dxa"/>
            <w:right w:w="0" w:type="dxa"/>
          </w:tblCellMar>
        </w:tblPrEx>
        <w:trPr>
          <w:trHeight w:val="599" w:hRule="exact"/>
        </w:trPr>
        <w:tc>
          <w:tcPr>
            <w:tcW w:w="1728" w:type="dxa"/>
            <w:tcBorders>
              <w:top w:val="single" w:color="000000" w:sz="6" w:space="0"/>
              <w:left w:val="single" w:color="000000" w:sz="6" w:space="0"/>
              <w:bottom w:val="single" w:color="000000" w:sz="6" w:space="0"/>
              <w:right w:val="single" w:color="000000" w:sz="6" w:space="0"/>
            </w:tcBorders>
            <w:vAlign w:val="center"/>
          </w:tcPr>
          <w:p w14:paraId="2360338E">
            <w:pPr>
              <w:adjustRightInd w:val="0"/>
              <w:snapToGrid w:val="0"/>
              <w:ind w:firstLine="422"/>
              <w:jc w:val="center"/>
              <w:rPr>
                <w:rFonts w:hint="eastAsia" w:ascii="新宋体" w:hAnsi="新宋体" w:eastAsia="新宋体" w:cs="新宋体"/>
                <w:szCs w:val="21"/>
              </w:rPr>
            </w:pPr>
          </w:p>
        </w:tc>
        <w:tc>
          <w:tcPr>
            <w:tcW w:w="1272" w:type="dxa"/>
            <w:tcBorders>
              <w:top w:val="single" w:color="000000" w:sz="6" w:space="0"/>
              <w:left w:val="single" w:color="000000" w:sz="6" w:space="0"/>
              <w:bottom w:val="single" w:color="000000" w:sz="6" w:space="0"/>
              <w:right w:val="single" w:color="000000" w:sz="6" w:space="0"/>
            </w:tcBorders>
            <w:vAlign w:val="center"/>
          </w:tcPr>
          <w:p w14:paraId="3CA6A6DA">
            <w:pPr>
              <w:adjustRightInd w:val="0"/>
              <w:snapToGrid w:val="0"/>
              <w:ind w:firstLine="422"/>
              <w:jc w:val="center"/>
              <w:rPr>
                <w:rFonts w:hint="eastAsia" w:ascii="新宋体" w:hAnsi="新宋体" w:eastAsia="新宋体" w:cs="新宋体"/>
                <w:szCs w:val="21"/>
              </w:rPr>
            </w:pPr>
          </w:p>
        </w:tc>
        <w:tc>
          <w:tcPr>
            <w:tcW w:w="3412" w:type="dxa"/>
            <w:gridSpan w:val="2"/>
            <w:tcBorders>
              <w:top w:val="single" w:color="000000" w:sz="6" w:space="0"/>
              <w:left w:val="single" w:color="000000" w:sz="6" w:space="0"/>
              <w:bottom w:val="single" w:color="000000" w:sz="6" w:space="0"/>
              <w:right w:val="single" w:color="000000" w:sz="6" w:space="0"/>
            </w:tcBorders>
            <w:vAlign w:val="center"/>
          </w:tcPr>
          <w:p w14:paraId="605BD1FC">
            <w:pPr>
              <w:adjustRightInd w:val="0"/>
              <w:snapToGrid w:val="0"/>
              <w:ind w:firstLine="422"/>
              <w:jc w:val="center"/>
              <w:rPr>
                <w:rFonts w:hint="eastAsia" w:ascii="新宋体" w:hAnsi="新宋体" w:eastAsia="新宋体" w:cs="新宋体"/>
                <w:szCs w:val="21"/>
              </w:rPr>
            </w:pPr>
          </w:p>
        </w:tc>
        <w:tc>
          <w:tcPr>
            <w:tcW w:w="989" w:type="dxa"/>
            <w:gridSpan w:val="2"/>
            <w:tcBorders>
              <w:top w:val="single" w:color="000000" w:sz="6" w:space="0"/>
              <w:left w:val="single" w:color="000000" w:sz="6" w:space="0"/>
              <w:bottom w:val="single" w:color="000000" w:sz="6" w:space="0"/>
              <w:right w:val="single" w:color="000000" w:sz="6" w:space="0"/>
            </w:tcBorders>
            <w:vAlign w:val="center"/>
          </w:tcPr>
          <w:p w14:paraId="3D9393C1">
            <w:pPr>
              <w:adjustRightInd w:val="0"/>
              <w:snapToGrid w:val="0"/>
              <w:ind w:firstLine="422"/>
              <w:jc w:val="center"/>
              <w:rPr>
                <w:rFonts w:hint="eastAsia" w:ascii="新宋体" w:hAnsi="新宋体" w:eastAsia="新宋体" w:cs="新宋体"/>
                <w:szCs w:val="21"/>
              </w:rPr>
            </w:pPr>
          </w:p>
        </w:tc>
        <w:tc>
          <w:tcPr>
            <w:tcW w:w="1538" w:type="dxa"/>
            <w:tcBorders>
              <w:top w:val="single" w:color="000000" w:sz="6" w:space="0"/>
              <w:left w:val="single" w:color="000000" w:sz="6" w:space="0"/>
              <w:bottom w:val="single" w:color="000000" w:sz="6" w:space="0"/>
              <w:right w:val="single" w:color="000000" w:sz="6" w:space="0"/>
            </w:tcBorders>
            <w:vAlign w:val="center"/>
          </w:tcPr>
          <w:p w14:paraId="61981978">
            <w:pPr>
              <w:adjustRightInd w:val="0"/>
              <w:snapToGrid w:val="0"/>
              <w:ind w:firstLine="422"/>
              <w:jc w:val="center"/>
              <w:rPr>
                <w:rFonts w:hint="eastAsia" w:ascii="新宋体" w:hAnsi="新宋体" w:eastAsia="新宋体" w:cs="新宋体"/>
                <w:szCs w:val="21"/>
              </w:rPr>
            </w:pPr>
          </w:p>
        </w:tc>
      </w:tr>
      <w:tr w14:paraId="235F897E">
        <w:tblPrEx>
          <w:tblCellMar>
            <w:top w:w="0" w:type="dxa"/>
            <w:left w:w="0" w:type="dxa"/>
            <w:bottom w:w="0" w:type="dxa"/>
            <w:right w:w="0" w:type="dxa"/>
          </w:tblCellMar>
        </w:tblPrEx>
        <w:trPr>
          <w:trHeight w:val="599" w:hRule="exact"/>
        </w:trPr>
        <w:tc>
          <w:tcPr>
            <w:tcW w:w="1728" w:type="dxa"/>
            <w:tcBorders>
              <w:top w:val="single" w:color="000000" w:sz="6" w:space="0"/>
              <w:left w:val="single" w:color="000000" w:sz="6" w:space="0"/>
              <w:bottom w:val="single" w:color="000000" w:sz="6" w:space="0"/>
              <w:right w:val="single" w:color="000000" w:sz="6" w:space="0"/>
            </w:tcBorders>
            <w:vAlign w:val="center"/>
          </w:tcPr>
          <w:p w14:paraId="1E0870E2">
            <w:pPr>
              <w:adjustRightInd w:val="0"/>
              <w:snapToGrid w:val="0"/>
              <w:ind w:firstLine="422"/>
              <w:jc w:val="center"/>
              <w:rPr>
                <w:rFonts w:hint="eastAsia" w:ascii="新宋体" w:hAnsi="新宋体" w:eastAsia="新宋体" w:cs="新宋体"/>
                <w:szCs w:val="21"/>
              </w:rPr>
            </w:pPr>
          </w:p>
        </w:tc>
        <w:tc>
          <w:tcPr>
            <w:tcW w:w="1272" w:type="dxa"/>
            <w:tcBorders>
              <w:top w:val="single" w:color="000000" w:sz="6" w:space="0"/>
              <w:left w:val="single" w:color="000000" w:sz="6" w:space="0"/>
              <w:bottom w:val="single" w:color="000000" w:sz="6" w:space="0"/>
              <w:right w:val="single" w:color="000000" w:sz="6" w:space="0"/>
            </w:tcBorders>
            <w:vAlign w:val="center"/>
          </w:tcPr>
          <w:p w14:paraId="44DF47A6">
            <w:pPr>
              <w:adjustRightInd w:val="0"/>
              <w:snapToGrid w:val="0"/>
              <w:ind w:firstLine="422"/>
              <w:jc w:val="center"/>
              <w:rPr>
                <w:rFonts w:hint="eastAsia" w:ascii="新宋体" w:hAnsi="新宋体" w:eastAsia="新宋体" w:cs="新宋体"/>
                <w:szCs w:val="21"/>
              </w:rPr>
            </w:pPr>
          </w:p>
        </w:tc>
        <w:tc>
          <w:tcPr>
            <w:tcW w:w="3412" w:type="dxa"/>
            <w:gridSpan w:val="2"/>
            <w:tcBorders>
              <w:top w:val="single" w:color="000000" w:sz="6" w:space="0"/>
              <w:left w:val="single" w:color="000000" w:sz="6" w:space="0"/>
              <w:bottom w:val="single" w:color="000000" w:sz="6" w:space="0"/>
              <w:right w:val="single" w:color="000000" w:sz="6" w:space="0"/>
            </w:tcBorders>
            <w:vAlign w:val="center"/>
          </w:tcPr>
          <w:p w14:paraId="44CC71F6">
            <w:pPr>
              <w:adjustRightInd w:val="0"/>
              <w:snapToGrid w:val="0"/>
              <w:ind w:firstLine="422"/>
              <w:jc w:val="center"/>
              <w:rPr>
                <w:rFonts w:hint="eastAsia" w:ascii="新宋体" w:hAnsi="新宋体" w:eastAsia="新宋体" w:cs="新宋体"/>
                <w:szCs w:val="21"/>
              </w:rPr>
            </w:pPr>
          </w:p>
        </w:tc>
        <w:tc>
          <w:tcPr>
            <w:tcW w:w="989" w:type="dxa"/>
            <w:gridSpan w:val="2"/>
            <w:tcBorders>
              <w:top w:val="single" w:color="000000" w:sz="6" w:space="0"/>
              <w:left w:val="single" w:color="000000" w:sz="6" w:space="0"/>
              <w:bottom w:val="single" w:color="000000" w:sz="6" w:space="0"/>
              <w:right w:val="single" w:color="000000" w:sz="6" w:space="0"/>
            </w:tcBorders>
            <w:vAlign w:val="center"/>
          </w:tcPr>
          <w:p w14:paraId="723CCF38">
            <w:pPr>
              <w:adjustRightInd w:val="0"/>
              <w:snapToGrid w:val="0"/>
              <w:ind w:firstLine="422"/>
              <w:jc w:val="center"/>
              <w:rPr>
                <w:rFonts w:hint="eastAsia" w:ascii="新宋体" w:hAnsi="新宋体" w:eastAsia="新宋体" w:cs="新宋体"/>
                <w:szCs w:val="21"/>
              </w:rPr>
            </w:pPr>
          </w:p>
        </w:tc>
        <w:tc>
          <w:tcPr>
            <w:tcW w:w="1538" w:type="dxa"/>
            <w:tcBorders>
              <w:top w:val="single" w:color="000000" w:sz="6" w:space="0"/>
              <w:left w:val="single" w:color="000000" w:sz="6" w:space="0"/>
              <w:bottom w:val="single" w:color="000000" w:sz="6" w:space="0"/>
              <w:right w:val="single" w:color="000000" w:sz="6" w:space="0"/>
            </w:tcBorders>
            <w:vAlign w:val="center"/>
          </w:tcPr>
          <w:p w14:paraId="21E683EB">
            <w:pPr>
              <w:adjustRightInd w:val="0"/>
              <w:snapToGrid w:val="0"/>
              <w:ind w:firstLine="422"/>
              <w:jc w:val="center"/>
              <w:rPr>
                <w:rFonts w:hint="eastAsia" w:ascii="新宋体" w:hAnsi="新宋体" w:eastAsia="新宋体" w:cs="新宋体"/>
                <w:szCs w:val="21"/>
              </w:rPr>
            </w:pPr>
          </w:p>
        </w:tc>
      </w:tr>
      <w:tr w14:paraId="735F2F5A">
        <w:tblPrEx>
          <w:tblCellMar>
            <w:top w:w="0" w:type="dxa"/>
            <w:left w:w="0" w:type="dxa"/>
            <w:bottom w:w="0" w:type="dxa"/>
            <w:right w:w="0" w:type="dxa"/>
          </w:tblCellMar>
        </w:tblPrEx>
        <w:trPr>
          <w:trHeight w:val="676" w:hRule="exact"/>
        </w:trPr>
        <w:tc>
          <w:tcPr>
            <w:tcW w:w="1728" w:type="dxa"/>
            <w:tcBorders>
              <w:top w:val="single" w:color="000000" w:sz="6" w:space="0"/>
              <w:left w:val="single" w:color="000000" w:sz="6" w:space="0"/>
              <w:bottom w:val="single" w:color="000000" w:sz="6" w:space="0"/>
              <w:right w:val="single" w:color="000000" w:sz="6" w:space="0"/>
            </w:tcBorders>
            <w:vAlign w:val="center"/>
          </w:tcPr>
          <w:p w14:paraId="5562966E">
            <w:pPr>
              <w:pStyle w:val="130"/>
              <w:kinsoku w:val="0"/>
              <w:overflowPunct w:val="0"/>
              <w:adjustRightInd w:val="0"/>
              <w:snapToGrid w:val="0"/>
              <w:ind w:right="1" w:firstLine="442"/>
              <w:jc w:val="center"/>
              <w:rPr>
                <w:rFonts w:hint="eastAsia" w:ascii="新宋体" w:hAnsi="新宋体" w:eastAsia="新宋体" w:cs="新宋体"/>
                <w:szCs w:val="21"/>
              </w:rPr>
            </w:pPr>
            <w:r>
              <w:rPr>
                <w:rFonts w:hint="eastAsia" w:ascii="新宋体" w:hAnsi="新宋体" w:eastAsia="新宋体" w:cs="新宋体"/>
                <w:szCs w:val="21"/>
              </w:rPr>
              <w:t>实际供货</w:t>
            </w:r>
          </w:p>
          <w:p w14:paraId="232A6651">
            <w:pPr>
              <w:pStyle w:val="130"/>
              <w:kinsoku w:val="0"/>
              <w:overflowPunct w:val="0"/>
              <w:adjustRightInd w:val="0"/>
              <w:snapToGrid w:val="0"/>
              <w:ind w:right="1" w:firstLine="442"/>
              <w:jc w:val="center"/>
              <w:rPr>
                <w:rFonts w:hint="eastAsia" w:ascii="新宋体" w:hAnsi="新宋体" w:eastAsia="新宋体" w:cs="新宋体"/>
                <w:szCs w:val="21"/>
              </w:rPr>
            </w:pPr>
            <w:r>
              <w:rPr>
                <w:rFonts w:hint="eastAsia" w:ascii="新宋体" w:hAnsi="新宋体" w:eastAsia="新宋体" w:cs="新宋体"/>
                <w:szCs w:val="21"/>
              </w:rPr>
              <w:t>日期</w:t>
            </w:r>
          </w:p>
        </w:tc>
        <w:tc>
          <w:tcPr>
            <w:tcW w:w="2837" w:type="dxa"/>
            <w:gridSpan w:val="2"/>
            <w:tcBorders>
              <w:top w:val="single" w:color="000000" w:sz="6" w:space="0"/>
              <w:left w:val="single" w:color="000000" w:sz="6" w:space="0"/>
              <w:bottom w:val="single" w:color="000000" w:sz="6" w:space="0"/>
              <w:right w:val="single" w:color="000000" w:sz="6" w:space="0"/>
            </w:tcBorders>
            <w:vAlign w:val="center"/>
          </w:tcPr>
          <w:p w14:paraId="2CA3E61A">
            <w:pPr>
              <w:pStyle w:val="130"/>
              <w:kinsoku w:val="0"/>
              <w:overflowPunct w:val="0"/>
              <w:adjustRightInd w:val="0"/>
              <w:snapToGrid w:val="0"/>
              <w:ind w:right="1" w:firstLine="442"/>
              <w:jc w:val="center"/>
              <w:rPr>
                <w:rFonts w:hint="eastAsia" w:ascii="新宋体" w:hAnsi="新宋体" w:eastAsia="新宋体" w:cs="新宋体"/>
                <w:szCs w:val="21"/>
              </w:rPr>
            </w:pPr>
          </w:p>
        </w:tc>
        <w:tc>
          <w:tcPr>
            <w:tcW w:w="2501" w:type="dxa"/>
            <w:gridSpan w:val="2"/>
            <w:tcBorders>
              <w:top w:val="single" w:color="000000" w:sz="6" w:space="0"/>
              <w:left w:val="single" w:color="000000" w:sz="6" w:space="0"/>
              <w:bottom w:val="single" w:color="000000" w:sz="6" w:space="0"/>
              <w:right w:val="single" w:color="000000" w:sz="6" w:space="0"/>
            </w:tcBorders>
            <w:vAlign w:val="center"/>
          </w:tcPr>
          <w:p w14:paraId="26BF4186">
            <w:pPr>
              <w:pStyle w:val="130"/>
              <w:kinsoku w:val="0"/>
              <w:overflowPunct w:val="0"/>
              <w:adjustRightInd w:val="0"/>
              <w:snapToGrid w:val="0"/>
              <w:ind w:right="1" w:firstLine="442"/>
              <w:jc w:val="center"/>
              <w:rPr>
                <w:rFonts w:hint="eastAsia" w:ascii="新宋体" w:hAnsi="新宋体" w:eastAsia="新宋体" w:cs="新宋体"/>
                <w:szCs w:val="21"/>
              </w:rPr>
            </w:pPr>
            <w:r>
              <w:rPr>
                <w:rFonts w:hint="eastAsia" w:ascii="新宋体" w:hAnsi="新宋体" w:eastAsia="新宋体" w:cs="新宋体"/>
                <w:szCs w:val="21"/>
              </w:rPr>
              <w:t>合同交货验收日期</w:t>
            </w:r>
          </w:p>
        </w:tc>
        <w:tc>
          <w:tcPr>
            <w:tcW w:w="1873" w:type="dxa"/>
            <w:gridSpan w:val="2"/>
            <w:tcBorders>
              <w:top w:val="single" w:color="000000" w:sz="6" w:space="0"/>
              <w:left w:val="single" w:color="000000" w:sz="6" w:space="0"/>
              <w:bottom w:val="single" w:color="000000" w:sz="6" w:space="0"/>
              <w:right w:val="single" w:color="000000" w:sz="6" w:space="0"/>
            </w:tcBorders>
            <w:vAlign w:val="center"/>
          </w:tcPr>
          <w:p w14:paraId="12416F80">
            <w:pPr>
              <w:pStyle w:val="130"/>
              <w:kinsoku w:val="0"/>
              <w:overflowPunct w:val="0"/>
              <w:adjustRightInd w:val="0"/>
              <w:snapToGrid w:val="0"/>
              <w:ind w:right="1" w:firstLine="442"/>
              <w:jc w:val="center"/>
              <w:rPr>
                <w:rFonts w:hint="eastAsia" w:ascii="新宋体" w:hAnsi="新宋体" w:eastAsia="新宋体" w:cs="新宋体"/>
                <w:szCs w:val="21"/>
              </w:rPr>
            </w:pPr>
          </w:p>
        </w:tc>
      </w:tr>
      <w:tr w14:paraId="6321F525">
        <w:tblPrEx>
          <w:tblCellMar>
            <w:top w:w="0" w:type="dxa"/>
            <w:left w:w="0" w:type="dxa"/>
            <w:bottom w:w="0" w:type="dxa"/>
            <w:right w:w="0" w:type="dxa"/>
          </w:tblCellMar>
        </w:tblPrEx>
        <w:trPr>
          <w:trHeight w:val="990" w:hRule="exact"/>
        </w:trPr>
        <w:tc>
          <w:tcPr>
            <w:tcW w:w="1728" w:type="dxa"/>
            <w:tcBorders>
              <w:top w:val="single" w:color="000000" w:sz="6" w:space="0"/>
              <w:left w:val="single" w:color="000000" w:sz="6" w:space="0"/>
              <w:bottom w:val="single" w:color="000000" w:sz="6" w:space="0"/>
              <w:right w:val="single" w:color="000000" w:sz="6" w:space="0"/>
            </w:tcBorders>
            <w:vAlign w:val="center"/>
          </w:tcPr>
          <w:p w14:paraId="6EFEDB1F">
            <w:pPr>
              <w:pStyle w:val="130"/>
              <w:kinsoku w:val="0"/>
              <w:overflowPunct w:val="0"/>
              <w:adjustRightInd w:val="0"/>
              <w:snapToGrid w:val="0"/>
              <w:ind w:right="1" w:firstLine="442"/>
              <w:jc w:val="center"/>
              <w:rPr>
                <w:rFonts w:hint="eastAsia" w:ascii="新宋体" w:hAnsi="新宋体" w:eastAsia="新宋体" w:cs="新宋体"/>
                <w:szCs w:val="21"/>
              </w:rPr>
            </w:pPr>
            <w:r>
              <w:rPr>
                <w:rFonts w:hint="eastAsia" w:ascii="新宋体" w:hAnsi="新宋体" w:eastAsia="新宋体" w:cs="新宋体"/>
                <w:szCs w:val="21"/>
              </w:rPr>
              <w:t>验收具体</w:t>
            </w:r>
          </w:p>
          <w:p w14:paraId="25A89632">
            <w:pPr>
              <w:pStyle w:val="130"/>
              <w:kinsoku w:val="0"/>
              <w:overflowPunct w:val="0"/>
              <w:adjustRightInd w:val="0"/>
              <w:snapToGrid w:val="0"/>
              <w:ind w:right="1" w:firstLine="442"/>
              <w:jc w:val="center"/>
              <w:rPr>
                <w:rFonts w:hint="eastAsia" w:ascii="新宋体" w:hAnsi="新宋体" w:eastAsia="新宋体" w:cs="新宋体"/>
                <w:szCs w:val="21"/>
              </w:rPr>
            </w:pPr>
            <w:r>
              <w:rPr>
                <w:rFonts w:hint="eastAsia" w:ascii="新宋体" w:hAnsi="新宋体" w:eastAsia="新宋体" w:cs="新宋体"/>
                <w:szCs w:val="21"/>
              </w:rPr>
              <w:t>内容</w:t>
            </w:r>
          </w:p>
        </w:tc>
        <w:tc>
          <w:tcPr>
            <w:tcW w:w="7211" w:type="dxa"/>
            <w:gridSpan w:val="6"/>
            <w:tcBorders>
              <w:top w:val="single" w:color="000000" w:sz="6" w:space="0"/>
              <w:left w:val="single" w:color="000000" w:sz="6" w:space="0"/>
              <w:bottom w:val="single" w:color="000000" w:sz="6" w:space="0"/>
              <w:right w:val="single" w:color="000000" w:sz="6" w:space="0"/>
            </w:tcBorders>
            <w:vAlign w:val="center"/>
          </w:tcPr>
          <w:p w14:paraId="4F96B170">
            <w:pPr>
              <w:pStyle w:val="130"/>
              <w:kinsoku w:val="0"/>
              <w:overflowPunct w:val="0"/>
              <w:adjustRightInd w:val="0"/>
              <w:snapToGrid w:val="0"/>
              <w:ind w:right="1" w:firstLine="442"/>
              <w:jc w:val="center"/>
              <w:rPr>
                <w:rFonts w:hint="eastAsia" w:ascii="新宋体" w:hAnsi="新宋体" w:eastAsia="新宋体" w:cs="新宋体"/>
                <w:szCs w:val="21"/>
              </w:rPr>
            </w:pPr>
            <w:r>
              <w:rPr>
                <w:rFonts w:hint="eastAsia" w:ascii="新宋体" w:hAnsi="新宋体" w:eastAsia="新宋体" w:cs="新宋体"/>
                <w:szCs w:val="21"/>
                <w:lang w:eastAsia="zh-CN"/>
              </w:rPr>
              <w:t>(按招标文件、投标响应文件及验收方案等。</w:t>
            </w:r>
            <w:r>
              <w:rPr>
                <w:rFonts w:hint="eastAsia" w:ascii="新宋体" w:hAnsi="新宋体" w:eastAsia="新宋体" w:cs="新宋体"/>
                <w:szCs w:val="21"/>
              </w:rPr>
              <w:t>可附件)</w:t>
            </w:r>
          </w:p>
        </w:tc>
      </w:tr>
      <w:tr w14:paraId="0098E073">
        <w:tblPrEx>
          <w:tblCellMar>
            <w:top w:w="0" w:type="dxa"/>
            <w:left w:w="0" w:type="dxa"/>
            <w:bottom w:w="0" w:type="dxa"/>
            <w:right w:w="0" w:type="dxa"/>
          </w:tblCellMar>
        </w:tblPrEx>
        <w:trPr>
          <w:trHeight w:val="1244" w:hRule="exact"/>
        </w:trPr>
        <w:tc>
          <w:tcPr>
            <w:tcW w:w="1728" w:type="dxa"/>
            <w:tcBorders>
              <w:top w:val="single" w:color="000000" w:sz="6" w:space="0"/>
              <w:left w:val="single" w:color="000000" w:sz="6" w:space="0"/>
              <w:bottom w:val="single" w:color="000000" w:sz="6" w:space="0"/>
              <w:right w:val="single" w:color="000000" w:sz="6" w:space="0"/>
            </w:tcBorders>
            <w:vAlign w:val="center"/>
          </w:tcPr>
          <w:p w14:paraId="776AA619">
            <w:pPr>
              <w:pStyle w:val="130"/>
              <w:kinsoku w:val="0"/>
              <w:overflowPunct w:val="0"/>
              <w:adjustRightInd w:val="0"/>
              <w:snapToGrid w:val="0"/>
              <w:ind w:right="1" w:firstLine="442"/>
              <w:jc w:val="center"/>
              <w:rPr>
                <w:rFonts w:hint="eastAsia" w:ascii="新宋体" w:hAnsi="新宋体" w:eastAsia="新宋体" w:cs="新宋体"/>
                <w:szCs w:val="21"/>
              </w:rPr>
            </w:pPr>
            <w:r>
              <w:rPr>
                <w:rFonts w:hint="eastAsia" w:ascii="新宋体" w:hAnsi="新宋体" w:eastAsia="新宋体" w:cs="新宋体"/>
                <w:szCs w:val="21"/>
              </w:rPr>
              <w:t>验收小组</w:t>
            </w:r>
          </w:p>
          <w:p w14:paraId="28C67604">
            <w:pPr>
              <w:pStyle w:val="130"/>
              <w:kinsoku w:val="0"/>
              <w:overflowPunct w:val="0"/>
              <w:adjustRightInd w:val="0"/>
              <w:snapToGrid w:val="0"/>
              <w:ind w:right="1" w:firstLine="442"/>
              <w:jc w:val="center"/>
              <w:rPr>
                <w:rFonts w:hint="eastAsia" w:ascii="新宋体" w:hAnsi="新宋体" w:eastAsia="新宋体" w:cs="新宋体"/>
                <w:szCs w:val="21"/>
              </w:rPr>
            </w:pPr>
            <w:r>
              <w:rPr>
                <w:rFonts w:hint="eastAsia" w:ascii="新宋体" w:hAnsi="新宋体" w:eastAsia="新宋体" w:cs="新宋体"/>
                <w:szCs w:val="21"/>
              </w:rPr>
              <w:t>意见</w:t>
            </w:r>
          </w:p>
        </w:tc>
        <w:tc>
          <w:tcPr>
            <w:tcW w:w="7211" w:type="dxa"/>
            <w:gridSpan w:val="6"/>
            <w:tcBorders>
              <w:top w:val="single" w:color="000000" w:sz="6" w:space="0"/>
              <w:left w:val="single" w:color="000000" w:sz="6" w:space="0"/>
              <w:bottom w:val="single" w:color="000000" w:sz="6" w:space="0"/>
              <w:right w:val="single" w:color="000000" w:sz="6" w:space="0"/>
            </w:tcBorders>
            <w:vAlign w:val="center"/>
          </w:tcPr>
          <w:p w14:paraId="60AA4EAB">
            <w:pPr>
              <w:pStyle w:val="130"/>
              <w:kinsoku w:val="0"/>
              <w:overflowPunct w:val="0"/>
              <w:adjustRightInd w:val="0"/>
              <w:snapToGrid w:val="0"/>
              <w:ind w:right="1" w:firstLine="442"/>
              <w:jc w:val="center"/>
              <w:rPr>
                <w:rFonts w:hint="eastAsia" w:ascii="新宋体" w:hAnsi="新宋体" w:eastAsia="新宋体" w:cs="新宋体"/>
                <w:szCs w:val="21"/>
              </w:rPr>
            </w:pPr>
          </w:p>
        </w:tc>
      </w:tr>
      <w:tr w14:paraId="5A6572F8">
        <w:tblPrEx>
          <w:tblCellMar>
            <w:top w:w="0" w:type="dxa"/>
            <w:left w:w="0" w:type="dxa"/>
            <w:bottom w:w="0" w:type="dxa"/>
            <w:right w:w="0" w:type="dxa"/>
          </w:tblCellMar>
        </w:tblPrEx>
        <w:trPr>
          <w:trHeight w:val="746" w:hRule="exact"/>
        </w:trPr>
        <w:tc>
          <w:tcPr>
            <w:tcW w:w="8939" w:type="dxa"/>
            <w:gridSpan w:val="7"/>
            <w:tcBorders>
              <w:top w:val="single" w:color="000000" w:sz="6" w:space="0"/>
              <w:left w:val="single" w:color="000000" w:sz="6" w:space="0"/>
              <w:bottom w:val="single" w:color="000000" w:sz="6" w:space="0"/>
              <w:right w:val="single" w:color="000000" w:sz="6" w:space="0"/>
            </w:tcBorders>
            <w:vAlign w:val="center"/>
          </w:tcPr>
          <w:p w14:paraId="03E74597">
            <w:pPr>
              <w:pStyle w:val="130"/>
              <w:kinsoku w:val="0"/>
              <w:overflowPunct w:val="0"/>
              <w:adjustRightInd w:val="0"/>
              <w:snapToGrid w:val="0"/>
              <w:ind w:left="99" w:firstLine="442"/>
              <w:rPr>
                <w:rFonts w:hint="eastAsia" w:ascii="新宋体" w:hAnsi="新宋体" w:eastAsia="新宋体" w:cs="新宋体"/>
                <w:szCs w:val="21"/>
              </w:rPr>
            </w:pPr>
            <w:r>
              <w:rPr>
                <w:rFonts w:hint="eastAsia" w:ascii="新宋体" w:hAnsi="新宋体" w:eastAsia="新宋体" w:cs="新宋体"/>
                <w:szCs w:val="21"/>
              </w:rPr>
              <w:t>验收小组成员签字：</w:t>
            </w:r>
          </w:p>
        </w:tc>
      </w:tr>
      <w:tr w14:paraId="567433E4">
        <w:tblPrEx>
          <w:tblCellMar>
            <w:top w:w="0" w:type="dxa"/>
            <w:left w:w="0" w:type="dxa"/>
            <w:bottom w:w="0" w:type="dxa"/>
            <w:right w:w="0" w:type="dxa"/>
          </w:tblCellMar>
        </w:tblPrEx>
        <w:trPr>
          <w:trHeight w:val="746" w:hRule="exact"/>
        </w:trPr>
        <w:tc>
          <w:tcPr>
            <w:tcW w:w="8939" w:type="dxa"/>
            <w:gridSpan w:val="7"/>
            <w:tcBorders>
              <w:top w:val="single" w:color="000000" w:sz="6" w:space="0"/>
              <w:left w:val="single" w:color="000000" w:sz="6" w:space="0"/>
              <w:bottom w:val="single" w:color="000000" w:sz="6" w:space="0"/>
              <w:right w:val="single" w:color="000000" w:sz="6" w:space="0"/>
            </w:tcBorders>
            <w:vAlign w:val="center"/>
          </w:tcPr>
          <w:p w14:paraId="00F87384">
            <w:pPr>
              <w:pStyle w:val="130"/>
              <w:kinsoku w:val="0"/>
              <w:overflowPunct w:val="0"/>
              <w:adjustRightInd w:val="0"/>
              <w:snapToGrid w:val="0"/>
              <w:ind w:left="99" w:firstLine="442"/>
              <w:rPr>
                <w:rFonts w:hint="eastAsia" w:ascii="新宋体" w:hAnsi="新宋体" w:eastAsia="新宋体" w:cs="新宋体"/>
                <w:szCs w:val="21"/>
                <w:lang w:eastAsia="zh-CN"/>
              </w:rPr>
            </w:pPr>
            <w:r>
              <w:rPr>
                <w:rFonts w:hint="eastAsia" w:ascii="新宋体" w:hAnsi="新宋体" w:eastAsia="新宋体" w:cs="新宋体"/>
                <w:szCs w:val="21"/>
                <w:lang w:eastAsia="zh-CN"/>
              </w:rPr>
              <w:t>参与验收其他或监督人员签字：</w:t>
            </w:r>
          </w:p>
        </w:tc>
      </w:tr>
      <w:tr w14:paraId="0A368409">
        <w:tblPrEx>
          <w:tblCellMar>
            <w:top w:w="0" w:type="dxa"/>
            <w:left w:w="0" w:type="dxa"/>
            <w:bottom w:w="0" w:type="dxa"/>
            <w:right w:w="0" w:type="dxa"/>
          </w:tblCellMar>
        </w:tblPrEx>
        <w:trPr>
          <w:trHeight w:val="1358" w:hRule="exact"/>
        </w:trPr>
        <w:tc>
          <w:tcPr>
            <w:tcW w:w="4565" w:type="dxa"/>
            <w:gridSpan w:val="3"/>
            <w:tcBorders>
              <w:top w:val="single" w:color="000000" w:sz="6" w:space="0"/>
              <w:left w:val="single" w:color="000000" w:sz="6" w:space="0"/>
              <w:bottom w:val="single" w:color="000000" w:sz="6" w:space="0"/>
              <w:right w:val="single" w:color="000000" w:sz="6" w:space="0"/>
            </w:tcBorders>
            <w:vAlign w:val="center"/>
          </w:tcPr>
          <w:p w14:paraId="42F7A0B9">
            <w:pPr>
              <w:pStyle w:val="130"/>
              <w:kinsoku w:val="0"/>
              <w:overflowPunct w:val="0"/>
              <w:adjustRightInd w:val="0"/>
              <w:snapToGrid w:val="0"/>
              <w:ind w:left="99" w:firstLine="442"/>
              <w:rPr>
                <w:rFonts w:hint="eastAsia" w:ascii="新宋体" w:hAnsi="新宋体" w:eastAsia="新宋体" w:cs="新宋体"/>
                <w:szCs w:val="21"/>
                <w:lang w:eastAsia="zh-CN"/>
              </w:rPr>
            </w:pPr>
            <w:r>
              <w:rPr>
                <w:rFonts w:hint="eastAsia" w:ascii="新宋体" w:hAnsi="新宋体" w:eastAsia="新宋体" w:cs="新宋体"/>
                <w:szCs w:val="21"/>
                <w:lang w:eastAsia="zh-CN"/>
              </w:rPr>
              <w:t>中标人签字或盖章：</w:t>
            </w:r>
          </w:p>
          <w:p w14:paraId="30DDB7EB">
            <w:pPr>
              <w:pStyle w:val="130"/>
              <w:kinsoku w:val="0"/>
              <w:overflowPunct w:val="0"/>
              <w:adjustRightInd w:val="0"/>
              <w:snapToGrid w:val="0"/>
              <w:ind w:firstLine="442"/>
              <w:rPr>
                <w:rFonts w:hint="eastAsia" w:ascii="新宋体" w:hAnsi="新宋体" w:eastAsia="新宋体" w:cs="新宋体"/>
                <w:szCs w:val="21"/>
                <w:lang w:eastAsia="zh-CN"/>
              </w:rPr>
            </w:pPr>
          </w:p>
          <w:p w14:paraId="44E57CA0">
            <w:pPr>
              <w:pStyle w:val="130"/>
              <w:tabs>
                <w:tab w:val="left" w:pos="2943"/>
                <w:tab w:val="left" w:pos="3363"/>
                <w:tab w:val="left" w:pos="3785"/>
              </w:tabs>
              <w:kinsoku w:val="0"/>
              <w:overflowPunct w:val="0"/>
              <w:adjustRightInd w:val="0"/>
              <w:snapToGrid w:val="0"/>
              <w:ind w:left="99" w:firstLine="442"/>
              <w:rPr>
                <w:rFonts w:hint="eastAsia" w:ascii="新宋体" w:hAnsi="新宋体" w:eastAsia="新宋体" w:cs="新宋体"/>
                <w:szCs w:val="21"/>
                <w:lang w:eastAsia="zh-CN"/>
              </w:rPr>
            </w:pPr>
            <w:r>
              <w:rPr>
                <w:rFonts w:hint="eastAsia" w:ascii="新宋体" w:hAnsi="新宋体" w:eastAsia="新宋体" w:cs="新宋体"/>
                <w:szCs w:val="21"/>
                <w:lang w:eastAsia="zh-CN"/>
              </w:rPr>
              <w:t>联系方式：</w:t>
            </w:r>
            <w:r>
              <w:rPr>
                <w:rFonts w:hint="eastAsia" w:ascii="新宋体" w:hAnsi="新宋体" w:eastAsia="新宋体" w:cs="新宋体"/>
                <w:szCs w:val="21"/>
                <w:lang w:eastAsia="zh-CN"/>
              </w:rPr>
              <w:tab/>
            </w:r>
            <w:r>
              <w:rPr>
                <w:rFonts w:hint="eastAsia" w:ascii="新宋体" w:hAnsi="新宋体" w:eastAsia="新宋体" w:cs="新宋体"/>
                <w:w w:val="95"/>
                <w:szCs w:val="21"/>
                <w:lang w:eastAsia="zh-CN"/>
              </w:rPr>
              <w:t>年</w:t>
            </w:r>
            <w:r>
              <w:rPr>
                <w:rFonts w:hint="eastAsia" w:ascii="新宋体" w:hAnsi="新宋体" w:eastAsia="新宋体" w:cs="新宋体"/>
                <w:w w:val="95"/>
                <w:szCs w:val="21"/>
                <w:lang w:eastAsia="zh-CN"/>
              </w:rPr>
              <w:tab/>
            </w:r>
            <w:r>
              <w:rPr>
                <w:rFonts w:hint="eastAsia" w:ascii="新宋体" w:hAnsi="新宋体" w:eastAsia="新宋体" w:cs="新宋体"/>
                <w:w w:val="95"/>
                <w:szCs w:val="21"/>
                <w:lang w:eastAsia="zh-CN"/>
              </w:rPr>
              <w:t>月</w:t>
            </w:r>
            <w:r>
              <w:rPr>
                <w:rFonts w:hint="eastAsia" w:ascii="新宋体" w:hAnsi="新宋体" w:eastAsia="新宋体" w:cs="新宋体"/>
                <w:w w:val="95"/>
                <w:szCs w:val="21"/>
                <w:lang w:eastAsia="zh-CN"/>
              </w:rPr>
              <w:tab/>
            </w:r>
            <w:r>
              <w:rPr>
                <w:rFonts w:hint="eastAsia" w:ascii="新宋体" w:hAnsi="新宋体" w:eastAsia="新宋体" w:cs="新宋体"/>
                <w:szCs w:val="21"/>
                <w:lang w:eastAsia="zh-CN"/>
              </w:rPr>
              <w:t>日</w:t>
            </w:r>
          </w:p>
        </w:tc>
        <w:tc>
          <w:tcPr>
            <w:tcW w:w="4374" w:type="dxa"/>
            <w:gridSpan w:val="4"/>
            <w:tcBorders>
              <w:top w:val="single" w:color="000000" w:sz="6" w:space="0"/>
              <w:left w:val="single" w:color="000000" w:sz="6" w:space="0"/>
              <w:bottom w:val="single" w:color="000000" w:sz="6" w:space="0"/>
              <w:right w:val="single" w:color="000000" w:sz="6" w:space="0"/>
            </w:tcBorders>
            <w:vAlign w:val="center"/>
          </w:tcPr>
          <w:p w14:paraId="32EAE031">
            <w:pPr>
              <w:pStyle w:val="130"/>
              <w:kinsoku w:val="0"/>
              <w:overflowPunct w:val="0"/>
              <w:adjustRightInd w:val="0"/>
              <w:snapToGrid w:val="0"/>
              <w:ind w:left="211" w:firstLine="442"/>
              <w:rPr>
                <w:rFonts w:hint="eastAsia" w:ascii="新宋体" w:hAnsi="新宋体" w:eastAsia="新宋体" w:cs="新宋体"/>
                <w:szCs w:val="21"/>
              </w:rPr>
            </w:pPr>
            <w:r>
              <w:rPr>
                <w:rFonts w:hint="eastAsia" w:ascii="新宋体" w:hAnsi="新宋体" w:eastAsia="新宋体" w:cs="新宋体"/>
                <w:szCs w:val="21"/>
              </w:rPr>
              <w:t>招标人盖章：</w:t>
            </w:r>
          </w:p>
          <w:p w14:paraId="77A77803">
            <w:pPr>
              <w:pStyle w:val="130"/>
              <w:kinsoku w:val="0"/>
              <w:overflowPunct w:val="0"/>
              <w:adjustRightInd w:val="0"/>
              <w:snapToGrid w:val="0"/>
              <w:ind w:firstLine="442"/>
              <w:rPr>
                <w:rFonts w:hint="eastAsia" w:ascii="新宋体" w:hAnsi="新宋体" w:eastAsia="新宋体" w:cs="新宋体"/>
                <w:szCs w:val="21"/>
              </w:rPr>
            </w:pPr>
          </w:p>
          <w:p w14:paraId="6EB3FE7A">
            <w:pPr>
              <w:pStyle w:val="130"/>
              <w:tabs>
                <w:tab w:val="left" w:pos="2539"/>
                <w:tab w:val="left" w:pos="2961"/>
              </w:tabs>
              <w:kinsoku w:val="0"/>
              <w:overflowPunct w:val="0"/>
              <w:adjustRightInd w:val="0"/>
              <w:snapToGrid w:val="0"/>
              <w:ind w:left="2119" w:firstLine="421"/>
              <w:rPr>
                <w:rFonts w:hint="eastAsia" w:ascii="新宋体" w:hAnsi="新宋体" w:eastAsia="新宋体" w:cs="新宋体"/>
                <w:szCs w:val="21"/>
              </w:rPr>
            </w:pPr>
            <w:r>
              <w:rPr>
                <w:rFonts w:hint="eastAsia" w:ascii="新宋体" w:hAnsi="新宋体" w:eastAsia="新宋体" w:cs="新宋体"/>
                <w:w w:val="95"/>
                <w:szCs w:val="21"/>
              </w:rPr>
              <w:t>年</w:t>
            </w:r>
            <w:r>
              <w:rPr>
                <w:rFonts w:hint="eastAsia" w:ascii="新宋体" w:hAnsi="新宋体" w:eastAsia="新宋体" w:cs="新宋体"/>
                <w:w w:val="95"/>
                <w:szCs w:val="21"/>
              </w:rPr>
              <w:tab/>
            </w:r>
            <w:r>
              <w:rPr>
                <w:rFonts w:hint="eastAsia" w:ascii="新宋体" w:hAnsi="新宋体" w:eastAsia="新宋体" w:cs="新宋体"/>
                <w:w w:val="95"/>
                <w:szCs w:val="21"/>
              </w:rPr>
              <w:t>月</w:t>
            </w:r>
            <w:r>
              <w:rPr>
                <w:rFonts w:hint="eastAsia" w:ascii="新宋体" w:hAnsi="新宋体" w:eastAsia="新宋体" w:cs="新宋体"/>
                <w:w w:val="95"/>
                <w:szCs w:val="21"/>
              </w:rPr>
              <w:tab/>
            </w:r>
            <w:r>
              <w:rPr>
                <w:rFonts w:hint="eastAsia" w:ascii="新宋体" w:hAnsi="新宋体" w:eastAsia="新宋体" w:cs="新宋体"/>
                <w:szCs w:val="21"/>
              </w:rPr>
              <w:t>日</w:t>
            </w:r>
          </w:p>
        </w:tc>
      </w:tr>
    </w:tbl>
    <w:p w14:paraId="68740E88">
      <w:pPr>
        <w:pStyle w:val="24"/>
        <w:kinsoku w:val="0"/>
        <w:overflowPunct w:val="0"/>
        <w:adjustRightInd w:val="0"/>
        <w:snapToGrid w:val="0"/>
        <w:spacing w:line="241" w:lineRule="exact"/>
        <w:ind w:left="531"/>
        <w:rPr>
          <w:rFonts w:hint="eastAsia" w:ascii="新宋体" w:hAnsi="新宋体" w:eastAsia="新宋体" w:cs="新宋体"/>
          <w:szCs w:val="21"/>
        </w:rPr>
      </w:pPr>
      <w:r>
        <w:rPr>
          <w:rFonts w:hint="eastAsia" w:ascii="新宋体" w:hAnsi="新宋体" w:eastAsia="新宋体" w:cs="新宋体"/>
          <w:szCs w:val="21"/>
        </w:rPr>
        <w:t>注：本报告一式4份（招标人1份、中标人1份、招标监督部门1份、招标代理机构1份）</w:t>
      </w:r>
    </w:p>
    <w:bookmarkEnd w:id="215"/>
    <w:p w14:paraId="475E5943">
      <w:pPr>
        <w:spacing w:before="4" w:line="360" w:lineRule="auto"/>
        <w:ind w:firstLine="120"/>
        <w:rPr>
          <w:rFonts w:hint="eastAsia" w:ascii="宋体" w:hAnsi="宋体" w:eastAsia="宋体" w:cs="宋体"/>
          <w:sz w:val="6"/>
          <w:szCs w:val="6"/>
        </w:rPr>
      </w:pPr>
    </w:p>
    <w:sectPr>
      <w:headerReference r:id="rId17" w:type="default"/>
      <w:footerReference r:id="rId18" w:type="default"/>
      <w:pgSz w:w="11906" w:h="16838"/>
      <w:pgMar w:top="1440" w:right="1440" w:bottom="1440"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
    <w:altName w:val="微软雅黑"/>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Futura Bk">
    <w:altName w:val="Arial"/>
    <w:panose1 w:val="00000000000000000000"/>
    <w:charset w:val="00"/>
    <w:family w:val="swiss"/>
    <w:pitch w:val="default"/>
    <w:sig w:usb0="00000000" w:usb1="00000000" w:usb2="00000000" w:usb3="00000000" w:csb0="000001FB" w:csb1="00000000"/>
  </w:font>
  <w:font w:name="新宋体">
    <w:panose1 w:val="02010609030101010101"/>
    <w:charset w:val="86"/>
    <w:family w:val="modern"/>
    <w:pitch w:val="default"/>
    <w:sig w:usb0="00000283" w:usb1="288F0000" w:usb2="00000006" w:usb3="00000000" w:csb0="00040001" w:csb1="00000000"/>
  </w:font>
  <w:font w:name="长城仿宋">
    <w:altName w:val="仿宋"/>
    <w:panose1 w:val="00000000000000000000"/>
    <w:charset w:val="00"/>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Book Antiqua">
    <w:panose1 w:val="02040602050305030304"/>
    <w:charset w:val="00"/>
    <w:family w:val="roman"/>
    <w:pitch w:val="default"/>
    <w:sig w:usb0="00000287" w:usb1="00000000" w:usb2="00000000" w:usb3="00000000" w:csb0="2000009F" w:csb1="DFD70000"/>
  </w:font>
  <w:font w:name="Garamond">
    <w:panose1 w:val="02020502050306020203"/>
    <w:charset w:val="00"/>
    <w:family w:val="roman"/>
    <w:pitch w:val="default"/>
    <w:sig w:usb0="00000007" w:usb1="00000000" w:usb2="00000000" w:usb3="00000000" w:csb0="00000093" w:csb1="00000000"/>
  </w:font>
  <w:font w:name="??">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新魏">
    <w:panose1 w:val="02010800040101010101"/>
    <w:charset w:val="86"/>
    <w:family w:val="auto"/>
    <w:pitch w:val="default"/>
    <w:sig w:usb0="00000001" w:usb1="080F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Segoe UI Emoji">
    <w:panose1 w:val="020B0502040204020203"/>
    <w:charset w:val="00"/>
    <w:family w:val="swiss"/>
    <w:pitch w:val="default"/>
    <w:sig w:usb0="00000001" w:usb1="02000000" w:usb2="00000000" w:usb3="00000000" w:csb0="000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03C91">
    <w:pPr>
      <w:pStyle w:val="35"/>
      <w:tabs>
        <w:tab w:val="center" w:pos="4439"/>
        <w:tab w:val="clear" w:pos="4153"/>
      </w:tabs>
      <w:jc w:val="both"/>
      <w:rPr>
        <w:rFonts w:hint="eastAsia"/>
      </w:rPr>
    </w:pPr>
  </w:p>
  <w:p w14:paraId="7DC08500">
    <w:pPr>
      <w:pStyle w:val="35"/>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A6E33">
    <w:pPr>
      <w:pStyle w:val="35"/>
      <w:tabs>
        <w:tab w:val="center" w:pos="4439"/>
        <w:tab w:val="clear" w:pos="4153"/>
      </w:tabs>
      <w:ind w:firstLine="361"/>
      <w:rPr>
        <w:rFonts w:hint="eastAsia" w:ascii="宋体" w:hAnsi="宋体" w:eastAsia="宋体" w:cs="宋体"/>
      </w:rPr>
    </w:pPr>
    <w:r>
      <w:rPr>
        <w:lang w:val="en-US"/>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25E99D">
                          <w:pPr>
                            <w:pStyle w:val="35"/>
                            <w:rPr>
                              <w:rFonts w:hint="eastAsia"/>
                            </w:rPr>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14:paraId="2325E99D">
                    <w:pPr>
                      <w:pStyle w:val="35"/>
                      <w:rPr>
                        <w:rFonts w:hint="eastAsia"/>
                      </w:rPr>
                    </w:pPr>
                    <w:r>
                      <w:fldChar w:fldCharType="begin"/>
                    </w:r>
                    <w:r>
                      <w:instrText xml:space="preserve"> PAGE  \* MERGEFORMAT </w:instrText>
                    </w:r>
                    <w:r>
                      <w:fldChar w:fldCharType="separate"/>
                    </w:r>
                    <w:r>
                      <w:t>91</w:t>
                    </w:r>
                    <w:r>
                      <w:fldChar w:fldCharType="end"/>
                    </w:r>
                  </w:p>
                </w:txbxContent>
              </v:textbox>
            </v:shape>
          </w:pict>
        </mc:Fallback>
      </mc:AlternateContent>
    </w:r>
    <w:r>
      <w:rPr>
        <w:rFonts w:hint="eastAsia" w:ascii="宋体" w:hAnsi="宋体" w:eastAsia="宋体" w:cs="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8550D">
    <w:pPr>
      <w:pStyle w:val="35"/>
      <w:tabs>
        <w:tab w:val="center" w:pos="4439"/>
        <w:tab w:val="clear" w:pos="4153"/>
      </w:tabs>
      <w:rPr>
        <w:rFonts w:hint="eastAsia"/>
      </w:rPr>
    </w:pPr>
    <w:r>
      <w:rPr>
        <w:lang w:val="en-US"/>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80340"/>
              <wp:effectExtent l="0" t="0" r="0" b="635"/>
              <wp:wrapNone/>
              <wp:docPr id="5" name="文本框 5124"/>
              <wp:cNvGraphicFramePr/>
              <a:graphic xmlns:a="http://schemas.openxmlformats.org/drawingml/2006/main">
                <a:graphicData uri="http://schemas.microsoft.com/office/word/2010/wordprocessingShape">
                  <wps:wsp>
                    <wps:cNvSpPr txBox="1">
                      <a:spLocks noChangeArrowheads="1"/>
                    </wps:cNvSpPr>
                    <wps:spPr bwMode="auto">
                      <a:xfrm>
                        <a:off x="0" y="0"/>
                        <a:ext cx="114935" cy="180340"/>
                      </a:xfrm>
                      <a:prstGeom prst="rect">
                        <a:avLst/>
                      </a:prstGeom>
                      <a:noFill/>
                      <a:ln>
                        <a:noFill/>
                      </a:ln>
                    </wps:spPr>
                    <wps:txbx>
                      <w:txbxContent>
                        <w:p w14:paraId="4E864740">
                          <w:pPr>
                            <w:rPr>
                              <w:rFonts w:hint="eastAsia"/>
                            </w:rPr>
                          </w:pPr>
                        </w:p>
                      </w:txbxContent>
                    </wps:txbx>
                    <wps:bodyPr rot="0" vert="horz" wrap="none" lIns="0" tIns="0" rIns="0" bIns="0" anchor="t" anchorCtr="0" upright="1">
                      <a:spAutoFit/>
                    </wps:bodyPr>
                  </wps:wsp>
                </a:graphicData>
              </a:graphic>
            </wp:anchor>
          </w:drawing>
        </mc:Choice>
        <mc:Fallback>
          <w:pict>
            <v:shape id="文本框 5124" o:spid="_x0000_s1026" o:spt="202" type="#_x0000_t202" style="position:absolute;left:0pt;margin-top:0pt;height:14.2pt;width:9.05pt;mso-position-horizontal:center;mso-position-horizontal-relative:margin;mso-wrap-style:none;z-index:251661312;mso-width-relative:page;mso-height-relative:page;" filled="f" stroked="f" coordsize="21600,21600" o:gfxdata="UEsDBAoAAAAAAIdO4kAAAAAAAAAAAAAAAAAEAAAAZHJzL1BLAwQUAAAACACHTuJAWLXzd9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i183fQAAAAAwEAAA8AAAAAAAAAAQAgAAAAIgAAAGRy&#10;cy9kb3ducmV2LnhtbFBLAQIUABQAAAAIAIdO4kCtPlTuDQIAAAUEAAAOAAAAAAAAAAEAIAAAAB8B&#10;AABkcnMvZTJvRG9jLnhtbFBLBQYAAAAABgAGAFkBAACeBQAAAAA=&#10;">
              <v:fill on="f" focussize="0,0"/>
              <v:stroke on="f"/>
              <v:imagedata o:title=""/>
              <o:lock v:ext="edit" aspectratio="f"/>
              <v:textbox inset="0mm,0mm,0mm,0mm" style="mso-fit-shape-to-text:t;">
                <w:txbxContent>
                  <w:p w14:paraId="4E864740">
                    <w:pPr>
                      <w:rPr>
                        <w:rFonts w:hint="eastAsi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617E0">
    <w:pPr>
      <w:pStyle w:val="35"/>
      <w:tabs>
        <w:tab w:val="center" w:pos="4439"/>
        <w:tab w:val="clear" w:pos="4153"/>
      </w:tabs>
      <w:jc w:val="both"/>
      <w:rPr>
        <w:rFonts w:hint="eastAsia"/>
      </w:rPr>
    </w:pPr>
  </w:p>
  <w:p w14:paraId="01BECC83">
    <w:pPr>
      <w:pStyle w:val="35"/>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887E0">
    <w:pPr>
      <w:pStyle w:val="35"/>
      <w:tabs>
        <w:tab w:val="center" w:pos="4439"/>
        <w:tab w:val="clear" w:pos="4153"/>
      </w:tabs>
      <w:rPr>
        <w:rFonts w:hint="eastAsia"/>
      </w:rPr>
    </w:pPr>
    <w:r>
      <w:rPr>
        <w:lang w:val="en-US"/>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0CD915">
                          <w:pPr>
                            <w:pStyle w:val="35"/>
                            <w:rPr>
                              <w:rFonts w:hint="eastAsia"/>
                            </w:rPr>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90CD915">
                    <w:pPr>
                      <w:pStyle w:val="35"/>
                      <w:rPr>
                        <w:rFonts w:hint="eastAsia"/>
                      </w:rPr>
                    </w:pPr>
                    <w:r>
                      <w:fldChar w:fldCharType="begin"/>
                    </w:r>
                    <w:r>
                      <w:instrText xml:space="preserve"> PAGE  \* MERGEFORMAT </w:instrText>
                    </w:r>
                    <w:r>
                      <w:fldChar w:fldCharType="separate"/>
                    </w:r>
                    <w:r>
                      <w:t>0</w:t>
                    </w:r>
                    <w:r>
                      <w:fldChar w:fldCharType="end"/>
                    </w:r>
                  </w:p>
                </w:txbxContent>
              </v:textbox>
            </v:shape>
          </w:pict>
        </mc:Fallback>
      </mc:AlternateContent>
    </w:r>
    <w:r>
      <w:rPr>
        <w:lang w:val="en-US"/>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80340"/>
              <wp:effectExtent l="0" t="0" r="0" b="0"/>
              <wp:wrapNone/>
              <wp:docPr id="10" name="文本框 5124"/>
              <wp:cNvGraphicFramePr/>
              <a:graphic xmlns:a="http://schemas.openxmlformats.org/drawingml/2006/main">
                <a:graphicData uri="http://schemas.microsoft.com/office/word/2010/wordprocessingShape">
                  <wps:wsp>
                    <wps:cNvSpPr txBox="1">
                      <a:spLocks noChangeArrowheads="1"/>
                    </wps:cNvSpPr>
                    <wps:spPr bwMode="auto">
                      <a:xfrm>
                        <a:off x="0" y="0"/>
                        <a:ext cx="114935" cy="180340"/>
                      </a:xfrm>
                      <a:prstGeom prst="rect">
                        <a:avLst/>
                      </a:prstGeom>
                      <a:noFill/>
                      <a:ln>
                        <a:noFill/>
                      </a:ln>
                    </wps:spPr>
                    <wps:txbx>
                      <w:txbxContent>
                        <w:p w14:paraId="4B3F71DB">
                          <w:pPr>
                            <w:rPr>
                              <w:rFonts w:hint="eastAsia"/>
                            </w:rPr>
                          </w:pPr>
                        </w:p>
                      </w:txbxContent>
                    </wps:txbx>
                    <wps:bodyPr rot="0" vert="horz" wrap="none" lIns="0" tIns="0" rIns="0" bIns="0" anchor="t" anchorCtr="0" upright="1">
                      <a:spAutoFit/>
                    </wps:bodyPr>
                  </wps:wsp>
                </a:graphicData>
              </a:graphic>
            </wp:anchor>
          </w:drawing>
        </mc:Choice>
        <mc:Fallback>
          <w:pict>
            <v:shape id="文本框 5124" o:spid="_x0000_s1026" o:spt="202" type="#_x0000_t202" style="position:absolute;left:0pt;margin-top:0pt;height:14.2pt;width:9.05pt;mso-position-horizontal:center;mso-position-horizontal-relative:margin;mso-wrap-style:none;z-index:251663360;mso-width-relative:page;mso-height-relative:page;" filled="f" stroked="f" coordsize="21600,21600" o:gfxdata="UEsDBAoAAAAAAIdO4kAAAAAAAAAAAAAAAAAEAAAAZHJzL1BLAwQUAAAACACHTuJAWLXzd9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i183fQAAAAAwEAAA8AAAAAAAAAAQAgAAAAIgAAAGRy&#10;cy9kb3ducmV2LnhtbFBLAQIUABQAAAAIAIdO4kCKv3IjDQIAAAYEAAAOAAAAAAAAAAEAIAAAAB8B&#10;AABkcnMvZTJvRG9jLnhtbFBLBQYAAAAABgAGAFkBAACeBQAAAAA=&#10;">
              <v:fill on="f" focussize="0,0"/>
              <v:stroke on="f"/>
              <v:imagedata o:title=""/>
              <o:lock v:ext="edit" aspectratio="f"/>
              <v:textbox inset="0mm,0mm,0mm,0mm" style="mso-fit-shape-to-text:t;">
                <w:txbxContent>
                  <w:p w14:paraId="4B3F71DB">
                    <w:pPr>
                      <w:rPr>
                        <w:rFonts w:hint="eastAsia"/>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D0E94">
    <w:pPr>
      <w:pStyle w:val="35"/>
      <w:ind w:firstLine="360"/>
      <w:jc w:val="center"/>
      <w:rPr>
        <w:rFonts w:hint="eastAsia"/>
      </w:rPr>
    </w:pPr>
    <w:r>
      <w:rPr>
        <w:lang w:val="en-US"/>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3EEBC1">
                          <w:pPr>
                            <w:pStyle w:val="35"/>
                            <w:rPr>
                              <w:rFonts w:hint="eastAsia"/>
                            </w:rPr>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14:paraId="113EEBC1">
                    <w:pPr>
                      <w:pStyle w:val="35"/>
                      <w:rPr>
                        <w:rFonts w:hint="eastAsia"/>
                      </w:rPr>
                    </w:pPr>
                    <w:r>
                      <w:fldChar w:fldCharType="begin"/>
                    </w:r>
                    <w:r>
                      <w:instrText xml:space="preserve"> PAGE  \* MERGEFORMAT </w:instrText>
                    </w:r>
                    <w:r>
                      <w:fldChar w:fldCharType="separate"/>
                    </w:r>
                    <w:r>
                      <w:t>5</w:t>
                    </w:r>
                    <w:r>
                      <w:fldChar w:fldCharType="end"/>
                    </w:r>
                  </w:p>
                </w:txbxContent>
              </v:textbox>
            </v:shape>
          </w:pict>
        </mc:Fallback>
      </mc:AlternateContent>
    </w:r>
  </w:p>
  <w:p w14:paraId="38D54086">
    <w:pPr>
      <w:pStyle w:val="35"/>
      <w:ind w:firstLine="360"/>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8DB7F">
    <w:pPr>
      <w:pStyle w:val="35"/>
      <w:ind w:firstLine="360"/>
      <w:rPr>
        <w:rFonts w:hint="eastAsia"/>
      </w:rPr>
    </w:pPr>
    <w:r>
      <w:rPr>
        <w:lang w:val="en-US"/>
      </w:rPr>
      <mc:AlternateContent>
        <mc:Choice Requires="wps">
          <w:drawing>
            <wp:anchor distT="0" distB="0" distL="114300" distR="114300" simplePos="0" relativeHeight="251662336" behindDoc="0" locked="0" layoutInCell="1" allowOverlap="1">
              <wp:simplePos x="0" y="0"/>
              <wp:positionH relativeFrom="margin">
                <wp:posOffset>2643505</wp:posOffset>
              </wp:positionH>
              <wp:positionV relativeFrom="paragraph">
                <wp:posOffset>23495</wp:posOffset>
              </wp:positionV>
              <wp:extent cx="1828800" cy="1828800"/>
              <wp:effectExtent l="0" t="0" r="0" b="0"/>
              <wp:wrapNone/>
              <wp:docPr id="3" name="文本框 1030"/>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7CA82ED8">
                          <w:pPr>
                            <w:pStyle w:val="35"/>
                            <w:ind w:firstLine="360"/>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101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030" o:spid="_x0000_s1026" o:spt="202" type="#_x0000_t202" style="position:absolute;left:0pt;margin-left:208.15pt;margin-top:1.85pt;height:144pt;width:144pt;mso-position-horizontal-relative:margin;mso-wrap-style:none;z-index:251662336;mso-width-relative:page;mso-height-relative:page;" filled="f" stroked="f" coordsize="21600,21600" o:gfxdata="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8NX9u1gAAAAkBAAAPAAAAAAAAAAEAIAAAACIAAABk&#10;cnMvZG93bnJldi54bWxQSwECFAAUAAAACACHTuJAYr/I5ggCAAAHBAAADgAAAAAAAAABACAAAAAl&#10;AQAAZHJzL2Uyb0RvYy54bWxQSwUGAAAAAAYABgBZAQAAnwUAAAAA&#10;">
              <v:fill on="f" focussize="0,0"/>
              <v:stroke on="f"/>
              <v:imagedata o:title=""/>
              <o:lock v:ext="edit" aspectratio="f"/>
              <v:textbox inset="0mm,0mm,0mm,0mm" style="mso-fit-shape-to-text:t;">
                <w:txbxContent>
                  <w:p w14:paraId="7CA82ED8">
                    <w:pPr>
                      <w:pStyle w:val="35"/>
                      <w:ind w:firstLine="360"/>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101</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3E745">
    <w:pPr>
      <w:pStyle w:val="35"/>
      <w:jc w:val="center"/>
      <w:rPr>
        <w:rFonts w:hint="eastAsia"/>
      </w:rPr>
    </w:pPr>
    <w:r>
      <w:rPr>
        <w:lang w:val="en-US"/>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1AD484">
                          <w:pPr>
                            <w:pStyle w:val="35"/>
                            <w:rPr>
                              <w:rFonts w:hint="eastAsia"/>
                            </w:rPr>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14:paraId="7A1AD484">
                    <w:pPr>
                      <w:pStyle w:val="35"/>
                      <w:rPr>
                        <w:rFonts w:hint="eastAsia"/>
                      </w:rPr>
                    </w:pPr>
                    <w:r>
                      <w:fldChar w:fldCharType="begin"/>
                    </w:r>
                    <w:r>
                      <w:instrText xml:space="preserve"> PAGE  \* MERGEFORMAT </w:instrText>
                    </w:r>
                    <w:r>
                      <w:fldChar w:fldCharType="separate"/>
                    </w:r>
                    <w:r>
                      <w:t>90</w:t>
                    </w:r>
                    <w:r>
                      <w:fldChar w:fldCharType="end"/>
                    </w:r>
                  </w:p>
                </w:txbxContent>
              </v:textbox>
            </v:shape>
          </w:pict>
        </mc:Fallback>
      </mc:AlternateContent>
    </w:r>
  </w:p>
  <w:p w14:paraId="05ABF672">
    <w:pPr>
      <w:pStyle w:val="35"/>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1ECB3">
    <w:pPr>
      <w:pStyle w:val="24"/>
      <w:kinsoku w:val="0"/>
      <w:overflowPunct w:val="0"/>
      <w:spacing w:line="14" w:lineRule="auto"/>
      <w:rPr>
        <w:rFonts w:hint="eastAsia"/>
        <w:sz w:val="20"/>
        <w:szCs w:val="20"/>
      </w:rPr>
    </w:pPr>
    <w:r>
      <w:rPr>
        <w:szCs w:val="21"/>
        <w:lang w:val="en-US"/>
      </w:rPr>
      <mc:AlternateContent>
        <mc:Choice Requires="wps">
          <w:drawing>
            <wp:anchor distT="0" distB="0" distL="114300" distR="114300" simplePos="0" relativeHeight="251659264" behindDoc="1" locked="0" layoutInCell="0" allowOverlap="1">
              <wp:simplePos x="0" y="0"/>
              <wp:positionH relativeFrom="page">
                <wp:posOffset>3697605</wp:posOffset>
              </wp:positionH>
              <wp:positionV relativeFrom="page">
                <wp:posOffset>10105390</wp:posOffset>
              </wp:positionV>
              <wp:extent cx="166370" cy="1397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14:paraId="2B48E2D6">
                          <w:pPr>
                            <w:pStyle w:val="24"/>
                            <w:kinsoku w:val="0"/>
                            <w:overflowPunct w:val="0"/>
                            <w:spacing w:line="204" w:lineRule="exact"/>
                            <w:ind w:left="40"/>
                            <w:rPr>
                              <w:rFonts w:hint="eastAsia"/>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98</w:t>
                          </w:r>
                          <w:r>
                            <w:rPr>
                              <w:sz w:val="18"/>
                              <w:szCs w:val="18"/>
                            </w:rPr>
                            <w:fldChar w:fldCharType="end"/>
                          </w:r>
                        </w:p>
                      </w:txbxContent>
                    </wps:txbx>
                    <wps:bodyPr lIns="0" tIns="0" rIns="0" bIns="0" upright="1"/>
                  </wps:wsp>
                </a:graphicData>
              </a:graphic>
            </wp:anchor>
          </w:drawing>
        </mc:Choice>
        <mc:Fallback>
          <w:pict>
            <v:shape id="_x0000_s1026" o:spid="_x0000_s1026" o:spt="202" type="#_x0000_t202" style="position:absolute;left:0pt;margin-left:291.15pt;margin-top:795.7pt;height:11pt;width:13.1pt;mso-position-horizontal-relative:page;mso-position-vertical-relative:page;z-index:-251657216;mso-width-relative:page;mso-height-relative:page;" filled="f" stroked="f" coordsize="21600,21600" o:allowincell="f" o:gfxdata="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1rcOLbAAAADQEAAA8AAAAAAAAAAQAgAAAAIgAAAGRycy9kb3ducmV2LnhtbFBL&#10;AQIUABQAAAAIAIdO4kDF5WjmugEAAHEDAAAOAAAAAAAAAAEAIAAAACoBAABkcnMvZTJvRG9jLnht&#10;bFBLBQYAAAAABgAGAFkBAABWBQAAAAA=&#10;">
              <v:fill on="f" focussize="0,0"/>
              <v:stroke on="f"/>
              <v:imagedata o:title=""/>
              <o:lock v:ext="edit" aspectratio="f"/>
              <v:textbox inset="0mm,0mm,0mm,0mm">
                <w:txbxContent>
                  <w:p w14:paraId="2B48E2D6">
                    <w:pPr>
                      <w:pStyle w:val="24"/>
                      <w:kinsoku w:val="0"/>
                      <w:overflowPunct w:val="0"/>
                      <w:spacing w:line="204" w:lineRule="exact"/>
                      <w:ind w:left="40"/>
                      <w:rPr>
                        <w:rFonts w:hint="eastAsia"/>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98</w:t>
                    </w:r>
                    <w:r>
                      <w:rPr>
                        <w:sz w:val="18"/>
                        <w:szCs w:val="1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EF4AD">
    <w:pPr>
      <w:pStyle w:val="24"/>
      <w:kinsoku w:val="0"/>
      <w:overflowPunct w:val="0"/>
      <w:spacing w:line="14" w:lineRule="auto"/>
      <w:rPr>
        <w:rFonts w:hint="eastAsia"/>
        <w:sz w:val="20"/>
        <w:szCs w:val="20"/>
      </w:rPr>
    </w:pPr>
    <w:r>
      <w:rPr>
        <w:szCs w:val="21"/>
        <w:lang w:val="en-US"/>
      </w:rPr>
      <mc:AlternateContent>
        <mc:Choice Requires="wps">
          <w:drawing>
            <wp:anchor distT="0" distB="0" distL="114300" distR="114300" simplePos="0" relativeHeight="251660288" behindDoc="1" locked="0" layoutInCell="0" allowOverlap="1">
              <wp:simplePos x="0" y="0"/>
              <wp:positionH relativeFrom="page">
                <wp:posOffset>3697605</wp:posOffset>
              </wp:positionH>
              <wp:positionV relativeFrom="page">
                <wp:posOffset>10105390</wp:posOffset>
              </wp:positionV>
              <wp:extent cx="166370" cy="1397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14:paraId="0D3384C5">
                          <w:pPr>
                            <w:pStyle w:val="24"/>
                            <w:kinsoku w:val="0"/>
                            <w:overflowPunct w:val="0"/>
                            <w:spacing w:line="204" w:lineRule="exact"/>
                            <w:ind w:left="40"/>
                            <w:rPr>
                              <w:rFonts w:hint="eastAsia"/>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100</w:t>
                          </w:r>
                          <w:r>
                            <w:rPr>
                              <w:sz w:val="18"/>
                              <w:szCs w:val="18"/>
                            </w:rPr>
                            <w:fldChar w:fldCharType="end"/>
                          </w:r>
                        </w:p>
                      </w:txbxContent>
                    </wps:txbx>
                    <wps:bodyPr lIns="0" tIns="0" rIns="0" bIns="0" upright="1"/>
                  </wps:wsp>
                </a:graphicData>
              </a:graphic>
            </wp:anchor>
          </w:drawing>
        </mc:Choice>
        <mc:Fallback>
          <w:pict>
            <v:shape id="_x0000_s1026" o:spid="_x0000_s1026" o:spt="202" type="#_x0000_t202" style="position:absolute;left:0pt;margin-left:291.15pt;margin-top:795.7pt;height:11pt;width:13.1pt;mso-position-horizontal-relative:page;mso-position-vertical-relative:page;z-index:-251656192;mso-width-relative:page;mso-height-relative:page;" filled="f" stroked="f" coordsize="21600,21600" o:allowincell="f" o:gfxdata="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1rcOLbAAAADQEAAA8AAAAAAAAAAQAgAAAAIgAAAGRycy9kb3ducmV2LnhtbFBL&#10;AQIUABQAAAAIAIdO4kAwFEFFugEAAHEDAAAOAAAAAAAAAAEAIAAAACoBAABkcnMvZTJvRG9jLnht&#10;bFBLBQYAAAAABgAGAFkBAABWBQAAAAA=&#10;">
              <v:fill on="f" focussize="0,0"/>
              <v:stroke on="f"/>
              <v:imagedata o:title=""/>
              <o:lock v:ext="edit" aspectratio="f"/>
              <v:textbox inset="0mm,0mm,0mm,0mm">
                <w:txbxContent>
                  <w:p w14:paraId="0D3384C5">
                    <w:pPr>
                      <w:pStyle w:val="24"/>
                      <w:kinsoku w:val="0"/>
                      <w:overflowPunct w:val="0"/>
                      <w:spacing w:line="204" w:lineRule="exact"/>
                      <w:ind w:left="40"/>
                      <w:rPr>
                        <w:rFonts w:hint="eastAsia"/>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100</w:t>
                    </w:r>
                    <w:r>
                      <w:rPr>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FF92D">
    <w:pPr>
      <w:pStyle w:val="36"/>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13957">
    <w:pPr>
      <w:pStyle w:val="36"/>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D65E5">
    <w:pP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F3165">
    <w:pPr>
      <w:pStyle w:val="36"/>
      <w:pBdr>
        <w:bottom w:val="none" w:color="auto" w:sz="0" w:space="0"/>
      </w:pBdr>
      <w:tabs>
        <w:tab w:val="center" w:pos="0"/>
        <w:tab w:val="left" w:pos="8306"/>
        <w:tab w:val="clear" w:pos="4153"/>
      </w:tabs>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CCA9B">
    <w:pPr>
      <w:pStyle w:val="36"/>
      <w:pBdr>
        <w:bottom w:val="none" w:color="auto" w:sz="0" w:space="1"/>
      </w:pBdr>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E1E49">
    <w:pPr>
      <w:pStyle w:val="36"/>
      <w:pBdr>
        <w:bottom w:val="none" w:color="auto" w:sz="0" w:space="1"/>
      </w:pBdr>
      <w:ind w:firstLine="36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4373B6"/>
    <w:multiLevelType w:val="multilevel"/>
    <w:tmpl w:val="D64373B6"/>
    <w:lvl w:ilvl="0" w:tentative="0">
      <w:start w:val="1"/>
      <w:numFmt w:val="decimal"/>
      <w:suff w:val="space"/>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pStyle w:val="8"/>
      <w:lvlText w:val="%6)"/>
      <w:lvlJc w:val="left"/>
      <w:pPr>
        <w:tabs>
          <w:tab w:val="left" w:pos="2520"/>
        </w:tabs>
        <w:ind w:left="2520" w:hanging="420"/>
      </w:pPr>
      <w:rPr>
        <w:rFonts w:hint="default"/>
      </w:rPr>
    </w:lvl>
    <w:lvl w:ilvl="6" w:tentative="0">
      <w:start w:val="1"/>
      <w:numFmt w:val="lowerRoman"/>
      <w:pStyle w:val="9"/>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pStyle w:val="11"/>
      <w:lvlText w:val="%9."/>
      <w:lvlJc w:val="left"/>
      <w:pPr>
        <w:tabs>
          <w:tab w:val="left" w:pos="3780"/>
        </w:tabs>
        <w:ind w:left="3780" w:hanging="420"/>
      </w:pPr>
      <w:rPr>
        <w:rFonts w:hint="default"/>
      </w:rPr>
    </w:lvl>
  </w:abstractNum>
  <w:abstractNum w:abstractNumId="1">
    <w:nsid w:val="DDB96F63"/>
    <w:multiLevelType w:val="singleLevel"/>
    <w:tmpl w:val="DDB96F63"/>
    <w:lvl w:ilvl="0" w:tentative="0">
      <w:start w:val="7"/>
      <w:numFmt w:val="chineseCounting"/>
      <w:suff w:val="nothing"/>
      <w:lvlText w:val="%1、"/>
      <w:lvlJc w:val="left"/>
      <w:rPr>
        <w:rFonts w:hint="eastAsia"/>
      </w:rPr>
    </w:lvl>
  </w:abstractNum>
  <w:abstractNum w:abstractNumId="2">
    <w:nsid w:val="32714F5E"/>
    <w:multiLevelType w:val="multilevel"/>
    <w:tmpl w:val="32714F5E"/>
    <w:lvl w:ilvl="0" w:tentative="0">
      <w:start w:val="1"/>
      <w:numFmt w:val="chineseCountingThousand"/>
      <w:pStyle w:val="26"/>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lvlOverride w:ilvl="0">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yNDM1YTM2OTI2YjU5OGMyNGVkOTQ3N2Q2OTVmNjMifQ=="/>
  </w:docVars>
  <w:rsids>
    <w:rsidRoot w:val="00172A27"/>
    <w:rsid w:val="0000020D"/>
    <w:rsid w:val="000002E0"/>
    <w:rsid w:val="0000066D"/>
    <w:rsid w:val="00000672"/>
    <w:rsid w:val="00001013"/>
    <w:rsid w:val="00001799"/>
    <w:rsid w:val="00001AF2"/>
    <w:rsid w:val="00001C5D"/>
    <w:rsid w:val="00001ECA"/>
    <w:rsid w:val="00002D29"/>
    <w:rsid w:val="00003B93"/>
    <w:rsid w:val="00003CE8"/>
    <w:rsid w:val="0000474D"/>
    <w:rsid w:val="0000482A"/>
    <w:rsid w:val="00004D35"/>
    <w:rsid w:val="00005FDF"/>
    <w:rsid w:val="0000644A"/>
    <w:rsid w:val="000064D2"/>
    <w:rsid w:val="00006836"/>
    <w:rsid w:val="000070B3"/>
    <w:rsid w:val="000076B8"/>
    <w:rsid w:val="000109DC"/>
    <w:rsid w:val="00010D39"/>
    <w:rsid w:val="0001172C"/>
    <w:rsid w:val="00011772"/>
    <w:rsid w:val="00011BC9"/>
    <w:rsid w:val="00012854"/>
    <w:rsid w:val="00012C21"/>
    <w:rsid w:val="00012EA6"/>
    <w:rsid w:val="0001324F"/>
    <w:rsid w:val="00013359"/>
    <w:rsid w:val="000137CE"/>
    <w:rsid w:val="000139CF"/>
    <w:rsid w:val="00013AA4"/>
    <w:rsid w:val="00013DFE"/>
    <w:rsid w:val="000141EA"/>
    <w:rsid w:val="00015AD7"/>
    <w:rsid w:val="0001636C"/>
    <w:rsid w:val="00016A5F"/>
    <w:rsid w:val="00016ABC"/>
    <w:rsid w:val="000177DB"/>
    <w:rsid w:val="000179C9"/>
    <w:rsid w:val="00017CCC"/>
    <w:rsid w:val="00020227"/>
    <w:rsid w:val="00020263"/>
    <w:rsid w:val="00020455"/>
    <w:rsid w:val="00020813"/>
    <w:rsid w:val="0002097D"/>
    <w:rsid w:val="00021388"/>
    <w:rsid w:val="000215D0"/>
    <w:rsid w:val="000220B2"/>
    <w:rsid w:val="000224EA"/>
    <w:rsid w:val="000225F0"/>
    <w:rsid w:val="0002264C"/>
    <w:rsid w:val="00022731"/>
    <w:rsid w:val="00022792"/>
    <w:rsid w:val="0002385C"/>
    <w:rsid w:val="0002441E"/>
    <w:rsid w:val="00024463"/>
    <w:rsid w:val="0002448D"/>
    <w:rsid w:val="0002450C"/>
    <w:rsid w:val="00025461"/>
    <w:rsid w:val="00025636"/>
    <w:rsid w:val="00025E36"/>
    <w:rsid w:val="00025EC2"/>
    <w:rsid w:val="000267E8"/>
    <w:rsid w:val="00026855"/>
    <w:rsid w:val="00026886"/>
    <w:rsid w:val="0002785D"/>
    <w:rsid w:val="00027877"/>
    <w:rsid w:val="000307BE"/>
    <w:rsid w:val="000329E0"/>
    <w:rsid w:val="000352E9"/>
    <w:rsid w:val="00035494"/>
    <w:rsid w:val="00035BF1"/>
    <w:rsid w:val="00036125"/>
    <w:rsid w:val="000367B4"/>
    <w:rsid w:val="00036A07"/>
    <w:rsid w:val="00036E38"/>
    <w:rsid w:val="0003780B"/>
    <w:rsid w:val="000378AD"/>
    <w:rsid w:val="00040571"/>
    <w:rsid w:val="00040973"/>
    <w:rsid w:val="00041541"/>
    <w:rsid w:val="0004156E"/>
    <w:rsid w:val="00041713"/>
    <w:rsid w:val="00041DBE"/>
    <w:rsid w:val="00041ECF"/>
    <w:rsid w:val="00042FE1"/>
    <w:rsid w:val="0004440C"/>
    <w:rsid w:val="00045271"/>
    <w:rsid w:val="00045834"/>
    <w:rsid w:val="00046A4F"/>
    <w:rsid w:val="00046B5E"/>
    <w:rsid w:val="000470CB"/>
    <w:rsid w:val="000502FB"/>
    <w:rsid w:val="000509D9"/>
    <w:rsid w:val="000512AF"/>
    <w:rsid w:val="00051343"/>
    <w:rsid w:val="00051A90"/>
    <w:rsid w:val="00051ACB"/>
    <w:rsid w:val="00051E6A"/>
    <w:rsid w:val="00052062"/>
    <w:rsid w:val="00052E1B"/>
    <w:rsid w:val="000533E7"/>
    <w:rsid w:val="00054446"/>
    <w:rsid w:val="000547CE"/>
    <w:rsid w:val="00055D41"/>
    <w:rsid w:val="00056889"/>
    <w:rsid w:val="00056EF6"/>
    <w:rsid w:val="000578F7"/>
    <w:rsid w:val="00057CD6"/>
    <w:rsid w:val="00060329"/>
    <w:rsid w:val="00060DCE"/>
    <w:rsid w:val="000610E3"/>
    <w:rsid w:val="000614F3"/>
    <w:rsid w:val="000618AB"/>
    <w:rsid w:val="000623B4"/>
    <w:rsid w:val="00062405"/>
    <w:rsid w:val="00062592"/>
    <w:rsid w:val="000626EC"/>
    <w:rsid w:val="00062AAC"/>
    <w:rsid w:val="000634A7"/>
    <w:rsid w:val="0006366D"/>
    <w:rsid w:val="00063B0B"/>
    <w:rsid w:val="00063F81"/>
    <w:rsid w:val="00064847"/>
    <w:rsid w:val="00065E08"/>
    <w:rsid w:val="000666D5"/>
    <w:rsid w:val="00067242"/>
    <w:rsid w:val="000673E2"/>
    <w:rsid w:val="00067EF1"/>
    <w:rsid w:val="0007063F"/>
    <w:rsid w:val="000707FD"/>
    <w:rsid w:val="00070949"/>
    <w:rsid w:val="000711E4"/>
    <w:rsid w:val="000718CB"/>
    <w:rsid w:val="00071E9B"/>
    <w:rsid w:val="000720A1"/>
    <w:rsid w:val="000724D9"/>
    <w:rsid w:val="00072A24"/>
    <w:rsid w:val="00072AED"/>
    <w:rsid w:val="00073F47"/>
    <w:rsid w:val="00074630"/>
    <w:rsid w:val="0007492F"/>
    <w:rsid w:val="00074E07"/>
    <w:rsid w:val="00074ED8"/>
    <w:rsid w:val="00075B7E"/>
    <w:rsid w:val="00076652"/>
    <w:rsid w:val="00077ACA"/>
    <w:rsid w:val="00077C70"/>
    <w:rsid w:val="00077E91"/>
    <w:rsid w:val="000813B5"/>
    <w:rsid w:val="0008191E"/>
    <w:rsid w:val="00081BA3"/>
    <w:rsid w:val="00081D2E"/>
    <w:rsid w:val="00081F89"/>
    <w:rsid w:val="00082619"/>
    <w:rsid w:val="00082D02"/>
    <w:rsid w:val="00083257"/>
    <w:rsid w:val="0008381A"/>
    <w:rsid w:val="00083871"/>
    <w:rsid w:val="00083B91"/>
    <w:rsid w:val="0008473C"/>
    <w:rsid w:val="0008520B"/>
    <w:rsid w:val="000857DE"/>
    <w:rsid w:val="000860BD"/>
    <w:rsid w:val="0008687D"/>
    <w:rsid w:val="00086BB4"/>
    <w:rsid w:val="000871B8"/>
    <w:rsid w:val="00087B0A"/>
    <w:rsid w:val="00087D70"/>
    <w:rsid w:val="00090B93"/>
    <w:rsid w:val="000916DA"/>
    <w:rsid w:val="000916F2"/>
    <w:rsid w:val="000919B5"/>
    <w:rsid w:val="00091AAB"/>
    <w:rsid w:val="00092442"/>
    <w:rsid w:val="000929EF"/>
    <w:rsid w:val="00092C26"/>
    <w:rsid w:val="000933BE"/>
    <w:rsid w:val="000947A7"/>
    <w:rsid w:val="00095089"/>
    <w:rsid w:val="00095172"/>
    <w:rsid w:val="0009560F"/>
    <w:rsid w:val="0009588E"/>
    <w:rsid w:val="000959EE"/>
    <w:rsid w:val="00095D44"/>
    <w:rsid w:val="00096DB9"/>
    <w:rsid w:val="00097183"/>
    <w:rsid w:val="000972CB"/>
    <w:rsid w:val="00097608"/>
    <w:rsid w:val="000A09D5"/>
    <w:rsid w:val="000A0F35"/>
    <w:rsid w:val="000A1175"/>
    <w:rsid w:val="000A13F3"/>
    <w:rsid w:val="000A15E3"/>
    <w:rsid w:val="000A1C28"/>
    <w:rsid w:val="000A23B1"/>
    <w:rsid w:val="000A2B0E"/>
    <w:rsid w:val="000A398F"/>
    <w:rsid w:val="000A448C"/>
    <w:rsid w:val="000A45F2"/>
    <w:rsid w:val="000A509C"/>
    <w:rsid w:val="000A54A7"/>
    <w:rsid w:val="000A5A17"/>
    <w:rsid w:val="000A6007"/>
    <w:rsid w:val="000A65A6"/>
    <w:rsid w:val="000A70E3"/>
    <w:rsid w:val="000A7275"/>
    <w:rsid w:val="000A79C3"/>
    <w:rsid w:val="000A7A12"/>
    <w:rsid w:val="000A7A72"/>
    <w:rsid w:val="000B1202"/>
    <w:rsid w:val="000B1801"/>
    <w:rsid w:val="000B1D0C"/>
    <w:rsid w:val="000B2273"/>
    <w:rsid w:val="000B2BC6"/>
    <w:rsid w:val="000B2D03"/>
    <w:rsid w:val="000B37F2"/>
    <w:rsid w:val="000B3815"/>
    <w:rsid w:val="000B3C7B"/>
    <w:rsid w:val="000B3E68"/>
    <w:rsid w:val="000B4321"/>
    <w:rsid w:val="000B5218"/>
    <w:rsid w:val="000B67DD"/>
    <w:rsid w:val="000B6A6B"/>
    <w:rsid w:val="000B6C95"/>
    <w:rsid w:val="000B79FC"/>
    <w:rsid w:val="000C08F2"/>
    <w:rsid w:val="000C1679"/>
    <w:rsid w:val="000C1EE3"/>
    <w:rsid w:val="000C373B"/>
    <w:rsid w:val="000C3AE7"/>
    <w:rsid w:val="000C3CC9"/>
    <w:rsid w:val="000C440D"/>
    <w:rsid w:val="000C4898"/>
    <w:rsid w:val="000C56BF"/>
    <w:rsid w:val="000C59C6"/>
    <w:rsid w:val="000C6C73"/>
    <w:rsid w:val="000C6DE4"/>
    <w:rsid w:val="000C7202"/>
    <w:rsid w:val="000D0A89"/>
    <w:rsid w:val="000D1389"/>
    <w:rsid w:val="000D1798"/>
    <w:rsid w:val="000D2626"/>
    <w:rsid w:val="000D400B"/>
    <w:rsid w:val="000D411D"/>
    <w:rsid w:val="000D4589"/>
    <w:rsid w:val="000D4809"/>
    <w:rsid w:val="000D4C20"/>
    <w:rsid w:val="000D6A7F"/>
    <w:rsid w:val="000D73DD"/>
    <w:rsid w:val="000E1C51"/>
    <w:rsid w:val="000E215A"/>
    <w:rsid w:val="000E28AB"/>
    <w:rsid w:val="000E2E3E"/>
    <w:rsid w:val="000E3583"/>
    <w:rsid w:val="000E3AF0"/>
    <w:rsid w:val="000E482D"/>
    <w:rsid w:val="000E4E04"/>
    <w:rsid w:val="000E56BD"/>
    <w:rsid w:val="000E5BD8"/>
    <w:rsid w:val="000E693B"/>
    <w:rsid w:val="000E6D5C"/>
    <w:rsid w:val="000E6EC9"/>
    <w:rsid w:val="000E70B2"/>
    <w:rsid w:val="000E70B4"/>
    <w:rsid w:val="000E7174"/>
    <w:rsid w:val="000E7B62"/>
    <w:rsid w:val="000F0E1E"/>
    <w:rsid w:val="000F1035"/>
    <w:rsid w:val="000F1A1B"/>
    <w:rsid w:val="000F1B98"/>
    <w:rsid w:val="000F1C92"/>
    <w:rsid w:val="000F217C"/>
    <w:rsid w:val="000F299A"/>
    <w:rsid w:val="000F2A95"/>
    <w:rsid w:val="000F2C6F"/>
    <w:rsid w:val="000F2DB9"/>
    <w:rsid w:val="000F3281"/>
    <w:rsid w:val="000F32FD"/>
    <w:rsid w:val="000F3733"/>
    <w:rsid w:val="000F3DEE"/>
    <w:rsid w:val="000F3E66"/>
    <w:rsid w:val="000F42B4"/>
    <w:rsid w:val="000F47D4"/>
    <w:rsid w:val="000F5107"/>
    <w:rsid w:val="000F5EA6"/>
    <w:rsid w:val="000F5F8B"/>
    <w:rsid w:val="000F6153"/>
    <w:rsid w:val="000F64AA"/>
    <w:rsid w:val="000F7086"/>
    <w:rsid w:val="000F7AF4"/>
    <w:rsid w:val="000F7C33"/>
    <w:rsid w:val="000F7F0C"/>
    <w:rsid w:val="001004D6"/>
    <w:rsid w:val="00101616"/>
    <w:rsid w:val="00101D1B"/>
    <w:rsid w:val="00102676"/>
    <w:rsid w:val="001031F5"/>
    <w:rsid w:val="00103646"/>
    <w:rsid w:val="00103918"/>
    <w:rsid w:val="00104897"/>
    <w:rsid w:val="00104EDE"/>
    <w:rsid w:val="00104F54"/>
    <w:rsid w:val="00105972"/>
    <w:rsid w:val="00105CDA"/>
    <w:rsid w:val="00106BEE"/>
    <w:rsid w:val="00106F6D"/>
    <w:rsid w:val="0010711C"/>
    <w:rsid w:val="00107368"/>
    <w:rsid w:val="00107BDF"/>
    <w:rsid w:val="00107C74"/>
    <w:rsid w:val="0011091C"/>
    <w:rsid w:val="00111266"/>
    <w:rsid w:val="001112EB"/>
    <w:rsid w:val="00111713"/>
    <w:rsid w:val="00111AFD"/>
    <w:rsid w:val="00111C6E"/>
    <w:rsid w:val="0011247D"/>
    <w:rsid w:val="00113496"/>
    <w:rsid w:val="00113678"/>
    <w:rsid w:val="00113A7D"/>
    <w:rsid w:val="00113C3E"/>
    <w:rsid w:val="001155B0"/>
    <w:rsid w:val="0011595D"/>
    <w:rsid w:val="00115E11"/>
    <w:rsid w:val="00115EEE"/>
    <w:rsid w:val="00115F56"/>
    <w:rsid w:val="00116CA9"/>
    <w:rsid w:val="00116F38"/>
    <w:rsid w:val="001170A4"/>
    <w:rsid w:val="00117A04"/>
    <w:rsid w:val="00117AE7"/>
    <w:rsid w:val="00117B85"/>
    <w:rsid w:val="00117CBD"/>
    <w:rsid w:val="0012006A"/>
    <w:rsid w:val="00120259"/>
    <w:rsid w:val="00120E10"/>
    <w:rsid w:val="0012156A"/>
    <w:rsid w:val="00121979"/>
    <w:rsid w:val="00122064"/>
    <w:rsid w:val="001237C9"/>
    <w:rsid w:val="00124341"/>
    <w:rsid w:val="00124492"/>
    <w:rsid w:val="001246AB"/>
    <w:rsid w:val="0012496F"/>
    <w:rsid w:val="00124B12"/>
    <w:rsid w:val="001250A0"/>
    <w:rsid w:val="001263B8"/>
    <w:rsid w:val="00127F06"/>
    <w:rsid w:val="00130217"/>
    <w:rsid w:val="00130783"/>
    <w:rsid w:val="00130A47"/>
    <w:rsid w:val="00130FB0"/>
    <w:rsid w:val="00131DCF"/>
    <w:rsid w:val="00132B47"/>
    <w:rsid w:val="00132F06"/>
    <w:rsid w:val="00133048"/>
    <w:rsid w:val="001337F8"/>
    <w:rsid w:val="00133C9A"/>
    <w:rsid w:val="0013463F"/>
    <w:rsid w:val="001348B4"/>
    <w:rsid w:val="001351CB"/>
    <w:rsid w:val="00135530"/>
    <w:rsid w:val="00135947"/>
    <w:rsid w:val="001359A2"/>
    <w:rsid w:val="00135F92"/>
    <w:rsid w:val="00136020"/>
    <w:rsid w:val="00136445"/>
    <w:rsid w:val="0013661E"/>
    <w:rsid w:val="00136A9C"/>
    <w:rsid w:val="00137389"/>
    <w:rsid w:val="0014004D"/>
    <w:rsid w:val="00140132"/>
    <w:rsid w:val="00141C9C"/>
    <w:rsid w:val="0014277F"/>
    <w:rsid w:val="00142FCD"/>
    <w:rsid w:val="001434BE"/>
    <w:rsid w:val="001438DE"/>
    <w:rsid w:val="00143AAD"/>
    <w:rsid w:val="00143B0B"/>
    <w:rsid w:val="00144050"/>
    <w:rsid w:val="00144369"/>
    <w:rsid w:val="0014479F"/>
    <w:rsid w:val="001452B4"/>
    <w:rsid w:val="00145320"/>
    <w:rsid w:val="0014625B"/>
    <w:rsid w:val="0014635A"/>
    <w:rsid w:val="001466CE"/>
    <w:rsid w:val="00146A81"/>
    <w:rsid w:val="001476D3"/>
    <w:rsid w:val="001479FF"/>
    <w:rsid w:val="001504B0"/>
    <w:rsid w:val="001509CF"/>
    <w:rsid w:val="00150D1D"/>
    <w:rsid w:val="001525AA"/>
    <w:rsid w:val="00152A87"/>
    <w:rsid w:val="00152AC1"/>
    <w:rsid w:val="00153B74"/>
    <w:rsid w:val="00153BB5"/>
    <w:rsid w:val="00154132"/>
    <w:rsid w:val="00154396"/>
    <w:rsid w:val="00154518"/>
    <w:rsid w:val="00155CDD"/>
    <w:rsid w:val="00156359"/>
    <w:rsid w:val="00156735"/>
    <w:rsid w:val="001568A3"/>
    <w:rsid w:val="00156DD6"/>
    <w:rsid w:val="0015775E"/>
    <w:rsid w:val="00157875"/>
    <w:rsid w:val="0016086E"/>
    <w:rsid w:val="001609B9"/>
    <w:rsid w:val="00160D0C"/>
    <w:rsid w:val="00160DD1"/>
    <w:rsid w:val="00161172"/>
    <w:rsid w:val="00161998"/>
    <w:rsid w:val="00161E65"/>
    <w:rsid w:val="00162597"/>
    <w:rsid w:val="001629AF"/>
    <w:rsid w:val="001629FD"/>
    <w:rsid w:val="0016327F"/>
    <w:rsid w:val="0016428A"/>
    <w:rsid w:val="001647C9"/>
    <w:rsid w:val="00165627"/>
    <w:rsid w:val="001661A3"/>
    <w:rsid w:val="0016663F"/>
    <w:rsid w:val="001666A6"/>
    <w:rsid w:val="00166F19"/>
    <w:rsid w:val="001671E5"/>
    <w:rsid w:val="00167226"/>
    <w:rsid w:val="0016782B"/>
    <w:rsid w:val="0016784D"/>
    <w:rsid w:val="00167853"/>
    <w:rsid w:val="00167887"/>
    <w:rsid w:val="00167BFB"/>
    <w:rsid w:val="00170CBE"/>
    <w:rsid w:val="00171CE7"/>
    <w:rsid w:val="00171F4E"/>
    <w:rsid w:val="00172971"/>
    <w:rsid w:val="00172A27"/>
    <w:rsid w:val="00172CA8"/>
    <w:rsid w:val="00173256"/>
    <w:rsid w:val="00173B0E"/>
    <w:rsid w:val="00173E03"/>
    <w:rsid w:val="0017512C"/>
    <w:rsid w:val="0017547F"/>
    <w:rsid w:val="001756AF"/>
    <w:rsid w:val="0017586A"/>
    <w:rsid w:val="00175BA6"/>
    <w:rsid w:val="00175C67"/>
    <w:rsid w:val="00175C88"/>
    <w:rsid w:val="00176CA7"/>
    <w:rsid w:val="00176D0C"/>
    <w:rsid w:val="00176E4F"/>
    <w:rsid w:val="00176F8E"/>
    <w:rsid w:val="001778C5"/>
    <w:rsid w:val="00177E56"/>
    <w:rsid w:val="00177F0A"/>
    <w:rsid w:val="00180DA0"/>
    <w:rsid w:val="00181687"/>
    <w:rsid w:val="00181EAD"/>
    <w:rsid w:val="00182862"/>
    <w:rsid w:val="00184F57"/>
    <w:rsid w:val="00185091"/>
    <w:rsid w:val="00185544"/>
    <w:rsid w:val="00185617"/>
    <w:rsid w:val="00185E23"/>
    <w:rsid w:val="001869F1"/>
    <w:rsid w:val="00186FE1"/>
    <w:rsid w:val="00187A14"/>
    <w:rsid w:val="00187EC5"/>
    <w:rsid w:val="00190C1F"/>
    <w:rsid w:val="0019171E"/>
    <w:rsid w:val="00192368"/>
    <w:rsid w:val="001923A0"/>
    <w:rsid w:val="001924C1"/>
    <w:rsid w:val="00192592"/>
    <w:rsid w:val="001928B1"/>
    <w:rsid w:val="00193537"/>
    <w:rsid w:val="00193541"/>
    <w:rsid w:val="001937BA"/>
    <w:rsid w:val="00193846"/>
    <w:rsid w:val="00193F05"/>
    <w:rsid w:val="00193F48"/>
    <w:rsid w:val="00195379"/>
    <w:rsid w:val="00195424"/>
    <w:rsid w:val="001955FF"/>
    <w:rsid w:val="001959C6"/>
    <w:rsid w:val="00197C7C"/>
    <w:rsid w:val="00197EDD"/>
    <w:rsid w:val="00197FC4"/>
    <w:rsid w:val="001A02B3"/>
    <w:rsid w:val="001A04BB"/>
    <w:rsid w:val="001A08D0"/>
    <w:rsid w:val="001A139F"/>
    <w:rsid w:val="001A1AB3"/>
    <w:rsid w:val="001A1B39"/>
    <w:rsid w:val="001A1D49"/>
    <w:rsid w:val="001A2120"/>
    <w:rsid w:val="001A28C6"/>
    <w:rsid w:val="001A2C74"/>
    <w:rsid w:val="001A2E69"/>
    <w:rsid w:val="001A3C34"/>
    <w:rsid w:val="001A3EDE"/>
    <w:rsid w:val="001A4222"/>
    <w:rsid w:val="001A4780"/>
    <w:rsid w:val="001A50EA"/>
    <w:rsid w:val="001A5E24"/>
    <w:rsid w:val="001A661D"/>
    <w:rsid w:val="001A6795"/>
    <w:rsid w:val="001A6B27"/>
    <w:rsid w:val="001A6D8B"/>
    <w:rsid w:val="001A6DAA"/>
    <w:rsid w:val="001A7717"/>
    <w:rsid w:val="001A793A"/>
    <w:rsid w:val="001A7E30"/>
    <w:rsid w:val="001B0701"/>
    <w:rsid w:val="001B0CCB"/>
    <w:rsid w:val="001B125A"/>
    <w:rsid w:val="001B1EBA"/>
    <w:rsid w:val="001B2142"/>
    <w:rsid w:val="001B21D1"/>
    <w:rsid w:val="001B2626"/>
    <w:rsid w:val="001B2F2B"/>
    <w:rsid w:val="001B327A"/>
    <w:rsid w:val="001B3348"/>
    <w:rsid w:val="001B35DE"/>
    <w:rsid w:val="001B39E1"/>
    <w:rsid w:val="001B3A13"/>
    <w:rsid w:val="001B3F5C"/>
    <w:rsid w:val="001B57C9"/>
    <w:rsid w:val="001B59FF"/>
    <w:rsid w:val="001B6512"/>
    <w:rsid w:val="001B65D7"/>
    <w:rsid w:val="001B6752"/>
    <w:rsid w:val="001B6768"/>
    <w:rsid w:val="001B6F1F"/>
    <w:rsid w:val="001B7ECC"/>
    <w:rsid w:val="001C01E2"/>
    <w:rsid w:val="001C025B"/>
    <w:rsid w:val="001C115F"/>
    <w:rsid w:val="001C1A0B"/>
    <w:rsid w:val="001C1BBA"/>
    <w:rsid w:val="001C1EAB"/>
    <w:rsid w:val="001C25A7"/>
    <w:rsid w:val="001C2775"/>
    <w:rsid w:val="001C318C"/>
    <w:rsid w:val="001C35C4"/>
    <w:rsid w:val="001C3F45"/>
    <w:rsid w:val="001C4287"/>
    <w:rsid w:val="001C4479"/>
    <w:rsid w:val="001C452C"/>
    <w:rsid w:val="001C5190"/>
    <w:rsid w:val="001C5E85"/>
    <w:rsid w:val="001C6081"/>
    <w:rsid w:val="001C6731"/>
    <w:rsid w:val="001C73EB"/>
    <w:rsid w:val="001C7410"/>
    <w:rsid w:val="001C7B48"/>
    <w:rsid w:val="001D015D"/>
    <w:rsid w:val="001D0B50"/>
    <w:rsid w:val="001D0CFB"/>
    <w:rsid w:val="001D1235"/>
    <w:rsid w:val="001D16D9"/>
    <w:rsid w:val="001D17F8"/>
    <w:rsid w:val="001D1A0D"/>
    <w:rsid w:val="001D343C"/>
    <w:rsid w:val="001D4A98"/>
    <w:rsid w:val="001D56E2"/>
    <w:rsid w:val="001D58A1"/>
    <w:rsid w:val="001D58C2"/>
    <w:rsid w:val="001D5A8A"/>
    <w:rsid w:val="001D61CA"/>
    <w:rsid w:val="001D67C4"/>
    <w:rsid w:val="001D6D8D"/>
    <w:rsid w:val="001D6E87"/>
    <w:rsid w:val="001D735E"/>
    <w:rsid w:val="001D73C8"/>
    <w:rsid w:val="001D7BC6"/>
    <w:rsid w:val="001D7EBA"/>
    <w:rsid w:val="001E00A2"/>
    <w:rsid w:val="001E129E"/>
    <w:rsid w:val="001E175C"/>
    <w:rsid w:val="001E1B0E"/>
    <w:rsid w:val="001E268F"/>
    <w:rsid w:val="001E28BE"/>
    <w:rsid w:val="001E2D82"/>
    <w:rsid w:val="001E2FD9"/>
    <w:rsid w:val="001E3286"/>
    <w:rsid w:val="001E3B63"/>
    <w:rsid w:val="001E5937"/>
    <w:rsid w:val="001E5A94"/>
    <w:rsid w:val="001E62A3"/>
    <w:rsid w:val="001E6B1D"/>
    <w:rsid w:val="001E7113"/>
    <w:rsid w:val="001E7D7E"/>
    <w:rsid w:val="001E7DE6"/>
    <w:rsid w:val="001F12B1"/>
    <w:rsid w:val="001F13FD"/>
    <w:rsid w:val="001F2A2E"/>
    <w:rsid w:val="001F2DFC"/>
    <w:rsid w:val="001F3341"/>
    <w:rsid w:val="001F3356"/>
    <w:rsid w:val="001F3545"/>
    <w:rsid w:val="001F3C55"/>
    <w:rsid w:val="001F3C63"/>
    <w:rsid w:val="001F4460"/>
    <w:rsid w:val="001F48AE"/>
    <w:rsid w:val="001F622E"/>
    <w:rsid w:val="001F6C96"/>
    <w:rsid w:val="001F711A"/>
    <w:rsid w:val="001F75B0"/>
    <w:rsid w:val="001F79F9"/>
    <w:rsid w:val="00200269"/>
    <w:rsid w:val="0020057C"/>
    <w:rsid w:val="002005D5"/>
    <w:rsid w:val="0020083C"/>
    <w:rsid w:val="00200B2E"/>
    <w:rsid w:val="00200CE5"/>
    <w:rsid w:val="00200F7C"/>
    <w:rsid w:val="002014DB"/>
    <w:rsid w:val="0020150B"/>
    <w:rsid w:val="00201977"/>
    <w:rsid w:val="00201E12"/>
    <w:rsid w:val="00202260"/>
    <w:rsid w:val="00202295"/>
    <w:rsid w:val="002033B5"/>
    <w:rsid w:val="0020382C"/>
    <w:rsid w:val="0020437A"/>
    <w:rsid w:val="0020454C"/>
    <w:rsid w:val="00204740"/>
    <w:rsid w:val="00205129"/>
    <w:rsid w:val="0020521F"/>
    <w:rsid w:val="0020532C"/>
    <w:rsid w:val="002054CF"/>
    <w:rsid w:val="00205FC0"/>
    <w:rsid w:val="0020641D"/>
    <w:rsid w:val="00206696"/>
    <w:rsid w:val="00206A2E"/>
    <w:rsid w:val="002114C7"/>
    <w:rsid w:val="0021302C"/>
    <w:rsid w:val="002134EA"/>
    <w:rsid w:val="00213B1C"/>
    <w:rsid w:val="00213F1E"/>
    <w:rsid w:val="00214202"/>
    <w:rsid w:val="0021468E"/>
    <w:rsid w:val="002148E3"/>
    <w:rsid w:val="0021552D"/>
    <w:rsid w:val="002156AE"/>
    <w:rsid w:val="00215921"/>
    <w:rsid w:val="00215E99"/>
    <w:rsid w:val="00216F27"/>
    <w:rsid w:val="002178AA"/>
    <w:rsid w:val="00217DD7"/>
    <w:rsid w:val="0022054D"/>
    <w:rsid w:val="0022107B"/>
    <w:rsid w:val="0022197A"/>
    <w:rsid w:val="00221D5E"/>
    <w:rsid w:val="00222353"/>
    <w:rsid w:val="00223DDB"/>
    <w:rsid w:val="00223FA4"/>
    <w:rsid w:val="00223FB0"/>
    <w:rsid w:val="0022405A"/>
    <w:rsid w:val="00224067"/>
    <w:rsid w:val="002241C2"/>
    <w:rsid w:val="0022421C"/>
    <w:rsid w:val="002244AC"/>
    <w:rsid w:val="002245FC"/>
    <w:rsid w:val="00224C4A"/>
    <w:rsid w:val="00224E83"/>
    <w:rsid w:val="002252E0"/>
    <w:rsid w:val="002253D9"/>
    <w:rsid w:val="00225664"/>
    <w:rsid w:val="00225E08"/>
    <w:rsid w:val="002261E9"/>
    <w:rsid w:val="0022663D"/>
    <w:rsid w:val="0022788B"/>
    <w:rsid w:val="00227C56"/>
    <w:rsid w:val="00227F2D"/>
    <w:rsid w:val="0023134D"/>
    <w:rsid w:val="00231851"/>
    <w:rsid w:val="002319FB"/>
    <w:rsid w:val="00231B89"/>
    <w:rsid w:val="00231F11"/>
    <w:rsid w:val="00231F5E"/>
    <w:rsid w:val="00232D45"/>
    <w:rsid w:val="00233E46"/>
    <w:rsid w:val="002346B4"/>
    <w:rsid w:val="00234C01"/>
    <w:rsid w:val="00234F6E"/>
    <w:rsid w:val="002355BE"/>
    <w:rsid w:val="002358EA"/>
    <w:rsid w:val="00236578"/>
    <w:rsid w:val="00236DE9"/>
    <w:rsid w:val="00237342"/>
    <w:rsid w:val="00237D5A"/>
    <w:rsid w:val="00240D75"/>
    <w:rsid w:val="002415AE"/>
    <w:rsid w:val="00241D3C"/>
    <w:rsid w:val="00242109"/>
    <w:rsid w:val="0024274F"/>
    <w:rsid w:val="00243189"/>
    <w:rsid w:val="00243916"/>
    <w:rsid w:val="002439AB"/>
    <w:rsid w:val="002439E2"/>
    <w:rsid w:val="00243C19"/>
    <w:rsid w:val="00244AE8"/>
    <w:rsid w:val="00244DC9"/>
    <w:rsid w:val="00245587"/>
    <w:rsid w:val="00245F2B"/>
    <w:rsid w:val="002466CD"/>
    <w:rsid w:val="00247801"/>
    <w:rsid w:val="00247874"/>
    <w:rsid w:val="00247F3A"/>
    <w:rsid w:val="00250087"/>
    <w:rsid w:val="00250122"/>
    <w:rsid w:val="0025024D"/>
    <w:rsid w:val="00250481"/>
    <w:rsid w:val="002504D0"/>
    <w:rsid w:val="00250755"/>
    <w:rsid w:val="00251043"/>
    <w:rsid w:val="00251C4A"/>
    <w:rsid w:val="0025271C"/>
    <w:rsid w:val="0025277A"/>
    <w:rsid w:val="002533CD"/>
    <w:rsid w:val="002535EA"/>
    <w:rsid w:val="00253CC8"/>
    <w:rsid w:val="002543F0"/>
    <w:rsid w:val="002546E9"/>
    <w:rsid w:val="00254EAB"/>
    <w:rsid w:val="002557AF"/>
    <w:rsid w:val="0025589C"/>
    <w:rsid w:val="00255B62"/>
    <w:rsid w:val="00256067"/>
    <w:rsid w:val="002566B1"/>
    <w:rsid w:val="002575E3"/>
    <w:rsid w:val="00257A74"/>
    <w:rsid w:val="00257C5D"/>
    <w:rsid w:val="002603C1"/>
    <w:rsid w:val="0026062E"/>
    <w:rsid w:val="002609A1"/>
    <w:rsid w:val="002612B1"/>
    <w:rsid w:val="0026315B"/>
    <w:rsid w:val="0026378A"/>
    <w:rsid w:val="00263D78"/>
    <w:rsid w:val="00265691"/>
    <w:rsid w:val="00265A12"/>
    <w:rsid w:val="00266165"/>
    <w:rsid w:val="00266F2C"/>
    <w:rsid w:val="00267EB0"/>
    <w:rsid w:val="0027125E"/>
    <w:rsid w:val="00271767"/>
    <w:rsid w:val="002718F3"/>
    <w:rsid w:val="002719F1"/>
    <w:rsid w:val="00272293"/>
    <w:rsid w:val="002723C8"/>
    <w:rsid w:val="00273C2A"/>
    <w:rsid w:val="00273CBE"/>
    <w:rsid w:val="00274546"/>
    <w:rsid w:val="002746B1"/>
    <w:rsid w:val="00274BAD"/>
    <w:rsid w:val="00275C5F"/>
    <w:rsid w:val="0027728B"/>
    <w:rsid w:val="00277847"/>
    <w:rsid w:val="002807B0"/>
    <w:rsid w:val="00281A53"/>
    <w:rsid w:val="0028282B"/>
    <w:rsid w:val="00282984"/>
    <w:rsid w:val="00282D56"/>
    <w:rsid w:val="002835B0"/>
    <w:rsid w:val="00283C74"/>
    <w:rsid w:val="0028407E"/>
    <w:rsid w:val="0028410F"/>
    <w:rsid w:val="00284572"/>
    <w:rsid w:val="002850AA"/>
    <w:rsid w:val="00285221"/>
    <w:rsid w:val="0028640A"/>
    <w:rsid w:val="00286D1D"/>
    <w:rsid w:val="00286FB5"/>
    <w:rsid w:val="00287763"/>
    <w:rsid w:val="00290606"/>
    <w:rsid w:val="002909B2"/>
    <w:rsid w:val="00291D6D"/>
    <w:rsid w:val="00291FF1"/>
    <w:rsid w:val="00292AA2"/>
    <w:rsid w:val="00293361"/>
    <w:rsid w:val="002942DD"/>
    <w:rsid w:val="00294F10"/>
    <w:rsid w:val="002952B1"/>
    <w:rsid w:val="00295D11"/>
    <w:rsid w:val="00296FB6"/>
    <w:rsid w:val="002978D9"/>
    <w:rsid w:val="002A0001"/>
    <w:rsid w:val="002A0BD9"/>
    <w:rsid w:val="002A0C3A"/>
    <w:rsid w:val="002A0DF8"/>
    <w:rsid w:val="002A0F1C"/>
    <w:rsid w:val="002A1130"/>
    <w:rsid w:val="002A17CD"/>
    <w:rsid w:val="002A1880"/>
    <w:rsid w:val="002A23B7"/>
    <w:rsid w:val="002A2CB3"/>
    <w:rsid w:val="002A33D3"/>
    <w:rsid w:val="002A3A57"/>
    <w:rsid w:val="002A4522"/>
    <w:rsid w:val="002A4B4F"/>
    <w:rsid w:val="002A56AF"/>
    <w:rsid w:val="002A57A8"/>
    <w:rsid w:val="002A6572"/>
    <w:rsid w:val="002A6DEF"/>
    <w:rsid w:val="002A7365"/>
    <w:rsid w:val="002A770B"/>
    <w:rsid w:val="002A7CA8"/>
    <w:rsid w:val="002B013E"/>
    <w:rsid w:val="002B058D"/>
    <w:rsid w:val="002B0C16"/>
    <w:rsid w:val="002B11E1"/>
    <w:rsid w:val="002B215B"/>
    <w:rsid w:val="002B2456"/>
    <w:rsid w:val="002B2AC5"/>
    <w:rsid w:val="002B3528"/>
    <w:rsid w:val="002B3539"/>
    <w:rsid w:val="002B4395"/>
    <w:rsid w:val="002B4532"/>
    <w:rsid w:val="002B4DD9"/>
    <w:rsid w:val="002B5042"/>
    <w:rsid w:val="002B5476"/>
    <w:rsid w:val="002B611B"/>
    <w:rsid w:val="002B69CC"/>
    <w:rsid w:val="002B6D71"/>
    <w:rsid w:val="002C02BA"/>
    <w:rsid w:val="002C03AE"/>
    <w:rsid w:val="002C0C1C"/>
    <w:rsid w:val="002C0F3A"/>
    <w:rsid w:val="002C12FA"/>
    <w:rsid w:val="002C2713"/>
    <w:rsid w:val="002C2826"/>
    <w:rsid w:val="002C2B22"/>
    <w:rsid w:val="002C2B77"/>
    <w:rsid w:val="002C3680"/>
    <w:rsid w:val="002C3810"/>
    <w:rsid w:val="002C410E"/>
    <w:rsid w:val="002C41BF"/>
    <w:rsid w:val="002C432A"/>
    <w:rsid w:val="002C4E74"/>
    <w:rsid w:val="002C54C2"/>
    <w:rsid w:val="002C553C"/>
    <w:rsid w:val="002C56B1"/>
    <w:rsid w:val="002C5D34"/>
    <w:rsid w:val="002C60BB"/>
    <w:rsid w:val="002C661A"/>
    <w:rsid w:val="002C66A3"/>
    <w:rsid w:val="002C6AA7"/>
    <w:rsid w:val="002C73F2"/>
    <w:rsid w:val="002C7446"/>
    <w:rsid w:val="002D057C"/>
    <w:rsid w:val="002D0805"/>
    <w:rsid w:val="002D0D6F"/>
    <w:rsid w:val="002D1796"/>
    <w:rsid w:val="002D1864"/>
    <w:rsid w:val="002D23C8"/>
    <w:rsid w:val="002D25FC"/>
    <w:rsid w:val="002D3448"/>
    <w:rsid w:val="002D4AC6"/>
    <w:rsid w:val="002D5914"/>
    <w:rsid w:val="002D59BF"/>
    <w:rsid w:val="002D5BF5"/>
    <w:rsid w:val="002D5EE8"/>
    <w:rsid w:val="002D66CD"/>
    <w:rsid w:val="002D7360"/>
    <w:rsid w:val="002D761D"/>
    <w:rsid w:val="002D7648"/>
    <w:rsid w:val="002D7C80"/>
    <w:rsid w:val="002D7E14"/>
    <w:rsid w:val="002E109C"/>
    <w:rsid w:val="002E193E"/>
    <w:rsid w:val="002E1A94"/>
    <w:rsid w:val="002E1D55"/>
    <w:rsid w:val="002E2015"/>
    <w:rsid w:val="002E26C4"/>
    <w:rsid w:val="002E2734"/>
    <w:rsid w:val="002E2AEA"/>
    <w:rsid w:val="002E30A5"/>
    <w:rsid w:val="002E31DF"/>
    <w:rsid w:val="002E47E4"/>
    <w:rsid w:val="002E48E7"/>
    <w:rsid w:val="002E4BF9"/>
    <w:rsid w:val="002E4D61"/>
    <w:rsid w:val="002E59FC"/>
    <w:rsid w:val="002E5AA6"/>
    <w:rsid w:val="002E68A7"/>
    <w:rsid w:val="002E6B5C"/>
    <w:rsid w:val="002E6E6C"/>
    <w:rsid w:val="002E6E76"/>
    <w:rsid w:val="002E73C4"/>
    <w:rsid w:val="002F016E"/>
    <w:rsid w:val="002F051C"/>
    <w:rsid w:val="002F0522"/>
    <w:rsid w:val="002F16DD"/>
    <w:rsid w:val="002F18D5"/>
    <w:rsid w:val="002F199D"/>
    <w:rsid w:val="002F213C"/>
    <w:rsid w:val="002F22C7"/>
    <w:rsid w:val="002F2453"/>
    <w:rsid w:val="002F352D"/>
    <w:rsid w:val="002F36E0"/>
    <w:rsid w:val="002F381E"/>
    <w:rsid w:val="002F4084"/>
    <w:rsid w:val="002F4A08"/>
    <w:rsid w:val="002F4ADB"/>
    <w:rsid w:val="002F531E"/>
    <w:rsid w:val="002F548D"/>
    <w:rsid w:val="002F57BC"/>
    <w:rsid w:val="002F5ACC"/>
    <w:rsid w:val="002F5D66"/>
    <w:rsid w:val="002F6AF2"/>
    <w:rsid w:val="002F704B"/>
    <w:rsid w:val="002F72C3"/>
    <w:rsid w:val="002F768C"/>
    <w:rsid w:val="002F7D1E"/>
    <w:rsid w:val="00300201"/>
    <w:rsid w:val="0030025A"/>
    <w:rsid w:val="0030087C"/>
    <w:rsid w:val="00302EFC"/>
    <w:rsid w:val="00303243"/>
    <w:rsid w:val="0030347D"/>
    <w:rsid w:val="0030356C"/>
    <w:rsid w:val="00303BCC"/>
    <w:rsid w:val="00303F2B"/>
    <w:rsid w:val="00303F8D"/>
    <w:rsid w:val="003043D8"/>
    <w:rsid w:val="0030572D"/>
    <w:rsid w:val="0030586A"/>
    <w:rsid w:val="0030622D"/>
    <w:rsid w:val="00306811"/>
    <w:rsid w:val="00306F32"/>
    <w:rsid w:val="003074C5"/>
    <w:rsid w:val="00307A3C"/>
    <w:rsid w:val="00307FA4"/>
    <w:rsid w:val="00310290"/>
    <w:rsid w:val="00310CC1"/>
    <w:rsid w:val="00312504"/>
    <w:rsid w:val="003125C9"/>
    <w:rsid w:val="00312B89"/>
    <w:rsid w:val="00313026"/>
    <w:rsid w:val="003130E3"/>
    <w:rsid w:val="00313389"/>
    <w:rsid w:val="00313913"/>
    <w:rsid w:val="00313CD7"/>
    <w:rsid w:val="0031421F"/>
    <w:rsid w:val="003142CE"/>
    <w:rsid w:val="00314B31"/>
    <w:rsid w:val="00315A65"/>
    <w:rsid w:val="00315F3F"/>
    <w:rsid w:val="003165D7"/>
    <w:rsid w:val="0031666B"/>
    <w:rsid w:val="00316ABE"/>
    <w:rsid w:val="00317BA7"/>
    <w:rsid w:val="00320BE2"/>
    <w:rsid w:val="00321886"/>
    <w:rsid w:val="00321EDC"/>
    <w:rsid w:val="00322462"/>
    <w:rsid w:val="00323694"/>
    <w:rsid w:val="003238C2"/>
    <w:rsid w:val="00323BE7"/>
    <w:rsid w:val="00324C3A"/>
    <w:rsid w:val="00324D63"/>
    <w:rsid w:val="00324FD5"/>
    <w:rsid w:val="003255AF"/>
    <w:rsid w:val="00325616"/>
    <w:rsid w:val="003256EB"/>
    <w:rsid w:val="003259DB"/>
    <w:rsid w:val="00325C1D"/>
    <w:rsid w:val="00326B33"/>
    <w:rsid w:val="00327744"/>
    <w:rsid w:val="0032795B"/>
    <w:rsid w:val="0033016E"/>
    <w:rsid w:val="003303CD"/>
    <w:rsid w:val="003314D9"/>
    <w:rsid w:val="00331653"/>
    <w:rsid w:val="00331A48"/>
    <w:rsid w:val="00331BCC"/>
    <w:rsid w:val="0033256A"/>
    <w:rsid w:val="003330C9"/>
    <w:rsid w:val="0033364C"/>
    <w:rsid w:val="00334415"/>
    <w:rsid w:val="00335719"/>
    <w:rsid w:val="00335EA1"/>
    <w:rsid w:val="003364C2"/>
    <w:rsid w:val="003367E0"/>
    <w:rsid w:val="0033691E"/>
    <w:rsid w:val="00336A6A"/>
    <w:rsid w:val="00336BD0"/>
    <w:rsid w:val="00336CCB"/>
    <w:rsid w:val="003411D1"/>
    <w:rsid w:val="003412C1"/>
    <w:rsid w:val="0034141C"/>
    <w:rsid w:val="003416BA"/>
    <w:rsid w:val="00342148"/>
    <w:rsid w:val="00342F99"/>
    <w:rsid w:val="0034575A"/>
    <w:rsid w:val="00345F57"/>
    <w:rsid w:val="00346717"/>
    <w:rsid w:val="00346789"/>
    <w:rsid w:val="00346D0F"/>
    <w:rsid w:val="00347AF2"/>
    <w:rsid w:val="00350458"/>
    <w:rsid w:val="00350E6C"/>
    <w:rsid w:val="003518A6"/>
    <w:rsid w:val="00351E7F"/>
    <w:rsid w:val="00352953"/>
    <w:rsid w:val="00353010"/>
    <w:rsid w:val="003534C8"/>
    <w:rsid w:val="00354062"/>
    <w:rsid w:val="00354389"/>
    <w:rsid w:val="0035459E"/>
    <w:rsid w:val="00354AE9"/>
    <w:rsid w:val="00355C0D"/>
    <w:rsid w:val="003566A9"/>
    <w:rsid w:val="00356776"/>
    <w:rsid w:val="00356988"/>
    <w:rsid w:val="003569D3"/>
    <w:rsid w:val="00356CE9"/>
    <w:rsid w:val="003570BB"/>
    <w:rsid w:val="00357128"/>
    <w:rsid w:val="0035755E"/>
    <w:rsid w:val="003577EB"/>
    <w:rsid w:val="003578FD"/>
    <w:rsid w:val="00357A80"/>
    <w:rsid w:val="003609F2"/>
    <w:rsid w:val="00361441"/>
    <w:rsid w:val="00361B8B"/>
    <w:rsid w:val="00362071"/>
    <w:rsid w:val="00362FBD"/>
    <w:rsid w:val="003637BA"/>
    <w:rsid w:val="00363F39"/>
    <w:rsid w:val="003640FC"/>
    <w:rsid w:val="003641BE"/>
    <w:rsid w:val="0036445C"/>
    <w:rsid w:val="00364488"/>
    <w:rsid w:val="00364627"/>
    <w:rsid w:val="00364AB0"/>
    <w:rsid w:val="00364D71"/>
    <w:rsid w:val="00365728"/>
    <w:rsid w:val="00365CF6"/>
    <w:rsid w:val="003667B0"/>
    <w:rsid w:val="003667DD"/>
    <w:rsid w:val="00366B48"/>
    <w:rsid w:val="00367764"/>
    <w:rsid w:val="00370316"/>
    <w:rsid w:val="0037094B"/>
    <w:rsid w:val="00370DC7"/>
    <w:rsid w:val="0037192E"/>
    <w:rsid w:val="00371CBD"/>
    <w:rsid w:val="00371F20"/>
    <w:rsid w:val="003721E3"/>
    <w:rsid w:val="00372B98"/>
    <w:rsid w:val="003737B7"/>
    <w:rsid w:val="00373F45"/>
    <w:rsid w:val="003740CC"/>
    <w:rsid w:val="00374163"/>
    <w:rsid w:val="003745F4"/>
    <w:rsid w:val="0037491A"/>
    <w:rsid w:val="00374E79"/>
    <w:rsid w:val="0037529A"/>
    <w:rsid w:val="00375388"/>
    <w:rsid w:val="00375559"/>
    <w:rsid w:val="00375D9F"/>
    <w:rsid w:val="00375FB9"/>
    <w:rsid w:val="00376048"/>
    <w:rsid w:val="00376170"/>
    <w:rsid w:val="00376851"/>
    <w:rsid w:val="00376FA2"/>
    <w:rsid w:val="00377133"/>
    <w:rsid w:val="00377245"/>
    <w:rsid w:val="003774A6"/>
    <w:rsid w:val="00377538"/>
    <w:rsid w:val="00377A3B"/>
    <w:rsid w:val="00377DBE"/>
    <w:rsid w:val="00377E3C"/>
    <w:rsid w:val="00380874"/>
    <w:rsid w:val="00380BBE"/>
    <w:rsid w:val="00381D70"/>
    <w:rsid w:val="0038235E"/>
    <w:rsid w:val="00382626"/>
    <w:rsid w:val="003828D0"/>
    <w:rsid w:val="003829D0"/>
    <w:rsid w:val="0038326A"/>
    <w:rsid w:val="00383D5E"/>
    <w:rsid w:val="0038444F"/>
    <w:rsid w:val="00385167"/>
    <w:rsid w:val="00385A32"/>
    <w:rsid w:val="00385ECD"/>
    <w:rsid w:val="003861F0"/>
    <w:rsid w:val="003864AC"/>
    <w:rsid w:val="003864DA"/>
    <w:rsid w:val="003868B5"/>
    <w:rsid w:val="00387051"/>
    <w:rsid w:val="00387CC6"/>
    <w:rsid w:val="00387ECF"/>
    <w:rsid w:val="0039021B"/>
    <w:rsid w:val="00390429"/>
    <w:rsid w:val="003906A0"/>
    <w:rsid w:val="003923D5"/>
    <w:rsid w:val="003931AF"/>
    <w:rsid w:val="0039366C"/>
    <w:rsid w:val="00393E02"/>
    <w:rsid w:val="00393EC8"/>
    <w:rsid w:val="003941E6"/>
    <w:rsid w:val="0039520E"/>
    <w:rsid w:val="00395E42"/>
    <w:rsid w:val="00396409"/>
    <w:rsid w:val="0039669B"/>
    <w:rsid w:val="0039690E"/>
    <w:rsid w:val="00396A2D"/>
    <w:rsid w:val="00396FC3"/>
    <w:rsid w:val="003A0B48"/>
    <w:rsid w:val="003A1431"/>
    <w:rsid w:val="003A1A94"/>
    <w:rsid w:val="003A204E"/>
    <w:rsid w:val="003A26BE"/>
    <w:rsid w:val="003A2D25"/>
    <w:rsid w:val="003A5101"/>
    <w:rsid w:val="003A5439"/>
    <w:rsid w:val="003A5728"/>
    <w:rsid w:val="003A60E7"/>
    <w:rsid w:val="003A61FE"/>
    <w:rsid w:val="003A67BF"/>
    <w:rsid w:val="003A7092"/>
    <w:rsid w:val="003A72A1"/>
    <w:rsid w:val="003A7611"/>
    <w:rsid w:val="003A79B6"/>
    <w:rsid w:val="003A7D1F"/>
    <w:rsid w:val="003B0B6A"/>
    <w:rsid w:val="003B22F7"/>
    <w:rsid w:val="003B26FB"/>
    <w:rsid w:val="003B29CF"/>
    <w:rsid w:val="003B2E17"/>
    <w:rsid w:val="003B3A90"/>
    <w:rsid w:val="003B3B01"/>
    <w:rsid w:val="003B3D01"/>
    <w:rsid w:val="003B4266"/>
    <w:rsid w:val="003B534F"/>
    <w:rsid w:val="003B53F8"/>
    <w:rsid w:val="003B7980"/>
    <w:rsid w:val="003B7A79"/>
    <w:rsid w:val="003C0FE1"/>
    <w:rsid w:val="003C151A"/>
    <w:rsid w:val="003C1D30"/>
    <w:rsid w:val="003C2E5E"/>
    <w:rsid w:val="003C350C"/>
    <w:rsid w:val="003C3733"/>
    <w:rsid w:val="003C3903"/>
    <w:rsid w:val="003C3BA0"/>
    <w:rsid w:val="003C42F3"/>
    <w:rsid w:val="003C4426"/>
    <w:rsid w:val="003C4580"/>
    <w:rsid w:val="003C4D2B"/>
    <w:rsid w:val="003C50EC"/>
    <w:rsid w:val="003C573A"/>
    <w:rsid w:val="003C5C5E"/>
    <w:rsid w:val="003C6746"/>
    <w:rsid w:val="003C7555"/>
    <w:rsid w:val="003C7898"/>
    <w:rsid w:val="003D00C8"/>
    <w:rsid w:val="003D0FF5"/>
    <w:rsid w:val="003D11A3"/>
    <w:rsid w:val="003D12A8"/>
    <w:rsid w:val="003D1537"/>
    <w:rsid w:val="003D183C"/>
    <w:rsid w:val="003D2298"/>
    <w:rsid w:val="003D2BCB"/>
    <w:rsid w:val="003D2D1B"/>
    <w:rsid w:val="003D48C7"/>
    <w:rsid w:val="003D4C27"/>
    <w:rsid w:val="003D513F"/>
    <w:rsid w:val="003D7109"/>
    <w:rsid w:val="003D7234"/>
    <w:rsid w:val="003D7CE8"/>
    <w:rsid w:val="003E0419"/>
    <w:rsid w:val="003E0514"/>
    <w:rsid w:val="003E05DA"/>
    <w:rsid w:val="003E0B70"/>
    <w:rsid w:val="003E1032"/>
    <w:rsid w:val="003E1904"/>
    <w:rsid w:val="003E285E"/>
    <w:rsid w:val="003E3110"/>
    <w:rsid w:val="003E3124"/>
    <w:rsid w:val="003E3300"/>
    <w:rsid w:val="003E3C57"/>
    <w:rsid w:val="003E43D3"/>
    <w:rsid w:val="003E48E1"/>
    <w:rsid w:val="003E50F4"/>
    <w:rsid w:val="003E59BB"/>
    <w:rsid w:val="003E6225"/>
    <w:rsid w:val="003E65AC"/>
    <w:rsid w:val="003E66AE"/>
    <w:rsid w:val="003E72B9"/>
    <w:rsid w:val="003E7612"/>
    <w:rsid w:val="003E7DEE"/>
    <w:rsid w:val="003E7ED4"/>
    <w:rsid w:val="003F0241"/>
    <w:rsid w:val="003F0E52"/>
    <w:rsid w:val="003F0F6B"/>
    <w:rsid w:val="003F1FC6"/>
    <w:rsid w:val="003F1FE3"/>
    <w:rsid w:val="003F2359"/>
    <w:rsid w:val="003F2B4C"/>
    <w:rsid w:val="003F3232"/>
    <w:rsid w:val="003F3865"/>
    <w:rsid w:val="003F38AC"/>
    <w:rsid w:val="003F3D55"/>
    <w:rsid w:val="003F3D7A"/>
    <w:rsid w:val="003F4123"/>
    <w:rsid w:val="003F4480"/>
    <w:rsid w:val="003F44E2"/>
    <w:rsid w:val="003F4632"/>
    <w:rsid w:val="003F47BA"/>
    <w:rsid w:val="003F4FE6"/>
    <w:rsid w:val="003F5638"/>
    <w:rsid w:val="003F5EF6"/>
    <w:rsid w:val="003F6617"/>
    <w:rsid w:val="004009A0"/>
    <w:rsid w:val="00400AF0"/>
    <w:rsid w:val="00402139"/>
    <w:rsid w:val="00402332"/>
    <w:rsid w:val="004025C2"/>
    <w:rsid w:val="00403181"/>
    <w:rsid w:val="00403195"/>
    <w:rsid w:val="004033A9"/>
    <w:rsid w:val="00403E55"/>
    <w:rsid w:val="0040407C"/>
    <w:rsid w:val="0040416C"/>
    <w:rsid w:val="004041CA"/>
    <w:rsid w:val="00404681"/>
    <w:rsid w:val="00405445"/>
    <w:rsid w:val="00405AC1"/>
    <w:rsid w:val="00406923"/>
    <w:rsid w:val="0040763D"/>
    <w:rsid w:val="00407D71"/>
    <w:rsid w:val="00410D17"/>
    <w:rsid w:val="00412614"/>
    <w:rsid w:val="00412AA9"/>
    <w:rsid w:val="00413442"/>
    <w:rsid w:val="00413821"/>
    <w:rsid w:val="00413BA5"/>
    <w:rsid w:val="004141A3"/>
    <w:rsid w:val="00414281"/>
    <w:rsid w:val="00414909"/>
    <w:rsid w:val="00414C75"/>
    <w:rsid w:val="0041582F"/>
    <w:rsid w:val="00416112"/>
    <w:rsid w:val="00416A94"/>
    <w:rsid w:val="00417A18"/>
    <w:rsid w:val="00417AE0"/>
    <w:rsid w:val="00417BAA"/>
    <w:rsid w:val="0042042B"/>
    <w:rsid w:val="004205D8"/>
    <w:rsid w:val="00420725"/>
    <w:rsid w:val="00420B45"/>
    <w:rsid w:val="00420C72"/>
    <w:rsid w:val="00420D7A"/>
    <w:rsid w:val="00421257"/>
    <w:rsid w:val="004217F1"/>
    <w:rsid w:val="00422193"/>
    <w:rsid w:val="004223DE"/>
    <w:rsid w:val="00422A10"/>
    <w:rsid w:val="00423208"/>
    <w:rsid w:val="00423552"/>
    <w:rsid w:val="00423E53"/>
    <w:rsid w:val="00424D17"/>
    <w:rsid w:val="00424D51"/>
    <w:rsid w:val="00425C68"/>
    <w:rsid w:val="00425DFD"/>
    <w:rsid w:val="00425FBE"/>
    <w:rsid w:val="004263A3"/>
    <w:rsid w:val="004271E3"/>
    <w:rsid w:val="00427713"/>
    <w:rsid w:val="00427CCC"/>
    <w:rsid w:val="0043013A"/>
    <w:rsid w:val="00430421"/>
    <w:rsid w:val="00430A36"/>
    <w:rsid w:val="00430B4F"/>
    <w:rsid w:val="00430DCD"/>
    <w:rsid w:val="00431084"/>
    <w:rsid w:val="004310D7"/>
    <w:rsid w:val="004322D6"/>
    <w:rsid w:val="00432589"/>
    <w:rsid w:val="00432A94"/>
    <w:rsid w:val="00432C95"/>
    <w:rsid w:val="00433827"/>
    <w:rsid w:val="00433A40"/>
    <w:rsid w:val="00433B0D"/>
    <w:rsid w:val="00433FF0"/>
    <w:rsid w:val="004341D9"/>
    <w:rsid w:val="0043439C"/>
    <w:rsid w:val="00434B70"/>
    <w:rsid w:val="004360C8"/>
    <w:rsid w:val="00436823"/>
    <w:rsid w:val="004371D5"/>
    <w:rsid w:val="00437919"/>
    <w:rsid w:val="0044006B"/>
    <w:rsid w:val="0044033F"/>
    <w:rsid w:val="00440630"/>
    <w:rsid w:val="004414F9"/>
    <w:rsid w:val="00441F0F"/>
    <w:rsid w:val="0044288D"/>
    <w:rsid w:val="00442965"/>
    <w:rsid w:val="004432B6"/>
    <w:rsid w:val="00444157"/>
    <w:rsid w:val="0044417C"/>
    <w:rsid w:val="00444521"/>
    <w:rsid w:val="00444DB3"/>
    <w:rsid w:val="00445617"/>
    <w:rsid w:val="00445A2F"/>
    <w:rsid w:val="0044660D"/>
    <w:rsid w:val="004467B0"/>
    <w:rsid w:val="0044684E"/>
    <w:rsid w:val="00446F22"/>
    <w:rsid w:val="0045019F"/>
    <w:rsid w:val="004503A4"/>
    <w:rsid w:val="00450555"/>
    <w:rsid w:val="004506FA"/>
    <w:rsid w:val="00450DC6"/>
    <w:rsid w:val="00451058"/>
    <w:rsid w:val="004516A5"/>
    <w:rsid w:val="00451E9C"/>
    <w:rsid w:val="0045280F"/>
    <w:rsid w:val="004535AE"/>
    <w:rsid w:val="0045444D"/>
    <w:rsid w:val="0045463A"/>
    <w:rsid w:val="00454AC9"/>
    <w:rsid w:val="00455050"/>
    <w:rsid w:val="00455111"/>
    <w:rsid w:val="00455329"/>
    <w:rsid w:val="004554A3"/>
    <w:rsid w:val="00455A6E"/>
    <w:rsid w:val="00455EAD"/>
    <w:rsid w:val="004576A2"/>
    <w:rsid w:val="004578EB"/>
    <w:rsid w:val="004604D5"/>
    <w:rsid w:val="00460697"/>
    <w:rsid w:val="0046117B"/>
    <w:rsid w:val="004613DB"/>
    <w:rsid w:val="00461FC2"/>
    <w:rsid w:val="0046264F"/>
    <w:rsid w:val="00462E2D"/>
    <w:rsid w:val="00464AB7"/>
    <w:rsid w:val="00465DE5"/>
    <w:rsid w:val="00465F70"/>
    <w:rsid w:val="004662E6"/>
    <w:rsid w:val="00466FB9"/>
    <w:rsid w:val="00467D8F"/>
    <w:rsid w:val="00467EF8"/>
    <w:rsid w:val="00471AC3"/>
    <w:rsid w:val="00472429"/>
    <w:rsid w:val="004725E5"/>
    <w:rsid w:val="00472751"/>
    <w:rsid w:val="00472E16"/>
    <w:rsid w:val="00473128"/>
    <w:rsid w:val="0047366B"/>
    <w:rsid w:val="0047414C"/>
    <w:rsid w:val="00475078"/>
    <w:rsid w:val="00475767"/>
    <w:rsid w:val="00476A50"/>
    <w:rsid w:val="004779A0"/>
    <w:rsid w:val="00477C52"/>
    <w:rsid w:val="004808E3"/>
    <w:rsid w:val="00481016"/>
    <w:rsid w:val="004815E2"/>
    <w:rsid w:val="0048204C"/>
    <w:rsid w:val="004821BB"/>
    <w:rsid w:val="004821D0"/>
    <w:rsid w:val="0048237A"/>
    <w:rsid w:val="004826FE"/>
    <w:rsid w:val="004827D5"/>
    <w:rsid w:val="00482AF2"/>
    <w:rsid w:val="004830C9"/>
    <w:rsid w:val="00483347"/>
    <w:rsid w:val="00483E2E"/>
    <w:rsid w:val="00484B69"/>
    <w:rsid w:val="00484EBA"/>
    <w:rsid w:val="00485406"/>
    <w:rsid w:val="0048590F"/>
    <w:rsid w:val="00485D6D"/>
    <w:rsid w:val="004864A2"/>
    <w:rsid w:val="00486D60"/>
    <w:rsid w:val="004874D5"/>
    <w:rsid w:val="0048760E"/>
    <w:rsid w:val="00487FF1"/>
    <w:rsid w:val="0049078A"/>
    <w:rsid w:val="004917B3"/>
    <w:rsid w:val="00491FA1"/>
    <w:rsid w:val="00492A25"/>
    <w:rsid w:val="004937C7"/>
    <w:rsid w:val="004938A3"/>
    <w:rsid w:val="004940A3"/>
    <w:rsid w:val="004950DF"/>
    <w:rsid w:val="0049558B"/>
    <w:rsid w:val="00496350"/>
    <w:rsid w:val="00496967"/>
    <w:rsid w:val="0049797C"/>
    <w:rsid w:val="00497FD4"/>
    <w:rsid w:val="004A0DC3"/>
    <w:rsid w:val="004A1405"/>
    <w:rsid w:val="004A15BD"/>
    <w:rsid w:val="004A1E28"/>
    <w:rsid w:val="004A1FC6"/>
    <w:rsid w:val="004A29C1"/>
    <w:rsid w:val="004A2E5F"/>
    <w:rsid w:val="004A31A5"/>
    <w:rsid w:val="004A38C2"/>
    <w:rsid w:val="004A3C03"/>
    <w:rsid w:val="004A3DB7"/>
    <w:rsid w:val="004A4502"/>
    <w:rsid w:val="004A463B"/>
    <w:rsid w:val="004A5088"/>
    <w:rsid w:val="004A5255"/>
    <w:rsid w:val="004A5414"/>
    <w:rsid w:val="004A601B"/>
    <w:rsid w:val="004A6B28"/>
    <w:rsid w:val="004A6CB0"/>
    <w:rsid w:val="004A70FF"/>
    <w:rsid w:val="004A7EDE"/>
    <w:rsid w:val="004B01D8"/>
    <w:rsid w:val="004B0D93"/>
    <w:rsid w:val="004B1D59"/>
    <w:rsid w:val="004B1D5D"/>
    <w:rsid w:val="004B1FA4"/>
    <w:rsid w:val="004B2897"/>
    <w:rsid w:val="004B292A"/>
    <w:rsid w:val="004B29AC"/>
    <w:rsid w:val="004B2B30"/>
    <w:rsid w:val="004B32A6"/>
    <w:rsid w:val="004B35DF"/>
    <w:rsid w:val="004B3627"/>
    <w:rsid w:val="004B4922"/>
    <w:rsid w:val="004B4BFE"/>
    <w:rsid w:val="004B4F30"/>
    <w:rsid w:val="004B57DF"/>
    <w:rsid w:val="004B5976"/>
    <w:rsid w:val="004B6555"/>
    <w:rsid w:val="004B722E"/>
    <w:rsid w:val="004B72E8"/>
    <w:rsid w:val="004B7CA2"/>
    <w:rsid w:val="004C01A5"/>
    <w:rsid w:val="004C0412"/>
    <w:rsid w:val="004C2138"/>
    <w:rsid w:val="004C21FF"/>
    <w:rsid w:val="004C29B4"/>
    <w:rsid w:val="004C3940"/>
    <w:rsid w:val="004C40ED"/>
    <w:rsid w:val="004C4A92"/>
    <w:rsid w:val="004C51FD"/>
    <w:rsid w:val="004C56C3"/>
    <w:rsid w:val="004C5EDE"/>
    <w:rsid w:val="004C61C3"/>
    <w:rsid w:val="004C65A8"/>
    <w:rsid w:val="004C6689"/>
    <w:rsid w:val="004D0010"/>
    <w:rsid w:val="004D0196"/>
    <w:rsid w:val="004D098B"/>
    <w:rsid w:val="004D139A"/>
    <w:rsid w:val="004D14DC"/>
    <w:rsid w:val="004D16E0"/>
    <w:rsid w:val="004D17C6"/>
    <w:rsid w:val="004D222C"/>
    <w:rsid w:val="004D2858"/>
    <w:rsid w:val="004D2E49"/>
    <w:rsid w:val="004D30C6"/>
    <w:rsid w:val="004D35BA"/>
    <w:rsid w:val="004D38E5"/>
    <w:rsid w:val="004D3C5A"/>
    <w:rsid w:val="004D449A"/>
    <w:rsid w:val="004D4701"/>
    <w:rsid w:val="004D47C7"/>
    <w:rsid w:val="004D4B2B"/>
    <w:rsid w:val="004D4F35"/>
    <w:rsid w:val="004D51EE"/>
    <w:rsid w:val="004D5545"/>
    <w:rsid w:val="004D5602"/>
    <w:rsid w:val="004D5D45"/>
    <w:rsid w:val="004D618D"/>
    <w:rsid w:val="004D62A9"/>
    <w:rsid w:val="004D69E6"/>
    <w:rsid w:val="004D6FC3"/>
    <w:rsid w:val="004D7476"/>
    <w:rsid w:val="004D7716"/>
    <w:rsid w:val="004E00A1"/>
    <w:rsid w:val="004E0306"/>
    <w:rsid w:val="004E0572"/>
    <w:rsid w:val="004E1580"/>
    <w:rsid w:val="004E1641"/>
    <w:rsid w:val="004E1818"/>
    <w:rsid w:val="004E1990"/>
    <w:rsid w:val="004E1E10"/>
    <w:rsid w:val="004E25A8"/>
    <w:rsid w:val="004E2EBF"/>
    <w:rsid w:val="004E3930"/>
    <w:rsid w:val="004E3D78"/>
    <w:rsid w:val="004E3ED9"/>
    <w:rsid w:val="004E578C"/>
    <w:rsid w:val="004E5866"/>
    <w:rsid w:val="004E6097"/>
    <w:rsid w:val="004E61EF"/>
    <w:rsid w:val="004E63C6"/>
    <w:rsid w:val="004E76A7"/>
    <w:rsid w:val="004E7B03"/>
    <w:rsid w:val="004F0064"/>
    <w:rsid w:val="004F06AC"/>
    <w:rsid w:val="004F0E50"/>
    <w:rsid w:val="004F1D2A"/>
    <w:rsid w:val="004F243F"/>
    <w:rsid w:val="004F252C"/>
    <w:rsid w:val="004F36A3"/>
    <w:rsid w:val="004F3E0C"/>
    <w:rsid w:val="004F4308"/>
    <w:rsid w:val="004F5E7A"/>
    <w:rsid w:val="004F6695"/>
    <w:rsid w:val="004F70CC"/>
    <w:rsid w:val="004F7160"/>
    <w:rsid w:val="00500258"/>
    <w:rsid w:val="005006C4"/>
    <w:rsid w:val="00500B2D"/>
    <w:rsid w:val="00501A99"/>
    <w:rsid w:val="00501D9A"/>
    <w:rsid w:val="0050311D"/>
    <w:rsid w:val="00503180"/>
    <w:rsid w:val="005038A4"/>
    <w:rsid w:val="00504CD4"/>
    <w:rsid w:val="00505026"/>
    <w:rsid w:val="0050524B"/>
    <w:rsid w:val="00505450"/>
    <w:rsid w:val="00505FC6"/>
    <w:rsid w:val="00506180"/>
    <w:rsid w:val="00507C7B"/>
    <w:rsid w:val="005100B7"/>
    <w:rsid w:val="005105DE"/>
    <w:rsid w:val="005113C9"/>
    <w:rsid w:val="00511CC2"/>
    <w:rsid w:val="00511D0F"/>
    <w:rsid w:val="00512050"/>
    <w:rsid w:val="00512055"/>
    <w:rsid w:val="0051280C"/>
    <w:rsid w:val="00512842"/>
    <w:rsid w:val="005128BE"/>
    <w:rsid w:val="00513229"/>
    <w:rsid w:val="0051356F"/>
    <w:rsid w:val="0051370D"/>
    <w:rsid w:val="00513E7C"/>
    <w:rsid w:val="005140BB"/>
    <w:rsid w:val="00514FBE"/>
    <w:rsid w:val="00514FD9"/>
    <w:rsid w:val="0051550A"/>
    <w:rsid w:val="00515EA4"/>
    <w:rsid w:val="0051608F"/>
    <w:rsid w:val="005160B9"/>
    <w:rsid w:val="0051613C"/>
    <w:rsid w:val="00516480"/>
    <w:rsid w:val="00516CA2"/>
    <w:rsid w:val="00516D0A"/>
    <w:rsid w:val="00517A1E"/>
    <w:rsid w:val="0052066C"/>
    <w:rsid w:val="00520EF8"/>
    <w:rsid w:val="005210F7"/>
    <w:rsid w:val="005216D2"/>
    <w:rsid w:val="00521753"/>
    <w:rsid w:val="0052239D"/>
    <w:rsid w:val="005224EE"/>
    <w:rsid w:val="00522879"/>
    <w:rsid w:val="0052330D"/>
    <w:rsid w:val="00523BB1"/>
    <w:rsid w:val="00523C49"/>
    <w:rsid w:val="00523CD2"/>
    <w:rsid w:val="00524B23"/>
    <w:rsid w:val="0052570E"/>
    <w:rsid w:val="005260B2"/>
    <w:rsid w:val="005260CD"/>
    <w:rsid w:val="00526265"/>
    <w:rsid w:val="0052655D"/>
    <w:rsid w:val="005265E0"/>
    <w:rsid w:val="00526BC3"/>
    <w:rsid w:val="00526FA3"/>
    <w:rsid w:val="00530064"/>
    <w:rsid w:val="00531761"/>
    <w:rsid w:val="0053248F"/>
    <w:rsid w:val="005327AB"/>
    <w:rsid w:val="00532BED"/>
    <w:rsid w:val="0053318D"/>
    <w:rsid w:val="0053332A"/>
    <w:rsid w:val="0053358A"/>
    <w:rsid w:val="00533B97"/>
    <w:rsid w:val="00534030"/>
    <w:rsid w:val="00534668"/>
    <w:rsid w:val="00534853"/>
    <w:rsid w:val="00534DDD"/>
    <w:rsid w:val="00535291"/>
    <w:rsid w:val="005358F4"/>
    <w:rsid w:val="00535A94"/>
    <w:rsid w:val="00536064"/>
    <w:rsid w:val="00537874"/>
    <w:rsid w:val="0053795F"/>
    <w:rsid w:val="00537D3D"/>
    <w:rsid w:val="00540511"/>
    <w:rsid w:val="00540578"/>
    <w:rsid w:val="00540808"/>
    <w:rsid w:val="0054080E"/>
    <w:rsid w:val="00540D1A"/>
    <w:rsid w:val="00540DE5"/>
    <w:rsid w:val="00540EA1"/>
    <w:rsid w:val="00541E5A"/>
    <w:rsid w:val="00542053"/>
    <w:rsid w:val="00542B94"/>
    <w:rsid w:val="0054358E"/>
    <w:rsid w:val="005436CC"/>
    <w:rsid w:val="005438F8"/>
    <w:rsid w:val="00543AF4"/>
    <w:rsid w:val="00543F53"/>
    <w:rsid w:val="00544191"/>
    <w:rsid w:val="0054440C"/>
    <w:rsid w:val="005448AD"/>
    <w:rsid w:val="005448EC"/>
    <w:rsid w:val="00544BE2"/>
    <w:rsid w:val="00544C0A"/>
    <w:rsid w:val="00544D37"/>
    <w:rsid w:val="00544F39"/>
    <w:rsid w:val="00544F6F"/>
    <w:rsid w:val="005455BC"/>
    <w:rsid w:val="00545720"/>
    <w:rsid w:val="005457FB"/>
    <w:rsid w:val="00546B96"/>
    <w:rsid w:val="00546F90"/>
    <w:rsid w:val="00547EFB"/>
    <w:rsid w:val="00550192"/>
    <w:rsid w:val="00551A08"/>
    <w:rsid w:val="005522F2"/>
    <w:rsid w:val="0055298C"/>
    <w:rsid w:val="005531DF"/>
    <w:rsid w:val="005535C0"/>
    <w:rsid w:val="00553647"/>
    <w:rsid w:val="00553874"/>
    <w:rsid w:val="00553DCE"/>
    <w:rsid w:val="00554577"/>
    <w:rsid w:val="00554AD8"/>
    <w:rsid w:val="00554F78"/>
    <w:rsid w:val="00555DA1"/>
    <w:rsid w:val="00556434"/>
    <w:rsid w:val="0055658A"/>
    <w:rsid w:val="00556BF7"/>
    <w:rsid w:val="00556E53"/>
    <w:rsid w:val="00557E41"/>
    <w:rsid w:val="00557F60"/>
    <w:rsid w:val="00561730"/>
    <w:rsid w:val="00561B97"/>
    <w:rsid w:val="00562149"/>
    <w:rsid w:val="005639F1"/>
    <w:rsid w:val="00563FF0"/>
    <w:rsid w:val="005640EB"/>
    <w:rsid w:val="00565080"/>
    <w:rsid w:val="005658E8"/>
    <w:rsid w:val="005666A4"/>
    <w:rsid w:val="00566A47"/>
    <w:rsid w:val="00567B5D"/>
    <w:rsid w:val="005705FA"/>
    <w:rsid w:val="00570757"/>
    <w:rsid w:val="00573733"/>
    <w:rsid w:val="00573764"/>
    <w:rsid w:val="00573EFB"/>
    <w:rsid w:val="00573F8B"/>
    <w:rsid w:val="00574554"/>
    <w:rsid w:val="00574AC4"/>
    <w:rsid w:val="00574E06"/>
    <w:rsid w:val="00574E72"/>
    <w:rsid w:val="005751BB"/>
    <w:rsid w:val="00575ACC"/>
    <w:rsid w:val="00576089"/>
    <w:rsid w:val="005764B1"/>
    <w:rsid w:val="00576852"/>
    <w:rsid w:val="00576B24"/>
    <w:rsid w:val="00576D06"/>
    <w:rsid w:val="005779E4"/>
    <w:rsid w:val="00577EB2"/>
    <w:rsid w:val="00580CE6"/>
    <w:rsid w:val="00580EC7"/>
    <w:rsid w:val="0058289C"/>
    <w:rsid w:val="005834BB"/>
    <w:rsid w:val="005836C7"/>
    <w:rsid w:val="0058408E"/>
    <w:rsid w:val="005844C3"/>
    <w:rsid w:val="00584E5D"/>
    <w:rsid w:val="00585374"/>
    <w:rsid w:val="005854CA"/>
    <w:rsid w:val="00585FAB"/>
    <w:rsid w:val="00587143"/>
    <w:rsid w:val="00587237"/>
    <w:rsid w:val="0058726A"/>
    <w:rsid w:val="00590444"/>
    <w:rsid w:val="00590B77"/>
    <w:rsid w:val="00590D9A"/>
    <w:rsid w:val="005913A3"/>
    <w:rsid w:val="00591548"/>
    <w:rsid w:val="00591A5A"/>
    <w:rsid w:val="00591B0D"/>
    <w:rsid w:val="005923A0"/>
    <w:rsid w:val="00592B49"/>
    <w:rsid w:val="00593D33"/>
    <w:rsid w:val="005940D4"/>
    <w:rsid w:val="00594454"/>
    <w:rsid w:val="00594A7B"/>
    <w:rsid w:val="00594AD4"/>
    <w:rsid w:val="00594B3A"/>
    <w:rsid w:val="00594D71"/>
    <w:rsid w:val="0059580E"/>
    <w:rsid w:val="00595D90"/>
    <w:rsid w:val="00596A6F"/>
    <w:rsid w:val="00596FCE"/>
    <w:rsid w:val="005A038D"/>
    <w:rsid w:val="005A11BC"/>
    <w:rsid w:val="005A1525"/>
    <w:rsid w:val="005A17B2"/>
    <w:rsid w:val="005A1E17"/>
    <w:rsid w:val="005A252B"/>
    <w:rsid w:val="005A29B9"/>
    <w:rsid w:val="005A2A8F"/>
    <w:rsid w:val="005A3008"/>
    <w:rsid w:val="005A3204"/>
    <w:rsid w:val="005A3341"/>
    <w:rsid w:val="005A33CC"/>
    <w:rsid w:val="005A3554"/>
    <w:rsid w:val="005A3C3D"/>
    <w:rsid w:val="005A46EC"/>
    <w:rsid w:val="005A57E2"/>
    <w:rsid w:val="005A5B24"/>
    <w:rsid w:val="005A5EAE"/>
    <w:rsid w:val="005A6407"/>
    <w:rsid w:val="005A726C"/>
    <w:rsid w:val="005B0577"/>
    <w:rsid w:val="005B0613"/>
    <w:rsid w:val="005B07EC"/>
    <w:rsid w:val="005B182E"/>
    <w:rsid w:val="005B26D0"/>
    <w:rsid w:val="005B2B11"/>
    <w:rsid w:val="005B32A4"/>
    <w:rsid w:val="005B3371"/>
    <w:rsid w:val="005B338D"/>
    <w:rsid w:val="005B33A1"/>
    <w:rsid w:val="005B3852"/>
    <w:rsid w:val="005B3BAF"/>
    <w:rsid w:val="005B4DA3"/>
    <w:rsid w:val="005B5BEE"/>
    <w:rsid w:val="005B71CA"/>
    <w:rsid w:val="005B77D2"/>
    <w:rsid w:val="005C0195"/>
    <w:rsid w:val="005C019B"/>
    <w:rsid w:val="005C08D0"/>
    <w:rsid w:val="005C1AED"/>
    <w:rsid w:val="005C2136"/>
    <w:rsid w:val="005C22EE"/>
    <w:rsid w:val="005C2800"/>
    <w:rsid w:val="005C30F5"/>
    <w:rsid w:val="005C329A"/>
    <w:rsid w:val="005C3840"/>
    <w:rsid w:val="005C3E48"/>
    <w:rsid w:val="005C51A5"/>
    <w:rsid w:val="005C557A"/>
    <w:rsid w:val="005C566F"/>
    <w:rsid w:val="005C5882"/>
    <w:rsid w:val="005C5C47"/>
    <w:rsid w:val="005C5E31"/>
    <w:rsid w:val="005C5E80"/>
    <w:rsid w:val="005C61DD"/>
    <w:rsid w:val="005C6438"/>
    <w:rsid w:val="005C6900"/>
    <w:rsid w:val="005C6B8B"/>
    <w:rsid w:val="005C727F"/>
    <w:rsid w:val="005D0209"/>
    <w:rsid w:val="005D02E3"/>
    <w:rsid w:val="005D0709"/>
    <w:rsid w:val="005D1F34"/>
    <w:rsid w:val="005D24B5"/>
    <w:rsid w:val="005D2C1F"/>
    <w:rsid w:val="005D34B2"/>
    <w:rsid w:val="005D3B54"/>
    <w:rsid w:val="005D40CD"/>
    <w:rsid w:val="005D594F"/>
    <w:rsid w:val="005D6B59"/>
    <w:rsid w:val="005D71C7"/>
    <w:rsid w:val="005D784B"/>
    <w:rsid w:val="005E03E4"/>
    <w:rsid w:val="005E0454"/>
    <w:rsid w:val="005E05F6"/>
    <w:rsid w:val="005E0E73"/>
    <w:rsid w:val="005E1B9D"/>
    <w:rsid w:val="005E1BDA"/>
    <w:rsid w:val="005E2442"/>
    <w:rsid w:val="005E3111"/>
    <w:rsid w:val="005E329C"/>
    <w:rsid w:val="005E3CA0"/>
    <w:rsid w:val="005E3F85"/>
    <w:rsid w:val="005E4266"/>
    <w:rsid w:val="005E4A5F"/>
    <w:rsid w:val="005E516A"/>
    <w:rsid w:val="005E57B0"/>
    <w:rsid w:val="005E5ABD"/>
    <w:rsid w:val="005E5B01"/>
    <w:rsid w:val="005E6D3B"/>
    <w:rsid w:val="005E77AE"/>
    <w:rsid w:val="005E7CFD"/>
    <w:rsid w:val="005F009E"/>
    <w:rsid w:val="005F0DF1"/>
    <w:rsid w:val="005F1516"/>
    <w:rsid w:val="005F1A6F"/>
    <w:rsid w:val="005F229E"/>
    <w:rsid w:val="005F2564"/>
    <w:rsid w:val="005F2C32"/>
    <w:rsid w:val="005F2F5D"/>
    <w:rsid w:val="005F2F90"/>
    <w:rsid w:val="005F34FB"/>
    <w:rsid w:val="005F3822"/>
    <w:rsid w:val="005F4635"/>
    <w:rsid w:val="005F4900"/>
    <w:rsid w:val="005F4B48"/>
    <w:rsid w:val="005F4C9A"/>
    <w:rsid w:val="005F4E52"/>
    <w:rsid w:val="005F6D58"/>
    <w:rsid w:val="005F7383"/>
    <w:rsid w:val="0060058E"/>
    <w:rsid w:val="00601325"/>
    <w:rsid w:val="0060212A"/>
    <w:rsid w:val="00602A3C"/>
    <w:rsid w:val="00603EFD"/>
    <w:rsid w:val="0060475B"/>
    <w:rsid w:val="00604BED"/>
    <w:rsid w:val="00604FB6"/>
    <w:rsid w:val="00605387"/>
    <w:rsid w:val="00605714"/>
    <w:rsid w:val="0060621D"/>
    <w:rsid w:val="00606302"/>
    <w:rsid w:val="00606397"/>
    <w:rsid w:val="00606948"/>
    <w:rsid w:val="0060709D"/>
    <w:rsid w:val="006075EF"/>
    <w:rsid w:val="006076FD"/>
    <w:rsid w:val="00607B94"/>
    <w:rsid w:val="00610811"/>
    <w:rsid w:val="0061143F"/>
    <w:rsid w:val="006114D8"/>
    <w:rsid w:val="0061249C"/>
    <w:rsid w:val="00613553"/>
    <w:rsid w:val="00613601"/>
    <w:rsid w:val="00613791"/>
    <w:rsid w:val="00613DE2"/>
    <w:rsid w:val="006140CE"/>
    <w:rsid w:val="006143DD"/>
    <w:rsid w:val="006150D6"/>
    <w:rsid w:val="00615245"/>
    <w:rsid w:val="0061590D"/>
    <w:rsid w:val="00615AAB"/>
    <w:rsid w:val="00615F4F"/>
    <w:rsid w:val="00617031"/>
    <w:rsid w:val="00617EEE"/>
    <w:rsid w:val="00620A1F"/>
    <w:rsid w:val="00620ABB"/>
    <w:rsid w:val="0062111D"/>
    <w:rsid w:val="0062169D"/>
    <w:rsid w:val="0062181E"/>
    <w:rsid w:val="0062211B"/>
    <w:rsid w:val="006223A0"/>
    <w:rsid w:val="00622BB7"/>
    <w:rsid w:val="00622C1E"/>
    <w:rsid w:val="00623389"/>
    <w:rsid w:val="006235EA"/>
    <w:rsid w:val="00623DAA"/>
    <w:rsid w:val="00623FAF"/>
    <w:rsid w:val="00624903"/>
    <w:rsid w:val="006265C4"/>
    <w:rsid w:val="0062678A"/>
    <w:rsid w:val="006270AF"/>
    <w:rsid w:val="00627540"/>
    <w:rsid w:val="00630863"/>
    <w:rsid w:val="006310D2"/>
    <w:rsid w:val="00631968"/>
    <w:rsid w:val="00631DE6"/>
    <w:rsid w:val="0063265E"/>
    <w:rsid w:val="00632950"/>
    <w:rsid w:val="00634367"/>
    <w:rsid w:val="00634D89"/>
    <w:rsid w:val="0063542B"/>
    <w:rsid w:val="00636B40"/>
    <w:rsid w:val="00636CE3"/>
    <w:rsid w:val="00636ECC"/>
    <w:rsid w:val="00640082"/>
    <w:rsid w:val="00640291"/>
    <w:rsid w:val="00640EFE"/>
    <w:rsid w:val="00641D6D"/>
    <w:rsid w:val="00641FAC"/>
    <w:rsid w:val="00642B2C"/>
    <w:rsid w:val="00642F02"/>
    <w:rsid w:val="00643664"/>
    <w:rsid w:val="00643B2B"/>
    <w:rsid w:val="00643CAA"/>
    <w:rsid w:val="006448EA"/>
    <w:rsid w:val="00644B50"/>
    <w:rsid w:val="00644F16"/>
    <w:rsid w:val="006454B4"/>
    <w:rsid w:val="006455EB"/>
    <w:rsid w:val="006456C2"/>
    <w:rsid w:val="00645A65"/>
    <w:rsid w:val="00646959"/>
    <w:rsid w:val="006477F0"/>
    <w:rsid w:val="006478E4"/>
    <w:rsid w:val="00647CAD"/>
    <w:rsid w:val="00650475"/>
    <w:rsid w:val="00650764"/>
    <w:rsid w:val="0065171A"/>
    <w:rsid w:val="00652680"/>
    <w:rsid w:val="006534B9"/>
    <w:rsid w:val="006535E9"/>
    <w:rsid w:val="00653B8E"/>
    <w:rsid w:val="00653CDE"/>
    <w:rsid w:val="00653EFC"/>
    <w:rsid w:val="00654585"/>
    <w:rsid w:val="0065566E"/>
    <w:rsid w:val="00655AB6"/>
    <w:rsid w:val="00655D31"/>
    <w:rsid w:val="00655EFA"/>
    <w:rsid w:val="00655F7F"/>
    <w:rsid w:val="00656061"/>
    <w:rsid w:val="00656281"/>
    <w:rsid w:val="0065636A"/>
    <w:rsid w:val="00656457"/>
    <w:rsid w:val="0065690F"/>
    <w:rsid w:val="00656A9A"/>
    <w:rsid w:val="00657003"/>
    <w:rsid w:val="006571BD"/>
    <w:rsid w:val="006579B1"/>
    <w:rsid w:val="00660238"/>
    <w:rsid w:val="006602EF"/>
    <w:rsid w:val="00660B0C"/>
    <w:rsid w:val="00661277"/>
    <w:rsid w:val="006619E0"/>
    <w:rsid w:val="00663FEA"/>
    <w:rsid w:val="006644EA"/>
    <w:rsid w:val="00664803"/>
    <w:rsid w:val="00664DA2"/>
    <w:rsid w:val="0066514A"/>
    <w:rsid w:val="006657C5"/>
    <w:rsid w:val="006661A4"/>
    <w:rsid w:val="00666AC0"/>
    <w:rsid w:val="00666B89"/>
    <w:rsid w:val="006670E0"/>
    <w:rsid w:val="006671B8"/>
    <w:rsid w:val="00667275"/>
    <w:rsid w:val="00667532"/>
    <w:rsid w:val="0066783E"/>
    <w:rsid w:val="00667E53"/>
    <w:rsid w:val="006711C4"/>
    <w:rsid w:val="006713AB"/>
    <w:rsid w:val="00672989"/>
    <w:rsid w:val="00672CA5"/>
    <w:rsid w:val="00673711"/>
    <w:rsid w:val="00673F82"/>
    <w:rsid w:val="00674081"/>
    <w:rsid w:val="00674929"/>
    <w:rsid w:val="00674F74"/>
    <w:rsid w:val="0067508F"/>
    <w:rsid w:val="00676C4F"/>
    <w:rsid w:val="00677576"/>
    <w:rsid w:val="00677EC0"/>
    <w:rsid w:val="00677FD7"/>
    <w:rsid w:val="00680389"/>
    <w:rsid w:val="0068051E"/>
    <w:rsid w:val="00680B9D"/>
    <w:rsid w:val="006810FF"/>
    <w:rsid w:val="00681F13"/>
    <w:rsid w:val="0068231C"/>
    <w:rsid w:val="00682332"/>
    <w:rsid w:val="00682344"/>
    <w:rsid w:val="00682F28"/>
    <w:rsid w:val="00683515"/>
    <w:rsid w:val="00684002"/>
    <w:rsid w:val="00684842"/>
    <w:rsid w:val="00685181"/>
    <w:rsid w:val="006859AA"/>
    <w:rsid w:val="00685BD6"/>
    <w:rsid w:val="006866BD"/>
    <w:rsid w:val="00686EAF"/>
    <w:rsid w:val="00687116"/>
    <w:rsid w:val="006878A6"/>
    <w:rsid w:val="00687D5F"/>
    <w:rsid w:val="00690437"/>
    <w:rsid w:val="00690DC3"/>
    <w:rsid w:val="00690DD5"/>
    <w:rsid w:val="00690E65"/>
    <w:rsid w:val="006911B7"/>
    <w:rsid w:val="00691387"/>
    <w:rsid w:val="0069188E"/>
    <w:rsid w:val="00691974"/>
    <w:rsid w:val="00691A23"/>
    <w:rsid w:val="00692BF6"/>
    <w:rsid w:val="00692C5B"/>
    <w:rsid w:val="00692CE6"/>
    <w:rsid w:val="00693186"/>
    <w:rsid w:val="00693381"/>
    <w:rsid w:val="00693B6C"/>
    <w:rsid w:val="00693C8D"/>
    <w:rsid w:val="006942AE"/>
    <w:rsid w:val="0069471C"/>
    <w:rsid w:val="00695421"/>
    <w:rsid w:val="00695E8C"/>
    <w:rsid w:val="006968DC"/>
    <w:rsid w:val="00697341"/>
    <w:rsid w:val="00697626"/>
    <w:rsid w:val="00697BD3"/>
    <w:rsid w:val="00697DFA"/>
    <w:rsid w:val="006A01C5"/>
    <w:rsid w:val="006A1532"/>
    <w:rsid w:val="006A16D5"/>
    <w:rsid w:val="006A1772"/>
    <w:rsid w:val="006A1780"/>
    <w:rsid w:val="006A21DD"/>
    <w:rsid w:val="006A23DC"/>
    <w:rsid w:val="006A26C6"/>
    <w:rsid w:val="006A29E9"/>
    <w:rsid w:val="006A2A7D"/>
    <w:rsid w:val="006A2AA7"/>
    <w:rsid w:val="006A3302"/>
    <w:rsid w:val="006A3491"/>
    <w:rsid w:val="006A3AA3"/>
    <w:rsid w:val="006A3B28"/>
    <w:rsid w:val="006A4FEE"/>
    <w:rsid w:val="006A5549"/>
    <w:rsid w:val="006A703E"/>
    <w:rsid w:val="006A7721"/>
    <w:rsid w:val="006A7BE3"/>
    <w:rsid w:val="006A7D32"/>
    <w:rsid w:val="006A7D81"/>
    <w:rsid w:val="006B01D1"/>
    <w:rsid w:val="006B0DF4"/>
    <w:rsid w:val="006B16EA"/>
    <w:rsid w:val="006B1780"/>
    <w:rsid w:val="006B21DC"/>
    <w:rsid w:val="006B224E"/>
    <w:rsid w:val="006B376E"/>
    <w:rsid w:val="006B3854"/>
    <w:rsid w:val="006B3F4A"/>
    <w:rsid w:val="006B4589"/>
    <w:rsid w:val="006B4992"/>
    <w:rsid w:val="006B5157"/>
    <w:rsid w:val="006B57D2"/>
    <w:rsid w:val="006B610E"/>
    <w:rsid w:val="006B6568"/>
    <w:rsid w:val="006B6805"/>
    <w:rsid w:val="006B6C07"/>
    <w:rsid w:val="006B6DE0"/>
    <w:rsid w:val="006C04C4"/>
    <w:rsid w:val="006C0C58"/>
    <w:rsid w:val="006C16C3"/>
    <w:rsid w:val="006C1844"/>
    <w:rsid w:val="006C1935"/>
    <w:rsid w:val="006C1D16"/>
    <w:rsid w:val="006C2187"/>
    <w:rsid w:val="006C252C"/>
    <w:rsid w:val="006C27D9"/>
    <w:rsid w:val="006C2D04"/>
    <w:rsid w:val="006C32F4"/>
    <w:rsid w:val="006C3C50"/>
    <w:rsid w:val="006C3C54"/>
    <w:rsid w:val="006C4B6B"/>
    <w:rsid w:val="006C4CE1"/>
    <w:rsid w:val="006C4F9F"/>
    <w:rsid w:val="006C68F4"/>
    <w:rsid w:val="006C71A2"/>
    <w:rsid w:val="006C73EC"/>
    <w:rsid w:val="006C7707"/>
    <w:rsid w:val="006D0502"/>
    <w:rsid w:val="006D06F2"/>
    <w:rsid w:val="006D0C1D"/>
    <w:rsid w:val="006D101C"/>
    <w:rsid w:val="006D1999"/>
    <w:rsid w:val="006D28F3"/>
    <w:rsid w:val="006D2E9D"/>
    <w:rsid w:val="006D4392"/>
    <w:rsid w:val="006D49C3"/>
    <w:rsid w:val="006D4A28"/>
    <w:rsid w:val="006D4A4E"/>
    <w:rsid w:val="006D4C42"/>
    <w:rsid w:val="006D5389"/>
    <w:rsid w:val="006D53A2"/>
    <w:rsid w:val="006D5809"/>
    <w:rsid w:val="006D5DEB"/>
    <w:rsid w:val="006D607E"/>
    <w:rsid w:val="006D6E12"/>
    <w:rsid w:val="006D70CB"/>
    <w:rsid w:val="006D715C"/>
    <w:rsid w:val="006D7363"/>
    <w:rsid w:val="006D774E"/>
    <w:rsid w:val="006D7E87"/>
    <w:rsid w:val="006E0754"/>
    <w:rsid w:val="006E091E"/>
    <w:rsid w:val="006E198F"/>
    <w:rsid w:val="006E2347"/>
    <w:rsid w:val="006E2668"/>
    <w:rsid w:val="006E26B4"/>
    <w:rsid w:val="006E2D39"/>
    <w:rsid w:val="006E2FE9"/>
    <w:rsid w:val="006E32B0"/>
    <w:rsid w:val="006E348E"/>
    <w:rsid w:val="006E3527"/>
    <w:rsid w:val="006E396A"/>
    <w:rsid w:val="006E3D63"/>
    <w:rsid w:val="006E47AE"/>
    <w:rsid w:val="006E4888"/>
    <w:rsid w:val="006E4FCF"/>
    <w:rsid w:val="006E58BF"/>
    <w:rsid w:val="006E5A32"/>
    <w:rsid w:val="006E5DD8"/>
    <w:rsid w:val="006E5EA1"/>
    <w:rsid w:val="006E6DEE"/>
    <w:rsid w:val="006E7B9E"/>
    <w:rsid w:val="006E7D4B"/>
    <w:rsid w:val="006F018A"/>
    <w:rsid w:val="006F0760"/>
    <w:rsid w:val="006F11E2"/>
    <w:rsid w:val="006F222C"/>
    <w:rsid w:val="006F2574"/>
    <w:rsid w:val="006F3231"/>
    <w:rsid w:val="006F34AD"/>
    <w:rsid w:val="006F3DE3"/>
    <w:rsid w:val="006F4787"/>
    <w:rsid w:val="006F563B"/>
    <w:rsid w:val="006F61D8"/>
    <w:rsid w:val="006F62B7"/>
    <w:rsid w:val="006F70BC"/>
    <w:rsid w:val="006F726C"/>
    <w:rsid w:val="006F7E7C"/>
    <w:rsid w:val="00701091"/>
    <w:rsid w:val="00701208"/>
    <w:rsid w:val="0070174E"/>
    <w:rsid w:val="007018DB"/>
    <w:rsid w:val="00701DE6"/>
    <w:rsid w:val="00702740"/>
    <w:rsid w:val="00702C6B"/>
    <w:rsid w:val="00703794"/>
    <w:rsid w:val="0070381B"/>
    <w:rsid w:val="00703EB7"/>
    <w:rsid w:val="007045AB"/>
    <w:rsid w:val="0070491E"/>
    <w:rsid w:val="00706981"/>
    <w:rsid w:val="00706DA9"/>
    <w:rsid w:val="0070796C"/>
    <w:rsid w:val="007109BB"/>
    <w:rsid w:val="00710EBF"/>
    <w:rsid w:val="007110B8"/>
    <w:rsid w:val="007117D0"/>
    <w:rsid w:val="00711818"/>
    <w:rsid w:val="0071209F"/>
    <w:rsid w:val="007125A2"/>
    <w:rsid w:val="007132DD"/>
    <w:rsid w:val="00713DD9"/>
    <w:rsid w:val="00713EC6"/>
    <w:rsid w:val="00713F79"/>
    <w:rsid w:val="007148A8"/>
    <w:rsid w:val="00716045"/>
    <w:rsid w:val="007160A6"/>
    <w:rsid w:val="007163F8"/>
    <w:rsid w:val="00716AC8"/>
    <w:rsid w:val="00716D99"/>
    <w:rsid w:val="00716E54"/>
    <w:rsid w:val="00716FCB"/>
    <w:rsid w:val="0072033C"/>
    <w:rsid w:val="007204EA"/>
    <w:rsid w:val="00720B1B"/>
    <w:rsid w:val="00721062"/>
    <w:rsid w:val="00721E5D"/>
    <w:rsid w:val="0072203B"/>
    <w:rsid w:val="007229D4"/>
    <w:rsid w:val="007230F8"/>
    <w:rsid w:val="0072323B"/>
    <w:rsid w:val="007233F4"/>
    <w:rsid w:val="00724044"/>
    <w:rsid w:val="00724608"/>
    <w:rsid w:val="007248D3"/>
    <w:rsid w:val="00724DF8"/>
    <w:rsid w:val="007250D2"/>
    <w:rsid w:val="00725137"/>
    <w:rsid w:val="007252DA"/>
    <w:rsid w:val="00725378"/>
    <w:rsid w:val="00725CE3"/>
    <w:rsid w:val="00727596"/>
    <w:rsid w:val="00727A43"/>
    <w:rsid w:val="00727D43"/>
    <w:rsid w:val="00727FF2"/>
    <w:rsid w:val="00730550"/>
    <w:rsid w:val="00730C2A"/>
    <w:rsid w:val="00731434"/>
    <w:rsid w:val="00731E59"/>
    <w:rsid w:val="007323E0"/>
    <w:rsid w:val="00732911"/>
    <w:rsid w:val="00732FEB"/>
    <w:rsid w:val="00733721"/>
    <w:rsid w:val="00733DE2"/>
    <w:rsid w:val="00734142"/>
    <w:rsid w:val="00735025"/>
    <w:rsid w:val="007352EA"/>
    <w:rsid w:val="00735BF6"/>
    <w:rsid w:val="007366B7"/>
    <w:rsid w:val="0073792F"/>
    <w:rsid w:val="00737D34"/>
    <w:rsid w:val="00740C81"/>
    <w:rsid w:val="00740DA6"/>
    <w:rsid w:val="00740E3B"/>
    <w:rsid w:val="00741B4B"/>
    <w:rsid w:val="00741D1E"/>
    <w:rsid w:val="00741DD6"/>
    <w:rsid w:val="00741EE2"/>
    <w:rsid w:val="0074207F"/>
    <w:rsid w:val="00742367"/>
    <w:rsid w:val="00742EAA"/>
    <w:rsid w:val="00743313"/>
    <w:rsid w:val="00743360"/>
    <w:rsid w:val="007435E1"/>
    <w:rsid w:val="00743818"/>
    <w:rsid w:val="00743857"/>
    <w:rsid w:val="007441FB"/>
    <w:rsid w:val="00744517"/>
    <w:rsid w:val="00744B8D"/>
    <w:rsid w:val="0074522A"/>
    <w:rsid w:val="0074558A"/>
    <w:rsid w:val="00745D4B"/>
    <w:rsid w:val="00746298"/>
    <w:rsid w:val="0074670D"/>
    <w:rsid w:val="00747295"/>
    <w:rsid w:val="0074757F"/>
    <w:rsid w:val="00747829"/>
    <w:rsid w:val="0074789C"/>
    <w:rsid w:val="00747DE2"/>
    <w:rsid w:val="007502D0"/>
    <w:rsid w:val="007504BF"/>
    <w:rsid w:val="007506CD"/>
    <w:rsid w:val="00750E60"/>
    <w:rsid w:val="0075267F"/>
    <w:rsid w:val="007526EC"/>
    <w:rsid w:val="00752EF3"/>
    <w:rsid w:val="00753644"/>
    <w:rsid w:val="00753C48"/>
    <w:rsid w:val="00753F78"/>
    <w:rsid w:val="00754250"/>
    <w:rsid w:val="0075468E"/>
    <w:rsid w:val="00754FE4"/>
    <w:rsid w:val="00755216"/>
    <w:rsid w:val="007557B1"/>
    <w:rsid w:val="007558B5"/>
    <w:rsid w:val="00756236"/>
    <w:rsid w:val="00756271"/>
    <w:rsid w:val="00756348"/>
    <w:rsid w:val="00756521"/>
    <w:rsid w:val="00756AB7"/>
    <w:rsid w:val="00756C1E"/>
    <w:rsid w:val="0076106D"/>
    <w:rsid w:val="007623FB"/>
    <w:rsid w:val="00762517"/>
    <w:rsid w:val="00762C18"/>
    <w:rsid w:val="00763240"/>
    <w:rsid w:val="007634B0"/>
    <w:rsid w:val="0076361D"/>
    <w:rsid w:val="0076376A"/>
    <w:rsid w:val="007640C3"/>
    <w:rsid w:val="007648AD"/>
    <w:rsid w:val="0076504E"/>
    <w:rsid w:val="00767BFD"/>
    <w:rsid w:val="00767E09"/>
    <w:rsid w:val="00767EA0"/>
    <w:rsid w:val="0077068F"/>
    <w:rsid w:val="007708A1"/>
    <w:rsid w:val="00771EDF"/>
    <w:rsid w:val="00772A90"/>
    <w:rsid w:val="00772F8D"/>
    <w:rsid w:val="0077408D"/>
    <w:rsid w:val="00774270"/>
    <w:rsid w:val="007743F6"/>
    <w:rsid w:val="007744ED"/>
    <w:rsid w:val="00775679"/>
    <w:rsid w:val="0077574F"/>
    <w:rsid w:val="00775823"/>
    <w:rsid w:val="00777153"/>
    <w:rsid w:val="007777CC"/>
    <w:rsid w:val="00777B32"/>
    <w:rsid w:val="0078051E"/>
    <w:rsid w:val="00780F90"/>
    <w:rsid w:val="00781089"/>
    <w:rsid w:val="00782869"/>
    <w:rsid w:val="007838F3"/>
    <w:rsid w:val="00783DA6"/>
    <w:rsid w:val="007845F3"/>
    <w:rsid w:val="00784F02"/>
    <w:rsid w:val="007856FE"/>
    <w:rsid w:val="00785985"/>
    <w:rsid w:val="00785F46"/>
    <w:rsid w:val="00786457"/>
    <w:rsid w:val="007865F4"/>
    <w:rsid w:val="00786886"/>
    <w:rsid w:val="007868D9"/>
    <w:rsid w:val="00786D5C"/>
    <w:rsid w:val="00786E96"/>
    <w:rsid w:val="007871B0"/>
    <w:rsid w:val="00787BB6"/>
    <w:rsid w:val="00787DFF"/>
    <w:rsid w:val="00787F93"/>
    <w:rsid w:val="0079056F"/>
    <w:rsid w:val="00790BF8"/>
    <w:rsid w:val="0079176A"/>
    <w:rsid w:val="00791E6D"/>
    <w:rsid w:val="00791EB5"/>
    <w:rsid w:val="00792926"/>
    <w:rsid w:val="0079343F"/>
    <w:rsid w:val="00793696"/>
    <w:rsid w:val="007944C3"/>
    <w:rsid w:val="007948C2"/>
    <w:rsid w:val="007955DA"/>
    <w:rsid w:val="0079583B"/>
    <w:rsid w:val="00795D43"/>
    <w:rsid w:val="0079667B"/>
    <w:rsid w:val="00796A44"/>
    <w:rsid w:val="00796CDD"/>
    <w:rsid w:val="00796F65"/>
    <w:rsid w:val="007972BF"/>
    <w:rsid w:val="007A079C"/>
    <w:rsid w:val="007A11C2"/>
    <w:rsid w:val="007A15EB"/>
    <w:rsid w:val="007A18BB"/>
    <w:rsid w:val="007A2714"/>
    <w:rsid w:val="007A27DD"/>
    <w:rsid w:val="007A338C"/>
    <w:rsid w:val="007A35BD"/>
    <w:rsid w:val="007A3CB7"/>
    <w:rsid w:val="007A4161"/>
    <w:rsid w:val="007A41BF"/>
    <w:rsid w:val="007A490A"/>
    <w:rsid w:val="007A5AC3"/>
    <w:rsid w:val="007A7B95"/>
    <w:rsid w:val="007B0297"/>
    <w:rsid w:val="007B02FA"/>
    <w:rsid w:val="007B0F53"/>
    <w:rsid w:val="007B1F05"/>
    <w:rsid w:val="007B213D"/>
    <w:rsid w:val="007B21AE"/>
    <w:rsid w:val="007B2570"/>
    <w:rsid w:val="007B3113"/>
    <w:rsid w:val="007B3304"/>
    <w:rsid w:val="007B3BF0"/>
    <w:rsid w:val="007B4052"/>
    <w:rsid w:val="007B44F3"/>
    <w:rsid w:val="007B452D"/>
    <w:rsid w:val="007B659E"/>
    <w:rsid w:val="007B6E53"/>
    <w:rsid w:val="007B7490"/>
    <w:rsid w:val="007C0525"/>
    <w:rsid w:val="007C13F7"/>
    <w:rsid w:val="007C1D77"/>
    <w:rsid w:val="007C218D"/>
    <w:rsid w:val="007C230A"/>
    <w:rsid w:val="007C2758"/>
    <w:rsid w:val="007C2D28"/>
    <w:rsid w:val="007C3647"/>
    <w:rsid w:val="007C3899"/>
    <w:rsid w:val="007C38B5"/>
    <w:rsid w:val="007C3E22"/>
    <w:rsid w:val="007C509E"/>
    <w:rsid w:val="007C554F"/>
    <w:rsid w:val="007C58C1"/>
    <w:rsid w:val="007C6218"/>
    <w:rsid w:val="007C621B"/>
    <w:rsid w:val="007C6484"/>
    <w:rsid w:val="007C67C6"/>
    <w:rsid w:val="007C76F4"/>
    <w:rsid w:val="007C78BE"/>
    <w:rsid w:val="007C7A5D"/>
    <w:rsid w:val="007C7E59"/>
    <w:rsid w:val="007D024D"/>
    <w:rsid w:val="007D044C"/>
    <w:rsid w:val="007D0476"/>
    <w:rsid w:val="007D0B91"/>
    <w:rsid w:val="007D0FE7"/>
    <w:rsid w:val="007D1452"/>
    <w:rsid w:val="007D1563"/>
    <w:rsid w:val="007D3DCB"/>
    <w:rsid w:val="007D460C"/>
    <w:rsid w:val="007D4996"/>
    <w:rsid w:val="007D4AD3"/>
    <w:rsid w:val="007D59DA"/>
    <w:rsid w:val="007D5D19"/>
    <w:rsid w:val="007D5FDC"/>
    <w:rsid w:val="007D6176"/>
    <w:rsid w:val="007D69CD"/>
    <w:rsid w:val="007D6D68"/>
    <w:rsid w:val="007E0349"/>
    <w:rsid w:val="007E0B9D"/>
    <w:rsid w:val="007E194F"/>
    <w:rsid w:val="007E2BF0"/>
    <w:rsid w:val="007E32DA"/>
    <w:rsid w:val="007E4998"/>
    <w:rsid w:val="007E4A9C"/>
    <w:rsid w:val="007E6657"/>
    <w:rsid w:val="007E66F3"/>
    <w:rsid w:val="007E6914"/>
    <w:rsid w:val="007E6CBA"/>
    <w:rsid w:val="007E7983"/>
    <w:rsid w:val="007E7CDD"/>
    <w:rsid w:val="007E7F78"/>
    <w:rsid w:val="007F0179"/>
    <w:rsid w:val="007F01BC"/>
    <w:rsid w:val="007F0719"/>
    <w:rsid w:val="007F2C13"/>
    <w:rsid w:val="007F2CEC"/>
    <w:rsid w:val="007F2ED1"/>
    <w:rsid w:val="007F3165"/>
    <w:rsid w:val="007F3435"/>
    <w:rsid w:val="007F4290"/>
    <w:rsid w:val="007F505D"/>
    <w:rsid w:val="007F531B"/>
    <w:rsid w:val="007F55DE"/>
    <w:rsid w:val="007F762D"/>
    <w:rsid w:val="007F78F0"/>
    <w:rsid w:val="007F78FF"/>
    <w:rsid w:val="008001C5"/>
    <w:rsid w:val="00800F6C"/>
    <w:rsid w:val="00801065"/>
    <w:rsid w:val="00801A8F"/>
    <w:rsid w:val="00801B16"/>
    <w:rsid w:val="008024B2"/>
    <w:rsid w:val="00802C0B"/>
    <w:rsid w:val="00805040"/>
    <w:rsid w:val="008051FC"/>
    <w:rsid w:val="008055A9"/>
    <w:rsid w:val="008056C4"/>
    <w:rsid w:val="008057FD"/>
    <w:rsid w:val="00805D8B"/>
    <w:rsid w:val="00806F86"/>
    <w:rsid w:val="00807D59"/>
    <w:rsid w:val="0081010F"/>
    <w:rsid w:val="00810472"/>
    <w:rsid w:val="00810BB6"/>
    <w:rsid w:val="00810E8E"/>
    <w:rsid w:val="00812337"/>
    <w:rsid w:val="00812C44"/>
    <w:rsid w:val="00812F3D"/>
    <w:rsid w:val="00813471"/>
    <w:rsid w:val="008135E1"/>
    <w:rsid w:val="00813779"/>
    <w:rsid w:val="00813E26"/>
    <w:rsid w:val="00813FD0"/>
    <w:rsid w:val="008145BC"/>
    <w:rsid w:val="0081481D"/>
    <w:rsid w:val="00814A7F"/>
    <w:rsid w:val="00814BE8"/>
    <w:rsid w:val="00814F6E"/>
    <w:rsid w:val="00815329"/>
    <w:rsid w:val="00815B84"/>
    <w:rsid w:val="00816342"/>
    <w:rsid w:val="008166F6"/>
    <w:rsid w:val="00816BE9"/>
    <w:rsid w:val="00816C72"/>
    <w:rsid w:val="00817D10"/>
    <w:rsid w:val="00822518"/>
    <w:rsid w:val="008226F5"/>
    <w:rsid w:val="00823FC6"/>
    <w:rsid w:val="00824306"/>
    <w:rsid w:val="0082513D"/>
    <w:rsid w:val="0082569E"/>
    <w:rsid w:val="00825C74"/>
    <w:rsid w:val="00825CFA"/>
    <w:rsid w:val="00826AB9"/>
    <w:rsid w:val="00826E0E"/>
    <w:rsid w:val="008275C2"/>
    <w:rsid w:val="00827D11"/>
    <w:rsid w:val="00827E0F"/>
    <w:rsid w:val="00827F6E"/>
    <w:rsid w:val="008301E3"/>
    <w:rsid w:val="00831758"/>
    <w:rsid w:val="008317D9"/>
    <w:rsid w:val="00831AEC"/>
    <w:rsid w:val="00831FA4"/>
    <w:rsid w:val="0083279F"/>
    <w:rsid w:val="00832CE9"/>
    <w:rsid w:val="008334DB"/>
    <w:rsid w:val="00833529"/>
    <w:rsid w:val="00833B7F"/>
    <w:rsid w:val="00833CDC"/>
    <w:rsid w:val="00833E8E"/>
    <w:rsid w:val="00834906"/>
    <w:rsid w:val="00835831"/>
    <w:rsid w:val="00836075"/>
    <w:rsid w:val="00836417"/>
    <w:rsid w:val="008370C2"/>
    <w:rsid w:val="00837443"/>
    <w:rsid w:val="00837526"/>
    <w:rsid w:val="00837BED"/>
    <w:rsid w:val="0084023B"/>
    <w:rsid w:val="00840549"/>
    <w:rsid w:val="008407A7"/>
    <w:rsid w:val="00840854"/>
    <w:rsid w:val="00841783"/>
    <w:rsid w:val="00842C81"/>
    <w:rsid w:val="00842E56"/>
    <w:rsid w:val="0084322B"/>
    <w:rsid w:val="00843F81"/>
    <w:rsid w:val="00844087"/>
    <w:rsid w:val="008448F1"/>
    <w:rsid w:val="00844E15"/>
    <w:rsid w:val="0084519E"/>
    <w:rsid w:val="00845CAE"/>
    <w:rsid w:val="008462C5"/>
    <w:rsid w:val="008462FA"/>
    <w:rsid w:val="00846370"/>
    <w:rsid w:val="0084644C"/>
    <w:rsid w:val="00846873"/>
    <w:rsid w:val="00846F4F"/>
    <w:rsid w:val="008477E7"/>
    <w:rsid w:val="00847B2C"/>
    <w:rsid w:val="00847C2B"/>
    <w:rsid w:val="00850272"/>
    <w:rsid w:val="008506B9"/>
    <w:rsid w:val="0085086F"/>
    <w:rsid w:val="00850F29"/>
    <w:rsid w:val="00851541"/>
    <w:rsid w:val="00851822"/>
    <w:rsid w:val="00851C16"/>
    <w:rsid w:val="00852599"/>
    <w:rsid w:val="00853112"/>
    <w:rsid w:val="008532BF"/>
    <w:rsid w:val="0085362B"/>
    <w:rsid w:val="00853651"/>
    <w:rsid w:val="008539B2"/>
    <w:rsid w:val="00853BF4"/>
    <w:rsid w:val="00853E5D"/>
    <w:rsid w:val="00853F56"/>
    <w:rsid w:val="00854294"/>
    <w:rsid w:val="00854295"/>
    <w:rsid w:val="0085572E"/>
    <w:rsid w:val="008558E3"/>
    <w:rsid w:val="008574F4"/>
    <w:rsid w:val="0085788B"/>
    <w:rsid w:val="00857A9E"/>
    <w:rsid w:val="00857DE2"/>
    <w:rsid w:val="00860027"/>
    <w:rsid w:val="0086003D"/>
    <w:rsid w:val="00861DF3"/>
    <w:rsid w:val="00863A8E"/>
    <w:rsid w:val="0086407F"/>
    <w:rsid w:val="0086414C"/>
    <w:rsid w:val="008645E3"/>
    <w:rsid w:val="00864E79"/>
    <w:rsid w:val="0086572B"/>
    <w:rsid w:val="00866615"/>
    <w:rsid w:val="0086661F"/>
    <w:rsid w:val="00866647"/>
    <w:rsid w:val="00866A0D"/>
    <w:rsid w:val="00866DB5"/>
    <w:rsid w:val="0086701D"/>
    <w:rsid w:val="0086702B"/>
    <w:rsid w:val="008672E2"/>
    <w:rsid w:val="0086754A"/>
    <w:rsid w:val="0086784E"/>
    <w:rsid w:val="008703B7"/>
    <w:rsid w:val="0087121C"/>
    <w:rsid w:val="00871FD2"/>
    <w:rsid w:val="00872084"/>
    <w:rsid w:val="00872827"/>
    <w:rsid w:val="00872A32"/>
    <w:rsid w:val="00873FCB"/>
    <w:rsid w:val="00874911"/>
    <w:rsid w:val="008754E4"/>
    <w:rsid w:val="00875749"/>
    <w:rsid w:val="00876EAE"/>
    <w:rsid w:val="00880106"/>
    <w:rsid w:val="00880F95"/>
    <w:rsid w:val="0088100A"/>
    <w:rsid w:val="00881EAD"/>
    <w:rsid w:val="00882981"/>
    <w:rsid w:val="00882B44"/>
    <w:rsid w:val="008835C7"/>
    <w:rsid w:val="00883690"/>
    <w:rsid w:val="008838AD"/>
    <w:rsid w:val="00884DBF"/>
    <w:rsid w:val="00884DC8"/>
    <w:rsid w:val="008851AC"/>
    <w:rsid w:val="008851E5"/>
    <w:rsid w:val="00885BC9"/>
    <w:rsid w:val="00885F83"/>
    <w:rsid w:val="008864B3"/>
    <w:rsid w:val="008865E5"/>
    <w:rsid w:val="008867D3"/>
    <w:rsid w:val="008871B0"/>
    <w:rsid w:val="0088746A"/>
    <w:rsid w:val="008876A9"/>
    <w:rsid w:val="008904F8"/>
    <w:rsid w:val="00890B57"/>
    <w:rsid w:val="00890CCC"/>
    <w:rsid w:val="008916BA"/>
    <w:rsid w:val="0089217C"/>
    <w:rsid w:val="00892790"/>
    <w:rsid w:val="00892990"/>
    <w:rsid w:val="00892D9E"/>
    <w:rsid w:val="00893033"/>
    <w:rsid w:val="00893671"/>
    <w:rsid w:val="00894410"/>
    <w:rsid w:val="00894A5E"/>
    <w:rsid w:val="00895099"/>
    <w:rsid w:val="008950BF"/>
    <w:rsid w:val="00895838"/>
    <w:rsid w:val="00895A1E"/>
    <w:rsid w:val="00895A72"/>
    <w:rsid w:val="00895CDF"/>
    <w:rsid w:val="008963A8"/>
    <w:rsid w:val="00896679"/>
    <w:rsid w:val="00896D8C"/>
    <w:rsid w:val="008979F6"/>
    <w:rsid w:val="008A02B7"/>
    <w:rsid w:val="008A0760"/>
    <w:rsid w:val="008A0C2B"/>
    <w:rsid w:val="008A0DA4"/>
    <w:rsid w:val="008A0FC9"/>
    <w:rsid w:val="008A1956"/>
    <w:rsid w:val="008A1A7C"/>
    <w:rsid w:val="008A1C77"/>
    <w:rsid w:val="008A2CE2"/>
    <w:rsid w:val="008A3ECF"/>
    <w:rsid w:val="008A4095"/>
    <w:rsid w:val="008A40D3"/>
    <w:rsid w:val="008A469C"/>
    <w:rsid w:val="008A50FB"/>
    <w:rsid w:val="008A51D1"/>
    <w:rsid w:val="008A54F2"/>
    <w:rsid w:val="008A5A2F"/>
    <w:rsid w:val="008A5DCE"/>
    <w:rsid w:val="008A5DDD"/>
    <w:rsid w:val="008A68B3"/>
    <w:rsid w:val="008A75D3"/>
    <w:rsid w:val="008B04FA"/>
    <w:rsid w:val="008B05DD"/>
    <w:rsid w:val="008B07B8"/>
    <w:rsid w:val="008B0E4F"/>
    <w:rsid w:val="008B0F3A"/>
    <w:rsid w:val="008B10F4"/>
    <w:rsid w:val="008B17E8"/>
    <w:rsid w:val="008B2C45"/>
    <w:rsid w:val="008B2E7C"/>
    <w:rsid w:val="008B399A"/>
    <w:rsid w:val="008B45F0"/>
    <w:rsid w:val="008B4742"/>
    <w:rsid w:val="008B4A70"/>
    <w:rsid w:val="008B4F7B"/>
    <w:rsid w:val="008B502F"/>
    <w:rsid w:val="008B6AB4"/>
    <w:rsid w:val="008B6DFC"/>
    <w:rsid w:val="008B7227"/>
    <w:rsid w:val="008B7EDA"/>
    <w:rsid w:val="008C02FB"/>
    <w:rsid w:val="008C04E0"/>
    <w:rsid w:val="008C191C"/>
    <w:rsid w:val="008C1DA4"/>
    <w:rsid w:val="008C2138"/>
    <w:rsid w:val="008C29B0"/>
    <w:rsid w:val="008C2CD5"/>
    <w:rsid w:val="008C3618"/>
    <w:rsid w:val="008C39E7"/>
    <w:rsid w:val="008C42C0"/>
    <w:rsid w:val="008C43AD"/>
    <w:rsid w:val="008C4EC2"/>
    <w:rsid w:val="008C6118"/>
    <w:rsid w:val="008C6341"/>
    <w:rsid w:val="008C653D"/>
    <w:rsid w:val="008C65A8"/>
    <w:rsid w:val="008C731F"/>
    <w:rsid w:val="008C74D9"/>
    <w:rsid w:val="008D0D42"/>
    <w:rsid w:val="008D0F42"/>
    <w:rsid w:val="008D2050"/>
    <w:rsid w:val="008D208E"/>
    <w:rsid w:val="008D3B1A"/>
    <w:rsid w:val="008D3B2D"/>
    <w:rsid w:val="008D5168"/>
    <w:rsid w:val="008D565D"/>
    <w:rsid w:val="008D58D9"/>
    <w:rsid w:val="008D5AD4"/>
    <w:rsid w:val="008D5CF2"/>
    <w:rsid w:val="008D5E24"/>
    <w:rsid w:val="008D5EA6"/>
    <w:rsid w:val="008D695E"/>
    <w:rsid w:val="008D6DD5"/>
    <w:rsid w:val="008D6E59"/>
    <w:rsid w:val="008D7155"/>
    <w:rsid w:val="008D76E0"/>
    <w:rsid w:val="008E0B29"/>
    <w:rsid w:val="008E0F9D"/>
    <w:rsid w:val="008E129F"/>
    <w:rsid w:val="008E13E4"/>
    <w:rsid w:val="008E141A"/>
    <w:rsid w:val="008E1A44"/>
    <w:rsid w:val="008E1F49"/>
    <w:rsid w:val="008E2761"/>
    <w:rsid w:val="008E28E6"/>
    <w:rsid w:val="008E3232"/>
    <w:rsid w:val="008E3674"/>
    <w:rsid w:val="008E3B6C"/>
    <w:rsid w:val="008E3DE7"/>
    <w:rsid w:val="008E4215"/>
    <w:rsid w:val="008E51B7"/>
    <w:rsid w:val="008E5227"/>
    <w:rsid w:val="008E562C"/>
    <w:rsid w:val="008E6540"/>
    <w:rsid w:val="008E77D4"/>
    <w:rsid w:val="008E7ADD"/>
    <w:rsid w:val="008F091F"/>
    <w:rsid w:val="008F12C9"/>
    <w:rsid w:val="008F17B2"/>
    <w:rsid w:val="008F22B3"/>
    <w:rsid w:val="008F2700"/>
    <w:rsid w:val="008F357B"/>
    <w:rsid w:val="008F44CA"/>
    <w:rsid w:val="008F49D3"/>
    <w:rsid w:val="008F6519"/>
    <w:rsid w:val="008F7012"/>
    <w:rsid w:val="008F7ADA"/>
    <w:rsid w:val="008F7B17"/>
    <w:rsid w:val="00900042"/>
    <w:rsid w:val="0090034B"/>
    <w:rsid w:val="0090064B"/>
    <w:rsid w:val="009006BD"/>
    <w:rsid w:val="0090087C"/>
    <w:rsid w:val="00901121"/>
    <w:rsid w:val="009018FF"/>
    <w:rsid w:val="00901A67"/>
    <w:rsid w:val="00901B8B"/>
    <w:rsid w:val="00901FB1"/>
    <w:rsid w:val="00902121"/>
    <w:rsid w:val="00902623"/>
    <w:rsid w:val="009028BE"/>
    <w:rsid w:val="00902A67"/>
    <w:rsid w:val="00902C5E"/>
    <w:rsid w:val="0090362A"/>
    <w:rsid w:val="00903E9F"/>
    <w:rsid w:val="00904BE4"/>
    <w:rsid w:val="0090504A"/>
    <w:rsid w:val="009051F5"/>
    <w:rsid w:val="00905221"/>
    <w:rsid w:val="0090560C"/>
    <w:rsid w:val="00905664"/>
    <w:rsid w:val="00905A7C"/>
    <w:rsid w:val="00905D7E"/>
    <w:rsid w:val="00906AB2"/>
    <w:rsid w:val="00906DB8"/>
    <w:rsid w:val="00907037"/>
    <w:rsid w:val="00907259"/>
    <w:rsid w:val="0090729E"/>
    <w:rsid w:val="00907C3E"/>
    <w:rsid w:val="00907F14"/>
    <w:rsid w:val="00910BA1"/>
    <w:rsid w:val="00910C5D"/>
    <w:rsid w:val="00910C6F"/>
    <w:rsid w:val="0091112C"/>
    <w:rsid w:val="0091160A"/>
    <w:rsid w:val="0091171F"/>
    <w:rsid w:val="00911FA4"/>
    <w:rsid w:val="009126E2"/>
    <w:rsid w:val="00912E04"/>
    <w:rsid w:val="00913258"/>
    <w:rsid w:val="009133AD"/>
    <w:rsid w:val="00913851"/>
    <w:rsid w:val="00913BB0"/>
    <w:rsid w:val="0091456C"/>
    <w:rsid w:val="00914C58"/>
    <w:rsid w:val="00914D78"/>
    <w:rsid w:val="00915062"/>
    <w:rsid w:val="0091564D"/>
    <w:rsid w:val="009156DA"/>
    <w:rsid w:val="00915774"/>
    <w:rsid w:val="0091589D"/>
    <w:rsid w:val="00915CA1"/>
    <w:rsid w:val="00916BC5"/>
    <w:rsid w:val="0091726A"/>
    <w:rsid w:val="00917C01"/>
    <w:rsid w:val="00920184"/>
    <w:rsid w:val="009204D5"/>
    <w:rsid w:val="00920538"/>
    <w:rsid w:val="00920EA4"/>
    <w:rsid w:val="00921214"/>
    <w:rsid w:val="00921792"/>
    <w:rsid w:val="00921BEA"/>
    <w:rsid w:val="0092215B"/>
    <w:rsid w:val="009227BE"/>
    <w:rsid w:val="00923158"/>
    <w:rsid w:val="009236F5"/>
    <w:rsid w:val="009238FD"/>
    <w:rsid w:val="00923998"/>
    <w:rsid w:val="00923DB4"/>
    <w:rsid w:val="0092420B"/>
    <w:rsid w:val="0092430E"/>
    <w:rsid w:val="00926112"/>
    <w:rsid w:val="0092625F"/>
    <w:rsid w:val="00926B28"/>
    <w:rsid w:val="00926D9C"/>
    <w:rsid w:val="00927028"/>
    <w:rsid w:val="00927763"/>
    <w:rsid w:val="009277C2"/>
    <w:rsid w:val="00927A2D"/>
    <w:rsid w:val="00927B37"/>
    <w:rsid w:val="009321B1"/>
    <w:rsid w:val="009327F0"/>
    <w:rsid w:val="00932ED7"/>
    <w:rsid w:val="0093422D"/>
    <w:rsid w:val="0093483B"/>
    <w:rsid w:val="00934CF9"/>
    <w:rsid w:val="00934DD7"/>
    <w:rsid w:val="00934FCE"/>
    <w:rsid w:val="009351C7"/>
    <w:rsid w:val="00935B49"/>
    <w:rsid w:val="00935CB2"/>
    <w:rsid w:val="00936757"/>
    <w:rsid w:val="0093683E"/>
    <w:rsid w:val="009369A9"/>
    <w:rsid w:val="00936C5B"/>
    <w:rsid w:val="00936CF7"/>
    <w:rsid w:val="00937783"/>
    <w:rsid w:val="00937EAD"/>
    <w:rsid w:val="00937F28"/>
    <w:rsid w:val="00940FE1"/>
    <w:rsid w:val="00941474"/>
    <w:rsid w:val="00942306"/>
    <w:rsid w:val="009424B8"/>
    <w:rsid w:val="009429D4"/>
    <w:rsid w:val="009430DE"/>
    <w:rsid w:val="009432E2"/>
    <w:rsid w:val="00943DDC"/>
    <w:rsid w:val="00944668"/>
    <w:rsid w:val="00944DC6"/>
    <w:rsid w:val="009458B0"/>
    <w:rsid w:val="00945B52"/>
    <w:rsid w:val="00945B7A"/>
    <w:rsid w:val="00945F05"/>
    <w:rsid w:val="00946348"/>
    <w:rsid w:val="00946692"/>
    <w:rsid w:val="009471BE"/>
    <w:rsid w:val="00947224"/>
    <w:rsid w:val="00947797"/>
    <w:rsid w:val="009478A2"/>
    <w:rsid w:val="00947BFC"/>
    <w:rsid w:val="00947CFE"/>
    <w:rsid w:val="009505C0"/>
    <w:rsid w:val="00950EE3"/>
    <w:rsid w:val="009533BD"/>
    <w:rsid w:val="009536FB"/>
    <w:rsid w:val="00953808"/>
    <w:rsid w:val="009539A6"/>
    <w:rsid w:val="00954032"/>
    <w:rsid w:val="00954537"/>
    <w:rsid w:val="0095472D"/>
    <w:rsid w:val="00955342"/>
    <w:rsid w:val="00955DF9"/>
    <w:rsid w:val="00955FBB"/>
    <w:rsid w:val="0095694B"/>
    <w:rsid w:val="00956BD5"/>
    <w:rsid w:val="00956D84"/>
    <w:rsid w:val="0095723F"/>
    <w:rsid w:val="009577B5"/>
    <w:rsid w:val="009608E6"/>
    <w:rsid w:val="00960A47"/>
    <w:rsid w:val="00960F57"/>
    <w:rsid w:val="00961154"/>
    <w:rsid w:val="0096175A"/>
    <w:rsid w:val="00961C90"/>
    <w:rsid w:val="009627AC"/>
    <w:rsid w:val="00962A70"/>
    <w:rsid w:val="00965443"/>
    <w:rsid w:val="00965954"/>
    <w:rsid w:val="00965A21"/>
    <w:rsid w:val="00965E55"/>
    <w:rsid w:val="0096608E"/>
    <w:rsid w:val="00966522"/>
    <w:rsid w:val="00966C33"/>
    <w:rsid w:val="00967020"/>
    <w:rsid w:val="00967218"/>
    <w:rsid w:val="009707F0"/>
    <w:rsid w:val="00970F18"/>
    <w:rsid w:val="00971194"/>
    <w:rsid w:val="00971CF1"/>
    <w:rsid w:val="00971F5D"/>
    <w:rsid w:val="0097206B"/>
    <w:rsid w:val="009721E9"/>
    <w:rsid w:val="00972A9E"/>
    <w:rsid w:val="00973772"/>
    <w:rsid w:val="00973ED2"/>
    <w:rsid w:val="00974A11"/>
    <w:rsid w:val="0097560A"/>
    <w:rsid w:val="00975E1E"/>
    <w:rsid w:val="00975E70"/>
    <w:rsid w:val="00976029"/>
    <w:rsid w:val="009761DE"/>
    <w:rsid w:val="009765B7"/>
    <w:rsid w:val="009766FA"/>
    <w:rsid w:val="00976F96"/>
    <w:rsid w:val="00977CD6"/>
    <w:rsid w:val="0098048B"/>
    <w:rsid w:val="00980908"/>
    <w:rsid w:val="00980A50"/>
    <w:rsid w:val="00980DF9"/>
    <w:rsid w:val="00981CD8"/>
    <w:rsid w:val="0098243D"/>
    <w:rsid w:val="00982D01"/>
    <w:rsid w:val="00982D26"/>
    <w:rsid w:val="00983B6E"/>
    <w:rsid w:val="00983FE5"/>
    <w:rsid w:val="009846F3"/>
    <w:rsid w:val="009849E9"/>
    <w:rsid w:val="00984AFF"/>
    <w:rsid w:val="00984CE4"/>
    <w:rsid w:val="00984DFD"/>
    <w:rsid w:val="00984FBD"/>
    <w:rsid w:val="009859E4"/>
    <w:rsid w:val="00985D7F"/>
    <w:rsid w:val="0098755F"/>
    <w:rsid w:val="00987812"/>
    <w:rsid w:val="00990225"/>
    <w:rsid w:val="00991307"/>
    <w:rsid w:val="00991FAA"/>
    <w:rsid w:val="00992A13"/>
    <w:rsid w:val="00992B11"/>
    <w:rsid w:val="00994AAD"/>
    <w:rsid w:val="00994B0A"/>
    <w:rsid w:val="00995150"/>
    <w:rsid w:val="00995A35"/>
    <w:rsid w:val="00995D67"/>
    <w:rsid w:val="009963F5"/>
    <w:rsid w:val="009973DB"/>
    <w:rsid w:val="00997613"/>
    <w:rsid w:val="009A00CE"/>
    <w:rsid w:val="009A013B"/>
    <w:rsid w:val="009A02F4"/>
    <w:rsid w:val="009A06BF"/>
    <w:rsid w:val="009A0D17"/>
    <w:rsid w:val="009A12DB"/>
    <w:rsid w:val="009A2494"/>
    <w:rsid w:val="009A32B1"/>
    <w:rsid w:val="009A33A3"/>
    <w:rsid w:val="009A36F2"/>
    <w:rsid w:val="009A3D11"/>
    <w:rsid w:val="009A40C3"/>
    <w:rsid w:val="009A40D5"/>
    <w:rsid w:val="009A50D4"/>
    <w:rsid w:val="009A5268"/>
    <w:rsid w:val="009A56B1"/>
    <w:rsid w:val="009A57D0"/>
    <w:rsid w:val="009A617A"/>
    <w:rsid w:val="009A64D5"/>
    <w:rsid w:val="009A6559"/>
    <w:rsid w:val="009A68FC"/>
    <w:rsid w:val="009A69B7"/>
    <w:rsid w:val="009A6CE4"/>
    <w:rsid w:val="009A72D9"/>
    <w:rsid w:val="009A7514"/>
    <w:rsid w:val="009A7699"/>
    <w:rsid w:val="009A7E7A"/>
    <w:rsid w:val="009B0925"/>
    <w:rsid w:val="009B0EBC"/>
    <w:rsid w:val="009B1053"/>
    <w:rsid w:val="009B1584"/>
    <w:rsid w:val="009B18F0"/>
    <w:rsid w:val="009B1F4C"/>
    <w:rsid w:val="009B2067"/>
    <w:rsid w:val="009B2471"/>
    <w:rsid w:val="009B2491"/>
    <w:rsid w:val="009B252E"/>
    <w:rsid w:val="009B314F"/>
    <w:rsid w:val="009B32F3"/>
    <w:rsid w:val="009B3AF7"/>
    <w:rsid w:val="009B439C"/>
    <w:rsid w:val="009B49A1"/>
    <w:rsid w:val="009B4A6C"/>
    <w:rsid w:val="009B4DA8"/>
    <w:rsid w:val="009B519A"/>
    <w:rsid w:val="009B56D7"/>
    <w:rsid w:val="009B620C"/>
    <w:rsid w:val="009B6753"/>
    <w:rsid w:val="009B676C"/>
    <w:rsid w:val="009B6A26"/>
    <w:rsid w:val="009C079D"/>
    <w:rsid w:val="009C0D70"/>
    <w:rsid w:val="009C13D1"/>
    <w:rsid w:val="009C19C1"/>
    <w:rsid w:val="009C2913"/>
    <w:rsid w:val="009C296C"/>
    <w:rsid w:val="009C2BD4"/>
    <w:rsid w:val="009C5157"/>
    <w:rsid w:val="009C54CB"/>
    <w:rsid w:val="009C5AFE"/>
    <w:rsid w:val="009C5C7A"/>
    <w:rsid w:val="009C6606"/>
    <w:rsid w:val="009C6CE5"/>
    <w:rsid w:val="009C6D50"/>
    <w:rsid w:val="009C7251"/>
    <w:rsid w:val="009C7547"/>
    <w:rsid w:val="009C7876"/>
    <w:rsid w:val="009D00CA"/>
    <w:rsid w:val="009D05EC"/>
    <w:rsid w:val="009D18D4"/>
    <w:rsid w:val="009D1FCF"/>
    <w:rsid w:val="009D2F60"/>
    <w:rsid w:val="009D3485"/>
    <w:rsid w:val="009D3871"/>
    <w:rsid w:val="009D3A2E"/>
    <w:rsid w:val="009D3A5F"/>
    <w:rsid w:val="009D4ECB"/>
    <w:rsid w:val="009D5ADE"/>
    <w:rsid w:val="009D5BAC"/>
    <w:rsid w:val="009D5C56"/>
    <w:rsid w:val="009D6265"/>
    <w:rsid w:val="009D64BD"/>
    <w:rsid w:val="009D6CB1"/>
    <w:rsid w:val="009E0286"/>
    <w:rsid w:val="009E153F"/>
    <w:rsid w:val="009E1768"/>
    <w:rsid w:val="009E18C5"/>
    <w:rsid w:val="009E322A"/>
    <w:rsid w:val="009E393E"/>
    <w:rsid w:val="009E444E"/>
    <w:rsid w:val="009E4968"/>
    <w:rsid w:val="009E4D05"/>
    <w:rsid w:val="009E4F19"/>
    <w:rsid w:val="009E5B72"/>
    <w:rsid w:val="009E663C"/>
    <w:rsid w:val="009E6849"/>
    <w:rsid w:val="009E684A"/>
    <w:rsid w:val="009E69C6"/>
    <w:rsid w:val="009E6BB1"/>
    <w:rsid w:val="009E6E14"/>
    <w:rsid w:val="009E741E"/>
    <w:rsid w:val="009E794A"/>
    <w:rsid w:val="009E7C14"/>
    <w:rsid w:val="009F0443"/>
    <w:rsid w:val="009F0494"/>
    <w:rsid w:val="009F078B"/>
    <w:rsid w:val="009F0CD9"/>
    <w:rsid w:val="009F1A79"/>
    <w:rsid w:val="009F1F57"/>
    <w:rsid w:val="009F20CF"/>
    <w:rsid w:val="009F2AEC"/>
    <w:rsid w:val="009F2DDD"/>
    <w:rsid w:val="009F3447"/>
    <w:rsid w:val="009F352D"/>
    <w:rsid w:val="009F3D31"/>
    <w:rsid w:val="009F65F4"/>
    <w:rsid w:val="009F676B"/>
    <w:rsid w:val="009F682B"/>
    <w:rsid w:val="009F6D2D"/>
    <w:rsid w:val="009F6D54"/>
    <w:rsid w:val="00A004DF"/>
    <w:rsid w:val="00A00FD5"/>
    <w:rsid w:val="00A012C0"/>
    <w:rsid w:val="00A01776"/>
    <w:rsid w:val="00A019A8"/>
    <w:rsid w:val="00A01B03"/>
    <w:rsid w:val="00A01B89"/>
    <w:rsid w:val="00A02749"/>
    <w:rsid w:val="00A02C66"/>
    <w:rsid w:val="00A02C84"/>
    <w:rsid w:val="00A038C7"/>
    <w:rsid w:val="00A0455B"/>
    <w:rsid w:val="00A0464C"/>
    <w:rsid w:val="00A050BB"/>
    <w:rsid w:val="00A0521B"/>
    <w:rsid w:val="00A054E0"/>
    <w:rsid w:val="00A05A9E"/>
    <w:rsid w:val="00A05BBD"/>
    <w:rsid w:val="00A05CED"/>
    <w:rsid w:val="00A05D91"/>
    <w:rsid w:val="00A0615B"/>
    <w:rsid w:val="00A0740B"/>
    <w:rsid w:val="00A07ED3"/>
    <w:rsid w:val="00A1070B"/>
    <w:rsid w:val="00A107BE"/>
    <w:rsid w:val="00A10CA8"/>
    <w:rsid w:val="00A11042"/>
    <w:rsid w:val="00A12579"/>
    <w:rsid w:val="00A12CDC"/>
    <w:rsid w:val="00A133D8"/>
    <w:rsid w:val="00A15655"/>
    <w:rsid w:val="00A157D6"/>
    <w:rsid w:val="00A160B0"/>
    <w:rsid w:val="00A17394"/>
    <w:rsid w:val="00A1740C"/>
    <w:rsid w:val="00A1764A"/>
    <w:rsid w:val="00A17904"/>
    <w:rsid w:val="00A1798D"/>
    <w:rsid w:val="00A17AC1"/>
    <w:rsid w:val="00A17BDB"/>
    <w:rsid w:val="00A20069"/>
    <w:rsid w:val="00A20248"/>
    <w:rsid w:val="00A20436"/>
    <w:rsid w:val="00A20C3A"/>
    <w:rsid w:val="00A21853"/>
    <w:rsid w:val="00A22153"/>
    <w:rsid w:val="00A2244D"/>
    <w:rsid w:val="00A2253D"/>
    <w:rsid w:val="00A2267F"/>
    <w:rsid w:val="00A22CDB"/>
    <w:rsid w:val="00A23744"/>
    <w:rsid w:val="00A23D0F"/>
    <w:rsid w:val="00A23ED4"/>
    <w:rsid w:val="00A247B8"/>
    <w:rsid w:val="00A2495A"/>
    <w:rsid w:val="00A24BA9"/>
    <w:rsid w:val="00A24C7A"/>
    <w:rsid w:val="00A24D8F"/>
    <w:rsid w:val="00A251D0"/>
    <w:rsid w:val="00A25B8B"/>
    <w:rsid w:val="00A2689F"/>
    <w:rsid w:val="00A26ECA"/>
    <w:rsid w:val="00A27461"/>
    <w:rsid w:val="00A27D67"/>
    <w:rsid w:val="00A302B2"/>
    <w:rsid w:val="00A3062B"/>
    <w:rsid w:val="00A30ABC"/>
    <w:rsid w:val="00A30D9E"/>
    <w:rsid w:val="00A317E8"/>
    <w:rsid w:val="00A33115"/>
    <w:rsid w:val="00A33B74"/>
    <w:rsid w:val="00A34482"/>
    <w:rsid w:val="00A3467F"/>
    <w:rsid w:val="00A34B4C"/>
    <w:rsid w:val="00A35030"/>
    <w:rsid w:val="00A3551A"/>
    <w:rsid w:val="00A357D0"/>
    <w:rsid w:val="00A35B45"/>
    <w:rsid w:val="00A366A0"/>
    <w:rsid w:val="00A37209"/>
    <w:rsid w:val="00A37584"/>
    <w:rsid w:val="00A376E8"/>
    <w:rsid w:val="00A37F8E"/>
    <w:rsid w:val="00A41537"/>
    <w:rsid w:val="00A41737"/>
    <w:rsid w:val="00A42B8F"/>
    <w:rsid w:val="00A42D8E"/>
    <w:rsid w:val="00A43254"/>
    <w:rsid w:val="00A435EA"/>
    <w:rsid w:val="00A43896"/>
    <w:rsid w:val="00A43951"/>
    <w:rsid w:val="00A43A26"/>
    <w:rsid w:val="00A447A0"/>
    <w:rsid w:val="00A44B99"/>
    <w:rsid w:val="00A44CAD"/>
    <w:rsid w:val="00A45188"/>
    <w:rsid w:val="00A459F5"/>
    <w:rsid w:val="00A45FC0"/>
    <w:rsid w:val="00A462F4"/>
    <w:rsid w:val="00A46992"/>
    <w:rsid w:val="00A46B74"/>
    <w:rsid w:val="00A47BF7"/>
    <w:rsid w:val="00A47ECC"/>
    <w:rsid w:val="00A50171"/>
    <w:rsid w:val="00A504FA"/>
    <w:rsid w:val="00A5102E"/>
    <w:rsid w:val="00A5132E"/>
    <w:rsid w:val="00A51375"/>
    <w:rsid w:val="00A51533"/>
    <w:rsid w:val="00A5177D"/>
    <w:rsid w:val="00A52096"/>
    <w:rsid w:val="00A52D3B"/>
    <w:rsid w:val="00A531D4"/>
    <w:rsid w:val="00A536C3"/>
    <w:rsid w:val="00A5389D"/>
    <w:rsid w:val="00A53BE9"/>
    <w:rsid w:val="00A54572"/>
    <w:rsid w:val="00A54847"/>
    <w:rsid w:val="00A558AC"/>
    <w:rsid w:val="00A575B8"/>
    <w:rsid w:val="00A60DAE"/>
    <w:rsid w:val="00A619BB"/>
    <w:rsid w:val="00A61C60"/>
    <w:rsid w:val="00A61ECB"/>
    <w:rsid w:val="00A62CE7"/>
    <w:rsid w:val="00A63190"/>
    <w:rsid w:val="00A6410C"/>
    <w:rsid w:val="00A647B1"/>
    <w:rsid w:val="00A64820"/>
    <w:rsid w:val="00A64DEF"/>
    <w:rsid w:val="00A654D2"/>
    <w:rsid w:val="00A665DF"/>
    <w:rsid w:val="00A67AF7"/>
    <w:rsid w:val="00A67FCC"/>
    <w:rsid w:val="00A7084F"/>
    <w:rsid w:val="00A70AA5"/>
    <w:rsid w:val="00A70C03"/>
    <w:rsid w:val="00A71256"/>
    <w:rsid w:val="00A719E8"/>
    <w:rsid w:val="00A72097"/>
    <w:rsid w:val="00A7217B"/>
    <w:rsid w:val="00A722D7"/>
    <w:rsid w:val="00A723A3"/>
    <w:rsid w:val="00A72590"/>
    <w:rsid w:val="00A725A9"/>
    <w:rsid w:val="00A73861"/>
    <w:rsid w:val="00A739A6"/>
    <w:rsid w:val="00A73C95"/>
    <w:rsid w:val="00A740ED"/>
    <w:rsid w:val="00A74C29"/>
    <w:rsid w:val="00A74C62"/>
    <w:rsid w:val="00A75105"/>
    <w:rsid w:val="00A75EF9"/>
    <w:rsid w:val="00A75FB9"/>
    <w:rsid w:val="00A76171"/>
    <w:rsid w:val="00A7657C"/>
    <w:rsid w:val="00A77702"/>
    <w:rsid w:val="00A77920"/>
    <w:rsid w:val="00A80061"/>
    <w:rsid w:val="00A80DEC"/>
    <w:rsid w:val="00A81D9B"/>
    <w:rsid w:val="00A8311C"/>
    <w:rsid w:val="00A835D0"/>
    <w:rsid w:val="00A83B72"/>
    <w:rsid w:val="00A84C5F"/>
    <w:rsid w:val="00A85930"/>
    <w:rsid w:val="00A863F7"/>
    <w:rsid w:val="00A86604"/>
    <w:rsid w:val="00A86B16"/>
    <w:rsid w:val="00A87519"/>
    <w:rsid w:val="00A9180F"/>
    <w:rsid w:val="00A92040"/>
    <w:rsid w:val="00A9235B"/>
    <w:rsid w:val="00A9246D"/>
    <w:rsid w:val="00A92CCA"/>
    <w:rsid w:val="00A93BD0"/>
    <w:rsid w:val="00A93CC2"/>
    <w:rsid w:val="00A948CA"/>
    <w:rsid w:val="00A94D4B"/>
    <w:rsid w:val="00A974CC"/>
    <w:rsid w:val="00AA1B35"/>
    <w:rsid w:val="00AA2001"/>
    <w:rsid w:val="00AA2A7A"/>
    <w:rsid w:val="00AA2B5C"/>
    <w:rsid w:val="00AA32D2"/>
    <w:rsid w:val="00AA3B8B"/>
    <w:rsid w:val="00AA4016"/>
    <w:rsid w:val="00AA4C1F"/>
    <w:rsid w:val="00AA5328"/>
    <w:rsid w:val="00AA5393"/>
    <w:rsid w:val="00AA55F4"/>
    <w:rsid w:val="00AA5CBA"/>
    <w:rsid w:val="00AA63A2"/>
    <w:rsid w:val="00AA63D4"/>
    <w:rsid w:val="00AA6DC6"/>
    <w:rsid w:val="00AB03FD"/>
    <w:rsid w:val="00AB0566"/>
    <w:rsid w:val="00AB087F"/>
    <w:rsid w:val="00AB1156"/>
    <w:rsid w:val="00AB2000"/>
    <w:rsid w:val="00AB217D"/>
    <w:rsid w:val="00AB2730"/>
    <w:rsid w:val="00AB2C11"/>
    <w:rsid w:val="00AB38CB"/>
    <w:rsid w:val="00AB3BEC"/>
    <w:rsid w:val="00AB44E4"/>
    <w:rsid w:val="00AB4AEB"/>
    <w:rsid w:val="00AB4E5F"/>
    <w:rsid w:val="00AB5352"/>
    <w:rsid w:val="00AB56AE"/>
    <w:rsid w:val="00AB62D5"/>
    <w:rsid w:val="00AB6540"/>
    <w:rsid w:val="00AB65B5"/>
    <w:rsid w:val="00AB6D3A"/>
    <w:rsid w:val="00AB6DCD"/>
    <w:rsid w:val="00AB6EE0"/>
    <w:rsid w:val="00AC1041"/>
    <w:rsid w:val="00AC17A2"/>
    <w:rsid w:val="00AC181B"/>
    <w:rsid w:val="00AC272D"/>
    <w:rsid w:val="00AC3B1A"/>
    <w:rsid w:val="00AC40B7"/>
    <w:rsid w:val="00AC5218"/>
    <w:rsid w:val="00AC531F"/>
    <w:rsid w:val="00AC5B36"/>
    <w:rsid w:val="00AC6377"/>
    <w:rsid w:val="00AC66A4"/>
    <w:rsid w:val="00AC6941"/>
    <w:rsid w:val="00AC6CB1"/>
    <w:rsid w:val="00AC75E9"/>
    <w:rsid w:val="00AC787C"/>
    <w:rsid w:val="00AC7D6D"/>
    <w:rsid w:val="00AD0091"/>
    <w:rsid w:val="00AD0D4A"/>
    <w:rsid w:val="00AD153C"/>
    <w:rsid w:val="00AD1E21"/>
    <w:rsid w:val="00AD21AD"/>
    <w:rsid w:val="00AD23EF"/>
    <w:rsid w:val="00AD2662"/>
    <w:rsid w:val="00AD2BFD"/>
    <w:rsid w:val="00AD307B"/>
    <w:rsid w:val="00AD351C"/>
    <w:rsid w:val="00AD375A"/>
    <w:rsid w:val="00AD4014"/>
    <w:rsid w:val="00AD41B3"/>
    <w:rsid w:val="00AD5721"/>
    <w:rsid w:val="00AD69F0"/>
    <w:rsid w:val="00AD6C3F"/>
    <w:rsid w:val="00AD6D61"/>
    <w:rsid w:val="00AD7064"/>
    <w:rsid w:val="00AD7127"/>
    <w:rsid w:val="00AD730C"/>
    <w:rsid w:val="00AD7D10"/>
    <w:rsid w:val="00AE123A"/>
    <w:rsid w:val="00AE1539"/>
    <w:rsid w:val="00AE28A7"/>
    <w:rsid w:val="00AE2A98"/>
    <w:rsid w:val="00AE2CF2"/>
    <w:rsid w:val="00AE3012"/>
    <w:rsid w:val="00AE3297"/>
    <w:rsid w:val="00AE33A6"/>
    <w:rsid w:val="00AE3513"/>
    <w:rsid w:val="00AE3729"/>
    <w:rsid w:val="00AE49D6"/>
    <w:rsid w:val="00AE4A3E"/>
    <w:rsid w:val="00AE4CCE"/>
    <w:rsid w:val="00AE5C6A"/>
    <w:rsid w:val="00AE6A91"/>
    <w:rsid w:val="00AE7280"/>
    <w:rsid w:val="00AE7542"/>
    <w:rsid w:val="00AE75AB"/>
    <w:rsid w:val="00AF01FA"/>
    <w:rsid w:val="00AF033A"/>
    <w:rsid w:val="00AF10D5"/>
    <w:rsid w:val="00AF13DA"/>
    <w:rsid w:val="00AF1658"/>
    <w:rsid w:val="00AF1699"/>
    <w:rsid w:val="00AF18B8"/>
    <w:rsid w:val="00AF1FD3"/>
    <w:rsid w:val="00AF2910"/>
    <w:rsid w:val="00AF2F4E"/>
    <w:rsid w:val="00AF306E"/>
    <w:rsid w:val="00AF34B8"/>
    <w:rsid w:val="00AF3896"/>
    <w:rsid w:val="00AF39C9"/>
    <w:rsid w:val="00AF3B54"/>
    <w:rsid w:val="00AF3FC2"/>
    <w:rsid w:val="00AF464A"/>
    <w:rsid w:val="00AF4CF2"/>
    <w:rsid w:val="00AF4DB9"/>
    <w:rsid w:val="00AF4DEC"/>
    <w:rsid w:val="00AF4DF3"/>
    <w:rsid w:val="00B003FF"/>
    <w:rsid w:val="00B008A9"/>
    <w:rsid w:val="00B0098A"/>
    <w:rsid w:val="00B00A5F"/>
    <w:rsid w:val="00B0139D"/>
    <w:rsid w:val="00B01B71"/>
    <w:rsid w:val="00B01FBE"/>
    <w:rsid w:val="00B025F8"/>
    <w:rsid w:val="00B027F4"/>
    <w:rsid w:val="00B029B8"/>
    <w:rsid w:val="00B02F60"/>
    <w:rsid w:val="00B02F94"/>
    <w:rsid w:val="00B032B8"/>
    <w:rsid w:val="00B04676"/>
    <w:rsid w:val="00B04721"/>
    <w:rsid w:val="00B04935"/>
    <w:rsid w:val="00B04B15"/>
    <w:rsid w:val="00B04B46"/>
    <w:rsid w:val="00B0534D"/>
    <w:rsid w:val="00B05685"/>
    <w:rsid w:val="00B05874"/>
    <w:rsid w:val="00B05F9F"/>
    <w:rsid w:val="00B06368"/>
    <w:rsid w:val="00B068DA"/>
    <w:rsid w:val="00B06A00"/>
    <w:rsid w:val="00B06A0E"/>
    <w:rsid w:val="00B06FC6"/>
    <w:rsid w:val="00B074C9"/>
    <w:rsid w:val="00B07D9D"/>
    <w:rsid w:val="00B100C2"/>
    <w:rsid w:val="00B10F31"/>
    <w:rsid w:val="00B11413"/>
    <w:rsid w:val="00B11839"/>
    <w:rsid w:val="00B11AE5"/>
    <w:rsid w:val="00B12FE6"/>
    <w:rsid w:val="00B1303F"/>
    <w:rsid w:val="00B1364A"/>
    <w:rsid w:val="00B13859"/>
    <w:rsid w:val="00B13EC9"/>
    <w:rsid w:val="00B14319"/>
    <w:rsid w:val="00B144E7"/>
    <w:rsid w:val="00B14A06"/>
    <w:rsid w:val="00B14B0C"/>
    <w:rsid w:val="00B14F7B"/>
    <w:rsid w:val="00B15191"/>
    <w:rsid w:val="00B158E1"/>
    <w:rsid w:val="00B16265"/>
    <w:rsid w:val="00B16715"/>
    <w:rsid w:val="00B171DA"/>
    <w:rsid w:val="00B1768E"/>
    <w:rsid w:val="00B17910"/>
    <w:rsid w:val="00B17F12"/>
    <w:rsid w:val="00B20F18"/>
    <w:rsid w:val="00B2106F"/>
    <w:rsid w:val="00B2126A"/>
    <w:rsid w:val="00B21516"/>
    <w:rsid w:val="00B21A37"/>
    <w:rsid w:val="00B21B80"/>
    <w:rsid w:val="00B21D23"/>
    <w:rsid w:val="00B21F62"/>
    <w:rsid w:val="00B22BA0"/>
    <w:rsid w:val="00B22CE0"/>
    <w:rsid w:val="00B23738"/>
    <w:rsid w:val="00B23BEF"/>
    <w:rsid w:val="00B23E0C"/>
    <w:rsid w:val="00B247BB"/>
    <w:rsid w:val="00B2504A"/>
    <w:rsid w:val="00B25EE6"/>
    <w:rsid w:val="00B2618D"/>
    <w:rsid w:val="00B30465"/>
    <w:rsid w:val="00B3115A"/>
    <w:rsid w:val="00B311F9"/>
    <w:rsid w:val="00B3178B"/>
    <w:rsid w:val="00B31825"/>
    <w:rsid w:val="00B31A5C"/>
    <w:rsid w:val="00B32265"/>
    <w:rsid w:val="00B3276D"/>
    <w:rsid w:val="00B334FE"/>
    <w:rsid w:val="00B335B2"/>
    <w:rsid w:val="00B337E2"/>
    <w:rsid w:val="00B33B06"/>
    <w:rsid w:val="00B33C19"/>
    <w:rsid w:val="00B3407E"/>
    <w:rsid w:val="00B342B4"/>
    <w:rsid w:val="00B34608"/>
    <w:rsid w:val="00B3528C"/>
    <w:rsid w:val="00B35A15"/>
    <w:rsid w:val="00B35B45"/>
    <w:rsid w:val="00B36165"/>
    <w:rsid w:val="00B36A99"/>
    <w:rsid w:val="00B36E37"/>
    <w:rsid w:val="00B372F1"/>
    <w:rsid w:val="00B37F30"/>
    <w:rsid w:val="00B40F11"/>
    <w:rsid w:val="00B411F2"/>
    <w:rsid w:val="00B42264"/>
    <w:rsid w:val="00B42480"/>
    <w:rsid w:val="00B42681"/>
    <w:rsid w:val="00B42D34"/>
    <w:rsid w:val="00B434B2"/>
    <w:rsid w:val="00B43D45"/>
    <w:rsid w:val="00B44947"/>
    <w:rsid w:val="00B44AEE"/>
    <w:rsid w:val="00B459AF"/>
    <w:rsid w:val="00B4652A"/>
    <w:rsid w:val="00B468F2"/>
    <w:rsid w:val="00B469DE"/>
    <w:rsid w:val="00B47286"/>
    <w:rsid w:val="00B47EB4"/>
    <w:rsid w:val="00B50143"/>
    <w:rsid w:val="00B50234"/>
    <w:rsid w:val="00B51BF4"/>
    <w:rsid w:val="00B52C68"/>
    <w:rsid w:val="00B52CD3"/>
    <w:rsid w:val="00B53400"/>
    <w:rsid w:val="00B5372B"/>
    <w:rsid w:val="00B542FE"/>
    <w:rsid w:val="00B55A1B"/>
    <w:rsid w:val="00B561DB"/>
    <w:rsid w:val="00B56DF9"/>
    <w:rsid w:val="00B56E80"/>
    <w:rsid w:val="00B571F1"/>
    <w:rsid w:val="00B600BD"/>
    <w:rsid w:val="00B60564"/>
    <w:rsid w:val="00B60E4E"/>
    <w:rsid w:val="00B61274"/>
    <w:rsid w:val="00B61900"/>
    <w:rsid w:val="00B61DCE"/>
    <w:rsid w:val="00B62188"/>
    <w:rsid w:val="00B62F79"/>
    <w:rsid w:val="00B62F82"/>
    <w:rsid w:val="00B6306A"/>
    <w:rsid w:val="00B635E3"/>
    <w:rsid w:val="00B63898"/>
    <w:rsid w:val="00B63FDA"/>
    <w:rsid w:val="00B64E2F"/>
    <w:rsid w:val="00B662FF"/>
    <w:rsid w:val="00B66546"/>
    <w:rsid w:val="00B66679"/>
    <w:rsid w:val="00B66B35"/>
    <w:rsid w:val="00B6789F"/>
    <w:rsid w:val="00B70145"/>
    <w:rsid w:val="00B707FE"/>
    <w:rsid w:val="00B7117B"/>
    <w:rsid w:val="00B71853"/>
    <w:rsid w:val="00B71A92"/>
    <w:rsid w:val="00B71CC4"/>
    <w:rsid w:val="00B71EB2"/>
    <w:rsid w:val="00B721D8"/>
    <w:rsid w:val="00B72631"/>
    <w:rsid w:val="00B730CA"/>
    <w:rsid w:val="00B732EA"/>
    <w:rsid w:val="00B734E1"/>
    <w:rsid w:val="00B73747"/>
    <w:rsid w:val="00B747C5"/>
    <w:rsid w:val="00B74F2F"/>
    <w:rsid w:val="00B752FD"/>
    <w:rsid w:val="00B753ED"/>
    <w:rsid w:val="00B758E7"/>
    <w:rsid w:val="00B7665F"/>
    <w:rsid w:val="00B769BC"/>
    <w:rsid w:val="00B770F7"/>
    <w:rsid w:val="00B77349"/>
    <w:rsid w:val="00B7761E"/>
    <w:rsid w:val="00B80A3D"/>
    <w:rsid w:val="00B80B04"/>
    <w:rsid w:val="00B821E4"/>
    <w:rsid w:val="00B823E0"/>
    <w:rsid w:val="00B8260D"/>
    <w:rsid w:val="00B82B78"/>
    <w:rsid w:val="00B83BC4"/>
    <w:rsid w:val="00B845B4"/>
    <w:rsid w:val="00B84662"/>
    <w:rsid w:val="00B84AA4"/>
    <w:rsid w:val="00B84C74"/>
    <w:rsid w:val="00B84CE9"/>
    <w:rsid w:val="00B85191"/>
    <w:rsid w:val="00B858A1"/>
    <w:rsid w:val="00B85FEC"/>
    <w:rsid w:val="00B864A3"/>
    <w:rsid w:val="00B86C2A"/>
    <w:rsid w:val="00B902A5"/>
    <w:rsid w:val="00B90420"/>
    <w:rsid w:val="00B90848"/>
    <w:rsid w:val="00B91146"/>
    <w:rsid w:val="00B913E4"/>
    <w:rsid w:val="00B91BCE"/>
    <w:rsid w:val="00B91DB9"/>
    <w:rsid w:val="00B91FF3"/>
    <w:rsid w:val="00B925F8"/>
    <w:rsid w:val="00B93EFE"/>
    <w:rsid w:val="00B9437B"/>
    <w:rsid w:val="00B944B9"/>
    <w:rsid w:val="00B945C3"/>
    <w:rsid w:val="00B94956"/>
    <w:rsid w:val="00B94C7F"/>
    <w:rsid w:val="00B94E93"/>
    <w:rsid w:val="00B956B5"/>
    <w:rsid w:val="00B95956"/>
    <w:rsid w:val="00B95B89"/>
    <w:rsid w:val="00B96DF2"/>
    <w:rsid w:val="00B96E18"/>
    <w:rsid w:val="00B96F5A"/>
    <w:rsid w:val="00BA0B39"/>
    <w:rsid w:val="00BA0C20"/>
    <w:rsid w:val="00BA0CB2"/>
    <w:rsid w:val="00BA0E26"/>
    <w:rsid w:val="00BA0E6E"/>
    <w:rsid w:val="00BA138B"/>
    <w:rsid w:val="00BA1B0E"/>
    <w:rsid w:val="00BA305B"/>
    <w:rsid w:val="00BA31BF"/>
    <w:rsid w:val="00BA38AA"/>
    <w:rsid w:val="00BA3C0F"/>
    <w:rsid w:val="00BA3FC7"/>
    <w:rsid w:val="00BA478B"/>
    <w:rsid w:val="00BA5224"/>
    <w:rsid w:val="00BA575E"/>
    <w:rsid w:val="00BA69D4"/>
    <w:rsid w:val="00BA76B7"/>
    <w:rsid w:val="00BA7987"/>
    <w:rsid w:val="00BA7E3B"/>
    <w:rsid w:val="00BB078D"/>
    <w:rsid w:val="00BB079C"/>
    <w:rsid w:val="00BB0D7A"/>
    <w:rsid w:val="00BB10E1"/>
    <w:rsid w:val="00BB2471"/>
    <w:rsid w:val="00BB3035"/>
    <w:rsid w:val="00BB366E"/>
    <w:rsid w:val="00BB39C1"/>
    <w:rsid w:val="00BB3B00"/>
    <w:rsid w:val="00BB3DF5"/>
    <w:rsid w:val="00BB3EA7"/>
    <w:rsid w:val="00BB3FE0"/>
    <w:rsid w:val="00BB4BD6"/>
    <w:rsid w:val="00BB5507"/>
    <w:rsid w:val="00BB5D16"/>
    <w:rsid w:val="00BB6180"/>
    <w:rsid w:val="00BB6418"/>
    <w:rsid w:val="00BB69E6"/>
    <w:rsid w:val="00BB6F88"/>
    <w:rsid w:val="00BB7323"/>
    <w:rsid w:val="00BB7BE5"/>
    <w:rsid w:val="00BB7DFB"/>
    <w:rsid w:val="00BC0301"/>
    <w:rsid w:val="00BC075E"/>
    <w:rsid w:val="00BC08BD"/>
    <w:rsid w:val="00BC11E8"/>
    <w:rsid w:val="00BC1442"/>
    <w:rsid w:val="00BC1B7A"/>
    <w:rsid w:val="00BC2AA0"/>
    <w:rsid w:val="00BC2C17"/>
    <w:rsid w:val="00BC3800"/>
    <w:rsid w:val="00BC3ACD"/>
    <w:rsid w:val="00BC3B20"/>
    <w:rsid w:val="00BC3EE4"/>
    <w:rsid w:val="00BC4C71"/>
    <w:rsid w:val="00BC57CC"/>
    <w:rsid w:val="00BC588C"/>
    <w:rsid w:val="00BC5D18"/>
    <w:rsid w:val="00BC6E73"/>
    <w:rsid w:val="00BC74D3"/>
    <w:rsid w:val="00BC7F03"/>
    <w:rsid w:val="00BD0014"/>
    <w:rsid w:val="00BD01D8"/>
    <w:rsid w:val="00BD1171"/>
    <w:rsid w:val="00BD255F"/>
    <w:rsid w:val="00BD2895"/>
    <w:rsid w:val="00BD4236"/>
    <w:rsid w:val="00BD483B"/>
    <w:rsid w:val="00BD51F9"/>
    <w:rsid w:val="00BD5CD4"/>
    <w:rsid w:val="00BD6032"/>
    <w:rsid w:val="00BD60E6"/>
    <w:rsid w:val="00BD65D9"/>
    <w:rsid w:val="00BD66BA"/>
    <w:rsid w:val="00BD6DF3"/>
    <w:rsid w:val="00BD6E09"/>
    <w:rsid w:val="00BD6EF9"/>
    <w:rsid w:val="00BE0ACB"/>
    <w:rsid w:val="00BE1C07"/>
    <w:rsid w:val="00BE2260"/>
    <w:rsid w:val="00BE2DF5"/>
    <w:rsid w:val="00BE3917"/>
    <w:rsid w:val="00BE50FD"/>
    <w:rsid w:val="00BE51CA"/>
    <w:rsid w:val="00BE537F"/>
    <w:rsid w:val="00BE5D77"/>
    <w:rsid w:val="00BE6D47"/>
    <w:rsid w:val="00BE7032"/>
    <w:rsid w:val="00BE7330"/>
    <w:rsid w:val="00BF01C5"/>
    <w:rsid w:val="00BF061A"/>
    <w:rsid w:val="00BF066A"/>
    <w:rsid w:val="00BF14CC"/>
    <w:rsid w:val="00BF16D1"/>
    <w:rsid w:val="00BF1821"/>
    <w:rsid w:val="00BF1850"/>
    <w:rsid w:val="00BF22E9"/>
    <w:rsid w:val="00BF4342"/>
    <w:rsid w:val="00BF4704"/>
    <w:rsid w:val="00BF4FFC"/>
    <w:rsid w:val="00BF5050"/>
    <w:rsid w:val="00BF50D1"/>
    <w:rsid w:val="00BF5422"/>
    <w:rsid w:val="00BF59B1"/>
    <w:rsid w:val="00BF606A"/>
    <w:rsid w:val="00BF6297"/>
    <w:rsid w:val="00BF6538"/>
    <w:rsid w:val="00BF6625"/>
    <w:rsid w:val="00BF6A78"/>
    <w:rsid w:val="00BF7695"/>
    <w:rsid w:val="00BF79B4"/>
    <w:rsid w:val="00BF7C61"/>
    <w:rsid w:val="00C0125C"/>
    <w:rsid w:val="00C01427"/>
    <w:rsid w:val="00C014C7"/>
    <w:rsid w:val="00C031CF"/>
    <w:rsid w:val="00C04729"/>
    <w:rsid w:val="00C047AB"/>
    <w:rsid w:val="00C058AF"/>
    <w:rsid w:val="00C05EDD"/>
    <w:rsid w:val="00C061A2"/>
    <w:rsid w:val="00C072A4"/>
    <w:rsid w:val="00C075B6"/>
    <w:rsid w:val="00C11681"/>
    <w:rsid w:val="00C124C1"/>
    <w:rsid w:val="00C12798"/>
    <w:rsid w:val="00C128AE"/>
    <w:rsid w:val="00C12BA8"/>
    <w:rsid w:val="00C13094"/>
    <w:rsid w:val="00C136D6"/>
    <w:rsid w:val="00C13D5B"/>
    <w:rsid w:val="00C1410F"/>
    <w:rsid w:val="00C141D7"/>
    <w:rsid w:val="00C146C9"/>
    <w:rsid w:val="00C166B3"/>
    <w:rsid w:val="00C1711B"/>
    <w:rsid w:val="00C17AE2"/>
    <w:rsid w:val="00C20140"/>
    <w:rsid w:val="00C20495"/>
    <w:rsid w:val="00C20F27"/>
    <w:rsid w:val="00C215CF"/>
    <w:rsid w:val="00C2205F"/>
    <w:rsid w:val="00C2244B"/>
    <w:rsid w:val="00C22711"/>
    <w:rsid w:val="00C2280A"/>
    <w:rsid w:val="00C22B0D"/>
    <w:rsid w:val="00C22BFF"/>
    <w:rsid w:val="00C23522"/>
    <w:rsid w:val="00C240C1"/>
    <w:rsid w:val="00C244A1"/>
    <w:rsid w:val="00C2457E"/>
    <w:rsid w:val="00C24ACE"/>
    <w:rsid w:val="00C24AED"/>
    <w:rsid w:val="00C250D0"/>
    <w:rsid w:val="00C2524B"/>
    <w:rsid w:val="00C252AC"/>
    <w:rsid w:val="00C25A6B"/>
    <w:rsid w:val="00C25C0F"/>
    <w:rsid w:val="00C25EC1"/>
    <w:rsid w:val="00C26567"/>
    <w:rsid w:val="00C26923"/>
    <w:rsid w:val="00C27214"/>
    <w:rsid w:val="00C27597"/>
    <w:rsid w:val="00C27E5E"/>
    <w:rsid w:val="00C30382"/>
    <w:rsid w:val="00C305CC"/>
    <w:rsid w:val="00C30772"/>
    <w:rsid w:val="00C30D6F"/>
    <w:rsid w:val="00C31063"/>
    <w:rsid w:val="00C31B7E"/>
    <w:rsid w:val="00C32024"/>
    <w:rsid w:val="00C322D1"/>
    <w:rsid w:val="00C3242A"/>
    <w:rsid w:val="00C33201"/>
    <w:rsid w:val="00C33317"/>
    <w:rsid w:val="00C337E7"/>
    <w:rsid w:val="00C33A39"/>
    <w:rsid w:val="00C34619"/>
    <w:rsid w:val="00C348D9"/>
    <w:rsid w:val="00C35D01"/>
    <w:rsid w:val="00C360B3"/>
    <w:rsid w:val="00C361F0"/>
    <w:rsid w:val="00C36BF0"/>
    <w:rsid w:val="00C37027"/>
    <w:rsid w:val="00C373BF"/>
    <w:rsid w:val="00C37B19"/>
    <w:rsid w:val="00C41349"/>
    <w:rsid w:val="00C413CB"/>
    <w:rsid w:val="00C4262C"/>
    <w:rsid w:val="00C42752"/>
    <w:rsid w:val="00C42973"/>
    <w:rsid w:val="00C44E59"/>
    <w:rsid w:val="00C45AC5"/>
    <w:rsid w:val="00C45B91"/>
    <w:rsid w:val="00C46B95"/>
    <w:rsid w:val="00C4712A"/>
    <w:rsid w:val="00C5034F"/>
    <w:rsid w:val="00C50830"/>
    <w:rsid w:val="00C52479"/>
    <w:rsid w:val="00C5266E"/>
    <w:rsid w:val="00C52C59"/>
    <w:rsid w:val="00C531C0"/>
    <w:rsid w:val="00C5349E"/>
    <w:rsid w:val="00C538E7"/>
    <w:rsid w:val="00C539FF"/>
    <w:rsid w:val="00C544BD"/>
    <w:rsid w:val="00C54D3D"/>
    <w:rsid w:val="00C54F3C"/>
    <w:rsid w:val="00C55A30"/>
    <w:rsid w:val="00C56384"/>
    <w:rsid w:val="00C57961"/>
    <w:rsid w:val="00C601A5"/>
    <w:rsid w:val="00C60F8C"/>
    <w:rsid w:val="00C611A8"/>
    <w:rsid w:val="00C61424"/>
    <w:rsid w:val="00C61794"/>
    <w:rsid w:val="00C624AA"/>
    <w:rsid w:val="00C62A48"/>
    <w:rsid w:val="00C62AC4"/>
    <w:rsid w:val="00C62B59"/>
    <w:rsid w:val="00C62F96"/>
    <w:rsid w:val="00C631E1"/>
    <w:rsid w:val="00C638D8"/>
    <w:rsid w:val="00C63A43"/>
    <w:rsid w:val="00C63AE7"/>
    <w:rsid w:val="00C63D26"/>
    <w:rsid w:val="00C64ABB"/>
    <w:rsid w:val="00C6540A"/>
    <w:rsid w:val="00C6688D"/>
    <w:rsid w:val="00C668A1"/>
    <w:rsid w:val="00C67223"/>
    <w:rsid w:val="00C70697"/>
    <w:rsid w:val="00C707B8"/>
    <w:rsid w:val="00C712AC"/>
    <w:rsid w:val="00C71C15"/>
    <w:rsid w:val="00C71F3D"/>
    <w:rsid w:val="00C72C9F"/>
    <w:rsid w:val="00C72F53"/>
    <w:rsid w:val="00C738F5"/>
    <w:rsid w:val="00C74035"/>
    <w:rsid w:val="00C745BA"/>
    <w:rsid w:val="00C748DA"/>
    <w:rsid w:val="00C748EA"/>
    <w:rsid w:val="00C760AD"/>
    <w:rsid w:val="00C77818"/>
    <w:rsid w:val="00C8063F"/>
    <w:rsid w:val="00C807F9"/>
    <w:rsid w:val="00C8125B"/>
    <w:rsid w:val="00C81282"/>
    <w:rsid w:val="00C827B4"/>
    <w:rsid w:val="00C83075"/>
    <w:rsid w:val="00C83214"/>
    <w:rsid w:val="00C8329F"/>
    <w:rsid w:val="00C84F8A"/>
    <w:rsid w:val="00C8549F"/>
    <w:rsid w:val="00C85BA4"/>
    <w:rsid w:val="00C8618F"/>
    <w:rsid w:val="00C8625D"/>
    <w:rsid w:val="00C867EC"/>
    <w:rsid w:val="00C90372"/>
    <w:rsid w:val="00C9041F"/>
    <w:rsid w:val="00C90EE3"/>
    <w:rsid w:val="00C9166B"/>
    <w:rsid w:val="00C91945"/>
    <w:rsid w:val="00C91A45"/>
    <w:rsid w:val="00C91C98"/>
    <w:rsid w:val="00C91FB4"/>
    <w:rsid w:val="00C92150"/>
    <w:rsid w:val="00C92328"/>
    <w:rsid w:val="00C92490"/>
    <w:rsid w:val="00C92A4C"/>
    <w:rsid w:val="00C92D42"/>
    <w:rsid w:val="00C93014"/>
    <w:rsid w:val="00C938C2"/>
    <w:rsid w:val="00C93F8A"/>
    <w:rsid w:val="00C94C28"/>
    <w:rsid w:val="00C94EA1"/>
    <w:rsid w:val="00C9548C"/>
    <w:rsid w:val="00C95745"/>
    <w:rsid w:val="00C95902"/>
    <w:rsid w:val="00C962E3"/>
    <w:rsid w:val="00C978E2"/>
    <w:rsid w:val="00C97997"/>
    <w:rsid w:val="00CA10A2"/>
    <w:rsid w:val="00CA1267"/>
    <w:rsid w:val="00CA1D83"/>
    <w:rsid w:val="00CA2431"/>
    <w:rsid w:val="00CA25C0"/>
    <w:rsid w:val="00CA2ECE"/>
    <w:rsid w:val="00CA325E"/>
    <w:rsid w:val="00CA3451"/>
    <w:rsid w:val="00CA35C6"/>
    <w:rsid w:val="00CA4948"/>
    <w:rsid w:val="00CA52F9"/>
    <w:rsid w:val="00CA5368"/>
    <w:rsid w:val="00CA568B"/>
    <w:rsid w:val="00CA573A"/>
    <w:rsid w:val="00CA5C58"/>
    <w:rsid w:val="00CA5C90"/>
    <w:rsid w:val="00CA60D2"/>
    <w:rsid w:val="00CA646B"/>
    <w:rsid w:val="00CA794F"/>
    <w:rsid w:val="00CB0105"/>
    <w:rsid w:val="00CB0D38"/>
    <w:rsid w:val="00CB19D7"/>
    <w:rsid w:val="00CB19FE"/>
    <w:rsid w:val="00CB1C3F"/>
    <w:rsid w:val="00CB2364"/>
    <w:rsid w:val="00CB2BEE"/>
    <w:rsid w:val="00CB2E9C"/>
    <w:rsid w:val="00CB2ED8"/>
    <w:rsid w:val="00CB304C"/>
    <w:rsid w:val="00CB3933"/>
    <w:rsid w:val="00CB44B2"/>
    <w:rsid w:val="00CB4EFD"/>
    <w:rsid w:val="00CB5010"/>
    <w:rsid w:val="00CB53E8"/>
    <w:rsid w:val="00CB58DD"/>
    <w:rsid w:val="00CB594A"/>
    <w:rsid w:val="00CB5CB2"/>
    <w:rsid w:val="00CB61F7"/>
    <w:rsid w:val="00CB6924"/>
    <w:rsid w:val="00CB6979"/>
    <w:rsid w:val="00CB69A5"/>
    <w:rsid w:val="00CB7B58"/>
    <w:rsid w:val="00CB7DDE"/>
    <w:rsid w:val="00CC0A3D"/>
    <w:rsid w:val="00CC148C"/>
    <w:rsid w:val="00CC1904"/>
    <w:rsid w:val="00CC2FF0"/>
    <w:rsid w:val="00CC3C53"/>
    <w:rsid w:val="00CC3D24"/>
    <w:rsid w:val="00CC3F91"/>
    <w:rsid w:val="00CC4716"/>
    <w:rsid w:val="00CC47EE"/>
    <w:rsid w:val="00CC4ACD"/>
    <w:rsid w:val="00CC4B0A"/>
    <w:rsid w:val="00CC544A"/>
    <w:rsid w:val="00CC57EA"/>
    <w:rsid w:val="00CC5954"/>
    <w:rsid w:val="00CC629B"/>
    <w:rsid w:val="00CC6C4E"/>
    <w:rsid w:val="00CC72A4"/>
    <w:rsid w:val="00CD009D"/>
    <w:rsid w:val="00CD05A2"/>
    <w:rsid w:val="00CD0670"/>
    <w:rsid w:val="00CD2383"/>
    <w:rsid w:val="00CD29D4"/>
    <w:rsid w:val="00CD2A2E"/>
    <w:rsid w:val="00CD2B5C"/>
    <w:rsid w:val="00CD2F8D"/>
    <w:rsid w:val="00CD2FF3"/>
    <w:rsid w:val="00CD3323"/>
    <w:rsid w:val="00CD3850"/>
    <w:rsid w:val="00CD38F5"/>
    <w:rsid w:val="00CD3BF2"/>
    <w:rsid w:val="00CD437E"/>
    <w:rsid w:val="00CD4A82"/>
    <w:rsid w:val="00CD568E"/>
    <w:rsid w:val="00CD5DAD"/>
    <w:rsid w:val="00CD5E58"/>
    <w:rsid w:val="00CD72C5"/>
    <w:rsid w:val="00CD79A7"/>
    <w:rsid w:val="00CD7DC1"/>
    <w:rsid w:val="00CD7FAD"/>
    <w:rsid w:val="00CE0789"/>
    <w:rsid w:val="00CE0DA5"/>
    <w:rsid w:val="00CE0E8D"/>
    <w:rsid w:val="00CE1A03"/>
    <w:rsid w:val="00CE2346"/>
    <w:rsid w:val="00CE25B2"/>
    <w:rsid w:val="00CE2A22"/>
    <w:rsid w:val="00CE3276"/>
    <w:rsid w:val="00CE3529"/>
    <w:rsid w:val="00CE35C8"/>
    <w:rsid w:val="00CE3962"/>
    <w:rsid w:val="00CE3C3D"/>
    <w:rsid w:val="00CE4D0A"/>
    <w:rsid w:val="00CE4D1A"/>
    <w:rsid w:val="00CE4E8A"/>
    <w:rsid w:val="00CE5105"/>
    <w:rsid w:val="00CE56BD"/>
    <w:rsid w:val="00CE5EC0"/>
    <w:rsid w:val="00CE5F5B"/>
    <w:rsid w:val="00CE68AD"/>
    <w:rsid w:val="00CE6F9F"/>
    <w:rsid w:val="00CE781A"/>
    <w:rsid w:val="00CE7B08"/>
    <w:rsid w:val="00CE7D52"/>
    <w:rsid w:val="00CF052C"/>
    <w:rsid w:val="00CF05B6"/>
    <w:rsid w:val="00CF0AB7"/>
    <w:rsid w:val="00CF1D74"/>
    <w:rsid w:val="00CF2BE2"/>
    <w:rsid w:val="00CF3616"/>
    <w:rsid w:val="00CF3DEB"/>
    <w:rsid w:val="00CF40EC"/>
    <w:rsid w:val="00CF55F9"/>
    <w:rsid w:val="00CF7074"/>
    <w:rsid w:val="00CF7495"/>
    <w:rsid w:val="00D0187F"/>
    <w:rsid w:val="00D01CF9"/>
    <w:rsid w:val="00D0334D"/>
    <w:rsid w:val="00D0374D"/>
    <w:rsid w:val="00D04967"/>
    <w:rsid w:val="00D06D7B"/>
    <w:rsid w:val="00D06DA5"/>
    <w:rsid w:val="00D07191"/>
    <w:rsid w:val="00D07F1D"/>
    <w:rsid w:val="00D10558"/>
    <w:rsid w:val="00D10A85"/>
    <w:rsid w:val="00D11D4D"/>
    <w:rsid w:val="00D11DB1"/>
    <w:rsid w:val="00D120F9"/>
    <w:rsid w:val="00D12141"/>
    <w:rsid w:val="00D126DC"/>
    <w:rsid w:val="00D12AAC"/>
    <w:rsid w:val="00D12B03"/>
    <w:rsid w:val="00D13E70"/>
    <w:rsid w:val="00D13EE7"/>
    <w:rsid w:val="00D15FCD"/>
    <w:rsid w:val="00D16C58"/>
    <w:rsid w:val="00D17019"/>
    <w:rsid w:val="00D1743B"/>
    <w:rsid w:val="00D17FC8"/>
    <w:rsid w:val="00D2015B"/>
    <w:rsid w:val="00D20B44"/>
    <w:rsid w:val="00D21168"/>
    <w:rsid w:val="00D21B1F"/>
    <w:rsid w:val="00D2220A"/>
    <w:rsid w:val="00D2294A"/>
    <w:rsid w:val="00D22963"/>
    <w:rsid w:val="00D23A4B"/>
    <w:rsid w:val="00D2438C"/>
    <w:rsid w:val="00D2585A"/>
    <w:rsid w:val="00D259B0"/>
    <w:rsid w:val="00D259C2"/>
    <w:rsid w:val="00D260F5"/>
    <w:rsid w:val="00D26C3F"/>
    <w:rsid w:val="00D26E11"/>
    <w:rsid w:val="00D27185"/>
    <w:rsid w:val="00D27B5D"/>
    <w:rsid w:val="00D27F7E"/>
    <w:rsid w:val="00D3028A"/>
    <w:rsid w:val="00D30CB1"/>
    <w:rsid w:val="00D3120D"/>
    <w:rsid w:val="00D31618"/>
    <w:rsid w:val="00D318EB"/>
    <w:rsid w:val="00D319B1"/>
    <w:rsid w:val="00D31A48"/>
    <w:rsid w:val="00D3305C"/>
    <w:rsid w:val="00D33488"/>
    <w:rsid w:val="00D33AB3"/>
    <w:rsid w:val="00D33F24"/>
    <w:rsid w:val="00D34160"/>
    <w:rsid w:val="00D346B8"/>
    <w:rsid w:val="00D347E0"/>
    <w:rsid w:val="00D34CD5"/>
    <w:rsid w:val="00D34DCA"/>
    <w:rsid w:val="00D34E64"/>
    <w:rsid w:val="00D35AC8"/>
    <w:rsid w:val="00D35E5A"/>
    <w:rsid w:val="00D35E80"/>
    <w:rsid w:val="00D366AF"/>
    <w:rsid w:val="00D36F87"/>
    <w:rsid w:val="00D37E4E"/>
    <w:rsid w:val="00D400FA"/>
    <w:rsid w:val="00D413E8"/>
    <w:rsid w:val="00D417D8"/>
    <w:rsid w:val="00D41F78"/>
    <w:rsid w:val="00D425B9"/>
    <w:rsid w:val="00D426C3"/>
    <w:rsid w:val="00D42E6C"/>
    <w:rsid w:val="00D43474"/>
    <w:rsid w:val="00D434B3"/>
    <w:rsid w:val="00D4351C"/>
    <w:rsid w:val="00D43B80"/>
    <w:rsid w:val="00D4483A"/>
    <w:rsid w:val="00D44988"/>
    <w:rsid w:val="00D45ACC"/>
    <w:rsid w:val="00D45B4C"/>
    <w:rsid w:val="00D45BA4"/>
    <w:rsid w:val="00D45D8F"/>
    <w:rsid w:val="00D471AF"/>
    <w:rsid w:val="00D471E2"/>
    <w:rsid w:val="00D4724F"/>
    <w:rsid w:val="00D47965"/>
    <w:rsid w:val="00D50519"/>
    <w:rsid w:val="00D50779"/>
    <w:rsid w:val="00D510B9"/>
    <w:rsid w:val="00D51440"/>
    <w:rsid w:val="00D51601"/>
    <w:rsid w:val="00D51ECB"/>
    <w:rsid w:val="00D5264C"/>
    <w:rsid w:val="00D52780"/>
    <w:rsid w:val="00D52BBC"/>
    <w:rsid w:val="00D530EE"/>
    <w:rsid w:val="00D537FE"/>
    <w:rsid w:val="00D53C76"/>
    <w:rsid w:val="00D53CC9"/>
    <w:rsid w:val="00D53FA4"/>
    <w:rsid w:val="00D5472D"/>
    <w:rsid w:val="00D54A6A"/>
    <w:rsid w:val="00D54B8F"/>
    <w:rsid w:val="00D55848"/>
    <w:rsid w:val="00D5588A"/>
    <w:rsid w:val="00D55951"/>
    <w:rsid w:val="00D559F0"/>
    <w:rsid w:val="00D55E0C"/>
    <w:rsid w:val="00D5650F"/>
    <w:rsid w:val="00D56D22"/>
    <w:rsid w:val="00D57370"/>
    <w:rsid w:val="00D57EB6"/>
    <w:rsid w:val="00D60636"/>
    <w:rsid w:val="00D608C0"/>
    <w:rsid w:val="00D60A6F"/>
    <w:rsid w:val="00D60D6D"/>
    <w:rsid w:val="00D6128C"/>
    <w:rsid w:val="00D63507"/>
    <w:rsid w:val="00D63B22"/>
    <w:rsid w:val="00D63EA5"/>
    <w:rsid w:val="00D647B0"/>
    <w:rsid w:val="00D66D8B"/>
    <w:rsid w:val="00D700AC"/>
    <w:rsid w:val="00D70849"/>
    <w:rsid w:val="00D709D1"/>
    <w:rsid w:val="00D71803"/>
    <w:rsid w:val="00D71A6E"/>
    <w:rsid w:val="00D71B55"/>
    <w:rsid w:val="00D72297"/>
    <w:rsid w:val="00D728BF"/>
    <w:rsid w:val="00D72A1C"/>
    <w:rsid w:val="00D7308F"/>
    <w:rsid w:val="00D7313E"/>
    <w:rsid w:val="00D73580"/>
    <w:rsid w:val="00D73802"/>
    <w:rsid w:val="00D73C2C"/>
    <w:rsid w:val="00D73D52"/>
    <w:rsid w:val="00D745E7"/>
    <w:rsid w:val="00D746AE"/>
    <w:rsid w:val="00D75FDA"/>
    <w:rsid w:val="00D774ED"/>
    <w:rsid w:val="00D777C3"/>
    <w:rsid w:val="00D777D7"/>
    <w:rsid w:val="00D7797C"/>
    <w:rsid w:val="00D77C44"/>
    <w:rsid w:val="00D77F88"/>
    <w:rsid w:val="00D80EA7"/>
    <w:rsid w:val="00D81AFA"/>
    <w:rsid w:val="00D81EAA"/>
    <w:rsid w:val="00D81FE2"/>
    <w:rsid w:val="00D82438"/>
    <w:rsid w:val="00D8259F"/>
    <w:rsid w:val="00D825F2"/>
    <w:rsid w:val="00D825FF"/>
    <w:rsid w:val="00D8285C"/>
    <w:rsid w:val="00D828B1"/>
    <w:rsid w:val="00D82A55"/>
    <w:rsid w:val="00D82E76"/>
    <w:rsid w:val="00D830F8"/>
    <w:rsid w:val="00D83D49"/>
    <w:rsid w:val="00D83E2C"/>
    <w:rsid w:val="00D84181"/>
    <w:rsid w:val="00D846AD"/>
    <w:rsid w:val="00D84754"/>
    <w:rsid w:val="00D84F27"/>
    <w:rsid w:val="00D85096"/>
    <w:rsid w:val="00D853F0"/>
    <w:rsid w:val="00D85862"/>
    <w:rsid w:val="00D86D47"/>
    <w:rsid w:val="00D8710C"/>
    <w:rsid w:val="00D873C6"/>
    <w:rsid w:val="00D90240"/>
    <w:rsid w:val="00D9074A"/>
    <w:rsid w:val="00D90982"/>
    <w:rsid w:val="00D9099E"/>
    <w:rsid w:val="00D90D28"/>
    <w:rsid w:val="00D9193A"/>
    <w:rsid w:val="00D923B2"/>
    <w:rsid w:val="00D92463"/>
    <w:rsid w:val="00D9336B"/>
    <w:rsid w:val="00D93E64"/>
    <w:rsid w:val="00D93F64"/>
    <w:rsid w:val="00D940D8"/>
    <w:rsid w:val="00D94CA4"/>
    <w:rsid w:val="00D95E99"/>
    <w:rsid w:val="00D965D5"/>
    <w:rsid w:val="00D9681B"/>
    <w:rsid w:val="00D97106"/>
    <w:rsid w:val="00D97DA2"/>
    <w:rsid w:val="00DA0156"/>
    <w:rsid w:val="00DA0485"/>
    <w:rsid w:val="00DA086D"/>
    <w:rsid w:val="00DA1A3A"/>
    <w:rsid w:val="00DA2351"/>
    <w:rsid w:val="00DA249E"/>
    <w:rsid w:val="00DA2D3D"/>
    <w:rsid w:val="00DA3855"/>
    <w:rsid w:val="00DA39BA"/>
    <w:rsid w:val="00DA4C30"/>
    <w:rsid w:val="00DA6197"/>
    <w:rsid w:val="00DA641B"/>
    <w:rsid w:val="00DA6A44"/>
    <w:rsid w:val="00DA6F41"/>
    <w:rsid w:val="00DA75D0"/>
    <w:rsid w:val="00DA7A3C"/>
    <w:rsid w:val="00DB0BD7"/>
    <w:rsid w:val="00DB145E"/>
    <w:rsid w:val="00DB1713"/>
    <w:rsid w:val="00DB1A94"/>
    <w:rsid w:val="00DB1D52"/>
    <w:rsid w:val="00DB1E2B"/>
    <w:rsid w:val="00DB1F62"/>
    <w:rsid w:val="00DB21E7"/>
    <w:rsid w:val="00DB265D"/>
    <w:rsid w:val="00DB2865"/>
    <w:rsid w:val="00DB2E03"/>
    <w:rsid w:val="00DB34C2"/>
    <w:rsid w:val="00DB34E5"/>
    <w:rsid w:val="00DB3742"/>
    <w:rsid w:val="00DB3B76"/>
    <w:rsid w:val="00DB3E2E"/>
    <w:rsid w:val="00DB3E9B"/>
    <w:rsid w:val="00DB3F4B"/>
    <w:rsid w:val="00DB5375"/>
    <w:rsid w:val="00DB560E"/>
    <w:rsid w:val="00DB67C1"/>
    <w:rsid w:val="00DB6C0B"/>
    <w:rsid w:val="00DB70F4"/>
    <w:rsid w:val="00DB748A"/>
    <w:rsid w:val="00DC1056"/>
    <w:rsid w:val="00DC1442"/>
    <w:rsid w:val="00DC21D8"/>
    <w:rsid w:val="00DC282A"/>
    <w:rsid w:val="00DC2DE8"/>
    <w:rsid w:val="00DC34DC"/>
    <w:rsid w:val="00DC3780"/>
    <w:rsid w:val="00DC3ADA"/>
    <w:rsid w:val="00DC3CC6"/>
    <w:rsid w:val="00DC3F55"/>
    <w:rsid w:val="00DC419A"/>
    <w:rsid w:val="00DC4782"/>
    <w:rsid w:val="00DC514A"/>
    <w:rsid w:val="00DC565B"/>
    <w:rsid w:val="00DC58A8"/>
    <w:rsid w:val="00DC6386"/>
    <w:rsid w:val="00DC67B1"/>
    <w:rsid w:val="00DC7FBC"/>
    <w:rsid w:val="00DD0019"/>
    <w:rsid w:val="00DD0219"/>
    <w:rsid w:val="00DD132B"/>
    <w:rsid w:val="00DD1725"/>
    <w:rsid w:val="00DD2159"/>
    <w:rsid w:val="00DD218B"/>
    <w:rsid w:val="00DD2A18"/>
    <w:rsid w:val="00DD3044"/>
    <w:rsid w:val="00DD3985"/>
    <w:rsid w:val="00DD3AA6"/>
    <w:rsid w:val="00DD5992"/>
    <w:rsid w:val="00DD5AA4"/>
    <w:rsid w:val="00DD61E8"/>
    <w:rsid w:val="00DD62C0"/>
    <w:rsid w:val="00DD64DE"/>
    <w:rsid w:val="00DD66DE"/>
    <w:rsid w:val="00DD7254"/>
    <w:rsid w:val="00DD7859"/>
    <w:rsid w:val="00DD7B41"/>
    <w:rsid w:val="00DE0178"/>
    <w:rsid w:val="00DE0784"/>
    <w:rsid w:val="00DE0A1D"/>
    <w:rsid w:val="00DE129A"/>
    <w:rsid w:val="00DE15B2"/>
    <w:rsid w:val="00DE1A9A"/>
    <w:rsid w:val="00DE285C"/>
    <w:rsid w:val="00DE3D2C"/>
    <w:rsid w:val="00DE422A"/>
    <w:rsid w:val="00DE42F4"/>
    <w:rsid w:val="00DE4E28"/>
    <w:rsid w:val="00DE599B"/>
    <w:rsid w:val="00DE5E15"/>
    <w:rsid w:val="00DE5E82"/>
    <w:rsid w:val="00DE5FA6"/>
    <w:rsid w:val="00DE6516"/>
    <w:rsid w:val="00DE669F"/>
    <w:rsid w:val="00DE6792"/>
    <w:rsid w:val="00DE68CC"/>
    <w:rsid w:val="00DE6AA1"/>
    <w:rsid w:val="00DE797D"/>
    <w:rsid w:val="00DE7A5A"/>
    <w:rsid w:val="00DE7EF7"/>
    <w:rsid w:val="00DF015B"/>
    <w:rsid w:val="00DF01AB"/>
    <w:rsid w:val="00DF02EC"/>
    <w:rsid w:val="00DF0F66"/>
    <w:rsid w:val="00DF10FC"/>
    <w:rsid w:val="00DF1185"/>
    <w:rsid w:val="00DF1263"/>
    <w:rsid w:val="00DF1299"/>
    <w:rsid w:val="00DF1A70"/>
    <w:rsid w:val="00DF1E5F"/>
    <w:rsid w:val="00DF23A8"/>
    <w:rsid w:val="00DF2514"/>
    <w:rsid w:val="00DF2B0B"/>
    <w:rsid w:val="00DF2F27"/>
    <w:rsid w:val="00DF3473"/>
    <w:rsid w:val="00DF36B6"/>
    <w:rsid w:val="00DF4296"/>
    <w:rsid w:val="00DF5267"/>
    <w:rsid w:val="00DF53F0"/>
    <w:rsid w:val="00DF5B5D"/>
    <w:rsid w:val="00DF5F38"/>
    <w:rsid w:val="00DF6608"/>
    <w:rsid w:val="00DF6CCC"/>
    <w:rsid w:val="00DF6D0C"/>
    <w:rsid w:val="00DF6F64"/>
    <w:rsid w:val="00DF721E"/>
    <w:rsid w:val="00DF735C"/>
    <w:rsid w:val="00DF7549"/>
    <w:rsid w:val="00DF7562"/>
    <w:rsid w:val="00DF7B8A"/>
    <w:rsid w:val="00DF7C87"/>
    <w:rsid w:val="00E005B9"/>
    <w:rsid w:val="00E009B0"/>
    <w:rsid w:val="00E00A12"/>
    <w:rsid w:val="00E00B39"/>
    <w:rsid w:val="00E00C49"/>
    <w:rsid w:val="00E00F51"/>
    <w:rsid w:val="00E01C9C"/>
    <w:rsid w:val="00E01D5F"/>
    <w:rsid w:val="00E0219D"/>
    <w:rsid w:val="00E02946"/>
    <w:rsid w:val="00E037B6"/>
    <w:rsid w:val="00E04C0F"/>
    <w:rsid w:val="00E04E6E"/>
    <w:rsid w:val="00E050AC"/>
    <w:rsid w:val="00E0570B"/>
    <w:rsid w:val="00E06462"/>
    <w:rsid w:val="00E069C5"/>
    <w:rsid w:val="00E1090B"/>
    <w:rsid w:val="00E10913"/>
    <w:rsid w:val="00E10B87"/>
    <w:rsid w:val="00E11111"/>
    <w:rsid w:val="00E112CA"/>
    <w:rsid w:val="00E121CE"/>
    <w:rsid w:val="00E12209"/>
    <w:rsid w:val="00E1264F"/>
    <w:rsid w:val="00E1303E"/>
    <w:rsid w:val="00E139EF"/>
    <w:rsid w:val="00E1478B"/>
    <w:rsid w:val="00E14FAC"/>
    <w:rsid w:val="00E15007"/>
    <w:rsid w:val="00E155A7"/>
    <w:rsid w:val="00E15649"/>
    <w:rsid w:val="00E15762"/>
    <w:rsid w:val="00E159B3"/>
    <w:rsid w:val="00E15A62"/>
    <w:rsid w:val="00E16000"/>
    <w:rsid w:val="00E16277"/>
    <w:rsid w:val="00E167F8"/>
    <w:rsid w:val="00E16EC7"/>
    <w:rsid w:val="00E16ED0"/>
    <w:rsid w:val="00E1795E"/>
    <w:rsid w:val="00E17DCC"/>
    <w:rsid w:val="00E17F45"/>
    <w:rsid w:val="00E2136E"/>
    <w:rsid w:val="00E219CE"/>
    <w:rsid w:val="00E21D93"/>
    <w:rsid w:val="00E22D2A"/>
    <w:rsid w:val="00E24071"/>
    <w:rsid w:val="00E24DCA"/>
    <w:rsid w:val="00E24EBC"/>
    <w:rsid w:val="00E2522C"/>
    <w:rsid w:val="00E2552F"/>
    <w:rsid w:val="00E2599B"/>
    <w:rsid w:val="00E2710C"/>
    <w:rsid w:val="00E272BD"/>
    <w:rsid w:val="00E27428"/>
    <w:rsid w:val="00E27E26"/>
    <w:rsid w:val="00E305B4"/>
    <w:rsid w:val="00E31170"/>
    <w:rsid w:val="00E31AFA"/>
    <w:rsid w:val="00E31CB7"/>
    <w:rsid w:val="00E324EE"/>
    <w:rsid w:val="00E32BCB"/>
    <w:rsid w:val="00E3384C"/>
    <w:rsid w:val="00E34D0D"/>
    <w:rsid w:val="00E34DB1"/>
    <w:rsid w:val="00E35931"/>
    <w:rsid w:val="00E359FF"/>
    <w:rsid w:val="00E35D0D"/>
    <w:rsid w:val="00E36634"/>
    <w:rsid w:val="00E3699A"/>
    <w:rsid w:val="00E3758C"/>
    <w:rsid w:val="00E402C5"/>
    <w:rsid w:val="00E402F4"/>
    <w:rsid w:val="00E405F1"/>
    <w:rsid w:val="00E417DB"/>
    <w:rsid w:val="00E43054"/>
    <w:rsid w:val="00E43479"/>
    <w:rsid w:val="00E43655"/>
    <w:rsid w:val="00E436B2"/>
    <w:rsid w:val="00E44440"/>
    <w:rsid w:val="00E44A6D"/>
    <w:rsid w:val="00E44ECB"/>
    <w:rsid w:val="00E46013"/>
    <w:rsid w:val="00E4688E"/>
    <w:rsid w:val="00E46C19"/>
    <w:rsid w:val="00E47099"/>
    <w:rsid w:val="00E47284"/>
    <w:rsid w:val="00E477C3"/>
    <w:rsid w:val="00E50AB1"/>
    <w:rsid w:val="00E50E0F"/>
    <w:rsid w:val="00E51E16"/>
    <w:rsid w:val="00E52DED"/>
    <w:rsid w:val="00E53730"/>
    <w:rsid w:val="00E542FA"/>
    <w:rsid w:val="00E5438D"/>
    <w:rsid w:val="00E54511"/>
    <w:rsid w:val="00E5475B"/>
    <w:rsid w:val="00E54E50"/>
    <w:rsid w:val="00E55288"/>
    <w:rsid w:val="00E562DE"/>
    <w:rsid w:val="00E56423"/>
    <w:rsid w:val="00E57577"/>
    <w:rsid w:val="00E60B55"/>
    <w:rsid w:val="00E6101D"/>
    <w:rsid w:val="00E62043"/>
    <w:rsid w:val="00E626B9"/>
    <w:rsid w:val="00E627C9"/>
    <w:rsid w:val="00E630F3"/>
    <w:rsid w:val="00E6332F"/>
    <w:rsid w:val="00E637C9"/>
    <w:rsid w:val="00E637FF"/>
    <w:rsid w:val="00E6402D"/>
    <w:rsid w:val="00E642A3"/>
    <w:rsid w:val="00E64BF0"/>
    <w:rsid w:val="00E65FE2"/>
    <w:rsid w:val="00E6656F"/>
    <w:rsid w:val="00E6680A"/>
    <w:rsid w:val="00E66825"/>
    <w:rsid w:val="00E66F0D"/>
    <w:rsid w:val="00E7028E"/>
    <w:rsid w:val="00E70615"/>
    <w:rsid w:val="00E70DE7"/>
    <w:rsid w:val="00E7161E"/>
    <w:rsid w:val="00E71654"/>
    <w:rsid w:val="00E717C3"/>
    <w:rsid w:val="00E71E71"/>
    <w:rsid w:val="00E7207B"/>
    <w:rsid w:val="00E7347A"/>
    <w:rsid w:val="00E75A47"/>
    <w:rsid w:val="00E75B99"/>
    <w:rsid w:val="00E75BB6"/>
    <w:rsid w:val="00E75D8C"/>
    <w:rsid w:val="00E75EF0"/>
    <w:rsid w:val="00E777F2"/>
    <w:rsid w:val="00E802C9"/>
    <w:rsid w:val="00E80BFB"/>
    <w:rsid w:val="00E80EC2"/>
    <w:rsid w:val="00E80F0A"/>
    <w:rsid w:val="00E815D4"/>
    <w:rsid w:val="00E8291B"/>
    <w:rsid w:val="00E82E70"/>
    <w:rsid w:val="00E82F92"/>
    <w:rsid w:val="00E830C6"/>
    <w:rsid w:val="00E83459"/>
    <w:rsid w:val="00E8395F"/>
    <w:rsid w:val="00E8410F"/>
    <w:rsid w:val="00E849D7"/>
    <w:rsid w:val="00E85E41"/>
    <w:rsid w:val="00E85E70"/>
    <w:rsid w:val="00E85E95"/>
    <w:rsid w:val="00E85EA1"/>
    <w:rsid w:val="00E85ED0"/>
    <w:rsid w:val="00E86316"/>
    <w:rsid w:val="00E86703"/>
    <w:rsid w:val="00E87BA0"/>
    <w:rsid w:val="00E900DA"/>
    <w:rsid w:val="00E91044"/>
    <w:rsid w:val="00E910D3"/>
    <w:rsid w:val="00E91E5B"/>
    <w:rsid w:val="00E92049"/>
    <w:rsid w:val="00E92097"/>
    <w:rsid w:val="00E92154"/>
    <w:rsid w:val="00E923CF"/>
    <w:rsid w:val="00E9273B"/>
    <w:rsid w:val="00E92E9B"/>
    <w:rsid w:val="00E93685"/>
    <w:rsid w:val="00E93B65"/>
    <w:rsid w:val="00E93C8C"/>
    <w:rsid w:val="00E94540"/>
    <w:rsid w:val="00E948D5"/>
    <w:rsid w:val="00E94E25"/>
    <w:rsid w:val="00E95111"/>
    <w:rsid w:val="00E95D08"/>
    <w:rsid w:val="00E95FDF"/>
    <w:rsid w:val="00E97232"/>
    <w:rsid w:val="00E97D44"/>
    <w:rsid w:val="00EA06ED"/>
    <w:rsid w:val="00EA14C8"/>
    <w:rsid w:val="00EA18C5"/>
    <w:rsid w:val="00EA1BBD"/>
    <w:rsid w:val="00EA2110"/>
    <w:rsid w:val="00EA283A"/>
    <w:rsid w:val="00EA2C90"/>
    <w:rsid w:val="00EA2E07"/>
    <w:rsid w:val="00EA2E45"/>
    <w:rsid w:val="00EA2FF3"/>
    <w:rsid w:val="00EA383B"/>
    <w:rsid w:val="00EA48F3"/>
    <w:rsid w:val="00EA559B"/>
    <w:rsid w:val="00EA5B48"/>
    <w:rsid w:val="00EA5C82"/>
    <w:rsid w:val="00EA60BF"/>
    <w:rsid w:val="00EA66A3"/>
    <w:rsid w:val="00EA6CC9"/>
    <w:rsid w:val="00EA7365"/>
    <w:rsid w:val="00EA74C5"/>
    <w:rsid w:val="00EA763F"/>
    <w:rsid w:val="00EA77E9"/>
    <w:rsid w:val="00EA7A93"/>
    <w:rsid w:val="00EB0105"/>
    <w:rsid w:val="00EB0202"/>
    <w:rsid w:val="00EB05D0"/>
    <w:rsid w:val="00EB0BB5"/>
    <w:rsid w:val="00EB1151"/>
    <w:rsid w:val="00EB1CF8"/>
    <w:rsid w:val="00EB1D49"/>
    <w:rsid w:val="00EB23D9"/>
    <w:rsid w:val="00EB39A0"/>
    <w:rsid w:val="00EB430A"/>
    <w:rsid w:val="00EB4A65"/>
    <w:rsid w:val="00EB500A"/>
    <w:rsid w:val="00EB5447"/>
    <w:rsid w:val="00EB559F"/>
    <w:rsid w:val="00EB566C"/>
    <w:rsid w:val="00EB5806"/>
    <w:rsid w:val="00EB5A18"/>
    <w:rsid w:val="00EB5DDB"/>
    <w:rsid w:val="00EB5F3D"/>
    <w:rsid w:val="00EB670A"/>
    <w:rsid w:val="00EB6BB0"/>
    <w:rsid w:val="00EB6C97"/>
    <w:rsid w:val="00EC05B2"/>
    <w:rsid w:val="00EC090B"/>
    <w:rsid w:val="00EC0D3E"/>
    <w:rsid w:val="00EC1412"/>
    <w:rsid w:val="00EC1CEB"/>
    <w:rsid w:val="00EC1DC0"/>
    <w:rsid w:val="00EC1DC2"/>
    <w:rsid w:val="00EC1E09"/>
    <w:rsid w:val="00EC210E"/>
    <w:rsid w:val="00EC21EC"/>
    <w:rsid w:val="00EC24B8"/>
    <w:rsid w:val="00EC268C"/>
    <w:rsid w:val="00EC33EC"/>
    <w:rsid w:val="00EC3753"/>
    <w:rsid w:val="00EC3DDB"/>
    <w:rsid w:val="00EC4E48"/>
    <w:rsid w:val="00EC4E71"/>
    <w:rsid w:val="00EC5658"/>
    <w:rsid w:val="00EC5F1C"/>
    <w:rsid w:val="00EC5F81"/>
    <w:rsid w:val="00EC6D2D"/>
    <w:rsid w:val="00EC6E2B"/>
    <w:rsid w:val="00EC740C"/>
    <w:rsid w:val="00EC7840"/>
    <w:rsid w:val="00ED0365"/>
    <w:rsid w:val="00ED0865"/>
    <w:rsid w:val="00ED0C1C"/>
    <w:rsid w:val="00ED0CAC"/>
    <w:rsid w:val="00ED1237"/>
    <w:rsid w:val="00ED14BC"/>
    <w:rsid w:val="00ED1C60"/>
    <w:rsid w:val="00ED2EB9"/>
    <w:rsid w:val="00ED30D8"/>
    <w:rsid w:val="00ED3722"/>
    <w:rsid w:val="00ED3A31"/>
    <w:rsid w:val="00ED3DF1"/>
    <w:rsid w:val="00ED3FCD"/>
    <w:rsid w:val="00ED4469"/>
    <w:rsid w:val="00ED4708"/>
    <w:rsid w:val="00ED5424"/>
    <w:rsid w:val="00ED5F23"/>
    <w:rsid w:val="00ED6DC0"/>
    <w:rsid w:val="00ED736E"/>
    <w:rsid w:val="00ED73B2"/>
    <w:rsid w:val="00ED7A7A"/>
    <w:rsid w:val="00EE0327"/>
    <w:rsid w:val="00EE038C"/>
    <w:rsid w:val="00EE10A9"/>
    <w:rsid w:val="00EE1E32"/>
    <w:rsid w:val="00EE28C5"/>
    <w:rsid w:val="00EE2F09"/>
    <w:rsid w:val="00EE3097"/>
    <w:rsid w:val="00EE3A06"/>
    <w:rsid w:val="00EE47C5"/>
    <w:rsid w:val="00EE490C"/>
    <w:rsid w:val="00EE4B4E"/>
    <w:rsid w:val="00EE4E57"/>
    <w:rsid w:val="00EE5738"/>
    <w:rsid w:val="00EE58BD"/>
    <w:rsid w:val="00EE5E59"/>
    <w:rsid w:val="00EE73D0"/>
    <w:rsid w:val="00EE7CB0"/>
    <w:rsid w:val="00EF08A8"/>
    <w:rsid w:val="00EF13A1"/>
    <w:rsid w:val="00EF167B"/>
    <w:rsid w:val="00EF2077"/>
    <w:rsid w:val="00EF21B1"/>
    <w:rsid w:val="00EF2445"/>
    <w:rsid w:val="00EF2496"/>
    <w:rsid w:val="00EF297E"/>
    <w:rsid w:val="00EF2B28"/>
    <w:rsid w:val="00EF2E52"/>
    <w:rsid w:val="00EF414F"/>
    <w:rsid w:val="00EF41A8"/>
    <w:rsid w:val="00EF44FB"/>
    <w:rsid w:val="00EF4ED4"/>
    <w:rsid w:val="00EF5122"/>
    <w:rsid w:val="00EF5554"/>
    <w:rsid w:val="00EF5AD8"/>
    <w:rsid w:val="00EF613D"/>
    <w:rsid w:val="00EF6215"/>
    <w:rsid w:val="00EF62D4"/>
    <w:rsid w:val="00EF63B9"/>
    <w:rsid w:val="00EF6B90"/>
    <w:rsid w:val="00EF745D"/>
    <w:rsid w:val="00EF7807"/>
    <w:rsid w:val="00EF79F7"/>
    <w:rsid w:val="00F006C0"/>
    <w:rsid w:val="00F00FE9"/>
    <w:rsid w:val="00F0125F"/>
    <w:rsid w:val="00F012D2"/>
    <w:rsid w:val="00F019AA"/>
    <w:rsid w:val="00F0267E"/>
    <w:rsid w:val="00F02686"/>
    <w:rsid w:val="00F030C0"/>
    <w:rsid w:val="00F03192"/>
    <w:rsid w:val="00F03291"/>
    <w:rsid w:val="00F03A85"/>
    <w:rsid w:val="00F0459B"/>
    <w:rsid w:val="00F04E15"/>
    <w:rsid w:val="00F05DF3"/>
    <w:rsid w:val="00F05F9E"/>
    <w:rsid w:val="00F06370"/>
    <w:rsid w:val="00F06829"/>
    <w:rsid w:val="00F069EA"/>
    <w:rsid w:val="00F070E5"/>
    <w:rsid w:val="00F075DC"/>
    <w:rsid w:val="00F07DDE"/>
    <w:rsid w:val="00F1087E"/>
    <w:rsid w:val="00F11675"/>
    <w:rsid w:val="00F11DC7"/>
    <w:rsid w:val="00F123DA"/>
    <w:rsid w:val="00F12557"/>
    <w:rsid w:val="00F12841"/>
    <w:rsid w:val="00F13599"/>
    <w:rsid w:val="00F13A77"/>
    <w:rsid w:val="00F13B28"/>
    <w:rsid w:val="00F13BC0"/>
    <w:rsid w:val="00F1409F"/>
    <w:rsid w:val="00F14489"/>
    <w:rsid w:val="00F15207"/>
    <w:rsid w:val="00F156A0"/>
    <w:rsid w:val="00F15730"/>
    <w:rsid w:val="00F15FF4"/>
    <w:rsid w:val="00F1635E"/>
    <w:rsid w:val="00F176A6"/>
    <w:rsid w:val="00F176BE"/>
    <w:rsid w:val="00F17792"/>
    <w:rsid w:val="00F202C2"/>
    <w:rsid w:val="00F206D6"/>
    <w:rsid w:val="00F212F6"/>
    <w:rsid w:val="00F21E8F"/>
    <w:rsid w:val="00F22756"/>
    <w:rsid w:val="00F23248"/>
    <w:rsid w:val="00F23742"/>
    <w:rsid w:val="00F23890"/>
    <w:rsid w:val="00F2504D"/>
    <w:rsid w:val="00F25977"/>
    <w:rsid w:val="00F2637F"/>
    <w:rsid w:val="00F268F7"/>
    <w:rsid w:val="00F26B81"/>
    <w:rsid w:val="00F27F62"/>
    <w:rsid w:val="00F308B7"/>
    <w:rsid w:val="00F30B83"/>
    <w:rsid w:val="00F30BDB"/>
    <w:rsid w:val="00F30CF8"/>
    <w:rsid w:val="00F31EDF"/>
    <w:rsid w:val="00F32CDE"/>
    <w:rsid w:val="00F32D4C"/>
    <w:rsid w:val="00F3327E"/>
    <w:rsid w:val="00F335E7"/>
    <w:rsid w:val="00F338C3"/>
    <w:rsid w:val="00F34B14"/>
    <w:rsid w:val="00F34F58"/>
    <w:rsid w:val="00F352C1"/>
    <w:rsid w:val="00F35DA7"/>
    <w:rsid w:val="00F36A6A"/>
    <w:rsid w:val="00F40101"/>
    <w:rsid w:val="00F404F7"/>
    <w:rsid w:val="00F40CCA"/>
    <w:rsid w:val="00F40FD3"/>
    <w:rsid w:val="00F41A3C"/>
    <w:rsid w:val="00F423BC"/>
    <w:rsid w:val="00F42D97"/>
    <w:rsid w:val="00F42FCF"/>
    <w:rsid w:val="00F43145"/>
    <w:rsid w:val="00F436B2"/>
    <w:rsid w:val="00F43813"/>
    <w:rsid w:val="00F438AF"/>
    <w:rsid w:val="00F43FEE"/>
    <w:rsid w:val="00F4492F"/>
    <w:rsid w:val="00F44DFD"/>
    <w:rsid w:val="00F45A72"/>
    <w:rsid w:val="00F45BDB"/>
    <w:rsid w:val="00F46723"/>
    <w:rsid w:val="00F4706D"/>
    <w:rsid w:val="00F476E1"/>
    <w:rsid w:val="00F47D1D"/>
    <w:rsid w:val="00F47F29"/>
    <w:rsid w:val="00F50016"/>
    <w:rsid w:val="00F50736"/>
    <w:rsid w:val="00F50A5A"/>
    <w:rsid w:val="00F5118A"/>
    <w:rsid w:val="00F51A21"/>
    <w:rsid w:val="00F52614"/>
    <w:rsid w:val="00F5276E"/>
    <w:rsid w:val="00F52E9F"/>
    <w:rsid w:val="00F53304"/>
    <w:rsid w:val="00F53B81"/>
    <w:rsid w:val="00F53C1F"/>
    <w:rsid w:val="00F53E77"/>
    <w:rsid w:val="00F540FE"/>
    <w:rsid w:val="00F5459A"/>
    <w:rsid w:val="00F554F4"/>
    <w:rsid w:val="00F556FF"/>
    <w:rsid w:val="00F55D12"/>
    <w:rsid w:val="00F5687F"/>
    <w:rsid w:val="00F56D3F"/>
    <w:rsid w:val="00F56DF8"/>
    <w:rsid w:val="00F57301"/>
    <w:rsid w:val="00F575C7"/>
    <w:rsid w:val="00F57FD0"/>
    <w:rsid w:val="00F60305"/>
    <w:rsid w:val="00F60F2F"/>
    <w:rsid w:val="00F6141A"/>
    <w:rsid w:val="00F61688"/>
    <w:rsid w:val="00F61B12"/>
    <w:rsid w:val="00F61C70"/>
    <w:rsid w:val="00F63264"/>
    <w:rsid w:val="00F634E4"/>
    <w:rsid w:val="00F63688"/>
    <w:rsid w:val="00F6379E"/>
    <w:rsid w:val="00F63A6F"/>
    <w:rsid w:val="00F64047"/>
    <w:rsid w:val="00F65171"/>
    <w:rsid w:val="00F6560D"/>
    <w:rsid w:val="00F657ED"/>
    <w:rsid w:val="00F66558"/>
    <w:rsid w:val="00F6770C"/>
    <w:rsid w:val="00F67844"/>
    <w:rsid w:val="00F7034F"/>
    <w:rsid w:val="00F70480"/>
    <w:rsid w:val="00F70799"/>
    <w:rsid w:val="00F70A8B"/>
    <w:rsid w:val="00F70B8D"/>
    <w:rsid w:val="00F70C48"/>
    <w:rsid w:val="00F71439"/>
    <w:rsid w:val="00F71936"/>
    <w:rsid w:val="00F71C31"/>
    <w:rsid w:val="00F724FB"/>
    <w:rsid w:val="00F726B8"/>
    <w:rsid w:val="00F7278A"/>
    <w:rsid w:val="00F72A26"/>
    <w:rsid w:val="00F733C3"/>
    <w:rsid w:val="00F733E6"/>
    <w:rsid w:val="00F733FB"/>
    <w:rsid w:val="00F73854"/>
    <w:rsid w:val="00F73E4F"/>
    <w:rsid w:val="00F746A1"/>
    <w:rsid w:val="00F74820"/>
    <w:rsid w:val="00F74F66"/>
    <w:rsid w:val="00F756DD"/>
    <w:rsid w:val="00F7669E"/>
    <w:rsid w:val="00F76C68"/>
    <w:rsid w:val="00F7710B"/>
    <w:rsid w:val="00F77AB0"/>
    <w:rsid w:val="00F77F4E"/>
    <w:rsid w:val="00F80047"/>
    <w:rsid w:val="00F800C7"/>
    <w:rsid w:val="00F8104D"/>
    <w:rsid w:val="00F8153F"/>
    <w:rsid w:val="00F81587"/>
    <w:rsid w:val="00F8288F"/>
    <w:rsid w:val="00F82892"/>
    <w:rsid w:val="00F8376E"/>
    <w:rsid w:val="00F83B3E"/>
    <w:rsid w:val="00F83C52"/>
    <w:rsid w:val="00F84802"/>
    <w:rsid w:val="00F84BE0"/>
    <w:rsid w:val="00F853C6"/>
    <w:rsid w:val="00F8573B"/>
    <w:rsid w:val="00F85B72"/>
    <w:rsid w:val="00F86540"/>
    <w:rsid w:val="00F865CE"/>
    <w:rsid w:val="00F87177"/>
    <w:rsid w:val="00F8766F"/>
    <w:rsid w:val="00F90282"/>
    <w:rsid w:val="00F91082"/>
    <w:rsid w:val="00F9116D"/>
    <w:rsid w:val="00F91342"/>
    <w:rsid w:val="00F9173D"/>
    <w:rsid w:val="00F917CF"/>
    <w:rsid w:val="00F91A9A"/>
    <w:rsid w:val="00F92634"/>
    <w:rsid w:val="00F933F3"/>
    <w:rsid w:val="00F93ABB"/>
    <w:rsid w:val="00F93E74"/>
    <w:rsid w:val="00F94D79"/>
    <w:rsid w:val="00F95097"/>
    <w:rsid w:val="00F951C8"/>
    <w:rsid w:val="00F96381"/>
    <w:rsid w:val="00F9658C"/>
    <w:rsid w:val="00F96B0D"/>
    <w:rsid w:val="00F96EEB"/>
    <w:rsid w:val="00F97A05"/>
    <w:rsid w:val="00F97A7F"/>
    <w:rsid w:val="00F97B1B"/>
    <w:rsid w:val="00F97CD0"/>
    <w:rsid w:val="00FA0889"/>
    <w:rsid w:val="00FA0F85"/>
    <w:rsid w:val="00FA16E7"/>
    <w:rsid w:val="00FA2FF6"/>
    <w:rsid w:val="00FA31C7"/>
    <w:rsid w:val="00FA472D"/>
    <w:rsid w:val="00FA681F"/>
    <w:rsid w:val="00FA72B4"/>
    <w:rsid w:val="00FB0CBF"/>
    <w:rsid w:val="00FB179D"/>
    <w:rsid w:val="00FB18F6"/>
    <w:rsid w:val="00FB21EA"/>
    <w:rsid w:val="00FB2A52"/>
    <w:rsid w:val="00FB3F92"/>
    <w:rsid w:val="00FB52C7"/>
    <w:rsid w:val="00FB559E"/>
    <w:rsid w:val="00FB57DC"/>
    <w:rsid w:val="00FB5D47"/>
    <w:rsid w:val="00FB603B"/>
    <w:rsid w:val="00FB6651"/>
    <w:rsid w:val="00FB69AC"/>
    <w:rsid w:val="00FB6C39"/>
    <w:rsid w:val="00FB6C77"/>
    <w:rsid w:val="00FB6E19"/>
    <w:rsid w:val="00FB71F6"/>
    <w:rsid w:val="00FC04AB"/>
    <w:rsid w:val="00FC0669"/>
    <w:rsid w:val="00FC07AF"/>
    <w:rsid w:val="00FC0AF8"/>
    <w:rsid w:val="00FC0B69"/>
    <w:rsid w:val="00FC0D23"/>
    <w:rsid w:val="00FC1483"/>
    <w:rsid w:val="00FC1B24"/>
    <w:rsid w:val="00FC1C47"/>
    <w:rsid w:val="00FC3102"/>
    <w:rsid w:val="00FC39ED"/>
    <w:rsid w:val="00FC4419"/>
    <w:rsid w:val="00FC4490"/>
    <w:rsid w:val="00FC47E2"/>
    <w:rsid w:val="00FC4AA5"/>
    <w:rsid w:val="00FC4B88"/>
    <w:rsid w:val="00FC4BB8"/>
    <w:rsid w:val="00FC4D64"/>
    <w:rsid w:val="00FC5148"/>
    <w:rsid w:val="00FC5574"/>
    <w:rsid w:val="00FC6524"/>
    <w:rsid w:val="00FC6B58"/>
    <w:rsid w:val="00FC75AC"/>
    <w:rsid w:val="00FC7984"/>
    <w:rsid w:val="00FD01BF"/>
    <w:rsid w:val="00FD038C"/>
    <w:rsid w:val="00FD0525"/>
    <w:rsid w:val="00FD0668"/>
    <w:rsid w:val="00FD0AB7"/>
    <w:rsid w:val="00FD1E5E"/>
    <w:rsid w:val="00FD297D"/>
    <w:rsid w:val="00FD2D13"/>
    <w:rsid w:val="00FD374D"/>
    <w:rsid w:val="00FD38E3"/>
    <w:rsid w:val="00FD5F99"/>
    <w:rsid w:val="00FD6071"/>
    <w:rsid w:val="00FD633B"/>
    <w:rsid w:val="00FD7F4D"/>
    <w:rsid w:val="00FE0794"/>
    <w:rsid w:val="00FE1041"/>
    <w:rsid w:val="00FE18B8"/>
    <w:rsid w:val="00FE1EC3"/>
    <w:rsid w:val="00FE24CB"/>
    <w:rsid w:val="00FE2C4E"/>
    <w:rsid w:val="00FE323F"/>
    <w:rsid w:val="00FE3473"/>
    <w:rsid w:val="00FE4049"/>
    <w:rsid w:val="00FE417A"/>
    <w:rsid w:val="00FE43C5"/>
    <w:rsid w:val="00FE4794"/>
    <w:rsid w:val="00FE480F"/>
    <w:rsid w:val="00FE4998"/>
    <w:rsid w:val="00FE57DE"/>
    <w:rsid w:val="00FE6693"/>
    <w:rsid w:val="00FE7A68"/>
    <w:rsid w:val="00FE7D57"/>
    <w:rsid w:val="00FF0231"/>
    <w:rsid w:val="00FF1C9B"/>
    <w:rsid w:val="00FF1D49"/>
    <w:rsid w:val="00FF1EC9"/>
    <w:rsid w:val="00FF1FC6"/>
    <w:rsid w:val="00FF203B"/>
    <w:rsid w:val="00FF2334"/>
    <w:rsid w:val="00FF2562"/>
    <w:rsid w:val="00FF3913"/>
    <w:rsid w:val="00FF3A41"/>
    <w:rsid w:val="00FF3E5B"/>
    <w:rsid w:val="00FF4743"/>
    <w:rsid w:val="00FF50C2"/>
    <w:rsid w:val="00FF57E4"/>
    <w:rsid w:val="00FF598F"/>
    <w:rsid w:val="00FF6868"/>
    <w:rsid w:val="00FF6A8F"/>
    <w:rsid w:val="00FF78E5"/>
    <w:rsid w:val="01114706"/>
    <w:rsid w:val="012C5FAF"/>
    <w:rsid w:val="01317245"/>
    <w:rsid w:val="0160084E"/>
    <w:rsid w:val="016025FC"/>
    <w:rsid w:val="0183453D"/>
    <w:rsid w:val="01AF3D99"/>
    <w:rsid w:val="01C56903"/>
    <w:rsid w:val="01E965FE"/>
    <w:rsid w:val="01FA65AD"/>
    <w:rsid w:val="01FD42EF"/>
    <w:rsid w:val="02121FAF"/>
    <w:rsid w:val="02187227"/>
    <w:rsid w:val="02194667"/>
    <w:rsid w:val="02235B22"/>
    <w:rsid w:val="023006C8"/>
    <w:rsid w:val="02301FCF"/>
    <w:rsid w:val="024952F5"/>
    <w:rsid w:val="02511F9D"/>
    <w:rsid w:val="025B2DC4"/>
    <w:rsid w:val="0262069D"/>
    <w:rsid w:val="02654202"/>
    <w:rsid w:val="02671768"/>
    <w:rsid w:val="02693733"/>
    <w:rsid w:val="0288005D"/>
    <w:rsid w:val="028D788A"/>
    <w:rsid w:val="0309523C"/>
    <w:rsid w:val="03152B8D"/>
    <w:rsid w:val="032647F2"/>
    <w:rsid w:val="03280EF8"/>
    <w:rsid w:val="033B71FB"/>
    <w:rsid w:val="034A5312"/>
    <w:rsid w:val="03927630"/>
    <w:rsid w:val="039508CF"/>
    <w:rsid w:val="03A314B8"/>
    <w:rsid w:val="03A327A1"/>
    <w:rsid w:val="03D82B98"/>
    <w:rsid w:val="03DD6186"/>
    <w:rsid w:val="03DE5A5A"/>
    <w:rsid w:val="03E017D2"/>
    <w:rsid w:val="03F83E8B"/>
    <w:rsid w:val="04161698"/>
    <w:rsid w:val="042913CB"/>
    <w:rsid w:val="043C78EA"/>
    <w:rsid w:val="04583D48"/>
    <w:rsid w:val="0467151D"/>
    <w:rsid w:val="046B474E"/>
    <w:rsid w:val="046C12B8"/>
    <w:rsid w:val="046E2761"/>
    <w:rsid w:val="04852E0F"/>
    <w:rsid w:val="04956F3E"/>
    <w:rsid w:val="04B7715C"/>
    <w:rsid w:val="04C11604"/>
    <w:rsid w:val="04C86939"/>
    <w:rsid w:val="04D8694E"/>
    <w:rsid w:val="04E452F2"/>
    <w:rsid w:val="04EF0912"/>
    <w:rsid w:val="051536FE"/>
    <w:rsid w:val="05355B4E"/>
    <w:rsid w:val="056B2DAB"/>
    <w:rsid w:val="05720B50"/>
    <w:rsid w:val="058E055E"/>
    <w:rsid w:val="05997890"/>
    <w:rsid w:val="059A76B0"/>
    <w:rsid w:val="05A14F91"/>
    <w:rsid w:val="05BD626F"/>
    <w:rsid w:val="05C56868"/>
    <w:rsid w:val="06071298"/>
    <w:rsid w:val="060C68AF"/>
    <w:rsid w:val="0644429B"/>
    <w:rsid w:val="06473D8B"/>
    <w:rsid w:val="06585F98"/>
    <w:rsid w:val="066F5090"/>
    <w:rsid w:val="066F6E3E"/>
    <w:rsid w:val="06C21663"/>
    <w:rsid w:val="06E00316"/>
    <w:rsid w:val="070270E7"/>
    <w:rsid w:val="07067E76"/>
    <w:rsid w:val="070D0B30"/>
    <w:rsid w:val="070E48A8"/>
    <w:rsid w:val="071F0864"/>
    <w:rsid w:val="072C60EE"/>
    <w:rsid w:val="07554285"/>
    <w:rsid w:val="0765096C"/>
    <w:rsid w:val="077E37DC"/>
    <w:rsid w:val="078A03D3"/>
    <w:rsid w:val="07A539BD"/>
    <w:rsid w:val="07AE093B"/>
    <w:rsid w:val="07B72767"/>
    <w:rsid w:val="07B92A66"/>
    <w:rsid w:val="07DC0503"/>
    <w:rsid w:val="07E05575"/>
    <w:rsid w:val="07ED44BE"/>
    <w:rsid w:val="08077E72"/>
    <w:rsid w:val="081E6D6D"/>
    <w:rsid w:val="08204893"/>
    <w:rsid w:val="083C1934"/>
    <w:rsid w:val="08493DEA"/>
    <w:rsid w:val="08510EF1"/>
    <w:rsid w:val="08591B53"/>
    <w:rsid w:val="0880615A"/>
    <w:rsid w:val="08882DD0"/>
    <w:rsid w:val="08A059D4"/>
    <w:rsid w:val="08A35C3C"/>
    <w:rsid w:val="08A52FEB"/>
    <w:rsid w:val="08AC07D5"/>
    <w:rsid w:val="08AC6127"/>
    <w:rsid w:val="08B52A4B"/>
    <w:rsid w:val="08DB6A0C"/>
    <w:rsid w:val="08ED6E6B"/>
    <w:rsid w:val="08F301FA"/>
    <w:rsid w:val="09023F99"/>
    <w:rsid w:val="09045F63"/>
    <w:rsid w:val="09110F69"/>
    <w:rsid w:val="09175C96"/>
    <w:rsid w:val="09297778"/>
    <w:rsid w:val="093D1475"/>
    <w:rsid w:val="09492076"/>
    <w:rsid w:val="095300CB"/>
    <w:rsid w:val="0966277A"/>
    <w:rsid w:val="096864F2"/>
    <w:rsid w:val="09722ECD"/>
    <w:rsid w:val="0973279B"/>
    <w:rsid w:val="09734E97"/>
    <w:rsid w:val="09A65937"/>
    <w:rsid w:val="09B20818"/>
    <w:rsid w:val="09CC2AAC"/>
    <w:rsid w:val="09E35B78"/>
    <w:rsid w:val="0A00497C"/>
    <w:rsid w:val="0A1729B9"/>
    <w:rsid w:val="0A2E5CA4"/>
    <w:rsid w:val="0A382368"/>
    <w:rsid w:val="0A402FCB"/>
    <w:rsid w:val="0A4F320E"/>
    <w:rsid w:val="0A560A40"/>
    <w:rsid w:val="0A5C7560"/>
    <w:rsid w:val="0A652D3E"/>
    <w:rsid w:val="0A6C3DC0"/>
    <w:rsid w:val="0A6F565E"/>
    <w:rsid w:val="0A742C74"/>
    <w:rsid w:val="0A9074D7"/>
    <w:rsid w:val="0A91178F"/>
    <w:rsid w:val="0AAE2D56"/>
    <w:rsid w:val="0ACB409F"/>
    <w:rsid w:val="0AEF054D"/>
    <w:rsid w:val="0AF049F1"/>
    <w:rsid w:val="0B0C10FF"/>
    <w:rsid w:val="0B1911BF"/>
    <w:rsid w:val="0B246449"/>
    <w:rsid w:val="0B3011FA"/>
    <w:rsid w:val="0B326F2A"/>
    <w:rsid w:val="0B882E7B"/>
    <w:rsid w:val="0B9510F4"/>
    <w:rsid w:val="0B951C0D"/>
    <w:rsid w:val="0BC112A2"/>
    <w:rsid w:val="0BC55E7E"/>
    <w:rsid w:val="0BCD4D32"/>
    <w:rsid w:val="0BE502CE"/>
    <w:rsid w:val="0C1741FF"/>
    <w:rsid w:val="0C1E10EA"/>
    <w:rsid w:val="0C1E2888"/>
    <w:rsid w:val="0C3E178C"/>
    <w:rsid w:val="0C4072B2"/>
    <w:rsid w:val="0C601702"/>
    <w:rsid w:val="0C6805B7"/>
    <w:rsid w:val="0C6A692B"/>
    <w:rsid w:val="0C854310"/>
    <w:rsid w:val="0C92213C"/>
    <w:rsid w:val="0CC2027E"/>
    <w:rsid w:val="0CCF6888"/>
    <w:rsid w:val="0CD619C5"/>
    <w:rsid w:val="0CE57E5A"/>
    <w:rsid w:val="0CE628C0"/>
    <w:rsid w:val="0CFA1B57"/>
    <w:rsid w:val="0D031BDE"/>
    <w:rsid w:val="0D1C49AB"/>
    <w:rsid w:val="0D417786"/>
    <w:rsid w:val="0D4508F8"/>
    <w:rsid w:val="0D6658F3"/>
    <w:rsid w:val="0D7106C2"/>
    <w:rsid w:val="0D7503E6"/>
    <w:rsid w:val="0D780CCE"/>
    <w:rsid w:val="0D84032B"/>
    <w:rsid w:val="0D8609C6"/>
    <w:rsid w:val="0D9F625A"/>
    <w:rsid w:val="0DA73361"/>
    <w:rsid w:val="0DC108C7"/>
    <w:rsid w:val="0DDA7292"/>
    <w:rsid w:val="0DEE0F90"/>
    <w:rsid w:val="0DFC466A"/>
    <w:rsid w:val="0E137FA7"/>
    <w:rsid w:val="0E1D7271"/>
    <w:rsid w:val="0E484B44"/>
    <w:rsid w:val="0E6A2D0C"/>
    <w:rsid w:val="0E8C2CD2"/>
    <w:rsid w:val="0EBC1EF3"/>
    <w:rsid w:val="0EE676C8"/>
    <w:rsid w:val="0EE859DF"/>
    <w:rsid w:val="0EFF1623"/>
    <w:rsid w:val="0F0767AD"/>
    <w:rsid w:val="0F1A3F13"/>
    <w:rsid w:val="0F242EBB"/>
    <w:rsid w:val="0F2A74C4"/>
    <w:rsid w:val="0F3A26DF"/>
    <w:rsid w:val="0F4061F5"/>
    <w:rsid w:val="0F5D461F"/>
    <w:rsid w:val="0F7551BA"/>
    <w:rsid w:val="0F825E34"/>
    <w:rsid w:val="0F8910CA"/>
    <w:rsid w:val="0FD348E1"/>
    <w:rsid w:val="0FEE0099"/>
    <w:rsid w:val="0FEE5277"/>
    <w:rsid w:val="0FF66139"/>
    <w:rsid w:val="10223D28"/>
    <w:rsid w:val="10463305"/>
    <w:rsid w:val="10671EE9"/>
    <w:rsid w:val="10861954"/>
    <w:rsid w:val="10881228"/>
    <w:rsid w:val="108C6F6A"/>
    <w:rsid w:val="10944070"/>
    <w:rsid w:val="10956C11"/>
    <w:rsid w:val="109776BD"/>
    <w:rsid w:val="109C424A"/>
    <w:rsid w:val="10A23E3B"/>
    <w:rsid w:val="10A27F31"/>
    <w:rsid w:val="10AB5053"/>
    <w:rsid w:val="10AD0C8E"/>
    <w:rsid w:val="10C67DE9"/>
    <w:rsid w:val="10F37523"/>
    <w:rsid w:val="11034CC7"/>
    <w:rsid w:val="110E3E23"/>
    <w:rsid w:val="11122608"/>
    <w:rsid w:val="11160F29"/>
    <w:rsid w:val="1126252E"/>
    <w:rsid w:val="113071B6"/>
    <w:rsid w:val="11457119"/>
    <w:rsid w:val="116E6670"/>
    <w:rsid w:val="11845035"/>
    <w:rsid w:val="11927058"/>
    <w:rsid w:val="119C3D56"/>
    <w:rsid w:val="11A622AD"/>
    <w:rsid w:val="11B70D09"/>
    <w:rsid w:val="11C10E95"/>
    <w:rsid w:val="11C40985"/>
    <w:rsid w:val="11C6025A"/>
    <w:rsid w:val="11D34725"/>
    <w:rsid w:val="11DA3D05"/>
    <w:rsid w:val="11DA5AB3"/>
    <w:rsid w:val="11F8418B"/>
    <w:rsid w:val="11FB708E"/>
    <w:rsid w:val="120E171E"/>
    <w:rsid w:val="121630E9"/>
    <w:rsid w:val="121D1E44"/>
    <w:rsid w:val="124723CD"/>
    <w:rsid w:val="125B1E03"/>
    <w:rsid w:val="125E6D9C"/>
    <w:rsid w:val="12661A3D"/>
    <w:rsid w:val="12686DF7"/>
    <w:rsid w:val="12746961"/>
    <w:rsid w:val="127C4DBC"/>
    <w:rsid w:val="127E28E2"/>
    <w:rsid w:val="1283614B"/>
    <w:rsid w:val="128D23A0"/>
    <w:rsid w:val="12AA36D7"/>
    <w:rsid w:val="12C624DB"/>
    <w:rsid w:val="12C82EA9"/>
    <w:rsid w:val="12CA5B28"/>
    <w:rsid w:val="12D67F9A"/>
    <w:rsid w:val="12F06FDB"/>
    <w:rsid w:val="13015D8E"/>
    <w:rsid w:val="1315488C"/>
    <w:rsid w:val="13196AAF"/>
    <w:rsid w:val="133E6515"/>
    <w:rsid w:val="13525B1D"/>
    <w:rsid w:val="13573133"/>
    <w:rsid w:val="13626247"/>
    <w:rsid w:val="136B42A2"/>
    <w:rsid w:val="137B5103"/>
    <w:rsid w:val="1386625C"/>
    <w:rsid w:val="13AF4F03"/>
    <w:rsid w:val="13E56991"/>
    <w:rsid w:val="14075E7D"/>
    <w:rsid w:val="141259D8"/>
    <w:rsid w:val="14287D7B"/>
    <w:rsid w:val="142B7323"/>
    <w:rsid w:val="1444703F"/>
    <w:rsid w:val="144C3CFA"/>
    <w:rsid w:val="14736E66"/>
    <w:rsid w:val="147F458F"/>
    <w:rsid w:val="148F527B"/>
    <w:rsid w:val="149363ED"/>
    <w:rsid w:val="14CD147A"/>
    <w:rsid w:val="14D40EDF"/>
    <w:rsid w:val="14E135FC"/>
    <w:rsid w:val="14F86B7F"/>
    <w:rsid w:val="15023C9F"/>
    <w:rsid w:val="15162139"/>
    <w:rsid w:val="1527743C"/>
    <w:rsid w:val="15332048"/>
    <w:rsid w:val="1534169A"/>
    <w:rsid w:val="153674A4"/>
    <w:rsid w:val="1537146E"/>
    <w:rsid w:val="15417984"/>
    <w:rsid w:val="15485429"/>
    <w:rsid w:val="15543DCE"/>
    <w:rsid w:val="15581635"/>
    <w:rsid w:val="157E709D"/>
    <w:rsid w:val="158A77F0"/>
    <w:rsid w:val="15907735"/>
    <w:rsid w:val="159266A5"/>
    <w:rsid w:val="15932B49"/>
    <w:rsid w:val="15966195"/>
    <w:rsid w:val="15A308B2"/>
    <w:rsid w:val="15C03E03"/>
    <w:rsid w:val="15F34B7A"/>
    <w:rsid w:val="15F42218"/>
    <w:rsid w:val="16227A29"/>
    <w:rsid w:val="162A25EB"/>
    <w:rsid w:val="163919E0"/>
    <w:rsid w:val="1658172A"/>
    <w:rsid w:val="16636AE6"/>
    <w:rsid w:val="16730ACF"/>
    <w:rsid w:val="16735895"/>
    <w:rsid w:val="16816E45"/>
    <w:rsid w:val="16924BAE"/>
    <w:rsid w:val="16962E9F"/>
    <w:rsid w:val="16B25250"/>
    <w:rsid w:val="16B51D83"/>
    <w:rsid w:val="16D276A1"/>
    <w:rsid w:val="16FD2A55"/>
    <w:rsid w:val="16FD422E"/>
    <w:rsid w:val="17067C1A"/>
    <w:rsid w:val="17173305"/>
    <w:rsid w:val="17366761"/>
    <w:rsid w:val="17377504"/>
    <w:rsid w:val="173F21B4"/>
    <w:rsid w:val="174F383B"/>
    <w:rsid w:val="17775075"/>
    <w:rsid w:val="177C01F0"/>
    <w:rsid w:val="179606CE"/>
    <w:rsid w:val="179E3EFA"/>
    <w:rsid w:val="17A032FB"/>
    <w:rsid w:val="17CE6630"/>
    <w:rsid w:val="17DD3E5A"/>
    <w:rsid w:val="17FFE7F0"/>
    <w:rsid w:val="186277D0"/>
    <w:rsid w:val="18A60DE5"/>
    <w:rsid w:val="18A706B9"/>
    <w:rsid w:val="18A847D0"/>
    <w:rsid w:val="18AD2173"/>
    <w:rsid w:val="18C674F3"/>
    <w:rsid w:val="18CB5B40"/>
    <w:rsid w:val="18F03E0E"/>
    <w:rsid w:val="18F13482"/>
    <w:rsid w:val="18FA4C8D"/>
    <w:rsid w:val="19012FD8"/>
    <w:rsid w:val="1901601B"/>
    <w:rsid w:val="190E24E6"/>
    <w:rsid w:val="19436634"/>
    <w:rsid w:val="196F11D7"/>
    <w:rsid w:val="19742C91"/>
    <w:rsid w:val="197762DD"/>
    <w:rsid w:val="19A74E14"/>
    <w:rsid w:val="19AF7825"/>
    <w:rsid w:val="19DE010A"/>
    <w:rsid w:val="19FB0CBC"/>
    <w:rsid w:val="1A0A7151"/>
    <w:rsid w:val="1A3F6DFB"/>
    <w:rsid w:val="1A430C28"/>
    <w:rsid w:val="1A5938A2"/>
    <w:rsid w:val="1A63401F"/>
    <w:rsid w:val="1A89276C"/>
    <w:rsid w:val="1A98475D"/>
    <w:rsid w:val="1ADA4D76"/>
    <w:rsid w:val="1AE23C2A"/>
    <w:rsid w:val="1AE300CE"/>
    <w:rsid w:val="1AE3295B"/>
    <w:rsid w:val="1AF205B7"/>
    <w:rsid w:val="1AF731C9"/>
    <w:rsid w:val="1AFF0AFE"/>
    <w:rsid w:val="1B293607"/>
    <w:rsid w:val="1B2C719D"/>
    <w:rsid w:val="1B373F76"/>
    <w:rsid w:val="1B391A9C"/>
    <w:rsid w:val="1B4F19F8"/>
    <w:rsid w:val="1B6805D3"/>
    <w:rsid w:val="1B79633D"/>
    <w:rsid w:val="1B810BCF"/>
    <w:rsid w:val="1B8770C0"/>
    <w:rsid w:val="1B93E545"/>
    <w:rsid w:val="1B9B4505"/>
    <w:rsid w:val="1BAA3DD9"/>
    <w:rsid w:val="1BB235FD"/>
    <w:rsid w:val="1BC7354C"/>
    <w:rsid w:val="1BF80F81"/>
    <w:rsid w:val="1BFD51C0"/>
    <w:rsid w:val="1C006A5E"/>
    <w:rsid w:val="1C330BE1"/>
    <w:rsid w:val="1C7C2C9B"/>
    <w:rsid w:val="1C9A7A37"/>
    <w:rsid w:val="1CD504D8"/>
    <w:rsid w:val="1CE26C6E"/>
    <w:rsid w:val="1CF85987"/>
    <w:rsid w:val="1CFC5477"/>
    <w:rsid w:val="1D063C00"/>
    <w:rsid w:val="1D0B504C"/>
    <w:rsid w:val="1D16278E"/>
    <w:rsid w:val="1D187DD7"/>
    <w:rsid w:val="1D214F58"/>
    <w:rsid w:val="1D2B59C2"/>
    <w:rsid w:val="1D33076D"/>
    <w:rsid w:val="1D484219"/>
    <w:rsid w:val="1D87709D"/>
    <w:rsid w:val="1D8F0099"/>
    <w:rsid w:val="1DA530EA"/>
    <w:rsid w:val="1DB55626"/>
    <w:rsid w:val="1DBC69B5"/>
    <w:rsid w:val="1DC80DD7"/>
    <w:rsid w:val="1DCD7FDB"/>
    <w:rsid w:val="1DD45AAC"/>
    <w:rsid w:val="1DD71A40"/>
    <w:rsid w:val="1DD91315"/>
    <w:rsid w:val="1DDF2502"/>
    <w:rsid w:val="1DE008F5"/>
    <w:rsid w:val="1E197963"/>
    <w:rsid w:val="1E1B0B02"/>
    <w:rsid w:val="1E1B7404"/>
    <w:rsid w:val="1E1E4F79"/>
    <w:rsid w:val="1E352952"/>
    <w:rsid w:val="1E3649B9"/>
    <w:rsid w:val="1E366767"/>
    <w:rsid w:val="1E3D5D47"/>
    <w:rsid w:val="1E560BB7"/>
    <w:rsid w:val="1E5D0198"/>
    <w:rsid w:val="1E656676"/>
    <w:rsid w:val="1E824EBB"/>
    <w:rsid w:val="1E9C2365"/>
    <w:rsid w:val="1EB31B66"/>
    <w:rsid w:val="1EBA2EF4"/>
    <w:rsid w:val="1ECC44FA"/>
    <w:rsid w:val="1ED12142"/>
    <w:rsid w:val="1EE77A61"/>
    <w:rsid w:val="1EEA12FF"/>
    <w:rsid w:val="1EF42CDA"/>
    <w:rsid w:val="1EFF2FFD"/>
    <w:rsid w:val="1F02489B"/>
    <w:rsid w:val="1F063325"/>
    <w:rsid w:val="1F066139"/>
    <w:rsid w:val="1F073C5F"/>
    <w:rsid w:val="1F204D21"/>
    <w:rsid w:val="1F3E1D77"/>
    <w:rsid w:val="1F42113B"/>
    <w:rsid w:val="1F4C547B"/>
    <w:rsid w:val="1F6317DE"/>
    <w:rsid w:val="1F6966C8"/>
    <w:rsid w:val="1F6B0692"/>
    <w:rsid w:val="1F725226"/>
    <w:rsid w:val="1F8B663F"/>
    <w:rsid w:val="1FBC5DF5"/>
    <w:rsid w:val="1FE3647B"/>
    <w:rsid w:val="1FE50445"/>
    <w:rsid w:val="1FF90588"/>
    <w:rsid w:val="1FF97A4C"/>
    <w:rsid w:val="20014B53"/>
    <w:rsid w:val="201F73DF"/>
    <w:rsid w:val="203256C1"/>
    <w:rsid w:val="204D5FEA"/>
    <w:rsid w:val="205630F0"/>
    <w:rsid w:val="20741396"/>
    <w:rsid w:val="20915ED7"/>
    <w:rsid w:val="209537CD"/>
    <w:rsid w:val="20B16579"/>
    <w:rsid w:val="20B95AEE"/>
    <w:rsid w:val="20C3623F"/>
    <w:rsid w:val="21243EB1"/>
    <w:rsid w:val="213845A4"/>
    <w:rsid w:val="213F3B84"/>
    <w:rsid w:val="21432DAB"/>
    <w:rsid w:val="21624D20"/>
    <w:rsid w:val="21781212"/>
    <w:rsid w:val="217F10D9"/>
    <w:rsid w:val="219F5FBC"/>
    <w:rsid w:val="21AE2AB8"/>
    <w:rsid w:val="21B83F86"/>
    <w:rsid w:val="21D63E62"/>
    <w:rsid w:val="220005ED"/>
    <w:rsid w:val="220B3ED2"/>
    <w:rsid w:val="221178A8"/>
    <w:rsid w:val="221213CF"/>
    <w:rsid w:val="221723CD"/>
    <w:rsid w:val="22193154"/>
    <w:rsid w:val="22327A92"/>
    <w:rsid w:val="223E0BCE"/>
    <w:rsid w:val="224A15B0"/>
    <w:rsid w:val="226A2E83"/>
    <w:rsid w:val="227B5090"/>
    <w:rsid w:val="22840F98"/>
    <w:rsid w:val="2285141E"/>
    <w:rsid w:val="229677D4"/>
    <w:rsid w:val="229E2B2D"/>
    <w:rsid w:val="22AA43A3"/>
    <w:rsid w:val="22C733D7"/>
    <w:rsid w:val="22CA1B74"/>
    <w:rsid w:val="22DB5B2F"/>
    <w:rsid w:val="22F87C05"/>
    <w:rsid w:val="22FB3ADB"/>
    <w:rsid w:val="23016275"/>
    <w:rsid w:val="23082E64"/>
    <w:rsid w:val="230E041E"/>
    <w:rsid w:val="231D53A2"/>
    <w:rsid w:val="231E77CA"/>
    <w:rsid w:val="23241284"/>
    <w:rsid w:val="232474D6"/>
    <w:rsid w:val="232A43C0"/>
    <w:rsid w:val="234E4553"/>
    <w:rsid w:val="23505E63"/>
    <w:rsid w:val="2369138D"/>
    <w:rsid w:val="236D5383"/>
    <w:rsid w:val="23752083"/>
    <w:rsid w:val="23851EA9"/>
    <w:rsid w:val="238D507B"/>
    <w:rsid w:val="239B0E1A"/>
    <w:rsid w:val="23A44173"/>
    <w:rsid w:val="23B63B3D"/>
    <w:rsid w:val="23B7504C"/>
    <w:rsid w:val="23BD5235"/>
    <w:rsid w:val="23BF0DF5"/>
    <w:rsid w:val="23D700A4"/>
    <w:rsid w:val="23DD6E9E"/>
    <w:rsid w:val="240510B5"/>
    <w:rsid w:val="24107A5A"/>
    <w:rsid w:val="243E45C7"/>
    <w:rsid w:val="24547947"/>
    <w:rsid w:val="24571307"/>
    <w:rsid w:val="24704055"/>
    <w:rsid w:val="24731967"/>
    <w:rsid w:val="2473205C"/>
    <w:rsid w:val="247F605C"/>
    <w:rsid w:val="248E6E08"/>
    <w:rsid w:val="249574E6"/>
    <w:rsid w:val="24B6415E"/>
    <w:rsid w:val="24C06770"/>
    <w:rsid w:val="24C34ACD"/>
    <w:rsid w:val="24CE126E"/>
    <w:rsid w:val="24D27F22"/>
    <w:rsid w:val="24DF48A8"/>
    <w:rsid w:val="24ED263A"/>
    <w:rsid w:val="24EE1794"/>
    <w:rsid w:val="24FF3D57"/>
    <w:rsid w:val="25003BE7"/>
    <w:rsid w:val="25027ACB"/>
    <w:rsid w:val="250300FB"/>
    <w:rsid w:val="25110A2A"/>
    <w:rsid w:val="252862C4"/>
    <w:rsid w:val="252C4420"/>
    <w:rsid w:val="25585A8F"/>
    <w:rsid w:val="255B6AB3"/>
    <w:rsid w:val="2569099C"/>
    <w:rsid w:val="256C0944"/>
    <w:rsid w:val="25975FC6"/>
    <w:rsid w:val="25B93752"/>
    <w:rsid w:val="25BA5ED0"/>
    <w:rsid w:val="25C92033"/>
    <w:rsid w:val="25E847EB"/>
    <w:rsid w:val="25F63DD5"/>
    <w:rsid w:val="26233A75"/>
    <w:rsid w:val="26446DE3"/>
    <w:rsid w:val="26467763"/>
    <w:rsid w:val="265B5141"/>
    <w:rsid w:val="267267AA"/>
    <w:rsid w:val="26747807"/>
    <w:rsid w:val="26877DFE"/>
    <w:rsid w:val="268D7862"/>
    <w:rsid w:val="26955FF5"/>
    <w:rsid w:val="269669DA"/>
    <w:rsid w:val="269669E7"/>
    <w:rsid w:val="26A270C1"/>
    <w:rsid w:val="26C54B2C"/>
    <w:rsid w:val="26CD578F"/>
    <w:rsid w:val="26D7699F"/>
    <w:rsid w:val="26DB60FD"/>
    <w:rsid w:val="26E24F50"/>
    <w:rsid w:val="26F23447"/>
    <w:rsid w:val="26F45411"/>
    <w:rsid w:val="26F93367"/>
    <w:rsid w:val="27247AA4"/>
    <w:rsid w:val="2729330D"/>
    <w:rsid w:val="27363334"/>
    <w:rsid w:val="273852FE"/>
    <w:rsid w:val="27401FD8"/>
    <w:rsid w:val="274A6DDF"/>
    <w:rsid w:val="27537CDD"/>
    <w:rsid w:val="2760294C"/>
    <w:rsid w:val="276500BD"/>
    <w:rsid w:val="277B5418"/>
    <w:rsid w:val="27822A1D"/>
    <w:rsid w:val="279BD1DB"/>
    <w:rsid w:val="27A04C51"/>
    <w:rsid w:val="27C13545"/>
    <w:rsid w:val="27C52337"/>
    <w:rsid w:val="27DB6AB9"/>
    <w:rsid w:val="27DE09C0"/>
    <w:rsid w:val="27DE10D9"/>
    <w:rsid w:val="27EB4EC1"/>
    <w:rsid w:val="27EF6884"/>
    <w:rsid w:val="27FC632B"/>
    <w:rsid w:val="28077DB2"/>
    <w:rsid w:val="2808036C"/>
    <w:rsid w:val="280B6733"/>
    <w:rsid w:val="28213FE4"/>
    <w:rsid w:val="28361473"/>
    <w:rsid w:val="28862099"/>
    <w:rsid w:val="28C57065"/>
    <w:rsid w:val="28E25ECD"/>
    <w:rsid w:val="29053906"/>
    <w:rsid w:val="292D0766"/>
    <w:rsid w:val="29361D11"/>
    <w:rsid w:val="29517074"/>
    <w:rsid w:val="29605F2E"/>
    <w:rsid w:val="29657F00"/>
    <w:rsid w:val="29665979"/>
    <w:rsid w:val="296C74E1"/>
    <w:rsid w:val="297D16EE"/>
    <w:rsid w:val="29A44ECD"/>
    <w:rsid w:val="29A70519"/>
    <w:rsid w:val="29BF1D06"/>
    <w:rsid w:val="29D75F7F"/>
    <w:rsid w:val="29F179E6"/>
    <w:rsid w:val="2A0605FD"/>
    <w:rsid w:val="2A2E4796"/>
    <w:rsid w:val="2A4431AB"/>
    <w:rsid w:val="2A4B1650"/>
    <w:rsid w:val="2A5C1820"/>
    <w:rsid w:val="2A691522"/>
    <w:rsid w:val="2A7A79DB"/>
    <w:rsid w:val="2A8E16D9"/>
    <w:rsid w:val="2AAA39BB"/>
    <w:rsid w:val="2AB23431"/>
    <w:rsid w:val="2ABC1DA2"/>
    <w:rsid w:val="2AC11AAE"/>
    <w:rsid w:val="2AF7727E"/>
    <w:rsid w:val="2B0C39C8"/>
    <w:rsid w:val="2B12230A"/>
    <w:rsid w:val="2B430715"/>
    <w:rsid w:val="2B514BE0"/>
    <w:rsid w:val="2B54647E"/>
    <w:rsid w:val="2B5B15BB"/>
    <w:rsid w:val="2B6D7540"/>
    <w:rsid w:val="2B774624"/>
    <w:rsid w:val="2B8F1669"/>
    <w:rsid w:val="2B8F5708"/>
    <w:rsid w:val="2B924720"/>
    <w:rsid w:val="2B931D73"/>
    <w:rsid w:val="2B9845BD"/>
    <w:rsid w:val="2BA33B3F"/>
    <w:rsid w:val="2BAE44EE"/>
    <w:rsid w:val="2BBB465D"/>
    <w:rsid w:val="2BBB474F"/>
    <w:rsid w:val="2BC73D54"/>
    <w:rsid w:val="2BCB4AB4"/>
    <w:rsid w:val="2BDF043E"/>
    <w:rsid w:val="2BFE6ECC"/>
    <w:rsid w:val="2C002FAF"/>
    <w:rsid w:val="2C041C52"/>
    <w:rsid w:val="2C1B0D4A"/>
    <w:rsid w:val="2C231EDC"/>
    <w:rsid w:val="2C271DE5"/>
    <w:rsid w:val="2C534988"/>
    <w:rsid w:val="2C7A72BE"/>
    <w:rsid w:val="2C922087"/>
    <w:rsid w:val="2C9A2C02"/>
    <w:rsid w:val="2C9A7D75"/>
    <w:rsid w:val="2CB73169"/>
    <w:rsid w:val="2CBC252D"/>
    <w:rsid w:val="2CC17412"/>
    <w:rsid w:val="2CC66F08"/>
    <w:rsid w:val="2CE20CB0"/>
    <w:rsid w:val="2CED6335"/>
    <w:rsid w:val="2CFC73E7"/>
    <w:rsid w:val="2D0619FA"/>
    <w:rsid w:val="2D0D0FDB"/>
    <w:rsid w:val="2D2C06DF"/>
    <w:rsid w:val="2D347FE3"/>
    <w:rsid w:val="2D3746AF"/>
    <w:rsid w:val="2D5A24A9"/>
    <w:rsid w:val="2D5F038A"/>
    <w:rsid w:val="2D7B43EE"/>
    <w:rsid w:val="2D7C1E99"/>
    <w:rsid w:val="2D88240F"/>
    <w:rsid w:val="2D9139BA"/>
    <w:rsid w:val="2DA52D8D"/>
    <w:rsid w:val="2DB75403"/>
    <w:rsid w:val="2DBC45ED"/>
    <w:rsid w:val="2DCC2C44"/>
    <w:rsid w:val="2DD85145"/>
    <w:rsid w:val="2DF634C6"/>
    <w:rsid w:val="2E04418C"/>
    <w:rsid w:val="2E0979F4"/>
    <w:rsid w:val="2E0E0B66"/>
    <w:rsid w:val="2E0F34FF"/>
    <w:rsid w:val="2E314855"/>
    <w:rsid w:val="2E3864F6"/>
    <w:rsid w:val="2E3D144C"/>
    <w:rsid w:val="2E422F06"/>
    <w:rsid w:val="2E756E38"/>
    <w:rsid w:val="2E8B21B7"/>
    <w:rsid w:val="2E9976CE"/>
    <w:rsid w:val="2EAD65D1"/>
    <w:rsid w:val="2EC4290F"/>
    <w:rsid w:val="2EC5117B"/>
    <w:rsid w:val="2ECE2034"/>
    <w:rsid w:val="2EF01DEE"/>
    <w:rsid w:val="2EF7763F"/>
    <w:rsid w:val="2EF98D30"/>
    <w:rsid w:val="2F0C0579"/>
    <w:rsid w:val="2F154177"/>
    <w:rsid w:val="2F34284F"/>
    <w:rsid w:val="2F401D3C"/>
    <w:rsid w:val="2F4310D4"/>
    <w:rsid w:val="2F5B24E1"/>
    <w:rsid w:val="2F68699C"/>
    <w:rsid w:val="2F805A94"/>
    <w:rsid w:val="2F9E23BE"/>
    <w:rsid w:val="2FA23C5C"/>
    <w:rsid w:val="2FA95C88"/>
    <w:rsid w:val="2FAD44A4"/>
    <w:rsid w:val="2FD423DF"/>
    <w:rsid w:val="2FE37699"/>
    <w:rsid w:val="2FEE6EA1"/>
    <w:rsid w:val="2FF26D18"/>
    <w:rsid w:val="30006BD5"/>
    <w:rsid w:val="300E4509"/>
    <w:rsid w:val="302A1EA4"/>
    <w:rsid w:val="303B7C0D"/>
    <w:rsid w:val="30401A4F"/>
    <w:rsid w:val="3041370F"/>
    <w:rsid w:val="30466CDD"/>
    <w:rsid w:val="30766E97"/>
    <w:rsid w:val="3078676B"/>
    <w:rsid w:val="30850E88"/>
    <w:rsid w:val="3091782D"/>
    <w:rsid w:val="309C4B4F"/>
    <w:rsid w:val="30AC28B9"/>
    <w:rsid w:val="30B87FED"/>
    <w:rsid w:val="30DF3E1A"/>
    <w:rsid w:val="30FA1876"/>
    <w:rsid w:val="311346E6"/>
    <w:rsid w:val="312B50A3"/>
    <w:rsid w:val="313E7C71"/>
    <w:rsid w:val="315471D8"/>
    <w:rsid w:val="316D2048"/>
    <w:rsid w:val="317B4E8F"/>
    <w:rsid w:val="31894FD2"/>
    <w:rsid w:val="318D26EA"/>
    <w:rsid w:val="318F1FBE"/>
    <w:rsid w:val="318F6462"/>
    <w:rsid w:val="31A16195"/>
    <w:rsid w:val="31AE07EC"/>
    <w:rsid w:val="31AF4094"/>
    <w:rsid w:val="31B31F14"/>
    <w:rsid w:val="31B639EF"/>
    <w:rsid w:val="31BE0AF5"/>
    <w:rsid w:val="31D46D1B"/>
    <w:rsid w:val="31D95FED"/>
    <w:rsid w:val="31E75CF0"/>
    <w:rsid w:val="31FE0EF2"/>
    <w:rsid w:val="321831DC"/>
    <w:rsid w:val="32343CAA"/>
    <w:rsid w:val="324066F5"/>
    <w:rsid w:val="32453A27"/>
    <w:rsid w:val="324C2991"/>
    <w:rsid w:val="3260696B"/>
    <w:rsid w:val="3263064A"/>
    <w:rsid w:val="327609FA"/>
    <w:rsid w:val="328A59C1"/>
    <w:rsid w:val="328E671A"/>
    <w:rsid w:val="32A43132"/>
    <w:rsid w:val="32AC0C06"/>
    <w:rsid w:val="32C0019B"/>
    <w:rsid w:val="330469DC"/>
    <w:rsid w:val="33182028"/>
    <w:rsid w:val="331B49AB"/>
    <w:rsid w:val="33242BDA"/>
    <w:rsid w:val="3330742A"/>
    <w:rsid w:val="33332E1D"/>
    <w:rsid w:val="33344EF5"/>
    <w:rsid w:val="3348237A"/>
    <w:rsid w:val="33576B0C"/>
    <w:rsid w:val="336E20A7"/>
    <w:rsid w:val="339D48C8"/>
    <w:rsid w:val="33A15FD9"/>
    <w:rsid w:val="33BC6AB9"/>
    <w:rsid w:val="33D26ADA"/>
    <w:rsid w:val="33DE0FDB"/>
    <w:rsid w:val="33FFD9A9"/>
    <w:rsid w:val="34034EE6"/>
    <w:rsid w:val="340A6274"/>
    <w:rsid w:val="340B78F6"/>
    <w:rsid w:val="3417273F"/>
    <w:rsid w:val="34346E4D"/>
    <w:rsid w:val="344A25EB"/>
    <w:rsid w:val="34873421"/>
    <w:rsid w:val="348D0665"/>
    <w:rsid w:val="34995C60"/>
    <w:rsid w:val="34BD3547"/>
    <w:rsid w:val="34C43C9E"/>
    <w:rsid w:val="34C603ED"/>
    <w:rsid w:val="34CA77B1"/>
    <w:rsid w:val="34E46AC5"/>
    <w:rsid w:val="350C3926"/>
    <w:rsid w:val="351A4295"/>
    <w:rsid w:val="351E5599"/>
    <w:rsid w:val="35243365"/>
    <w:rsid w:val="35250261"/>
    <w:rsid w:val="35305866"/>
    <w:rsid w:val="3537750C"/>
    <w:rsid w:val="3537798C"/>
    <w:rsid w:val="353F1F4D"/>
    <w:rsid w:val="35505F08"/>
    <w:rsid w:val="355D4EDD"/>
    <w:rsid w:val="355F7EFA"/>
    <w:rsid w:val="357C6CFE"/>
    <w:rsid w:val="358856A2"/>
    <w:rsid w:val="35B30245"/>
    <w:rsid w:val="35C13FC9"/>
    <w:rsid w:val="35E6371B"/>
    <w:rsid w:val="35F51E17"/>
    <w:rsid w:val="35F76384"/>
    <w:rsid w:val="35F81EB2"/>
    <w:rsid w:val="361E7DB5"/>
    <w:rsid w:val="36211653"/>
    <w:rsid w:val="36372B05"/>
    <w:rsid w:val="364257B6"/>
    <w:rsid w:val="3672302B"/>
    <w:rsid w:val="36963DEF"/>
    <w:rsid w:val="36E56B24"/>
    <w:rsid w:val="37263912"/>
    <w:rsid w:val="3733320C"/>
    <w:rsid w:val="373A0B0F"/>
    <w:rsid w:val="374D6BA3"/>
    <w:rsid w:val="375A6BCB"/>
    <w:rsid w:val="376C68FE"/>
    <w:rsid w:val="378277C1"/>
    <w:rsid w:val="37863E63"/>
    <w:rsid w:val="378B147A"/>
    <w:rsid w:val="378B76CC"/>
    <w:rsid w:val="37AB1B1C"/>
    <w:rsid w:val="37B81B43"/>
    <w:rsid w:val="37BC5B1C"/>
    <w:rsid w:val="37BC7885"/>
    <w:rsid w:val="37CA01F4"/>
    <w:rsid w:val="37D75EAC"/>
    <w:rsid w:val="37EA5922"/>
    <w:rsid w:val="37EB3CC7"/>
    <w:rsid w:val="37FE39FA"/>
    <w:rsid w:val="38027011"/>
    <w:rsid w:val="3809239F"/>
    <w:rsid w:val="381476C1"/>
    <w:rsid w:val="3824485D"/>
    <w:rsid w:val="38276B93"/>
    <w:rsid w:val="382E58B8"/>
    <w:rsid w:val="382F5A19"/>
    <w:rsid w:val="38390ED6"/>
    <w:rsid w:val="3852678F"/>
    <w:rsid w:val="38610900"/>
    <w:rsid w:val="387D5266"/>
    <w:rsid w:val="389178DD"/>
    <w:rsid w:val="389B749B"/>
    <w:rsid w:val="38A30A45"/>
    <w:rsid w:val="38AC3431"/>
    <w:rsid w:val="38BC37E1"/>
    <w:rsid w:val="38F90665"/>
    <w:rsid w:val="390B0AC4"/>
    <w:rsid w:val="392F2E16"/>
    <w:rsid w:val="393D67A4"/>
    <w:rsid w:val="394418E0"/>
    <w:rsid w:val="39577622"/>
    <w:rsid w:val="39663F4D"/>
    <w:rsid w:val="397F2951"/>
    <w:rsid w:val="39833969"/>
    <w:rsid w:val="39882115"/>
    <w:rsid w:val="399565E0"/>
    <w:rsid w:val="39AB00B3"/>
    <w:rsid w:val="39C531F5"/>
    <w:rsid w:val="39E00529"/>
    <w:rsid w:val="39F56B01"/>
    <w:rsid w:val="39FA28E7"/>
    <w:rsid w:val="3A0B64A7"/>
    <w:rsid w:val="3A124B0A"/>
    <w:rsid w:val="3A3B7059"/>
    <w:rsid w:val="3A3E27D3"/>
    <w:rsid w:val="3A574DDA"/>
    <w:rsid w:val="3A606BEE"/>
    <w:rsid w:val="3A685AA2"/>
    <w:rsid w:val="3A6C5BD1"/>
    <w:rsid w:val="3A6F6E31"/>
    <w:rsid w:val="3A8A3C6B"/>
    <w:rsid w:val="3AA840F1"/>
    <w:rsid w:val="3AAB50AC"/>
    <w:rsid w:val="3AC52EF5"/>
    <w:rsid w:val="3AD3075A"/>
    <w:rsid w:val="3AEF3ACE"/>
    <w:rsid w:val="3AF410E4"/>
    <w:rsid w:val="3AF74C02"/>
    <w:rsid w:val="3B082DE1"/>
    <w:rsid w:val="3B1262C8"/>
    <w:rsid w:val="3B213C53"/>
    <w:rsid w:val="3B443E1A"/>
    <w:rsid w:val="3B8E778B"/>
    <w:rsid w:val="3BF14F87"/>
    <w:rsid w:val="3BFF5F92"/>
    <w:rsid w:val="3C0059A5"/>
    <w:rsid w:val="3C064147"/>
    <w:rsid w:val="3C0A125B"/>
    <w:rsid w:val="3C134E78"/>
    <w:rsid w:val="3C3C71E7"/>
    <w:rsid w:val="3C65673D"/>
    <w:rsid w:val="3C8A7F52"/>
    <w:rsid w:val="3CAD1E92"/>
    <w:rsid w:val="3CE84C78"/>
    <w:rsid w:val="3CE85E76"/>
    <w:rsid w:val="3CF96EA3"/>
    <w:rsid w:val="3D0A1093"/>
    <w:rsid w:val="3D29776B"/>
    <w:rsid w:val="3D2D54CE"/>
    <w:rsid w:val="3D3452D3"/>
    <w:rsid w:val="3D42082D"/>
    <w:rsid w:val="3D516CC2"/>
    <w:rsid w:val="3D957C91"/>
    <w:rsid w:val="3DA43295"/>
    <w:rsid w:val="3DAB63D2"/>
    <w:rsid w:val="3DC41242"/>
    <w:rsid w:val="3DEB0EC4"/>
    <w:rsid w:val="3DF6345D"/>
    <w:rsid w:val="3DF8713D"/>
    <w:rsid w:val="3E0E529A"/>
    <w:rsid w:val="3E171CB9"/>
    <w:rsid w:val="3E2B5515"/>
    <w:rsid w:val="3E4439DD"/>
    <w:rsid w:val="3E4D4F28"/>
    <w:rsid w:val="3E4D7489"/>
    <w:rsid w:val="3E4F1453"/>
    <w:rsid w:val="3E630A5B"/>
    <w:rsid w:val="3E637E26"/>
    <w:rsid w:val="3E76A77C"/>
    <w:rsid w:val="3E9E1A93"/>
    <w:rsid w:val="3EB75626"/>
    <w:rsid w:val="3EB76FF8"/>
    <w:rsid w:val="3EC16814"/>
    <w:rsid w:val="3ED72865"/>
    <w:rsid w:val="3ED92EC4"/>
    <w:rsid w:val="3EDA206A"/>
    <w:rsid w:val="3EE13701"/>
    <w:rsid w:val="3EEA4CD8"/>
    <w:rsid w:val="3EEB44E0"/>
    <w:rsid w:val="3EEF0540"/>
    <w:rsid w:val="3EEF1928"/>
    <w:rsid w:val="3F055FB6"/>
    <w:rsid w:val="3F1A4BB3"/>
    <w:rsid w:val="3F1B7587"/>
    <w:rsid w:val="3F2006FA"/>
    <w:rsid w:val="3F284F53"/>
    <w:rsid w:val="3F2B709E"/>
    <w:rsid w:val="3F3348D1"/>
    <w:rsid w:val="3F38309B"/>
    <w:rsid w:val="3F5465F5"/>
    <w:rsid w:val="3F724CCD"/>
    <w:rsid w:val="3F7D22BA"/>
    <w:rsid w:val="3F8A0269"/>
    <w:rsid w:val="3F9B06C8"/>
    <w:rsid w:val="3FA5A4C8"/>
    <w:rsid w:val="3FC602F2"/>
    <w:rsid w:val="3FCD2C2F"/>
    <w:rsid w:val="3FD140EA"/>
    <w:rsid w:val="3FD42F7B"/>
    <w:rsid w:val="3FDE7ED0"/>
    <w:rsid w:val="3FE79B0E"/>
    <w:rsid w:val="3FFD3B52"/>
    <w:rsid w:val="40086045"/>
    <w:rsid w:val="40192BA6"/>
    <w:rsid w:val="403F6480"/>
    <w:rsid w:val="407F76A2"/>
    <w:rsid w:val="4081166C"/>
    <w:rsid w:val="40896772"/>
    <w:rsid w:val="40923879"/>
    <w:rsid w:val="40984D18"/>
    <w:rsid w:val="40994C08"/>
    <w:rsid w:val="40A1586A"/>
    <w:rsid w:val="40A767B9"/>
    <w:rsid w:val="40AB66E9"/>
    <w:rsid w:val="40D914A8"/>
    <w:rsid w:val="40E13EB9"/>
    <w:rsid w:val="40E368A3"/>
    <w:rsid w:val="40E63BC5"/>
    <w:rsid w:val="40EC7163"/>
    <w:rsid w:val="40F46F7D"/>
    <w:rsid w:val="40F7192E"/>
    <w:rsid w:val="410858E9"/>
    <w:rsid w:val="412F731A"/>
    <w:rsid w:val="41480FDF"/>
    <w:rsid w:val="41766EA9"/>
    <w:rsid w:val="417D0085"/>
    <w:rsid w:val="41994793"/>
    <w:rsid w:val="41AA69A0"/>
    <w:rsid w:val="41B617E9"/>
    <w:rsid w:val="41B936B2"/>
    <w:rsid w:val="41C007E7"/>
    <w:rsid w:val="41C76196"/>
    <w:rsid w:val="41D43A1D"/>
    <w:rsid w:val="41D852BC"/>
    <w:rsid w:val="41E159F8"/>
    <w:rsid w:val="41EB0ABC"/>
    <w:rsid w:val="41F50FB1"/>
    <w:rsid w:val="41F7396B"/>
    <w:rsid w:val="41FA3AEB"/>
    <w:rsid w:val="420A242F"/>
    <w:rsid w:val="420F4F1D"/>
    <w:rsid w:val="422229DB"/>
    <w:rsid w:val="422620B6"/>
    <w:rsid w:val="423A5F76"/>
    <w:rsid w:val="423F17DF"/>
    <w:rsid w:val="42446DF5"/>
    <w:rsid w:val="42550A18"/>
    <w:rsid w:val="425863FC"/>
    <w:rsid w:val="426B7618"/>
    <w:rsid w:val="427F1BDB"/>
    <w:rsid w:val="42993F16"/>
    <w:rsid w:val="429D496A"/>
    <w:rsid w:val="42A41642"/>
    <w:rsid w:val="42AA3000"/>
    <w:rsid w:val="42C41685"/>
    <w:rsid w:val="42E163F2"/>
    <w:rsid w:val="42E87780"/>
    <w:rsid w:val="42F473A1"/>
    <w:rsid w:val="4300446B"/>
    <w:rsid w:val="430420E0"/>
    <w:rsid w:val="430B346F"/>
    <w:rsid w:val="431200B1"/>
    <w:rsid w:val="432509D4"/>
    <w:rsid w:val="43330869"/>
    <w:rsid w:val="433B1FA6"/>
    <w:rsid w:val="43413334"/>
    <w:rsid w:val="435B2648"/>
    <w:rsid w:val="437217EA"/>
    <w:rsid w:val="43AB7156"/>
    <w:rsid w:val="43B753A5"/>
    <w:rsid w:val="43D91144"/>
    <w:rsid w:val="43E101AC"/>
    <w:rsid w:val="440525B4"/>
    <w:rsid w:val="441E62C0"/>
    <w:rsid w:val="44241598"/>
    <w:rsid w:val="444B446B"/>
    <w:rsid w:val="44511355"/>
    <w:rsid w:val="446303EC"/>
    <w:rsid w:val="446B0669"/>
    <w:rsid w:val="448E4357"/>
    <w:rsid w:val="44937BC0"/>
    <w:rsid w:val="44A0507F"/>
    <w:rsid w:val="44C67F95"/>
    <w:rsid w:val="44D834EC"/>
    <w:rsid w:val="44E4666D"/>
    <w:rsid w:val="44F9188B"/>
    <w:rsid w:val="44FA7C3F"/>
    <w:rsid w:val="44FE16D9"/>
    <w:rsid w:val="45126998"/>
    <w:rsid w:val="45322F35"/>
    <w:rsid w:val="45325D14"/>
    <w:rsid w:val="45554115"/>
    <w:rsid w:val="455E2A6E"/>
    <w:rsid w:val="45703A5D"/>
    <w:rsid w:val="45811C7C"/>
    <w:rsid w:val="45906116"/>
    <w:rsid w:val="45931B8C"/>
    <w:rsid w:val="459E6EE0"/>
    <w:rsid w:val="45A71B75"/>
    <w:rsid w:val="45C94918"/>
    <w:rsid w:val="45CA13BF"/>
    <w:rsid w:val="45E5269D"/>
    <w:rsid w:val="45EF2552"/>
    <w:rsid w:val="460D25BE"/>
    <w:rsid w:val="461E3AA0"/>
    <w:rsid w:val="4622744D"/>
    <w:rsid w:val="462F08A3"/>
    <w:rsid w:val="464F15FC"/>
    <w:rsid w:val="46565349"/>
    <w:rsid w:val="46603AD2"/>
    <w:rsid w:val="4662784A"/>
    <w:rsid w:val="466567D3"/>
    <w:rsid w:val="4670640B"/>
    <w:rsid w:val="46715CDF"/>
    <w:rsid w:val="4674757D"/>
    <w:rsid w:val="46767799"/>
    <w:rsid w:val="468400B6"/>
    <w:rsid w:val="4686366D"/>
    <w:rsid w:val="468772B0"/>
    <w:rsid w:val="468B3EFB"/>
    <w:rsid w:val="46A240EA"/>
    <w:rsid w:val="46F50B99"/>
    <w:rsid w:val="470A6193"/>
    <w:rsid w:val="471B5146"/>
    <w:rsid w:val="472033C0"/>
    <w:rsid w:val="47315FDF"/>
    <w:rsid w:val="47385210"/>
    <w:rsid w:val="474F2633"/>
    <w:rsid w:val="474F32E7"/>
    <w:rsid w:val="475510F8"/>
    <w:rsid w:val="47562BEC"/>
    <w:rsid w:val="475811DD"/>
    <w:rsid w:val="475950F1"/>
    <w:rsid w:val="475C698F"/>
    <w:rsid w:val="476345F2"/>
    <w:rsid w:val="476B4E24"/>
    <w:rsid w:val="476D7C3C"/>
    <w:rsid w:val="476F47FA"/>
    <w:rsid w:val="47737835"/>
    <w:rsid w:val="477FB848"/>
    <w:rsid w:val="47B204BB"/>
    <w:rsid w:val="47BE6D02"/>
    <w:rsid w:val="47DC4F5C"/>
    <w:rsid w:val="47E726FC"/>
    <w:rsid w:val="47F16DAB"/>
    <w:rsid w:val="47F47CB7"/>
    <w:rsid w:val="47FB1D04"/>
    <w:rsid w:val="47FE2669"/>
    <w:rsid w:val="48111527"/>
    <w:rsid w:val="4812529F"/>
    <w:rsid w:val="48205C0E"/>
    <w:rsid w:val="48276F9D"/>
    <w:rsid w:val="484A4A39"/>
    <w:rsid w:val="48943F06"/>
    <w:rsid w:val="489F01A1"/>
    <w:rsid w:val="48A27173"/>
    <w:rsid w:val="48AC74A2"/>
    <w:rsid w:val="48B40671"/>
    <w:rsid w:val="48C22E46"/>
    <w:rsid w:val="48C93A18"/>
    <w:rsid w:val="48D013E2"/>
    <w:rsid w:val="48E457EE"/>
    <w:rsid w:val="48E7672C"/>
    <w:rsid w:val="48E96000"/>
    <w:rsid w:val="49511FD8"/>
    <w:rsid w:val="4989333F"/>
    <w:rsid w:val="499A72FA"/>
    <w:rsid w:val="499B5738"/>
    <w:rsid w:val="499F244D"/>
    <w:rsid w:val="49A563CB"/>
    <w:rsid w:val="49B900C8"/>
    <w:rsid w:val="49C34AA3"/>
    <w:rsid w:val="49D00F6E"/>
    <w:rsid w:val="49D24CE6"/>
    <w:rsid w:val="49DE18DD"/>
    <w:rsid w:val="49F92273"/>
    <w:rsid w:val="4A007AA5"/>
    <w:rsid w:val="4A0B01F8"/>
    <w:rsid w:val="4A1672C9"/>
    <w:rsid w:val="4A4200BE"/>
    <w:rsid w:val="4A58343D"/>
    <w:rsid w:val="4A610BFB"/>
    <w:rsid w:val="4A6242BC"/>
    <w:rsid w:val="4A712751"/>
    <w:rsid w:val="4A7B3F8B"/>
    <w:rsid w:val="4A8C30E7"/>
    <w:rsid w:val="4A946440"/>
    <w:rsid w:val="4A973F3F"/>
    <w:rsid w:val="4AB03C09"/>
    <w:rsid w:val="4AB368C6"/>
    <w:rsid w:val="4ABB1C1E"/>
    <w:rsid w:val="4ABB6B0C"/>
    <w:rsid w:val="4ACB00B3"/>
    <w:rsid w:val="4ACF1226"/>
    <w:rsid w:val="4AD93E52"/>
    <w:rsid w:val="4ADC37F0"/>
    <w:rsid w:val="4ADF76BB"/>
    <w:rsid w:val="4AF3760A"/>
    <w:rsid w:val="4AF56EDE"/>
    <w:rsid w:val="4AF96BC7"/>
    <w:rsid w:val="4AFA070E"/>
    <w:rsid w:val="4B1650A7"/>
    <w:rsid w:val="4B1A06F3"/>
    <w:rsid w:val="4B337E31"/>
    <w:rsid w:val="4B3F63AB"/>
    <w:rsid w:val="4B4600D2"/>
    <w:rsid w:val="4B726781"/>
    <w:rsid w:val="4B743026"/>
    <w:rsid w:val="4B862A85"/>
    <w:rsid w:val="4BB52B12"/>
    <w:rsid w:val="4BC32B39"/>
    <w:rsid w:val="4BD44D46"/>
    <w:rsid w:val="4BE41274"/>
    <w:rsid w:val="4C147838"/>
    <w:rsid w:val="4C3E2B07"/>
    <w:rsid w:val="4C440EC3"/>
    <w:rsid w:val="4C5E6D05"/>
    <w:rsid w:val="4C6267F5"/>
    <w:rsid w:val="4C714C8A"/>
    <w:rsid w:val="4C8151D9"/>
    <w:rsid w:val="4CB132D9"/>
    <w:rsid w:val="4CCC0113"/>
    <w:rsid w:val="4CCE79E7"/>
    <w:rsid w:val="4CE27936"/>
    <w:rsid w:val="4CEF36E2"/>
    <w:rsid w:val="4CEF4DC5"/>
    <w:rsid w:val="4CF04A45"/>
    <w:rsid w:val="4D24776B"/>
    <w:rsid w:val="4D267823"/>
    <w:rsid w:val="4D3D2DBF"/>
    <w:rsid w:val="4D534390"/>
    <w:rsid w:val="4D6C0FAE"/>
    <w:rsid w:val="4D9549A9"/>
    <w:rsid w:val="4DA01AA0"/>
    <w:rsid w:val="4DAB7D28"/>
    <w:rsid w:val="4DBC0187"/>
    <w:rsid w:val="4DBF6D1A"/>
    <w:rsid w:val="4DD059E1"/>
    <w:rsid w:val="4DD37AE0"/>
    <w:rsid w:val="4DD51249"/>
    <w:rsid w:val="4DD52FF7"/>
    <w:rsid w:val="4E04568A"/>
    <w:rsid w:val="4E257655"/>
    <w:rsid w:val="4E2E44B5"/>
    <w:rsid w:val="4E781049"/>
    <w:rsid w:val="4E955926"/>
    <w:rsid w:val="4EDA21A8"/>
    <w:rsid w:val="4F0A4130"/>
    <w:rsid w:val="4F1115DE"/>
    <w:rsid w:val="4F132029"/>
    <w:rsid w:val="4F372380"/>
    <w:rsid w:val="4F372FFB"/>
    <w:rsid w:val="4F3A5808"/>
    <w:rsid w:val="4F3D3F64"/>
    <w:rsid w:val="4F3F363B"/>
    <w:rsid w:val="4F42290E"/>
    <w:rsid w:val="4F5A57B5"/>
    <w:rsid w:val="4F6A776F"/>
    <w:rsid w:val="4F6B2E95"/>
    <w:rsid w:val="4F9624EB"/>
    <w:rsid w:val="4F9B5B7A"/>
    <w:rsid w:val="4FA40ED3"/>
    <w:rsid w:val="4FD708C1"/>
    <w:rsid w:val="4FFE4F48"/>
    <w:rsid w:val="5025116D"/>
    <w:rsid w:val="50267B3A"/>
    <w:rsid w:val="50350523"/>
    <w:rsid w:val="503E1327"/>
    <w:rsid w:val="504F0E3F"/>
    <w:rsid w:val="504F52E3"/>
    <w:rsid w:val="50596B59"/>
    <w:rsid w:val="506F328F"/>
    <w:rsid w:val="50724B2D"/>
    <w:rsid w:val="50AA4398"/>
    <w:rsid w:val="50CC248F"/>
    <w:rsid w:val="511856D5"/>
    <w:rsid w:val="514634C8"/>
    <w:rsid w:val="514A7858"/>
    <w:rsid w:val="5167040A"/>
    <w:rsid w:val="516C5A20"/>
    <w:rsid w:val="51862E3D"/>
    <w:rsid w:val="518F170F"/>
    <w:rsid w:val="519D5BDA"/>
    <w:rsid w:val="51A22C43"/>
    <w:rsid w:val="51B50430"/>
    <w:rsid w:val="51D830B6"/>
    <w:rsid w:val="51D84E64"/>
    <w:rsid w:val="51E952C3"/>
    <w:rsid w:val="51EE4687"/>
    <w:rsid w:val="5201260D"/>
    <w:rsid w:val="52195BA8"/>
    <w:rsid w:val="52395ECD"/>
    <w:rsid w:val="523B1C15"/>
    <w:rsid w:val="52430530"/>
    <w:rsid w:val="525070F0"/>
    <w:rsid w:val="5253098E"/>
    <w:rsid w:val="525564B4"/>
    <w:rsid w:val="525766D1"/>
    <w:rsid w:val="52742DDF"/>
    <w:rsid w:val="527E3C5D"/>
    <w:rsid w:val="52A30145"/>
    <w:rsid w:val="52B07B8F"/>
    <w:rsid w:val="52B753C1"/>
    <w:rsid w:val="52B94DF7"/>
    <w:rsid w:val="52C10D75"/>
    <w:rsid w:val="52C61160"/>
    <w:rsid w:val="52D01FDF"/>
    <w:rsid w:val="52D12EEC"/>
    <w:rsid w:val="52DB10B0"/>
    <w:rsid w:val="53486019"/>
    <w:rsid w:val="534A511E"/>
    <w:rsid w:val="536D782E"/>
    <w:rsid w:val="5373753A"/>
    <w:rsid w:val="53883A3A"/>
    <w:rsid w:val="53920AC0"/>
    <w:rsid w:val="53BB67EB"/>
    <w:rsid w:val="53C27FF8"/>
    <w:rsid w:val="53CB2ED2"/>
    <w:rsid w:val="53D61877"/>
    <w:rsid w:val="53E61ABA"/>
    <w:rsid w:val="54041F40"/>
    <w:rsid w:val="540C5299"/>
    <w:rsid w:val="5415239F"/>
    <w:rsid w:val="54183643"/>
    <w:rsid w:val="541B0CC2"/>
    <w:rsid w:val="54295E4B"/>
    <w:rsid w:val="54352A41"/>
    <w:rsid w:val="543640C4"/>
    <w:rsid w:val="54520EFE"/>
    <w:rsid w:val="54696247"/>
    <w:rsid w:val="54806794"/>
    <w:rsid w:val="54890CAF"/>
    <w:rsid w:val="54973552"/>
    <w:rsid w:val="54977258"/>
    <w:rsid w:val="549E1A80"/>
    <w:rsid w:val="54AB6860"/>
    <w:rsid w:val="54B75204"/>
    <w:rsid w:val="54C658F4"/>
    <w:rsid w:val="54E104D3"/>
    <w:rsid w:val="54EF2BF0"/>
    <w:rsid w:val="54F621D1"/>
    <w:rsid w:val="54F75F49"/>
    <w:rsid w:val="550C4BD7"/>
    <w:rsid w:val="55146F77"/>
    <w:rsid w:val="55284354"/>
    <w:rsid w:val="55303B3B"/>
    <w:rsid w:val="554C1D56"/>
    <w:rsid w:val="55572986"/>
    <w:rsid w:val="5575590C"/>
    <w:rsid w:val="559E467A"/>
    <w:rsid w:val="55B765C0"/>
    <w:rsid w:val="55BB7F97"/>
    <w:rsid w:val="55CE52D3"/>
    <w:rsid w:val="55DF2C65"/>
    <w:rsid w:val="55E42029"/>
    <w:rsid w:val="55EF09CE"/>
    <w:rsid w:val="55FB7373"/>
    <w:rsid w:val="560B3A5A"/>
    <w:rsid w:val="56114DE8"/>
    <w:rsid w:val="56127E0E"/>
    <w:rsid w:val="56262642"/>
    <w:rsid w:val="563E1AC9"/>
    <w:rsid w:val="563F54B2"/>
    <w:rsid w:val="565340FA"/>
    <w:rsid w:val="56535401"/>
    <w:rsid w:val="566273F2"/>
    <w:rsid w:val="566C6017"/>
    <w:rsid w:val="56AB2B47"/>
    <w:rsid w:val="56AD5F59"/>
    <w:rsid w:val="56B440F1"/>
    <w:rsid w:val="56BC6F16"/>
    <w:rsid w:val="56C60774"/>
    <w:rsid w:val="56D24578"/>
    <w:rsid w:val="56DC0F52"/>
    <w:rsid w:val="56F42740"/>
    <w:rsid w:val="57010655"/>
    <w:rsid w:val="57030BD5"/>
    <w:rsid w:val="570606C5"/>
    <w:rsid w:val="570E7CC8"/>
    <w:rsid w:val="571444FF"/>
    <w:rsid w:val="571921A6"/>
    <w:rsid w:val="571F7091"/>
    <w:rsid w:val="572D0F3A"/>
    <w:rsid w:val="573B036F"/>
    <w:rsid w:val="574A2360"/>
    <w:rsid w:val="57574A7D"/>
    <w:rsid w:val="576E2539"/>
    <w:rsid w:val="57700A4C"/>
    <w:rsid w:val="577C0C0D"/>
    <w:rsid w:val="57A6405E"/>
    <w:rsid w:val="57A777B2"/>
    <w:rsid w:val="57B12A52"/>
    <w:rsid w:val="57B67DAB"/>
    <w:rsid w:val="57BC3766"/>
    <w:rsid w:val="57BF0617"/>
    <w:rsid w:val="57E83927"/>
    <w:rsid w:val="57EF3C6D"/>
    <w:rsid w:val="57F8000E"/>
    <w:rsid w:val="58095D77"/>
    <w:rsid w:val="581035A9"/>
    <w:rsid w:val="58164938"/>
    <w:rsid w:val="583B7EFB"/>
    <w:rsid w:val="58421A06"/>
    <w:rsid w:val="584277D8"/>
    <w:rsid w:val="58453DC4"/>
    <w:rsid w:val="586438F5"/>
    <w:rsid w:val="58A64C7D"/>
    <w:rsid w:val="58D77C23"/>
    <w:rsid w:val="58E862D4"/>
    <w:rsid w:val="58F85DEC"/>
    <w:rsid w:val="59106230"/>
    <w:rsid w:val="59164DDE"/>
    <w:rsid w:val="59180AD3"/>
    <w:rsid w:val="592941F7"/>
    <w:rsid w:val="593908DE"/>
    <w:rsid w:val="596863C7"/>
    <w:rsid w:val="596A0A97"/>
    <w:rsid w:val="59747253"/>
    <w:rsid w:val="598F49A2"/>
    <w:rsid w:val="599124C8"/>
    <w:rsid w:val="599D69DD"/>
    <w:rsid w:val="59C02B36"/>
    <w:rsid w:val="59C3464B"/>
    <w:rsid w:val="59C6636E"/>
    <w:rsid w:val="59C718CC"/>
    <w:rsid w:val="59C97EB4"/>
    <w:rsid w:val="59DC6EBF"/>
    <w:rsid w:val="59EE16C8"/>
    <w:rsid w:val="5A072246"/>
    <w:rsid w:val="5A202777"/>
    <w:rsid w:val="5A2E5F69"/>
    <w:rsid w:val="5A2F2CC8"/>
    <w:rsid w:val="5A366BCB"/>
    <w:rsid w:val="5A3A490E"/>
    <w:rsid w:val="5A7616BE"/>
    <w:rsid w:val="5A76212B"/>
    <w:rsid w:val="5A981634"/>
    <w:rsid w:val="5ACD39D4"/>
    <w:rsid w:val="5AE21D34"/>
    <w:rsid w:val="5AE8436A"/>
    <w:rsid w:val="5AF076C2"/>
    <w:rsid w:val="5AF745AD"/>
    <w:rsid w:val="5AFC6067"/>
    <w:rsid w:val="5B2300FB"/>
    <w:rsid w:val="5B2F01EA"/>
    <w:rsid w:val="5B694BE3"/>
    <w:rsid w:val="5B7B3430"/>
    <w:rsid w:val="5B7E1896"/>
    <w:rsid w:val="5B8D3163"/>
    <w:rsid w:val="5B991B08"/>
    <w:rsid w:val="5B9B762E"/>
    <w:rsid w:val="5B9D42DA"/>
    <w:rsid w:val="5BF72F5B"/>
    <w:rsid w:val="5BF96A72"/>
    <w:rsid w:val="5BFC5412"/>
    <w:rsid w:val="5C001B87"/>
    <w:rsid w:val="5C0C4088"/>
    <w:rsid w:val="5C10702D"/>
    <w:rsid w:val="5C152601"/>
    <w:rsid w:val="5C28462A"/>
    <w:rsid w:val="5C4336A2"/>
    <w:rsid w:val="5C4C0928"/>
    <w:rsid w:val="5C54167E"/>
    <w:rsid w:val="5C591F03"/>
    <w:rsid w:val="5C6E6A0D"/>
    <w:rsid w:val="5C840D54"/>
    <w:rsid w:val="5C8A1B2F"/>
    <w:rsid w:val="5C961BA3"/>
    <w:rsid w:val="5CC2508E"/>
    <w:rsid w:val="5CE2303B"/>
    <w:rsid w:val="5CE768A3"/>
    <w:rsid w:val="5CFFE34E"/>
    <w:rsid w:val="5D192F00"/>
    <w:rsid w:val="5D35760E"/>
    <w:rsid w:val="5D695824"/>
    <w:rsid w:val="5D6D6DA8"/>
    <w:rsid w:val="5D8F31C2"/>
    <w:rsid w:val="5D8F4F70"/>
    <w:rsid w:val="5D964551"/>
    <w:rsid w:val="5D97590D"/>
    <w:rsid w:val="5D99089C"/>
    <w:rsid w:val="5D9C8DF8"/>
    <w:rsid w:val="5DA64068"/>
    <w:rsid w:val="5DA87DE0"/>
    <w:rsid w:val="5DBE0864"/>
    <w:rsid w:val="5DC0337C"/>
    <w:rsid w:val="5DC15346"/>
    <w:rsid w:val="5DC93256"/>
    <w:rsid w:val="5DED3C8F"/>
    <w:rsid w:val="5DF7A6AD"/>
    <w:rsid w:val="5E102EF9"/>
    <w:rsid w:val="5E1864AE"/>
    <w:rsid w:val="5E1B4A56"/>
    <w:rsid w:val="5E1B6804"/>
    <w:rsid w:val="5E257372"/>
    <w:rsid w:val="5E380AA5"/>
    <w:rsid w:val="5E3C677A"/>
    <w:rsid w:val="5E473A9D"/>
    <w:rsid w:val="5E48511F"/>
    <w:rsid w:val="5E6B1C53"/>
    <w:rsid w:val="5E7F3237"/>
    <w:rsid w:val="5EAB161A"/>
    <w:rsid w:val="5EB6652D"/>
    <w:rsid w:val="5ECC7AFE"/>
    <w:rsid w:val="5EFD23AE"/>
    <w:rsid w:val="5F1B2917"/>
    <w:rsid w:val="5F37741D"/>
    <w:rsid w:val="5F3A33E2"/>
    <w:rsid w:val="5F455C41"/>
    <w:rsid w:val="5F4579B7"/>
    <w:rsid w:val="5F4D57D8"/>
    <w:rsid w:val="5F50072F"/>
    <w:rsid w:val="5F51474D"/>
    <w:rsid w:val="5F561B72"/>
    <w:rsid w:val="5F6610EB"/>
    <w:rsid w:val="5F661D01"/>
    <w:rsid w:val="5F7A1C50"/>
    <w:rsid w:val="5F97037C"/>
    <w:rsid w:val="5FAB68C4"/>
    <w:rsid w:val="5FBE1B3D"/>
    <w:rsid w:val="5FCF79D8"/>
    <w:rsid w:val="5FF1647B"/>
    <w:rsid w:val="5FFC2A6F"/>
    <w:rsid w:val="5FFF7875"/>
    <w:rsid w:val="600532C8"/>
    <w:rsid w:val="601B6F8F"/>
    <w:rsid w:val="601D5143"/>
    <w:rsid w:val="6028345A"/>
    <w:rsid w:val="60340051"/>
    <w:rsid w:val="606007BB"/>
    <w:rsid w:val="60771CEC"/>
    <w:rsid w:val="609B59DA"/>
    <w:rsid w:val="60A07487"/>
    <w:rsid w:val="60AC7F66"/>
    <w:rsid w:val="60B3541A"/>
    <w:rsid w:val="60E070AA"/>
    <w:rsid w:val="60E642FC"/>
    <w:rsid w:val="60EA6BBD"/>
    <w:rsid w:val="60FB0B6F"/>
    <w:rsid w:val="611B4D6D"/>
    <w:rsid w:val="61291238"/>
    <w:rsid w:val="612B2790"/>
    <w:rsid w:val="613858D8"/>
    <w:rsid w:val="61446072"/>
    <w:rsid w:val="61461DEA"/>
    <w:rsid w:val="61614E76"/>
    <w:rsid w:val="61B76C71"/>
    <w:rsid w:val="61BF10D9"/>
    <w:rsid w:val="61C1538A"/>
    <w:rsid w:val="61D27B22"/>
    <w:rsid w:val="61DC62AA"/>
    <w:rsid w:val="61EA4E6B"/>
    <w:rsid w:val="61F0763D"/>
    <w:rsid w:val="62066521"/>
    <w:rsid w:val="621C6FEF"/>
    <w:rsid w:val="62213805"/>
    <w:rsid w:val="62236AF9"/>
    <w:rsid w:val="62472BAE"/>
    <w:rsid w:val="624E3350"/>
    <w:rsid w:val="62731E41"/>
    <w:rsid w:val="627D5CDF"/>
    <w:rsid w:val="62876C88"/>
    <w:rsid w:val="62943029"/>
    <w:rsid w:val="62A96AD4"/>
    <w:rsid w:val="62AC22DC"/>
    <w:rsid w:val="62C13CB7"/>
    <w:rsid w:val="62CA6A4B"/>
    <w:rsid w:val="62E21FE6"/>
    <w:rsid w:val="62EC076F"/>
    <w:rsid w:val="62F15D85"/>
    <w:rsid w:val="63027F93"/>
    <w:rsid w:val="638E7A78"/>
    <w:rsid w:val="639257BA"/>
    <w:rsid w:val="63A22BFD"/>
    <w:rsid w:val="63A4729C"/>
    <w:rsid w:val="63BF5E84"/>
    <w:rsid w:val="63C67212"/>
    <w:rsid w:val="63CC4816"/>
    <w:rsid w:val="63CD67F3"/>
    <w:rsid w:val="63DD630A"/>
    <w:rsid w:val="63E22465"/>
    <w:rsid w:val="63FC2C34"/>
    <w:rsid w:val="641E51A2"/>
    <w:rsid w:val="641E56F6"/>
    <w:rsid w:val="642E6B65"/>
    <w:rsid w:val="64430D0B"/>
    <w:rsid w:val="644E2555"/>
    <w:rsid w:val="64664551"/>
    <w:rsid w:val="647458B5"/>
    <w:rsid w:val="648570CD"/>
    <w:rsid w:val="64C85DB7"/>
    <w:rsid w:val="64E45EF7"/>
    <w:rsid w:val="64F93617"/>
    <w:rsid w:val="650D2E83"/>
    <w:rsid w:val="65113654"/>
    <w:rsid w:val="651D6563"/>
    <w:rsid w:val="65401246"/>
    <w:rsid w:val="656C697E"/>
    <w:rsid w:val="65B8702E"/>
    <w:rsid w:val="65C854C3"/>
    <w:rsid w:val="65D53BCD"/>
    <w:rsid w:val="65D8322D"/>
    <w:rsid w:val="65E41428"/>
    <w:rsid w:val="65F362B8"/>
    <w:rsid w:val="660B715E"/>
    <w:rsid w:val="661E5048"/>
    <w:rsid w:val="664E2938"/>
    <w:rsid w:val="665723A3"/>
    <w:rsid w:val="667B538D"/>
    <w:rsid w:val="667C005C"/>
    <w:rsid w:val="6681348F"/>
    <w:rsid w:val="668263FE"/>
    <w:rsid w:val="6691014E"/>
    <w:rsid w:val="66A03D4A"/>
    <w:rsid w:val="66B02BAE"/>
    <w:rsid w:val="66C35523"/>
    <w:rsid w:val="66C87CCE"/>
    <w:rsid w:val="66CF4630"/>
    <w:rsid w:val="66F83B86"/>
    <w:rsid w:val="67000C8D"/>
    <w:rsid w:val="672B3A26"/>
    <w:rsid w:val="67486190"/>
    <w:rsid w:val="674F272E"/>
    <w:rsid w:val="67542D87"/>
    <w:rsid w:val="675863D3"/>
    <w:rsid w:val="675B2367"/>
    <w:rsid w:val="677435B2"/>
    <w:rsid w:val="67825B46"/>
    <w:rsid w:val="67834217"/>
    <w:rsid w:val="679413D5"/>
    <w:rsid w:val="67B83316"/>
    <w:rsid w:val="67D363A2"/>
    <w:rsid w:val="67DD06AF"/>
    <w:rsid w:val="67EF75F1"/>
    <w:rsid w:val="67F02AB0"/>
    <w:rsid w:val="680C64F1"/>
    <w:rsid w:val="681E586F"/>
    <w:rsid w:val="683E1A6D"/>
    <w:rsid w:val="684F4F11"/>
    <w:rsid w:val="685FA1B0"/>
    <w:rsid w:val="687234C5"/>
    <w:rsid w:val="687500EC"/>
    <w:rsid w:val="68817BAC"/>
    <w:rsid w:val="68C301C4"/>
    <w:rsid w:val="68EC43AE"/>
    <w:rsid w:val="69124F16"/>
    <w:rsid w:val="69360996"/>
    <w:rsid w:val="694174CC"/>
    <w:rsid w:val="69513A22"/>
    <w:rsid w:val="69787200"/>
    <w:rsid w:val="698E2580"/>
    <w:rsid w:val="69C241C6"/>
    <w:rsid w:val="69CD5C14"/>
    <w:rsid w:val="69CF0D33"/>
    <w:rsid w:val="6A035491"/>
    <w:rsid w:val="6A040A94"/>
    <w:rsid w:val="6A116D0D"/>
    <w:rsid w:val="6A220949"/>
    <w:rsid w:val="6A331379"/>
    <w:rsid w:val="6A3C6480"/>
    <w:rsid w:val="6A5C61DA"/>
    <w:rsid w:val="6A6473E2"/>
    <w:rsid w:val="6AB9362D"/>
    <w:rsid w:val="6AC36475"/>
    <w:rsid w:val="6AC66CE1"/>
    <w:rsid w:val="6AD2649C"/>
    <w:rsid w:val="6B040620"/>
    <w:rsid w:val="6B086362"/>
    <w:rsid w:val="6B160A7F"/>
    <w:rsid w:val="6B1747F7"/>
    <w:rsid w:val="6B272C8C"/>
    <w:rsid w:val="6B3233DF"/>
    <w:rsid w:val="6B6006D4"/>
    <w:rsid w:val="6B7064D8"/>
    <w:rsid w:val="6B856C99"/>
    <w:rsid w:val="6B8F6BEF"/>
    <w:rsid w:val="6B9946B3"/>
    <w:rsid w:val="6BA14249"/>
    <w:rsid w:val="6BAC4F3F"/>
    <w:rsid w:val="6BBD0EFB"/>
    <w:rsid w:val="6BE02E3B"/>
    <w:rsid w:val="6BE50451"/>
    <w:rsid w:val="6BE518DA"/>
    <w:rsid w:val="6BF62FE7"/>
    <w:rsid w:val="6BFA733C"/>
    <w:rsid w:val="6C276F3A"/>
    <w:rsid w:val="6C2E1DF8"/>
    <w:rsid w:val="6C2E592F"/>
    <w:rsid w:val="6C364A41"/>
    <w:rsid w:val="6C47162C"/>
    <w:rsid w:val="6C51528D"/>
    <w:rsid w:val="6C5D3982"/>
    <w:rsid w:val="6C692E30"/>
    <w:rsid w:val="6C7007C7"/>
    <w:rsid w:val="6C7653EA"/>
    <w:rsid w:val="6C7D608C"/>
    <w:rsid w:val="6C896FE9"/>
    <w:rsid w:val="6C8D7A1E"/>
    <w:rsid w:val="6C8F0A44"/>
    <w:rsid w:val="6CA51552"/>
    <w:rsid w:val="6CDC7AA6"/>
    <w:rsid w:val="6CDFFF17"/>
    <w:rsid w:val="6D020EB3"/>
    <w:rsid w:val="6D021542"/>
    <w:rsid w:val="6D041CCA"/>
    <w:rsid w:val="6D071AA8"/>
    <w:rsid w:val="6D091577"/>
    <w:rsid w:val="6D147240"/>
    <w:rsid w:val="6D196605"/>
    <w:rsid w:val="6D352B1F"/>
    <w:rsid w:val="6D3A657B"/>
    <w:rsid w:val="6D4EE6C9"/>
    <w:rsid w:val="6D6C78BA"/>
    <w:rsid w:val="6D852934"/>
    <w:rsid w:val="6D9130D4"/>
    <w:rsid w:val="6DAD5E5D"/>
    <w:rsid w:val="6DC42A14"/>
    <w:rsid w:val="6DCF5159"/>
    <w:rsid w:val="6DDFB29D"/>
    <w:rsid w:val="6DE76850"/>
    <w:rsid w:val="6DFA7781"/>
    <w:rsid w:val="6DFFA83A"/>
    <w:rsid w:val="6E05302D"/>
    <w:rsid w:val="6E090112"/>
    <w:rsid w:val="6E1312A6"/>
    <w:rsid w:val="6E1A6AD8"/>
    <w:rsid w:val="6E26242E"/>
    <w:rsid w:val="6E4E22DE"/>
    <w:rsid w:val="6E55366C"/>
    <w:rsid w:val="6E777A87"/>
    <w:rsid w:val="6E8126B3"/>
    <w:rsid w:val="6E9C7F79"/>
    <w:rsid w:val="6EA55001"/>
    <w:rsid w:val="6EAB3BD4"/>
    <w:rsid w:val="6EB20ABF"/>
    <w:rsid w:val="6ECB392F"/>
    <w:rsid w:val="6ECE053C"/>
    <w:rsid w:val="6ECF3D50"/>
    <w:rsid w:val="6EDD18B4"/>
    <w:rsid w:val="6EE32661"/>
    <w:rsid w:val="6EE74036"/>
    <w:rsid w:val="6EF7AF74"/>
    <w:rsid w:val="6F0928B8"/>
    <w:rsid w:val="6F2F65B3"/>
    <w:rsid w:val="6F302D6F"/>
    <w:rsid w:val="6F3068F4"/>
    <w:rsid w:val="6F35524C"/>
    <w:rsid w:val="6F720773"/>
    <w:rsid w:val="6F742218"/>
    <w:rsid w:val="6F8166E3"/>
    <w:rsid w:val="6F8E2F5C"/>
    <w:rsid w:val="6F9AE3C3"/>
    <w:rsid w:val="6FA26D85"/>
    <w:rsid w:val="6FAD572A"/>
    <w:rsid w:val="6FB20BD4"/>
    <w:rsid w:val="6FBA59BE"/>
    <w:rsid w:val="6FCF56A0"/>
    <w:rsid w:val="6FD64C81"/>
    <w:rsid w:val="6FD9651F"/>
    <w:rsid w:val="6FF80845"/>
    <w:rsid w:val="6FFB46E7"/>
    <w:rsid w:val="6FFD220E"/>
    <w:rsid w:val="6FFE3111"/>
    <w:rsid w:val="70065036"/>
    <w:rsid w:val="70135A24"/>
    <w:rsid w:val="70193226"/>
    <w:rsid w:val="70296B3E"/>
    <w:rsid w:val="702F2441"/>
    <w:rsid w:val="7041372B"/>
    <w:rsid w:val="70460BD8"/>
    <w:rsid w:val="70572C17"/>
    <w:rsid w:val="70611204"/>
    <w:rsid w:val="70801FF4"/>
    <w:rsid w:val="70AB1C6A"/>
    <w:rsid w:val="70BF4CD5"/>
    <w:rsid w:val="70F575C7"/>
    <w:rsid w:val="70FA2A22"/>
    <w:rsid w:val="71016791"/>
    <w:rsid w:val="71157B90"/>
    <w:rsid w:val="711E4668"/>
    <w:rsid w:val="712E4649"/>
    <w:rsid w:val="7165620F"/>
    <w:rsid w:val="71687B5B"/>
    <w:rsid w:val="716C522F"/>
    <w:rsid w:val="717039F8"/>
    <w:rsid w:val="717374F6"/>
    <w:rsid w:val="71755DD4"/>
    <w:rsid w:val="718751FB"/>
    <w:rsid w:val="71950339"/>
    <w:rsid w:val="71C70D25"/>
    <w:rsid w:val="71CA2612"/>
    <w:rsid w:val="71D7083C"/>
    <w:rsid w:val="71E22731"/>
    <w:rsid w:val="71EC42E8"/>
    <w:rsid w:val="71F4716E"/>
    <w:rsid w:val="721E123F"/>
    <w:rsid w:val="722241AD"/>
    <w:rsid w:val="72253C9E"/>
    <w:rsid w:val="72556200"/>
    <w:rsid w:val="727E10B8"/>
    <w:rsid w:val="72AC7F1B"/>
    <w:rsid w:val="72E94CCB"/>
    <w:rsid w:val="72ED3278"/>
    <w:rsid w:val="73044FF4"/>
    <w:rsid w:val="73214465"/>
    <w:rsid w:val="73263829"/>
    <w:rsid w:val="734819F2"/>
    <w:rsid w:val="7349576A"/>
    <w:rsid w:val="73591E51"/>
    <w:rsid w:val="73702CF6"/>
    <w:rsid w:val="73770F87"/>
    <w:rsid w:val="738259F2"/>
    <w:rsid w:val="738E18F5"/>
    <w:rsid w:val="739447D9"/>
    <w:rsid w:val="73B25868"/>
    <w:rsid w:val="73C92D23"/>
    <w:rsid w:val="74162372"/>
    <w:rsid w:val="74186A82"/>
    <w:rsid w:val="742D0185"/>
    <w:rsid w:val="74335A87"/>
    <w:rsid w:val="74380C95"/>
    <w:rsid w:val="746356BD"/>
    <w:rsid w:val="74676C5D"/>
    <w:rsid w:val="74711D36"/>
    <w:rsid w:val="748051BB"/>
    <w:rsid w:val="749018A2"/>
    <w:rsid w:val="749D3AA7"/>
    <w:rsid w:val="74B05BE5"/>
    <w:rsid w:val="74B44E65"/>
    <w:rsid w:val="74C052F8"/>
    <w:rsid w:val="74D13AD5"/>
    <w:rsid w:val="74EC0AA3"/>
    <w:rsid w:val="74F30BB4"/>
    <w:rsid w:val="74FA2C30"/>
    <w:rsid w:val="751002ED"/>
    <w:rsid w:val="75134281"/>
    <w:rsid w:val="75287D2D"/>
    <w:rsid w:val="752A3FEA"/>
    <w:rsid w:val="753F72DB"/>
    <w:rsid w:val="754907F4"/>
    <w:rsid w:val="754D5C4B"/>
    <w:rsid w:val="754D7793"/>
    <w:rsid w:val="756A66F5"/>
    <w:rsid w:val="75737FAA"/>
    <w:rsid w:val="7580680A"/>
    <w:rsid w:val="75826D11"/>
    <w:rsid w:val="759530EB"/>
    <w:rsid w:val="75BA862D"/>
    <w:rsid w:val="75DB63BB"/>
    <w:rsid w:val="75E579CC"/>
    <w:rsid w:val="75EF25F8"/>
    <w:rsid w:val="75F23E97"/>
    <w:rsid w:val="75FEA138"/>
    <w:rsid w:val="76024EB7"/>
    <w:rsid w:val="760A7432"/>
    <w:rsid w:val="761A519B"/>
    <w:rsid w:val="76397D18"/>
    <w:rsid w:val="76593F16"/>
    <w:rsid w:val="766E7A3D"/>
    <w:rsid w:val="76747E7D"/>
    <w:rsid w:val="76765214"/>
    <w:rsid w:val="7682521B"/>
    <w:rsid w:val="76875FA1"/>
    <w:rsid w:val="768F5B89"/>
    <w:rsid w:val="76A505DE"/>
    <w:rsid w:val="76BC78E1"/>
    <w:rsid w:val="76C04CC9"/>
    <w:rsid w:val="76C240A7"/>
    <w:rsid w:val="76C34494"/>
    <w:rsid w:val="76C5614F"/>
    <w:rsid w:val="76D90BB3"/>
    <w:rsid w:val="76DA416A"/>
    <w:rsid w:val="76DB2B7D"/>
    <w:rsid w:val="77091498"/>
    <w:rsid w:val="770C71DA"/>
    <w:rsid w:val="773F4E98"/>
    <w:rsid w:val="775246B7"/>
    <w:rsid w:val="778E1DCF"/>
    <w:rsid w:val="778FD048"/>
    <w:rsid w:val="779F3BAA"/>
    <w:rsid w:val="77B306E9"/>
    <w:rsid w:val="77CD6969"/>
    <w:rsid w:val="77F9565C"/>
    <w:rsid w:val="77FF1F05"/>
    <w:rsid w:val="78054355"/>
    <w:rsid w:val="78187719"/>
    <w:rsid w:val="781E69D1"/>
    <w:rsid w:val="781E71C5"/>
    <w:rsid w:val="78414C61"/>
    <w:rsid w:val="78575A59"/>
    <w:rsid w:val="786B1CDE"/>
    <w:rsid w:val="78762B5D"/>
    <w:rsid w:val="78960166"/>
    <w:rsid w:val="78A22093"/>
    <w:rsid w:val="78AA0A59"/>
    <w:rsid w:val="78B47B29"/>
    <w:rsid w:val="78BA294F"/>
    <w:rsid w:val="78DE5201"/>
    <w:rsid w:val="78EC20E8"/>
    <w:rsid w:val="78F24B4D"/>
    <w:rsid w:val="78FB12B4"/>
    <w:rsid w:val="7901747F"/>
    <w:rsid w:val="790A14F7"/>
    <w:rsid w:val="790E0FE8"/>
    <w:rsid w:val="7918425F"/>
    <w:rsid w:val="791E5DAA"/>
    <w:rsid w:val="791F1FA9"/>
    <w:rsid w:val="79312F28"/>
    <w:rsid w:val="798F6101"/>
    <w:rsid w:val="79931391"/>
    <w:rsid w:val="79A951B4"/>
    <w:rsid w:val="79C50ED1"/>
    <w:rsid w:val="79D35D8D"/>
    <w:rsid w:val="79E11C7D"/>
    <w:rsid w:val="79FF6B82"/>
    <w:rsid w:val="7A016D9E"/>
    <w:rsid w:val="7A1A0072"/>
    <w:rsid w:val="7A1E525A"/>
    <w:rsid w:val="7A204CAE"/>
    <w:rsid w:val="7A24483B"/>
    <w:rsid w:val="7A263B6B"/>
    <w:rsid w:val="7A3A6609"/>
    <w:rsid w:val="7A5A200A"/>
    <w:rsid w:val="7A9B68AB"/>
    <w:rsid w:val="7AA33747"/>
    <w:rsid w:val="7AA463F6"/>
    <w:rsid w:val="7AA53BCD"/>
    <w:rsid w:val="7AAB2866"/>
    <w:rsid w:val="7AB21E46"/>
    <w:rsid w:val="7AB45BBF"/>
    <w:rsid w:val="7AB636E5"/>
    <w:rsid w:val="7AB94F83"/>
    <w:rsid w:val="7AC34054"/>
    <w:rsid w:val="7ACC70B1"/>
    <w:rsid w:val="7AD65B35"/>
    <w:rsid w:val="7AD87AFF"/>
    <w:rsid w:val="7AF46346"/>
    <w:rsid w:val="7AF68248"/>
    <w:rsid w:val="7B0C59FB"/>
    <w:rsid w:val="7B0F5EBF"/>
    <w:rsid w:val="7B130FB9"/>
    <w:rsid w:val="7B153836"/>
    <w:rsid w:val="7B362A78"/>
    <w:rsid w:val="7B38234C"/>
    <w:rsid w:val="7B4909FD"/>
    <w:rsid w:val="7BA71DC9"/>
    <w:rsid w:val="7BA77504"/>
    <w:rsid w:val="7BBD033D"/>
    <w:rsid w:val="7BD04C7A"/>
    <w:rsid w:val="7BD71E38"/>
    <w:rsid w:val="7BEC3136"/>
    <w:rsid w:val="7BF64EDE"/>
    <w:rsid w:val="7C06069C"/>
    <w:rsid w:val="7C211032"/>
    <w:rsid w:val="7C2428D0"/>
    <w:rsid w:val="7C351EC1"/>
    <w:rsid w:val="7C400C1E"/>
    <w:rsid w:val="7C596A1E"/>
    <w:rsid w:val="7C5F196A"/>
    <w:rsid w:val="7C72188D"/>
    <w:rsid w:val="7C8A790F"/>
    <w:rsid w:val="7C950F89"/>
    <w:rsid w:val="7C9712F4"/>
    <w:rsid w:val="7C9D6FAC"/>
    <w:rsid w:val="7C9F3A0A"/>
    <w:rsid w:val="7CA3023F"/>
    <w:rsid w:val="7CB2612E"/>
    <w:rsid w:val="7CB43C54"/>
    <w:rsid w:val="7CB5573B"/>
    <w:rsid w:val="7CB73744"/>
    <w:rsid w:val="7CFA128E"/>
    <w:rsid w:val="7D0210DE"/>
    <w:rsid w:val="7D0330D6"/>
    <w:rsid w:val="7D0E5A5A"/>
    <w:rsid w:val="7D402748"/>
    <w:rsid w:val="7D537911"/>
    <w:rsid w:val="7D5EA32A"/>
    <w:rsid w:val="7D733F6C"/>
    <w:rsid w:val="7D7D04EA"/>
    <w:rsid w:val="7D980DA2"/>
    <w:rsid w:val="7DA77C5D"/>
    <w:rsid w:val="7DB008BF"/>
    <w:rsid w:val="7DBB371A"/>
    <w:rsid w:val="7DBE59D7"/>
    <w:rsid w:val="7DD11708"/>
    <w:rsid w:val="7DEE4A4F"/>
    <w:rsid w:val="7DFF8E8A"/>
    <w:rsid w:val="7E2117BD"/>
    <w:rsid w:val="7E215319"/>
    <w:rsid w:val="7E301350"/>
    <w:rsid w:val="7E4B683A"/>
    <w:rsid w:val="7E553215"/>
    <w:rsid w:val="7E61605D"/>
    <w:rsid w:val="7E6437D7"/>
    <w:rsid w:val="7E897230"/>
    <w:rsid w:val="7E9153C9"/>
    <w:rsid w:val="7EAE6230"/>
    <w:rsid w:val="7EB20667"/>
    <w:rsid w:val="7EBD579E"/>
    <w:rsid w:val="7EBFF66F"/>
    <w:rsid w:val="7EC108AA"/>
    <w:rsid w:val="7EC167BD"/>
    <w:rsid w:val="7EC36535"/>
    <w:rsid w:val="7EDB05DB"/>
    <w:rsid w:val="7EF35613"/>
    <w:rsid w:val="7EF94419"/>
    <w:rsid w:val="7F142CEF"/>
    <w:rsid w:val="7F271055"/>
    <w:rsid w:val="7F272D9E"/>
    <w:rsid w:val="7F3177DE"/>
    <w:rsid w:val="7F3541C2"/>
    <w:rsid w:val="7F5160D2"/>
    <w:rsid w:val="7F5D7C80"/>
    <w:rsid w:val="7F5E5764"/>
    <w:rsid w:val="7F623E3B"/>
    <w:rsid w:val="7F7BF6E8"/>
    <w:rsid w:val="7F7E49ED"/>
    <w:rsid w:val="7F887970"/>
    <w:rsid w:val="7F8F09A8"/>
    <w:rsid w:val="7FB4F82C"/>
    <w:rsid w:val="7FB83A5B"/>
    <w:rsid w:val="7FBAA970"/>
    <w:rsid w:val="7FCF3E35"/>
    <w:rsid w:val="7FCF6FF7"/>
    <w:rsid w:val="7FD282F2"/>
    <w:rsid w:val="7FD9801E"/>
    <w:rsid w:val="7FDB2F7D"/>
    <w:rsid w:val="7FEB2083"/>
    <w:rsid w:val="7FF33A8E"/>
    <w:rsid w:val="7FF6A5DC"/>
    <w:rsid w:val="7FF74A1F"/>
    <w:rsid w:val="7FF870A3"/>
    <w:rsid w:val="7FFD9596"/>
    <w:rsid w:val="7FFF2C25"/>
    <w:rsid w:val="7FFF9CE5"/>
    <w:rsid w:val="8FBFFB60"/>
    <w:rsid w:val="8FDE892F"/>
    <w:rsid w:val="8FFDE6F7"/>
    <w:rsid w:val="9FF91CB7"/>
    <w:rsid w:val="A4B17BF0"/>
    <w:rsid w:val="AEFDD041"/>
    <w:rsid w:val="B31C6040"/>
    <w:rsid w:val="B36F192A"/>
    <w:rsid w:val="B77D0F2A"/>
    <w:rsid w:val="B7D72CBA"/>
    <w:rsid w:val="B7FB8F19"/>
    <w:rsid w:val="BBCF2872"/>
    <w:rsid w:val="BDFAA9D0"/>
    <w:rsid w:val="BE972E5E"/>
    <w:rsid w:val="BF6FB722"/>
    <w:rsid w:val="C4FF5F50"/>
    <w:rsid w:val="C7D31645"/>
    <w:rsid w:val="C7F56239"/>
    <w:rsid w:val="CAE28CB8"/>
    <w:rsid w:val="CF775880"/>
    <w:rsid w:val="CF7AC40F"/>
    <w:rsid w:val="CFFE21E4"/>
    <w:rsid w:val="CFFF2298"/>
    <w:rsid w:val="D2FB31E2"/>
    <w:rsid w:val="D98C5242"/>
    <w:rsid w:val="D9F78752"/>
    <w:rsid w:val="DBEB843F"/>
    <w:rsid w:val="DDF452AD"/>
    <w:rsid w:val="DEEBEC32"/>
    <w:rsid w:val="DF9A28E6"/>
    <w:rsid w:val="DFFFC530"/>
    <w:rsid w:val="E73F5DB5"/>
    <w:rsid w:val="EABAC036"/>
    <w:rsid w:val="EDFDA4D0"/>
    <w:rsid w:val="EEFA8C30"/>
    <w:rsid w:val="EF774E36"/>
    <w:rsid w:val="EFFBB36E"/>
    <w:rsid w:val="EFFFCBC6"/>
    <w:rsid w:val="F3AD4960"/>
    <w:rsid w:val="F3F76EBE"/>
    <w:rsid w:val="F47E24E3"/>
    <w:rsid w:val="F57EA888"/>
    <w:rsid w:val="F7DED37D"/>
    <w:rsid w:val="F7F9DD08"/>
    <w:rsid w:val="F7FF313E"/>
    <w:rsid w:val="F87B9DEF"/>
    <w:rsid w:val="FA7F7450"/>
    <w:rsid w:val="FB17F40D"/>
    <w:rsid w:val="FB9E557C"/>
    <w:rsid w:val="FBB7A754"/>
    <w:rsid w:val="FBE0C1D9"/>
    <w:rsid w:val="FBFE0224"/>
    <w:rsid w:val="FBFF2A74"/>
    <w:rsid w:val="FCFF31BA"/>
    <w:rsid w:val="FD67FAB8"/>
    <w:rsid w:val="FDED207B"/>
    <w:rsid w:val="FDF6692F"/>
    <w:rsid w:val="FDF7D7FE"/>
    <w:rsid w:val="FDF909D1"/>
    <w:rsid w:val="FDFF272F"/>
    <w:rsid w:val="FEDE9FFD"/>
    <w:rsid w:val="FEDF5C04"/>
    <w:rsid w:val="FEFE96FE"/>
    <w:rsid w:val="FF7BCBFE"/>
    <w:rsid w:val="FF93294D"/>
    <w:rsid w:val="FF977F2C"/>
    <w:rsid w:val="FFB1976F"/>
    <w:rsid w:val="FFBD16D6"/>
    <w:rsid w:val="FFD5994F"/>
    <w:rsid w:val="FFDEC734"/>
    <w:rsid w:val="FFF71900"/>
    <w:rsid w:val="FFFE53B3"/>
    <w:rsid w:val="FFFE7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iPriority="0" w:semiHidden="0"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等线"/>
      <w:kern w:val="2"/>
      <w:sz w:val="21"/>
      <w:szCs w:val="24"/>
      <w:lang w:val="en-US" w:eastAsia="zh-CN" w:bidi="ar-SA"/>
    </w:rPr>
  </w:style>
  <w:style w:type="paragraph" w:styleId="2">
    <w:name w:val="heading 1"/>
    <w:basedOn w:val="1"/>
    <w:next w:val="1"/>
    <w:link w:val="70"/>
    <w:autoRedefine/>
    <w:qFormat/>
    <w:uiPriority w:val="99"/>
    <w:pPr>
      <w:keepNext/>
      <w:keepLines/>
      <w:spacing w:before="340" w:after="330" w:line="578" w:lineRule="auto"/>
      <w:outlineLvl w:val="0"/>
    </w:pPr>
    <w:rPr>
      <w:rFonts w:cs="Times New Roman"/>
      <w:b/>
      <w:bCs/>
      <w:kern w:val="44"/>
      <w:sz w:val="44"/>
      <w:szCs w:val="44"/>
      <w:lang w:val="zh-CN"/>
    </w:rPr>
  </w:style>
  <w:style w:type="paragraph" w:styleId="3">
    <w:name w:val="heading 2"/>
    <w:basedOn w:val="1"/>
    <w:next w:val="1"/>
    <w:link w:val="72"/>
    <w:autoRedefine/>
    <w:qFormat/>
    <w:uiPriority w:val="0"/>
    <w:pPr>
      <w:keepNext/>
      <w:keepLines/>
      <w:spacing w:before="260" w:after="260" w:line="416" w:lineRule="auto"/>
      <w:outlineLvl w:val="1"/>
    </w:pPr>
    <w:rPr>
      <w:rFonts w:ascii="Cambria Math" w:hAnsi="Cambria Math" w:eastAsia="Calibri" w:cs="Times New Roman"/>
      <w:b/>
      <w:bCs/>
      <w:sz w:val="32"/>
      <w:szCs w:val="32"/>
      <w:lang w:val="zh-CN"/>
    </w:rPr>
  </w:style>
  <w:style w:type="paragraph" w:styleId="4">
    <w:name w:val="heading 3"/>
    <w:basedOn w:val="1"/>
    <w:next w:val="1"/>
    <w:link w:val="145"/>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74"/>
    <w:autoRedefine/>
    <w:qFormat/>
    <w:uiPriority w:val="0"/>
    <w:pPr>
      <w:keepNext/>
      <w:keepLines/>
      <w:spacing w:before="280" w:after="290" w:line="374" w:lineRule="auto"/>
      <w:outlineLvl w:val="3"/>
    </w:pPr>
    <w:rPr>
      <w:rFonts w:ascii="Arial" w:hAnsi="Arial" w:eastAsia="黑体" w:cs="Times New Roman"/>
      <w:b/>
      <w:bCs/>
      <w:sz w:val="28"/>
      <w:szCs w:val="28"/>
    </w:rPr>
  </w:style>
  <w:style w:type="paragraph" w:styleId="6">
    <w:name w:val="heading 5"/>
    <w:basedOn w:val="1"/>
    <w:next w:val="7"/>
    <w:link w:val="75"/>
    <w:autoRedefine/>
    <w:qFormat/>
    <w:uiPriority w:val="0"/>
    <w:pPr>
      <w:keepNext/>
      <w:keepLines/>
      <w:spacing w:before="280" w:after="290" w:line="376" w:lineRule="auto"/>
      <w:outlineLvl w:val="4"/>
    </w:pPr>
    <w:rPr>
      <w:rFonts w:cs="Times New Roman"/>
      <w:b/>
      <w:bCs/>
      <w:sz w:val="28"/>
      <w:szCs w:val="28"/>
      <w:lang w:val="zh-CN"/>
    </w:rPr>
  </w:style>
  <w:style w:type="paragraph" w:styleId="8">
    <w:name w:val="heading 6"/>
    <w:basedOn w:val="1"/>
    <w:next w:val="1"/>
    <w:link w:val="77"/>
    <w:autoRedefine/>
    <w:qFormat/>
    <w:uiPriority w:val="0"/>
    <w:pPr>
      <w:keepNext/>
      <w:keepLines/>
      <w:numPr>
        <w:ilvl w:val="5"/>
        <w:numId w:val="1"/>
      </w:numPr>
      <w:spacing w:before="240" w:after="64" w:line="320" w:lineRule="auto"/>
      <w:outlineLvl w:val="5"/>
    </w:pPr>
    <w:rPr>
      <w:rFonts w:ascii="Arial" w:hAnsi="Arial" w:eastAsia="黑体" w:cs="Times New Roman"/>
      <w:b/>
      <w:kern w:val="0"/>
      <w:sz w:val="24"/>
    </w:rPr>
  </w:style>
  <w:style w:type="paragraph" w:styleId="9">
    <w:name w:val="heading 7"/>
    <w:basedOn w:val="1"/>
    <w:next w:val="7"/>
    <w:link w:val="78"/>
    <w:autoRedefine/>
    <w:qFormat/>
    <w:uiPriority w:val="0"/>
    <w:pPr>
      <w:keepNext/>
      <w:keepLines/>
      <w:numPr>
        <w:ilvl w:val="6"/>
        <w:numId w:val="1"/>
      </w:numPr>
      <w:spacing w:before="240" w:after="64" w:line="320" w:lineRule="auto"/>
      <w:outlineLvl w:val="6"/>
    </w:pPr>
    <w:rPr>
      <w:rFonts w:ascii="Times New Roman" w:hAnsi="Times New Roman" w:eastAsia="宋体" w:cs="Times New Roman"/>
      <w:b/>
      <w:kern w:val="0"/>
      <w:sz w:val="24"/>
    </w:rPr>
  </w:style>
  <w:style w:type="paragraph" w:styleId="10">
    <w:name w:val="heading 8"/>
    <w:basedOn w:val="1"/>
    <w:next w:val="1"/>
    <w:link w:val="79"/>
    <w:autoRedefine/>
    <w:qFormat/>
    <w:uiPriority w:val="0"/>
    <w:pPr>
      <w:keepNext/>
      <w:keepLines/>
      <w:spacing w:before="240" w:after="64" w:line="320" w:lineRule="auto"/>
      <w:outlineLvl w:val="7"/>
    </w:pPr>
    <w:rPr>
      <w:rFonts w:ascii="微软雅黑" w:hAnsi="微软雅黑" w:eastAsia="微软雅黑" w:cs="Times New Roman"/>
      <w:sz w:val="24"/>
      <w:lang w:val="zh-CN"/>
    </w:rPr>
  </w:style>
  <w:style w:type="paragraph" w:styleId="11">
    <w:name w:val="heading 9"/>
    <w:basedOn w:val="1"/>
    <w:next w:val="7"/>
    <w:link w:val="80"/>
    <w:autoRedefine/>
    <w:qFormat/>
    <w:uiPriority w:val="0"/>
    <w:pPr>
      <w:keepNext/>
      <w:keepLines/>
      <w:numPr>
        <w:ilvl w:val="8"/>
        <w:numId w:val="1"/>
      </w:numPr>
      <w:spacing w:before="240" w:after="64" w:line="320" w:lineRule="auto"/>
      <w:outlineLvl w:val="8"/>
    </w:pPr>
    <w:rPr>
      <w:rFonts w:ascii="Arial" w:hAnsi="Arial" w:eastAsia="黑体" w:cs="Times New Roman"/>
      <w:kern w:val="0"/>
      <w:sz w:val="20"/>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76"/>
    <w:autoRedefine/>
    <w:qFormat/>
    <w:uiPriority w:val="0"/>
    <w:pPr>
      <w:ind w:firstLine="420"/>
    </w:pPr>
    <w:rPr>
      <w:szCs w:val="20"/>
    </w:rPr>
  </w:style>
  <w:style w:type="paragraph" w:styleId="12">
    <w:name w:val="List Number 2"/>
    <w:basedOn w:val="1"/>
    <w:autoRedefine/>
    <w:qFormat/>
    <w:uiPriority w:val="0"/>
    <w:pPr>
      <w:tabs>
        <w:tab w:val="left" w:pos="780"/>
      </w:tabs>
      <w:ind w:left="780" w:leftChars="200" w:hanging="360" w:hangingChars="200"/>
    </w:pPr>
    <w:rPr>
      <w:rFonts w:ascii="Times New Roman" w:hAnsi="Times New Roman" w:eastAsia="宋体" w:cs="Times New Roman"/>
    </w:rPr>
  </w:style>
  <w:style w:type="paragraph" w:styleId="13">
    <w:name w:val="List Bullet 4"/>
    <w:basedOn w:val="1"/>
    <w:autoRedefine/>
    <w:qFormat/>
    <w:uiPriority w:val="0"/>
    <w:pPr>
      <w:tabs>
        <w:tab w:val="left" w:pos="987"/>
      </w:tabs>
      <w:ind w:left="987" w:hanging="420"/>
    </w:pPr>
    <w:rPr>
      <w:rFonts w:ascii="Times New Roman" w:hAnsi="Times New Roman" w:eastAsia="宋体" w:cs="Times New Roman"/>
      <w:szCs w:val="20"/>
    </w:rPr>
  </w:style>
  <w:style w:type="paragraph" w:styleId="14">
    <w:name w:val="index 8"/>
    <w:basedOn w:val="1"/>
    <w:next w:val="1"/>
    <w:autoRedefine/>
    <w:qFormat/>
    <w:uiPriority w:val="0"/>
    <w:pPr>
      <w:ind w:left="2940"/>
    </w:pPr>
  </w:style>
  <w:style w:type="paragraph" w:styleId="15">
    <w:name w:val="List Number"/>
    <w:basedOn w:val="1"/>
    <w:autoRedefine/>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6">
    <w:name w:val="caption"/>
    <w:basedOn w:val="1"/>
    <w:next w:val="1"/>
    <w:autoRedefine/>
    <w:qFormat/>
    <w:uiPriority w:val="0"/>
    <w:pPr>
      <w:spacing w:before="152" w:after="160"/>
    </w:pPr>
    <w:rPr>
      <w:rFonts w:ascii="Arial" w:hAnsi="Arial" w:eastAsia="黑体" w:cs="Arial"/>
      <w:sz w:val="20"/>
      <w:szCs w:val="20"/>
    </w:rPr>
  </w:style>
  <w:style w:type="paragraph" w:styleId="17">
    <w:name w:val="List Bullet"/>
    <w:basedOn w:val="1"/>
    <w:autoRedefine/>
    <w:qFormat/>
    <w:uiPriority w:val="0"/>
    <w:pPr>
      <w:tabs>
        <w:tab w:val="left" w:pos="1200"/>
      </w:tabs>
      <w:spacing w:line="360" w:lineRule="auto"/>
      <w:ind w:left="1200" w:hanging="360"/>
    </w:pPr>
    <w:rPr>
      <w:rFonts w:ascii="Times New Roman" w:hAnsi="Times New Roman" w:eastAsia="宋体" w:cs="Times New Roman"/>
      <w:sz w:val="24"/>
    </w:rPr>
  </w:style>
  <w:style w:type="paragraph" w:styleId="18">
    <w:name w:val="Document Map"/>
    <w:basedOn w:val="1"/>
    <w:link w:val="81"/>
    <w:autoRedefine/>
    <w:qFormat/>
    <w:uiPriority w:val="0"/>
    <w:pPr>
      <w:shd w:val="clear" w:color="auto" w:fill="000080"/>
    </w:pPr>
    <w:rPr>
      <w:rFonts w:ascii="宋体" w:hAnsi="Courier New"/>
      <w:kern w:val="0"/>
      <w:sz w:val="20"/>
      <w:szCs w:val="20"/>
      <w:shd w:val="clear" w:color="auto" w:fill="000080"/>
    </w:rPr>
  </w:style>
  <w:style w:type="paragraph" w:styleId="19">
    <w:name w:val="annotation text"/>
    <w:basedOn w:val="1"/>
    <w:link w:val="82"/>
    <w:autoRedefine/>
    <w:qFormat/>
    <w:uiPriority w:val="0"/>
    <w:pPr>
      <w:jc w:val="left"/>
    </w:pPr>
    <w:rPr>
      <w:rFonts w:cs="Times New Roman"/>
      <w:lang w:val="zh-CN"/>
    </w:rPr>
  </w:style>
  <w:style w:type="paragraph" w:styleId="20">
    <w:name w:val="index 6"/>
    <w:basedOn w:val="1"/>
    <w:next w:val="1"/>
    <w:autoRedefine/>
    <w:qFormat/>
    <w:uiPriority w:val="0"/>
    <w:pPr>
      <w:ind w:left="1000" w:leftChars="1000"/>
    </w:pPr>
  </w:style>
  <w:style w:type="paragraph" w:styleId="21">
    <w:name w:val="Salutation"/>
    <w:basedOn w:val="1"/>
    <w:next w:val="1"/>
    <w:link w:val="83"/>
    <w:autoRedefine/>
    <w:qFormat/>
    <w:uiPriority w:val="0"/>
    <w:rPr>
      <w:rFonts w:ascii="Times New Roman" w:hAnsi="Times New Roman" w:eastAsia="宋体" w:cs="Times New Roman"/>
      <w:szCs w:val="20"/>
    </w:rPr>
  </w:style>
  <w:style w:type="paragraph" w:styleId="22">
    <w:name w:val="Body Text 3"/>
    <w:basedOn w:val="1"/>
    <w:link w:val="84"/>
    <w:autoRedefine/>
    <w:unhideWhenUsed/>
    <w:qFormat/>
    <w:uiPriority w:val="0"/>
    <w:pPr>
      <w:spacing w:after="120"/>
    </w:pPr>
    <w:rPr>
      <w:rFonts w:cs="Times New Roman"/>
      <w:sz w:val="16"/>
      <w:szCs w:val="16"/>
      <w:lang w:val="zh-CN"/>
    </w:rPr>
  </w:style>
  <w:style w:type="paragraph" w:styleId="23">
    <w:name w:val="List Bullet 3"/>
    <w:basedOn w:val="1"/>
    <w:autoRedefine/>
    <w:qFormat/>
    <w:uiPriority w:val="0"/>
    <w:pPr>
      <w:tabs>
        <w:tab w:val="left" w:pos="1200"/>
      </w:tabs>
      <w:ind w:left="1200" w:hanging="360"/>
    </w:pPr>
    <w:rPr>
      <w:rFonts w:ascii="Times New Roman" w:hAnsi="Times New Roman" w:eastAsia="宋体" w:cs="Times New Roman"/>
      <w:szCs w:val="20"/>
    </w:rPr>
  </w:style>
  <w:style w:type="paragraph" w:styleId="24">
    <w:name w:val="Body Text"/>
    <w:basedOn w:val="1"/>
    <w:next w:val="1"/>
    <w:link w:val="85"/>
    <w:autoRedefine/>
    <w:unhideWhenUsed/>
    <w:qFormat/>
    <w:uiPriority w:val="0"/>
    <w:pPr>
      <w:spacing w:after="120"/>
    </w:pPr>
    <w:rPr>
      <w:rFonts w:cs="Times New Roman"/>
      <w:lang w:val="zh-CN"/>
    </w:rPr>
  </w:style>
  <w:style w:type="paragraph" w:styleId="25">
    <w:name w:val="Body Text Indent"/>
    <w:basedOn w:val="1"/>
    <w:link w:val="86"/>
    <w:autoRedefine/>
    <w:qFormat/>
    <w:uiPriority w:val="0"/>
    <w:pPr>
      <w:ind w:firstLine="830" w:firstLineChars="352"/>
    </w:pPr>
    <w:rPr>
      <w:rFonts w:ascii="Calibri" w:eastAsia="Calibri" w:cs="Times New Roman"/>
      <w:kern w:val="0"/>
      <w:sz w:val="32"/>
      <w:szCs w:val="20"/>
      <w:lang w:val="zh-CN"/>
    </w:rPr>
  </w:style>
  <w:style w:type="paragraph" w:styleId="26">
    <w:name w:val="List Number 3"/>
    <w:basedOn w:val="1"/>
    <w:autoRedefine/>
    <w:qFormat/>
    <w:uiPriority w:val="0"/>
    <w:pPr>
      <w:numPr>
        <w:ilvl w:val="0"/>
        <w:numId w:val="2"/>
      </w:numPr>
      <w:tabs>
        <w:tab w:val="left" w:pos="1200"/>
      </w:tabs>
    </w:pPr>
    <w:rPr>
      <w:rFonts w:ascii="Times New Roman" w:hAnsi="Times New Roman" w:eastAsia="宋体" w:cs="Times New Roman"/>
    </w:rPr>
  </w:style>
  <w:style w:type="paragraph" w:styleId="27">
    <w:name w:val="List 2"/>
    <w:basedOn w:val="1"/>
    <w:autoRedefine/>
    <w:unhideWhenUsed/>
    <w:qFormat/>
    <w:uiPriority w:val="0"/>
    <w:pPr>
      <w:ind w:left="100" w:leftChars="200" w:hanging="200" w:hangingChars="200"/>
      <w:contextualSpacing/>
    </w:pPr>
  </w:style>
  <w:style w:type="paragraph" w:styleId="28">
    <w:name w:val="Block Text"/>
    <w:basedOn w:val="1"/>
    <w:autoRedefine/>
    <w:qFormat/>
    <w:uiPriority w:val="0"/>
    <w:pPr>
      <w:autoSpaceDE w:val="0"/>
      <w:autoSpaceDN w:val="0"/>
      <w:adjustRightInd w:val="0"/>
      <w:spacing w:line="500" w:lineRule="exact"/>
      <w:ind w:left="391" w:right="246"/>
    </w:pPr>
    <w:rPr>
      <w:rFonts w:ascii="仿宋_GB2312" w:hAnsi="Times New Roman" w:eastAsia="仿宋_GB2312" w:cs="Times New Roman"/>
      <w:kern w:val="0"/>
      <w:sz w:val="24"/>
    </w:rPr>
  </w:style>
  <w:style w:type="paragraph" w:styleId="29">
    <w:name w:val="List Bullet 2"/>
    <w:basedOn w:val="1"/>
    <w:autoRedefine/>
    <w:qFormat/>
    <w:uiPriority w:val="0"/>
    <w:pPr>
      <w:widowControl/>
      <w:tabs>
        <w:tab w:val="left" w:pos="1620"/>
      </w:tabs>
      <w:adjustRightInd w:val="0"/>
      <w:snapToGrid w:val="0"/>
      <w:spacing w:before="120" w:line="360" w:lineRule="auto"/>
      <w:ind w:left="1620" w:hanging="1620"/>
      <w:jc w:val="left"/>
    </w:pPr>
    <w:rPr>
      <w:rFonts w:ascii="宋体" w:hAnsi="宋体" w:eastAsia="宋体" w:cs="Times New Roman"/>
      <w:spacing w:val="-5"/>
      <w:kern w:val="0"/>
      <w:szCs w:val="20"/>
    </w:rPr>
  </w:style>
  <w:style w:type="paragraph" w:styleId="30">
    <w:name w:val="Plain Text"/>
    <w:basedOn w:val="1"/>
    <w:next w:val="14"/>
    <w:link w:val="87"/>
    <w:autoRedefine/>
    <w:qFormat/>
    <w:uiPriority w:val="0"/>
    <w:rPr>
      <w:rFonts w:ascii="Calibri" w:hAnsi="Cambria" w:eastAsia="Calibri" w:cs="Times New Roman"/>
      <w:kern w:val="0"/>
      <w:sz w:val="20"/>
      <w:szCs w:val="21"/>
      <w:lang w:val="zh-CN"/>
    </w:rPr>
  </w:style>
  <w:style w:type="paragraph" w:styleId="31">
    <w:name w:val="Date"/>
    <w:basedOn w:val="1"/>
    <w:next w:val="1"/>
    <w:link w:val="88"/>
    <w:autoRedefine/>
    <w:unhideWhenUsed/>
    <w:qFormat/>
    <w:uiPriority w:val="0"/>
    <w:pPr>
      <w:ind w:left="100" w:leftChars="2500"/>
    </w:pPr>
    <w:rPr>
      <w:rFonts w:cs="Times New Roman"/>
      <w:lang w:val="zh-CN"/>
    </w:rPr>
  </w:style>
  <w:style w:type="paragraph" w:styleId="32">
    <w:name w:val="Body Text Indent 2"/>
    <w:basedOn w:val="1"/>
    <w:link w:val="89"/>
    <w:autoRedefine/>
    <w:qFormat/>
    <w:uiPriority w:val="0"/>
    <w:pPr>
      <w:ind w:firstLine="630"/>
    </w:pPr>
    <w:rPr>
      <w:kern w:val="0"/>
      <w:sz w:val="32"/>
      <w:szCs w:val="20"/>
    </w:rPr>
  </w:style>
  <w:style w:type="paragraph" w:styleId="33">
    <w:name w:val="endnote text"/>
    <w:basedOn w:val="1"/>
    <w:link w:val="90"/>
    <w:autoRedefine/>
    <w:unhideWhenUsed/>
    <w:qFormat/>
    <w:uiPriority w:val="99"/>
    <w:pPr>
      <w:snapToGrid w:val="0"/>
      <w:jc w:val="left"/>
    </w:pPr>
  </w:style>
  <w:style w:type="paragraph" w:styleId="34">
    <w:name w:val="Balloon Text"/>
    <w:basedOn w:val="1"/>
    <w:link w:val="91"/>
    <w:autoRedefine/>
    <w:qFormat/>
    <w:uiPriority w:val="0"/>
    <w:rPr>
      <w:sz w:val="18"/>
      <w:szCs w:val="18"/>
    </w:rPr>
  </w:style>
  <w:style w:type="paragraph" w:styleId="35">
    <w:name w:val="footer"/>
    <w:basedOn w:val="1"/>
    <w:link w:val="92"/>
    <w:autoRedefine/>
    <w:unhideWhenUsed/>
    <w:qFormat/>
    <w:uiPriority w:val="99"/>
    <w:pPr>
      <w:tabs>
        <w:tab w:val="center" w:pos="4153"/>
        <w:tab w:val="right" w:pos="8306"/>
      </w:tabs>
      <w:snapToGrid w:val="0"/>
      <w:jc w:val="left"/>
    </w:pPr>
    <w:rPr>
      <w:rFonts w:cs="Times New Roman"/>
      <w:kern w:val="0"/>
      <w:sz w:val="18"/>
      <w:szCs w:val="18"/>
      <w:lang w:val="zh-CN"/>
    </w:rPr>
  </w:style>
  <w:style w:type="paragraph" w:styleId="36">
    <w:name w:val="header"/>
    <w:basedOn w:val="1"/>
    <w:link w:val="93"/>
    <w:autoRedefine/>
    <w:unhideWhenUsed/>
    <w:qFormat/>
    <w:uiPriority w:val="0"/>
    <w:pPr>
      <w:pBdr>
        <w:bottom w:val="single" w:color="auto" w:sz="6" w:space="1"/>
      </w:pBdr>
      <w:tabs>
        <w:tab w:val="center" w:pos="4153"/>
        <w:tab w:val="right" w:pos="8306"/>
      </w:tabs>
      <w:snapToGrid w:val="0"/>
      <w:jc w:val="center"/>
    </w:pPr>
    <w:rPr>
      <w:rFonts w:cs="Times New Roman"/>
      <w:kern w:val="0"/>
      <w:sz w:val="18"/>
      <w:szCs w:val="18"/>
      <w:lang w:val="zh-CN"/>
    </w:rPr>
  </w:style>
  <w:style w:type="paragraph" w:styleId="37">
    <w:name w:val="toc 1"/>
    <w:basedOn w:val="1"/>
    <w:next w:val="1"/>
    <w:autoRedefine/>
    <w:unhideWhenUsed/>
    <w:qFormat/>
    <w:uiPriority w:val="39"/>
  </w:style>
  <w:style w:type="paragraph" w:styleId="38">
    <w:name w:val="Subtitle"/>
    <w:basedOn w:val="1"/>
    <w:next w:val="1"/>
    <w:link w:val="94"/>
    <w:autoRedefine/>
    <w:qFormat/>
    <w:uiPriority w:val="11"/>
    <w:pPr>
      <w:spacing w:before="240" w:after="60" w:line="312" w:lineRule="auto"/>
      <w:ind w:firstLine="200" w:firstLineChars="200"/>
      <w:jc w:val="center"/>
      <w:outlineLvl w:val="1"/>
    </w:pPr>
    <w:rPr>
      <w:rFonts w:ascii="Cambria" w:hAnsi="Cambria" w:eastAsia="方正小标宋简体" w:cs="Times New Roman"/>
      <w:b/>
      <w:bCs/>
      <w:kern w:val="28"/>
      <w:sz w:val="44"/>
      <w:szCs w:val="32"/>
    </w:rPr>
  </w:style>
  <w:style w:type="paragraph" w:styleId="39">
    <w:name w:val="List"/>
    <w:basedOn w:val="1"/>
    <w:autoRedefine/>
    <w:qFormat/>
    <w:uiPriority w:val="0"/>
    <w:pPr>
      <w:ind w:left="200" w:hanging="200" w:hangingChars="200"/>
    </w:pPr>
    <w:rPr>
      <w:rFonts w:ascii="Times New Roman" w:hAnsi="Times New Roman" w:eastAsia="宋体" w:cs="Times New Roman"/>
      <w:sz w:val="28"/>
    </w:rPr>
  </w:style>
  <w:style w:type="paragraph" w:styleId="40">
    <w:name w:val="footnote text"/>
    <w:basedOn w:val="1"/>
    <w:link w:val="95"/>
    <w:autoRedefine/>
    <w:unhideWhenUsed/>
    <w:qFormat/>
    <w:uiPriority w:val="0"/>
    <w:pPr>
      <w:snapToGrid w:val="0"/>
      <w:jc w:val="left"/>
    </w:pPr>
    <w:rPr>
      <w:sz w:val="18"/>
      <w:szCs w:val="18"/>
    </w:rPr>
  </w:style>
  <w:style w:type="paragraph" w:styleId="41">
    <w:name w:val="Body Text Indent 3"/>
    <w:basedOn w:val="1"/>
    <w:link w:val="96"/>
    <w:autoRedefine/>
    <w:qFormat/>
    <w:uiPriority w:val="0"/>
    <w:pPr>
      <w:spacing w:after="120"/>
      <w:ind w:left="420" w:leftChars="200"/>
    </w:pPr>
    <w:rPr>
      <w:kern w:val="0"/>
      <w:sz w:val="16"/>
      <w:szCs w:val="16"/>
    </w:rPr>
  </w:style>
  <w:style w:type="paragraph" w:styleId="42">
    <w:name w:val="table of figures"/>
    <w:basedOn w:val="1"/>
    <w:next w:val="1"/>
    <w:autoRedefine/>
    <w:unhideWhenUsed/>
    <w:qFormat/>
    <w:uiPriority w:val="99"/>
    <w:pPr>
      <w:ind w:left="200" w:leftChars="200" w:hanging="200" w:hangingChars="200"/>
    </w:pPr>
  </w:style>
  <w:style w:type="paragraph" w:styleId="43">
    <w:name w:val="toc 2"/>
    <w:basedOn w:val="1"/>
    <w:next w:val="1"/>
    <w:autoRedefine/>
    <w:unhideWhenUsed/>
    <w:qFormat/>
    <w:uiPriority w:val="39"/>
    <w:pPr>
      <w:tabs>
        <w:tab w:val="right" w:leader="dot" w:pos="8296"/>
      </w:tabs>
      <w:ind w:left="420" w:leftChars="200"/>
    </w:pPr>
  </w:style>
  <w:style w:type="paragraph" w:styleId="44">
    <w:name w:val="Body Text 2"/>
    <w:basedOn w:val="1"/>
    <w:link w:val="97"/>
    <w:autoRedefine/>
    <w:qFormat/>
    <w:uiPriority w:val="0"/>
    <w:pPr>
      <w:spacing w:after="120" w:line="480" w:lineRule="auto"/>
    </w:pPr>
    <w:rPr>
      <w:kern w:val="0"/>
      <w:sz w:val="20"/>
    </w:rPr>
  </w:style>
  <w:style w:type="paragraph" w:styleId="45">
    <w:name w:val="HTML Preformatted"/>
    <w:basedOn w:val="1"/>
    <w:link w:val="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 w:val="20"/>
      <w:szCs w:val="21"/>
    </w:rPr>
  </w:style>
  <w:style w:type="paragraph" w:styleId="46">
    <w:name w:val="Normal (Web)"/>
    <w:basedOn w:val="1"/>
    <w:autoRedefine/>
    <w:unhideWhenUsed/>
    <w:qFormat/>
    <w:uiPriority w:val="0"/>
    <w:rPr>
      <w:rFonts w:ascii="Cambria" w:hAnsi="Cambria" w:cs="Times New Roman"/>
      <w:kern w:val="0"/>
      <w:sz w:val="24"/>
    </w:rPr>
  </w:style>
  <w:style w:type="paragraph" w:styleId="47">
    <w:name w:val="index 1"/>
    <w:basedOn w:val="1"/>
    <w:next w:val="1"/>
    <w:autoRedefine/>
    <w:semiHidden/>
    <w:qFormat/>
    <w:uiPriority w:val="0"/>
    <w:pPr>
      <w:spacing w:line="400" w:lineRule="exact"/>
      <w:ind w:firstLine="420" w:firstLineChars="200"/>
    </w:pPr>
    <w:rPr>
      <w:rFonts w:ascii="宋体" w:hAnsi="Courier New" w:eastAsia="宋体" w:cs="Times New Roman"/>
      <w:b/>
      <w:szCs w:val="20"/>
    </w:rPr>
  </w:style>
  <w:style w:type="paragraph" w:styleId="48">
    <w:name w:val="Title"/>
    <w:basedOn w:val="1"/>
    <w:next w:val="1"/>
    <w:link w:val="99"/>
    <w:autoRedefine/>
    <w:qFormat/>
    <w:uiPriority w:val="0"/>
    <w:pPr>
      <w:spacing w:before="240" w:after="60"/>
      <w:jc w:val="center"/>
      <w:outlineLvl w:val="0"/>
    </w:pPr>
    <w:rPr>
      <w:rFonts w:ascii="Cambria" w:hAnsi="Cambria"/>
      <w:b/>
      <w:bCs/>
      <w:sz w:val="32"/>
      <w:szCs w:val="32"/>
    </w:rPr>
  </w:style>
  <w:style w:type="paragraph" w:styleId="49">
    <w:name w:val="annotation subject"/>
    <w:basedOn w:val="19"/>
    <w:next w:val="19"/>
    <w:link w:val="100"/>
    <w:autoRedefine/>
    <w:qFormat/>
    <w:uiPriority w:val="0"/>
    <w:rPr>
      <w:b/>
      <w:bCs/>
    </w:rPr>
  </w:style>
  <w:style w:type="paragraph" w:styleId="50">
    <w:name w:val="Body Text First Indent"/>
    <w:basedOn w:val="24"/>
    <w:link w:val="101"/>
    <w:autoRedefine/>
    <w:unhideWhenUsed/>
    <w:qFormat/>
    <w:uiPriority w:val="99"/>
    <w:pPr>
      <w:ind w:firstLine="420" w:firstLineChars="100"/>
    </w:pPr>
    <w:rPr>
      <w:rFonts w:ascii="Times New Roman" w:hAnsi="Times New Roman" w:eastAsia="宋体"/>
      <w:lang w:val="en-US"/>
    </w:rPr>
  </w:style>
  <w:style w:type="paragraph" w:styleId="51">
    <w:name w:val="Body Text First Indent 2"/>
    <w:basedOn w:val="25"/>
    <w:next w:val="1"/>
    <w:link w:val="102"/>
    <w:autoRedefine/>
    <w:unhideWhenUsed/>
    <w:qFormat/>
    <w:uiPriority w:val="99"/>
    <w:pPr>
      <w:spacing w:after="120"/>
      <w:ind w:left="420" w:leftChars="200" w:firstLine="420" w:firstLineChars="200"/>
    </w:pPr>
    <w:rPr>
      <w:rFonts w:ascii="Times New Roman" w:hAnsi="Times New Roman" w:eastAsia="宋体"/>
      <w:kern w:val="2"/>
      <w:sz w:val="21"/>
      <w:szCs w:val="24"/>
      <w:lang w:val="en-US"/>
    </w:rPr>
  </w:style>
  <w:style w:type="table" w:styleId="53">
    <w:name w:val="Table Grid"/>
    <w:basedOn w:val="52"/>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5">
    <w:name w:val="Strong"/>
    <w:autoRedefine/>
    <w:qFormat/>
    <w:uiPriority w:val="0"/>
    <w:rPr>
      <w:b/>
      <w:bCs/>
    </w:rPr>
  </w:style>
  <w:style w:type="character" w:styleId="56">
    <w:name w:val="endnote reference"/>
    <w:autoRedefine/>
    <w:unhideWhenUsed/>
    <w:qFormat/>
    <w:uiPriority w:val="99"/>
    <w:rPr>
      <w:vertAlign w:val="superscript"/>
    </w:rPr>
  </w:style>
  <w:style w:type="character" w:styleId="57">
    <w:name w:val="page number"/>
    <w:autoRedefine/>
    <w:qFormat/>
    <w:uiPriority w:val="0"/>
  </w:style>
  <w:style w:type="character" w:styleId="58">
    <w:name w:val="FollowedHyperlink"/>
    <w:autoRedefine/>
    <w:qFormat/>
    <w:uiPriority w:val="99"/>
    <w:rPr>
      <w:color w:val="800080"/>
      <w:u w:val="single"/>
    </w:rPr>
  </w:style>
  <w:style w:type="character" w:styleId="59">
    <w:name w:val="Emphasis"/>
    <w:autoRedefine/>
    <w:qFormat/>
    <w:uiPriority w:val="0"/>
  </w:style>
  <w:style w:type="character" w:styleId="60">
    <w:name w:val="line number"/>
    <w:autoRedefine/>
    <w:qFormat/>
    <w:uiPriority w:val="0"/>
    <w:rPr>
      <w:rFonts w:ascii="Verdana" w:hAnsi="Verdana"/>
      <w:kern w:val="0"/>
      <w:sz w:val="20"/>
      <w:szCs w:val="20"/>
      <w:lang w:eastAsia="en-US"/>
    </w:rPr>
  </w:style>
  <w:style w:type="character" w:styleId="61">
    <w:name w:val="HTML Definition"/>
    <w:autoRedefine/>
    <w:qFormat/>
    <w:uiPriority w:val="0"/>
    <w:rPr>
      <w:rFonts w:ascii="Verdana" w:hAnsi="Verdana"/>
      <w:kern w:val="0"/>
      <w:sz w:val="20"/>
      <w:szCs w:val="20"/>
      <w:lang w:eastAsia="en-US"/>
    </w:rPr>
  </w:style>
  <w:style w:type="character" w:styleId="62">
    <w:name w:val="HTML Variable"/>
    <w:autoRedefine/>
    <w:qFormat/>
    <w:uiPriority w:val="0"/>
    <w:rPr>
      <w:rFonts w:ascii="Verdana" w:hAnsi="Verdana"/>
      <w:kern w:val="0"/>
      <w:sz w:val="20"/>
      <w:szCs w:val="20"/>
      <w:lang w:eastAsia="en-US"/>
    </w:rPr>
  </w:style>
  <w:style w:type="character" w:styleId="63">
    <w:name w:val="Hyperlink"/>
    <w:autoRedefine/>
    <w:unhideWhenUsed/>
    <w:qFormat/>
    <w:uiPriority w:val="99"/>
    <w:rPr>
      <w:color w:val="0000FF"/>
      <w:u w:val="single"/>
    </w:rPr>
  </w:style>
  <w:style w:type="character" w:styleId="64">
    <w:name w:val="HTML Code"/>
    <w:autoRedefine/>
    <w:qFormat/>
    <w:uiPriority w:val="0"/>
    <w:rPr>
      <w:rFonts w:ascii="Courier New" w:hAnsi="Courier New"/>
      <w:kern w:val="0"/>
      <w:sz w:val="20"/>
      <w:szCs w:val="20"/>
      <w:lang w:eastAsia="en-US"/>
    </w:rPr>
  </w:style>
  <w:style w:type="character" w:styleId="65">
    <w:name w:val="annotation reference"/>
    <w:autoRedefine/>
    <w:qFormat/>
    <w:uiPriority w:val="99"/>
    <w:rPr>
      <w:sz w:val="21"/>
      <w:szCs w:val="21"/>
    </w:rPr>
  </w:style>
  <w:style w:type="character" w:styleId="66">
    <w:name w:val="HTML Cite"/>
    <w:autoRedefine/>
    <w:qFormat/>
    <w:uiPriority w:val="0"/>
    <w:rPr>
      <w:rFonts w:ascii="Verdana" w:hAnsi="Verdana"/>
      <w:kern w:val="0"/>
      <w:sz w:val="20"/>
      <w:szCs w:val="20"/>
      <w:lang w:eastAsia="en-US"/>
    </w:rPr>
  </w:style>
  <w:style w:type="character" w:styleId="67">
    <w:name w:val="footnote reference"/>
    <w:autoRedefine/>
    <w:unhideWhenUsed/>
    <w:qFormat/>
    <w:uiPriority w:val="99"/>
    <w:rPr>
      <w:vertAlign w:val="superscript"/>
    </w:rPr>
  </w:style>
  <w:style w:type="paragraph" w:customStyle="1" w:styleId="68">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69">
    <w:name w:val="标题 7 字符"/>
    <w:autoRedefine/>
    <w:semiHidden/>
    <w:qFormat/>
    <w:uiPriority w:val="9"/>
    <w:rPr>
      <w:b/>
      <w:bCs/>
      <w:kern w:val="2"/>
      <w:sz w:val="24"/>
      <w:szCs w:val="24"/>
    </w:rPr>
  </w:style>
  <w:style w:type="character" w:customStyle="1" w:styleId="70">
    <w:name w:val="标题 1 字符"/>
    <w:link w:val="2"/>
    <w:autoRedefine/>
    <w:qFormat/>
    <w:uiPriority w:val="9"/>
    <w:rPr>
      <w:b/>
      <w:bCs/>
      <w:kern w:val="44"/>
      <w:sz w:val="44"/>
      <w:szCs w:val="44"/>
    </w:rPr>
  </w:style>
  <w:style w:type="paragraph" w:customStyle="1" w:styleId="71">
    <w:name w:val="段"/>
    <w:next w:val="1"/>
    <w:autoRedefine/>
    <w:qFormat/>
    <w:uiPriority w:val="99"/>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72">
    <w:name w:val="标题 2 字符"/>
    <w:link w:val="3"/>
    <w:autoRedefine/>
    <w:qFormat/>
    <w:uiPriority w:val="9"/>
    <w:rPr>
      <w:rFonts w:ascii="Cambria Math" w:hAnsi="Cambria Math" w:eastAsia="Calibri" w:cs="等线"/>
      <w:b/>
      <w:bCs/>
      <w:kern w:val="2"/>
      <w:sz w:val="32"/>
      <w:szCs w:val="32"/>
    </w:rPr>
  </w:style>
  <w:style w:type="character" w:customStyle="1" w:styleId="73">
    <w:name w:val="标题 3 字符"/>
    <w:autoRedefine/>
    <w:semiHidden/>
    <w:qFormat/>
    <w:uiPriority w:val="9"/>
    <w:rPr>
      <w:b/>
      <w:bCs/>
      <w:kern w:val="2"/>
      <w:sz w:val="32"/>
      <w:szCs w:val="32"/>
    </w:rPr>
  </w:style>
  <w:style w:type="character" w:customStyle="1" w:styleId="74">
    <w:name w:val="标题 4 字符1"/>
    <w:link w:val="5"/>
    <w:autoRedefine/>
    <w:qFormat/>
    <w:uiPriority w:val="0"/>
    <w:rPr>
      <w:rFonts w:ascii="Arial" w:hAnsi="Arial" w:eastAsia="黑体" w:cs="Times New Roman"/>
      <w:b/>
      <w:bCs/>
      <w:kern w:val="2"/>
      <w:sz w:val="28"/>
      <w:szCs w:val="28"/>
    </w:rPr>
  </w:style>
  <w:style w:type="character" w:customStyle="1" w:styleId="75">
    <w:name w:val="标题 5 字符"/>
    <w:link w:val="6"/>
    <w:autoRedefine/>
    <w:semiHidden/>
    <w:qFormat/>
    <w:uiPriority w:val="9"/>
    <w:rPr>
      <w:rFonts w:ascii="等线" w:hAnsi="等线"/>
      <w:b/>
      <w:bCs/>
      <w:kern w:val="2"/>
      <w:sz w:val="28"/>
      <w:szCs w:val="28"/>
    </w:rPr>
  </w:style>
  <w:style w:type="character" w:customStyle="1" w:styleId="76">
    <w:name w:val="正文缩进 字符"/>
    <w:link w:val="7"/>
    <w:autoRedefine/>
    <w:qFormat/>
    <w:uiPriority w:val="0"/>
    <w:rPr>
      <w:kern w:val="2"/>
      <w:sz w:val="21"/>
    </w:rPr>
  </w:style>
  <w:style w:type="character" w:customStyle="1" w:styleId="77">
    <w:name w:val="标题 6 字符1"/>
    <w:link w:val="8"/>
    <w:autoRedefine/>
    <w:qFormat/>
    <w:uiPriority w:val="0"/>
    <w:rPr>
      <w:rFonts w:ascii="Arial" w:hAnsi="Arial" w:eastAsia="黑体" w:cs="Times New Roman"/>
      <w:b/>
      <w:sz w:val="24"/>
      <w:szCs w:val="24"/>
    </w:rPr>
  </w:style>
  <w:style w:type="character" w:customStyle="1" w:styleId="78">
    <w:name w:val="标题 7 字符1"/>
    <w:link w:val="9"/>
    <w:autoRedefine/>
    <w:qFormat/>
    <w:uiPriority w:val="0"/>
    <w:rPr>
      <w:rFonts w:ascii="Times New Roman" w:hAnsi="Times New Roman" w:eastAsia="宋体" w:cs="Times New Roman"/>
      <w:b/>
      <w:sz w:val="24"/>
      <w:szCs w:val="24"/>
    </w:rPr>
  </w:style>
  <w:style w:type="character" w:customStyle="1" w:styleId="79">
    <w:name w:val="标题 8 字符"/>
    <w:link w:val="10"/>
    <w:autoRedefine/>
    <w:semiHidden/>
    <w:qFormat/>
    <w:uiPriority w:val="9"/>
    <w:rPr>
      <w:rFonts w:ascii="微软雅黑" w:hAnsi="微软雅黑" w:eastAsia="微软雅黑" w:cs="等线"/>
      <w:kern w:val="2"/>
      <w:sz w:val="24"/>
      <w:szCs w:val="24"/>
    </w:rPr>
  </w:style>
  <w:style w:type="character" w:customStyle="1" w:styleId="80">
    <w:name w:val="标题 9 字符1"/>
    <w:link w:val="11"/>
    <w:autoRedefine/>
    <w:qFormat/>
    <w:uiPriority w:val="0"/>
    <w:rPr>
      <w:rFonts w:ascii="Arial" w:hAnsi="Arial" w:eastAsia="黑体" w:cs="Times New Roman"/>
      <w:szCs w:val="24"/>
    </w:rPr>
  </w:style>
  <w:style w:type="character" w:customStyle="1" w:styleId="81">
    <w:name w:val="文档结构图 字符1"/>
    <w:link w:val="18"/>
    <w:autoRedefine/>
    <w:qFormat/>
    <w:uiPriority w:val="0"/>
    <w:rPr>
      <w:rFonts w:ascii="宋体" w:hAnsi="Courier New"/>
      <w:shd w:val="clear" w:color="auto" w:fill="000080"/>
    </w:rPr>
  </w:style>
  <w:style w:type="character" w:customStyle="1" w:styleId="82">
    <w:name w:val="批注文字 字符3"/>
    <w:link w:val="19"/>
    <w:autoRedefine/>
    <w:qFormat/>
    <w:uiPriority w:val="0"/>
    <w:rPr>
      <w:rFonts w:ascii="等线" w:hAnsi="等线"/>
      <w:kern w:val="2"/>
      <w:sz w:val="21"/>
      <w:szCs w:val="24"/>
    </w:rPr>
  </w:style>
  <w:style w:type="character" w:customStyle="1" w:styleId="83">
    <w:name w:val="称呼 字符1"/>
    <w:link w:val="21"/>
    <w:autoRedefine/>
    <w:qFormat/>
    <w:uiPriority w:val="0"/>
    <w:rPr>
      <w:rFonts w:ascii="Times New Roman" w:hAnsi="Times New Roman" w:eastAsia="宋体" w:cs="Times New Roman"/>
      <w:kern w:val="2"/>
      <w:sz w:val="21"/>
    </w:rPr>
  </w:style>
  <w:style w:type="character" w:customStyle="1" w:styleId="84">
    <w:name w:val="正文文本 3 字符"/>
    <w:link w:val="22"/>
    <w:autoRedefine/>
    <w:semiHidden/>
    <w:qFormat/>
    <w:uiPriority w:val="99"/>
    <w:rPr>
      <w:kern w:val="2"/>
      <w:sz w:val="16"/>
      <w:szCs w:val="16"/>
    </w:rPr>
  </w:style>
  <w:style w:type="character" w:customStyle="1" w:styleId="85">
    <w:name w:val="正文文本 字符1"/>
    <w:link w:val="24"/>
    <w:autoRedefine/>
    <w:qFormat/>
    <w:uiPriority w:val="0"/>
    <w:rPr>
      <w:rFonts w:ascii="等线" w:hAnsi="等线"/>
      <w:kern w:val="2"/>
      <w:sz w:val="21"/>
      <w:szCs w:val="24"/>
    </w:rPr>
  </w:style>
  <w:style w:type="character" w:customStyle="1" w:styleId="86">
    <w:name w:val="正文文本缩进 字符"/>
    <w:link w:val="25"/>
    <w:autoRedefine/>
    <w:qFormat/>
    <w:uiPriority w:val="99"/>
    <w:rPr>
      <w:rFonts w:ascii="Calibri" w:hAnsi="等线" w:eastAsia="Calibri" w:cs="等线"/>
      <w:sz w:val="32"/>
      <w:szCs w:val="20"/>
    </w:rPr>
  </w:style>
  <w:style w:type="character" w:customStyle="1" w:styleId="87">
    <w:name w:val="纯文本 字符3"/>
    <w:link w:val="30"/>
    <w:autoRedefine/>
    <w:qFormat/>
    <w:uiPriority w:val="0"/>
    <w:rPr>
      <w:rFonts w:ascii="Calibri" w:hAnsi="Cambria" w:eastAsia="Calibri" w:cs="Cambria"/>
      <w:szCs w:val="21"/>
    </w:rPr>
  </w:style>
  <w:style w:type="character" w:customStyle="1" w:styleId="88">
    <w:name w:val="日期 字符"/>
    <w:link w:val="31"/>
    <w:autoRedefine/>
    <w:semiHidden/>
    <w:qFormat/>
    <w:uiPriority w:val="99"/>
    <w:rPr>
      <w:rFonts w:ascii="等线" w:hAnsi="等线"/>
      <w:kern w:val="2"/>
      <w:sz w:val="21"/>
      <w:szCs w:val="24"/>
    </w:rPr>
  </w:style>
  <w:style w:type="character" w:customStyle="1" w:styleId="89">
    <w:name w:val="正文文本缩进 2 字符1"/>
    <w:link w:val="32"/>
    <w:autoRedefine/>
    <w:qFormat/>
    <w:uiPriority w:val="0"/>
    <w:rPr>
      <w:sz w:val="32"/>
    </w:rPr>
  </w:style>
  <w:style w:type="character" w:customStyle="1" w:styleId="90">
    <w:name w:val="尾注文本 字符1"/>
    <w:link w:val="33"/>
    <w:autoRedefine/>
    <w:qFormat/>
    <w:uiPriority w:val="99"/>
    <w:rPr>
      <w:kern w:val="2"/>
      <w:sz w:val="21"/>
      <w:szCs w:val="24"/>
    </w:rPr>
  </w:style>
  <w:style w:type="character" w:customStyle="1" w:styleId="91">
    <w:name w:val="批注框文本 字符1"/>
    <w:link w:val="34"/>
    <w:autoRedefine/>
    <w:qFormat/>
    <w:uiPriority w:val="0"/>
    <w:rPr>
      <w:kern w:val="2"/>
      <w:sz w:val="18"/>
      <w:szCs w:val="18"/>
    </w:rPr>
  </w:style>
  <w:style w:type="character" w:customStyle="1" w:styleId="92">
    <w:name w:val="页脚 字符"/>
    <w:link w:val="35"/>
    <w:autoRedefine/>
    <w:qFormat/>
    <w:uiPriority w:val="99"/>
    <w:rPr>
      <w:sz w:val="18"/>
      <w:szCs w:val="18"/>
    </w:rPr>
  </w:style>
  <w:style w:type="character" w:customStyle="1" w:styleId="93">
    <w:name w:val="页眉 字符"/>
    <w:link w:val="36"/>
    <w:autoRedefine/>
    <w:qFormat/>
    <w:uiPriority w:val="99"/>
    <w:rPr>
      <w:sz w:val="18"/>
      <w:szCs w:val="18"/>
    </w:rPr>
  </w:style>
  <w:style w:type="character" w:customStyle="1" w:styleId="94">
    <w:name w:val="副标题 字符1"/>
    <w:link w:val="38"/>
    <w:autoRedefine/>
    <w:qFormat/>
    <w:uiPriority w:val="11"/>
    <w:rPr>
      <w:rFonts w:ascii="Cambria" w:hAnsi="Cambria" w:eastAsia="方正小标宋简体" w:cs="Times New Roman"/>
      <w:b/>
      <w:bCs/>
      <w:kern w:val="28"/>
      <w:sz w:val="44"/>
      <w:szCs w:val="32"/>
    </w:rPr>
  </w:style>
  <w:style w:type="character" w:customStyle="1" w:styleId="95">
    <w:name w:val="脚注文本 字符1"/>
    <w:link w:val="40"/>
    <w:autoRedefine/>
    <w:qFormat/>
    <w:uiPriority w:val="0"/>
    <w:rPr>
      <w:kern w:val="2"/>
      <w:sz w:val="18"/>
      <w:szCs w:val="18"/>
    </w:rPr>
  </w:style>
  <w:style w:type="character" w:customStyle="1" w:styleId="96">
    <w:name w:val="正文文本缩进 3 字符1"/>
    <w:link w:val="41"/>
    <w:autoRedefine/>
    <w:qFormat/>
    <w:uiPriority w:val="0"/>
    <w:rPr>
      <w:sz w:val="16"/>
      <w:szCs w:val="16"/>
    </w:rPr>
  </w:style>
  <w:style w:type="character" w:customStyle="1" w:styleId="97">
    <w:name w:val="正文文本 2 字符1"/>
    <w:link w:val="44"/>
    <w:autoRedefine/>
    <w:qFormat/>
    <w:uiPriority w:val="0"/>
    <w:rPr>
      <w:szCs w:val="24"/>
    </w:rPr>
  </w:style>
  <w:style w:type="character" w:customStyle="1" w:styleId="98">
    <w:name w:val="HTML 预设格式 字符1"/>
    <w:link w:val="45"/>
    <w:autoRedefine/>
    <w:qFormat/>
    <w:uiPriority w:val="0"/>
    <w:rPr>
      <w:rFonts w:ascii="Arial" w:hAnsi="Arial" w:cs="Arial"/>
      <w:szCs w:val="21"/>
    </w:rPr>
  </w:style>
  <w:style w:type="character" w:customStyle="1" w:styleId="99">
    <w:name w:val="标题 字符1"/>
    <w:link w:val="48"/>
    <w:autoRedefine/>
    <w:qFormat/>
    <w:uiPriority w:val="0"/>
    <w:rPr>
      <w:rFonts w:ascii="Cambria" w:hAnsi="Cambria"/>
      <w:b/>
      <w:bCs/>
      <w:kern w:val="2"/>
      <w:sz w:val="32"/>
      <w:szCs w:val="32"/>
    </w:rPr>
  </w:style>
  <w:style w:type="character" w:customStyle="1" w:styleId="100">
    <w:name w:val="批注主题 字符"/>
    <w:link w:val="49"/>
    <w:autoRedefine/>
    <w:qFormat/>
    <w:uiPriority w:val="99"/>
    <w:rPr>
      <w:rFonts w:ascii="等线" w:hAnsi="等线"/>
      <w:b/>
      <w:bCs/>
      <w:kern w:val="2"/>
      <w:sz w:val="21"/>
      <w:szCs w:val="24"/>
    </w:rPr>
  </w:style>
  <w:style w:type="character" w:customStyle="1" w:styleId="101">
    <w:name w:val="正文文本首行缩进 字符"/>
    <w:link w:val="50"/>
    <w:autoRedefine/>
    <w:semiHidden/>
    <w:qFormat/>
    <w:uiPriority w:val="99"/>
    <w:rPr>
      <w:rFonts w:ascii="Times New Roman" w:hAnsi="Times New Roman" w:eastAsia="宋体" w:cs="Times New Roman"/>
      <w:kern w:val="2"/>
      <w:sz w:val="21"/>
      <w:szCs w:val="24"/>
    </w:rPr>
  </w:style>
  <w:style w:type="character" w:customStyle="1" w:styleId="102">
    <w:name w:val="正文文本首行缩进 2 字符"/>
    <w:link w:val="51"/>
    <w:autoRedefine/>
    <w:semiHidden/>
    <w:qFormat/>
    <w:uiPriority w:val="99"/>
    <w:rPr>
      <w:rFonts w:ascii="Times New Roman" w:hAnsi="Times New Roman" w:eastAsia="宋体" w:cs="Times New Roman"/>
      <w:kern w:val="2"/>
      <w:sz w:val="21"/>
      <w:szCs w:val="24"/>
    </w:rPr>
  </w:style>
  <w:style w:type="character" w:customStyle="1" w:styleId="103">
    <w:name w:val="纯文本 字符2"/>
    <w:autoRedefine/>
    <w:qFormat/>
    <w:uiPriority w:val="0"/>
    <w:rPr>
      <w:rFonts w:ascii="Calibri" w:hAnsi="Cambria" w:eastAsia="Calibri" w:cs="Cambria"/>
      <w:szCs w:val="21"/>
    </w:rPr>
  </w:style>
  <w:style w:type="character" w:customStyle="1" w:styleId="104">
    <w:name w:val="正文文本 字符"/>
    <w:autoRedefine/>
    <w:qFormat/>
    <w:uiPriority w:val="99"/>
    <w:rPr>
      <w:rFonts w:ascii="等线" w:hAnsi="等线"/>
      <w:kern w:val="2"/>
      <w:sz w:val="21"/>
      <w:szCs w:val="24"/>
    </w:rPr>
  </w:style>
  <w:style w:type="character" w:customStyle="1" w:styleId="105">
    <w:name w:val="纯文本 Char"/>
    <w:autoRedefine/>
    <w:qFormat/>
    <w:uiPriority w:val="0"/>
    <w:rPr>
      <w:rFonts w:ascii="Calibri" w:hAnsi="Cambria" w:eastAsia="Calibri" w:cs="Cambria"/>
      <w:szCs w:val="21"/>
    </w:rPr>
  </w:style>
  <w:style w:type="character" w:customStyle="1" w:styleId="106">
    <w:name w:val="apple-style-span"/>
    <w:autoRedefine/>
    <w:qFormat/>
    <w:uiPriority w:val="0"/>
  </w:style>
  <w:style w:type="character" w:customStyle="1" w:styleId="107">
    <w:name w:val="正文文本 (26) + 间距 0 pt"/>
    <w:autoRedefine/>
    <w:qFormat/>
    <w:uiPriority w:val="0"/>
    <w:rPr>
      <w:rFonts w:ascii="Calibri" w:hAnsi="Calibri" w:eastAsia="Calibri" w:cs="Calibri"/>
      <w:color w:val="000000"/>
      <w:spacing w:val="0"/>
      <w:w w:val="100"/>
      <w:position w:val="0"/>
      <w:sz w:val="22"/>
      <w:szCs w:val="22"/>
      <w:u w:val="none"/>
      <w:lang w:val="zh-CN" w:eastAsia="zh-CN" w:bidi="zh-CN"/>
    </w:rPr>
  </w:style>
  <w:style w:type="character" w:customStyle="1" w:styleId="108">
    <w:name w:val="标题 2 Char"/>
    <w:autoRedefine/>
    <w:qFormat/>
    <w:uiPriority w:val="0"/>
    <w:rPr>
      <w:rFonts w:ascii="Cambria Math" w:hAnsi="Cambria Math" w:eastAsia="Calibri" w:cs="等线"/>
      <w:b/>
      <w:bCs/>
      <w:kern w:val="2"/>
      <w:sz w:val="32"/>
      <w:szCs w:val="32"/>
    </w:rPr>
  </w:style>
  <w:style w:type="character" w:customStyle="1" w:styleId="109">
    <w:name w:val="标题 8 Char"/>
    <w:autoRedefine/>
    <w:qFormat/>
    <w:uiPriority w:val="0"/>
    <w:rPr>
      <w:rFonts w:ascii="等线 Light" w:hAnsi="等线 Light" w:eastAsia="微软雅黑"/>
      <w:kern w:val="2"/>
      <w:sz w:val="24"/>
      <w:szCs w:val="24"/>
    </w:rPr>
  </w:style>
  <w:style w:type="character" w:customStyle="1" w:styleId="110">
    <w:name w:val="批注文字 Char"/>
    <w:autoRedefine/>
    <w:qFormat/>
    <w:uiPriority w:val="0"/>
    <w:rPr>
      <w:rFonts w:ascii="等线" w:hAnsi="等线"/>
      <w:kern w:val="2"/>
      <w:sz w:val="21"/>
      <w:szCs w:val="24"/>
    </w:rPr>
  </w:style>
  <w:style w:type="character" w:customStyle="1" w:styleId="111">
    <w:name w:val="批注文字 字符"/>
    <w:autoRedefine/>
    <w:qFormat/>
    <w:uiPriority w:val="0"/>
    <w:rPr>
      <w:rFonts w:ascii="等线" w:hAnsi="等线"/>
      <w:kern w:val="2"/>
      <w:sz w:val="21"/>
      <w:szCs w:val="24"/>
    </w:rPr>
  </w:style>
  <w:style w:type="character" w:customStyle="1" w:styleId="112">
    <w:name w:val="批注文字 Char1"/>
    <w:autoRedefine/>
    <w:semiHidden/>
    <w:qFormat/>
    <w:locked/>
    <w:uiPriority w:val="0"/>
    <w:rPr>
      <w:kern w:val="2"/>
      <w:sz w:val="21"/>
      <w:szCs w:val="24"/>
    </w:rPr>
  </w:style>
  <w:style w:type="character" w:customStyle="1" w:styleId="113">
    <w:name w:val="批注文字 字符1"/>
    <w:autoRedefine/>
    <w:qFormat/>
    <w:uiPriority w:val="0"/>
    <w:rPr>
      <w:rFonts w:ascii="等线" w:hAnsi="等线"/>
      <w:kern w:val="2"/>
      <w:sz w:val="21"/>
      <w:szCs w:val="24"/>
    </w:rPr>
  </w:style>
  <w:style w:type="character" w:customStyle="1" w:styleId="114">
    <w:name w:val="标题 1 字符1"/>
    <w:autoRedefine/>
    <w:qFormat/>
    <w:uiPriority w:val="0"/>
    <w:rPr>
      <w:b/>
      <w:bCs/>
      <w:kern w:val="44"/>
      <w:sz w:val="44"/>
      <w:szCs w:val="44"/>
    </w:rPr>
  </w:style>
  <w:style w:type="character" w:customStyle="1" w:styleId="115">
    <w:name w:val="textcontents"/>
    <w:autoRedefine/>
    <w:qFormat/>
    <w:uiPriority w:val="0"/>
  </w:style>
  <w:style w:type="character" w:customStyle="1" w:styleId="116">
    <w:name w:val="批注文字 Char2"/>
    <w:autoRedefine/>
    <w:qFormat/>
    <w:uiPriority w:val="0"/>
    <w:rPr>
      <w:rFonts w:ascii="等线" w:hAnsi="等线"/>
      <w:kern w:val="2"/>
      <w:sz w:val="21"/>
      <w:szCs w:val="24"/>
    </w:rPr>
  </w:style>
  <w:style w:type="character" w:customStyle="1" w:styleId="117">
    <w:name w:val="页脚 Char"/>
    <w:autoRedefine/>
    <w:qFormat/>
    <w:uiPriority w:val="99"/>
    <w:rPr>
      <w:kern w:val="2"/>
      <w:sz w:val="18"/>
      <w:szCs w:val="18"/>
    </w:rPr>
  </w:style>
  <w:style w:type="character" w:customStyle="1" w:styleId="118">
    <w:name w:val="正文文本 Char"/>
    <w:autoRedefine/>
    <w:qFormat/>
    <w:uiPriority w:val="0"/>
    <w:rPr>
      <w:rFonts w:ascii="等线" w:hAnsi="等线"/>
      <w:kern w:val="2"/>
      <w:sz w:val="21"/>
      <w:szCs w:val="24"/>
    </w:rPr>
  </w:style>
  <w:style w:type="character" w:customStyle="1" w:styleId="119">
    <w:name w:val="纯文本 字符"/>
    <w:autoRedefine/>
    <w:qFormat/>
    <w:uiPriority w:val="99"/>
    <w:rPr>
      <w:rFonts w:ascii="Calibri" w:hAnsi="Cambria" w:eastAsia="Calibri" w:cs="Cambria"/>
      <w:szCs w:val="21"/>
    </w:rPr>
  </w:style>
  <w:style w:type="character" w:customStyle="1" w:styleId="120">
    <w:name w:val="正文2 Char Char"/>
    <w:link w:val="121"/>
    <w:autoRedefine/>
    <w:qFormat/>
    <w:uiPriority w:val="0"/>
    <w:rPr>
      <w:kern w:val="2"/>
      <w:sz w:val="24"/>
    </w:rPr>
  </w:style>
  <w:style w:type="paragraph" w:customStyle="1" w:styleId="121">
    <w:name w:val="正文2"/>
    <w:basedOn w:val="1"/>
    <w:link w:val="120"/>
    <w:autoRedefine/>
    <w:qFormat/>
    <w:uiPriority w:val="0"/>
    <w:pPr>
      <w:adjustRightInd w:val="0"/>
      <w:spacing w:before="156" w:line="360" w:lineRule="auto"/>
      <w:ind w:firstLine="510" w:firstLineChars="200"/>
    </w:pPr>
    <w:rPr>
      <w:rFonts w:cs="Times New Roman"/>
      <w:sz w:val="24"/>
      <w:szCs w:val="20"/>
      <w:lang w:val="zh-CN"/>
    </w:rPr>
  </w:style>
  <w:style w:type="character" w:customStyle="1" w:styleId="122">
    <w:name w:val="纯文本 字符1"/>
    <w:autoRedefine/>
    <w:qFormat/>
    <w:uiPriority w:val="0"/>
    <w:rPr>
      <w:rFonts w:ascii="Calibri" w:hAnsi="Cambria"/>
    </w:rPr>
  </w:style>
  <w:style w:type="character" w:customStyle="1" w:styleId="123">
    <w:name w:val="未处理的提及1"/>
    <w:autoRedefine/>
    <w:unhideWhenUsed/>
    <w:qFormat/>
    <w:uiPriority w:val="99"/>
    <w:rPr>
      <w:color w:val="605E5C"/>
      <w:shd w:val="clear" w:color="auto" w:fill="E1DFDD"/>
    </w:rPr>
  </w:style>
  <w:style w:type="character" w:customStyle="1" w:styleId="124">
    <w:name w:val="批注文字 字符2"/>
    <w:autoRedefine/>
    <w:qFormat/>
    <w:uiPriority w:val="0"/>
    <w:rPr>
      <w:kern w:val="2"/>
      <w:sz w:val="21"/>
      <w:szCs w:val="24"/>
    </w:rPr>
  </w:style>
  <w:style w:type="paragraph" w:customStyle="1" w:styleId="125">
    <w:name w:val="目录 21"/>
    <w:basedOn w:val="1"/>
    <w:next w:val="1"/>
    <w:autoRedefine/>
    <w:unhideWhenUsed/>
    <w:qFormat/>
    <w:uiPriority w:val="39"/>
    <w:pPr>
      <w:tabs>
        <w:tab w:val="right" w:leader="dot" w:pos="8296"/>
      </w:tabs>
      <w:ind w:left="420" w:leftChars="200"/>
    </w:pPr>
  </w:style>
  <w:style w:type="paragraph" w:customStyle="1" w:styleId="126">
    <w:name w:val="目录 11"/>
    <w:basedOn w:val="1"/>
    <w:next w:val="1"/>
    <w:autoRedefine/>
    <w:unhideWhenUsed/>
    <w:qFormat/>
    <w:uiPriority w:val="39"/>
  </w:style>
  <w:style w:type="paragraph" w:customStyle="1" w:styleId="127">
    <w:name w:val="修订1"/>
    <w:autoRedefine/>
    <w:unhideWhenUsed/>
    <w:qFormat/>
    <w:uiPriority w:val="99"/>
    <w:rPr>
      <w:rFonts w:ascii="等线" w:hAnsi="等线" w:eastAsia="等线" w:cs="等线"/>
      <w:kern w:val="2"/>
      <w:sz w:val="21"/>
      <w:szCs w:val="24"/>
      <w:lang w:val="en-US" w:eastAsia="zh-CN" w:bidi="ar-SA"/>
    </w:rPr>
  </w:style>
  <w:style w:type="paragraph" w:styleId="128">
    <w:name w:val="List Paragraph"/>
    <w:basedOn w:val="1"/>
    <w:autoRedefine/>
    <w:qFormat/>
    <w:uiPriority w:val="34"/>
    <w:pPr>
      <w:ind w:firstLine="420" w:firstLineChars="200"/>
    </w:pPr>
  </w:style>
  <w:style w:type="paragraph" w:customStyle="1" w:styleId="129">
    <w:name w:val="默认段落字体 Para Char Char Char Char Char Char Char Char Char1 Char Char Char Char"/>
    <w:basedOn w:val="1"/>
    <w:autoRedefine/>
    <w:qFormat/>
    <w:uiPriority w:val="0"/>
    <w:rPr>
      <w:rFonts w:ascii="等线 Light" w:hAnsi="等线 Light"/>
      <w:sz w:val="24"/>
      <w:szCs w:val="20"/>
    </w:rPr>
  </w:style>
  <w:style w:type="paragraph" w:customStyle="1" w:styleId="130">
    <w:name w:val="Table Paragraph"/>
    <w:basedOn w:val="1"/>
    <w:autoRedefine/>
    <w:qFormat/>
    <w:uiPriority w:val="1"/>
    <w:pPr>
      <w:jc w:val="left"/>
    </w:pPr>
    <w:rPr>
      <w:rFonts w:ascii="Cambria" w:hAnsi="Cambria"/>
      <w:kern w:val="0"/>
      <w:sz w:val="22"/>
      <w:szCs w:val="22"/>
      <w:lang w:eastAsia="en-US"/>
    </w:rPr>
  </w:style>
  <w:style w:type="paragraph" w:customStyle="1" w:styleId="131">
    <w:name w:val="表内文字"/>
    <w:basedOn w:val="1"/>
    <w:autoRedefine/>
    <w:qFormat/>
    <w:uiPriority w:val="0"/>
    <w:pPr>
      <w:snapToGrid w:val="0"/>
      <w:spacing w:before="50" w:after="50"/>
      <w:jc w:val="center"/>
    </w:pPr>
    <w:rPr>
      <w:rFonts w:ascii="Calibri" w:hAnsi="Calibri" w:eastAsia="Calibri"/>
      <w:b/>
      <w:color w:val="000000"/>
      <w:sz w:val="32"/>
      <w:szCs w:val="32"/>
    </w:rPr>
  </w:style>
  <w:style w:type="character" w:customStyle="1" w:styleId="132">
    <w:name w:val="标题 4 字符"/>
    <w:autoRedefine/>
    <w:semiHidden/>
    <w:qFormat/>
    <w:uiPriority w:val="9"/>
    <w:rPr>
      <w:rFonts w:ascii="等线 Light" w:hAnsi="等线 Light" w:eastAsia="等线 Light" w:cs="Times New Roman"/>
      <w:b/>
      <w:bCs/>
      <w:kern w:val="2"/>
      <w:sz w:val="28"/>
      <w:szCs w:val="28"/>
    </w:rPr>
  </w:style>
  <w:style w:type="character" w:customStyle="1" w:styleId="133">
    <w:name w:val="标题 6 字符"/>
    <w:autoRedefine/>
    <w:semiHidden/>
    <w:qFormat/>
    <w:uiPriority w:val="9"/>
    <w:rPr>
      <w:rFonts w:ascii="等线 Light" w:hAnsi="等线 Light" w:eastAsia="等线 Light" w:cs="Times New Roman"/>
      <w:b/>
      <w:bCs/>
      <w:kern w:val="2"/>
      <w:sz w:val="24"/>
      <w:szCs w:val="24"/>
    </w:rPr>
  </w:style>
  <w:style w:type="character" w:customStyle="1" w:styleId="134">
    <w:name w:val="标题 9 字符"/>
    <w:autoRedefine/>
    <w:semiHidden/>
    <w:qFormat/>
    <w:uiPriority w:val="9"/>
    <w:rPr>
      <w:rFonts w:ascii="等线 Light" w:hAnsi="等线 Light" w:eastAsia="等线 Light" w:cs="Times New Roman"/>
      <w:kern w:val="2"/>
      <w:sz w:val="21"/>
      <w:szCs w:val="21"/>
    </w:rPr>
  </w:style>
  <w:style w:type="character" w:customStyle="1" w:styleId="135">
    <w:name w:val="页脚 Char1"/>
    <w:autoRedefine/>
    <w:semiHidden/>
    <w:qFormat/>
    <w:uiPriority w:val="99"/>
    <w:rPr>
      <w:rFonts w:ascii="Times New Roman" w:hAnsi="Times New Roman"/>
      <w:kern w:val="2"/>
      <w:sz w:val="18"/>
      <w:szCs w:val="18"/>
    </w:rPr>
  </w:style>
  <w:style w:type="character" w:customStyle="1" w:styleId="136">
    <w:name w:val="页眉 Char1"/>
    <w:autoRedefine/>
    <w:semiHidden/>
    <w:qFormat/>
    <w:uiPriority w:val="99"/>
    <w:rPr>
      <w:rFonts w:ascii="Times New Roman" w:hAnsi="Times New Roman"/>
      <w:kern w:val="2"/>
      <w:sz w:val="18"/>
      <w:szCs w:val="18"/>
    </w:rPr>
  </w:style>
  <w:style w:type="character" w:customStyle="1" w:styleId="137">
    <w:name w:val="纯文本 Char1"/>
    <w:autoRedefine/>
    <w:qFormat/>
    <w:uiPriority w:val="0"/>
    <w:rPr>
      <w:rFonts w:ascii="宋体" w:hAnsi="Courier New" w:cs="Courier New"/>
      <w:kern w:val="2"/>
      <w:sz w:val="21"/>
      <w:szCs w:val="21"/>
    </w:rPr>
  </w:style>
  <w:style w:type="character" w:customStyle="1" w:styleId="138">
    <w:name w:val="批注框文本 Char1"/>
    <w:autoRedefine/>
    <w:semiHidden/>
    <w:qFormat/>
    <w:uiPriority w:val="99"/>
    <w:rPr>
      <w:rFonts w:ascii="Times New Roman" w:hAnsi="Times New Roman"/>
      <w:kern w:val="2"/>
      <w:sz w:val="18"/>
      <w:szCs w:val="18"/>
    </w:rPr>
  </w:style>
  <w:style w:type="character" w:customStyle="1" w:styleId="139">
    <w:name w:val="正文文本 3 Char"/>
    <w:autoRedefine/>
    <w:qFormat/>
    <w:uiPriority w:val="0"/>
    <w:rPr>
      <w:b/>
      <w:bCs/>
      <w:sz w:val="24"/>
      <w:szCs w:val="24"/>
    </w:rPr>
  </w:style>
  <w:style w:type="character" w:customStyle="1" w:styleId="140">
    <w:name w:val="case31"/>
    <w:autoRedefine/>
    <w:qFormat/>
    <w:uiPriority w:val="0"/>
    <w:rPr>
      <w:rFonts w:hint="default"/>
      <w:sz w:val="21"/>
      <w:szCs w:val="21"/>
    </w:rPr>
  </w:style>
  <w:style w:type="character" w:customStyle="1" w:styleId="141">
    <w:name w:val="lemmatitleh11"/>
    <w:autoRedefine/>
    <w:qFormat/>
    <w:uiPriority w:val="0"/>
  </w:style>
  <w:style w:type="character" w:customStyle="1" w:styleId="142">
    <w:name w:val="页眉 Char"/>
    <w:autoRedefine/>
    <w:qFormat/>
    <w:uiPriority w:val="0"/>
    <w:rPr>
      <w:kern w:val="2"/>
      <w:sz w:val="18"/>
      <w:szCs w:val="18"/>
    </w:rPr>
  </w:style>
  <w:style w:type="character" w:customStyle="1" w:styleId="143">
    <w:name w:val="标题 5 Char"/>
    <w:autoRedefine/>
    <w:qFormat/>
    <w:uiPriority w:val="0"/>
    <w:rPr>
      <w:b/>
      <w:sz w:val="28"/>
      <w:szCs w:val="24"/>
    </w:rPr>
  </w:style>
  <w:style w:type="character" w:customStyle="1" w:styleId="144">
    <w:name w:val="批注主题 Char"/>
    <w:autoRedefine/>
    <w:qFormat/>
    <w:uiPriority w:val="0"/>
    <w:rPr>
      <w:b/>
      <w:bCs/>
      <w:kern w:val="2"/>
      <w:sz w:val="21"/>
      <w:szCs w:val="24"/>
    </w:rPr>
  </w:style>
  <w:style w:type="character" w:customStyle="1" w:styleId="145">
    <w:name w:val="标题 3 字符1"/>
    <w:link w:val="4"/>
    <w:autoRedefine/>
    <w:qFormat/>
    <w:uiPriority w:val="0"/>
    <w:rPr>
      <w:b/>
      <w:bCs/>
      <w:sz w:val="32"/>
      <w:szCs w:val="32"/>
    </w:rPr>
  </w:style>
  <w:style w:type="character" w:customStyle="1" w:styleId="146">
    <w:name w:val="标题 1 Char"/>
    <w:autoRedefine/>
    <w:qFormat/>
    <w:uiPriority w:val="99"/>
    <w:rPr>
      <w:b/>
      <w:bCs/>
      <w:kern w:val="44"/>
      <w:sz w:val="44"/>
      <w:szCs w:val="44"/>
    </w:rPr>
  </w:style>
  <w:style w:type="character" w:customStyle="1" w:styleId="147">
    <w:name w:val="日期 Char"/>
    <w:autoRedefine/>
    <w:qFormat/>
    <w:uiPriority w:val="0"/>
    <w:rPr>
      <w:rFonts w:ascii="宋体" w:hAnsi="Courier New" w:cs="Courier New"/>
      <w:szCs w:val="21"/>
    </w:rPr>
  </w:style>
  <w:style w:type="character" w:customStyle="1" w:styleId="148">
    <w:name w:val="正文文本缩进 Char"/>
    <w:autoRedefine/>
    <w:qFormat/>
    <w:uiPriority w:val="0"/>
    <w:rPr>
      <w:rFonts w:ascii="仿宋_GB2312" w:eastAsia="仿宋_GB2312"/>
      <w:sz w:val="32"/>
    </w:rPr>
  </w:style>
  <w:style w:type="character" w:customStyle="1" w:styleId="149">
    <w:name w:val="标题 字符"/>
    <w:autoRedefine/>
    <w:qFormat/>
    <w:uiPriority w:val="10"/>
    <w:rPr>
      <w:rFonts w:ascii="等线 Light" w:hAnsi="等线 Light" w:eastAsia="等线 Light" w:cs="Times New Roman"/>
      <w:b/>
      <w:bCs/>
      <w:kern w:val="2"/>
      <w:sz w:val="32"/>
      <w:szCs w:val="32"/>
    </w:rPr>
  </w:style>
  <w:style w:type="paragraph" w:customStyle="1" w:styleId="150">
    <w:name w:val="_Style 106"/>
    <w:basedOn w:val="25"/>
    <w:next w:val="51"/>
    <w:autoRedefine/>
    <w:qFormat/>
    <w:uiPriority w:val="0"/>
    <w:pPr>
      <w:tabs>
        <w:tab w:val="left" w:pos="1680"/>
      </w:tabs>
      <w:spacing w:after="120"/>
      <w:ind w:left="420" w:leftChars="200" w:firstLine="420" w:firstLineChars="200"/>
    </w:pPr>
    <w:rPr>
      <w:rFonts w:ascii="仿宋_GB2312" w:hAnsi="Calibri" w:eastAsia="仿宋_GB2312"/>
      <w:kern w:val="2"/>
      <w:sz w:val="21"/>
      <w:szCs w:val="22"/>
      <w:lang w:val="en-US"/>
    </w:rPr>
  </w:style>
  <w:style w:type="character" w:customStyle="1" w:styleId="151">
    <w:name w:val="正文文本 2 字符"/>
    <w:autoRedefine/>
    <w:semiHidden/>
    <w:qFormat/>
    <w:uiPriority w:val="99"/>
    <w:rPr>
      <w:kern w:val="2"/>
      <w:sz w:val="21"/>
      <w:szCs w:val="24"/>
    </w:rPr>
  </w:style>
  <w:style w:type="character" w:customStyle="1" w:styleId="152">
    <w:name w:val="尾注文本 字符"/>
    <w:autoRedefine/>
    <w:semiHidden/>
    <w:qFormat/>
    <w:uiPriority w:val="99"/>
    <w:rPr>
      <w:kern w:val="2"/>
      <w:sz w:val="21"/>
      <w:szCs w:val="24"/>
    </w:rPr>
  </w:style>
  <w:style w:type="character" w:customStyle="1" w:styleId="153">
    <w:name w:val="批注框文本 字符"/>
    <w:autoRedefine/>
    <w:semiHidden/>
    <w:qFormat/>
    <w:uiPriority w:val="99"/>
    <w:rPr>
      <w:kern w:val="2"/>
      <w:sz w:val="18"/>
      <w:szCs w:val="18"/>
    </w:rPr>
  </w:style>
  <w:style w:type="character" w:customStyle="1" w:styleId="154">
    <w:name w:val="正文文本缩进 3 字符"/>
    <w:autoRedefine/>
    <w:semiHidden/>
    <w:qFormat/>
    <w:uiPriority w:val="99"/>
    <w:rPr>
      <w:kern w:val="2"/>
      <w:sz w:val="16"/>
      <w:szCs w:val="16"/>
    </w:rPr>
  </w:style>
  <w:style w:type="character" w:customStyle="1" w:styleId="155">
    <w:name w:val="正文文本缩进 2 字符"/>
    <w:autoRedefine/>
    <w:semiHidden/>
    <w:qFormat/>
    <w:uiPriority w:val="99"/>
    <w:rPr>
      <w:kern w:val="2"/>
      <w:sz w:val="21"/>
      <w:szCs w:val="24"/>
    </w:rPr>
  </w:style>
  <w:style w:type="character" w:customStyle="1" w:styleId="156">
    <w:name w:val="脚注文本 字符"/>
    <w:autoRedefine/>
    <w:semiHidden/>
    <w:qFormat/>
    <w:uiPriority w:val="99"/>
    <w:rPr>
      <w:kern w:val="2"/>
      <w:sz w:val="18"/>
      <w:szCs w:val="18"/>
    </w:rPr>
  </w:style>
  <w:style w:type="paragraph" w:customStyle="1" w:styleId="157">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8">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kern w:val="0"/>
      <w:sz w:val="28"/>
      <w:szCs w:val="20"/>
      <w:lang w:val="en-US"/>
    </w:rPr>
  </w:style>
  <w:style w:type="paragraph" w:customStyle="1" w:styleId="159">
    <w:name w:val="正文首行缩进两字符"/>
    <w:basedOn w:val="1"/>
    <w:autoRedefine/>
    <w:qFormat/>
    <w:uiPriority w:val="0"/>
    <w:pPr>
      <w:spacing w:line="360" w:lineRule="auto"/>
      <w:ind w:firstLine="200" w:firstLineChars="200"/>
    </w:pPr>
    <w:rPr>
      <w:rFonts w:ascii="Times New Roman" w:hAnsi="Times New Roman" w:eastAsia="宋体" w:cs="Times New Roman"/>
    </w:rPr>
  </w:style>
  <w:style w:type="paragraph" w:customStyle="1" w:styleId="160">
    <w:name w:val="表格"/>
    <w:basedOn w:val="1"/>
    <w:autoRedefine/>
    <w:qFormat/>
    <w:uiPriority w:val="0"/>
    <w:pPr>
      <w:spacing w:line="400" w:lineRule="exact"/>
    </w:pPr>
    <w:rPr>
      <w:rFonts w:ascii="Times New Roman" w:hAnsi="Times New Roman" w:eastAsia="宋体" w:cs="Times New Roman"/>
      <w:sz w:val="24"/>
    </w:rPr>
  </w:style>
  <w:style w:type="paragraph" w:customStyle="1" w:styleId="161">
    <w:name w:val="Char1"/>
    <w:basedOn w:val="1"/>
    <w:autoRedefine/>
    <w:qFormat/>
    <w:uiPriority w:val="0"/>
    <w:rPr>
      <w:rFonts w:ascii="Times New Roman" w:hAnsi="Times New Roman" w:eastAsia="宋体" w:cs="Times New Roman"/>
      <w:szCs w:val="21"/>
    </w:rPr>
  </w:style>
  <w:style w:type="paragraph" w:customStyle="1" w:styleId="162">
    <w:name w:val="List Paragraph1"/>
    <w:basedOn w:val="1"/>
    <w:autoRedefine/>
    <w:qFormat/>
    <w:uiPriority w:val="0"/>
    <w:pPr>
      <w:ind w:firstLine="420" w:firstLineChars="200"/>
    </w:pPr>
    <w:rPr>
      <w:rFonts w:ascii="Times New Roman" w:hAnsi="Times New Roman" w:eastAsia="宋体" w:cs="Times New Roman"/>
      <w:sz w:val="20"/>
    </w:rPr>
  </w:style>
  <w:style w:type="paragraph" w:customStyle="1" w:styleId="163">
    <w:name w:val="样式 标题 3 + (中文) 黑体 小四 非加粗 段前: 7.8 磅 段后: 0 磅 行距: 固定值 20 磅"/>
    <w:basedOn w:val="4"/>
    <w:autoRedefine/>
    <w:qFormat/>
    <w:uiPriority w:val="0"/>
    <w:pPr>
      <w:spacing w:before="0" w:after="0" w:line="400" w:lineRule="exact"/>
    </w:pPr>
    <w:rPr>
      <w:rFonts w:ascii="Times New Roman" w:hAnsi="Times New Roman" w:eastAsia="黑体" w:cs="宋体"/>
      <w:b w:val="0"/>
      <w:bCs w:val="0"/>
      <w:kern w:val="0"/>
      <w:sz w:val="24"/>
      <w:szCs w:val="20"/>
    </w:rPr>
  </w:style>
  <w:style w:type="paragraph" w:customStyle="1" w:styleId="164">
    <w:name w:val="xl22"/>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65">
    <w:name w:val="正文12"/>
    <w:basedOn w:val="1"/>
    <w:autoRedefine/>
    <w:qFormat/>
    <w:uiPriority w:val="0"/>
    <w:pPr>
      <w:spacing w:line="360" w:lineRule="auto"/>
    </w:pPr>
    <w:rPr>
      <w:rFonts w:ascii="Times New Roman" w:hAnsi="Times New Roman" w:eastAsia="仿宋_GB2312" w:cs="Times New Roman"/>
      <w:sz w:val="24"/>
      <w:szCs w:val="20"/>
    </w:rPr>
  </w:style>
  <w:style w:type="paragraph" w:customStyle="1" w:styleId="166">
    <w:name w:val="样式 首行缩进:  2 字符"/>
    <w:basedOn w:val="1"/>
    <w:autoRedefine/>
    <w:qFormat/>
    <w:uiPriority w:val="0"/>
    <w:pPr>
      <w:spacing w:line="400" w:lineRule="exact"/>
      <w:ind w:firstLine="200" w:firstLineChars="200"/>
    </w:pPr>
    <w:rPr>
      <w:rFonts w:ascii="Times New Roman" w:hAnsi="Times New Roman" w:eastAsia="宋体" w:cs="宋体"/>
      <w:sz w:val="24"/>
    </w:rPr>
  </w:style>
  <w:style w:type="paragraph" w:customStyle="1" w:styleId="167">
    <w:name w:val="正文段"/>
    <w:basedOn w:val="1"/>
    <w:autoRedefine/>
    <w:qFormat/>
    <w:uiPriority w:val="0"/>
    <w:pPr>
      <w:widowControl/>
      <w:snapToGrid w:val="0"/>
      <w:spacing w:after="50" w:afterLines="50"/>
      <w:ind w:firstLine="200" w:firstLineChars="200"/>
    </w:pPr>
    <w:rPr>
      <w:rFonts w:ascii="Times New Roman" w:hAnsi="Times New Roman" w:eastAsia="宋体" w:cs="Times New Roman"/>
      <w:kern w:val="0"/>
      <w:sz w:val="24"/>
      <w:szCs w:val="20"/>
    </w:rPr>
  </w:style>
  <w:style w:type="table" w:customStyle="1" w:styleId="168">
    <w:name w:val="网格型1"/>
    <w:basedOn w:val="5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9">
    <w:name w:val="副标题 字符"/>
    <w:autoRedefine/>
    <w:qFormat/>
    <w:uiPriority w:val="11"/>
    <w:rPr>
      <w:rFonts w:ascii="等线" w:hAnsi="等线" w:eastAsia="等线" w:cs="Times New Roman"/>
      <w:b/>
      <w:bCs/>
      <w:kern w:val="28"/>
      <w:sz w:val="32"/>
      <w:szCs w:val="32"/>
    </w:rPr>
  </w:style>
  <w:style w:type="character" w:customStyle="1" w:styleId="170">
    <w:name w:val="列出段落 Char"/>
    <w:autoRedefine/>
    <w:qFormat/>
    <w:uiPriority w:val="0"/>
    <w:rPr>
      <w:rFonts w:ascii="Times New Roman" w:hAnsi="Times New Roman"/>
      <w:kern w:val="2"/>
      <w:sz w:val="21"/>
      <w:szCs w:val="24"/>
      <w:lang w:eastAsia="en-US"/>
    </w:rPr>
  </w:style>
  <w:style w:type="character" w:customStyle="1" w:styleId="171">
    <w:name w:val="style41"/>
    <w:autoRedefine/>
    <w:qFormat/>
    <w:uiPriority w:val="0"/>
    <w:rPr>
      <w:rFonts w:ascii="Arial" w:cs="Arial"/>
    </w:rPr>
  </w:style>
  <w:style w:type="character" w:customStyle="1" w:styleId="172">
    <w:name w:val="标题 1 Char Char"/>
    <w:autoRedefine/>
    <w:qFormat/>
    <w:uiPriority w:val="0"/>
    <w:rPr>
      <w:rFonts w:eastAsia="宋体"/>
      <w:b/>
      <w:spacing w:val="-2"/>
      <w:sz w:val="24"/>
      <w:lang w:val="en-US" w:eastAsia="zh-CN" w:bidi="ar-SA"/>
    </w:rPr>
  </w:style>
  <w:style w:type="character" w:customStyle="1" w:styleId="173">
    <w:name w:val="siupbtn"/>
    <w:autoRedefine/>
    <w:qFormat/>
    <w:uiPriority w:val="0"/>
    <w:rPr>
      <w:rFonts w:ascii="Verdana" w:hAnsi="Verdana"/>
      <w:kern w:val="0"/>
      <w:sz w:val="20"/>
      <w:szCs w:val="20"/>
      <w:lang w:eastAsia="en-US"/>
    </w:rPr>
  </w:style>
  <w:style w:type="character" w:customStyle="1" w:styleId="174">
    <w:name w:val="siupgray2"/>
    <w:autoRedefine/>
    <w:qFormat/>
    <w:uiPriority w:val="0"/>
    <w:rPr>
      <w:rFonts w:ascii="Verdana" w:hAnsi="Verdana"/>
      <w:kern w:val="0"/>
      <w:sz w:val="20"/>
      <w:szCs w:val="20"/>
      <w:lang w:eastAsia="en-US"/>
    </w:rPr>
  </w:style>
  <w:style w:type="character" w:customStyle="1" w:styleId="175">
    <w:name w:val="样式2 Char"/>
    <w:link w:val="176"/>
    <w:autoRedefine/>
    <w:qFormat/>
    <w:uiPriority w:val="0"/>
    <w:rPr>
      <w:rFonts w:ascii="宋体"/>
      <w:sz w:val="24"/>
      <w:szCs w:val="24"/>
    </w:rPr>
  </w:style>
  <w:style w:type="paragraph" w:customStyle="1" w:styleId="176">
    <w:name w:val="样式2"/>
    <w:basedOn w:val="1"/>
    <w:link w:val="175"/>
    <w:autoRedefine/>
    <w:qFormat/>
    <w:uiPriority w:val="0"/>
    <w:pPr>
      <w:spacing w:line="360" w:lineRule="auto"/>
      <w:ind w:left="540"/>
    </w:pPr>
    <w:rPr>
      <w:rFonts w:ascii="宋体"/>
      <w:kern w:val="0"/>
      <w:sz w:val="24"/>
    </w:rPr>
  </w:style>
  <w:style w:type="character" w:customStyle="1" w:styleId="177">
    <w:name w:val="siexitbtn2"/>
    <w:autoRedefine/>
    <w:qFormat/>
    <w:uiPriority w:val="0"/>
    <w:rPr>
      <w:rFonts w:ascii="Verdana" w:hAnsi="Verdana"/>
      <w:kern w:val="0"/>
      <w:sz w:val="20"/>
      <w:szCs w:val="20"/>
      <w:lang w:eastAsia="en-US"/>
    </w:rPr>
  </w:style>
  <w:style w:type="character" w:customStyle="1" w:styleId="178">
    <w:name w:val="日期 Char1"/>
    <w:autoRedefine/>
    <w:semiHidden/>
    <w:qFormat/>
    <w:uiPriority w:val="99"/>
    <w:rPr>
      <w:rFonts w:eastAsia="仿宋_GB2312"/>
      <w:sz w:val="32"/>
    </w:rPr>
  </w:style>
  <w:style w:type="character" w:customStyle="1" w:styleId="179">
    <w:name w:val="sisave"/>
    <w:autoRedefine/>
    <w:qFormat/>
    <w:uiPriority w:val="0"/>
    <w:rPr>
      <w:rFonts w:ascii="Verdana" w:hAnsi="Verdana"/>
      <w:kern w:val="0"/>
      <w:sz w:val="20"/>
      <w:szCs w:val="20"/>
      <w:lang w:eastAsia="en-US"/>
    </w:rPr>
  </w:style>
  <w:style w:type="character" w:customStyle="1" w:styleId="180">
    <w:name w:val="a9"/>
    <w:autoRedefine/>
    <w:qFormat/>
    <w:uiPriority w:val="0"/>
    <w:rPr>
      <w:rFonts w:ascii="Verdana" w:hAnsi="Verdana"/>
      <w:kern w:val="0"/>
      <w:sz w:val="20"/>
      <w:szCs w:val="20"/>
      <w:lang w:eastAsia="en-US"/>
    </w:rPr>
  </w:style>
  <w:style w:type="character" w:customStyle="1" w:styleId="181">
    <w:name w:val="fontcss style23"/>
    <w:autoRedefine/>
    <w:qFormat/>
    <w:uiPriority w:val="0"/>
    <w:rPr>
      <w:rFonts w:ascii="Verdana" w:hAnsi="Verdana"/>
      <w:kern w:val="0"/>
      <w:sz w:val="20"/>
      <w:szCs w:val="20"/>
      <w:lang w:eastAsia="en-US"/>
    </w:rPr>
  </w:style>
  <w:style w:type="character" w:customStyle="1" w:styleId="182">
    <w:name w:val="sisavebtn2"/>
    <w:autoRedefine/>
    <w:qFormat/>
    <w:uiPriority w:val="0"/>
    <w:rPr>
      <w:rFonts w:ascii="Verdana" w:hAnsi="Verdana"/>
      <w:kern w:val="0"/>
      <w:sz w:val="20"/>
      <w:szCs w:val="20"/>
      <w:lang w:eastAsia="en-US"/>
    </w:rPr>
  </w:style>
  <w:style w:type="character" w:customStyle="1" w:styleId="183">
    <w:name w:val="A6"/>
    <w:autoRedefine/>
    <w:qFormat/>
    <w:uiPriority w:val="0"/>
    <w:rPr>
      <w:rFonts w:cs="宋体"/>
      <w:color w:val="000000"/>
      <w:sz w:val="22"/>
      <w:szCs w:val="22"/>
    </w:rPr>
  </w:style>
  <w:style w:type="character" w:customStyle="1" w:styleId="184">
    <w:name w:val="style351"/>
    <w:autoRedefine/>
    <w:qFormat/>
    <w:uiPriority w:val="0"/>
    <w:rPr>
      <w:sz w:val="15"/>
      <w:szCs w:val="15"/>
    </w:rPr>
  </w:style>
  <w:style w:type="character" w:customStyle="1" w:styleId="185">
    <w:name w:val="sisavegray"/>
    <w:autoRedefine/>
    <w:qFormat/>
    <w:uiPriority w:val="0"/>
    <w:rPr>
      <w:rFonts w:ascii="Verdana" w:hAnsi="Verdana"/>
      <w:kern w:val="0"/>
      <w:sz w:val="20"/>
      <w:szCs w:val="20"/>
      <w:lang w:eastAsia="en-US"/>
    </w:rPr>
  </w:style>
  <w:style w:type="character" w:customStyle="1" w:styleId="186">
    <w:name w:val="sidown2"/>
    <w:autoRedefine/>
    <w:qFormat/>
    <w:uiPriority w:val="0"/>
    <w:rPr>
      <w:rFonts w:ascii="Verdana" w:hAnsi="Verdana"/>
      <w:kern w:val="0"/>
      <w:sz w:val="20"/>
      <w:szCs w:val="20"/>
      <w:lang w:eastAsia="en-US"/>
    </w:rPr>
  </w:style>
  <w:style w:type="character" w:customStyle="1" w:styleId="187">
    <w:name w:val="Body Char"/>
    <w:link w:val="188"/>
    <w:autoRedefine/>
    <w:qFormat/>
    <w:uiPriority w:val="0"/>
    <w:rPr>
      <w:szCs w:val="21"/>
    </w:rPr>
  </w:style>
  <w:style w:type="paragraph" w:customStyle="1" w:styleId="188">
    <w:name w:val="Body"/>
    <w:basedOn w:val="1"/>
    <w:link w:val="187"/>
    <w:autoRedefine/>
    <w:qFormat/>
    <w:uiPriority w:val="0"/>
    <w:pPr>
      <w:widowControl/>
      <w:tabs>
        <w:tab w:val="left" w:pos="9356"/>
      </w:tabs>
      <w:spacing w:before="80" w:after="80" w:line="288" w:lineRule="auto"/>
      <w:ind w:left="426" w:leftChars="213" w:right="200"/>
    </w:pPr>
    <w:rPr>
      <w:kern w:val="0"/>
      <w:sz w:val="20"/>
      <w:szCs w:val="21"/>
    </w:rPr>
  </w:style>
  <w:style w:type="character" w:customStyle="1" w:styleId="189">
    <w:name w:val="siexit2"/>
    <w:autoRedefine/>
    <w:qFormat/>
    <w:uiPriority w:val="0"/>
    <w:rPr>
      <w:rFonts w:ascii="Verdana" w:hAnsi="Verdana"/>
      <w:kern w:val="0"/>
      <w:sz w:val="20"/>
      <w:szCs w:val="20"/>
      <w:lang w:eastAsia="en-US"/>
    </w:rPr>
  </w:style>
  <w:style w:type="character" w:customStyle="1" w:styleId="190">
    <w:name w:val="正文文本缩进 Char1"/>
    <w:autoRedefine/>
    <w:semiHidden/>
    <w:qFormat/>
    <w:uiPriority w:val="99"/>
    <w:rPr>
      <w:rFonts w:eastAsia="仿宋_GB2312"/>
      <w:sz w:val="32"/>
    </w:rPr>
  </w:style>
  <w:style w:type="character" w:customStyle="1" w:styleId="191">
    <w:name w:val="style31"/>
    <w:autoRedefine/>
    <w:qFormat/>
    <w:uiPriority w:val="0"/>
    <w:rPr>
      <w:rFonts w:ascii="????" w:eastAsia="????"/>
    </w:rPr>
  </w:style>
  <w:style w:type="character" w:customStyle="1" w:styleId="192">
    <w:name w:val="文字 Char"/>
    <w:link w:val="193"/>
    <w:autoRedefine/>
    <w:qFormat/>
    <w:uiPriority w:val="0"/>
    <w:rPr>
      <w:rFonts w:ascii="楷体_GB2312" w:eastAsia="楷体_GB2312"/>
      <w:sz w:val="28"/>
    </w:rPr>
  </w:style>
  <w:style w:type="paragraph" w:customStyle="1" w:styleId="193">
    <w:name w:val="文字"/>
    <w:basedOn w:val="1"/>
    <w:link w:val="192"/>
    <w:autoRedefine/>
    <w:qFormat/>
    <w:uiPriority w:val="0"/>
    <w:pPr>
      <w:tabs>
        <w:tab w:val="left" w:pos="8520"/>
      </w:tabs>
      <w:spacing w:line="312" w:lineRule="auto"/>
      <w:ind w:right="-210" w:firstLine="556"/>
    </w:pPr>
    <w:rPr>
      <w:rFonts w:ascii="楷体_GB2312" w:eastAsia="楷体_GB2312"/>
      <w:kern w:val="0"/>
      <w:sz w:val="28"/>
      <w:szCs w:val="20"/>
    </w:rPr>
  </w:style>
  <w:style w:type="character" w:customStyle="1" w:styleId="194">
    <w:name w:val="style21"/>
    <w:autoRedefine/>
    <w:qFormat/>
    <w:uiPriority w:val="0"/>
    <w:rPr>
      <w:rFonts w:ascii="Verdana" w:hAnsi="Verdana"/>
      <w:kern w:val="0"/>
      <w:sz w:val="20"/>
      <w:szCs w:val="20"/>
      <w:lang w:eastAsia="en-US"/>
    </w:rPr>
  </w:style>
  <w:style w:type="character" w:customStyle="1" w:styleId="195">
    <w:name w:val="siexitbtn"/>
    <w:autoRedefine/>
    <w:qFormat/>
    <w:uiPriority w:val="0"/>
    <w:rPr>
      <w:rFonts w:ascii="Verdana" w:hAnsi="Verdana"/>
      <w:kern w:val="0"/>
      <w:sz w:val="20"/>
      <w:szCs w:val="20"/>
      <w:lang w:eastAsia="en-US"/>
    </w:rPr>
  </w:style>
  <w:style w:type="character" w:customStyle="1" w:styleId="196">
    <w:name w:val="正文文本 Char1"/>
    <w:autoRedefine/>
    <w:semiHidden/>
    <w:qFormat/>
    <w:uiPriority w:val="99"/>
    <w:rPr>
      <w:rFonts w:eastAsia="仿宋_GB2312"/>
      <w:sz w:val="32"/>
    </w:rPr>
  </w:style>
  <w:style w:type="character" w:customStyle="1" w:styleId="197">
    <w:name w:val="正文文本缩进 2 Char1"/>
    <w:autoRedefine/>
    <w:semiHidden/>
    <w:qFormat/>
    <w:uiPriority w:val="99"/>
    <w:rPr>
      <w:rFonts w:eastAsia="仿宋_GB2312"/>
      <w:sz w:val="32"/>
    </w:rPr>
  </w:style>
  <w:style w:type="character" w:customStyle="1" w:styleId="198">
    <w:name w:val="HTML 预设格式 字符"/>
    <w:autoRedefine/>
    <w:semiHidden/>
    <w:qFormat/>
    <w:uiPriority w:val="99"/>
    <w:rPr>
      <w:rFonts w:ascii="Courier New" w:hAnsi="Courier New" w:cs="Courier New"/>
      <w:kern w:val="2"/>
    </w:rPr>
  </w:style>
  <w:style w:type="character" w:customStyle="1" w:styleId="199">
    <w:name w:val="HTML 预设格式 Char1"/>
    <w:autoRedefine/>
    <w:semiHidden/>
    <w:qFormat/>
    <w:uiPriority w:val="99"/>
    <w:rPr>
      <w:rFonts w:ascii="Courier New" w:hAnsi="Courier New" w:cs="Courier New"/>
      <w:kern w:val="2"/>
    </w:rPr>
  </w:style>
  <w:style w:type="character" w:customStyle="1" w:styleId="200">
    <w:name w:val="text-4"/>
    <w:autoRedefine/>
    <w:qFormat/>
    <w:uiPriority w:val="0"/>
    <w:rPr>
      <w:rFonts w:ascii="Verdana" w:hAnsi="Verdana"/>
      <w:kern w:val="0"/>
      <w:sz w:val="20"/>
      <w:szCs w:val="20"/>
      <w:lang w:eastAsia="en-US"/>
    </w:rPr>
  </w:style>
  <w:style w:type="character" w:customStyle="1" w:styleId="201">
    <w:name w:val="无间隔 字符"/>
    <w:link w:val="202"/>
    <w:autoRedefine/>
    <w:qFormat/>
    <w:uiPriority w:val="0"/>
    <w:rPr>
      <w:rFonts w:ascii="Cambria" w:hAnsi="Cambria"/>
      <w:sz w:val="22"/>
      <w:lang w:eastAsia="en-US" w:bidi="en-US"/>
    </w:rPr>
  </w:style>
  <w:style w:type="paragraph" w:styleId="202">
    <w:name w:val="No Spacing"/>
    <w:basedOn w:val="1"/>
    <w:link w:val="201"/>
    <w:autoRedefine/>
    <w:qFormat/>
    <w:uiPriority w:val="0"/>
    <w:pPr>
      <w:widowControl/>
      <w:tabs>
        <w:tab w:val="left" w:pos="2100"/>
      </w:tabs>
      <w:jc w:val="left"/>
    </w:pPr>
    <w:rPr>
      <w:rFonts w:ascii="Cambria" w:hAnsi="Cambria"/>
      <w:kern w:val="0"/>
      <w:sz w:val="22"/>
      <w:szCs w:val="20"/>
      <w:lang w:eastAsia="en-US" w:bidi="en-US"/>
    </w:rPr>
  </w:style>
  <w:style w:type="character" w:customStyle="1" w:styleId="203">
    <w:name w:val="sieditbtn2"/>
    <w:autoRedefine/>
    <w:qFormat/>
    <w:uiPriority w:val="0"/>
    <w:rPr>
      <w:rFonts w:ascii="Verdana" w:hAnsi="Verdana"/>
      <w:kern w:val="0"/>
      <w:sz w:val="20"/>
      <w:szCs w:val="20"/>
      <w:lang w:eastAsia="en-US"/>
    </w:rPr>
  </w:style>
  <w:style w:type="character" w:customStyle="1" w:styleId="204">
    <w:name w:val="modifier"/>
    <w:autoRedefine/>
    <w:qFormat/>
    <w:uiPriority w:val="0"/>
    <w:rPr>
      <w:rFonts w:ascii="Verdana" w:hAnsi="Verdana"/>
      <w:color w:val="FF0000"/>
      <w:kern w:val="0"/>
      <w:sz w:val="20"/>
      <w:szCs w:val="20"/>
      <w:lang w:eastAsia="en-US"/>
    </w:rPr>
  </w:style>
  <w:style w:type="character" w:customStyle="1" w:styleId="205">
    <w:name w:val="boldtitle1"/>
    <w:autoRedefine/>
    <w:qFormat/>
    <w:uiPriority w:val="0"/>
    <w:rPr>
      <w:rFonts w:hint="default" w:ascii="Arial Black" w:hAnsi="Arial Black"/>
      <w:sz w:val="36"/>
      <w:szCs w:val="36"/>
    </w:rPr>
  </w:style>
  <w:style w:type="character" w:customStyle="1" w:styleId="206">
    <w:name w:val="zj-122 Char"/>
    <w:link w:val="207"/>
    <w:autoRedefine/>
    <w:qFormat/>
    <w:uiPriority w:val="0"/>
    <w:rPr>
      <w:rFonts w:ascii="Cambria" w:hAnsi="Cambria"/>
      <w:iCs/>
      <w:szCs w:val="21"/>
      <w:lang w:bidi="en-US"/>
    </w:rPr>
  </w:style>
  <w:style w:type="paragraph" w:customStyle="1" w:styleId="207">
    <w:name w:val="zj-122"/>
    <w:basedOn w:val="202"/>
    <w:link w:val="206"/>
    <w:autoRedefine/>
    <w:qFormat/>
    <w:uiPriority w:val="0"/>
    <w:rPr>
      <w:iCs/>
      <w:sz w:val="20"/>
      <w:szCs w:val="21"/>
      <w:lang w:eastAsia="zh-CN"/>
    </w:rPr>
  </w:style>
  <w:style w:type="character" w:customStyle="1" w:styleId="208">
    <w:name w:val="文档结构图 字符"/>
    <w:autoRedefine/>
    <w:semiHidden/>
    <w:qFormat/>
    <w:uiPriority w:val="99"/>
    <w:rPr>
      <w:rFonts w:ascii="Microsoft YaHei UI" w:eastAsia="Microsoft YaHei UI"/>
      <w:kern w:val="2"/>
      <w:sz w:val="18"/>
      <w:szCs w:val="18"/>
    </w:rPr>
  </w:style>
  <w:style w:type="character" w:customStyle="1" w:styleId="209">
    <w:name w:val="文档结构图 Char1"/>
    <w:autoRedefine/>
    <w:semiHidden/>
    <w:qFormat/>
    <w:uiPriority w:val="99"/>
    <w:rPr>
      <w:rFonts w:ascii="宋体"/>
      <w:kern w:val="2"/>
      <w:sz w:val="18"/>
      <w:szCs w:val="18"/>
    </w:rPr>
  </w:style>
  <w:style w:type="character" w:customStyle="1" w:styleId="210">
    <w:name w:val="ca-7"/>
    <w:autoRedefine/>
    <w:qFormat/>
    <w:uiPriority w:val="0"/>
    <w:rPr>
      <w:rFonts w:ascii="Verdana" w:hAnsi="Verdana"/>
      <w:kern w:val="0"/>
      <w:sz w:val="20"/>
      <w:szCs w:val="20"/>
      <w:lang w:eastAsia="en-US"/>
    </w:rPr>
  </w:style>
  <w:style w:type="character" w:customStyle="1" w:styleId="211">
    <w:name w:val="msonormal"/>
    <w:autoRedefine/>
    <w:qFormat/>
    <w:uiPriority w:val="0"/>
    <w:rPr>
      <w:rFonts w:ascii="Verdana" w:hAnsi="Verdana"/>
      <w:kern w:val="0"/>
      <w:sz w:val="20"/>
      <w:szCs w:val="20"/>
      <w:lang w:eastAsia="en-US"/>
    </w:rPr>
  </w:style>
  <w:style w:type="character" w:customStyle="1" w:styleId="212">
    <w:name w:val="siexitgray2"/>
    <w:autoRedefine/>
    <w:qFormat/>
    <w:uiPriority w:val="0"/>
    <w:rPr>
      <w:rFonts w:ascii="Verdana" w:hAnsi="Verdana"/>
      <w:kern w:val="0"/>
      <w:sz w:val="20"/>
      <w:szCs w:val="20"/>
      <w:lang w:eastAsia="en-US"/>
    </w:rPr>
  </w:style>
  <w:style w:type="character" w:customStyle="1" w:styleId="213">
    <w:name w:val="apple-converted-space"/>
    <w:autoRedefine/>
    <w:qFormat/>
    <w:uiPriority w:val="0"/>
    <w:rPr>
      <w:rFonts w:ascii="Verdana" w:hAnsi="Verdana"/>
      <w:kern w:val="0"/>
      <w:sz w:val="20"/>
      <w:szCs w:val="20"/>
      <w:lang w:eastAsia="en-US"/>
    </w:rPr>
  </w:style>
  <w:style w:type="character" w:customStyle="1" w:styleId="214">
    <w:name w:val="unnamed41"/>
    <w:autoRedefine/>
    <w:qFormat/>
    <w:uiPriority w:val="0"/>
    <w:rPr>
      <w:color w:val="333333"/>
      <w:sz w:val="18"/>
      <w:szCs w:val="18"/>
    </w:rPr>
  </w:style>
  <w:style w:type="character" w:customStyle="1" w:styleId="215">
    <w:name w:val="正文文本缩进 3 Char1"/>
    <w:autoRedefine/>
    <w:semiHidden/>
    <w:qFormat/>
    <w:uiPriority w:val="99"/>
    <w:rPr>
      <w:rFonts w:eastAsia="仿宋_GB2312"/>
      <w:sz w:val="16"/>
      <w:szCs w:val="16"/>
    </w:rPr>
  </w:style>
  <w:style w:type="character" w:customStyle="1" w:styleId="216">
    <w:name w:val="item-price"/>
    <w:autoRedefine/>
    <w:qFormat/>
    <w:uiPriority w:val="0"/>
    <w:rPr>
      <w:rFonts w:ascii="Verdana" w:hAnsi="Verdana"/>
      <w:kern w:val="0"/>
      <w:sz w:val="20"/>
      <w:szCs w:val="20"/>
      <w:lang w:eastAsia="en-US"/>
    </w:rPr>
  </w:style>
  <w:style w:type="character" w:customStyle="1" w:styleId="217">
    <w:name w:val="label"/>
    <w:autoRedefine/>
    <w:qFormat/>
    <w:uiPriority w:val="0"/>
    <w:rPr>
      <w:rFonts w:ascii="Verdana" w:hAnsi="Verdana"/>
      <w:color w:val="555555"/>
      <w:kern w:val="0"/>
      <w:sz w:val="20"/>
      <w:szCs w:val="20"/>
      <w:lang w:eastAsia="en-US"/>
    </w:rPr>
  </w:style>
  <w:style w:type="character" w:customStyle="1" w:styleId="218">
    <w:name w:val="sieditgray"/>
    <w:autoRedefine/>
    <w:qFormat/>
    <w:uiPriority w:val="0"/>
    <w:rPr>
      <w:rFonts w:ascii="Verdana" w:hAnsi="Verdana"/>
      <w:kern w:val="0"/>
      <w:sz w:val="20"/>
      <w:szCs w:val="20"/>
      <w:lang w:eastAsia="en-US"/>
    </w:rPr>
  </w:style>
  <w:style w:type="character" w:customStyle="1" w:styleId="219">
    <w:name w:val="正文文本 3 Char1"/>
    <w:autoRedefine/>
    <w:semiHidden/>
    <w:qFormat/>
    <w:uiPriority w:val="99"/>
    <w:rPr>
      <w:rFonts w:eastAsia="仿宋_GB2312"/>
      <w:sz w:val="16"/>
      <w:szCs w:val="16"/>
    </w:rPr>
  </w:style>
  <w:style w:type="character" w:customStyle="1" w:styleId="220">
    <w:name w:val="sidownbtn2"/>
    <w:autoRedefine/>
    <w:qFormat/>
    <w:uiPriority w:val="0"/>
    <w:rPr>
      <w:rFonts w:ascii="Verdana" w:hAnsi="Verdana"/>
      <w:kern w:val="0"/>
      <w:sz w:val="20"/>
      <w:szCs w:val="20"/>
      <w:lang w:eastAsia="en-US"/>
    </w:rPr>
  </w:style>
  <w:style w:type="character" w:customStyle="1" w:styleId="221">
    <w:name w:val="sieditbtn"/>
    <w:autoRedefine/>
    <w:qFormat/>
    <w:uiPriority w:val="0"/>
    <w:rPr>
      <w:rFonts w:ascii="Verdana" w:hAnsi="Verdana"/>
      <w:kern w:val="0"/>
      <w:sz w:val="20"/>
      <w:szCs w:val="20"/>
      <w:lang w:eastAsia="en-US"/>
    </w:rPr>
  </w:style>
  <w:style w:type="character" w:customStyle="1" w:styleId="222">
    <w:name w:val="sieditgray2"/>
    <w:autoRedefine/>
    <w:qFormat/>
    <w:uiPriority w:val="0"/>
    <w:rPr>
      <w:rFonts w:ascii="Verdana" w:hAnsi="Verdana"/>
      <w:kern w:val="0"/>
      <w:sz w:val="20"/>
      <w:szCs w:val="20"/>
      <w:lang w:eastAsia="en-US"/>
    </w:rPr>
  </w:style>
  <w:style w:type="character" w:customStyle="1" w:styleId="223">
    <w:name w:val="正文 + 宋体 Char"/>
    <w:autoRedefine/>
    <w:qFormat/>
    <w:uiPriority w:val="0"/>
    <w:rPr>
      <w:rFonts w:ascii="宋体" w:hAnsi="宋体" w:eastAsia="宋体"/>
      <w:kern w:val="2"/>
      <w:sz w:val="24"/>
      <w:szCs w:val="24"/>
      <w:u w:val="single"/>
      <w:lang w:val="en-US" w:eastAsia="zh-CN" w:bidi="ar-SA"/>
    </w:rPr>
  </w:style>
  <w:style w:type="character" w:customStyle="1" w:styleId="224">
    <w:name w:val="siup2"/>
    <w:autoRedefine/>
    <w:qFormat/>
    <w:uiPriority w:val="0"/>
    <w:rPr>
      <w:rFonts w:ascii="Verdana" w:hAnsi="Verdana"/>
      <w:kern w:val="0"/>
      <w:sz w:val="20"/>
      <w:szCs w:val="20"/>
      <w:lang w:eastAsia="en-US"/>
    </w:rPr>
  </w:style>
  <w:style w:type="character" w:customStyle="1" w:styleId="225">
    <w:name w:val="普通文字 Char Char3"/>
    <w:autoRedefine/>
    <w:qFormat/>
    <w:uiPriority w:val="0"/>
    <w:rPr>
      <w:rFonts w:ascii="宋体" w:hAnsi="Courier New" w:cs="Courier New"/>
      <w:kern w:val="2"/>
      <w:sz w:val="21"/>
      <w:szCs w:val="21"/>
      <w:lang w:eastAsia="en-US"/>
    </w:rPr>
  </w:style>
  <w:style w:type="character" w:customStyle="1" w:styleId="226">
    <w:name w:val="style23"/>
    <w:autoRedefine/>
    <w:qFormat/>
    <w:uiPriority w:val="0"/>
    <w:rPr>
      <w:rFonts w:ascii="Verdana" w:hAnsi="Verdana"/>
      <w:kern w:val="0"/>
      <w:sz w:val="20"/>
      <w:szCs w:val="20"/>
      <w:lang w:eastAsia="en-US"/>
    </w:rPr>
  </w:style>
  <w:style w:type="character" w:customStyle="1" w:styleId="227">
    <w:name w:val="siupbtn2"/>
    <w:autoRedefine/>
    <w:qFormat/>
    <w:uiPriority w:val="0"/>
    <w:rPr>
      <w:rFonts w:ascii="Verdana" w:hAnsi="Verdana"/>
      <w:kern w:val="0"/>
      <w:sz w:val="20"/>
      <w:szCs w:val="20"/>
      <w:lang w:eastAsia="en-US"/>
    </w:rPr>
  </w:style>
  <w:style w:type="character" w:customStyle="1" w:styleId="228">
    <w:name w:val="siedit2"/>
    <w:autoRedefine/>
    <w:qFormat/>
    <w:uiPriority w:val="0"/>
    <w:rPr>
      <w:rFonts w:ascii="Verdana" w:hAnsi="Verdana"/>
      <w:kern w:val="0"/>
      <w:sz w:val="20"/>
      <w:szCs w:val="20"/>
      <w:lang w:eastAsia="en-US"/>
    </w:rPr>
  </w:style>
  <w:style w:type="character" w:customStyle="1" w:styleId="229">
    <w:name w:val="sisave2"/>
    <w:autoRedefine/>
    <w:qFormat/>
    <w:uiPriority w:val="0"/>
    <w:rPr>
      <w:rFonts w:ascii="Verdana" w:hAnsi="Verdana"/>
      <w:kern w:val="0"/>
      <w:sz w:val="20"/>
      <w:szCs w:val="20"/>
      <w:lang w:eastAsia="en-US"/>
    </w:rPr>
  </w:style>
  <w:style w:type="character" w:customStyle="1" w:styleId="230">
    <w:name w:val="sidowngray2"/>
    <w:autoRedefine/>
    <w:qFormat/>
    <w:uiPriority w:val="0"/>
    <w:rPr>
      <w:rFonts w:ascii="Verdana" w:hAnsi="Verdana"/>
      <w:kern w:val="0"/>
      <w:sz w:val="20"/>
      <w:szCs w:val="20"/>
      <w:lang w:eastAsia="en-US"/>
    </w:rPr>
  </w:style>
  <w:style w:type="character" w:customStyle="1" w:styleId="231">
    <w:name w:val="cojj1"/>
    <w:autoRedefine/>
    <w:qFormat/>
    <w:uiPriority w:val="0"/>
    <w:rPr>
      <w:rFonts w:hint="eastAsia" w:ascii="宋体" w:hAnsi="宋体" w:eastAsia="宋体"/>
      <w:color w:val="000000"/>
      <w:sz w:val="18"/>
      <w:szCs w:val="18"/>
    </w:rPr>
  </w:style>
  <w:style w:type="character" w:customStyle="1" w:styleId="232">
    <w:name w:val="siexitgray"/>
    <w:autoRedefine/>
    <w:qFormat/>
    <w:uiPriority w:val="0"/>
    <w:rPr>
      <w:rFonts w:ascii="Verdana" w:hAnsi="Verdana"/>
      <w:kern w:val="0"/>
      <w:sz w:val="20"/>
      <w:szCs w:val="20"/>
      <w:lang w:eastAsia="en-US"/>
    </w:rPr>
  </w:style>
  <w:style w:type="character" w:customStyle="1" w:styleId="233">
    <w:name w:val="正文文本 2 Char1"/>
    <w:autoRedefine/>
    <w:semiHidden/>
    <w:qFormat/>
    <w:uiPriority w:val="99"/>
    <w:rPr>
      <w:rFonts w:eastAsia="仿宋_GB2312"/>
      <w:sz w:val="32"/>
    </w:rPr>
  </w:style>
  <w:style w:type="character" w:customStyle="1" w:styleId="234">
    <w:name w:val="称呼 字符"/>
    <w:autoRedefine/>
    <w:semiHidden/>
    <w:qFormat/>
    <w:uiPriority w:val="99"/>
    <w:rPr>
      <w:kern w:val="2"/>
      <w:sz w:val="21"/>
      <w:szCs w:val="24"/>
    </w:rPr>
  </w:style>
  <w:style w:type="character" w:customStyle="1" w:styleId="235">
    <w:name w:val="正文首行缩进 Char"/>
    <w:autoRedefine/>
    <w:qFormat/>
    <w:uiPriority w:val="0"/>
    <w:rPr>
      <w:rFonts w:ascii="Calibri" w:hAnsi="Calibri" w:eastAsia="宋体" w:cs="Times New Roman"/>
      <w:kern w:val="2"/>
      <w:sz w:val="21"/>
      <w:szCs w:val="24"/>
    </w:rPr>
  </w:style>
  <w:style w:type="character" w:customStyle="1" w:styleId="236">
    <w:name w:val="正文首行缩进 2 Char"/>
    <w:autoRedefine/>
    <w:qFormat/>
    <w:uiPriority w:val="0"/>
    <w:rPr>
      <w:rFonts w:ascii="仿宋_GB2312" w:hAnsi="Calibri" w:eastAsia="仿宋_GB2312"/>
      <w:kern w:val="2"/>
      <w:sz w:val="21"/>
      <w:szCs w:val="22"/>
    </w:rPr>
  </w:style>
  <w:style w:type="paragraph" w:customStyle="1" w:styleId="237">
    <w:name w:val="Default Paragraph Font Para Char Char Char Char Char Char"/>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38">
    <w:name w:val="样式 行距: 固定值 25 磅 首行缩进:  2 字符"/>
    <w:basedOn w:val="1"/>
    <w:autoRedefine/>
    <w:qFormat/>
    <w:uiPriority w:val="0"/>
    <w:pPr>
      <w:tabs>
        <w:tab w:val="left" w:pos="1260"/>
      </w:tabs>
      <w:adjustRightInd w:val="0"/>
      <w:spacing w:line="500" w:lineRule="exact"/>
      <w:ind w:firstLine="560" w:firstLineChars="200"/>
      <w:textAlignment w:val="baseline"/>
    </w:pPr>
    <w:rPr>
      <w:rFonts w:ascii="Times New Roman" w:hAnsi="Times New Roman" w:eastAsia="宋体" w:cs="Times New Roman"/>
      <w:kern w:val="0"/>
      <w:sz w:val="28"/>
      <w:szCs w:val="28"/>
    </w:rPr>
  </w:style>
  <w:style w:type="paragraph" w:customStyle="1" w:styleId="239">
    <w:name w:val="_Style 112"/>
    <w:basedOn w:val="18"/>
    <w:autoRedefine/>
    <w:qFormat/>
    <w:uiPriority w:val="0"/>
    <w:pPr>
      <w:widowControl/>
      <w:spacing w:after="160" w:line="240" w:lineRule="exact"/>
      <w:jc w:val="left"/>
    </w:pPr>
    <w:rPr>
      <w:rFonts w:ascii="Verdana" w:hAnsi="Verdana"/>
      <w:lang w:eastAsia="en-US"/>
    </w:rPr>
  </w:style>
  <w:style w:type="paragraph" w:customStyle="1" w:styleId="240">
    <w:name w:val="xl3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41">
    <w:name w:val="文档正文 Char"/>
    <w:basedOn w:val="1"/>
    <w:autoRedefine/>
    <w:qFormat/>
    <w:uiPriority w:val="0"/>
    <w:pPr>
      <w:adjustRightInd w:val="0"/>
      <w:spacing w:line="480" w:lineRule="atLeast"/>
      <w:ind w:firstLine="567"/>
      <w:textAlignment w:val="baseline"/>
    </w:pPr>
    <w:rPr>
      <w:rFonts w:ascii="仿宋_GB2312" w:hAnsi="Times New Roman" w:eastAsia="仿宋_GB2312" w:cs="Times New Roman"/>
      <w:kern w:val="0"/>
      <w:sz w:val="28"/>
      <w:szCs w:val="20"/>
    </w:rPr>
  </w:style>
  <w:style w:type="paragraph" w:customStyle="1" w:styleId="242">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rFonts w:ascii="Times New Roman" w:hAnsi="Times New Roman" w:eastAsia="宋体" w:cs="Times New Roman"/>
      <w:sz w:val="24"/>
      <w:szCs w:val="20"/>
    </w:rPr>
  </w:style>
  <w:style w:type="paragraph" w:customStyle="1" w:styleId="243">
    <w:name w:val="È±Ê¡ÎÄ±¾:1"/>
    <w:basedOn w:val="1"/>
    <w:autoRedefine/>
    <w:qFormat/>
    <w:uiPriority w:val="0"/>
    <w:pPr>
      <w:widowControl/>
      <w:overflowPunct w:val="0"/>
      <w:autoSpaceDE w:val="0"/>
      <w:autoSpaceDN w:val="0"/>
      <w:adjustRightInd w:val="0"/>
      <w:spacing w:line="400" w:lineRule="exact"/>
      <w:ind w:firstLine="539"/>
      <w:textAlignment w:val="baseline"/>
    </w:pPr>
    <w:rPr>
      <w:rFonts w:ascii="Times New Roman" w:hAnsi="Times New Roman" w:eastAsia="宋体" w:cs="Times New Roman"/>
      <w:kern w:val="0"/>
      <w:sz w:val="24"/>
      <w:szCs w:val="20"/>
    </w:rPr>
  </w:style>
  <w:style w:type="paragraph" w:customStyle="1" w:styleId="244">
    <w:name w:val="xl3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45">
    <w:name w:val="MM Topic 4"/>
    <w:basedOn w:val="5"/>
    <w:autoRedefine/>
    <w:qFormat/>
    <w:uiPriority w:val="0"/>
    <w:pPr>
      <w:ind w:left="1680" w:hanging="420"/>
    </w:pPr>
  </w:style>
  <w:style w:type="paragraph" w:customStyle="1" w:styleId="246">
    <w:name w:val="百姓X"/>
    <w:basedOn w:val="1"/>
    <w:autoRedefine/>
    <w:qFormat/>
    <w:uiPriority w:val="0"/>
    <w:pPr>
      <w:spacing w:before="120" w:after="120" w:line="360" w:lineRule="auto"/>
      <w:ind w:firstLine="539"/>
    </w:pPr>
    <w:rPr>
      <w:rFonts w:ascii="Times New Roman" w:hAnsi="Times New Roman" w:eastAsia="宋体" w:cs="Times New Roman"/>
      <w:sz w:val="24"/>
      <w:szCs w:val="20"/>
    </w:rPr>
  </w:style>
  <w:style w:type="paragraph" w:customStyle="1" w:styleId="247">
    <w:name w:val="Char Char Char Char Char Char"/>
    <w:basedOn w:val="1"/>
    <w:autoRedefine/>
    <w:qFormat/>
    <w:uiPriority w:val="0"/>
    <w:pPr>
      <w:widowControl/>
      <w:spacing w:after="80" w:line="240" w:lineRule="exact"/>
    </w:pPr>
    <w:rPr>
      <w:rFonts w:ascii="Arial" w:hAnsi="Arial" w:eastAsia="宋体" w:cs="Times New Roman"/>
      <w:kern w:val="0"/>
      <w:sz w:val="22"/>
      <w:szCs w:val="22"/>
      <w:lang w:eastAsia="en-US"/>
    </w:rPr>
  </w:style>
  <w:style w:type="paragraph" w:customStyle="1" w:styleId="248">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 w:cs="Times New Roman"/>
      <w:kern w:val="0"/>
      <w:sz w:val="20"/>
      <w:szCs w:val="20"/>
    </w:rPr>
  </w:style>
  <w:style w:type="paragraph" w:customStyle="1" w:styleId="249">
    <w:name w:val="表格内容"/>
    <w:basedOn w:val="1"/>
    <w:autoRedefine/>
    <w:qFormat/>
    <w:uiPriority w:val="0"/>
    <w:pPr>
      <w:widowControl/>
      <w:autoSpaceDE w:val="0"/>
      <w:autoSpaceDN w:val="0"/>
      <w:adjustRightInd w:val="0"/>
      <w:spacing w:before="60"/>
      <w:jc w:val="center"/>
      <w:textAlignment w:val="bottom"/>
    </w:pPr>
    <w:rPr>
      <w:rFonts w:ascii="Times New Roman" w:hAnsi="Times New Roman" w:eastAsia="仿宋_GB2312" w:cs="Times New Roman"/>
      <w:kern w:val="0"/>
      <w:sz w:val="24"/>
    </w:rPr>
  </w:style>
  <w:style w:type="paragraph" w:customStyle="1" w:styleId="250">
    <w:name w:val="xl3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4"/>
    </w:rPr>
  </w:style>
  <w:style w:type="paragraph" w:customStyle="1" w:styleId="251">
    <w:name w:val="font1"/>
    <w:basedOn w:val="1"/>
    <w:autoRedefine/>
    <w:qFormat/>
    <w:uiPriority w:val="0"/>
    <w:pPr>
      <w:widowControl/>
      <w:spacing w:before="100" w:beforeAutospacing="1" w:after="100" w:afterAutospacing="1" w:line="300" w:lineRule="atLeast"/>
      <w:jc w:val="left"/>
    </w:pPr>
    <w:rPr>
      <w:rFonts w:ascii="宋体" w:hAnsi="宋体" w:eastAsia="宋体" w:cs="宋体"/>
      <w:kern w:val="0"/>
      <w:sz w:val="18"/>
      <w:szCs w:val="18"/>
    </w:rPr>
  </w:style>
  <w:style w:type="paragraph" w:customStyle="1" w:styleId="252">
    <w:name w:val="Char Char Char Char"/>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53">
    <w:name w:val="xl3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4"/>
    </w:rPr>
  </w:style>
  <w:style w:type="paragraph" w:customStyle="1" w:styleId="254">
    <w:name w:val="wenjianming"/>
    <w:basedOn w:val="1"/>
    <w:autoRedefine/>
    <w:qFormat/>
    <w:uiPriority w:val="0"/>
    <w:pPr>
      <w:widowControl/>
      <w:spacing w:before="100" w:beforeAutospacing="1" w:after="100" w:afterAutospacing="1" w:line="300" w:lineRule="atLeast"/>
      <w:jc w:val="left"/>
    </w:pPr>
    <w:rPr>
      <w:rFonts w:ascii="Times New Roman" w:hAnsi="Times New Roman" w:eastAsia="Arial Unicode MS" w:cs="Arial Unicode MS"/>
      <w:color w:val="000000"/>
      <w:kern w:val="0"/>
      <w:szCs w:val="21"/>
    </w:rPr>
  </w:style>
  <w:style w:type="paragraph" w:customStyle="1" w:styleId="255">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 w:cs="Times New Roman"/>
      <w:kern w:val="0"/>
      <w:sz w:val="20"/>
      <w:szCs w:val="20"/>
    </w:rPr>
  </w:style>
  <w:style w:type="paragraph" w:customStyle="1" w:styleId="256">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宋体" w:hAnsi="Times New Roman" w:eastAsia="宋体" w:cs="Times New Roman"/>
      <w:sz w:val="24"/>
    </w:rPr>
  </w:style>
  <w:style w:type="paragraph" w:customStyle="1" w:styleId="257">
    <w:name w:val="Char11"/>
    <w:basedOn w:val="1"/>
    <w:autoRedefine/>
    <w:qFormat/>
    <w:uiPriority w:val="0"/>
    <w:pPr>
      <w:tabs>
        <w:tab w:val="left" w:pos="360"/>
      </w:tabs>
      <w:ind w:left="360" w:hanging="360"/>
    </w:pPr>
    <w:rPr>
      <w:rFonts w:ascii="Times New Roman" w:hAnsi="Times New Roman" w:eastAsia="宋体" w:cs="Times New Roman"/>
      <w:sz w:val="24"/>
    </w:rPr>
  </w:style>
  <w:style w:type="paragraph" w:customStyle="1" w:styleId="258">
    <w:name w:val="缺省文本:1"/>
    <w:basedOn w:val="1"/>
    <w:autoRedefine/>
    <w:qFormat/>
    <w:uiPriority w:val="0"/>
    <w:pPr>
      <w:autoSpaceDE w:val="0"/>
      <w:autoSpaceDN w:val="0"/>
      <w:adjustRightInd w:val="0"/>
      <w:spacing w:line="400" w:lineRule="exact"/>
      <w:ind w:firstLine="539"/>
    </w:pPr>
    <w:rPr>
      <w:rFonts w:ascii="Times New Roman" w:hAnsi="Times New Roman" w:eastAsia="宋体" w:cs="Times New Roman"/>
      <w:kern w:val="0"/>
      <w:sz w:val="24"/>
    </w:rPr>
  </w:style>
  <w:style w:type="paragraph" w:customStyle="1" w:styleId="259">
    <w:name w:val="默认段落字体 Para Char Char Char Char"/>
    <w:basedOn w:val="1"/>
    <w:autoRedefine/>
    <w:qFormat/>
    <w:uiPriority w:val="0"/>
    <w:rPr>
      <w:rFonts w:ascii="Times New Roman" w:hAnsi="Times New Roman" w:eastAsia="宋体" w:cs="Times New Roman"/>
    </w:rPr>
  </w:style>
  <w:style w:type="paragraph" w:customStyle="1" w:styleId="260">
    <w:name w:val="xl39"/>
    <w:basedOn w:val="1"/>
    <w:autoRedefine/>
    <w:qFormat/>
    <w:uiPriority w:val="0"/>
    <w:pPr>
      <w:widowControl/>
      <w:pBdr>
        <w:bottom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61">
    <w:name w:val="彩色列表 - 强调文字颜色 11"/>
    <w:basedOn w:val="1"/>
    <w:autoRedefine/>
    <w:qFormat/>
    <w:uiPriority w:val="0"/>
    <w:pPr>
      <w:ind w:firstLine="420" w:firstLineChars="200"/>
    </w:pPr>
    <w:rPr>
      <w:rFonts w:ascii="Calibri" w:hAnsi="Calibri" w:eastAsia="宋体" w:cs="Times New Roman"/>
      <w:szCs w:val="22"/>
    </w:rPr>
  </w:style>
  <w:style w:type="paragraph" w:customStyle="1" w:styleId="262">
    <w:name w:val="正文缩进2字符"/>
    <w:autoRedefine/>
    <w:qFormat/>
    <w:uiPriority w:val="0"/>
    <w:pPr>
      <w:spacing w:line="300" w:lineRule="auto"/>
      <w:ind w:firstLine="200" w:firstLineChars="200"/>
      <w:jc w:val="both"/>
    </w:pPr>
    <w:rPr>
      <w:rFonts w:ascii="Times New Roman" w:hAnsi="Times New Roman" w:eastAsia="宋体" w:cs="Times New Roman"/>
      <w:kern w:val="2"/>
      <w:sz w:val="21"/>
      <w:lang w:val="en-US" w:eastAsia="zh-CN" w:bidi="ar-SA"/>
    </w:rPr>
  </w:style>
  <w:style w:type="paragraph" w:customStyle="1" w:styleId="263">
    <w:name w:val="样式5"/>
    <w:basedOn w:val="1"/>
    <w:autoRedefine/>
    <w:qFormat/>
    <w:uiPriority w:val="0"/>
    <w:pPr>
      <w:adjustRightInd w:val="0"/>
      <w:snapToGrid w:val="0"/>
      <w:spacing w:line="520" w:lineRule="exact"/>
      <w:ind w:firstLine="480" w:firstLineChars="200"/>
    </w:pPr>
    <w:rPr>
      <w:rFonts w:ascii="仿宋_GB2312" w:hAnsi="Times New Roman" w:eastAsia="仿宋_GB2312" w:cs="Times New Roman"/>
      <w:sz w:val="24"/>
    </w:rPr>
  </w:style>
  <w:style w:type="paragraph" w:customStyle="1" w:styleId="264">
    <w:name w:val="表项"/>
    <w:next w:val="1"/>
    <w:autoRedefine/>
    <w:qFormat/>
    <w:uiPriority w:val="0"/>
    <w:pPr>
      <w:keepNext/>
      <w:spacing w:before="40" w:after="40" w:line="300" w:lineRule="auto"/>
      <w:jc w:val="center"/>
      <w:textAlignment w:val="baseline"/>
    </w:pPr>
    <w:rPr>
      <w:rFonts w:ascii="Arial" w:hAnsi="Arial" w:eastAsia="黑体" w:cs="Times New Roman"/>
      <w:sz w:val="21"/>
      <w:lang w:val="en-US" w:eastAsia="zh-CN" w:bidi="ar-SA"/>
    </w:rPr>
  </w:style>
  <w:style w:type="paragraph" w:customStyle="1" w:styleId="265">
    <w:name w:val="Char Char Char"/>
    <w:basedOn w:val="1"/>
    <w:autoRedefine/>
    <w:qFormat/>
    <w:uiPriority w:val="0"/>
    <w:rPr>
      <w:rFonts w:ascii="Tahoma" w:hAnsi="Tahoma" w:eastAsia="宋体" w:cs="Times New Roman"/>
      <w:sz w:val="24"/>
      <w:szCs w:val="20"/>
    </w:rPr>
  </w:style>
  <w:style w:type="paragraph" w:customStyle="1" w:styleId="266">
    <w:name w:val="xl2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宋体" w:cs="Times New Roman"/>
      <w:kern w:val="0"/>
      <w:sz w:val="20"/>
      <w:szCs w:val="20"/>
    </w:rPr>
  </w:style>
  <w:style w:type="paragraph" w:customStyle="1" w:styleId="267">
    <w:name w:val="Item List"/>
    <w:autoRedefine/>
    <w:qFormat/>
    <w:uiPriority w:val="0"/>
    <w:pPr>
      <w:tabs>
        <w:tab w:val="left" w:pos="720"/>
      </w:tabs>
      <w:adjustRightInd w:val="0"/>
      <w:snapToGrid w:val="0"/>
      <w:spacing w:before="80" w:after="80" w:line="240" w:lineRule="atLeast"/>
      <w:ind w:left="720" w:hanging="720"/>
    </w:pPr>
    <w:rPr>
      <w:rFonts w:hint="eastAsia" w:ascii="Times New Roman" w:hAnsi="Times New Roman" w:eastAsia="宋体" w:cs="Arial"/>
      <w:kern w:val="2"/>
      <w:sz w:val="21"/>
      <w:szCs w:val="21"/>
      <w:lang w:val="en-US" w:eastAsia="zh-CN" w:bidi="ar-SA"/>
    </w:rPr>
  </w:style>
  <w:style w:type="paragraph" w:customStyle="1" w:styleId="268">
    <w:name w:val="font0"/>
    <w:basedOn w:val="1"/>
    <w:autoRedefine/>
    <w:qFormat/>
    <w:uiPriority w:val="0"/>
    <w:pPr>
      <w:widowControl/>
      <w:spacing w:before="100" w:beforeAutospacing="1" w:after="100" w:afterAutospacing="1"/>
      <w:jc w:val="left"/>
    </w:pPr>
    <w:rPr>
      <w:rFonts w:hint="eastAsia" w:ascii="宋体" w:hAnsi="宋体" w:eastAsia="宋体" w:cs="Arial Unicode MS"/>
      <w:kern w:val="0"/>
      <w:sz w:val="24"/>
    </w:rPr>
  </w:style>
  <w:style w:type="paragraph" w:customStyle="1" w:styleId="269">
    <w:name w:val="text1"/>
    <w:basedOn w:val="1"/>
    <w:autoRedefine/>
    <w:qFormat/>
    <w:uiPriority w:val="0"/>
    <w:pPr>
      <w:widowControl/>
      <w:spacing w:before="100" w:beforeAutospacing="1" w:after="100" w:afterAutospacing="1"/>
      <w:jc w:val="left"/>
    </w:pPr>
    <w:rPr>
      <w:rFonts w:ascii="宋体" w:hAnsi="宋体" w:eastAsia="宋体" w:cs="Times New Roman"/>
      <w:kern w:val="0"/>
      <w:sz w:val="24"/>
    </w:rPr>
  </w:style>
  <w:style w:type="paragraph" w:customStyle="1" w:styleId="270">
    <w:name w:val="xl2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b/>
      <w:bCs/>
      <w:kern w:val="0"/>
      <w:sz w:val="20"/>
      <w:szCs w:val="20"/>
    </w:rPr>
  </w:style>
  <w:style w:type="paragraph" w:customStyle="1" w:styleId="271">
    <w:name w:val="机房集中监控系统方案"/>
    <w:basedOn w:val="1"/>
    <w:autoRedefine/>
    <w:qFormat/>
    <w:uiPriority w:val="0"/>
    <w:rPr>
      <w:rFonts w:ascii="Times New Roman" w:hAnsi="Times New Roman" w:eastAsia="宋体" w:cs="Times New Roman"/>
    </w:rPr>
  </w:style>
  <w:style w:type="paragraph" w:customStyle="1" w:styleId="272">
    <w:name w:val="Char"/>
    <w:basedOn w:val="18"/>
    <w:autoRedefine/>
    <w:qFormat/>
    <w:uiPriority w:val="0"/>
    <w:pPr>
      <w:widowControl/>
      <w:ind w:left="840"/>
      <w:jc w:val="left"/>
    </w:pPr>
    <w:rPr>
      <w:rFonts w:ascii="Tahoma" w:hAnsi="Tahoma" w:cs="宋体"/>
      <w:sz w:val="24"/>
    </w:rPr>
  </w:style>
  <w:style w:type="paragraph" w:customStyle="1" w:styleId="273">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74">
    <w:name w:val="公文正文"/>
    <w:basedOn w:val="1"/>
    <w:autoRedefine/>
    <w:qFormat/>
    <w:uiPriority w:val="0"/>
    <w:pPr>
      <w:spacing w:line="360" w:lineRule="auto"/>
      <w:jc w:val="center"/>
    </w:pPr>
    <w:rPr>
      <w:rFonts w:ascii="Times New Roman" w:hAnsi="Times New Roman" w:eastAsia="华文仿宋" w:cs="Times New Roman"/>
      <w:b/>
      <w:sz w:val="32"/>
      <w:szCs w:val="32"/>
    </w:rPr>
  </w:style>
  <w:style w:type="paragraph" w:customStyle="1" w:styleId="275">
    <w:name w:val="msolistparagraph"/>
    <w:basedOn w:val="1"/>
    <w:autoRedefine/>
    <w:qFormat/>
    <w:uiPriority w:val="0"/>
    <w:pPr>
      <w:widowControl/>
      <w:spacing w:line="360" w:lineRule="auto"/>
      <w:ind w:firstLine="420"/>
    </w:pPr>
    <w:rPr>
      <w:rFonts w:ascii="Arial" w:hAnsi="Arial" w:eastAsia="宋体" w:cs="Arial"/>
      <w:kern w:val="0"/>
      <w:sz w:val="24"/>
    </w:rPr>
  </w:style>
  <w:style w:type="paragraph" w:customStyle="1" w:styleId="276">
    <w:name w:val="正文1"/>
    <w:autoRedefine/>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277">
    <w:name w:val="Bullet with text 1"/>
    <w:basedOn w:val="1"/>
    <w:autoRedefine/>
    <w:qFormat/>
    <w:uiPriority w:val="0"/>
    <w:pPr>
      <w:widowControl/>
      <w:tabs>
        <w:tab w:val="left" w:pos="360"/>
      </w:tabs>
      <w:spacing w:line="360" w:lineRule="auto"/>
      <w:ind w:left="360" w:hanging="360"/>
      <w:jc w:val="left"/>
    </w:pPr>
    <w:rPr>
      <w:rFonts w:ascii="Futura Bk" w:hAnsi="Futura Bk" w:eastAsia="宋体" w:cs="Times New Roman"/>
      <w:kern w:val="0"/>
      <w:sz w:val="20"/>
      <w:szCs w:val="20"/>
      <w:lang w:val="en-GB"/>
    </w:rPr>
  </w:style>
  <w:style w:type="paragraph" w:customStyle="1" w:styleId="278">
    <w:name w:val="ZTE标题6"/>
    <w:basedOn w:val="279"/>
    <w:autoRedefine/>
    <w:qFormat/>
    <w:uiPriority w:val="0"/>
    <w:pPr>
      <w:tabs>
        <w:tab w:val="left" w:pos="1276"/>
        <w:tab w:val="left" w:pos="2100"/>
      </w:tabs>
      <w:spacing w:before="120"/>
      <w:ind w:left="1276" w:hanging="1276"/>
    </w:pPr>
  </w:style>
  <w:style w:type="paragraph" w:customStyle="1" w:styleId="279">
    <w:name w:val="ZTE标题5"/>
    <w:basedOn w:val="1"/>
    <w:autoRedefine/>
    <w:qFormat/>
    <w:uiPriority w:val="0"/>
    <w:pPr>
      <w:widowControl/>
      <w:tabs>
        <w:tab w:val="left" w:pos="2100"/>
      </w:tabs>
      <w:spacing w:before="160" w:after="120"/>
      <w:ind w:left="2100" w:hanging="420"/>
      <w:jc w:val="left"/>
    </w:pPr>
    <w:rPr>
      <w:rFonts w:ascii="Times New Roman" w:hAnsi="Times New Roman" w:eastAsia="宋体" w:cs="Times New Roman"/>
      <w:b/>
      <w:kern w:val="0"/>
      <w:szCs w:val="21"/>
    </w:rPr>
  </w:style>
  <w:style w:type="paragraph" w:customStyle="1" w:styleId="280">
    <w:name w:val="MM Topic 1"/>
    <w:basedOn w:val="2"/>
    <w:autoRedefine/>
    <w:qFormat/>
    <w:uiPriority w:val="0"/>
    <w:pPr>
      <w:spacing w:before="0" w:after="0" w:line="576" w:lineRule="auto"/>
      <w:ind w:firstLine="200" w:firstLineChars="200"/>
    </w:pPr>
    <w:rPr>
      <w:rFonts w:ascii="Times New Roman" w:hAnsi="Times New Roman" w:eastAsia="仿宋_GB2312"/>
      <w:b w:val="0"/>
      <w:lang w:val="en-US"/>
    </w:rPr>
  </w:style>
  <w:style w:type="paragraph" w:customStyle="1" w:styleId="281">
    <w:name w:val="xl2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宋体" w:cs="Times New Roman"/>
      <w:b/>
      <w:bCs/>
      <w:kern w:val="0"/>
      <w:sz w:val="20"/>
      <w:szCs w:val="20"/>
    </w:rPr>
  </w:style>
  <w:style w:type="paragraph" w:customStyle="1" w:styleId="282">
    <w:name w:val="xl30"/>
    <w:basedOn w:val="1"/>
    <w:autoRedefine/>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宋体" w:cs="Times New Roman"/>
      <w:kern w:val="0"/>
      <w:sz w:val="20"/>
      <w:szCs w:val="20"/>
    </w:rPr>
  </w:style>
  <w:style w:type="paragraph" w:customStyle="1" w:styleId="283">
    <w:name w:val="font6"/>
    <w:basedOn w:val="1"/>
    <w:autoRedefine/>
    <w:qFormat/>
    <w:uiPriority w:val="0"/>
    <w:pPr>
      <w:widowControl/>
      <w:spacing w:before="100" w:beforeAutospacing="1" w:after="100" w:afterAutospacing="1"/>
      <w:jc w:val="left"/>
    </w:pPr>
    <w:rPr>
      <w:rFonts w:hint="eastAsia" w:ascii="宋体" w:hAnsi="宋体" w:eastAsia="宋体" w:cs="Times New Roman"/>
      <w:kern w:val="0"/>
      <w:sz w:val="20"/>
      <w:szCs w:val="20"/>
    </w:rPr>
  </w:style>
  <w:style w:type="paragraph" w:customStyle="1" w:styleId="284">
    <w:name w:val="xl3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285">
    <w:name w:val="Style-正文"/>
    <w:basedOn w:val="1"/>
    <w:autoRedefine/>
    <w:qFormat/>
    <w:uiPriority w:val="0"/>
    <w:pPr>
      <w:spacing w:line="360" w:lineRule="auto"/>
      <w:ind w:firstLine="420"/>
    </w:pPr>
    <w:rPr>
      <w:rFonts w:ascii="宋体" w:hAnsi="宋体" w:eastAsia="宋体" w:cs="Times New Roman"/>
      <w:sz w:val="24"/>
    </w:rPr>
  </w:style>
  <w:style w:type="paragraph" w:customStyle="1" w:styleId="286">
    <w:name w:val="正文缩进1"/>
    <w:basedOn w:val="1"/>
    <w:autoRedefine/>
    <w:qFormat/>
    <w:uiPriority w:val="0"/>
    <w:pPr>
      <w:widowControl/>
      <w:overflowPunct w:val="0"/>
      <w:autoSpaceDE w:val="0"/>
      <w:autoSpaceDN w:val="0"/>
      <w:adjustRightInd w:val="0"/>
      <w:spacing w:line="400" w:lineRule="exact"/>
      <w:ind w:firstLine="420"/>
      <w:textAlignment w:val="baseline"/>
    </w:pPr>
    <w:rPr>
      <w:rFonts w:ascii="Times New Roman" w:hAnsi="Times New Roman" w:eastAsia="宋体" w:cs="Times New Roman"/>
      <w:kern w:val="0"/>
      <w:sz w:val="24"/>
      <w:szCs w:val="20"/>
    </w:rPr>
  </w:style>
  <w:style w:type="paragraph" w:customStyle="1" w:styleId="287">
    <w:name w:val="xl26"/>
    <w:basedOn w:val="1"/>
    <w:autoRedefine/>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宋体" w:cs="Times New Roman"/>
      <w:b/>
      <w:bCs/>
      <w:kern w:val="0"/>
      <w:sz w:val="20"/>
      <w:szCs w:val="20"/>
    </w:rPr>
  </w:style>
  <w:style w:type="paragraph" w:customStyle="1" w:styleId="288">
    <w:name w:val="默认段落字体 Para Char"/>
    <w:basedOn w:val="1"/>
    <w:autoRedefine/>
    <w:qFormat/>
    <w:uiPriority w:val="0"/>
    <w:pPr>
      <w:spacing w:line="360" w:lineRule="auto"/>
    </w:pPr>
    <w:rPr>
      <w:rFonts w:ascii="Tahoma" w:hAnsi="Tahoma" w:eastAsia="宋体" w:cs="Times New Roman"/>
      <w:sz w:val="24"/>
      <w:szCs w:val="20"/>
    </w:rPr>
  </w:style>
  <w:style w:type="paragraph" w:customStyle="1" w:styleId="289">
    <w:name w:val="正文 1"/>
    <w:basedOn w:val="1"/>
    <w:autoRedefine/>
    <w:qFormat/>
    <w:uiPriority w:val="0"/>
    <w:pPr>
      <w:widowControl/>
      <w:snapToGrid w:val="0"/>
      <w:spacing w:before="80" w:after="80" w:line="360" w:lineRule="auto"/>
      <w:ind w:left="1418"/>
    </w:pPr>
    <w:rPr>
      <w:rFonts w:ascii="Times New Roman" w:hAnsi="Times New Roman" w:eastAsia="宋体" w:cs="Times New Roman"/>
      <w:szCs w:val="20"/>
    </w:rPr>
  </w:style>
  <w:style w:type="paragraph" w:customStyle="1" w:styleId="290">
    <w:name w:val="样式 样式 首行缩进: 2 字符"/>
    <w:basedOn w:val="1"/>
    <w:autoRedefine/>
    <w:qFormat/>
    <w:uiPriority w:val="0"/>
    <w:pPr>
      <w:widowControl/>
      <w:ind w:firstLine="480" w:firstLineChars="200"/>
      <w:jc w:val="left"/>
    </w:pPr>
    <w:rPr>
      <w:rFonts w:ascii="Times New Roman" w:hAnsi="Times New Roman" w:eastAsia="宋体" w:cs="宋体"/>
      <w:kern w:val="0"/>
      <w:sz w:val="24"/>
      <w:szCs w:val="20"/>
    </w:rPr>
  </w:style>
  <w:style w:type="paragraph" w:customStyle="1" w:styleId="291">
    <w:name w:val="方案正文"/>
    <w:basedOn w:val="1"/>
    <w:autoRedefine/>
    <w:qFormat/>
    <w:uiPriority w:val="0"/>
    <w:pPr>
      <w:spacing w:before="156" w:line="360" w:lineRule="auto"/>
      <w:ind w:firstLine="359" w:firstLineChars="171"/>
      <w:jc w:val="left"/>
    </w:pPr>
    <w:rPr>
      <w:rFonts w:ascii="Arial" w:hAnsi="Arial" w:eastAsia="宋体" w:cs="宋体"/>
      <w:sz w:val="24"/>
      <w:szCs w:val="21"/>
    </w:rPr>
  </w:style>
  <w:style w:type="paragraph" w:customStyle="1" w:styleId="292">
    <w:name w:val="正文样式小四首行缩进"/>
    <w:basedOn w:val="1"/>
    <w:autoRedefine/>
    <w:qFormat/>
    <w:uiPriority w:val="0"/>
    <w:pPr>
      <w:spacing w:line="360" w:lineRule="auto"/>
      <w:ind w:left="360" w:firstLine="360"/>
      <w:jc w:val="left"/>
    </w:pPr>
    <w:rPr>
      <w:rFonts w:ascii="宋体" w:hAnsi="宋体" w:eastAsia="宋体" w:cs="Times New Roman"/>
      <w:kern w:val="0"/>
      <w:sz w:val="24"/>
      <w:szCs w:val="20"/>
    </w:rPr>
  </w:style>
  <w:style w:type="paragraph" w:customStyle="1" w:styleId="293">
    <w:name w:val="Char Char Char Char Char Char Char Char Char Char Char Char Char Char Char Char1"/>
    <w:basedOn w:val="1"/>
    <w:autoRedefine/>
    <w:qFormat/>
    <w:uiPriority w:val="0"/>
    <w:pPr>
      <w:tabs>
        <w:tab w:val="left" w:pos="360"/>
      </w:tabs>
      <w:spacing w:line="360" w:lineRule="auto"/>
      <w:ind w:left="482" w:firstLine="200" w:firstLineChars="200"/>
    </w:pPr>
    <w:rPr>
      <w:rFonts w:ascii="宋体" w:hAnsi="Courier New" w:eastAsia="宋体" w:cs="Times New Roman"/>
      <w:sz w:val="24"/>
      <w:szCs w:val="20"/>
    </w:rPr>
  </w:style>
  <w:style w:type="paragraph" w:customStyle="1" w:styleId="294">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kern w:val="0"/>
      <w:sz w:val="20"/>
      <w:szCs w:val="20"/>
    </w:rPr>
  </w:style>
  <w:style w:type="paragraph" w:customStyle="1" w:styleId="295">
    <w:name w:val="Char Char7 Char Char"/>
    <w:basedOn w:val="1"/>
    <w:autoRedefine/>
    <w:qFormat/>
    <w:uiPriority w:val="0"/>
    <w:rPr>
      <w:rFonts w:ascii="Tahoma" w:hAnsi="Tahoma" w:eastAsia="宋体" w:cs="Times New Roman"/>
      <w:sz w:val="24"/>
      <w:szCs w:val="20"/>
    </w:rPr>
  </w:style>
  <w:style w:type="paragraph" w:customStyle="1" w:styleId="296">
    <w:name w:val="三级条标题"/>
    <w:basedOn w:val="297"/>
    <w:next w:val="5"/>
    <w:autoRedefine/>
    <w:qFormat/>
    <w:uiPriority w:val="0"/>
    <w:pPr>
      <w:tabs>
        <w:tab w:val="left" w:pos="525"/>
        <w:tab w:val="left" w:pos="720"/>
        <w:tab w:val="left" w:pos="945"/>
        <w:tab w:val="left" w:pos="1080"/>
      </w:tabs>
      <w:outlineLvl w:val="4"/>
    </w:pPr>
  </w:style>
  <w:style w:type="paragraph" w:customStyle="1" w:styleId="297">
    <w:name w:val="二级条标题"/>
    <w:basedOn w:val="298"/>
    <w:next w:val="5"/>
    <w:autoRedefine/>
    <w:qFormat/>
    <w:uiPriority w:val="0"/>
    <w:pPr>
      <w:tabs>
        <w:tab w:val="left" w:pos="525"/>
        <w:tab w:val="left" w:pos="720"/>
      </w:tabs>
      <w:outlineLvl w:val="3"/>
    </w:pPr>
  </w:style>
  <w:style w:type="paragraph" w:customStyle="1" w:styleId="298">
    <w:name w:val="一级条标题"/>
    <w:basedOn w:val="2"/>
    <w:next w:val="5"/>
    <w:autoRedefine/>
    <w:qFormat/>
    <w:uiPriority w:val="0"/>
    <w:pPr>
      <w:keepNext w:val="0"/>
      <w:keepLines w:val="0"/>
      <w:widowControl/>
      <w:tabs>
        <w:tab w:val="left" w:pos="525"/>
        <w:tab w:val="left" w:pos="720"/>
      </w:tabs>
      <w:spacing w:before="0" w:after="0" w:line="240" w:lineRule="auto"/>
      <w:ind w:firstLine="200" w:firstLineChars="200"/>
      <w:outlineLvl w:val="2"/>
    </w:pPr>
    <w:rPr>
      <w:rFonts w:ascii="黑体" w:hAnsi="Times New Roman" w:eastAsia="黑体"/>
      <w:b w:val="0"/>
      <w:bCs w:val="0"/>
      <w:kern w:val="0"/>
      <w:sz w:val="21"/>
      <w:szCs w:val="20"/>
      <w:lang w:val="en-US"/>
    </w:rPr>
  </w:style>
  <w:style w:type="paragraph" w:customStyle="1" w:styleId="299">
    <w:name w:val="三级无标题条"/>
    <w:basedOn w:val="1"/>
    <w:autoRedefine/>
    <w:qFormat/>
    <w:uiPriority w:val="0"/>
    <w:rPr>
      <w:rFonts w:ascii="Times New Roman" w:hAnsi="Times New Roman" w:eastAsia="宋体" w:cs="Times New Roman"/>
      <w:b/>
    </w:rPr>
  </w:style>
  <w:style w:type="paragraph" w:customStyle="1" w:styleId="300">
    <w:name w:val="Char1 Char Char Char"/>
    <w:basedOn w:val="1"/>
    <w:autoRedefine/>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301">
    <w:name w:val="p15"/>
    <w:basedOn w:val="1"/>
    <w:autoRedefine/>
    <w:qFormat/>
    <w:uiPriority w:val="0"/>
    <w:pPr>
      <w:widowControl/>
      <w:spacing w:line="360" w:lineRule="auto"/>
      <w:ind w:firstLine="420"/>
    </w:pPr>
    <w:rPr>
      <w:rFonts w:ascii="Times New Roman" w:hAnsi="Times New Roman" w:eastAsia="宋体" w:cs="Times New Roman"/>
      <w:kern w:val="0"/>
      <w:sz w:val="24"/>
    </w:rPr>
  </w:style>
  <w:style w:type="paragraph" w:customStyle="1" w:styleId="302">
    <w:name w:val="样式 样式 正文文本缩进 + 仿宋_GB2312 小四 首行缩进:  0 厘米 行距: 1.5 倍行距 + (中文) 仿宋_GB... Char Char"/>
    <w:basedOn w:val="1"/>
    <w:autoRedefine/>
    <w:qFormat/>
    <w:uiPriority w:val="0"/>
    <w:pPr>
      <w:spacing w:line="360" w:lineRule="auto"/>
      <w:ind w:firstLine="480"/>
    </w:pPr>
    <w:rPr>
      <w:rFonts w:ascii="仿宋_GB2312" w:hAnsi="Times New Roman" w:eastAsia="新宋体" w:cs="Times New Roman"/>
      <w:sz w:val="24"/>
      <w:szCs w:val="20"/>
    </w:rPr>
  </w:style>
  <w:style w:type="paragraph" w:customStyle="1" w:styleId="303">
    <w:name w:val="Char Char Char1"/>
    <w:basedOn w:val="1"/>
    <w:autoRedefine/>
    <w:qFormat/>
    <w:uiPriority w:val="0"/>
    <w:rPr>
      <w:rFonts w:ascii="Tahoma" w:hAnsi="Tahoma" w:eastAsia="宋体" w:cs="Times New Roman"/>
      <w:sz w:val="24"/>
      <w:szCs w:val="20"/>
    </w:rPr>
  </w:style>
  <w:style w:type="paragraph" w:customStyle="1" w:styleId="304">
    <w:name w:val="段落正文"/>
    <w:basedOn w:val="1"/>
    <w:autoRedefine/>
    <w:qFormat/>
    <w:uiPriority w:val="0"/>
    <w:pPr>
      <w:adjustRightInd w:val="0"/>
      <w:spacing w:after="156" w:afterLines="50" w:line="400" w:lineRule="exact"/>
      <w:ind w:firstLine="200" w:firstLineChars="200"/>
    </w:pPr>
    <w:rPr>
      <w:rFonts w:ascii="Arial" w:hAnsi="Arial" w:eastAsia="宋体" w:cs="Times New Roman"/>
      <w:sz w:val="24"/>
    </w:rPr>
  </w:style>
  <w:style w:type="paragraph" w:customStyle="1" w:styleId="305">
    <w:name w:val="文档正文"/>
    <w:basedOn w:val="1"/>
    <w:autoRedefine/>
    <w:qFormat/>
    <w:uiPriority w:val="0"/>
    <w:pPr>
      <w:adjustRightInd w:val="0"/>
      <w:spacing w:line="480" w:lineRule="atLeast"/>
      <w:ind w:firstLine="567"/>
      <w:textAlignment w:val="baseline"/>
    </w:pPr>
    <w:rPr>
      <w:rFonts w:ascii="长城仿宋" w:hAnsi="Times New Roman" w:eastAsia="宋体" w:cs="Times New Roman"/>
      <w:kern w:val="0"/>
      <w:sz w:val="24"/>
      <w:szCs w:val="20"/>
    </w:rPr>
  </w:style>
  <w:style w:type="paragraph" w:customStyle="1" w:styleId="306">
    <w:name w:val="font5"/>
    <w:basedOn w:val="1"/>
    <w:autoRedefine/>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307">
    <w:name w:val="MM Topic 2"/>
    <w:basedOn w:val="3"/>
    <w:autoRedefine/>
    <w:qFormat/>
    <w:uiPriority w:val="0"/>
    <w:pPr>
      <w:keepNext w:val="0"/>
      <w:keepLines w:val="0"/>
      <w:spacing w:before="0" w:after="0" w:line="560" w:lineRule="exact"/>
      <w:ind w:firstLine="200" w:firstLineChars="200"/>
    </w:pPr>
    <w:rPr>
      <w:rFonts w:ascii="Arial" w:hAnsi="Arial" w:eastAsia="黑体"/>
      <w:b w:val="0"/>
      <w:lang w:val="en-US"/>
    </w:rPr>
  </w:style>
  <w:style w:type="paragraph" w:customStyle="1" w:styleId="308">
    <w:name w:val="Char Char Char1 Char"/>
    <w:basedOn w:val="1"/>
    <w:autoRedefine/>
    <w:qFormat/>
    <w:uiPriority w:val="0"/>
    <w:rPr>
      <w:rFonts w:ascii="仿宋_GB2312" w:hAnsi="Times New Roman" w:eastAsia="仿宋_GB2312" w:cs="Times New Roman"/>
      <w:b/>
      <w:sz w:val="32"/>
      <w:szCs w:val="32"/>
    </w:rPr>
  </w:style>
  <w:style w:type="paragraph" w:customStyle="1" w:styleId="309">
    <w:name w:val="Char2"/>
    <w:basedOn w:val="18"/>
    <w:autoRedefine/>
    <w:qFormat/>
    <w:uiPriority w:val="0"/>
    <w:pPr>
      <w:widowControl/>
      <w:spacing w:after="160" w:line="240" w:lineRule="exact"/>
      <w:jc w:val="left"/>
    </w:pPr>
    <w:rPr>
      <w:rFonts w:ascii="Verdana" w:hAnsi="Verdana"/>
      <w:lang w:eastAsia="en-US"/>
    </w:rPr>
  </w:style>
  <w:style w:type="paragraph" w:customStyle="1" w:styleId="310">
    <w:name w:val="列出段落2"/>
    <w:basedOn w:val="1"/>
    <w:autoRedefine/>
    <w:qFormat/>
    <w:uiPriority w:val="0"/>
    <w:pPr>
      <w:ind w:firstLine="420" w:firstLineChars="200"/>
    </w:pPr>
    <w:rPr>
      <w:rFonts w:ascii="Times New Roman" w:hAnsi="Times New Roman" w:eastAsia="宋体" w:cs="Times New Roman"/>
      <w:sz w:val="24"/>
    </w:rPr>
  </w:style>
  <w:style w:type="paragraph" w:customStyle="1" w:styleId="311">
    <w:name w:val="Table Heading"/>
    <w:basedOn w:val="1"/>
    <w:autoRedefine/>
    <w:qFormat/>
    <w:uiPriority w:val="0"/>
    <w:pPr>
      <w:keepNext/>
      <w:topLinePunct/>
      <w:adjustRightInd w:val="0"/>
      <w:snapToGrid w:val="0"/>
      <w:spacing w:before="80" w:after="80" w:line="240" w:lineRule="atLeast"/>
      <w:jc w:val="left"/>
    </w:pPr>
    <w:rPr>
      <w:rFonts w:hint="eastAsia" w:ascii="Book Antiqua" w:hAnsi="Book Antiqua" w:eastAsia="黑体" w:cs="Book Antiqua"/>
      <w:bCs/>
      <w:snapToGrid w:val="0"/>
      <w:kern w:val="0"/>
      <w:szCs w:val="21"/>
    </w:rPr>
  </w:style>
  <w:style w:type="paragraph" w:customStyle="1" w:styleId="312">
    <w:name w:val="正文11"/>
    <w:basedOn w:val="1"/>
    <w:autoRedefine/>
    <w:qFormat/>
    <w:uiPriority w:val="0"/>
    <w:pPr>
      <w:spacing w:line="360" w:lineRule="auto"/>
    </w:pPr>
    <w:rPr>
      <w:rFonts w:ascii="Times New Roman" w:hAnsi="Times New Roman" w:eastAsia="仿宋_GB2312" w:cs="Times New Roman"/>
      <w:sz w:val="24"/>
      <w:szCs w:val="20"/>
    </w:rPr>
  </w:style>
  <w:style w:type="paragraph" w:customStyle="1" w:styleId="313">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14">
    <w:name w:val="正文一"/>
    <w:basedOn w:val="1"/>
    <w:autoRedefine/>
    <w:qFormat/>
    <w:uiPriority w:val="0"/>
    <w:pPr>
      <w:widowControl/>
      <w:spacing w:line="360" w:lineRule="auto"/>
      <w:ind w:firstLine="200" w:firstLineChars="200"/>
      <w:jc w:val="left"/>
    </w:pPr>
    <w:rPr>
      <w:rFonts w:ascii="Calibri" w:hAnsi="Calibri" w:eastAsia="宋体" w:cs="Times New Roman"/>
      <w:kern w:val="0"/>
      <w:sz w:val="24"/>
    </w:rPr>
  </w:style>
  <w:style w:type="paragraph" w:customStyle="1" w:styleId="315">
    <w:name w:val="font7"/>
    <w:basedOn w:val="1"/>
    <w:autoRedefine/>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316">
    <w:name w:val="Table Text"/>
    <w:basedOn w:val="1"/>
    <w:autoRedefine/>
    <w:qFormat/>
    <w:uiPriority w:val="0"/>
    <w:pPr>
      <w:topLinePunct/>
      <w:adjustRightInd w:val="0"/>
      <w:snapToGrid w:val="0"/>
      <w:spacing w:before="80" w:after="80" w:line="240" w:lineRule="atLeast"/>
      <w:jc w:val="left"/>
    </w:pPr>
    <w:rPr>
      <w:rFonts w:hint="eastAsia" w:ascii="Times New Roman" w:hAnsi="Times New Roman" w:eastAsia="宋体" w:cs="Arial"/>
      <w:snapToGrid w:val="0"/>
      <w:kern w:val="0"/>
      <w:szCs w:val="21"/>
    </w:rPr>
  </w:style>
  <w:style w:type="paragraph" w:customStyle="1" w:styleId="317">
    <w:name w:val="Char Char1 Char Char Char Char"/>
    <w:basedOn w:val="1"/>
    <w:autoRedefine/>
    <w:qFormat/>
    <w:uiPriority w:val="0"/>
    <w:rPr>
      <w:rFonts w:ascii="Times New Roman" w:hAnsi="Times New Roman" w:eastAsia="宋体" w:cs="Times New Roman"/>
    </w:rPr>
  </w:style>
  <w:style w:type="paragraph" w:customStyle="1" w:styleId="318">
    <w:name w:val="xl3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kern w:val="0"/>
      <w:sz w:val="20"/>
      <w:szCs w:val="20"/>
    </w:rPr>
  </w:style>
  <w:style w:type="paragraph" w:customStyle="1" w:styleId="319">
    <w:name w:val="MM Topic 3"/>
    <w:basedOn w:val="4"/>
    <w:autoRedefine/>
    <w:qFormat/>
    <w:uiPriority w:val="0"/>
    <w:pPr>
      <w:spacing w:line="415" w:lineRule="auto"/>
    </w:pPr>
    <w:rPr>
      <w:rFonts w:ascii="Times New Roman" w:hAnsi="Times New Roman" w:eastAsia="仿宋_GB2312" w:cs="Times New Roman"/>
    </w:rPr>
  </w:style>
  <w:style w:type="paragraph" w:customStyle="1" w:styleId="320">
    <w:name w:val="样式1"/>
    <w:basedOn w:val="1"/>
    <w:autoRedefine/>
    <w:qFormat/>
    <w:uiPriority w:val="0"/>
    <w:pPr>
      <w:spacing w:line="360" w:lineRule="auto"/>
    </w:pPr>
    <w:rPr>
      <w:rFonts w:ascii="宋体" w:hAnsi="Times New Roman" w:eastAsia="宋体" w:cs="Times New Roman"/>
      <w:sz w:val="24"/>
    </w:rPr>
  </w:style>
  <w:style w:type="paragraph" w:customStyle="1" w:styleId="321">
    <w:name w:val="标注"/>
    <w:basedOn w:val="1"/>
    <w:autoRedefine/>
    <w:qFormat/>
    <w:uiPriority w:val="0"/>
    <w:pPr>
      <w:spacing w:line="360" w:lineRule="auto"/>
    </w:pPr>
    <w:rPr>
      <w:rFonts w:ascii="Times New Roman" w:hAnsi="Times New Roman" w:eastAsia="楷体_GB2312" w:cs="Times New Roman"/>
      <w:spacing w:val="4"/>
      <w:szCs w:val="20"/>
    </w:rPr>
  </w:style>
  <w:style w:type="paragraph" w:customStyle="1" w:styleId="322">
    <w:name w:val="1"/>
    <w:basedOn w:val="1"/>
    <w:next w:val="30"/>
    <w:autoRedefine/>
    <w:qFormat/>
    <w:uiPriority w:val="0"/>
    <w:rPr>
      <w:rFonts w:ascii="宋体" w:hAnsi="Courier New" w:eastAsia="宋体" w:cs="Times New Roman"/>
      <w:szCs w:val="20"/>
    </w:rPr>
  </w:style>
  <w:style w:type="paragraph" w:customStyle="1" w:styleId="323">
    <w:name w:val="条文脚注"/>
    <w:basedOn w:val="40"/>
    <w:autoRedefine/>
    <w:qFormat/>
    <w:uiPriority w:val="0"/>
    <w:pPr>
      <w:tabs>
        <w:tab w:val="left" w:pos="360"/>
      </w:tabs>
      <w:ind w:left="200" w:leftChars="200" w:hanging="420"/>
      <w:jc w:val="both"/>
    </w:pPr>
    <w:rPr>
      <w:rFonts w:ascii="宋体"/>
    </w:rPr>
  </w:style>
  <w:style w:type="paragraph" w:customStyle="1" w:styleId="324">
    <w:name w:val="Char Char"/>
    <w:basedOn w:val="1"/>
    <w:autoRedefine/>
    <w:qFormat/>
    <w:uiPriority w:val="0"/>
    <w:rPr>
      <w:rFonts w:ascii="Tahoma" w:hAnsi="Tahoma" w:eastAsia="宋体" w:cs="Times New Roman"/>
      <w:sz w:val="24"/>
      <w:szCs w:val="20"/>
    </w:rPr>
  </w:style>
  <w:style w:type="paragraph" w:customStyle="1" w:styleId="325">
    <w:name w:val="xl23"/>
    <w:basedOn w:val="1"/>
    <w:autoRedefine/>
    <w:qFormat/>
    <w:uiPriority w:val="0"/>
    <w:pPr>
      <w:widowControl/>
      <w:spacing w:before="100" w:beforeAutospacing="1" w:after="100" w:afterAutospacing="1" w:line="360" w:lineRule="auto"/>
      <w:textAlignment w:val="top"/>
    </w:pPr>
    <w:rPr>
      <w:rFonts w:ascii="Times New Roman" w:hAnsi="Times New Roman" w:eastAsia="宋体" w:cs="Times New Roman"/>
      <w:kern w:val="0"/>
      <w:sz w:val="24"/>
    </w:rPr>
  </w:style>
  <w:style w:type="paragraph" w:customStyle="1" w:styleId="326">
    <w:name w:val="正文 3"/>
    <w:basedOn w:val="68"/>
    <w:next w:val="68"/>
    <w:autoRedefine/>
    <w:qFormat/>
    <w:uiPriority w:val="0"/>
    <w:pPr>
      <w:spacing w:before="120"/>
    </w:pPr>
    <w:rPr>
      <w:rFonts w:ascii="Garamond" w:hAnsi="Garamond" w:cs="Times New Roman"/>
      <w:color w:val="auto"/>
    </w:rPr>
  </w:style>
  <w:style w:type="paragraph" w:customStyle="1" w:styleId="327">
    <w:name w:val="列出段落1"/>
    <w:basedOn w:val="1"/>
    <w:autoRedefine/>
    <w:qFormat/>
    <w:uiPriority w:val="0"/>
    <w:pPr>
      <w:ind w:firstLine="420" w:firstLineChars="200"/>
    </w:pPr>
    <w:rPr>
      <w:rFonts w:ascii="Times New Roman" w:hAnsi="Times New Roman" w:eastAsia="Tahoma" w:cs="Times New Roman"/>
    </w:rPr>
  </w:style>
  <w:style w:type="paragraph" w:customStyle="1" w:styleId="328">
    <w:name w:val="表身（左）"/>
    <w:autoRedefine/>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329">
    <w:name w:val="段落"/>
    <w:basedOn w:val="1"/>
    <w:autoRedefine/>
    <w:qFormat/>
    <w:uiPriority w:val="0"/>
    <w:pPr>
      <w:spacing w:line="300" w:lineRule="auto"/>
      <w:ind w:firstLine="200" w:firstLineChars="200"/>
      <w:jc w:val="left"/>
    </w:pPr>
    <w:rPr>
      <w:rFonts w:ascii="Times New Roman" w:hAnsi="Times New Roman" w:eastAsia="??" w:cs="Times New Roman"/>
      <w:sz w:val="24"/>
      <w:szCs w:val="21"/>
    </w:rPr>
  </w:style>
  <w:style w:type="paragraph" w:customStyle="1" w:styleId="330">
    <w:name w:val="Char Char7"/>
    <w:basedOn w:val="1"/>
    <w:autoRedefine/>
    <w:qFormat/>
    <w:uiPriority w:val="0"/>
    <w:rPr>
      <w:rFonts w:ascii="Tahoma" w:hAnsi="Tahoma" w:eastAsia="宋体" w:cs="Times New Roman"/>
      <w:sz w:val="24"/>
      <w:szCs w:val="20"/>
    </w:rPr>
  </w:style>
  <w:style w:type="character" w:customStyle="1" w:styleId="331">
    <w:name w:val="纯文本 Char2"/>
    <w:autoRedefine/>
    <w:qFormat/>
    <w:uiPriority w:val="0"/>
    <w:rPr>
      <w:rFonts w:ascii="宋体" w:hAnsi="Courier New" w:cs="Courier New"/>
      <w:kern w:val="2"/>
      <w:sz w:val="21"/>
      <w:szCs w:val="21"/>
    </w:rPr>
  </w:style>
  <w:style w:type="paragraph" w:customStyle="1" w:styleId="332">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Cs w:val="21"/>
    </w:rPr>
  </w:style>
  <w:style w:type="paragraph" w:customStyle="1" w:styleId="333">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color w:val="000000"/>
      <w:kern w:val="0"/>
      <w:szCs w:val="21"/>
    </w:rPr>
  </w:style>
  <w:style w:type="paragraph" w:customStyle="1" w:styleId="334">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宋体" w:eastAsia="仿宋_GB2312" w:cs="宋体"/>
      <w:color w:val="000000"/>
      <w:kern w:val="0"/>
      <w:szCs w:val="21"/>
    </w:rPr>
  </w:style>
  <w:style w:type="paragraph" w:customStyle="1" w:styleId="335">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_GB2312" w:hAnsi="宋体" w:eastAsia="仿宋_GB2312" w:cs="宋体"/>
      <w:color w:val="000000"/>
      <w:kern w:val="0"/>
      <w:szCs w:val="21"/>
    </w:rPr>
  </w:style>
  <w:style w:type="paragraph" w:customStyle="1" w:styleId="336">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仿宋_GB2312" w:hAnsi="宋体" w:eastAsia="仿宋_GB2312" w:cs="宋体"/>
      <w:color w:val="000000"/>
      <w:kern w:val="0"/>
      <w:szCs w:val="21"/>
    </w:rPr>
  </w:style>
  <w:style w:type="paragraph" w:customStyle="1" w:styleId="337">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color w:val="000000"/>
      <w:kern w:val="0"/>
      <w:szCs w:val="21"/>
    </w:rPr>
  </w:style>
  <w:style w:type="paragraph" w:customStyle="1" w:styleId="338">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color w:val="000000"/>
      <w:kern w:val="0"/>
      <w:szCs w:val="21"/>
    </w:rPr>
  </w:style>
  <w:style w:type="paragraph" w:customStyle="1" w:styleId="339">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b/>
      <w:bCs/>
      <w:color w:val="000000"/>
      <w:kern w:val="0"/>
      <w:szCs w:val="21"/>
    </w:rPr>
  </w:style>
  <w:style w:type="paragraph" w:customStyle="1" w:styleId="340">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仿宋_GB2312" w:hAnsi="宋体" w:eastAsia="仿宋_GB2312" w:cs="宋体"/>
      <w:kern w:val="0"/>
      <w:szCs w:val="21"/>
    </w:rPr>
  </w:style>
  <w:style w:type="paragraph" w:customStyle="1" w:styleId="341">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_GB2312" w:hAnsi="宋体" w:eastAsia="仿宋_GB2312" w:cs="宋体"/>
      <w:kern w:val="0"/>
      <w:szCs w:val="21"/>
    </w:rPr>
  </w:style>
  <w:style w:type="paragraph" w:customStyle="1" w:styleId="342">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Cs w:val="21"/>
    </w:rPr>
  </w:style>
  <w:style w:type="paragraph" w:customStyle="1" w:styleId="343">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宋体" w:cs="Calibri"/>
      <w:kern w:val="0"/>
      <w:sz w:val="20"/>
      <w:szCs w:val="20"/>
    </w:rPr>
  </w:style>
  <w:style w:type="paragraph" w:customStyle="1" w:styleId="344">
    <w:name w:val="xl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b/>
      <w:bCs/>
      <w:color w:val="000000"/>
      <w:kern w:val="0"/>
      <w:sz w:val="24"/>
    </w:rPr>
  </w:style>
  <w:style w:type="paragraph" w:customStyle="1" w:styleId="345">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color w:val="000000"/>
      <w:kern w:val="0"/>
      <w:szCs w:val="21"/>
    </w:rPr>
  </w:style>
  <w:style w:type="paragraph" w:customStyle="1" w:styleId="346">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_GB2312" w:hAnsi="宋体" w:eastAsia="仿宋_GB2312" w:cs="宋体"/>
      <w:color w:val="000000"/>
      <w:kern w:val="0"/>
      <w:szCs w:val="21"/>
    </w:rPr>
  </w:style>
  <w:style w:type="paragraph" w:customStyle="1" w:styleId="347">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仿宋_GB2312" w:hAnsi="宋体" w:eastAsia="仿宋_GB2312" w:cs="宋体"/>
      <w:color w:val="000000"/>
      <w:kern w:val="0"/>
      <w:szCs w:val="21"/>
    </w:rPr>
  </w:style>
  <w:style w:type="paragraph" w:customStyle="1" w:styleId="34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b/>
      <w:bCs/>
      <w:color w:val="000000"/>
      <w:kern w:val="0"/>
      <w:szCs w:val="21"/>
    </w:rPr>
  </w:style>
  <w:style w:type="paragraph" w:customStyle="1" w:styleId="349">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_GB2312" w:hAnsi="宋体" w:eastAsia="仿宋_GB2312" w:cs="宋体"/>
      <w:b/>
      <w:bCs/>
      <w:color w:val="000000"/>
      <w:kern w:val="0"/>
      <w:sz w:val="24"/>
    </w:rPr>
  </w:style>
  <w:style w:type="paragraph" w:customStyle="1" w:styleId="35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仿宋_GB2312" w:hAnsi="宋体" w:eastAsia="仿宋_GB2312" w:cs="宋体"/>
      <w:b/>
      <w:bCs/>
      <w:color w:val="000000"/>
      <w:kern w:val="0"/>
      <w:sz w:val="24"/>
    </w:rPr>
  </w:style>
  <w:style w:type="paragraph" w:customStyle="1" w:styleId="351">
    <w:name w:val="xl84"/>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仿宋_GB2312" w:hAnsi="宋体" w:eastAsia="仿宋_GB2312" w:cs="宋体"/>
      <w:b/>
      <w:bCs/>
      <w:color w:val="000000"/>
      <w:kern w:val="0"/>
      <w:sz w:val="24"/>
    </w:rPr>
  </w:style>
  <w:style w:type="paragraph" w:customStyle="1" w:styleId="352">
    <w:name w:val="xl85"/>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仿宋_GB2312" w:hAnsi="宋体" w:eastAsia="仿宋_GB2312" w:cs="宋体"/>
      <w:b/>
      <w:bCs/>
      <w:color w:val="000000"/>
      <w:kern w:val="0"/>
      <w:sz w:val="24"/>
    </w:rPr>
  </w:style>
  <w:style w:type="paragraph" w:customStyle="1" w:styleId="353">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仿宋_GB2312" w:hAnsi="宋体" w:eastAsia="仿宋_GB2312" w:cs="宋体"/>
      <w:b/>
      <w:bCs/>
      <w:color w:val="000000"/>
      <w:kern w:val="0"/>
      <w:szCs w:val="21"/>
    </w:rPr>
  </w:style>
  <w:style w:type="paragraph" w:customStyle="1" w:styleId="354">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仿宋_GB2312" w:hAnsi="宋体" w:eastAsia="仿宋_GB2312" w:cs="宋体"/>
      <w:b/>
      <w:bCs/>
      <w:color w:val="000000"/>
      <w:kern w:val="0"/>
      <w:szCs w:val="21"/>
    </w:rPr>
  </w:style>
  <w:style w:type="paragraph" w:customStyle="1" w:styleId="355">
    <w:name w:val="xl88"/>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仿宋_GB2312" w:hAnsi="宋体" w:eastAsia="仿宋_GB2312" w:cs="宋体"/>
      <w:b/>
      <w:bCs/>
      <w:color w:val="000000"/>
      <w:kern w:val="0"/>
      <w:szCs w:val="21"/>
    </w:rPr>
  </w:style>
  <w:style w:type="paragraph" w:customStyle="1" w:styleId="356">
    <w:name w:val="xl89"/>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仿宋_GB2312" w:hAnsi="宋体" w:eastAsia="仿宋_GB2312" w:cs="宋体"/>
      <w:b/>
      <w:bCs/>
      <w:color w:val="000000"/>
      <w:kern w:val="0"/>
      <w:szCs w:val="21"/>
    </w:rPr>
  </w:style>
  <w:style w:type="paragraph" w:customStyle="1" w:styleId="357">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仿宋_GB2312" w:hAnsi="宋体" w:eastAsia="仿宋_GB2312" w:cs="宋体"/>
      <w:b/>
      <w:bCs/>
      <w:color w:val="000000"/>
      <w:kern w:val="0"/>
      <w:szCs w:val="21"/>
    </w:rPr>
  </w:style>
  <w:style w:type="paragraph" w:customStyle="1" w:styleId="358">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宋体" w:eastAsia="仿宋_GB2312" w:cs="宋体"/>
      <w:b/>
      <w:bCs/>
      <w:color w:val="000000"/>
      <w:kern w:val="0"/>
      <w:szCs w:val="21"/>
    </w:rPr>
  </w:style>
  <w:style w:type="paragraph" w:customStyle="1" w:styleId="359">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_GB2312" w:hAnsi="宋体" w:eastAsia="仿宋_GB2312" w:cs="宋体"/>
      <w:b/>
      <w:bCs/>
      <w:color w:val="000000"/>
      <w:kern w:val="0"/>
      <w:szCs w:val="21"/>
    </w:rPr>
  </w:style>
  <w:style w:type="paragraph" w:customStyle="1" w:styleId="360">
    <w:name w:val="xl93"/>
    <w:basedOn w:val="1"/>
    <w:autoRedefine/>
    <w:qFormat/>
    <w:uiPriority w:val="0"/>
    <w:pPr>
      <w:widowControl/>
      <w:pBdr>
        <w:bottom w:val="single" w:color="auto" w:sz="4" w:space="0"/>
      </w:pBdr>
      <w:shd w:val="clear" w:color="000000" w:fill="FFFFFF"/>
      <w:spacing w:before="100" w:beforeAutospacing="1" w:after="100" w:afterAutospacing="1"/>
      <w:jc w:val="center"/>
    </w:pPr>
    <w:rPr>
      <w:rFonts w:ascii="方正小标宋简体" w:hAnsi="宋体" w:eastAsia="方正小标宋简体" w:cs="宋体"/>
      <w:color w:val="000000"/>
      <w:kern w:val="0"/>
      <w:sz w:val="28"/>
      <w:szCs w:val="28"/>
    </w:rPr>
  </w:style>
  <w:style w:type="paragraph" w:customStyle="1" w:styleId="361">
    <w:name w:val="xl9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color w:val="000000"/>
      <w:kern w:val="0"/>
      <w:szCs w:val="21"/>
    </w:rPr>
  </w:style>
  <w:style w:type="paragraph" w:customStyle="1" w:styleId="362">
    <w:name w:val="xl95"/>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color w:val="000000"/>
      <w:kern w:val="0"/>
      <w:szCs w:val="21"/>
    </w:rPr>
  </w:style>
  <w:style w:type="paragraph" w:customStyle="1" w:styleId="363">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364">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65">
    <w:name w:val="xl98"/>
    <w:basedOn w:val="1"/>
    <w:autoRedefine/>
    <w:qFormat/>
    <w:uiPriority w:val="0"/>
    <w:pPr>
      <w:widowControl/>
      <w:pBdr>
        <w:bottom w:val="single" w:color="auto" w:sz="4" w:space="0"/>
      </w:pBdr>
      <w:shd w:val="clear" w:color="000000" w:fill="FFFFFF"/>
      <w:spacing w:before="100" w:beforeAutospacing="1" w:after="100" w:afterAutospacing="1"/>
      <w:jc w:val="center"/>
    </w:pPr>
    <w:rPr>
      <w:rFonts w:ascii="方正小标宋简体" w:hAnsi="宋体" w:eastAsia="方正小标宋简体" w:cs="宋体"/>
      <w:color w:val="000000"/>
      <w:kern w:val="0"/>
      <w:sz w:val="28"/>
      <w:szCs w:val="28"/>
    </w:rPr>
  </w:style>
  <w:style w:type="paragraph" w:customStyle="1" w:styleId="366">
    <w:name w:val="xl99"/>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right"/>
    </w:pPr>
    <w:rPr>
      <w:rFonts w:ascii="宋体" w:hAnsi="宋体" w:eastAsia="宋体" w:cs="宋体"/>
      <w:kern w:val="0"/>
      <w:sz w:val="24"/>
    </w:rPr>
  </w:style>
  <w:style w:type="paragraph" w:customStyle="1" w:styleId="367">
    <w:name w:val="xl100"/>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eastAsia="宋体" w:cs="宋体"/>
      <w:kern w:val="0"/>
      <w:sz w:val="24"/>
    </w:rPr>
  </w:style>
  <w:style w:type="paragraph" w:customStyle="1" w:styleId="368">
    <w:name w:val="xl10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color w:val="000000"/>
      <w:kern w:val="0"/>
      <w:szCs w:val="21"/>
    </w:rPr>
  </w:style>
  <w:style w:type="paragraph" w:customStyle="1" w:styleId="369">
    <w:name w:val="xl102"/>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color w:val="000000"/>
      <w:kern w:val="0"/>
      <w:szCs w:val="21"/>
    </w:rPr>
  </w:style>
  <w:style w:type="paragraph" w:customStyle="1" w:styleId="370">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color w:val="000000"/>
      <w:kern w:val="0"/>
      <w:szCs w:val="21"/>
    </w:rPr>
  </w:style>
  <w:style w:type="paragraph" w:customStyle="1" w:styleId="371">
    <w:name w:val="TOC 标题1"/>
    <w:basedOn w:val="2"/>
    <w:next w:val="1"/>
    <w:autoRedefine/>
    <w:unhideWhenUsed/>
    <w:qFormat/>
    <w:uiPriority w:val="39"/>
    <w:pPr>
      <w:widowControl/>
      <w:spacing w:before="480" w:after="0" w:line="276" w:lineRule="auto"/>
      <w:ind w:firstLine="200" w:firstLineChars="200"/>
      <w:jc w:val="left"/>
      <w:outlineLvl w:val="9"/>
    </w:pPr>
    <w:rPr>
      <w:rFonts w:ascii="Cambria" w:hAnsi="Cambria" w:eastAsia="宋体"/>
      <w:b w:val="0"/>
      <w:color w:val="365F91"/>
      <w:kern w:val="0"/>
      <w:sz w:val="28"/>
      <w:szCs w:val="28"/>
      <w:lang w:val="en-US"/>
    </w:rPr>
  </w:style>
  <w:style w:type="paragraph" w:customStyle="1" w:styleId="372">
    <w:name w:val="列出段落3"/>
    <w:basedOn w:val="1"/>
    <w:autoRedefine/>
    <w:qFormat/>
    <w:uiPriority w:val="34"/>
    <w:pPr>
      <w:ind w:firstLine="420" w:firstLineChars="200"/>
    </w:pPr>
    <w:rPr>
      <w:rFonts w:ascii="Times New Roman" w:hAnsi="Times New Roman" w:eastAsia="宋体" w:cs="Times New Roman"/>
    </w:rPr>
  </w:style>
  <w:style w:type="paragraph" w:customStyle="1" w:styleId="373">
    <w:name w:val="修订2"/>
    <w:autoRedefine/>
    <w:unhideWhenUsed/>
    <w:qFormat/>
    <w:uiPriority w:val="99"/>
    <w:rPr>
      <w:rFonts w:ascii="等线" w:hAnsi="等线" w:eastAsia="等线" w:cs="等线"/>
      <w:kern w:val="2"/>
      <w:sz w:val="21"/>
      <w:szCs w:val="24"/>
      <w:lang w:val="en-US" w:eastAsia="zh-CN" w:bidi="ar-SA"/>
    </w:rPr>
  </w:style>
  <w:style w:type="character" w:customStyle="1" w:styleId="374">
    <w:name w:val="regbr"/>
    <w:autoRedefine/>
    <w:qFormat/>
    <w:uiPriority w:val="0"/>
  </w:style>
  <w:style w:type="paragraph" w:customStyle="1" w:styleId="375">
    <w:name w:val="表头"/>
    <w:autoRedefine/>
    <w:qFormat/>
    <w:uiPriority w:val="0"/>
    <w:pPr>
      <w:jc w:val="center"/>
    </w:pPr>
    <w:rPr>
      <w:rFonts w:hint="eastAsia" w:ascii="仿宋_GB2312" w:hAnsi="仿宋_GB2312" w:eastAsia="仿宋_GB2312" w:cs="等线"/>
      <w:b/>
      <w:sz w:val="24"/>
      <w:szCs w:val="24"/>
      <w:lang w:val="en-US" w:eastAsia="zh-CN" w:bidi="ar-SA"/>
    </w:rPr>
  </w:style>
  <w:style w:type="paragraph" w:customStyle="1" w:styleId="376">
    <w:name w:val="纯文本1"/>
    <w:basedOn w:val="1"/>
    <w:autoRedefine/>
    <w:qFormat/>
    <w:uiPriority w:val="0"/>
    <w:pPr>
      <w:autoSpaceDE w:val="0"/>
      <w:autoSpaceDN w:val="0"/>
      <w:jc w:val="left"/>
    </w:pPr>
    <w:rPr>
      <w:rFonts w:ascii="宋体" w:hAnsi="Courier New"/>
      <w:kern w:val="0"/>
      <w:sz w:val="20"/>
      <w:szCs w:val="21"/>
    </w:rPr>
  </w:style>
  <w:style w:type="paragraph" w:customStyle="1" w:styleId="377">
    <w:name w:val="标题2"/>
    <w:basedOn w:val="3"/>
    <w:next w:val="1"/>
    <w:autoRedefine/>
    <w:qFormat/>
    <w:uiPriority w:val="0"/>
    <w:pPr>
      <w:jc w:val="center"/>
    </w:pPr>
    <w:rPr>
      <w:rFonts w:ascii="宋体" w:hAnsi="宋体" w:eastAsia="宋体"/>
      <w:sz w:val="36"/>
      <w:szCs w:val="44"/>
    </w:rPr>
  </w:style>
  <w:style w:type="paragraph" w:customStyle="1" w:styleId="378">
    <w:name w:val="修订3"/>
    <w:autoRedefine/>
    <w:hidden/>
    <w:unhideWhenUsed/>
    <w:qFormat/>
    <w:uiPriority w:val="99"/>
    <w:rPr>
      <w:rFonts w:ascii="等线" w:hAnsi="等线" w:eastAsia="等线" w:cs="等线"/>
      <w:kern w:val="2"/>
      <w:sz w:val="21"/>
      <w:szCs w:val="24"/>
      <w:lang w:val="en-US" w:eastAsia="zh-CN" w:bidi="ar-SA"/>
    </w:rPr>
  </w:style>
  <w:style w:type="paragraph" w:customStyle="1" w:styleId="379">
    <w:name w:val="修订4"/>
    <w:autoRedefine/>
    <w:hidden/>
    <w:unhideWhenUsed/>
    <w:qFormat/>
    <w:uiPriority w:val="99"/>
    <w:rPr>
      <w:rFonts w:ascii="等线" w:hAnsi="等线" w:eastAsia="等线" w:cs="等线"/>
      <w:kern w:val="2"/>
      <w:sz w:val="21"/>
      <w:szCs w:val="24"/>
      <w:lang w:val="en-US" w:eastAsia="zh-CN" w:bidi="ar-SA"/>
    </w:rPr>
  </w:style>
  <w:style w:type="paragraph" w:customStyle="1" w:styleId="380">
    <w:name w:val="修订5"/>
    <w:autoRedefine/>
    <w:hidden/>
    <w:unhideWhenUsed/>
    <w:qFormat/>
    <w:uiPriority w:val="99"/>
    <w:rPr>
      <w:rFonts w:ascii="等线" w:hAnsi="等线" w:eastAsia="等线" w:cs="等线"/>
      <w:kern w:val="2"/>
      <w:sz w:val="21"/>
      <w:szCs w:val="24"/>
      <w:lang w:val="en-US" w:eastAsia="zh-CN" w:bidi="ar-SA"/>
    </w:rPr>
  </w:style>
  <w:style w:type="paragraph" w:customStyle="1" w:styleId="381">
    <w:name w:val="修订6"/>
    <w:hidden/>
    <w:unhideWhenUsed/>
    <w:qFormat/>
    <w:uiPriority w:val="99"/>
    <w:rPr>
      <w:rFonts w:ascii="等线" w:hAnsi="等线" w:eastAsia="等线" w:cs="等线"/>
      <w:kern w:val="2"/>
      <w:sz w:val="21"/>
      <w:szCs w:val="24"/>
      <w:lang w:val="en-US" w:eastAsia="zh-CN" w:bidi="ar-SA"/>
    </w:rPr>
  </w:style>
  <w:style w:type="paragraph" w:customStyle="1" w:styleId="382">
    <w:name w:val="修订7"/>
    <w:hidden/>
    <w:unhideWhenUsed/>
    <w:qFormat/>
    <w:uiPriority w:val="99"/>
    <w:rPr>
      <w:rFonts w:ascii="等线" w:hAnsi="等线" w:eastAsia="等线" w:cs="等线"/>
      <w:kern w:val="2"/>
      <w:sz w:val="21"/>
      <w:szCs w:val="24"/>
      <w:lang w:val="en-US" w:eastAsia="zh-CN" w:bidi="ar-SA"/>
    </w:rPr>
  </w:style>
  <w:style w:type="paragraph" w:customStyle="1" w:styleId="383">
    <w:name w:val="修订8"/>
    <w:hidden/>
    <w:unhideWhenUsed/>
    <w:qFormat/>
    <w:uiPriority w:val="99"/>
    <w:rPr>
      <w:rFonts w:ascii="等线" w:hAnsi="等线" w:eastAsia="等线" w:cs="等线"/>
      <w:kern w:val="2"/>
      <w:sz w:val="21"/>
      <w:szCs w:val="24"/>
      <w:lang w:val="en-US" w:eastAsia="zh-CN" w:bidi="ar-SA"/>
    </w:rPr>
  </w:style>
  <w:style w:type="paragraph" w:customStyle="1" w:styleId="384">
    <w:name w:val="修订9"/>
    <w:hidden/>
    <w:unhideWhenUsed/>
    <w:qFormat/>
    <w:uiPriority w:val="99"/>
    <w:rPr>
      <w:rFonts w:ascii="等线" w:hAnsi="等线" w:eastAsia="等线" w:cs="等线"/>
      <w:kern w:val="2"/>
      <w:sz w:val="21"/>
      <w:szCs w:val="24"/>
      <w:lang w:val="en-US" w:eastAsia="zh-CN" w:bidi="ar-SA"/>
    </w:rPr>
  </w:style>
  <w:style w:type="paragraph" w:customStyle="1" w:styleId="385">
    <w:name w:val="Revision"/>
    <w:hidden/>
    <w:unhideWhenUsed/>
    <w:qFormat/>
    <w:uiPriority w:val="99"/>
    <w:rPr>
      <w:rFonts w:ascii="等线" w:hAnsi="等线" w:eastAsia="等线" w:cs="等线"/>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98</Pages>
  <Words>30663</Words>
  <Characters>32744</Characters>
  <Lines>479</Lines>
  <Paragraphs>134</Paragraphs>
  <TotalTime>80</TotalTime>
  <ScaleCrop>false</ScaleCrop>
  <LinksUpToDate>false</LinksUpToDate>
  <CharactersWithSpaces>33345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2025-07-10T00:27:00Z</dcterms:created>
  <dc:creator>唐冰</dc:creator>
  <cp:lastModifiedBy>宏冠招标一部黄桂月</cp:lastModifiedBy>
  <cp:lastPrinted>2024-06-11T04:09:00Z</cp:lastPrinted>
  <dcterms:modified xsi:type="dcterms:W3CDTF">2025-07-10T07:28:50Z</dcterms:modified>
  <dc:title>竞争性谈判文件规范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E1CDF84C65EA4169BC6CA3078DB1EB4F_13</vt:lpwstr>
  </property>
  <property fmtid="{D5CDD505-2E9C-101B-9397-08002B2CF9AE}" pid="4" name="KSOTemplateDocerSaveRecord">
    <vt:lpwstr>eyJoZGlkIjoiMmFkYzBkMmExYTEwZmUxMDU0M2UxM2UyMGNlZTkzOWQiLCJ1c2VySWQiOiIyNzY4NTgyODYifQ==</vt:lpwstr>
  </property>
</Properties>
</file>