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cs="宋体"/>
          <w:b/>
          <w:bCs/>
          <w:color w:val="auto"/>
          <w:spacing w:val="80"/>
          <w:sz w:val="60"/>
          <w:szCs w:val="60"/>
        </w:rPr>
      </w:pPr>
    </w:p>
    <w:p>
      <w:pPr>
        <w:spacing w:line="720" w:lineRule="exact"/>
        <w:jc w:val="center"/>
        <w:rPr>
          <w:rFonts w:eastAsia="方正大标宋简体" w:cs="方正大标宋简体"/>
          <w:bCs/>
          <w:color w:val="auto"/>
          <w:sz w:val="52"/>
        </w:rPr>
      </w:pPr>
      <w:r>
        <w:rPr>
          <w:rFonts w:hint="eastAsia" w:eastAsia="方正大标宋简体" w:cs="方正大标宋简体"/>
          <w:bCs/>
          <w:color w:val="auto"/>
          <w:kern w:val="0"/>
          <w:sz w:val="56"/>
          <w:szCs w:val="56"/>
        </w:rPr>
        <w:t>广西科联招标中心有限公司</w:t>
      </w:r>
      <w:r>
        <w:rPr>
          <w:rFonts w:hint="eastAsia" w:eastAsia="方正大标宋简体" w:cs="方正大标宋简体"/>
          <w:bCs/>
          <w:color w:val="auto"/>
          <w:kern w:val="0"/>
          <w:sz w:val="56"/>
          <w:szCs w:val="56"/>
        </w:rPr>
        <w:cr/>
      </w:r>
    </w:p>
    <w:p>
      <w:pPr>
        <w:snapToGrid w:val="0"/>
        <w:jc w:val="center"/>
        <w:rPr>
          <w:rFonts w:cs="宋体"/>
          <w:bCs/>
          <w:color w:val="auto"/>
          <w:sz w:val="18"/>
          <w:szCs w:val="18"/>
        </w:rPr>
      </w:pPr>
      <w:r>
        <w:rPr>
          <w:rFonts w:hint="eastAsia" w:eastAsia="方正大标宋简体" w:cs="方正大标宋简体"/>
          <w:bCs/>
          <w:color w:val="auto"/>
          <w:kern w:val="0"/>
          <w:sz w:val="56"/>
          <w:szCs w:val="56"/>
        </w:rPr>
        <w:t>竞争性磋商文件</w:t>
      </w:r>
      <w:r>
        <w:rPr>
          <w:rFonts w:hint="eastAsia" w:eastAsia="华文中宋" w:cs="华文中宋"/>
          <w:bCs/>
          <w:color w:val="auto"/>
          <w:kern w:val="0"/>
          <w:sz w:val="56"/>
          <w:szCs w:val="56"/>
        </w:rPr>
        <w:cr/>
      </w:r>
    </w:p>
    <w:p>
      <w:pPr>
        <w:snapToGrid w:val="0"/>
        <w:jc w:val="left"/>
        <w:rPr>
          <w:rFonts w:cs="宋体"/>
          <w:bCs/>
          <w:color w:val="auto"/>
          <w:sz w:val="18"/>
          <w:szCs w:val="18"/>
        </w:rPr>
      </w:pPr>
    </w:p>
    <w:p>
      <w:pPr>
        <w:snapToGrid w:val="0"/>
        <w:jc w:val="left"/>
        <w:rPr>
          <w:rFonts w:cs="宋体"/>
          <w:color w:val="auto"/>
          <w:sz w:val="18"/>
          <w:szCs w:val="18"/>
        </w:rPr>
      </w:pPr>
    </w:p>
    <w:p>
      <w:pPr>
        <w:snapToGrid w:val="0"/>
        <w:jc w:val="left"/>
        <w:rPr>
          <w:rFonts w:cs="宋体"/>
          <w:color w:val="auto"/>
          <w:sz w:val="18"/>
          <w:szCs w:val="18"/>
        </w:rPr>
      </w:pPr>
    </w:p>
    <w:p>
      <w:pPr>
        <w:jc w:val="center"/>
        <w:rPr>
          <w:rFonts w:cs="宋体"/>
          <w:color w:val="auto"/>
          <w:sz w:val="24"/>
        </w:rPr>
      </w:pPr>
      <w:r>
        <w:rPr>
          <w:rFonts w:cs="宋体"/>
          <w:color w:val="auto"/>
          <w:sz w:val="24"/>
        </w:rPr>
        <w:drawing>
          <wp:inline distT="0" distB="0" distL="114935" distR="114935">
            <wp:extent cx="916940" cy="1619250"/>
            <wp:effectExtent l="9525" t="9525" r="26035" b="9525"/>
            <wp:docPr id="8"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6"/>
                    <pic:cNvPicPr>
                      <a:picLocks noChangeAspect="1"/>
                    </pic:cNvPicPr>
                  </pic:nvPicPr>
                  <pic:blipFill>
                    <a:blip r:embed="rId8"/>
                    <a:stretch>
                      <a:fillRect/>
                    </a:stretch>
                  </pic:blipFill>
                  <pic:spPr>
                    <a:xfrm>
                      <a:off x="0" y="0"/>
                      <a:ext cx="916940" cy="1619250"/>
                    </a:xfrm>
                    <a:prstGeom prst="rect">
                      <a:avLst/>
                    </a:prstGeom>
                    <a:noFill/>
                    <a:ln w="9525" cap="flat" cmpd="sng">
                      <a:solidFill>
                        <a:srgbClr val="F2DCDB"/>
                      </a:solidFill>
                      <a:prstDash val="solid"/>
                      <a:miter/>
                      <a:headEnd type="none" w="med" len="med"/>
                      <a:tailEnd type="none" w="med" len="med"/>
                    </a:ln>
                  </pic:spPr>
                </pic:pic>
              </a:graphicData>
            </a:graphic>
          </wp:inline>
        </w:drawing>
      </w:r>
    </w:p>
    <w:p>
      <w:pPr>
        <w:ind w:left="2940" w:leftChars="1400"/>
        <w:rPr>
          <w:color w:val="auto"/>
        </w:rPr>
      </w:pPr>
    </w:p>
    <w:p>
      <w:pPr>
        <w:rPr>
          <w:rFonts w:cs="宋体"/>
          <w:color w:val="auto"/>
          <w:szCs w:val="22"/>
        </w:rPr>
      </w:pPr>
    </w:p>
    <w:p>
      <w:pPr>
        <w:ind w:left="2838" w:leftChars="693" w:hanging="1383" w:hangingChars="461"/>
        <w:rPr>
          <w:rFonts w:eastAsia="方正大标宋简体" w:cs="方正大标宋简体"/>
          <w:color w:val="auto"/>
          <w:sz w:val="30"/>
          <w:szCs w:val="30"/>
        </w:rPr>
      </w:pPr>
      <w:r>
        <w:rPr>
          <w:rFonts w:hint="eastAsia" w:eastAsia="方正大标宋简体" w:cs="方正大标宋简体"/>
          <w:color w:val="auto"/>
          <w:sz w:val="30"/>
          <w:szCs w:val="30"/>
        </w:rPr>
        <w:t>项目名称：灵川县灵川镇木马村委三排至车田优质稻产业</w:t>
      </w:r>
    </w:p>
    <w:p>
      <w:pPr>
        <w:ind w:left="2946" w:leftChars="1400" w:hanging="6"/>
        <w:rPr>
          <w:rFonts w:eastAsia="方正大标宋简体" w:cs="方正大标宋简体"/>
          <w:color w:val="auto"/>
          <w:sz w:val="30"/>
          <w:szCs w:val="30"/>
        </w:rPr>
      </w:pPr>
      <w:r>
        <w:rPr>
          <w:rFonts w:hint="eastAsia" w:eastAsia="方正大标宋简体" w:cs="方正大标宋简体"/>
          <w:color w:val="auto"/>
          <w:sz w:val="30"/>
          <w:szCs w:val="30"/>
        </w:rPr>
        <w:t>基地内灌溉水渠工程</w:t>
      </w:r>
    </w:p>
    <w:p>
      <w:pPr>
        <w:ind w:left="2838" w:leftChars="693" w:hanging="1383" w:hangingChars="461"/>
        <w:rPr>
          <w:rFonts w:hint="default"/>
          <w:b/>
          <w:bCs/>
          <w:color w:val="auto"/>
          <w:sz w:val="32"/>
          <w:lang w:val="en-US"/>
        </w:rPr>
      </w:pPr>
      <w:r>
        <w:rPr>
          <w:rFonts w:hint="eastAsia" w:eastAsia="方正大标宋简体" w:cs="方正大标宋简体"/>
          <w:color w:val="auto"/>
          <w:sz w:val="30"/>
          <w:szCs w:val="30"/>
        </w:rPr>
        <w:t>项目编号：</w:t>
      </w:r>
      <w:r>
        <w:rPr>
          <w:rFonts w:hint="default" w:eastAsia="方正大标宋简体" w:cs="方正大标宋简体"/>
          <w:color w:val="auto"/>
          <w:sz w:val="30"/>
          <w:szCs w:val="30"/>
          <w:lang w:val="en-US"/>
        </w:rPr>
        <w:t>GLZC2024-C2-230170-KLZB</w:t>
      </w:r>
    </w:p>
    <w:p>
      <w:pPr>
        <w:ind w:firstLine="1050" w:firstLineChars="500"/>
        <w:rPr>
          <w:rFonts w:cs="宋体"/>
          <w:color w:val="auto"/>
        </w:rPr>
      </w:pPr>
    </w:p>
    <w:p>
      <w:pPr>
        <w:jc w:val="center"/>
        <w:rPr>
          <w:rFonts w:cs="宋体"/>
          <w:color w:val="auto"/>
        </w:rPr>
      </w:pPr>
    </w:p>
    <w:p>
      <w:pPr>
        <w:snapToGrid w:val="0"/>
        <w:jc w:val="left"/>
        <w:rPr>
          <w:rFonts w:cs="宋体"/>
          <w:color w:val="auto"/>
          <w:sz w:val="18"/>
          <w:szCs w:val="18"/>
        </w:rPr>
      </w:pPr>
    </w:p>
    <w:p>
      <w:pPr>
        <w:snapToGrid w:val="0"/>
        <w:jc w:val="left"/>
        <w:rPr>
          <w:rFonts w:cs="宋体"/>
          <w:color w:val="auto"/>
          <w:sz w:val="18"/>
          <w:szCs w:val="18"/>
        </w:rPr>
      </w:pPr>
    </w:p>
    <w:p>
      <w:pPr>
        <w:snapToGrid w:val="0"/>
        <w:jc w:val="left"/>
        <w:rPr>
          <w:rFonts w:cs="宋体"/>
          <w:color w:val="auto"/>
          <w:sz w:val="18"/>
          <w:szCs w:val="18"/>
        </w:rPr>
      </w:pPr>
    </w:p>
    <w:p>
      <w:pPr>
        <w:snapToGrid w:val="0"/>
        <w:jc w:val="left"/>
        <w:rPr>
          <w:rFonts w:cs="宋体"/>
          <w:color w:val="auto"/>
          <w:sz w:val="18"/>
          <w:szCs w:val="18"/>
        </w:rPr>
      </w:pPr>
    </w:p>
    <w:p>
      <w:pPr>
        <w:snapToGrid w:val="0"/>
        <w:jc w:val="left"/>
        <w:rPr>
          <w:rFonts w:cs="宋体"/>
          <w:color w:val="auto"/>
          <w:sz w:val="18"/>
          <w:szCs w:val="18"/>
        </w:rPr>
      </w:pPr>
    </w:p>
    <w:p>
      <w:pPr>
        <w:snapToGrid w:val="0"/>
        <w:jc w:val="left"/>
        <w:rPr>
          <w:rFonts w:cs="宋体"/>
          <w:color w:val="auto"/>
          <w:sz w:val="18"/>
          <w:szCs w:val="18"/>
        </w:rPr>
      </w:pPr>
    </w:p>
    <w:p>
      <w:pPr>
        <w:ind w:left="-2" w:leftChars="-1" w:firstLine="630" w:firstLineChars="300"/>
        <w:rPr>
          <w:rFonts w:cs="宋体"/>
          <w:color w:val="auto"/>
        </w:rPr>
      </w:pPr>
    </w:p>
    <w:p>
      <w:pPr>
        <w:ind w:left="2838" w:leftChars="693" w:hanging="1383" w:hangingChars="461"/>
        <w:rPr>
          <w:rFonts w:hint="eastAsia" w:eastAsia="方正大标宋简体" w:cs="方正大标宋简体"/>
          <w:color w:val="auto"/>
          <w:sz w:val="30"/>
          <w:szCs w:val="30"/>
          <w:lang w:val="en-US" w:eastAsia="zh-CN"/>
        </w:rPr>
      </w:pPr>
      <w:r>
        <w:rPr>
          <w:rFonts w:hint="eastAsia" w:eastAsia="方正大标宋简体" w:cs="方正大标宋简体"/>
          <w:color w:val="auto"/>
          <w:sz w:val="30"/>
          <w:szCs w:val="30"/>
        </w:rPr>
        <w:t>采购人：</w:t>
      </w:r>
      <w:r>
        <w:rPr>
          <w:rFonts w:hint="eastAsia" w:eastAsia="方正大标宋简体" w:cs="方正大标宋简体"/>
          <w:color w:val="auto"/>
          <w:sz w:val="30"/>
          <w:szCs w:val="30"/>
          <w:lang w:val="en-US" w:eastAsia="zh-CN"/>
        </w:rPr>
        <w:t>灵川县灵川镇人民政府</w:t>
      </w:r>
    </w:p>
    <w:p>
      <w:pPr>
        <w:ind w:left="2838" w:leftChars="693" w:hanging="1383" w:hangingChars="461"/>
        <w:rPr>
          <w:rFonts w:eastAsia="方正大标宋简体" w:cs="方正大标宋简体"/>
          <w:color w:val="auto"/>
          <w:sz w:val="30"/>
          <w:szCs w:val="30"/>
        </w:rPr>
      </w:pPr>
      <w:r>
        <w:rPr>
          <w:rFonts w:hint="eastAsia" w:eastAsia="方正大标宋简体" w:cs="方正大标宋简体"/>
          <w:color w:val="auto"/>
          <w:sz w:val="30"/>
          <w:szCs w:val="30"/>
        </w:rPr>
        <w:t>采购代理机构：广西科联招标中心有限公司</w:t>
      </w:r>
    </w:p>
    <w:p>
      <w:pPr>
        <w:ind w:left="2838" w:leftChars="693" w:hanging="1383" w:hangingChars="461"/>
        <w:rPr>
          <w:rFonts w:eastAsia="方正大标宋简体" w:cs="方正大标宋简体"/>
          <w:color w:val="auto"/>
          <w:sz w:val="30"/>
          <w:szCs w:val="30"/>
        </w:rPr>
      </w:pPr>
      <w:r>
        <w:rPr>
          <w:rFonts w:hint="eastAsia" w:eastAsia="方正大标宋简体" w:cs="方正大标宋简体"/>
          <w:color w:val="auto"/>
          <w:sz w:val="30"/>
          <w:szCs w:val="30"/>
        </w:rPr>
        <w:t>日期：2024年</w:t>
      </w:r>
      <w:r>
        <w:rPr>
          <w:rFonts w:hint="default" w:eastAsia="方正大标宋简体" w:cs="方正大标宋简体"/>
          <w:color w:val="auto"/>
          <w:sz w:val="30"/>
          <w:szCs w:val="30"/>
          <w:lang w:val="en-US"/>
        </w:rPr>
        <w:t>5</w:t>
      </w:r>
      <w:r>
        <w:rPr>
          <w:rFonts w:hint="eastAsia" w:eastAsia="方正大标宋简体" w:cs="方正大标宋简体"/>
          <w:color w:val="auto"/>
          <w:sz w:val="30"/>
          <w:szCs w:val="30"/>
        </w:rPr>
        <w:t>月</w:t>
      </w:r>
      <w:r>
        <w:rPr>
          <w:rFonts w:hint="default" w:eastAsia="方正大标宋简体" w:cs="方正大标宋简体"/>
          <w:color w:val="auto"/>
          <w:sz w:val="30"/>
          <w:szCs w:val="30"/>
          <w:lang w:val="en-US"/>
        </w:rPr>
        <w:t>17</w:t>
      </w:r>
      <w:r>
        <w:rPr>
          <w:rFonts w:hint="eastAsia" w:eastAsia="方正大标宋简体" w:cs="方正大标宋简体"/>
          <w:color w:val="auto"/>
          <w:sz w:val="30"/>
          <w:szCs w:val="30"/>
        </w:rPr>
        <w:t>日</w:t>
      </w:r>
    </w:p>
    <w:p>
      <w:pPr>
        <w:rPr>
          <w:color w:val="auto"/>
        </w:rPr>
      </w:pPr>
    </w:p>
    <w:p>
      <w:pPr>
        <w:pStyle w:val="35"/>
        <w:tabs>
          <w:tab w:val="right" w:leader="dot" w:pos="9660"/>
        </w:tabs>
        <w:spacing w:line="360" w:lineRule="auto"/>
        <w:jc w:val="center"/>
        <w:rPr>
          <w:rFonts w:cs="宋体"/>
          <w:b/>
          <w:color w:val="auto"/>
          <w:spacing w:val="-6"/>
          <w:kern w:val="0"/>
          <w:sz w:val="30"/>
          <w:szCs w:val="30"/>
        </w:rPr>
        <w:sectPr>
          <w:pgSz w:w="11906" w:h="16838"/>
          <w:pgMar w:top="1418" w:right="1115" w:bottom="1418" w:left="1131" w:header="851" w:footer="992" w:gutter="0"/>
          <w:cols w:space="720" w:num="1"/>
          <w:titlePg/>
          <w:docGrid w:type="lines" w:linePitch="312" w:charSpace="0"/>
        </w:sectPr>
      </w:pPr>
    </w:p>
    <w:p>
      <w:pPr>
        <w:pStyle w:val="35"/>
        <w:tabs>
          <w:tab w:val="right" w:leader="dot" w:pos="9660"/>
        </w:tabs>
        <w:spacing w:line="360" w:lineRule="auto"/>
        <w:jc w:val="center"/>
        <w:rPr>
          <w:rFonts w:cs="宋体"/>
          <w:b/>
          <w:color w:val="auto"/>
          <w:spacing w:val="-6"/>
          <w:kern w:val="0"/>
          <w:sz w:val="30"/>
          <w:szCs w:val="30"/>
        </w:rPr>
      </w:pPr>
      <w:r>
        <w:rPr>
          <w:rFonts w:hint="eastAsia" w:cs="宋体"/>
          <w:b/>
          <w:color w:val="auto"/>
          <w:spacing w:val="-6"/>
          <w:kern w:val="0"/>
          <w:sz w:val="30"/>
          <w:szCs w:val="30"/>
        </w:rPr>
        <w:t>目录</w:t>
      </w:r>
    </w:p>
    <w:p>
      <w:pPr>
        <w:pStyle w:val="35"/>
        <w:tabs>
          <w:tab w:val="right" w:leader="dot" w:pos="9660"/>
        </w:tabs>
        <w:spacing w:line="400" w:lineRule="exact"/>
        <w:rPr>
          <w:color w:val="auto"/>
        </w:rPr>
      </w:pPr>
      <w:r>
        <w:rPr>
          <w:rFonts w:hint="eastAsia" w:cs="宋体"/>
          <w:color w:val="auto"/>
          <w:spacing w:val="-6"/>
          <w:kern w:val="0"/>
          <w:sz w:val="24"/>
        </w:rPr>
        <w:fldChar w:fldCharType="begin"/>
      </w:r>
      <w:r>
        <w:rPr>
          <w:rFonts w:hint="eastAsia" w:cs="宋体"/>
          <w:color w:val="auto"/>
          <w:spacing w:val="-6"/>
          <w:kern w:val="0"/>
          <w:sz w:val="24"/>
        </w:rPr>
        <w:instrText xml:space="preserve">TOC \o "1-3" \h \u </w:instrText>
      </w:r>
      <w:r>
        <w:rPr>
          <w:rFonts w:hint="eastAsia" w:cs="宋体"/>
          <w:color w:val="auto"/>
          <w:spacing w:val="-6"/>
          <w:kern w:val="0"/>
          <w:sz w:val="24"/>
        </w:rPr>
        <w:fldChar w:fldCharType="separate"/>
      </w:r>
      <w:r>
        <w:rPr>
          <w:color w:val="auto"/>
        </w:rPr>
        <w:fldChar w:fldCharType="begin"/>
      </w:r>
      <w:r>
        <w:rPr>
          <w:color w:val="auto"/>
        </w:rPr>
        <w:instrText xml:space="preserve"> HYPERLINK \l "_Toc31269" </w:instrText>
      </w:r>
      <w:r>
        <w:rPr>
          <w:color w:val="auto"/>
        </w:rPr>
        <w:fldChar w:fldCharType="separate"/>
      </w:r>
      <w:r>
        <w:rPr>
          <w:rFonts w:eastAsia="华文中宋"/>
          <w:bCs/>
          <w:color w:val="auto"/>
          <w:szCs w:val="32"/>
        </w:rPr>
        <w:t xml:space="preserve">第一章  </w:t>
      </w:r>
      <w:r>
        <w:rPr>
          <w:rFonts w:hint="eastAsia" w:eastAsia="华文中宋"/>
          <w:bCs/>
          <w:color w:val="auto"/>
          <w:szCs w:val="32"/>
          <w:lang w:eastAsia="zh-CN"/>
        </w:rPr>
        <w:t>竞争性磋商公告</w:t>
      </w:r>
      <w:r>
        <w:rPr>
          <w:color w:val="auto"/>
        </w:rPr>
        <w:tab/>
      </w:r>
      <w:r>
        <w:rPr>
          <w:color w:val="auto"/>
        </w:rPr>
        <w:fldChar w:fldCharType="begin"/>
      </w:r>
      <w:r>
        <w:rPr>
          <w:color w:val="auto"/>
        </w:rPr>
        <w:instrText xml:space="preserve"> PAGEREF _Toc31269 \h </w:instrText>
      </w:r>
      <w:r>
        <w:rPr>
          <w:color w:val="auto"/>
        </w:rPr>
        <w:fldChar w:fldCharType="separate"/>
      </w:r>
      <w:r>
        <w:rPr>
          <w:color w:val="auto"/>
        </w:rPr>
        <w:t>3</w:t>
      </w:r>
      <w:r>
        <w:rPr>
          <w:color w:val="auto"/>
        </w:rPr>
        <w:fldChar w:fldCharType="end"/>
      </w:r>
      <w:r>
        <w:rPr>
          <w:color w:val="auto"/>
        </w:rPr>
        <w:fldChar w:fldCharType="end"/>
      </w:r>
    </w:p>
    <w:p>
      <w:pPr>
        <w:pStyle w:val="35"/>
        <w:tabs>
          <w:tab w:val="right" w:leader="dot" w:pos="9660"/>
        </w:tabs>
        <w:spacing w:line="400" w:lineRule="exact"/>
        <w:rPr>
          <w:color w:val="auto"/>
        </w:rPr>
      </w:pPr>
      <w:r>
        <w:rPr>
          <w:color w:val="auto"/>
        </w:rPr>
        <w:fldChar w:fldCharType="begin"/>
      </w:r>
      <w:r>
        <w:rPr>
          <w:color w:val="auto"/>
        </w:rPr>
        <w:instrText xml:space="preserve"> HYPERLINK \l "_Toc7559" </w:instrText>
      </w:r>
      <w:r>
        <w:rPr>
          <w:color w:val="auto"/>
        </w:rPr>
        <w:fldChar w:fldCharType="separate"/>
      </w:r>
      <w:r>
        <w:rPr>
          <w:rFonts w:hint="eastAsia" w:eastAsia="华文中宋" w:cs="华文中宋"/>
          <w:bCs/>
          <w:color w:val="auto"/>
          <w:szCs w:val="32"/>
        </w:rPr>
        <w:t>第二章  供应商须知</w:t>
      </w:r>
      <w:r>
        <w:rPr>
          <w:color w:val="auto"/>
        </w:rPr>
        <w:tab/>
      </w:r>
      <w:r>
        <w:rPr>
          <w:color w:val="auto"/>
        </w:rPr>
        <w:fldChar w:fldCharType="begin"/>
      </w:r>
      <w:r>
        <w:rPr>
          <w:color w:val="auto"/>
        </w:rPr>
        <w:instrText xml:space="preserve"> PAGEREF _Toc7559 \h </w:instrText>
      </w:r>
      <w:r>
        <w:rPr>
          <w:color w:val="auto"/>
        </w:rPr>
        <w:fldChar w:fldCharType="separate"/>
      </w:r>
      <w:r>
        <w:rPr>
          <w:color w:val="auto"/>
        </w:rPr>
        <w:t>6</w:t>
      </w:r>
      <w:r>
        <w:rPr>
          <w:color w:val="auto"/>
        </w:rPr>
        <w:fldChar w:fldCharType="end"/>
      </w:r>
      <w:r>
        <w:rPr>
          <w:color w:val="auto"/>
        </w:rPr>
        <w:fldChar w:fldCharType="end"/>
      </w:r>
    </w:p>
    <w:p>
      <w:pPr>
        <w:pStyle w:val="43"/>
        <w:tabs>
          <w:tab w:val="right" w:leader="dot" w:pos="9660"/>
        </w:tabs>
        <w:spacing w:line="400" w:lineRule="exact"/>
        <w:rPr>
          <w:color w:val="auto"/>
        </w:rPr>
      </w:pPr>
      <w:r>
        <w:rPr>
          <w:color w:val="auto"/>
        </w:rPr>
        <w:fldChar w:fldCharType="begin"/>
      </w:r>
      <w:r>
        <w:rPr>
          <w:color w:val="auto"/>
        </w:rPr>
        <w:instrText xml:space="preserve"> HYPERLINK \l "_Toc6335" </w:instrText>
      </w:r>
      <w:r>
        <w:rPr>
          <w:color w:val="auto"/>
        </w:rPr>
        <w:fldChar w:fldCharType="separate"/>
      </w:r>
      <w:r>
        <w:rPr>
          <w:rFonts w:hint="eastAsia" w:cs="宋体"/>
          <w:bCs/>
          <w:color w:val="auto"/>
          <w:szCs w:val="28"/>
        </w:rPr>
        <w:t>供应商须知前附表</w:t>
      </w:r>
      <w:r>
        <w:rPr>
          <w:color w:val="auto"/>
        </w:rPr>
        <w:tab/>
      </w:r>
      <w:r>
        <w:rPr>
          <w:color w:val="auto"/>
        </w:rPr>
        <w:fldChar w:fldCharType="begin"/>
      </w:r>
      <w:r>
        <w:rPr>
          <w:color w:val="auto"/>
        </w:rPr>
        <w:instrText xml:space="preserve"> PAGEREF _Toc6335 \h </w:instrText>
      </w:r>
      <w:r>
        <w:rPr>
          <w:color w:val="auto"/>
        </w:rPr>
        <w:fldChar w:fldCharType="separate"/>
      </w:r>
      <w:r>
        <w:rPr>
          <w:color w:val="auto"/>
        </w:rPr>
        <w:t>6</w:t>
      </w:r>
      <w:r>
        <w:rPr>
          <w:color w:val="auto"/>
        </w:rPr>
        <w:fldChar w:fldCharType="end"/>
      </w:r>
      <w:r>
        <w:rPr>
          <w:color w:val="auto"/>
        </w:rPr>
        <w:fldChar w:fldCharType="end"/>
      </w:r>
    </w:p>
    <w:p>
      <w:pPr>
        <w:pStyle w:val="43"/>
        <w:tabs>
          <w:tab w:val="right" w:leader="dot" w:pos="9660"/>
        </w:tabs>
        <w:spacing w:line="400" w:lineRule="exact"/>
        <w:rPr>
          <w:color w:val="auto"/>
        </w:rPr>
      </w:pPr>
      <w:r>
        <w:rPr>
          <w:color w:val="auto"/>
        </w:rPr>
        <w:fldChar w:fldCharType="begin"/>
      </w:r>
      <w:r>
        <w:rPr>
          <w:color w:val="auto"/>
        </w:rPr>
        <w:instrText xml:space="preserve"> HYPERLINK \l "_Toc14560" </w:instrText>
      </w:r>
      <w:r>
        <w:rPr>
          <w:color w:val="auto"/>
        </w:rPr>
        <w:fldChar w:fldCharType="separate"/>
      </w:r>
      <w:r>
        <w:rPr>
          <w:rFonts w:hint="eastAsia" w:cs="宋体"/>
          <w:color w:val="auto"/>
          <w:szCs w:val="28"/>
        </w:rPr>
        <w:t>一、总则</w:t>
      </w:r>
      <w:r>
        <w:rPr>
          <w:color w:val="auto"/>
        </w:rPr>
        <w:tab/>
      </w:r>
      <w:r>
        <w:rPr>
          <w:color w:val="auto"/>
        </w:rPr>
        <w:fldChar w:fldCharType="begin"/>
      </w:r>
      <w:r>
        <w:rPr>
          <w:color w:val="auto"/>
        </w:rPr>
        <w:instrText xml:space="preserve"> PAGEREF _Toc14560 \h </w:instrText>
      </w:r>
      <w:r>
        <w:rPr>
          <w:color w:val="auto"/>
        </w:rPr>
        <w:fldChar w:fldCharType="separate"/>
      </w:r>
      <w:r>
        <w:rPr>
          <w:color w:val="auto"/>
        </w:rPr>
        <w:t>11</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"_Toc27919" </w:instrText>
      </w:r>
      <w:r>
        <w:rPr>
          <w:color w:val="auto"/>
        </w:rPr>
        <w:fldChar w:fldCharType="separate"/>
      </w:r>
      <w:r>
        <w:rPr>
          <w:rFonts w:hint="eastAsia" w:cs="宋体"/>
          <w:color w:val="auto"/>
          <w:szCs w:val="21"/>
        </w:rPr>
        <w:t>1. 适应范围</w:t>
      </w:r>
      <w:r>
        <w:rPr>
          <w:color w:val="auto"/>
        </w:rPr>
        <w:tab/>
      </w:r>
      <w:r>
        <w:rPr>
          <w:color w:val="auto"/>
        </w:rPr>
        <w:fldChar w:fldCharType="begin"/>
      </w:r>
      <w:r>
        <w:rPr>
          <w:color w:val="auto"/>
        </w:rPr>
        <w:instrText xml:space="preserve"> PAGEREF _Toc27919 \h </w:instrText>
      </w:r>
      <w:r>
        <w:rPr>
          <w:color w:val="auto"/>
        </w:rPr>
        <w:fldChar w:fldCharType="separate"/>
      </w:r>
      <w:r>
        <w:rPr>
          <w:color w:val="auto"/>
        </w:rPr>
        <w:t>11</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"_Toc29948" </w:instrText>
      </w:r>
      <w:r>
        <w:rPr>
          <w:color w:val="auto"/>
        </w:rPr>
        <w:fldChar w:fldCharType="separate"/>
      </w:r>
      <w:r>
        <w:rPr>
          <w:rFonts w:hint="eastAsia" w:cs="宋体"/>
          <w:color w:val="auto"/>
          <w:szCs w:val="21"/>
        </w:rPr>
        <w:t>2. 定义</w:t>
      </w:r>
      <w:r>
        <w:rPr>
          <w:color w:val="auto"/>
        </w:rPr>
        <w:tab/>
      </w:r>
      <w:r>
        <w:rPr>
          <w:color w:val="auto"/>
        </w:rPr>
        <w:fldChar w:fldCharType="begin"/>
      </w:r>
      <w:r>
        <w:rPr>
          <w:color w:val="auto"/>
        </w:rPr>
        <w:instrText xml:space="preserve"> PAGEREF _Toc29948 \h </w:instrText>
      </w:r>
      <w:r>
        <w:rPr>
          <w:color w:val="auto"/>
        </w:rPr>
        <w:fldChar w:fldCharType="separate"/>
      </w:r>
      <w:r>
        <w:rPr>
          <w:color w:val="auto"/>
        </w:rPr>
        <w:t>11</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"_Toc2365" </w:instrText>
      </w:r>
      <w:r>
        <w:rPr>
          <w:color w:val="auto"/>
        </w:rPr>
        <w:fldChar w:fldCharType="separate"/>
      </w:r>
      <w:r>
        <w:rPr>
          <w:rFonts w:hint="eastAsia" w:cs="宋体"/>
          <w:color w:val="auto"/>
          <w:szCs w:val="21"/>
        </w:rPr>
        <w:t>3. 供应商资格</w:t>
      </w:r>
      <w:r>
        <w:rPr>
          <w:color w:val="auto"/>
        </w:rPr>
        <w:tab/>
      </w:r>
      <w:r>
        <w:rPr>
          <w:color w:val="auto"/>
        </w:rPr>
        <w:fldChar w:fldCharType="begin"/>
      </w:r>
      <w:r>
        <w:rPr>
          <w:color w:val="auto"/>
        </w:rPr>
        <w:instrText xml:space="preserve"> PAGEREF _Toc2365 \h </w:instrText>
      </w:r>
      <w:r>
        <w:rPr>
          <w:color w:val="auto"/>
        </w:rPr>
        <w:fldChar w:fldCharType="separate"/>
      </w:r>
      <w:r>
        <w:rPr>
          <w:color w:val="auto"/>
        </w:rPr>
        <w:t>11</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"_Toc15373" </w:instrText>
      </w:r>
      <w:r>
        <w:rPr>
          <w:color w:val="auto"/>
        </w:rPr>
        <w:fldChar w:fldCharType="separate"/>
      </w:r>
      <w:r>
        <w:rPr>
          <w:rFonts w:hint="eastAsia" w:cs="宋体"/>
          <w:color w:val="auto"/>
          <w:szCs w:val="21"/>
        </w:rPr>
        <w:t>4. 磋商费用</w:t>
      </w:r>
      <w:r>
        <w:rPr>
          <w:color w:val="auto"/>
        </w:rPr>
        <w:tab/>
      </w:r>
      <w:r>
        <w:rPr>
          <w:color w:val="auto"/>
        </w:rPr>
        <w:fldChar w:fldCharType="begin"/>
      </w:r>
      <w:r>
        <w:rPr>
          <w:color w:val="auto"/>
        </w:rPr>
        <w:instrText xml:space="preserve"> PAGEREF _Toc15373 \h </w:instrText>
      </w:r>
      <w:r>
        <w:rPr>
          <w:color w:val="auto"/>
        </w:rPr>
        <w:fldChar w:fldCharType="separate"/>
      </w:r>
      <w:r>
        <w:rPr>
          <w:color w:val="auto"/>
        </w:rPr>
        <w:t>11</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"_Toc14800" </w:instrText>
      </w:r>
      <w:r>
        <w:rPr>
          <w:color w:val="auto"/>
        </w:rPr>
        <w:fldChar w:fldCharType="separate"/>
      </w:r>
      <w:r>
        <w:rPr>
          <w:rFonts w:hint="eastAsia" w:cs="宋体"/>
          <w:color w:val="auto"/>
          <w:szCs w:val="21"/>
        </w:rPr>
        <w:t>5. 联合体要求</w:t>
      </w:r>
      <w:r>
        <w:rPr>
          <w:color w:val="auto"/>
        </w:rPr>
        <w:tab/>
      </w:r>
      <w:r>
        <w:rPr>
          <w:color w:val="auto"/>
        </w:rPr>
        <w:fldChar w:fldCharType="begin"/>
      </w:r>
      <w:r>
        <w:rPr>
          <w:color w:val="auto"/>
        </w:rPr>
        <w:instrText xml:space="preserve"> PAGEREF _Toc14800 \h </w:instrText>
      </w:r>
      <w:r>
        <w:rPr>
          <w:color w:val="auto"/>
        </w:rPr>
        <w:fldChar w:fldCharType="separate"/>
      </w:r>
      <w:r>
        <w:rPr>
          <w:color w:val="auto"/>
        </w:rPr>
        <w:t>12</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"_Toc3872" </w:instrText>
      </w:r>
      <w:r>
        <w:rPr>
          <w:color w:val="auto"/>
        </w:rPr>
        <w:fldChar w:fldCharType="separate"/>
      </w:r>
      <w:r>
        <w:rPr>
          <w:rFonts w:hint="eastAsia" w:cs="宋体"/>
          <w:color w:val="auto"/>
          <w:szCs w:val="21"/>
        </w:rPr>
        <w:t>6. 质疑和投诉</w:t>
      </w:r>
      <w:r>
        <w:rPr>
          <w:color w:val="auto"/>
        </w:rPr>
        <w:tab/>
      </w:r>
      <w:r>
        <w:rPr>
          <w:color w:val="auto"/>
        </w:rPr>
        <w:fldChar w:fldCharType="begin"/>
      </w:r>
      <w:r>
        <w:rPr>
          <w:color w:val="auto"/>
        </w:rPr>
        <w:instrText xml:space="preserve"> PAGEREF _Toc3872 \h </w:instrText>
      </w:r>
      <w:r>
        <w:rPr>
          <w:color w:val="auto"/>
        </w:rPr>
        <w:fldChar w:fldCharType="separate"/>
      </w:r>
      <w:r>
        <w:rPr>
          <w:color w:val="auto"/>
        </w:rPr>
        <w:t>12</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"_Toc1647" </w:instrText>
      </w:r>
      <w:r>
        <w:rPr>
          <w:color w:val="auto"/>
        </w:rPr>
        <w:fldChar w:fldCharType="separate"/>
      </w:r>
      <w:r>
        <w:rPr>
          <w:rFonts w:hint="eastAsia" w:cs="宋体"/>
          <w:color w:val="auto"/>
          <w:szCs w:val="21"/>
        </w:rPr>
        <w:t>7. 转包与分包</w:t>
      </w:r>
      <w:r>
        <w:rPr>
          <w:color w:val="auto"/>
        </w:rPr>
        <w:tab/>
      </w:r>
      <w:r>
        <w:rPr>
          <w:color w:val="auto"/>
        </w:rPr>
        <w:fldChar w:fldCharType="begin"/>
      </w:r>
      <w:r>
        <w:rPr>
          <w:color w:val="auto"/>
        </w:rPr>
        <w:instrText xml:space="preserve"> PAGEREF _Toc1647 \h </w:instrText>
      </w:r>
      <w:r>
        <w:rPr>
          <w:color w:val="auto"/>
        </w:rPr>
        <w:fldChar w:fldCharType="separate"/>
      </w:r>
      <w:r>
        <w:rPr>
          <w:color w:val="auto"/>
        </w:rPr>
        <w:t>13</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"_Toc18531" </w:instrText>
      </w:r>
      <w:r>
        <w:rPr>
          <w:color w:val="auto"/>
        </w:rPr>
        <w:fldChar w:fldCharType="separate"/>
      </w:r>
      <w:r>
        <w:rPr>
          <w:rFonts w:hint="eastAsia" w:cs="宋体"/>
          <w:color w:val="auto"/>
          <w:szCs w:val="21"/>
        </w:rPr>
        <w:t>8. 特别说明</w:t>
      </w:r>
      <w:r>
        <w:rPr>
          <w:color w:val="auto"/>
        </w:rPr>
        <w:tab/>
      </w:r>
      <w:r>
        <w:rPr>
          <w:color w:val="auto"/>
        </w:rPr>
        <w:fldChar w:fldCharType="begin"/>
      </w:r>
      <w:r>
        <w:rPr>
          <w:color w:val="auto"/>
        </w:rPr>
        <w:instrText xml:space="preserve"> PAGEREF _Toc18531 \h </w:instrText>
      </w:r>
      <w:r>
        <w:rPr>
          <w:color w:val="auto"/>
        </w:rPr>
        <w:fldChar w:fldCharType="separate"/>
      </w:r>
      <w:r>
        <w:rPr>
          <w:color w:val="auto"/>
        </w:rPr>
        <w:t>14</w:t>
      </w:r>
      <w:r>
        <w:rPr>
          <w:color w:val="auto"/>
        </w:rPr>
        <w:fldChar w:fldCharType="end"/>
      </w:r>
      <w:r>
        <w:rPr>
          <w:color w:val="auto"/>
        </w:rPr>
        <w:fldChar w:fldCharType="end"/>
      </w:r>
    </w:p>
    <w:p>
      <w:pPr>
        <w:pStyle w:val="43"/>
        <w:tabs>
          <w:tab w:val="right" w:leader="dot" w:pos="9660"/>
        </w:tabs>
        <w:spacing w:line="400" w:lineRule="exact"/>
        <w:rPr>
          <w:color w:val="auto"/>
        </w:rPr>
      </w:pPr>
      <w:r>
        <w:rPr>
          <w:color w:val="auto"/>
        </w:rPr>
        <w:fldChar w:fldCharType="begin"/>
      </w:r>
      <w:r>
        <w:rPr>
          <w:color w:val="auto"/>
        </w:rPr>
        <w:instrText xml:space="preserve"> HYPERLINK \l "_Toc8573" </w:instrText>
      </w:r>
      <w:r>
        <w:rPr>
          <w:color w:val="auto"/>
        </w:rPr>
        <w:fldChar w:fldCharType="separate"/>
      </w:r>
      <w:r>
        <w:rPr>
          <w:rFonts w:hint="eastAsia" w:cs="宋体"/>
          <w:color w:val="auto"/>
          <w:szCs w:val="28"/>
        </w:rPr>
        <w:t>二、磋商文件</w:t>
      </w:r>
      <w:r>
        <w:rPr>
          <w:color w:val="auto"/>
        </w:rPr>
        <w:tab/>
      </w:r>
      <w:r>
        <w:rPr>
          <w:color w:val="auto"/>
        </w:rPr>
        <w:fldChar w:fldCharType="begin"/>
      </w:r>
      <w:r>
        <w:rPr>
          <w:color w:val="auto"/>
        </w:rPr>
        <w:instrText xml:space="preserve"> PAGEREF _Toc8573 \h </w:instrText>
      </w:r>
      <w:r>
        <w:rPr>
          <w:color w:val="auto"/>
        </w:rPr>
        <w:fldChar w:fldCharType="separate"/>
      </w:r>
      <w:r>
        <w:rPr>
          <w:color w:val="auto"/>
        </w:rPr>
        <w:t>14</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"_Toc10431" </w:instrText>
      </w:r>
      <w:r>
        <w:rPr>
          <w:color w:val="auto"/>
        </w:rPr>
        <w:fldChar w:fldCharType="separate"/>
      </w:r>
      <w:r>
        <w:rPr>
          <w:rFonts w:hint="eastAsia" w:cs="宋体"/>
          <w:color w:val="auto"/>
          <w:szCs w:val="21"/>
          <w:lang w:val="pt-BR"/>
        </w:rPr>
        <w:t xml:space="preserve">9. </w:t>
      </w:r>
      <w:r>
        <w:rPr>
          <w:rFonts w:hint="eastAsia" w:cs="宋体"/>
          <w:color w:val="auto"/>
          <w:szCs w:val="21"/>
        </w:rPr>
        <w:t>磋商文件的构成</w:t>
      </w:r>
      <w:r>
        <w:rPr>
          <w:color w:val="auto"/>
        </w:rPr>
        <w:tab/>
      </w:r>
      <w:r>
        <w:rPr>
          <w:color w:val="auto"/>
        </w:rPr>
        <w:fldChar w:fldCharType="begin"/>
      </w:r>
      <w:r>
        <w:rPr>
          <w:color w:val="auto"/>
        </w:rPr>
        <w:instrText xml:space="preserve"> PAGEREF _Toc10431 \h </w:instrText>
      </w:r>
      <w:r>
        <w:rPr>
          <w:color w:val="auto"/>
        </w:rPr>
        <w:fldChar w:fldCharType="separate"/>
      </w:r>
      <w:r>
        <w:rPr>
          <w:color w:val="auto"/>
        </w:rPr>
        <w:t>14</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"_Toc19703" </w:instrText>
      </w:r>
      <w:r>
        <w:rPr>
          <w:color w:val="auto"/>
        </w:rPr>
        <w:fldChar w:fldCharType="separate"/>
      </w:r>
      <w:r>
        <w:rPr>
          <w:rFonts w:hint="eastAsia" w:cs="宋体"/>
          <w:color w:val="auto"/>
          <w:szCs w:val="21"/>
        </w:rPr>
        <w:t>10. 磋商文件的澄清与修改</w:t>
      </w:r>
      <w:r>
        <w:rPr>
          <w:color w:val="auto"/>
        </w:rPr>
        <w:tab/>
      </w:r>
      <w:r>
        <w:rPr>
          <w:color w:val="auto"/>
        </w:rPr>
        <w:fldChar w:fldCharType="begin"/>
      </w:r>
      <w:r>
        <w:rPr>
          <w:color w:val="auto"/>
        </w:rPr>
        <w:instrText xml:space="preserve"> PAGEREF _Toc19703 \h </w:instrText>
      </w:r>
      <w:r>
        <w:rPr>
          <w:color w:val="auto"/>
        </w:rPr>
        <w:fldChar w:fldCharType="separate"/>
      </w:r>
      <w:r>
        <w:rPr>
          <w:color w:val="auto"/>
        </w:rPr>
        <w:t>14</w:t>
      </w:r>
      <w:r>
        <w:rPr>
          <w:color w:val="auto"/>
        </w:rPr>
        <w:fldChar w:fldCharType="end"/>
      </w:r>
      <w:r>
        <w:rPr>
          <w:color w:val="auto"/>
        </w:rPr>
        <w:fldChar w:fldCharType="end"/>
      </w:r>
    </w:p>
    <w:p>
      <w:pPr>
        <w:pStyle w:val="43"/>
        <w:tabs>
          <w:tab w:val="right" w:leader="dot" w:pos="9660"/>
        </w:tabs>
        <w:spacing w:line="400" w:lineRule="exact"/>
        <w:rPr>
          <w:color w:val="auto"/>
        </w:rPr>
      </w:pPr>
      <w:r>
        <w:rPr>
          <w:color w:val="auto"/>
        </w:rPr>
        <w:fldChar w:fldCharType="begin"/>
      </w:r>
      <w:r>
        <w:rPr>
          <w:color w:val="auto"/>
        </w:rPr>
        <w:instrText xml:space="preserve"> HYPERLINK \l "_Toc7494" </w:instrText>
      </w:r>
      <w:r>
        <w:rPr>
          <w:color w:val="auto"/>
        </w:rPr>
        <w:fldChar w:fldCharType="separate"/>
      </w:r>
      <w:r>
        <w:rPr>
          <w:rFonts w:hint="eastAsia" w:cs="宋体"/>
          <w:color w:val="auto"/>
          <w:szCs w:val="28"/>
        </w:rPr>
        <w:t>三、竞争性磋商响应文件的编制</w:t>
      </w:r>
      <w:r>
        <w:rPr>
          <w:color w:val="auto"/>
        </w:rPr>
        <w:tab/>
      </w:r>
      <w:r>
        <w:rPr>
          <w:color w:val="auto"/>
        </w:rPr>
        <w:fldChar w:fldCharType="begin"/>
      </w:r>
      <w:r>
        <w:rPr>
          <w:color w:val="auto"/>
        </w:rPr>
        <w:instrText xml:space="preserve"> PAGEREF _Toc7494 \h </w:instrText>
      </w:r>
      <w:r>
        <w:rPr>
          <w:color w:val="auto"/>
        </w:rPr>
        <w:fldChar w:fldCharType="separate"/>
      </w:r>
      <w:r>
        <w:rPr>
          <w:color w:val="auto"/>
        </w:rPr>
        <w:t>15</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"_Toc29864" </w:instrText>
      </w:r>
      <w:r>
        <w:rPr>
          <w:color w:val="auto"/>
        </w:rPr>
        <w:fldChar w:fldCharType="separate"/>
      </w:r>
      <w:r>
        <w:rPr>
          <w:rFonts w:hint="eastAsia" w:cs="宋体"/>
          <w:color w:val="auto"/>
          <w:szCs w:val="21"/>
        </w:rPr>
        <w:t>11.竞争性磋商响应文件编制基本要求</w:t>
      </w:r>
      <w:r>
        <w:rPr>
          <w:color w:val="auto"/>
        </w:rPr>
        <w:tab/>
      </w:r>
      <w:r>
        <w:rPr>
          <w:color w:val="auto"/>
        </w:rPr>
        <w:fldChar w:fldCharType="begin"/>
      </w:r>
      <w:r>
        <w:rPr>
          <w:color w:val="auto"/>
        </w:rPr>
        <w:instrText xml:space="preserve"> PAGEREF _Toc29864 \h </w:instrText>
      </w:r>
      <w:r>
        <w:rPr>
          <w:color w:val="auto"/>
        </w:rPr>
        <w:fldChar w:fldCharType="separate"/>
      </w:r>
      <w:r>
        <w:rPr>
          <w:color w:val="auto"/>
        </w:rPr>
        <w:t>15</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"_Toc27669" </w:instrText>
      </w:r>
      <w:r>
        <w:rPr>
          <w:color w:val="auto"/>
        </w:rPr>
        <w:fldChar w:fldCharType="separate"/>
      </w:r>
      <w:r>
        <w:rPr>
          <w:rFonts w:hint="eastAsia" w:cs="宋体"/>
          <w:color w:val="auto"/>
          <w:szCs w:val="21"/>
        </w:rPr>
        <w:t>12. 响应文件的语言及计量</w:t>
      </w:r>
      <w:r>
        <w:rPr>
          <w:color w:val="auto"/>
        </w:rPr>
        <w:tab/>
      </w:r>
      <w:r>
        <w:rPr>
          <w:color w:val="auto"/>
        </w:rPr>
        <w:fldChar w:fldCharType="begin"/>
      </w:r>
      <w:r>
        <w:rPr>
          <w:color w:val="auto"/>
        </w:rPr>
        <w:instrText xml:space="preserve"> PAGEREF _Toc27669 \h </w:instrText>
      </w:r>
      <w:r>
        <w:rPr>
          <w:color w:val="auto"/>
        </w:rPr>
        <w:fldChar w:fldCharType="separate"/>
      </w:r>
      <w:r>
        <w:rPr>
          <w:color w:val="auto"/>
        </w:rPr>
        <w:t>16</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"_Toc8737" </w:instrText>
      </w:r>
      <w:r>
        <w:rPr>
          <w:color w:val="auto"/>
        </w:rPr>
        <w:fldChar w:fldCharType="separate"/>
      </w:r>
      <w:r>
        <w:rPr>
          <w:rFonts w:hint="eastAsia" w:cs="宋体"/>
          <w:color w:val="auto"/>
          <w:szCs w:val="21"/>
        </w:rPr>
        <w:t>13. 磋商报价及采购预算金额、上限控制价</w:t>
      </w:r>
      <w:r>
        <w:rPr>
          <w:color w:val="auto"/>
        </w:rPr>
        <w:tab/>
      </w:r>
      <w:r>
        <w:rPr>
          <w:color w:val="auto"/>
        </w:rPr>
        <w:fldChar w:fldCharType="begin"/>
      </w:r>
      <w:r>
        <w:rPr>
          <w:color w:val="auto"/>
        </w:rPr>
        <w:instrText xml:space="preserve"> PAGEREF _Toc8737 \h </w:instrText>
      </w:r>
      <w:r>
        <w:rPr>
          <w:color w:val="auto"/>
        </w:rPr>
        <w:fldChar w:fldCharType="separate"/>
      </w:r>
      <w:r>
        <w:rPr>
          <w:color w:val="auto"/>
        </w:rPr>
        <w:t>17</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"_Toc17365" </w:instrText>
      </w:r>
      <w:r>
        <w:rPr>
          <w:color w:val="auto"/>
        </w:rPr>
        <w:fldChar w:fldCharType="separate"/>
      </w:r>
      <w:r>
        <w:rPr>
          <w:rFonts w:hint="eastAsia" w:cs="宋体"/>
          <w:color w:val="auto"/>
          <w:szCs w:val="21"/>
        </w:rPr>
        <w:t>14. 响应文件有效期</w:t>
      </w:r>
      <w:bookmarkStart w:id="644" w:name="_GoBack"/>
      <w:bookmarkEnd w:id="644"/>
      <w:r>
        <w:rPr>
          <w:color w:val="auto"/>
        </w:rPr>
        <w:tab/>
      </w:r>
      <w:r>
        <w:rPr>
          <w:color w:val="auto"/>
        </w:rPr>
        <w:fldChar w:fldCharType="begin"/>
      </w:r>
      <w:r>
        <w:rPr>
          <w:color w:val="auto"/>
        </w:rPr>
        <w:instrText xml:space="preserve"> PAGEREF _Toc17365 \h </w:instrText>
      </w:r>
      <w:r>
        <w:rPr>
          <w:color w:val="auto"/>
        </w:rPr>
        <w:fldChar w:fldCharType="separate"/>
      </w:r>
      <w:r>
        <w:rPr>
          <w:color w:val="auto"/>
        </w:rPr>
        <w:t>18</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"_Toc17442" </w:instrText>
      </w:r>
      <w:r>
        <w:rPr>
          <w:color w:val="auto"/>
        </w:rPr>
        <w:fldChar w:fldCharType="separate"/>
      </w:r>
      <w:r>
        <w:rPr>
          <w:rFonts w:hint="eastAsia" w:cs="宋体"/>
          <w:color w:val="auto"/>
          <w:szCs w:val="21"/>
        </w:rPr>
        <w:t>15. 竞标保证金</w:t>
      </w:r>
      <w:r>
        <w:rPr>
          <w:color w:val="auto"/>
        </w:rPr>
        <w:tab/>
      </w:r>
      <w:r>
        <w:rPr>
          <w:color w:val="auto"/>
        </w:rPr>
        <w:fldChar w:fldCharType="begin"/>
      </w:r>
      <w:r>
        <w:rPr>
          <w:color w:val="auto"/>
        </w:rPr>
        <w:instrText xml:space="preserve"> PAGEREF _Toc17442 \h </w:instrText>
      </w:r>
      <w:r>
        <w:rPr>
          <w:color w:val="auto"/>
        </w:rPr>
        <w:fldChar w:fldCharType="separate"/>
      </w:r>
      <w:r>
        <w:rPr>
          <w:color w:val="auto"/>
        </w:rPr>
        <w:t>18</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"_Toc16431" </w:instrText>
      </w:r>
      <w:r>
        <w:rPr>
          <w:color w:val="auto"/>
        </w:rPr>
        <w:fldChar w:fldCharType="separate"/>
      </w:r>
      <w:r>
        <w:rPr>
          <w:rFonts w:hint="eastAsia" w:cs="宋体"/>
          <w:color w:val="auto"/>
          <w:szCs w:val="21"/>
        </w:rPr>
        <w:t>16. 竞争性磋商响应文件的制作</w:t>
      </w:r>
      <w:r>
        <w:rPr>
          <w:color w:val="auto"/>
        </w:rPr>
        <w:tab/>
      </w:r>
      <w:r>
        <w:rPr>
          <w:color w:val="auto"/>
        </w:rPr>
        <w:fldChar w:fldCharType="begin"/>
      </w:r>
      <w:r>
        <w:rPr>
          <w:color w:val="auto"/>
        </w:rPr>
        <w:instrText xml:space="preserve"> PAGEREF _Toc16431 \h </w:instrText>
      </w:r>
      <w:r>
        <w:rPr>
          <w:color w:val="auto"/>
        </w:rPr>
        <w:fldChar w:fldCharType="separate"/>
      </w:r>
      <w:r>
        <w:rPr>
          <w:color w:val="auto"/>
        </w:rPr>
        <w:t>18</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"_Toc3484" </w:instrText>
      </w:r>
      <w:r>
        <w:rPr>
          <w:color w:val="auto"/>
        </w:rPr>
        <w:fldChar w:fldCharType="separate"/>
      </w:r>
      <w:r>
        <w:rPr>
          <w:rFonts w:hint="eastAsia" w:cs="宋体"/>
          <w:color w:val="auto"/>
          <w:szCs w:val="21"/>
        </w:rPr>
        <w:t>17. 响应文件的修改和撤回</w:t>
      </w:r>
      <w:r>
        <w:rPr>
          <w:color w:val="auto"/>
        </w:rPr>
        <w:tab/>
      </w:r>
      <w:r>
        <w:rPr>
          <w:color w:val="auto"/>
        </w:rPr>
        <w:fldChar w:fldCharType="begin"/>
      </w:r>
      <w:r>
        <w:rPr>
          <w:color w:val="auto"/>
        </w:rPr>
        <w:instrText xml:space="preserve"> PAGEREF _Toc3484 \h </w:instrText>
      </w:r>
      <w:r>
        <w:rPr>
          <w:color w:val="auto"/>
        </w:rPr>
        <w:fldChar w:fldCharType="separate"/>
      </w:r>
      <w:r>
        <w:rPr>
          <w:color w:val="auto"/>
        </w:rPr>
        <w:t>19</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"_Toc30532" </w:instrText>
      </w:r>
      <w:r>
        <w:rPr>
          <w:color w:val="auto"/>
        </w:rPr>
        <w:fldChar w:fldCharType="separate"/>
      </w:r>
      <w:r>
        <w:rPr>
          <w:rFonts w:hint="eastAsia" w:cs="宋体"/>
          <w:color w:val="auto"/>
          <w:szCs w:val="21"/>
        </w:rPr>
        <w:t>18. 响应文件的递交和解密</w:t>
      </w:r>
      <w:r>
        <w:rPr>
          <w:color w:val="auto"/>
        </w:rPr>
        <w:tab/>
      </w:r>
      <w:r>
        <w:rPr>
          <w:color w:val="auto"/>
        </w:rPr>
        <w:fldChar w:fldCharType="begin"/>
      </w:r>
      <w:r>
        <w:rPr>
          <w:color w:val="auto"/>
        </w:rPr>
        <w:instrText xml:space="preserve"> PAGEREF _Toc30532 \h </w:instrText>
      </w:r>
      <w:r>
        <w:rPr>
          <w:color w:val="auto"/>
        </w:rPr>
        <w:fldChar w:fldCharType="separate"/>
      </w:r>
      <w:r>
        <w:rPr>
          <w:color w:val="auto"/>
        </w:rPr>
        <w:t>19</w:t>
      </w:r>
      <w:r>
        <w:rPr>
          <w:color w:val="auto"/>
        </w:rPr>
        <w:fldChar w:fldCharType="end"/>
      </w:r>
      <w:r>
        <w:rPr>
          <w:color w:val="auto"/>
        </w:rPr>
        <w:fldChar w:fldCharType="end"/>
      </w:r>
    </w:p>
    <w:p>
      <w:pPr>
        <w:pStyle w:val="43"/>
        <w:tabs>
          <w:tab w:val="right" w:leader="dot" w:pos="9660"/>
        </w:tabs>
        <w:spacing w:line="400" w:lineRule="exact"/>
        <w:rPr>
          <w:color w:val="auto"/>
        </w:rPr>
      </w:pPr>
      <w:r>
        <w:rPr>
          <w:color w:val="auto"/>
        </w:rPr>
        <w:fldChar w:fldCharType="begin"/>
      </w:r>
      <w:r>
        <w:rPr>
          <w:color w:val="auto"/>
        </w:rPr>
        <w:instrText xml:space="preserve"> HYPERLINK \l "_Toc16498" </w:instrText>
      </w:r>
      <w:r>
        <w:rPr>
          <w:color w:val="auto"/>
        </w:rPr>
        <w:fldChar w:fldCharType="separate"/>
      </w:r>
      <w:r>
        <w:rPr>
          <w:rFonts w:hint="eastAsia" w:cs="宋体"/>
          <w:color w:val="auto"/>
          <w:szCs w:val="28"/>
        </w:rPr>
        <w:t>四、竞争性磋商（简称磋商）与评审</w:t>
      </w:r>
      <w:r>
        <w:rPr>
          <w:color w:val="auto"/>
        </w:rPr>
        <w:tab/>
      </w:r>
      <w:r>
        <w:rPr>
          <w:color w:val="auto"/>
        </w:rPr>
        <w:fldChar w:fldCharType="begin"/>
      </w:r>
      <w:r>
        <w:rPr>
          <w:color w:val="auto"/>
        </w:rPr>
        <w:instrText xml:space="preserve"> PAGEREF _Toc16498 \h </w:instrText>
      </w:r>
      <w:r>
        <w:rPr>
          <w:color w:val="auto"/>
        </w:rPr>
        <w:fldChar w:fldCharType="separate"/>
      </w:r>
      <w:r>
        <w:rPr>
          <w:color w:val="auto"/>
        </w:rPr>
        <w:t>19</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"_Toc7848" </w:instrText>
      </w:r>
      <w:r>
        <w:rPr>
          <w:color w:val="auto"/>
        </w:rPr>
        <w:fldChar w:fldCharType="separate"/>
      </w:r>
      <w:r>
        <w:rPr>
          <w:rFonts w:hint="eastAsia" w:cs="宋体"/>
          <w:color w:val="auto"/>
          <w:szCs w:val="21"/>
        </w:rPr>
        <w:t>19. 磋商小组组成及磋商时间、地点、人员</w:t>
      </w:r>
      <w:r>
        <w:rPr>
          <w:color w:val="auto"/>
        </w:rPr>
        <w:tab/>
      </w:r>
      <w:r>
        <w:rPr>
          <w:color w:val="auto"/>
        </w:rPr>
        <w:fldChar w:fldCharType="begin"/>
      </w:r>
      <w:r>
        <w:rPr>
          <w:color w:val="auto"/>
        </w:rPr>
        <w:instrText xml:space="preserve"> PAGEREF _Toc7848 \h </w:instrText>
      </w:r>
      <w:r>
        <w:rPr>
          <w:color w:val="auto"/>
        </w:rPr>
        <w:fldChar w:fldCharType="separate"/>
      </w:r>
      <w:r>
        <w:rPr>
          <w:color w:val="auto"/>
        </w:rPr>
        <w:t>19</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"_Toc12852" </w:instrText>
      </w:r>
      <w:r>
        <w:rPr>
          <w:color w:val="auto"/>
        </w:rPr>
        <w:fldChar w:fldCharType="separate"/>
      </w:r>
      <w:r>
        <w:rPr>
          <w:rFonts w:hint="eastAsia" w:cs="宋体"/>
          <w:color w:val="auto"/>
          <w:szCs w:val="21"/>
        </w:rPr>
        <w:t>20. 评审原则</w:t>
      </w:r>
      <w:r>
        <w:rPr>
          <w:color w:val="auto"/>
        </w:rPr>
        <w:tab/>
      </w:r>
      <w:r>
        <w:rPr>
          <w:color w:val="auto"/>
        </w:rPr>
        <w:fldChar w:fldCharType="begin"/>
      </w:r>
      <w:r>
        <w:rPr>
          <w:color w:val="auto"/>
        </w:rPr>
        <w:instrText xml:space="preserve"> PAGEREF _Toc12852 \h </w:instrText>
      </w:r>
      <w:r>
        <w:rPr>
          <w:color w:val="auto"/>
        </w:rPr>
        <w:fldChar w:fldCharType="separate"/>
      </w:r>
      <w:r>
        <w:rPr>
          <w:color w:val="auto"/>
        </w:rPr>
        <w:t>20</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"_Toc6833" </w:instrText>
      </w:r>
      <w:r>
        <w:rPr>
          <w:color w:val="auto"/>
        </w:rPr>
        <w:fldChar w:fldCharType="separate"/>
      </w:r>
      <w:r>
        <w:rPr>
          <w:rFonts w:hint="eastAsia" w:cs="宋体"/>
          <w:color w:val="auto"/>
          <w:szCs w:val="21"/>
        </w:rPr>
        <w:t>21. 评审程序及磋商要求</w:t>
      </w:r>
      <w:r>
        <w:rPr>
          <w:color w:val="auto"/>
        </w:rPr>
        <w:tab/>
      </w:r>
      <w:r>
        <w:rPr>
          <w:color w:val="auto"/>
        </w:rPr>
        <w:fldChar w:fldCharType="begin"/>
      </w:r>
      <w:r>
        <w:rPr>
          <w:color w:val="auto"/>
        </w:rPr>
        <w:instrText xml:space="preserve"> PAGEREF _Toc6833 \h </w:instrText>
      </w:r>
      <w:r>
        <w:rPr>
          <w:color w:val="auto"/>
        </w:rPr>
        <w:fldChar w:fldCharType="separate"/>
      </w:r>
      <w:r>
        <w:rPr>
          <w:color w:val="auto"/>
        </w:rPr>
        <w:t>20</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"_Toc11975" </w:instrText>
      </w:r>
      <w:r>
        <w:rPr>
          <w:color w:val="auto"/>
        </w:rPr>
        <w:fldChar w:fldCharType="separate"/>
      </w:r>
      <w:r>
        <w:rPr>
          <w:rFonts w:hint="eastAsia" w:cs="宋体"/>
          <w:color w:val="auto"/>
          <w:szCs w:val="21"/>
        </w:rPr>
        <w:t>22. 确定成交供应商</w:t>
      </w:r>
      <w:r>
        <w:rPr>
          <w:color w:val="auto"/>
        </w:rPr>
        <w:tab/>
      </w:r>
      <w:r>
        <w:rPr>
          <w:color w:val="auto"/>
        </w:rPr>
        <w:fldChar w:fldCharType="begin"/>
      </w:r>
      <w:r>
        <w:rPr>
          <w:color w:val="auto"/>
        </w:rPr>
        <w:instrText xml:space="preserve"> PAGEREF _Toc11975 \h </w:instrText>
      </w:r>
      <w:r>
        <w:rPr>
          <w:color w:val="auto"/>
        </w:rPr>
        <w:fldChar w:fldCharType="separate"/>
      </w:r>
      <w:r>
        <w:rPr>
          <w:color w:val="auto"/>
        </w:rPr>
        <w:t>23</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"_Toc9486" </w:instrText>
      </w:r>
      <w:r>
        <w:rPr>
          <w:color w:val="auto"/>
        </w:rPr>
        <w:fldChar w:fldCharType="separate"/>
      </w:r>
      <w:r>
        <w:rPr>
          <w:rFonts w:hint="eastAsia" w:cs="宋体"/>
          <w:color w:val="auto"/>
          <w:szCs w:val="21"/>
        </w:rPr>
        <w:t>23. 属于下列情况之一者，响应文件无效</w:t>
      </w:r>
      <w:r>
        <w:rPr>
          <w:color w:val="auto"/>
        </w:rPr>
        <w:tab/>
      </w:r>
      <w:r>
        <w:rPr>
          <w:color w:val="auto"/>
        </w:rPr>
        <w:fldChar w:fldCharType="begin"/>
      </w:r>
      <w:r>
        <w:rPr>
          <w:color w:val="auto"/>
        </w:rPr>
        <w:instrText xml:space="preserve"> PAGEREF _Toc9486 \h </w:instrText>
      </w:r>
      <w:r>
        <w:rPr>
          <w:color w:val="auto"/>
        </w:rPr>
        <w:fldChar w:fldCharType="separate"/>
      </w:r>
      <w:r>
        <w:rPr>
          <w:color w:val="auto"/>
        </w:rPr>
        <w:t>23</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"_Toc6415" </w:instrText>
      </w:r>
      <w:r>
        <w:rPr>
          <w:color w:val="auto"/>
        </w:rPr>
        <w:fldChar w:fldCharType="separate"/>
      </w:r>
      <w:r>
        <w:rPr>
          <w:rFonts w:hint="eastAsia" w:cs="宋体"/>
          <w:color w:val="auto"/>
          <w:szCs w:val="21"/>
        </w:rPr>
        <w:t>24. 出现下列情形之一的，采购人或者采购代理机构应当终止竞争性磋商采购活动，发布项目终止公告并说明原因，重新开展采购活动</w:t>
      </w:r>
      <w:r>
        <w:rPr>
          <w:color w:val="auto"/>
        </w:rPr>
        <w:tab/>
      </w:r>
      <w:r>
        <w:rPr>
          <w:color w:val="auto"/>
        </w:rPr>
        <w:fldChar w:fldCharType="begin"/>
      </w:r>
      <w:r>
        <w:rPr>
          <w:color w:val="auto"/>
        </w:rPr>
        <w:instrText xml:space="preserve"> PAGEREF _Toc6415 \h </w:instrText>
      </w:r>
      <w:r>
        <w:rPr>
          <w:color w:val="auto"/>
        </w:rPr>
        <w:fldChar w:fldCharType="separate"/>
      </w:r>
      <w:r>
        <w:rPr>
          <w:color w:val="auto"/>
        </w:rPr>
        <w:t>24</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"_Toc11581" </w:instrText>
      </w:r>
      <w:r>
        <w:rPr>
          <w:color w:val="auto"/>
        </w:rPr>
        <w:fldChar w:fldCharType="separate"/>
      </w:r>
      <w:r>
        <w:rPr>
          <w:rFonts w:hint="eastAsia" w:cs="宋体"/>
          <w:color w:val="auto"/>
          <w:szCs w:val="21"/>
        </w:rPr>
        <w:t>25. 磋商过程的监控</w:t>
      </w:r>
      <w:r>
        <w:rPr>
          <w:color w:val="auto"/>
        </w:rPr>
        <w:tab/>
      </w:r>
      <w:r>
        <w:rPr>
          <w:color w:val="auto"/>
        </w:rPr>
        <w:fldChar w:fldCharType="begin"/>
      </w:r>
      <w:r>
        <w:rPr>
          <w:color w:val="auto"/>
        </w:rPr>
        <w:instrText xml:space="preserve"> PAGEREF _Toc11581 \h </w:instrText>
      </w:r>
      <w:r>
        <w:rPr>
          <w:color w:val="auto"/>
        </w:rPr>
        <w:fldChar w:fldCharType="separate"/>
      </w:r>
      <w:r>
        <w:rPr>
          <w:color w:val="auto"/>
        </w:rPr>
        <w:t>24</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"_Toc531" </w:instrText>
      </w:r>
      <w:r>
        <w:rPr>
          <w:color w:val="auto"/>
        </w:rPr>
        <w:fldChar w:fldCharType="separate"/>
      </w:r>
      <w:r>
        <w:rPr>
          <w:rFonts w:hint="eastAsia" w:cs="宋体"/>
          <w:color w:val="auto"/>
          <w:szCs w:val="21"/>
        </w:rPr>
        <w:t>26. 信用查询</w:t>
      </w:r>
      <w:r>
        <w:rPr>
          <w:color w:val="auto"/>
        </w:rPr>
        <w:tab/>
      </w:r>
      <w:r>
        <w:rPr>
          <w:color w:val="auto"/>
        </w:rPr>
        <w:fldChar w:fldCharType="begin"/>
      </w:r>
      <w:r>
        <w:rPr>
          <w:color w:val="auto"/>
        </w:rPr>
        <w:instrText xml:space="preserve"> PAGEREF _Toc531 \h </w:instrText>
      </w:r>
      <w:r>
        <w:rPr>
          <w:color w:val="auto"/>
        </w:rPr>
        <w:fldChar w:fldCharType="separate"/>
      </w:r>
      <w:r>
        <w:rPr>
          <w:color w:val="auto"/>
        </w:rPr>
        <w:t>24</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"_Toc27040" </w:instrText>
      </w:r>
      <w:r>
        <w:rPr>
          <w:color w:val="auto"/>
        </w:rPr>
        <w:fldChar w:fldCharType="separate"/>
      </w:r>
      <w:r>
        <w:rPr>
          <w:rFonts w:hint="eastAsia" w:cs="宋体"/>
          <w:color w:val="auto"/>
          <w:szCs w:val="21"/>
        </w:rPr>
        <w:t>27. 成交结果公告及成交通知书</w:t>
      </w:r>
      <w:r>
        <w:rPr>
          <w:color w:val="auto"/>
        </w:rPr>
        <w:tab/>
      </w:r>
      <w:r>
        <w:rPr>
          <w:color w:val="auto"/>
        </w:rPr>
        <w:fldChar w:fldCharType="begin"/>
      </w:r>
      <w:r>
        <w:rPr>
          <w:color w:val="auto"/>
        </w:rPr>
        <w:instrText xml:space="preserve"> PAGEREF _Toc27040 \h </w:instrText>
      </w:r>
      <w:r>
        <w:rPr>
          <w:color w:val="auto"/>
        </w:rPr>
        <w:fldChar w:fldCharType="separate"/>
      </w:r>
      <w:r>
        <w:rPr>
          <w:color w:val="auto"/>
        </w:rPr>
        <w:t>25</w:t>
      </w:r>
      <w:r>
        <w:rPr>
          <w:color w:val="auto"/>
        </w:rPr>
        <w:fldChar w:fldCharType="end"/>
      </w:r>
      <w:r>
        <w:rPr>
          <w:color w:val="auto"/>
        </w:rPr>
        <w:fldChar w:fldCharType="end"/>
      </w:r>
    </w:p>
    <w:p>
      <w:pPr>
        <w:pStyle w:val="43"/>
        <w:tabs>
          <w:tab w:val="right" w:leader="dot" w:pos="9660"/>
        </w:tabs>
        <w:spacing w:line="400" w:lineRule="exact"/>
        <w:rPr>
          <w:color w:val="auto"/>
        </w:rPr>
      </w:pPr>
      <w:r>
        <w:rPr>
          <w:color w:val="auto"/>
        </w:rPr>
        <w:fldChar w:fldCharType="begin"/>
      </w:r>
      <w:r>
        <w:rPr>
          <w:color w:val="auto"/>
        </w:rPr>
        <w:instrText xml:space="preserve"> HYPERLINK \l "_Toc29248" </w:instrText>
      </w:r>
      <w:r>
        <w:rPr>
          <w:color w:val="auto"/>
        </w:rPr>
        <w:fldChar w:fldCharType="separate"/>
      </w:r>
      <w:r>
        <w:rPr>
          <w:rFonts w:hint="eastAsia" w:cs="宋体"/>
          <w:color w:val="auto"/>
          <w:szCs w:val="28"/>
        </w:rPr>
        <w:t>五、签订合同</w:t>
      </w:r>
      <w:r>
        <w:rPr>
          <w:color w:val="auto"/>
        </w:rPr>
        <w:tab/>
      </w:r>
      <w:r>
        <w:rPr>
          <w:color w:val="auto"/>
        </w:rPr>
        <w:fldChar w:fldCharType="begin"/>
      </w:r>
      <w:r>
        <w:rPr>
          <w:color w:val="auto"/>
        </w:rPr>
        <w:instrText xml:space="preserve"> PAGEREF _Toc29248 \h </w:instrText>
      </w:r>
      <w:r>
        <w:rPr>
          <w:color w:val="auto"/>
        </w:rPr>
        <w:fldChar w:fldCharType="separate"/>
      </w:r>
      <w:r>
        <w:rPr>
          <w:color w:val="auto"/>
        </w:rPr>
        <w:t>25</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"_Toc1593" </w:instrText>
      </w:r>
      <w:r>
        <w:rPr>
          <w:color w:val="auto"/>
        </w:rPr>
        <w:fldChar w:fldCharType="separate"/>
      </w:r>
      <w:r>
        <w:rPr>
          <w:rFonts w:hint="eastAsia" w:cs="宋体"/>
          <w:color w:val="auto"/>
          <w:szCs w:val="21"/>
        </w:rPr>
        <w:t>28. 履约保证金</w:t>
      </w:r>
      <w:r>
        <w:rPr>
          <w:color w:val="auto"/>
        </w:rPr>
        <w:tab/>
      </w:r>
      <w:r>
        <w:rPr>
          <w:color w:val="auto"/>
        </w:rPr>
        <w:fldChar w:fldCharType="begin"/>
      </w:r>
      <w:r>
        <w:rPr>
          <w:color w:val="auto"/>
        </w:rPr>
        <w:instrText xml:space="preserve"> PAGEREF _Toc1593 \h </w:instrText>
      </w:r>
      <w:r>
        <w:rPr>
          <w:color w:val="auto"/>
        </w:rPr>
        <w:fldChar w:fldCharType="separate"/>
      </w:r>
      <w:r>
        <w:rPr>
          <w:color w:val="auto"/>
        </w:rPr>
        <w:t>25</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"_Toc15790" </w:instrText>
      </w:r>
      <w:r>
        <w:rPr>
          <w:color w:val="auto"/>
        </w:rPr>
        <w:fldChar w:fldCharType="separate"/>
      </w:r>
      <w:r>
        <w:rPr>
          <w:color w:val="auto"/>
          <w:szCs w:val="21"/>
        </w:rPr>
        <w:t>29. 签订合同</w:t>
      </w:r>
      <w:r>
        <w:rPr>
          <w:color w:val="auto"/>
        </w:rPr>
        <w:tab/>
      </w:r>
      <w:r>
        <w:rPr>
          <w:color w:val="auto"/>
        </w:rPr>
        <w:fldChar w:fldCharType="begin"/>
      </w:r>
      <w:r>
        <w:rPr>
          <w:color w:val="auto"/>
        </w:rPr>
        <w:instrText xml:space="preserve"> PAGEREF _Toc15790 \h </w:instrText>
      </w:r>
      <w:r>
        <w:rPr>
          <w:color w:val="auto"/>
        </w:rPr>
        <w:fldChar w:fldCharType="separate"/>
      </w:r>
      <w:r>
        <w:rPr>
          <w:color w:val="auto"/>
        </w:rPr>
        <w:t>26</w:t>
      </w:r>
      <w:r>
        <w:rPr>
          <w:color w:val="auto"/>
        </w:rPr>
        <w:fldChar w:fldCharType="end"/>
      </w:r>
      <w:r>
        <w:rPr>
          <w:color w:val="auto"/>
        </w:rPr>
        <w:fldChar w:fldCharType="end"/>
      </w:r>
    </w:p>
    <w:p>
      <w:pPr>
        <w:pStyle w:val="43"/>
        <w:tabs>
          <w:tab w:val="right" w:leader="dot" w:pos="9660"/>
        </w:tabs>
        <w:spacing w:line="400" w:lineRule="exact"/>
        <w:rPr>
          <w:color w:val="auto"/>
        </w:rPr>
      </w:pPr>
      <w:r>
        <w:rPr>
          <w:color w:val="auto"/>
        </w:rPr>
        <w:fldChar w:fldCharType="begin"/>
      </w:r>
      <w:r>
        <w:rPr>
          <w:color w:val="auto"/>
        </w:rPr>
        <w:instrText xml:space="preserve"> HYPERLINK \l "_Toc1631" </w:instrText>
      </w:r>
      <w:r>
        <w:rPr>
          <w:color w:val="auto"/>
        </w:rPr>
        <w:fldChar w:fldCharType="separate"/>
      </w:r>
      <w:r>
        <w:rPr>
          <w:rFonts w:hint="eastAsia" w:cs="宋体"/>
          <w:color w:val="auto"/>
          <w:szCs w:val="28"/>
        </w:rPr>
        <w:t>六、其他事项</w:t>
      </w:r>
      <w:r>
        <w:rPr>
          <w:color w:val="auto"/>
        </w:rPr>
        <w:tab/>
      </w:r>
      <w:r>
        <w:rPr>
          <w:color w:val="auto"/>
        </w:rPr>
        <w:fldChar w:fldCharType="begin"/>
      </w:r>
      <w:r>
        <w:rPr>
          <w:color w:val="auto"/>
        </w:rPr>
        <w:instrText xml:space="preserve"> PAGEREF _Toc1631 \h </w:instrText>
      </w:r>
      <w:r>
        <w:rPr>
          <w:color w:val="auto"/>
        </w:rPr>
        <w:fldChar w:fldCharType="separate"/>
      </w:r>
      <w:r>
        <w:rPr>
          <w:color w:val="auto"/>
        </w:rPr>
        <w:t>26</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"_Toc17296" </w:instrText>
      </w:r>
      <w:r>
        <w:rPr>
          <w:color w:val="auto"/>
        </w:rPr>
        <w:fldChar w:fldCharType="separate"/>
      </w:r>
      <w:r>
        <w:rPr>
          <w:rFonts w:hint="eastAsia" w:cs="宋体"/>
          <w:color w:val="auto"/>
          <w:szCs w:val="21"/>
        </w:rPr>
        <w:t>30. 采购代理服务费</w:t>
      </w:r>
      <w:r>
        <w:rPr>
          <w:color w:val="auto"/>
        </w:rPr>
        <w:tab/>
      </w:r>
      <w:r>
        <w:rPr>
          <w:color w:val="auto"/>
        </w:rPr>
        <w:fldChar w:fldCharType="begin"/>
      </w:r>
      <w:r>
        <w:rPr>
          <w:color w:val="auto"/>
        </w:rPr>
        <w:instrText xml:space="preserve"> PAGEREF _Toc17296 \h </w:instrText>
      </w:r>
      <w:r>
        <w:rPr>
          <w:color w:val="auto"/>
        </w:rPr>
        <w:fldChar w:fldCharType="separate"/>
      </w:r>
      <w:r>
        <w:rPr>
          <w:color w:val="auto"/>
        </w:rPr>
        <w:t>26</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"_Toc22751" </w:instrText>
      </w:r>
      <w:r>
        <w:rPr>
          <w:color w:val="auto"/>
        </w:rPr>
        <w:fldChar w:fldCharType="separate"/>
      </w:r>
      <w:r>
        <w:rPr>
          <w:rFonts w:hint="eastAsia" w:cs="宋体"/>
          <w:color w:val="auto"/>
          <w:szCs w:val="21"/>
        </w:rPr>
        <w:t>31. 编制依据：</w:t>
      </w:r>
      <w:r>
        <w:rPr>
          <w:color w:val="auto"/>
        </w:rPr>
        <w:tab/>
      </w:r>
      <w:r>
        <w:rPr>
          <w:color w:val="auto"/>
        </w:rPr>
        <w:fldChar w:fldCharType="begin"/>
      </w:r>
      <w:r>
        <w:rPr>
          <w:color w:val="auto"/>
        </w:rPr>
        <w:instrText xml:space="preserve"> PAGEREF _Toc22751 \h </w:instrText>
      </w:r>
      <w:r>
        <w:rPr>
          <w:color w:val="auto"/>
        </w:rPr>
        <w:fldChar w:fldCharType="separate"/>
      </w:r>
      <w:r>
        <w:rPr>
          <w:color w:val="auto"/>
        </w:rPr>
        <w:t>27</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"_Toc14912" </w:instrText>
      </w:r>
      <w:r>
        <w:rPr>
          <w:color w:val="auto"/>
        </w:rPr>
        <w:fldChar w:fldCharType="separate"/>
      </w:r>
      <w:r>
        <w:rPr>
          <w:rFonts w:hint="eastAsia" w:cs="宋体"/>
          <w:color w:val="auto"/>
          <w:szCs w:val="21"/>
        </w:rPr>
        <w:t>32. 监督管理机构：</w:t>
      </w:r>
      <w:r>
        <w:rPr>
          <w:rFonts w:hint="eastAsia"/>
          <w:color w:val="auto"/>
        </w:rPr>
        <w:t>灵川县财政局</w:t>
      </w:r>
      <w:r>
        <w:rPr>
          <w:color w:val="auto"/>
        </w:rPr>
        <w:tab/>
      </w:r>
      <w:r>
        <w:rPr>
          <w:color w:val="auto"/>
        </w:rPr>
        <w:fldChar w:fldCharType="begin"/>
      </w:r>
      <w:r>
        <w:rPr>
          <w:color w:val="auto"/>
        </w:rPr>
        <w:instrText xml:space="preserve"> PAGEREF _Toc14912 \h </w:instrText>
      </w:r>
      <w:r>
        <w:rPr>
          <w:color w:val="auto"/>
        </w:rPr>
        <w:fldChar w:fldCharType="separate"/>
      </w:r>
      <w:r>
        <w:rPr>
          <w:color w:val="auto"/>
        </w:rPr>
        <w:t>27</w:t>
      </w:r>
      <w:r>
        <w:rPr>
          <w:color w:val="auto"/>
        </w:rPr>
        <w:fldChar w:fldCharType="end"/>
      </w:r>
      <w:r>
        <w:rPr>
          <w:color w:val="auto"/>
        </w:rPr>
        <w:fldChar w:fldCharType="end"/>
      </w:r>
    </w:p>
    <w:p>
      <w:pPr>
        <w:pStyle w:val="27"/>
        <w:tabs>
          <w:tab w:val="right" w:leader="dot" w:pos="9660"/>
        </w:tabs>
        <w:spacing w:line="400" w:lineRule="exact"/>
        <w:rPr>
          <w:color w:val="auto"/>
        </w:rPr>
      </w:pPr>
      <w:r>
        <w:rPr>
          <w:color w:val="auto"/>
        </w:rPr>
        <w:fldChar w:fldCharType="begin"/>
      </w:r>
      <w:r>
        <w:rPr>
          <w:color w:val="auto"/>
        </w:rPr>
        <w:instrText xml:space="preserve"> HYPERLINK \l "_Toc23144" </w:instrText>
      </w:r>
      <w:r>
        <w:rPr>
          <w:color w:val="auto"/>
        </w:rPr>
        <w:fldChar w:fldCharType="separate"/>
      </w:r>
      <w:r>
        <w:rPr>
          <w:rFonts w:hint="eastAsia" w:cs="宋体"/>
          <w:color w:val="auto"/>
          <w:szCs w:val="21"/>
        </w:rPr>
        <w:t>33. 广西线上“政采贷”政策告知函</w:t>
      </w:r>
      <w:r>
        <w:rPr>
          <w:color w:val="auto"/>
        </w:rPr>
        <w:tab/>
      </w:r>
      <w:r>
        <w:rPr>
          <w:color w:val="auto"/>
        </w:rPr>
        <w:fldChar w:fldCharType="begin"/>
      </w:r>
      <w:r>
        <w:rPr>
          <w:color w:val="auto"/>
        </w:rPr>
        <w:instrText xml:space="preserve"> PAGEREF _Toc23144 \h </w:instrText>
      </w:r>
      <w:r>
        <w:rPr>
          <w:color w:val="auto"/>
        </w:rPr>
        <w:fldChar w:fldCharType="separate"/>
      </w:r>
      <w:r>
        <w:rPr>
          <w:color w:val="auto"/>
        </w:rPr>
        <w:t>27</w:t>
      </w:r>
      <w:r>
        <w:rPr>
          <w:color w:val="auto"/>
        </w:rPr>
        <w:fldChar w:fldCharType="end"/>
      </w:r>
      <w:r>
        <w:rPr>
          <w:color w:val="auto"/>
        </w:rPr>
        <w:fldChar w:fldCharType="end"/>
      </w:r>
    </w:p>
    <w:p>
      <w:pPr>
        <w:pStyle w:val="43"/>
        <w:tabs>
          <w:tab w:val="right" w:leader="dot" w:pos="9660"/>
        </w:tabs>
        <w:spacing w:line="400" w:lineRule="exact"/>
        <w:rPr>
          <w:color w:val="auto"/>
        </w:rPr>
      </w:pPr>
      <w:r>
        <w:rPr>
          <w:color w:val="auto"/>
        </w:rPr>
        <w:fldChar w:fldCharType="begin"/>
      </w:r>
      <w:r>
        <w:rPr>
          <w:color w:val="auto"/>
        </w:rPr>
        <w:instrText xml:space="preserve"> HYPERLINK \l "_Toc29822" </w:instrText>
      </w:r>
      <w:r>
        <w:rPr>
          <w:color w:val="auto"/>
        </w:rPr>
        <w:fldChar w:fldCharType="separate"/>
      </w:r>
      <w:r>
        <w:rPr>
          <w:rFonts w:hint="eastAsia"/>
          <w:color w:val="auto"/>
          <w:kern w:val="0"/>
        </w:rPr>
        <w:t>附件：</w:t>
      </w:r>
      <w:r>
        <w:rPr>
          <w:color w:val="auto"/>
        </w:rPr>
        <w:tab/>
      </w:r>
      <w:r>
        <w:rPr>
          <w:color w:val="auto"/>
        </w:rPr>
        <w:fldChar w:fldCharType="begin"/>
      </w:r>
      <w:r>
        <w:rPr>
          <w:color w:val="auto"/>
        </w:rPr>
        <w:instrText xml:space="preserve"> PAGEREF _Toc29822 \h </w:instrText>
      </w:r>
      <w:r>
        <w:rPr>
          <w:color w:val="auto"/>
        </w:rPr>
        <w:fldChar w:fldCharType="separate"/>
      </w:r>
      <w:r>
        <w:rPr>
          <w:color w:val="auto"/>
        </w:rPr>
        <w:t>29</w:t>
      </w:r>
      <w:r>
        <w:rPr>
          <w:color w:val="auto"/>
        </w:rPr>
        <w:fldChar w:fldCharType="end"/>
      </w:r>
      <w:r>
        <w:rPr>
          <w:color w:val="auto"/>
        </w:rPr>
        <w:fldChar w:fldCharType="end"/>
      </w:r>
    </w:p>
    <w:p>
      <w:pPr>
        <w:pStyle w:val="43"/>
        <w:tabs>
          <w:tab w:val="right" w:leader="dot" w:pos="9660"/>
        </w:tabs>
        <w:spacing w:line="400" w:lineRule="exact"/>
        <w:rPr>
          <w:color w:val="auto"/>
        </w:rPr>
      </w:pPr>
      <w:r>
        <w:rPr>
          <w:color w:val="auto"/>
        </w:rPr>
        <w:fldChar w:fldCharType="begin"/>
      </w:r>
      <w:r>
        <w:rPr>
          <w:color w:val="auto"/>
        </w:rPr>
        <w:instrText xml:space="preserve"> HYPERLINK \l "_Toc8255" </w:instrText>
      </w:r>
      <w:r>
        <w:rPr>
          <w:color w:val="auto"/>
        </w:rPr>
        <w:fldChar w:fldCharType="separate"/>
      </w:r>
      <w:r>
        <w:rPr>
          <w:rFonts w:hint="eastAsia" w:eastAsia="华文中宋" w:cs="华文中宋"/>
          <w:color w:val="auto"/>
          <w:szCs w:val="30"/>
          <w:lang w:val="zh-CN"/>
        </w:rPr>
        <w:t>质疑函（格式）</w:t>
      </w:r>
      <w:r>
        <w:rPr>
          <w:color w:val="auto"/>
        </w:rPr>
        <w:tab/>
      </w:r>
      <w:r>
        <w:rPr>
          <w:color w:val="auto"/>
        </w:rPr>
        <w:fldChar w:fldCharType="begin"/>
      </w:r>
      <w:r>
        <w:rPr>
          <w:color w:val="auto"/>
        </w:rPr>
        <w:instrText xml:space="preserve"> PAGEREF _Toc8255 \h </w:instrText>
      </w:r>
      <w:r>
        <w:rPr>
          <w:color w:val="auto"/>
        </w:rPr>
        <w:fldChar w:fldCharType="separate"/>
      </w:r>
      <w:r>
        <w:rPr>
          <w:color w:val="auto"/>
        </w:rPr>
        <w:t>29</w:t>
      </w:r>
      <w:r>
        <w:rPr>
          <w:color w:val="auto"/>
        </w:rPr>
        <w:fldChar w:fldCharType="end"/>
      </w:r>
      <w:r>
        <w:rPr>
          <w:color w:val="auto"/>
        </w:rPr>
        <w:fldChar w:fldCharType="end"/>
      </w:r>
    </w:p>
    <w:p>
      <w:pPr>
        <w:pStyle w:val="43"/>
        <w:tabs>
          <w:tab w:val="right" w:leader="dot" w:pos="9660"/>
        </w:tabs>
        <w:spacing w:line="400" w:lineRule="exact"/>
        <w:rPr>
          <w:color w:val="auto"/>
        </w:rPr>
      </w:pPr>
      <w:r>
        <w:rPr>
          <w:color w:val="auto"/>
        </w:rPr>
        <w:fldChar w:fldCharType="begin"/>
      </w:r>
      <w:r>
        <w:rPr>
          <w:color w:val="auto"/>
        </w:rPr>
        <w:instrText xml:space="preserve"> HYPERLINK \l "_Toc12768" </w:instrText>
      </w:r>
      <w:r>
        <w:rPr>
          <w:color w:val="auto"/>
        </w:rPr>
        <w:fldChar w:fldCharType="separate"/>
      </w:r>
      <w:r>
        <w:rPr>
          <w:rFonts w:hint="eastAsia" w:eastAsia="华文中宋" w:cs="华文中宋"/>
          <w:color w:val="auto"/>
          <w:szCs w:val="30"/>
          <w:lang w:val="zh-CN"/>
        </w:rPr>
        <w:t>投诉书（格式）</w:t>
      </w:r>
      <w:r>
        <w:rPr>
          <w:color w:val="auto"/>
        </w:rPr>
        <w:tab/>
      </w:r>
      <w:r>
        <w:rPr>
          <w:color w:val="auto"/>
        </w:rPr>
        <w:fldChar w:fldCharType="begin"/>
      </w:r>
      <w:r>
        <w:rPr>
          <w:color w:val="auto"/>
        </w:rPr>
        <w:instrText xml:space="preserve"> PAGEREF _Toc12768 \h </w:instrText>
      </w:r>
      <w:r>
        <w:rPr>
          <w:color w:val="auto"/>
        </w:rPr>
        <w:fldChar w:fldCharType="separate"/>
      </w:r>
      <w:r>
        <w:rPr>
          <w:color w:val="auto"/>
        </w:rPr>
        <w:t>31</w:t>
      </w:r>
      <w:r>
        <w:rPr>
          <w:color w:val="auto"/>
        </w:rPr>
        <w:fldChar w:fldCharType="end"/>
      </w:r>
      <w:r>
        <w:rPr>
          <w:color w:val="auto"/>
        </w:rPr>
        <w:fldChar w:fldCharType="end"/>
      </w:r>
    </w:p>
    <w:p>
      <w:pPr>
        <w:pStyle w:val="35"/>
        <w:tabs>
          <w:tab w:val="right" w:leader="dot" w:pos="9660"/>
        </w:tabs>
        <w:spacing w:line="400" w:lineRule="exact"/>
        <w:rPr>
          <w:color w:val="auto"/>
        </w:rPr>
      </w:pPr>
      <w:r>
        <w:rPr>
          <w:color w:val="auto"/>
        </w:rPr>
        <w:fldChar w:fldCharType="begin"/>
      </w:r>
      <w:r>
        <w:rPr>
          <w:color w:val="auto"/>
        </w:rPr>
        <w:instrText xml:space="preserve"> HYPERLINK \l "_Toc30080" </w:instrText>
      </w:r>
      <w:r>
        <w:rPr>
          <w:color w:val="auto"/>
        </w:rPr>
        <w:fldChar w:fldCharType="separate"/>
      </w:r>
      <w:r>
        <w:rPr>
          <w:rFonts w:hint="eastAsia" w:eastAsia="华文中宋" w:cs="华文中宋"/>
          <w:bCs/>
          <w:color w:val="auto"/>
          <w:szCs w:val="32"/>
        </w:rPr>
        <w:t>第三章  工程量清单</w:t>
      </w:r>
      <w:r>
        <w:rPr>
          <w:color w:val="auto"/>
        </w:rPr>
        <w:tab/>
      </w:r>
      <w:r>
        <w:rPr>
          <w:color w:val="auto"/>
        </w:rPr>
        <w:fldChar w:fldCharType="begin"/>
      </w:r>
      <w:r>
        <w:rPr>
          <w:color w:val="auto"/>
        </w:rPr>
        <w:instrText xml:space="preserve"> PAGEREF _Toc30080 \h </w:instrText>
      </w:r>
      <w:r>
        <w:rPr>
          <w:color w:val="auto"/>
        </w:rPr>
        <w:fldChar w:fldCharType="separate"/>
      </w:r>
      <w:r>
        <w:rPr>
          <w:color w:val="auto"/>
        </w:rPr>
        <w:t>33</w:t>
      </w:r>
      <w:r>
        <w:rPr>
          <w:color w:val="auto"/>
        </w:rPr>
        <w:fldChar w:fldCharType="end"/>
      </w:r>
      <w:r>
        <w:rPr>
          <w:color w:val="auto"/>
        </w:rPr>
        <w:fldChar w:fldCharType="end"/>
      </w:r>
    </w:p>
    <w:p>
      <w:pPr>
        <w:pStyle w:val="43"/>
        <w:tabs>
          <w:tab w:val="right" w:leader="dot" w:pos="9660"/>
        </w:tabs>
        <w:spacing w:line="400" w:lineRule="exact"/>
        <w:rPr>
          <w:color w:val="auto"/>
        </w:rPr>
      </w:pPr>
      <w:r>
        <w:rPr>
          <w:color w:val="auto"/>
        </w:rPr>
        <w:fldChar w:fldCharType="begin"/>
      </w:r>
      <w:r>
        <w:rPr>
          <w:color w:val="auto"/>
        </w:rPr>
        <w:instrText xml:space="preserve"> HYPERLINK \l "_Toc23428" </w:instrText>
      </w:r>
      <w:r>
        <w:rPr>
          <w:color w:val="auto"/>
        </w:rPr>
        <w:fldChar w:fldCharType="separate"/>
      </w:r>
      <w:r>
        <w:rPr>
          <w:rFonts w:hint="eastAsia" w:cs="宋体"/>
          <w:color w:val="auto"/>
        </w:rPr>
        <w:t>一、工程量清单说明</w:t>
      </w:r>
      <w:r>
        <w:rPr>
          <w:rFonts w:hint="eastAsia" w:cs="宋体"/>
          <w:color w:val="auto"/>
          <w:kern w:val="21"/>
          <w:szCs w:val="32"/>
        </w:rPr>
        <w:t>：</w:t>
      </w:r>
      <w:r>
        <w:rPr>
          <w:color w:val="auto"/>
        </w:rPr>
        <w:tab/>
      </w:r>
      <w:r>
        <w:rPr>
          <w:color w:val="auto"/>
        </w:rPr>
        <w:fldChar w:fldCharType="begin"/>
      </w:r>
      <w:r>
        <w:rPr>
          <w:color w:val="auto"/>
        </w:rPr>
        <w:instrText xml:space="preserve"> PAGEREF _Toc23428 \h </w:instrText>
      </w:r>
      <w:r>
        <w:rPr>
          <w:color w:val="auto"/>
        </w:rPr>
        <w:fldChar w:fldCharType="separate"/>
      </w:r>
      <w:r>
        <w:rPr>
          <w:color w:val="auto"/>
        </w:rPr>
        <w:t>33</w:t>
      </w:r>
      <w:r>
        <w:rPr>
          <w:color w:val="auto"/>
        </w:rPr>
        <w:fldChar w:fldCharType="end"/>
      </w:r>
      <w:r>
        <w:rPr>
          <w:color w:val="auto"/>
        </w:rPr>
        <w:fldChar w:fldCharType="end"/>
      </w:r>
    </w:p>
    <w:p>
      <w:pPr>
        <w:pStyle w:val="43"/>
        <w:tabs>
          <w:tab w:val="right" w:leader="dot" w:pos="9660"/>
        </w:tabs>
        <w:spacing w:line="400" w:lineRule="exact"/>
        <w:rPr>
          <w:color w:val="auto"/>
        </w:rPr>
      </w:pPr>
      <w:r>
        <w:rPr>
          <w:color w:val="auto"/>
        </w:rPr>
        <w:fldChar w:fldCharType="begin"/>
      </w:r>
      <w:r>
        <w:rPr>
          <w:color w:val="auto"/>
        </w:rPr>
        <w:instrText xml:space="preserve"> HYPERLINK \l "_Toc1915" </w:instrText>
      </w:r>
      <w:r>
        <w:rPr>
          <w:color w:val="auto"/>
        </w:rPr>
        <w:fldChar w:fldCharType="separate"/>
      </w:r>
      <w:r>
        <w:rPr>
          <w:rFonts w:hint="eastAsia" w:cs="宋体"/>
          <w:color w:val="auto"/>
        </w:rPr>
        <w:t>二、注意事项及要求：</w:t>
      </w:r>
      <w:r>
        <w:rPr>
          <w:color w:val="auto"/>
        </w:rPr>
        <w:tab/>
      </w:r>
      <w:r>
        <w:rPr>
          <w:color w:val="auto"/>
        </w:rPr>
        <w:fldChar w:fldCharType="begin"/>
      </w:r>
      <w:r>
        <w:rPr>
          <w:color w:val="auto"/>
        </w:rPr>
        <w:instrText xml:space="preserve"> PAGEREF _Toc1915 \h </w:instrText>
      </w:r>
      <w:r>
        <w:rPr>
          <w:color w:val="auto"/>
        </w:rPr>
        <w:fldChar w:fldCharType="separate"/>
      </w:r>
      <w:r>
        <w:rPr>
          <w:color w:val="auto"/>
        </w:rPr>
        <w:t>34</w:t>
      </w:r>
      <w:r>
        <w:rPr>
          <w:color w:val="auto"/>
        </w:rPr>
        <w:fldChar w:fldCharType="end"/>
      </w:r>
      <w:r>
        <w:rPr>
          <w:color w:val="auto"/>
        </w:rPr>
        <w:fldChar w:fldCharType="end"/>
      </w:r>
    </w:p>
    <w:p>
      <w:pPr>
        <w:pStyle w:val="43"/>
        <w:tabs>
          <w:tab w:val="right" w:leader="dot" w:pos="9660"/>
        </w:tabs>
        <w:spacing w:line="400" w:lineRule="exact"/>
        <w:rPr>
          <w:color w:val="auto"/>
        </w:rPr>
      </w:pPr>
      <w:r>
        <w:rPr>
          <w:color w:val="auto"/>
        </w:rPr>
        <w:fldChar w:fldCharType="begin"/>
      </w:r>
      <w:r>
        <w:rPr>
          <w:color w:val="auto"/>
        </w:rPr>
        <w:instrText xml:space="preserve"> HYPERLINK \l "_Toc22397" </w:instrText>
      </w:r>
      <w:r>
        <w:rPr>
          <w:color w:val="auto"/>
        </w:rPr>
        <w:fldChar w:fldCharType="separate"/>
      </w:r>
      <w:r>
        <w:rPr>
          <w:rFonts w:hint="eastAsia" w:cs="宋体"/>
          <w:color w:val="auto"/>
        </w:rPr>
        <w:t>三、工程量清单（另册）</w:t>
      </w:r>
      <w:r>
        <w:rPr>
          <w:color w:val="auto"/>
        </w:rPr>
        <w:tab/>
      </w:r>
      <w:r>
        <w:rPr>
          <w:color w:val="auto"/>
        </w:rPr>
        <w:fldChar w:fldCharType="begin"/>
      </w:r>
      <w:r>
        <w:rPr>
          <w:color w:val="auto"/>
        </w:rPr>
        <w:instrText xml:space="preserve"> PAGEREF _Toc22397 \h </w:instrText>
      </w:r>
      <w:r>
        <w:rPr>
          <w:color w:val="auto"/>
        </w:rPr>
        <w:fldChar w:fldCharType="separate"/>
      </w:r>
      <w:r>
        <w:rPr>
          <w:color w:val="auto"/>
        </w:rPr>
        <w:t>34</w:t>
      </w:r>
      <w:r>
        <w:rPr>
          <w:color w:val="auto"/>
        </w:rPr>
        <w:fldChar w:fldCharType="end"/>
      </w:r>
      <w:r>
        <w:rPr>
          <w:color w:val="auto"/>
        </w:rPr>
        <w:fldChar w:fldCharType="end"/>
      </w:r>
    </w:p>
    <w:p>
      <w:pPr>
        <w:pStyle w:val="35"/>
        <w:tabs>
          <w:tab w:val="right" w:leader="dot" w:pos="9660"/>
        </w:tabs>
        <w:spacing w:line="400" w:lineRule="exact"/>
        <w:rPr>
          <w:color w:val="auto"/>
        </w:rPr>
      </w:pPr>
      <w:r>
        <w:rPr>
          <w:color w:val="auto"/>
        </w:rPr>
        <w:fldChar w:fldCharType="begin"/>
      </w:r>
      <w:r>
        <w:rPr>
          <w:color w:val="auto"/>
        </w:rPr>
        <w:instrText xml:space="preserve"> HYPERLINK \l "_Toc25073" </w:instrText>
      </w:r>
      <w:r>
        <w:rPr>
          <w:color w:val="auto"/>
        </w:rPr>
        <w:fldChar w:fldCharType="separate"/>
      </w:r>
      <w:r>
        <w:rPr>
          <w:rFonts w:hint="eastAsia" w:eastAsia="华文中宋" w:cs="华文中宋"/>
          <w:bCs/>
          <w:color w:val="auto"/>
          <w:szCs w:val="32"/>
        </w:rPr>
        <w:t>第四章  评审办法</w:t>
      </w:r>
      <w:r>
        <w:rPr>
          <w:color w:val="auto"/>
        </w:rPr>
        <w:tab/>
      </w:r>
      <w:r>
        <w:rPr>
          <w:color w:val="auto"/>
        </w:rPr>
        <w:fldChar w:fldCharType="begin"/>
      </w:r>
      <w:r>
        <w:rPr>
          <w:color w:val="auto"/>
        </w:rPr>
        <w:instrText xml:space="preserve"> PAGEREF _Toc25073 \h </w:instrText>
      </w:r>
      <w:r>
        <w:rPr>
          <w:color w:val="auto"/>
        </w:rPr>
        <w:fldChar w:fldCharType="separate"/>
      </w:r>
      <w:r>
        <w:rPr>
          <w:color w:val="auto"/>
        </w:rPr>
        <w:t>35</w:t>
      </w:r>
      <w:r>
        <w:rPr>
          <w:color w:val="auto"/>
        </w:rPr>
        <w:fldChar w:fldCharType="end"/>
      </w:r>
      <w:r>
        <w:rPr>
          <w:color w:val="auto"/>
        </w:rPr>
        <w:fldChar w:fldCharType="end"/>
      </w:r>
    </w:p>
    <w:p>
      <w:pPr>
        <w:pStyle w:val="43"/>
        <w:tabs>
          <w:tab w:val="right" w:leader="dot" w:pos="9660"/>
        </w:tabs>
        <w:spacing w:line="400" w:lineRule="exact"/>
        <w:rPr>
          <w:color w:val="auto"/>
        </w:rPr>
      </w:pPr>
      <w:r>
        <w:rPr>
          <w:color w:val="auto"/>
        </w:rPr>
        <w:fldChar w:fldCharType="begin"/>
      </w:r>
      <w:r>
        <w:rPr>
          <w:color w:val="auto"/>
        </w:rPr>
        <w:instrText xml:space="preserve"> HYPERLINK \l "_Toc12444" </w:instrText>
      </w:r>
      <w:r>
        <w:rPr>
          <w:color w:val="auto"/>
        </w:rPr>
        <w:fldChar w:fldCharType="separate"/>
      </w:r>
      <w:r>
        <w:rPr>
          <w:rFonts w:hint="eastAsia" w:cs="宋体"/>
          <w:bCs/>
          <w:color w:val="auto"/>
        </w:rPr>
        <w:t>一、评审依据及方式</w:t>
      </w:r>
      <w:r>
        <w:rPr>
          <w:color w:val="auto"/>
        </w:rPr>
        <w:tab/>
      </w:r>
      <w:r>
        <w:rPr>
          <w:color w:val="auto"/>
        </w:rPr>
        <w:fldChar w:fldCharType="begin"/>
      </w:r>
      <w:r>
        <w:rPr>
          <w:color w:val="auto"/>
        </w:rPr>
        <w:instrText xml:space="preserve"> PAGEREF _Toc12444 \h </w:instrText>
      </w:r>
      <w:r>
        <w:rPr>
          <w:color w:val="auto"/>
        </w:rPr>
        <w:fldChar w:fldCharType="separate"/>
      </w:r>
      <w:r>
        <w:rPr>
          <w:color w:val="auto"/>
        </w:rPr>
        <w:t>35</w:t>
      </w:r>
      <w:r>
        <w:rPr>
          <w:color w:val="auto"/>
        </w:rPr>
        <w:fldChar w:fldCharType="end"/>
      </w:r>
      <w:r>
        <w:rPr>
          <w:color w:val="auto"/>
        </w:rPr>
        <w:fldChar w:fldCharType="end"/>
      </w:r>
    </w:p>
    <w:p>
      <w:pPr>
        <w:pStyle w:val="43"/>
        <w:tabs>
          <w:tab w:val="right" w:leader="dot" w:pos="9660"/>
        </w:tabs>
        <w:spacing w:line="400" w:lineRule="exact"/>
        <w:rPr>
          <w:color w:val="auto"/>
        </w:rPr>
      </w:pPr>
      <w:r>
        <w:rPr>
          <w:color w:val="auto"/>
        </w:rPr>
        <w:fldChar w:fldCharType="begin"/>
      </w:r>
      <w:r>
        <w:rPr>
          <w:color w:val="auto"/>
        </w:rPr>
        <w:instrText xml:space="preserve"> HYPERLINK \l "_Toc8759" </w:instrText>
      </w:r>
      <w:r>
        <w:rPr>
          <w:color w:val="auto"/>
        </w:rPr>
        <w:fldChar w:fldCharType="separate"/>
      </w:r>
      <w:r>
        <w:rPr>
          <w:rFonts w:hint="eastAsia" w:cs="宋体"/>
          <w:bCs/>
          <w:color w:val="auto"/>
        </w:rPr>
        <w:t>二、评审办法</w:t>
      </w:r>
      <w:r>
        <w:rPr>
          <w:color w:val="auto"/>
        </w:rPr>
        <w:tab/>
      </w:r>
      <w:r>
        <w:rPr>
          <w:color w:val="auto"/>
        </w:rPr>
        <w:fldChar w:fldCharType="begin"/>
      </w:r>
      <w:r>
        <w:rPr>
          <w:color w:val="auto"/>
        </w:rPr>
        <w:instrText xml:space="preserve"> PAGEREF _Toc8759 \h </w:instrText>
      </w:r>
      <w:r>
        <w:rPr>
          <w:color w:val="auto"/>
        </w:rPr>
        <w:fldChar w:fldCharType="separate"/>
      </w:r>
      <w:r>
        <w:rPr>
          <w:color w:val="auto"/>
        </w:rPr>
        <w:t>35</w:t>
      </w:r>
      <w:r>
        <w:rPr>
          <w:color w:val="auto"/>
        </w:rPr>
        <w:fldChar w:fldCharType="end"/>
      </w:r>
      <w:r>
        <w:rPr>
          <w:color w:val="auto"/>
        </w:rPr>
        <w:fldChar w:fldCharType="end"/>
      </w:r>
    </w:p>
    <w:p>
      <w:pPr>
        <w:pStyle w:val="43"/>
        <w:tabs>
          <w:tab w:val="right" w:leader="dot" w:pos="9660"/>
        </w:tabs>
        <w:spacing w:line="400" w:lineRule="exact"/>
        <w:rPr>
          <w:color w:val="auto"/>
        </w:rPr>
      </w:pPr>
      <w:r>
        <w:rPr>
          <w:color w:val="auto"/>
        </w:rPr>
        <w:fldChar w:fldCharType="begin"/>
      </w:r>
      <w:r>
        <w:rPr>
          <w:color w:val="auto"/>
        </w:rPr>
        <w:instrText xml:space="preserve"> HYPERLINK \l "_Toc32125" </w:instrText>
      </w:r>
      <w:r>
        <w:rPr>
          <w:color w:val="auto"/>
        </w:rPr>
        <w:fldChar w:fldCharType="separate"/>
      </w:r>
      <w:r>
        <w:rPr>
          <w:rFonts w:hint="eastAsia" w:cs="宋体"/>
          <w:color w:val="auto"/>
          <w:szCs w:val="21"/>
        </w:rPr>
        <w:t>三、推荐成交候选人原则</w:t>
      </w:r>
      <w:r>
        <w:rPr>
          <w:color w:val="auto"/>
        </w:rPr>
        <w:tab/>
      </w:r>
      <w:r>
        <w:rPr>
          <w:color w:val="auto"/>
        </w:rPr>
        <w:fldChar w:fldCharType="begin"/>
      </w:r>
      <w:r>
        <w:rPr>
          <w:color w:val="auto"/>
        </w:rPr>
        <w:instrText xml:space="preserve"> PAGEREF _Toc32125 \h </w:instrText>
      </w:r>
      <w:r>
        <w:rPr>
          <w:color w:val="auto"/>
        </w:rPr>
        <w:fldChar w:fldCharType="separate"/>
      </w:r>
      <w:r>
        <w:rPr>
          <w:color w:val="auto"/>
        </w:rPr>
        <w:t>37</w:t>
      </w:r>
      <w:r>
        <w:rPr>
          <w:color w:val="auto"/>
        </w:rPr>
        <w:fldChar w:fldCharType="end"/>
      </w:r>
      <w:r>
        <w:rPr>
          <w:color w:val="auto"/>
        </w:rPr>
        <w:fldChar w:fldCharType="end"/>
      </w:r>
    </w:p>
    <w:p>
      <w:pPr>
        <w:pStyle w:val="43"/>
        <w:tabs>
          <w:tab w:val="right" w:leader="dot" w:pos="9660"/>
        </w:tabs>
        <w:spacing w:line="400" w:lineRule="exact"/>
        <w:rPr>
          <w:color w:val="auto"/>
        </w:rPr>
      </w:pPr>
      <w:r>
        <w:rPr>
          <w:color w:val="auto"/>
        </w:rPr>
        <w:fldChar w:fldCharType="begin"/>
      </w:r>
      <w:r>
        <w:rPr>
          <w:color w:val="auto"/>
        </w:rPr>
        <w:instrText xml:space="preserve"> HYPERLINK \l "_Toc16533" </w:instrText>
      </w:r>
      <w:r>
        <w:rPr>
          <w:color w:val="auto"/>
        </w:rPr>
        <w:fldChar w:fldCharType="separate"/>
      </w:r>
      <w:r>
        <w:rPr>
          <w:rFonts w:hint="eastAsia" w:cs="宋体"/>
          <w:bCs/>
          <w:color w:val="auto"/>
        </w:rPr>
        <w:t>附表</w:t>
      </w:r>
      <w:r>
        <w:rPr>
          <w:color w:val="auto"/>
        </w:rPr>
        <w:tab/>
      </w:r>
      <w:r>
        <w:rPr>
          <w:color w:val="auto"/>
        </w:rPr>
        <w:fldChar w:fldCharType="begin"/>
      </w:r>
      <w:r>
        <w:rPr>
          <w:color w:val="auto"/>
        </w:rPr>
        <w:instrText xml:space="preserve"> PAGEREF _Toc16533 \h </w:instrText>
      </w:r>
      <w:r>
        <w:rPr>
          <w:color w:val="auto"/>
        </w:rPr>
        <w:fldChar w:fldCharType="separate"/>
      </w:r>
      <w:r>
        <w:rPr>
          <w:color w:val="auto"/>
        </w:rPr>
        <w:t>38</w:t>
      </w:r>
      <w:r>
        <w:rPr>
          <w:color w:val="auto"/>
        </w:rPr>
        <w:fldChar w:fldCharType="end"/>
      </w:r>
      <w:r>
        <w:rPr>
          <w:color w:val="auto"/>
        </w:rPr>
        <w:fldChar w:fldCharType="end"/>
      </w:r>
    </w:p>
    <w:p>
      <w:pPr>
        <w:pStyle w:val="35"/>
        <w:tabs>
          <w:tab w:val="right" w:leader="dot" w:pos="9660"/>
        </w:tabs>
        <w:spacing w:line="400" w:lineRule="exact"/>
        <w:rPr>
          <w:color w:val="auto"/>
        </w:rPr>
      </w:pPr>
      <w:r>
        <w:rPr>
          <w:color w:val="auto"/>
        </w:rPr>
        <w:fldChar w:fldCharType="begin"/>
      </w:r>
      <w:r>
        <w:rPr>
          <w:color w:val="auto"/>
        </w:rPr>
        <w:instrText xml:space="preserve"> HYPERLINK \l "_Toc2307" </w:instrText>
      </w:r>
      <w:r>
        <w:rPr>
          <w:color w:val="auto"/>
        </w:rPr>
        <w:fldChar w:fldCharType="separate"/>
      </w:r>
      <w:r>
        <w:rPr>
          <w:rFonts w:hint="eastAsia" w:eastAsia="华文中宋" w:cs="华文中宋"/>
          <w:bCs/>
          <w:color w:val="auto"/>
          <w:szCs w:val="32"/>
        </w:rPr>
        <w:t>第五章  采购合同（合同主要条款及格式）</w:t>
      </w:r>
      <w:r>
        <w:rPr>
          <w:color w:val="auto"/>
        </w:rPr>
        <w:tab/>
      </w:r>
      <w:r>
        <w:rPr>
          <w:color w:val="auto"/>
        </w:rPr>
        <w:fldChar w:fldCharType="begin"/>
      </w:r>
      <w:r>
        <w:rPr>
          <w:color w:val="auto"/>
        </w:rPr>
        <w:instrText xml:space="preserve"> PAGEREF _Toc2307 \h </w:instrText>
      </w:r>
      <w:r>
        <w:rPr>
          <w:color w:val="auto"/>
        </w:rPr>
        <w:fldChar w:fldCharType="separate"/>
      </w:r>
      <w:r>
        <w:rPr>
          <w:color w:val="auto"/>
        </w:rPr>
        <w:t>40</w:t>
      </w:r>
      <w:r>
        <w:rPr>
          <w:color w:val="auto"/>
        </w:rPr>
        <w:fldChar w:fldCharType="end"/>
      </w:r>
      <w:r>
        <w:rPr>
          <w:color w:val="auto"/>
        </w:rPr>
        <w:fldChar w:fldCharType="end"/>
      </w:r>
    </w:p>
    <w:p>
      <w:pPr>
        <w:pStyle w:val="35"/>
        <w:tabs>
          <w:tab w:val="right" w:leader="dot" w:pos="9660"/>
        </w:tabs>
        <w:spacing w:line="400" w:lineRule="exact"/>
        <w:rPr>
          <w:color w:val="auto"/>
        </w:rPr>
      </w:pPr>
      <w:r>
        <w:rPr>
          <w:color w:val="auto"/>
        </w:rPr>
        <w:fldChar w:fldCharType="begin"/>
      </w:r>
      <w:r>
        <w:rPr>
          <w:color w:val="auto"/>
        </w:rPr>
        <w:instrText xml:space="preserve"> HYPERLINK \l "_Toc11163" </w:instrText>
      </w:r>
      <w:r>
        <w:rPr>
          <w:color w:val="auto"/>
        </w:rPr>
        <w:fldChar w:fldCharType="separate"/>
      </w:r>
      <w:r>
        <w:rPr>
          <w:rFonts w:hint="eastAsia" w:eastAsia="华文中宋" w:cs="华文中宋"/>
          <w:bCs/>
          <w:color w:val="auto"/>
          <w:szCs w:val="32"/>
        </w:rPr>
        <w:t>第六章  响应文件（格式）</w:t>
      </w:r>
      <w:r>
        <w:rPr>
          <w:color w:val="auto"/>
        </w:rPr>
        <w:tab/>
      </w:r>
      <w:r>
        <w:rPr>
          <w:color w:val="auto"/>
        </w:rPr>
        <w:fldChar w:fldCharType="begin"/>
      </w:r>
      <w:r>
        <w:rPr>
          <w:color w:val="auto"/>
        </w:rPr>
        <w:instrText xml:space="preserve"> PAGEREF _Toc11163 \h </w:instrText>
      </w:r>
      <w:r>
        <w:rPr>
          <w:color w:val="auto"/>
        </w:rPr>
        <w:fldChar w:fldCharType="separate"/>
      </w:r>
      <w:r>
        <w:rPr>
          <w:color w:val="auto"/>
        </w:rPr>
        <w:t>59</w:t>
      </w:r>
      <w:r>
        <w:rPr>
          <w:color w:val="auto"/>
        </w:rPr>
        <w:fldChar w:fldCharType="end"/>
      </w:r>
      <w:r>
        <w:rPr>
          <w:color w:val="auto"/>
        </w:rPr>
        <w:fldChar w:fldCharType="end"/>
      </w:r>
    </w:p>
    <w:p>
      <w:pPr>
        <w:pStyle w:val="35"/>
        <w:tabs>
          <w:tab w:val="right" w:leader="dot" w:pos="9660"/>
        </w:tabs>
        <w:spacing w:line="400" w:lineRule="exact"/>
        <w:rPr>
          <w:color w:val="auto"/>
        </w:rPr>
      </w:pPr>
      <w:r>
        <w:rPr>
          <w:color w:val="auto"/>
        </w:rPr>
        <w:fldChar w:fldCharType="begin"/>
      </w:r>
      <w:r>
        <w:rPr>
          <w:color w:val="auto"/>
        </w:rPr>
        <w:instrText xml:space="preserve"> HYPERLINK \l "_Toc13893" </w:instrText>
      </w:r>
      <w:r>
        <w:rPr>
          <w:color w:val="auto"/>
        </w:rPr>
        <w:fldChar w:fldCharType="separate"/>
      </w:r>
      <w:r>
        <w:rPr>
          <w:rFonts w:hint="eastAsia" w:eastAsia="华文中宋" w:cs="华文中宋"/>
          <w:bCs/>
          <w:color w:val="auto"/>
          <w:szCs w:val="32"/>
        </w:rPr>
        <w:t>第七章  图纸</w:t>
      </w:r>
      <w:r>
        <w:rPr>
          <w:color w:val="auto"/>
        </w:rPr>
        <w:tab/>
      </w:r>
      <w:r>
        <w:rPr>
          <w:color w:val="auto"/>
        </w:rPr>
        <w:fldChar w:fldCharType="begin"/>
      </w:r>
      <w:r>
        <w:rPr>
          <w:color w:val="auto"/>
        </w:rPr>
        <w:instrText xml:space="preserve"> PAGEREF _Toc13893 \h </w:instrText>
      </w:r>
      <w:r>
        <w:rPr>
          <w:color w:val="auto"/>
        </w:rPr>
        <w:fldChar w:fldCharType="separate"/>
      </w:r>
      <w:r>
        <w:rPr>
          <w:color w:val="auto"/>
        </w:rPr>
        <w:t>83</w:t>
      </w:r>
      <w:r>
        <w:rPr>
          <w:color w:val="auto"/>
        </w:rPr>
        <w:fldChar w:fldCharType="end"/>
      </w:r>
      <w:r>
        <w:rPr>
          <w:color w:val="auto"/>
        </w:rPr>
        <w:fldChar w:fldCharType="end"/>
      </w:r>
    </w:p>
    <w:p>
      <w:pPr>
        <w:pStyle w:val="35"/>
        <w:tabs>
          <w:tab w:val="right" w:leader="dot" w:pos="9660"/>
        </w:tabs>
        <w:spacing w:line="400" w:lineRule="exact"/>
        <w:rPr>
          <w:color w:val="auto"/>
        </w:rPr>
      </w:pPr>
      <w:r>
        <w:rPr>
          <w:color w:val="auto"/>
        </w:rPr>
        <w:fldChar w:fldCharType="begin"/>
      </w:r>
      <w:r>
        <w:rPr>
          <w:color w:val="auto"/>
        </w:rPr>
        <w:instrText xml:space="preserve"> HYPERLINK \l "_Toc16028" </w:instrText>
      </w:r>
      <w:r>
        <w:rPr>
          <w:color w:val="auto"/>
        </w:rPr>
        <w:fldChar w:fldCharType="separate"/>
      </w:r>
      <w:r>
        <w:rPr>
          <w:rFonts w:hint="eastAsia" w:eastAsia="华文中宋" w:cs="华文中宋"/>
          <w:bCs/>
          <w:color w:val="auto"/>
          <w:szCs w:val="32"/>
        </w:rPr>
        <w:t>第八章  技术标准和要求</w:t>
      </w:r>
      <w:r>
        <w:rPr>
          <w:color w:val="auto"/>
        </w:rPr>
        <w:tab/>
      </w:r>
      <w:r>
        <w:rPr>
          <w:color w:val="auto"/>
        </w:rPr>
        <w:fldChar w:fldCharType="begin"/>
      </w:r>
      <w:r>
        <w:rPr>
          <w:color w:val="auto"/>
        </w:rPr>
        <w:instrText xml:space="preserve"> PAGEREF _Toc16028 \h </w:instrText>
      </w:r>
      <w:r>
        <w:rPr>
          <w:color w:val="auto"/>
        </w:rPr>
        <w:fldChar w:fldCharType="separate"/>
      </w:r>
      <w:r>
        <w:rPr>
          <w:color w:val="auto"/>
        </w:rPr>
        <w:t>83</w:t>
      </w:r>
      <w:r>
        <w:rPr>
          <w:color w:val="auto"/>
        </w:rPr>
        <w:fldChar w:fldCharType="end"/>
      </w:r>
      <w:r>
        <w:rPr>
          <w:color w:val="auto"/>
        </w:rPr>
        <w:fldChar w:fldCharType="end"/>
      </w:r>
    </w:p>
    <w:p>
      <w:pPr>
        <w:pStyle w:val="35"/>
        <w:tabs>
          <w:tab w:val="right" w:leader="dot" w:pos="9660"/>
        </w:tabs>
        <w:spacing w:line="380" w:lineRule="exact"/>
        <w:rPr>
          <w:color w:val="auto"/>
        </w:rPr>
      </w:pPr>
      <w:r>
        <w:rPr>
          <w:rFonts w:hint="eastAsia" w:cs="宋体"/>
          <w:color w:val="auto"/>
          <w:spacing w:val="-6"/>
          <w:kern w:val="0"/>
        </w:rPr>
        <w:fldChar w:fldCharType="end"/>
      </w:r>
    </w:p>
    <w:p>
      <w:pPr>
        <w:pStyle w:val="3"/>
        <w:numPr>
          <w:ilvl w:val="0"/>
          <w:numId w:val="1"/>
        </w:numPr>
        <w:tabs>
          <w:tab w:val="left" w:pos="0"/>
        </w:tabs>
        <w:autoSpaceDE w:val="0"/>
        <w:autoSpaceDN w:val="0"/>
        <w:adjustRightInd w:val="0"/>
        <w:spacing w:before="0" w:after="0" w:line="360" w:lineRule="auto"/>
        <w:ind w:firstLine="425"/>
        <w:jc w:val="center"/>
        <w:rPr>
          <w:rFonts w:cs="宋体"/>
          <w:color w:val="auto"/>
          <w:sz w:val="32"/>
          <w:szCs w:val="32"/>
        </w:rPr>
        <w:sectPr>
          <w:footerReference r:id="rId4" w:type="first"/>
          <w:footerReference r:id="rId3" w:type="default"/>
          <w:pgSz w:w="11906" w:h="16838"/>
          <w:pgMar w:top="1418" w:right="1115" w:bottom="1418" w:left="1131" w:header="851" w:footer="992" w:gutter="0"/>
          <w:pgNumType w:fmt="upperRoman" w:start="1"/>
          <w:cols w:space="720" w:num="1"/>
          <w:titlePg/>
          <w:docGrid w:type="lines" w:linePitch="312" w:charSpace="0"/>
        </w:sectPr>
      </w:pPr>
      <w:bookmarkStart w:id="0" w:name="_Toc1752"/>
      <w:bookmarkStart w:id="1" w:name="_Toc28359011"/>
      <w:bookmarkStart w:id="2" w:name="_Toc35393797"/>
      <w:bookmarkStart w:id="3" w:name="_Toc26809"/>
      <w:bookmarkStart w:id="4" w:name="_Toc30170"/>
      <w:bookmarkStart w:id="5" w:name="_Toc21930"/>
    </w:p>
    <w:bookmarkEnd w:id="0"/>
    <w:bookmarkEnd w:id="1"/>
    <w:bookmarkEnd w:id="2"/>
    <w:bookmarkEnd w:id="3"/>
    <w:bookmarkEnd w:id="4"/>
    <w:bookmarkEnd w:id="5"/>
    <w:p>
      <w:pPr>
        <w:jc w:val="center"/>
        <w:outlineLvl w:val="0"/>
        <w:rPr>
          <w:rFonts w:hint="default" w:eastAsia="华文中宋"/>
          <w:b/>
          <w:bCs/>
          <w:color w:val="auto"/>
          <w:sz w:val="32"/>
          <w:szCs w:val="32"/>
          <w:lang w:val="en-US" w:eastAsia="zh-CN"/>
        </w:rPr>
      </w:pPr>
      <w:bookmarkStart w:id="6" w:name="_Toc31269"/>
      <w:r>
        <w:rPr>
          <w:rFonts w:eastAsia="华文中宋"/>
          <w:b/>
          <w:bCs/>
          <w:color w:val="auto"/>
          <w:sz w:val="32"/>
          <w:szCs w:val="32"/>
        </w:rPr>
        <w:t xml:space="preserve">第一章  </w:t>
      </w:r>
      <w:bookmarkEnd w:id="6"/>
      <w:r>
        <w:rPr>
          <w:rFonts w:hint="eastAsia" w:eastAsia="华文中宋"/>
          <w:b/>
          <w:bCs/>
          <w:color w:val="auto"/>
          <w:sz w:val="32"/>
          <w:szCs w:val="32"/>
          <w:lang w:val="en-US" w:eastAsia="zh-CN"/>
        </w:rPr>
        <w:t>竞争性磋商公告</w:t>
      </w:r>
    </w:p>
    <w:p>
      <w:pPr>
        <w:spacing w:after="156" w:afterLines="50" w:line="400" w:lineRule="exact"/>
        <w:rPr>
          <w:b/>
          <w:bCs/>
          <w:color w:val="auto"/>
          <w:szCs w:val="21"/>
        </w:rPr>
      </w:pPr>
    </w:p>
    <w:p>
      <w:pPr>
        <w:pBdr>
          <w:top w:val="single" w:color="auto" w:sz="4" w:space="0"/>
          <w:left w:val="single" w:color="auto" w:sz="4" w:space="0"/>
          <w:bottom w:val="single" w:color="auto" w:sz="4" w:space="0"/>
          <w:right w:val="single" w:color="auto" w:sz="4" w:space="0"/>
        </w:pBdr>
        <w:spacing w:line="390" w:lineRule="exact"/>
        <w:ind w:firstLine="420" w:firstLineChars="200"/>
        <w:rPr>
          <w:color w:val="auto"/>
          <w:u w:val="single"/>
        </w:rPr>
      </w:pPr>
      <w:r>
        <w:rPr>
          <w:rFonts w:hint="eastAsia" w:ascii="宋体" w:hAnsi="宋体"/>
          <w:color w:val="auto"/>
          <w:szCs w:val="21"/>
        </w:rPr>
        <w:t>项目概况</w:t>
      </w:r>
    </w:p>
    <w:p>
      <w:pPr>
        <w:pBdr>
          <w:top w:val="single" w:color="auto" w:sz="4" w:space="0"/>
          <w:left w:val="single" w:color="auto" w:sz="4" w:space="0"/>
          <w:bottom w:val="single" w:color="auto" w:sz="4" w:space="0"/>
          <w:right w:val="single" w:color="auto" w:sz="4" w:space="0"/>
        </w:pBdr>
        <w:spacing w:line="390" w:lineRule="exact"/>
        <w:ind w:firstLine="420" w:firstLineChars="200"/>
        <w:rPr>
          <w:color w:val="auto"/>
        </w:rPr>
      </w:pPr>
      <w:r>
        <w:rPr>
          <w:rFonts w:hint="eastAsia"/>
          <w:color w:val="auto"/>
          <w:u w:val="single"/>
        </w:rPr>
        <w:t>灵川县灵川镇木马村委三排至车田优质稻产业基地内灌溉水渠工程</w:t>
      </w:r>
      <w:r>
        <w:rPr>
          <w:color w:val="auto"/>
        </w:rPr>
        <w:t>采购项目的潜在供应商</w:t>
      </w:r>
      <w:r>
        <w:rPr>
          <w:rFonts w:hint="eastAsia"/>
          <w:color w:val="auto"/>
        </w:rPr>
        <w:t>登录</w:t>
      </w:r>
      <w:r>
        <w:rPr>
          <w:rFonts w:hint="eastAsia"/>
          <w:color w:val="auto"/>
          <w:szCs w:val="21"/>
          <w:u w:val="single"/>
        </w:rPr>
        <w:t>广西政府采购云平台（https://www.gcy.zfcg.gxzf.gov.cn/）</w:t>
      </w:r>
      <w:r>
        <w:rPr>
          <w:color w:val="auto"/>
        </w:rPr>
        <w:t>免费下载竞争性磋商文件电子版，并于</w:t>
      </w:r>
      <w:r>
        <w:rPr>
          <w:rFonts w:hint="eastAsia"/>
          <w:color w:val="auto"/>
        </w:rPr>
        <w:t>2024年</w:t>
      </w:r>
      <w:r>
        <w:rPr>
          <w:rFonts w:hint="eastAsia"/>
          <w:color w:val="auto"/>
          <w:lang w:val="en-US" w:eastAsia="zh-CN"/>
        </w:rPr>
        <w:t>5</w:t>
      </w:r>
      <w:r>
        <w:rPr>
          <w:rFonts w:hint="eastAsia"/>
          <w:color w:val="auto"/>
        </w:rPr>
        <w:t>月</w:t>
      </w:r>
      <w:r>
        <w:rPr>
          <w:rFonts w:hint="eastAsia"/>
          <w:color w:val="auto"/>
          <w:lang w:val="en-US" w:eastAsia="zh-CN"/>
        </w:rPr>
        <w:t>28</w:t>
      </w:r>
      <w:r>
        <w:rPr>
          <w:rFonts w:hint="eastAsia"/>
          <w:color w:val="auto"/>
        </w:rPr>
        <w:t>日10时3</w:t>
      </w:r>
      <w:r>
        <w:rPr>
          <w:color w:val="auto"/>
        </w:rPr>
        <w:t>0分（北京时间）前提交</w:t>
      </w:r>
      <w:r>
        <w:rPr>
          <w:rFonts w:hint="eastAsia"/>
          <w:color w:val="auto"/>
        </w:rPr>
        <w:t>响应</w:t>
      </w:r>
      <w:r>
        <w:rPr>
          <w:color w:val="auto"/>
        </w:rPr>
        <w:t>文件。</w:t>
      </w:r>
    </w:p>
    <w:p>
      <w:pPr>
        <w:spacing w:line="390" w:lineRule="exact"/>
        <w:outlineLvl w:val="1"/>
        <w:rPr>
          <w:b/>
          <w:bCs/>
          <w:color w:val="auto"/>
          <w:szCs w:val="21"/>
        </w:rPr>
      </w:pPr>
      <w:bookmarkStart w:id="7" w:name="_Toc23416"/>
      <w:bookmarkStart w:id="8" w:name="_Toc35393629"/>
      <w:bookmarkStart w:id="9" w:name="_Toc24797"/>
      <w:bookmarkStart w:id="10" w:name="_Toc35393798"/>
      <w:bookmarkStart w:id="11" w:name="_Toc15564"/>
      <w:bookmarkStart w:id="12" w:name="_Toc28359012"/>
      <w:bookmarkStart w:id="13" w:name="_Toc28359089"/>
      <w:bookmarkStart w:id="14" w:name="_Toc18672"/>
      <w:bookmarkStart w:id="15" w:name="_Toc28343"/>
      <w:r>
        <w:rPr>
          <w:b/>
          <w:bCs/>
          <w:color w:val="auto"/>
          <w:szCs w:val="21"/>
        </w:rPr>
        <w:t>一、项目基本情况</w:t>
      </w:r>
      <w:bookmarkEnd w:id="7"/>
      <w:bookmarkEnd w:id="8"/>
      <w:bookmarkEnd w:id="9"/>
      <w:bookmarkEnd w:id="10"/>
      <w:bookmarkEnd w:id="11"/>
      <w:bookmarkEnd w:id="12"/>
      <w:bookmarkEnd w:id="13"/>
      <w:bookmarkEnd w:id="14"/>
      <w:bookmarkEnd w:id="15"/>
    </w:p>
    <w:p>
      <w:pPr>
        <w:spacing w:line="390" w:lineRule="exact"/>
        <w:ind w:firstLine="420" w:firstLineChars="200"/>
        <w:rPr>
          <w:rFonts w:hint="default"/>
          <w:color w:val="auto"/>
          <w:szCs w:val="21"/>
          <w:lang w:val="en-US"/>
        </w:rPr>
      </w:pPr>
      <w:r>
        <w:rPr>
          <w:color w:val="auto"/>
          <w:szCs w:val="21"/>
        </w:rPr>
        <w:t>1、项目编号：</w:t>
      </w:r>
      <w:r>
        <w:rPr>
          <w:rFonts w:hint="default"/>
          <w:color w:val="auto"/>
          <w:szCs w:val="21"/>
          <w:lang w:val="en-US"/>
        </w:rPr>
        <w:t>GLZC2024-C2-230170-KLZB</w:t>
      </w:r>
    </w:p>
    <w:p>
      <w:pPr>
        <w:spacing w:line="390" w:lineRule="exact"/>
        <w:ind w:firstLine="420" w:firstLineChars="200"/>
        <w:rPr>
          <w:color w:val="auto"/>
          <w:szCs w:val="21"/>
          <w:u w:val="single"/>
        </w:rPr>
      </w:pPr>
      <w:r>
        <w:rPr>
          <w:color w:val="auto"/>
          <w:szCs w:val="21"/>
        </w:rPr>
        <w:t>2、项目名称：</w:t>
      </w:r>
      <w:r>
        <w:rPr>
          <w:rFonts w:hint="eastAsia"/>
          <w:color w:val="auto"/>
          <w:szCs w:val="21"/>
        </w:rPr>
        <w:t>灵川县灵川镇木马村委三排至车田优质稻产业基地内灌溉水渠工程</w:t>
      </w:r>
    </w:p>
    <w:p>
      <w:pPr>
        <w:spacing w:line="390" w:lineRule="exact"/>
        <w:ind w:firstLine="420" w:firstLineChars="200"/>
        <w:rPr>
          <w:color w:val="auto"/>
          <w:szCs w:val="21"/>
        </w:rPr>
      </w:pPr>
      <w:r>
        <w:rPr>
          <w:color w:val="auto"/>
          <w:szCs w:val="21"/>
        </w:rPr>
        <w:t>3、采购方式：竞争性磋商</w:t>
      </w:r>
    </w:p>
    <w:p>
      <w:pPr>
        <w:spacing w:line="390" w:lineRule="exact"/>
        <w:ind w:firstLine="420" w:firstLineChars="200"/>
        <w:rPr>
          <w:color w:val="auto"/>
          <w:szCs w:val="21"/>
        </w:rPr>
      </w:pPr>
      <w:r>
        <w:rPr>
          <w:color w:val="auto"/>
          <w:szCs w:val="21"/>
        </w:rPr>
        <w:t>4、预算金额（人民币）：</w:t>
      </w:r>
      <w:r>
        <w:rPr>
          <w:rFonts w:hint="eastAsia"/>
          <w:color w:val="auto"/>
          <w:szCs w:val="21"/>
        </w:rPr>
        <w:t>1000117.33元</w:t>
      </w:r>
    </w:p>
    <w:p>
      <w:pPr>
        <w:spacing w:line="390" w:lineRule="exact"/>
        <w:ind w:firstLine="420" w:firstLineChars="200"/>
        <w:rPr>
          <w:color w:val="auto"/>
          <w:u w:val="single"/>
        </w:rPr>
      </w:pPr>
      <w:r>
        <w:rPr>
          <w:color w:val="auto"/>
        </w:rPr>
        <w:t>5、最高限价（人民币）：</w:t>
      </w:r>
      <w:r>
        <w:rPr>
          <w:rFonts w:hint="eastAsia"/>
          <w:color w:val="auto"/>
          <w:kern w:val="0"/>
          <w:szCs w:val="21"/>
          <w:u w:val="single"/>
        </w:rPr>
        <w:t>1000117.33元</w:t>
      </w:r>
    </w:p>
    <w:p>
      <w:pPr>
        <w:spacing w:line="390" w:lineRule="exact"/>
        <w:ind w:firstLine="422" w:firstLineChars="200"/>
        <w:rPr>
          <w:color w:val="auto"/>
          <w:szCs w:val="21"/>
          <w:u w:val="single"/>
        </w:rPr>
      </w:pPr>
      <w:r>
        <w:rPr>
          <w:b/>
          <w:bCs/>
          <w:color w:val="auto"/>
          <w:szCs w:val="21"/>
        </w:rPr>
        <w:t>6、采购需求</w:t>
      </w:r>
      <w:r>
        <w:rPr>
          <w:color w:val="auto"/>
          <w:szCs w:val="21"/>
        </w:rPr>
        <w:t>：</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2475"/>
        <w:gridCol w:w="750"/>
        <w:gridCol w:w="840"/>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44" w:type="dxa"/>
            <w:tcBorders>
              <w:top w:val="single" w:color="auto" w:sz="4" w:space="0"/>
              <w:left w:val="single" w:color="auto" w:sz="4" w:space="0"/>
              <w:bottom w:val="single" w:color="auto" w:sz="4" w:space="0"/>
              <w:right w:val="single" w:color="auto" w:sz="4" w:space="0"/>
            </w:tcBorders>
            <w:shd w:val="clear" w:color="auto" w:fill="8DB3E2" w:themeFill="text2" w:themeFillTint="66"/>
            <w:vAlign w:val="center"/>
          </w:tcPr>
          <w:p>
            <w:pPr>
              <w:spacing w:line="390" w:lineRule="exact"/>
              <w:jc w:val="center"/>
              <w:rPr>
                <w:b/>
                <w:bCs/>
                <w:color w:val="auto"/>
                <w:szCs w:val="21"/>
              </w:rPr>
            </w:pPr>
            <w:r>
              <w:rPr>
                <w:b/>
                <w:bCs/>
                <w:color w:val="auto"/>
                <w:szCs w:val="21"/>
              </w:rPr>
              <w:t>项号</w:t>
            </w:r>
          </w:p>
        </w:tc>
        <w:tc>
          <w:tcPr>
            <w:tcW w:w="2475" w:type="dxa"/>
            <w:tcBorders>
              <w:top w:val="single" w:color="auto" w:sz="4" w:space="0"/>
              <w:left w:val="nil"/>
              <w:bottom w:val="single" w:color="auto" w:sz="4" w:space="0"/>
              <w:right w:val="single" w:color="auto" w:sz="4" w:space="0"/>
            </w:tcBorders>
            <w:shd w:val="clear" w:color="auto" w:fill="8DB3E2" w:themeFill="text2" w:themeFillTint="66"/>
            <w:vAlign w:val="center"/>
          </w:tcPr>
          <w:p>
            <w:pPr>
              <w:spacing w:line="390" w:lineRule="exact"/>
              <w:jc w:val="center"/>
              <w:rPr>
                <w:b/>
                <w:bCs/>
                <w:color w:val="auto"/>
                <w:szCs w:val="21"/>
              </w:rPr>
            </w:pPr>
            <w:r>
              <w:rPr>
                <w:rFonts w:hint="eastAsia"/>
                <w:b/>
                <w:bCs/>
                <w:color w:val="auto"/>
                <w:szCs w:val="21"/>
              </w:rPr>
              <w:t>标的名称</w:t>
            </w:r>
          </w:p>
        </w:tc>
        <w:tc>
          <w:tcPr>
            <w:tcW w:w="750" w:type="dxa"/>
            <w:tcBorders>
              <w:top w:val="single" w:color="auto" w:sz="4" w:space="0"/>
              <w:left w:val="nil"/>
              <w:bottom w:val="single" w:color="auto" w:sz="4" w:space="0"/>
              <w:right w:val="single" w:color="auto" w:sz="4" w:space="0"/>
            </w:tcBorders>
            <w:shd w:val="clear" w:color="auto" w:fill="8DB3E2" w:themeFill="text2" w:themeFillTint="66"/>
            <w:vAlign w:val="center"/>
          </w:tcPr>
          <w:p>
            <w:pPr>
              <w:spacing w:line="390" w:lineRule="exact"/>
              <w:jc w:val="center"/>
              <w:rPr>
                <w:b/>
                <w:bCs/>
                <w:color w:val="auto"/>
                <w:szCs w:val="21"/>
              </w:rPr>
            </w:pPr>
            <w:r>
              <w:rPr>
                <w:b/>
                <w:bCs/>
                <w:color w:val="auto"/>
                <w:szCs w:val="21"/>
              </w:rPr>
              <w:t>数量</w:t>
            </w:r>
          </w:p>
        </w:tc>
        <w:tc>
          <w:tcPr>
            <w:tcW w:w="840" w:type="dxa"/>
            <w:tcBorders>
              <w:top w:val="single" w:color="auto" w:sz="4" w:space="0"/>
              <w:left w:val="nil"/>
              <w:bottom w:val="single" w:color="auto" w:sz="4" w:space="0"/>
              <w:right w:val="single" w:color="auto" w:sz="4" w:space="0"/>
            </w:tcBorders>
            <w:shd w:val="clear" w:color="auto" w:fill="8DB3E2" w:themeFill="text2" w:themeFillTint="66"/>
            <w:vAlign w:val="center"/>
          </w:tcPr>
          <w:p>
            <w:pPr>
              <w:spacing w:line="390" w:lineRule="exact"/>
              <w:jc w:val="center"/>
              <w:rPr>
                <w:b/>
                <w:bCs/>
                <w:color w:val="auto"/>
                <w:szCs w:val="21"/>
              </w:rPr>
            </w:pPr>
            <w:r>
              <w:rPr>
                <w:b/>
                <w:bCs/>
                <w:color w:val="auto"/>
                <w:szCs w:val="21"/>
              </w:rPr>
              <w:t>单位</w:t>
            </w:r>
          </w:p>
        </w:tc>
        <w:tc>
          <w:tcPr>
            <w:tcW w:w="5153" w:type="dxa"/>
            <w:tcBorders>
              <w:top w:val="single" w:color="auto" w:sz="4" w:space="0"/>
              <w:left w:val="nil"/>
              <w:bottom w:val="single" w:color="auto" w:sz="4" w:space="0"/>
              <w:right w:val="single" w:color="auto" w:sz="4" w:space="0"/>
            </w:tcBorders>
            <w:shd w:val="clear" w:color="auto" w:fill="8DB3E2" w:themeFill="text2" w:themeFillTint="66"/>
            <w:vAlign w:val="center"/>
          </w:tcPr>
          <w:p>
            <w:pPr>
              <w:spacing w:line="390" w:lineRule="exact"/>
              <w:jc w:val="center"/>
              <w:rPr>
                <w:b/>
                <w:bCs/>
                <w:color w:val="auto"/>
                <w:szCs w:val="21"/>
              </w:rPr>
            </w:pPr>
            <w:r>
              <w:rPr>
                <w:b/>
                <w:bCs/>
                <w:color w:val="auto"/>
                <w:szCs w:val="21"/>
              </w:rPr>
              <w:t>项目要求及服务需求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390" w:lineRule="exact"/>
              <w:jc w:val="center"/>
              <w:rPr>
                <w:color w:val="auto"/>
                <w:szCs w:val="21"/>
              </w:rPr>
            </w:pPr>
            <w:r>
              <w:rPr>
                <w:color w:val="auto"/>
                <w:szCs w:val="21"/>
              </w:rPr>
              <w:t>1</w:t>
            </w:r>
          </w:p>
        </w:tc>
        <w:tc>
          <w:tcPr>
            <w:tcW w:w="2475" w:type="dxa"/>
            <w:tcBorders>
              <w:top w:val="single" w:color="auto" w:sz="4" w:space="0"/>
              <w:left w:val="nil"/>
              <w:bottom w:val="single" w:color="auto" w:sz="4" w:space="0"/>
              <w:right w:val="single" w:color="auto" w:sz="4" w:space="0"/>
            </w:tcBorders>
            <w:vAlign w:val="center"/>
          </w:tcPr>
          <w:p>
            <w:pPr>
              <w:spacing w:line="390" w:lineRule="exact"/>
              <w:jc w:val="center"/>
              <w:rPr>
                <w:color w:val="auto"/>
                <w:szCs w:val="21"/>
              </w:rPr>
            </w:pPr>
            <w:r>
              <w:rPr>
                <w:rFonts w:hint="eastAsia"/>
                <w:color w:val="auto"/>
                <w:szCs w:val="21"/>
              </w:rPr>
              <w:t>灵川县灵川镇木马村委三排至车田优质稻产业基地内灌溉水渠工程</w:t>
            </w:r>
          </w:p>
        </w:tc>
        <w:tc>
          <w:tcPr>
            <w:tcW w:w="750" w:type="dxa"/>
            <w:tcBorders>
              <w:top w:val="single" w:color="auto" w:sz="4" w:space="0"/>
              <w:left w:val="nil"/>
              <w:bottom w:val="single" w:color="auto" w:sz="4" w:space="0"/>
              <w:right w:val="single" w:color="auto" w:sz="4" w:space="0"/>
            </w:tcBorders>
            <w:vAlign w:val="center"/>
          </w:tcPr>
          <w:p>
            <w:pPr>
              <w:spacing w:line="390" w:lineRule="exact"/>
              <w:jc w:val="center"/>
              <w:rPr>
                <w:color w:val="auto"/>
                <w:szCs w:val="21"/>
              </w:rPr>
            </w:pPr>
            <w:r>
              <w:rPr>
                <w:color w:val="auto"/>
                <w:szCs w:val="21"/>
              </w:rPr>
              <w:t>1</w:t>
            </w:r>
          </w:p>
        </w:tc>
        <w:tc>
          <w:tcPr>
            <w:tcW w:w="840" w:type="dxa"/>
            <w:tcBorders>
              <w:top w:val="single" w:color="auto" w:sz="4" w:space="0"/>
              <w:left w:val="nil"/>
              <w:bottom w:val="single" w:color="auto" w:sz="4" w:space="0"/>
              <w:right w:val="single" w:color="auto" w:sz="4" w:space="0"/>
            </w:tcBorders>
            <w:vAlign w:val="center"/>
          </w:tcPr>
          <w:p>
            <w:pPr>
              <w:spacing w:line="390" w:lineRule="exact"/>
              <w:jc w:val="center"/>
              <w:rPr>
                <w:color w:val="auto"/>
                <w:szCs w:val="21"/>
              </w:rPr>
            </w:pPr>
            <w:r>
              <w:rPr>
                <w:color w:val="auto"/>
                <w:szCs w:val="21"/>
              </w:rPr>
              <w:t>项</w:t>
            </w:r>
          </w:p>
        </w:tc>
        <w:tc>
          <w:tcPr>
            <w:tcW w:w="5153" w:type="dxa"/>
            <w:tcBorders>
              <w:top w:val="single" w:color="auto" w:sz="4" w:space="0"/>
              <w:left w:val="nil"/>
              <w:bottom w:val="single" w:color="auto" w:sz="4" w:space="0"/>
              <w:right w:val="single" w:color="auto" w:sz="4" w:space="0"/>
            </w:tcBorders>
            <w:vAlign w:val="center"/>
          </w:tcPr>
          <w:p>
            <w:pPr>
              <w:spacing w:line="390" w:lineRule="exact"/>
              <w:jc w:val="left"/>
              <w:rPr>
                <w:color w:val="auto"/>
              </w:rPr>
            </w:pPr>
            <w:r>
              <w:rPr>
                <w:rFonts w:hint="eastAsia"/>
                <w:color w:val="auto"/>
              </w:rPr>
              <w:t>建设内容：三排至车田干渠(L=2790m、C20底板跟边墙、二次搬运)，涵管（L=29m、C20砼垫座、钢筋混凝土管道DN400），以及施工图纸范围内包含的工程施工内容。</w:t>
            </w:r>
          </w:p>
          <w:p>
            <w:pPr>
              <w:spacing w:line="390" w:lineRule="exact"/>
              <w:jc w:val="left"/>
              <w:rPr>
                <w:color w:val="auto"/>
              </w:rPr>
            </w:pPr>
            <w:r>
              <w:rPr>
                <w:rFonts w:hint="eastAsia"/>
                <w:color w:val="auto"/>
              </w:rPr>
              <w:t>建设地点：灵川县灵川镇木马村</w:t>
            </w:r>
          </w:p>
        </w:tc>
      </w:tr>
    </w:tbl>
    <w:p>
      <w:pPr>
        <w:keepNext w:val="0"/>
        <w:keepLines w:val="0"/>
        <w:pageBreakBefore w:val="0"/>
        <w:kinsoku/>
        <w:wordWrap/>
        <w:overflowPunct/>
        <w:topLinePunct w:val="0"/>
        <w:bidi w:val="0"/>
        <w:spacing w:line="380" w:lineRule="exact"/>
        <w:ind w:firstLine="420" w:firstLineChars="200"/>
        <w:rPr>
          <w:color w:val="auto"/>
          <w:szCs w:val="21"/>
        </w:rPr>
      </w:pPr>
      <w:r>
        <w:rPr>
          <w:color w:val="auto"/>
          <w:szCs w:val="21"/>
        </w:rPr>
        <w:t>7、合同履行期限：工期要求：</w:t>
      </w:r>
      <w:r>
        <w:rPr>
          <w:rFonts w:hint="eastAsia"/>
          <w:color w:val="auto"/>
          <w:szCs w:val="21"/>
        </w:rPr>
        <w:t>自合同签订之日起</w:t>
      </w:r>
      <w:r>
        <w:rPr>
          <w:rFonts w:hint="eastAsia"/>
          <w:color w:val="auto"/>
          <w:szCs w:val="21"/>
          <w:lang w:val="en-US" w:eastAsia="zh-CN"/>
        </w:rPr>
        <w:t>9</w:t>
      </w:r>
      <w:r>
        <w:rPr>
          <w:rFonts w:hint="eastAsia"/>
          <w:color w:val="auto"/>
          <w:szCs w:val="21"/>
        </w:rPr>
        <w:t>0天（日历日）内完工</w:t>
      </w:r>
      <w:r>
        <w:rPr>
          <w:color w:val="auto"/>
          <w:szCs w:val="21"/>
        </w:rPr>
        <w:t>。</w:t>
      </w:r>
    </w:p>
    <w:p>
      <w:pPr>
        <w:keepNext w:val="0"/>
        <w:keepLines w:val="0"/>
        <w:pageBreakBefore w:val="0"/>
        <w:kinsoku/>
        <w:wordWrap/>
        <w:overflowPunct/>
        <w:topLinePunct w:val="0"/>
        <w:bidi w:val="0"/>
        <w:spacing w:line="380" w:lineRule="exact"/>
        <w:ind w:firstLine="422" w:firstLineChars="200"/>
        <w:rPr>
          <w:b/>
          <w:bCs/>
          <w:color w:val="auto"/>
          <w:szCs w:val="21"/>
        </w:rPr>
      </w:pPr>
      <w:r>
        <w:rPr>
          <w:b/>
          <w:bCs/>
          <w:color w:val="auto"/>
          <w:szCs w:val="21"/>
        </w:rPr>
        <w:t>8、本项目不接受联合体参与磋商。</w:t>
      </w:r>
    </w:p>
    <w:p>
      <w:pPr>
        <w:keepNext w:val="0"/>
        <w:keepLines w:val="0"/>
        <w:pageBreakBefore w:val="0"/>
        <w:kinsoku/>
        <w:wordWrap/>
        <w:overflowPunct/>
        <w:topLinePunct w:val="0"/>
        <w:bidi w:val="0"/>
        <w:spacing w:line="380" w:lineRule="exact"/>
        <w:ind w:firstLine="422" w:firstLineChars="200"/>
        <w:rPr>
          <w:color w:val="auto"/>
        </w:rPr>
      </w:pPr>
      <w:r>
        <w:rPr>
          <w:b/>
          <w:bCs/>
          <w:color w:val="auto"/>
          <w:szCs w:val="21"/>
        </w:rPr>
        <w:t>9、设计单位</w:t>
      </w:r>
      <w:r>
        <w:rPr>
          <w:rFonts w:hint="eastAsia"/>
          <w:b/>
          <w:bCs/>
          <w:color w:val="auto"/>
          <w:szCs w:val="21"/>
        </w:rPr>
        <w:t>：广西钱江水利水电有限公司</w:t>
      </w:r>
    </w:p>
    <w:p>
      <w:pPr>
        <w:keepNext w:val="0"/>
        <w:keepLines w:val="0"/>
        <w:pageBreakBefore w:val="0"/>
        <w:kinsoku/>
        <w:wordWrap/>
        <w:overflowPunct/>
        <w:topLinePunct w:val="0"/>
        <w:bidi w:val="0"/>
        <w:spacing w:line="380" w:lineRule="exact"/>
        <w:outlineLvl w:val="1"/>
        <w:rPr>
          <w:b/>
          <w:bCs/>
          <w:color w:val="auto"/>
          <w:szCs w:val="21"/>
        </w:rPr>
      </w:pPr>
      <w:bookmarkStart w:id="16" w:name="_Toc35393799"/>
      <w:bookmarkStart w:id="17" w:name="_Toc21853"/>
      <w:bookmarkStart w:id="18" w:name="_Toc35393630"/>
      <w:bookmarkStart w:id="19" w:name="_Toc4261"/>
      <w:bookmarkStart w:id="20" w:name="_Toc28359090"/>
      <w:bookmarkStart w:id="21" w:name="_Toc4719"/>
      <w:bookmarkStart w:id="22" w:name="_Toc4237"/>
      <w:bookmarkStart w:id="23" w:name="_Toc28359013"/>
      <w:bookmarkStart w:id="24" w:name="_Toc13592"/>
      <w:r>
        <w:rPr>
          <w:b/>
          <w:bCs/>
          <w:color w:val="auto"/>
          <w:szCs w:val="21"/>
        </w:rPr>
        <w:t>二、</w:t>
      </w:r>
      <w:r>
        <w:rPr>
          <w:rFonts w:hint="eastAsia" w:ascii="黑体" w:hAnsi="黑体" w:eastAsia="黑体" w:cs="宋体"/>
          <w:color w:val="auto"/>
          <w:sz w:val="24"/>
        </w:rPr>
        <w:t>供应商的资格条件</w:t>
      </w:r>
      <w:r>
        <w:rPr>
          <w:b/>
          <w:bCs/>
          <w:color w:val="auto"/>
          <w:szCs w:val="21"/>
        </w:rPr>
        <w:t>：</w:t>
      </w:r>
      <w:bookmarkEnd w:id="16"/>
      <w:bookmarkEnd w:id="17"/>
      <w:bookmarkEnd w:id="18"/>
      <w:bookmarkEnd w:id="19"/>
      <w:bookmarkEnd w:id="20"/>
      <w:bookmarkEnd w:id="21"/>
      <w:bookmarkEnd w:id="22"/>
      <w:bookmarkEnd w:id="23"/>
      <w:bookmarkEnd w:id="24"/>
    </w:p>
    <w:p>
      <w:pPr>
        <w:keepNext w:val="0"/>
        <w:keepLines w:val="0"/>
        <w:pageBreakBefore w:val="0"/>
        <w:kinsoku/>
        <w:wordWrap/>
        <w:overflowPunct/>
        <w:topLinePunct w:val="0"/>
        <w:bidi w:val="0"/>
        <w:spacing w:line="380" w:lineRule="exact"/>
        <w:ind w:firstLine="420" w:firstLineChars="200"/>
        <w:rPr>
          <w:color w:val="auto"/>
          <w:szCs w:val="21"/>
        </w:rPr>
      </w:pPr>
      <w:r>
        <w:rPr>
          <w:color w:val="auto"/>
          <w:szCs w:val="21"/>
        </w:rPr>
        <w:t>1、满足《中华人民共和国政府采购法》第二十二条规定；</w:t>
      </w:r>
    </w:p>
    <w:p>
      <w:pPr>
        <w:keepNext w:val="0"/>
        <w:keepLines w:val="0"/>
        <w:pageBreakBefore w:val="0"/>
        <w:kinsoku/>
        <w:wordWrap/>
        <w:overflowPunct/>
        <w:topLinePunct w:val="0"/>
        <w:bidi w:val="0"/>
        <w:spacing w:line="380" w:lineRule="exact"/>
        <w:ind w:firstLine="420" w:firstLineChars="200"/>
        <w:rPr>
          <w:b/>
          <w:bCs/>
          <w:color w:val="auto"/>
          <w:szCs w:val="21"/>
        </w:rPr>
      </w:pPr>
      <w:bookmarkStart w:id="25" w:name="_Toc28359014"/>
      <w:bookmarkStart w:id="26" w:name="_Toc28359091"/>
      <w:r>
        <w:rPr>
          <w:color w:val="auto"/>
          <w:szCs w:val="21"/>
        </w:rPr>
        <w:t>2、落实政府采购政策需满足的资格要求：</w:t>
      </w:r>
      <w:r>
        <w:rPr>
          <w:b/>
          <w:bCs/>
          <w:color w:val="auto"/>
          <w:szCs w:val="21"/>
          <w:u w:val="single"/>
        </w:rPr>
        <w:t>本项目为专门面向中小企业采购的项目。{按桂财采〔2021〕70号《</w:t>
      </w:r>
      <w:r>
        <w:rPr>
          <w:rFonts w:hint="eastAsia"/>
          <w:b/>
          <w:bCs/>
          <w:color w:val="auto"/>
          <w:szCs w:val="21"/>
          <w:u w:val="single"/>
        </w:rPr>
        <w:t xml:space="preserve">广西壮族自治区财政厅 </w:t>
      </w:r>
      <w:r>
        <w:rPr>
          <w:b/>
          <w:bCs/>
          <w:color w:val="auto"/>
          <w:szCs w:val="21"/>
          <w:u w:val="single"/>
        </w:rPr>
        <w:t>广西壮族自治区工业和信息化厅关于贯彻落实政府采购促进中小企业发展管理办法的通知》规定，提供中小企业声明函或者残疾人福利性单位声明函（格式后附）或者供应商属于监狱企业的需提供由省级以上监狱管理局、戒毒管理局（含新疆生产建设兵团）出具的属于监狱企业的证明文件</w:t>
      </w:r>
      <w:r>
        <w:rPr>
          <w:color w:val="auto"/>
          <w:szCs w:val="21"/>
        </w:rPr>
        <w:t>；</w:t>
      </w:r>
    </w:p>
    <w:p>
      <w:pPr>
        <w:keepNext w:val="0"/>
        <w:keepLines w:val="0"/>
        <w:pageBreakBefore w:val="0"/>
        <w:kinsoku/>
        <w:wordWrap/>
        <w:overflowPunct/>
        <w:topLinePunct w:val="0"/>
        <w:bidi w:val="0"/>
        <w:spacing w:line="380" w:lineRule="exact"/>
        <w:ind w:firstLine="420" w:firstLineChars="200"/>
        <w:rPr>
          <w:b/>
          <w:bCs/>
          <w:color w:val="auto"/>
          <w:szCs w:val="21"/>
        </w:rPr>
      </w:pPr>
      <w:r>
        <w:rPr>
          <w:color w:val="auto"/>
          <w:szCs w:val="21"/>
        </w:rPr>
        <w:t>3、本项目的特定资格要求：</w:t>
      </w:r>
      <w:bookmarkStart w:id="27" w:name="_Toc35393800"/>
      <w:bookmarkStart w:id="28" w:name="_Toc35393631"/>
      <w:r>
        <w:rPr>
          <w:rFonts w:hint="eastAsia"/>
          <w:b/>
          <w:bCs/>
          <w:color w:val="auto"/>
          <w:szCs w:val="21"/>
          <w:u w:val="single"/>
        </w:rPr>
        <w:t>供应商须具备水利水电工程施工总承包叁级（含以上级）以上资质，并具有省级或以上建设行政主管部门颁发的建筑施工企业安全生产许可证，并在人员、设备、资金等方面具有相应的施工能力。</w:t>
      </w:r>
    </w:p>
    <w:bookmarkEnd w:id="25"/>
    <w:bookmarkEnd w:id="26"/>
    <w:bookmarkEnd w:id="27"/>
    <w:bookmarkEnd w:id="28"/>
    <w:p>
      <w:pPr>
        <w:keepNext w:val="0"/>
        <w:keepLines w:val="0"/>
        <w:pageBreakBefore w:val="0"/>
        <w:kinsoku/>
        <w:wordWrap/>
        <w:overflowPunct/>
        <w:topLinePunct w:val="0"/>
        <w:bidi w:val="0"/>
        <w:spacing w:line="380" w:lineRule="exact"/>
        <w:outlineLvl w:val="1"/>
        <w:rPr>
          <w:b/>
          <w:bCs/>
          <w:color w:val="auto"/>
          <w:szCs w:val="21"/>
        </w:rPr>
      </w:pPr>
      <w:bookmarkStart w:id="29" w:name="_Toc35393792"/>
      <w:bookmarkStart w:id="30" w:name="_Toc35393623"/>
      <w:bookmarkStart w:id="31" w:name="_Toc30519"/>
      <w:bookmarkStart w:id="32" w:name="_Toc25397"/>
      <w:bookmarkStart w:id="33" w:name="_Toc30267"/>
      <w:bookmarkStart w:id="34" w:name="_Toc17532"/>
      <w:bookmarkStart w:id="35" w:name="_Toc32302"/>
      <w:bookmarkStart w:id="36" w:name="_Toc28359095"/>
      <w:bookmarkStart w:id="37" w:name="_Toc28359018"/>
      <w:bookmarkStart w:id="38" w:name="_Toc35393636"/>
      <w:bookmarkStart w:id="39" w:name="_Toc35393805"/>
      <w:r>
        <w:rPr>
          <w:b/>
          <w:bCs/>
          <w:color w:val="auto"/>
          <w:szCs w:val="21"/>
        </w:rPr>
        <w:t>三、获取采购文件</w:t>
      </w:r>
      <w:bookmarkEnd w:id="29"/>
      <w:bookmarkEnd w:id="30"/>
      <w:r>
        <w:rPr>
          <w:b/>
          <w:bCs/>
          <w:color w:val="auto"/>
          <w:szCs w:val="21"/>
        </w:rPr>
        <w:t>：</w:t>
      </w:r>
      <w:bookmarkEnd w:id="31"/>
      <w:bookmarkEnd w:id="32"/>
      <w:bookmarkEnd w:id="33"/>
      <w:bookmarkEnd w:id="34"/>
      <w:bookmarkEnd w:id="35"/>
    </w:p>
    <w:p>
      <w:pPr>
        <w:keepNext w:val="0"/>
        <w:keepLines w:val="0"/>
        <w:pageBreakBefore w:val="0"/>
        <w:kinsoku/>
        <w:wordWrap/>
        <w:overflowPunct/>
        <w:topLinePunct w:val="0"/>
        <w:bidi w:val="0"/>
        <w:spacing w:line="380" w:lineRule="exact"/>
        <w:ind w:firstLine="420" w:firstLineChars="200"/>
        <w:rPr>
          <w:rFonts w:cs="宋体"/>
          <w:color w:val="auto"/>
          <w:szCs w:val="21"/>
        </w:rPr>
      </w:pPr>
      <w:r>
        <w:rPr>
          <w:rFonts w:hint="eastAsia" w:cs="宋体"/>
          <w:color w:val="auto"/>
          <w:szCs w:val="21"/>
        </w:rPr>
        <w:t>时间：</w:t>
      </w:r>
      <w:r>
        <w:rPr>
          <w:rFonts w:hint="default" w:cs="宋体"/>
          <w:color w:val="auto"/>
          <w:szCs w:val="21"/>
          <w:lang w:val="en-US"/>
        </w:rPr>
        <w:t>2024年5月17日</w:t>
      </w:r>
      <w:r>
        <w:rPr>
          <w:rFonts w:hint="eastAsia" w:cs="宋体"/>
          <w:color w:val="auto"/>
          <w:szCs w:val="21"/>
        </w:rPr>
        <w:t>至2024年</w:t>
      </w:r>
      <w:r>
        <w:rPr>
          <w:rFonts w:hint="default" w:cs="宋体"/>
          <w:color w:val="auto"/>
          <w:szCs w:val="21"/>
          <w:lang w:val="en-US"/>
        </w:rPr>
        <w:t>5</w:t>
      </w:r>
      <w:r>
        <w:rPr>
          <w:rFonts w:hint="eastAsia" w:cs="宋体"/>
          <w:color w:val="auto"/>
          <w:szCs w:val="21"/>
        </w:rPr>
        <w:t>月</w:t>
      </w:r>
      <w:r>
        <w:rPr>
          <w:rFonts w:hint="default" w:cs="宋体"/>
          <w:color w:val="auto"/>
          <w:szCs w:val="21"/>
          <w:lang w:val="en-US"/>
        </w:rPr>
        <w:t>24</w:t>
      </w:r>
      <w:r>
        <w:rPr>
          <w:rFonts w:hint="eastAsia" w:cs="宋体"/>
          <w:color w:val="auto"/>
          <w:szCs w:val="21"/>
        </w:rPr>
        <w:t>日，每天上午00:00至12:00，下午12:00至23:59（北京时间，法定节假日除外）；</w:t>
      </w:r>
    </w:p>
    <w:p>
      <w:pPr>
        <w:keepNext w:val="0"/>
        <w:keepLines w:val="0"/>
        <w:pageBreakBefore w:val="0"/>
        <w:kinsoku/>
        <w:wordWrap/>
        <w:overflowPunct/>
        <w:topLinePunct w:val="0"/>
        <w:bidi w:val="0"/>
        <w:spacing w:line="380" w:lineRule="exact"/>
        <w:ind w:firstLine="420" w:firstLineChars="200"/>
        <w:rPr>
          <w:rFonts w:cs="宋体"/>
          <w:color w:val="auto"/>
          <w:szCs w:val="21"/>
        </w:rPr>
      </w:pPr>
      <w:r>
        <w:rPr>
          <w:rFonts w:hint="eastAsia" w:cs="宋体"/>
          <w:color w:val="auto"/>
          <w:szCs w:val="21"/>
        </w:rPr>
        <w:t>地点：广西政府采购云平台（https://www.gcy.zfcg.gxzf.gov.cn/）；</w:t>
      </w:r>
    </w:p>
    <w:p>
      <w:pPr>
        <w:keepNext w:val="0"/>
        <w:keepLines w:val="0"/>
        <w:pageBreakBefore w:val="0"/>
        <w:kinsoku/>
        <w:wordWrap/>
        <w:overflowPunct/>
        <w:topLinePunct w:val="0"/>
        <w:bidi w:val="0"/>
        <w:spacing w:line="380" w:lineRule="exact"/>
        <w:ind w:firstLine="420" w:firstLineChars="200"/>
        <w:rPr>
          <w:rFonts w:cs="宋体"/>
          <w:bCs/>
          <w:color w:val="auto"/>
          <w:szCs w:val="21"/>
        </w:rPr>
      </w:pPr>
      <w:r>
        <w:rPr>
          <w:rFonts w:hint="eastAsia" w:cs="宋体"/>
          <w:bCs/>
          <w:color w:val="auto"/>
          <w:szCs w:val="21"/>
        </w:rPr>
        <w:t>方式：潜在供应商登录</w:t>
      </w:r>
      <w:r>
        <w:rPr>
          <w:rFonts w:hint="eastAsia"/>
          <w:color w:val="auto"/>
          <w:szCs w:val="21"/>
        </w:rPr>
        <w:t>广西政府采购云平台</w:t>
      </w:r>
      <w:r>
        <w:rPr>
          <w:rFonts w:hint="eastAsia" w:cs="宋体"/>
          <w:bCs/>
          <w:color w:val="auto"/>
          <w:szCs w:val="21"/>
        </w:rPr>
        <w:t>免费获取竞争性磋商文件电子版。供应商应在</w:t>
      </w:r>
      <w:r>
        <w:rPr>
          <w:rFonts w:hint="eastAsia"/>
          <w:color w:val="auto"/>
          <w:szCs w:val="21"/>
        </w:rPr>
        <w:t>广西政府采购云平台</w:t>
      </w:r>
      <w:r>
        <w:rPr>
          <w:rFonts w:hint="eastAsia" w:cs="宋体"/>
          <w:bCs/>
          <w:color w:val="auto"/>
          <w:szCs w:val="21"/>
        </w:rPr>
        <w:t>进行“申请获取采购文件”操作，否则，将导致无法在线编制响应文件并参与竞标，其不利后果由供应商自行承担。</w:t>
      </w:r>
    </w:p>
    <w:p>
      <w:pPr>
        <w:keepNext w:val="0"/>
        <w:keepLines w:val="0"/>
        <w:pageBreakBefore w:val="0"/>
        <w:kinsoku/>
        <w:wordWrap/>
        <w:overflowPunct/>
        <w:topLinePunct w:val="0"/>
        <w:bidi w:val="0"/>
        <w:spacing w:line="380" w:lineRule="exact"/>
        <w:ind w:firstLine="420" w:firstLineChars="200"/>
        <w:rPr>
          <w:color w:val="auto"/>
          <w:szCs w:val="21"/>
        </w:rPr>
      </w:pPr>
      <w:r>
        <w:rPr>
          <w:bCs/>
          <w:color w:val="auto"/>
          <w:szCs w:val="21"/>
        </w:rPr>
        <w:t>售价（元）：0。</w:t>
      </w:r>
    </w:p>
    <w:p>
      <w:pPr>
        <w:keepNext w:val="0"/>
        <w:keepLines w:val="0"/>
        <w:pageBreakBefore w:val="0"/>
        <w:kinsoku/>
        <w:wordWrap/>
        <w:overflowPunct/>
        <w:topLinePunct w:val="0"/>
        <w:bidi w:val="0"/>
        <w:spacing w:line="380" w:lineRule="exact"/>
        <w:outlineLvl w:val="1"/>
        <w:rPr>
          <w:b/>
          <w:bCs/>
          <w:color w:val="auto"/>
          <w:szCs w:val="21"/>
        </w:rPr>
      </w:pPr>
      <w:bookmarkStart w:id="40" w:name="_Toc28359082"/>
      <w:bookmarkStart w:id="41" w:name="_Toc28359005"/>
      <w:bookmarkStart w:id="42" w:name="_Toc21011"/>
      <w:bookmarkStart w:id="43" w:name="_Toc31924"/>
      <w:bookmarkStart w:id="44" w:name="_Toc35393793"/>
      <w:bookmarkStart w:id="45" w:name="_Toc35393624"/>
      <w:bookmarkStart w:id="46" w:name="_Toc5092"/>
      <w:bookmarkStart w:id="47" w:name="_Toc30504"/>
      <w:bookmarkStart w:id="48" w:name="_Toc1683"/>
      <w:r>
        <w:rPr>
          <w:b/>
          <w:bCs/>
          <w:color w:val="auto"/>
          <w:szCs w:val="21"/>
        </w:rPr>
        <w:t>四、响应文件</w:t>
      </w:r>
      <w:bookmarkEnd w:id="40"/>
      <w:bookmarkEnd w:id="41"/>
      <w:r>
        <w:rPr>
          <w:b/>
          <w:bCs/>
          <w:color w:val="auto"/>
          <w:szCs w:val="21"/>
        </w:rPr>
        <w:t>提交时间和地点</w:t>
      </w:r>
      <w:bookmarkEnd w:id="42"/>
      <w:bookmarkEnd w:id="43"/>
      <w:bookmarkEnd w:id="44"/>
      <w:bookmarkEnd w:id="45"/>
      <w:bookmarkEnd w:id="46"/>
      <w:bookmarkEnd w:id="47"/>
      <w:bookmarkEnd w:id="48"/>
    </w:p>
    <w:p>
      <w:pPr>
        <w:keepNext w:val="0"/>
        <w:keepLines w:val="0"/>
        <w:pageBreakBefore w:val="0"/>
        <w:kinsoku/>
        <w:wordWrap/>
        <w:overflowPunct/>
        <w:topLinePunct w:val="0"/>
        <w:bidi w:val="0"/>
        <w:spacing w:line="380" w:lineRule="exact"/>
        <w:ind w:firstLine="420" w:firstLineChars="200"/>
        <w:rPr>
          <w:bCs/>
          <w:color w:val="auto"/>
          <w:szCs w:val="21"/>
        </w:rPr>
      </w:pPr>
      <w:r>
        <w:rPr>
          <w:bCs/>
          <w:color w:val="auto"/>
          <w:szCs w:val="21"/>
        </w:rPr>
        <w:t>截止时间：</w:t>
      </w:r>
      <w:r>
        <w:rPr>
          <w:rFonts w:hint="eastAsia"/>
          <w:color w:val="auto"/>
          <w:szCs w:val="21"/>
        </w:rPr>
        <w:t>2024年</w:t>
      </w:r>
      <w:r>
        <w:rPr>
          <w:rFonts w:hint="default"/>
          <w:color w:val="auto"/>
          <w:szCs w:val="21"/>
          <w:lang w:val="en-US"/>
        </w:rPr>
        <w:t>5</w:t>
      </w:r>
      <w:r>
        <w:rPr>
          <w:rFonts w:hint="eastAsia"/>
          <w:color w:val="auto"/>
          <w:szCs w:val="21"/>
        </w:rPr>
        <w:t>月</w:t>
      </w:r>
      <w:r>
        <w:rPr>
          <w:rFonts w:hint="default"/>
          <w:color w:val="auto"/>
          <w:szCs w:val="21"/>
          <w:lang w:val="en-US"/>
        </w:rPr>
        <w:t>28</w:t>
      </w:r>
      <w:r>
        <w:rPr>
          <w:rFonts w:hint="eastAsia"/>
          <w:color w:val="auto"/>
          <w:szCs w:val="21"/>
        </w:rPr>
        <w:t>日10时30分</w:t>
      </w:r>
      <w:r>
        <w:rPr>
          <w:bCs/>
          <w:color w:val="auto"/>
          <w:szCs w:val="21"/>
        </w:rPr>
        <w:t>（北京时间）。</w:t>
      </w:r>
    </w:p>
    <w:p>
      <w:pPr>
        <w:keepNext w:val="0"/>
        <w:keepLines w:val="0"/>
        <w:pageBreakBefore w:val="0"/>
        <w:kinsoku/>
        <w:wordWrap/>
        <w:overflowPunct/>
        <w:topLinePunct w:val="0"/>
        <w:bidi w:val="0"/>
        <w:spacing w:line="380" w:lineRule="exact"/>
        <w:ind w:firstLine="420" w:firstLineChars="200"/>
        <w:rPr>
          <w:color w:val="auto"/>
          <w:szCs w:val="21"/>
        </w:rPr>
      </w:pPr>
      <w:r>
        <w:rPr>
          <w:color w:val="auto"/>
          <w:szCs w:val="21"/>
        </w:rPr>
        <w:t>地    点：通过</w:t>
      </w:r>
      <w:r>
        <w:rPr>
          <w:rFonts w:hint="eastAsia"/>
          <w:color w:val="auto"/>
          <w:szCs w:val="21"/>
        </w:rPr>
        <w:t>广西政府采购云平台</w:t>
      </w:r>
      <w:r>
        <w:rPr>
          <w:color w:val="auto"/>
          <w:szCs w:val="21"/>
        </w:rPr>
        <w:t>实行在线响应。</w:t>
      </w:r>
    </w:p>
    <w:p>
      <w:pPr>
        <w:keepNext w:val="0"/>
        <w:keepLines w:val="0"/>
        <w:pageBreakBefore w:val="0"/>
        <w:kinsoku/>
        <w:wordWrap/>
        <w:overflowPunct/>
        <w:topLinePunct w:val="0"/>
        <w:bidi w:val="0"/>
        <w:spacing w:line="380" w:lineRule="exact"/>
        <w:outlineLvl w:val="1"/>
        <w:rPr>
          <w:b/>
          <w:bCs/>
          <w:color w:val="auto"/>
          <w:szCs w:val="21"/>
        </w:rPr>
      </w:pPr>
      <w:bookmarkStart w:id="49" w:name="_Toc23386"/>
      <w:bookmarkStart w:id="50" w:name="_Toc12246"/>
      <w:bookmarkStart w:id="51" w:name="_Toc23930"/>
      <w:bookmarkStart w:id="52" w:name="_Toc25415"/>
      <w:bookmarkStart w:id="53" w:name="_Toc14929"/>
      <w:r>
        <w:rPr>
          <w:b/>
          <w:bCs/>
          <w:color w:val="auto"/>
          <w:szCs w:val="21"/>
        </w:rPr>
        <w:t>五、开启</w:t>
      </w:r>
      <w:bookmarkEnd w:id="49"/>
      <w:bookmarkEnd w:id="50"/>
      <w:bookmarkEnd w:id="51"/>
      <w:bookmarkEnd w:id="52"/>
      <w:bookmarkEnd w:id="53"/>
    </w:p>
    <w:p>
      <w:pPr>
        <w:keepNext w:val="0"/>
        <w:keepLines w:val="0"/>
        <w:pageBreakBefore w:val="0"/>
        <w:kinsoku/>
        <w:wordWrap/>
        <w:overflowPunct/>
        <w:topLinePunct w:val="0"/>
        <w:bidi w:val="0"/>
        <w:spacing w:line="380" w:lineRule="exact"/>
        <w:ind w:firstLine="420" w:firstLineChars="200"/>
        <w:rPr>
          <w:color w:val="auto"/>
          <w:szCs w:val="21"/>
        </w:rPr>
      </w:pPr>
      <w:r>
        <w:rPr>
          <w:color w:val="auto"/>
          <w:szCs w:val="21"/>
        </w:rPr>
        <w:t>时间：</w:t>
      </w:r>
      <w:r>
        <w:rPr>
          <w:rFonts w:hint="eastAsia"/>
          <w:color w:val="auto"/>
          <w:szCs w:val="21"/>
        </w:rPr>
        <w:t>2024年</w:t>
      </w:r>
      <w:r>
        <w:rPr>
          <w:rFonts w:hint="default"/>
          <w:color w:val="auto"/>
          <w:szCs w:val="21"/>
          <w:lang w:val="en-US"/>
        </w:rPr>
        <w:t>5</w:t>
      </w:r>
      <w:r>
        <w:rPr>
          <w:rFonts w:hint="eastAsia"/>
          <w:color w:val="auto"/>
          <w:szCs w:val="21"/>
        </w:rPr>
        <w:t>月</w:t>
      </w:r>
      <w:r>
        <w:rPr>
          <w:rFonts w:hint="default"/>
          <w:color w:val="auto"/>
          <w:szCs w:val="21"/>
          <w:lang w:val="en-US"/>
        </w:rPr>
        <w:t>28</w:t>
      </w:r>
      <w:r>
        <w:rPr>
          <w:rFonts w:hint="eastAsia"/>
          <w:color w:val="auto"/>
          <w:szCs w:val="21"/>
        </w:rPr>
        <w:t>日10时30分</w:t>
      </w:r>
      <w:r>
        <w:rPr>
          <w:color w:val="auto"/>
          <w:szCs w:val="21"/>
        </w:rPr>
        <w:t>（北京时间）截标后。</w:t>
      </w:r>
    </w:p>
    <w:p>
      <w:pPr>
        <w:keepNext w:val="0"/>
        <w:keepLines w:val="0"/>
        <w:pageBreakBefore w:val="0"/>
        <w:kinsoku/>
        <w:wordWrap/>
        <w:overflowPunct/>
        <w:topLinePunct w:val="0"/>
        <w:bidi w:val="0"/>
        <w:spacing w:line="380" w:lineRule="exact"/>
        <w:ind w:firstLine="420" w:firstLineChars="200"/>
        <w:rPr>
          <w:color w:val="auto"/>
          <w:szCs w:val="21"/>
        </w:rPr>
      </w:pPr>
      <w:r>
        <w:rPr>
          <w:color w:val="auto"/>
          <w:szCs w:val="21"/>
        </w:rPr>
        <w:t>地点：通过</w:t>
      </w:r>
      <w:r>
        <w:rPr>
          <w:rFonts w:hint="eastAsia"/>
          <w:color w:val="auto"/>
          <w:szCs w:val="21"/>
        </w:rPr>
        <w:t>广西政府采购云平台</w:t>
      </w:r>
      <w:r>
        <w:rPr>
          <w:color w:val="auto"/>
          <w:szCs w:val="21"/>
        </w:rPr>
        <w:t>实行在线解密开启。</w:t>
      </w:r>
    </w:p>
    <w:p>
      <w:pPr>
        <w:keepNext w:val="0"/>
        <w:keepLines w:val="0"/>
        <w:pageBreakBefore w:val="0"/>
        <w:kinsoku/>
        <w:wordWrap/>
        <w:overflowPunct/>
        <w:topLinePunct w:val="0"/>
        <w:bidi w:val="0"/>
        <w:spacing w:line="380" w:lineRule="exact"/>
        <w:outlineLvl w:val="1"/>
        <w:rPr>
          <w:rFonts w:hint="eastAsia"/>
          <w:b/>
          <w:bCs/>
          <w:color w:val="auto"/>
          <w:szCs w:val="21"/>
          <w:lang w:val="en-US" w:eastAsia="zh-CN"/>
        </w:rPr>
      </w:pPr>
      <w:bookmarkStart w:id="54" w:name="_Toc5821"/>
      <w:bookmarkStart w:id="55" w:name="_Toc1323"/>
      <w:bookmarkStart w:id="56" w:name="_Toc23691"/>
      <w:bookmarkStart w:id="57" w:name="_Toc2690"/>
      <w:bookmarkStart w:id="58" w:name="_Toc35393626"/>
      <w:bookmarkStart w:id="59" w:name="_Toc15803"/>
      <w:bookmarkStart w:id="60" w:name="_Toc35393795"/>
      <w:r>
        <w:rPr>
          <w:rFonts w:hint="eastAsia"/>
          <w:b/>
          <w:bCs/>
          <w:color w:val="auto"/>
          <w:szCs w:val="21"/>
          <w:lang w:val="en-US" w:eastAsia="zh-CN"/>
        </w:rPr>
        <w:t>六、公告期限：</w:t>
      </w:r>
    </w:p>
    <w:p>
      <w:pPr>
        <w:keepNext w:val="0"/>
        <w:keepLines w:val="0"/>
        <w:pageBreakBefore w:val="0"/>
        <w:kinsoku/>
        <w:wordWrap/>
        <w:overflowPunct/>
        <w:topLinePunct w:val="0"/>
        <w:bidi w:val="0"/>
        <w:spacing w:line="380" w:lineRule="exact"/>
        <w:ind w:firstLine="420" w:firstLineChars="200"/>
        <w:rPr>
          <w:rFonts w:hint="default"/>
          <w:color w:val="auto"/>
          <w:szCs w:val="21"/>
          <w:lang w:val="en-US" w:eastAsia="zh-CN"/>
        </w:rPr>
      </w:pPr>
      <w:r>
        <w:rPr>
          <w:rFonts w:hint="eastAsia"/>
          <w:color w:val="auto"/>
          <w:szCs w:val="21"/>
          <w:lang w:val="en-US" w:eastAsia="zh-CN"/>
        </w:rPr>
        <w:t>自本公告发布之日起3个工作日。</w:t>
      </w:r>
    </w:p>
    <w:p>
      <w:pPr>
        <w:keepNext w:val="0"/>
        <w:keepLines w:val="0"/>
        <w:pageBreakBefore w:val="0"/>
        <w:kinsoku/>
        <w:wordWrap/>
        <w:overflowPunct/>
        <w:topLinePunct w:val="0"/>
        <w:bidi w:val="0"/>
        <w:spacing w:line="380" w:lineRule="exact"/>
        <w:outlineLvl w:val="1"/>
        <w:rPr>
          <w:b/>
          <w:bCs/>
          <w:color w:val="auto"/>
          <w:szCs w:val="21"/>
        </w:rPr>
      </w:pPr>
      <w:r>
        <w:rPr>
          <w:rFonts w:hint="eastAsia"/>
          <w:b/>
          <w:bCs/>
          <w:color w:val="auto"/>
          <w:szCs w:val="21"/>
        </w:rPr>
        <w:t>六</w:t>
      </w:r>
      <w:r>
        <w:rPr>
          <w:b/>
          <w:bCs/>
          <w:color w:val="auto"/>
          <w:szCs w:val="21"/>
        </w:rPr>
        <w:t>、其他补充事宜</w:t>
      </w:r>
      <w:bookmarkEnd w:id="54"/>
      <w:bookmarkEnd w:id="55"/>
      <w:bookmarkEnd w:id="56"/>
      <w:bookmarkEnd w:id="57"/>
      <w:bookmarkEnd w:id="58"/>
      <w:bookmarkEnd w:id="59"/>
      <w:bookmarkEnd w:id="60"/>
    </w:p>
    <w:p>
      <w:pPr>
        <w:keepNext w:val="0"/>
        <w:keepLines w:val="0"/>
        <w:pageBreakBefore w:val="0"/>
        <w:kinsoku/>
        <w:wordWrap/>
        <w:overflowPunct/>
        <w:topLinePunct w:val="0"/>
        <w:bidi w:val="0"/>
        <w:spacing w:line="380" w:lineRule="exact"/>
        <w:ind w:firstLine="420" w:firstLineChars="200"/>
        <w:rPr>
          <w:bCs/>
          <w:color w:val="auto"/>
          <w:szCs w:val="21"/>
          <w:highlight w:val="yellow"/>
        </w:rPr>
      </w:pPr>
      <w:r>
        <w:rPr>
          <w:bCs/>
          <w:color w:val="auto"/>
          <w:szCs w:val="21"/>
        </w:rPr>
        <w:t>1、</w:t>
      </w:r>
      <w:r>
        <w:rPr>
          <w:color w:val="auto"/>
          <w:szCs w:val="21"/>
        </w:rPr>
        <w:t>竞标</w:t>
      </w:r>
      <w:r>
        <w:rPr>
          <w:color w:val="auto"/>
          <w:szCs w:val="20"/>
        </w:rPr>
        <w:t>保证金</w:t>
      </w:r>
      <w:r>
        <w:rPr>
          <w:color w:val="auto"/>
          <w:szCs w:val="21"/>
        </w:rPr>
        <w:t>：</w:t>
      </w:r>
      <w:r>
        <w:rPr>
          <w:rFonts w:hint="eastAsia"/>
          <w:color w:val="auto"/>
          <w:szCs w:val="21"/>
        </w:rPr>
        <w:t>本项目无须缴纳竞标保证金。</w:t>
      </w:r>
    </w:p>
    <w:p>
      <w:pPr>
        <w:keepNext w:val="0"/>
        <w:keepLines w:val="0"/>
        <w:pageBreakBefore w:val="0"/>
        <w:kinsoku/>
        <w:wordWrap/>
        <w:overflowPunct/>
        <w:topLinePunct w:val="0"/>
        <w:bidi w:val="0"/>
        <w:spacing w:line="380" w:lineRule="exact"/>
        <w:ind w:firstLine="420" w:firstLineChars="200"/>
        <w:rPr>
          <w:color w:val="auto"/>
          <w:szCs w:val="21"/>
        </w:rPr>
      </w:pPr>
      <w:r>
        <w:rPr>
          <w:color w:val="auto"/>
          <w:szCs w:val="21"/>
        </w:rPr>
        <w:t>2、本项目所属行业：建筑业。</w:t>
      </w:r>
    </w:p>
    <w:p>
      <w:pPr>
        <w:keepNext w:val="0"/>
        <w:keepLines w:val="0"/>
        <w:pageBreakBefore w:val="0"/>
        <w:kinsoku/>
        <w:wordWrap/>
        <w:overflowPunct/>
        <w:topLinePunct w:val="0"/>
        <w:bidi w:val="0"/>
        <w:spacing w:line="380" w:lineRule="exact"/>
        <w:ind w:firstLine="420" w:firstLineChars="200"/>
        <w:rPr>
          <w:rFonts w:cs="宋体"/>
          <w:color w:val="auto"/>
          <w:szCs w:val="21"/>
        </w:rPr>
      </w:pPr>
      <w:r>
        <w:rPr>
          <w:rFonts w:hint="eastAsia" w:ascii="宋体" w:hAnsi="宋体" w:cs="宋体"/>
          <w:color w:val="auto"/>
          <w:kern w:val="0"/>
          <w:szCs w:val="21"/>
        </w:rPr>
        <w:t>3、</w:t>
      </w:r>
      <w:r>
        <w:rPr>
          <w:rFonts w:hint="eastAsia" w:ascii="宋体" w:hAnsi="宋体" w:cs="宋体"/>
          <w:color w:val="auto"/>
          <w:szCs w:val="21"/>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keepNext w:val="0"/>
        <w:keepLines w:val="0"/>
        <w:pageBreakBefore w:val="0"/>
        <w:kinsoku/>
        <w:wordWrap/>
        <w:overflowPunct/>
        <w:topLinePunct w:val="0"/>
        <w:bidi w:val="0"/>
        <w:spacing w:line="380" w:lineRule="exact"/>
        <w:ind w:firstLine="420" w:firstLineChars="200"/>
        <w:rPr>
          <w:rFonts w:cs="宋体"/>
          <w:color w:val="auto"/>
          <w:szCs w:val="21"/>
        </w:rPr>
      </w:pPr>
      <w:r>
        <w:rPr>
          <w:rFonts w:hint="eastAsia" w:cs="宋体"/>
          <w:color w:val="auto"/>
          <w:szCs w:val="21"/>
        </w:rPr>
        <w:t>4、对在“信用中国”网站（https://www.creditchina.gov.cn/）、中国政府采购网（http://www.ccgp.gov.cn/）渠道列入失信被执行人、</w:t>
      </w:r>
      <w:r>
        <w:rPr>
          <w:rFonts w:hint="eastAsia" w:cs="宋体"/>
          <w:color w:val="auto"/>
          <w:szCs w:val="21"/>
          <w:lang w:eastAsia="zh-CN"/>
        </w:rPr>
        <w:t>重大税收违法失信主体</w:t>
      </w:r>
      <w:r>
        <w:rPr>
          <w:rFonts w:hint="eastAsia" w:cs="宋体"/>
          <w:color w:val="auto"/>
          <w:szCs w:val="21"/>
        </w:rPr>
        <w:t>、政府采购严重违法失信行为记录名单及其他不符合《中华人民共和国政府采购法》第二十二条规定条件的供应商，不得参与政府采购活动。</w:t>
      </w:r>
    </w:p>
    <w:p>
      <w:pPr>
        <w:keepNext w:val="0"/>
        <w:keepLines w:val="0"/>
        <w:pageBreakBefore w:val="0"/>
        <w:kinsoku/>
        <w:wordWrap/>
        <w:overflowPunct/>
        <w:topLinePunct w:val="0"/>
        <w:bidi w:val="0"/>
        <w:spacing w:line="380" w:lineRule="exact"/>
        <w:ind w:firstLine="420" w:firstLineChars="200"/>
        <w:jc w:val="left"/>
        <w:rPr>
          <w:color w:val="auto"/>
        </w:rPr>
      </w:pPr>
      <w:r>
        <w:rPr>
          <w:rFonts w:hint="eastAsia"/>
          <w:color w:val="auto"/>
          <w:szCs w:val="21"/>
        </w:rPr>
        <w:t>5</w:t>
      </w:r>
      <w:r>
        <w:rPr>
          <w:color w:val="auto"/>
          <w:szCs w:val="21"/>
        </w:rPr>
        <w:t>、本项目信息发布媒体：</w:t>
      </w:r>
      <w:r>
        <w:rPr>
          <w:rFonts w:hint="eastAsia"/>
          <w:color w:val="auto"/>
          <w:szCs w:val="21"/>
        </w:rPr>
        <w:t>http://www.ccgp.gov.cn/</w:t>
      </w:r>
      <w:r>
        <w:rPr>
          <w:color w:val="auto"/>
          <w:szCs w:val="21"/>
        </w:rPr>
        <w:t>（中国政府采购网）、http://zfcg.gxzf.gov.cn/（</w:t>
      </w:r>
      <w:r>
        <w:rPr>
          <w:rFonts w:hint="eastAsia"/>
          <w:color w:val="auto"/>
          <w:szCs w:val="21"/>
        </w:rPr>
        <w:t>广西政府采购网</w:t>
      </w:r>
      <w:r>
        <w:rPr>
          <w:color w:val="auto"/>
          <w:szCs w:val="21"/>
        </w:rPr>
        <w:t>）</w:t>
      </w:r>
      <w:r>
        <w:rPr>
          <w:rFonts w:hint="eastAsia"/>
          <w:color w:val="auto"/>
          <w:szCs w:val="21"/>
        </w:rPr>
        <w:t>、http://zfcg.czj.guilin.gov.cn/</w:t>
      </w:r>
      <w:r>
        <w:rPr>
          <w:rFonts w:hint="eastAsia" w:cs="宋体"/>
          <w:color w:val="auto"/>
          <w:kern w:val="0"/>
          <w:szCs w:val="21"/>
        </w:rPr>
        <w:t>（桂林市政府采购网）</w:t>
      </w:r>
      <w:r>
        <w:rPr>
          <w:color w:val="auto"/>
          <w:szCs w:val="21"/>
        </w:rPr>
        <w:t>。</w:t>
      </w:r>
    </w:p>
    <w:p>
      <w:pPr>
        <w:pStyle w:val="365"/>
        <w:keepNext w:val="0"/>
        <w:keepLines w:val="0"/>
        <w:pageBreakBefore w:val="0"/>
        <w:kinsoku/>
        <w:wordWrap/>
        <w:overflowPunct/>
        <w:topLinePunct w:val="0"/>
        <w:bidi w:val="0"/>
        <w:spacing w:line="380" w:lineRule="exact"/>
        <w:ind w:firstLine="420" w:firstLineChars="200"/>
        <w:rPr>
          <w:rFonts w:cs="Times New Roman"/>
          <w:color w:val="auto"/>
          <w:sz w:val="21"/>
          <w:szCs w:val="21"/>
        </w:rPr>
      </w:pPr>
      <w:r>
        <w:rPr>
          <w:rFonts w:hint="eastAsia" w:cs="Times New Roman"/>
          <w:color w:val="auto"/>
          <w:sz w:val="21"/>
          <w:szCs w:val="21"/>
        </w:rPr>
        <w:t>6</w:t>
      </w:r>
      <w:r>
        <w:rPr>
          <w:rFonts w:cs="Times New Roman"/>
          <w:color w:val="auto"/>
          <w:sz w:val="21"/>
          <w:szCs w:val="21"/>
        </w:rPr>
        <w:t>、磋商响应文件解密</w:t>
      </w:r>
      <w:r>
        <w:rPr>
          <w:rFonts w:cs="Times New Roman"/>
          <w:color w:val="auto"/>
          <w:kern w:val="21"/>
          <w:sz w:val="21"/>
          <w:szCs w:val="21"/>
        </w:rPr>
        <w:t>时间（北京时间）：截标时间后30分钟内【</w:t>
      </w:r>
      <w:r>
        <w:rPr>
          <w:rFonts w:hint="eastAsia" w:cs="Times New Roman"/>
          <w:color w:val="auto"/>
          <w:kern w:val="21"/>
          <w:sz w:val="21"/>
          <w:szCs w:val="21"/>
        </w:rPr>
        <w:t>2024年</w:t>
      </w:r>
      <w:r>
        <w:rPr>
          <w:rFonts w:hint="default" w:cs="Times New Roman"/>
          <w:color w:val="auto"/>
          <w:kern w:val="21"/>
          <w:sz w:val="21"/>
          <w:szCs w:val="21"/>
          <w:lang w:val="en-US"/>
        </w:rPr>
        <w:t>5</w:t>
      </w:r>
      <w:r>
        <w:rPr>
          <w:rFonts w:hint="eastAsia" w:cs="Times New Roman"/>
          <w:color w:val="auto"/>
          <w:kern w:val="21"/>
          <w:sz w:val="21"/>
          <w:szCs w:val="21"/>
        </w:rPr>
        <w:t>月</w:t>
      </w:r>
      <w:r>
        <w:rPr>
          <w:rFonts w:hint="default" w:cs="Times New Roman"/>
          <w:color w:val="auto"/>
          <w:kern w:val="21"/>
          <w:sz w:val="21"/>
          <w:szCs w:val="21"/>
          <w:lang w:val="en-US"/>
        </w:rPr>
        <w:t>28</w:t>
      </w:r>
      <w:r>
        <w:rPr>
          <w:rFonts w:hint="eastAsia" w:cs="Times New Roman"/>
          <w:color w:val="auto"/>
          <w:kern w:val="21"/>
          <w:sz w:val="21"/>
          <w:szCs w:val="21"/>
        </w:rPr>
        <w:t>日</w:t>
      </w:r>
      <w:r>
        <w:rPr>
          <w:rFonts w:cs="Times New Roman"/>
          <w:color w:val="auto"/>
          <w:kern w:val="21"/>
          <w:sz w:val="21"/>
          <w:szCs w:val="21"/>
        </w:rPr>
        <w:t>上午</w:t>
      </w:r>
      <w:r>
        <w:rPr>
          <w:rFonts w:hint="eastAsia" w:cs="Times New Roman"/>
          <w:color w:val="auto"/>
          <w:kern w:val="21"/>
          <w:sz w:val="21"/>
          <w:szCs w:val="21"/>
        </w:rPr>
        <w:t>10时30分至11时00分</w:t>
      </w:r>
      <w:r>
        <w:rPr>
          <w:rFonts w:cs="Times New Roman"/>
          <w:color w:val="auto"/>
          <w:kern w:val="21"/>
          <w:sz w:val="21"/>
          <w:szCs w:val="21"/>
        </w:rPr>
        <w:t>(北京时间)】磋商供应商可以登录</w:t>
      </w:r>
      <w:r>
        <w:rPr>
          <w:rFonts w:hint="eastAsia" w:cs="Times New Roman"/>
          <w:color w:val="auto"/>
          <w:kern w:val="21"/>
          <w:sz w:val="21"/>
          <w:szCs w:val="21"/>
        </w:rPr>
        <w:t>广西政府采购云平台</w:t>
      </w:r>
      <w:r>
        <w:rPr>
          <w:rFonts w:cs="Times New Roman"/>
          <w:color w:val="auto"/>
          <w:sz w:val="21"/>
          <w:szCs w:val="21"/>
        </w:rPr>
        <w:t>，用“项目采购-开标评标”功能进行解密电子磋商响应文件。若磋商供应商在规定时间内无法解密或解密失败，视为无效响应。</w:t>
      </w:r>
    </w:p>
    <w:p>
      <w:pPr>
        <w:pStyle w:val="365"/>
        <w:keepNext w:val="0"/>
        <w:keepLines w:val="0"/>
        <w:pageBreakBefore w:val="0"/>
        <w:kinsoku/>
        <w:wordWrap/>
        <w:overflowPunct/>
        <w:topLinePunct w:val="0"/>
        <w:bidi w:val="0"/>
        <w:spacing w:line="380" w:lineRule="exact"/>
        <w:ind w:firstLine="422" w:firstLineChars="200"/>
        <w:rPr>
          <w:rFonts w:cs="Times New Roman"/>
          <w:color w:val="auto"/>
          <w:sz w:val="21"/>
          <w:szCs w:val="21"/>
        </w:rPr>
      </w:pPr>
      <w:r>
        <w:rPr>
          <w:rFonts w:hint="eastAsia" w:cs="Times New Roman"/>
          <w:b/>
          <w:bCs/>
          <w:color w:val="auto"/>
          <w:sz w:val="21"/>
          <w:szCs w:val="21"/>
        </w:rPr>
        <w:t>7</w:t>
      </w:r>
      <w:r>
        <w:rPr>
          <w:rFonts w:cs="Times New Roman"/>
          <w:b/>
          <w:bCs/>
          <w:color w:val="auto"/>
          <w:sz w:val="21"/>
          <w:szCs w:val="21"/>
        </w:rPr>
        <w:t>、本项目需要落实的政府采购政策：</w:t>
      </w:r>
    </w:p>
    <w:p>
      <w:pPr>
        <w:pStyle w:val="365"/>
        <w:keepNext w:val="0"/>
        <w:keepLines w:val="0"/>
        <w:pageBreakBefore w:val="0"/>
        <w:kinsoku/>
        <w:wordWrap/>
        <w:overflowPunct/>
        <w:topLinePunct w:val="0"/>
        <w:bidi w:val="0"/>
        <w:spacing w:line="380" w:lineRule="exact"/>
        <w:ind w:firstLine="420" w:firstLineChars="200"/>
        <w:rPr>
          <w:rFonts w:cs="Times New Roman"/>
          <w:color w:val="auto"/>
          <w:sz w:val="21"/>
          <w:szCs w:val="21"/>
        </w:rPr>
      </w:pPr>
      <w:r>
        <w:rPr>
          <w:rFonts w:cs="Times New Roman"/>
          <w:color w:val="auto"/>
          <w:sz w:val="21"/>
          <w:szCs w:val="21"/>
        </w:rPr>
        <w:t>（1）政府采购促进中小企业发展。</w:t>
      </w:r>
    </w:p>
    <w:p>
      <w:pPr>
        <w:pStyle w:val="365"/>
        <w:keepNext w:val="0"/>
        <w:keepLines w:val="0"/>
        <w:pageBreakBefore w:val="0"/>
        <w:kinsoku/>
        <w:wordWrap/>
        <w:overflowPunct/>
        <w:topLinePunct w:val="0"/>
        <w:bidi w:val="0"/>
        <w:spacing w:line="380" w:lineRule="exact"/>
        <w:ind w:firstLine="420" w:firstLineChars="200"/>
        <w:rPr>
          <w:rFonts w:cs="Times New Roman"/>
          <w:color w:val="auto"/>
          <w:sz w:val="21"/>
          <w:szCs w:val="21"/>
        </w:rPr>
      </w:pPr>
      <w:r>
        <w:rPr>
          <w:rFonts w:cs="Times New Roman"/>
          <w:color w:val="auto"/>
          <w:sz w:val="21"/>
          <w:szCs w:val="21"/>
        </w:rPr>
        <w:t>（2）政府采购促进残疾人就业政策。</w:t>
      </w:r>
    </w:p>
    <w:p>
      <w:pPr>
        <w:pStyle w:val="365"/>
        <w:keepNext w:val="0"/>
        <w:keepLines w:val="0"/>
        <w:pageBreakBefore w:val="0"/>
        <w:kinsoku/>
        <w:wordWrap/>
        <w:overflowPunct/>
        <w:topLinePunct w:val="0"/>
        <w:bidi w:val="0"/>
        <w:spacing w:line="380" w:lineRule="exact"/>
        <w:ind w:firstLine="420" w:firstLineChars="200"/>
        <w:rPr>
          <w:rFonts w:cs="Times New Roman"/>
          <w:color w:val="auto"/>
          <w:sz w:val="21"/>
          <w:szCs w:val="21"/>
        </w:rPr>
      </w:pPr>
      <w:r>
        <w:rPr>
          <w:rFonts w:cs="Times New Roman"/>
          <w:color w:val="auto"/>
          <w:sz w:val="21"/>
          <w:szCs w:val="21"/>
        </w:rPr>
        <w:t>（3）政府采购支持监狱企业发展。</w:t>
      </w:r>
    </w:p>
    <w:p>
      <w:pPr>
        <w:pStyle w:val="365"/>
        <w:keepNext w:val="0"/>
        <w:keepLines w:val="0"/>
        <w:pageBreakBefore w:val="0"/>
        <w:kinsoku/>
        <w:wordWrap/>
        <w:overflowPunct/>
        <w:topLinePunct w:val="0"/>
        <w:bidi w:val="0"/>
        <w:spacing w:line="380" w:lineRule="exact"/>
        <w:ind w:firstLine="422" w:firstLineChars="200"/>
        <w:rPr>
          <w:rFonts w:cs="Times New Roman"/>
          <w:b/>
          <w:bCs/>
          <w:color w:val="auto"/>
          <w:sz w:val="21"/>
          <w:szCs w:val="21"/>
        </w:rPr>
      </w:pPr>
      <w:bookmarkStart w:id="61" w:name="_Toc24668"/>
      <w:bookmarkStart w:id="62" w:name="_Toc22796"/>
      <w:r>
        <w:rPr>
          <w:rFonts w:hint="eastAsia" w:cs="Times New Roman"/>
          <w:b/>
          <w:bCs/>
          <w:color w:val="auto"/>
          <w:sz w:val="21"/>
          <w:szCs w:val="21"/>
        </w:rPr>
        <w:t>8</w:t>
      </w:r>
      <w:r>
        <w:rPr>
          <w:rFonts w:cs="Times New Roman"/>
          <w:b/>
          <w:bCs/>
          <w:color w:val="auto"/>
          <w:sz w:val="21"/>
          <w:szCs w:val="21"/>
        </w:rPr>
        <w:t>、在线响应（电子响应）说明</w:t>
      </w:r>
      <w:bookmarkEnd w:id="61"/>
      <w:bookmarkEnd w:id="62"/>
    </w:p>
    <w:p>
      <w:pPr>
        <w:keepNext w:val="0"/>
        <w:keepLines w:val="0"/>
        <w:pageBreakBefore w:val="0"/>
        <w:kinsoku/>
        <w:wordWrap/>
        <w:overflowPunct/>
        <w:topLinePunct w:val="0"/>
        <w:autoSpaceDE w:val="0"/>
        <w:autoSpaceDN w:val="0"/>
        <w:bidi w:val="0"/>
        <w:adjustRightInd w:val="0"/>
        <w:spacing w:line="380" w:lineRule="exact"/>
        <w:ind w:firstLine="420" w:firstLineChars="200"/>
        <w:rPr>
          <w:color w:val="auto"/>
          <w:szCs w:val="21"/>
        </w:rPr>
      </w:pPr>
      <w:r>
        <w:rPr>
          <w:color w:val="auto"/>
          <w:szCs w:val="21"/>
        </w:rPr>
        <w:t>（1）响应文件提交方式：本项目为全流程电子化项目，通过广西政府采购云平台（https://www.gcy.zfcg.gxzf.gov.cn/）实行在线电子响应，供应商应先安装广西政府采购云平台新版客户端（新版客户端下载路径：广西政府采购网（访问地址http://zfcg.gxzf.gov.cn/）—办事服务—下载专区），并按照本项目采购文件和广西政府采购云平台的要求编制、加密后在响应文件提交截止时间前通过网络上传至广西政府采购云平台，供应商在广西政府采购云平台提交电子版响应文件时，请填写参加远程开标活动经办人联系方式。</w:t>
      </w:r>
    </w:p>
    <w:p>
      <w:pPr>
        <w:keepNext w:val="0"/>
        <w:keepLines w:val="0"/>
        <w:pageBreakBefore w:val="0"/>
        <w:kinsoku/>
        <w:wordWrap/>
        <w:overflowPunct/>
        <w:topLinePunct w:val="0"/>
        <w:autoSpaceDE w:val="0"/>
        <w:autoSpaceDN w:val="0"/>
        <w:bidi w:val="0"/>
        <w:adjustRightInd w:val="0"/>
        <w:spacing w:line="380" w:lineRule="exact"/>
        <w:ind w:firstLine="420" w:firstLineChars="200"/>
        <w:rPr>
          <w:color w:val="auto"/>
          <w:szCs w:val="21"/>
        </w:rPr>
      </w:pPr>
      <w:r>
        <w:rPr>
          <w:color w:val="auto"/>
          <w:szCs w:val="21"/>
        </w:rPr>
        <w:t>（2）未进行网上注册并办理数字证书（CA认证）的供应商将无法参与本项目政府采购活动，潜在供应商应当在首次响应文件提交截止时间前，完成电子交易平台上的CA数字证书办理及响应文件的提交。</w:t>
      </w:r>
    </w:p>
    <w:p>
      <w:pPr>
        <w:keepNext w:val="0"/>
        <w:keepLines w:val="0"/>
        <w:pageBreakBefore w:val="0"/>
        <w:kinsoku/>
        <w:wordWrap/>
        <w:overflowPunct/>
        <w:topLinePunct w:val="0"/>
        <w:autoSpaceDE w:val="0"/>
        <w:autoSpaceDN w:val="0"/>
        <w:bidi w:val="0"/>
        <w:adjustRightInd w:val="0"/>
        <w:spacing w:line="380" w:lineRule="exact"/>
        <w:ind w:firstLine="420" w:firstLineChars="200"/>
        <w:rPr>
          <w:color w:val="auto"/>
          <w:szCs w:val="21"/>
        </w:rPr>
      </w:pPr>
      <w:r>
        <w:rPr>
          <w:color w:val="auto"/>
          <w:szCs w:val="21"/>
        </w:rPr>
        <w:t>（3）为确保网上操作合法、有效和安全，请供应商确保在电子响应过程中能够对相关数据电文进行加密和使用电子签章，妥善保管CA数字证书并使用有效的CA数字证书参与整个采购活动。</w:t>
      </w:r>
    </w:p>
    <w:p>
      <w:pPr>
        <w:keepNext w:val="0"/>
        <w:keepLines w:val="0"/>
        <w:pageBreakBefore w:val="0"/>
        <w:kinsoku/>
        <w:wordWrap/>
        <w:overflowPunct/>
        <w:topLinePunct w:val="0"/>
        <w:autoSpaceDE w:val="0"/>
        <w:autoSpaceDN w:val="0"/>
        <w:bidi w:val="0"/>
        <w:adjustRightInd w:val="0"/>
        <w:spacing w:line="380" w:lineRule="exact"/>
        <w:ind w:firstLine="420" w:firstLineChars="200"/>
        <w:rPr>
          <w:color w:val="auto"/>
          <w:szCs w:val="21"/>
        </w:rPr>
      </w:pPr>
      <w:r>
        <w:rPr>
          <w:color w:val="auto"/>
          <w:szCs w:val="21"/>
        </w:rPr>
        <w:t>注：供应商应当在首次响应文件提交截止时间前完成电子响应文件的上传、递交，响应文件提交截止时间前可以补充、修改或者撤回响应文件。补充或者修改响应文件的，应当先行撤回原文件，补充、修改后重新上传、递交。响应文件提交截止时间前未完成上传、递交的，视为撤回响应文件。响应文件提交截止时间以后上传递交的响应文件的，广西政府采购云平台将予以拒收。</w:t>
      </w:r>
    </w:p>
    <w:p>
      <w:pPr>
        <w:keepNext w:val="0"/>
        <w:keepLines w:val="0"/>
        <w:pageBreakBefore w:val="0"/>
        <w:kinsoku/>
        <w:wordWrap/>
        <w:overflowPunct/>
        <w:topLinePunct w:val="0"/>
        <w:autoSpaceDE w:val="0"/>
        <w:autoSpaceDN w:val="0"/>
        <w:bidi w:val="0"/>
        <w:adjustRightInd w:val="0"/>
        <w:spacing w:line="380" w:lineRule="exact"/>
        <w:ind w:firstLine="420" w:firstLineChars="200"/>
        <w:rPr>
          <w:color w:val="auto"/>
          <w:szCs w:val="21"/>
        </w:rPr>
      </w:pPr>
      <w:r>
        <w:rPr>
          <w:color w:val="auto"/>
          <w:szCs w:val="21"/>
        </w:rPr>
        <w:t>（4）CA证书在线解密：首次响应文件开启时，需要供应商携带制作响应文件时用来加密的有效数字证书（CA认证）登录广西政府采购云平台电子开标大厅现场按规定时间对加密的响应文件进行解密。</w:t>
      </w:r>
    </w:p>
    <w:p>
      <w:pPr>
        <w:keepNext w:val="0"/>
        <w:keepLines w:val="0"/>
        <w:pageBreakBefore w:val="0"/>
        <w:kinsoku/>
        <w:wordWrap/>
        <w:overflowPunct/>
        <w:topLinePunct w:val="0"/>
        <w:autoSpaceDE w:val="0"/>
        <w:autoSpaceDN w:val="0"/>
        <w:bidi w:val="0"/>
        <w:adjustRightInd w:val="0"/>
        <w:spacing w:line="380" w:lineRule="exact"/>
        <w:ind w:firstLine="420" w:firstLineChars="200"/>
        <w:rPr>
          <w:color w:val="auto"/>
          <w:szCs w:val="21"/>
        </w:rPr>
      </w:pPr>
      <w:r>
        <w:rPr>
          <w:color w:val="auto"/>
          <w:szCs w:val="21"/>
        </w:rPr>
        <w:t>（5）供应商需要在具备有摄像头及语音功能且互联网网络状况良好的电脑登录广西政府采购云平台远程开标大厅参与本次磋商，否则后果自负。</w:t>
      </w:r>
    </w:p>
    <w:p>
      <w:pPr>
        <w:keepNext w:val="0"/>
        <w:keepLines w:val="0"/>
        <w:pageBreakBefore w:val="0"/>
        <w:kinsoku/>
        <w:wordWrap/>
        <w:overflowPunct/>
        <w:topLinePunct w:val="0"/>
        <w:autoSpaceDE w:val="0"/>
        <w:autoSpaceDN w:val="0"/>
        <w:bidi w:val="0"/>
        <w:adjustRightInd w:val="0"/>
        <w:spacing w:line="380" w:lineRule="exact"/>
        <w:ind w:firstLine="420" w:firstLineChars="200"/>
        <w:rPr>
          <w:color w:val="auto"/>
          <w:szCs w:val="21"/>
        </w:rPr>
      </w:pPr>
      <w:r>
        <w:rPr>
          <w:rFonts w:hint="eastAsia"/>
          <w:color w:val="auto"/>
          <w:szCs w:val="21"/>
        </w:rPr>
        <w:t>9</w:t>
      </w:r>
      <w:r>
        <w:rPr>
          <w:color w:val="auto"/>
          <w:szCs w:val="21"/>
        </w:rPr>
        <w:t>.若对项目采购电子交易系统操作有疑问，可登录广西政府采购云平台（https://www.gcy.zfcg.gxzf.gov.cn/），点击右侧咨询小采，获取采小蜜智能服务管家帮助，或拨打广西政府采购云平台服务热线95763获取热线服务帮助。</w:t>
      </w:r>
    </w:p>
    <w:p>
      <w:pPr>
        <w:keepNext w:val="0"/>
        <w:keepLines w:val="0"/>
        <w:pageBreakBefore w:val="0"/>
        <w:kinsoku/>
        <w:wordWrap/>
        <w:overflowPunct/>
        <w:topLinePunct w:val="0"/>
        <w:bidi w:val="0"/>
        <w:spacing w:line="380" w:lineRule="exact"/>
        <w:outlineLvl w:val="1"/>
        <w:rPr>
          <w:b/>
          <w:bCs/>
          <w:color w:val="auto"/>
          <w:szCs w:val="21"/>
        </w:rPr>
      </w:pPr>
      <w:bookmarkStart w:id="63" w:name="_Toc25069"/>
      <w:bookmarkStart w:id="64" w:name="_Toc15882"/>
      <w:bookmarkStart w:id="65" w:name="_Toc14130"/>
      <w:bookmarkStart w:id="66" w:name="_Toc24689"/>
      <w:bookmarkStart w:id="67" w:name="_Toc13059"/>
      <w:r>
        <w:rPr>
          <w:rFonts w:hint="eastAsia"/>
          <w:b/>
          <w:bCs/>
          <w:color w:val="auto"/>
          <w:szCs w:val="21"/>
        </w:rPr>
        <w:t>七</w:t>
      </w:r>
      <w:r>
        <w:rPr>
          <w:b/>
          <w:bCs/>
          <w:color w:val="auto"/>
          <w:szCs w:val="21"/>
        </w:rPr>
        <w:t>、凡对本次采购提出询问，请按以下方式联系。</w:t>
      </w:r>
      <w:bookmarkEnd w:id="36"/>
      <w:bookmarkEnd w:id="37"/>
      <w:bookmarkEnd w:id="38"/>
      <w:bookmarkEnd w:id="39"/>
      <w:bookmarkEnd w:id="63"/>
      <w:bookmarkEnd w:id="64"/>
      <w:bookmarkEnd w:id="65"/>
      <w:bookmarkEnd w:id="66"/>
      <w:bookmarkEnd w:id="67"/>
    </w:p>
    <w:p>
      <w:pPr>
        <w:keepNext w:val="0"/>
        <w:keepLines w:val="0"/>
        <w:pageBreakBefore w:val="0"/>
        <w:kinsoku/>
        <w:wordWrap/>
        <w:overflowPunct/>
        <w:topLinePunct w:val="0"/>
        <w:bidi w:val="0"/>
        <w:spacing w:line="380" w:lineRule="exact"/>
        <w:ind w:firstLine="422" w:firstLineChars="200"/>
        <w:rPr>
          <w:b/>
          <w:bCs/>
          <w:color w:val="auto"/>
          <w:szCs w:val="21"/>
        </w:rPr>
      </w:pPr>
      <w:bookmarkStart w:id="68" w:name="_Toc11511"/>
      <w:bookmarkStart w:id="69" w:name="_Toc6861"/>
      <w:bookmarkStart w:id="70" w:name="_Toc32457"/>
      <w:bookmarkStart w:id="71" w:name="_Toc2342"/>
      <w:bookmarkStart w:id="72" w:name="_Toc12125"/>
      <w:bookmarkStart w:id="73" w:name="_Toc9888"/>
      <w:bookmarkStart w:id="74" w:name="_Toc13906"/>
      <w:bookmarkStart w:id="75" w:name="_Toc4192"/>
      <w:r>
        <w:rPr>
          <w:b/>
          <w:bCs/>
          <w:color w:val="auto"/>
          <w:szCs w:val="21"/>
        </w:rPr>
        <w:t>1.采购人信息</w:t>
      </w:r>
      <w:bookmarkEnd w:id="68"/>
      <w:bookmarkEnd w:id="69"/>
      <w:bookmarkEnd w:id="70"/>
      <w:bookmarkEnd w:id="71"/>
      <w:bookmarkEnd w:id="72"/>
      <w:bookmarkEnd w:id="73"/>
      <w:bookmarkEnd w:id="74"/>
      <w:bookmarkEnd w:id="75"/>
    </w:p>
    <w:p>
      <w:pPr>
        <w:keepNext w:val="0"/>
        <w:keepLines w:val="0"/>
        <w:pageBreakBefore w:val="0"/>
        <w:widowControl/>
        <w:kinsoku/>
        <w:wordWrap/>
        <w:overflowPunct/>
        <w:topLinePunct w:val="0"/>
        <w:bidi w:val="0"/>
        <w:adjustRightInd w:val="0"/>
        <w:snapToGrid w:val="0"/>
        <w:spacing w:line="380" w:lineRule="exact"/>
        <w:ind w:firstLine="420" w:firstLineChars="200"/>
        <w:textAlignment w:val="baseline"/>
        <w:rPr>
          <w:rFonts w:hint="default" w:eastAsia="宋体"/>
          <w:color w:val="auto"/>
          <w:kern w:val="0"/>
          <w:szCs w:val="21"/>
          <w:lang w:val="en-US" w:eastAsia="zh-CN"/>
        </w:rPr>
      </w:pPr>
      <w:r>
        <w:rPr>
          <w:color w:val="auto"/>
          <w:kern w:val="0"/>
          <w:szCs w:val="21"/>
        </w:rPr>
        <w:t>名称：</w:t>
      </w:r>
      <w:r>
        <w:rPr>
          <w:rFonts w:hint="eastAsia"/>
          <w:color w:val="auto"/>
          <w:kern w:val="0"/>
          <w:szCs w:val="21"/>
        </w:rPr>
        <w:t>灵川县</w:t>
      </w:r>
      <w:r>
        <w:rPr>
          <w:rFonts w:hint="eastAsia"/>
          <w:color w:val="auto"/>
          <w:kern w:val="0"/>
          <w:szCs w:val="21"/>
          <w:lang w:val="en-US" w:eastAsia="zh-CN"/>
        </w:rPr>
        <w:t>灵川镇人民政府</w:t>
      </w:r>
    </w:p>
    <w:p>
      <w:pPr>
        <w:keepNext w:val="0"/>
        <w:keepLines w:val="0"/>
        <w:pageBreakBefore w:val="0"/>
        <w:widowControl/>
        <w:kinsoku/>
        <w:wordWrap/>
        <w:overflowPunct/>
        <w:topLinePunct w:val="0"/>
        <w:bidi w:val="0"/>
        <w:adjustRightInd w:val="0"/>
        <w:snapToGrid w:val="0"/>
        <w:spacing w:line="380" w:lineRule="exact"/>
        <w:ind w:firstLine="420" w:firstLineChars="200"/>
        <w:textAlignment w:val="baseline"/>
        <w:rPr>
          <w:rFonts w:hint="default" w:eastAsia="宋体"/>
          <w:color w:val="auto"/>
          <w:kern w:val="0"/>
          <w:szCs w:val="21"/>
          <w:lang w:val="en-US" w:eastAsia="zh-CN"/>
        </w:rPr>
      </w:pPr>
      <w:r>
        <w:rPr>
          <w:color w:val="auto"/>
          <w:kern w:val="0"/>
          <w:szCs w:val="21"/>
        </w:rPr>
        <w:t>地址：</w:t>
      </w:r>
      <w:r>
        <w:rPr>
          <w:rFonts w:hint="eastAsia"/>
          <w:color w:val="auto"/>
          <w:kern w:val="0"/>
          <w:szCs w:val="21"/>
        </w:rPr>
        <w:t>桂林市灵川县</w:t>
      </w:r>
      <w:r>
        <w:rPr>
          <w:rFonts w:hint="eastAsia"/>
          <w:color w:val="auto"/>
          <w:kern w:val="0"/>
          <w:szCs w:val="21"/>
          <w:lang w:val="en-US" w:eastAsia="zh-CN"/>
        </w:rPr>
        <w:t>灵川镇灵南路10号</w:t>
      </w:r>
    </w:p>
    <w:p>
      <w:pPr>
        <w:keepNext w:val="0"/>
        <w:keepLines w:val="0"/>
        <w:pageBreakBefore w:val="0"/>
        <w:widowControl/>
        <w:kinsoku/>
        <w:wordWrap/>
        <w:overflowPunct/>
        <w:topLinePunct w:val="0"/>
        <w:bidi w:val="0"/>
        <w:adjustRightInd w:val="0"/>
        <w:snapToGrid w:val="0"/>
        <w:spacing w:line="380" w:lineRule="exact"/>
        <w:ind w:firstLine="420" w:firstLineChars="200"/>
        <w:textAlignment w:val="baseline"/>
        <w:rPr>
          <w:rFonts w:hint="default" w:eastAsia="宋体"/>
          <w:color w:val="auto"/>
          <w:kern w:val="0"/>
          <w:szCs w:val="21"/>
          <w:lang w:val="en-US" w:eastAsia="zh-CN"/>
        </w:rPr>
      </w:pPr>
      <w:r>
        <w:rPr>
          <w:color w:val="auto"/>
          <w:kern w:val="0"/>
          <w:szCs w:val="21"/>
        </w:rPr>
        <w:t>联系方式：</w:t>
      </w:r>
      <w:r>
        <w:rPr>
          <w:rFonts w:hint="eastAsia"/>
          <w:color w:val="auto"/>
          <w:kern w:val="0"/>
          <w:szCs w:val="21"/>
          <w:lang w:val="en-US" w:eastAsia="zh-CN"/>
        </w:rPr>
        <w:t>0773-6860932</w:t>
      </w:r>
    </w:p>
    <w:p>
      <w:pPr>
        <w:keepNext w:val="0"/>
        <w:keepLines w:val="0"/>
        <w:pageBreakBefore w:val="0"/>
        <w:kinsoku/>
        <w:wordWrap/>
        <w:overflowPunct/>
        <w:topLinePunct w:val="0"/>
        <w:bidi w:val="0"/>
        <w:spacing w:line="380" w:lineRule="exact"/>
        <w:ind w:firstLine="422" w:firstLineChars="200"/>
        <w:rPr>
          <w:b/>
          <w:bCs/>
          <w:color w:val="auto"/>
          <w:szCs w:val="21"/>
        </w:rPr>
      </w:pPr>
      <w:bookmarkStart w:id="76" w:name="_Toc12405"/>
      <w:bookmarkStart w:id="77" w:name="_Toc6278"/>
      <w:bookmarkStart w:id="78" w:name="_Toc20363"/>
      <w:bookmarkStart w:id="79" w:name="_Toc16936"/>
      <w:bookmarkStart w:id="80" w:name="_Toc12451"/>
      <w:bookmarkStart w:id="81" w:name="_Toc5959"/>
      <w:bookmarkStart w:id="82" w:name="_Toc21403"/>
      <w:r>
        <w:rPr>
          <w:b/>
          <w:bCs/>
          <w:color w:val="auto"/>
          <w:szCs w:val="21"/>
        </w:rPr>
        <w:t>2.采购代理机构信息</w:t>
      </w:r>
      <w:bookmarkEnd w:id="76"/>
      <w:bookmarkEnd w:id="77"/>
      <w:bookmarkEnd w:id="78"/>
      <w:bookmarkEnd w:id="79"/>
      <w:bookmarkEnd w:id="80"/>
      <w:bookmarkEnd w:id="81"/>
      <w:bookmarkEnd w:id="82"/>
    </w:p>
    <w:p>
      <w:pPr>
        <w:keepNext w:val="0"/>
        <w:keepLines w:val="0"/>
        <w:pageBreakBefore w:val="0"/>
        <w:widowControl/>
        <w:kinsoku/>
        <w:wordWrap/>
        <w:overflowPunct/>
        <w:topLinePunct w:val="0"/>
        <w:bidi w:val="0"/>
        <w:adjustRightInd w:val="0"/>
        <w:snapToGrid w:val="0"/>
        <w:spacing w:line="380" w:lineRule="exact"/>
        <w:ind w:firstLine="420" w:firstLineChars="200"/>
        <w:textAlignment w:val="baseline"/>
        <w:rPr>
          <w:color w:val="auto"/>
          <w:kern w:val="0"/>
          <w:szCs w:val="21"/>
        </w:rPr>
      </w:pPr>
      <w:r>
        <w:rPr>
          <w:color w:val="auto"/>
          <w:kern w:val="0"/>
          <w:szCs w:val="21"/>
        </w:rPr>
        <w:t>名称：</w:t>
      </w:r>
      <w:r>
        <w:rPr>
          <w:rFonts w:hint="eastAsia"/>
          <w:color w:val="auto"/>
          <w:kern w:val="0"/>
          <w:szCs w:val="21"/>
        </w:rPr>
        <w:t>广西科联招标中心有限公司</w:t>
      </w:r>
    </w:p>
    <w:p>
      <w:pPr>
        <w:keepNext w:val="0"/>
        <w:keepLines w:val="0"/>
        <w:pageBreakBefore w:val="0"/>
        <w:widowControl/>
        <w:kinsoku/>
        <w:wordWrap/>
        <w:overflowPunct/>
        <w:topLinePunct w:val="0"/>
        <w:bidi w:val="0"/>
        <w:adjustRightInd w:val="0"/>
        <w:snapToGrid w:val="0"/>
        <w:spacing w:line="380" w:lineRule="exact"/>
        <w:ind w:firstLine="420" w:firstLineChars="200"/>
        <w:textAlignment w:val="baseline"/>
        <w:rPr>
          <w:color w:val="auto"/>
          <w:kern w:val="0"/>
          <w:szCs w:val="21"/>
        </w:rPr>
      </w:pPr>
      <w:r>
        <w:rPr>
          <w:color w:val="auto"/>
          <w:kern w:val="0"/>
          <w:szCs w:val="21"/>
        </w:rPr>
        <w:t>地址：</w:t>
      </w:r>
      <w:r>
        <w:rPr>
          <w:rFonts w:hint="eastAsia"/>
          <w:color w:val="auto"/>
          <w:kern w:val="0"/>
          <w:szCs w:val="21"/>
        </w:rPr>
        <w:t>桂林市七星区东江路28号28-8栋</w:t>
      </w:r>
    </w:p>
    <w:p>
      <w:pPr>
        <w:keepNext w:val="0"/>
        <w:keepLines w:val="0"/>
        <w:pageBreakBefore w:val="0"/>
        <w:widowControl/>
        <w:kinsoku/>
        <w:wordWrap/>
        <w:overflowPunct/>
        <w:topLinePunct w:val="0"/>
        <w:bidi w:val="0"/>
        <w:adjustRightInd w:val="0"/>
        <w:snapToGrid w:val="0"/>
        <w:spacing w:line="380" w:lineRule="exact"/>
        <w:ind w:firstLine="420" w:firstLineChars="200"/>
        <w:textAlignment w:val="baseline"/>
        <w:rPr>
          <w:color w:val="auto"/>
          <w:kern w:val="0"/>
          <w:szCs w:val="21"/>
        </w:rPr>
      </w:pPr>
      <w:r>
        <w:rPr>
          <w:color w:val="auto"/>
          <w:kern w:val="0"/>
          <w:szCs w:val="21"/>
        </w:rPr>
        <w:t>联系方式：</w:t>
      </w:r>
      <w:r>
        <w:rPr>
          <w:rFonts w:hint="eastAsia"/>
          <w:color w:val="auto"/>
          <w:kern w:val="0"/>
          <w:szCs w:val="21"/>
        </w:rPr>
        <w:t>0773-54429</w:t>
      </w:r>
      <w:r>
        <w:rPr>
          <w:color w:val="auto"/>
          <w:kern w:val="0"/>
          <w:szCs w:val="21"/>
        </w:rPr>
        <w:t>11</w:t>
      </w:r>
    </w:p>
    <w:p>
      <w:pPr>
        <w:keepNext w:val="0"/>
        <w:keepLines w:val="0"/>
        <w:pageBreakBefore w:val="0"/>
        <w:widowControl/>
        <w:kinsoku/>
        <w:wordWrap/>
        <w:overflowPunct/>
        <w:topLinePunct w:val="0"/>
        <w:bidi w:val="0"/>
        <w:adjustRightInd w:val="0"/>
        <w:snapToGrid w:val="0"/>
        <w:spacing w:line="380" w:lineRule="exact"/>
        <w:ind w:firstLine="422" w:firstLineChars="200"/>
        <w:textAlignment w:val="baseline"/>
        <w:outlineLvl w:val="2"/>
        <w:rPr>
          <w:b/>
          <w:bCs/>
          <w:color w:val="auto"/>
          <w:kern w:val="0"/>
          <w:szCs w:val="21"/>
        </w:rPr>
      </w:pPr>
      <w:bookmarkStart w:id="83" w:name="_Toc6889"/>
      <w:bookmarkStart w:id="84" w:name="_Toc6938"/>
      <w:bookmarkStart w:id="85" w:name="_Toc27406"/>
      <w:bookmarkStart w:id="86" w:name="_Toc18674"/>
      <w:bookmarkStart w:id="87" w:name="_Toc11796"/>
      <w:bookmarkStart w:id="88" w:name="_Toc30608"/>
      <w:bookmarkStart w:id="89" w:name="_Toc10144"/>
      <w:bookmarkStart w:id="90" w:name="_Toc16845"/>
      <w:bookmarkStart w:id="91" w:name="_Toc27571"/>
      <w:r>
        <w:rPr>
          <w:b/>
          <w:bCs/>
          <w:color w:val="auto"/>
          <w:kern w:val="0"/>
          <w:szCs w:val="21"/>
        </w:rPr>
        <w:t>3.项目联系方式</w:t>
      </w:r>
      <w:bookmarkEnd w:id="83"/>
      <w:bookmarkEnd w:id="84"/>
      <w:bookmarkEnd w:id="85"/>
      <w:bookmarkEnd w:id="86"/>
      <w:bookmarkEnd w:id="87"/>
      <w:bookmarkEnd w:id="88"/>
      <w:bookmarkEnd w:id="89"/>
      <w:bookmarkEnd w:id="90"/>
      <w:bookmarkEnd w:id="91"/>
    </w:p>
    <w:p>
      <w:pPr>
        <w:keepNext w:val="0"/>
        <w:keepLines w:val="0"/>
        <w:pageBreakBefore w:val="0"/>
        <w:widowControl/>
        <w:kinsoku/>
        <w:wordWrap/>
        <w:overflowPunct/>
        <w:topLinePunct w:val="0"/>
        <w:bidi w:val="0"/>
        <w:adjustRightInd w:val="0"/>
        <w:snapToGrid w:val="0"/>
        <w:spacing w:line="380" w:lineRule="exact"/>
        <w:ind w:firstLine="420" w:firstLineChars="200"/>
        <w:textAlignment w:val="baseline"/>
        <w:rPr>
          <w:color w:val="auto"/>
          <w:kern w:val="0"/>
          <w:szCs w:val="21"/>
        </w:rPr>
      </w:pPr>
      <w:r>
        <w:rPr>
          <w:color w:val="auto"/>
          <w:kern w:val="0"/>
          <w:szCs w:val="21"/>
        </w:rPr>
        <w:t>项目联系人：欧阳清松</w:t>
      </w:r>
    </w:p>
    <w:p>
      <w:pPr>
        <w:pStyle w:val="21"/>
        <w:keepNext w:val="0"/>
        <w:keepLines w:val="0"/>
        <w:pageBreakBefore w:val="0"/>
        <w:kinsoku/>
        <w:wordWrap/>
        <w:overflowPunct/>
        <w:topLinePunct w:val="0"/>
        <w:bidi w:val="0"/>
        <w:spacing w:after="0" w:line="380" w:lineRule="exact"/>
        <w:ind w:firstLine="420" w:firstLineChars="200"/>
        <w:rPr>
          <w:color w:val="auto"/>
          <w:szCs w:val="21"/>
        </w:rPr>
      </w:pPr>
      <w:r>
        <w:rPr>
          <w:color w:val="auto"/>
          <w:kern w:val="0"/>
          <w:szCs w:val="21"/>
        </w:rPr>
        <w:t>电  话：</w:t>
      </w:r>
      <w:r>
        <w:rPr>
          <w:rFonts w:hint="eastAsia"/>
          <w:color w:val="auto"/>
          <w:kern w:val="0"/>
          <w:szCs w:val="21"/>
        </w:rPr>
        <w:t>0773-2808163</w:t>
      </w:r>
    </w:p>
    <w:p>
      <w:pPr>
        <w:keepNext w:val="0"/>
        <w:keepLines w:val="0"/>
        <w:pageBreakBefore w:val="0"/>
        <w:kinsoku/>
        <w:wordWrap/>
        <w:overflowPunct/>
        <w:topLinePunct w:val="0"/>
        <w:bidi w:val="0"/>
        <w:spacing w:line="380" w:lineRule="exact"/>
        <w:ind w:firstLine="5798" w:firstLineChars="2750"/>
        <w:rPr>
          <w:b/>
          <w:bCs/>
          <w:color w:val="auto"/>
          <w:szCs w:val="21"/>
        </w:rPr>
      </w:pPr>
      <w:r>
        <w:rPr>
          <w:rFonts w:hint="eastAsia"/>
          <w:b/>
          <w:bCs/>
          <w:color w:val="auto"/>
          <w:szCs w:val="21"/>
        </w:rPr>
        <w:t>广西科联招标中心有限公司</w:t>
      </w:r>
    </w:p>
    <w:p>
      <w:pPr>
        <w:keepNext w:val="0"/>
        <w:keepLines w:val="0"/>
        <w:pageBreakBefore w:val="0"/>
        <w:kinsoku/>
        <w:wordWrap/>
        <w:overflowPunct/>
        <w:topLinePunct w:val="0"/>
        <w:bidi w:val="0"/>
        <w:spacing w:line="380" w:lineRule="exact"/>
        <w:ind w:firstLine="6114" w:firstLineChars="2900"/>
        <w:rPr>
          <w:b/>
          <w:bCs/>
          <w:color w:val="auto"/>
          <w:szCs w:val="21"/>
        </w:rPr>
      </w:pPr>
      <w:bookmarkStart w:id="92" w:name="_Toc26924"/>
      <w:bookmarkStart w:id="93" w:name="_Toc31707"/>
      <w:r>
        <w:rPr>
          <w:rFonts w:hint="eastAsia"/>
          <w:b/>
          <w:bCs/>
          <w:color w:val="auto"/>
          <w:szCs w:val="21"/>
        </w:rPr>
        <w:t>2024年</w:t>
      </w:r>
      <w:r>
        <w:rPr>
          <w:rFonts w:hint="default"/>
          <w:b/>
          <w:bCs/>
          <w:color w:val="auto"/>
          <w:szCs w:val="21"/>
          <w:lang w:val="en-US"/>
        </w:rPr>
        <w:t>5</w:t>
      </w:r>
      <w:r>
        <w:rPr>
          <w:rFonts w:hint="eastAsia"/>
          <w:b/>
          <w:bCs/>
          <w:color w:val="auto"/>
          <w:szCs w:val="21"/>
        </w:rPr>
        <w:t>月</w:t>
      </w:r>
      <w:r>
        <w:rPr>
          <w:rFonts w:hint="default"/>
          <w:b/>
          <w:bCs/>
          <w:color w:val="auto"/>
          <w:szCs w:val="21"/>
          <w:lang w:val="en-US"/>
        </w:rPr>
        <w:t>17</w:t>
      </w:r>
      <w:r>
        <w:rPr>
          <w:rFonts w:hint="eastAsia"/>
          <w:b/>
          <w:bCs/>
          <w:color w:val="auto"/>
          <w:szCs w:val="21"/>
        </w:rPr>
        <w:t>日</w:t>
      </w:r>
    </w:p>
    <w:p>
      <w:pPr>
        <w:pStyle w:val="2"/>
        <w:rPr>
          <w:b/>
          <w:bCs/>
          <w:color w:val="auto"/>
          <w:szCs w:val="21"/>
        </w:rPr>
      </w:pPr>
    </w:p>
    <w:p>
      <w:pPr>
        <w:spacing w:line="360" w:lineRule="auto"/>
        <w:jc w:val="center"/>
        <w:outlineLvl w:val="0"/>
        <w:rPr>
          <w:rFonts w:eastAsia="华文中宋" w:cs="华文中宋"/>
          <w:b/>
          <w:bCs/>
          <w:color w:val="auto"/>
          <w:sz w:val="32"/>
          <w:szCs w:val="32"/>
        </w:rPr>
      </w:pPr>
      <w:r>
        <w:rPr>
          <w:rFonts w:hint="eastAsia" w:eastAsia="华文中宋" w:cs="华文中宋"/>
          <w:b/>
          <w:bCs/>
          <w:color w:val="auto"/>
          <w:sz w:val="32"/>
          <w:szCs w:val="32"/>
        </w:rPr>
        <w:br w:type="page"/>
      </w:r>
      <w:bookmarkStart w:id="94" w:name="_Toc7559"/>
      <w:r>
        <w:rPr>
          <w:rFonts w:hint="eastAsia" w:eastAsia="华文中宋" w:cs="华文中宋"/>
          <w:b/>
          <w:bCs/>
          <w:color w:val="auto"/>
          <w:sz w:val="32"/>
          <w:szCs w:val="32"/>
        </w:rPr>
        <w:t>第二章  供应商须知</w:t>
      </w:r>
      <w:bookmarkEnd w:id="92"/>
      <w:bookmarkEnd w:id="93"/>
      <w:bookmarkEnd w:id="94"/>
    </w:p>
    <w:p>
      <w:pPr>
        <w:jc w:val="center"/>
        <w:outlineLvl w:val="1"/>
        <w:rPr>
          <w:rFonts w:cs="宋体"/>
          <w:b/>
          <w:bCs/>
          <w:color w:val="auto"/>
          <w:sz w:val="28"/>
          <w:szCs w:val="28"/>
        </w:rPr>
      </w:pPr>
      <w:bookmarkStart w:id="95" w:name="_Toc10555"/>
      <w:bookmarkStart w:id="96" w:name="_Toc25063"/>
      <w:bookmarkStart w:id="97" w:name="_Toc13547"/>
      <w:bookmarkStart w:id="98" w:name="_Toc6335"/>
      <w:bookmarkStart w:id="99" w:name="_Toc1585"/>
      <w:bookmarkStart w:id="100" w:name="_Toc9508"/>
      <w:r>
        <w:rPr>
          <w:rFonts w:hint="eastAsia" w:cs="宋体"/>
          <w:b/>
          <w:bCs/>
          <w:color w:val="auto"/>
          <w:sz w:val="28"/>
          <w:szCs w:val="28"/>
        </w:rPr>
        <w:t>供应商须知前附表</w:t>
      </w:r>
      <w:bookmarkEnd w:id="95"/>
      <w:bookmarkEnd w:id="96"/>
      <w:bookmarkEnd w:id="97"/>
      <w:bookmarkEnd w:id="98"/>
      <w:bookmarkEnd w:id="99"/>
      <w:bookmarkEnd w:id="100"/>
    </w:p>
    <w:tbl>
      <w:tblPr>
        <w:tblStyle w:val="53"/>
        <w:tblW w:w="9600"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942"/>
        <w:gridCol w:w="1775"/>
        <w:gridCol w:w="6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blHeader/>
        </w:trPr>
        <w:tc>
          <w:tcPr>
            <w:tcW w:w="662" w:type="dxa"/>
            <w:shd w:val="clear" w:color="auto" w:fill="8DB3E2"/>
            <w:vAlign w:val="center"/>
          </w:tcPr>
          <w:p>
            <w:pPr>
              <w:spacing w:line="400" w:lineRule="exact"/>
              <w:jc w:val="center"/>
              <w:rPr>
                <w:rFonts w:eastAsia="华文中宋"/>
                <w:b/>
                <w:bCs/>
                <w:color w:val="auto"/>
                <w:szCs w:val="21"/>
              </w:rPr>
            </w:pPr>
            <w:r>
              <w:rPr>
                <w:rFonts w:eastAsia="华文中宋"/>
                <w:b/>
                <w:bCs/>
                <w:color w:val="auto"/>
                <w:szCs w:val="21"/>
              </w:rPr>
              <w:t>序号</w:t>
            </w:r>
          </w:p>
        </w:tc>
        <w:tc>
          <w:tcPr>
            <w:tcW w:w="942" w:type="dxa"/>
            <w:shd w:val="clear" w:color="auto" w:fill="8DB3E2"/>
            <w:vAlign w:val="center"/>
          </w:tcPr>
          <w:p>
            <w:pPr>
              <w:spacing w:line="400" w:lineRule="exact"/>
              <w:jc w:val="center"/>
              <w:rPr>
                <w:rFonts w:eastAsia="华文中宋"/>
                <w:b/>
                <w:bCs/>
                <w:color w:val="auto"/>
                <w:szCs w:val="21"/>
              </w:rPr>
            </w:pPr>
            <w:r>
              <w:rPr>
                <w:rFonts w:eastAsia="华文中宋"/>
                <w:b/>
                <w:bCs/>
                <w:color w:val="auto"/>
                <w:szCs w:val="21"/>
              </w:rPr>
              <w:t>条款号</w:t>
            </w:r>
          </w:p>
        </w:tc>
        <w:tc>
          <w:tcPr>
            <w:tcW w:w="1775" w:type="dxa"/>
            <w:shd w:val="clear" w:color="auto" w:fill="8DB3E2"/>
            <w:vAlign w:val="center"/>
          </w:tcPr>
          <w:p>
            <w:pPr>
              <w:spacing w:line="400" w:lineRule="exact"/>
              <w:jc w:val="center"/>
              <w:rPr>
                <w:rFonts w:eastAsia="华文中宋"/>
                <w:b/>
                <w:bCs/>
                <w:color w:val="auto"/>
                <w:szCs w:val="21"/>
              </w:rPr>
            </w:pPr>
            <w:r>
              <w:rPr>
                <w:rFonts w:eastAsia="华文中宋"/>
                <w:b/>
                <w:bCs/>
                <w:color w:val="auto"/>
                <w:szCs w:val="21"/>
              </w:rPr>
              <w:t>条款名称</w:t>
            </w:r>
          </w:p>
        </w:tc>
        <w:tc>
          <w:tcPr>
            <w:tcW w:w="6221" w:type="dxa"/>
            <w:shd w:val="clear" w:color="auto" w:fill="8DB3E2"/>
            <w:vAlign w:val="center"/>
          </w:tcPr>
          <w:p>
            <w:pPr>
              <w:spacing w:line="400" w:lineRule="exact"/>
              <w:jc w:val="center"/>
              <w:rPr>
                <w:rFonts w:eastAsia="华文中宋"/>
                <w:b/>
                <w:bCs/>
                <w:color w:val="auto"/>
                <w:szCs w:val="21"/>
              </w:rPr>
            </w:pPr>
            <w:r>
              <w:rPr>
                <w:rFonts w:eastAsia="华文中宋"/>
                <w:b/>
                <w:bCs/>
                <w:color w:val="auto"/>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62" w:type="dxa"/>
            <w:vAlign w:val="center"/>
          </w:tcPr>
          <w:p>
            <w:pPr>
              <w:spacing w:line="400" w:lineRule="exact"/>
              <w:jc w:val="center"/>
              <w:rPr>
                <w:color w:val="auto"/>
                <w:szCs w:val="21"/>
              </w:rPr>
            </w:pPr>
            <w:r>
              <w:rPr>
                <w:color w:val="auto"/>
                <w:szCs w:val="21"/>
              </w:rPr>
              <w:t>1</w:t>
            </w:r>
          </w:p>
        </w:tc>
        <w:tc>
          <w:tcPr>
            <w:tcW w:w="942" w:type="dxa"/>
            <w:vAlign w:val="center"/>
          </w:tcPr>
          <w:p>
            <w:pPr>
              <w:spacing w:line="400" w:lineRule="exact"/>
              <w:jc w:val="center"/>
              <w:rPr>
                <w:color w:val="auto"/>
                <w:szCs w:val="21"/>
              </w:rPr>
            </w:pPr>
            <w:r>
              <w:rPr>
                <w:color w:val="auto"/>
                <w:szCs w:val="21"/>
              </w:rPr>
              <w:t>1.1</w:t>
            </w:r>
          </w:p>
        </w:tc>
        <w:tc>
          <w:tcPr>
            <w:tcW w:w="1775" w:type="dxa"/>
            <w:vAlign w:val="center"/>
          </w:tcPr>
          <w:p>
            <w:pPr>
              <w:spacing w:line="400" w:lineRule="exact"/>
              <w:jc w:val="center"/>
              <w:rPr>
                <w:color w:val="auto"/>
                <w:szCs w:val="21"/>
              </w:rPr>
            </w:pPr>
            <w:r>
              <w:rPr>
                <w:color w:val="auto"/>
                <w:szCs w:val="21"/>
              </w:rPr>
              <w:t>项目名称及项目编号</w:t>
            </w:r>
          </w:p>
        </w:tc>
        <w:tc>
          <w:tcPr>
            <w:tcW w:w="6221" w:type="dxa"/>
            <w:vAlign w:val="center"/>
          </w:tcPr>
          <w:p>
            <w:pPr>
              <w:spacing w:line="400" w:lineRule="exact"/>
              <w:rPr>
                <w:color w:val="auto"/>
                <w:szCs w:val="21"/>
              </w:rPr>
            </w:pPr>
            <w:r>
              <w:rPr>
                <w:color w:val="auto"/>
                <w:szCs w:val="21"/>
              </w:rPr>
              <w:t>项目名称：</w:t>
            </w:r>
            <w:r>
              <w:rPr>
                <w:rFonts w:hint="eastAsia"/>
                <w:color w:val="auto"/>
                <w:szCs w:val="21"/>
              </w:rPr>
              <w:t>灵川县灵川镇木马村委三排至车田优质稻产业基地内灌溉水渠工程</w:t>
            </w:r>
          </w:p>
          <w:p>
            <w:pPr>
              <w:spacing w:line="400" w:lineRule="exact"/>
              <w:rPr>
                <w:color w:val="auto"/>
              </w:rPr>
            </w:pPr>
            <w:r>
              <w:rPr>
                <w:color w:val="auto"/>
                <w:szCs w:val="21"/>
              </w:rPr>
              <w:t>项目编号：</w:t>
            </w:r>
            <w:r>
              <w:rPr>
                <w:rFonts w:hint="default"/>
                <w:color w:val="auto"/>
                <w:szCs w:val="21"/>
                <w:lang w:val="en-US"/>
              </w:rPr>
              <w:t>GLZC2024-C2-230170-KLZB</w:t>
            </w:r>
            <w:r>
              <w:rPr>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62" w:type="dxa"/>
            <w:vAlign w:val="center"/>
          </w:tcPr>
          <w:p>
            <w:pPr>
              <w:spacing w:line="400" w:lineRule="exact"/>
              <w:jc w:val="center"/>
              <w:rPr>
                <w:color w:val="auto"/>
                <w:szCs w:val="21"/>
              </w:rPr>
            </w:pPr>
            <w:r>
              <w:rPr>
                <w:color w:val="auto"/>
                <w:szCs w:val="21"/>
              </w:rPr>
              <w:t>2</w:t>
            </w:r>
          </w:p>
        </w:tc>
        <w:tc>
          <w:tcPr>
            <w:tcW w:w="942" w:type="dxa"/>
            <w:vAlign w:val="center"/>
          </w:tcPr>
          <w:p>
            <w:pPr>
              <w:spacing w:line="400" w:lineRule="exact"/>
              <w:jc w:val="center"/>
              <w:rPr>
                <w:color w:val="auto"/>
                <w:szCs w:val="21"/>
              </w:rPr>
            </w:pPr>
            <w:r>
              <w:rPr>
                <w:color w:val="auto"/>
                <w:szCs w:val="21"/>
              </w:rPr>
              <w:t>3</w:t>
            </w:r>
          </w:p>
        </w:tc>
        <w:tc>
          <w:tcPr>
            <w:tcW w:w="1775" w:type="dxa"/>
            <w:vAlign w:val="center"/>
          </w:tcPr>
          <w:p>
            <w:pPr>
              <w:spacing w:line="400" w:lineRule="exact"/>
              <w:jc w:val="center"/>
              <w:rPr>
                <w:color w:val="auto"/>
                <w:szCs w:val="21"/>
              </w:rPr>
            </w:pPr>
            <w:r>
              <w:rPr>
                <w:color w:val="auto"/>
                <w:szCs w:val="21"/>
              </w:rPr>
              <w:t>供应商资格</w:t>
            </w:r>
          </w:p>
        </w:tc>
        <w:tc>
          <w:tcPr>
            <w:tcW w:w="6221" w:type="dxa"/>
            <w:vAlign w:val="center"/>
          </w:tcPr>
          <w:p>
            <w:pPr>
              <w:spacing w:line="400" w:lineRule="exact"/>
              <w:rPr>
                <w:color w:val="auto"/>
              </w:rPr>
            </w:pPr>
            <w:r>
              <w:rPr>
                <w:color w:val="auto"/>
              </w:rPr>
              <w:t>3.1满足《中华人民共和国政府采购法》第二十二条规定；</w:t>
            </w:r>
          </w:p>
          <w:p>
            <w:pPr>
              <w:spacing w:line="400" w:lineRule="exact"/>
              <w:rPr>
                <w:color w:val="auto"/>
              </w:rPr>
            </w:pPr>
            <w:r>
              <w:rPr>
                <w:color w:val="auto"/>
              </w:rPr>
              <w:t>3.2落实政府采购政策需满足的资格要求：本项目为专门面向中小企业采购的项目。{按桂财采〔2021〕70号《</w:t>
            </w:r>
            <w:r>
              <w:rPr>
                <w:rFonts w:hint="eastAsia"/>
                <w:color w:val="auto"/>
              </w:rPr>
              <w:t>广西壮族自治区财政厅</w:t>
            </w:r>
            <w:r>
              <w:rPr>
                <w:color w:val="auto"/>
              </w:rPr>
              <w:t xml:space="preserve"> 广西壮族自治区工业和信息化厅关于贯彻落实政府采购促进中小企业发展管理办法的通知》规定，提供中小企业声明函或者残疾人福利性单位声明函（格式后附）或者供应商属于监狱企业的需提供由省级以上监狱管理局、戒毒管理局（含新疆生产建设兵团）出具的属于监狱企业的证明文件。</w:t>
            </w:r>
          </w:p>
          <w:p>
            <w:pPr>
              <w:spacing w:line="400" w:lineRule="exact"/>
              <w:rPr>
                <w:color w:val="auto"/>
              </w:rPr>
            </w:pPr>
            <w:r>
              <w:rPr>
                <w:color w:val="auto"/>
              </w:rPr>
              <w:t>3.3本项目的特定资格要求：</w:t>
            </w:r>
            <w:r>
              <w:rPr>
                <w:rFonts w:hint="eastAsia"/>
                <w:color w:val="auto"/>
              </w:rPr>
              <w:t>供应商须具备水利水电工程施工总承包叁级（含以上级）以上资质，并具有省级或以上建设行政主管部门颁发的建筑施工企业安全生产许可证，并在人员、设备、资金等方面具有相应的施工能力。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62" w:type="dxa"/>
            <w:vAlign w:val="center"/>
          </w:tcPr>
          <w:p>
            <w:pPr>
              <w:spacing w:line="400" w:lineRule="exact"/>
              <w:jc w:val="center"/>
              <w:rPr>
                <w:color w:val="auto"/>
                <w:szCs w:val="21"/>
              </w:rPr>
            </w:pPr>
            <w:r>
              <w:rPr>
                <w:color w:val="auto"/>
                <w:szCs w:val="21"/>
              </w:rPr>
              <w:t>3</w:t>
            </w:r>
          </w:p>
        </w:tc>
        <w:tc>
          <w:tcPr>
            <w:tcW w:w="942" w:type="dxa"/>
            <w:vAlign w:val="center"/>
          </w:tcPr>
          <w:p>
            <w:pPr>
              <w:spacing w:line="400" w:lineRule="exact"/>
              <w:jc w:val="center"/>
              <w:rPr>
                <w:color w:val="auto"/>
                <w:szCs w:val="21"/>
              </w:rPr>
            </w:pPr>
            <w:r>
              <w:rPr>
                <w:color w:val="auto"/>
                <w:szCs w:val="21"/>
              </w:rPr>
              <w:t>4</w:t>
            </w:r>
          </w:p>
        </w:tc>
        <w:tc>
          <w:tcPr>
            <w:tcW w:w="1775" w:type="dxa"/>
            <w:vAlign w:val="center"/>
          </w:tcPr>
          <w:p>
            <w:pPr>
              <w:spacing w:line="400" w:lineRule="exact"/>
              <w:jc w:val="center"/>
              <w:rPr>
                <w:color w:val="auto"/>
                <w:szCs w:val="21"/>
              </w:rPr>
            </w:pPr>
            <w:r>
              <w:rPr>
                <w:color w:val="auto"/>
                <w:szCs w:val="21"/>
              </w:rPr>
              <w:t>磋商费用</w:t>
            </w:r>
          </w:p>
        </w:tc>
        <w:tc>
          <w:tcPr>
            <w:tcW w:w="6221" w:type="dxa"/>
            <w:vAlign w:val="center"/>
          </w:tcPr>
          <w:p>
            <w:pPr>
              <w:spacing w:line="400" w:lineRule="exact"/>
              <w:rPr>
                <w:color w:val="auto"/>
                <w:szCs w:val="21"/>
              </w:rPr>
            </w:pPr>
            <w:r>
              <w:rPr>
                <w:color w:val="auto"/>
                <w:szCs w:val="21"/>
              </w:rPr>
              <w:t>不论磋商结果如何，供应商均应自行承担所有与磋商有关的全部费用。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62" w:type="dxa"/>
            <w:vAlign w:val="center"/>
          </w:tcPr>
          <w:p>
            <w:pPr>
              <w:spacing w:line="400" w:lineRule="exact"/>
              <w:jc w:val="center"/>
              <w:rPr>
                <w:color w:val="auto"/>
                <w:szCs w:val="21"/>
              </w:rPr>
            </w:pPr>
            <w:r>
              <w:rPr>
                <w:color w:val="auto"/>
                <w:szCs w:val="21"/>
              </w:rPr>
              <w:t>4</w:t>
            </w:r>
          </w:p>
        </w:tc>
        <w:tc>
          <w:tcPr>
            <w:tcW w:w="942" w:type="dxa"/>
            <w:vAlign w:val="center"/>
          </w:tcPr>
          <w:p>
            <w:pPr>
              <w:spacing w:line="400" w:lineRule="exact"/>
              <w:jc w:val="center"/>
              <w:rPr>
                <w:color w:val="auto"/>
                <w:position w:val="-2"/>
                <w:szCs w:val="21"/>
              </w:rPr>
            </w:pPr>
            <w:r>
              <w:rPr>
                <w:rFonts w:hint="eastAsia"/>
                <w:color w:val="auto"/>
                <w:position w:val="-2"/>
                <w:szCs w:val="21"/>
              </w:rPr>
              <w:t>13.1</w:t>
            </w:r>
          </w:p>
        </w:tc>
        <w:tc>
          <w:tcPr>
            <w:tcW w:w="1775" w:type="dxa"/>
            <w:vAlign w:val="center"/>
          </w:tcPr>
          <w:p>
            <w:pPr>
              <w:spacing w:line="400" w:lineRule="exact"/>
              <w:jc w:val="center"/>
              <w:rPr>
                <w:color w:val="auto"/>
                <w:position w:val="-2"/>
                <w:szCs w:val="21"/>
              </w:rPr>
            </w:pPr>
            <w:r>
              <w:rPr>
                <w:color w:val="auto"/>
                <w:szCs w:val="21"/>
              </w:rPr>
              <w:t>采购预算金额和上限控制价</w:t>
            </w:r>
          </w:p>
        </w:tc>
        <w:tc>
          <w:tcPr>
            <w:tcW w:w="6221" w:type="dxa"/>
            <w:vAlign w:val="center"/>
          </w:tcPr>
          <w:p>
            <w:pPr>
              <w:spacing w:line="400" w:lineRule="exact"/>
              <w:rPr>
                <w:color w:val="auto"/>
                <w:kern w:val="0"/>
                <w:szCs w:val="21"/>
              </w:rPr>
            </w:pPr>
            <w:r>
              <w:rPr>
                <w:b/>
                <w:color w:val="auto"/>
              </w:rPr>
              <w:t>1、采购预算：</w:t>
            </w:r>
            <w:r>
              <w:rPr>
                <w:color w:val="auto"/>
                <w:kern w:val="0"/>
                <w:szCs w:val="21"/>
              </w:rPr>
              <w:t>本工程总造价为人民币</w:t>
            </w:r>
            <w:r>
              <w:rPr>
                <w:rFonts w:hint="eastAsia"/>
                <w:color w:val="auto"/>
                <w:kern w:val="0"/>
                <w:szCs w:val="21"/>
                <w:u w:val="single"/>
              </w:rPr>
              <w:t>1000117.33元</w:t>
            </w:r>
            <w:r>
              <w:rPr>
                <w:color w:val="auto"/>
                <w:kern w:val="0"/>
                <w:szCs w:val="21"/>
              </w:rPr>
              <w:t>。</w:t>
            </w:r>
          </w:p>
          <w:p>
            <w:pPr>
              <w:spacing w:line="400" w:lineRule="exact"/>
              <w:rPr>
                <w:color w:val="auto"/>
                <w:szCs w:val="21"/>
              </w:rPr>
            </w:pPr>
            <w:r>
              <w:rPr>
                <w:b/>
                <w:color w:val="auto"/>
              </w:rPr>
              <w:t>2、上限控制价：</w:t>
            </w:r>
            <w:r>
              <w:rPr>
                <w:color w:val="auto"/>
                <w:kern w:val="0"/>
                <w:szCs w:val="21"/>
              </w:rPr>
              <w:t>经采购人确认</w:t>
            </w:r>
            <w:r>
              <w:rPr>
                <w:rFonts w:hint="eastAsia"/>
                <w:color w:val="auto"/>
                <w:kern w:val="0"/>
                <w:szCs w:val="21"/>
              </w:rPr>
              <w:t>，本工程最高磋商报价为1000117.33元。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62" w:type="dxa"/>
            <w:vAlign w:val="center"/>
          </w:tcPr>
          <w:p>
            <w:pPr>
              <w:spacing w:line="400" w:lineRule="exact"/>
              <w:jc w:val="center"/>
              <w:rPr>
                <w:color w:val="auto"/>
                <w:szCs w:val="21"/>
              </w:rPr>
            </w:pPr>
            <w:r>
              <w:rPr>
                <w:color w:val="auto"/>
                <w:szCs w:val="21"/>
              </w:rPr>
              <w:t>5</w:t>
            </w:r>
          </w:p>
        </w:tc>
        <w:tc>
          <w:tcPr>
            <w:tcW w:w="942" w:type="dxa"/>
            <w:vAlign w:val="center"/>
          </w:tcPr>
          <w:p>
            <w:pPr>
              <w:spacing w:line="400" w:lineRule="exact"/>
              <w:jc w:val="center"/>
              <w:rPr>
                <w:color w:val="auto"/>
                <w:position w:val="-2"/>
                <w:szCs w:val="21"/>
              </w:rPr>
            </w:pPr>
            <w:r>
              <w:rPr>
                <w:color w:val="auto"/>
                <w:position w:val="-2"/>
                <w:szCs w:val="21"/>
              </w:rPr>
              <w:t>14.1</w:t>
            </w:r>
          </w:p>
        </w:tc>
        <w:tc>
          <w:tcPr>
            <w:tcW w:w="1775" w:type="dxa"/>
            <w:vAlign w:val="center"/>
          </w:tcPr>
          <w:p>
            <w:pPr>
              <w:spacing w:line="400" w:lineRule="exact"/>
              <w:jc w:val="center"/>
              <w:rPr>
                <w:color w:val="auto"/>
                <w:position w:val="-2"/>
                <w:szCs w:val="21"/>
              </w:rPr>
            </w:pPr>
            <w:r>
              <w:rPr>
                <w:color w:val="auto"/>
                <w:position w:val="-2"/>
                <w:szCs w:val="21"/>
              </w:rPr>
              <w:t>响应文件有效期</w:t>
            </w:r>
          </w:p>
        </w:tc>
        <w:tc>
          <w:tcPr>
            <w:tcW w:w="6221" w:type="dxa"/>
          </w:tcPr>
          <w:p>
            <w:pPr>
              <w:tabs>
                <w:tab w:val="left" w:pos="1305"/>
              </w:tabs>
              <w:spacing w:line="400" w:lineRule="exact"/>
              <w:rPr>
                <w:color w:val="auto"/>
                <w:szCs w:val="21"/>
              </w:rPr>
            </w:pPr>
            <w:r>
              <w:rPr>
                <w:color w:val="auto"/>
                <w:szCs w:val="21"/>
              </w:rPr>
              <w:t>响应文件递交截止时间之日起90天，有效期不足的响应文件将被拒绝。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62" w:type="dxa"/>
            <w:vAlign w:val="center"/>
          </w:tcPr>
          <w:p>
            <w:pPr>
              <w:spacing w:line="400" w:lineRule="exact"/>
              <w:jc w:val="center"/>
              <w:rPr>
                <w:color w:val="auto"/>
                <w:szCs w:val="21"/>
              </w:rPr>
            </w:pPr>
            <w:r>
              <w:rPr>
                <w:color w:val="auto"/>
                <w:szCs w:val="21"/>
              </w:rPr>
              <w:t>6</w:t>
            </w:r>
          </w:p>
        </w:tc>
        <w:tc>
          <w:tcPr>
            <w:tcW w:w="942" w:type="dxa"/>
            <w:vAlign w:val="center"/>
          </w:tcPr>
          <w:p>
            <w:pPr>
              <w:spacing w:line="400" w:lineRule="exact"/>
              <w:jc w:val="center"/>
              <w:rPr>
                <w:color w:val="auto"/>
                <w:position w:val="-2"/>
                <w:szCs w:val="21"/>
              </w:rPr>
            </w:pPr>
            <w:r>
              <w:rPr>
                <w:color w:val="auto"/>
                <w:position w:val="-2"/>
                <w:szCs w:val="21"/>
              </w:rPr>
              <w:t>15</w:t>
            </w:r>
          </w:p>
        </w:tc>
        <w:tc>
          <w:tcPr>
            <w:tcW w:w="1775" w:type="dxa"/>
            <w:vAlign w:val="center"/>
          </w:tcPr>
          <w:p>
            <w:pPr>
              <w:spacing w:line="400" w:lineRule="exact"/>
              <w:jc w:val="center"/>
              <w:rPr>
                <w:color w:val="auto"/>
                <w:position w:val="-2"/>
                <w:szCs w:val="21"/>
              </w:rPr>
            </w:pPr>
            <w:r>
              <w:rPr>
                <w:rFonts w:hint="eastAsia" w:cs="宋体"/>
                <w:color w:val="auto"/>
                <w:szCs w:val="21"/>
              </w:rPr>
              <w:t>竞标</w:t>
            </w:r>
            <w:r>
              <w:rPr>
                <w:color w:val="auto"/>
                <w:position w:val="-2"/>
                <w:szCs w:val="21"/>
              </w:rPr>
              <w:t>保证金</w:t>
            </w:r>
          </w:p>
        </w:tc>
        <w:tc>
          <w:tcPr>
            <w:tcW w:w="6221" w:type="dxa"/>
          </w:tcPr>
          <w:p>
            <w:pPr>
              <w:tabs>
                <w:tab w:val="left" w:pos="1305"/>
              </w:tabs>
              <w:spacing w:line="400" w:lineRule="exact"/>
              <w:rPr>
                <w:color w:val="auto"/>
                <w:szCs w:val="21"/>
              </w:rPr>
            </w:pPr>
            <w:r>
              <w:rPr>
                <w:rFonts w:hint="eastAsia"/>
                <w:color w:val="auto"/>
                <w:szCs w:val="21"/>
              </w:rPr>
              <w:t>本项目无须缴纳竞标保证金。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62" w:type="dxa"/>
            <w:vAlign w:val="center"/>
          </w:tcPr>
          <w:p>
            <w:pPr>
              <w:spacing w:line="400" w:lineRule="exact"/>
              <w:jc w:val="center"/>
              <w:rPr>
                <w:color w:val="auto"/>
                <w:szCs w:val="21"/>
              </w:rPr>
            </w:pPr>
            <w:r>
              <w:rPr>
                <w:color w:val="auto"/>
                <w:szCs w:val="21"/>
              </w:rPr>
              <w:t>7</w:t>
            </w:r>
          </w:p>
        </w:tc>
        <w:tc>
          <w:tcPr>
            <w:tcW w:w="942" w:type="dxa"/>
            <w:vAlign w:val="center"/>
          </w:tcPr>
          <w:p>
            <w:pPr>
              <w:spacing w:line="400" w:lineRule="exact"/>
              <w:jc w:val="center"/>
              <w:rPr>
                <w:color w:val="auto"/>
                <w:szCs w:val="21"/>
              </w:rPr>
            </w:pPr>
            <w:r>
              <w:rPr>
                <w:color w:val="auto"/>
                <w:szCs w:val="21"/>
              </w:rPr>
              <w:t>16</w:t>
            </w:r>
          </w:p>
        </w:tc>
        <w:tc>
          <w:tcPr>
            <w:tcW w:w="1775" w:type="dxa"/>
            <w:vAlign w:val="center"/>
          </w:tcPr>
          <w:p>
            <w:pPr>
              <w:keepNext/>
              <w:keepLines/>
              <w:spacing w:line="400" w:lineRule="exact"/>
              <w:jc w:val="center"/>
              <w:rPr>
                <w:color w:val="auto"/>
                <w:szCs w:val="21"/>
              </w:rPr>
            </w:pPr>
            <w:bookmarkStart w:id="101" w:name="_Toc27452"/>
            <w:bookmarkStart w:id="102" w:name="_Toc19954"/>
            <w:bookmarkStart w:id="103" w:name="_Toc19911"/>
            <w:bookmarkStart w:id="104" w:name="_Toc4542"/>
            <w:r>
              <w:rPr>
                <w:bCs/>
                <w:color w:val="auto"/>
                <w:szCs w:val="21"/>
              </w:rPr>
              <w:t>竞争性磋商响应文件的制作</w:t>
            </w:r>
            <w:bookmarkEnd w:id="101"/>
            <w:bookmarkEnd w:id="102"/>
            <w:bookmarkEnd w:id="103"/>
            <w:bookmarkEnd w:id="104"/>
          </w:p>
        </w:tc>
        <w:tc>
          <w:tcPr>
            <w:tcW w:w="6221" w:type="dxa"/>
            <w:vAlign w:val="center"/>
          </w:tcPr>
          <w:p>
            <w:pPr>
              <w:spacing w:line="400" w:lineRule="exact"/>
              <w:rPr>
                <w:color w:val="auto"/>
                <w:szCs w:val="21"/>
              </w:rPr>
            </w:pPr>
            <w:r>
              <w:rPr>
                <w:color w:val="auto"/>
                <w:szCs w:val="21"/>
              </w:rPr>
              <w:t>16.1电子磋商响应文件中须加盖供应商公章部分均采用 CA 签章，并根据“</w:t>
            </w:r>
            <w:r>
              <w:rPr>
                <w:rFonts w:hint="eastAsia"/>
                <w:color w:val="auto"/>
                <w:szCs w:val="21"/>
              </w:rPr>
              <w:t>广西壮族自治区全流程电子招投标项目管理系统--供应商客户端</w:t>
            </w:r>
            <w:r>
              <w:rPr>
                <w:color w:val="auto"/>
                <w:szCs w:val="21"/>
              </w:rPr>
              <w:t>” 及本磋商文件规定的格式和顺序编制电子磋商响应文件并进行关联定位，以便磋商小组在评审时，点击评分项可直接定位到该评分项内容。如对磋商文件的某项要求，供应商的电子磋商响应文件未能关联定位提供相应的内容与其对应，则磋商小组在评审时如做出对供应商不利的评审由供应商自行承担。电子磋商响应文件如内容不完整、编排混乱导致磋商响应文件被误读、漏读，或者在按采购文件规定的部位查找不到相关内容的，由供应商自行承担。</w:t>
            </w:r>
          </w:p>
          <w:p>
            <w:pPr>
              <w:spacing w:line="400" w:lineRule="exact"/>
              <w:rPr>
                <w:color w:val="auto"/>
                <w:szCs w:val="21"/>
              </w:rPr>
            </w:pPr>
            <w:r>
              <w:rPr>
                <w:color w:val="auto"/>
                <w:szCs w:val="21"/>
              </w:rPr>
              <w:t>16.2供应商法人（负责人）或授权代表持有</w:t>
            </w:r>
            <w:r>
              <w:rPr>
                <w:rFonts w:hint="eastAsia"/>
                <w:color w:val="auto"/>
                <w:szCs w:val="21"/>
              </w:rPr>
              <w:t>广西政府采购云平台</w:t>
            </w:r>
            <w:r>
              <w:rPr>
                <w:color w:val="auto"/>
                <w:szCs w:val="21"/>
              </w:rPr>
              <w:t>个人CA签章的，应在响应文件中涉及到签字的位置使用个人CA签章，没有办理</w:t>
            </w:r>
            <w:r>
              <w:rPr>
                <w:rFonts w:hint="eastAsia"/>
                <w:color w:val="auto"/>
                <w:szCs w:val="21"/>
              </w:rPr>
              <w:t>广西政府采购云平台</w:t>
            </w:r>
            <w:r>
              <w:rPr>
                <w:color w:val="auto"/>
                <w:szCs w:val="21"/>
              </w:rPr>
              <w:t>个人CA签章的可在响应文件中涉及到签字的位置手写签字后扫描或者拍照做成 PDF 的格式上传即可。</w:t>
            </w:r>
          </w:p>
          <w:p>
            <w:pPr>
              <w:spacing w:line="400" w:lineRule="exact"/>
              <w:rPr>
                <w:color w:val="auto"/>
                <w:szCs w:val="21"/>
              </w:rPr>
            </w:pPr>
            <w:r>
              <w:rPr>
                <w:color w:val="auto"/>
                <w:szCs w:val="21"/>
              </w:rPr>
              <w:t>16.3磋商响应文件不得涂改，若有修改错漏处，须法定代表人（负责人）或授权委托人签字（或个人CA签章）。磋商响应文件因字迹潦草或表达不清所引起的后果由供应商负责。</w:t>
            </w:r>
          </w:p>
          <w:p>
            <w:pPr>
              <w:spacing w:line="400" w:lineRule="exact"/>
              <w:rPr>
                <w:color w:val="auto"/>
                <w:szCs w:val="21"/>
              </w:rPr>
            </w:pPr>
            <w:r>
              <w:rPr>
                <w:color w:val="auto"/>
                <w:szCs w:val="21"/>
              </w:rPr>
              <w:t xml:space="preserve">16.4磋商前准备 </w:t>
            </w:r>
          </w:p>
          <w:p>
            <w:pPr>
              <w:spacing w:line="400" w:lineRule="exact"/>
              <w:rPr>
                <w:color w:val="auto"/>
                <w:szCs w:val="21"/>
              </w:rPr>
            </w:pPr>
            <w:r>
              <w:rPr>
                <w:color w:val="auto"/>
                <w:szCs w:val="21"/>
              </w:rPr>
              <w:t>16.4.1本项目实行在线磋商，采用电子磋商响应文件。若供应商参与磋商，自行承担磋商一切费用。</w:t>
            </w:r>
          </w:p>
          <w:p>
            <w:pPr>
              <w:spacing w:line="400" w:lineRule="exact"/>
              <w:rPr>
                <w:color w:val="auto"/>
                <w:szCs w:val="21"/>
              </w:rPr>
            </w:pPr>
            <w:r>
              <w:rPr>
                <w:color w:val="auto"/>
                <w:szCs w:val="21"/>
              </w:rPr>
              <w:t>16.4.2各供应商应在截标前应确保成为</w:t>
            </w:r>
            <w:r>
              <w:rPr>
                <w:rFonts w:hint="eastAsia"/>
                <w:color w:val="auto"/>
                <w:szCs w:val="21"/>
              </w:rPr>
              <w:t>广西政府采购云平台</w:t>
            </w:r>
            <w:r>
              <w:rPr>
                <w:color w:val="auto"/>
                <w:szCs w:val="21"/>
              </w:rPr>
              <w:t xml:space="preserve">正式注册入库供应商，并完成 CA 数字证书申领。因未注册入库、未办理 CA 数字证书等原因造成无法磋商或磋商失败等后果由供应商自行承担。 </w:t>
            </w:r>
          </w:p>
          <w:p>
            <w:pPr>
              <w:spacing w:line="400" w:lineRule="exact"/>
              <w:rPr>
                <w:color w:val="auto"/>
                <w:szCs w:val="21"/>
              </w:rPr>
            </w:pPr>
            <w:r>
              <w:rPr>
                <w:color w:val="auto"/>
                <w:szCs w:val="21"/>
              </w:rPr>
              <w:t>16.4.3供应商将</w:t>
            </w:r>
            <w:r>
              <w:rPr>
                <w:rFonts w:hint="eastAsia"/>
                <w:color w:val="auto"/>
                <w:szCs w:val="21"/>
              </w:rPr>
              <w:t>广西政府采购云平台新版客户端（新版客户端下载路径：广西政府采购网（访问地址http://zfcg.gxzf.gov.cn/）—办事服务—下载专区）</w:t>
            </w:r>
            <w:r>
              <w:rPr>
                <w:color w:val="auto"/>
                <w:szCs w:val="21"/>
              </w:rPr>
              <w:t>下载、安装完成后，可通过账号密码或CA登录客户端进行响应文件制作。客户端请至网站下载专区查看，如有问题拨打</w:t>
            </w:r>
            <w:r>
              <w:rPr>
                <w:rFonts w:hint="eastAsia"/>
                <w:color w:val="auto"/>
                <w:szCs w:val="21"/>
              </w:rPr>
              <w:t>广西政府采购云平台</w:t>
            </w:r>
            <w:r>
              <w:rPr>
                <w:color w:val="auto"/>
                <w:szCs w:val="21"/>
              </w:rPr>
              <w:t>服务热线95763获取热线服务帮助</w:t>
            </w:r>
            <w:r>
              <w:rPr>
                <w:rFonts w:hint="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662" w:type="dxa"/>
            <w:vAlign w:val="center"/>
          </w:tcPr>
          <w:p>
            <w:pPr>
              <w:spacing w:line="400" w:lineRule="exact"/>
              <w:jc w:val="center"/>
              <w:rPr>
                <w:color w:val="auto"/>
                <w:szCs w:val="21"/>
              </w:rPr>
            </w:pPr>
            <w:r>
              <w:rPr>
                <w:color w:val="auto"/>
                <w:szCs w:val="21"/>
              </w:rPr>
              <w:t>8</w:t>
            </w:r>
          </w:p>
        </w:tc>
        <w:tc>
          <w:tcPr>
            <w:tcW w:w="942" w:type="dxa"/>
            <w:vAlign w:val="center"/>
          </w:tcPr>
          <w:p>
            <w:pPr>
              <w:spacing w:line="400" w:lineRule="exact"/>
              <w:jc w:val="center"/>
              <w:rPr>
                <w:color w:val="auto"/>
                <w:szCs w:val="21"/>
              </w:rPr>
            </w:pPr>
            <w:r>
              <w:rPr>
                <w:color w:val="auto"/>
                <w:szCs w:val="21"/>
              </w:rPr>
              <w:t>18.1</w:t>
            </w:r>
          </w:p>
        </w:tc>
        <w:tc>
          <w:tcPr>
            <w:tcW w:w="1775" w:type="dxa"/>
            <w:vAlign w:val="center"/>
          </w:tcPr>
          <w:p>
            <w:pPr>
              <w:spacing w:line="400" w:lineRule="exact"/>
              <w:jc w:val="center"/>
              <w:rPr>
                <w:color w:val="auto"/>
                <w:szCs w:val="21"/>
              </w:rPr>
            </w:pPr>
            <w:r>
              <w:rPr>
                <w:color w:val="auto"/>
                <w:szCs w:val="21"/>
              </w:rPr>
              <w:t>响应文件递交截止时间</w:t>
            </w:r>
          </w:p>
        </w:tc>
        <w:tc>
          <w:tcPr>
            <w:tcW w:w="6221" w:type="dxa"/>
            <w:vAlign w:val="center"/>
          </w:tcPr>
          <w:p>
            <w:pPr>
              <w:spacing w:line="400" w:lineRule="exact"/>
              <w:rPr>
                <w:color w:val="auto"/>
                <w:szCs w:val="21"/>
              </w:rPr>
            </w:pPr>
            <w:r>
              <w:rPr>
                <w:color w:val="auto"/>
                <w:szCs w:val="21"/>
                <w:u w:val="single"/>
              </w:rPr>
              <w:t>于</w:t>
            </w:r>
            <w:r>
              <w:rPr>
                <w:rFonts w:hint="eastAsia"/>
                <w:color w:val="auto"/>
                <w:szCs w:val="21"/>
                <w:u w:val="single"/>
              </w:rPr>
              <w:t>2024年</w:t>
            </w:r>
            <w:r>
              <w:rPr>
                <w:rFonts w:hint="default"/>
                <w:color w:val="auto"/>
                <w:szCs w:val="21"/>
                <w:u w:val="single"/>
                <w:lang w:val="en-US"/>
              </w:rPr>
              <w:t>5</w:t>
            </w:r>
            <w:r>
              <w:rPr>
                <w:rFonts w:hint="eastAsia"/>
                <w:color w:val="auto"/>
                <w:szCs w:val="21"/>
                <w:u w:val="single"/>
              </w:rPr>
              <w:t>月</w:t>
            </w:r>
            <w:r>
              <w:rPr>
                <w:rFonts w:hint="default"/>
                <w:color w:val="auto"/>
                <w:szCs w:val="21"/>
                <w:u w:val="single"/>
                <w:lang w:val="en-US"/>
              </w:rPr>
              <w:t>28</w:t>
            </w:r>
            <w:r>
              <w:rPr>
                <w:rFonts w:hint="eastAsia"/>
                <w:color w:val="auto"/>
                <w:szCs w:val="21"/>
                <w:u w:val="single"/>
              </w:rPr>
              <w:t>日10时30分</w:t>
            </w:r>
            <w:r>
              <w:rPr>
                <w:color w:val="auto"/>
                <w:szCs w:val="21"/>
                <w:u w:val="single"/>
              </w:rPr>
              <w:t>（北京时间）</w:t>
            </w:r>
            <w:r>
              <w:rPr>
                <w:color w:val="auto"/>
                <w:szCs w:val="21"/>
              </w:rPr>
              <w:t>之前将电子磋商响应文件上传到</w:t>
            </w:r>
            <w:r>
              <w:rPr>
                <w:rFonts w:hint="eastAsia"/>
                <w:color w:val="auto"/>
                <w:szCs w:val="21"/>
              </w:rPr>
              <w:t>广西政府采购云平台</w:t>
            </w:r>
            <w:r>
              <w:rPr>
                <w:color w:val="auto"/>
                <w:szCs w:val="21"/>
              </w:rPr>
              <w:t>。应按照本项目磋商文件和</w:t>
            </w:r>
            <w:r>
              <w:rPr>
                <w:rFonts w:hint="eastAsia"/>
                <w:color w:val="auto"/>
                <w:szCs w:val="21"/>
              </w:rPr>
              <w:t>广西政府采购云平台</w:t>
            </w:r>
            <w:r>
              <w:rPr>
                <w:color w:val="auto"/>
                <w:szCs w:val="21"/>
              </w:rPr>
              <w:t>的要求编制、加密传输磋商响应文件。供应商在使用系统进行响应的过程中遇到涉及平台使用的任何问题，可致电</w:t>
            </w:r>
            <w:r>
              <w:rPr>
                <w:rFonts w:hint="eastAsia"/>
                <w:color w:val="auto"/>
                <w:szCs w:val="21"/>
              </w:rPr>
              <w:t>广西政府采购云平台</w:t>
            </w:r>
            <w:r>
              <w:rPr>
                <w:color w:val="auto"/>
                <w:szCs w:val="21"/>
              </w:rPr>
              <w:t>技术支持热线咨询。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62" w:type="dxa"/>
            <w:vAlign w:val="center"/>
          </w:tcPr>
          <w:p>
            <w:pPr>
              <w:spacing w:line="400" w:lineRule="exact"/>
              <w:jc w:val="center"/>
              <w:rPr>
                <w:color w:val="auto"/>
                <w:position w:val="-2"/>
                <w:szCs w:val="21"/>
              </w:rPr>
            </w:pPr>
            <w:r>
              <w:rPr>
                <w:color w:val="auto"/>
                <w:position w:val="-2"/>
                <w:szCs w:val="21"/>
              </w:rPr>
              <w:t>9</w:t>
            </w:r>
          </w:p>
        </w:tc>
        <w:tc>
          <w:tcPr>
            <w:tcW w:w="942" w:type="dxa"/>
            <w:vAlign w:val="center"/>
          </w:tcPr>
          <w:p>
            <w:pPr>
              <w:spacing w:line="400" w:lineRule="exact"/>
              <w:jc w:val="center"/>
              <w:rPr>
                <w:color w:val="auto"/>
                <w:position w:val="-2"/>
                <w:szCs w:val="21"/>
              </w:rPr>
            </w:pPr>
            <w:r>
              <w:rPr>
                <w:color w:val="auto"/>
                <w:position w:val="-2"/>
                <w:szCs w:val="21"/>
              </w:rPr>
              <w:t>18.2</w:t>
            </w:r>
          </w:p>
        </w:tc>
        <w:tc>
          <w:tcPr>
            <w:tcW w:w="1775" w:type="dxa"/>
            <w:vAlign w:val="center"/>
          </w:tcPr>
          <w:p>
            <w:pPr>
              <w:spacing w:line="400" w:lineRule="exact"/>
              <w:jc w:val="center"/>
              <w:rPr>
                <w:color w:val="auto"/>
                <w:position w:val="-2"/>
                <w:szCs w:val="21"/>
              </w:rPr>
            </w:pPr>
            <w:r>
              <w:rPr>
                <w:color w:val="auto"/>
                <w:szCs w:val="21"/>
              </w:rPr>
              <w:t>磋商响应文件解密时间</w:t>
            </w:r>
          </w:p>
        </w:tc>
        <w:tc>
          <w:tcPr>
            <w:tcW w:w="6221" w:type="dxa"/>
            <w:vAlign w:val="center"/>
          </w:tcPr>
          <w:p>
            <w:pPr>
              <w:pStyle w:val="19"/>
              <w:widowControl w:val="0"/>
              <w:spacing w:line="400" w:lineRule="exact"/>
              <w:jc w:val="both"/>
              <w:rPr>
                <w:rFonts w:ascii="Times New Roman" w:hAnsi="Times New Roman"/>
                <w:color w:val="auto"/>
                <w:szCs w:val="21"/>
              </w:rPr>
            </w:pPr>
            <w:r>
              <w:rPr>
                <w:rFonts w:ascii="Times New Roman" w:hAnsi="Times New Roman"/>
                <w:color w:val="auto"/>
                <w:szCs w:val="21"/>
              </w:rPr>
              <w:t>磋商响应文件解密时间（北京时间）</w:t>
            </w:r>
            <w:r>
              <w:rPr>
                <w:rFonts w:ascii="Times New Roman" w:hAnsi="Times New Roman"/>
                <w:color w:val="auto"/>
              </w:rPr>
              <w:t>：截标时间后</w:t>
            </w:r>
            <w:r>
              <w:rPr>
                <w:rFonts w:ascii="Times New Roman" w:hAnsi="Times New Roman"/>
                <w:color w:val="auto"/>
                <w:u w:val="single"/>
              </w:rPr>
              <w:t>30</w:t>
            </w:r>
            <w:r>
              <w:rPr>
                <w:rFonts w:ascii="Times New Roman" w:hAnsi="Times New Roman"/>
                <w:color w:val="auto"/>
              </w:rPr>
              <w:t>分钟内（</w:t>
            </w:r>
            <w:r>
              <w:rPr>
                <w:rFonts w:hint="eastAsia" w:ascii="Times New Roman" w:hAnsi="Times New Roman"/>
                <w:color w:val="auto"/>
                <w:szCs w:val="21"/>
                <w:u w:val="single"/>
              </w:rPr>
              <w:t>2024年</w:t>
            </w:r>
            <w:r>
              <w:rPr>
                <w:rFonts w:hint="default" w:ascii="Times New Roman" w:hAnsi="Times New Roman"/>
                <w:color w:val="auto"/>
                <w:szCs w:val="21"/>
                <w:u w:val="single"/>
                <w:lang w:val="en-US"/>
              </w:rPr>
              <w:t>5</w:t>
            </w:r>
            <w:r>
              <w:rPr>
                <w:rFonts w:hint="eastAsia" w:ascii="Times New Roman" w:hAnsi="Times New Roman"/>
                <w:color w:val="auto"/>
                <w:szCs w:val="21"/>
                <w:u w:val="single"/>
              </w:rPr>
              <w:t>月</w:t>
            </w:r>
            <w:r>
              <w:rPr>
                <w:rFonts w:hint="default" w:ascii="Times New Roman" w:hAnsi="Times New Roman"/>
                <w:color w:val="auto"/>
                <w:szCs w:val="21"/>
                <w:u w:val="single"/>
                <w:lang w:val="en-US"/>
              </w:rPr>
              <w:t>28</w:t>
            </w:r>
            <w:r>
              <w:rPr>
                <w:rFonts w:hint="eastAsia" w:ascii="Times New Roman" w:hAnsi="Times New Roman"/>
                <w:color w:val="auto"/>
                <w:szCs w:val="21"/>
                <w:u w:val="single"/>
              </w:rPr>
              <w:t>日10时30分至11时00分</w:t>
            </w:r>
            <w:r>
              <w:rPr>
                <w:rFonts w:ascii="Times New Roman" w:hAnsi="Times New Roman"/>
                <w:color w:val="auto"/>
              </w:rPr>
              <w:t>)磋商供应商可以登录</w:t>
            </w:r>
            <w:r>
              <w:rPr>
                <w:rFonts w:hint="eastAsia" w:ascii="Times New Roman" w:hAnsi="Times New Roman"/>
                <w:color w:val="auto"/>
              </w:rPr>
              <w:t>广西政府采购云平台</w:t>
            </w:r>
            <w:r>
              <w:rPr>
                <w:rFonts w:ascii="Times New Roman" w:hAnsi="Times New Roman"/>
                <w:color w:val="auto"/>
              </w:rPr>
              <w:t>，用“项目采购-开标评标”功能进行解密磋商响应文件。</w:t>
            </w:r>
            <w:r>
              <w:rPr>
                <w:rFonts w:hint="eastAsia" w:ascii="Times New Roman" w:hAnsi="Times New Roman" w:cs="宋体"/>
                <w:color w:val="auto"/>
              </w:rPr>
              <w:t>若磋商供应商在规定时间内无法解密或解密失败，视为无效响应。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62" w:type="dxa"/>
            <w:vAlign w:val="center"/>
          </w:tcPr>
          <w:p>
            <w:pPr>
              <w:spacing w:line="400" w:lineRule="exact"/>
              <w:jc w:val="center"/>
              <w:rPr>
                <w:color w:val="auto"/>
                <w:szCs w:val="21"/>
              </w:rPr>
            </w:pPr>
            <w:r>
              <w:rPr>
                <w:color w:val="auto"/>
                <w:szCs w:val="21"/>
              </w:rPr>
              <w:t>10</w:t>
            </w:r>
          </w:p>
        </w:tc>
        <w:tc>
          <w:tcPr>
            <w:tcW w:w="942" w:type="dxa"/>
            <w:vAlign w:val="center"/>
          </w:tcPr>
          <w:p>
            <w:pPr>
              <w:spacing w:line="400" w:lineRule="exact"/>
              <w:ind w:firstLine="105" w:firstLineChars="50"/>
              <w:jc w:val="center"/>
              <w:rPr>
                <w:color w:val="auto"/>
                <w:position w:val="-2"/>
                <w:szCs w:val="21"/>
              </w:rPr>
            </w:pPr>
            <w:r>
              <w:rPr>
                <w:color w:val="auto"/>
                <w:position w:val="-2"/>
                <w:szCs w:val="21"/>
              </w:rPr>
              <w:t>19.1</w:t>
            </w:r>
          </w:p>
        </w:tc>
        <w:tc>
          <w:tcPr>
            <w:tcW w:w="1775" w:type="dxa"/>
            <w:vAlign w:val="center"/>
          </w:tcPr>
          <w:p>
            <w:pPr>
              <w:spacing w:line="400" w:lineRule="exact"/>
              <w:jc w:val="center"/>
              <w:rPr>
                <w:color w:val="auto"/>
                <w:szCs w:val="21"/>
              </w:rPr>
            </w:pPr>
            <w:r>
              <w:rPr>
                <w:color w:val="auto"/>
                <w:szCs w:val="21"/>
              </w:rPr>
              <w:t>磋商小组组成</w:t>
            </w:r>
          </w:p>
        </w:tc>
        <w:tc>
          <w:tcPr>
            <w:tcW w:w="6221" w:type="dxa"/>
            <w:vAlign w:val="center"/>
          </w:tcPr>
          <w:p>
            <w:pPr>
              <w:spacing w:line="400" w:lineRule="exact"/>
              <w:ind w:left="15" w:hanging="14" w:hangingChars="7"/>
              <w:rPr>
                <w:color w:val="auto"/>
                <w:szCs w:val="21"/>
              </w:rPr>
            </w:pPr>
            <w:r>
              <w:rPr>
                <w:color w:val="auto"/>
                <w:szCs w:val="21"/>
              </w:rPr>
              <w:t>磋商及评审工作由采购代理机构负责组织，具体磋商、评审工作由依法组建的磋商小组负责，磋商小组由采购人代表和有关方面的专家组成。磋商小组的构成：</w:t>
            </w:r>
            <w:r>
              <w:rPr>
                <w:color w:val="auto"/>
                <w:szCs w:val="21"/>
                <w:u w:val="single"/>
              </w:rPr>
              <w:t xml:space="preserve">3 </w:t>
            </w:r>
            <w:r>
              <w:rPr>
                <w:color w:val="auto"/>
                <w:szCs w:val="21"/>
              </w:rPr>
              <w:t>人，其中采购人代表</w:t>
            </w:r>
            <w:r>
              <w:rPr>
                <w:color w:val="auto"/>
                <w:szCs w:val="21"/>
                <w:u w:val="single"/>
              </w:rPr>
              <w:t xml:space="preserve"> 1 </w:t>
            </w:r>
            <w:r>
              <w:rPr>
                <w:color w:val="auto"/>
                <w:szCs w:val="21"/>
              </w:rPr>
              <w:t>人，专家</w:t>
            </w:r>
            <w:r>
              <w:rPr>
                <w:color w:val="auto"/>
                <w:szCs w:val="21"/>
                <w:u w:val="single"/>
              </w:rPr>
              <w:t xml:space="preserve"> 2 </w:t>
            </w:r>
            <w:r>
              <w:rPr>
                <w:color w:val="auto"/>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662" w:type="dxa"/>
            <w:vAlign w:val="center"/>
          </w:tcPr>
          <w:p>
            <w:pPr>
              <w:spacing w:line="400" w:lineRule="exact"/>
              <w:jc w:val="center"/>
              <w:rPr>
                <w:color w:val="auto"/>
                <w:szCs w:val="21"/>
              </w:rPr>
            </w:pPr>
            <w:r>
              <w:rPr>
                <w:color w:val="auto"/>
                <w:szCs w:val="21"/>
              </w:rPr>
              <w:t>11</w:t>
            </w:r>
          </w:p>
        </w:tc>
        <w:tc>
          <w:tcPr>
            <w:tcW w:w="942" w:type="dxa"/>
            <w:vAlign w:val="center"/>
          </w:tcPr>
          <w:p>
            <w:pPr>
              <w:spacing w:line="400" w:lineRule="exact"/>
              <w:jc w:val="center"/>
              <w:rPr>
                <w:color w:val="auto"/>
                <w:szCs w:val="21"/>
              </w:rPr>
            </w:pPr>
            <w:r>
              <w:rPr>
                <w:color w:val="auto"/>
                <w:szCs w:val="21"/>
              </w:rPr>
              <w:t>19.2</w:t>
            </w:r>
          </w:p>
        </w:tc>
        <w:tc>
          <w:tcPr>
            <w:tcW w:w="1775" w:type="dxa"/>
            <w:vAlign w:val="center"/>
          </w:tcPr>
          <w:p>
            <w:pPr>
              <w:spacing w:line="400" w:lineRule="exact"/>
              <w:jc w:val="center"/>
              <w:rPr>
                <w:color w:val="auto"/>
                <w:szCs w:val="21"/>
              </w:rPr>
            </w:pPr>
            <w:r>
              <w:rPr>
                <w:color w:val="auto"/>
                <w:szCs w:val="21"/>
              </w:rPr>
              <w:t>磋商时间、地点、人员</w:t>
            </w:r>
          </w:p>
        </w:tc>
        <w:tc>
          <w:tcPr>
            <w:tcW w:w="6221" w:type="dxa"/>
          </w:tcPr>
          <w:p>
            <w:pPr>
              <w:spacing w:line="400" w:lineRule="exact"/>
              <w:ind w:left="315" w:hanging="315" w:hangingChars="150"/>
              <w:rPr>
                <w:color w:val="auto"/>
                <w:szCs w:val="21"/>
              </w:rPr>
            </w:pPr>
            <w:r>
              <w:rPr>
                <w:color w:val="auto"/>
                <w:szCs w:val="21"/>
              </w:rPr>
              <w:t>19.2.1磋商时间：响应文件递交截止时间后。</w:t>
            </w:r>
          </w:p>
          <w:p>
            <w:pPr>
              <w:spacing w:line="400" w:lineRule="exact"/>
              <w:rPr>
                <w:color w:val="auto"/>
                <w:szCs w:val="21"/>
              </w:rPr>
            </w:pPr>
            <w:r>
              <w:rPr>
                <w:color w:val="auto"/>
                <w:szCs w:val="21"/>
              </w:rPr>
              <w:t>19.2.2磋商地点：本项目需要磋商供应商代表在截标当天截标后，按磋商小组要求及时</w:t>
            </w:r>
            <w:r>
              <w:rPr>
                <w:rFonts w:hint="eastAsia"/>
                <w:color w:val="auto"/>
                <w:szCs w:val="21"/>
              </w:rPr>
              <w:t>登录广西政府采购云平台</w:t>
            </w:r>
            <w:r>
              <w:rPr>
                <w:color w:val="auto"/>
                <w:szCs w:val="21"/>
              </w:rPr>
              <w:t>等候在线磋商。</w:t>
            </w:r>
          </w:p>
          <w:p>
            <w:pPr>
              <w:spacing w:line="400" w:lineRule="exact"/>
              <w:ind w:left="15" w:hanging="14" w:hangingChars="7"/>
              <w:rPr>
                <w:color w:val="auto"/>
                <w:szCs w:val="21"/>
              </w:rPr>
            </w:pPr>
            <w:r>
              <w:rPr>
                <w:color w:val="auto"/>
                <w:szCs w:val="21"/>
              </w:rPr>
              <w:t>19.2.3磋商参加人员：供应商法定代表人、负责人、自然人或相应的委托代理人持有效身份证和供应商</w:t>
            </w:r>
            <w:r>
              <w:rPr>
                <w:rFonts w:hint="eastAsia"/>
                <w:color w:val="auto"/>
                <w:szCs w:val="21"/>
              </w:rPr>
              <w:t>广西政府采购云平台</w:t>
            </w:r>
            <w:r>
              <w:rPr>
                <w:color w:val="auto"/>
                <w:szCs w:val="21"/>
              </w:rPr>
              <w:t>CA数字证书参加磋商。请供应商按时等候磋商。</w:t>
            </w:r>
          </w:p>
          <w:p>
            <w:pPr>
              <w:tabs>
                <w:tab w:val="left" w:pos="1140"/>
              </w:tabs>
              <w:spacing w:line="400" w:lineRule="exact"/>
              <w:rPr>
                <w:color w:val="auto"/>
                <w:szCs w:val="21"/>
              </w:rPr>
            </w:pPr>
            <w:r>
              <w:rPr>
                <w:color w:val="auto"/>
                <w:szCs w:val="21"/>
              </w:rPr>
              <w:t>19.2.4响应文件递交截止时间后，由磋商小组在评标室内线上开启响应文件。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2" w:type="dxa"/>
            <w:vAlign w:val="center"/>
          </w:tcPr>
          <w:p>
            <w:pPr>
              <w:spacing w:line="400" w:lineRule="exact"/>
              <w:jc w:val="center"/>
              <w:rPr>
                <w:color w:val="auto"/>
                <w:szCs w:val="21"/>
              </w:rPr>
            </w:pPr>
            <w:r>
              <w:rPr>
                <w:color w:val="auto"/>
                <w:kern w:val="0"/>
                <w:szCs w:val="21"/>
              </w:rPr>
              <w:t>12</w:t>
            </w:r>
          </w:p>
        </w:tc>
        <w:tc>
          <w:tcPr>
            <w:tcW w:w="942" w:type="dxa"/>
            <w:vAlign w:val="center"/>
          </w:tcPr>
          <w:p>
            <w:pPr>
              <w:spacing w:line="400" w:lineRule="exact"/>
              <w:jc w:val="center"/>
              <w:rPr>
                <w:color w:val="auto"/>
                <w:szCs w:val="21"/>
              </w:rPr>
            </w:pPr>
            <w:r>
              <w:rPr>
                <w:color w:val="auto"/>
                <w:szCs w:val="21"/>
              </w:rPr>
              <w:t>20.2</w:t>
            </w:r>
          </w:p>
        </w:tc>
        <w:tc>
          <w:tcPr>
            <w:tcW w:w="1775" w:type="dxa"/>
            <w:vAlign w:val="center"/>
          </w:tcPr>
          <w:p>
            <w:pPr>
              <w:pStyle w:val="28"/>
              <w:spacing w:line="400" w:lineRule="exact"/>
              <w:jc w:val="center"/>
              <w:rPr>
                <w:rFonts w:ascii="Times New Roman" w:hAnsi="Times New Roman"/>
                <w:color w:val="auto"/>
                <w:kern w:val="0"/>
                <w:szCs w:val="21"/>
              </w:rPr>
            </w:pPr>
            <w:r>
              <w:rPr>
                <w:rFonts w:ascii="Times New Roman" w:hAnsi="Times New Roman"/>
                <w:color w:val="auto"/>
                <w:kern w:val="0"/>
                <w:szCs w:val="21"/>
              </w:rPr>
              <w:t>评审办法</w:t>
            </w:r>
          </w:p>
        </w:tc>
        <w:tc>
          <w:tcPr>
            <w:tcW w:w="6221" w:type="dxa"/>
            <w:vAlign w:val="center"/>
          </w:tcPr>
          <w:p>
            <w:pPr>
              <w:tabs>
                <w:tab w:val="left" w:pos="1140"/>
              </w:tabs>
              <w:spacing w:line="400" w:lineRule="exact"/>
              <w:rPr>
                <w:color w:val="auto"/>
                <w:szCs w:val="21"/>
              </w:rPr>
            </w:pPr>
            <w:r>
              <w:rPr>
                <w:color w:val="auto"/>
                <w:szCs w:val="21"/>
              </w:rPr>
              <w:t>具体详见第四章评审办法。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2" w:type="dxa"/>
            <w:vAlign w:val="center"/>
          </w:tcPr>
          <w:p>
            <w:pPr>
              <w:spacing w:line="400" w:lineRule="exact"/>
              <w:jc w:val="center"/>
              <w:rPr>
                <w:color w:val="auto"/>
                <w:szCs w:val="21"/>
              </w:rPr>
            </w:pPr>
            <w:r>
              <w:rPr>
                <w:color w:val="auto"/>
                <w:szCs w:val="21"/>
              </w:rPr>
              <w:t>13</w:t>
            </w:r>
          </w:p>
        </w:tc>
        <w:tc>
          <w:tcPr>
            <w:tcW w:w="942" w:type="dxa"/>
            <w:vAlign w:val="center"/>
          </w:tcPr>
          <w:p>
            <w:pPr>
              <w:spacing w:line="400" w:lineRule="exact"/>
              <w:jc w:val="center"/>
              <w:rPr>
                <w:color w:val="auto"/>
                <w:szCs w:val="21"/>
              </w:rPr>
            </w:pPr>
            <w:r>
              <w:rPr>
                <w:color w:val="auto"/>
                <w:szCs w:val="21"/>
              </w:rPr>
              <w:t>26</w:t>
            </w:r>
          </w:p>
        </w:tc>
        <w:tc>
          <w:tcPr>
            <w:tcW w:w="1775" w:type="dxa"/>
            <w:vAlign w:val="center"/>
          </w:tcPr>
          <w:p>
            <w:pPr>
              <w:spacing w:line="400" w:lineRule="exact"/>
              <w:jc w:val="center"/>
              <w:rPr>
                <w:color w:val="auto"/>
                <w:szCs w:val="21"/>
              </w:rPr>
            </w:pPr>
            <w:r>
              <w:rPr>
                <w:color w:val="auto"/>
                <w:szCs w:val="21"/>
              </w:rPr>
              <w:t>信用查询</w:t>
            </w:r>
          </w:p>
        </w:tc>
        <w:tc>
          <w:tcPr>
            <w:tcW w:w="6221" w:type="dxa"/>
            <w:vAlign w:val="center"/>
          </w:tcPr>
          <w:p>
            <w:pPr>
              <w:spacing w:line="400" w:lineRule="exact"/>
              <w:ind w:left="15" w:hanging="14" w:hangingChars="7"/>
              <w:rPr>
                <w:color w:val="auto"/>
                <w:szCs w:val="21"/>
              </w:rPr>
            </w:pPr>
            <w:r>
              <w:rPr>
                <w:color w:val="auto"/>
                <w:szCs w:val="21"/>
              </w:rPr>
              <w:t>根据《关于做好政府采购有关信用主体标识码登记及在政府采购活动中查询使用信用记录有关问题的通知》（桂财采〔2016〕37），由采购代理机构对第一成交候选人进行信用查询：</w:t>
            </w:r>
          </w:p>
          <w:p>
            <w:pPr>
              <w:spacing w:line="400" w:lineRule="exact"/>
              <w:ind w:left="15" w:hanging="14" w:hangingChars="7"/>
              <w:rPr>
                <w:color w:val="auto"/>
                <w:szCs w:val="21"/>
              </w:rPr>
            </w:pPr>
            <w:r>
              <w:rPr>
                <w:color w:val="auto"/>
                <w:szCs w:val="21"/>
              </w:rPr>
              <w:t>⑴查询渠道：</w:t>
            </w:r>
            <w:r>
              <w:rPr>
                <w:rFonts w:hint="eastAsia" w:asciiTheme="minorEastAsia" w:hAnsiTheme="minorEastAsia" w:eastAsiaTheme="minorEastAsia" w:cstheme="minorEastAsia"/>
                <w:color w:val="auto"/>
                <w:szCs w:val="21"/>
              </w:rPr>
              <w:t>“信用中国”网</w:t>
            </w:r>
            <w:r>
              <w:rPr>
                <w:color w:val="auto"/>
                <w:szCs w:val="21"/>
              </w:rPr>
              <w:t>站</w:t>
            </w:r>
            <w:r>
              <w:rPr>
                <w:rFonts w:hint="eastAsia"/>
                <w:color w:val="auto"/>
                <w:szCs w:val="21"/>
              </w:rPr>
              <w:t>（https://www.creditchina.gov.cn/）</w:t>
            </w:r>
            <w:r>
              <w:rPr>
                <w:color w:val="auto"/>
                <w:szCs w:val="21"/>
              </w:rPr>
              <w:t>、中国政府采购网</w:t>
            </w:r>
            <w:r>
              <w:rPr>
                <w:rFonts w:hint="eastAsia"/>
                <w:color w:val="auto"/>
                <w:szCs w:val="21"/>
              </w:rPr>
              <w:t>（http://www.ccgp.gov.cn/）</w:t>
            </w:r>
            <w:r>
              <w:rPr>
                <w:color w:val="auto"/>
                <w:szCs w:val="21"/>
              </w:rPr>
              <w:t>；</w:t>
            </w:r>
          </w:p>
          <w:p>
            <w:pPr>
              <w:spacing w:line="400" w:lineRule="exact"/>
              <w:ind w:left="315" w:hanging="315" w:hangingChars="150"/>
              <w:rPr>
                <w:color w:val="auto"/>
                <w:szCs w:val="21"/>
              </w:rPr>
            </w:pPr>
            <w:r>
              <w:rPr>
                <w:color w:val="auto"/>
                <w:szCs w:val="21"/>
              </w:rPr>
              <w:t>⑵查询时间：成交通知书发出前；</w:t>
            </w:r>
          </w:p>
          <w:p>
            <w:pPr>
              <w:spacing w:line="400" w:lineRule="exact"/>
              <w:ind w:left="15" w:hanging="14" w:hangingChars="7"/>
              <w:rPr>
                <w:color w:val="auto"/>
                <w:szCs w:val="21"/>
              </w:rPr>
            </w:pPr>
            <w:r>
              <w:rPr>
                <w:color w:val="auto"/>
                <w:szCs w:val="21"/>
              </w:rPr>
              <w:t>⑶信用信息查询记录和证据留存方式：在查询网站中直接打印查询记录，打印材料作为采购活动资料保存；</w:t>
            </w:r>
          </w:p>
          <w:p>
            <w:pPr>
              <w:spacing w:line="400" w:lineRule="exact"/>
              <w:ind w:left="15" w:hanging="14" w:hangingChars="7"/>
              <w:rPr>
                <w:color w:val="auto"/>
                <w:szCs w:val="21"/>
              </w:rPr>
            </w:pPr>
            <w:r>
              <w:rPr>
                <w:color w:val="auto"/>
                <w:szCs w:val="21"/>
              </w:rPr>
              <w:t>⑷信用信</w:t>
            </w:r>
            <w:r>
              <w:rPr>
                <w:rFonts w:hint="eastAsia" w:cs="宋体"/>
                <w:color w:val="auto"/>
                <w:szCs w:val="21"/>
              </w:rPr>
              <w:t>息使用规则：对在“信用中国”网站（https://www.creditchina.gov.cn/）、中国政府采购网（http://www.ccgp.gov.cn/）渠道列入失信被执行人、</w:t>
            </w:r>
            <w:r>
              <w:rPr>
                <w:rFonts w:hint="eastAsia" w:cs="宋体"/>
                <w:color w:val="auto"/>
                <w:szCs w:val="21"/>
                <w:lang w:eastAsia="zh-CN"/>
              </w:rPr>
              <w:t>重大税收违法失信主体</w:t>
            </w:r>
            <w:r>
              <w:rPr>
                <w:rFonts w:hint="eastAsia" w:cs="宋体"/>
                <w:color w:val="auto"/>
                <w:szCs w:val="21"/>
              </w:rPr>
              <w:t>、政府采购严重违法失信行为记</w:t>
            </w:r>
            <w:r>
              <w:rPr>
                <w:color w:val="auto"/>
                <w:szCs w:val="21"/>
              </w:rPr>
              <w:t>录名单及其他不符合《中华人民共和国政府采购法》第二十二条规定条件的供应商，取消其成交候选人资格。采购人依法按照评审报告中磋商小组推荐成交候选人排序表确定排名第二的成交候选人为成交供应商或者重新组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62" w:type="dxa"/>
            <w:vAlign w:val="center"/>
          </w:tcPr>
          <w:p>
            <w:pPr>
              <w:spacing w:line="400" w:lineRule="exact"/>
              <w:jc w:val="center"/>
              <w:rPr>
                <w:color w:val="auto"/>
                <w:szCs w:val="21"/>
              </w:rPr>
            </w:pPr>
            <w:r>
              <w:rPr>
                <w:color w:val="auto"/>
                <w:szCs w:val="21"/>
              </w:rPr>
              <w:t>14</w:t>
            </w:r>
          </w:p>
        </w:tc>
        <w:tc>
          <w:tcPr>
            <w:tcW w:w="942" w:type="dxa"/>
            <w:vAlign w:val="center"/>
          </w:tcPr>
          <w:p>
            <w:pPr>
              <w:spacing w:line="400" w:lineRule="exact"/>
              <w:jc w:val="center"/>
              <w:rPr>
                <w:color w:val="auto"/>
                <w:szCs w:val="21"/>
              </w:rPr>
            </w:pPr>
            <w:r>
              <w:rPr>
                <w:color w:val="auto"/>
                <w:szCs w:val="21"/>
              </w:rPr>
              <w:t>27</w:t>
            </w:r>
          </w:p>
        </w:tc>
        <w:tc>
          <w:tcPr>
            <w:tcW w:w="1775" w:type="dxa"/>
            <w:vAlign w:val="center"/>
          </w:tcPr>
          <w:p>
            <w:pPr>
              <w:spacing w:line="400" w:lineRule="exact"/>
              <w:jc w:val="center"/>
              <w:rPr>
                <w:color w:val="auto"/>
                <w:szCs w:val="21"/>
              </w:rPr>
            </w:pPr>
            <w:r>
              <w:rPr>
                <w:color w:val="auto"/>
                <w:szCs w:val="21"/>
              </w:rPr>
              <w:t>成交结果公告</w:t>
            </w:r>
          </w:p>
          <w:p>
            <w:pPr>
              <w:spacing w:line="400" w:lineRule="exact"/>
              <w:jc w:val="center"/>
              <w:rPr>
                <w:color w:val="auto"/>
                <w:szCs w:val="21"/>
              </w:rPr>
            </w:pPr>
            <w:r>
              <w:rPr>
                <w:color w:val="auto"/>
                <w:szCs w:val="21"/>
              </w:rPr>
              <w:t>及成交通知书</w:t>
            </w:r>
          </w:p>
        </w:tc>
        <w:tc>
          <w:tcPr>
            <w:tcW w:w="6221" w:type="dxa"/>
          </w:tcPr>
          <w:p>
            <w:pPr>
              <w:spacing w:line="400" w:lineRule="exact"/>
              <w:rPr>
                <w:color w:val="auto"/>
                <w:szCs w:val="21"/>
              </w:rPr>
            </w:pPr>
            <w:r>
              <w:rPr>
                <w:color w:val="auto"/>
                <w:szCs w:val="21"/>
              </w:rPr>
              <w:t>27.1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pacing w:line="400" w:lineRule="exact"/>
              <w:rPr>
                <w:color w:val="auto"/>
                <w:szCs w:val="21"/>
              </w:rPr>
            </w:pPr>
            <w:r>
              <w:rPr>
                <w:color w:val="auto"/>
                <w:szCs w:val="21"/>
              </w:rPr>
              <w:t>27.2在发布成交公告的同时，采购代理机构向成交供应商发出成交通知书。成交供应商自接到通知之日起七个工作日内，办理成交通知书领取手续。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662" w:type="dxa"/>
            <w:vAlign w:val="center"/>
          </w:tcPr>
          <w:p>
            <w:pPr>
              <w:spacing w:line="400" w:lineRule="exact"/>
              <w:jc w:val="center"/>
              <w:rPr>
                <w:color w:val="auto"/>
                <w:szCs w:val="21"/>
              </w:rPr>
            </w:pPr>
            <w:r>
              <w:rPr>
                <w:color w:val="auto"/>
                <w:szCs w:val="21"/>
              </w:rPr>
              <w:t>15</w:t>
            </w:r>
          </w:p>
        </w:tc>
        <w:tc>
          <w:tcPr>
            <w:tcW w:w="942" w:type="dxa"/>
            <w:vAlign w:val="center"/>
          </w:tcPr>
          <w:p>
            <w:pPr>
              <w:spacing w:line="400" w:lineRule="exact"/>
              <w:jc w:val="center"/>
              <w:rPr>
                <w:color w:val="auto"/>
                <w:szCs w:val="21"/>
              </w:rPr>
            </w:pPr>
            <w:r>
              <w:rPr>
                <w:color w:val="auto"/>
                <w:szCs w:val="21"/>
              </w:rPr>
              <w:t>28</w:t>
            </w:r>
            <w:r>
              <w:rPr>
                <w:rFonts w:hint="eastAsia"/>
                <w:color w:val="auto"/>
                <w:szCs w:val="21"/>
              </w:rPr>
              <w:t>.1</w:t>
            </w:r>
          </w:p>
        </w:tc>
        <w:tc>
          <w:tcPr>
            <w:tcW w:w="1775" w:type="dxa"/>
            <w:vAlign w:val="center"/>
          </w:tcPr>
          <w:p>
            <w:pPr>
              <w:spacing w:line="400" w:lineRule="exact"/>
              <w:jc w:val="center"/>
              <w:rPr>
                <w:color w:val="auto"/>
                <w:szCs w:val="21"/>
              </w:rPr>
            </w:pPr>
            <w:r>
              <w:rPr>
                <w:color w:val="auto"/>
                <w:szCs w:val="21"/>
              </w:rPr>
              <w:t>履约保证金</w:t>
            </w:r>
          </w:p>
        </w:tc>
        <w:tc>
          <w:tcPr>
            <w:tcW w:w="6221" w:type="dxa"/>
            <w:vAlign w:val="center"/>
          </w:tcPr>
          <w:p>
            <w:pPr>
              <w:spacing w:line="360" w:lineRule="auto"/>
              <w:rPr>
                <w:rFonts w:ascii="宋体" w:hAnsi="宋体" w:cs="宋体"/>
                <w:b/>
                <w:bCs/>
                <w:color w:val="auto"/>
                <w:szCs w:val="21"/>
              </w:rPr>
            </w:pPr>
            <w:r>
              <w:rPr>
                <w:rFonts w:hint="eastAsia" w:ascii="宋体" w:hAnsi="宋体" w:cs="宋体"/>
                <w:b/>
                <w:bCs/>
                <w:color w:val="auto"/>
                <w:szCs w:val="21"/>
              </w:rPr>
              <w:t>□ 本项目不需要缴</w:t>
            </w:r>
            <w:r>
              <w:rPr>
                <w:rFonts w:hint="eastAsia" w:ascii="宋体" w:hAnsi="宋体" w:cs="宋体"/>
                <w:b/>
                <w:bCs/>
                <w:color w:val="auto"/>
                <w:kern w:val="0"/>
                <w:szCs w:val="21"/>
              </w:rPr>
              <w:t>纳</w:t>
            </w:r>
            <w:r>
              <w:rPr>
                <w:rFonts w:hint="eastAsia" w:ascii="宋体" w:hAnsi="宋体" w:cs="宋体"/>
                <w:b/>
                <w:bCs/>
                <w:color w:val="auto"/>
                <w:szCs w:val="21"/>
              </w:rPr>
              <w:t>履约保证金。</w:t>
            </w:r>
          </w:p>
          <w:p>
            <w:pPr>
              <w:spacing w:line="360" w:lineRule="auto"/>
              <w:rPr>
                <w:rFonts w:ascii="宋体" w:hAnsi="宋体" w:cs="宋体"/>
                <w:b/>
                <w:bCs/>
                <w:color w:val="auto"/>
                <w:szCs w:val="21"/>
              </w:rPr>
            </w:pPr>
            <w:r>
              <w:rPr>
                <w:rFonts w:hint="eastAsia" w:ascii="宋体" w:hAnsi="宋体" w:cs="宋体"/>
                <w:b/>
                <w:bCs/>
                <w:color w:val="auto"/>
                <w:szCs w:val="21"/>
              </w:rPr>
              <w:t>☑ 本项目需要缴</w:t>
            </w:r>
            <w:r>
              <w:rPr>
                <w:rFonts w:hint="eastAsia" w:ascii="宋体" w:hAnsi="宋体" w:cs="宋体"/>
                <w:b/>
                <w:bCs/>
                <w:color w:val="auto"/>
                <w:kern w:val="0"/>
                <w:szCs w:val="21"/>
              </w:rPr>
              <w:t>纳</w:t>
            </w:r>
            <w:r>
              <w:rPr>
                <w:rFonts w:hint="eastAsia" w:ascii="宋体" w:hAnsi="宋体" w:cs="宋体"/>
                <w:b/>
                <w:bCs/>
                <w:color w:val="auto"/>
                <w:szCs w:val="21"/>
              </w:rPr>
              <w:t>履约保证金，相关要求如下：</w:t>
            </w:r>
          </w:p>
          <w:p>
            <w:pPr>
              <w:spacing w:line="360" w:lineRule="auto"/>
              <w:rPr>
                <w:rFonts w:ascii="宋体" w:hAnsi="宋体" w:cs="宋体"/>
                <w:i/>
                <w:iCs/>
                <w:color w:val="auto"/>
                <w:szCs w:val="21"/>
                <w:highlight w:val="yellow"/>
              </w:rPr>
            </w:pPr>
            <w:r>
              <w:rPr>
                <w:rFonts w:hint="eastAsia" w:ascii="宋体" w:hAnsi="宋体" w:cs="宋体"/>
                <w:color w:val="auto"/>
                <w:szCs w:val="21"/>
              </w:rPr>
              <w:t>1.履约保证金金额：按项目成交总金额的</w:t>
            </w:r>
            <w:r>
              <w:rPr>
                <w:rFonts w:hint="eastAsia" w:ascii="宋体" w:hAnsi="宋体" w:cs="宋体"/>
                <w:color w:val="auto"/>
                <w:szCs w:val="21"/>
                <w:u w:val="single"/>
              </w:rPr>
              <w:t xml:space="preserve"> 2 </w:t>
            </w:r>
            <w:r>
              <w:rPr>
                <w:rFonts w:hint="eastAsia" w:ascii="宋体" w:hAnsi="宋体" w:cs="宋体"/>
                <w:color w:val="auto"/>
                <w:szCs w:val="21"/>
              </w:rPr>
              <w:t>%。</w:t>
            </w:r>
          </w:p>
          <w:p>
            <w:pPr>
              <w:spacing w:line="360" w:lineRule="auto"/>
              <w:rPr>
                <w:rFonts w:ascii="宋体" w:hAnsi="宋体" w:cs="宋体"/>
                <w:color w:val="auto"/>
                <w:szCs w:val="21"/>
              </w:rPr>
            </w:pPr>
            <w:r>
              <w:rPr>
                <w:rFonts w:hint="eastAsia" w:ascii="宋体" w:hAnsi="宋体" w:cs="宋体"/>
                <w:color w:val="auto"/>
                <w:szCs w:val="21"/>
              </w:rPr>
              <w:t>2.履约保证金提交方式：成交供应商在</w:t>
            </w:r>
            <w:r>
              <w:rPr>
                <w:rFonts w:hint="eastAsia" w:ascii="宋体" w:hAnsi="宋体" w:cs="宋体"/>
                <w:color w:val="auto"/>
                <w:kern w:val="0"/>
                <w:szCs w:val="21"/>
                <w:u w:val="single"/>
              </w:rPr>
              <w:t>签订合同</w:t>
            </w:r>
            <w:r>
              <w:rPr>
                <w:rFonts w:hint="eastAsia" w:ascii="宋体" w:hAnsi="宋体" w:cs="宋体"/>
                <w:color w:val="auto"/>
                <w:szCs w:val="21"/>
                <w:u w:val="single"/>
              </w:rPr>
              <w:t>前</w:t>
            </w:r>
            <w:r>
              <w:rPr>
                <w:rFonts w:hint="eastAsia" w:ascii="宋体" w:hAnsi="宋体" w:cs="宋体"/>
                <w:color w:val="auto"/>
                <w:szCs w:val="21"/>
              </w:rPr>
              <w:t>以银行转账、支票、汇票、本票或者金融机构、担保机构出具的保函等非现金方式向</w:t>
            </w:r>
            <w:r>
              <w:rPr>
                <w:rFonts w:hint="eastAsia" w:ascii="宋体" w:hAnsi="宋体" w:cs="宋体"/>
                <w:color w:val="auto"/>
                <w:szCs w:val="21"/>
                <w:u w:val="single"/>
              </w:rPr>
              <w:t>采购人</w:t>
            </w:r>
            <w:r>
              <w:rPr>
                <w:rFonts w:hint="eastAsia" w:ascii="宋体" w:hAnsi="宋体" w:cs="宋体"/>
                <w:color w:val="auto"/>
                <w:szCs w:val="21"/>
              </w:rPr>
              <w:t>提交。</w:t>
            </w:r>
          </w:p>
          <w:p>
            <w:pPr>
              <w:spacing w:line="360" w:lineRule="auto"/>
              <w:rPr>
                <w:rFonts w:ascii="宋体" w:hAnsi="宋体" w:cs="宋体"/>
                <w:color w:val="auto"/>
                <w:szCs w:val="21"/>
              </w:rPr>
            </w:pPr>
            <w:r>
              <w:rPr>
                <w:rFonts w:hint="eastAsia" w:ascii="宋体" w:hAnsi="宋体" w:cs="宋体"/>
                <w:color w:val="auto"/>
                <w:szCs w:val="21"/>
              </w:rPr>
              <w:t>3.履约保证金退付方式、时间及条件</w:t>
            </w:r>
            <w:r>
              <w:rPr>
                <w:rFonts w:hint="eastAsia"/>
                <w:color w:val="auto"/>
                <w:szCs w:val="21"/>
              </w:rPr>
              <w:t>：</w:t>
            </w:r>
            <w:r>
              <w:rPr>
                <w:rFonts w:hint="eastAsia"/>
                <w:color w:val="auto"/>
                <w:szCs w:val="21"/>
                <w:u w:val="single"/>
              </w:rPr>
              <w:t>履约保证金待履行完合同约定的权利义务事项后且不存在争议的，由成交供应商向履约保证金收取单位提供《政府采购项目合同验收书》及《政府采购项目履约保证金退付意见书》，履约保证金收取单位在收到合格材料后5个工作日内办理退还手续（不计利息）。</w:t>
            </w:r>
          </w:p>
          <w:p>
            <w:pPr>
              <w:spacing w:line="360" w:lineRule="auto"/>
              <w:rPr>
                <w:rFonts w:ascii="宋体" w:hAnsi="宋体" w:cs="宋体"/>
                <w:color w:val="auto"/>
                <w:szCs w:val="21"/>
              </w:rPr>
            </w:pPr>
            <w:r>
              <w:rPr>
                <w:rFonts w:hint="eastAsia" w:ascii="宋体" w:hAnsi="宋体" w:cs="宋体"/>
                <w:color w:val="auto"/>
                <w:szCs w:val="21"/>
              </w:rPr>
              <w:t>4.缴纳履约保证金指定账户的信息</w:t>
            </w:r>
            <w:r>
              <w:rPr>
                <w:rFonts w:hint="eastAsia" w:ascii="宋体" w:hAnsi="宋体" w:cs="宋体"/>
                <w:color w:val="auto"/>
                <w:szCs w:val="21"/>
                <w:lang w:eastAsia="zh-CN"/>
              </w:rPr>
              <w:t>（</w:t>
            </w:r>
            <w:r>
              <w:rPr>
                <w:rFonts w:hint="eastAsia" w:ascii="宋体" w:hAnsi="宋体" w:cs="宋体"/>
                <w:color w:val="auto"/>
                <w:szCs w:val="21"/>
                <w:lang w:val="en-US" w:eastAsia="zh-CN"/>
              </w:rPr>
              <w:t>采购人自行提供</w:t>
            </w:r>
            <w:r>
              <w:rPr>
                <w:rFonts w:hint="eastAsia" w:ascii="宋体" w:hAnsi="宋体" w:cs="宋体"/>
                <w:color w:val="auto"/>
                <w:szCs w:val="21"/>
                <w:lang w:eastAsia="zh-CN"/>
              </w:rPr>
              <w:t>）</w:t>
            </w:r>
            <w:r>
              <w:rPr>
                <w:rFonts w:hint="eastAsia" w:ascii="宋体" w:hAnsi="宋体" w:cs="宋体"/>
                <w:color w:val="auto"/>
                <w:szCs w:val="21"/>
              </w:rPr>
              <w:t>：</w:t>
            </w:r>
          </w:p>
          <w:p>
            <w:pPr>
              <w:spacing w:line="360" w:lineRule="auto"/>
              <w:rPr>
                <w:rFonts w:ascii="宋体" w:hAnsi="宋体" w:cs="宋体"/>
                <w:color w:val="auto"/>
                <w:szCs w:val="21"/>
              </w:rPr>
            </w:pPr>
            <w:r>
              <w:rPr>
                <w:rFonts w:hint="eastAsia" w:ascii="宋体" w:hAnsi="宋体" w:cs="宋体"/>
                <w:color w:val="auto"/>
                <w:szCs w:val="21"/>
              </w:rPr>
              <w:t>开户名称：</w:t>
            </w:r>
            <w:r>
              <w:rPr>
                <w:rFonts w:hint="eastAsia" w:ascii="宋体" w:hAnsi="宋体" w:cs="宋体"/>
                <w:color w:val="auto"/>
                <w:szCs w:val="21"/>
                <w:u w:val="single"/>
              </w:rPr>
              <w:t xml:space="preserve">                </w:t>
            </w:r>
          </w:p>
          <w:p>
            <w:pPr>
              <w:spacing w:line="360" w:lineRule="auto"/>
              <w:rPr>
                <w:rFonts w:ascii="宋体" w:hAnsi="宋体" w:cs="宋体"/>
                <w:color w:val="auto"/>
                <w:szCs w:val="21"/>
              </w:rPr>
            </w:pPr>
            <w:r>
              <w:rPr>
                <w:rFonts w:hint="eastAsia" w:ascii="宋体" w:hAnsi="宋体" w:cs="宋体"/>
                <w:color w:val="auto"/>
                <w:szCs w:val="21"/>
              </w:rPr>
              <w:t>开户银行：</w:t>
            </w:r>
            <w:r>
              <w:rPr>
                <w:rFonts w:hint="eastAsia" w:ascii="宋体" w:hAnsi="宋体" w:cs="宋体"/>
                <w:color w:val="auto"/>
                <w:szCs w:val="21"/>
                <w:u w:val="single"/>
              </w:rPr>
              <w:t xml:space="preserve">                </w:t>
            </w:r>
          </w:p>
          <w:p>
            <w:pPr>
              <w:spacing w:line="360" w:lineRule="auto"/>
              <w:rPr>
                <w:rFonts w:ascii="宋体" w:hAnsi="宋体" w:cs="宋体"/>
                <w:color w:val="auto"/>
                <w:szCs w:val="21"/>
                <w:u w:val="single"/>
              </w:rPr>
            </w:pPr>
            <w:r>
              <w:rPr>
                <w:rFonts w:hint="eastAsia" w:ascii="宋体" w:hAnsi="宋体" w:cs="宋体"/>
                <w:color w:val="auto"/>
                <w:szCs w:val="21"/>
              </w:rPr>
              <w:t>银行账号：</w:t>
            </w:r>
            <w:r>
              <w:rPr>
                <w:rFonts w:hint="eastAsia" w:ascii="宋体" w:hAnsi="宋体" w:cs="宋体"/>
                <w:color w:val="auto"/>
                <w:szCs w:val="21"/>
                <w:u w:val="single"/>
              </w:rPr>
              <w:t xml:space="preserve">                </w:t>
            </w:r>
          </w:p>
          <w:p>
            <w:pPr>
              <w:spacing w:line="360" w:lineRule="auto"/>
              <w:rPr>
                <w:rFonts w:ascii="宋体" w:hAnsi="宋体" w:cs="宋体"/>
                <w:color w:val="auto"/>
                <w:szCs w:val="21"/>
              </w:rPr>
            </w:pPr>
            <w:r>
              <w:rPr>
                <w:rFonts w:hint="eastAsia" w:ascii="宋体" w:hAnsi="宋体" w:cs="宋体"/>
                <w:color w:val="auto"/>
                <w:szCs w:val="21"/>
              </w:rPr>
              <w:t>开户行行号：</w:t>
            </w:r>
            <w:r>
              <w:rPr>
                <w:rFonts w:hint="eastAsia" w:ascii="宋体" w:hAnsi="宋体" w:cs="宋体"/>
                <w:color w:val="auto"/>
                <w:szCs w:val="21"/>
                <w:u w:val="single"/>
              </w:rPr>
              <w:t xml:space="preserve">              </w:t>
            </w:r>
          </w:p>
          <w:p>
            <w:pPr>
              <w:spacing w:line="360" w:lineRule="auto"/>
              <w:rPr>
                <w:rFonts w:ascii="宋体" w:hAnsi="宋体" w:cs="宋体"/>
                <w:color w:val="auto"/>
                <w:szCs w:val="21"/>
              </w:rPr>
            </w:pPr>
            <w:r>
              <w:rPr>
                <w:rFonts w:hint="eastAsia" w:ascii="宋体" w:hAnsi="宋体" w:cs="宋体"/>
                <w:color w:val="auto"/>
                <w:szCs w:val="21"/>
              </w:rPr>
              <w:t>备注：</w:t>
            </w:r>
          </w:p>
          <w:p>
            <w:pPr>
              <w:spacing w:line="360" w:lineRule="auto"/>
              <w:rPr>
                <w:rFonts w:ascii="宋体" w:hAnsi="宋体" w:cs="宋体"/>
                <w:b/>
                <w:color w:val="auto"/>
                <w:szCs w:val="21"/>
              </w:rPr>
            </w:pPr>
            <w:r>
              <w:rPr>
                <w:rFonts w:hint="eastAsia" w:ascii="宋体" w:hAnsi="宋体" w:cs="宋体"/>
                <w:b/>
                <w:color w:val="auto"/>
                <w:szCs w:val="21"/>
              </w:rPr>
              <w:t>1.</w:t>
            </w:r>
            <w:bookmarkStart w:id="105" w:name="_Hlk54170335"/>
            <w:r>
              <w:rPr>
                <w:rFonts w:hint="eastAsia" w:ascii="宋体" w:hAnsi="宋体" w:cs="宋体"/>
                <w:b/>
                <w:color w:val="auto"/>
                <w:szCs w:val="21"/>
              </w:rPr>
              <w:t>根据</w:t>
            </w:r>
            <w:r>
              <w:rPr>
                <w:rFonts w:hint="eastAsia" w:ascii="宋体" w:hAnsi="宋体"/>
                <w:b/>
                <w:color w:val="auto"/>
                <w:szCs w:val="21"/>
              </w:rPr>
              <w:t>《广西壮族自治区财政厅关于贯彻落实政府采购优化营商环境百日攻坚行动方案的通知》（桂财采〔2020〕49号）和</w:t>
            </w:r>
            <w:r>
              <w:rPr>
                <w:rFonts w:hint="eastAsia" w:ascii="宋体" w:hAnsi="宋体" w:cs="宋体"/>
                <w:b/>
                <w:color w:val="auto"/>
                <w:szCs w:val="21"/>
              </w:rPr>
              <w:t>《广西壮族自治区财政厅关于规范政府采购货物和服务项目保证金管理的通知》（桂财规〔2022〕8号）规定，鼓励采购人在与中小微企业签订政府采购合同时，减少或免于收取履约保证金，有必要收取履约保证金的，收取的履约保证金不得超过政府采购合同金额的5%，对中小企业收取的履约保证金数额不得超过政府采购合同金额的2%。</w:t>
            </w:r>
            <w:bookmarkEnd w:id="105"/>
            <w:r>
              <w:rPr>
                <w:rFonts w:hint="eastAsia" w:ascii="宋体" w:hAnsi="宋体" w:cs="宋体"/>
                <w:color w:val="auto"/>
                <w:szCs w:val="21"/>
              </w:rPr>
              <w:br w:type="textWrapping"/>
            </w:r>
            <w:r>
              <w:rPr>
                <w:rFonts w:hint="eastAsia" w:ascii="宋体" w:hAnsi="宋体" w:cs="宋体"/>
                <w:b/>
                <w:color w:val="auto"/>
                <w:szCs w:val="21"/>
              </w:rPr>
              <w:t>2.履约保证金不足额缴纳的（包含保函额度不足的），或者不按规定提交方式提交的，或者保函有效期低于合同履行期限的（即合同中规定的当事人履行自己的义务，如交付标的物、价款或者报酬，履行劳务、完成工作的时间界限）的，视为未按规定提交履约保证金。</w:t>
            </w:r>
          </w:p>
          <w:p>
            <w:pPr>
              <w:spacing w:line="360" w:lineRule="auto"/>
              <w:rPr>
                <w:rFonts w:ascii="宋体" w:hAnsi="宋体" w:cs="宋体"/>
                <w:b/>
                <w:color w:val="auto"/>
                <w:szCs w:val="21"/>
              </w:rPr>
            </w:pPr>
            <w:r>
              <w:rPr>
                <w:rFonts w:hint="eastAsia" w:ascii="宋体" w:hAnsi="宋体" w:cs="宋体"/>
                <w:b/>
                <w:color w:val="auto"/>
                <w:szCs w:val="21"/>
              </w:rPr>
              <w:t>3.采用金融、担保机构出具保函的，必须为无条件保函，否则视为未按规定提交履约保证金。</w:t>
            </w:r>
          </w:p>
          <w:p>
            <w:pPr>
              <w:spacing w:line="400" w:lineRule="exact"/>
              <w:rPr>
                <w:color w:val="auto"/>
                <w:szCs w:val="21"/>
              </w:rPr>
            </w:pPr>
            <w:r>
              <w:rPr>
                <w:rFonts w:hint="eastAsia" w:ascii="宋体" w:hAnsi="宋体" w:cs="宋体"/>
                <w:b/>
                <w:color w:val="auto"/>
                <w:szCs w:val="21"/>
              </w:rPr>
              <w:t>4.供应商为联合体的，可由联合体任意一方或者联合体各方共同提交的履约保证金，视为有效履约保证金。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62" w:type="dxa"/>
            <w:vAlign w:val="center"/>
          </w:tcPr>
          <w:p>
            <w:pPr>
              <w:spacing w:line="400" w:lineRule="exact"/>
              <w:jc w:val="center"/>
              <w:rPr>
                <w:color w:val="auto"/>
                <w:szCs w:val="21"/>
              </w:rPr>
            </w:pPr>
            <w:r>
              <w:rPr>
                <w:color w:val="auto"/>
                <w:szCs w:val="21"/>
              </w:rPr>
              <w:t>16</w:t>
            </w:r>
          </w:p>
        </w:tc>
        <w:tc>
          <w:tcPr>
            <w:tcW w:w="942" w:type="dxa"/>
            <w:vAlign w:val="center"/>
          </w:tcPr>
          <w:p>
            <w:pPr>
              <w:spacing w:line="400" w:lineRule="exact"/>
              <w:jc w:val="center"/>
              <w:rPr>
                <w:color w:val="auto"/>
                <w:szCs w:val="21"/>
              </w:rPr>
            </w:pPr>
            <w:r>
              <w:rPr>
                <w:color w:val="auto"/>
                <w:szCs w:val="21"/>
              </w:rPr>
              <w:t>29.1</w:t>
            </w:r>
          </w:p>
        </w:tc>
        <w:tc>
          <w:tcPr>
            <w:tcW w:w="1775" w:type="dxa"/>
            <w:vAlign w:val="center"/>
          </w:tcPr>
          <w:p>
            <w:pPr>
              <w:spacing w:line="400" w:lineRule="exact"/>
              <w:jc w:val="center"/>
              <w:rPr>
                <w:color w:val="auto"/>
                <w:szCs w:val="21"/>
              </w:rPr>
            </w:pPr>
            <w:r>
              <w:rPr>
                <w:color w:val="auto"/>
                <w:szCs w:val="21"/>
              </w:rPr>
              <w:t>签订合同时间</w:t>
            </w:r>
          </w:p>
        </w:tc>
        <w:tc>
          <w:tcPr>
            <w:tcW w:w="6221" w:type="dxa"/>
          </w:tcPr>
          <w:p>
            <w:pPr>
              <w:spacing w:line="400" w:lineRule="exact"/>
              <w:rPr>
                <w:color w:val="auto"/>
                <w:szCs w:val="21"/>
              </w:rPr>
            </w:pPr>
            <w:r>
              <w:rPr>
                <w:rFonts w:hint="eastAsia"/>
                <w:b/>
                <w:color w:val="auto"/>
                <w:kern w:val="0"/>
                <w:szCs w:val="21"/>
              </w:rPr>
              <w:t>成交通知书发出之日起七个工作日内签订合同</w:t>
            </w:r>
            <w:r>
              <w:rPr>
                <w:color w:val="auto"/>
              </w:rPr>
              <w:t>。</w:t>
            </w:r>
            <w:r>
              <w:rPr>
                <w:color w:val="auto"/>
                <w:szCs w:val="21"/>
              </w:rPr>
              <w:t>成交供应商领取成交通知书后，应按规定与采购人签订合同。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62" w:type="dxa"/>
            <w:vAlign w:val="center"/>
          </w:tcPr>
          <w:p>
            <w:pPr>
              <w:spacing w:line="400" w:lineRule="exact"/>
              <w:jc w:val="center"/>
              <w:rPr>
                <w:color w:val="auto"/>
                <w:szCs w:val="21"/>
              </w:rPr>
            </w:pPr>
            <w:r>
              <w:rPr>
                <w:color w:val="auto"/>
                <w:szCs w:val="21"/>
              </w:rPr>
              <w:t>17</w:t>
            </w:r>
          </w:p>
        </w:tc>
        <w:tc>
          <w:tcPr>
            <w:tcW w:w="942" w:type="dxa"/>
            <w:vAlign w:val="center"/>
          </w:tcPr>
          <w:p>
            <w:pPr>
              <w:spacing w:line="400" w:lineRule="exact"/>
              <w:jc w:val="center"/>
              <w:rPr>
                <w:color w:val="auto"/>
                <w:szCs w:val="21"/>
              </w:rPr>
            </w:pPr>
            <w:r>
              <w:rPr>
                <w:color w:val="auto"/>
                <w:szCs w:val="21"/>
              </w:rPr>
              <w:t>29.3</w:t>
            </w:r>
          </w:p>
        </w:tc>
        <w:tc>
          <w:tcPr>
            <w:tcW w:w="1775" w:type="dxa"/>
            <w:vAlign w:val="center"/>
          </w:tcPr>
          <w:p>
            <w:pPr>
              <w:spacing w:line="400" w:lineRule="exact"/>
              <w:jc w:val="center"/>
              <w:rPr>
                <w:color w:val="auto"/>
                <w:szCs w:val="21"/>
              </w:rPr>
            </w:pPr>
            <w:r>
              <w:rPr>
                <w:color w:val="auto"/>
                <w:szCs w:val="21"/>
              </w:rPr>
              <w:t>合同备案存档</w:t>
            </w:r>
          </w:p>
        </w:tc>
        <w:tc>
          <w:tcPr>
            <w:tcW w:w="6221" w:type="dxa"/>
            <w:vAlign w:val="center"/>
          </w:tcPr>
          <w:p>
            <w:pPr>
              <w:spacing w:line="400" w:lineRule="exact"/>
              <w:rPr>
                <w:color w:val="auto"/>
                <w:szCs w:val="21"/>
              </w:rPr>
            </w:pPr>
            <w:r>
              <w:rPr>
                <w:color w:val="auto"/>
              </w:rPr>
              <w:t>政府采购合同双方自签订之日起一个工作日内将合同原件一份交采购代理机构，采购代理机构将政府采购合同在省级以上人民政府财政部门指定媒体上公告。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62" w:type="dxa"/>
            <w:vAlign w:val="center"/>
          </w:tcPr>
          <w:p>
            <w:pPr>
              <w:spacing w:line="400" w:lineRule="exact"/>
              <w:jc w:val="center"/>
              <w:rPr>
                <w:color w:val="auto"/>
                <w:szCs w:val="21"/>
              </w:rPr>
            </w:pPr>
            <w:r>
              <w:rPr>
                <w:color w:val="auto"/>
                <w:szCs w:val="21"/>
              </w:rPr>
              <w:t>18</w:t>
            </w:r>
          </w:p>
        </w:tc>
        <w:tc>
          <w:tcPr>
            <w:tcW w:w="942" w:type="dxa"/>
            <w:vAlign w:val="center"/>
          </w:tcPr>
          <w:p>
            <w:pPr>
              <w:spacing w:line="400" w:lineRule="exact"/>
              <w:jc w:val="center"/>
              <w:rPr>
                <w:color w:val="auto"/>
                <w:szCs w:val="21"/>
              </w:rPr>
            </w:pPr>
            <w:r>
              <w:rPr>
                <w:color w:val="auto"/>
                <w:szCs w:val="21"/>
              </w:rPr>
              <w:t>30</w:t>
            </w:r>
          </w:p>
        </w:tc>
        <w:tc>
          <w:tcPr>
            <w:tcW w:w="1775" w:type="dxa"/>
            <w:vAlign w:val="center"/>
          </w:tcPr>
          <w:p>
            <w:pPr>
              <w:spacing w:line="400" w:lineRule="exact"/>
              <w:jc w:val="center"/>
              <w:rPr>
                <w:color w:val="auto"/>
                <w:szCs w:val="21"/>
              </w:rPr>
            </w:pPr>
            <w:r>
              <w:rPr>
                <w:color w:val="auto"/>
                <w:szCs w:val="21"/>
              </w:rPr>
              <w:t>采购代理服务费</w:t>
            </w:r>
          </w:p>
        </w:tc>
        <w:tc>
          <w:tcPr>
            <w:tcW w:w="6221" w:type="dxa"/>
          </w:tcPr>
          <w:p>
            <w:pPr>
              <w:spacing w:line="400" w:lineRule="exact"/>
              <w:rPr>
                <w:color w:val="auto"/>
              </w:rPr>
            </w:pPr>
            <w:r>
              <w:rPr>
                <w:color w:val="auto"/>
              </w:rPr>
              <w:t>30.1.采购代理服务费支付方式：</w:t>
            </w:r>
          </w:p>
          <w:p>
            <w:pPr>
              <w:spacing w:line="400" w:lineRule="exact"/>
              <w:rPr>
                <w:color w:val="auto"/>
              </w:rPr>
            </w:pPr>
            <w:r>
              <w:rPr>
                <w:color w:val="auto"/>
              </w:rPr>
              <w:t>本项目采购代理服务费由成交供应商在签订合同前，以银行转账、电汇等方式一次性向采购代理机构支付。</w:t>
            </w:r>
          </w:p>
          <w:p>
            <w:pPr>
              <w:spacing w:line="400" w:lineRule="exact"/>
              <w:rPr>
                <w:color w:val="auto"/>
              </w:rPr>
            </w:pPr>
            <w:r>
              <w:rPr>
                <w:color w:val="auto"/>
              </w:rPr>
              <w:t>30.2采购代理服务费收取标准：</w:t>
            </w:r>
          </w:p>
          <w:p>
            <w:pPr>
              <w:spacing w:line="440" w:lineRule="exact"/>
              <w:rPr>
                <w:color w:val="auto"/>
              </w:rPr>
            </w:pPr>
            <w:r>
              <w:rPr>
                <w:rFonts w:hint="eastAsia" w:cs="宋体"/>
                <w:color w:val="auto"/>
                <w:kern w:val="0"/>
                <w:szCs w:val="21"/>
              </w:rPr>
              <w:t>以项目成交总金额为计费额，按</w:t>
            </w:r>
            <w:r>
              <w:rPr>
                <w:rFonts w:hint="eastAsia" w:cs="宋体"/>
                <w:color w:val="auto"/>
              </w:rPr>
              <w:t>本须知正文第30.3条规定的工程类收费计算标准</w:t>
            </w:r>
            <w:r>
              <w:rPr>
                <w:rFonts w:hint="eastAsia" w:ascii="宋体" w:hAnsi="宋体"/>
                <w:color w:val="auto"/>
              </w:rPr>
              <w:t>下浮20%计算</w:t>
            </w:r>
            <w:r>
              <w:rPr>
                <w:rFonts w:hint="eastAsia" w:cs="宋体"/>
                <w:color w:val="auto"/>
                <w:kern w:val="0"/>
                <w:szCs w:val="21"/>
              </w:rPr>
              <w:t>。</w:t>
            </w:r>
          </w:p>
          <w:p>
            <w:pPr>
              <w:spacing w:line="400" w:lineRule="exact"/>
              <w:rPr>
                <w:color w:val="auto"/>
              </w:rPr>
            </w:pPr>
            <w:r>
              <w:rPr>
                <w:color w:val="auto"/>
              </w:rPr>
              <w:t>30.3采购代理服务费收费计算标准：详见“供应商须知”正文30.3</w:t>
            </w:r>
          </w:p>
          <w:p>
            <w:pPr>
              <w:spacing w:line="400" w:lineRule="exact"/>
              <w:rPr>
                <w:color w:val="auto"/>
              </w:rPr>
            </w:pPr>
            <w:r>
              <w:rPr>
                <w:color w:val="auto"/>
              </w:rPr>
              <w:t>30.4采购代理服务费缴纳账户：</w:t>
            </w:r>
          </w:p>
          <w:p>
            <w:pPr>
              <w:spacing w:line="400" w:lineRule="exact"/>
              <w:rPr>
                <w:color w:val="auto"/>
              </w:rPr>
            </w:pPr>
            <w:r>
              <w:rPr>
                <w:color w:val="auto"/>
              </w:rPr>
              <w:t>开户户名：广西科联招标中心有限公司桂林分公司</w:t>
            </w:r>
          </w:p>
          <w:p>
            <w:pPr>
              <w:spacing w:line="400" w:lineRule="exact"/>
              <w:rPr>
                <w:color w:val="auto"/>
              </w:rPr>
            </w:pPr>
            <w:r>
              <w:rPr>
                <w:color w:val="auto"/>
              </w:rPr>
              <w:t>开户银行：</w:t>
            </w:r>
            <w:r>
              <w:rPr>
                <w:rFonts w:hint="eastAsia"/>
                <w:color w:val="auto"/>
              </w:rPr>
              <w:t>中国工商银行股份有限公司桂林市桂湖支行</w:t>
            </w:r>
          </w:p>
          <w:p>
            <w:pPr>
              <w:spacing w:line="400" w:lineRule="exact"/>
              <w:rPr>
                <w:color w:val="auto"/>
              </w:rPr>
            </w:pPr>
            <w:r>
              <w:rPr>
                <w:color w:val="auto"/>
              </w:rPr>
              <w:t>账    号：2103260229201002537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2" w:type="dxa"/>
            <w:vAlign w:val="center"/>
          </w:tcPr>
          <w:p>
            <w:pPr>
              <w:spacing w:line="400" w:lineRule="exact"/>
              <w:jc w:val="center"/>
              <w:rPr>
                <w:color w:val="auto"/>
                <w:szCs w:val="21"/>
              </w:rPr>
            </w:pPr>
            <w:r>
              <w:rPr>
                <w:color w:val="auto"/>
                <w:szCs w:val="21"/>
              </w:rPr>
              <w:t>19</w:t>
            </w:r>
          </w:p>
        </w:tc>
        <w:tc>
          <w:tcPr>
            <w:tcW w:w="942" w:type="dxa"/>
            <w:vAlign w:val="center"/>
          </w:tcPr>
          <w:p>
            <w:pPr>
              <w:spacing w:line="400" w:lineRule="exact"/>
              <w:jc w:val="center"/>
              <w:rPr>
                <w:color w:val="auto"/>
                <w:szCs w:val="21"/>
              </w:rPr>
            </w:pPr>
            <w:r>
              <w:rPr>
                <w:color w:val="auto"/>
                <w:szCs w:val="21"/>
              </w:rPr>
              <w:t>31</w:t>
            </w:r>
          </w:p>
        </w:tc>
        <w:tc>
          <w:tcPr>
            <w:tcW w:w="1775" w:type="dxa"/>
            <w:vAlign w:val="center"/>
          </w:tcPr>
          <w:p>
            <w:pPr>
              <w:spacing w:line="400" w:lineRule="exact"/>
              <w:jc w:val="center"/>
              <w:rPr>
                <w:color w:val="auto"/>
                <w:szCs w:val="21"/>
              </w:rPr>
            </w:pPr>
            <w:r>
              <w:rPr>
                <w:rFonts w:hint="eastAsia"/>
                <w:color w:val="auto"/>
                <w:szCs w:val="21"/>
              </w:rPr>
              <w:t>编制依据</w:t>
            </w:r>
          </w:p>
        </w:tc>
        <w:tc>
          <w:tcPr>
            <w:tcW w:w="6221" w:type="dxa"/>
          </w:tcPr>
          <w:p>
            <w:pPr>
              <w:spacing w:line="400" w:lineRule="exact"/>
              <w:rPr>
                <w:color w:val="auto"/>
                <w:szCs w:val="21"/>
              </w:rPr>
            </w:pPr>
            <w:r>
              <w:rPr>
                <w:rFonts w:hint="eastAsia"/>
                <w:color w:val="auto"/>
              </w:rPr>
              <w:t>本竞争性磋商文件是根据《中华人民共和国政府采购法》《中华人民共和国政府采购法实施条例》《政府采购竞争性磋商采购方式管理暂行办法》和政府采购管理有关规定编制。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62" w:type="dxa"/>
            <w:vAlign w:val="center"/>
          </w:tcPr>
          <w:p>
            <w:pPr>
              <w:spacing w:line="400" w:lineRule="exact"/>
              <w:jc w:val="center"/>
              <w:rPr>
                <w:color w:val="auto"/>
                <w:szCs w:val="21"/>
              </w:rPr>
            </w:pPr>
            <w:r>
              <w:rPr>
                <w:rFonts w:hint="eastAsia"/>
                <w:color w:val="auto"/>
                <w:szCs w:val="21"/>
              </w:rPr>
              <w:t>20</w:t>
            </w:r>
          </w:p>
        </w:tc>
        <w:tc>
          <w:tcPr>
            <w:tcW w:w="942" w:type="dxa"/>
            <w:vAlign w:val="center"/>
          </w:tcPr>
          <w:p>
            <w:pPr>
              <w:spacing w:line="400" w:lineRule="exact"/>
              <w:jc w:val="center"/>
              <w:rPr>
                <w:color w:val="auto"/>
                <w:szCs w:val="21"/>
              </w:rPr>
            </w:pPr>
            <w:r>
              <w:rPr>
                <w:rFonts w:hint="eastAsia"/>
                <w:color w:val="auto"/>
                <w:szCs w:val="21"/>
              </w:rPr>
              <w:t>32</w:t>
            </w:r>
          </w:p>
        </w:tc>
        <w:tc>
          <w:tcPr>
            <w:tcW w:w="1775" w:type="dxa"/>
            <w:vAlign w:val="center"/>
          </w:tcPr>
          <w:p>
            <w:pPr>
              <w:spacing w:line="400" w:lineRule="exact"/>
              <w:jc w:val="center"/>
              <w:rPr>
                <w:color w:val="auto"/>
                <w:szCs w:val="21"/>
              </w:rPr>
            </w:pPr>
            <w:r>
              <w:rPr>
                <w:rFonts w:hint="eastAsia"/>
                <w:color w:val="auto"/>
                <w:szCs w:val="21"/>
              </w:rPr>
              <w:t>监督管理机构</w:t>
            </w:r>
          </w:p>
        </w:tc>
        <w:tc>
          <w:tcPr>
            <w:tcW w:w="6221" w:type="dxa"/>
            <w:vAlign w:val="center"/>
          </w:tcPr>
          <w:p>
            <w:pPr>
              <w:spacing w:line="400" w:lineRule="exact"/>
              <w:rPr>
                <w:color w:val="auto"/>
              </w:rPr>
            </w:pPr>
            <w:r>
              <w:rPr>
                <w:rFonts w:hint="eastAsia"/>
                <w:color w:val="auto"/>
              </w:rPr>
              <w:t>灵川县</w:t>
            </w:r>
            <w:r>
              <w:rPr>
                <w:rFonts w:hint="eastAsia"/>
                <w:color w:val="auto"/>
                <w:szCs w:val="21"/>
              </w:rPr>
              <w:t>财政局</w:t>
            </w:r>
            <w:r>
              <w:rPr>
                <w:rFonts w:hint="eastAsia"/>
                <w:color w:val="auto"/>
              </w:rPr>
              <w:t xml:space="preserve">  0773-6812818</w:t>
            </w:r>
          </w:p>
        </w:tc>
      </w:tr>
    </w:tbl>
    <w:p>
      <w:pPr>
        <w:pStyle w:val="52"/>
        <w:ind w:left="0" w:leftChars="0" w:firstLine="0" w:firstLineChars="0"/>
        <w:rPr>
          <w:rFonts w:cs="宋体"/>
          <w:b/>
          <w:color w:val="auto"/>
          <w:sz w:val="28"/>
          <w:szCs w:val="28"/>
        </w:rPr>
      </w:pPr>
    </w:p>
    <w:p>
      <w:pPr>
        <w:pStyle w:val="4"/>
        <w:tabs>
          <w:tab w:val="left" w:pos="567"/>
        </w:tabs>
        <w:spacing w:line="440" w:lineRule="exact"/>
        <w:jc w:val="center"/>
        <w:rPr>
          <w:rFonts w:ascii="Times New Roman" w:hAnsi="Times New Roman" w:cs="宋体"/>
          <w:bCs w:val="0"/>
          <w:color w:val="auto"/>
          <w:szCs w:val="28"/>
        </w:rPr>
      </w:pPr>
      <w:bookmarkStart w:id="106" w:name="_Toc27120"/>
      <w:bookmarkStart w:id="107" w:name="_Toc22792"/>
      <w:bookmarkStart w:id="108" w:name="_Toc27216"/>
      <w:r>
        <w:rPr>
          <w:rFonts w:hint="eastAsia" w:ascii="Times New Roman" w:hAnsi="Times New Roman" w:cs="宋体"/>
          <w:bCs w:val="0"/>
          <w:color w:val="auto"/>
          <w:szCs w:val="28"/>
        </w:rPr>
        <w:br w:type="page"/>
      </w:r>
      <w:bookmarkStart w:id="109" w:name="_Toc14560"/>
      <w:r>
        <w:rPr>
          <w:rFonts w:hint="eastAsia" w:ascii="Times New Roman" w:hAnsi="Times New Roman" w:cs="宋体"/>
          <w:bCs w:val="0"/>
          <w:color w:val="auto"/>
          <w:szCs w:val="28"/>
        </w:rPr>
        <w:t>一、总则</w:t>
      </w:r>
      <w:bookmarkEnd w:id="106"/>
      <w:bookmarkEnd w:id="107"/>
      <w:bookmarkEnd w:id="108"/>
      <w:bookmarkEnd w:id="109"/>
    </w:p>
    <w:p>
      <w:pPr>
        <w:pStyle w:val="5"/>
        <w:widowControl w:val="0"/>
        <w:spacing w:before="0" w:after="0" w:line="440" w:lineRule="exact"/>
        <w:ind w:firstLine="422" w:firstLineChars="200"/>
        <w:rPr>
          <w:rFonts w:cs="宋体"/>
          <w:color w:val="auto"/>
          <w:sz w:val="21"/>
          <w:szCs w:val="21"/>
        </w:rPr>
      </w:pPr>
      <w:bookmarkStart w:id="110" w:name="_Toc3367"/>
      <w:bookmarkStart w:id="111" w:name="_Toc6626"/>
      <w:bookmarkStart w:id="112" w:name="_Toc27919"/>
      <w:r>
        <w:rPr>
          <w:rFonts w:hint="eastAsia" w:cs="宋体"/>
          <w:color w:val="auto"/>
          <w:sz w:val="21"/>
          <w:szCs w:val="21"/>
        </w:rPr>
        <w:t>1. 适应范围</w:t>
      </w:r>
      <w:bookmarkEnd w:id="110"/>
      <w:bookmarkEnd w:id="111"/>
      <w:bookmarkEnd w:id="112"/>
    </w:p>
    <w:p>
      <w:pPr>
        <w:spacing w:line="440" w:lineRule="exact"/>
        <w:ind w:firstLine="435"/>
        <w:rPr>
          <w:rFonts w:cs="宋体"/>
          <w:color w:val="auto"/>
          <w:szCs w:val="21"/>
        </w:rPr>
      </w:pPr>
      <w:r>
        <w:rPr>
          <w:rFonts w:hint="eastAsia" w:cs="宋体"/>
          <w:color w:val="auto"/>
          <w:szCs w:val="21"/>
        </w:rPr>
        <w:t>1.1项目名称及项目编号：</w:t>
      </w:r>
    </w:p>
    <w:p>
      <w:pPr>
        <w:spacing w:line="440" w:lineRule="exact"/>
        <w:ind w:firstLine="420" w:firstLineChars="200"/>
        <w:rPr>
          <w:rFonts w:cs="宋体"/>
          <w:color w:val="auto"/>
          <w:szCs w:val="21"/>
        </w:rPr>
      </w:pPr>
      <w:r>
        <w:rPr>
          <w:rFonts w:hint="eastAsia" w:cs="宋体"/>
          <w:color w:val="auto"/>
          <w:szCs w:val="21"/>
        </w:rPr>
        <w:t>项目名称：灵川县灵川镇木马村委三排至车田优质稻产业基地内灌溉水渠工程</w:t>
      </w:r>
    </w:p>
    <w:p>
      <w:pPr>
        <w:spacing w:line="440" w:lineRule="exact"/>
        <w:ind w:firstLine="420" w:firstLineChars="200"/>
        <w:rPr>
          <w:rFonts w:hint="default" w:cs="宋体"/>
          <w:color w:val="auto"/>
          <w:szCs w:val="21"/>
          <w:lang w:val="en-US"/>
        </w:rPr>
      </w:pPr>
      <w:r>
        <w:rPr>
          <w:rFonts w:hint="eastAsia" w:cs="宋体"/>
          <w:color w:val="auto"/>
          <w:szCs w:val="21"/>
        </w:rPr>
        <w:t>项目编号：</w:t>
      </w:r>
      <w:r>
        <w:rPr>
          <w:rFonts w:hint="default" w:cs="宋体"/>
          <w:color w:val="auto"/>
          <w:szCs w:val="21"/>
          <w:lang w:val="en-US"/>
        </w:rPr>
        <w:t>GLZC2024-C2-230170-KLZB</w:t>
      </w:r>
    </w:p>
    <w:p>
      <w:pPr>
        <w:spacing w:line="440" w:lineRule="exact"/>
        <w:ind w:firstLine="411" w:firstLineChars="196"/>
        <w:rPr>
          <w:rFonts w:cs="宋体"/>
          <w:color w:val="auto"/>
          <w:szCs w:val="21"/>
        </w:rPr>
      </w:pPr>
      <w:r>
        <w:rPr>
          <w:rFonts w:hint="eastAsia" w:cs="宋体"/>
          <w:color w:val="auto"/>
          <w:szCs w:val="21"/>
        </w:rPr>
        <w:t>1.2本竞争性磋商文件（以下简称磋商文件）适用于本磋商项目的磋商、评审、合同履约、验收、付款等行为（法律、法规另有规定的，从其规定）。</w:t>
      </w:r>
    </w:p>
    <w:p>
      <w:pPr>
        <w:pStyle w:val="5"/>
        <w:widowControl w:val="0"/>
        <w:spacing w:before="0" w:after="0" w:line="440" w:lineRule="exact"/>
        <w:ind w:firstLine="422" w:firstLineChars="200"/>
        <w:rPr>
          <w:rFonts w:cs="宋体"/>
          <w:color w:val="auto"/>
          <w:sz w:val="21"/>
          <w:szCs w:val="21"/>
        </w:rPr>
      </w:pPr>
      <w:bookmarkStart w:id="113" w:name="_Toc29948"/>
      <w:bookmarkStart w:id="114" w:name="_Toc2845"/>
      <w:bookmarkStart w:id="115" w:name="_Toc28336"/>
      <w:r>
        <w:rPr>
          <w:rFonts w:hint="eastAsia" w:cs="宋体"/>
          <w:color w:val="auto"/>
          <w:sz w:val="21"/>
          <w:szCs w:val="21"/>
        </w:rPr>
        <w:t>2. 定义</w:t>
      </w:r>
      <w:bookmarkEnd w:id="113"/>
      <w:bookmarkEnd w:id="114"/>
      <w:bookmarkEnd w:id="115"/>
    </w:p>
    <w:p>
      <w:pPr>
        <w:spacing w:line="440" w:lineRule="exact"/>
        <w:ind w:firstLine="435"/>
        <w:rPr>
          <w:rFonts w:cs="宋体"/>
          <w:color w:val="auto"/>
          <w:szCs w:val="21"/>
        </w:rPr>
      </w:pPr>
      <w:r>
        <w:rPr>
          <w:rFonts w:hint="eastAsia" w:cs="宋体"/>
          <w:color w:val="auto"/>
          <w:szCs w:val="21"/>
        </w:rPr>
        <w:t>2.1“供应商”是指符合本次采购项目的供应商资格并提交响应文件、参加磋商的供应商。如果该供应商在本次磋商中成交，即成为“成交供应商”。</w:t>
      </w:r>
    </w:p>
    <w:p>
      <w:pPr>
        <w:spacing w:line="440" w:lineRule="exact"/>
        <w:ind w:firstLine="435"/>
        <w:rPr>
          <w:rFonts w:cs="宋体"/>
          <w:color w:val="auto"/>
          <w:szCs w:val="21"/>
        </w:rPr>
      </w:pPr>
      <w:r>
        <w:rPr>
          <w:rFonts w:hint="eastAsia" w:cs="宋体"/>
          <w:color w:val="auto"/>
          <w:szCs w:val="21"/>
        </w:rPr>
        <w:t>2.2“货物”系指按磋商文件规定，供应商须向采购人提供的一切设备、保险、税金、备品备件、工具、手册及其它有关技术资料和材料。</w:t>
      </w:r>
    </w:p>
    <w:p>
      <w:pPr>
        <w:spacing w:line="440" w:lineRule="exact"/>
        <w:ind w:firstLine="435"/>
        <w:rPr>
          <w:rFonts w:cs="宋体"/>
          <w:color w:val="auto"/>
          <w:szCs w:val="21"/>
        </w:rPr>
      </w:pPr>
      <w:r>
        <w:rPr>
          <w:rFonts w:hint="eastAsia" w:cs="宋体"/>
          <w:color w:val="auto"/>
          <w:szCs w:val="21"/>
        </w:rPr>
        <w:t>2.3“服务”系指按磋商文件规定，供应商须承担的安装、调试、技术协助、校准、培训、技术指导以及其他类似的义务。</w:t>
      </w:r>
    </w:p>
    <w:p>
      <w:pPr>
        <w:spacing w:line="440" w:lineRule="exact"/>
        <w:ind w:firstLine="435"/>
        <w:rPr>
          <w:rFonts w:cs="宋体"/>
          <w:color w:val="auto"/>
          <w:szCs w:val="21"/>
        </w:rPr>
      </w:pPr>
      <w:r>
        <w:rPr>
          <w:rFonts w:hint="eastAsia" w:cs="宋体"/>
          <w:color w:val="auto"/>
          <w:szCs w:val="21"/>
        </w:rPr>
        <w:t>2.4“项目”系指供应商按磋商文件规定向采购人提供的货物和服务。</w:t>
      </w:r>
    </w:p>
    <w:p>
      <w:pPr>
        <w:spacing w:line="440" w:lineRule="exact"/>
        <w:ind w:firstLine="435"/>
        <w:rPr>
          <w:rFonts w:cs="宋体"/>
          <w:color w:val="auto"/>
          <w:szCs w:val="21"/>
        </w:rPr>
      </w:pPr>
      <w:r>
        <w:rPr>
          <w:rFonts w:hint="eastAsia" w:cs="宋体"/>
          <w:color w:val="auto"/>
          <w:szCs w:val="21"/>
        </w:rPr>
        <w:t>2.5“书面形式”包括信函、传真、电报等。</w:t>
      </w:r>
    </w:p>
    <w:p>
      <w:pPr>
        <w:spacing w:line="440" w:lineRule="exact"/>
        <w:ind w:firstLine="435"/>
        <w:rPr>
          <w:b/>
          <w:bCs/>
          <w:color w:val="auto"/>
        </w:rPr>
      </w:pPr>
      <w:r>
        <w:rPr>
          <w:rFonts w:hint="eastAsia"/>
          <w:b/>
          <w:bCs/>
          <w:color w:val="auto"/>
        </w:rPr>
        <w:t>2.6</w:t>
      </w:r>
      <w:r>
        <w:rPr>
          <w:rFonts w:hint="eastAsia" w:ascii="宋体" w:hAnsi="宋体" w:cs="宋体"/>
          <w:b/>
          <w:bCs/>
          <w:color w:val="auto"/>
          <w:szCs w:val="21"/>
        </w:rPr>
        <w:t>“实质性要求”是指竞争性磋商文件中已经指明不满足则响应文件按无效响应处理的条款，或者不能负偏离的条款，或者技术标准和要求中带“▲”的条款。</w:t>
      </w:r>
    </w:p>
    <w:p>
      <w:pPr>
        <w:pStyle w:val="5"/>
        <w:widowControl w:val="0"/>
        <w:spacing w:before="0" w:after="0" w:line="440" w:lineRule="exact"/>
        <w:ind w:firstLine="422" w:firstLineChars="200"/>
        <w:rPr>
          <w:rFonts w:cs="宋体"/>
          <w:color w:val="auto"/>
          <w:sz w:val="21"/>
          <w:szCs w:val="21"/>
        </w:rPr>
      </w:pPr>
      <w:bookmarkStart w:id="116" w:name="_Toc2365"/>
      <w:bookmarkStart w:id="117" w:name="_Toc13017"/>
      <w:bookmarkStart w:id="118" w:name="_Toc25441"/>
      <w:r>
        <w:rPr>
          <w:rFonts w:hint="eastAsia" w:cs="宋体"/>
          <w:color w:val="auto"/>
          <w:sz w:val="21"/>
          <w:szCs w:val="21"/>
        </w:rPr>
        <w:t>3. 供应商资格</w:t>
      </w:r>
      <w:bookmarkEnd w:id="116"/>
      <w:bookmarkEnd w:id="117"/>
      <w:bookmarkEnd w:id="118"/>
    </w:p>
    <w:p>
      <w:pPr>
        <w:spacing w:line="440" w:lineRule="exact"/>
        <w:ind w:firstLine="435"/>
        <w:rPr>
          <w:rFonts w:cs="宋体"/>
          <w:bCs/>
          <w:color w:val="auto"/>
          <w:szCs w:val="21"/>
        </w:rPr>
      </w:pPr>
      <w:r>
        <w:rPr>
          <w:rFonts w:hint="eastAsia" w:cs="宋体"/>
          <w:bCs/>
          <w:color w:val="auto"/>
          <w:szCs w:val="21"/>
        </w:rPr>
        <w:t>3.1</w:t>
      </w:r>
      <w:r>
        <w:rPr>
          <w:rFonts w:hint="eastAsia" w:cs="宋体"/>
          <w:color w:val="auto"/>
          <w:szCs w:val="21"/>
        </w:rPr>
        <w:t>满足《中华人民共和国政府采购法》第二十二条规定</w:t>
      </w:r>
      <w:r>
        <w:rPr>
          <w:rFonts w:hint="eastAsia" w:cs="宋体"/>
          <w:bCs/>
          <w:color w:val="auto"/>
          <w:szCs w:val="21"/>
        </w:rPr>
        <w:t>；</w:t>
      </w:r>
    </w:p>
    <w:p>
      <w:pPr>
        <w:spacing w:line="440" w:lineRule="exact"/>
        <w:ind w:firstLine="420" w:firstLineChars="200"/>
        <w:rPr>
          <w:rFonts w:cs="宋体"/>
          <w:b/>
          <w:bCs/>
          <w:color w:val="auto"/>
          <w:szCs w:val="21"/>
        </w:rPr>
      </w:pPr>
      <w:bookmarkStart w:id="119" w:name="_Toc16496"/>
      <w:r>
        <w:rPr>
          <w:rFonts w:hint="eastAsia" w:cs="宋体"/>
          <w:color w:val="auto"/>
          <w:szCs w:val="21"/>
        </w:rPr>
        <w:t>3.2落实政府采购政策需满足的资格要求：</w:t>
      </w:r>
      <w:r>
        <w:rPr>
          <w:b/>
          <w:bCs/>
          <w:color w:val="auto"/>
          <w:szCs w:val="21"/>
          <w:u w:val="single"/>
        </w:rPr>
        <w:t>本项目为专门面向中小企业采购的项目。{按桂财采〔2021〕70号《</w:t>
      </w:r>
      <w:r>
        <w:rPr>
          <w:rFonts w:hint="eastAsia"/>
          <w:b/>
          <w:bCs/>
          <w:color w:val="auto"/>
          <w:szCs w:val="21"/>
          <w:u w:val="single"/>
        </w:rPr>
        <w:t xml:space="preserve">广西壮族自治区财政厅 </w:t>
      </w:r>
      <w:r>
        <w:rPr>
          <w:b/>
          <w:bCs/>
          <w:color w:val="auto"/>
          <w:szCs w:val="21"/>
          <w:u w:val="single"/>
        </w:rPr>
        <w:t>广西壮族自治区工业和信息化厅关于贯彻落实政府采购促进中小企业发展管理办法的通知》规定，提供中小企业声明函或者残疾人福利性单位声明函（格式后附）或者供应商属于监狱企业的需提供由省级以上监狱管理局、戒毒管理局（含新疆生产建设兵团）出具的属于监狱企业的证明文件</w:t>
      </w:r>
      <w:r>
        <w:rPr>
          <w:rFonts w:hint="eastAsia" w:cs="宋体"/>
          <w:color w:val="auto"/>
          <w:szCs w:val="21"/>
        </w:rPr>
        <w:t>。</w:t>
      </w:r>
    </w:p>
    <w:p>
      <w:pPr>
        <w:spacing w:line="440" w:lineRule="exact"/>
        <w:ind w:firstLine="420" w:firstLineChars="200"/>
        <w:rPr>
          <w:rFonts w:cs="宋体"/>
          <w:b/>
          <w:bCs/>
          <w:color w:val="auto"/>
          <w:szCs w:val="21"/>
          <w:highlight w:val="yellow"/>
        </w:rPr>
      </w:pPr>
      <w:bookmarkStart w:id="120" w:name="_Toc4527"/>
      <w:bookmarkStart w:id="121" w:name="_Toc5736"/>
      <w:bookmarkStart w:id="122" w:name="_Toc3452"/>
      <w:r>
        <w:rPr>
          <w:rFonts w:hint="eastAsia" w:cs="宋体"/>
          <w:color w:val="auto"/>
          <w:szCs w:val="21"/>
        </w:rPr>
        <w:t>3.3本项目的特定资格要求：</w:t>
      </w:r>
      <w:bookmarkEnd w:id="120"/>
      <w:bookmarkEnd w:id="121"/>
      <w:bookmarkEnd w:id="122"/>
      <w:bookmarkStart w:id="123" w:name="_Toc9216"/>
      <w:r>
        <w:rPr>
          <w:rFonts w:hint="eastAsia" w:cs="宋体"/>
          <w:b/>
          <w:bCs/>
          <w:color w:val="auto"/>
          <w:szCs w:val="21"/>
        </w:rPr>
        <w:t>供应商须具备水利水电工程施工总承包叁级（含以上级）以上资质，并具有省级或以上建设行政主管部门颁发的建筑施工企业安全生产许可证，并在人员、设备、资金等方面具有相应的施工能力。</w:t>
      </w:r>
    </w:p>
    <w:p>
      <w:pPr>
        <w:pStyle w:val="5"/>
        <w:widowControl w:val="0"/>
        <w:spacing w:before="0" w:after="0" w:line="440" w:lineRule="exact"/>
        <w:ind w:firstLine="422" w:firstLineChars="200"/>
        <w:rPr>
          <w:rFonts w:cs="宋体"/>
          <w:color w:val="auto"/>
          <w:sz w:val="21"/>
          <w:szCs w:val="21"/>
        </w:rPr>
      </w:pPr>
      <w:bookmarkStart w:id="124" w:name="_Toc15373"/>
      <w:r>
        <w:rPr>
          <w:rFonts w:hint="eastAsia" w:cs="宋体"/>
          <w:color w:val="auto"/>
          <w:sz w:val="21"/>
          <w:szCs w:val="21"/>
        </w:rPr>
        <w:t>4. 磋商费用</w:t>
      </w:r>
      <w:bookmarkEnd w:id="119"/>
      <w:bookmarkEnd w:id="123"/>
      <w:bookmarkEnd w:id="124"/>
    </w:p>
    <w:p>
      <w:pPr>
        <w:tabs>
          <w:tab w:val="left" w:pos="1635"/>
        </w:tabs>
        <w:spacing w:line="440" w:lineRule="exact"/>
        <w:ind w:firstLine="435"/>
        <w:rPr>
          <w:rFonts w:cs="宋体"/>
          <w:color w:val="auto"/>
          <w:szCs w:val="21"/>
        </w:rPr>
      </w:pPr>
      <w:r>
        <w:rPr>
          <w:rFonts w:hint="eastAsia" w:cs="宋体"/>
          <w:color w:val="auto"/>
          <w:szCs w:val="21"/>
        </w:rPr>
        <w:t>不论磋商结果如何，供应商均应自行承担所有与磋商有关的全部费用。</w:t>
      </w:r>
    </w:p>
    <w:p>
      <w:pPr>
        <w:pStyle w:val="5"/>
        <w:widowControl w:val="0"/>
        <w:spacing w:before="0" w:after="0" w:line="440" w:lineRule="exact"/>
        <w:ind w:firstLine="422" w:firstLineChars="200"/>
        <w:rPr>
          <w:rFonts w:cs="宋体"/>
          <w:color w:val="auto"/>
          <w:sz w:val="21"/>
          <w:szCs w:val="21"/>
        </w:rPr>
      </w:pPr>
      <w:bookmarkStart w:id="125" w:name="_Toc31376"/>
      <w:bookmarkStart w:id="126" w:name="_Toc22877"/>
      <w:bookmarkStart w:id="127" w:name="_Toc14800"/>
      <w:r>
        <w:rPr>
          <w:rFonts w:hint="eastAsia" w:cs="宋体"/>
          <w:color w:val="auto"/>
          <w:sz w:val="21"/>
          <w:szCs w:val="21"/>
        </w:rPr>
        <w:t>5. 联合体要求</w:t>
      </w:r>
      <w:bookmarkEnd w:id="125"/>
      <w:bookmarkEnd w:id="126"/>
      <w:bookmarkEnd w:id="127"/>
    </w:p>
    <w:p>
      <w:pPr>
        <w:spacing w:line="440" w:lineRule="exact"/>
        <w:ind w:firstLine="420" w:firstLineChars="200"/>
        <w:rPr>
          <w:rFonts w:cs="宋体"/>
          <w:bCs/>
          <w:color w:val="auto"/>
          <w:szCs w:val="21"/>
        </w:rPr>
      </w:pPr>
      <w:r>
        <w:rPr>
          <w:rFonts w:hint="eastAsia" w:cs="宋体"/>
          <w:bCs/>
          <w:color w:val="auto"/>
          <w:szCs w:val="21"/>
        </w:rPr>
        <w:t>本项目不接受联合体参与磋商</w:t>
      </w:r>
    </w:p>
    <w:p>
      <w:pPr>
        <w:pStyle w:val="5"/>
        <w:widowControl w:val="0"/>
        <w:spacing w:before="0" w:after="0" w:line="440" w:lineRule="exact"/>
        <w:ind w:firstLine="422" w:firstLineChars="200"/>
        <w:rPr>
          <w:rFonts w:cs="宋体"/>
          <w:color w:val="auto"/>
          <w:sz w:val="21"/>
          <w:szCs w:val="21"/>
        </w:rPr>
      </w:pPr>
      <w:bookmarkStart w:id="128" w:name="_Toc18940"/>
      <w:bookmarkStart w:id="129" w:name="_Toc4152"/>
      <w:bookmarkStart w:id="130" w:name="_Toc3872"/>
      <w:r>
        <w:rPr>
          <w:rFonts w:hint="eastAsia" w:cs="宋体"/>
          <w:color w:val="auto"/>
          <w:sz w:val="21"/>
          <w:szCs w:val="21"/>
        </w:rPr>
        <w:t>6. 询问、质疑和投诉</w:t>
      </w:r>
      <w:bookmarkEnd w:id="128"/>
      <w:bookmarkEnd w:id="129"/>
      <w:bookmarkEnd w:id="130"/>
    </w:p>
    <w:p>
      <w:pPr>
        <w:spacing w:line="440" w:lineRule="exact"/>
        <w:ind w:firstLine="420" w:firstLineChars="200"/>
        <w:rPr>
          <w:rFonts w:cs="宋体"/>
          <w:color w:val="auto"/>
        </w:rPr>
      </w:pPr>
      <w:r>
        <w:rPr>
          <w:rFonts w:hint="eastAsia" w:cs="宋体"/>
          <w:color w:val="auto"/>
        </w:rPr>
        <w:t>6.1供应商对政府采购活动事项有疑问的，可以向采购人或者采购代理机构提出询问，采购人或者采购代理机构应当在3个工作日内对供应商依法提出的询问作出答复。</w:t>
      </w:r>
    </w:p>
    <w:p>
      <w:pPr>
        <w:spacing w:line="440" w:lineRule="exact"/>
        <w:ind w:firstLine="420" w:firstLineChars="200"/>
        <w:rPr>
          <w:rFonts w:cs="宋体"/>
          <w:color w:val="auto"/>
          <w:shd w:val="clear" w:color="auto" w:fill="FFFFFF"/>
        </w:rPr>
      </w:pPr>
      <w:r>
        <w:rPr>
          <w:rFonts w:hint="eastAsia" w:cs="宋体"/>
          <w:color w:val="auto"/>
        </w:rPr>
        <w:t>6.2供应商认为磋商文件、采购过程或者成交结果使自己的合法权益受到损害的，应当在知道或者应知其权益受到损害之日起7个工作日内，以书面形式向采购人或者采购代理机构提出质疑，</w:t>
      </w:r>
      <w:r>
        <w:rPr>
          <w:rFonts w:hint="eastAsia" w:cs="宋体"/>
          <w:color w:val="auto"/>
          <w:shd w:val="clear" w:color="auto" w:fill="FFFFFF"/>
        </w:rPr>
        <w:t>接收质疑函的方式、联系部门、联系电话和通讯地址：</w:t>
      </w:r>
    </w:p>
    <w:p>
      <w:pPr>
        <w:spacing w:line="440" w:lineRule="exact"/>
        <w:ind w:firstLine="420" w:firstLineChars="200"/>
        <w:rPr>
          <w:rFonts w:cs="宋体"/>
          <w:color w:val="auto"/>
        </w:rPr>
      </w:pPr>
      <w:r>
        <w:rPr>
          <w:rFonts w:hint="eastAsia" w:cs="宋体"/>
          <w:color w:val="auto"/>
        </w:rPr>
        <w:t>（1）接收质疑函方式：以书面形式</w:t>
      </w:r>
    </w:p>
    <w:p>
      <w:pPr>
        <w:spacing w:line="440" w:lineRule="exact"/>
        <w:ind w:firstLine="420" w:firstLineChars="200"/>
        <w:rPr>
          <w:rFonts w:cs="宋体"/>
          <w:color w:val="auto"/>
        </w:rPr>
      </w:pPr>
      <w:r>
        <w:rPr>
          <w:rFonts w:hint="eastAsia" w:cs="宋体"/>
          <w:color w:val="auto"/>
        </w:rPr>
        <w:t>（2）质疑联系部门及联系方式：</w:t>
      </w:r>
    </w:p>
    <w:p>
      <w:pPr>
        <w:spacing w:line="440" w:lineRule="exact"/>
        <w:ind w:firstLine="1050" w:firstLineChars="500"/>
        <w:rPr>
          <w:rFonts w:hint="default" w:eastAsia="宋体" w:cs="宋体"/>
          <w:color w:val="auto"/>
          <w:lang w:val="en-US" w:eastAsia="zh-CN"/>
        </w:rPr>
      </w:pPr>
      <w:r>
        <w:rPr>
          <w:rFonts w:hint="eastAsia" w:cs="宋体"/>
          <w:color w:val="auto"/>
        </w:rPr>
        <w:t>1）名称：</w:t>
      </w:r>
      <w:r>
        <w:rPr>
          <w:rFonts w:hint="eastAsia"/>
          <w:color w:val="auto"/>
          <w:kern w:val="0"/>
          <w:szCs w:val="21"/>
        </w:rPr>
        <w:t>灵川县</w:t>
      </w:r>
      <w:r>
        <w:rPr>
          <w:rFonts w:hint="eastAsia"/>
          <w:color w:val="auto"/>
          <w:kern w:val="0"/>
          <w:szCs w:val="21"/>
          <w:lang w:val="en-US" w:eastAsia="zh-CN"/>
        </w:rPr>
        <w:t>灵川镇人民政府</w:t>
      </w:r>
    </w:p>
    <w:p>
      <w:pPr>
        <w:spacing w:line="440" w:lineRule="exact"/>
        <w:ind w:firstLine="1379" w:firstLineChars="657"/>
        <w:rPr>
          <w:rFonts w:hint="default" w:eastAsia="宋体" w:cs="宋体"/>
          <w:color w:val="auto"/>
          <w:lang w:val="en-US" w:eastAsia="zh-CN"/>
        </w:rPr>
      </w:pPr>
      <w:r>
        <w:rPr>
          <w:rFonts w:hint="eastAsia" w:cs="宋体"/>
          <w:color w:val="auto"/>
        </w:rPr>
        <w:t>联系电话：</w:t>
      </w:r>
      <w:r>
        <w:rPr>
          <w:rFonts w:hint="eastAsia"/>
          <w:color w:val="auto"/>
          <w:kern w:val="0"/>
          <w:szCs w:val="21"/>
        </w:rPr>
        <w:t>0773-68</w:t>
      </w:r>
      <w:r>
        <w:rPr>
          <w:rFonts w:hint="eastAsia"/>
          <w:color w:val="auto"/>
          <w:kern w:val="0"/>
          <w:szCs w:val="21"/>
          <w:lang w:val="en-US" w:eastAsia="zh-CN"/>
        </w:rPr>
        <w:t>60932</w:t>
      </w:r>
    </w:p>
    <w:p>
      <w:pPr>
        <w:spacing w:line="440" w:lineRule="exact"/>
        <w:ind w:firstLine="1379" w:firstLineChars="657"/>
        <w:rPr>
          <w:rFonts w:hint="default" w:eastAsia="宋体" w:cs="宋体"/>
          <w:color w:val="auto"/>
          <w:lang w:val="en-US" w:eastAsia="zh-CN"/>
        </w:rPr>
      </w:pPr>
      <w:r>
        <w:rPr>
          <w:rFonts w:hint="eastAsia" w:cs="宋体"/>
          <w:color w:val="auto"/>
        </w:rPr>
        <w:t>通讯地址：</w:t>
      </w:r>
      <w:r>
        <w:rPr>
          <w:rFonts w:hint="eastAsia"/>
          <w:color w:val="auto"/>
          <w:kern w:val="0"/>
          <w:szCs w:val="21"/>
        </w:rPr>
        <w:t>桂林市灵川县</w:t>
      </w:r>
      <w:r>
        <w:rPr>
          <w:rFonts w:hint="eastAsia"/>
          <w:color w:val="auto"/>
          <w:kern w:val="0"/>
          <w:szCs w:val="21"/>
          <w:lang w:val="en-US" w:eastAsia="zh-CN"/>
        </w:rPr>
        <w:t>灵川镇灵南路10号</w:t>
      </w:r>
    </w:p>
    <w:p>
      <w:pPr>
        <w:spacing w:line="440" w:lineRule="exact"/>
        <w:ind w:firstLine="1050" w:firstLineChars="500"/>
        <w:rPr>
          <w:rFonts w:cs="宋体"/>
          <w:color w:val="auto"/>
        </w:rPr>
      </w:pPr>
      <w:r>
        <w:rPr>
          <w:rFonts w:hint="eastAsia" w:cs="宋体"/>
          <w:color w:val="auto"/>
        </w:rPr>
        <w:t>2）名称：广西科联招标中心有限公司</w:t>
      </w:r>
    </w:p>
    <w:p>
      <w:pPr>
        <w:spacing w:line="440" w:lineRule="exact"/>
        <w:ind w:firstLine="1379" w:firstLineChars="657"/>
        <w:rPr>
          <w:rFonts w:cs="宋体"/>
          <w:color w:val="auto"/>
        </w:rPr>
      </w:pPr>
      <w:r>
        <w:rPr>
          <w:rFonts w:hint="eastAsia" w:cs="宋体"/>
          <w:color w:val="auto"/>
        </w:rPr>
        <w:t>联系电话：0773-5442911</w:t>
      </w:r>
    </w:p>
    <w:p>
      <w:pPr>
        <w:spacing w:line="440" w:lineRule="exact"/>
        <w:ind w:firstLine="1379" w:firstLineChars="657"/>
        <w:rPr>
          <w:rFonts w:cs="宋体"/>
          <w:color w:val="auto"/>
        </w:rPr>
      </w:pPr>
      <w:r>
        <w:rPr>
          <w:rFonts w:hint="eastAsia" w:cs="宋体"/>
          <w:color w:val="auto"/>
        </w:rPr>
        <w:t>通讯地址：</w:t>
      </w:r>
      <w:r>
        <w:rPr>
          <w:rFonts w:hint="eastAsia"/>
          <w:color w:val="auto"/>
          <w:kern w:val="0"/>
          <w:szCs w:val="21"/>
        </w:rPr>
        <w:t>桂林市七星区东江路28号28-8栋</w:t>
      </w:r>
    </w:p>
    <w:p>
      <w:pPr>
        <w:spacing w:line="440" w:lineRule="exact"/>
        <w:ind w:firstLine="420" w:firstLineChars="200"/>
        <w:rPr>
          <w:rFonts w:cs="宋体"/>
          <w:b/>
          <w:color w:val="auto"/>
          <w:szCs w:val="21"/>
        </w:rPr>
      </w:pPr>
      <w:r>
        <w:rPr>
          <w:rFonts w:hint="eastAsia" w:cs="宋体"/>
          <w:color w:val="auto"/>
        </w:rPr>
        <w:t>（3）现场提交质疑办理业务时间：质疑期内每个工作日（北京时间）上午9时00分到12时00分，下午14时00分到17时00分。</w:t>
      </w:r>
    </w:p>
    <w:p>
      <w:pPr>
        <w:spacing w:line="440" w:lineRule="exact"/>
        <w:ind w:firstLine="422" w:firstLineChars="200"/>
        <w:rPr>
          <w:rFonts w:cs="宋体"/>
          <w:b/>
          <w:color w:val="auto"/>
          <w:szCs w:val="21"/>
        </w:rPr>
      </w:pPr>
      <w:r>
        <w:rPr>
          <w:rFonts w:hint="eastAsia" w:cs="宋体"/>
          <w:b/>
          <w:color w:val="auto"/>
          <w:szCs w:val="21"/>
        </w:rPr>
        <w:t xml:space="preserve">具体质疑起算时间及处理方式如下： </w:t>
      </w:r>
    </w:p>
    <w:p>
      <w:pPr>
        <w:spacing w:line="440" w:lineRule="exact"/>
        <w:ind w:firstLine="420" w:firstLineChars="200"/>
        <w:rPr>
          <w:rFonts w:cs="宋体"/>
          <w:bCs/>
          <w:color w:val="auto"/>
        </w:rPr>
      </w:pPr>
      <w:r>
        <w:rPr>
          <w:rFonts w:hint="eastAsia" w:cs="宋体"/>
          <w:bCs/>
          <w:color w:val="auto"/>
        </w:rPr>
        <w:t>（1）潜在供应商依法获取采购文件后，认为采购文件使自己的权益受到损害的，应当在</w:t>
      </w:r>
      <w:r>
        <w:rPr>
          <w:rFonts w:hint="eastAsia" w:cs="宋体"/>
          <w:bCs/>
          <w:color w:val="auto"/>
          <w:lang w:val="en-US" w:eastAsia="zh-CN"/>
        </w:rPr>
        <w:t>竞争性磋商公告的公告期限届满</w:t>
      </w:r>
      <w:r>
        <w:rPr>
          <w:rFonts w:hint="eastAsia" w:cs="宋体"/>
          <w:bCs/>
          <w:color w:val="auto"/>
        </w:rPr>
        <w:t>之日起7个工作日内提出质疑。</w:t>
      </w:r>
      <w:r>
        <w:rPr>
          <w:rFonts w:hint="eastAsia" w:cs="宋体"/>
          <w:color w:val="auto"/>
        </w:rPr>
        <w:t>委托代理协议无特殊约定的，</w:t>
      </w:r>
      <w:r>
        <w:rPr>
          <w:rFonts w:hint="eastAsia" w:cs="宋体"/>
          <w:bCs/>
          <w:color w:val="auto"/>
        </w:rPr>
        <w:t>对竞争性磋商文件中采购需求（含资格要求、采购预算和评分办法）的质疑由采购人受理并负责答复；对竞争性磋商文件中的采购执行程序的质疑由采购代理机构受理并负责答复。</w:t>
      </w:r>
    </w:p>
    <w:p>
      <w:pPr>
        <w:spacing w:line="440" w:lineRule="exact"/>
        <w:ind w:firstLine="420" w:firstLineChars="200"/>
        <w:rPr>
          <w:rFonts w:cs="宋体"/>
          <w:bCs/>
          <w:color w:val="auto"/>
        </w:rPr>
      </w:pPr>
      <w:r>
        <w:rPr>
          <w:rFonts w:hint="eastAsia" w:cs="宋体"/>
          <w:bCs/>
          <w:color w:val="auto"/>
        </w:rPr>
        <w:t>（2）供应商认为采购过程使自己的权益受到损害的，应当在各采购程序环节结束之日起7个工作日内提出质疑。对采购过程中资格审查、符合性审查等具体评审情况的质疑应向采购人或者采购代理机构提出，由采购人或者采购代理机构受理并负责答复；对采购过程中采购执行程序的质疑由采购代理机构受理并负责答复。</w:t>
      </w:r>
    </w:p>
    <w:p>
      <w:pPr>
        <w:spacing w:line="440" w:lineRule="exact"/>
        <w:ind w:firstLine="420" w:firstLineChars="200"/>
        <w:rPr>
          <w:rFonts w:cs="宋体"/>
          <w:bCs/>
          <w:color w:val="auto"/>
        </w:rPr>
      </w:pPr>
      <w:r>
        <w:rPr>
          <w:rFonts w:hint="eastAsia" w:cs="宋体"/>
          <w:bCs/>
          <w:color w:val="auto"/>
        </w:rPr>
        <w:t>（3）供应商认为成交结果使自己的权益受到损害的，应当在成交结果公告期限届满之日起7个工作日内提出质疑，由采购人受理并负责答复。</w:t>
      </w:r>
    </w:p>
    <w:p>
      <w:pPr>
        <w:spacing w:line="440" w:lineRule="exact"/>
        <w:ind w:firstLine="420" w:firstLineChars="200"/>
        <w:rPr>
          <w:rFonts w:cs="宋体"/>
          <w:color w:val="auto"/>
        </w:rPr>
      </w:pPr>
      <w:r>
        <w:rPr>
          <w:rFonts w:hint="eastAsia" w:cs="宋体"/>
          <w:color w:val="auto"/>
        </w:rPr>
        <w:t>6.3供应商提出的询问或者质疑超出采购人对采购代理机构委托授权范围的，采购代理机构应当告知供应商向采购人提出。政府采购评审专家应当配合采购人或者采购代理机构答复供应商的询问和质疑。</w:t>
      </w:r>
    </w:p>
    <w:p>
      <w:pPr>
        <w:spacing w:line="440" w:lineRule="exact"/>
        <w:ind w:firstLine="422" w:firstLineChars="200"/>
        <w:rPr>
          <w:rFonts w:cs="宋体"/>
          <w:color w:val="auto"/>
        </w:rPr>
      </w:pPr>
      <w:r>
        <w:rPr>
          <w:rFonts w:hint="eastAsia" w:cs="宋体"/>
          <w:b/>
          <w:bCs/>
          <w:color w:val="auto"/>
        </w:rPr>
        <w:t>6.4 供应商提出质疑应当提交质疑函和必要的证明材料，针对同一采购程序环节的质疑必须在法定质疑期内一次性提出。质疑函应当包括下列内容（质疑函格式后附）：</w:t>
      </w:r>
    </w:p>
    <w:p>
      <w:pPr>
        <w:spacing w:line="440" w:lineRule="exact"/>
        <w:ind w:firstLine="420" w:firstLineChars="200"/>
        <w:rPr>
          <w:rFonts w:cs="宋体"/>
          <w:color w:val="auto"/>
        </w:rPr>
      </w:pPr>
      <w:r>
        <w:rPr>
          <w:rFonts w:hint="eastAsia" w:cs="宋体"/>
          <w:color w:val="auto"/>
        </w:rPr>
        <w:t>（1）供应商的姓名或者名称、地址、邮编、联系人及联系电话；</w:t>
      </w:r>
    </w:p>
    <w:p>
      <w:pPr>
        <w:spacing w:line="440" w:lineRule="exact"/>
        <w:ind w:firstLine="420" w:firstLineChars="200"/>
        <w:rPr>
          <w:rFonts w:cs="宋体"/>
          <w:color w:val="auto"/>
        </w:rPr>
      </w:pPr>
      <w:r>
        <w:rPr>
          <w:rFonts w:hint="eastAsia" w:cs="宋体"/>
          <w:color w:val="auto"/>
        </w:rPr>
        <w:t>（2）质疑项目的名称、编号；</w:t>
      </w:r>
    </w:p>
    <w:p>
      <w:pPr>
        <w:spacing w:line="440" w:lineRule="exact"/>
        <w:ind w:firstLine="420" w:firstLineChars="200"/>
        <w:rPr>
          <w:rFonts w:cs="宋体"/>
          <w:color w:val="auto"/>
        </w:rPr>
      </w:pPr>
      <w:r>
        <w:rPr>
          <w:rFonts w:hint="eastAsia" w:cs="宋体"/>
          <w:color w:val="auto"/>
        </w:rPr>
        <w:t>（3）具体、明确的质疑事项和与质疑事项相关的请求；</w:t>
      </w:r>
    </w:p>
    <w:p>
      <w:pPr>
        <w:spacing w:line="440" w:lineRule="exact"/>
        <w:ind w:firstLine="420" w:firstLineChars="200"/>
        <w:rPr>
          <w:rFonts w:cs="宋体"/>
          <w:color w:val="auto"/>
        </w:rPr>
      </w:pPr>
      <w:r>
        <w:rPr>
          <w:rFonts w:hint="eastAsia" w:cs="宋体"/>
          <w:color w:val="auto"/>
        </w:rPr>
        <w:t>（4）事实依据；</w:t>
      </w:r>
    </w:p>
    <w:p>
      <w:pPr>
        <w:spacing w:line="440" w:lineRule="exact"/>
        <w:ind w:firstLine="420" w:firstLineChars="200"/>
        <w:rPr>
          <w:rFonts w:cs="宋体"/>
          <w:color w:val="auto"/>
        </w:rPr>
      </w:pPr>
      <w:r>
        <w:rPr>
          <w:rFonts w:hint="eastAsia" w:cs="宋体"/>
          <w:color w:val="auto"/>
        </w:rPr>
        <w:t>（5）必要的法律依据；</w:t>
      </w:r>
    </w:p>
    <w:p>
      <w:pPr>
        <w:spacing w:line="440" w:lineRule="exact"/>
        <w:ind w:firstLine="420" w:firstLineChars="200"/>
        <w:rPr>
          <w:rFonts w:cs="宋体"/>
          <w:color w:val="auto"/>
        </w:rPr>
      </w:pPr>
      <w:r>
        <w:rPr>
          <w:rFonts w:hint="eastAsia" w:cs="宋体"/>
          <w:color w:val="auto"/>
        </w:rPr>
        <w:t>（6）提出质疑的日期。</w:t>
      </w:r>
    </w:p>
    <w:p>
      <w:pPr>
        <w:spacing w:line="440" w:lineRule="exact"/>
        <w:ind w:firstLine="420" w:firstLineChars="200"/>
        <w:rPr>
          <w:rFonts w:cs="宋体"/>
          <w:color w:val="auto"/>
        </w:rPr>
      </w:pPr>
      <w:r>
        <w:rPr>
          <w:rFonts w:hint="eastAsia" w:cs="宋体"/>
          <w:color w:val="auto"/>
        </w:rPr>
        <w:t>供应商为自然人的，应当由本人签字；供应商为法人或者其他组织的，应当由法定代表人、主要负责人，或者其委托代理人签字或者盖章，并加盖公章。</w:t>
      </w:r>
    </w:p>
    <w:p>
      <w:pPr>
        <w:spacing w:line="440" w:lineRule="exact"/>
        <w:ind w:firstLine="420" w:firstLineChars="200"/>
        <w:rPr>
          <w:rFonts w:cs="宋体"/>
          <w:color w:val="auto"/>
        </w:rPr>
      </w:pPr>
      <w:r>
        <w:rPr>
          <w:rFonts w:hint="eastAsia" w:cs="宋体"/>
          <w:color w:val="auto"/>
        </w:rPr>
        <w:t>6.5采购人、采购代理机构认为供应商质疑不成立，或者成立但未对成交结果构成影响的，继续开展采购活动；认为供应商质疑成立且影响或者可能影响成交结果的，按照下列情况处理：</w:t>
      </w:r>
    </w:p>
    <w:p>
      <w:pPr>
        <w:spacing w:line="440" w:lineRule="exact"/>
        <w:ind w:firstLine="420" w:firstLineChars="200"/>
        <w:rPr>
          <w:rFonts w:cs="宋体"/>
          <w:color w:val="auto"/>
        </w:rPr>
      </w:pPr>
      <w:r>
        <w:rPr>
          <w:rFonts w:hint="eastAsia" w:cs="宋体"/>
          <w:color w:val="auto"/>
        </w:rPr>
        <w:t>（一）对采购文件提出的质疑，依法通过澄清或者修改可以继续开展采购活动的，澄清或者修改采购文件后继续开展采购活动；否则应当修改采购文件后重新开展采购活动。</w:t>
      </w:r>
    </w:p>
    <w:p>
      <w:pPr>
        <w:spacing w:line="440" w:lineRule="exact"/>
        <w:ind w:firstLine="420" w:firstLineChars="200"/>
        <w:rPr>
          <w:rFonts w:cs="宋体"/>
          <w:color w:val="auto"/>
        </w:rPr>
      </w:pPr>
      <w:r>
        <w:rPr>
          <w:rFonts w:hint="eastAsia" w:cs="宋体"/>
          <w:color w:val="auto"/>
        </w:rPr>
        <w:t>（二）对采购过程或者成交结果提出的质疑，合格供应商符合法定数量时，可以从合格的成交候选人中另行确定成交供应商的，应当依法另行确定成交供应商；否则应当重新开展采购活动。</w:t>
      </w:r>
    </w:p>
    <w:p>
      <w:pPr>
        <w:spacing w:line="440" w:lineRule="exact"/>
        <w:ind w:firstLine="420" w:firstLineChars="200"/>
        <w:rPr>
          <w:rFonts w:cs="宋体"/>
          <w:color w:val="auto"/>
        </w:rPr>
      </w:pPr>
      <w:r>
        <w:rPr>
          <w:rFonts w:hint="eastAsia" w:cs="宋体"/>
          <w:color w:val="auto"/>
        </w:rPr>
        <w:t>质疑答复导致成交结果改变的，采购人或者采购代理机构应当将有关情况书面报告本级财政部门。</w:t>
      </w:r>
    </w:p>
    <w:p>
      <w:pPr>
        <w:tabs>
          <w:tab w:val="left" w:pos="2190"/>
        </w:tabs>
        <w:spacing w:line="440" w:lineRule="exact"/>
        <w:ind w:firstLine="435"/>
        <w:rPr>
          <w:rFonts w:cs="宋体"/>
          <w:b/>
          <w:bCs/>
          <w:color w:val="auto"/>
        </w:rPr>
      </w:pPr>
      <w:r>
        <w:rPr>
          <w:rFonts w:hint="eastAsia" w:cs="宋体"/>
          <w:b/>
          <w:bCs/>
          <w:color w:val="auto"/>
        </w:rPr>
        <w:t>6.6投诉的权利。质疑供应商对采购人或采购代理机构的答复不满意，或者采购人或采购代理机构未在规定时间内作出答复的，可以在答复期满后15个工作日内向《政府采购质疑和投诉办法》（财政部令第94号）第六条规定的财政部门提起投诉（投诉书格式后附），受理投诉方式：</w:t>
      </w:r>
    </w:p>
    <w:p>
      <w:pPr>
        <w:spacing w:line="440" w:lineRule="exact"/>
        <w:ind w:firstLine="420" w:firstLineChars="200"/>
        <w:rPr>
          <w:rFonts w:cs="宋体"/>
          <w:color w:val="auto"/>
        </w:rPr>
      </w:pPr>
      <w:r>
        <w:rPr>
          <w:rFonts w:hint="eastAsia" w:cs="宋体"/>
          <w:color w:val="auto"/>
        </w:rPr>
        <w:t>（1）受理方式：</w:t>
      </w:r>
    </w:p>
    <w:p>
      <w:pPr>
        <w:spacing w:line="440" w:lineRule="exact"/>
        <w:ind w:firstLine="938" w:firstLineChars="447"/>
        <w:rPr>
          <w:rFonts w:cs="宋体"/>
          <w:color w:val="auto"/>
        </w:rPr>
      </w:pPr>
      <w:r>
        <w:rPr>
          <w:rFonts w:hint="eastAsia" w:cs="宋体"/>
          <w:color w:val="auto"/>
        </w:rPr>
        <w:t>纸质方式受理，投诉书正、副本（经过质疑的事项才可投诉）。</w:t>
      </w:r>
    </w:p>
    <w:p>
      <w:pPr>
        <w:spacing w:line="440" w:lineRule="exact"/>
        <w:ind w:firstLine="420" w:firstLineChars="200"/>
        <w:rPr>
          <w:rFonts w:cs="宋体"/>
          <w:color w:val="auto"/>
        </w:rPr>
      </w:pPr>
      <w:r>
        <w:rPr>
          <w:rFonts w:hint="eastAsia" w:cs="宋体"/>
          <w:color w:val="auto"/>
        </w:rPr>
        <w:t>（2）通讯方式：</w:t>
      </w:r>
    </w:p>
    <w:p>
      <w:pPr>
        <w:spacing w:line="440" w:lineRule="exact"/>
        <w:ind w:firstLine="938" w:firstLineChars="447"/>
        <w:rPr>
          <w:rFonts w:cs="宋体"/>
          <w:color w:val="auto"/>
        </w:rPr>
      </w:pPr>
      <w:r>
        <w:rPr>
          <w:rFonts w:hint="eastAsia" w:cs="宋体"/>
          <w:color w:val="auto"/>
        </w:rPr>
        <w:t>名称：灵川县财政局</w:t>
      </w:r>
    </w:p>
    <w:p>
      <w:pPr>
        <w:spacing w:line="440" w:lineRule="exact"/>
        <w:ind w:firstLine="938" w:firstLineChars="447"/>
        <w:rPr>
          <w:rFonts w:cs="宋体"/>
          <w:color w:val="auto"/>
        </w:rPr>
      </w:pPr>
      <w:r>
        <w:rPr>
          <w:rFonts w:hint="eastAsia" w:cs="宋体"/>
          <w:color w:val="auto"/>
        </w:rPr>
        <w:t>地址：桂林市灵川县灵南路25号</w:t>
      </w:r>
    </w:p>
    <w:p>
      <w:pPr>
        <w:spacing w:line="440" w:lineRule="exact"/>
        <w:ind w:firstLine="938" w:firstLineChars="447"/>
        <w:rPr>
          <w:rFonts w:cs="宋体"/>
          <w:color w:val="auto"/>
        </w:rPr>
      </w:pPr>
      <w:r>
        <w:rPr>
          <w:rFonts w:hint="eastAsia" w:cs="宋体"/>
          <w:color w:val="auto"/>
        </w:rPr>
        <w:t>联系电话：0773-6812818</w:t>
      </w:r>
    </w:p>
    <w:p>
      <w:pPr>
        <w:pStyle w:val="5"/>
        <w:widowControl w:val="0"/>
        <w:spacing w:before="0" w:after="0" w:line="440" w:lineRule="exact"/>
        <w:ind w:firstLine="422" w:firstLineChars="200"/>
        <w:rPr>
          <w:rFonts w:cs="宋体"/>
          <w:color w:val="auto"/>
          <w:sz w:val="21"/>
          <w:szCs w:val="21"/>
        </w:rPr>
      </w:pPr>
      <w:bookmarkStart w:id="131" w:name="_Toc6998"/>
      <w:bookmarkStart w:id="132" w:name="_Toc5032"/>
      <w:bookmarkStart w:id="133" w:name="_Toc1647"/>
      <w:r>
        <w:rPr>
          <w:rFonts w:hint="eastAsia" w:cs="宋体"/>
          <w:color w:val="auto"/>
          <w:sz w:val="21"/>
          <w:szCs w:val="21"/>
        </w:rPr>
        <w:t>7. 转包与分包</w:t>
      </w:r>
      <w:bookmarkEnd w:id="131"/>
      <w:bookmarkEnd w:id="132"/>
      <w:bookmarkEnd w:id="133"/>
    </w:p>
    <w:p>
      <w:pPr>
        <w:tabs>
          <w:tab w:val="left" w:pos="2190"/>
        </w:tabs>
        <w:spacing w:line="440" w:lineRule="exact"/>
        <w:ind w:firstLine="420" w:firstLineChars="200"/>
        <w:rPr>
          <w:rFonts w:cs="宋体"/>
          <w:color w:val="auto"/>
          <w:kern w:val="0"/>
          <w:szCs w:val="21"/>
          <w:shd w:val="clear" w:color="auto" w:fill="FFFFFF"/>
          <w:lang w:bidi="ar"/>
        </w:rPr>
      </w:pPr>
      <w:r>
        <w:rPr>
          <w:rFonts w:hint="eastAsia" w:cs="宋体"/>
          <w:color w:val="auto"/>
          <w:szCs w:val="21"/>
        </w:rPr>
        <w:t>7</w:t>
      </w:r>
      <w:r>
        <w:rPr>
          <w:rFonts w:hint="eastAsia" w:cs="宋体"/>
          <w:color w:val="auto"/>
          <w:kern w:val="0"/>
          <w:szCs w:val="21"/>
          <w:shd w:val="clear" w:color="auto" w:fill="FFFFFF"/>
          <w:lang w:bidi="ar"/>
        </w:rPr>
        <w:t>.1 本项目不允许转包。</w:t>
      </w:r>
    </w:p>
    <w:p>
      <w:pPr>
        <w:tabs>
          <w:tab w:val="left" w:pos="2190"/>
        </w:tabs>
        <w:spacing w:line="440" w:lineRule="exact"/>
        <w:ind w:firstLine="420" w:firstLineChars="200"/>
        <w:rPr>
          <w:rFonts w:cs="宋体"/>
          <w:color w:val="auto"/>
          <w:kern w:val="0"/>
          <w:szCs w:val="21"/>
          <w:shd w:val="clear" w:color="auto" w:fill="FFFFFF"/>
          <w:lang w:bidi="ar"/>
        </w:rPr>
      </w:pPr>
      <w:r>
        <w:rPr>
          <w:rFonts w:hint="eastAsia" w:cs="宋体"/>
          <w:color w:val="auto"/>
          <w:kern w:val="0"/>
          <w:szCs w:val="21"/>
          <w:shd w:val="clear" w:color="auto" w:fill="FFFFFF"/>
          <w:lang w:bidi="ar"/>
        </w:rPr>
        <w:t>7.2 本项目不可以分包。</w:t>
      </w:r>
    </w:p>
    <w:p>
      <w:pPr>
        <w:tabs>
          <w:tab w:val="left" w:pos="2190"/>
        </w:tabs>
        <w:spacing w:line="440" w:lineRule="exact"/>
        <w:ind w:firstLine="420" w:firstLineChars="200"/>
        <w:rPr>
          <w:rFonts w:cs="宋体"/>
          <w:color w:val="auto"/>
          <w:kern w:val="0"/>
          <w:szCs w:val="21"/>
          <w:shd w:val="clear" w:color="auto" w:fill="FFFFFF"/>
          <w:lang w:bidi="ar"/>
        </w:rPr>
      </w:pPr>
      <w:r>
        <w:rPr>
          <w:rFonts w:hint="eastAsia" w:cs="宋体"/>
          <w:color w:val="auto"/>
          <w:kern w:val="0"/>
          <w:szCs w:val="21"/>
          <w:shd w:val="clear" w:color="auto" w:fill="FFFFFF"/>
          <w:lang w:bidi="ar"/>
        </w:rPr>
        <w:t>7.3本项目不允许挂靠。</w:t>
      </w:r>
    </w:p>
    <w:p>
      <w:pPr>
        <w:tabs>
          <w:tab w:val="left" w:pos="2190"/>
        </w:tabs>
        <w:spacing w:line="440" w:lineRule="exact"/>
        <w:ind w:firstLine="420" w:firstLineChars="200"/>
        <w:rPr>
          <w:rFonts w:cs="宋体"/>
          <w:color w:val="auto"/>
          <w:kern w:val="0"/>
          <w:szCs w:val="21"/>
          <w:shd w:val="clear" w:color="auto" w:fill="FFFFFF"/>
          <w:lang w:bidi="ar"/>
        </w:rPr>
      </w:pPr>
      <w:r>
        <w:rPr>
          <w:rFonts w:hint="eastAsia" w:cs="宋体"/>
          <w:color w:val="auto"/>
          <w:kern w:val="0"/>
          <w:szCs w:val="21"/>
          <w:shd w:val="clear" w:color="auto" w:fill="FFFFFF"/>
          <w:lang w:bidi="ar"/>
        </w:rPr>
        <w:t>7.4如发现有以上行为，采购人有权终止合同，所有损失由成交供应商承担。</w:t>
      </w:r>
    </w:p>
    <w:p>
      <w:pPr>
        <w:pStyle w:val="5"/>
        <w:widowControl w:val="0"/>
        <w:spacing w:before="0" w:after="0" w:line="440" w:lineRule="exact"/>
        <w:ind w:firstLine="422" w:firstLineChars="200"/>
        <w:rPr>
          <w:rFonts w:cs="宋体"/>
          <w:color w:val="auto"/>
          <w:sz w:val="21"/>
          <w:szCs w:val="21"/>
        </w:rPr>
      </w:pPr>
      <w:bookmarkStart w:id="134" w:name="_Toc18531"/>
      <w:bookmarkStart w:id="135" w:name="_Toc3368"/>
      <w:bookmarkStart w:id="136" w:name="_Toc15097"/>
      <w:r>
        <w:rPr>
          <w:rFonts w:hint="eastAsia" w:cs="宋体"/>
          <w:color w:val="auto"/>
          <w:sz w:val="21"/>
          <w:szCs w:val="21"/>
        </w:rPr>
        <w:t>8. 特别说明</w:t>
      </w:r>
      <w:bookmarkEnd w:id="134"/>
      <w:bookmarkEnd w:id="135"/>
      <w:bookmarkEnd w:id="136"/>
    </w:p>
    <w:p>
      <w:pPr>
        <w:tabs>
          <w:tab w:val="left" w:pos="1635"/>
        </w:tabs>
        <w:spacing w:line="440" w:lineRule="exact"/>
        <w:ind w:firstLine="422" w:firstLineChars="200"/>
        <w:rPr>
          <w:rFonts w:cs="宋体"/>
          <w:b/>
          <w:color w:val="auto"/>
          <w:szCs w:val="21"/>
        </w:rPr>
      </w:pPr>
      <w:r>
        <w:rPr>
          <w:rFonts w:hint="eastAsia" w:cs="宋体"/>
          <w:b/>
          <w:color w:val="auto"/>
          <w:szCs w:val="21"/>
        </w:rPr>
        <w:t>8.1关联供应商不得参加同一合同项下政府采购活动，否则响应文件将被视为无效：</w:t>
      </w:r>
    </w:p>
    <w:p>
      <w:pPr>
        <w:tabs>
          <w:tab w:val="left" w:pos="1635"/>
        </w:tabs>
        <w:spacing w:line="440" w:lineRule="exact"/>
        <w:ind w:firstLine="420" w:firstLineChars="200"/>
        <w:rPr>
          <w:rFonts w:cs="宋体"/>
          <w:color w:val="auto"/>
          <w:szCs w:val="21"/>
        </w:rPr>
      </w:pPr>
      <w:r>
        <w:rPr>
          <w:rFonts w:hint="eastAsia" w:cs="宋体"/>
          <w:color w:val="auto"/>
          <w:szCs w:val="21"/>
        </w:rPr>
        <w:t>（1）单位负责人为同一人或者存在直接控股、管理关系的，不得参加同一合同项下的政府采购活动。</w:t>
      </w:r>
    </w:p>
    <w:p>
      <w:pPr>
        <w:tabs>
          <w:tab w:val="left" w:pos="1635"/>
        </w:tabs>
        <w:spacing w:line="440" w:lineRule="exact"/>
        <w:ind w:firstLine="420" w:firstLineChars="200"/>
        <w:rPr>
          <w:rFonts w:cs="宋体"/>
          <w:color w:val="auto"/>
          <w:szCs w:val="21"/>
        </w:rPr>
      </w:pPr>
      <w:r>
        <w:rPr>
          <w:rFonts w:hint="eastAsia" w:cs="宋体"/>
          <w:color w:val="auto"/>
          <w:szCs w:val="21"/>
        </w:rPr>
        <w:t>（2）为本采购项目提供整体设计、规范编制或者项目管理、监理、检测等服务的供应商，不得再参加本次采购活动。</w:t>
      </w:r>
    </w:p>
    <w:p>
      <w:pPr>
        <w:pStyle w:val="21"/>
        <w:spacing w:line="440" w:lineRule="exact"/>
        <w:rPr>
          <w:rFonts w:cs="宋体"/>
          <w:color w:val="auto"/>
        </w:rPr>
      </w:pPr>
    </w:p>
    <w:p>
      <w:pPr>
        <w:pStyle w:val="4"/>
        <w:tabs>
          <w:tab w:val="left" w:pos="567"/>
        </w:tabs>
        <w:spacing w:line="440" w:lineRule="exact"/>
        <w:jc w:val="center"/>
        <w:rPr>
          <w:rFonts w:ascii="Times New Roman" w:hAnsi="Times New Roman" w:cs="宋体"/>
          <w:bCs w:val="0"/>
          <w:color w:val="auto"/>
          <w:szCs w:val="28"/>
        </w:rPr>
      </w:pPr>
      <w:bookmarkStart w:id="137" w:name="_Toc29496"/>
      <w:bookmarkStart w:id="138" w:name="_Toc8573"/>
      <w:bookmarkStart w:id="139" w:name="_Toc16417"/>
      <w:bookmarkStart w:id="140" w:name="_Toc22498"/>
      <w:r>
        <w:rPr>
          <w:rFonts w:hint="eastAsia" w:ascii="Times New Roman" w:hAnsi="Times New Roman" w:cs="宋体"/>
          <w:bCs w:val="0"/>
          <w:color w:val="auto"/>
          <w:szCs w:val="28"/>
        </w:rPr>
        <w:t>二、磋商文件</w:t>
      </w:r>
      <w:bookmarkEnd w:id="137"/>
      <w:bookmarkEnd w:id="138"/>
      <w:bookmarkEnd w:id="139"/>
      <w:bookmarkEnd w:id="140"/>
    </w:p>
    <w:p>
      <w:pPr>
        <w:pStyle w:val="5"/>
        <w:widowControl w:val="0"/>
        <w:spacing w:before="0" w:after="0" w:line="440" w:lineRule="exact"/>
        <w:ind w:firstLine="422" w:firstLineChars="200"/>
        <w:rPr>
          <w:rFonts w:cs="宋体"/>
          <w:color w:val="auto"/>
          <w:sz w:val="21"/>
          <w:szCs w:val="21"/>
          <w:lang w:val="pt-BR"/>
        </w:rPr>
      </w:pPr>
      <w:bookmarkStart w:id="141" w:name="_Toc18964"/>
      <w:bookmarkStart w:id="142" w:name="_Toc20057"/>
      <w:bookmarkStart w:id="143" w:name="_Toc10431"/>
      <w:r>
        <w:rPr>
          <w:rFonts w:hint="eastAsia" w:cs="宋体"/>
          <w:color w:val="auto"/>
          <w:sz w:val="21"/>
          <w:szCs w:val="21"/>
          <w:lang w:val="pt-BR"/>
        </w:rPr>
        <w:t xml:space="preserve">9. </w:t>
      </w:r>
      <w:r>
        <w:rPr>
          <w:rFonts w:hint="eastAsia" w:cs="宋体"/>
          <w:color w:val="auto"/>
          <w:sz w:val="21"/>
          <w:szCs w:val="21"/>
        </w:rPr>
        <w:t>磋商文件的构成</w:t>
      </w:r>
      <w:bookmarkEnd w:id="141"/>
      <w:bookmarkEnd w:id="142"/>
      <w:bookmarkEnd w:id="143"/>
    </w:p>
    <w:p>
      <w:pPr>
        <w:spacing w:line="440" w:lineRule="exact"/>
        <w:ind w:firstLine="420" w:firstLineChars="200"/>
        <w:rPr>
          <w:rFonts w:cs="宋体"/>
          <w:color w:val="auto"/>
          <w:szCs w:val="21"/>
        </w:rPr>
      </w:pPr>
      <w:r>
        <w:rPr>
          <w:rFonts w:hint="eastAsia" w:cs="宋体"/>
          <w:color w:val="auto"/>
          <w:szCs w:val="21"/>
        </w:rPr>
        <w:t>（1）竞争性磋商公告；</w:t>
      </w:r>
    </w:p>
    <w:p>
      <w:pPr>
        <w:spacing w:line="440" w:lineRule="exact"/>
        <w:ind w:firstLine="420" w:firstLineChars="200"/>
        <w:rPr>
          <w:rFonts w:cs="宋体"/>
          <w:color w:val="auto"/>
          <w:szCs w:val="21"/>
        </w:rPr>
      </w:pPr>
      <w:r>
        <w:rPr>
          <w:rFonts w:hint="eastAsia" w:cs="宋体"/>
          <w:color w:val="auto"/>
          <w:szCs w:val="21"/>
        </w:rPr>
        <w:t>（2）供应商须知；</w:t>
      </w:r>
    </w:p>
    <w:p>
      <w:pPr>
        <w:spacing w:line="440" w:lineRule="exact"/>
        <w:ind w:firstLine="420" w:firstLineChars="200"/>
        <w:rPr>
          <w:rFonts w:cs="宋体"/>
          <w:b/>
          <w:color w:val="auto"/>
          <w:szCs w:val="21"/>
        </w:rPr>
      </w:pPr>
      <w:r>
        <w:rPr>
          <w:rFonts w:hint="eastAsia" w:cs="宋体"/>
          <w:color w:val="auto"/>
          <w:szCs w:val="21"/>
        </w:rPr>
        <w:t>（3）工程量清单</w:t>
      </w:r>
      <w:r>
        <w:rPr>
          <w:rFonts w:hint="eastAsia" w:cs="宋体"/>
          <w:bCs/>
          <w:color w:val="auto"/>
          <w:szCs w:val="21"/>
        </w:rPr>
        <w:t>；</w:t>
      </w:r>
    </w:p>
    <w:p>
      <w:pPr>
        <w:spacing w:line="440" w:lineRule="exact"/>
        <w:ind w:firstLine="420" w:firstLineChars="200"/>
        <w:rPr>
          <w:rFonts w:cs="宋体"/>
          <w:color w:val="auto"/>
          <w:szCs w:val="21"/>
        </w:rPr>
      </w:pPr>
      <w:r>
        <w:rPr>
          <w:rFonts w:hint="eastAsia" w:cs="宋体"/>
          <w:color w:val="auto"/>
          <w:szCs w:val="21"/>
        </w:rPr>
        <w:t>（4）评审办法；</w:t>
      </w:r>
    </w:p>
    <w:p>
      <w:pPr>
        <w:spacing w:line="440" w:lineRule="exact"/>
        <w:ind w:firstLine="420" w:firstLineChars="200"/>
        <w:rPr>
          <w:rFonts w:cs="宋体"/>
          <w:color w:val="auto"/>
          <w:szCs w:val="21"/>
        </w:rPr>
      </w:pPr>
      <w:r>
        <w:rPr>
          <w:rFonts w:hint="eastAsia" w:cs="宋体"/>
          <w:color w:val="auto"/>
          <w:szCs w:val="21"/>
        </w:rPr>
        <w:t>（5）采购合同（合同主要条款及格式）；</w:t>
      </w:r>
    </w:p>
    <w:p>
      <w:pPr>
        <w:spacing w:line="440" w:lineRule="exact"/>
        <w:ind w:firstLine="420" w:firstLineChars="200"/>
        <w:rPr>
          <w:rFonts w:cs="宋体"/>
          <w:color w:val="auto"/>
          <w:szCs w:val="21"/>
        </w:rPr>
      </w:pPr>
      <w:r>
        <w:rPr>
          <w:rFonts w:hint="eastAsia" w:cs="宋体"/>
          <w:color w:val="auto"/>
          <w:szCs w:val="21"/>
        </w:rPr>
        <w:t>（6）响应文件（格式）；</w:t>
      </w:r>
    </w:p>
    <w:p>
      <w:pPr>
        <w:spacing w:line="440" w:lineRule="exact"/>
        <w:ind w:firstLine="420" w:firstLineChars="200"/>
        <w:rPr>
          <w:rFonts w:cs="宋体"/>
          <w:color w:val="auto"/>
          <w:szCs w:val="21"/>
        </w:rPr>
      </w:pPr>
      <w:bookmarkStart w:id="144" w:name="_Toc9103"/>
      <w:r>
        <w:rPr>
          <w:rFonts w:hint="eastAsia" w:cs="宋体"/>
          <w:color w:val="auto"/>
          <w:szCs w:val="21"/>
        </w:rPr>
        <w:t>（7）图纸。</w:t>
      </w:r>
    </w:p>
    <w:p>
      <w:pPr>
        <w:pStyle w:val="5"/>
        <w:widowControl w:val="0"/>
        <w:spacing w:before="0" w:after="0" w:line="440" w:lineRule="exact"/>
        <w:ind w:firstLine="422" w:firstLineChars="200"/>
        <w:rPr>
          <w:rFonts w:cs="宋体"/>
          <w:color w:val="auto"/>
          <w:sz w:val="21"/>
          <w:szCs w:val="21"/>
        </w:rPr>
      </w:pPr>
      <w:bookmarkStart w:id="145" w:name="_Toc17932"/>
      <w:bookmarkStart w:id="146" w:name="_Toc19703"/>
      <w:r>
        <w:rPr>
          <w:rFonts w:hint="eastAsia" w:cs="宋体"/>
          <w:color w:val="auto"/>
          <w:sz w:val="21"/>
          <w:szCs w:val="21"/>
        </w:rPr>
        <w:t>10. 磋商文件的澄清与修改</w:t>
      </w:r>
      <w:bookmarkEnd w:id="144"/>
      <w:bookmarkEnd w:id="145"/>
      <w:bookmarkEnd w:id="146"/>
    </w:p>
    <w:p>
      <w:pPr>
        <w:spacing w:line="440" w:lineRule="exact"/>
        <w:ind w:firstLine="420" w:firstLineChars="200"/>
        <w:rPr>
          <w:rFonts w:cs="宋体"/>
          <w:color w:val="auto"/>
          <w:szCs w:val="21"/>
        </w:rPr>
      </w:pPr>
      <w:r>
        <w:rPr>
          <w:rFonts w:hint="eastAsia" w:cs="宋体"/>
          <w:color w:val="auto"/>
          <w:szCs w:val="21"/>
        </w:rPr>
        <w:t>10.1 提交首次响应文件截止之日前，采购代理机构可以对已发出的磋商文件进行必要澄清、答复、修改或补充，澄清或者修改的内容可能影响响应文件编制的，澄清或者修改的内容作为磋商文件的组成部分。采购代理机构应当在提交首次响应文件递交截止时间</w:t>
      </w:r>
      <w:r>
        <w:rPr>
          <w:rFonts w:hint="eastAsia" w:cs="宋体"/>
          <w:b/>
          <w:bCs/>
          <w:color w:val="auto"/>
          <w:szCs w:val="21"/>
        </w:rPr>
        <w:t>五日</w:t>
      </w:r>
      <w:r>
        <w:rPr>
          <w:rFonts w:hint="eastAsia" w:cs="宋体"/>
          <w:color w:val="auto"/>
          <w:szCs w:val="21"/>
        </w:rPr>
        <w:t>前在本项目竞争性磋商公告发布的同一媒体上发布更正公告，不足</w:t>
      </w:r>
      <w:r>
        <w:rPr>
          <w:rFonts w:hint="eastAsia" w:cs="宋体"/>
          <w:b/>
          <w:bCs/>
          <w:color w:val="auto"/>
          <w:szCs w:val="21"/>
        </w:rPr>
        <w:t>五日</w:t>
      </w:r>
      <w:r>
        <w:rPr>
          <w:rFonts w:hint="eastAsia" w:cs="宋体"/>
          <w:color w:val="auto"/>
          <w:szCs w:val="21"/>
        </w:rPr>
        <w:t>的，应当顺延首次响应文件递交截止时间。</w:t>
      </w:r>
    </w:p>
    <w:p>
      <w:pPr>
        <w:spacing w:line="440" w:lineRule="exact"/>
        <w:ind w:firstLine="420" w:firstLineChars="200"/>
        <w:rPr>
          <w:rFonts w:cs="宋体"/>
          <w:b/>
          <w:bCs/>
          <w:color w:val="auto"/>
          <w:szCs w:val="21"/>
        </w:rPr>
      </w:pPr>
      <w:r>
        <w:rPr>
          <w:rFonts w:hint="eastAsia" w:cs="宋体"/>
          <w:color w:val="auto"/>
          <w:szCs w:val="21"/>
        </w:rPr>
        <w:t>10.2</w:t>
      </w:r>
      <w:r>
        <w:rPr>
          <w:rFonts w:hint="eastAsia" w:cs="宋体"/>
          <w:b/>
          <w:bCs/>
          <w:color w:val="auto"/>
          <w:szCs w:val="21"/>
        </w:rPr>
        <w:t>供应商应实时关注本项目信息公告发布媒体相关网站了解澄清、修改等与项目有关的内容，如因供应商未及时登录相关网站了解澄清、修改等与项目有关的内容，从而导致响应文件无效的，由供应商自行承担责任。</w:t>
      </w:r>
    </w:p>
    <w:p>
      <w:pPr>
        <w:spacing w:line="440" w:lineRule="exact"/>
        <w:ind w:firstLine="420" w:firstLineChars="200"/>
        <w:rPr>
          <w:rFonts w:cs="宋体"/>
          <w:color w:val="auto"/>
          <w:szCs w:val="21"/>
        </w:rPr>
      </w:pPr>
      <w:r>
        <w:rPr>
          <w:rFonts w:hint="eastAsia" w:cs="宋体"/>
          <w:color w:val="auto"/>
          <w:szCs w:val="21"/>
        </w:rPr>
        <w:t>10.3澄清或者修改的内容为磋商文件的组成部分。当澄清或者修改通知就同一内容的表述不一致时，以最后发出的文件为准。</w:t>
      </w:r>
    </w:p>
    <w:p>
      <w:pPr>
        <w:spacing w:line="440" w:lineRule="exact"/>
        <w:ind w:firstLine="420" w:firstLineChars="200"/>
        <w:rPr>
          <w:rFonts w:cs="宋体"/>
          <w:color w:val="auto"/>
          <w:szCs w:val="21"/>
        </w:rPr>
      </w:pPr>
      <w:r>
        <w:rPr>
          <w:rFonts w:hint="eastAsia" w:cs="宋体"/>
          <w:color w:val="auto"/>
          <w:szCs w:val="21"/>
        </w:rPr>
        <w:t>10.4 磋商文件的澄清或者修改都应该通过本项目采购代理机构以法定形式发布，采购人非通过本机构，不得擅自澄清或者修改磋商文件。</w:t>
      </w:r>
    </w:p>
    <w:p>
      <w:pPr>
        <w:spacing w:line="440" w:lineRule="exact"/>
        <w:ind w:firstLine="420" w:firstLineChars="200"/>
        <w:rPr>
          <w:rFonts w:cs="宋体"/>
          <w:color w:val="auto"/>
          <w:szCs w:val="21"/>
        </w:rPr>
      </w:pPr>
      <w:r>
        <w:rPr>
          <w:rFonts w:hint="eastAsia" w:cs="宋体"/>
          <w:color w:val="auto"/>
          <w:szCs w:val="21"/>
        </w:rPr>
        <w:t>10.5采购单位可以视采购具体情况，延长响应文件截止时间和磋商时间，在本项目竞争性磋商公告发布的同一媒体上发布变更公告。</w:t>
      </w:r>
    </w:p>
    <w:p>
      <w:pPr>
        <w:pStyle w:val="365"/>
        <w:spacing w:line="440" w:lineRule="exact"/>
        <w:rPr>
          <w:rFonts w:cs="宋体"/>
          <w:color w:val="auto"/>
        </w:rPr>
      </w:pPr>
    </w:p>
    <w:p>
      <w:pPr>
        <w:pStyle w:val="4"/>
        <w:tabs>
          <w:tab w:val="left" w:pos="567"/>
        </w:tabs>
        <w:spacing w:line="440" w:lineRule="exact"/>
        <w:jc w:val="center"/>
        <w:rPr>
          <w:rFonts w:ascii="Times New Roman" w:hAnsi="Times New Roman" w:cs="宋体"/>
          <w:bCs w:val="0"/>
          <w:color w:val="auto"/>
          <w:szCs w:val="28"/>
        </w:rPr>
      </w:pPr>
      <w:bookmarkStart w:id="147" w:name="_Toc20830"/>
      <w:bookmarkStart w:id="148" w:name="_Toc17820"/>
      <w:bookmarkStart w:id="149" w:name="_Toc21873"/>
      <w:bookmarkStart w:id="150" w:name="_Toc7494"/>
      <w:r>
        <w:rPr>
          <w:rFonts w:hint="eastAsia" w:ascii="Times New Roman" w:hAnsi="Times New Roman" w:cs="宋体"/>
          <w:bCs w:val="0"/>
          <w:color w:val="auto"/>
          <w:szCs w:val="28"/>
        </w:rPr>
        <w:t>三、竞争性磋商响应文件的编制</w:t>
      </w:r>
      <w:bookmarkEnd w:id="147"/>
      <w:bookmarkEnd w:id="148"/>
      <w:bookmarkEnd w:id="149"/>
      <w:bookmarkEnd w:id="150"/>
    </w:p>
    <w:p>
      <w:pPr>
        <w:pStyle w:val="5"/>
        <w:widowControl w:val="0"/>
        <w:spacing w:before="0" w:after="0" w:line="440" w:lineRule="exact"/>
        <w:ind w:firstLine="422" w:firstLineChars="200"/>
        <w:rPr>
          <w:rFonts w:cs="宋体"/>
          <w:color w:val="auto"/>
          <w:sz w:val="21"/>
          <w:szCs w:val="21"/>
        </w:rPr>
      </w:pPr>
      <w:bookmarkStart w:id="151" w:name="_Toc29864"/>
      <w:bookmarkStart w:id="152" w:name="_Toc19747"/>
      <w:r>
        <w:rPr>
          <w:rFonts w:hint="eastAsia" w:cs="宋体"/>
          <w:color w:val="auto"/>
          <w:sz w:val="21"/>
          <w:szCs w:val="21"/>
        </w:rPr>
        <w:t>11.竞争性磋商响应文件编制基本要求</w:t>
      </w:r>
      <w:bookmarkEnd w:id="151"/>
      <w:bookmarkEnd w:id="152"/>
    </w:p>
    <w:p>
      <w:pPr>
        <w:spacing w:line="440" w:lineRule="exact"/>
        <w:ind w:firstLine="422" w:firstLineChars="200"/>
        <w:rPr>
          <w:rFonts w:cs="宋体"/>
          <w:b/>
          <w:bCs/>
          <w:color w:val="auto"/>
          <w:szCs w:val="21"/>
        </w:rPr>
      </w:pPr>
      <w:r>
        <w:rPr>
          <w:rFonts w:hint="eastAsia" w:cs="宋体"/>
          <w:b/>
          <w:bCs/>
          <w:color w:val="auto"/>
          <w:szCs w:val="21"/>
        </w:rPr>
        <w:t>11.1 本项目实行电子响应，供应商应准备电子磋商响应文件：</w:t>
      </w:r>
    </w:p>
    <w:p>
      <w:pPr>
        <w:spacing w:line="440" w:lineRule="exact"/>
        <w:ind w:firstLine="422" w:firstLineChars="200"/>
        <w:jc w:val="left"/>
        <w:rPr>
          <w:rFonts w:cs="宋体"/>
          <w:b/>
          <w:bCs/>
          <w:color w:val="auto"/>
          <w:szCs w:val="21"/>
        </w:rPr>
      </w:pPr>
      <w:r>
        <w:rPr>
          <w:rFonts w:hint="eastAsia" w:cs="宋体"/>
          <w:b/>
          <w:bCs/>
          <w:color w:val="auto"/>
          <w:szCs w:val="21"/>
        </w:rPr>
        <w:t>11.1.1 电子响应文件按广西政府采购云平台要求及本磋商文件要求制作、加密并递交。具体操作流程可参考《广西壮族自治区全流程电子招投标项目管理系统--供应商客户端》，指南可在“http://www.ccgp-guangxi.gov.cn/PurchaseAdvisory/ImportantNotice/2866753.html”下载。</w:t>
      </w:r>
    </w:p>
    <w:p>
      <w:pPr>
        <w:spacing w:line="440" w:lineRule="exact"/>
        <w:ind w:firstLine="422" w:firstLineChars="200"/>
        <w:rPr>
          <w:rFonts w:cs="宋体"/>
          <w:b/>
          <w:bCs/>
          <w:color w:val="auto"/>
          <w:szCs w:val="21"/>
        </w:rPr>
      </w:pPr>
      <w:r>
        <w:rPr>
          <w:rFonts w:hint="eastAsia" w:cs="宋体"/>
          <w:b/>
          <w:bCs/>
          <w:color w:val="auto"/>
          <w:szCs w:val="21"/>
        </w:rPr>
        <w:t>11.2竞争性磋商响应文件（以下简称响应文件）的组成及要求</w:t>
      </w:r>
    </w:p>
    <w:p>
      <w:pPr>
        <w:spacing w:line="440" w:lineRule="exact"/>
        <w:ind w:firstLine="422" w:firstLineChars="200"/>
        <w:rPr>
          <w:rFonts w:cs="宋体"/>
          <w:b/>
          <w:bCs/>
          <w:color w:val="auto"/>
          <w:szCs w:val="21"/>
        </w:rPr>
      </w:pPr>
      <w:r>
        <w:rPr>
          <w:rFonts w:hint="eastAsia" w:cs="宋体"/>
          <w:b/>
          <w:bCs/>
          <w:color w:val="auto"/>
          <w:szCs w:val="21"/>
        </w:rPr>
        <w:t>11.2.1响应文件组成【格式见第六章“响应文件（格式）”，格式外的供应商可自行编制】</w:t>
      </w:r>
    </w:p>
    <w:p>
      <w:pPr>
        <w:spacing w:line="440" w:lineRule="exact"/>
        <w:ind w:firstLine="422" w:firstLineChars="200"/>
        <w:outlineLvl w:val="2"/>
        <w:rPr>
          <w:rFonts w:cs="宋体"/>
          <w:color w:val="auto"/>
          <w:szCs w:val="21"/>
        </w:rPr>
      </w:pPr>
      <w:bookmarkStart w:id="153" w:name="_Toc22536"/>
      <w:bookmarkStart w:id="154" w:name="_Toc19449"/>
      <w:r>
        <w:rPr>
          <w:rFonts w:hint="eastAsia" w:cs="宋体"/>
          <w:b/>
          <w:bCs/>
          <w:color w:val="auto"/>
          <w:szCs w:val="21"/>
        </w:rPr>
        <w:t>11.2.1.1资格性响应证明材料：</w:t>
      </w:r>
      <w:bookmarkEnd w:id="153"/>
      <w:bookmarkEnd w:id="154"/>
    </w:p>
    <w:p>
      <w:pPr>
        <w:spacing w:line="440" w:lineRule="exact"/>
        <w:ind w:firstLine="420" w:firstLineChars="200"/>
        <w:rPr>
          <w:rFonts w:cs="宋体"/>
          <w:color w:val="auto"/>
          <w:szCs w:val="21"/>
        </w:rPr>
      </w:pPr>
      <w:r>
        <w:rPr>
          <w:rFonts w:hint="eastAsia" w:cs="宋体"/>
          <w:color w:val="auto"/>
          <w:szCs w:val="21"/>
        </w:rPr>
        <w:t>（1）供应商相应的法定代表人、负责人、自然人有效身份证正反两面复印件</w:t>
      </w:r>
      <w:r>
        <w:rPr>
          <w:rFonts w:hint="eastAsia" w:cs="宋体"/>
          <w:b/>
          <w:bCs/>
          <w:color w:val="auto"/>
          <w:szCs w:val="21"/>
        </w:rPr>
        <w:t>（必须提供）</w:t>
      </w:r>
      <w:r>
        <w:rPr>
          <w:rFonts w:hint="eastAsia" w:cs="宋体"/>
          <w:color w:val="auto"/>
          <w:szCs w:val="21"/>
        </w:rPr>
        <w:t>；</w:t>
      </w:r>
    </w:p>
    <w:p>
      <w:pPr>
        <w:spacing w:line="440" w:lineRule="exact"/>
        <w:ind w:firstLine="420" w:firstLineChars="200"/>
        <w:rPr>
          <w:rFonts w:cs="宋体"/>
          <w:color w:val="auto"/>
          <w:szCs w:val="21"/>
        </w:rPr>
      </w:pPr>
      <w:r>
        <w:rPr>
          <w:rFonts w:hint="eastAsia" w:cs="宋体"/>
          <w:color w:val="auto"/>
          <w:szCs w:val="21"/>
        </w:rPr>
        <w:t>（2）供应商的授权委托书原件、委托代理人有效身份证正反面复印件以及由县级以上（含县级）社会养老保险经办机构出具的供应商为委托代理人交纳的响应文件递交截止时间前半年内任意连续二个月社保证明复印件；</w:t>
      </w:r>
      <w:r>
        <w:rPr>
          <w:rFonts w:hint="eastAsia" w:cs="宋体"/>
          <w:b/>
          <w:bCs/>
          <w:color w:val="auto"/>
          <w:szCs w:val="21"/>
        </w:rPr>
        <w:t>（委托代理时必须提供）。</w:t>
      </w:r>
      <w:r>
        <w:rPr>
          <w:rFonts w:hint="eastAsia" w:cs="宋体"/>
          <w:color w:val="auto"/>
          <w:szCs w:val="21"/>
        </w:rPr>
        <w:t>除供应商为以下三种情形的：</w:t>
      </w:r>
    </w:p>
    <w:p>
      <w:pPr>
        <w:spacing w:line="440" w:lineRule="exact"/>
        <w:ind w:firstLine="420" w:firstLineChars="200"/>
        <w:rPr>
          <w:rFonts w:cs="宋体"/>
          <w:color w:val="auto"/>
          <w:szCs w:val="21"/>
        </w:rPr>
      </w:pPr>
      <w:r>
        <w:rPr>
          <w:rFonts w:hint="eastAsia" w:cs="宋体"/>
          <w:color w:val="auto"/>
          <w:szCs w:val="21"/>
        </w:rPr>
        <w:t>①如供应商为截标时间前60日以内成立的公司，可以提供供应商与委托代理人签订的劳动合同复印件代替社保证明复印件；</w:t>
      </w:r>
    </w:p>
    <w:p>
      <w:pPr>
        <w:spacing w:line="440" w:lineRule="exact"/>
        <w:ind w:firstLine="420" w:firstLineChars="200"/>
        <w:rPr>
          <w:rFonts w:cs="宋体"/>
          <w:color w:val="auto"/>
          <w:szCs w:val="21"/>
        </w:rPr>
      </w:pPr>
      <w:r>
        <w:rPr>
          <w:rFonts w:hint="eastAsia" w:cs="宋体"/>
          <w:color w:val="auto"/>
          <w:szCs w:val="21"/>
        </w:rPr>
        <w:t>②如供应商为事业单位，可以提供事业单位机构编制管理证复印件或事业单位机构为其发放工资的工资条复印件代替社保证明复印件；</w:t>
      </w:r>
    </w:p>
    <w:p>
      <w:pPr>
        <w:spacing w:line="440" w:lineRule="exact"/>
        <w:ind w:firstLine="420" w:firstLineChars="200"/>
        <w:rPr>
          <w:rFonts w:cs="宋体"/>
          <w:color w:val="auto"/>
          <w:szCs w:val="21"/>
        </w:rPr>
      </w:pPr>
      <w:r>
        <w:rPr>
          <w:rFonts w:hint="eastAsia" w:cs="宋体"/>
          <w:color w:val="auto"/>
          <w:szCs w:val="21"/>
        </w:rPr>
        <w:t>③如委托代理人为免缴纳社保人员，提供免缴纳社保的证明材料复印件及供应商与委托代理人签订的劳动合同复印件代替社保证明复印件。</w:t>
      </w:r>
    </w:p>
    <w:p>
      <w:pPr>
        <w:spacing w:line="440" w:lineRule="exact"/>
        <w:ind w:firstLine="422" w:firstLineChars="200"/>
        <w:rPr>
          <w:rFonts w:cs="宋体"/>
          <w:b/>
          <w:bCs/>
          <w:color w:val="auto"/>
          <w:szCs w:val="21"/>
        </w:rPr>
      </w:pPr>
      <w:r>
        <w:rPr>
          <w:rFonts w:hint="eastAsia" w:cs="宋体"/>
          <w:b/>
          <w:bCs/>
          <w:color w:val="auto"/>
          <w:szCs w:val="21"/>
        </w:rPr>
        <w:t>【属自然人的应提供由县级以上（含县级）社会养老保险经办机构出具的自然人本人及委托代理人所交纳的响应文件递交截止时间前半年内任意连续二个月社保证明复印件</w:t>
      </w:r>
      <w:r>
        <w:rPr>
          <w:rFonts w:hint="eastAsia" w:cs="宋体"/>
          <w:color w:val="auto"/>
          <w:szCs w:val="21"/>
        </w:rPr>
        <w:t>】</w:t>
      </w:r>
      <w:r>
        <w:rPr>
          <w:rFonts w:hint="eastAsia" w:cs="宋体"/>
          <w:b/>
          <w:bCs/>
          <w:color w:val="auto"/>
          <w:szCs w:val="21"/>
        </w:rPr>
        <w:t>（委托代理时必须提供）</w:t>
      </w:r>
    </w:p>
    <w:p>
      <w:pPr>
        <w:spacing w:line="440" w:lineRule="exact"/>
        <w:ind w:firstLine="420" w:firstLineChars="200"/>
        <w:rPr>
          <w:rFonts w:cs="宋体"/>
          <w:color w:val="auto"/>
        </w:rPr>
      </w:pPr>
      <w:r>
        <w:rPr>
          <w:rFonts w:hint="eastAsia" w:cs="宋体"/>
          <w:color w:val="auto"/>
          <w:szCs w:val="21"/>
        </w:rPr>
        <w:t>（3）供应商参加政府采购活动前3年内在经营活动中没有重大违法记录及有关信用信息的书面声明</w:t>
      </w:r>
      <w:r>
        <w:rPr>
          <w:rFonts w:hint="eastAsia" w:cs="宋体"/>
          <w:b/>
          <w:bCs/>
          <w:color w:val="auto"/>
          <w:szCs w:val="21"/>
        </w:rPr>
        <w:t>（必须提供）；</w:t>
      </w:r>
    </w:p>
    <w:p>
      <w:pPr>
        <w:spacing w:line="440" w:lineRule="exact"/>
        <w:ind w:firstLine="420" w:firstLineChars="200"/>
        <w:rPr>
          <w:rFonts w:cs="宋体"/>
          <w:color w:val="auto"/>
          <w:szCs w:val="21"/>
        </w:rPr>
      </w:pPr>
      <w:r>
        <w:rPr>
          <w:rFonts w:hint="eastAsia" w:cs="宋体"/>
          <w:color w:val="auto"/>
          <w:szCs w:val="21"/>
        </w:rPr>
        <w:t>（4）供应商的法人或者其他组织营业执照等证明文件复印件</w:t>
      </w:r>
      <w:r>
        <w:rPr>
          <w:rFonts w:hint="eastAsia" w:cs="宋体"/>
          <w:b/>
          <w:bCs/>
          <w:color w:val="auto"/>
          <w:szCs w:val="21"/>
        </w:rPr>
        <w:t>（必须提供，自然人除外）；</w:t>
      </w:r>
    </w:p>
    <w:p>
      <w:pPr>
        <w:spacing w:line="440" w:lineRule="exact"/>
        <w:ind w:firstLine="422" w:firstLineChars="200"/>
        <w:rPr>
          <w:rFonts w:cs="宋体"/>
          <w:b/>
          <w:bCs/>
          <w:color w:val="auto"/>
          <w:szCs w:val="21"/>
        </w:rPr>
      </w:pPr>
      <w:r>
        <w:rPr>
          <w:rFonts w:hint="eastAsia" w:cs="宋体"/>
          <w:b/>
          <w:bCs/>
          <w:color w:val="auto"/>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line="440" w:lineRule="exact"/>
        <w:ind w:firstLine="420" w:firstLineChars="200"/>
        <w:rPr>
          <w:rFonts w:cs="宋体"/>
          <w:color w:val="auto"/>
        </w:rPr>
      </w:pPr>
      <w:r>
        <w:rPr>
          <w:rFonts w:hint="eastAsia" w:cs="宋体"/>
          <w:color w:val="auto"/>
          <w:szCs w:val="21"/>
        </w:rPr>
        <w:t>（5）供应商</w:t>
      </w:r>
      <w:r>
        <w:rPr>
          <w:rFonts w:hint="eastAsia" w:cs="宋体"/>
          <w:bCs/>
          <w:color w:val="auto"/>
          <w:kern w:val="0"/>
          <w:szCs w:val="21"/>
        </w:rPr>
        <w:t>有效的资质证书复印件</w:t>
      </w:r>
      <w:r>
        <w:rPr>
          <w:rFonts w:hint="eastAsia" w:cs="宋体"/>
          <w:b/>
          <w:bCs/>
          <w:color w:val="auto"/>
          <w:szCs w:val="21"/>
        </w:rPr>
        <w:t>（必须提供）</w:t>
      </w:r>
      <w:r>
        <w:rPr>
          <w:rFonts w:hint="eastAsia" w:cs="宋体"/>
          <w:color w:val="auto"/>
          <w:szCs w:val="21"/>
        </w:rPr>
        <w:t>；</w:t>
      </w:r>
    </w:p>
    <w:p>
      <w:pPr>
        <w:spacing w:line="440" w:lineRule="exact"/>
        <w:ind w:firstLine="420" w:firstLineChars="200"/>
        <w:rPr>
          <w:rFonts w:cs="宋体"/>
          <w:color w:val="auto"/>
        </w:rPr>
      </w:pPr>
      <w:r>
        <w:rPr>
          <w:rFonts w:hint="eastAsia" w:cs="宋体"/>
          <w:bCs/>
          <w:color w:val="auto"/>
          <w:kern w:val="0"/>
          <w:szCs w:val="21"/>
        </w:rPr>
        <w:t>（6）供应商财务状况报告（提供2022年度或2023年度经审计的财务报告复印件或者截标时间前半年内至少一个月能反映财务状况的报表或者供应商自拟的截标时间前半年内至少一个月的财务情况说明）（必须提供）</w:t>
      </w:r>
      <w:r>
        <w:rPr>
          <w:rFonts w:hint="eastAsia" w:cs="宋体"/>
          <w:color w:val="auto"/>
          <w:szCs w:val="21"/>
        </w:rPr>
        <w:t>；</w:t>
      </w:r>
    </w:p>
    <w:p>
      <w:pPr>
        <w:spacing w:line="440" w:lineRule="exact"/>
        <w:ind w:firstLine="420" w:firstLineChars="200"/>
        <w:rPr>
          <w:rFonts w:cs="宋体"/>
          <w:color w:val="auto"/>
        </w:rPr>
      </w:pPr>
      <w:r>
        <w:rPr>
          <w:rFonts w:hint="eastAsia" w:cs="宋体"/>
          <w:color w:val="auto"/>
          <w:szCs w:val="21"/>
        </w:rPr>
        <w:t>（7）供应商截止响应文件递交截止时间前半年内任意一个月或任一季度依法缴纳税收的证明材料[增值税缴纳</w:t>
      </w:r>
      <w:r>
        <w:rPr>
          <w:rFonts w:hint="eastAsia" w:cs="宋体"/>
          <w:bCs/>
          <w:color w:val="auto"/>
          <w:kern w:val="0"/>
          <w:szCs w:val="21"/>
        </w:rPr>
        <w:t>发票</w:t>
      </w:r>
      <w:r>
        <w:rPr>
          <w:rFonts w:hint="eastAsia" w:cs="宋体"/>
          <w:color w:val="auto"/>
          <w:szCs w:val="21"/>
        </w:rPr>
        <w:t>(税收完税证明)或企业所得税完税证明或税务部门出具的免税证明]复印件</w:t>
      </w:r>
      <w:r>
        <w:rPr>
          <w:rFonts w:hint="eastAsia" w:cs="宋体"/>
          <w:b/>
          <w:bCs/>
          <w:color w:val="auto"/>
          <w:szCs w:val="21"/>
        </w:rPr>
        <w:t>（必须提供）。</w:t>
      </w:r>
    </w:p>
    <w:p>
      <w:pPr>
        <w:spacing w:line="440" w:lineRule="exact"/>
        <w:ind w:firstLine="420" w:firstLineChars="200"/>
        <w:rPr>
          <w:color w:val="auto"/>
        </w:rPr>
      </w:pPr>
      <w:r>
        <w:rPr>
          <w:rFonts w:hint="eastAsia" w:cs="宋体"/>
          <w:color w:val="auto"/>
          <w:szCs w:val="21"/>
        </w:rPr>
        <w:t>（8）中小企业声明函或者残疾人福利性单位声明函（格式后附）或者供应商属于监狱企业的，提供由省级以上监狱管理局、戒毒管理局（含新疆生产建设兵团）出具的属于监狱企业的证明文件</w:t>
      </w:r>
      <w:r>
        <w:rPr>
          <w:rFonts w:hint="eastAsia" w:cs="宋体"/>
          <w:b/>
          <w:bCs/>
          <w:color w:val="auto"/>
          <w:szCs w:val="21"/>
        </w:rPr>
        <w:t>（必须提供）</w:t>
      </w:r>
      <w:r>
        <w:rPr>
          <w:rFonts w:hint="eastAsia" w:cs="宋体"/>
          <w:color w:val="auto"/>
          <w:szCs w:val="21"/>
        </w:rPr>
        <w:t>。</w:t>
      </w:r>
    </w:p>
    <w:p>
      <w:pPr>
        <w:pStyle w:val="52"/>
        <w:spacing w:line="440" w:lineRule="exact"/>
        <w:ind w:left="0" w:leftChars="0" w:firstLine="422"/>
        <w:outlineLvl w:val="2"/>
        <w:rPr>
          <w:rFonts w:cs="宋体"/>
          <w:color w:val="auto"/>
        </w:rPr>
      </w:pPr>
      <w:bookmarkStart w:id="155" w:name="_Toc27875"/>
      <w:bookmarkStart w:id="156" w:name="_Toc27139"/>
      <w:r>
        <w:rPr>
          <w:rFonts w:hint="eastAsia" w:cs="宋体"/>
          <w:b/>
          <w:bCs/>
          <w:color w:val="auto"/>
          <w:szCs w:val="21"/>
        </w:rPr>
        <w:t>11.2.1.2符合性响应证明材料：</w:t>
      </w:r>
      <w:bookmarkEnd w:id="155"/>
      <w:bookmarkEnd w:id="156"/>
    </w:p>
    <w:p>
      <w:pPr>
        <w:spacing w:line="440" w:lineRule="exact"/>
        <w:ind w:firstLine="420" w:firstLineChars="200"/>
        <w:rPr>
          <w:rFonts w:cs="宋体"/>
          <w:color w:val="auto"/>
          <w:szCs w:val="21"/>
        </w:rPr>
      </w:pPr>
      <w:bookmarkStart w:id="157" w:name="_Toc16312"/>
      <w:bookmarkStart w:id="158" w:name="_Toc2809"/>
      <w:bookmarkStart w:id="159" w:name="_Toc28932"/>
      <w:r>
        <w:rPr>
          <w:rFonts w:hint="eastAsia" w:cs="宋体"/>
          <w:color w:val="auto"/>
          <w:szCs w:val="21"/>
        </w:rPr>
        <w:t>（1）响应函（格式见附件）</w:t>
      </w:r>
      <w:r>
        <w:rPr>
          <w:rFonts w:hint="eastAsia" w:cs="宋体"/>
          <w:b/>
          <w:bCs/>
          <w:color w:val="auto"/>
          <w:szCs w:val="21"/>
        </w:rPr>
        <w:t>（必须提供）</w:t>
      </w:r>
      <w:bookmarkEnd w:id="157"/>
      <w:r>
        <w:rPr>
          <w:rFonts w:hint="eastAsia" w:cs="宋体"/>
          <w:color w:val="auto"/>
          <w:szCs w:val="21"/>
        </w:rPr>
        <w:t>；</w:t>
      </w:r>
      <w:bookmarkEnd w:id="158"/>
      <w:bookmarkEnd w:id="159"/>
    </w:p>
    <w:p>
      <w:pPr>
        <w:spacing w:line="440" w:lineRule="exact"/>
        <w:ind w:firstLine="420" w:firstLineChars="200"/>
        <w:rPr>
          <w:rFonts w:cs="宋体"/>
          <w:color w:val="auto"/>
          <w:szCs w:val="21"/>
        </w:rPr>
      </w:pPr>
      <w:r>
        <w:rPr>
          <w:rFonts w:hint="eastAsia" w:cs="宋体"/>
          <w:color w:val="auto"/>
          <w:szCs w:val="21"/>
        </w:rPr>
        <w:t>（2）</w:t>
      </w:r>
      <w:r>
        <w:rPr>
          <w:rFonts w:hint="eastAsia" w:cs="宋体"/>
          <w:bCs/>
          <w:color w:val="auto"/>
          <w:kern w:val="0"/>
          <w:szCs w:val="21"/>
        </w:rPr>
        <w:t>工程报价汇总表</w:t>
      </w:r>
      <w:r>
        <w:rPr>
          <w:rFonts w:hint="eastAsia" w:cs="宋体"/>
          <w:color w:val="auto"/>
          <w:szCs w:val="21"/>
        </w:rPr>
        <w:t>（格式见附件）</w:t>
      </w:r>
      <w:r>
        <w:rPr>
          <w:rFonts w:hint="eastAsia" w:cs="宋体"/>
          <w:b/>
          <w:bCs/>
          <w:color w:val="auto"/>
          <w:szCs w:val="21"/>
        </w:rPr>
        <w:t>（必须提供）</w:t>
      </w:r>
      <w:r>
        <w:rPr>
          <w:rFonts w:hint="eastAsia" w:cs="宋体"/>
          <w:color w:val="auto"/>
          <w:szCs w:val="21"/>
        </w:rPr>
        <w:t>；</w:t>
      </w:r>
    </w:p>
    <w:p>
      <w:pPr>
        <w:spacing w:line="440" w:lineRule="exact"/>
        <w:ind w:firstLine="420" w:firstLineChars="200"/>
        <w:rPr>
          <w:rFonts w:cs="宋体"/>
          <w:bCs/>
          <w:color w:val="auto"/>
          <w:kern w:val="0"/>
          <w:szCs w:val="21"/>
        </w:rPr>
      </w:pPr>
      <w:r>
        <w:rPr>
          <w:rFonts w:hint="eastAsia" w:cs="宋体"/>
          <w:bCs/>
          <w:color w:val="auto"/>
          <w:kern w:val="0"/>
          <w:szCs w:val="21"/>
        </w:rPr>
        <w:t>（3）已标价工程量清单</w:t>
      </w:r>
      <w:r>
        <w:rPr>
          <w:rFonts w:hint="eastAsia" w:cs="宋体"/>
          <w:b/>
          <w:color w:val="auto"/>
          <w:kern w:val="0"/>
          <w:szCs w:val="21"/>
        </w:rPr>
        <w:t>（必须提供）</w:t>
      </w:r>
      <w:r>
        <w:rPr>
          <w:rFonts w:hint="eastAsia" w:cs="宋体"/>
          <w:bCs/>
          <w:color w:val="auto"/>
          <w:kern w:val="0"/>
          <w:szCs w:val="21"/>
        </w:rPr>
        <w:t>；</w:t>
      </w:r>
    </w:p>
    <w:p>
      <w:pPr>
        <w:spacing w:line="440" w:lineRule="exact"/>
        <w:ind w:firstLine="420" w:firstLineChars="200"/>
        <w:rPr>
          <w:rFonts w:cs="宋体"/>
          <w:color w:val="auto"/>
          <w:szCs w:val="21"/>
        </w:rPr>
      </w:pPr>
      <w:r>
        <w:rPr>
          <w:rFonts w:hint="eastAsia" w:cs="宋体"/>
          <w:color w:val="auto"/>
          <w:szCs w:val="21"/>
        </w:rPr>
        <w:t>（4）拟投入本工程主要施工管理人员表</w:t>
      </w:r>
      <w:r>
        <w:rPr>
          <w:rFonts w:hint="eastAsia" w:cs="宋体"/>
          <w:b/>
          <w:bCs/>
          <w:color w:val="auto"/>
          <w:szCs w:val="21"/>
        </w:rPr>
        <w:t>（必须提供)</w:t>
      </w:r>
      <w:r>
        <w:rPr>
          <w:rFonts w:hint="eastAsia" w:cs="宋体"/>
          <w:color w:val="auto"/>
          <w:szCs w:val="21"/>
        </w:rPr>
        <w:t>；</w:t>
      </w:r>
    </w:p>
    <w:p>
      <w:pPr>
        <w:spacing w:line="440" w:lineRule="exact"/>
        <w:ind w:firstLine="420" w:firstLineChars="200"/>
        <w:rPr>
          <w:rFonts w:cs="宋体"/>
          <w:color w:val="auto"/>
          <w:szCs w:val="21"/>
        </w:rPr>
      </w:pPr>
      <w:r>
        <w:rPr>
          <w:rFonts w:hint="eastAsia" w:cs="宋体"/>
          <w:color w:val="auto"/>
          <w:szCs w:val="21"/>
        </w:rPr>
        <w:t>（5）</w:t>
      </w:r>
      <w:r>
        <w:rPr>
          <w:rFonts w:hint="eastAsia" w:cs="宋体"/>
          <w:bCs/>
          <w:color w:val="auto"/>
          <w:kern w:val="0"/>
          <w:szCs w:val="21"/>
        </w:rPr>
        <w:t>担任本工程的项目经理简历表（应附相关证书、身份证复印件）</w:t>
      </w:r>
      <w:r>
        <w:rPr>
          <w:rFonts w:hint="eastAsia" w:cs="宋体"/>
          <w:b/>
          <w:bCs/>
          <w:color w:val="auto"/>
          <w:szCs w:val="21"/>
        </w:rPr>
        <w:t>（必须提供）</w:t>
      </w:r>
      <w:r>
        <w:rPr>
          <w:rFonts w:hint="eastAsia" w:cs="宋体"/>
          <w:color w:val="auto"/>
          <w:szCs w:val="21"/>
        </w:rPr>
        <w:t>；</w:t>
      </w:r>
    </w:p>
    <w:p>
      <w:pPr>
        <w:spacing w:line="440" w:lineRule="exact"/>
        <w:ind w:firstLine="420" w:firstLineChars="200"/>
        <w:rPr>
          <w:rFonts w:cs="宋体"/>
          <w:b/>
          <w:bCs/>
          <w:color w:val="auto"/>
          <w:szCs w:val="21"/>
        </w:rPr>
      </w:pPr>
      <w:r>
        <w:rPr>
          <w:rFonts w:hint="eastAsia" w:cs="宋体"/>
          <w:color w:val="auto"/>
          <w:szCs w:val="21"/>
        </w:rPr>
        <w:t>（6）</w:t>
      </w:r>
      <w:r>
        <w:rPr>
          <w:rFonts w:hint="eastAsia" w:cs="宋体"/>
          <w:bCs/>
          <w:color w:val="auto"/>
          <w:kern w:val="0"/>
          <w:szCs w:val="21"/>
        </w:rPr>
        <w:t>施工组织设计方案</w:t>
      </w:r>
      <w:r>
        <w:rPr>
          <w:rFonts w:hint="eastAsia" w:cs="宋体"/>
          <w:b/>
          <w:bCs/>
          <w:color w:val="auto"/>
          <w:szCs w:val="21"/>
        </w:rPr>
        <w:t>（如有，请提供）</w:t>
      </w:r>
      <w:r>
        <w:rPr>
          <w:rFonts w:hint="eastAsia" w:cs="宋体"/>
          <w:color w:val="auto"/>
          <w:szCs w:val="21"/>
        </w:rPr>
        <w:t>；</w:t>
      </w:r>
    </w:p>
    <w:p>
      <w:pPr>
        <w:spacing w:line="440" w:lineRule="exact"/>
        <w:ind w:firstLine="420" w:firstLineChars="200"/>
        <w:rPr>
          <w:rFonts w:cs="宋体"/>
          <w:color w:val="auto"/>
          <w:szCs w:val="21"/>
        </w:rPr>
      </w:pPr>
      <w:r>
        <w:rPr>
          <w:rFonts w:hint="eastAsia" w:cs="宋体"/>
          <w:color w:val="auto"/>
          <w:szCs w:val="21"/>
        </w:rPr>
        <w:t>（7）</w:t>
      </w:r>
      <w:r>
        <w:rPr>
          <w:rFonts w:hint="eastAsia" w:cs="宋体"/>
          <w:bCs/>
          <w:color w:val="auto"/>
          <w:kern w:val="0"/>
          <w:szCs w:val="21"/>
        </w:rPr>
        <w:t>工程完工服务承诺书</w:t>
      </w:r>
      <w:r>
        <w:rPr>
          <w:rFonts w:hint="eastAsia" w:cs="宋体"/>
          <w:b/>
          <w:bCs/>
          <w:color w:val="auto"/>
          <w:szCs w:val="21"/>
        </w:rPr>
        <w:t>（必须提供）</w:t>
      </w:r>
      <w:r>
        <w:rPr>
          <w:rFonts w:hint="eastAsia" w:cs="宋体"/>
          <w:color w:val="auto"/>
          <w:szCs w:val="21"/>
        </w:rPr>
        <w:t>；</w:t>
      </w:r>
    </w:p>
    <w:p>
      <w:pPr>
        <w:spacing w:line="440" w:lineRule="exact"/>
        <w:ind w:firstLine="420" w:firstLineChars="200"/>
        <w:rPr>
          <w:rFonts w:cs="宋体"/>
          <w:color w:val="auto"/>
          <w:szCs w:val="21"/>
        </w:rPr>
      </w:pPr>
      <w:r>
        <w:rPr>
          <w:rFonts w:hint="eastAsia" w:cs="宋体"/>
          <w:color w:val="auto"/>
          <w:szCs w:val="21"/>
        </w:rPr>
        <w:t>（8）</w:t>
      </w:r>
      <w:r>
        <w:rPr>
          <w:rFonts w:hint="eastAsia" w:cs="宋体"/>
          <w:bCs/>
          <w:color w:val="auto"/>
          <w:kern w:val="0"/>
          <w:szCs w:val="21"/>
        </w:rPr>
        <w:t>农民工工资保障金交纳与使用承诺书</w:t>
      </w:r>
      <w:r>
        <w:rPr>
          <w:rFonts w:hint="eastAsia" w:cs="宋体"/>
          <w:b/>
          <w:bCs/>
          <w:color w:val="auto"/>
          <w:szCs w:val="21"/>
        </w:rPr>
        <w:t>（必须提供）</w:t>
      </w:r>
      <w:r>
        <w:rPr>
          <w:rFonts w:hint="eastAsia" w:cs="宋体"/>
          <w:color w:val="auto"/>
          <w:szCs w:val="21"/>
        </w:rPr>
        <w:t>；</w:t>
      </w:r>
    </w:p>
    <w:p>
      <w:pPr>
        <w:spacing w:line="440" w:lineRule="exact"/>
        <w:ind w:firstLine="420" w:firstLineChars="200"/>
        <w:rPr>
          <w:rFonts w:cs="宋体"/>
          <w:bCs/>
          <w:color w:val="auto"/>
          <w:kern w:val="0"/>
          <w:szCs w:val="21"/>
        </w:rPr>
      </w:pPr>
      <w:r>
        <w:rPr>
          <w:rFonts w:hint="eastAsia" w:cs="宋体"/>
          <w:bCs/>
          <w:color w:val="auto"/>
          <w:kern w:val="0"/>
          <w:szCs w:val="21"/>
        </w:rPr>
        <w:t>（9）城乡清洁工程渣土清运承诺书</w:t>
      </w:r>
      <w:r>
        <w:rPr>
          <w:rFonts w:hint="eastAsia" w:cs="宋体"/>
          <w:b/>
          <w:bCs/>
          <w:color w:val="auto"/>
          <w:szCs w:val="21"/>
        </w:rPr>
        <w:t>（必须提供）</w:t>
      </w:r>
      <w:r>
        <w:rPr>
          <w:rFonts w:hint="eastAsia" w:cs="宋体"/>
          <w:bCs/>
          <w:color w:val="auto"/>
          <w:kern w:val="0"/>
          <w:szCs w:val="21"/>
        </w:rPr>
        <w:t>。</w:t>
      </w:r>
    </w:p>
    <w:p>
      <w:pPr>
        <w:pStyle w:val="52"/>
        <w:spacing w:line="440" w:lineRule="exact"/>
        <w:ind w:left="0" w:leftChars="0" w:firstLine="422"/>
        <w:outlineLvl w:val="2"/>
        <w:rPr>
          <w:rFonts w:cs="宋体"/>
          <w:b/>
          <w:bCs/>
          <w:color w:val="auto"/>
          <w:szCs w:val="21"/>
        </w:rPr>
      </w:pPr>
      <w:bookmarkStart w:id="160" w:name="_Toc21932"/>
      <w:bookmarkStart w:id="161" w:name="_Toc24990"/>
      <w:r>
        <w:rPr>
          <w:rFonts w:hint="eastAsia" w:cs="宋体"/>
          <w:b/>
          <w:bCs/>
          <w:color w:val="auto"/>
          <w:szCs w:val="21"/>
        </w:rPr>
        <w:t>11.2.1.3其他有效证明材料</w:t>
      </w:r>
      <w:bookmarkEnd w:id="160"/>
      <w:bookmarkEnd w:id="161"/>
    </w:p>
    <w:p>
      <w:pPr>
        <w:spacing w:line="440" w:lineRule="exact"/>
        <w:ind w:firstLine="420" w:firstLineChars="200"/>
        <w:rPr>
          <w:rFonts w:cs="宋体"/>
          <w:b/>
          <w:bCs/>
          <w:color w:val="auto"/>
          <w:szCs w:val="21"/>
        </w:rPr>
      </w:pPr>
      <w:r>
        <w:rPr>
          <w:rFonts w:hint="eastAsia" w:cs="宋体"/>
          <w:color w:val="auto"/>
          <w:szCs w:val="21"/>
        </w:rPr>
        <w:t>（1）供应商2021年1月1日以来具有同类项目的业绩相关证明材料（无不良记录，以中标、成交通知书或签订的合同为准，并能清晰反映项目的名称、采购内容、采购金额、采购时间）</w:t>
      </w:r>
      <w:r>
        <w:rPr>
          <w:rFonts w:hint="eastAsia" w:cs="宋体"/>
          <w:b/>
          <w:bCs/>
          <w:color w:val="auto"/>
          <w:szCs w:val="21"/>
        </w:rPr>
        <w:t>（如有，请提供）；</w:t>
      </w:r>
    </w:p>
    <w:p>
      <w:pPr>
        <w:spacing w:line="440" w:lineRule="exact"/>
        <w:ind w:firstLine="420" w:firstLineChars="200"/>
        <w:rPr>
          <w:rFonts w:cs="宋体"/>
          <w:color w:val="auto"/>
          <w:szCs w:val="21"/>
        </w:rPr>
      </w:pPr>
      <w:r>
        <w:rPr>
          <w:rFonts w:hint="eastAsia" w:cs="宋体"/>
          <w:color w:val="auto"/>
          <w:szCs w:val="21"/>
        </w:rPr>
        <w:t>（2）供应商可结合本项目的评审办法视自身情况自行提交其它相关证明材料。</w:t>
      </w:r>
    </w:p>
    <w:p>
      <w:pPr>
        <w:spacing w:line="440" w:lineRule="exact"/>
        <w:ind w:firstLine="420"/>
        <w:rPr>
          <w:rFonts w:cs="宋体"/>
          <w:color w:val="auto"/>
          <w:szCs w:val="21"/>
        </w:rPr>
      </w:pPr>
      <w:r>
        <w:rPr>
          <w:rFonts w:hint="eastAsia" w:cs="宋体"/>
          <w:b/>
          <w:bCs/>
          <w:color w:val="auto"/>
          <w:szCs w:val="21"/>
          <w:u w:val="single"/>
        </w:rPr>
        <w:t>供应商</w:t>
      </w:r>
      <w:r>
        <w:rPr>
          <w:rFonts w:hint="eastAsia" w:cs="宋体"/>
          <w:b/>
          <w:bCs/>
          <w:color w:val="auto"/>
          <w:u w:val="single"/>
        </w:rPr>
        <w:t>提供的以上“11.2”中相关证明材料属于“必须提供”的文件应加盖磋商供应商CA签章，否则响应文件按无效响应处理。</w:t>
      </w:r>
    </w:p>
    <w:p>
      <w:pPr>
        <w:spacing w:line="440" w:lineRule="exact"/>
        <w:ind w:firstLine="420" w:firstLineChars="200"/>
        <w:rPr>
          <w:rFonts w:cs="宋体"/>
          <w:color w:val="auto"/>
          <w:szCs w:val="21"/>
        </w:rPr>
      </w:pPr>
      <w:r>
        <w:rPr>
          <w:rFonts w:hint="eastAsia" w:cs="宋体"/>
          <w:color w:val="auto"/>
          <w:szCs w:val="21"/>
        </w:rPr>
        <w:t>11.3 供应商应按竞争性磋商文件第六章“响应文件（格式）”编制响应文件。</w:t>
      </w:r>
    </w:p>
    <w:p>
      <w:pPr>
        <w:spacing w:line="440" w:lineRule="exact"/>
        <w:ind w:firstLine="422" w:firstLineChars="200"/>
        <w:rPr>
          <w:rFonts w:cs="宋体"/>
          <w:b/>
          <w:bCs/>
          <w:color w:val="auto"/>
          <w:szCs w:val="21"/>
        </w:rPr>
      </w:pPr>
      <w:r>
        <w:rPr>
          <w:rFonts w:hint="eastAsia" w:cs="宋体"/>
          <w:b/>
          <w:bCs/>
          <w:color w:val="auto"/>
          <w:szCs w:val="21"/>
        </w:rPr>
        <w:t>特别说明：</w:t>
      </w:r>
    </w:p>
    <w:p>
      <w:pPr>
        <w:spacing w:line="440" w:lineRule="exact"/>
        <w:ind w:firstLine="422" w:firstLineChars="200"/>
        <w:rPr>
          <w:rFonts w:cs="宋体"/>
          <w:b/>
          <w:color w:val="auto"/>
          <w:szCs w:val="21"/>
        </w:rPr>
      </w:pPr>
      <w:r>
        <w:rPr>
          <w:rFonts w:hint="eastAsia" w:cs="宋体"/>
          <w:b/>
          <w:bCs/>
          <w:color w:val="auto"/>
          <w:szCs w:val="21"/>
        </w:rPr>
        <w:t>（1）响</w:t>
      </w:r>
      <w:r>
        <w:rPr>
          <w:rFonts w:hint="eastAsia" w:cs="宋体"/>
          <w:b/>
          <w:color w:val="auto"/>
          <w:szCs w:val="21"/>
        </w:rPr>
        <w:t>应文件（电子响应文件），其中电子响应文件中所须加盖公章部分均采用CA签章。若磋商文件中有专门标注的某关联点，并要求供应商在电子响应系统中作出磋商响应的，如供应商未对关联点进行响应或者在响应文件其它内容进行描述，造成电子评审不能查询的责任由供应商自行承担。</w:t>
      </w:r>
    </w:p>
    <w:p>
      <w:pPr>
        <w:numPr>
          <w:ilvl w:val="0"/>
          <w:numId w:val="2"/>
        </w:numPr>
        <w:spacing w:line="440" w:lineRule="exact"/>
        <w:ind w:firstLine="422" w:firstLineChars="200"/>
        <w:rPr>
          <w:rFonts w:cs="宋体"/>
          <w:b/>
          <w:color w:val="auto"/>
          <w:szCs w:val="21"/>
        </w:rPr>
      </w:pPr>
      <w:r>
        <w:rPr>
          <w:rFonts w:hint="eastAsia" w:cs="宋体"/>
          <w:b/>
          <w:bCs/>
          <w:color w:val="auto"/>
          <w:szCs w:val="21"/>
        </w:rPr>
        <w:t>磋商文件要求法定代表人（负责人、自然人）或委托代理人签字的部分必须签字然后扫描或者拍照做成.pdf格式上传（或加盖个人CA签章），无签字的响应文件按无效响应处理。</w:t>
      </w:r>
    </w:p>
    <w:p>
      <w:pPr>
        <w:pStyle w:val="5"/>
        <w:widowControl w:val="0"/>
        <w:spacing w:before="0" w:after="0" w:line="440" w:lineRule="exact"/>
        <w:ind w:firstLine="422" w:firstLineChars="200"/>
        <w:rPr>
          <w:rFonts w:cs="宋体"/>
          <w:color w:val="auto"/>
          <w:sz w:val="21"/>
          <w:szCs w:val="21"/>
        </w:rPr>
      </w:pPr>
      <w:bookmarkStart w:id="162" w:name="_Toc13660"/>
      <w:bookmarkStart w:id="163" w:name="_Toc27669"/>
      <w:bookmarkStart w:id="164" w:name="_Toc2180"/>
      <w:r>
        <w:rPr>
          <w:rFonts w:hint="eastAsia" w:cs="宋体"/>
          <w:color w:val="auto"/>
          <w:sz w:val="21"/>
          <w:szCs w:val="21"/>
        </w:rPr>
        <w:t>12. 响应文件的语言及计量</w:t>
      </w:r>
      <w:bookmarkEnd w:id="162"/>
      <w:bookmarkEnd w:id="163"/>
      <w:bookmarkEnd w:id="164"/>
    </w:p>
    <w:p>
      <w:pPr>
        <w:spacing w:line="440" w:lineRule="exact"/>
        <w:ind w:firstLine="420" w:firstLineChars="200"/>
        <w:rPr>
          <w:rFonts w:cs="宋体"/>
          <w:color w:val="auto"/>
          <w:szCs w:val="21"/>
        </w:rPr>
      </w:pPr>
      <w:r>
        <w:rPr>
          <w:rFonts w:hint="eastAsia" w:cs="宋体"/>
          <w:color w:val="auto"/>
          <w:szCs w:val="21"/>
        </w:rPr>
        <w:t>12.1 响应文件以及供应商与采购代理机构就有关磋商事宜的所有来往函电，均应以中文汉语书写。供应商提交的支持文件和印刷的文献可以使用别的语言，但其相应内容必须附有中文翻译文本，在解释响应文件时以中文翻译文本为主。</w:t>
      </w:r>
    </w:p>
    <w:p>
      <w:pPr>
        <w:spacing w:line="440" w:lineRule="exact"/>
        <w:ind w:firstLine="420" w:firstLineChars="200"/>
        <w:rPr>
          <w:rFonts w:cs="宋体"/>
          <w:color w:val="auto"/>
          <w:szCs w:val="21"/>
        </w:rPr>
      </w:pPr>
      <w:r>
        <w:rPr>
          <w:rFonts w:hint="eastAsia" w:cs="宋体"/>
          <w:color w:val="auto"/>
          <w:szCs w:val="21"/>
        </w:rPr>
        <w:t>12.2 磋商计量单位，磋商文件已有明确规定的，使用磋商文件规定的计量单位；磋商文件没有规定的，应采用中华人民共和国法定计量单位（货币单位：人民币元），否则视同未响应。</w:t>
      </w:r>
    </w:p>
    <w:p>
      <w:pPr>
        <w:pStyle w:val="5"/>
        <w:widowControl w:val="0"/>
        <w:spacing w:before="0" w:after="0" w:line="440" w:lineRule="exact"/>
        <w:ind w:firstLine="422" w:firstLineChars="200"/>
        <w:rPr>
          <w:rFonts w:cs="宋体"/>
          <w:color w:val="auto"/>
          <w:sz w:val="21"/>
          <w:szCs w:val="21"/>
        </w:rPr>
      </w:pPr>
      <w:bookmarkStart w:id="165" w:name="_Toc3058"/>
      <w:bookmarkStart w:id="166" w:name="_Toc10838"/>
      <w:bookmarkStart w:id="167" w:name="_Toc8737"/>
      <w:r>
        <w:rPr>
          <w:rFonts w:hint="eastAsia" w:cs="宋体"/>
          <w:color w:val="auto"/>
          <w:sz w:val="21"/>
          <w:szCs w:val="21"/>
        </w:rPr>
        <w:t>13. 磋商报价及采购预算金额</w:t>
      </w:r>
      <w:bookmarkEnd w:id="165"/>
      <w:bookmarkEnd w:id="166"/>
      <w:r>
        <w:rPr>
          <w:rFonts w:hint="eastAsia" w:cs="宋体"/>
          <w:color w:val="auto"/>
          <w:sz w:val="21"/>
          <w:szCs w:val="21"/>
        </w:rPr>
        <w:t>、上限控制价</w:t>
      </w:r>
      <w:bookmarkEnd w:id="167"/>
    </w:p>
    <w:p>
      <w:pPr>
        <w:spacing w:line="440" w:lineRule="exact"/>
        <w:ind w:firstLine="420" w:firstLineChars="200"/>
        <w:rPr>
          <w:rFonts w:cs="宋体"/>
          <w:bCs/>
          <w:color w:val="auto"/>
          <w:szCs w:val="21"/>
        </w:rPr>
      </w:pPr>
      <w:r>
        <w:rPr>
          <w:rFonts w:hint="eastAsia" w:cs="宋体"/>
          <w:bCs/>
          <w:color w:val="auto"/>
          <w:szCs w:val="21"/>
        </w:rPr>
        <w:t>13.1磋商报价应按采购文件中相关附表格式填写；</w:t>
      </w:r>
      <w:r>
        <w:rPr>
          <w:rFonts w:hint="eastAsia" w:cs="宋体"/>
          <w:color w:val="auto"/>
          <w:szCs w:val="21"/>
        </w:rPr>
        <w:t>供应商应采用</w:t>
      </w:r>
      <w:r>
        <w:rPr>
          <w:rFonts w:hint="eastAsia" w:cs="宋体"/>
          <w:bCs/>
          <w:color w:val="auto"/>
          <w:szCs w:val="21"/>
        </w:rPr>
        <w:t>采购人（采购代理机构）提供的工程量清单进行报价</w:t>
      </w:r>
      <w:r>
        <w:rPr>
          <w:rFonts w:hint="eastAsia" w:cs="宋体"/>
          <w:color w:val="auto"/>
          <w:szCs w:val="21"/>
        </w:rPr>
        <w:t>，不得采用总价让利或以百分比让利等形式进行报价</w:t>
      </w:r>
      <w:r>
        <w:rPr>
          <w:rFonts w:hint="eastAsia" w:cs="宋体"/>
          <w:bCs/>
          <w:color w:val="auto"/>
          <w:szCs w:val="21"/>
        </w:rPr>
        <w:t>。</w:t>
      </w:r>
    </w:p>
    <w:p>
      <w:pPr>
        <w:spacing w:line="400" w:lineRule="exact"/>
        <w:ind w:firstLine="422" w:firstLineChars="200"/>
        <w:rPr>
          <w:color w:val="auto"/>
          <w:kern w:val="0"/>
          <w:szCs w:val="21"/>
        </w:rPr>
      </w:pPr>
      <w:r>
        <w:rPr>
          <w:rFonts w:hint="eastAsia"/>
          <w:b/>
          <w:color w:val="auto"/>
        </w:rPr>
        <w:t>（1）</w:t>
      </w:r>
      <w:r>
        <w:rPr>
          <w:b/>
          <w:color w:val="auto"/>
        </w:rPr>
        <w:t>采购预算：</w:t>
      </w:r>
      <w:r>
        <w:rPr>
          <w:color w:val="auto"/>
          <w:kern w:val="0"/>
          <w:szCs w:val="21"/>
        </w:rPr>
        <w:t>本工程总造价为人民币</w:t>
      </w:r>
      <w:r>
        <w:rPr>
          <w:rFonts w:hint="eastAsia"/>
          <w:color w:val="auto"/>
          <w:kern w:val="0"/>
          <w:szCs w:val="21"/>
          <w:u w:val="single"/>
        </w:rPr>
        <w:t>1000117.33元</w:t>
      </w:r>
      <w:r>
        <w:rPr>
          <w:color w:val="auto"/>
          <w:kern w:val="0"/>
          <w:szCs w:val="21"/>
        </w:rPr>
        <w:t>。</w:t>
      </w:r>
    </w:p>
    <w:p>
      <w:pPr>
        <w:spacing w:line="440" w:lineRule="exact"/>
        <w:ind w:firstLine="422" w:firstLineChars="200"/>
        <w:rPr>
          <w:b/>
          <w:bCs/>
          <w:color w:val="auto"/>
          <w:szCs w:val="21"/>
        </w:rPr>
      </w:pPr>
      <w:r>
        <w:rPr>
          <w:rFonts w:hint="eastAsia"/>
          <w:b/>
          <w:color w:val="auto"/>
        </w:rPr>
        <w:t>（2）</w:t>
      </w:r>
      <w:r>
        <w:rPr>
          <w:b/>
          <w:color w:val="auto"/>
        </w:rPr>
        <w:t>上限控制价：</w:t>
      </w:r>
      <w:r>
        <w:rPr>
          <w:color w:val="auto"/>
          <w:kern w:val="0"/>
          <w:szCs w:val="21"/>
        </w:rPr>
        <w:t>经采购人确认</w:t>
      </w:r>
      <w:r>
        <w:rPr>
          <w:rFonts w:hint="eastAsia"/>
          <w:color w:val="auto"/>
          <w:kern w:val="0"/>
          <w:szCs w:val="21"/>
        </w:rPr>
        <w:t>，本工程最高磋商报价为1000117.33元。</w:t>
      </w:r>
    </w:p>
    <w:p>
      <w:pPr>
        <w:spacing w:line="440" w:lineRule="exact"/>
        <w:ind w:firstLine="420" w:firstLineChars="200"/>
        <w:rPr>
          <w:rFonts w:cs="宋体"/>
          <w:bCs/>
          <w:color w:val="auto"/>
          <w:szCs w:val="21"/>
        </w:rPr>
      </w:pPr>
      <w:r>
        <w:rPr>
          <w:rFonts w:hint="eastAsia" w:cs="宋体"/>
          <w:bCs/>
          <w:color w:val="auto"/>
          <w:szCs w:val="21"/>
        </w:rPr>
        <w:t>13.2磋商供应商必须就磋商文件所有内容作完整唯一报价，否则，其磋商将被拒绝。响应文件只允许有一个报价，有选择的或有条件的报价将不予接受。</w:t>
      </w:r>
    </w:p>
    <w:p>
      <w:pPr>
        <w:spacing w:line="440" w:lineRule="exact"/>
        <w:ind w:firstLine="420" w:firstLineChars="200"/>
        <w:rPr>
          <w:rFonts w:cs="宋体"/>
          <w:bCs/>
          <w:color w:val="auto"/>
          <w:szCs w:val="21"/>
        </w:rPr>
      </w:pPr>
      <w:r>
        <w:rPr>
          <w:rFonts w:hint="eastAsia" w:cs="宋体"/>
          <w:bCs/>
          <w:color w:val="auto"/>
          <w:szCs w:val="21"/>
        </w:rPr>
        <w:t>13.3磋商报价包括本项目采购范围内一切服务价款的总和；供应商综合考虑在报价中。</w:t>
      </w:r>
    </w:p>
    <w:p>
      <w:pPr>
        <w:spacing w:line="440" w:lineRule="exact"/>
        <w:ind w:firstLine="420" w:firstLineChars="200"/>
        <w:rPr>
          <w:rFonts w:cs="宋体"/>
          <w:bCs/>
          <w:color w:val="auto"/>
          <w:szCs w:val="21"/>
        </w:rPr>
      </w:pPr>
      <w:r>
        <w:rPr>
          <w:rFonts w:hint="eastAsia" w:cs="宋体"/>
          <w:bCs/>
          <w:color w:val="auto"/>
          <w:szCs w:val="21"/>
        </w:rPr>
        <w:t>13.4响应文件中磋商报价的大写金额和小写金额不一致的，以大写金额为准；总价金额与按单价汇总金额不一致的，以单价金额计算结果为准；单价金额小数点明显错位的，应以总价为准，并修改单价；对不同文字文本响应文件的解释发生异议的，以中文文本为准。</w:t>
      </w:r>
    </w:p>
    <w:p>
      <w:pPr>
        <w:spacing w:line="440" w:lineRule="exact"/>
        <w:ind w:firstLine="420" w:firstLineChars="200"/>
        <w:rPr>
          <w:rFonts w:cs="宋体"/>
          <w:bCs/>
          <w:color w:val="auto"/>
          <w:szCs w:val="21"/>
        </w:rPr>
      </w:pPr>
      <w:r>
        <w:rPr>
          <w:rFonts w:hint="eastAsia" w:cs="宋体"/>
          <w:bCs/>
          <w:color w:val="auto"/>
          <w:szCs w:val="21"/>
        </w:rPr>
        <w:t>按上述勘误修正原则及方法调整或修正响应文件的磋商报价，供应商需签字确认。</w:t>
      </w:r>
    </w:p>
    <w:p>
      <w:pPr>
        <w:spacing w:line="440" w:lineRule="exact"/>
        <w:ind w:firstLine="420" w:firstLineChars="200"/>
        <w:rPr>
          <w:rFonts w:cs="宋体"/>
          <w:bCs/>
          <w:color w:val="auto"/>
          <w:szCs w:val="21"/>
        </w:rPr>
      </w:pPr>
      <w:r>
        <w:rPr>
          <w:rFonts w:hint="eastAsia" w:cs="宋体"/>
          <w:bCs/>
          <w:color w:val="auto"/>
          <w:szCs w:val="21"/>
        </w:rPr>
        <w:t>13.5未书面退出磋商的供应商在规定时间内提交最后报价，其最后报价超出采购预算金额或上限控制价导致已通过评审的响应文件无效的，在系统平台上按供应商在提交响应文件截止时间后撤回响应文件处理。</w:t>
      </w:r>
    </w:p>
    <w:p>
      <w:pPr>
        <w:spacing w:line="440" w:lineRule="exact"/>
        <w:ind w:firstLine="420" w:firstLineChars="200"/>
        <w:rPr>
          <w:rFonts w:cs="宋体"/>
          <w:bCs/>
          <w:color w:val="auto"/>
          <w:szCs w:val="21"/>
        </w:rPr>
      </w:pPr>
      <w:r>
        <w:rPr>
          <w:rFonts w:hint="eastAsia" w:cs="宋体"/>
          <w:bCs/>
          <w:color w:val="auto"/>
          <w:szCs w:val="21"/>
        </w:rPr>
        <w:t>13.6最后磋商报价超出本项目采购预算总金额或上限控制价的将被视为无效磋商。</w:t>
      </w:r>
    </w:p>
    <w:p>
      <w:pPr>
        <w:spacing w:line="440" w:lineRule="exact"/>
        <w:ind w:firstLine="420" w:firstLineChars="200"/>
        <w:rPr>
          <w:rFonts w:cs="宋体"/>
          <w:bCs/>
          <w:color w:val="auto"/>
          <w:szCs w:val="21"/>
        </w:rPr>
      </w:pPr>
      <w:r>
        <w:rPr>
          <w:rFonts w:hint="eastAsia" w:cs="宋体"/>
          <w:bCs/>
          <w:color w:val="auto"/>
          <w:szCs w:val="21"/>
        </w:rPr>
        <w:t>13.7磋商报价应包括本次采购范围内提供的服务、技术费、人工费、保险、税金、培训、版权费等全部费用，磋商供应商综合考虑在报价中。</w:t>
      </w:r>
    </w:p>
    <w:p>
      <w:pPr>
        <w:spacing w:line="440" w:lineRule="exact"/>
        <w:ind w:firstLine="420" w:firstLineChars="200"/>
        <w:rPr>
          <w:rFonts w:cs="宋体"/>
          <w:bCs/>
          <w:color w:val="auto"/>
          <w:szCs w:val="21"/>
        </w:rPr>
      </w:pPr>
      <w:r>
        <w:rPr>
          <w:rFonts w:hint="eastAsia" w:cs="宋体"/>
          <w:bCs/>
          <w:color w:val="auto"/>
          <w:szCs w:val="21"/>
        </w:rPr>
        <w:t>13.8工程量清单报价表中所报的单价和合价，以及报价汇总表中的价格应包括施工设备（含脚手架）、主要材料、辅助材料、安装（如工程量清单中未列所安装设备则包含所安装设备的采购）、垃圾清运、劳务、管理、维护、保险、利润、增值税、政策性文件规定及合同包含的所有风险、责任等各项应有费用。</w:t>
      </w:r>
    </w:p>
    <w:p>
      <w:pPr>
        <w:spacing w:line="440" w:lineRule="exact"/>
        <w:ind w:firstLine="420" w:firstLineChars="200"/>
        <w:rPr>
          <w:rFonts w:cs="宋体"/>
          <w:bCs/>
          <w:color w:val="auto"/>
          <w:szCs w:val="21"/>
        </w:rPr>
      </w:pPr>
      <w:r>
        <w:rPr>
          <w:rFonts w:hint="eastAsia" w:cs="宋体"/>
          <w:bCs/>
          <w:color w:val="auto"/>
          <w:szCs w:val="21"/>
        </w:rPr>
        <w:t>13.9磋商供应商应按磋商文件提供的工程量清单计算工程项目的综合单价和合价。清单中的每一项均需计算填写综合单价和合价，磋商供应商没有填写综合单价和合价的项目将不予支付，并认为此项费用已包括在清单的其他综合单价和合价中。磋商供应商在清单中多报的细目或单价、合价或总额价发包人将不予支持。</w:t>
      </w:r>
    </w:p>
    <w:p>
      <w:pPr>
        <w:spacing w:line="440" w:lineRule="exact"/>
        <w:ind w:firstLine="420" w:firstLineChars="200"/>
        <w:rPr>
          <w:rFonts w:cs="宋体"/>
          <w:bCs/>
          <w:color w:val="auto"/>
          <w:szCs w:val="21"/>
        </w:rPr>
      </w:pPr>
      <w:r>
        <w:rPr>
          <w:rFonts w:hint="eastAsia" w:cs="宋体"/>
          <w:bCs/>
          <w:color w:val="auto"/>
          <w:szCs w:val="21"/>
        </w:rPr>
        <w:t>13.10磋商供应商应对磋商文件中清单所列的各项内容和要求作实质性响应。</w:t>
      </w:r>
    </w:p>
    <w:p>
      <w:pPr>
        <w:spacing w:line="440" w:lineRule="exact"/>
        <w:ind w:firstLine="420" w:firstLineChars="200"/>
        <w:rPr>
          <w:rFonts w:cs="宋体"/>
          <w:bCs/>
          <w:color w:val="auto"/>
          <w:szCs w:val="21"/>
        </w:rPr>
      </w:pPr>
      <w:r>
        <w:rPr>
          <w:rFonts w:hint="eastAsia" w:cs="宋体"/>
          <w:bCs/>
          <w:color w:val="auto"/>
          <w:szCs w:val="21"/>
        </w:rPr>
        <w:t>13.11磋商供应商应采用综合单价对工程量清单进行磋商，不得采用总价让利或以百分比让利等形式进行磋商。</w:t>
      </w:r>
    </w:p>
    <w:p>
      <w:pPr>
        <w:spacing w:line="440" w:lineRule="exact"/>
        <w:ind w:firstLine="420" w:firstLineChars="200"/>
        <w:rPr>
          <w:rFonts w:cs="宋体"/>
          <w:b/>
          <w:bCs/>
          <w:color w:val="auto"/>
          <w:szCs w:val="21"/>
        </w:rPr>
      </w:pPr>
      <w:r>
        <w:rPr>
          <w:rFonts w:hint="eastAsia" w:cs="宋体"/>
          <w:color w:val="auto"/>
          <w:szCs w:val="21"/>
        </w:rPr>
        <w:t>13.12供应商应在规定时间内在广西政府采购云平台系统上提交最后报价，超出磋商小组设定的最后报价时限或其最后报价超出采购预算导致已通过评审的响应文件无效的，按供应商在提交响应文件截止时间后撤回响应文件处理。</w:t>
      </w:r>
    </w:p>
    <w:p>
      <w:pPr>
        <w:pStyle w:val="5"/>
        <w:widowControl w:val="0"/>
        <w:spacing w:before="0" w:after="0" w:line="440" w:lineRule="exact"/>
        <w:ind w:firstLine="422" w:firstLineChars="200"/>
        <w:rPr>
          <w:rFonts w:cs="宋体"/>
          <w:color w:val="auto"/>
          <w:sz w:val="21"/>
          <w:szCs w:val="21"/>
        </w:rPr>
      </w:pPr>
      <w:bookmarkStart w:id="168" w:name="_Toc17365"/>
      <w:bookmarkStart w:id="169" w:name="_Toc30554"/>
      <w:bookmarkStart w:id="170" w:name="_Toc26881"/>
      <w:r>
        <w:rPr>
          <w:rFonts w:hint="eastAsia" w:cs="宋体"/>
          <w:color w:val="auto"/>
          <w:sz w:val="21"/>
          <w:szCs w:val="21"/>
        </w:rPr>
        <w:t>14. 响应文件有效期</w:t>
      </w:r>
      <w:bookmarkEnd w:id="168"/>
      <w:bookmarkEnd w:id="169"/>
      <w:bookmarkEnd w:id="170"/>
    </w:p>
    <w:p>
      <w:pPr>
        <w:spacing w:line="440" w:lineRule="exact"/>
        <w:ind w:firstLine="420" w:firstLineChars="200"/>
        <w:rPr>
          <w:rFonts w:cs="宋体"/>
          <w:color w:val="auto"/>
          <w:szCs w:val="21"/>
        </w:rPr>
      </w:pPr>
      <w:r>
        <w:rPr>
          <w:rFonts w:hint="eastAsia" w:cs="宋体"/>
          <w:color w:val="auto"/>
          <w:szCs w:val="21"/>
        </w:rPr>
        <w:t>14.1 响应文件有效期：响应文件递交截止时间之日起90天，有效期不足的响应文件将被拒绝。</w:t>
      </w:r>
    </w:p>
    <w:p>
      <w:pPr>
        <w:spacing w:line="440" w:lineRule="exact"/>
        <w:ind w:firstLine="420" w:firstLineChars="200"/>
        <w:rPr>
          <w:rFonts w:cs="宋体"/>
          <w:color w:val="auto"/>
          <w:szCs w:val="21"/>
        </w:rPr>
      </w:pPr>
      <w:r>
        <w:rPr>
          <w:rFonts w:hint="eastAsia" w:cs="宋体"/>
          <w:color w:val="auto"/>
          <w:szCs w:val="21"/>
        </w:rPr>
        <w:t>14.2 出现特殊情况下，需要延长响应文件有效期的，采购代理机构书面通知供应商延长响应文件有效期。供应商同意延长的，但不能修改响应文件。供应商拒绝延长的，其响应文件无效。</w:t>
      </w:r>
    </w:p>
    <w:p>
      <w:pPr>
        <w:pStyle w:val="5"/>
        <w:widowControl w:val="0"/>
        <w:spacing w:before="0" w:after="0" w:line="440" w:lineRule="exact"/>
        <w:ind w:firstLine="422" w:firstLineChars="200"/>
        <w:rPr>
          <w:rFonts w:cs="宋体"/>
          <w:color w:val="auto"/>
          <w:sz w:val="21"/>
          <w:szCs w:val="21"/>
        </w:rPr>
      </w:pPr>
      <w:bookmarkStart w:id="171" w:name="_Toc22602"/>
      <w:bookmarkStart w:id="172" w:name="_Toc20698"/>
      <w:bookmarkStart w:id="173" w:name="_Toc17442"/>
      <w:r>
        <w:rPr>
          <w:rFonts w:hint="eastAsia" w:cs="宋体"/>
          <w:color w:val="auto"/>
          <w:sz w:val="21"/>
          <w:szCs w:val="21"/>
        </w:rPr>
        <w:t>15. 竞标保证金</w:t>
      </w:r>
      <w:bookmarkEnd w:id="171"/>
      <w:bookmarkEnd w:id="172"/>
      <w:bookmarkEnd w:id="173"/>
    </w:p>
    <w:p>
      <w:pPr>
        <w:spacing w:line="440" w:lineRule="exact"/>
        <w:ind w:firstLine="422" w:firstLineChars="200"/>
        <w:rPr>
          <w:rFonts w:cs="宋体"/>
          <w:b/>
          <w:bCs/>
          <w:color w:val="auto"/>
          <w:szCs w:val="21"/>
        </w:rPr>
      </w:pPr>
      <w:r>
        <w:rPr>
          <w:rFonts w:hint="eastAsia" w:cs="宋体"/>
          <w:b/>
          <w:bCs/>
          <w:color w:val="auto"/>
          <w:szCs w:val="21"/>
        </w:rPr>
        <w:t>本项目无须缴纳竞标保证金。</w:t>
      </w:r>
    </w:p>
    <w:p>
      <w:pPr>
        <w:pStyle w:val="5"/>
        <w:widowControl w:val="0"/>
        <w:spacing w:before="0" w:after="0" w:line="440" w:lineRule="exact"/>
        <w:ind w:firstLine="422" w:firstLineChars="200"/>
        <w:rPr>
          <w:rFonts w:cs="宋体"/>
          <w:color w:val="auto"/>
          <w:sz w:val="21"/>
          <w:szCs w:val="21"/>
        </w:rPr>
      </w:pPr>
      <w:bookmarkStart w:id="174" w:name="_Toc387"/>
      <w:bookmarkStart w:id="175" w:name="_Toc30118"/>
      <w:bookmarkStart w:id="176" w:name="_Toc16431"/>
      <w:r>
        <w:rPr>
          <w:rFonts w:hint="eastAsia" w:cs="宋体"/>
          <w:color w:val="auto"/>
          <w:sz w:val="21"/>
          <w:szCs w:val="21"/>
        </w:rPr>
        <w:t>16. 竞争性磋商响应文件的</w:t>
      </w:r>
      <w:bookmarkEnd w:id="174"/>
      <w:r>
        <w:rPr>
          <w:rFonts w:hint="eastAsia" w:cs="宋体"/>
          <w:color w:val="auto"/>
          <w:sz w:val="21"/>
          <w:szCs w:val="21"/>
        </w:rPr>
        <w:t>制作</w:t>
      </w:r>
      <w:bookmarkEnd w:id="175"/>
      <w:bookmarkEnd w:id="176"/>
    </w:p>
    <w:p>
      <w:pPr>
        <w:spacing w:line="440" w:lineRule="exact"/>
        <w:ind w:firstLine="420" w:firstLineChars="200"/>
        <w:rPr>
          <w:rFonts w:cs="宋体"/>
          <w:color w:val="auto"/>
          <w:szCs w:val="21"/>
        </w:rPr>
      </w:pPr>
      <w:r>
        <w:rPr>
          <w:rFonts w:hint="eastAsia" w:cs="宋体"/>
          <w:color w:val="auto"/>
          <w:szCs w:val="21"/>
        </w:rPr>
        <w:t>16.1电子磋商响应文件中须加盖供应商公章部分均采用 CA 签章，并根据“广西壮族自治区全流程电子招投标项目管理系统--供应商客户端”及本磋商文件规定的格式和顺序编制电子磋商响应文件并进行关联定位，以便磋商小组在评审时，点击评分项可直接定位到该评分项内容。如对磋商文件的某项要求，供应商的电子磋商响应文件未能关联定位提供相应的内容与其对应，则磋商小组在评审时如做出对供应商不利的评审由供应商自行承担。电子磋商响应文件如内容不完整、编排混乱导致磋商响应文件被误读、漏读，或者在按采购文件规定的部位查找不到相关内容的，由供应商自行承担。</w:t>
      </w:r>
    </w:p>
    <w:p>
      <w:pPr>
        <w:spacing w:line="440" w:lineRule="exact"/>
        <w:ind w:firstLine="420" w:firstLineChars="200"/>
        <w:rPr>
          <w:rFonts w:cs="宋体"/>
          <w:color w:val="auto"/>
          <w:szCs w:val="21"/>
        </w:rPr>
      </w:pPr>
      <w:r>
        <w:rPr>
          <w:rFonts w:hint="eastAsia" w:cs="宋体"/>
          <w:color w:val="auto"/>
          <w:szCs w:val="21"/>
        </w:rPr>
        <w:t>16.2供应商法人（负责人）或授权代表持有广西政府采购云平台个人CA签章的，应在响应文件中涉及到签字的位置使用个人CA签章，没有办理广西政府采购云平台个人CA签章的可在响应文件中涉及到签字的位置手写签字后扫描或者拍照做成 PDF 的格式上传即可。</w:t>
      </w:r>
    </w:p>
    <w:p>
      <w:pPr>
        <w:spacing w:line="440" w:lineRule="exact"/>
        <w:ind w:firstLine="420" w:firstLineChars="200"/>
        <w:rPr>
          <w:rFonts w:cs="宋体"/>
          <w:color w:val="auto"/>
          <w:szCs w:val="21"/>
        </w:rPr>
      </w:pPr>
      <w:r>
        <w:rPr>
          <w:rFonts w:hint="eastAsia" w:cs="宋体"/>
          <w:color w:val="auto"/>
          <w:szCs w:val="21"/>
        </w:rPr>
        <w:t>16.3 磋商响应文件不得涂改，若有修改错漏处，须法定代表人（负责人、自然人）或授权委托人签字（或个人CA签章）。磋商响应文件因字迹潦草或表达不清所引起的后果由供应商负责。</w:t>
      </w:r>
    </w:p>
    <w:p>
      <w:pPr>
        <w:spacing w:line="440" w:lineRule="exact"/>
        <w:ind w:firstLine="420" w:firstLineChars="200"/>
        <w:rPr>
          <w:rFonts w:cs="宋体"/>
          <w:color w:val="auto"/>
          <w:szCs w:val="21"/>
        </w:rPr>
      </w:pPr>
      <w:r>
        <w:rPr>
          <w:rFonts w:hint="eastAsia" w:cs="宋体"/>
          <w:color w:val="auto"/>
          <w:szCs w:val="21"/>
        </w:rPr>
        <w:t xml:space="preserve">16.4磋商前准备 </w:t>
      </w:r>
    </w:p>
    <w:p>
      <w:pPr>
        <w:spacing w:line="440" w:lineRule="exact"/>
        <w:ind w:firstLine="420" w:firstLineChars="200"/>
        <w:rPr>
          <w:rFonts w:cs="宋体"/>
          <w:color w:val="auto"/>
          <w:szCs w:val="21"/>
        </w:rPr>
      </w:pPr>
      <w:r>
        <w:rPr>
          <w:rFonts w:hint="eastAsia" w:cs="宋体"/>
          <w:color w:val="auto"/>
          <w:szCs w:val="21"/>
        </w:rPr>
        <w:t xml:space="preserve">16.4.1本项目实行在线磋商，采用电子磋商响应文件。若供应商参与磋商，自行承担磋商一切费用。 </w:t>
      </w:r>
    </w:p>
    <w:p>
      <w:pPr>
        <w:spacing w:line="440" w:lineRule="exact"/>
        <w:ind w:firstLine="420" w:firstLineChars="200"/>
        <w:rPr>
          <w:rFonts w:cs="宋体"/>
          <w:color w:val="auto"/>
          <w:szCs w:val="21"/>
        </w:rPr>
      </w:pPr>
      <w:r>
        <w:rPr>
          <w:rFonts w:hint="eastAsia" w:cs="宋体"/>
          <w:color w:val="auto"/>
          <w:szCs w:val="21"/>
        </w:rPr>
        <w:t xml:space="preserve">16.4.2各供应商应在截标前应确保成为广西政府采购云平台正式注册入库供应商，并完成 CA 数字证书申领。因未注册入库、未办理 CA 数字证书等原因造成无法磋商或磋商失败等后果由供应商自行承担。 </w:t>
      </w:r>
    </w:p>
    <w:p>
      <w:pPr>
        <w:spacing w:line="440" w:lineRule="exact"/>
        <w:ind w:firstLine="420" w:firstLineChars="200"/>
        <w:rPr>
          <w:rFonts w:cs="宋体"/>
          <w:color w:val="auto"/>
          <w:szCs w:val="21"/>
        </w:rPr>
      </w:pPr>
      <w:r>
        <w:rPr>
          <w:rFonts w:hint="eastAsia" w:cs="宋体"/>
          <w:color w:val="auto"/>
          <w:szCs w:val="21"/>
        </w:rPr>
        <w:t>16.4.3供应商将广西政府采购云平台新版客户端（新版客户端下载路径：广西政府采购网（访问地址http://zfcg.gxzf.gov.cn/）—办事服务—下载专区）下载、安装完成后，可通过账号密码或 CA 登录客户端进行响应文件制作。客户端请至网站下载专区查看，如有问题</w:t>
      </w:r>
      <w:r>
        <w:rPr>
          <w:color w:val="auto"/>
          <w:szCs w:val="21"/>
        </w:rPr>
        <w:t>拨打</w:t>
      </w:r>
      <w:r>
        <w:rPr>
          <w:rFonts w:hint="eastAsia"/>
          <w:color w:val="auto"/>
          <w:szCs w:val="21"/>
        </w:rPr>
        <w:t>广西政府采购云平台</w:t>
      </w:r>
      <w:r>
        <w:rPr>
          <w:color w:val="auto"/>
          <w:szCs w:val="21"/>
        </w:rPr>
        <w:t>服务热线95763获取热线服务帮助</w:t>
      </w:r>
      <w:r>
        <w:rPr>
          <w:rFonts w:hint="eastAsia"/>
          <w:color w:val="auto"/>
          <w:szCs w:val="21"/>
        </w:rPr>
        <w:t>。</w:t>
      </w:r>
    </w:p>
    <w:p>
      <w:pPr>
        <w:pStyle w:val="5"/>
        <w:widowControl w:val="0"/>
        <w:spacing w:before="0" w:after="0" w:line="440" w:lineRule="exact"/>
        <w:ind w:firstLine="422" w:firstLineChars="200"/>
        <w:rPr>
          <w:rFonts w:cs="宋体"/>
          <w:color w:val="auto"/>
          <w:sz w:val="21"/>
          <w:szCs w:val="21"/>
        </w:rPr>
      </w:pPr>
      <w:bookmarkStart w:id="177" w:name="_Toc9738"/>
      <w:bookmarkStart w:id="178" w:name="_Toc3484"/>
      <w:r>
        <w:rPr>
          <w:rFonts w:hint="eastAsia" w:cs="宋体"/>
          <w:color w:val="auto"/>
          <w:sz w:val="21"/>
          <w:szCs w:val="21"/>
        </w:rPr>
        <w:t>17. 响应文件的修改和撤回</w:t>
      </w:r>
      <w:bookmarkEnd w:id="177"/>
      <w:bookmarkEnd w:id="178"/>
    </w:p>
    <w:p>
      <w:pPr>
        <w:spacing w:line="440" w:lineRule="exact"/>
        <w:ind w:firstLine="420" w:firstLineChars="200"/>
        <w:rPr>
          <w:rFonts w:cs="宋体"/>
          <w:color w:val="auto"/>
          <w:szCs w:val="21"/>
        </w:rPr>
      </w:pPr>
      <w:r>
        <w:rPr>
          <w:rFonts w:hint="eastAsia" w:cs="宋体"/>
          <w:color w:val="auto"/>
          <w:szCs w:val="21"/>
        </w:rPr>
        <w:t>17.1 响应文件递交截止时间前可以撤回电子磋商响应文件。补充或者修改电子磋商响应文件的，应当先行撤回原文件，补充、修改后重新传输递交，磋商响应文件递交截止时间前未完成传输的，视为撤回磋商响应文件。</w:t>
      </w:r>
    </w:p>
    <w:p>
      <w:pPr>
        <w:spacing w:line="440" w:lineRule="exact"/>
        <w:ind w:firstLine="420" w:firstLineChars="200"/>
        <w:rPr>
          <w:rFonts w:cs="宋体"/>
          <w:color w:val="auto"/>
          <w:szCs w:val="21"/>
        </w:rPr>
      </w:pPr>
      <w:r>
        <w:rPr>
          <w:rFonts w:hint="eastAsia" w:cs="宋体"/>
          <w:color w:val="auto"/>
          <w:szCs w:val="21"/>
        </w:rPr>
        <w:t>17.2 在响应文件递交截止时间后的响应文件有效期内，供应商不得撤回其响应文件。</w:t>
      </w:r>
    </w:p>
    <w:p>
      <w:pPr>
        <w:pStyle w:val="5"/>
        <w:widowControl w:val="0"/>
        <w:spacing w:before="0" w:after="0" w:line="440" w:lineRule="exact"/>
        <w:ind w:firstLine="422" w:firstLineChars="200"/>
        <w:rPr>
          <w:rFonts w:cs="宋体"/>
          <w:color w:val="auto"/>
          <w:sz w:val="21"/>
          <w:szCs w:val="21"/>
        </w:rPr>
      </w:pPr>
      <w:bookmarkStart w:id="179" w:name="_Toc24690"/>
      <w:bookmarkStart w:id="180" w:name="_Toc30532"/>
      <w:bookmarkStart w:id="181" w:name="_Toc30156"/>
      <w:r>
        <w:rPr>
          <w:rFonts w:hint="eastAsia" w:cs="宋体"/>
          <w:color w:val="auto"/>
          <w:sz w:val="21"/>
          <w:szCs w:val="21"/>
        </w:rPr>
        <w:t>18. 响应文件的递交和解密</w:t>
      </w:r>
      <w:bookmarkEnd w:id="179"/>
      <w:bookmarkEnd w:id="180"/>
      <w:bookmarkEnd w:id="181"/>
    </w:p>
    <w:p>
      <w:pPr>
        <w:spacing w:line="440" w:lineRule="exact"/>
        <w:ind w:firstLine="420" w:firstLineChars="200"/>
        <w:rPr>
          <w:rFonts w:cs="宋体"/>
          <w:color w:val="auto"/>
          <w:szCs w:val="21"/>
        </w:rPr>
      </w:pPr>
      <w:r>
        <w:rPr>
          <w:rFonts w:hint="eastAsia" w:cs="宋体"/>
          <w:color w:val="auto"/>
          <w:szCs w:val="21"/>
        </w:rPr>
        <w:t>18.1响应文件递交截止时间：于</w:t>
      </w:r>
      <w:r>
        <w:rPr>
          <w:rFonts w:hint="eastAsia" w:cs="宋体"/>
          <w:color w:val="auto"/>
          <w:szCs w:val="21"/>
          <w:u w:val="single"/>
        </w:rPr>
        <w:t>2024年</w:t>
      </w:r>
      <w:r>
        <w:rPr>
          <w:rFonts w:hint="default" w:cs="宋体"/>
          <w:color w:val="auto"/>
          <w:szCs w:val="21"/>
          <w:u w:val="single"/>
          <w:lang w:val="en-US"/>
        </w:rPr>
        <w:t>5</w:t>
      </w:r>
      <w:r>
        <w:rPr>
          <w:rFonts w:hint="eastAsia" w:cs="宋体"/>
          <w:color w:val="auto"/>
          <w:szCs w:val="21"/>
          <w:u w:val="single"/>
        </w:rPr>
        <w:t>月</w:t>
      </w:r>
      <w:r>
        <w:rPr>
          <w:rFonts w:hint="default" w:cs="宋体"/>
          <w:color w:val="auto"/>
          <w:szCs w:val="21"/>
          <w:u w:val="single"/>
          <w:lang w:val="en-US"/>
        </w:rPr>
        <w:t>28</w:t>
      </w:r>
      <w:r>
        <w:rPr>
          <w:rFonts w:hint="eastAsia" w:cs="宋体"/>
          <w:color w:val="auto"/>
          <w:szCs w:val="21"/>
          <w:u w:val="single"/>
        </w:rPr>
        <w:t>日10时30分（北京时间）</w:t>
      </w:r>
      <w:r>
        <w:rPr>
          <w:rFonts w:hint="eastAsia" w:cs="宋体"/>
          <w:color w:val="auto"/>
          <w:szCs w:val="21"/>
        </w:rPr>
        <w:t>之前将电子磋商响应文件上传到广西政府采购云平台。应按照本项目磋商文件和广西政府采购云平台的要求编制、加密传输磋商响应文件。供应商在使用系统进行响应的过程中遇到涉及平台使用的任何问题，可致电广西政府采购云平台技术支持热线咨询。</w:t>
      </w:r>
    </w:p>
    <w:p>
      <w:pPr>
        <w:spacing w:line="440" w:lineRule="exact"/>
        <w:ind w:firstLine="420" w:firstLineChars="200"/>
        <w:rPr>
          <w:rFonts w:cs="宋体"/>
          <w:color w:val="auto"/>
          <w:szCs w:val="21"/>
        </w:rPr>
      </w:pPr>
      <w:r>
        <w:rPr>
          <w:rFonts w:hint="eastAsia" w:cs="宋体"/>
          <w:color w:val="auto"/>
          <w:szCs w:val="21"/>
        </w:rPr>
        <w:t>18.2磋商响应文件解密时间（北京时间）：截标时间后</w:t>
      </w:r>
      <w:r>
        <w:rPr>
          <w:rFonts w:hint="eastAsia" w:cs="宋体"/>
          <w:color w:val="auto"/>
          <w:szCs w:val="21"/>
          <w:u w:val="single"/>
        </w:rPr>
        <w:t>30</w:t>
      </w:r>
      <w:r>
        <w:rPr>
          <w:rFonts w:hint="eastAsia" w:cs="宋体"/>
          <w:color w:val="auto"/>
          <w:szCs w:val="21"/>
        </w:rPr>
        <w:t>分钟内（</w:t>
      </w:r>
      <w:r>
        <w:rPr>
          <w:rFonts w:hint="eastAsia" w:cs="宋体"/>
          <w:color w:val="auto"/>
          <w:szCs w:val="21"/>
          <w:u w:val="single"/>
        </w:rPr>
        <w:t>2024年</w:t>
      </w:r>
      <w:r>
        <w:rPr>
          <w:rFonts w:hint="default" w:cs="宋体"/>
          <w:color w:val="auto"/>
          <w:szCs w:val="21"/>
          <w:u w:val="single"/>
          <w:lang w:val="en-US"/>
        </w:rPr>
        <w:t>5</w:t>
      </w:r>
      <w:r>
        <w:rPr>
          <w:rFonts w:hint="eastAsia" w:cs="宋体"/>
          <w:color w:val="auto"/>
          <w:szCs w:val="21"/>
          <w:u w:val="single"/>
        </w:rPr>
        <w:t>月</w:t>
      </w:r>
      <w:r>
        <w:rPr>
          <w:rFonts w:hint="default" w:cs="宋体"/>
          <w:color w:val="auto"/>
          <w:szCs w:val="21"/>
          <w:u w:val="single"/>
          <w:lang w:val="en-US"/>
        </w:rPr>
        <w:t>28</w:t>
      </w:r>
      <w:r>
        <w:rPr>
          <w:rFonts w:hint="eastAsia" w:cs="宋体"/>
          <w:color w:val="auto"/>
          <w:szCs w:val="21"/>
          <w:u w:val="single"/>
        </w:rPr>
        <w:t>日10时30分至11时00分</w:t>
      </w:r>
      <w:r>
        <w:rPr>
          <w:rFonts w:hint="eastAsia" w:cs="宋体"/>
          <w:color w:val="auto"/>
          <w:szCs w:val="21"/>
        </w:rPr>
        <w:t>)磋商供应商可以登录广西政府采购云平台，用“项目采购-开标评标”功能进行解密磋商文件。</w:t>
      </w:r>
      <w:r>
        <w:rPr>
          <w:rFonts w:hint="eastAsia" w:cs="宋体"/>
          <w:color w:val="auto"/>
        </w:rPr>
        <w:t>若磋商供应商在规定时间内无法解密或解密失败，视为无效响应。</w:t>
      </w:r>
    </w:p>
    <w:p>
      <w:pPr>
        <w:spacing w:line="440" w:lineRule="exact"/>
        <w:ind w:firstLine="420" w:firstLineChars="200"/>
        <w:rPr>
          <w:rFonts w:cs="宋体"/>
          <w:color w:val="auto"/>
          <w:szCs w:val="21"/>
        </w:rPr>
      </w:pPr>
      <w:r>
        <w:rPr>
          <w:rFonts w:hint="eastAsia" w:cs="宋体"/>
          <w:color w:val="auto"/>
          <w:szCs w:val="21"/>
        </w:rPr>
        <w:t>18.3 除竞争性磋商文件另有规定外，供应商所递交的响应文件不予退还。</w:t>
      </w:r>
    </w:p>
    <w:p>
      <w:pPr>
        <w:spacing w:line="440" w:lineRule="exact"/>
        <w:ind w:firstLine="420" w:firstLineChars="200"/>
        <w:rPr>
          <w:rFonts w:cs="宋体"/>
          <w:color w:val="auto"/>
          <w:szCs w:val="21"/>
        </w:rPr>
      </w:pPr>
      <w:r>
        <w:rPr>
          <w:rFonts w:hint="eastAsia" w:cs="宋体"/>
          <w:color w:val="auto"/>
          <w:szCs w:val="21"/>
        </w:rPr>
        <w:t>18.4 电子响应文件的相关说明</w:t>
      </w:r>
    </w:p>
    <w:p>
      <w:pPr>
        <w:spacing w:line="440" w:lineRule="exact"/>
        <w:ind w:firstLine="420" w:firstLineChars="200"/>
        <w:rPr>
          <w:rFonts w:cs="宋体"/>
          <w:color w:val="auto"/>
          <w:szCs w:val="21"/>
        </w:rPr>
      </w:pPr>
      <w:r>
        <w:rPr>
          <w:rFonts w:hint="eastAsia" w:cs="宋体"/>
          <w:color w:val="auto"/>
          <w:szCs w:val="21"/>
        </w:rPr>
        <w:t xml:space="preserve">（1）供应商进行电子响应应安装客户端软件，并按照采购文件和电子交易平台的要求编制并加密磋商响应文件。供应商未按规定加密的磋商响应文件，电子交易平台将拒收。供应商应当在磋商截止时间前完成磋商响应文件的传输递交，并可以补充、修改或者撤回磋商响应文件。补充或者修改磋商响应文件的，应当先行撤回原文件，补充、修改后重新传输递交。磋商截止时间前未完成传输的，视为撤回磋商响应文件。磋商截止时间后递交的磋商响应文件，电子交易平台将拒收。 </w:t>
      </w:r>
    </w:p>
    <w:p>
      <w:pPr>
        <w:spacing w:line="440" w:lineRule="exact"/>
        <w:ind w:firstLine="420" w:firstLineChars="200"/>
        <w:rPr>
          <w:rFonts w:cs="宋体"/>
          <w:b/>
          <w:color w:val="auto"/>
          <w:szCs w:val="28"/>
        </w:rPr>
      </w:pPr>
      <w:r>
        <w:rPr>
          <w:rFonts w:hint="eastAsia" w:cs="宋体"/>
          <w:color w:val="auto"/>
          <w:szCs w:val="21"/>
        </w:rPr>
        <w:t>（2）如有特殊情况，采购代理机构延长截止时间和开标时间，采购代理机构和供应商的权利和义务将受到新的截止时间和开标时间的约束。</w:t>
      </w:r>
      <w:bookmarkStart w:id="182" w:name="_Toc2433"/>
    </w:p>
    <w:p>
      <w:pPr>
        <w:pStyle w:val="4"/>
        <w:tabs>
          <w:tab w:val="left" w:pos="567"/>
        </w:tabs>
        <w:spacing w:line="440" w:lineRule="exact"/>
        <w:jc w:val="center"/>
        <w:rPr>
          <w:rFonts w:ascii="Times New Roman" w:hAnsi="Times New Roman" w:cs="宋体"/>
          <w:bCs w:val="0"/>
          <w:color w:val="auto"/>
          <w:szCs w:val="28"/>
        </w:rPr>
      </w:pPr>
      <w:bookmarkStart w:id="183" w:name="_Toc27502"/>
      <w:bookmarkStart w:id="184" w:name="_Toc16498"/>
      <w:bookmarkStart w:id="185" w:name="_Toc5807"/>
      <w:r>
        <w:rPr>
          <w:rFonts w:hint="eastAsia" w:ascii="Times New Roman" w:hAnsi="Times New Roman" w:cs="宋体"/>
          <w:bCs w:val="0"/>
          <w:color w:val="auto"/>
          <w:szCs w:val="28"/>
        </w:rPr>
        <w:t>四、竞争性磋商（简称磋商）与评审</w:t>
      </w:r>
      <w:bookmarkEnd w:id="182"/>
      <w:bookmarkEnd w:id="183"/>
      <w:bookmarkEnd w:id="184"/>
      <w:bookmarkEnd w:id="185"/>
    </w:p>
    <w:p>
      <w:pPr>
        <w:pStyle w:val="5"/>
        <w:widowControl w:val="0"/>
        <w:spacing w:before="0" w:after="0" w:line="440" w:lineRule="exact"/>
        <w:ind w:firstLine="422" w:firstLineChars="200"/>
        <w:rPr>
          <w:rFonts w:cs="宋体"/>
          <w:color w:val="auto"/>
          <w:sz w:val="21"/>
          <w:szCs w:val="21"/>
        </w:rPr>
      </w:pPr>
      <w:bookmarkStart w:id="186" w:name="_Toc7848"/>
      <w:bookmarkStart w:id="187" w:name="_Toc31588"/>
      <w:bookmarkStart w:id="188" w:name="_Toc11021"/>
      <w:r>
        <w:rPr>
          <w:rFonts w:hint="eastAsia" w:cs="宋体"/>
          <w:color w:val="auto"/>
          <w:sz w:val="21"/>
          <w:szCs w:val="21"/>
        </w:rPr>
        <w:t>19. 磋商小组组成及磋商时间、地点、人员</w:t>
      </w:r>
      <w:bookmarkEnd w:id="186"/>
      <w:bookmarkEnd w:id="187"/>
      <w:bookmarkEnd w:id="188"/>
    </w:p>
    <w:p>
      <w:pPr>
        <w:spacing w:line="440" w:lineRule="exact"/>
        <w:ind w:firstLine="420" w:firstLineChars="200"/>
        <w:rPr>
          <w:rFonts w:cs="宋体"/>
          <w:color w:val="auto"/>
          <w:szCs w:val="21"/>
        </w:rPr>
      </w:pPr>
      <w:r>
        <w:rPr>
          <w:rFonts w:hint="eastAsia" w:cs="宋体"/>
          <w:color w:val="auto"/>
          <w:szCs w:val="21"/>
        </w:rPr>
        <w:t>19.1 磋商小组组成：</w:t>
      </w:r>
    </w:p>
    <w:p>
      <w:pPr>
        <w:spacing w:line="440" w:lineRule="exact"/>
        <w:ind w:firstLine="420" w:firstLineChars="200"/>
        <w:rPr>
          <w:rFonts w:cs="宋体"/>
          <w:color w:val="auto"/>
          <w:szCs w:val="21"/>
        </w:rPr>
      </w:pPr>
      <w:r>
        <w:rPr>
          <w:rFonts w:hint="eastAsia" w:cs="宋体"/>
          <w:color w:val="auto"/>
          <w:szCs w:val="21"/>
        </w:rPr>
        <w:t>磋商及评审工作由采购代理机构负责组织，具体磋商、评审工作由依法组建的磋商小组负责，磋商小组由采购人代表和有关方面的专家组成。磋商小组的构成：</w:t>
      </w:r>
      <w:r>
        <w:rPr>
          <w:rFonts w:hint="eastAsia" w:cs="宋体"/>
          <w:color w:val="auto"/>
          <w:szCs w:val="21"/>
          <w:u w:val="single"/>
        </w:rPr>
        <w:t>3</w:t>
      </w:r>
      <w:r>
        <w:rPr>
          <w:rFonts w:hint="eastAsia" w:cs="宋体"/>
          <w:color w:val="auto"/>
          <w:szCs w:val="21"/>
        </w:rPr>
        <w:t>人，其中采购人代表</w:t>
      </w:r>
      <w:r>
        <w:rPr>
          <w:rFonts w:hint="eastAsia" w:cs="宋体"/>
          <w:color w:val="auto"/>
          <w:szCs w:val="21"/>
          <w:u w:val="single"/>
        </w:rPr>
        <w:t>1</w:t>
      </w:r>
      <w:r>
        <w:rPr>
          <w:rFonts w:hint="eastAsia" w:cs="宋体"/>
          <w:color w:val="auto"/>
          <w:szCs w:val="21"/>
        </w:rPr>
        <w:t>人，专家</w:t>
      </w:r>
      <w:r>
        <w:rPr>
          <w:rFonts w:hint="eastAsia" w:cs="宋体"/>
          <w:color w:val="auto"/>
          <w:szCs w:val="21"/>
          <w:u w:val="single"/>
        </w:rPr>
        <w:t>2</w:t>
      </w:r>
      <w:r>
        <w:rPr>
          <w:rFonts w:hint="eastAsia" w:cs="宋体"/>
          <w:color w:val="auto"/>
          <w:szCs w:val="21"/>
        </w:rPr>
        <w:t>人。</w:t>
      </w:r>
    </w:p>
    <w:p>
      <w:pPr>
        <w:spacing w:line="440" w:lineRule="exact"/>
        <w:ind w:firstLine="420" w:firstLineChars="200"/>
        <w:rPr>
          <w:rFonts w:cs="宋体"/>
          <w:color w:val="auto"/>
          <w:szCs w:val="21"/>
        </w:rPr>
      </w:pPr>
      <w:r>
        <w:rPr>
          <w:rFonts w:hint="eastAsia" w:cs="宋体"/>
          <w:color w:val="auto"/>
          <w:szCs w:val="21"/>
        </w:rPr>
        <w:t>19.2 磋商时间、地点、人员：</w:t>
      </w:r>
    </w:p>
    <w:p>
      <w:pPr>
        <w:spacing w:line="440" w:lineRule="exact"/>
        <w:ind w:firstLine="420" w:firstLineChars="200"/>
        <w:rPr>
          <w:rFonts w:cs="宋体"/>
          <w:color w:val="auto"/>
          <w:szCs w:val="21"/>
        </w:rPr>
      </w:pPr>
      <w:bookmarkStart w:id="189" w:name="_Toc9878"/>
      <w:r>
        <w:rPr>
          <w:rFonts w:hint="eastAsia" w:cs="宋体"/>
          <w:color w:val="auto"/>
          <w:szCs w:val="21"/>
        </w:rPr>
        <w:t>19.2.1磋商时间：响应文件递交截止时间后。</w:t>
      </w:r>
      <w:bookmarkEnd w:id="189"/>
    </w:p>
    <w:p>
      <w:pPr>
        <w:spacing w:line="440" w:lineRule="exact"/>
        <w:ind w:firstLine="420" w:firstLineChars="200"/>
        <w:rPr>
          <w:rFonts w:cs="宋体"/>
          <w:color w:val="auto"/>
          <w:szCs w:val="21"/>
        </w:rPr>
      </w:pPr>
      <w:bookmarkStart w:id="190" w:name="_Toc29268"/>
      <w:r>
        <w:rPr>
          <w:rFonts w:hint="eastAsia" w:cs="宋体"/>
          <w:color w:val="auto"/>
          <w:szCs w:val="21"/>
        </w:rPr>
        <w:t>19.2.2磋商地点：</w:t>
      </w:r>
      <w:bookmarkEnd w:id="190"/>
      <w:r>
        <w:rPr>
          <w:rFonts w:hint="eastAsia" w:cs="宋体"/>
          <w:color w:val="auto"/>
          <w:szCs w:val="21"/>
        </w:rPr>
        <w:t>本项目需要磋商供应商代表在截标当天截标后，按磋商小组要求及时登录广西政府采购云平台等候在线磋商。</w:t>
      </w:r>
    </w:p>
    <w:p>
      <w:pPr>
        <w:spacing w:line="440" w:lineRule="exact"/>
        <w:ind w:firstLine="420" w:firstLineChars="200"/>
        <w:rPr>
          <w:rFonts w:cs="宋体"/>
          <w:bCs/>
          <w:color w:val="auto"/>
          <w:szCs w:val="21"/>
        </w:rPr>
      </w:pPr>
      <w:bookmarkStart w:id="191" w:name="_Toc21307"/>
      <w:r>
        <w:rPr>
          <w:rFonts w:hint="eastAsia" w:cs="宋体"/>
          <w:color w:val="auto"/>
          <w:szCs w:val="21"/>
        </w:rPr>
        <w:t>19</w:t>
      </w:r>
      <w:r>
        <w:rPr>
          <w:rFonts w:hint="eastAsia" w:cs="宋体"/>
          <w:bCs/>
          <w:color w:val="auto"/>
          <w:szCs w:val="21"/>
        </w:rPr>
        <w:t>.2.3磋商参加人员：供应商法定代表人、负责人、自然人或相应的委托代理人持</w:t>
      </w:r>
      <w:r>
        <w:rPr>
          <w:rFonts w:hint="eastAsia" w:cs="宋体"/>
          <w:bCs/>
          <w:color w:val="auto"/>
          <w:szCs w:val="21"/>
          <w:u w:val="single"/>
        </w:rPr>
        <w:t>有效身份证原件</w:t>
      </w:r>
      <w:r>
        <w:rPr>
          <w:rFonts w:hint="eastAsia" w:cs="宋体"/>
          <w:bCs/>
          <w:color w:val="auto"/>
          <w:szCs w:val="21"/>
        </w:rPr>
        <w:t>和供应商</w:t>
      </w:r>
      <w:r>
        <w:rPr>
          <w:rFonts w:hint="eastAsia" w:cs="宋体"/>
          <w:bCs/>
          <w:color w:val="auto"/>
          <w:szCs w:val="21"/>
          <w:u w:val="single"/>
        </w:rPr>
        <w:t>广西政府采购云平台CA数字证书</w:t>
      </w:r>
      <w:r>
        <w:rPr>
          <w:rFonts w:hint="eastAsia" w:cs="宋体"/>
          <w:bCs/>
          <w:color w:val="auto"/>
          <w:szCs w:val="21"/>
        </w:rPr>
        <w:t>参加磋商。请供应商按时等候磋商。</w:t>
      </w:r>
      <w:bookmarkEnd w:id="191"/>
    </w:p>
    <w:p>
      <w:pPr>
        <w:spacing w:line="440" w:lineRule="exact"/>
        <w:ind w:firstLine="420" w:firstLineChars="200"/>
        <w:rPr>
          <w:rFonts w:cs="宋体"/>
          <w:bCs/>
          <w:color w:val="auto"/>
          <w:szCs w:val="21"/>
        </w:rPr>
      </w:pPr>
      <w:bookmarkStart w:id="192" w:name="_Toc6288"/>
      <w:r>
        <w:rPr>
          <w:rFonts w:hint="eastAsia" w:cs="宋体"/>
          <w:bCs/>
          <w:color w:val="auto"/>
          <w:szCs w:val="21"/>
        </w:rPr>
        <w:t>19.2.4响应文件递交截止时间后，由磋商小组在评标室内线上开启响应文件。</w:t>
      </w:r>
      <w:bookmarkEnd w:id="192"/>
    </w:p>
    <w:p>
      <w:pPr>
        <w:pStyle w:val="5"/>
        <w:widowControl w:val="0"/>
        <w:spacing w:before="0" w:after="0" w:line="440" w:lineRule="exact"/>
        <w:ind w:firstLine="422" w:firstLineChars="200"/>
        <w:rPr>
          <w:rFonts w:cs="宋体"/>
          <w:color w:val="auto"/>
          <w:sz w:val="21"/>
          <w:szCs w:val="21"/>
        </w:rPr>
      </w:pPr>
      <w:bookmarkStart w:id="193" w:name="_Toc12852"/>
      <w:bookmarkStart w:id="194" w:name="_Toc25258"/>
      <w:bookmarkStart w:id="195" w:name="_Toc21088"/>
      <w:r>
        <w:rPr>
          <w:rFonts w:hint="eastAsia" w:cs="宋体"/>
          <w:color w:val="auto"/>
          <w:sz w:val="21"/>
          <w:szCs w:val="21"/>
        </w:rPr>
        <w:t>20. 评审原则</w:t>
      </w:r>
      <w:bookmarkEnd w:id="193"/>
      <w:bookmarkEnd w:id="194"/>
      <w:bookmarkEnd w:id="195"/>
    </w:p>
    <w:p>
      <w:pPr>
        <w:spacing w:line="440" w:lineRule="exact"/>
        <w:ind w:firstLine="420" w:firstLineChars="200"/>
        <w:rPr>
          <w:rFonts w:cs="宋体"/>
          <w:color w:val="auto"/>
          <w:szCs w:val="21"/>
        </w:rPr>
      </w:pPr>
      <w:r>
        <w:rPr>
          <w:rFonts w:hint="eastAsia" w:cs="宋体"/>
          <w:color w:val="auto"/>
          <w:szCs w:val="21"/>
        </w:rPr>
        <w:t>20.1 磋商小组必须坚持公平、公正、科学和择优的原则。</w:t>
      </w:r>
    </w:p>
    <w:p>
      <w:pPr>
        <w:spacing w:line="440" w:lineRule="exact"/>
        <w:ind w:firstLine="420" w:firstLineChars="200"/>
        <w:rPr>
          <w:rFonts w:cs="宋体"/>
          <w:color w:val="auto"/>
          <w:szCs w:val="21"/>
        </w:rPr>
      </w:pPr>
      <w:r>
        <w:rPr>
          <w:rFonts w:hint="eastAsia" w:cs="宋体"/>
          <w:color w:val="auto"/>
          <w:szCs w:val="21"/>
        </w:rPr>
        <w:t>20.2 评审办法：综合评分法，具体详见第四章评审办法。</w:t>
      </w:r>
    </w:p>
    <w:p>
      <w:pPr>
        <w:spacing w:line="440" w:lineRule="exact"/>
        <w:ind w:firstLine="420" w:firstLineChars="200"/>
        <w:rPr>
          <w:rFonts w:cs="宋体"/>
          <w:color w:val="auto"/>
          <w:szCs w:val="21"/>
        </w:rPr>
      </w:pPr>
      <w:r>
        <w:rPr>
          <w:rFonts w:hint="eastAsia" w:cs="宋体"/>
          <w:color w:val="auto"/>
          <w:szCs w:val="21"/>
        </w:rPr>
        <w:t>20.3 磋商小组应按磋商文件进行评审，不得擅自更改评审办法。</w:t>
      </w:r>
    </w:p>
    <w:p>
      <w:pPr>
        <w:spacing w:line="440" w:lineRule="exact"/>
        <w:ind w:firstLine="420" w:firstLineChars="200"/>
        <w:rPr>
          <w:rFonts w:cs="宋体"/>
          <w:color w:val="auto"/>
          <w:szCs w:val="21"/>
        </w:rPr>
      </w:pPr>
      <w:r>
        <w:rPr>
          <w:rFonts w:hint="eastAsia" w:cs="宋体"/>
          <w:color w:val="auto"/>
          <w:szCs w:val="21"/>
        </w:rPr>
        <w:t>20.4 在评审过程中，磋商小组任何人不得对某个供应商发表任何倾向性意见，不得向其他磋商小组成员明示或者暗示自己的评审意见。</w:t>
      </w:r>
    </w:p>
    <w:p>
      <w:pPr>
        <w:spacing w:line="440" w:lineRule="exact"/>
        <w:ind w:firstLine="420" w:firstLineChars="200"/>
        <w:rPr>
          <w:rFonts w:cs="宋体"/>
          <w:color w:val="auto"/>
          <w:szCs w:val="21"/>
        </w:rPr>
      </w:pPr>
      <w:r>
        <w:rPr>
          <w:rFonts w:hint="eastAsia" w:cs="宋体"/>
          <w:color w:val="auto"/>
          <w:szCs w:val="21"/>
        </w:rPr>
        <w:t>20.5 磋商小组成员对需要共同认定的事项存在争议的，按照少数服从多数的原则作出结论。持不同意见的磋商小组成员应当在评审报告上签署不同意见并说明理由，否则视为同意。</w:t>
      </w:r>
    </w:p>
    <w:p>
      <w:pPr>
        <w:spacing w:line="440" w:lineRule="exact"/>
        <w:ind w:firstLine="420" w:firstLineChars="200"/>
        <w:rPr>
          <w:rFonts w:cs="宋体"/>
          <w:color w:val="auto"/>
          <w:szCs w:val="21"/>
        </w:rPr>
      </w:pPr>
      <w:r>
        <w:rPr>
          <w:rFonts w:hint="eastAsia" w:cs="宋体"/>
          <w:color w:val="auto"/>
          <w:szCs w:val="21"/>
        </w:rPr>
        <w:t>20.6 响应文件最后报价出现前后不一致的，除竞争性磋商文件另有规定外，按照下列规定修正：</w:t>
      </w:r>
    </w:p>
    <w:p>
      <w:pPr>
        <w:spacing w:line="440" w:lineRule="exact"/>
        <w:ind w:firstLine="420" w:firstLineChars="200"/>
        <w:rPr>
          <w:rFonts w:cs="宋体"/>
          <w:color w:val="auto"/>
          <w:szCs w:val="21"/>
        </w:rPr>
      </w:pPr>
      <w:r>
        <w:rPr>
          <w:rFonts w:hint="eastAsia" w:cs="宋体"/>
          <w:color w:val="auto"/>
          <w:szCs w:val="21"/>
        </w:rPr>
        <w:t>(1) 响应文件中磋商报价表内容与响应文件中相应内容不一致的，以最后磋商报价表为准；</w:t>
      </w:r>
    </w:p>
    <w:p>
      <w:pPr>
        <w:spacing w:line="440" w:lineRule="exact"/>
        <w:ind w:firstLine="420" w:firstLineChars="200"/>
        <w:rPr>
          <w:rFonts w:cs="宋体"/>
          <w:color w:val="auto"/>
          <w:szCs w:val="21"/>
        </w:rPr>
      </w:pPr>
      <w:r>
        <w:rPr>
          <w:rFonts w:hint="eastAsia" w:cs="宋体"/>
          <w:color w:val="auto"/>
          <w:szCs w:val="21"/>
        </w:rPr>
        <w:t>(2) 大写金额和小写金额不一致的，以大写金额为准；</w:t>
      </w:r>
    </w:p>
    <w:p>
      <w:pPr>
        <w:spacing w:line="440" w:lineRule="exact"/>
        <w:ind w:firstLine="420" w:firstLineChars="200"/>
        <w:rPr>
          <w:rFonts w:cs="宋体"/>
          <w:color w:val="auto"/>
          <w:szCs w:val="21"/>
        </w:rPr>
      </w:pPr>
      <w:r>
        <w:rPr>
          <w:rFonts w:hint="eastAsia" w:cs="宋体"/>
          <w:color w:val="auto"/>
          <w:szCs w:val="21"/>
        </w:rPr>
        <w:t>(3) 单价金额小数点或者百分比有明显错位的，以报价表的总价为准，并修改单价；</w:t>
      </w:r>
    </w:p>
    <w:p>
      <w:pPr>
        <w:spacing w:line="440" w:lineRule="exact"/>
        <w:ind w:firstLine="420" w:firstLineChars="200"/>
        <w:rPr>
          <w:rFonts w:cs="宋体"/>
          <w:color w:val="auto"/>
          <w:szCs w:val="21"/>
        </w:rPr>
      </w:pPr>
      <w:r>
        <w:rPr>
          <w:rFonts w:hint="eastAsia" w:cs="宋体"/>
          <w:color w:val="auto"/>
          <w:szCs w:val="21"/>
        </w:rPr>
        <w:t>(4) 总价金额与按单价汇总金额不一致的，以单价金额计算结果为准。</w:t>
      </w:r>
    </w:p>
    <w:p>
      <w:pPr>
        <w:spacing w:line="440" w:lineRule="exact"/>
        <w:ind w:firstLine="422" w:firstLineChars="200"/>
        <w:rPr>
          <w:rFonts w:cs="宋体"/>
          <w:b/>
          <w:bCs/>
          <w:color w:val="auto"/>
          <w:szCs w:val="21"/>
        </w:rPr>
      </w:pPr>
      <w:r>
        <w:rPr>
          <w:rFonts w:hint="eastAsia" w:cs="宋体"/>
          <w:b/>
          <w:bCs/>
          <w:color w:val="auto"/>
          <w:szCs w:val="21"/>
        </w:rPr>
        <w:t>同时出现两种以上不一致的，按照前款规定的顺序修正。修正后的报价（不得超出响应文件的范围或者改变响应文件的实质性内容）经磋商供应商确认后产生约束力，磋商供应商不确认的，作无效响应处理。</w:t>
      </w:r>
    </w:p>
    <w:p>
      <w:pPr>
        <w:pStyle w:val="5"/>
        <w:widowControl w:val="0"/>
        <w:spacing w:before="0" w:after="0" w:line="440" w:lineRule="exact"/>
        <w:ind w:firstLine="422" w:firstLineChars="200"/>
        <w:rPr>
          <w:rFonts w:cs="宋体"/>
          <w:color w:val="auto"/>
          <w:sz w:val="21"/>
          <w:szCs w:val="21"/>
        </w:rPr>
      </w:pPr>
      <w:bookmarkStart w:id="196" w:name="_Toc27193"/>
      <w:bookmarkStart w:id="197" w:name="_Toc21012"/>
      <w:bookmarkStart w:id="198" w:name="_Toc6833"/>
      <w:r>
        <w:rPr>
          <w:rFonts w:hint="eastAsia" w:cs="宋体"/>
          <w:color w:val="auto"/>
          <w:sz w:val="21"/>
          <w:szCs w:val="21"/>
        </w:rPr>
        <w:t>21. 评审程序及磋商要求</w:t>
      </w:r>
      <w:bookmarkEnd w:id="196"/>
      <w:bookmarkEnd w:id="197"/>
      <w:bookmarkEnd w:id="198"/>
    </w:p>
    <w:p>
      <w:pPr>
        <w:spacing w:line="440" w:lineRule="exact"/>
        <w:ind w:firstLine="420" w:firstLineChars="200"/>
        <w:rPr>
          <w:rFonts w:cs="宋体"/>
          <w:color w:val="auto"/>
          <w:szCs w:val="21"/>
        </w:rPr>
      </w:pPr>
      <w:r>
        <w:rPr>
          <w:rFonts w:hint="eastAsia" w:cs="宋体"/>
          <w:color w:val="auto"/>
          <w:szCs w:val="21"/>
        </w:rPr>
        <w:t>21.1磋商小组成员的通讯工具或相关电子设备交由桂林市公共资源交易中心统一保管后到达评标室，采购代理机构核实磋商小组成员身份，告知回避要求，宣布评审工作纪律和程序，推选磋商小组组长。</w:t>
      </w:r>
    </w:p>
    <w:p>
      <w:pPr>
        <w:spacing w:line="440" w:lineRule="exact"/>
        <w:ind w:firstLine="420" w:firstLineChars="200"/>
        <w:rPr>
          <w:rFonts w:cs="宋体"/>
          <w:color w:val="auto"/>
          <w:szCs w:val="21"/>
        </w:rPr>
      </w:pPr>
      <w:r>
        <w:rPr>
          <w:rFonts w:hint="eastAsia" w:cs="宋体"/>
          <w:color w:val="auto"/>
          <w:szCs w:val="21"/>
        </w:rPr>
        <w:t>21.2磋商小组应当对发布公告的竞争性磋商文件（简称磋商文件）进行确认，审查供应商的响应文件并作出评价；要求供应商解释或者澄清其响应文件；编写评审报告；告知采购人、采购代理机构在评审过程中发现的供应商的违法违规行为。</w:t>
      </w:r>
    </w:p>
    <w:p>
      <w:pPr>
        <w:spacing w:line="440" w:lineRule="exact"/>
        <w:ind w:firstLine="420" w:firstLineChars="200"/>
        <w:rPr>
          <w:rFonts w:cs="宋体"/>
          <w:color w:val="auto"/>
          <w:szCs w:val="21"/>
        </w:rPr>
      </w:pPr>
      <w:r>
        <w:rPr>
          <w:rFonts w:hint="eastAsia" w:cs="宋体"/>
          <w:color w:val="auto"/>
          <w:szCs w:val="21"/>
        </w:rPr>
        <w:t xml:space="preserve">21.3 磋商小组依据竞争性磋商文件的规定，首先对响应文件进行资格性审查，以确定供应商是否具备本项 目供应商资格；再对通过资格性审查的供应商响应文件的有效性、完整性和对磋商文件的响应程度进行符合性 审查，以确定是否对磋商文件的实质性要求做出响应。 </w:t>
      </w:r>
    </w:p>
    <w:p>
      <w:pPr>
        <w:spacing w:line="440" w:lineRule="exact"/>
        <w:ind w:firstLine="422" w:firstLineChars="200"/>
        <w:rPr>
          <w:rFonts w:cs="宋体"/>
          <w:b/>
          <w:bCs/>
          <w:color w:val="auto"/>
          <w:szCs w:val="21"/>
        </w:rPr>
      </w:pPr>
      <w:r>
        <w:rPr>
          <w:rFonts w:hint="eastAsia" w:cs="宋体"/>
          <w:b/>
          <w:bCs/>
          <w:color w:val="auto"/>
          <w:szCs w:val="21"/>
        </w:rPr>
        <w:t>21.4 磋商小组在对供应商进行资格性审查时，将对供应商企业股东及出资等信息进行查询。根据 《中华人民共和国政府采购法实施条例》第十八条第一款规定，审查中如发现供应商存在单位负责人为同一人或者存在直接控股、管理关系的不同供应商参加同一合同项下的政府采购活动的，按响应文件无效处理 。</w:t>
      </w:r>
    </w:p>
    <w:p>
      <w:pPr>
        <w:spacing w:line="440" w:lineRule="exact"/>
        <w:ind w:firstLine="420" w:firstLineChars="200"/>
        <w:rPr>
          <w:color w:val="auto"/>
          <w:szCs w:val="21"/>
        </w:rPr>
      </w:pPr>
      <w:r>
        <w:rPr>
          <w:color w:val="auto"/>
          <w:szCs w:val="21"/>
        </w:rPr>
        <w:t>21.4.1 查询渠道：《国家企业信用信息公示系统》（网址：https://www.gsxt.gov.cn/index.html）</w:t>
      </w:r>
    </w:p>
    <w:p>
      <w:pPr>
        <w:spacing w:line="440" w:lineRule="exact"/>
        <w:ind w:firstLine="420" w:firstLineChars="200"/>
        <w:rPr>
          <w:color w:val="auto"/>
          <w:szCs w:val="21"/>
        </w:rPr>
      </w:pPr>
      <w:r>
        <w:rPr>
          <w:color w:val="auto"/>
          <w:szCs w:val="21"/>
        </w:rPr>
        <w:t>21.4.2 审查流程：</w:t>
      </w:r>
    </w:p>
    <w:p>
      <w:pPr>
        <w:spacing w:line="440" w:lineRule="exact"/>
        <w:ind w:firstLine="420" w:firstLineChars="200"/>
        <w:rPr>
          <w:color w:val="auto"/>
          <w:szCs w:val="21"/>
        </w:rPr>
      </w:pPr>
      <w:r>
        <w:rPr>
          <w:color w:val="auto"/>
          <w:szCs w:val="21"/>
        </w:rPr>
        <w:t>（1）进入《国家企业信用信息公示系统》（网址：https://www.gsxt.gov.cn/index.html），输入企业名称，进入企业信息主页面；</w:t>
      </w:r>
    </w:p>
    <w:p>
      <w:pPr>
        <w:spacing w:line="440" w:lineRule="exact"/>
        <w:ind w:firstLine="420" w:firstLineChars="200"/>
        <w:rPr>
          <w:rFonts w:cs="宋体"/>
          <w:color w:val="auto"/>
          <w:szCs w:val="21"/>
        </w:rPr>
      </w:pPr>
      <w:r>
        <w:rPr>
          <w:rFonts w:hint="eastAsia" w:cs="宋体"/>
          <w:color w:val="auto"/>
          <w:szCs w:val="21"/>
        </w:rPr>
        <w:t>（2）查看主页“股东及出资信息”栏，或年报中的“股东及出资信息”栏信息；</w:t>
      </w:r>
    </w:p>
    <w:p>
      <w:pPr>
        <w:spacing w:line="440" w:lineRule="exact"/>
        <w:ind w:firstLine="420" w:firstLineChars="200"/>
        <w:rPr>
          <w:rFonts w:cs="宋体"/>
          <w:color w:val="auto"/>
          <w:szCs w:val="21"/>
        </w:rPr>
      </w:pPr>
      <w:r>
        <w:rPr>
          <w:rFonts w:hint="eastAsia" w:cs="宋体"/>
          <w:color w:val="auto"/>
          <w:szCs w:val="21"/>
        </w:rPr>
        <w:t>（3）将各供应商的股东及出资信息进行比对，得出审查结论；</w:t>
      </w:r>
    </w:p>
    <w:p>
      <w:pPr>
        <w:spacing w:line="440" w:lineRule="exact"/>
        <w:ind w:firstLine="420" w:firstLineChars="200"/>
        <w:rPr>
          <w:rFonts w:cs="宋体"/>
          <w:color w:val="auto"/>
          <w:szCs w:val="21"/>
        </w:rPr>
      </w:pPr>
      <w:r>
        <w:rPr>
          <w:rFonts w:hint="eastAsia" w:cs="宋体"/>
          <w:color w:val="auto"/>
          <w:szCs w:val="21"/>
        </w:rPr>
        <w:t>（4）将相关资料作为评审资料打印存档。</w:t>
      </w:r>
    </w:p>
    <w:p>
      <w:pPr>
        <w:spacing w:line="440" w:lineRule="exact"/>
        <w:ind w:firstLine="422" w:firstLineChars="200"/>
        <w:rPr>
          <w:rFonts w:cs="宋体"/>
          <w:b/>
          <w:bCs/>
          <w:color w:val="auto"/>
          <w:szCs w:val="21"/>
        </w:rPr>
      </w:pPr>
      <w:r>
        <w:rPr>
          <w:rFonts w:hint="eastAsia" w:cs="宋体"/>
          <w:b/>
          <w:bCs/>
          <w:color w:val="auto"/>
          <w:szCs w:val="21"/>
        </w:rPr>
        <w:t>21.5 磋商小组如发现供应商提供的证明文件不齐全或不符合规定格式的，应一次性告知供应商，供应商应在规定的时间内线上补正或更正。</w:t>
      </w:r>
    </w:p>
    <w:p>
      <w:pPr>
        <w:spacing w:line="440" w:lineRule="exact"/>
        <w:ind w:firstLine="420" w:firstLineChars="200"/>
        <w:rPr>
          <w:rFonts w:cs="宋体"/>
          <w:color w:val="auto"/>
          <w:szCs w:val="21"/>
        </w:rPr>
      </w:pPr>
      <w:r>
        <w:rPr>
          <w:rFonts w:hint="eastAsia" w:cs="宋体"/>
          <w:color w:val="auto"/>
          <w:szCs w:val="21"/>
        </w:rPr>
        <w:t>21.6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由其法定代表人（负责人、自然人）或相应的授权委托代表签字（</w:t>
      </w:r>
      <w:r>
        <w:rPr>
          <w:rFonts w:hint="eastAsia" w:cs="宋体"/>
          <w:color w:val="auto"/>
        </w:rPr>
        <w:t>个人CA签章)</w:t>
      </w:r>
      <w:r>
        <w:rPr>
          <w:rFonts w:hint="eastAsia" w:cs="宋体"/>
          <w:color w:val="auto"/>
          <w:szCs w:val="21"/>
        </w:rPr>
        <w:t>或者加盖供应商公章(CA签章)。</w:t>
      </w:r>
    </w:p>
    <w:p>
      <w:pPr>
        <w:spacing w:line="440" w:lineRule="exact"/>
        <w:ind w:firstLine="420" w:firstLineChars="200"/>
        <w:rPr>
          <w:rFonts w:cs="宋体"/>
          <w:color w:val="auto"/>
          <w:szCs w:val="21"/>
        </w:rPr>
      </w:pPr>
      <w:r>
        <w:rPr>
          <w:rFonts w:hint="eastAsia" w:cs="宋体"/>
          <w:color w:val="auto"/>
          <w:szCs w:val="21"/>
        </w:rPr>
        <w:t>根据磋商文件规定的程序、评定成交的标准等事项与实质性响应竞争性磋商文件要求的供应商进行磋商。</w:t>
      </w:r>
    </w:p>
    <w:p>
      <w:pPr>
        <w:spacing w:line="440" w:lineRule="exact"/>
        <w:ind w:firstLine="420" w:firstLineChars="200"/>
        <w:rPr>
          <w:rFonts w:cs="宋体"/>
          <w:color w:val="auto"/>
          <w:szCs w:val="21"/>
        </w:rPr>
      </w:pPr>
      <w:r>
        <w:rPr>
          <w:rFonts w:hint="eastAsia" w:cs="宋体"/>
          <w:color w:val="auto"/>
          <w:szCs w:val="21"/>
        </w:rPr>
        <w:t xml:space="preserve">未实质性响应磋商文件的响应文件按无效处理，磋商小组应当告知有关供应商。 </w:t>
      </w:r>
    </w:p>
    <w:p>
      <w:pPr>
        <w:spacing w:line="440" w:lineRule="exact"/>
        <w:ind w:firstLine="420" w:firstLineChars="200"/>
        <w:rPr>
          <w:rFonts w:cs="宋体"/>
          <w:color w:val="auto"/>
          <w:szCs w:val="21"/>
        </w:rPr>
      </w:pPr>
      <w:r>
        <w:rPr>
          <w:rFonts w:hint="eastAsia" w:cs="宋体"/>
          <w:color w:val="auto"/>
          <w:szCs w:val="21"/>
        </w:rPr>
        <w:t xml:space="preserve">磋商小组所有成员应当按已确定的磋商顺序集中与单一供应商分别进行磋商，并给予所有实质性响应竞争性磋商文件要求的供应商平等的磋商机会。 </w:t>
      </w:r>
    </w:p>
    <w:p>
      <w:pPr>
        <w:spacing w:line="440" w:lineRule="exact"/>
        <w:ind w:firstLine="420" w:firstLineChars="200"/>
        <w:rPr>
          <w:rFonts w:cs="宋体"/>
          <w:color w:val="auto"/>
          <w:szCs w:val="21"/>
        </w:rPr>
      </w:pPr>
      <w:r>
        <w:rPr>
          <w:rFonts w:hint="eastAsia" w:cs="宋体"/>
          <w:color w:val="auto"/>
          <w:szCs w:val="21"/>
        </w:rPr>
        <w:t xml:space="preserve">磋商中，磋商小组不得透露与磋商有关的其他供应商的技术资料、价格和其他信息。 </w:t>
      </w:r>
    </w:p>
    <w:p>
      <w:pPr>
        <w:spacing w:line="440" w:lineRule="exact"/>
        <w:ind w:firstLine="420" w:firstLineChars="200"/>
        <w:rPr>
          <w:rFonts w:cs="宋体"/>
          <w:color w:val="auto"/>
          <w:szCs w:val="21"/>
        </w:rPr>
      </w:pPr>
      <w:r>
        <w:rPr>
          <w:rFonts w:hint="eastAsia" w:cs="宋体"/>
          <w:color w:val="auto"/>
          <w:szCs w:val="21"/>
        </w:rPr>
        <w:t xml:space="preserve">磋商小组对磋商过程和重要磋商内容进行记录，磋商双方在记录上签字确认。 </w:t>
      </w:r>
    </w:p>
    <w:p>
      <w:pPr>
        <w:spacing w:line="440" w:lineRule="exact"/>
        <w:ind w:firstLine="420" w:firstLineChars="200"/>
        <w:rPr>
          <w:rFonts w:cs="宋体"/>
          <w:color w:val="auto"/>
        </w:rPr>
      </w:pPr>
      <w:r>
        <w:rPr>
          <w:rFonts w:hint="eastAsia" w:cs="宋体"/>
          <w:color w:val="auto"/>
          <w:szCs w:val="21"/>
        </w:rPr>
        <w:t>21.7当磋商小组一致确定磋商供应商的竞争性磋商响应文件能够详细列明采购标的的技术、服务要求且符合竞争性磋商文件要求，无需再磋商的，磋商小组按竞争性磋商文件设定的21.11、21.16程序和综合评分法确定成交候选人。第一轮磋商后竞争性磋商文件有实质性变动或仍需磋商的，磋商小组对竞争性磋商文件变动或提出磋商意见后进行第二轮磋商。</w:t>
      </w:r>
    </w:p>
    <w:p>
      <w:pPr>
        <w:spacing w:line="440" w:lineRule="exact"/>
        <w:ind w:firstLine="420" w:firstLineChars="200"/>
        <w:rPr>
          <w:rFonts w:cs="宋体"/>
          <w:color w:val="auto"/>
          <w:szCs w:val="21"/>
        </w:rPr>
      </w:pPr>
      <w:r>
        <w:rPr>
          <w:rFonts w:hint="eastAsia" w:cs="宋体"/>
          <w:color w:val="auto"/>
          <w:szCs w:val="21"/>
        </w:rPr>
        <w:t xml:space="preserve">21.8 在磋商过程中，磋商小组可以根据磋商文件和磋商情况实质性变动项目需求中的技术、服务要求以及合同草案条款，但不得变动磋商文件中的其他内容。实质性变动的内容，须经采购人代表确认。 </w:t>
      </w:r>
    </w:p>
    <w:p>
      <w:pPr>
        <w:spacing w:line="440" w:lineRule="exact"/>
        <w:ind w:firstLine="420" w:firstLineChars="200"/>
        <w:rPr>
          <w:rFonts w:cs="宋体"/>
          <w:color w:val="auto"/>
          <w:szCs w:val="21"/>
        </w:rPr>
      </w:pPr>
      <w:r>
        <w:rPr>
          <w:rFonts w:hint="eastAsia" w:cs="宋体"/>
          <w:color w:val="auto"/>
          <w:szCs w:val="21"/>
        </w:rPr>
        <w:t xml:space="preserve">对磋商文件作出的实质性变动是磋商文件的有效组成部分，磋商小组应当及时通过广西政府采购云平台同时通知所有参加磋商的供应商。 </w:t>
      </w:r>
    </w:p>
    <w:p>
      <w:pPr>
        <w:spacing w:line="440" w:lineRule="exact"/>
        <w:ind w:firstLine="420" w:firstLineChars="200"/>
        <w:rPr>
          <w:rFonts w:cs="宋体"/>
          <w:color w:val="auto"/>
          <w:szCs w:val="21"/>
        </w:rPr>
      </w:pPr>
      <w:r>
        <w:rPr>
          <w:rFonts w:hint="eastAsia" w:cs="宋体"/>
          <w:color w:val="auto"/>
          <w:szCs w:val="21"/>
        </w:rPr>
        <w:t xml:space="preserve">供应商应当按照磋商文件的变动情况和磋商小组的要求重新提交响应文件，并由其法定代表人、负责人、自然人或相应的授权委托代表签字（个人CA签章）或者加盖供应商公章(CA签章)。逾时不交的，视同放弃磋商。 </w:t>
      </w:r>
    </w:p>
    <w:p>
      <w:pPr>
        <w:spacing w:line="440" w:lineRule="exact"/>
        <w:ind w:firstLine="420" w:firstLineChars="200"/>
        <w:rPr>
          <w:rFonts w:cs="宋体"/>
          <w:color w:val="auto"/>
          <w:szCs w:val="21"/>
        </w:rPr>
      </w:pPr>
      <w:r>
        <w:rPr>
          <w:rFonts w:hint="eastAsia" w:cs="宋体"/>
          <w:color w:val="auto"/>
          <w:szCs w:val="21"/>
        </w:rPr>
        <w:t>21.9 第二轮磋商</w:t>
      </w:r>
    </w:p>
    <w:p>
      <w:pPr>
        <w:spacing w:line="440" w:lineRule="exact"/>
        <w:ind w:firstLine="420" w:firstLineChars="200"/>
        <w:rPr>
          <w:rFonts w:cs="宋体"/>
          <w:color w:val="auto"/>
          <w:szCs w:val="21"/>
        </w:rPr>
      </w:pPr>
      <w:r>
        <w:rPr>
          <w:rFonts w:hint="eastAsia" w:cs="宋体"/>
          <w:color w:val="auto"/>
          <w:szCs w:val="21"/>
        </w:rPr>
        <w:t>磋商小组集中就重新提交的响应文件或磋商小组提出的磋商意见与单一响应供应商分别进行磋商。磋商小组对磋商过程和重要磋商内容进行记录，磋商双方在记录上签字确认（CA签章确认）。</w:t>
      </w:r>
    </w:p>
    <w:p>
      <w:pPr>
        <w:spacing w:line="440" w:lineRule="exact"/>
        <w:ind w:firstLine="420" w:firstLineChars="200"/>
        <w:rPr>
          <w:rFonts w:cs="宋体"/>
          <w:color w:val="auto"/>
          <w:szCs w:val="21"/>
        </w:rPr>
      </w:pPr>
      <w:r>
        <w:rPr>
          <w:rFonts w:hint="eastAsia" w:cs="宋体"/>
          <w:color w:val="auto"/>
          <w:szCs w:val="21"/>
        </w:rPr>
        <w:t>磋商后，供应商根据磋商小组统一整理的书面磋商记录要求做出书面承诺，并由其法定代表人或授权代表签字或者加盖公章（CA签章）后按时线上提交。</w:t>
      </w:r>
    </w:p>
    <w:p>
      <w:pPr>
        <w:spacing w:line="440" w:lineRule="exact"/>
        <w:ind w:firstLine="420" w:firstLineChars="200"/>
        <w:rPr>
          <w:rFonts w:cs="宋体"/>
          <w:color w:val="auto"/>
        </w:rPr>
      </w:pPr>
      <w:r>
        <w:rPr>
          <w:rFonts w:hint="eastAsia" w:cs="宋体"/>
          <w:color w:val="auto"/>
          <w:szCs w:val="21"/>
        </w:rPr>
        <w:t>当磋商小组一致确定供应商的竞争性磋商响应文件符合竞争性磋商文件要求，无需再磋商的，磋商小组按竞争性磋商文件设定的21.11、21.16程序和评审方法确定成交候选人。第二轮磋商后竞争性磋商文件仍有实质性变动的或仍需磋商的，磋商小组对竞争性磋商文件变动或提出磋商意见后进行第三轮磋商。以此类推。</w:t>
      </w:r>
    </w:p>
    <w:p>
      <w:pPr>
        <w:spacing w:line="440" w:lineRule="exact"/>
        <w:ind w:firstLine="420" w:firstLineChars="200"/>
        <w:rPr>
          <w:rFonts w:cs="宋体"/>
          <w:color w:val="auto"/>
          <w:szCs w:val="21"/>
        </w:rPr>
      </w:pPr>
      <w:r>
        <w:rPr>
          <w:rFonts w:hint="eastAsia" w:cs="宋体"/>
          <w:color w:val="auto"/>
          <w:szCs w:val="21"/>
        </w:rPr>
        <w:t>21.10 在采购过程中符合竞争要求的供应商或者报价未超过采购预算的供应商不足 3 家的，采购人或者采购代理机构应当终止竞争性磋商采购活动。</w:t>
      </w:r>
    </w:p>
    <w:p>
      <w:pPr>
        <w:spacing w:line="440" w:lineRule="exact"/>
        <w:ind w:firstLine="420" w:firstLineChars="200"/>
        <w:rPr>
          <w:rFonts w:cs="宋体"/>
          <w:color w:val="auto"/>
          <w:szCs w:val="21"/>
        </w:rPr>
      </w:pPr>
      <w:r>
        <w:rPr>
          <w:rFonts w:hint="eastAsia" w:cs="宋体"/>
          <w:color w:val="auto"/>
          <w:szCs w:val="21"/>
        </w:rPr>
        <w:t>21.11 最后报价</w:t>
      </w:r>
    </w:p>
    <w:p>
      <w:pPr>
        <w:spacing w:line="440" w:lineRule="exact"/>
        <w:ind w:firstLine="420" w:firstLineChars="200"/>
        <w:rPr>
          <w:rFonts w:cs="宋体"/>
          <w:color w:val="auto"/>
          <w:szCs w:val="21"/>
        </w:rPr>
      </w:pPr>
      <w:r>
        <w:rPr>
          <w:rFonts w:hint="eastAsia" w:cs="宋体"/>
          <w:color w:val="auto"/>
          <w:szCs w:val="21"/>
        </w:rPr>
        <w:t xml:space="preserve">21.11.1 磋商文件能够详细列明采购标的的质量要求的，磋商结束后，磋商小组应当要求所有继续参加磋商的供应商在规定时间内线上提交最后报价，提交最后报价的供应商不得少于 3 家。 </w:t>
      </w:r>
    </w:p>
    <w:p>
      <w:pPr>
        <w:spacing w:line="440" w:lineRule="exact"/>
        <w:ind w:firstLine="420" w:firstLineChars="200"/>
        <w:rPr>
          <w:rFonts w:cs="宋体"/>
          <w:color w:val="auto"/>
          <w:szCs w:val="21"/>
        </w:rPr>
      </w:pPr>
      <w:r>
        <w:rPr>
          <w:rFonts w:hint="eastAsia" w:cs="宋体"/>
          <w:color w:val="auto"/>
          <w:szCs w:val="21"/>
        </w:rPr>
        <w:t xml:space="preserve">21.11.2 磋商文件不能详细列明采购标的的施工要求，需经磋商由供应商提供最终设计方案或解决方案的，磋商结束后，磋商小组应当按照少数服从多数的原则投票推荐 3 家以上（含 3 家）供应商的设计方案或者解决方案，并要求其在规定时间内线上提交最后报价。 </w:t>
      </w:r>
    </w:p>
    <w:p>
      <w:pPr>
        <w:spacing w:line="440" w:lineRule="exact"/>
        <w:ind w:firstLine="420" w:firstLineChars="200"/>
        <w:rPr>
          <w:rFonts w:cs="宋体"/>
          <w:color w:val="auto"/>
          <w:szCs w:val="21"/>
        </w:rPr>
      </w:pPr>
      <w:r>
        <w:rPr>
          <w:rFonts w:hint="eastAsia" w:cs="宋体"/>
          <w:color w:val="auto"/>
          <w:szCs w:val="21"/>
        </w:rPr>
        <w:t>21.11.3</w:t>
      </w:r>
      <w:r>
        <w:rPr>
          <w:rFonts w:hint="eastAsia" w:cs="宋体"/>
          <w:color w:val="auto"/>
          <w:kern w:val="0"/>
          <w:szCs w:val="21"/>
        </w:rPr>
        <w:t>最后报价（应答文件）是供应商响应文件的有效组成部分：</w:t>
      </w:r>
      <w:r>
        <w:rPr>
          <w:rFonts w:hint="eastAsia" w:cs="宋体"/>
          <w:b/>
          <w:color w:val="auto"/>
          <w:spacing w:val="-4"/>
          <w:szCs w:val="21"/>
        </w:rPr>
        <w:t>供应商做最终报价时，如供应商维持磋商报价不变，以原磋商报价作为供应商最后报价；供应商应预先准备好调整后的完整已标价的工程量清单。如供应商在磋商过程中，改变原报价且未按竞争性磋商文件要求提供调整后的磋商报价电子版的，其报价不予认可，视供应商维持原磋商报价不变</w:t>
      </w:r>
      <w:r>
        <w:rPr>
          <w:rFonts w:hint="eastAsia" w:cs="宋体"/>
          <w:b/>
          <w:color w:val="auto"/>
          <w:szCs w:val="21"/>
        </w:rPr>
        <w:t>。</w:t>
      </w:r>
      <w:r>
        <w:rPr>
          <w:rFonts w:hint="eastAsia" w:cs="宋体"/>
          <w:color w:val="auto"/>
          <w:spacing w:val="-4"/>
          <w:szCs w:val="21"/>
        </w:rPr>
        <w:t>必须由供应商</w:t>
      </w:r>
      <w:r>
        <w:rPr>
          <w:rFonts w:hint="eastAsia" w:cs="宋体"/>
          <w:color w:val="auto"/>
          <w:szCs w:val="21"/>
        </w:rPr>
        <w:t>加盖公章（CA签章）</w:t>
      </w:r>
      <w:r>
        <w:rPr>
          <w:rFonts w:hint="eastAsia" w:cs="宋体"/>
          <w:color w:val="auto"/>
          <w:spacing w:val="-4"/>
          <w:szCs w:val="21"/>
        </w:rPr>
        <w:t>。</w:t>
      </w:r>
    </w:p>
    <w:p>
      <w:pPr>
        <w:spacing w:line="440" w:lineRule="exact"/>
        <w:ind w:firstLine="420" w:firstLineChars="200"/>
        <w:rPr>
          <w:rFonts w:cs="宋体"/>
          <w:color w:val="auto"/>
        </w:rPr>
      </w:pPr>
      <w:r>
        <w:rPr>
          <w:rFonts w:hint="eastAsia" w:cs="宋体"/>
          <w:color w:val="auto"/>
          <w:szCs w:val="21"/>
        </w:rPr>
        <w:t xml:space="preserve">21.11.4 根据《财政部关于政府采购竞争性磋商采购方式管理暂行办法有关问题的补充通知》(财库〔2014〕214 号)的规定，如采购项目为政府购买服务项目（含政府和社会资本合作项目），在采购过程中符合要求的供应商（社会资本）只有 2 家的，竞争性磋商采购活动可以继续进行，并要求其在规定时间内线上提交最后报价；采购过程中符合要求的供应商（社会资本）只有 1 家的，采购人或者采购代理机构应当终止竞争性磋商采购活动，发布项目终止公告并说明原因，重新开展采购活动。 </w:t>
      </w:r>
    </w:p>
    <w:p>
      <w:pPr>
        <w:spacing w:line="440" w:lineRule="exact"/>
        <w:ind w:firstLine="420" w:firstLineChars="200"/>
        <w:rPr>
          <w:rFonts w:cs="宋体"/>
          <w:b/>
          <w:bCs/>
          <w:color w:val="auto"/>
          <w:szCs w:val="21"/>
        </w:rPr>
      </w:pPr>
      <w:r>
        <w:rPr>
          <w:rFonts w:hint="eastAsia" w:cs="宋体"/>
          <w:color w:val="auto"/>
          <w:szCs w:val="21"/>
        </w:rPr>
        <w:t>21.11.5 根据《政府采购竞争性磋商采购方式管理暂行办法》（财库〔2014〕214号）的规定：</w:t>
      </w:r>
      <w:r>
        <w:rPr>
          <w:rFonts w:hint="eastAsia" w:cs="宋体"/>
          <w:b/>
          <w:bCs/>
          <w:color w:val="auto"/>
          <w:szCs w:val="21"/>
        </w:rPr>
        <w:t xml:space="preserve">最后报价是供应商响应文件的有效组成部分。 </w:t>
      </w:r>
      <w:r>
        <w:rPr>
          <w:rFonts w:hint="eastAsia" w:cs="宋体"/>
          <w:color w:val="auto"/>
          <w:szCs w:val="21"/>
        </w:rPr>
        <w:t>符合本办法（财库〔2014〕214号文）第三条第四项情形的，提交最后报价的供应商可以为2家。</w:t>
      </w:r>
      <w:r>
        <w:rPr>
          <w:rFonts w:hint="eastAsia" w:cs="宋体"/>
          <w:b/>
          <w:bCs/>
          <w:color w:val="auto"/>
          <w:szCs w:val="21"/>
        </w:rPr>
        <w:t>（财库〔2014〕214号文第三条第四项：市场竞争不充分的科研项目，以及需要扶持的科技成果转化项目。）</w:t>
      </w:r>
    </w:p>
    <w:p>
      <w:pPr>
        <w:spacing w:line="440" w:lineRule="exact"/>
        <w:ind w:firstLine="420" w:firstLineChars="200"/>
        <w:rPr>
          <w:rFonts w:cs="宋体"/>
          <w:color w:val="auto"/>
          <w:szCs w:val="21"/>
        </w:rPr>
      </w:pPr>
      <w:r>
        <w:rPr>
          <w:rFonts w:hint="eastAsia" w:cs="宋体"/>
          <w:color w:val="auto"/>
          <w:szCs w:val="21"/>
        </w:rPr>
        <w:t xml:space="preserve">21.12 已提交响应文件的供应商，在提交最后报价之前，可以根据磋商情况书面退出磋商。 </w:t>
      </w:r>
    </w:p>
    <w:p>
      <w:pPr>
        <w:spacing w:line="440" w:lineRule="exact"/>
        <w:ind w:firstLine="420" w:firstLineChars="200"/>
        <w:rPr>
          <w:rFonts w:cs="宋体"/>
          <w:color w:val="auto"/>
          <w:szCs w:val="21"/>
        </w:rPr>
      </w:pPr>
      <w:r>
        <w:rPr>
          <w:rFonts w:hint="eastAsia" w:cs="宋体"/>
          <w:color w:val="auto"/>
          <w:szCs w:val="21"/>
        </w:rPr>
        <w:t xml:space="preserve">未书面退出磋商的供应商在规定时间内线上提交最后报价，其最后报价超出采购预算导致已通过评审的响应文件无效的，按供应商在提交响应文件截止时间后撤回响应文件处理。 </w:t>
      </w:r>
    </w:p>
    <w:p>
      <w:pPr>
        <w:spacing w:line="440" w:lineRule="exact"/>
        <w:ind w:firstLine="420" w:firstLineChars="200"/>
        <w:rPr>
          <w:rFonts w:cs="宋体"/>
          <w:color w:val="auto"/>
          <w:szCs w:val="21"/>
        </w:rPr>
      </w:pPr>
      <w:r>
        <w:rPr>
          <w:rFonts w:hint="eastAsia" w:cs="宋体"/>
          <w:color w:val="auto"/>
          <w:szCs w:val="21"/>
        </w:rPr>
        <w:t xml:space="preserve">21.13 评审报告 </w:t>
      </w:r>
    </w:p>
    <w:p>
      <w:pPr>
        <w:spacing w:line="440" w:lineRule="exact"/>
        <w:ind w:firstLine="420" w:firstLineChars="200"/>
        <w:rPr>
          <w:rFonts w:cs="宋体"/>
          <w:color w:val="auto"/>
          <w:szCs w:val="21"/>
        </w:rPr>
      </w:pPr>
      <w:r>
        <w:rPr>
          <w:rFonts w:hint="eastAsia" w:cs="宋体"/>
          <w:color w:val="auto"/>
          <w:szCs w:val="21"/>
        </w:rPr>
        <w:t>磋商小组应当从质量和服务均能满足磋商文件全部实质性响应要求的供应商中，按照最后综合得分由高到低的顺序提出 3 名以上（含 3 名）成交候选人，并编写评审报告。</w:t>
      </w:r>
    </w:p>
    <w:p>
      <w:pPr>
        <w:spacing w:line="440" w:lineRule="exact"/>
        <w:ind w:firstLine="420" w:firstLineChars="200"/>
        <w:rPr>
          <w:rFonts w:cs="宋体"/>
          <w:color w:val="auto"/>
          <w:szCs w:val="21"/>
        </w:rPr>
      </w:pPr>
      <w:r>
        <w:rPr>
          <w:rFonts w:hint="eastAsia" w:cs="宋体"/>
          <w:color w:val="auto"/>
          <w:szCs w:val="21"/>
        </w:rPr>
        <w:t xml:space="preserve">21.14 在评审过程中出现法律法规和磋商文件均没有明确规定的情形时，由磋商小组现场协商解决，协商不一致的，由全体磋商小组投票表决，以得票率二分之一以上磋商小组成员的意见为准。 </w:t>
      </w:r>
    </w:p>
    <w:p>
      <w:pPr>
        <w:spacing w:line="440" w:lineRule="exact"/>
        <w:ind w:firstLine="420" w:firstLineChars="200"/>
        <w:rPr>
          <w:rFonts w:cs="宋体"/>
          <w:color w:val="auto"/>
          <w:szCs w:val="21"/>
        </w:rPr>
      </w:pPr>
      <w:r>
        <w:rPr>
          <w:rFonts w:hint="eastAsia" w:cs="宋体"/>
          <w:color w:val="auto"/>
          <w:szCs w:val="21"/>
        </w:rPr>
        <w:t>21.15 采购代理机构发现磋商小组有明显的违规倾向或歧视现象，或不按评审办法进行，或其他不正常行为的，应当及时制止。如制止无效，应及时向政府采购监督管理机构报告。</w:t>
      </w:r>
    </w:p>
    <w:p>
      <w:pPr>
        <w:spacing w:line="440" w:lineRule="exact"/>
        <w:ind w:firstLine="420" w:firstLineChars="200"/>
        <w:rPr>
          <w:rFonts w:cs="宋体"/>
          <w:b/>
          <w:bCs/>
          <w:color w:val="auto"/>
        </w:rPr>
      </w:pPr>
      <w:r>
        <w:rPr>
          <w:rFonts w:hint="eastAsia" w:cs="宋体"/>
          <w:color w:val="auto"/>
          <w:szCs w:val="21"/>
        </w:rPr>
        <w:t>21.16 本采购项目的评审依据为竞争性磋商文件和竞争性磋商响应文件，采用的评审方法为</w:t>
      </w:r>
      <w:r>
        <w:rPr>
          <w:rFonts w:hint="eastAsia" w:cs="宋体"/>
          <w:b/>
          <w:bCs/>
          <w:color w:val="auto"/>
          <w:szCs w:val="21"/>
        </w:rPr>
        <w:t>综合评分法。</w:t>
      </w:r>
    </w:p>
    <w:p>
      <w:pPr>
        <w:pStyle w:val="5"/>
        <w:widowControl w:val="0"/>
        <w:spacing w:before="0" w:after="0" w:line="440" w:lineRule="exact"/>
        <w:ind w:firstLine="422" w:firstLineChars="200"/>
        <w:rPr>
          <w:rFonts w:cs="宋体"/>
          <w:color w:val="auto"/>
          <w:sz w:val="21"/>
          <w:szCs w:val="21"/>
        </w:rPr>
      </w:pPr>
      <w:bookmarkStart w:id="199" w:name="_Toc11975"/>
      <w:bookmarkStart w:id="200" w:name="_Toc18722"/>
      <w:bookmarkStart w:id="201" w:name="_Toc32470"/>
      <w:r>
        <w:rPr>
          <w:rFonts w:hint="eastAsia" w:cs="宋体"/>
          <w:color w:val="auto"/>
          <w:sz w:val="21"/>
          <w:szCs w:val="21"/>
        </w:rPr>
        <w:t>22. 确定成交供应商</w:t>
      </w:r>
      <w:bookmarkEnd w:id="199"/>
      <w:bookmarkEnd w:id="200"/>
      <w:bookmarkEnd w:id="201"/>
    </w:p>
    <w:p>
      <w:pPr>
        <w:spacing w:line="440" w:lineRule="exact"/>
        <w:ind w:firstLine="420" w:firstLineChars="200"/>
        <w:rPr>
          <w:rFonts w:cs="宋体"/>
          <w:color w:val="auto"/>
          <w:szCs w:val="21"/>
        </w:rPr>
      </w:pPr>
      <w:r>
        <w:rPr>
          <w:rFonts w:hint="eastAsia" w:cs="宋体"/>
          <w:color w:val="auto"/>
          <w:szCs w:val="21"/>
        </w:rPr>
        <w:t>22.1磋商小组应当根据综合得分情况，按照综合得分由高到低顺序推荐成交候选人，并编写评审报告。磋商小组根据综合得分由高到低排列次序，若得分相同时，以评审报价由低到高顺序排列；若得分相同且评审报价相同的，以最后报价由低到高顺序排列；若仍相同的，由磋商小组按照抽签的方式决定排列次序。</w:t>
      </w:r>
    </w:p>
    <w:p>
      <w:pPr>
        <w:spacing w:line="440" w:lineRule="exact"/>
        <w:ind w:firstLine="420" w:firstLineChars="200"/>
        <w:rPr>
          <w:rFonts w:cs="宋体"/>
          <w:color w:val="auto"/>
        </w:rPr>
      </w:pPr>
      <w:r>
        <w:rPr>
          <w:rFonts w:hint="eastAsia" w:cs="宋体"/>
          <w:color w:val="auto"/>
          <w:szCs w:val="21"/>
        </w:rPr>
        <w:t>22.2采购单位应当确定磋商小组推荐排名第一的成交候选人为成交供应商。</w:t>
      </w:r>
    </w:p>
    <w:p>
      <w:pPr>
        <w:spacing w:line="440" w:lineRule="exact"/>
        <w:ind w:firstLine="420" w:firstLineChars="200"/>
        <w:rPr>
          <w:rFonts w:cs="宋体"/>
          <w:color w:val="auto"/>
          <w:szCs w:val="21"/>
        </w:rPr>
      </w:pPr>
      <w:r>
        <w:rPr>
          <w:rFonts w:hint="eastAsia" w:cs="宋体"/>
          <w:color w:val="auto"/>
          <w:szCs w:val="21"/>
        </w:rPr>
        <w:t>22.3排名第一的成交候选人放弃成交、因不可抗力提出不能履行合同，或信用信息记录不符合相关规定的，或者磋商文件规定应当提交履约保证金而在规定的期限内未能提交的（本项目免收履约保证金），采购单位可以确定排名第二的成交候选人为成交供应商。</w:t>
      </w:r>
    </w:p>
    <w:p>
      <w:pPr>
        <w:spacing w:line="440" w:lineRule="exact"/>
        <w:ind w:firstLine="420" w:firstLineChars="200"/>
        <w:rPr>
          <w:rFonts w:cs="宋体"/>
          <w:color w:val="auto"/>
          <w:szCs w:val="21"/>
        </w:rPr>
      </w:pPr>
      <w:r>
        <w:rPr>
          <w:rFonts w:hint="eastAsia" w:cs="宋体"/>
          <w:color w:val="auto"/>
          <w:szCs w:val="21"/>
        </w:rPr>
        <w:t>22.4排名第二的成交候选人因前款规定的同样原因不能签订合同的，采购单位可以确定排名第三的成交候选人为成交供应商。</w:t>
      </w:r>
    </w:p>
    <w:p>
      <w:pPr>
        <w:pStyle w:val="5"/>
        <w:widowControl w:val="0"/>
        <w:spacing w:before="0" w:after="0" w:line="440" w:lineRule="exact"/>
        <w:ind w:firstLine="422" w:firstLineChars="200"/>
        <w:rPr>
          <w:rFonts w:cs="宋体"/>
          <w:color w:val="auto"/>
          <w:sz w:val="21"/>
          <w:szCs w:val="21"/>
        </w:rPr>
      </w:pPr>
      <w:bookmarkStart w:id="202" w:name="_Toc21715"/>
      <w:bookmarkStart w:id="203" w:name="_Toc15332"/>
      <w:bookmarkStart w:id="204" w:name="_Toc9486"/>
      <w:r>
        <w:rPr>
          <w:rFonts w:hint="eastAsia" w:cs="宋体"/>
          <w:color w:val="auto"/>
          <w:sz w:val="21"/>
          <w:szCs w:val="21"/>
        </w:rPr>
        <w:t>23. 属于下列情况之一者，响应文件无效</w:t>
      </w:r>
      <w:bookmarkEnd w:id="202"/>
      <w:bookmarkEnd w:id="203"/>
      <w:bookmarkEnd w:id="204"/>
    </w:p>
    <w:p>
      <w:pPr>
        <w:spacing w:line="440" w:lineRule="exact"/>
        <w:ind w:firstLine="420" w:firstLineChars="200"/>
        <w:rPr>
          <w:rFonts w:cs="宋体"/>
          <w:color w:val="auto"/>
          <w:szCs w:val="21"/>
        </w:rPr>
      </w:pPr>
      <w:r>
        <w:rPr>
          <w:rFonts w:hint="eastAsia" w:cs="宋体"/>
          <w:color w:val="auto"/>
          <w:szCs w:val="21"/>
        </w:rPr>
        <w:t>（1）未按磋商文件规定完整线上提交响应文件或未按规定要求线上签字、签章的；</w:t>
      </w:r>
    </w:p>
    <w:p>
      <w:pPr>
        <w:spacing w:line="440" w:lineRule="exact"/>
        <w:ind w:firstLine="420" w:firstLineChars="200"/>
        <w:rPr>
          <w:rFonts w:cs="宋体"/>
          <w:color w:val="auto"/>
          <w:szCs w:val="21"/>
        </w:rPr>
      </w:pPr>
      <w:r>
        <w:rPr>
          <w:rFonts w:hint="eastAsia" w:cs="宋体"/>
          <w:color w:val="auto"/>
          <w:szCs w:val="21"/>
        </w:rPr>
        <w:t>（2）不具备磋商文件规定的资格要求的；</w:t>
      </w:r>
    </w:p>
    <w:p>
      <w:pPr>
        <w:spacing w:line="440" w:lineRule="exact"/>
        <w:ind w:firstLine="420" w:firstLineChars="200"/>
        <w:rPr>
          <w:rFonts w:cs="宋体"/>
          <w:color w:val="auto"/>
          <w:szCs w:val="21"/>
        </w:rPr>
      </w:pPr>
      <w:r>
        <w:rPr>
          <w:rFonts w:hint="eastAsia" w:cs="宋体"/>
          <w:color w:val="auto"/>
          <w:szCs w:val="21"/>
        </w:rPr>
        <w:t>（3）在进行资格性审查时，磋商小组将进入《国家企业信用信息公示系统》对企业股东及出资等信息进行查询，对存在《中华人民共和国政府采购法实施条例》第十八条第一款情形的，即单位负责人为同一人或者存在直接控股、管理关系的不同供应商，不得参加同一合同项下的政府采购活动，其磋商文件将被视为无效文件；</w:t>
      </w:r>
    </w:p>
    <w:p>
      <w:pPr>
        <w:spacing w:line="440" w:lineRule="exact"/>
        <w:ind w:firstLine="420" w:firstLineChars="200"/>
        <w:rPr>
          <w:rFonts w:cs="宋体"/>
          <w:color w:val="auto"/>
          <w:szCs w:val="21"/>
        </w:rPr>
      </w:pPr>
      <w:r>
        <w:rPr>
          <w:rFonts w:hint="eastAsia" w:cs="宋体"/>
          <w:color w:val="auto"/>
          <w:szCs w:val="21"/>
        </w:rPr>
        <w:t>（4）响应文件未按磋商文件的内容和要求编制，或提供虚假材料的；</w:t>
      </w:r>
    </w:p>
    <w:p>
      <w:pPr>
        <w:spacing w:line="440" w:lineRule="exact"/>
        <w:ind w:firstLine="420" w:firstLineChars="200"/>
        <w:rPr>
          <w:rFonts w:cs="宋体"/>
          <w:color w:val="auto"/>
          <w:szCs w:val="21"/>
        </w:rPr>
      </w:pPr>
      <w:r>
        <w:rPr>
          <w:rFonts w:hint="eastAsia" w:cs="宋体"/>
          <w:color w:val="auto"/>
          <w:szCs w:val="21"/>
        </w:rPr>
        <w:t>（5）响应文件有效期、质量要求、工期要求不能满足采购文件要求的；</w:t>
      </w:r>
    </w:p>
    <w:p>
      <w:pPr>
        <w:spacing w:line="440" w:lineRule="exact"/>
        <w:ind w:firstLine="420" w:firstLineChars="200"/>
        <w:rPr>
          <w:rFonts w:cs="宋体"/>
          <w:color w:val="auto"/>
          <w:szCs w:val="21"/>
        </w:rPr>
      </w:pPr>
      <w:r>
        <w:rPr>
          <w:rFonts w:hint="eastAsia" w:cs="宋体"/>
          <w:color w:val="auto"/>
          <w:szCs w:val="21"/>
        </w:rPr>
        <w:t>（6）供应商未就工程量清单中的所有内容作完整唯一报价的；</w:t>
      </w:r>
    </w:p>
    <w:p>
      <w:pPr>
        <w:spacing w:line="440" w:lineRule="exact"/>
        <w:ind w:firstLine="420" w:firstLineChars="200"/>
        <w:rPr>
          <w:rFonts w:cs="宋体"/>
          <w:color w:val="auto"/>
          <w:szCs w:val="21"/>
        </w:rPr>
      </w:pPr>
      <w:r>
        <w:rPr>
          <w:rFonts w:hint="eastAsia" w:cs="宋体"/>
          <w:color w:val="auto"/>
          <w:szCs w:val="21"/>
        </w:rPr>
        <w:t>（7）未在磋商小组规定的时间内提交响应文件(包括最后报价)的；</w:t>
      </w:r>
    </w:p>
    <w:p>
      <w:pPr>
        <w:spacing w:line="440" w:lineRule="exact"/>
        <w:ind w:firstLine="420" w:firstLineChars="200"/>
        <w:rPr>
          <w:rFonts w:cs="宋体"/>
          <w:color w:val="auto"/>
          <w:szCs w:val="21"/>
        </w:rPr>
      </w:pPr>
      <w:r>
        <w:rPr>
          <w:rFonts w:hint="eastAsia" w:cs="宋体"/>
          <w:color w:val="auto"/>
          <w:szCs w:val="21"/>
        </w:rPr>
        <w:t>（8）超越了按照法律法规规定必须获得行政许可或者行政审批的经营范围的；</w:t>
      </w:r>
    </w:p>
    <w:p>
      <w:pPr>
        <w:spacing w:line="440" w:lineRule="exact"/>
        <w:ind w:firstLine="420" w:firstLineChars="200"/>
        <w:rPr>
          <w:rFonts w:cs="宋体"/>
          <w:color w:val="auto"/>
          <w:szCs w:val="21"/>
        </w:rPr>
      </w:pPr>
      <w:r>
        <w:rPr>
          <w:rFonts w:hint="eastAsia" w:cs="宋体"/>
          <w:color w:val="auto"/>
          <w:szCs w:val="21"/>
        </w:rPr>
        <w:t>（9）未满足磋商文件实质性要求的或者响应文件有采购人不能接受的附加条件的；</w:t>
      </w:r>
    </w:p>
    <w:p>
      <w:pPr>
        <w:spacing w:line="440" w:lineRule="exact"/>
        <w:ind w:firstLine="420" w:firstLineChars="200"/>
        <w:rPr>
          <w:rFonts w:cs="宋体"/>
          <w:color w:val="auto"/>
        </w:rPr>
      </w:pPr>
      <w:r>
        <w:rPr>
          <w:rFonts w:hint="eastAsia" w:cs="宋体"/>
          <w:color w:val="auto"/>
          <w:szCs w:val="21"/>
        </w:rPr>
        <w:t>（10）响应文件实质性要求未做变动，供应商最后报价高于第一次报价的或报价超出上限控制价的；</w:t>
      </w:r>
    </w:p>
    <w:p>
      <w:pPr>
        <w:spacing w:line="440" w:lineRule="exact"/>
        <w:ind w:firstLine="420" w:firstLineChars="200"/>
        <w:rPr>
          <w:rFonts w:cs="宋体"/>
          <w:color w:val="auto"/>
          <w:szCs w:val="21"/>
        </w:rPr>
      </w:pPr>
      <w:r>
        <w:rPr>
          <w:rFonts w:hint="eastAsia" w:cs="宋体"/>
          <w:color w:val="auto"/>
          <w:szCs w:val="21"/>
        </w:rPr>
        <w:t>（11）不符合法律、法规和磋商文件规定的其他实质性要求和条件的。</w:t>
      </w:r>
    </w:p>
    <w:p>
      <w:pPr>
        <w:spacing w:line="440" w:lineRule="exact"/>
        <w:ind w:firstLine="422" w:firstLineChars="200"/>
        <w:rPr>
          <w:rFonts w:cs="宋体"/>
          <w:b/>
          <w:bCs/>
          <w:color w:val="auto"/>
          <w:szCs w:val="21"/>
        </w:rPr>
      </w:pPr>
      <w:r>
        <w:rPr>
          <w:rFonts w:hint="eastAsia" w:cs="宋体"/>
          <w:b/>
          <w:bCs/>
          <w:color w:val="auto"/>
          <w:szCs w:val="21"/>
        </w:rPr>
        <w:t>供应商有下列情形之一的视为供应商相互串通磋商，响应文件将被视为无效</w:t>
      </w:r>
    </w:p>
    <w:p>
      <w:pPr>
        <w:spacing w:line="440" w:lineRule="exact"/>
        <w:ind w:firstLine="420" w:firstLineChars="200"/>
        <w:rPr>
          <w:rFonts w:cs="宋体"/>
          <w:color w:val="auto"/>
          <w:szCs w:val="21"/>
        </w:rPr>
      </w:pPr>
      <w:r>
        <w:rPr>
          <w:rFonts w:hint="eastAsia" w:cs="宋体"/>
          <w:color w:val="auto"/>
          <w:szCs w:val="21"/>
        </w:rPr>
        <w:t>（1）不同供应商的响应文件由同一单位或者个人编制；或不同供应商报名的IP地址一致的；</w:t>
      </w:r>
    </w:p>
    <w:p>
      <w:pPr>
        <w:spacing w:line="440" w:lineRule="exact"/>
        <w:ind w:firstLine="420" w:firstLineChars="200"/>
        <w:rPr>
          <w:rFonts w:cs="宋体"/>
          <w:color w:val="auto"/>
          <w:szCs w:val="21"/>
        </w:rPr>
      </w:pPr>
      <w:r>
        <w:rPr>
          <w:rFonts w:hint="eastAsia" w:cs="宋体"/>
          <w:color w:val="auto"/>
          <w:szCs w:val="21"/>
        </w:rPr>
        <w:t>（2）不同供应商委托同一单位或者个人办理磋商事宜；</w:t>
      </w:r>
    </w:p>
    <w:p>
      <w:pPr>
        <w:spacing w:line="440" w:lineRule="exact"/>
        <w:ind w:firstLine="420" w:firstLineChars="200"/>
        <w:rPr>
          <w:rFonts w:cs="宋体"/>
          <w:color w:val="auto"/>
          <w:szCs w:val="21"/>
        </w:rPr>
      </w:pPr>
      <w:r>
        <w:rPr>
          <w:rFonts w:hint="eastAsia" w:cs="宋体"/>
          <w:color w:val="auto"/>
          <w:szCs w:val="21"/>
        </w:rPr>
        <w:t>（3）不同的供应商的响应文件载明的项目管理员为同一个人；</w:t>
      </w:r>
    </w:p>
    <w:p>
      <w:pPr>
        <w:spacing w:line="440" w:lineRule="exact"/>
        <w:ind w:firstLine="420" w:firstLineChars="200"/>
        <w:rPr>
          <w:rFonts w:cs="宋体"/>
          <w:color w:val="auto"/>
          <w:szCs w:val="21"/>
        </w:rPr>
      </w:pPr>
      <w:r>
        <w:rPr>
          <w:rFonts w:hint="eastAsia" w:cs="宋体"/>
          <w:color w:val="auto"/>
          <w:szCs w:val="21"/>
        </w:rPr>
        <w:t>（4）不同供应商的响应文件异常一致或竞标报价呈规律性差异；</w:t>
      </w:r>
    </w:p>
    <w:p>
      <w:pPr>
        <w:spacing w:line="440" w:lineRule="exact"/>
        <w:ind w:firstLine="420" w:firstLineChars="200"/>
        <w:rPr>
          <w:rFonts w:cs="宋体"/>
          <w:color w:val="auto"/>
          <w:szCs w:val="21"/>
        </w:rPr>
      </w:pPr>
      <w:r>
        <w:rPr>
          <w:rFonts w:hint="eastAsia" w:cs="宋体"/>
          <w:color w:val="auto"/>
          <w:szCs w:val="21"/>
        </w:rPr>
        <w:t>（5）不同供应商的响应文件相互混编。</w:t>
      </w:r>
    </w:p>
    <w:p>
      <w:pPr>
        <w:pStyle w:val="5"/>
        <w:widowControl w:val="0"/>
        <w:spacing w:before="0" w:after="0" w:line="440" w:lineRule="exact"/>
        <w:ind w:firstLine="422" w:firstLineChars="200"/>
        <w:rPr>
          <w:rFonts w:cs="宋体"/>
          <w:color w:val="auto"/>
          <w:sz w:val="21"/>
          <w:szCs w:val="21"/>
        </w:rPr>
      </w:pPr>
      <w:bookmarkStart w:id="205" w:name="_Toc6415"/>
      <w:bookmarkStart w:id="206" w:name="_Toc27786"/>
      <w:bookmarkStart w:id="207" w:name="_Toc5714"/>
      <w:r>
        <w:rPr>
          <w:rFonts w:hint="eastAsia" w:cs="宋体"/>
          <w:color w:val="auto"/>
          <w:sz w:val="21"/>
          <w:szCs w:val="21"/>
        </w:rPr>
        <w:t>24. 出现下列情形之一的，采购人或者采购代理机构应当终止竞争性磋商采购活动，发布项目终止公告并说明原因，重新开展采购活动</w:t>
      </w:r>
      <w:bookmarkEnd w:id="205"/>
      <w:bookmarkEnd w:id="206"/>
      <w:bookmarkEnd w:id="207"/>
    </w:p>
    <w:p>
      <w:pPr>
        <w:spacing w:line="440" w:lineRule="exact"/>
        <w:ind w:firstLine="420" w:firstLineChars="200"/>
        <w:rPr>
          <w:rFonts w:cs="宋体"/>
          <w:color w:val="auto"/>
          <w:szCs w:val="21"/>
        </w:rPr>
      </w:pPr>
      <w:r>
        <w:rPr>
          <w:rFonts w:hint="eastAsia" w:cs="宋体"/>
          <w:color w:val="auto"/>
          <w:szCs w:val="21"/>
        </w:rPr>
        <w:t>（1）因情况变化，不再符合规定的竞争性磋商采购方式适用情形的；</w:t>
      </w:r>
    </w:p>
    <w:p>
      <w:pPr>
        <w:spacing w:line="440" w:lineRule="exact"/>
        <w:ind w:firstLine="420" w:firstLineChars="200"/>
        <w:rPr>
          <w:rFonts w:cs="宋体"/>
          <w:color w:val="auto"/>
          <w:szCs w:val="21"/>
        </w:rPr>
      </w:pPr>
      <w:r>
        <w:rPr>
          <w:rFonts w:hint="eastAsia" w:cs="宋体"/>
          <w:color w:val="auto"/>
          <w:szCs w:val="21"/>
        </w:rPr>
        <w:t xml:space="preserve">（2）出现影响采购公正的违法、违规行为的； </w:t>
      </w:r>
    </w:p>
    <w:p>
      <w:pPr>
        <w:spacing w:line="440" w:lineRule="exact"/>
        <w:ind w:firstLine="420" w:firstLineChars="200"/>
        <w:rPr>
          <w:rFonts w:cs="宋体"/>
          <w:b/>
          <w:bCs/>
          <w:color w:val="auto"/>
          <w:szCs w:val="21"/>
        </w:rPr>
      </w:pPr>
      <w:r>
        <w:rPr>
          <w:rFonts w:hint="eastAsia" w:cs="宋体"/>
          <w:color w:val="auto"/>
          <w:szCs w:val="21"/>
        </w:rPr>
        <w:t>（3）在采购过程中符合竞争要求的供应商或者报价未超过采购预算的供应商不足3家的。</w:t>
      </w:r>
      <w:r>
        <w:rPr>
          <w:rFonts w:hint="eastAsia" w:cs="宋体"/>
          <w:b/>
          <w:bCs/>
          <w:color w:val="auto"/>
          <w:szCs w:val="21"/>
        </w:rPr>
        <w:t xml:space="preserve">（除财库〔2014〕214 号《政府采购竞争性磋商采购方式管理暂行办法》第二十一条第三款规定的情形外） </w:t>
      </w:r>
    </w:p>
    <w:p>
      <w:pPr>
        <w:pStyle w:val="5"/>
        <w:widowControl w:val="0"/>
        <w:spacing w:before="0" w:after="0" w:line="440" w:lineRule="exact"/>
        <w:ind w:firstLine="422" w:firstLineChars="200"/>
        <w:rPr>
          <w:rFonts w:cs="宋体"/>
          <w:color w:val="auto"/>
          <w:sz w:val="21"/>
          <w:szCs w:val="21"/>
        </w:rPr>
      </w:pPr>
      <w:bookmarkStart w:id="208" w:name="_Toc19910"/>
      <w:bookmarkStart w:id="209" w:name="_Toc11581"/>
      <w:bookmarkStart w:id="210" w:name="_Toc19105"/>
      <w:r>
        <w:rPr>
          <w:rFonts w:hint="eastAsia" w:cs="宋体"/>
          <w:color w:val="auto"/>
          <w:sz w:val="21"/>
          <w:szCs w:val="21"/>
        </w:rPr>
        <w:t>25. 磋商过程的监控</w:t>
      </w:r>
      <w:bookmarkEnd w:id="208"/>
      <w:bookmarkEnd w:id="209"/>
      <w:bookmarkEnd w:id="210"/>
    </w:p>
    <w:p>
      <w:pPr>
        <w:spacing w:line="440" w:lineRule="exact"/>
        <w:ind w:firstLine="420" w:firstLineChars="200"/>
        <w:rPr>
          <w:rFonts w:cs="宋体"/>
          <w:color w:val="auto"/>
          <w:szCs w:val="21"/>
        </w:rPr>
      </w:pPr>
      <w:r>
        <w:rPr>
          <w:rFonts w:hint="eastAsia" w:cs="宋体"/>
          <w:color w:val="auto"/>
          <w:szCs w:val="21"/>
        </w:rPr>
        <w:t>本项目磋商过程实行全程录音、录像监控，供应商在磋商过程中所进行的试图影响磋商结果的不公正活动，可能导致其磋商被拒绝。</w:t>
      </w:r>
    </w:p>
    <w:p>
      <w:pPr>
        <w:pStyle w:val="5"/>
        <w:widowControl w:val="0"/>
        <w:numPr>
          <w:ilvl w:val="0"/>
          <w:numId w:val="3"/>
        </w:numPr>
        <w:spacing w:before="0" w:after="0" w:line="440" w:lineRule="exact"/>
        <w:ind w:firstLine="422" w:firstLineChars="200"/>
        <w:rPr>
          <w:rFonts w:cs="宋体"/>
          <w:color w:val="auto"/>
          <w:sz w:val="21"/>
          <w:szCs w:val="21"/>
        </w:rPr>
      </w:pPr>
      <w:bookmarkStart w:id="211" w:name="_Toc531"/>
      <w:bookmarkStart w:id="212" w:name="_Toc26291"/>
      <w:bookmarkStart w:id="213" w:name="_Toc14787"/>
      <w:r>
        <w:rPr>
          <w:rFonts w:hint="eastAsia" w:cs="宋体"/>
          <w:color w:val="auto"/>
          <w:sz w:val="21"/>
          <w:szCs w:val="21"/>
        </w:rPr>
        <w:t>信用查询</w:t>
      </w:r>
      <w:bookmarkEnd w:id="211"/>
      <w:bookmarkEnd w:id="212"/>
      <w:bookmarkEnd w:id="213"/>
    </w:p>
    <w:p>
      <w:pPr>
        <w:spacing w:line="440" w:lineRule="exact"/>
        <w:ind w:firstLine="420" w:firstLineChars="200"/>
        <w:rPr>
          <w:rFonts w:cs="宋体"/>
          <w:color w:val="auto"/>
          <w:szCs w:val="21"/>
        </w:rPr>
      </w:pPr>
      <w:r>
        <w:rPr>
          <w:rFonts w:hint="eastAsia" w:cs="宋体"/>
          <w:color w:val="auto"/>
          <w:szCs w:val="21"/>
        </w:rPr>
        <w:t>根据《关于做好政府采购有关信用主体标识码登记及在政府采购活动中查询使用信用记录有关问题的通知》桂财采〔2016〕37号的通知，采购代理机构对成交人的成交资格进行信用查询：</w:t>
      </w:r>
    </w:p>
    <w:p>
      <w:pPr>
        <w:spacing w:line="440" w:lineRule="exact"/>
        <w:ind w:firstLine="210" w:firstLineChars="100"/>
        <w:rPr>
          <w:rFonts w:cs="宋体"/>
          <w:color w:val="auto"/>
          <w:szCs w:val="21"/>
        </w:rPr>
      </w:pPr>
      <w:r>
        <w:rPr>
          <w:rFonts w:hint="eastAsia" w:cs="宋体"/>
          <w:color w:val="auto"/>
          <w:szCs w:val="21"/>
        </w:rPr>
        <w:t>（1）查询渠道：“信用中国”网站（https://www.creditchina.gov.cn/）、中国政府采购网（http://www.ccgp.gov.cn/）；</w:t>
      </w:r>
    </w:p>
    <w:p>
      <w:pPr>
        <w:spacing w:line="440" w:lineRule="exact"/>
        <w:ind w:firstLine="210" w:firstLineChars="100"/>
        <w:rPr>
          <w:rFonts w:cs="宋体"/>
          <w:color w:val="auto"/>
          <w:szCs w:val="21"/>
        </w:rPr>
      </w:pPr>
      <w:r>
        <w:rPr>
          <w:rFonts w:hint="eastAsia" w:cs="宋体"/>
          <w:color w:val="auto"/>
          <w:szCs w:val="21"/>
        </w:rPr>
        <w:t>（2）查询时间：成交通知书发出前；</w:t>
      </w:r>
    </w:p>
    <w:p>
      <w:pPr>
        <w:spacing w:line="440" w:lineRule="exact"/>
        <w:ind w:firstLine="210" w:firstLineChars="100"/>
        <w:rPr>
          <w:rFonts w:cs="宋体"/>
          <w:color w:val="auto"/>
          <w:szCs w:val="21"/>
        </w:rPr>
      </w:pPr>
      <w:r>
        <w:rPr>
          <w:rFonts w:hint="eastAsia" w:cs="宋体"/>
          <w:color w:val="auto"/>
          <w:szCs w:val="21"/>
        </w:rPr>
        <w:t>（3）信用信息查询记录和证据留存方式：在查询网站中直接打印查询记录，打印材料作为采购活动资料保存。</w:t>
      </w:r>
    </w:p>
    <w:p>
      <w:pPr>
        <w:spacing w:line="440" w:lineRule="exact"/>
        <w:ind w:firstLine="210" w:firstLineChars="100"/>
        <w:rPr>
          <w:rFonts w:cs="宋体"/>
          <w:color w:val="auto"/>
          <w:szCs w:val="21"/>
        </w:rPr>
      </w:pPr>
      <w:r>
        <w:rPr>
          <w:rFonts w:hint="eastAsia" w:cs="宋体"/>
          <w:color w:val="auto"/>
          <w:szCs w:val="21"/>
        </w:rPr>
        <w:t>（4）信用信息使用规则：对在“信用中国”网站（https://www.creditchina.gov.cn/）、中国政府采购网（http://www.ccgp.gov.cn/）渠道列入失信被执行人、</w:t>
      </w:r>
      <w:r>
        <w:rPr>
          <w:rFonts w:hint="eastAsia" w:cs="宋体"/>
          <w:color w:val="auto"/>
          <w:szCs w:val="21"/>
          <w:lang w:eastAsia="zh-CN"/>
        </w:rPr>
        <w:t>重大税收违法失信主体</w:t>
      </w:r>
      <w:r>
        <w:rPr>
          <w:rFonts w:hint="eastAsia" w:cs="宋体"/>
          <w:color w:val="auto"/>
          <w:szCs w:val="21"/>
        </w:rPr>
        <w:t>、政府采购严重违法失信行为记录名单及其他不符合《中华人民共和国政府采购法》第二十二条规定条件的供应商，不得参与政府采购活动，取消其成交候选人资格。采购人依法按照评审报告中磋商小组推荐成交候选人排序表确定排名第二的成交候选人为成交供应商或者重新组织采购。</w:t>
      </w:r>
    </w:p>
    <w:p>
      <w:pPr>
        <w:pStyle w:val="5"/>
        <w:widowControl w:val="0"/>
        <w:spacing w:before="0" w:after="0" w:line="440" w:lineRule="exact"/>
        <w:ind w:firstLine="422" w:firstLineChars="200"/>
        <w:rPr>
          <w:rFonts w:cs="宋体"/>
          <w:color w:val="auto"/>
          <w:sz w:val="21"/>
          <w:szCs w:val="21"/>
        </w:rPr>
      </w:pPr>
      <w:bookmarkStart w:id="214" w:name="_Toc9438"/>
      <w:bookmarkStart w:id="215" w:name="_Toc25468"/>
      <w:bookmarkStart w:id="216" w:name="_Toc27040"/>
      <w:r>
        <w:rPr>
          <w:rFonts w:hint="eastAsia" w:cs="宋体"/>
          <w:color w:val="auto"/>
          <w:sz w:val="21"/>
          <w:szCs w:val="21"/>
        </w:rPr>
        <w:t>27. 成交结果公告及成交通知书</w:t>
      </w:r>
      <w:bookmarkEnd w:id="214"/>
      <w:bookmarkEnd w:id="215"/>
      <w:bookmarkEnd w:id="216"/>
    </w:p>
    <w:p>
      <w:pPr>
        <w:spacing w:line="440" w:lineRule="exact"/>
        <w:ind w:firstLine="420" w:firstLineChars="200"/>
        <w:rPr>
          <w:rFonts w:cs="宋体"/>
          <w:color w:val="auto"/>
          <w:szCs w:val="21"/>
        </w:rPr>
      </w:pPr>
      <w:r>
        <w:rPr>
          <w:rFonts w:hint="eastAsia" w:cs="宋体"/>
          <w:color w:val="auto"/>
          <w:szCs w:val="21"/>
        </w:rPr>
        <w:t>27.1 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采用书面推荐供应商参加采购活动的，还应当公告采购人和评审专家的推荐意见。</w:t>
      </w:r>
    </w:p>
    <w:p>
      <w:pPr>
        <w:spacing w:line="440" w:lineRule="exact"/>
        <w:ind w:firstLine="420" w:firstLineChars="200"/>
        <w:rPr>
          <w:rFonts w:cs="宋体"/>
          <w:color w:val="auto"/>
          <w:szCs w:val="21"/>
        </w:rPr>
      </w:pPr>
      <w:r>
        <w:rPr>
          <w:rFonts w:hint="eastAsia" w:cs="宋体"/>
          <w:color w:val="auto"/>
          <w:szCs w:val="21"/>
        </w:rPr>
        <w:t>27.2 在发布成交公告的同时，采购代理机构向成交供应商发出成交通知书。成交供应商自接到通知之日起七个工作日内，办理成交通知书领取手续。</w:t>
      </w:r>
    </w:p>
    <w:p>
      <w:pPr>
        <w:spacing w:line="440" w:lineRule="exact"/>
        <w:ind w:firstLine="420" w:firstLineChars="200"/>
        <w:rPr>
          <w:rFonts w:cs="宋体"/>
          <w:color w:val="auto"/>
          <w:szCs w:val="21"/>
        </w:rPr>
      </w:pPr>
      <w:r>
        <w:rPr>
          <w:rFonts w:hint="eastAsia" w:cs="宋体"/>
          <w:color w:val="auto"/>
          <w:szCs w:val="21"/>
        </w:rPr>
        <w:t>27.3 采购代理机构无义务向未成交的供应商解释未成交原因和退还响应文件。</w:t>
      </w:r>
    </w:p>
    <w:p>
      <w:pPr>
        <w:spacing w:line="440" w:lineRule="exact"/>
        <w:ind w:firstLine="422" w:firstLineChars="200"/>
        <w:rPr>
          <w:rFonts w:cs="宋体"/>
          <w:b/>
          <w:color w:val="auto"/>
          <w:szCs w:val="28"/>
        </w:rPr>
      </w:pPr>
      <w:bookmarkStart w:id="217" w:name="_Toc25593"/>
    </w:p>
    <w:p>
      <w:pPr>
        <w:pStyle w:val="4"/>
        <w:tabs>
          <w:tab w:val="left" w:pos="567"/>
        </w:tabs>
        <w:spacing w:line="440" w:lineRule="exact"/>
        <w:jc w:val="center"/>
        <w:rPr>
          <w:rFonts w:ascii="Times New Roman" w:hAnsi="Times New Roman" w:cs="宋体"/>
          <w:bCs w:val="0"/>
          <w:color w:val="auto"/>
          <w:szCs w:val="28"/>
        </w:rPr>
      </w:pPr>
      <w:bookmarkStart w:id="218" w:name="_Toc29248"/>
      <w:bookmarkStart w:id="219" w:name="_Toc24102"/>
      <w:bookmarkStart w:id="220" w:name="_Toc6429"/>
      <w:r>
        <w:rPr>
          <w:rFonts w:hint="eastAsia" w:ascii="Times New Roman" w:hAnsi="Times New Roman" w:cs="宋体"/>
          <w:bCs w:val="0"/>
          <w:color w:val="auto"/>
          <w:szCs w:val="28"/>
        </w:rPr>
        <w:t>五、签订合同</w:t>
      </w:r>
      <w:bookmarkEnd w:id="217"/>
      <w:bookmarkEnd w:id="218"/>
      <w:bookmarkEnd w:id="219"/>
      <w:bookmarkEnd w:id="220"/>
    </w:p>
    <w:p>
      <w:pPr>
        <w:pStyle w:val="5"/>
        <w:widowControl w:val="0"/>
        <w:spacing w:before="0" w:after="0" w:line="440" w:lineRule="exact"/>
        <w:ind w:firstLine="422" w:firstLineChars="200"/>
        <w:rPr>
          <w:rFonts w:cs="宋体"/>
          <w:color w:val="auto"/>
        </w:rPr>
      </w:pPr>
      <w:bookmarkStart w:id="221" w:name="_Toc1032"/>
      <w:bookmarkStart w:id="222" w:name="_Toc26520"/>
      <w:bookmarkStart w:id="223" w:name="_Toc1593"/>
      <w:r>
        <w:rPr>
          <w:rFonts w:hint="eastAsia" w:cs="宋体"/>
          <w:color w:val="auto"/>
          <w:sz w:val="21"/>
          <w:szCs w:val="21"/>
        </w:rPr>
        <w:t>28. 履约保证金</w:t>
      </w:r>
      <w:bookmarkEnd w:id="221"/>
      <w:bookmarkEnd w:id="222"/>
      <w:bookmarkEnd w:id="223"/>
    </w:p>
    <w:p>
      <w:pPr>
        <w:spacing w:line="360" w:lineRule="auto"/>
        <w:ind w:firstLine="422" w:firstLineChars="200"/>
        <w:rPr>
          <w:b/>
          <w:bCs/>
          <w:color w:val="auto"/>
          <w:szCs w:val="21"/>
        </w:rPr>
      </w:pPr>
      <w:bookmarkStart w:id="224" w:name="_Toc22004"/>
      <w:bookmarkStart w:id="225" w:name="_Toc4956"/>
      <w:r>
        <w:rPr>
          <w:b/>
          <w:bCs/>
          <w:color w:val="auto"/>
          <w:szCs w:val="21"/>
        </w:rPr>
        <w:t>28</w:t>
      </w:r>
      <w:r>
        <w:rPr>
          <w:rFonts w:hint="eastAsia"/>
          <w:b/>
          <w:bCs/>
          <w:color w:val="auto"/>
          <w:szCs w:val="21"/>
        </w:rPr>
        <w:t>.1履约保证金缴纳</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 本项目不需要缴</w:t>
      </w:r>
      <w:r>
        <w:rPr>
          <w:rFonts w:hint="eastAsia" w:ascii="宋体" w:hAnsi="宋体" w:cs="宋体"/>
          <w:b/>
          <w:bCs/>
          <w:color w:val="auto"/>
          <w:kern w:val="0"/>
          <w:szCs w:val="21"/>
        </w:rPr>
        <w:t>纳</w:t>
      </w:r>
      <w:r>
        <w:rPr>
          <w:rFonts w:hint="eastAsia" w:ascii="宋体" w:hAnsi="宋体" w:cs="宋体"/>
          <w:b/>
          <w:bCs/>
          <w:color w:val="auto"/>
          <w:szCs w:val="21"/>
        </w:rPr>
        <w:t>履约保证金。</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 本项目需要缴</w:t>
      </w:r>
      <w:r>
        <w:rPr>
          <w:rFonts w:hint="eastAsia" w:ascii="宋体" w:hAnsi="宋体" w:cs="宋体"/>
          <w:b/>
          <w:bCs/>
          <w:color w:val="auto"/>
          <w:kern w:val="0"/>
          <w:szCs w:val="21"/>
        </w:rPr>
        <w:t>纳</w:t>
      </w:r>
      <w:r>
        <w:rPr>
          <w:rFonts w:hint="eastAsia" w:ascii="宋体" w:hAnsi="宋体" w:cs="宋体"/>
          <w:b/>
          <w:bCs/>
          <w:color w:val="auto"/>
          <w:szCs w:val="21"/>
        </w:rPr>
        <w:t>履约保证金，相关要求如下：</w:t>
      </w:r>
    </w:p>
    <w:p>
      <w:pPr>
        <w:spacing w:line="360" w:lineRule="auto"/>
        <w:ind w:firstLine="420" w:firstLineChars="200"/>
        <w:rPr>
          <w:rFonts w:ascii="宋体" w:hAnsi="宋体" w:cs="宋体"/>
          <w:i/>
          <w:iCs/>
          <w:color w:val="auto"/>
          <w:szCs w:val="21"/>
          <w:highlight w:val="yellow"/>
        </w:rPr>
      </w:pPr>
      <w:r>
        <w:rPr>
          <w:rFonts w:hint="eastAsia" w:ascii="宋体" w:hAnsi="宋体" w:cs="宋体"/>
          <w:color w:val="auto"/>
          <w:szCs w:val="21"/>
        </w:rPr>
        <w:t>1.履约保证金金额：按项目成交总金额的</w:t>
      </w:r>
      <w:r>
        <w:rPr>
          <w:rFonts w:hint="eastAsia" w:ascii="宋体" w:hAnsi="宋体" w:cs="宋体"/>
          <w:color w:val="auto"/>
          <w:szCs w:val="21"/>
          <w:u w:val="single"/>
        </w:rPr>
        <w:t xml:space="preserve"> 2 </w:t>
      </w:r>
      <w:r>
        <w:rPr>
          <w:rFonts w:hint="eastAsia" w:ascii="宋体"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2.履约保证金提交方式：成交供应商在</w:t>
      </w:r>
      <w:r>
        <w:rPr>
          <w:rFonts w:hint="eastAsia" w:ascii="宋体" w:hAnsi="宋体" w:cs="宋体"/>
          <w:color w:val="auto"/>
          <w:kern w:val="0"/>
          <w:szCs w:val="21"/>
          <w:u w:val="single"/>
        </w:rPr>
        <w:t>签订合同</w:t>
      </w:r>
      <w:r>
        <w:rPr>
          <w:rFonts w:hint="eastAsia" w:ascii="宋体" w:hAnsi="宋体" w:cs="宋体"/>
          <w:color w:val="auto"/>
          <w:szCs w:val="21"/>
          <w:u w:val="single"/>
        </w:rPr>
        <w:t>前</w:t>
      </w:r>
      <w:r>
        <w:rPr>
          <w:rFonts w:hint="eastAsia" w:ascii="宋体" w:hAnsi="宋体" w:cs="宋体"/>
          <w:color w:val="auto"/>
          <w:szCs w:val="21"/>
        </w:rPr>
        <w:t>以银行转账、支票、汇票、本票或者金融机构、担保机构出具的保函等非现金方式向</w:t>
      </w:r>
      <w:r>
        <w:rPr>
          <w:rFonts w:hint="eastAsia" w:ascii="宋体" w:hAnsi="宋体" w:cs="宋体"/>
          <w:color w:val="auto"/>
          <w:szCs w:val="21"/>
          <w:u w:val="single"/>
        </w:rPr>
        <w:t>采购人</w:t>
      </w:r>
      <w:r>
        <w:rPr>
          <w:rFonts w:hint="eastAsia" w:ascii="宋体" w:hAnsi="宋体" w:cs="宋体"/>
          <w:color w:val="auto"/>
          <w:szCs w:val="21"/>
        </w:rPr>
        <w:t>提交。</w:t>
      </w:r>
    </w:p>
    <w:p>
      <w:pPr>
        <w:spacing w:line="360" w:lineRule="auto"/>
        <w:ind w:firstLine="420" w:firstLineChars="200"/>
        <w:rPr>
          <w:rFonts w:ascii="宋体" w:hAnsi="宋体" w:cs="宋体"/>
          <w:color w:val="auto"/>
          <w:szCs w:val="21"/>
        </w:rPr>
      </w:pPr>
      <w:r>
        <w:rPr>
          <w:rFonts w:hint="eastAsia" w:ascii="宋体" w:hAnsi="宋体" w:cs="宋体"/>
          <w:color w:val="auto"/>
          <w:szCs w:val="21"/>
        </w:rPr>
        <w:t>3.履约保证金退付方式、时间及条件</w:t>
      </w:r>
      <w:r>
        <w:rPr>
          <w:rFonts w:hint="eastAsia"/>
          <w:color w:val="auto"/>
          <w:szCs w:val="21"/>
        </w:rPr>
        <w:t>：</w:t>
      </w:r>
      <w:r>
        <w:rPr>
          <w:rFonts w:hint="eastAsia"/>
          <w:color w:val="auto"/>
          <w:szCs w:val="21"/>
          <w:u w:val="single"/>
        </w:rPr>
        <w:t>履约保证金待履行完合同约定的权利义务事项后且不存在争议的，由成交供应商向履约保证金收取单位提供《政府采购项目合同验收书》及《政府采购项目履约保证金退付意见书》，履约保证金收取单位在收到合格材料后5个工作日内办理退还手续（不计利息）。</w:t>
      </w:r>
    </w:p>
    <w:p>
      <w:pPr>
        <w:spacing w:line="360" w:lineRule="auto"/>
        <w:ind w:firstLine="420" w:firstLineChars="200"/>
        <w:rPr>
          <w:rFonts w:ascii="宋体" w:hAnsi="宋体" w:cs="宋体"/>
          <w:color w:val="auto"/>
          <w:szCs w:val="21"/>
        </w:rPr>
      </w:pPr>
      <w:r>
        <w:rPr>
          <w:rFonts w:hint="eastAsia" w:ascii="宋体" w:hAnsi="宋体" w:cs="宋体"/>
          <w:color w:val="auto"/>
          <w:szCs w:val="21"/>
        </w:rPr>
        <w:t>4.缴纳履约保证金指定账户的信息</w:t>
      </w:r>
      <w:r>
        <w:rPr>
          <w:rFonts w:hint="eastAsia" w:ascii="宋体" w:hAnsi="宋体" w:cs="宋体"/>
          <w:color w:val="auto"/>
          <w:szCs w:val="21"/>
          <w:lang w:eastAsia="zh-CN"/>
        </w:rPr>
        <w:t>（</w:t>
      </w:r>
      <w:r>
        <w:rPr>
          <w:rFonts w:hint="eastAsia" w:ascii="宋体" w:hAnsi="宋体" w:cs="宋体"/>
          <w:color w:val="auto"/>
          <w:szCs w:val="21"/>
          <w:lang w:val="en-US" w:eastAsia="zh-CN"/>
        </w:rPr>
        <w:t>采购人自行提供</w:t>
      </w:r>
      <w:r>
        <w:rPr>
          <w:rFonts w:hint="eastAsia" w:ascii="宋体" w:hAnsi="宋体" w:cs="宋体"/>
          <w:color w:val="auto"/>
          <w:szCs w:val="21"/>
          <w:lang w:eastAsia="zh-CN"/>
        </w:rPr>
        <w:t>）</w:t>
      </w:r>
      <w:r>
        <w:rPr>
          <w:rFonts w:hint="eastAsia" w:ascii="宋体"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开户名称：</w:t>
      </w:r>
      <w:r>
        <w:rPr>
          <w:rFonts w:hint="eastAsia" w:ascii="宋体" w:hAnsi="宋体" w:cs="宋体"/>
          <w:color w:val="auto"/>
          <w:szCs w:val="21"/>
          <w:u w:val="single"/>
        </w:rPr>
        <w:t xml:space="preserve">                </w:t>
      </w:r>
    </w:p>
    <w:p>
      <w:pPr>
        <w:spacing w:line="360" w:lineRule="auto"/>
        <w:ind w:firstLine="420" w:firstLineChars="200"/>
        <w:rPr>
          <w:rFonts w:ascii="宋体" w:hAnsi="宋体" w:cs="宋体"/>
          <w:color w:val="auto"/>
          <w:szCs w:val="21"/>
        </w:rPr>
      </w:pPr>
      <w:r>
        <w:rPr>
          <w:rFonts w:hint="eastAsia" w:ascii="宋体" w:hAnsi="宋体" w:cs="宋体"/>
          <w:color w:val="auto"/>
          <w:szCs w:val="21"/>
        </w:rPr>
        <w:t>开户银行：</w:t>
      </w:r>
      <w:r>
        <w:rPr>
          <w:rFonts w:hint="eastAsia" w:ascii="宋体" w:hAnsi="宋体" w:cs="宋体"/>
          <w:color w:val="auto"/>
          <w:szCs w:val="21"/>
          <w:u w:val="single"/>
        </w:rPr>
        <w:t xml:space="preserve">                </w:t>
      </w:r>
    </w:p>
    <w:p>
      <w:pPr>
        <w:spacing w:line="360" w:lineRule="auto"/>
        <w:ind w:firstLine="420" w:firstLineChars="200"/>
        <w:rPr>
          <w:rFonts w:ascii="宋体" w:hAnsi="宋体" w:cs="宋体"/>
          <w:color w:val="auto"/>
          <w:szCs w:val="21"/>
          <w:u w:val="single"/>
        </w:rPr>
      </w:pPr>
      <w:r>
        <w:rPr>
          <w:rFonts w:hint="eastAsia" w:ascii="宋体" w:hAnsi="宋体" w:cs="宋体"/>
          <w:color w:val="auto"/>
          <w:szCs w:val="21"/>
        </w:rPr>
        <w:t>银行账号：</w:t>
      </w:r>
      <w:r>
        <w:rPr>
          <w:rFonts w:hint="eastAsia" w:ascii="宋体" w:hAnsi="宋体" w:cs="宋体"/>
          <w:color w:val="auto"/>
          <w:szCs w:val="21"/>
          <w:u w:val="single"/>
        </w:rPr>
        <w:t xml:space="preserve">                </w:t>
      </w:r>
    </w:p>
    <w:p>
      <w:pPr>
        <w:spacing w:line="360" w:lineRule="auto"/>
        <w:ind w:firstLine="420" w:firstLineChars="200"/>
        <w:rPr>
          <w:rFonts w:ascii="宋体" w:hAnsi="宋体" w:cs="宋体"/>
          <w:color w:val="auto"/>
          <w:szCs w:val="21"/>
        </w:rPr>
      </w:pPr>
      <w:r>
        <w:rPr>
          <w:rFonts w:hint="eastAsia" w:ascii="宋体" w:hAnsi="宋体" w:cs="宋体"/>
          <w:color w:val="auto"/>
          <w:szCs w:val="21"/>
        </w:rPr>
        <w:t>开户行行号：</w:t>
      </w:r>
      <w:r>
        <w:rPr>
          <w:rFonts w:hint="eastAsia" w:ascii="宋体" w:hAnsi="宋体" w:cs="宋体"/>
          <w:color w:val="auto"/>
          <w:szCs w:val="21"/>
          <w:u w:val="single"/>
        </w:rPr>
        <w:t xml:space="preserve">              </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备注：</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1.根据</w:t>
      </w:r>
      <w:r>
        <w:rPr>
          <w:rFonts w:hint="eastAsia" w:ascii="宋体" w:hAnsi="宋体"/>
          <w:b/>
          <w:color w:val="auto"/>
          <w:szCs w:val="21"/>
        </w:rPr>
        <w:t>《广西壮族自治区财政厅关于贯彻落实政府采购优化营商环境百日攻坚行动方案的通知》（桂财采〔2020〕49号）和</w:t>
      </w:r>
      <w:r>
        <w:rPr>
          <w:rFonts w:hint="eastAsia" w:ascii="宋体" w:hAnsi="宋体" w:cs="宋体"/>
          <w:b/>
          <w:color w:val="auto"/>
          <w:szCs w:val="21"/>
        </w:rPr>
        <w:t>《广西壮族自治区财政厅关于规范政府采购货物和服务项目保证金管理的通知》（桂财规〔2022〕8号）规定，鼓励采购人在与中小微企业签订政府采购合同时，减少或免于收取履约保证金，有必要收取履约保证金的，收取的履约保证金不得超过政府采购合同金额的5%，对中小企业收取的履约保证金数额不得超过政府采购合同金额的2%。</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2.履约保证金不足额缴纳的（包含保函额度不足的），或者不按规定提交方式提交的，或者保函有效期低于合同履行期限的（即合同中规定的当事人履行自己的义务，如交付标的物、价款或者报酬，履行劳务、完成工作的时间界限）的，视为未按规定提交履约保证金。</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3.采用金融、担保机构出具保函的，必须为无条件保函，否则视为未按规定提交履约保证金。</w:t>
      </w:r>
    </w:p>
    <w:p>
      <w:pPr>
        <w:spacing w:line="360" w:lineRule="auto"/>
        <w:ind w:firstLine="422" w:firstLineChars="200"/>
        <w:rPr>
          <w:color w:val="auto"/>
        </w:rPr>
      </w:pPr>
      <w:r>
        <w:rPr>
          <w:rFonts w:hint="eastAsia" w:ascii="宋体" w:hAnsi="宋体" w:cs="宋体"/>
          <w:b/>
          <w:color w:val="auto"/>
          <w:szCs w:val="21"/>
        </w:rPr>
        <w:t>4.供应商为联合体的，可由联合体任意一方或者联合体各方共同提交的履约保证金，视为有效履约保证金。</w:t>
      </w:r>
    </w:p>
    <w:p>
      <w:pPr>
        <w:snapToGrid w:val="0"/>
        <w:spacing w:line="440" w:lineRule="exact"/>
        <w:ind w:firstLine="420" w:firstLineChars="200"/>
        <w:rPr>
          <w:color w:val="auto"/>
        </w:rPr>
      </w:pPr>
      <w:r>
        <w:rPr>
          <w:color w:val="auto"/>
          <w:szCs w:val="21"/>
        </w:rPr>
        <w:t>28.2如果成交供应商没能按上述第28.1款规定执行，取消该成交资格并没收其竞标保证金，并有权授予第二成交候选供应商为成交供应商资格（依次类推）或重新组织采购。</w:t>
      </w:r>
    </w:p>
    <w:p>
      <w:pPr>
        <w:snapToGrid w:val="0"/>
        <w:spacing w:line="440" w:lineRule="exact"/>
        <w:ind w:firstLine="420" w:firstLineChars="200"/>
        <w:rPr>
          <w:color w:val="auto"/>
        </w:rPr>
      </w:pPr>
      <w:r>
        <w:rPr>
          <w:color w:val="auto"/>
        </w:rPr>
        <w:t>28.3</w:t>
      </w:r>
      <w:r>
        <w:rPr>
          <w:color w:val="auto"/>
          <w:szCs w:val="21"/>
        </w:rPr>
        <w:t>工程安装验收合格后，成交供应商将《验收报告单》送交采购人，并凭《验收报告单》和履约保证金收据原件（由采购人开据）办理履约保证金退款手续，采购人在十五个工作日内将履约保证金（无息）退还给成交供应商。如成交供应商不按双方签订的合同规定履约，则没收其全部履约保证金，履约保证金不足以赔偿损失的，按实际损失赔偿。</w:t>
      </w:r>
    </w:p>
    <w:p>
      <w:pPr>
        <w:spacing w:line="440" w:lineRule="exact"/>
        <w:ind w:firstLine="420" w:firstLineChars="200"/>
        <w:rPr>
          <w:color w:val="auto"/>
        </w:rPr>
      </w:pPr>
      <w:r>
        <w:rPr>
          <w:color w:val="auto"/>
        </w:rPr>
        <w:t>28.4在履约保证金到期退还前，若成交供应商的开户名称、开户银行、账号有变动的，以书面形式通知</w:t>
      </w:r>
      <w:r>
        <w:rPr>
          <w:color w:val="auto"/>
          <w:szCs w:val="21"/>
        </w:rPr>
        <w:t>采购人</w:t>
      </w:r>
      <w:r>
        <w:rPr>
          <w:color w:val="auto"/>
        </w:rPr>
        <w:t>，否则由此产生的后果由成交供应商自负。</w:t>
      </w:r>
    </w:p>
    <w:p>
      <w:pPr>
        <w:pStyle w:val="5"/>
        <w:widowControl w:val="0"/>
        <w:spacing w:before="0" w:after="0" w:line="440" w:lineRule="exact"/>
        <w:ind w:firstLine="422" w:firstLineChars="200"/>
        <w:rPr>
          <w:color w:val="auto"/>
          <w:sz w:val="21"/>
          <w:szCs w:val="21"/>
        </w:rPr>
      </w:pPr>
      <w:bookmarkStart w:id="226" w:name="_Toc15790"/>
      <w:r>
        <w:rPr>
          <w:color w:val="auto"/>
          <w:sz w:val="21"/>
          <w:szCs w:val="21"/>
        </w:rPr>
        <w:t>29. 签订合同</w:t>
      </w:r>
      <w:bookmarkEnd w:id="224"/>
      <w:bookmarkEnd w:id="225"/>
      <w:bookmarkEnd w:id="226"/>
    </w:p>
    <w:p>
      <w:pPr>
        <w:spacing w:line="440" w:lineRule="exact"/>
        <w:ind w:firstLine="422" w:firstLineChars="200"/>
        <w:rPr>
          <w:b/>
          <w:bCs/>
          <w:color w:val="auto"/>
          <w:szCs w:val="21"/>
        </w:rPr>
      </w:pPr>
      <w:r>
        <w:rPr>
          <w:b/>
          <w:bCs/>
          <w:color w:val="auto"/>
          <w:szCs w:val="21"/>
        </w:rPr>
        <w:t>29.1 签订合同时间：</w:t>
      </w:r>
      <w:r>
        <w:rPr>
          <w:rFonts w:hint="eastAsia"/>
          <w:b/>
          <w:bCs/>
          <w:color w:val="auto"/>
          <w:szCs w:val="21"/>
        </w:rPr>
        <w:t>成交通知书发出之日起七个工作日内签订合同</w:t>
      </w:r>
      <w:r>
        <w:rPr>
          <w:b/>
          <w:bCs/>
          <w:color w:val="auto"/>
          <w:szCs w:val="21"/>
        </w:rPr>
        <w:t>。成交供应商领取成交通知书后，应按规定与采购人签订合同。</w:t>
      </w:r>
    </w:p>
    <w:p>
      <w:pPr>
        <w:spacing w:line="440" w:lineRule="exact"/>
        <w:ind w:firstLine="420" w:firstLineChars="200"/>
        <w:rPr>
          <w:color w:val="auto"/>
          <w:szCs w:val="21"/>
        </w:rPr>
      </w:pPr>
      <w:r>
        <w:rPr>
          <w:color w:val="auto"/>
          <w:szCs w:val="21"/>
        </w:rPr>
        <w:t>29.2 如成交供应商有下列情形之一的，情节严重的，由财政部门将其列入不良行为记录名单，在一至三年内禁止参加政府采购活动，并予以通报。采购代理机构可从磋商小组推荐的成交候选人中按顺序重新确定成交供应商或重新组织采购。拒绝签订政府采购合同的成交供应商不得参加对该项目重新开展的采购活动。</w:t>
      </w:r>
    </w:p>
    <w:p>
      <w:pPr>
        <w:spacing w:line="440" w:lineRule="exact"/>
        <w:ind w:firstLine="420" w:firstLineChars="200"/>
        <w:rPr>
          <w:color w:val="auto"/>
          <w:szCs w:val="21"/>
        </w:rPr>
      </w:pPr>
      <w:r>
        <w:rPr>
          <w:color w:val="auto"/>
          <w:szCs w:val="21"/>
        </w:rPr>
        <w:t>（1）成交后不与采购人签订合同的（不可抗力除外）；</w:t>
      </w:r>
    </w:p>
    <w:p>
      <w:pPr>
        <w:spacing w:line="440" w:lineRule="exact"/>
        <w:ind w:firstLine="420" w:firstLineChars="200"/>
        <w:rPr>
          <w:color w:val="auto"/>
          <w:szCs w:val="21"/>
        </w:rPr>
      </w:pPr>
      <w:r>
        <w:rPr>
          <w:color w:val="auto"/>
          <w:szCs w:val="21"/>
        </w:rPr>
        <w:t>（2）将成交项目转让给他人，或者在响应文件中未说明，且未经采购人同意，将成交项目分包给他人的；</w:t>
      </w:r>
    </w:p>
    <w:p>
      <w:pPr>
        <w:spacing w:line="440" w:lineRule="exact"/>
        <w:ind w:firstLine="420" w:firstLineChars="200"/>
        <w:rPr>
          <w:color w:val="auto"/>
          <w:szCs w:val="21"/>
        </w:rPr>
      </w:pPr>
      <w:r>
        <w:rPr>
          <w:color w:val="auto"/>
          <w:szCs w:val="21"/>
        </w:rPr>
        <w:t>（3）拒绝履行合同义务的。</w:t>
      </w:r>
    </w:p>
    <w:p>
      <w:pPr>
        <w:spacing w:line="440" w:lineRule="exact"/>
        <w:ind w:firstLine="420" w:firstLineChars="200"/>
        <w:rPr>
          <w:rFonts w:cs="宋体"/>
          <w:color w:val="auto"/>
        </w:rPr>
      </w:pPr>
      <w:r>
        <w:rPr>
          <w:color w:val="auto"/>
          <w:szCs w:val="21"/>
        </w:rPr>
        <w:t>29.3 合同备案存档：</w:t>
      </w:r>
      <w:r>
        <w:rPr>
          <w:color w:val="auto"/>
        </w:rPr>
        <w:t>政府采购合同双方自签订之日起一个工作日内将合同原件一份交采购代理机构，采购代理机构将政府采购合同在省级以上人民政府财政部门指定媒体上公告。</w:t>
      </w:r>
    </w:p>
    <w:p>
      <w:pPr>
        <w:pStyle w:val="4"/>
        <w:tabs>
          <w:tab w:val="left" w:pos="567"/>
        </w:tabs>
        <w:spacing w:line="440" w:lineRule="exact"/>
        <w:jc w:val="center"/>
        <w:rPr>
          <w:rFonts w:ascii="Times New Roman" w:hAnsi="Times New Roman" w:cs="宋体"/>
          <w:bCs w:val="0"/>
          <w:color w:val="auto"/>
          <w:szCs w:val="28"/>
        </w:rPr>
      </w:pPr>
      <w:bookmarkStart w:id="227" w:name="_Toc16348"/>
      <w:bookmarkStart w:id="228" w:name="_Toc17898"/>
      <w:bookmarkStart w:id="229" w:name="_Toc1631"/>
      <w:bookmarkStart w:id="230" w:name="_Toc11467"/>
      <w:r>
        <w:rPr>
          <w:rFonts w:hint="eastAsia" w:ascii="Times New Roman" w:hAnsi="Times New Roman" w:cs="宋体"/>
          <w:bCs w:val="0"/>
          <w:color w:val="auto"/>
          <w:szCs w:val="28"/>
        </w:rPr>
        <w:t>六、其他事项</w:t>
      </w:r>
      <w:bookmarkEnd w:id="227"/>
      <w:bookmarkEnd w:id="228"/>
      <w:bookmarkEnd w:id="229"/>
      <w:bookmarkEnd w:id="230"/>
    </w:p>
    <w:p>
      <w:pPr>
        <w:pStyle w:val="5"/>
        <w:widowControl w:val="0"/>
        <w:spacing w:before="0" w:after="0" w:line="440" w:lineRule="exact"/>
        <w:ind w:firstLine="422" w:firstLineChars="200"/>
        <w:rPr>
          <w:rFonts w:cs="宋体"/>
          <w:color w:val="auto"/>
          <w:sz w:val="21"/>
          <w:szCs w:val="21"/>
        </w:rPr>
      </w:pPr>
      <w:bookmarkStart w:id="231" w:name="_Toc28647"/>
      <w:bookmarkStart w:id="232" w:name="_Toc29572"/>
      <w:bookmarkStart w:id="233" w:name="_Toc17296"/>
      <w:r>
        <w:rPr>
          <w:rFonts w:hint="eastAsia" w:cs="宋体"/>
          <w:color w:val="auto"/>
          <w:sz w:val="21"/>
          <w:szCs w:val="21"/>
        </w:rPr>
        <w:t>30. 采购代理服务费</w:t>
      </w:r>
      <w:bookmarkEnd w:id="231"/>
      <w:bookmarkEnd w:id="232"/>
      <w:bookmarkEnd w:id="233"/>
    </w:p>
    <w:p>
      <w:pPr>
        <w:spacing w:line="440" w:lineRule="exact"/>
        <w:ind w:firstLine="420" w:firstLineChars="200"/>
        <w:rPr>
          <w:color w:val="auto"/>
        </w:rPr>
      </w:pPr>
      <w:bookmarkStart w:id="234" w:name="_Toc9779"/>
      <w:bookmarkStart w:id="235" w:name="_Toc12374"/>
      <w:r>
        <w:rPr>
          <w:rFonts w:hint="eastAsia"/>
          <w:color w:val="auto"/>
        </w:rPr>
        <w:t>30.1.采购代理服务费支付方式：</w:t>
      </w:r>
    </w:p>
    <w:p>
      <w:pPr>
        <w:spacing w:line="440" w:lineRule="exact"/>
        <w:ind w:firstLine="420" w:firstLineChars="200"/>
        <w:rPr>
          <w:rFonts w:cs="宋体"/>
          <w:color w:val="auto"/>
          <w:kern w:val="0"/>
          <w:szCs w:val="21"/>
        </w:rPr>
      </w:pPr>
      <w:r>
        <w:rPr>
          <w:rFonts w:hint="eastAsia" w:cs="宋体"/>
          <w:color w:val="auto"/>
          <w:kern w:val="0"/>
          <w:szCs w:val="21"/>
        </w:rPr>
        <w:t>本项目</w:t>
      </w:r>
      <w:r>
        <w:rPr>
          <w:rFonts w:hint="eastAsia"/>
          <w:color w:val="auto"/>
        </w:rPr>
        <w:t>采购</w:t>
      </w:r>
      <w:r>
        <w:rPr>
          <w:rFonts w:hint="eastAsia" w:cs="宋体"/>
          <w:color w:val="auto"/>
          <w:kern w:val="0"/>
          <w:szCs w:val="21"/>
        </w:rPr>
        <w:t>代理服务费由</w:t>
      </w:r>
      <w:r>
        <w:rPr>
          <w:rFonts w:hint="eastAsia" w:cs="宋体"/>
          <w:color w:val="auto"/>
          <w:kern w:val="0"/>
          <w:szCs w:val="21"/>
          <w:u w:val="single"/>
        </w:rPr>
        <w:t>成交供应商</w:t>
      </w:r>
      <w:r>
        <w:rPr>
          <w:rFonts w:hint="eastAsia" w:cs="宋体"/>
          <w:color w:val="auto"/>
          <w:kern w:val="0"/>
          <w:szCs w:val="21"/>
        </w:rPr>
        <w:t>在签订合同前，</w:t>
      </w:r>
      <w:r>
        <w:rPr>
          <w:rFonts w:hint="eastAsia" w:cs="宋体"/>
          <w:color w:val="auto"/>
        </w:rPr>
        <w:t>以银行转账、电汇等方式</w:t>
      </w:r>
      <w:r>
        <w:rPr>
          <w:rFonts w:hint="eastAsia" w:cs="宋体"/>
          <w:color w:val="auto"/>
          <w:kern w:val="0"/>
          <w:szCs w:val="21"/>
        </w:rPr>
        <w:t>一次性向采购代理机构支付。</w:t>
      </w:r>
    </w:p>
    <w:p>
      <w:pPr>
        <w:spacing w:line="440" w:lineRule="exact"/>
        <w:ind w:firstLine="420" w:firstLineChars="200"/>
        <w:rPr>
          <w:rFonts w:cs="宋体"/>
          <w:color w:val="auto"/>
          <w:kern w:val="0"/>
          <w:szCs w:val="21"/>
        </w:rPr>
      </w:pPr>
      <w:r>
        <w:rPr>
          <w:rFonts w:hint="eastAsia" w:cs="宋体"/>
          <w:color w:val="auto"/>
          <w:kern w:val="0"/>
          <w:szCs w:val="21"/>
        </w:rPr>
        <w:t>30.2</w:t>
      </w:r>
      <w:r>
        <w:rPr>
          <w:rFonts w:hint="eastAsia"/>
          <w:color w:val="auto"/>
        </w:rPr>
        <w:t>采购</w:t>
      </w:r>
      <w:r>
        <w:rPr>
          <w:rFonts w:hint="eastAsia" w:cs="宋体"/>
          <w:color w:val="auto"/>
          <w:kern w:val="0"/>
          <w:szCs w:val="21"/>
        </w:rPr>
        <w:t>代理服务费收取标准：</w:t>
      </w:r>
    </w:p>
    <w:p>
      <w:pPr>
        <w:spacing w:line="440" w:lineRule="exact"/>
        <w:ind w:firstLine="420" w:firstLineChars="200"/>
        <w:rPr>
          <w:rFonts w:cs="宋体"/>
          <w:color w:val="auto"/>
          <w:kern w:val="0"/>
          <w:szCs w:val="21"/>
        </w:rPr>
      </w:pPr>
      <w:r>
        <w:rPr>
          <w:rFonts w:hint="eastAsia" w:cs="宋体"/>
          <w:color w:val="auto"/>
          <w:kern w:val="0"/>
          <w:szCs w:val="21"/>
        </w:rPr>
        <w:t>以项目成交总金额为计费额，按</w:t>
      </w:r>
      <w:r>
        <w:rPr>
          <w:rFonts w:hint="eastAsia" w:cs="宋体"/>
          <w:color w:val="auto"/>
        </w:rPr>
        <w:t>本须知正文第30.3条规定的工程类收费计算标准</w:t>
      </w:r>
      <w:r>
        <w:rPr>
          <w:rFonts w:hint="eastAsia" w:ascii="宋体" w:hAnsi="宋体"/>
          <w:color w:val="auto"/>
        </w:rPr>
        <w:t>下浮20%计算</w:t>
      </w:r>
      <w:r>
        <w:rPr>
          <w:rFonts w:hint="eastAsia" w:cs="宋体"/>
          <w:color w:val="auto"/>
          <w:kern w:val="0"/>
          <w:szCs w:val="21"/>
        </w:rPr>
        <w:t>。</w:t>
      </w:r>
    </w:p>
    <w:p>
      <w:pPr>
        <w:spacing w:line="440" w:lineRule="exact"/>
        <w:ind w:firstLine="420" w:firstLineChars="200"/>
        <w:rPr>
          <w:rFonts w:cs="宋体"/>
          <w:color w:val="auto"/>
        </w:rPr>
      </w:pPr>
      <w:r>
        <w:rPr>
          <w:rFonts w:hint="eastAsia" w:cs="宋体"/>
          <w:color w:val="auto"/>
          <w:szCs w:val="21"/>
        </w:rPr>
        <w:t>30.3采购代理服务费收费计算标准：</w:t>
      </w:r>
    </w:p>
    <w:tbl>
      <w:tblPr>
        <w:tblStyle w:val="53"/>
        <w:tblW w:w="0" w:type="auto"/>
        <w:tblInd w:w="5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5"/>
        <w:gridCol w:w="1659"/>
        <w:gridCol w:w="1532"/>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735" w:type="dxa"/>
            <w:tcBorders>
              <w:tl2br w:val="single" w:color="auto" w:sz="4" w:space="0"/>
            </w:tcBorders>
            <w:shd w:val="clear" w:color="auto" w:fill="8DB3E2" w:themeFill="text2" w:themeFillTint="66"/>
          </w:tcPr>
          <w:p>
            <w:pPr>
              <w:spacing w:line="360" w:lineRule="auto"/>
              <w:rPr>
                <w:rFonts w:cs="宋体"/>
                <w:b/>
                <w:bCs/>
                <w:color w:val="auto"/>
                <w:szCs w:val="21"/>
              </w:rPr>
            </w:pPr>
            <w:r>
              <w:rPr>
                <w:rFonts w:hint="eastAsia" w:cs="宋体"/>
                <w:b/>
                <w:bCs/>
                <w:color w:val="auto"/>
                <w:szCs w:val="21"/>
              </w:rPr>
              <w:t xml:space="preserve">                       费率</w:t>
            </w:r>
          </w:p>
          <w:p>
            <w:pPr>
              <w:spacing w:line="360" w:lineRule="auto"/>
              <w:rPr>
                <w:rFonts w:cs="宋体"/>
                <w:b/>
                <w:bCs/>
                <w:color w:val="auto"/>
                <w:szCs w:val="21"/>
              </w:rPr>
            </w:pPr>
            <w:r>
              <w:rPr>
                <w:rFonts w:hint="eastAsia" w:cs="宋体"/>
                <w:b/>
                <w:bCs/>
                <w:color w:val="auto"/>
                <w:szCs w:val="21"/>
              </w:rPr>
              <w:t>金额</w:t>
            </w:r>
          </w:p>
        </w:tc>
        <w:tc>
          <w:tcPr>
            <w:tcW w:w="1659" w:type="dxa"/>
            <w:shd w:val="clear" w:color="auto" w:fill="8DB3E2" w:themeFill="text2" w:themeFillTint="66"/>
            <w:vAlign w:val="center"/>
          </w:tcPr>
          <w:p>
            <w:pPr>
              <w:spacing w:line="360" w:lineRule="auto"/>
              <w:ind w:firstLine="105" w:firstLineChars="50"/>
              <w:jc w:val="center"/>
              <w:rPr>
                <w:rFonts w:cs="宋体"/>
                <w:b/>
                <w:bCs/>
                <w:color w:val="auto"/>
                <w:szCs w:val="21"/>
              </w:rPr>
            </w:pPr>
            <w:r>
              <w:rPr>
                <w:rFonts w:hint="eastAsia" w:cs="宋体"/>
                <w:b/>
                <w:bCs/>
                <w:color w:val="auto"/>
                <w:szCs w:val="21"/>
              </w:rPr>
              <w:t>货物类</w:t>
            </w:r>
          </w:p>
        </w:tc>
        <w:tc>
          <w:tcPr>
            <w:tcW w:w="1532" w:type="dxa"/>
            <w:shd w:val="clear" w:color="auto" w:fill="8DB3E2" w:themeFill="text2" w:themeFillTint="66"/>
            <w:vAlign w:val="center"/>
          </w:tcPr>
          <w:p>
            <w:pPr>
              <w:spacing w:line="360" w:lineRule="auto"/>
              <w:jc w:val="center"/>
              <w:rPr>
                <w:rFonts w:cs="宋体"/>
                <w:b/>
                <w:bCs/>
                <w:color w:val="auto"/>
                <w:szCs w:val="21"/>
              </w:rPr>
            </w:pPr>
            <w:r>
              <w:rPr>
                <w:rFonts w:hint="eastAsia" w:cs="宋体"/>
                <w:b/>
                <w:bCs/>
                <w:color w:val="auto"/>
                <w:szCs w:val="21"/>
              </w:rPr>
              <w:t>服务类</w:t>
            </w:r>
          </w:p>
        </w:tc>
        <w:tc>
          <w:tcPr>
            <w:tcW w:w="1546" w:type="dxa"/>
            <w:shd w:val="clear" w:color="auto" w:fill="8DB3E2" w:themeFill="text2" w:themeFillTint="66"/>
            <w:vAlign w:val="center"/>
          </w:tcPr>
          <w:p>
            <w:pPr>
              <w:spacing w:line="360" w:lineRule="auto"/>
              <w:jc w:val="center"/>
              <w:rPr>
                <w:rFonts w:cs="宋体"/>
                <w:b/>
                <w:bCs/>
                <w:color w:val="auto"/>
                <w:szCs w:val="21"/>
              </w:rPr>
            </w:pPr>
            <w:r>
              <w:rPr>
                <w:rFonts w:hint="eastAsia" w:cs="宋体"/>
                <w:b/>
                <w:bCs/>
                <w:color w:val="auto"/>
                <w:szCs w:val="21"/>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color w:val="auto"/>
                <w:szCs w:val="21"/>
              </w:rPr>
            </w:pPr>
            <w:r>
              <w:rPr>
                <w:rFonts w:hint="eastAsia" w:cs="宋体"/>
                <w:color w:val="auto"/>
                <w:szCs w:val="21"/>
              </w:rPr>
              <w:t>100万元以下</w:t>
            </w:r>
          </w:p>
        </w:tc>
        <w:tc>
          <w:tcPr>
            <w:tcW w:w="1659" w:type="dxa"/>
          </w:tcPr>
          <w:p>
            <w:pPr>
              <w:spacing w:line="360" w:lineRule="auto"/>
              <w:jc w:val="center"/>
              <w:rPr>
                <w:rFonts w:cs="宋体"/>
                <w:color w:val="auto"/>
                <w:szCs w:val="21"/>
              </w:rPr>
            </w:pPr>
            <w:r>
              <w:rPr>
                <w:rFonts w:hint="eastAsia" w:cs="宋体"/>
                <w:color w:val="auto"/>
                <w:kern w:val="0"/>
                <w:szCs w:val="21"/>
              </w:rPr>
              <w:t>1.5%</w:t>
            </w:r>
          </w:p>
        </w:tc>
        <w:tc>
          <w:tcPr>
            <w:tcW w:w="1532" w:type="dxa"/>
          </w:tcPr>
          <w:p>
            <w:pPr>
              <w:spacing w:line="360" w:lineRule="auto"/>
              <w:jc w:val="center"/>
              <w:rPr>
                <w:rFonts w:cs="宋体"/>
                <w:color w:val="auto"/>
                <w:szCs w:val="21"/>
              </w:rPr>
            </w:pPr>
            <w:r>
              <w:rPr>
                <w:rFonts w:hint="eastAsia" w:cs="宋体"/>
                <w:color w:val="auto"/>
                <w:kern w:val="0"/>
                <w:szCs w:val="21"/>
              </w:rPr>
              <w:t>1.5%</w:t>
            </w:r>
          </w:p>
        </w:tc>
        <w:tc>
          <w:tcPr>
            <w:tcW w:w="1546" w:type="dxa"/>
          </w:tcPr>
          <w:p>
            <w:pPr>
              <w:spacing w:line="360" w:lineRule="auto"/>
              <w:jc w:val="center"/>
              <w:rPr>
                <w:rFonts w:cs="宋体"/>
                <w:color w:val="auto"/>
                <w:szCs w:val="21"/>
              </w:rPr>
            </w:pPr>
            <w:r>
              <w:rPr>
                <w:rFonts w:hint="eastAsia" w:cs="宋体"/>
                <w:color w:val="auto"/>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color w:val="auto"/>
                <w:szCs w:val="21"/>
              </w:rPr>
            </w:pPr>
            <w:r>
              <w:rPr>
                <w:rFonts w:hint="eastAsia" w:cs="宋体"/>
                <w:color w:val="auto"/>
                <w:szCs w:val="21"/>
              </w:rPr>
              <w:t>100～500万元</w:t>
            </w:r>
          </w:p>
        </w:tc>
        <w:tc>
          <w:tcPr>
            <w:tcW w:w="1659" w:type="dxa"/>
          </w:tcPr>
          <w:p>
            <w:pPr>
              <w:spacing w:line="360" w:lineRule="auto"/>
              <w:jc w:val="center"/>
              <w:rPr>
                <w:rFonts w:cs="宋体"/>
                <w:color w:val="auto"/>
                <w:szCs w:val="21"/>
              </w:rPr>
            </w:pPr>
            <w:r>
              <w:rPr>
                <w:rFonts w:hint="eastAsia" w:cs="宋体"/>
                <w:color w:val="auto"/>
                <w:kern w:val="0"/>
                <w:szCs w:val="21"/>
              </w:rPr>
              <w:t>1.1%</w:t>
            </w:r>
          </w:p>
        </w:tc>
        <w:tc>
          <w:tcPr>
            <w:tcW w:w="1532" w:type="dxa"/>
          </w:tcPr>
          <w:p>
            <w:pPr>
              <w:spacing w:line="360" w:lineRule="auto"/>
              <w:jc w:val="center"/>
              <w:rPr>
                <w:rFonts w:cs="宋体"/>
                <w:color w:val="auto"/>
                <w:szCs w:val="21"/>
              </w:rPr>
            </w:pPr>
            <w:r>
              <w:rPr>
                <w:rFonts w:hint="eastAsia" w:cs="宋体"/>
                <w:color w:val="auto"/>
                <w:kern w:val="0"/>
                <w:szCs w:val="21"/>
              </w:rPr>
              <w:t>0.8%</w:t>
            </w:r>
          </w:p>
        </w:tc>
        <w:tc>
          <w:tcPr>
            <w:tcW w:w="1546" w:type="dxa"/>
          </w:tcPr>
          <w:p>
            <w:pPr>
              <w:spacing w:line="360" w:lineRule="auto"/>
              <w:jc w:val="center"/>
              <w:rPr>
                <w:rFonts w:cs="宋体"/>
                <w:color w:val="auto"/>
                <w:szCs w:val="21"/>
              </w:rPr>
            </w:pPr>
            <w:r>
              <w:rPr>
                <w:rFonts w:hint="eastAsia" w:cs="宋体"/>
                <w:color w:val="auto"/>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color w:val="auto"/>
                <w:szCs w:val="21"/>
              </w:rPr>
            </w:pPr>
            <w:r>
              <w:rPr>
                <w:rFonts w:hint="eastAsia" w:cs="宋体"/>
                <w:color w:val="auto"/>
                <w:szCs w:val="21"/>
              </w:rPr>
              <w:t>500～1000万元</w:t>
            </w:r>
          </w:p>
        </w:tc>
        <w:tc>
          <w:tcPr>
            <w:tcW w:w="1659" w:type="dxa"/>
          </w:tcPr>
          <w:p>
            <w:pPr>
              <w:spacing w:line="360" w:lineRule="auto"/>
              <w:jc w:val="center"/>
              <w:rPr>
                <w:rFonts w:cs="宋体"/>
                <w:color w:val="auto"/>
                <w:szCs w:val="21"/>
              </w:rPr>
            </w:pPr>
            <w:r>
              <w:rPr>
                <w:rFonts w:hint="eastAsia" w:cs="宋体"/>
                <w:color w:val="auto"/>
                <w:kern w:val="0"/>
                <w:szCs w:val="21"/>
              </w:rPr>
              <w:t>0.8%</w:t>
            </w:r>
          </w:p>
        </w:tc>
        <w:tc>
          <w:tcPr>
            <w:tcW w:w="1532" w:type="dxa"/>
          </w:tcPr>
          <w:p>
            <w:pPr>
              <w:spacing w:line="360" w:lineRule="auto"/>
              <w:jc w:val="center"/>
              <w:rPr>
                <w:rFonts w:cs="宋体"/>
                <w:color w:val="auto"/>
                <w:szCs w:val="21"/>
              </w:rPr>
            </w:pPr>
            <w:r>
              <w:rPr>
                <w:rFonts w:hint="eastAsia" w:cs="宋体"/>
                <w:color w:val="auto"/>
                <w:kern w:val="0"/>
                <w:szCs w:val="21"/>
              </w:rPr>
              <w:t>0.45%</w:t>
            </w:r>
          </w:p>
        </w:tc>
        <w:tc>
          <w:tcPr>
            <w:tcW w:w="1546" w:type="dxa"/>
          </w:tcPr>
          <w:p>
            <w:pPr>
              <w:spacing w:line="360" w:lineRule="auto"/>
              <w:jc w:val="center"/>
              <w:rPr>
                <w:rFonts w:cs="宋体"/>
                <w:color w:val="auto"/>
                <w:szCs w:val="21"/>
              </w:rPr>
            </w:pPr>
            <w:r>
              <w:rPr>
                <w:rFonts w:hint="eastAsia" w:cs="宋体"/>
                <w:color w:val="auto"/>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color w:val="auto"/>
                <w:szCs w:val="21"/>
              </w:rPr>
            </w:pPr>
            <w:r>
              <w:rPr>
                <w:rFonts w:hint="eastAsia" w:cs="宋体"/>
                <w:color w:val="auto"/>
                <w:szCs w:val="21"/>
              </w:rPr>
              <w:t>1000～5000万元</w:t>
            </w:r>
          </w:p>
        </w:tc>
        <w:tc>
          <w:tcPr>
            <w:tcW w:w="1659" w:type="dxa"/>
          </w:tcPr>
          <w:p>
            <w:pPr>
              <w:spacing w:line="360" w:lineRule="auto"/>
              <w:jc w:val="center"/>
              <w:rPr>
                <w:rFonts w:cs="宋体"/>
                <w:color w:val="auto"/>
                <w:szCs w:val="21"/>
              </w:rPr>
            </w:pPr>
            <w:r>
              <w:rPr>
                <w:rFonts w:hint="eastAsia" w:cs="宋体"/>
                <w:color w:val="auto"/>
                <w:kern w:val="0"/>
                <w:szCs w:val="21"/>
              </w:rPr>
              <w:t>0.5%</w:t>
            </w:r>
          </w:p>
        </w:tc>
        <w:tc>
          <w:tcPr>
            <w:tcW w:w="1532" w:type="dxa"/>
          </w:tcPr>
          <w:p>
            <w:pPr>
              <w:spacing w:line="360" w:lineRule="auto"/>
              <w:jc w:val="center"/>
              <w:rPr>
                <w:rFonts w:cs="宋体"/>
                <w:color w:val="auto"/>
                <w:szCs w:val="21"/>
              </w:rPr>
            </w:pPr>
            <w:r>
              <w:rPr>
                <w:rFonts w:hint="eastAsia" w:cs="宋体"/>
                <w:color w:val="auto"/>
                <w:kern w:val="0"/>
                <w:szCs w:val="21"/>
              </w:rPr>
              <w:t>0.25%</w:t>
            </w:r>
          </w:p>
        </w:tc>
        <w:tc>
          <w:tcPr>
            <w:tcW w:w="1546" w:type="dxa"/>
          </w:tcPr>
          <w:p>
            <w:pPr>
              <w:spacing w:line="360" w:lineRule="auto"/>
              <w:jc w:val="center"/>
              <w:rPr>
                <w:rFonts w:cs="宋体"/>
                <w:color w:val="auto"/>
                <w:szCs w:val="21"/>
              </w:rPr>
            </w:pPr>
            <w:r>
              <w:rPr>
                <w:rFonts w:hint="eastAsia" w:cs="宋体"/>
                <w:color w:val="auto"/>
                <w:kern w:val="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color w:val="auto"/>
                <w:szCs w:val="21"/>
              </w:rPr>
            </w:pPr>
            <w:r>
              <w:rPr>
                <w:rFonts w:hint="eastAsia" w:cs="宋体"/>
                <w:color w:val="auto"/>
                <w:szCs w:val="21"/>
              </w:rPr>
              <w:t>5000万元～1亿元</w:t>
            </w:r>
          </w:p>
        </w:tc>
        <w:tc>
          <w:tcPr>
            <w:tcW w:w="1659" w:type="dxa"/>
          </w:tcPr>
          <w:p>
            <w:pPr>
              <w:spacing w:line="360" w:lineRule="auto"/>
              <w:jc w:val="center"/>
              <w:rPr>
                <w:rFonts w:cs="宋体"/>
                <w:color w:val="auto"/>
                <w:szCs w:val="21"/>
              </w:rPr>
            </w:pPr>
            <w:r>
              <w:rPr>
                <w:rFonts w:hint="eastAsia" w:cs="宋体"/>
                <w:color w:val="auto"/>
                <w:kern w:val="0"/>
                <w:szCs w:val="21"/>
              </w:rPr>
              <w:t>0.25%</w:t>
            </w:r>
          </w:p>
        </w:tc>
        <w:tc>
          <w:tcPr>
            <w:tcW w:w="1532" w:type="dxa"/>
          </w:tcPr>
          <w:p>
            <w:pPr>
              <w:spacing w:line="360" w:lineRule="auto"/>
              <w:jc w:val="center"/>
              <w:rPr>
                <w:rFonts w:cs="宋体"/>
                <w:color w:val="auto"/>
                <w:szCs w:val="21"/>
              </w:rPr>
            </w:pPr>
            <w:r>
              <w:rPr>
                <w:rFonts w:hint="eastAsia" w:cs="宋体"/>
                <w:color w:val="auto"/>
                <w:kern w:val="0"/>
                <w:szCs w:val="21"/>
              </w:rPr>
              <w:t>0.1%</w:t>
            </w:r>
          </w:p>
        </w:tc>
        <w:tc>
          <w:tcPr>
            <w:tcW w:w="1546" w:type="dxa"/>
          </w:tcPr>
          <w:p>
            <w:pPr>
              <w:spacing w:line="360" w:lineRule="auto"/>
              <w:jc w:val="center"/>
              <w:rPr>
                <w:rFonts w:cs="宋体"/>
                <w:color w:val="auto"/>
                <w:szCs w:val="21"/>
              </w:rPr>
            </w:pPr>
            <w:r>
              <w:rPr>
                <w:rFonts w:hint="eastAsia" w:cs="宋体"/>
                <w:color w:val="auto"/>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color w:val="auto"/>
                <w:szCs w:val="21"/>
              </w:rPr>
            </w:pPr>
            <w:r>
              <w:rPr>
                <w:rFonts w:hint="eastAsia" w:cs="宋体"/>
                <w:color w:val="auto"/>
                <w:szCs w:val="21"/>
              </w:rPr>
              <w:t>1～5亿元</w:t>
            </w:r>
          </w:p>
        </w:tc>
        <w:tc>
          <w:tcPr>
            <w:tcW w:w="1659" w:type="dxa"/>
          </w:tcPr>
          <w:p>
            <w:pPr>
              <w:spacing w:line="360" w:lineRule="auto"/>
              <w:jc w:val="center"/>
              <w:rPr>
                <w:rFonts w:cs="宋体"/>
                <w:color w:val="auto"/>
                <w:szCs w:val="21"/>
              </w:rPr>
            </w:pPr>
            <w:r>
              <w:rPr>
                <w:rFonts w:hint="eastAsia" w:cs="宋体"/>
                <w:color w:val="auto"/>
                <w:szCs w:val="21"/>
              </w:rPr>
              <w:t>0.05%</w:t>
            </w:r>
          </w:p>
        </w:tc>
        <w:tc>
          <w:tcPr>
            <w:tcW w:w="1532" w:type="dxa"/>
          </w:tcPr>
          <w:p>
            <w:pPr>
              <w:spacing w:line="360" w:lineRule="auto"/>
              <w:jc w:val="center"/>
              <w:rPr>
                <w:rFonts w:cs="宋体"/>
                <w:color w:val="auto"/>
                <w:szCs w:val="21"/>
              </w:rPr>
            </w:pPr>
            <w:r>
              <w:rPr>
                <w:rFonts w:hint="eastAsia" w:cs="宋体"/>
                <w:color w:val="auto"/>
                <w:szCs w:val="21"/>
              </w:rPr>
              <w:t>0.05%</w:t>
            </w:r>
          </w:p>
        </w:tc>
        <w:tc>
          <w:tcPr>
            <w:tcW w:w="1546" w:type="dxa"/>
          </w:tcPr>
          <w:p>
            <w:pPr>
              <w:spacing w:line="360" w:lineRule="auto"/>
              <w:jc w:val="center"/>
              <w:rPr>
                <w:rFonts w:cs="宋体"/>
                <w:color w:val="auto"/>
                <w:szCs w:val="21"/>
              </w:rPr>
            </w:pPr>
            <w:r>
              <w:rPr>
                <w:rFonts w:hint="eastAsia" w:cs="宋体"/>
                <w:color w:val="auto"/>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color w:val="auto"/>
                <w:szCs w:val="21"/>
              </w:rPr>
            </w:pPr>
            <w:r>
              <w:rPr>
                <w:rFonts w:hint="eastAsia" w:cs="宋体"/>
                <w:color w:val="auto"/>
                <w:szCs w:val="21"/>
              </w:rPr>
              <w:t>5～10亿元</w:t>
            </w:r>
          </w:p>
        </w:tc>
        <w:tc>
          <w:tcPr>
            <w:tcW w:w="1659" w:type="dxa"/>
          </w:tcPr>
          <w:p>
            <w:pPr>
              <w:spacing w:line="360" w:lineRule="auto"/>
              <w:jc w:val="center"/>
              <w:rPr>
                <w:rFonts w:cs="宋体"/>
                <w:color w:val="auto"/>
                <w:szCs w:val="21"/>
              </w:rPr>
            </w:pPr>
            <w:r>
              <w:rPr>
                <w:rFonts w:hint="eastAsia" w:cs="宋体"/>
                <w:color w:val="auto"/>
                <w:szCs w:val="21"/>
              </w:rPr>
              <w:t>0.035%</w:t>
            </w:r>
          </w:p>
        </w:tc>
        <w:tc>
          <w:tcPr>
            <w:tcW w:w="1532" w:type="dxa"/>
          </w:tcPr>
          <w:p>
            <w:pPr>
              <w:spacing w:line="360" w:lineRule="auto"/>
              <w:jc w:val="center"/>
              <w:rPr>
                <w:rFonts w:cs="宋体"/>
                <w:color w:val="auto"/>
                <w:szCs w:val="21"/>
              </w:rPr>
            </w:pPr>
            <w:r>
              <w:rPr>
                <w:rFonts w:hint="eastAsia" w:cs="宋体"/>
                <w:color w:val="auto"/>
                <w:szCs w:val="21"/>
              </w:rPr>
              <w:t>0.035%</w:t>
            </w:r>
          </w:p>
        </w:tc>
        <w:tc>
          <w:tcPr>
            <w:tcW w:w="1546" w:type="dxa"/>
          </w:tcPr>
          <w:p>
            <w:pPr>
              <w:spacing w:line="360" w:lineRule="auto"/>
              <w:jc w:val="center"/>
              <w:rPr>
                <w:rFonts w:cs="宋体"/>
                <w:color w:val="auto"/>
                <w:szCs w:val="21"/>
              </w:rPr>
            </w:pPr>
            <w:r>
              <w:rPr>
                <w:rFonts w:hint="eastAsia" w:cs="宋体"/>
                <w:color w:val="auto"/>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color w:val="auto"/>
                <w:szCs w:val="21"/>
              </w:rPr>
            </w:pPr>
            <w:r>
              <w:rPr>
                <w:rFonts w:hint="eastAsia" w:cs="宋体"/>
                <w:color w:val="auto"/>
                <w:szCs w:val="21"/>
              </w:rPr>
              <w:t>10～50亿元</w:t>
            </w:r>
          </w:p>
        </w:tc>
        <w:tc>
          <w:tcPr>
            <w:tcW w:w="1659" w:type="dxa"/>
          </w:tcPr>
          <w:p>
            <w:pPr>
              <w:spacing w:line="360" w:lineRule="auto"/>
              <w:jc w:val="center"/>
              <w:rPr>
                <w:rFonts w:cs="宋体"/>
                <w:color w:val="auto"/>
                <w:szCs w:val="21"/>
              </w:rPr>
            </w:pPr>
            <w:r>
              <w:rPr>
                <w:rFonts w:hint="eastAsia" w:cs="宋体"/>
                <w:color w:val="auto"/>
                <w:szCs w:val="21"/>
              </w:rPr>
              <w:t>0.008%</w:t>
            </w:r>
          </w:p>
        </w:tc>
        <w:tc>
          <w:tcPr>
            <w:tcW w:w="1532" w:type="dxa"/>
          </w:tcPr>
          <w:p>
            <w:pPr>
              <w:spacing w:line="360" w:lineRule="auto"/>
              <w:jc w:val="center"/>
              <w:rPr>
                <w:rFonts w:cs="宋体"/>
                <w:color w:val="auto"/>
                <w:szCs w:val="21"/>
              </w:rPr>
            </w:pPr>
            <w:r>
              <w:rPr>
                <w:rFonts w:hint="eastAsia" w:cs="宋体"/>
                <w:color w:val="auto"/>
                <w:szCs w:val="21"/>
              </w:rPr>
              <w:t>0.008%</w:t>
            </w:r>
          </w:p>
        </w:tc>
        <w:tc>
          <w:tcPr>
            <w:tcW w:w="1546" w:type="dxa"/>
          </w:tcPr>
          <w:p>
            <w:pPr>
              <w:spacing w:line="360" w:lineRule="auto"/>
              <w:jc w:val="center"/>
              <w:rPr>
                <w:rFonts w:cs="宋体"/>
                <w:color w:val="auto"/>
                <w:szCs w:val="21"/>
              </w:rPr>
            </w:pPr>
            <w:r>
              <w:rPr>
                <w:rFonts w:hint="eastAsia" w:cs="宋体"/>
                <w:color w:val="auto"/>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color w:val="auto"/>
                <w:szCs w:val="21"/>
              </w:rPr>
            </w:pPr>
            <w:r>
              <w:rPr>
                <w:rFonts w:hint="eastAsia" w:cs="宋体"/>
                <w:color w:val="auto"/>
                <w:szCs w:val="21"/>
              </w:rPr>
              <w:t>50～100亿元</w:t>
            </w:r>
          </w:p>
        </w:tc>
        <w:tc>
          <w:tcPr>
            <w:tcW w:w="1659" w:type="dxa"/>
          </w:tcPr>
          <w:p>
            <w:pPr>
              <w:spacing w:line="360" w:lineRule="auto"/>
              <w:jc w:val="center"/>
              <w:rPr>
                <w:rFonts w:cs="宋体"/>
                <w:color w:val="auto"/>
                <w:szCs w:val="21"/>
              </w:rPr>
            </w:pPr>
            <w:r>
              <w:rPr>
                <w:rFonts w:hint="eastAsia" w:cs="宋体"/>
                <w:color w:val="auto"/>
                <w:szCs w:val="21"/>
              </w:rPr>
              <w:t>0.006%</w:t>
            </w:r>
          </w:p>
        </w:tc>
        <w:tc>
          <w:tcPr>
            <w:tcW w:w="1532" w:type="dxa"/>
          </w:tcPr>
          <w:p>
            <w:pPr>
              <w:spacing w:line="360" w:lineRule="auto"/>
              <w:jc w:val="center"/>
              <w:rPr>
                <w:rFonts w:cs="宋体"/>
                <w:color w:val="auto"/>
                <w:szCs w:val="21"/>
              </w:rPr>
            </w:pPr>
            <w:r>
              <w:rPr>
                <w:rFonts w:hint="eastAsia" w:cs="宋体"/>
                <w:color w:val="auto"/>
                <w:szCs w:val="21"/>
              </w:rPr>
              <w:t>0.006%</w:t>
            </w:r>
          </w:p>
        </w:tc>
        <w:tc>
          <w:tcPr>
            <w:tcW w:w="1546" w:type="dxa"/>
          </w:tcPr>
          <w:p>
            <w:pPr>
              <w:spacing w:line="360" w:lineRule="auto"/>
              <w:jc w:val="center"/>
              <w:rPr>
                <w:rFonts w:cs="宋体"/>
                <w:color w:val="auto"/>
                <w:szCs w:val="21"/>
              </w:rPr>
            </w:pPr>
            <w:r>
              <w:rPr>
                <w:rFonts w:hint="eastAsia" w:cs="宋体"/>
                <w:color w:val="auto"/>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color w:val="auto"/>
                <w:szCs w:val="21"/>
              </w:rPr>
            </w:pPr>
            <w:r>
              <w:rPr>
                <w:rFonts w:hint="eastAsia" w:cs="宋体"/>
                <w:color w:val="auto"/>
                <w:szCs w:val="21"/>
              </w:rPr>
              <w:t>100亿以上</w:t>
            </w:r>
          </w:p>
        </w:tc>
        <w:tc>
          <w:tcPr>
            <w:tcW w:w="1659" w:type="dxa"/>
          </w:tcPr>
          <w:p>
            <w:pPr>
              <w:spacing w:line="360" w:lineRule="auto"/>
              <w:jc w:val="center"/>
              <w:rPr>
                <w:rFonts w:cs="宋体"/>
                <w:color w:val="auto"/>
                <w:szCs w:val="21"/>
              </w:rPr>
            </w:pPr>
            <w:r>
              <w:rPr>
                <w:rFonts w:hint="eastAsia" w:cs="宋体"/>
                <w:color w:val="auto"/>
                <w:szCs w:val="21"/>
              </w:rPr>
              <w:t>0.004%</w:t>
            </w:r>
          </w:p>
        </w:tc>
        <w:tc>
          <w:tcPr>
            <w:tcW w:w="1532" w:type="dxa"/>
          </w:tcPr>
          <w:p>
            <w:pPr>
              <w:spacing w:line="360" w:lineRule="auto"/>
              <w:jc w:val="center"/>
              <w:rPr>
                <w:rFonts w:cs="宋体"/>
                <w:color w:val="auto"/>
                <w:szCs w:val="21"/>
              </w:rPr>
            </w:pPr>
            <w:r>
              <w:rPr>
                <w:rFonts w:hint="eastAsia" w:cs="宋体"/>
                <w:color w:val="auto"/>
                <w:szCs w:val="21"/>
              </w:rPr>
              <w:t>0.004%</w:t>
            </w:r>
          </w:p>
        </w:tc>
        <w:tc>
          <w:tcPr>
            <w:tcW w:w="1546" w:type="dxa"/>
          </w:tcPr>
          <w:p>
            <w:pPr>
              <w:spacing w:line="360" w:lineRule="auto"/>
              <w:jc w:val="center"/>
              <w:rPr>
                <w:rFonts w:cs="宋体"/>
                <w:color w:val="auto"/>
                <w:szCs w:val="21"/>
              </w:rPr>
            </w:pPr>
            <w:r>
              <w:rPr>
                <w:rFonts w:hint="eastAsia" w:cs="宋体"/>
                <w:color w:val="auto"/>
                <w:szCs w:val="21"/>
              </w:rPr>
              <w:t>0.004%</w:t>
            </w:r>
          </w:p>
        </w:tc>
      </w:tr>
    </w:tbl>
    <w:p>
      <w:pPr>
        <w:spacing w:line="360" w:lineRule="auto"/>
        <w:ind w:firstLine="422" w:firstLineChars="200"/>
        <w:rPr>
          <w:rFonts w:cs="宋体"/>
          <w:b/>
          <w:bCs/>
          <w:color w:val="auto"/>
        </w:rPr>
      </w:pPr>
      <w:r>
        <w:rPr>
          <w:rFonts w:hint="eastAsia" w:cs="宋体"/>
          <w:b/>
          <w:bCs/>
          <w:color w:val="auto"/>
        </w:rPr>
        <w:t>注：采购代理收费按差额定率累进法计算。</w:t>
      </w:r>
    </w:p>
    <w:p>
      <w:pPr>
        <w:spacing w:line="400" w:lineRule="exact"/>
        <w:ind w:firstLine="422"/>
        <w:rPr>
          <w:rFonts w:cs="宋体"/>
          <w:bCs/>
          <w:color w:val="auto"/>
        </w:rPr>
      </w:pPr>
      <w:r>
        <w:rPr>
          <w:rFonts w:hint="eastAsia" w:cs="宋体"/>
          <w:bCs/>
          <w:color w:val="auto"/>
        </w:rPr>
        <w:t>30.4采购代理服务费缴纳账户：</w:t>
      </w:r>
    </w:p>
    <w:p>
      <w:pPr>
        <w:snapToGrid w:val="0"/>
        <w:spacing w:line="440" w:lineRule="exact"/>
        <w:ind w:firstLine="420" w:firstLineChars="200"/>
        <w:rPr>
          <w:color w:val="auto"/>
          <w:szCs w:val="20"/>
        </w:rPr>
      </w:pPr>
      <w:r>
        <w:rPr>
          <w:color w:val="auto"/>
          <w:szCs w:val="20"/>
        </w:rPr>
        <w:t>开户户名：</w:t>
      </w:r>
      <w:r>
        <w:rPr>
          <w:rFonts w:hint="eastAsia"/>
          <w:color w:val="auto"/>
          <w:szCs w:val="20"/>
        </w:rPr>
        <w:t>广西科联招标中心有限公司桂林分公司</w:t>
      </w:r>
    </w:p>
    <w:p>
      <w:pPr>
        <w:snapToGrid w:val="0"/>
        <w:spacing w:line="440" w:lineRule="exact"/>
        <w:ind w:firstLine="420" w:firstLineChars="200"/>
        <w:rPr>
          <w:color w:val="auto"/>
          <w:szCs w:val="20"/>
        </w:rPr>
      </w:pPr>
      <w:r>
        <w:rPr>
          <w:color w:val="auto"/>
          <w:szCs w:val="20"/>
        </w:rPr>
        <w:t>开户银行：</w:t>
      </w:r>
      <w:r>
        <w:rPr>
          <w:rFonts w:hint="eastAsia"/>
          <w:color w:val="auto"/>
          <w:szCs w:val="20"/>
        </w:rPr>
        <w:t>中国工商银行股份有限公司桂林市桂湖支行</w:t>
      </w:r>
    </w:p>
    <w:p>
      <w:pPr>
        <w:snapToGrid w:val="0"/>
        <w:spacing w:line="440" w:lineRule="exact"/>
        <w:ind w:firstLine="420" w:firstLineChars="200"/>
        <w:rPr>
          <w:color w:val="auto"/>
        </w:rPr>
      </w:pPr>
      <w:r>
        <w:rPr>
          <w:color w:val="auto"/>
          <w:szCs w:val="20"/>
        </w:rPr>
        <w:t>账    号：2103260229201002537</w:t>
      </w:r>
    </w:p>
    <w:p>
      <w:pPr>
        <w:spacing w:line="440" w:lineRule="exact"/>
        <w:ind w:firstLine="422" w:firstLineChars="200"/>
        <w:outlineLvl w:val="2"/>
        <w:rPr>
          <w:rFonts w:cs="宋体"/>
          <w:color w:val="auto"/>
          <w:szCs w:val="21"/>
        </w:rPr>
      </w:pPr>
      <w:bookmarkStart w:id="236" w:name="_Toc22751"/>
      <w:r>
        <w:rPr>
          <w:rStyle w:val="98"/>
          <w:rFonts w:hint="eastAsia" w:ascii="Times New Roman" w:hAnsi="Times New Roman" w:cs="宋体"/>
          <w:color w:val="auto"/>
          <w:sz w:val="21"/>
          <w:szCs w:val="21"/>
        </w:rPr>
        <w:t xml:space="preserve">31. </w:t>
      </w:r>
      <w:bookmarkEnd w:id="234"/>
      <w:bookmarkEnd w:id="235"/>
      <w:r>
        <w:rPr>
          <w:rStyle w:val="98"/>
          <w:rFonts w:hint="eastAsia" w:ascii="Times New Roman" w:hAnsi="Times New Roman" w:cs="宋体"/>
          <w:color w:val="auto"/>
          <w:sz w:val="21"/>
          <w:szCs w:val="21"/>
        </w:rPr>
        <w:t>编制依据</w:t>
      </w:r>
      <w:bookmarkEnd w:id="236"/>
    </w:p>
    <w:p>
      <w:pPr>
        <w:spacing w:line="440" w:lineRule="exact"/>
        <w:ind w:firstLine="420" w:firstLineChars="200"/>
        <w:rPr>
          <w:rFonts w:cs="宋体"/>
          <w:color w:val="auto"/>
          <w:szCs w:val="21"/>
        </w:rPr>
      </w:pPr>
      <w:r>
        <w:rPr>
          <w:rFonts w:hint="eastAsia" w:cs="宋体"/>
          <w:color w:val="auto"/>
          <w:szCs w:val="21"/>
        </w:rPr>
        <w:t>本竞争性磋商文件是根据《中华人民共和国政府采购法》《中华人民共和国政府采购法实施条例》《政府采购竞争性磋商采购方式管理暂行办法》和政府采购管理有关规定编制。</w:t>
      </w:r>
    </w:p>
    <w:p>
      <w:pPr>
        <w:spacing w:line="440" w:lineRule="exact"/>
        <w:ind w:firstLine="422" w:firstLineChars="200"/>
        <w:outlineLvl w:val="2"/>
        <w:rPr>
          <w:rFonts w:cs="宋体"/>
          <w:color w:val="auto"/>
          <w:szCs w:val="21"/>
        </w:rPr>
      </w:pPr>
      <w:bookmarkStart w:id="237" w:name="_Toc14912"/>
      <w:bookmarkStart w:id="238" w:name="_Toc32738"/>
      <w:r>
        <w:rPr>
          <w:rStyle w:val="98"/>
          <w:rFonts w:hint="eastAsia" w:ascii="Times New Roman" w:hAnsi="Times New Roman" w:cs="宋体"/>
          <w:color w:val="auto"/>
          <w:sz w:val="21"/>
          <w:szCs w:val="21"/>
        </w:rPr>
        <w:t>32. 监督管理机构</w:t>
      </w:r>
      <w:bookmarkEnd w:id="237"/>
      <w:bookmarkEnd w:id="238"/>
    </w:p>
    <w:p>
      <w:pPr>
        <w:spacing w:line="440" w:lineRule="exact"/>
        <w:ind w:firstLine="420" w:firstLineChars="200"/>
        <w:rPr>
          <w:color w:val="auto"/>
        </w:rPr>
      </w:pPr>
      <w:r>
        <w:rPr>
          <w:rFonts w:hint="eastAsia" w:cs="宋体"/>
          <w:color w:val="auto"/>
          <w:szCs w:val="21"/>
        </w:rPr>
        <w:t>监督管理机构：灵川县</w:t>
      </w:r>
      <w:r>
        <w:rPr>
          <w:rFonts w:hint="eastAsia"/>
          <w:color w:val="auto"/>
        </w:rPr>
        <w:t>财政局  0773-6812818</w:t>
      </w:r>
    </w:p>
    <w:p>
      <w:pPr>
        <w:spacing w:line="440" w:lineRule="exact"/>
        <w:ind w:firstLine="422" w:firstLineChars="200"/>
        <w:outlineLvl w:val="2"/>
        <w:rPr>
          <w:rStyle w:val="98"/>
          <w:rFonts w:ascii="Times New Roman" w:hAnsi="Times New Roman" w:cs="宋体"/>
          <w:color w:val="auto"/>
          <w:sz w:val="21"/>
          <w:szCs w:val="21"/>
        </w:rPr>
      </w:pPr>
      <w:bookmarkStart w:id="239" w:name="_Toc23144"/>
      <w:r>
        <w:rPr>
          <w:rStyle w:val="98"/>
          <w:rFonts w:hint="eastAsia" w:ascii="Times New Roman" w:hAnsi="Times New Roman" w:cs="宋体"/>
          <w:color w:val="auto"/>
          <w:sz w:val="21"/>
          <w:szCs w:val="21"/>
        </w:rPr>
        <w:t>33. 广西线上“政采贷”政策告知函</w:t>
      </w:r>
      <w:bookmarkEnd w:id="239"/>
    </w:p>
    <w:p>
      <w:pPr>
        <w:spacing w:line="580" w:lineRule="exact"/>
        <w:jc w:val="center"/>
        <w:rPr>
          <w:rFonts w:cs="宋体"/>
          <w:color w:val="auto"/>
          <w:sz w:val="32"/>
          <w:szCs w:val="32"/>
        </w:rPr>
      </w:pPr>
    </w:p>
    <w:p>
      <w:pPr>
        <w:rPr>
          <w:rFonts w:hint="eastAsia" w:cs="宋体"/>
          <w:color w:val="auto"/>
          <w:sz w:val="32"/>
          <w:szCs w:val="32"/>
        </w:rPr>
      </w:pPr>
      <w:r>
        <w:rPr>
          <w:rFonts w:hint="eastAsia" w:cs="宋体"/>
          <w:color w:val="auto"/>
          <w:sz w:val="32"/>
          <w:szCs w:val="32"/>
        </w:rPr>
        <w:br w:type="page"/>
      </w:r>
    </w:p>
    <w:p>
      <w:pPr>
        <w:spacing w:line="580" w:lineRule="exact"/>
        <w:jc w:val="center"/>
        <w:rPr>
          <w:rFonts w:cs="宋体"/>
          <w:color w:val="auto"/>
          <w:sz w:val="32"/>
          <w:szCs w:val="32"/>
        </w:rPr>
      </w:pPr>
      <w:r>
        <w:rPr>
          <w:rFonts w:hint="eastAsia" w:cs="宋体"/>
          <w:color w:val="auto"/>
          <w:sz w:val="32"/>
          <w:szCs w:val="32"/>
        </w:rPr>
        <w:t>广西线上“政采贷”政策告知函</w:t>
      </w:r>
    </w:p>
    <w:p>
      <w:pPr>
        <w:spacing w:line="580" w:lineRule="exact"/>
        <w:ind w:firstLine="420" w:firstLineChars="200"/>
        <w:rPr>
          <w:rFonts w:cs="宋体"/>
          <w:color w:val="auto"/>
          <w:szCs w:val="32"/>
        </w:rPr>
      </w:pPr>
    </w:p>
    <w:p>
      <w:pPr>
        <w:spacing w:line="580" w:lineRule="exact"/>
        <w:rPr>
          <w:rFonts w:cs="宋体"/>
          <w:color w:val="auto"/>
          <w:szCs w:val="21"/>
        </w:rPr>
      </w:pPr>
      <w:r>
        <w:rPr>
          <w:rFonts w:hint="eastAsia" w:cs="宋体"/>
          <w:color w:val="auto"/>
          <w:szCs w:val="21"/>
        </w:rPr>
        <w:t>各供应商：</w:t>
      </w:r>
    </w:p>
    <w:p>
      <w:pPr>
        <w:spacing w:line="580" w:lineRule="exact"/>
        <w:ind w:firstLine="420" w:firstLineChars="200"/>
        <w:rPr>
          <w:rFonts w:cs="宋体"/>
          <w:color w:val="auto"/>
          <w:szCs w:val="21"/>
        </w:rPr>
      </w:pPr>
      <w:r>
        <w:rPr>
          <w:rFonts w:hint="eastAsia" w:cs="宋体"/>
          <w:color w:val="auto"/>
          <w:szCs w:val="21"/>
        </w:rPr>
        <w:t>欢迎贵公司参与广西政府采购活动！</w:t>
      </w:r>
    </w:p>
    <w:p>
      <w:pPr>
        <w:spacing w:line="580" w:lineRule="exact"/>
        <w:ind w:firstLine="420" w:firstLineChars="200"/>
        <w:rPr>
          <w:rFonts w:cs="宋体"/>
          <w:color w:val="auto"/>
          <w:szCs w:val="21"/>
        </w:rPr>
      </w:pPr>
      <w:r>
        <w:rPr>
          <w:rFonts w:hint="eastAsia" w:cs="宋体"/>
          <w:color w:val="auto"/>
          <w:szCs w:val="21"/>
        </w:rPr>
        <w:t>线上“政采贷”是人民银行南宁中心支行和自治区财政厅共同支持企业发展，针对参与政府采购活动的企业融资难、融资贵、融资慢、融资繁问题推出的一项融资政策。贵公司若成为本次政府采购项目的中标（成交）供应商，可持政府采购合同在线向银行业金融机构申请贷款，融资机构将根据《中国人民银行南宁中心支行 广西壮族自治区财政厅关于推广线上“政采贷”融资模式的通知》（南宁银发〔2021〕258号），按照双方自愿的原则提供便捷、优惠的贷款服务。</w:t>
      </w:r>
    </w:p>
    <w:p>
      <w:pPr>
        <w:spacing w:line="580" w:lineRule="exact"/>
        <w:ind w:firstLine="420" w:firstLineChars="200"/>
        <w:rPr>
          <w:b/>
          <w:color w:val="auto"/>
          <w:kern w:val="0"/>
          <w:sz w:val="24"/>
        </w:rPr>
      </w:pPr>
      <w:r>
        <w:rPr>
          <w:rFonts w:hint="eastAsia" w:cs="宋体"/>
          <w:color w:val="auto"/>
          <w:szCs w:val="21"/>
        </w:rPr>
        <w:t>相关金融产品和银行业金融机构联系方式，可在中征应收账款融资服务平台查询（网址：</w:t>
      </w:r>
      <w:r>
        <w:rPr>
          <w:color w:val="auto"/>
        </w:rPr>
        <w:fldChar w:fldCharType="begin"/>
      </w:r>
      <w:r>
        <w:rPr>
          <w:color w:val="auto"/>
        </w:rPr>
        <w:instrText xml:space="preserve"> HYPERLINK "https://www.crcrfsp.com/" </w:instrText>
      </w:r>
      <w:r>
        <w:rPr>
          <w:color w:val="auto"/>
        </w:rPr>
        <w:fldChar w:fldCharType="separate"/>
      </w:r>
      <w:r>
        <w:rPr>
          <w:rFonts w:hint="eastAsia" w:cs="宋体"/>
          <w:color w:val="auto"/>
          <w:szCs w:val="21"/>
          <w:u w:val="single"/>
        </w:rPr>
        <w:t>https://www.crcrfsp.com/</w:t>
      </w:r>
      <w:r>
        <w:rPr>
          <w:rFonts w:hint="eastAsia" w:cs="宋体"/>
          <w:color w:val="auto"/>
          <w:szCs w:val="21"/>
          <w:u w:val="single"/>
        </w:rPr>
        <w:fldChar w:fldCharType="end"/>
      </w:r>
      <w:r>
        <w:rPr>
          <w:rFonts w:hint="eastAsia" w:cs="宋体"/>
          <w:color w:val="auto"/>
          <w:szCs w:val="21"/>
        </w:rPr>
        <w:t>，客服电话：400-009-0001）。</w:t>
      </w:r>
    </w:p>
    <w:p>
      <w:pPr>
        <w:snapToGrid w:val="0"/>
        <w:outlineLvl w:val="1"/>
        <w:rPr>
          <w:b/>
          <w:color w:val="auto"/>
          <w:kern w:val="0"/>
          <w:sz w:val="24"/>
        </w:rPr>
      </w:pPr>
      <w:r>
        <w:rPr>
          <w:rFonts w:hint="eastAsia"/>
          <w:b/>
          <w:color w:val="auto"/>
          <w:kern w:val="0"/>
          <w:sz w:val="24"/>
        </w:rPr>
        <w:br w:type="page"/>
      </w:r>
      <w:bookmarkStart w:id="240" w:name="_Toc29822"/>
      <w:r>
        <w:rPr>
          <w:rFonts w:hint="eastAsia"/>
          <w:b/>
          <w:color w:val="auto"/>
          <w:kern w:val="0"/>
          <w:sz w:val="24"/>
        </w:rPr>
        <w:t>附件：</w:t>
      </w:r>
      <w:bookmarkEnd w:id="240"/>
    </w:p>
    <w:p>
      <w:pPr>
        <w:spacing w:line="360" w:lineRule="auto"/>
        <w:jc w:val="center"/>
        <w:outlineLvl w:val="1"/>
        <w:rPr>
          <w:rFonts w:eastAsia="华文中宋" w:cs="华文中宋"/>
          <w:color w:val="auto"/>
          <w:sz w:val="30"/>
          <w:szCs w:val="30"/>
          <w:lang w:val="zh-CN"/>
        </w:rPr>
      </w:pPr>
      <w:bookmarkStart w:id="241" w:name="_Toc10684"/>
      <w:bookmarkStart w:id="242" w:name="_Toc8255"/>
      <w:bookmarkStart w:id="243" w:name="_Toc23958"/>
      <w:r>
        <w:rPr>
          <w:rFonts w:hint="eastAsia" w:eastAsia="华文中宋" w:cs="华文中宋"/>
          <w:color w:val="auto"/>
          <w:sz w:val="30"/>
          <w:szCs w:val="30"/>
          <w:lang w:val="zh-CN"/>
        </w:rPr>
        <w:t>质疑函（格式）</w:t>
      </w:r>
      <w:bookmarkEnd w:id="241"/>
      <w:bookmarkEnd w:id="242"/>
      <w:bookmarkEnd w:id="243"/>
    </w:p>
    <w:p>
      <w:pPr>
        <w:spacing w:line="400" w:lineRule="exact"/>
        <w:ind w:firstLine="422" w:firstLineChars="200"/>
        <w:contextualSpacing/>
        <w:rPr>
          <w:b/>
          <w:bCs/>
          <w:color w:val="auto"/>
          <w:kern w:val="0"/>
          <w:szCs w:val="21"/>
          <w:lang w:val="zh-CN"/>
        </w:rPr>
      </w:pPr>
      <w:r>
        <w:rPr>
          <w:rFonts w:hint="eastAsia"/>
          <w:b/>
          <w:bCs/>
          <w:color w:val="auto"/>
          <w:kern w:val="0"/>
          <w:szCs w:val="21"/>
          <w:lang w:val="zh-CN"/>
        </w:rPr>
        <w:t>一、质疑供应商基本信息：</w:t>
      </w:r>
    </w:p>
    <w:p>
      <w:pPr>
        <w:spacing w:line="400" w:lineRule="exact"/>
        <w:ind w:firstLine="420" w:firstLineChars="200"/>
        <w:contextualSpacing/>
        <w:rPr>
          <w:bCs/>
          <w:color w:val="auto"/>
          <w:kern w:val="0"/>
          <w:szCs w:val="21"/>
          <w:u w:val="single"/>
          <w:lang w:val="zh-CN"/>
        </w:rPr>
      </w:pPr>
      <w:r>
        <w:rPr>
          <w:rFonts w:hint="eastAsia"/>
          <w:bCs/>
          <w:color w:val="auto"/>
          <w:kern w:val="0"/>
          <w:szCs w:val="21"/>
          <w:lang w:val="zh-CN"/>
        </w:rPr>
        <w:t>质疑供应商：</w:t>
      </w:r>
      <w:r>
        <w:rPr>
          <w:rFonts w:hint="eastAsia"/>
          <w:bCs/>
          <w:color w:val="auto"/>
          <w:kern w:val="0"/>
          <w:szCs w:val="21"/>
          <w:u w:val="single"/>
          <w:lang w:val="zh-CN"/>
        </w:rPr>
        <w:t xml:space="preserve">                                                       </w:t>
      </w:r>
      <w:r>
        <w:rPr>
          <w:rFonts w:hint="eastAsia"/>
          <w:bCs/>
          <w:color w:val="auto"/>
          <w:kern w:val="0"/>
          <w:szCs w:val="21"/>
          <w:u w:val="single"/>
        </w:rPr>
        <w:t xml:space="preserve">   </w:t>
      </w:r>
      <w:r>
        <w:rPr>
          <w:rFonts w:hint="eastAsia"/>
          <w:bCs/>
          <w:color w:val="auto"/>
          <w:kern w:val="0"/>
          <w:szCs w:val="21"/>
          <w:u w:val="single"/>
          <w:lang w:val="zh-CN"/>
        </w:rPr>
        <w:t xml:space="preserve"> </w:t>
      </w:r>
    </w:p>
    <w:p>
      <w:pPr>
        <w:spacing w:line="400" w:lineRule="exact"/>
        <w:ind w:firstLine="420" w:firstLineChars="200"/>
        <w:contextualSpacing/>
        <w:rPr>
          <w:bCs/>
          <w:color w:val="auto"/>
          <w:kern w:val="0"/>
          <w:szCs w:val="21"/>
          <w:lang w:val="zh-CN"/>
        </w:rPr>
      </w:pPr>
      <w:r>
        <w:rPr>
          <w:bCs/>
          <w:color w:val="auto"/>
          <w:kern w:val="0"/>
          <w:szCs w:val="21"/>
          <w:lang w:val="zh-CN"/>
        </w:rPr>
        <w:t>地址</w:t>
      </w:r>
      <w:r>
        <w:rPr>
          <w:rFonts w:hint="eastAsia"/>
          <w:bCs/>
          <w:color w:val="auto"/>
          <w:kern w:val="0"/>
          <w:szCs w:val="21"/>
          <w:lang w:val="zh-CN"/>
        </w:rPr>
        <w:t>：</w:t>
      </w:r>
      <w:r>
        <w:rPr>
          <w:rFonts w:hint="eastAsia"/>
          <w:bCs/>
          <w:color w:val="auto"/>
          <w:kern w:val="0"/>
          <w:szCs w:val="21"/>
          <w:u w:val="single"/>
          <w:lang w:val="zh-CN"/>
        </w:rPr>
        <w:t xml:space="preserve">                                          </w:t>
      </w:r>
      <w:r>
        <w:rPr>
          <w:bCs/>
          <w:color w:val="auto"/>
          <w:kern w:val="0"/>
          <w:szCs w:val="21"/>
          <w:lang w:val="zh-CN"/>
        </w:rPr>
        <w:t>邮编</w:t>
      </w:r>
      <w:r>
        <w:rPr>
          <w:rFonts w:hint="eastAsia"/>
          <w:bCs/>
          <w:color w:val="auto"/>
          <w:kern w:val="0"/>
          <w:szCs w:val="21"/>
          <w:lang w:val="zh-CN"/>
        </w:rPr>
        <w:t>：</w:t>
      </w:r>
      <w:r>
        <w:rPr>
          <w:rFonts w:hint="eastAsia"/>
          <w:bCs/>
          <w:color w:val="auto"/>
          <w:kern w:val="0"/>
          <w:szCs w:val="21"/>
          <w:u w:val="single"/>
          <w:lang w:val="zh-CN"/>
        </w:rPr>
        <w:t xml:space="preserve">                  </w:t>
      </w:r>
    </w:p>
    <w:p>
      <w:pPr>
        <w:spacing w:line="400" w:lineRule="exact"/>
        <w:ind w:firstLine="420" w:firstLineChars="200"/>
        <w:contextualSpacing/>
        <w:rPr>
          <w:bCs/>
          <w:color w:val="auto"/>
          <w:kern w:val="0"/>
          <w:szCs w:val="21"/>
          <w:lang w:val="zh-CN"/>
        </w:rPr>
      </w:pPr>
      <w:r>
        <w:rPr>
          <w:bCs/>
          <w:color w:val="auto"/>
          <w:kern w:val="0"/>
          <w:szCs w:val="21"/>
          <w:lang w:val="zh-CN"/>
        </w:rPr>
        <w:t>联系人</w:t>
      </w:r>
      <w:r>
        <w:rPr>
          <w:rFonts w:hint="eastAsia"/>
          <w:bCs/>
          <w:color w:val="auto"/>
          <w:kern w:val="0"/>
          <w:szCs w:val="21"/>
          <w:lang w:val="zh-CN"/>
        </w:rPr>
        <w:t>：</w:t>
      </w:r>
      <w:r>
        <w:rPr>
          <w:rFonts w:hint="eastAsia"/>
          <w:bCs/>
          <w:color w:val="auto"/>
          <w:kern w:val="0"/>
          <w:szCs w:val="21"/>
          <w:u w:val="single"/>
          <w:lang w:val="zh-CN"/>
        </w:rPr>
        <w:t xml:space="preserve">                     </w:t>
      </w:r>
      <w:r>
        <w:rPr>
          <w:bCs/>
          <w:color w:val="auto"/>
          <w:kern w:val="0"/>
          <w:szCs w:val="21"/>
          <w:lang w:val="zh-CN"/>
        </w:rPr>
        <w:t>联系电话</w:t>
      </w:r>
      <w:r>
        <w:rPr>
          <w:rFonts w:hint="eastAsia"/>
          <w:bCs/>
          <w:color w:val="auto"/>
          <w:kern w:val="0"/>
          <w:szCs w:val="21"/>
          <w:lang w:val="zh-CN"/>
        </w:rPr>
        <w:t>：</w:t>
      </w:r>
      <w:r>
        <w:rPr>
          <w:rFonts w:hint="eastAsia"/>
          <w:bCs/>
          <w:color w:val="auto"/>
          <w:kern w:val="0"/>
          <w:szCs w:val="21"/>
          <w:u w:val="single"/>
          <w:lang w:val="zh-CN"/>
        </w:rPr>
        <w:t xml:space="preserve">                 </w:t>
      </w:r>
    </w:p>
    <w:p>
      <w:pPr>
        <w:spacing w:line="400" w:lineRule="exact"/>
        <w:ind w:firstLine="420" w:firstLineChars="200"/>
        <w:contextualSpacing/>
        <w:rPr>
          <w:bCs/>
          <w:color w:val="auto"/>
          <w:kern w:val="0"/>
          <w:szCs w:val="21"/>
          <w:lang w:val="zh-CN"/>
        </w:rPr>
      </w:pPr>
      <w:r>
        <w:rPr>
          <w:rFonts w:hint="eastAsia"/>
          <w:bCs/>
          <w:color w:val="auto"/>
          <w:kern w:val="0"/>
          <w:szCs w:val="21"/>
          <w:lang w:val="zh-CN"/>
        </w:rPr>
        <w:t>授权代表：</w:t>
      </w:r>
      <w:r>
        <w:rPr>
          <w:rFonts w:hint="eastAsia"/>
          <w:bCs/>
          <w:color w:val="auto"/>
          <w:kern w:val="0"/>
          <w:szCs w:val="21"/>
          <w:u w:val="single"/>
          <w:lang w:val="zh-CN"/>
        </w:rPr>
        <w:t xml:space="preserve">                      </w:t>
      </w:r>
    </w:p>
    <w:p>
      <w:pPr>
        <w:spacing w:line="400" w:lineRule="exact"/>
        <w:ind w:firstLine="420" w:firstLineChars="200"/>
        <w:contextualSpacing/>
        <w:rPr>
          <w:bCs/>
          <w:color w:val="auto"/>
          <w:kern w:val="0"/>
          <w:szCs w:val="21"/>
          <w:u w:val="single"/>
          <w:lang w:val="zh-CN"/>
        </w:rPr>
      </w:pPr>
      <w:r>
        <w:rPr>
          <w:bCs/>
          <w:color w:val="auto"/>
          <w:kern w:val="0"/>
          <w:szCs w:val="21"/>
          <w:lang w:val="zh-CN"/>
        </w:rPr>
        <w:t>联系</w:t>
      </w:r>
      <w:r>
        <w:rPr>
          <w:rFonts w:hint="eastAsia"/>
          <w:bCs/>
          <w:color w:val="auto"/>
          <w:kern w:val="0"/>
          <w:szCs w:val="21"/>
          <w:lang w:val="zh-CN"/>
        </w:rPr>
        <w:t>电话：</w:t>
      </w:r>
      <w:r>
        <w:rPr>
          <w:rFonts w:hint="eastAsia"/>
          <w:bCs/>
          <w:color w:val="auto"/>
          <w:kern w:val="0"/>
          <w:szCs w:val="21"/>
          <w:u w:val="single"/>
          <w:lang w:val="zh-CN"/>
        </w:rPr>
        <w:t xml:space="preserve">                      </w:t>
      </w:r>
    </w:p>
    <w:p>
      <w:pPr>
        <w:spacing w:line="400" w:lineRule="exact"/>
        <w:ind w:firstLine="420" w:firstLineChars="200"/>
        <w:contextualSpacing/>
        <w:rPr>
          <w:bCs/>
          <w:color w:val="auto"/>
          <w:kern w:val="0"/>
          <w:szCs w:val="21"/>
          <w:lang w:val="zh-CN"/>
        </w:rPr>
      </w:pPr>
      <w:r>
        <w:rPr>
          <w:bCs/>
          <w:color w:val="auto"/>
          <w:kern w:val="0"/>
          <w:szCs w:val="21"/>
          <w:lang w:val="zh-CN"/>
        </w:rPr>
        <w:t>地址</w:t>
      </w:r>
      <w:r>
        <w:rPr>
          <w:rFonts w:hint="eastAsia"/>
          <w:bCs/>
          <w:color w:val="auto"/>
          <w:kern w:val="0"/>
          <w:szCs w:val="21"/>
          <w:lang w:val="zh-CN"/>
        </w:rPr>
        <w:t>：</w:t>
      </w:r>
      <w:r>
        <w:rPr>
          <w:rFonts w:hint="eastAsia"/>
          <w:bCs/>
          <w:color w:val="auto"/>
          <w:kern w:val="0"/>
          <w:szCs w:val="21"/>
          <w:u w:val="single"/>
          <w:lang w:val="zh-CN"/>
        </w:rPr>
        <w:t xml:space="preserve">                 </w:t>
      </w:r>
      <w:r>
        <w:rPr>
          <w:bCs/>
          <w:color w:val="auto"/>
          <w:kern w:val="0"/>
          <w:szCs w:val="21"/>
          <w:lang w:val="zh-CN"/>
        </w:rPr>
        <w:t>邮编</w:t>
      </w:r>
      <w:r>
        <w:rPr>
          <w:rFonts w:hint="eastAsia"/>
          <w:bCs/>
          <w:color w:val="auto"/>
          <w:kern w:val="0"/>
          <w:szCs w:val="21"/>
          <w:lang w:val="zh-CN"/>
        </w:rPr>
        <w:t>：</w:t>
      </w:r>
      <w:r>
        <w:rPr>
          <w:rFonts w:hint="eastAsia"/>
          <w:bCs/>
          <w:color w:val="auto"/>
          <w:kern w:val="0"/>
          <w:szCs w:val="21"/>
          <w:u w:val="single"/>
          <w:lang w:val="zh-CN"/>
        </w:rPr>
        <w:t xml:space="preserve">                  </w:t>
      </w:r>
    </w:p>
    <w:p>
      <w:pPr>
        <w:spacing w:line="400" w:lineRule="exact"/>
        <w:ind w:firstLine="422" w:firstLineChars="200"/>
        <w:contextualSpacing/>
        <w:rPr>
          <w:b/>
          <w:bCs/>
          <w:color w:val="auto"/>
          <w:kern w:val="0"/>
          <w:szCs w:val="21"/>
          <w:lang w:val="zh-CN"/>
        </w:rPr>
      </w:pPr>
      <w:r>
        <w:rPr>
          <w:rFonts w:hint="eastAsia"/>
          <w:b/>
          <w:bCs/>
          <w:color w:val="auto"/>
          <w:kern w:val="0"/>
          <w:szCs w:val="21"/>
          <w:lang w:val="zh-CN"/>
        </w:rPr>
        <w:t>二、质疑项目基本情况：</w:t>
      </w:r>
    </w:p>
    <w:p>
      <w:pPr>
        <w:spacing w:line="400" w:lineRule="exact"/>
        <w:ind w:left="25" w:leftChars="12" w:firstLine="413" w:firstLineChars="197"/>
        <w:contextualSpacing/>
        <w:rPr>
          <w:color w:val="auto"/>
          <w:kern w:val="0"/>
          <w:szCs w:val="21"/>
        </w:rPr>
      </w:pPr>
      <w:r>
        <w:rPr>
          <w:rFonts w:hint="eastAsia"/>
          <w:bCs/>
          <w:color w:val="auto"/>
          <w:kern w:val="0"/>
          <w:szCs w:val="21"/>
          <w:lang w:val="zh-CN"/>
        </w:rPr>
        <w:t>质疑</w:t>
      </w:r>
      <w:r>
        <w:rPr>
          <w:rFonts w:hint="eastAsia"/>
          <w:color w:val="auto"/>
          <w:kern w:val="0"/>
          <w:szCs w:val="21"/>
          <w:lang w:val="zh-CN"/>
        </w:rPr>
        <w:t>项目的名称：</w:t>
      </w:r>
      <w:r>
        <w:rPr>
          <w:rFonts w:hint="eastAsia"/>
          <w:bCs/>
          <w:color w:val="auto"/>
          <w:kern w:val="0"/>
          <w:szCs w:val="21"/>
          <w:u w:val="single"/>
          <w:lang w:val="zh-CN"/>
        </w:rPr>
        <w:t xml:space="preserve">  </w:t>
      </w:r>
      <w:r>
        <w:rPr>
          <w:rFonts w:hint="eastAsia"/>
          <w:bCs/>
          <w:color w:val="auto"/>
          <w:kern w:val="0"/>
          <w:szCs w:val="21"/>
          <w:u w:val="single"/>
        </w:rPr>
        <w:t xml:space="preserve">                   </w:t>
      </w:r>
      <w:r>
        <w:rPr>
          <w:rFonts w:hint="eastAsia"/>
          <w:bCs/>
          <w:color w:val="auto"/>
          <w:kern w:val="0"/>
          <w:szCs w:val="21"/>
          <w:u w:val="single"/>
          <w:lang w:val="zh-CN"/>
        </w:rPr>
        <w:t xml:space="preserve"> </w:t>
      </w:r>
    </w:p>
    <w:p>
      <w:pPr>
        <w:spacing w:line="400" w:lineRule="exact"/>
        <w:ind w:left="25" w:leftChars="12" w:firstLine="413" w:firstLineChars="197"/>
        <w:contextualSpacing/>
        <w:rPr>
          <w:color w:val="auto"/>
          <w:kern w:val="0"/>
          <w:szCs w:val="21"/>
          <w:lang w:val="zh-CN"/>
        </w:rPr>
      </w:pPr>
      <w:r>
        <w:rPr>
          <w:rFonts w:hint="eastAsia"/>
          <w:bCs/>
          <w:color w:val="auto"/>
          <w:kern w:val="0"/>
          <w:szCs w:val="21"/>
          <w:lang w:val="zh-CN"/>
        </w:rPr>
        <w:t>质疑</w:t>
      </w:r>
      <w:r>
        <w:rPr>
          <w:rFonts w:hint="eastAsia"/>
          <w:color w:val="auto"/>
          <w:kern w:val="0"/>
          <w:szCs w:val="21"/>
          <w:lang w:val="zh-CN"/>
        </w:rPr>
        <w:t>项目的编号：</w:t>
      </w:r>
      <w:r>
        <w:rPr>
          <w:rFonts w:hint="eastAsia"/>
          <w:bCs/>
          <w:color w:val="auto"/>
          <w:kern w:val="0"/>
          <w:szCs w:val="21"/>
          <w:u w:val="single"/>
          <w:lang w:val="zh-CN"/>
        </w:rPr>
        <w:t xml:space="preserve"> </w:t>
      </w:r>
      <w:r>
        <w:rPr>
          <w:rFonts w:hint="eastAsia"/>
          <w:bCs/>
          <w:color w:val="auto"/>
          <w:kern w:val="0"/>
          <w:szCs w:val="21"/>
          <w:u w:val="single"/>
        </w:rPr>
        <w:t xml:space="preserve">                    </w:t>
      </w:r>
      <w:r>
        <w:rPr>
          <w:rFonts w:hint="eastAsia"/>
          <w:bCs/>
          <w:color w:val="auto"/>
          <w:kern w:val="0"/>
          <w:szCs w:val="21"/>
          <w:u w:val="single"/>
          <w:lang w:val="zh-CN"/>
        </w:rPr>
        <w:t xml:space="preserve"> </w:t>
      </w:r>
    </w:p>
    <w:p>
      <w:pPr>
        <w:spacing w:line="400" w:lineRule="exact"/>
        <w:ind w:left="25" w:leftChars="12" w:firstLine="413" w:firstLineChars="197"/>
        <w:contextualSpacing/>
        <w:rPr>
          <w:color w:val="auto"/>
          <w:kern w:val="0"/>
          <w:szCs w:val="21"/>
        </w:rPr>
      </w:pPr>
      <w:r>
        <w:rPr>
          <w:rFonts w:hint="eastAsia"/>
          <w:color w:val="auto"/>
          <w:kern w:val="0"/>
          <w:szCs w:val="21"/>
          <w:lang w:val="zh-CN"/>
        </w:rPr>
        <w:t>采购人名称：</w:t>
      </w:r>
      <w:r>
        <w:rPr>
          <w:rFonts w:hint="eastAsia"/>
          <w:bCs/>
          <w:color w:val="auto"/>
          <w:kern w:val="0"/>
          <w:szCs w:val="21"/>
          <w:u w:val="single"/>
          <w:lang w:val="zh-CN"/>
        </w:rPr>
        <w:t xml:space="preserve">  </w:t>
      </w:r>
      <w:r>
        <w:rPr>
          <w:rFonts w:hint="eastAsia"/>
          <w:bCs/>
          <w:color w:val="auto"/>
          <w:kern w:val="0"/>
          <w:szCs w:val="21"/>
          <w:u w:val="single"/>
        </w:rPr>
        <w:t xml:space="preserve">         </w:t>
      </w:r>
      <w:r>
        <w:rPr>
          <w:rFonts w:hint="eastAsia"/>
          <w:bCs/>
          <w:color w:val="auto"/>
          <w:kern w:val="0"/>
          <w:szCs w:val="21"/>
          <w:u w:val="single"/>
          <w:lang w:val="zh-CN"/>
        </w:rPr>
        <w:t xml:space="preserve"> </w:t>
      </w:r>
      <w:r>
        <w:rPr>
          <w:rFonts w:hint="eastAsia"/>
          <w:bCs/>
          <w:color w:val="auto"/>
          <w:kern w:val="0"/>
          <w:szCs w:val="21"/>
          <w:u w:val="single"/>
        </w:rPr>
        <w:t xml:space="preserve">              </w:t>
      </w:r>
    </w:p>
    <w:p>
      <w:pPr>
        <w:spacing w:line="400" w:lineRule="exact"/>
        <w:ind w:left="25" w:leftChars="12" w:firstLine="413" w:firstLineChars="197"/>
        <w:contextualSpacing/>
        <w:rPr>
          <w:color w:val="auto"/>
          <w:kern w:val="0"/>
          <w:szCs w:val="21"/>
          <w:lang w:val="zh-CN"/>
        </w:rPr>
      </w:pPr>
      <w:r>
        <w:rPr>
          <w:rFonts w:hint="eastAsia"/>
          <w:color w:val="auto"/>
          <w:kern w:val="0"/>
          <w:szCs w:val="21"/>
          <w:lang w:val="zh-CN"/>
        </w:rPr>
        <w:t>质疑事项：</w:t>
      </w:r>
    </w:p>
    <w:p>
      <w:pPr>
        <w:spacing w:line="400" w:lineRule="exact"/>
        <w:ind w:left="25" w:leftChars="12" w:firstLine="413" w:firstLineChars="197"/>
        <w:contextualSpacing/>
        <w:rPr>
          <w:color w:val="auto"/>
          <w:kern w:val="0"/>
          <w:szCs w:val="21"/>
          <w:lang w:val="zh-CN"/>
        </w:rPr>
      </w:pPr>
      <w:r>
        <w:rPr>
          <w:rFonts w:hint="eastAsia"/>
          <w:color w:val="auto"/>
          <w:kern w:val="0"/>
          <w:szCs w:val="21"/>
          <w:lang w:val="zh-CN"/>
        </w:rPr>
        <w:t>□采购文件   采购文件获取日期：</w:t>
      </w:r>
      <w:r>
        <w:rPr>
          <w:rFonts w:hint="eastAsia"/>
          <w:bCs/>
          <w:color w:val="auto"/>
          <w:kern w:val="0"/>
          <w:szCs w:val="21"/>
          <w:u w:val="single"/>
          <w:lang w:val="zh-CN"/>
        </w:rPr>
        <w:t xml:space="preserve">                                   </w:t>
      </w:r>
    </w:p>
    <w:p>
      <w:pPr>
        <w:spacing w:line="400" w:lineRule="exact"/>
        <w:ind w:left="25" w:leftChars="12" w:firstLine="413" w:firstLineChars="197"/>
        <w:contextualSpacing/>
        <w:rPr>
          <w:color w:val="auto"/>
          <w:kern w:val="0"/>
          <w:szCs w:val="21"/>
          <w:lang w:val="zh-CN"/>
        </w:rPr>
      </w:pPr>
      <w:r>
        <w:rPr>
          <w:rFonts w:hint="eastAsia"/>
          <w:color w:val="auto"/>
          <w:kern w:val="0"/>
          <w:szCs w:val="21"/>
          <w:lang w:val="zh-CN"/>
        </w:rPr>
        <w:t>□</w:t>
      </w:r>
      <w:r>
        <w:rPr>
          <w:rFonts w:hint="eastAsia"/>
          <w:bCs/>
          <w:color w:val="auto"/>
          <w:kern w:val="0"/>
          <w:szCs w:val="21"/>
          <w:lang w:val="zh-CN"/>
        </w:rPr>
        <w:t>采购</w:t>
      </w:r>
      <w:r>
        <w:rPr>
          <w:rFonts w:hint="eastAsia"/>
          <w:color w:val="auto"/>
          <w:kern w:val="0"/>
          <w:szCs w:val="21"/>
          <w:lang w:val="zh-CN"/>
        </w:rPr>
        <w:t xml:space="preserve">过程   </w:t>
      </w:r>
    </w:p>
    <w:p>
      <w:pPr>
        <w:spacing w:line="400" w:lineRule="exact"/>
        <w:ind w:left="25" w:leftChars="12" w:firstLine="413" w:firstLineChars="197"/>
        <w:contextualSpacing/>
        <w:rPr>
          <w:bCs/>
          <w:color w:val="auto"/>
          <w:kern w:val="0"/>
          <w:szCs w:val="21"/>
          <w:u w:val="single"/>
          <w:lang w:val="zh-CN"/>
        </w:rPr>
      </w:pPr>
      <w:r>
        <w:rPr>
          <w:rFonts w:hint="eastAsia"/>
          <w:color w:val="auto"/>
          <w:kern w:val="0"/>
          <w:szCs w:val="21"/>
          <w:lang w:val="zh-CN"/>
        </w:rPr>
        <w:t>□</w:t>
      </w:r>
      <w:r>
        <w:rPr>
          <w:rFonts w:hint="eastAsia"/>
          <w:bCs/>
          <w:color w:val="auto"/>
          <w:kern w:val="0"/>
          <w:szCs w:val="21"/>
          <w:lang w:val="zh-CN"/>
        </w:rPr>
        <w:t>成交</w:t>
      </w:r>
      <w:r>
        <w:rPr>
          <w:rFonts w:hint="eastAsia"/>
          <w:color w:val="auto"/>
          <w:kern w:val="0"/>
          <w:szCs w:val="21"/>
          <w:lang w:val="zh-CN"/>
        </w:rPr>
        <w:t xml:space="preserve">结果   </w:t>
      </w:r>
    </w:p>
    <w:p>
      <w:pPr>
        <w:spacing w:line="400" w:lineRule="exact"/>
        <w:ind w:left="25" w:leftChars="12" w:firstLine="413" w:firstLineChars="196"/>
        <w:contextualSpacing/>
        <w:rPr>
          <w:b/>
          <w:color w:val="auto"/>
          <w:kern w:val="0"/>
          <w:szCs w:val="21"/>
          <w:lang w:val="zh-CN"/>
        </w:rPr>
      </w:pPr>
      <w:r>
        <w:rPr>
          <w:rFonts w:hint="eastAsia"/>
          <w:b/>
          <w:color w:val="auto"/>
          <w:kern w:val="0"/>
          <w:szCs w:val="21"/>
          <w:lang w:val="zh-CN"/>
        </w:rPr>
        <w:t>三、质疑事项具体内容</w:t>
      </w:r>
    </w:p>
    <w:p>
      <w:pPr>
        <w:spacing w:line="400" w:lineRule="exact"/>
        <w:ind w:left="25" w:leftChars="12" w:firstLine="413" w:firstLineChars="197"/>
        <w:contextualSpacing/>
        <w:rPr>
          <w:color w:val="auto"/>
          <w:kern w:val="0"/>
          <w:szCs w:val="21"/>
          <w:lang w:val="zh-CN"/>
        </w:rPr>
      </w:pPr>
      <w:r>
        <w:rPr>
          <w:rFonts w:hint="eastAsia"/>
          <w:color w:val="auto"/>
          <w:kern w:val="0"/>
          <w:szCs w:val="21"/>
          <w:lang w:val="zh-CN"/>
        </w:rPr>
        <w:t>质疑事项1：</w:t>
      </w:r>
      <w:r>
        <w:rPr>
          <w:rFonts w:hint="eastAsia"/>
          <w:bCs/>
          <w:color w:val="auto"/>
          <w:kern w:val="0"/>
          <w:szCs w:val="21"/>
          <w:u w:val="single"/>
          <w:lang w:val="zh-CN"/>
        </w:rPr>
        <w:t xml:space="preserve">                                                                 </w:t>
      </w:r>
    </w:p>
    <w:p>
      <w:pPr>
        <w:spacing w:line="400" w:lineRule="exact"/>
        <w:ind w:left="25" w:leftChars="12" w:firstLine="413" w:firstLineChars="197"/>
        <w:contextualSpacing/>
        <w:rPr>
          <w:color w:val="auto"/>
          <w:kern w:val="0"/>
          <w:szCs w:val="21"/>
          <w:lang w:val="zh-CN"/>
        </w:rPr>
      </w:pPr>
      <w:r>
        <w:rPr>
          <w:rFonts w:hint="eastAsia"/>
          <w:color w:val="auto"/>
          <w:kern w:val="0"/>
          <w:szCs w:val="21"/>
          <w:lang w:val="zh-CN"/>
        </w:rPr>
        <w:t>事实依据：</w:t>
      </w:r>
      <w:r>
        <w:rPr>
          <w:rFonts w:hint="eastAsia"/>
          <w:bCs/>
          <w:color w:val="auto"/>
          <w:kern w:val="0"/>
          <w:szCs w:val="21"/>
          <w:u w:val="single"/>
          <w:lang w:val="zh-CN"/>
        </w:rPr>
        <w:t xml:space="preserve">                                                                  </w:t>
      </w:r>
    </w:p>
    <w:p>
      <w:pPr>
        <w:spacing w:line="400" w:lineRule="exact"/>
        <w:ind w:left="25" w:leftChars="12" w:firstLine="413" w:firstLineChars="197"/>
        <w:contextualSpacing/>
        <w:rPr>
          <w:color w:val="auto"/>
          <w:kern w:val="0"/>
          <w:szCs w:val="21"/>
          <w:lang w:val="zh-CN"/>
        </w:rPr>
      </w:pPr>
      <w:r>
        <w:rPr>
          <w:rFonts w:hint="eastAsia"/>
          <w:color w:val="auto"/>
          <w:kern w:val="0"/>
          <w:szCs w:val="21"/>
          <w:lang w:val="zh-CN"/>
        </w:rPr>
        <w:t>法律依据：</w:t>
      </w:r>
      <w:r>
        <w:rPr>
          <w:rFonts w:hint="eastAsia"/>
          <w:color w:val="auto"/>
          <w:kern w:val="0"/>
          <w:szCs w:val="21"/>
          <w:u w:val="single"/>
          <w:lang w:val="zh-CN"/>
        </w:rPr>
        <w:t xml:space="preserve">                                                        </w:t>
      </w:r>
      <w:r>
        <w:rPr>
          <w:rFonts w:hint="eastAsia"/>
          <w:bCs/>
          <w:color w:val="auto"/>
          <w:kern w:val="0"/>
          <w:szCs w:val="21"/>
          <w:u w:val="single"/>
          <w:lang w:val="zh-CN"/>
        </w:rPr>
        <w:t xml:space="preserve">          </w:t>
      </w:r>
    </w:p>
    <w:p>
      <w:pPr>
        <w:spacing w:line="400" w:lineRule="exact"/>
        <w:ind w:left="25" w:leftChars="12" w:firstLine="413" w:firstLineChars="197"/>
        <w:contextualSpacing/>
        <w:rPr>
          <w:color w:val="auto"/>
          <w:kern w:val="0"/>
          <w:szCs w:val="21"/>
          <w:lang w:val="zh-CN"/>
        </w:rPr>
      </w:pPr>
      <w:r>
        <w:rPr>
          <w:rFonts w:hint="eastAsia"/>
          <w:color w:val="auto"/>
          <w:kern w:val="0"/>
          <w:szCs w:val="21"/>
          <w:lang w:val="zh-CN"/>
        </w:rPr>
        <w:t>质疑事项2</w:t>
      </w:r>
    </w:p>
    <w:p>
      <w:pPr>
        <w:spacing w:line="400" w:lineRule="exact"/>
        <w:ind w:left="25" w:leftChars="12" w:firstLine="413" w:firstLineChars="197"/>
        <w:contextualSpacing/>
        <w:rPr>
          <w:color w:val="auto"/>
          <w:kern w:val="0"/>
          <w:szCs w:val="21"/>
          <w:lang w:val="zh-CN"/>
        </w:rPr>
      </w:pPr>
      <w:r>
        <w:rPr>
          <w:color w:val="auto"/>
          <w:kern w:val="0"/>
          <w:szCs w:val="21"/>
          <w:lang w:val="zh-CN"/>
        </w:rPr>
        <w:t>……</w:t>
      </w:r>
    </w:p>
    <w:p>
      <w:pPr>
        <w:spacing w:line="400" w:lineRule="exact"/>
        <w:ind w:left="25" w:leftChars="12" w:firstLine="413" w:firstLineChars="197"/>
        <w:contextualSpacing/>
        <w:rPr>
          <w:color w:val="auto"/>
          <w:kern w:val="0"/>
          <w:szCs w:val="21"/>
          <w:lang w:val="zh-CN"/>
        </w:rPr>
      </w:pPr>
      <w:r>
        <w:rPr>
          <w:rFonts w:hint="eastAsia"/>
          <w:color w:val="auto"/>
          <w:kern w:val="0"/>
          <w:szCs w:val="21"/>
          <w:lang w:val="zh-CN"/>
        </w:rPr>
        <w:t>四、与质疑事项相关的质疑请求：</w:t>
      </w:r>
    </w:p>
    <w:p>
      <w:pPr>
        <w:spacing w:line="400" w:lineRule="exact"/>
        <w:ind w:left="25" w:leftChars="12" w:firstLine="413" w:firstLineChars="197"/>
        <w:contextualSpacing/>
        <w:rPr>
          <w:color w:val="auto"/>
          <w:kern w:val="0"/>
          <w:szCs w:val="21"/>
          <w:lang w:val="zh-CN"/>
        </w:rPr>
      </w:pPr>
      <w:r>
        <w:rPr>
          <w:rFonts w:hint="eastAsia"/>
          <w:color w:val="auto"/>
          <w:kern w:val="0"/>
          <w:szCs w:val="21"/>
          <w:lang w:val="zh-CN"/>
        </w:rPr>
        <w:t>请求：</w:t>
      </w:r>
      <w:r>
        <w:rPr>
          <w:rFonts w:hint="eastAsia"/>
          <w:bCs/>
          <w:color w:val="auto"/>
          <w:kern w:val="0"/>
          <w:szCs w:val="21"/>
          <w:u w:val="single"/>
          <w:lang w:val="zh-CN"/>
        </w:rPr>
        <w:t xml:space="preserve">                                                                </w:t>
      </w:r>
    </w:p>
    <w:p>
      <w:pPr>
        <w:spacing w:line="400" w:lineRule="exact"/>
        <w:ind w:left="25" w:leftChars="12" w:firstLine="308" w:firstLineChars="147"/>
        <w:contextualSpacing/>
        <w:rPr>
          <w:color w:val="auto"/>
          <w:kern w:val="0"/>
          <w:szCs w:val="21"/>
          <w:lang w:val="zh-CN"/>
        </w:rPr>
      </w:pPr>
    </w:p>
    <w:p>
      <w:pPr>
        <w:spacing w:line="400" w:lineRule="exact"/>
        <w:ind w:left="25" w:leftChars="12" w:firstLine="413" w:firstLineChars="197"/>
        <w:contextualSpacing/>
        <w:rPr>
          <w:color w:val="auto"/>
          <w:kern w:val="0"/>
          <w:szCs w:val="21"/>
          <w:lang w:val="zh-CN"/>
        </w:rPr>
      </w:pPr>
      <w:r>
        <w:rPr>
          <w:rFonts w:hint="eastAsia"/>
          <w:color w:val="auto"/>
          <w:kern w:val="0"/>
          <w:szCs w:val="21"/>
          <w:lang w:val="zh-CN"/>
        </w:rPr>
        <w:t>签字（签章）：                                       公章：</w:t>
      </w:r>
    </w:p>
    <w:p>
      <w:pPr>
        <w:spacing w:line="400" w:lineRule="exact"/>
        <w:ind w:left="25" w:leftChars="12" w:firstLine="308" w:firstLineChars="147"/>
        <w:contextualSpacing/>
        <w:rPr>
          <w:color w:val="auto"/>
          <w:kern w:val="0"/>
          <w:szCs w:val="21"/>
          <w:lang w:val="zh-CN"/>
        </w:rPr>
      </w:pPr>
    </w:p>
    <w:p>
      <w:pPr>
        <w:spacing w:line="400" w:lineRule="exact"/>
        <w:ind w:left="25" w:leftChars="12" w:firstLine="413" w:firstLineChars="197"/>
        <w:contextualSpacing/>
        <w:rPr>
          <w:color w:val="auto"/>
          <w:kern w:val="0"/>
          <w:szCs w:val="21"/>
          <w:lang w:val="zh-CN"/>
        </w:rPr>
      </w:pPr>
      <w:r>
        <w:rPr>
          <w:rFonts w:hint="eastAsia"/>
          <w:color w:val="auto"/>
          <w:kern w:val="0"/>
          <w:szCs w:val="21"/>
          <w:lang w:val="zh-CN"/>
        </w:rPr>
        <w:t>日期：</w:t>
      </w:r>
    </w:p>
    <w:p>
      <w:pPr>
        <w:spacing w:line="360" w:lineRule="auto"/>
        <w:contextualSpacing/>
        <w:rPr>
          <w:b/>
          <w:color w:val="auto"/>
          <w:kern w:val="0"/>
          <w:szCs w:val="21"/>
          <w:lang w:val="zh-CN"/>
        </w:rPr>
      </w:pPr>
    </w:p>
    <w:p>
      <w:pPr>
        <w:spacing w:line="360" w:lineRule="auto"/>
        <w:contextualSpacing/>
        <w:rPr>
          <w:b/>
          <w:color w:val="auto"/>
          <w:kern w:val="0"/>
          <w:szCs w:val="21"/>
          <w:lang w:val="zh-CN"/>
        </w:rPr>
      </w:pPr>
      <w:r>
        <w:rPr>
          <w:rFonts w:hint="eastAsia"/>
          <w:b/>
          <w:color w:val="auto"/>
          <w:kern w:val="0"/>
          <w:szCs w:val="21"/>
          <w:lang w:val="zh-CN"/>
        </w:rPr>
        <w:t>说明：</w:t>
      </w:r>
    </w:p>
    <w:p>
      <w:pPr>
        <w:spacing w:line="360" w:lineRule="auto"/>
        <w:ind w:left="25" w:leftChars="12" w:firstLine="310" w:firstLineChars="147"/>
        <w:contextualSpacing/>
        <w:rPr>
          <w:b/>
          <w:bCs/>
          <w:color w:val="auto"/>
          <w:kern w:val="0"/>
          <w:szCs w:val="21"/>
          <w:lang w:val="zh-CN"/>
        </w:rPr>
      </w:pPr>
      <w:r>
        <w:rPr>
          <w:rFonts w:hint="eastAsia"/>
          <w:b/>
          <w:color w:val="auto"/>
          <w:kern w:val="0"/>
          <w:szCs w:val="21"/>
          <w:lang w:val="zh-CN"/>
        </w:rPr>
        <w:t>1、供应商提出质疑时，应提交质疑函和必要的证明材料</w:t>
      </w:r>
      <w:r>
        <w:rPr>
          <w:rFonts w:hint="eastAsia"/>
          <w:b/>
          <w:bCs/>
          <w:color w:val="auto"/>
          <w:kern w:val="0"/>
          <w:szCs w:val="21"/>
          <w:lang w:val="zh-CN"/>
        </w:rPr>
        <w:t>。</w:t>
      </w:r>
    </w:p>
    <w:p>
      <w:pPr>
        <w:spacing w:line="360" w:lineRule="auto"/>
        <w:ind w:left="25" w:leftChars="12" w:firstLine="310" w:firstLineChars="147"/>
        <w:contextualSpacing/>
        <w:rPr>
          <w:b/>
          <w:color w:val="auto"/>
          <w:kern w:val="0"/>
          <w:szCs w:val="21"/>
          <w:lang w:val="zh-CN"/>
        </w:rPr>
      </w:pPr>
      <w:r>
        <w:rPr>
          <w:rFonts w:hint="eastAsia"/>
          <w:b/>
          <w:color w:val="auto"/>
          <w:kern w:val="0"/>
          <w:szCs w:val="21"/>
          <w:lang w:val="zh-CN"/>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left="25" w:leftChars="12" w:firstLine="310" w:firstLineChars="147"/>
        <w:contextualSpacing/>
        <w:rPr>
          <w:b/>
          <w:color w:val="auto"/>
          <w:kern w:val="0"/>
          <w:szCs w:val="21"/>
          <w:lang w:val="zh-CN"/>
        </w:rPr>
      </w:pPr>
      <w:r>
        <w:rPr>
          <w:rFonts w:hint="eastAsia"/>
          <w:b/>
          <w:color w:val="auto"/>
          <w:kern w:val="0"/>
          <w:szCs w:val="21"/>
          <w:lang w:val="zh-CN"/>
        </w:rPr>
        <w:t>3、质疑函的质疑事项应具体、明确，并有必要的事实依据和法律依据。</w:t>
      </w:r>
    </w:p>
    <w:p>
      <w:pPr>
        <w:spacing w:line="360" w:lineRule="auto"/>
        <w:ind w:left="25" w:leftChars="12" w:firstLine="310" w:firstLineChars="147"/>
        <w:contextualSpacing/>
        <w:rPr>
          <w:b/>
          <w:color w:val="auto"/>
          <w:kern w:val="0"/>
          <w:szCs w:val="21"/>
          <w:lang w:val="zh-CN"/>
        </w:rPr>
      </w:pPr>
      <w:r>
        <w:rPr>
          <w:rFonts w:hint="eastAsia"/>
          <w:b/>
          <w:color w:val="auto"/>
          <w:kern w:val="0"/>
          <w:szCs w:val="21"/>
          <w:lang w:val="zh-CN"/>
        </w:rPr>
        <w:t>4、质疑函的质疑请求应与质疑事项相关。</w:t>
      </w:r>
    </w:p>
    <w:p>
      <w:pPr>
        <w:spacing w:line="360" w:lineRule="auto"/>
        <w:ind w:left="25" w:leftChars="12" w:firstLine="310" w:firstLineChars="147"/>
        <w:contextualSpacing/>
        <w:rPr>
          <w:b/>
          <w:color w:val="auto"/>
          <w:kern w:val="0"/>
          <w:sz w:val="20"/>
          <w:szCs w:val="21"/>
          <w:lang w:val="zh-CN"/>
        </w:rPr>
      </w:pPr>
      <w:r>
        <w:rPr>
          <w:rFonts w:hint="eastAsia"/>
          <w:b/>
          <w:color w:val="auto"/>
          <w:kern w:val="0"/>
          <w:szCs w:val="21"/>
          <w:lang w:val="zh-CN"/>
        </w:rPr>
        <w:t>5、质疑供应商为法人或者其他组织的，质疑函应由法定代表人、主要负责人，或者其授权代表签字或者盖章，并加盖公章。</w:t>
      </w:r>
    </w:p>
    <w:p>
      <w:pPr>
        <w:snapToGrid w:val="0"/>
        <w:rPr>
          <w:b/>
          <w:color w:val="auto"/>
          <w:kern w:val="0"/>
          <w:sz w:val="24"/>
          <w:lang w:val="zh-CN"/>
        </w:rPr>
      </w:pPr>
    </w:p>
    <w:p>
      <w:pPr>
        <w:spacing w:line="460" w:lineRule="exact"/>
        <w:jc w:val="center"/>
        <w:rPr>
          <w:rFonts w:eastAsia="隶书"/>
          <w:color w:val="auto"/>
          <w:sz w:val="44"/>
        </w:rPr>
      </w:pPr>
      <w:r>
        <w:rPr>
          <w:rFonts w:eastAsia="隶书"/>
          <w:color w:val="auto"/>
          <w:sz w:val="44"/>
        </w:rPr>
        <w:br w:type="page"/>
      </w:r>
    </w:p>
    <w:p>
      <w:pPr>
        <w:spacing w:line="360" w:lineRule="auto"/>
        <w:jc w:val="center"/>
        <w:outlineLvl w:val="1"/>
        <w:rPr>
          <w:rFonts w:eastAsia="华文中宋" w:cs="华文中宋"/>
          <w:color w:val="auto"/>
          <w:sz w:val="30"/>
          <w:szCs w:val="30"/>
          <w:lang w:val="zh-CN"/>
        </w:rPr>
      </w:pPr>
      <w:bookmarkStart w:id="244" w:name="_Toc13697"/>
      <w:bookmarkStart w:id="245" w:name="_Toc12768"/>
      <w:bookmarkStart w:id="246" w:name="_Toc9540"/>
      <w:r>
        <w:rPr>
          <w:rFonts w:hint="eastAsia" w:eastAsia="华文中宋" w:cs="华文中宋"/>
          <w:color w:val="auto"/>
          <w:sz w:val="30"/>
          <w:szCs w:val="30"/>
          <w:lang w:val="zh-CN"/>
        </w:rPr>
        <w:t>投诉书（格式）</w:t>
      </w:r>
      <w:bookmarkEnd w:id="244"/>
      <w:bookmarkEnd w:id="245"/>
      <w:bookmarkEnd w:id="246"/>
    </w:p>
    <w:p>
      <w:pPr>
        <w:snapToGrid w:val="0"/>
        <w:spacing w:line="400" w:lineRule="exact"/>
        <w:ind w:firstLine="422" w:firstLineChars="200"/>
        <w:rPr>
          <w:b/>
          <w:bCs/>
          <w:color w:val="auto"/>
          <w:kern w:val="0"/>
          <w:szCs w:val="21"/>
          <w:lang w:val="zh-CN"/>
        </w:rPr>
      </w:pPr>
      <w:r>
        <w:rPr>
          <w:rFonts w:hint="eastAsia"/>
          <w:b/>
          <w:bCs/>
          <w:color w:val="auto"/>
          <w:kern w:val="0"/>
          <w:szCs w:val="21"/>
          <w:lang w:val="zh-CN"/>
        </w:rPr>
        <w:t>一、投诉相关主体基本情况：</w:t>
      </w:r>
    </w:p>
    <w:p>
      <w:pPr>
        <w:snapToGrid w:val="0"/>
        <w:spacing w:line="400" w:lineRule="exact"/>
        <w:ind w:firstLine="420" w:firstLineChars="200"/>
        <w:rPr>
          <w:bCs/>
          <w:color w:val="auto"/>
          <w:kern w:val="0"/>
          <w:szCs w:val="21"/>
          <w:u w:val="single"/>
          <w:lang w:val="zh-CN"/>
        </w:rPr>
      </w:pPr>
      <w:r>
        <w:rPr>
          <w:rFonts w:hint="eastAsia"/>
          <w:bCs/>
          <w:color w:val="auto"/>
          <w:kern w:val="0"/>
          <w:szCs w:val="21"/>
          <w:lang w:val="zh-CN"/>
        </w:rPr>
        <w:t>供应商：</w:t>
      </w:r>
      <w:r>
        <w:rPr>
          <w:rFonts w:hint="eastAsia"/>
          <w:bCs/>
          <w:color w:val="auto"/>
          <w:kern w:val="0"/>
          <w:szCs w:val="21"/>
          <w:u w:val="single"/>
          <w:lang w:val="zh-CN"/>
        </w:rPr>
        <w:t xml:space="preserve">                                                                     </w:t>
      </w:r>
    </w:p>
    <w:p>
      <w:pPr>
        <w:snapToGrid w:val="0"/>
        <w:spacing w:line="400" w:lineRule="exact"/>
        <w:ind w:firstLine="420" w:firstLineChars="200"/>
        <w:rPr>
          <w:bCs/>
          <w:color w:val="auto"/>
          <w:kern w:val="0"/>
          <w:szCs w:val="21"/>
          <w:lang w:val="zh-CN"/>
        </w:rPr>
      </w:pPr>
      <w:r>
        <w:rPr>
          <w:bCs/>
          <w:color w:val="auto"/>
          <w:kern w:val="0"/>
          <w:szCs w:val="21"/>
          <w:lang w:val="zh-CN"/>
        </w:rPr>
        <w:t>地址</w:t>
      </w:r>
      <w:r>
        <w:rPr>
          <w:rFonts w:hint="eastAsia"/>
          <w:bCs/>
          <w:color w:val="auto"/>
          <w:kern w:val="0"/>
          <w:szCs w:val="21"/>
          <w:lang w:val="zh-CN"/>
        </w:rPr>
        <w:t>：</w:t>
      </w:r>
      <w:r>
        <w:rPr>
          <w:rFonts w:hint="eastAsia"/>
          <w:bCs/>
          <w:color w:val="auto"/>
          <w:kern w:val="0"/>
          <w:szCs w:val="21"/>
          <w:u w:val="single"/>
          <w:lang w:val="zh-CN"/>
        </w:rPr>
        <w:t xml:space="preserve">                                          </w:t>
      </w:r>
      <w:r>
        <w:rPr>
          <w:bCs/>
          <w:color w:val="auto"/>
          <w:kern w:val="0"/>
          <w:szCs w:val="21"/>
          <w:lang w:val="zh-CN"/>
        </w:rPr>
        <w:t>邮编</w:t>
      </w:r>
      <w:r>
        <w:rPr>
          <w:rFonts w:hint="eastAsia"/>
          <w:bCs/>
          <w:color w:val="auto"/>
          <w:kern w:val="0"/>
          <w:szCs w:val="21"/>
          <w:lang w:val="zh-CN"/>
        </w:rPr>
        <w:t>：</w:t>
      </w:r>
      <w:r>
        <w:rPr>
          <w:rFonts w:hint="eastAsia"/>
          <w:bCs/>
          <w:color w:val="auto"/>
          <w:kern w:val="0"/>
          <w:szCs w:val="21"/>
          <w:u w:val="single"/>
          <w:lang w:val="zh-CN"/>
        </w:rPr>
        <w:t xml:space="preserve">                       </w:t>
      </w:r>
    </w:p>
    <w:p>
      <w:pPr>
        <w:snapToGrid w:val="0"/>
        <w:spacing w:line="400" w:lineRule="exact"/>
        <w:ind w:firstLine="420" w:firstLineChars="200"/>
        <w:rPr>
          <w:bCs/>
          <w:color w:val="auto"/>
          <w:kern w:val="0"/>
          <w:szCs w:val="21"/>
          <w:u w:val="single"/>
          <w:lang w:val="zh-CN"/>
        </w:rPr>
      </w:pPr>
      <w:r>
        <w:rPr>
          <w:rFonts w:hint="eastAsia"/>
          <w:bCs/>
          <w:color w:val="auto"/>
          <w:kern w:val="0"/>
          <w:szCs w:val="21"/>
          <w:lang w:val="zh-CN"/>
        </w:rPr>
        <w:t>法定代表人/主要负责人：</w:t>
      </w:r>
      <w:r>
        <w:rPr>
          <w:rFonts w:hint="eastAsia"/>
          <w:bCs/>
          <w:color w:val="auto"/>
          <w:kern w:val="0"/>
          <w:szCs w:val="21"/>
          <w:u w:val="single"/>
          <w:lang w:val="zh-CN"/>
        </w:rPr>
        <w:t xml:space="preserve">                                                       </w:t>
      </w:r>
    </w:p>
    <w:p>
      <w:pPr>
        <w:snapToGrid w:val="0"/>
        <w:spacing w:line="400" w:lineRule="exact"/>
        <w:ind w:firstLine="420" w:firstLineChars="200"/>
        <w:rPr>
          <w:bCs/>
          <w:color w:val="auto"/>
          <w:kern w:val="0"/>
          <w:szCs w:val="21"/>
          <w:lang w:val="zh-CN"/>
        </w:rPr>
      </w:pPr>
      <w:r>
        <w:rPr>
          <w:bCs/>
          <w:color w:val="auto"/>
          <w:kern w:val="0"/>
          <w:szCs w:val="21"/>
          <w:lang w:val="zh-CN"/>
        </w:rPr>
        <w:t>联系电话</w:t>
      </w:r>
      <w:r>
        <w:rPr>
          <w:rFonts w:hint="eastAsia"/>
          <w:bCs/>
          <w:color w:val="auto"/>
          <w:kern w:val="0"/>
          <w:szCs w:val="21"/>
          <w:lang w:val="zh-CN"/>
        </w:rPr>
        <w:t>：</w:t>
      </w:r>
      <w:r>
        <w:rPr>
          <w:rFonts w:hint="eastAsia"/>
          <w:bCs/>
          <w:color w:val="auto"/>
          <w:kern w:val="0"/>
          <w:szCs w:val="21"/>
          <w:u w:val="single"/>
          <w:lang w:val="zh-CN"/>
        </w:rPr>
        <w:t xml:space="preserve">                                         </w:t>
      </w:r>
    </w:p>
    <w:p>
      <w:pPr>
        <w:snapToGrid w:val="0"/>
        <w:spacing w:line="400" w:lineRule="exact"/>
        <w:ind w:firstLine="420" w:firstLineChars="200"/>
        <w:rPr>
          <w:bCs/>
          <w:color w:val="auto"/>
          <w:kern w:val="0"/>
          <w:szCs w:val="21"/>
          <w:u w:val="single"/>
          <w:lang w:val="zh-CN"/>
        </w:rPr>
      </w:pPr>
      <w:r>
        <w:rPr>
          <w:rFonts w:hint="eastAsia"/>
          <w:bCs/>
          <w:color w:val="auto"/>
          <w:kern w:val="0"/>
          <w:szCs w:val="21"/>
          <w:lang w:val="zh-CN"/>
        </w:rPr>
        <w:t>授权代表：</w:t>
      </w:r>
      <w:r>
        <w:rPr>
          <w:rFonts w:hint="eastAsia"/>
          <w:bCs/>
          <w:color w:val="auto"/>
          <w:kern w:val="0"/>
          <w:szCs w:val="21"/>
          <w:u w:val="single"/>
          <w:lang w:val="zh-CN"/>
        </w:rPr>
        <w:t xml:space="preserve">                                         </w:t>
      </w:r>
      <w:r>
        <w:rPr>
          <w:bCs/>
          <w:color w:val="auto"/>
          <w:kern w:val="0"/>
          <w:szCs w:val="21"/>
          <w:lang w:val="zh-CN"/>
        </w:rPr>
        <w:t>联系</w:t>
      </w:r>
      <w:r>
        <w:rPr>
          <w:rFonts w:hint="eastAsia"/>
          <w:bCs/>
          <w:color w:val="auto"/>
          <w:kern w:val="0"/>
          <w:szCs w:val="21"/>
          <w:lang w:val="zh-CN"/>
        </w:rPr>
        <w:t>电话：</w:t>
      </w:r>
      <w:r>
        <w:rPr>
          <w:rFonts w:hint="eastAsia"/>
          <w:bCs/>
          <w:color w:val="auto"/>
          <w:kern w:val="0"/>
          <w:szCs w:val="21"/>
          <w:u w:val="single"/>
          <w:lang w:val="zh-CN"/>
        </w:rPr>
        <w:t xml:space="preserve">                </w:t>
      </w:r>
    </w:p>
    <w:p>
      <w:pPr>
        <w:snapToGrid w:val="0"/>
        <w:spacing w:line="400" w:lineRule="exact"/>
        <w:ind w:firstLine="420" w:firstLineChars="200"/>
        <w:rPr>
          <w:bCs/>
          <w:color w:val="auto"/>
          <w:kern w:val="0"/>
          <w:szCs w:val="21"/>
          <w:u w:val="single"/>
          <w:lang w:val="zh-CN"/>
        </w:rPr>
      </w:pPr>
      <w:r>
        <w:rPr>
          <w:bCs/>
          <w:color w:val="auto"/>
          <w:kern w:val="0"/>
          <w:szCs w:val="21"/>
          <w:lang w:val="zh-CN"/>
        </w:rPr>
        <w:t>地址</w:t>
      </w:r>
      <w:r>
        <w:rPr>
          <w:rFonts w:hint="eastAsia"/>
          <w:bCs/>
          <w:color w:val="auto"/>
          <w:kern w:val="0"/>
          <w:szCs w:val="21"/>
          <w:lang w:val="zh-CN"/>
        </w:rPr>
        <w:t>：</w:t>
      </w:r>
      <w:r>
        <w:rPr>
          <w:rFonts w:hint="eastAsia"/>
          <w:bCs/>
          <w:color w:val="auto"/>
          <w:kern w:val="0"/>
          <w:szCs w:val="21"/>
          <w:u w:val="single"/>
          <w:lang w:val="zh-CN"/>
        </w:rPr>
        <w:t xml:space="preserve">                                                            </w:t>
      </w:r>
    </w:p>
    <w:p>
      <w:pPr>
        <w:snapToGrid w:val="0"/>
        <w:spacing w:line="400" w:lineRule="exact"/>
        <w:ind w:firstLine="420" w:firstLineChars="200"/>
        <w:rPr>
          <w:bCs/>
          <w:color w:val="auto"/>
          <w:kern w:val="0"/>
          <w:szCs w:val="21"/>
          <w:lang w:val="zh-CN"/>
        </w:rPr>
      </w:pPr>
      <w:r>
        <w:rPr>
          <w:bCs/>
          <w:color w:val="auto"/>
          <w:kern w:val="0"/>
          <w:szCs w:val="21"/>
          <w:lang w:val="zh-CN"/>
        </w:rPr>
        <w:t>邮编</w:t>
      </w:r>
      <w:r>
        <w:rPr>
          <w:rFonts w:hint="eastAsia"/>
          <w:bCs/>
          <w:color w:val="auto"/>
          <w:kern w:val="0"/>
          <w:szCs w:val="21"/>
          <w:lang w:val="zh-CN"/>
        </w:rPr>
        <w:t>：</w:t>
      </w:r>
      <w:r>
        <w:rPr>
          <w:rFonts w:hint="eastAsia"/>
          <w:bCs/>
          <w:color w:val="auto"/>
          <w:kern w:val="0"/>
          <w:szCs w:val="21"/>
          <w:u w:val="single"/>
          <w:lang w:val="zh-CN"/>
        </w:rPr>
        <w:t xml:space="preserve">         </w:t>
      </w:r>
      <w:r>
        <w:rPr>
          <w:rFonts w:hint="eastAsia"/>
          <w:bCs/>
          <w:color w:val="auto"/>
          <w:kern w:val="0"/>
          <w:szCs w:val="21"/>
          <w:lang w:val="zh-CN"/>
        </w:rPr>
        <w:t xml:space="preserve">   </w:t>
      </w:r>
    </w:p>
    <w:p>
      <w:pPr>
        <w:snapToGrid w:val="0"/>
        <w:spacing w:line="400" w:lineRule="exact"/>
        <w:ind w:firstLine="420" w:firstLineChars="200"/>
        <w:rPr>
          <w:bCs/>
          <w:color w:val="auto"/>
          <w:kern w:val="0"/>
          <w:szCs w:val="21"/>
          <w:lang w:val="zh-CN"/>
        </w:rPr>
      </w:pPr>
      <w:r>
        <w:rPr>
          <w:rFonts w:hint="eastAsia"/>
          <w:bCs/>
          <w:color w:val="auto"/>
          <w:kern w:val="0"/>
          <w:szCs w:val="21"/>
          <w:lang w:val="zh-CN"/>
        </w:rPr>
        <w:t>被投诉人1：</w:t>
      </w:r>
    </w:p>
    <w:p>
      <w:pPr>
        <w:snapToGrid w:val="0"/>
        <w:spacing w:line="400" w:lineRule="exact"/>
        <w:ind w:firstLine="420" w:firstLineChars="200"/>
        <w:rPr>
          <w:bCs/>
          <w:color w:val="auto"/>
          <w:kern w:val="0"/>
          <w:szCs w:val="21"/>
          <w:u w:val="single"/>
          <w:lang w:val="zh-CN"/>
        </w:rPr>
      </w:pPr>
      <w:r>
        <w:rPr>
          <w:rFonts w:hint="eastAsia"/>
          <w:bCs/>
          <w:color w:val="auto"/>
          <w:kern w:val="0"/>
          <w:szCs w:val="21"/>
          <w:lang w:val="zh-CN"/>
        </w:rPr>
        <w:t>地址：</w:t>
      </w:r>
      <w:r>
        <w:rPr>
          <w:rFonts w:hint="eastAsia"/>
          <w:bCs/>
          <w:color w:val="auto"/>
          <w:kern w:val="0"/>
          <w:szCs w:val="21"/>
          <w:u w:val="single"/>
          <w:lang w:val="zh-CN"/>
        </w:rPr>
        <w:t xml:space="preserve">                                                            </w:t>
      </w:r>
    </w:p>
    <w:p>
      <w:pPr>
        <w:snapToGrid w:val="0"/>
        <w:spacing w:line="400" w:lineRule="exact"/>
        <w:ind w:firstLine="420" w:firstLineChars="200"/>
        <w:rPr>
          <w:bCs/>
          <w:color w:val="auto"/>
          <w:kern w:val="0"/>
          <w:szCs w:val="21"/>
          <w:lang w:val="zh-CN"/>
        </w:rPr>
      </w:pPr>
      <w:r>
        <w:rPr>
          <w:bCs/>
          <w:color w:val="auto"/>
          <w:kern w:val="0"/>
          <w:szCs w:val="21"/>
          <w:lang w:val="zh-CN"/>
        </w:rPr>
        <w:t>邮编</w:t>
      </w:r>
      <w:r>
        <w:rPr>
          <w:rFonts w:hint="eastAsia"/>
          <w:bCs/>
          <w:color w:val="auto"/>
          <w:kern w:val="0"/>
          <w:szCs w:val="21"/>
          <w:lang w:val="zh-CN"/>
        </w:rPr>
        <w:t>：</w:t>
      </w:r>
      <w:r>
        <w:rPr>
          <w:rFonts w:hint="eastAsia"/>
          <w:bCs/>
          <w:color w:val="auto"/>
          <w:kern w:val="0"/>
          <w:szCs w:val="21"/>
          <w:u w:val="single"/>
          <w:lang w:val="zh-CN"/>
        </w:rPr>
        <w:t xml:space="preserve">         </w:t>
      </w:r>
      <w:r>
        <w:rPr>
          <w:rFonts w:hint="eastAsia"/>
          <w:bCs/>
          <w:color w:val="auto"/>
          <w:kern w:val="0"/>
          <w:szCs w:val="21"/>
          <w:lang w:val="zh-CN"/>
        </w:rPr>
        <w:t xml:space="preserve">  </w:t>
      </w:r>
    </w:p>
    <w:p>
      <w:pPr>
        <w:snapToGrid w:val="0"/>
        <w:spacing w:line="400" w:lineRule="exact"/>
        <w:ind w:firstLine="420" w:firstLineChars="200"/>
        <w:rPr>
          <w:bCs/>
          <w:color w:val="auto"/>
          <w:kern w:val="0"/>
          <w:szCs w:val="21"/>
          <w:u w:val="single"/>
          <w:lang w:val="zh-CN"/>
        </w:rPr>
      </w:pPr>
      <w:r>
        <w:rPr>
          <w:rFonts w:hint="eastAsia"/>
          <w:bCs/>
          <w:color w:val="auto"/>
          <w:kern w:val="0"/>
          <w:szCs w:val="21"/>
          <w:lang w:val="zh-CN"/>
        </w:rPr>
        <w:t>联系人：</w:t>
      </w:r>
      <w:r>
        <w:rPr>
          <w:rFonts w:hint="eastAsia"/>
          <w:bCs/>
          <w:color w:val="auto"/>
          <w:kern w:val="0"/>
          <w:szCs w:val="21"/>
          <w:u w:val="single"/>
          <w:lang w:val="zh-CN"/>
        </w:rPr>
        <w:t xml:space="preserve">                                                </w:t>
      </w:r>
      <w:r>
        <w:rPr>
          <w:bCs/>
          <w:color w:val="auto"/>
          <w:kern w:val="0"/>
          <w:szCs w:val="21"/>
          <w:lang w:val="zh-CN"/>
        </w:rPr>
        <w:t>联系</w:t>
      </w:r>
      <w:r>
        <w:rPr>
          <w:rFonts w:hint="eastAsia"/>
          <w:bCs/>
          <w:color w:val="auto"/>
          <w:kern w:val="0"/>
          <w:szCs w:val="21"/>
          <w:lang w:val="zh-CN"/>
        </w:rPr>
        <w:t>电话：</w:t>
      </w:r>
      <w:r>
        <w:rPr>
          <w:rFonts w:hint="eastAsia"/>
          <w:bCs/>
          <w:color w:val="auto"/>
          <w:kern w:val="0"/>
          <w:szCs w:val="21"/>
          <w:u w:val="single"/>
          <w:lang w:val="zh-CN"/>
        </w:rPr>
        <w:t xml:space="preserve">           </w:t>
      </w:r>
    </w:p>
    <w:p>
      <w:pPr>
        <w:snapToGrid w:val="0"/>
        <w:spacing w:line="400" w:lineRule="exact"/>
        <w:ind w:firstLine="420" w:firstLineChars="200"/>
        <w:rPr>
          <w:bCs/>
          <w:color w:val="auto"/>
          <w:kern w:val="0"/>
          <w:szCs w:val="21"/>
          <w:lang w:val="zh-CN"/>
        </w:rPr>
      </w:pPr>
      <w:r>
        <w:rPr>
          <w:rFonts w:hint="eastAsia"/>
          <w:bCs/>
          <w:color w:val="auto"/>
          <w:kern w:val="0"/>
          <w:szCs w:val="21"/>
          <w:lang w:val="zh-CN"/>
        </w:rPr>
        <w:t>被投诉人2：</w:t>
      </w:r>
    </w:p>
    <w:p>
      <w:pPr>
        <w:snapToGrid w:val="0"/>
        <w:spacing w:line="400" w:lineRule="exact"/>
        <w:ind w:firstLine="420" w:firstLineChars="200"/>
        <w:rPr>
          <w:bCs/>
          <w:color w:val="auto"/>
          <w:kern w:val="0"/>
          <w:szCs w:val="21"/>
          <w:lang w:val="zh-CN"/>
        </w:rPr>
      </w:pPr>
      <w:r>
        <w:rPr>
          <w:bCs/>
          <w:color w:val="auto"/>
          <w:kern w:val="0"/>
          <w:szCs w:val="21"/>
          <w:lang w:val="zh-CN"/>
        </w:rPr>
        <w:t>……</w:t>
      </w:r>
    </w:p>
    <w:p>
      <w:pPr>
        <w:snapToGrid w:val="0"/>
        <w:spacing w:line="400" w:lineRule="exact"/>
        <w:ind w:firstLine="420" w:firstLineChars="200"/>
        <w:rPr>
          <w:bCs/>
          <w:color w:val="auto"/>
          <w:kern w:val="0"/>
          <w:szCs w:val="21"/>
          <w:u w:val="single"/>
          <w:lang w:val="zh-CN"/>
        </w:rPr>
      </w:pPr>
      <w:r>
        <w:rPr>
          <w:rFonts w:hint="eastAsia"/>
          <w:bCs/>
          <w:color w:val="auto"/>
          <w:kern w:val="0"/>
          <w:szCs w:val="21"/>
          <w:lang w:val="zh-CN"/>
        </w:rPr>
        <w:t>相关供应商：</w:t>
      </w:r>
      <w:r>
        <w:rPr>
          <w:rFonts w:hint="eastAsia"/>
          <w:bCs/>
          <w:color w:val="auto"/>
          <w:kern w:val="0"/>
          <w:szCs w:val="21"/>
          <w:u w:val="single"/>
          <w:lang w:val="zh-CN"/>
        </w:rPr>
        <w:t xml:space="preserve">                                                                 </w:t>
      </w:r>
    </w:p>
    <w:p>
      <w:pPr>
        <w:snapToGrid w:val="0"/>
        <w:spacing w:line="400" w:lineRule="exact"/>
        <w:ind w:firstLine="420" w:firstLineChars="200"/>
        <w:rPr>
          <w:bCs/>
          <w:color w:val="auto"/>
          <w:kern w:val="0"/>
          <w:szCs w:val="21"/>
          <w:u w:val="single"/>
          <w:lang w:val="zh-CN"/>
        </w:rPr>
      </w:pPr>
      <w:r>
        <w:rPr>
          <w:bCs/>
          <w:color w:val="auto"/>
          <w:kern w:val="0"/>
          <w:szCs w:val="21"/>
          <w:lang w:val="zh-CN"/>
        </w:rPr>
        <w:t>地址</w:t>
      </w:r>
      <w:r>
        <w:rPr>
          <w:rFonts w:hint="eastAsia"/>
          <w:bCs/>
          <w:color w:val="auto"/>
          <w:kern w:val="0"/>
          <w:szCs w:val="21"/>
          <w:lang w:val="zh-CN"/>
        </w:rPr>
        <w:t>：</w:t>
      </w:r>
      <w:r>
        <w:rPr>
          <w:rFonts w:hint="eastAsia"/>
          <w:bCs/>
          <w:color w:val="auto"/>
          <w:kern w:val="0"/>
          <w:szCs w:val="21"/>
          <w:u w:val="single"/>
          <w:lang w:val="zh-CN"/>
        </w:rPr>
        <w:t xml:space="preserve">                                              </w:t>
      </w:r>
      <w:r>
        <w:rPr>
          <w:bCs/>
          <w:color w:val="auto"/>
          <w:kern w:val="0"/>
          <w:szCs w:val="21"/>
          <w:lang w:val="zh-CN"/>
        </w:rPr>
        <w:t>邮编</w:t>
      </w:r>
      <w:r>
        <w:rPr>
          <w:rFonts w:hint="eastAsia"/>
          <w:bCs/>
          <w:color w:val="auto"/>
          <w:kern w:val="0"/>
          <w:szCs w:val="21"/>
          <w:lang w:val="zh-CN"/>
        </w:rPr>
        <w:t>：</w:t>
      </w:r>
      <w:r>
        <w:rPr>
          <w:rFonts w:hint="eastAsia"/>
          <w:bCs/>
          <w:color w:val="auto"/>
          <w:kern w:val="0"/>
          <w:szCs w:val="21"/>
          <w:u w:val="single"/>
          <w:lang w:val="zh-CN"/>
        </w:rPr>
        <w:t xml:space="preserve">                   </w:t>
      </w:r>
    </w:p>
    <w:p>
      <w:pPr>
        <w:snapToGrid w:val="0"/>
        <w:spacing w:line="400" w:lineRule="exact"/>
        <w:ind w:firstLine="420" w:firstLineChars="200"/>
        <w:rPr>
          <w:bCs/>
          <w:color w:val="auto"/>
          <w:kern w:val="0"/>
          <w:szCs w:val="21"/>
          <w:lang w:val="zh-CN"/>
        </w:rPr>
      </w:pPr>
      <w:r>
        <w:rPr>
          <w:rFonts w:hint="eastAsia"/>
          <w:bCs/>
          <w:color w:val="auto"/>
          <w:kern w:val="0"/>
          <w:szCs w:val="21"/>
          <w:lang w:val="zh-CN"/>
        </w:rPr>
        <w:t>联系人：</w:t>
      </w:r>
      <w:r>
        <w:rPr>
          <w:rFonts w:hint="eastAsia"/>
          <w:bCs/>
          <w:color w:val="auto"/>
          <w:kern w:val="0"/>
          <w:szCs w:val="21"/>
          <w:u w:val="single"/>
          <w:lang w:val="zh-CN"/>
        </w:rPr>
        <w:t xml:space="preserve">                                            </w:t>
      </w:r>
      <w:r>
        <w:rPr>
          <w:bCs/>
          <w:color w:val="auto"/>
          <w:kern w:val="0"/>
          <w:szCs w:val="21"/>
          <w:lang w:val="zh-CN"/>
        </w:rPr>
        <w:t>联系</w:t>
      </w:r>
      <w:r>
        <w:rPr>
          <w:rFonts w:hint="eastAsia"/>
          <w:bCs/>
          <w:color w:val="auto"/>
          <w:kern w:val="0"/>
          <w:szCs w:val="21"/>
          <w:lang w:val="zh-CN"/>
        </w:rPr>
        <w:t>电话：</w:t>
      </w:r>
      <w:r>
        <w:rPr>
          <w:rFonts w:hint="eastAsia"/>
          <w:bCs/>
          <w:color w:val="auto"/>
          <w:kern w:val="0"/>
          <w:szCs w:val="21"/>
          <w:u w:val="single"/>
          <w:lang w:val="zh-CN"/>
        </w:rPr>
        <w:t xml:space="preserve">               </w:t>
      </w:r>
    </w:p>
    <w:p>
      <w:pPr>
        <w:snapToGrid w:val="0"/>
        <w:spacing w:line="400" w:lineRule="exact"/>
        <w:ind w:firstLine="422" w:firstLineChars="200"/>
        <w:rPr>
          <w:b/>
          <w:bCs/>
          <w:color w:val="auto"/>
          <w:kern w:val="0"/>
          <w:szCs w:val="21"/>
          <w:lang w:val="zh-CN"/>
        </w:rPr>
      </w:pPr>
      <w:r>
        <w:rPr>
          <w:rFonts w:hint="eastAsia"/>
          <w:b/>
          <w:bCs/>
          <w:color w:val="auto"/>
          <w:kern w:val="0"/>
          <w:szCs w:val="21"/>
          <w:lang w:val="zh-CN"/>
        </w:rPr>
        <w:t>二、投诉项目基本情况：</w:t>
      </w:r>
    </w:p>
    <w:p>
      <w:pPr>
        <w:spacing w:line="400" w:lineRule="exact"/>
        <w:ind w:left="25" w:leftChars="12" w:firstLine="413" w:firstLineChars="197"/>
        <w:rPr>
          <w:color w:val="auto"/>
          <w:kern w:val="0"/>
          <w:szCs w:val="21"/>
          <w:lang w:val="zh-CN"/>
        </w:rPr>
      </w:pPr>
      <w:r>
        <w:rPr>
          <w:rFonts w:hint="eastAsia"/>
          <w:bCs/>
          <w:color w:val="auto"/>
          <w:kern w:val="0"/>
          <w:szCs w:val="21"/>
          <w:lang w:val="zh-CN"/>
        </w:rPr>
        <w:t>采购</w:t>
      </w:r>
      <w:r>
        <w:rPr>
          <w:rFonts w:hint="eastAsia"/>
          <w:color w:val="auto"/>
          <w:kern w:val="0"/>
          <w:szCs w:val="21"/>
          <w:lang w:val="zh-CN"/>
        </w:rPr>
        <w:t>项目的名称：</w:t>
      </w:r>
      <w:r>
        <w:rPr>
          <w:rFonts w:hint="eastAsia"/>
          <w:bCs/>
          <w:color w:val="auto"/>
          <w:kern w:val="0"/>
          <w:szCs w:val="21"/>
          <w:u w:val="single"/>
          <w:lang w:val="zh-CN"/>
        </w:rPr>
        <w:t xml:space="preserve">  </w:t>
      </w:r>
      <w:r>
        <w:rPr>
          <w:rFonts w:hint="eastAsia"/>
          <w:bCs/>
          <w:color w:val="auto"/>
          <w:kern w:val="0"/>
          <w:szCs w:val="21"/>
          <w:u w:val="single"/>
        </w:rPr>
        <w:t xml:space="preserve">                 </w:t>
      </w:r>
    </w:p>
    <w:p>
      <w:pPr>
        <w:spacing w:line="400" w:lineRule="exact"/>
        <w:ind w:left="25" w:leftChars="12" w:firstLine="413" w:firstLineChars="197"/>
        <w:rPr>
          <w:color w:val="auto"/>
          <w:kern w:val="0"/>
          <w:szCs w:val="21"/>
        </w:rPr>
      </w:pPr>
      <w:r>
        <w:rPr>
          <w:rFonts w:hint="eastAsia"/>
          <w:bCs/>
          <w:color w:val="auto"/>
          <w:kern w:val="0"/>
          <w:szCs w:val="21"/>
          <w:lang w:val="zh-CN"/>
        </w:rPr>
        <w:t>采购</w:t>
      </w:r>
      <w:r>
        <w:rPr>
          <w:rFonts w:hint="eastAsia"/>
          <w:color w:val="auto"/>
          <w:kern w:val="0"/>
          <w:szCs w:val="21"/>
          <w:lang w:val="zh-CN"/>
        </w:rPr>
        <w:t>项目的编号：</w:t>
      </w:r>
      <w:r>
        <w:rPr>
          <w:rFonts w:hint="eastAsia"/>
          <w:bCs/>
          <w:color w:val="auto"/>
          <w:kern w:val="0"/>
          <w:szCs w:val="21"/>
          <w:u w:val="single"/>
        </w:rPr>
        <w:t xml:space="preserve">                   </w:t>
      </w:r>
    </w:p>
    <w:p>
      <w:pPr>
        <w:spacing w:line="400" w:lineRule="exact"/>
        <w:ind w:left="25" w:leftChars="12" w:firstLine="413" w:firstLineChars="197"/>
        <w:rPr>
          <w:bCs/>
          <w:color w:val="auto"/>
          <w:kern w:val="0"/>
          <w:szCs w:val="21"/>
          <w:u w:val="single"/>
        </w:rPr>
      </w:pPr>
      <w:r>
        <w:rPr>
          <w:rFonts w:hint="eastAsia"/>
          <w:color w:val="auto"/>
          <w:kern w:val="0"/>
          <w:szCs w:val="21"/>
          <w:lang w:val="zh-CN"/>
        </w:rPr>
        <w:t>采购人名称：</w:t>
      </w:r>
      <w:r>
        <w:rPr>
          <w:rFonts w:hint="eastAsia"/>
          <w:bCs/>
          <w:color w:val="auto"/>
          <w:kern w:val="0"/>
          <w:szCs w:val="21"/>
          <w:u w:val="single"/>
          <w:lang w:val="zh-CN"/>
        </w:rPr>
        <w:t xml:space="preserve"> </w:t>
      </w:r>
      <w:r>
        <w:rPr>
          <w:rFonts w:hint="eastAsia"/>
          <w:bCs/>
          <w:color w:val="auto"/>
          <w:kern w:val="0"/>
          <w:szCs w:val="21"/>
          <w:u w:val="single"/>
        </w:rPr>
        <w:t xml:space="preserve">           </w:t>
      </w:r>
      <w:r>
        <w:rPr>
          <w:rFonts w:hint="eastAsia"/>
          <w:bCs/>
          <w:color w:val="auto"/>
          <w:kern w:val="0"/>
          <w:szCs w:val="21"/>
          <w:u w:val="single"/>
          <w:lang w:val="zh-CN"/>
        </w:rPr>
        <w:t xml:space="preserve">  </w:t>
      </w:r>
      <w:r>
        <w:rPr>
          <w:rFonts w:hint="eastAsia"/>
          <w:bCs/>
          <w:color w:val="auto"/>
          <w:kern w:val="0"/>
          <w:szCs w:val="21"/>
          <w:u w:val="single"/>
        </w:rPr>
        <w:t xml:space="preserve">         </w:t>
      </w:r>
    </w:p>
    <w:p>
      <w:pPr>
        <w:spacing w:line="400" w:lineRule="exact"/>
        <w:ind w:left="25" w:leftChars="12" w:firstLine="413" w:firstLineChars="197"/>
        <w:rPr>
          <w:bCs/>
          <w:color w:val="auto"/>
          <w:kern w:val="0"/>
          <w:szCs w:val="21"/>
          <w:u w:val="single"/>
        </w:rPr>
      </w:pPr>
      <w:r>
        <w:rPr>
          <w:rFonts w:hint="eastAsia"/>
          <w:color w:val="auto"/>
          <w:kern w:val="0"/>
          <w:szCs w:val="21"/>
          <w:lang w:val="zh-CN"/>
        </w:rPr>
        <w:t>代理机构名称：</w:t>
      </w:r>
      <w:r>
        <w:rPr>
          <w:rFonts w:hint="eastAsia"/>
          <w:bCs/>
          <w:color w:val="auto"/>
          <w:kern w:val="0"/>
          <w:szCs w:val="21"/>
          <w:u w:val="single"/>
        </w:rPr>
        <w:t xml:space="preserve">               </w:t>
      </w:r>
      <w:r>
        <w:rPr>
          <w:rFonts w:hint="eastAsia"/>
          <w:bCs/>
          <w:color w:val="auto"/>
          <w:kern w:val="0"/>
          <w:szCs w:val="21"/>
          <w:u w:val="single"/>
          <w:lang w:val="zh-CN"/>
        </w:rPr>
        <w:t xml:space="preserve"> </w:t>
      </w:r>
      <w:r>
        <w:rPr>
          <w:rFonts w:hint="eastAsia"/>
          <w:bCs/>
          <w:color w:val="auto"/>
          <w:kern w:val="0"/>
          <w:szCs w:val="21"/>
          <w:u w:val="single"/>
        </w:rPr>
        <w:t xml:space="preserve">     </w:t>
      </w:r>
    </w:p>
    <w:p>
      <w:pPr>
        <w:spacing w:line="400" w:lineRule="exact"/>
        <w:ind w:left="25" w:leftChars="12" w:firstLine="413" w:firstLineChars="197"/>
        <w:rPr>
          <w:bCs/>
          <w:color w:val="auto"/>
          <w:kern w:val="0"/>
          <w:szCs w:val="21"/>
          <w:u w:val="single"/>
          <w:lang w:val="zh-CN"/>
        </w:rPr>
      </w:pPr>
      <w:r>
        <w:rPr>
          <w:rFonts w:hint="eastAsia"/>
          <w:bCs/>
          <w:color w:val="auto"/>
          <w:kern w:val="0"/>
          <w:szCs w:val="21"/>
        </w:rPr>
        <w:t>采购</w:t>
      </w:r>
      <w:r>
        <w:rPr>
          <w:rFonts w:hint="eastAsia"/>
          <w:bCs/>
          <w:color w:val="auto"/>
          <w:kern w:val="0"/>
          <w:szCs w:val="21"/>
          <w:lang w:val="zh-CN"/>
        </w:rPr>
        <w:t>文件公告：</w:t>
      </w:r>
      <w:r>
        <w:rPr>
          <w:rFonts w:hint="eastAsia"/>
          <w:bCs/>
          <w:color w:val="auto"/>
          <w:kern w:val="0"/>
          <w:szCs w:val="21"/>
          <w:u w:val="single"/>
          <w:lang w:val="zh-CN"/>
        </w:rPr>
        <w:t>是/否</w:t>
      </w:r>
      <w:r>
        <w:rPr>
          <w:rFonts w:hint="eastAsia"/>
          <w:bCs/>
          <w:color w:val="auto"/>
          <w:kern w:val="0"/>
          <w:szCs w:val="21"/>
          <w:lang w:val="zh-CN"/>
        </w:rPr>
        <w:t>公告期限：</w:t>
      </w:r>
      <w:r>
        <w:rPr>
          <w:rFonts w:hint="eastAsia"/>
          <w:bCs/>
          <w:color w:val="auto"/>
          <w:kern w:val="0"/>
          <w:szCs w:val="21"/>
          <w:u w:val="single"/>
          <w:lang w:val="zh-CN"/>
        </w:rPr>
        <w:t xml:space="preserve">                                                </w:t>
      </w:r>
    </w:p>
    <w:p>
      <w:pPr>
        <w:spacing w:line="400" w:lineRule="exact"/>
        <w:ind w:left="25" w:leftChars="12" w:firstLine="413" w:firstLineChars="197"/>
        <w:rPr>
          <w:b/>
          <w:color w:val="auto"/>
          <w:kern w:val="0"/>
          <w:szCs w:val="21"/>
          <w:lang w:val="zh-CN"/>
        </w:rPr>
      </w:pPr>
      <w:r>
        <w:rPr>
          <w:rFonts w:hint="eastAsia"/>
          <w:bCs/>
          <w:color w:val="auto"/>
          <w:kern w:val="0"/>
          <w:szCs w:val="21"/>
          <w:lang w:val="zh-CN"/>
        </w:rPr>
        <w:t>采购结果公告：</w:t>
      </w:r>
      <w:r>
        <w:rPr>
          <w:rFonts w:hint="eastAsia"/>
          <w:bCs/>
          <w:color w:val="auto"/>
          <w:kern w:val="0"/>
          <w:szCs w:val="21"/>
          <w:u w:val="single"/>
          <w:lang w:val="zh-CN"/>
        </w:rPr>
        <w:t>是/否</w:t>
      </w:r>
      <w:r>
        <w:rPr>
          <w:rFonts w:hint="eastAsia"/>
          <w:bCs/>
          <w:color w:val="auto"/>
          <w:kern w:val="0"/>
          <w:szCs w:val="21"/>
          <w:lang w:val="zh-CN"/>
        </w:rPr>
        <w:t>公告期限：</w:t>
      </w:r>
      <w:r>
        <w:rPr>
          <w:rFonts w:hint="eastAsia"/>
          <w:bCs/>
          <w:color w:val="auto"/>
          <w:kern w:val="0"/>
          <w:szCs w:val="21"/>
          <w:u w:val="single"/>
          <w:lang w:val="zh-CN"/>
        </w:rPr>
        <w:t xml:space="preserve">                                                </w:t>
      </w:r>
    </w:p>
    <w:p>
      <w:pPr>
        <w:spacing w:line="400" w:lineRule="exact"/>
        <w:ind w:left="25" w:leftChars="12" w:firstLine="413" w:firstLineChars="196"/>
        <w:rPr>
          <w:b/>
          <w:color w:val="auto"/>
          <w:kern w:val="0"/>
          <w:szCs w:val="21"/>
          <w:lang w:val="zh-CN"/>
        </w:rPr>
      </w:pPr>
      <w:r>
        <w:rPr>
          <w:rFonts w:hint="eastAsia"/>
          <w:b/>
          <w:color w:val="auto"/>
          <w:kern w:val="0"/>
          <w:szCs w:val="21"/>
          <w:lang w:val="zh-CN"/>
        </w:rPr>
        <w:t>三、质疑基本情况</w:t>
      </w:r>
    </w:p>
    <w:p>
      <w:pPr>
        <w:spacing w:line="400" w:lineRule="exact"/>
        <w:ind w:firstLine="420" w:firstLineChars="200"/>
        <w:rPr>
          <w:color w:val="auto"/>
          <w:kern w:val="0"/>
          <w:szCs w:val="21"/>
          <w:lang w:val="zh-CN"/>
        </w:rPr>
      </w:pPr>
      <w:r>
        <w:rPr>
          <w:rFonts w:hint="eastAsia"/>
          <w:color w:val="auto"/>
          <w:kern w:val="0"/>
          <w:szCs w:val="21"/>
          <w:lang w:val="zh-CN"/>
        </w:rPr>
        <w:t>投诉人于</w:t>
      </w:r>
      <w:r>
        <w:rPr>
          <w:rFonts w:hint="eastAsia"/>
          <w:color w:val="auto"/>
          <w:kern w:val="0"/>
          <w:szCs w:val="21"/>
          <w:u w:val="single"/>
          <w:lang w:val="zh-CN"/>
        </w:rPr>
        <w:t xml:space="preserve">      </w:t>
      </w:r>
      <w:r>
        <w:rPr>
          <w:rFonts w:hint="eastAsia"/>
          <w:color w:val="auto"/>
          <w:kern w:val="0"/>
          <w:szCs w:val="21"/>
          <w:lang w:val="zh-CN"/>
        </w:rPr>
        <w:t>年</w:t>
      </w:r>
      <w:r>
        <w:rPr>
          <w:rFonts w:hint="eastAsia"/>
          <w:color w:val="auto"/>
          <w:kern w:val="0"/>
          <w:szCs w:val="21"/>
          <w:u w:val="single"/>
          <w:lang w:val="zh-CN"/>
        </w:rPr>
        <w:t xml:space="preserve">   </w:t>
      </w:r>
      <w:r>
        <w:rPr>
          <w:rFonts w:hint="eastAsia"/>
          <w:color w:val="auto"/>
          <w:kern w:val="0"/>
          <w:szCs w:val="21"/>
          <w:lang w:val="zh-CN"/>
        </w:rPr>
        <w:t>月</w:t>
      </w:r>
      <w:r>
        <w:rPr>
          <w:rFonts w:hint="eastAsia"/>
          <w:color w:val="auto"/>
          <w:kern w:val="0"/>
          <w:szCs w:val="21"/>
          <w:u w:val="single"/>
          <w:lang w:val="zh-CN"/>
        </w:rPr>
        <w:t xml:space="preserve">   </w:t>
      </w:r>
      <w:r>
        <w:rPr>
          <w:rFonts w:hint="eastAsia"/>
          <w:color w:val="auto"/>
          <w:kern w:val="0"/>
          <w:szCs w:val="21"/>
          <w:lang w:val="zh-CN"/>
        </w:rPr>
        <w:t>日，向</w:t>
      </w:r>
      <w:r>
        <w:rPr>
          <w:rFonts w:hint="eastAsia"/>
          <w:color w:val="auto"/>
          <w:kern w:val="0"/>
          <w:szCs w:val="21"/>
          <w:u w:val="single"/>
          <w:lang w:val="zh-CN"/>
        </w:rPr>
        <w:t xml:space="preserve">                                </w:t>
      </w:r>
      <w:r>
        <w:rPr>
          <w:rFonts w:hint="eastAsia"/>
          <w:color w:val="auto"/>
          <w:kern w:val="0"/>
          <w:szCs w:val="21"/>
          <w:lang w:val="zh-CN"/>
        </w:rPr>
        <w:t>提出质疑，质疑事项为：</w:t>
      </w:r>
    </w:p>
    <w:p>
      <w:pPr>
        <w:spacing w:line="400" w:lineRule="exact"/>
        <w:ind w:firstLine="241"/>
        <w:rPr>
          <w:bCs/>
          <w:color w:val="auto"/>
          <w:kern w:val="0"/>
          <w:szCs w:val="21"/>
          <w:u w:val="single"/>
          <w:lang w:val="zh-CN"/>
        </w:rPr>
      </w:pPr>
      <w:r>
        <w:rPr>
          <w:rFonts w:hint="eastAsia"/>
          <w:color w:val="auto"/>
          <w:kern w:val="0"/>
          <w:szCs w:val="21"/>
          <w:lang w:val="zh-CN"/>
        </w:rPr>
        <w:t xml:space="preserve">    </w:t>
      </w:r>
      <w:r>
        <w:rPr>
          <w:rFonts w:hint="eastAsia"/>
          <w:bCs/>
          <w:color w:val="auto"/>
          <w:kern w:val="0"/>
          <w:szCs w:val="21"/>
          <w:u w:val="single"/>
          <w:lang w:val="zh-CN"/>
        </w:rPr>
        <w:t xml:space="preserve">                                                                           </w:t>
      </w:r>
    </w:p>
    <w:p>
      <w:pPr>
        <w:spacing w:line="400" w:lineRule="exact"/>
        <w:ind w:firstLine="241"/>
        <w:rPr>
          <w:bCs/>
          <w:color w:val="auto"/>
          <w:kern w:val="0"/>
          <w:szCs w:val="21"/>
          <w:u w:val="single"/>
          <w:lang w:val="zh-CN"/>
        </w:rPr>
      </w:pPr>
      <w:r>
        <w:rPr>
          <w:rFonts w:hint="eastAsia"/>
          <w:bCs/>
          <w:color w:val="auto"/>
          <w:kern w:val="0"/>
          <w:szCs w:val="21"/>
          <w:lang w:val="zh-CN"/>
        </w:rPr>
        <w:t xml:space="preserve">    </w:t>
      </w:r>
      <w:r>
        <w:rPr>
          <w:rFonts w:hint="eastAsia"/>
          <w:bCs/>
          <w:color w:val="auto"/>
          <w:kern w:val="0"/>
          <w:szCs w:val="21"/>
          <w:u w:val="single"/>
          <w:lang w:val="zh-CN"/>
        </w:rPr>
        <w:t xml:space="preserve">                                                                           </w:t>
      </w:r>
    </w:p>
    <w:p>
      <w:pPr>
        <w:spacing w:line="400" w:lineRule="exact"/>
        <w:ind w:firstLine="420" w:firstLineChars="200"/>
        <w:rPr>
          <w:color w:val="auto"/>
          <w:kern w:val="0"/>
          <w:szCs w:val="21"/>
          <w:lang w:val="zh-CN"/>
        </w:rPr>
      </w:pPr>
      <w:r>
        <w:rPr>
          <w:rFonts w:hint="eastAsia"/>
          <w:bCs/>
          <w:color w:val="auto"/>
          <w:kern w:val="0"/>
          <w:szCs w:val="21"/>
          <w:u w:val="single"/>
          <w:lang w:val="zh-CN"/>
        </w:rPr>
        <w:t>采购人/代理机构</w:t>
      </w:r>
      <w:r>
        <w:rPr>
          <w:rFonts w:hint="eastAsia"/>
          <w:bCs/>
          <w:color w:val="auto"/>
          <w:kern w:val="0"/>
          <w:szCs w:val="21"/>
          <w:lang w:val="zh-CN"/>
        </w:rPr>
        <w:t>于</w:t>
      </w:r>
      <w:r>
        <w:rPr>
          <w:rFonts w:hint="eastAsia"/>
          <w:color w:val="auto"/>
          <w:kern w:val="0"/>
          <w:szCs w:val="21"/>
          <w:u w:val="single"/>
          <w:lang w:val="zh-CN"/>
        </w:rPr>
        <w:t xml:space="preserve">      </w:t>
      </w:r>
      <w:r>
        <w:rPr>
          <w:rFonts w:hint="eastAsia"/>
          <w:color w:val="auto"/>
          <w:kern w:val="0"/>
          <w:szCs w:val="21"/>
          <w:lang w:val="zh-CN"/>
        </w:rPr>
        <w:t>年</w:t>
      </w:r>
      <w:r>
        <w:rPr>
          <w:rFonts w:hint="eastAsia"/>
          <w:color w:val="auto"/>
          <w:kern w:val="0"/>
          <w:szCs w:val="21"/>
          <w:u w:val="single"/>
          <w:lang w:val="zh-CN"/>
        </w:rPr>
        <w:t xml:space="preserve">   </w:t>
      </w:r>
      <w:r>
        <w:rPr>
          <w:rFonts w:hint="eastAsia"/>
          <w:color w:val="auto"/>
          <w:kern w:val="0"/>
          <w:szCs w:val="21"/>
          <w:lang w:val="zh-CN"/>
        </w:rPr>
        <w:t>月</w:t>
      </w:r>
      <w:r>
        <w:rPr>
          <w:rFonts w:hint="eastAsia"/>
          <w:color w:val="auto"/>
          <w:kern w:val="0"/>
          <w:szCs w:val="21"/>
          <w:u w:val="single"/>
          <w:lang w:val="zh-CN"/>
        </w:rPr>
        <w:t xml:space="preserve">   </w:t>
      </w:r>
      <w:r>
        <w:rPr>
          <w:rFonts w:hint="eastAsia"/>
          <w:color w:val="auto"/>
          <w:kern w:val="0"/>
          <w:szCs w:val="21"/>
          <w:lang w:val="zh-CN"/>
        </w:rPr>
        <w:t>日，</w:t>
      </w:r>
      <w:r>
        <w:rPr>
          <w:rFonts w:hint="eastAsia"/>
          <w:bCs/>
          <w:color w:val="auto"/>
          <w:kern w:val="0"/>
          <w:szCs w:val="21"/>
          <w:lang w:val="zh-CN"/>
        </w:rPr>
        <w:t>就质疑事项作出了答复/没有在法定期限内作出答复。</w:t>
      </w:r>
    </w:p>
    <w:p>
      <w:pPr>
        <w:spacing w:line="400" w:lineRule="exact"/>
        <w:ind w:left="25" w:leftChars="12" w:firstLine="413" w:firstLineChars="196"/>
        <w:rPr>
          <w:b/>
          <w:color w:val="auto"/>
          <w:kern w:val="0"/>
          <w:szCs w:val="21"/>
          <w:lang w:val="zh-CN"/>
        </w:rPr>
      </w:pPr>
      <w:r>
        <w:rPr>
          <w:rFonts w:hint="eastAsia"/>
          <w:b/>
          <w:color w:val="auto"/>
          <w:kern w:val="0"/>
          <w:szCs w:val="21"/>
          <w:lang w:val="zh-CN"/>
        </w:rPr>
        <w:t>四、投诉事项具体内容</w:t>
      </w:r>
    </w:p>
    <w:p>
      <w:pPr>
        <w:spacing w:line="400" w:lineRule="exact"/>
        <w:ind w:left="25" w:leftChars="12" w:firstLine="413" w:firstLineChars="197"/>
        <w:rPr>
          <w:bCs/>
          <w:color w:val="auto"/>
          <w:kern w:val="0"/>
          <w:szCs w:val="21"/>
          <w:u w:val="single"/>
          <w:lang w:val="zh-CN"/>
        </w:rPr>
      </w:pPr>
      <w:r>
        <w:rPr>
          <w:rFonts w:hint="eastAsia"/>
          <w:color w:val="auto"/>
          <w:kern w:val="0"/>
          <w:szCs w:val="21"/>
          <w:lang w:val="zh-CN"/>
        </w:rPr>
        <w:t>投诉事项1：</w:t>
      </w:r>
      <w:r>
        <w:rPr>
          <w:rFonts w:hint="eastAsia"/>
          <w:bCs/>
          <w:color w:val="auto"/>
          <w:kern w:val="0"/>
          <w:szCs w:val="21"/>
          <w:u w:val="single"/>
          <w:lang w:val="zh-CN"/>
        </w:rPr>
        <w:t xml:space="preserve">                                                                 </w:t>
      </w:r>
    </w:p>
    <w:p>
      <w:pPr>
        <w:spacing w:line="400" w:lineRule="exact"/>
        <w:ind w:firstLine="420" w:firstLineChars="200"/>
        <w:rPr>
          <w:bCs/>
          <w:color w:val="auto"/>
          <w:kern w:val="0"/>
          <w:szCs w:val="21"/>
          <w:u w:val="single"/>
          <w:lang w:val="zh-CN"/>
        </w:rPr>
      </w:pPr>
      <w:r>
        <w:rPr>
          <w:rFonts w:hint="eastAsia"/>
          <w:bCs/>
          <w:color w:val="auto"/>
          <w:kern w:val="0"/>
          <w:szCs w:val="21"/>
          <w:lang w:val="zh-CN"/>
        </w:rPr>
        <w:t>事实依据：</w:t>
      </w:r>
      <w:r>
        <w:rPr>
          <w:rFonts w:hint="eastAsia"/>
          <w:color w:val="auto"/>
          <w:kern w:val="0"/>
          <w:szCs w:val="21"/>
          <w:lang w:val="zh-CN"/>
        </w:rPr>
        <w:t xml:space="preserve"> </w:t>
      </w:r>
      <w:r>
        <w:rPr>
          <w:rFonts w:hint="eastAsia"/>
          <w:bCs/>
          <w:color w:val="auto"/>
          <w:kern w:val="0"/>
          <w:szCs w:val="21"/>
          <w:u w:val="single"/>
          <w:lang w:val="zh-CN"/>
        </w:rPr>
        <w:t xml:space="preserve">                                                                  </w:t>
      </w:r>
    </w:p>
    <w:p>
      <w:pPr>
        <w:spacing w:line="400" w:lineRule="exact"/>
        <w:ind w:left="25" w:leftChars="12" w:firstLine="413" w:firstLineChars="197"/>
        <w:rPr>
          <w:color w:val="auto"/>
          <w:kern w:val="0"/>
          <w:szCs w:val="21"/>
          <w:lang w:val="zh-CN"/>
        </w:rPr>
      </w:pPr>
      <w:r>
        <w:rPr>
          <w:rFonts w:hint="eastAsia"/>
          <w:bCs/>
          <w:color w:val="auto"/>
          <w:kern w:val="0"/>
          <w:szCs w:val="21"/>
          <w:u w:val="single"/>
          <w:lang w:val="zh-CN"/>
        </w:rPr>
        <w:t xml:space="preserve">                                                                             </w:t>
      </w:r>
    </w:p>
    <w:p>
      <w:pPr>
        <w:spacing w:line="400" w:lineRule="exact"/>
        <w:ind w:firstLine="420" w:firstLineChars="200"/>
        <w:rPr>
          <w:bCs/>
          <w:color w:val="auto"/>
          <w:kern w:val="0"/>
          <w:szCs w:val="21"/>
          <w:u w:val="single"/>
          <w:lang w:val="zh-CN"/>
        </w:rPr>
      </w:pPr>
      <w:r>
        <w:rPr>
          <w:rFonts w:hint="eastAsia"/>
          <w:bCs/>
          <w:color w:val="auto"/>
          <w:kern w:val="0"/>
          <w:szCs w:val="21"/>
          <w:lang w:val="zh-CN"/>
        </w:rPr>
        <w:t>法律依据：</w:t>
      </w:r>
      <w:r>
        <w:rPr>
          <w:rFonts w:hint="eastAsia"/>
          <w:color w:val="auto"/>
          <w:kern w:val="0"/>
          <w:szCs w:val="21"/>
          <w:lang w:val="zh-CN"/>
        </w:rPr>
        <w:t xml:space="preserve"> </w:t>
      </w:r>
      <w:r>
        <w:rPr>
          <w:rFonts w:hint="eastAsia"/>
          <w:bCs/>
          <w:color w:val="auto"/>
          <w:kern w:val="0"/>
          <w:szCs w:val="21"/>
          <w:u w:val="single"/>
          <w:lang w:val="zh-CN"/>
        </w:rPr>
        <w:t xml:space="preserve">                                                                  </w:t>
      </w:r>
    </w:p>
    <w:p>
      <w:pPr>
        <w:spacing w:line="400" w:lineRule="exact"/>
        <w:ind w:left="25" w:leftChars="12" w:firstLine="308" w:firstLineChars="147"/>
        <w:rPr>
          <w:bCs/>
          <w:color w:val="auto"/>
          <w:kern w:val="0"/>
          <w:szCs w:val="21"/>
          <w:u w:val="single"/>
          <w:lang w:val="zh-CN"/>
        </w:rPr>
      </w:pPr>
      <w:r>
        <w:rPr>
          <w:rFonts w:hint="eastAsia"/>
          <w:bCs/>
          <w:color w:val="auto"/>
          <w:kern w:val="0"/>
          <w:szCs w:val="21"/>
          <w:lang w:val="zh-CN"/>
        </w:rPr>
        <w:t xml:space="preserve"> </w:t>
      </w:r>
      <w:r>
        <w:rPr>
          <w:rFonts w:hint="eastAsia"/>
          <w:bCs/>
          <w:color w:val="auto"/>
          <w:kern w:val="0"/>
          <w:szCs w:val="21"/>
          <w:u w:val="single"/>
          <w:lang w:val="zh-CN"/>
        </w:rPr>
        <w:t xml:space="preserve">                                                                              </w:t>
      </w:r>
    </w:p>
    <w:p>
      <w:pPr>
        <w:spacing w:line="400" w:lineRule="exact"/>
        <w:ind w:left="25" w:leftChars="12" w:firstLine="413" w:firstLineChars="197"/>
        <w:rPr>
          <w:bCs/>
          <w:color w:val="auto"/>
          <w:kern w:val="0"/>
          <w:szCs w:val="21"/>
          <w:lang w:val="zh-CN"/>
        </w:rPr>
      </w:pPr>
      <w:r>
        <w:rPr>
          <w:rFonts w:hint="eastAsia"/>
          <w:color w:val="auto"/>
          <w:kern w:val="0"/>
          <w:szCs w:val="21"/>
          <w:lang w:val="zh-CN"/>
        </w:rPr>
        <w:t xml:space="preserve">投诉事项2  </w:t>
      </w:r>
      <w:r>
        <w:rPr>
          <w:rFonts w:hint="eastAsia"/>
          <w:bCs/>
          <w:color w:val="auto"/>
          <w:kern w:val="0"/>
          <w:szCs w:val="21"/>
          <w:lang w:val="zh-CN"/>
        </w:rPr>
        <w:t xml:space="preserve">   </w:t>
      </w:r>
    </w:p>
    <w:p>
      <w:pPr>
        <w:spacing w:line="400" w:lineRule="exact"/>
        <w:ind w:left="25" w:leftChars="12" w:firstLine="413" w:firstLineChars="197"/>
        <w:rPr>
          <w:bCs/>
          <w:color w:val="auto"/>
          <w:kern w:val="0"/>
          <w:szCs w:val="21"/>
          <w:lang w:val="zh-CN"/>
        </w:rPr>
      </w:pPr>
      <w:r>
        <w:rPr>
          <w:bCs/>
          <w:color w:val="auto"/>
          <w:kern w:val="0"/>
          <w:szCs w:val="21"/>
          <w:lang w:val="zh-CN"/>
        </w:rPr>
        <w:t>……</w:t>
      </w:r>
    </w:p>
    <w:p>
      <w:pPr>
        <w:spacing w:line="400" w:lineRule="exact"/>
        <w:ind w:left="25" w:leftChars="12" w:firstLine="413" w:firstLineChars="196"/>
        <w:rPr>
          <w:b/>
          <w:color w:val="auto"/>
          <w:kern w:val="0"/>
          <w:szCs w:val="21"/>
          <w:lang w:val="zh-CN"/>
        </w:rPr>
      </w:pPr>
      <w:r>
        <w:rPr>
          <w:rFonts w:hint="eastAsia"/>
          <w:b/>
          <w:color w:val="auto"/>
          <w:kern w:val="0"/>
          <w:szCs w:val="21"/>
          <w:lang w:val="zh-CN"/>
        </w:rPr>
        <w:t>五、与投诉事项相关的投诉请求：</w:t>
      </w:r>
    </w:p>
    <w:p>
      <w:pPr>
        <w:spacing w:line="400" w:lineRule="exact"/>
        <w:ind w:left="25" w:leftChars="12" w:firstLine="413" w:firstLineChars="197"/>
        <w:rPr>
          <w:color w:val="auto"/>
          <w:kern w:val="0"/>
          <w:szCs w:val="21"/>
          <w:lang w:val="zh-CN"/>
        </w:rPr>
      </w:pPr>
      <w:r>
        <w:rPr>
          <w:rFonts w:hint="eastAsia"/>
          <w:color w:val="auto"/>
          <w:kern w:val="0"/>
          <w:szCs w:val="21"/>
          <w:lang w:val="zh-CN"/>
        </w:rPr>
        <w:t>请求：</w:t>
      </w:r>
      <w:r>
        <w:rPr>
          <w:rFonts w:hint="eastAsia"/>
          <w:bCs/>
          <w:color w:val="auto"/>
          <w:kern w:val="0"/>
          <w:szCs w:val="21"/>
          <w:u w:val="single"/>
          <w:lang w:val="zh-CN"/>
        </w:rPr>
        <w:t xml:space="preserve">                                                                       </w:t>
      </w:r>
    </w:p>
    <w:p>
      <w:pPr>
        <w:spacing w:line="400" w:lineRule="exact"/>
        <w:ind w:left="25" w:leftChars="12" w:firstLine="308" w:firstLineChars="147"/>
        <w:rPr>
          <w:color w:val="auto"/>
          <w:kern w:val="0"/>
          <w:szCs w:val="21"/>
          <w:lang w:val="zh-CN"/>
        </w:rPr>
      </w:pPr>
    </w:p>
    <w:p>
      <w:pPr>
        <w:spacing w:line="400" w:lineRule="exact"/>
        <w:ind w:left="25" w:leftChars="12" w:firstLine="413" w:firstLineChars="197"/>
        <w:rPr>
          <w:color w:val="auto"/>
          <w:kern w:val="0"/>
          <w:szCs w:val="21"/>
          <w:lang w:val="zh-CN"/>
        </w:rPr>
      </w:pPr>
      <w:r>
        <w:rPr>
          <w:rFonts w:hint="eastAsia"/>
          <w:color w:val="auto"/>
          <w:kern w:val="0"/>
          <w:szCs w:val="21"/>
          <w:lang w:val="zh-CN"/>
        </w:rPr>
        <w:t>签字（签章）：                                       公章：</w:t>
      </w:r>
    </w:p>
    <w:p>
      <w:pPr>
        <w:spacing w:line="400" w:lineRule="exact"/>
        <w:ind w:left="25" w:leftChars="12" w:firstLine="308" w:firstLineChars="147"/>
        <w:rPr>
          <w:color w:val="auto"/>
          <w:kern w:val="0"/>
          <w:szCs w:val="21"/>
          <w:lang w:val="zh-CN"/>
        </w:rPr>
      </w:pPr>
    </w:p>
    <w:p>
      <w:pPr>
        <w:spacing w:line="400" w:lineRule="exact"/>
        <w:ind w:left="25" w:leftChars="12" w:firstLine="413" w:firstLineChars="197"/>
        <w:rPr>
          <w:color w:val="auto"/>
          <w:kern w:val="0"/>
          <w:szCs w:val="21"/>
          <w:lang w:val="zh-CN"/>
        </w:rPr>
      </w:pPr>
      <w:r>
        <w:rPr>
          <w:rFonts w:hint="eastAsia"/>
          <w:color w:val="auto"/>
          <w:kern w:val="0"/>
          <w:szCs w:val="21"/>
          <w:lang w:val="zh-CN"/>
        </w:rPr>
        <w:t>日期：</w:t>
      </w:r>
    </w:p>
    <w:p>
      <w:pPr>
        <w:spacing w:line="400" w:lineRule="exact"/>
        <w:ind w:left="25" w:leftChars="12" w:firstLine="413" w:firstLineChars="197"/>
        <w:rPr>
          <w:color w:val="auto"/>
          <w:kern w:val="0"/>
          <w:szCs w:val="21"/>
          <w:lang w:val="zh-CN"/>
        </w:rPr>
      </w:pPr>
    </w:p>
    <w:p>
      <w:pPr>
        <w:snapToGrid w:val="0"/>
        <w:spacing w:line="400" w:lineRule="exact"/>
        <w:rPr>
          <w:b/>
          <w:color w:val="auto"/>
          <w:kern w:val="0"/>
          <w:szCs w:val="21"/>
          <w:lang w:val="zh-CN"/>
        </w:rPr>
      </w:pPr>
    </w:p>
    <w:p>
      <w:pPr>
        <w:snapToGrid w:val="0"/>
        <w:spacing w:line="400" w:lineRule="exact"/>
        <w:rPr>
          <w:b/>
          <w:color w:val="auto"/>
          <w:kern w:val="0"/>
          <w:szCs w:val="21"/>
          <w:lang w:val="zh-CN"/>
        </w:rPr>
      </w:pPr>
      <w:r>
        <w:rPr>
          <w:rFonts w:hint="eastAsia"/>
          <w:b/>
          <w:color w:val="auto"/>
          <w:kern w:val="0"/>
          <w:szCs w:val="21"/>
          <w:lang w:val="zh-CN"/>
        </w:rPr>
        <w:t>说明：</w:t>
      </w:r>
    </w:p>
    <w:p>
      <w:pPr>
        <w:spacing w:line="400" w:lineRule="exact"/>
        <w:ind w:left="25" w:leftChars="12" w:firstLine="310" w:firstLineChars="147"/>
        <w:rPr>
          <w:b/>
          <w:bCs/>
          <w:color w:val="auto"/>
          <w:kern w:val="0"/>
          <w:szCs w:val="21"/>
          <w:lang w:val="zh-CN"/>
        </w:rPr>
      </w:pPr>
      <w:r>
        <w:rPr>
          <w:rFonts w:hint="eastAsia"/>
          <w:b/>
          <w:color w:val="auto"/>
          <w:kern w:val="0"/>
          <w:szCs w:val="21"/>
          <w:lang w:val="zh-CN"/>
        </w:rPr>
        <w:t>1、投诉人提起投诉时，应当提交投诉书和必要的证明材料，并按照被投诉人和与投诉事项有关的供应商数量提供投诉书副本</w:t>
      </w:r>
      <w:r>
        <w:rPr>
          <w:rFonts w:hint="eastAsia"/>
          <w:b/>
          <w:bCs/>
          <w:color w:val="auto"/>
          <w:kern w:val="0"/>
          <w:szCs w:val="21"/>
          <w:lang w:val="zh-CN"/>
        </w:rPr>
        <w:t>。</w:t>
      </w:r>
    </w:p>
    <w:p>
      <w:pPr>
        <w:spacing w:line="400" w:lineRule="exact"/>
        <w:ind w:left="25" w:leftChars="12" w:firstLine="310" w:firstLineChars="147"/>
        <w:rPr>
          <w:b/>
          <w:color w:val="auto"/>
          <w:kern w:val="0"/>
          <w:szCs w:val="21"/>
          <w:lang w:val="zh-CN"/>
        </w:rPr>
      </w:pPr>
      <w:r>
        <w:rPr>
          <w:rFonts w:hint="eastAsia"/>
          <w:b/>
          <w:color w:val="auto"/>
          <w:kern w:val="0"/>
          <w:szCs w:val="21"/>
          <w:lang w:val="zh-CN"/>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spacing w:line="400" w:lineRule="exact"/>
        <w:ind w:left="25" w:leftChars="12" w:firstLine="310" w:firstLineChars="147"/>
        <w:rPr>
          <w:b/>
          <w:color w:val="auto"/>
          <w:kern w:val="0"/>
          <w:szCs w:val="21"/>
          <w:lang w:val="zh-CN"/>
        </w:rPr>
      </w:pPr>
      <w:r>
        <w:rPr>
          <w:rFonts w:hint="eastAsia"/>
          <w:b/>
          <w:color w:val="auto"/>
          <w:kern w:val="0"/>
          <w:szCs w:val="21"/>
          <w:lang w:val="zh-CN"/>
        </w:rPr>
        <w:t>3、投诉书应简要列明质疑事项，质疑函、质疑答复等作为附件材料提供。</w:t>
      </w:r>
    </w:p>
    <w:p>
      <w:pPr>
        <w:spacing w:line="400" w:lineRule="exact"/>
        <w:ind w:left="25" w:leftChars="12" w:firstLine="310" w:firstLineChars="147"/>
        <w:rPr>
          <w:b/>
          <w:color w:val="auto"/>
          <w:kern w:val="0"/>
          <w:szCs w:val="21"/>
          <w:lang w:val="zh-CN"/>
        </w:rPr>
      </w:pPr>
      <w:r>
        <w:rPr>
          <w:rFonts w:hint="eastAsia"/>
          <w:b/>
          <w:color w:val="auto"/>
          <w:kern w:val="0"/>
          <w:szCs w:val="21"/>
          <w:lang w:val="zh-CN"/>
        </w:rPr>
        <w:t>4、投诉书的投诉事项应具体、明确，并有必要的事实依据和法律依据。</w:t>
      </w:r>
    </w:p>
    <w:p>
      <w:pPr>
        <w:spacing w:line="400" w:lineRule="exact"/>
        <w:ind w:left="25" w:leftChars="12" w:firstLine="310" w:firstLineChars="147"/>
        <w:rPr>
          <w:b/>
          <w:color w:val="auto"/>
          <w:kern w:val="0"/>
          <w:szCs w:val="21"/>
          <w:lang w:val="zh-CN"/>
        </w:rPr>
      </w:pPr>
      <w:r>
        <w:rPr>
          <w:rFonts w:hint="eastAsia"/>
          <w:b/>
          <w:color w:val="auto"/>
          <w:kern w:val="0"/>
          <w:szCs w:val="21"/>
          <w:lang w:val="zh-CN"/>
        </w:rPr>
        <w:t>5、投诉书的投诉请求应与投诉事项相关。</w:t>
      </w:r>
    </w:p>
    <w:p>
      <w:pPr>
        <w:spacing w:line="400" w:lineRule="exact"/>
        <w:ind w:left="25" w:leftChars="12" w:firstLine="310" w:firstLineChars="147"/>
        <w:rPr>
          <w:color w:val="auto"/>
        </w:rPr>
      </w:pPr>
      <w:r>
        <w:rPr>
          <w:rFonts w:hint="eastAsia"/>
          <w:b/>
          <w:color w:val="auto"/>
          <w:kern w:val="0"/>
          <w:szCs w:val="21"/>
          <w:lang w:val="zh-CN"/>
        </w:rPr>
        <w:t>6、投诉人为法人或者其他组织的，投诉书应由法定代表人、主要负责人，或者其授权代表签字或者盖章，并加盖公章。</w:t>
      </w:r>
    </w:p>
    <w:p>
      <w:pPr>
        <w:jc w:val="center"/>
        <w:outlineLvl w:val="0"/>
        <w:rPr>
          <w:rFonts w:eastAsia="华文中宋" w:cs="华文中宋"/>
          <w:b/>
          <w:bCs/>
          <w:color w:val="auto"/>
          <w:sz w:val="32"/>
          <w:szCs w:val="32"/>
        </w:rPr>
      </w:pPr>
      <w:bookmarkStart w:id="247" w:name="_Toc28939"/>
      <w:bookmarkStart w:id="248" w:name="_Toc6272"/>
      <w:bookmarkStart w:id="249" w:name="_Toc2989"/>
      <w:r>
        <w:rPr>
          <w:rFonts w:hint="eastAsia"/>
          <w:color w:val="auto"/>
          <w:sz w:val="32"/>
          <w:szCs w:val="32"/>
        </w:rPr>
        <w:br w:type="page"/>
      </w:r>
      <w:bookmarkStart w:id="250" w:name="_Toc30080"/>
      <w:r>
        <w:rPr>
          <w:rFonts w:hint="eastAsia" w:eastAsia="华文中宋" w:cs="华文中宋"/>
          <w:b/>
          <w:bCs/>
          <w:color w:val="auto"/>
          <w:sz w:val="32"/>
          <w:szCs w:val="32"/>
        </w:rPr>
        <w:t>第三章  工程量清单</w:t>
      </w:r>
      <w:bookmarkEnd w:id="247"/>
      <w:bookmarkEnd w:id="248"/>
      <w:bookmarkEnd w:id="250"/>
    </w:p>
    <w:p>
      <w:pPr>
        <w:pStyle w:val="28"/>
        <w:spacing w:line="360" w:lineRule="auto"/>
        <w:outlineLvl w:val="1"/>
        <w:rPr>
          <w:rFonts w:ascii="Times New Roman" w:hAnsi="Times New Roman" w:cs="宋体"/>
          <w:color w:val="auto"/>
          <w:kern w:val="21"/>
        </w:rPr>
      </w:pPr>
      <w:bookmarkStart w:id="251" w:name="_Toc160609998"/>
      <w:bookmarkStart w:id="252" w:name="_Toc164138057"/>
      <w:bookmarkStart w:id="253" w:name="_Toc23428"/>
      <w:bookmarkStart w:id="254" w:name="_Toc194308407"/>
      <w:r>
        <w:rPr>
          <w:rFonts w:hint="eastAsia" w:ascii="Times New Roman" w:hAnsi="Times New Roman" w:cs="宋体"/>
          <w:b/>
          <w:color w:val="auto"/>
          <w:sz w:val="24"/>
          <w:szCs w:val="24"/>
        </w:rPr>
        <w:t>一、工程量清单说明</w:t>
      </w:r>
      <w:bookmarkEnd w:id="251"/>
      <w:bookmarkEnd w:id="252"/>
      <w:r>
        <w:rPr>
          <w:rFonts w:hint="eastAsia" w:ascii="Times New Roman" w:hAnsi="Times New Roman" w:cs="宋体"/>
          <w:color w:val="auto"/>
          <w:kern w:val="21"/>
          <w:sz w:val="32"/>
          <w:szCs w:val="32"/>
        </w:rPr>
        <w:t>：</w:t>
      </w:r>
      <w:bookmarkEnd w:id="253"/>
      <w:bookmarkEnd w:id="254"/>
      <w:r>
        <w:rPr>
          <w:rFonts w:hint="eastAsia" w:ascii="Times New Roman" w:hAnsi="Times New Roman" w:cs="宋体"/>
          <w:color w:val="auto"/>
          <w:kern w:val="21"/>
        </w:rPr>
        <w:t xml:space="preserve"> </w:t>
      </w:r>
    </w:p>
    <w:p>
      <w:pPr>
        <w:tabs>
          <w:tab w:val="left" w:pos="210"/>
        </w:tabs>
        <w:spacing w:line="360" w:lineRule="auto"/>
        <w:ind w:left="420"/>
        <w:rPr>
          <w:rFonts w:cs="宋体"/>
          <w:color w:val="auto"/>
          <w:szCs w:val="21"/>
        </w:rPr>
      </w:pPr>
      <w:r>
        <w:rPr>
          <w:rFonts w:hint="eastAsia" w:cs="宋体"/>
          <w:color w:val="auto"/>
          <w:szCs w:val="21"/>
        </w:rPr>
        <w:t>1、工程概况：</w:t>
      </w:r>
    </w:p>
    <w:p>
      <w:pPr>
        <w:tabs>
          <w:tab w:val="left" w:pos="210"/>
        </w:tabs>
        <w:spacing w:line="360" w:lineRule="auto"/>
        <w:ind w:firstLine="420" w:firstLineChars="200"/>
        <w:rPr>
          <w:rFonts w:cs="宋体"/>
          <w:color w:val="auto"/>
          <w:szCs w:val="21"/>
        </w:rPr>
      </w:pPr>
      <w:r>
        <w:rPr>
          <w:rFonts w:hint="eastAsia" w:cs="宋体"/>
          <w:color w:val="auto"/>
          <w:szCs w:val="21"/>
        </w:rPr>
        <w:t>工程名称：灵川县灵川镇木马村委三排至车田优质稻产业基地内灌溉水渠工程；</w:t>
      </w:r>
    </w:p>
    <w:p>
      <w:pPr>
        <w:tabs>
          <w:tab w:val="left" w:pos="210"/>
        </w:tabs>
        <w:spacing w:line="360" w:lineRule="auto"/>
        <w:ind w:left="420"/>
        <w:rPr>
          <w:color w:val="auto"/>
        </w:rPr>
      </w:pPr>
      <w:r>
        <w:rPr>
          <w:rFonts w:hint="eastAsia"/>
          <w:color w:val="auto"/>
        </w:rPr>
        <w:t>工程地点：灵川县灵川镇木马村</w:t>
      </w:r>
    </w:p>
    <w:p>
      <w:pPr>
        <w:tabs>
          <w:tab w:val="left" w:pos="210"/>
        </w:tabs>
        <w:spacing w:line="360" w:lineRule="auto"/>
        <w:ind w:firstLine="420" w:firstLineChars="200"/>
        <w:rPr>
          <w:color w:val="auto"/>
        </w:rPr>
      </w:pPr>
      <w:r>
        <w:rPr>
          <w:rFonts w:hint="eastAsia"/>
          <w:color w:val="auto"/>
        </w:rPr>
        <w:t>工程</w:t>
      </w:r>
      <w:r>
        <w:rPr>
          <w:rFonts w:hint="eastAsia" w:cs="宋体"/>
          <w:color w:val="auto"/>
          <w:szCs w:val="21"/>
        </w:rPr>
        <w:t>范围</w:t>
      </w:r>
      <w:r>
        <w:rPr>
          <w:rFonts w:hint="eastAsia"/>
          <w:color w:val="auto"/>
        </w:rPr>
        <w:t>：三排至车田干渠(L=2790m、C20底板跟边墙、二次搬运)，涵管（L=29m、C20砼垫座、钢筋混凝土管道DN400），以及施工图纸范围内包含的工程施工内容。</w:t>
      </w:r>
    </w:p>
    <w:p>
      <w:pPr>
        <w:tabs>
          <w:tab w:val="left" w:pos="210"/>
        </w:tabs>
        <w:spacing w:line="360" w:lineRule="auto"/>
        <w:ind w:firstLine="420" w:firstLineChars="200"/>
        <w:rPr>
          <w:color w:val="auto"/>
        </w:rPr>
      </w:pPr>
      <w:r>
        <w:rPr>
          <w:rFonts w:hint="eastAsia"/>
          <w:color w:val="auto"/>
        </w:rPr>
        <w:t>资金来源：财政资金</w:t>
      </w:r>
    </w:p>
    <w:p>
      <w:pPr>
        <w:tabs>
          <w:tab w:val="left" w:pos="210"/>
        </w:tabs>
        <w:spacing w:line="360" w:lineRule="auto"/>
        <w:ind w:firstLine="420" w:firstLineChars="200"/>
        <w:rPr>
          <w:rFonts w:cs="宋体"/>
          <w:color w:val="auto"/>
          <w:szCs w:val="21"/>
        </w:rPr>
      </w:pPr>
      <w:r>
        <w:rPr>
          <w:rFonts w:hint="eastAsia" w:cs="宋体"/>
          <w:color w:val="auto"/>
          <w:szCs w:val="21"/>
        </w:rPr>
        <w:t>2、编制依据：</w:t>
      </w:r>
    </w:p>
    <w:p>
      <w:pPr>
        <w:numPr>
          <w:ilvl w:val="0"/>
          <w:numId w:val="4"/>
        </w:numPr>
        <w:tabs>
          <w:tab w:val="left" w:pos="210"/>
          <w:tab w:val="clear" w:pos="420"/>
        </w:tabs>
        <w:spacing w:line="360" w:lineRule="auto"/>
        <w:rPr>
          <w:rFonts w:cs="宋体"/>
          <w:color w:val="auto"/>
          <w:szCs w:val="21"/>
        </w:rPr>
      </w:pPr>
      <w:r>
        <w:rPr>
          <w:rFonts w:hint="eastAsia" w:cs="宋体"/>
          <w:color w:val="auto"/>
          <w:szCs w:val="21"/>
        </w:rPr>
        <w:t>财建[2009]648号《财政投资评审管理规定》；</w:t>
      </w:r>
    </w:p>
    <w:p>
      <w:pPr>
        <w:numPr>
          <w:ilvl w:val="0"/>
          <w:numId w:val="4"/>
        </w:numPr>
        <w:tabs>
          <w:tab w:val="left" w:pos="210"/>
          <w:tab w:val="clear" w:pos="420"/>
        </w:tabs>
        <w:spacing w:line="360" w:lineRule="auto"/>
        <w:rPr>
          <w:rFonts w:cs="宋体"/>
          <w:color w:val="auto"/>
          <w:szCs w:val="21"/>
        </w:rPr>
      </w:pPr>
      <w:r>
        <w:rPr>
          <w:rFonts w:hint="eastAsia" w:cs="宋体"/>
          <w:color w:val="auto"/>
          <w:szCs w:val="21"/>
        </w:rPr>
        <w:t>桂财办[2012]98号《关于印发广西壮族自治区财政投资评审管理办法的通知》；</w:t>
      </w:r>
    </w:p>
    <w:p>
      <w:pPr>
        <w:numPr>
          <w:ilvl w:val="0"/>
          <w:numId w:val="4"/>
        </w:numPr>
        <w:tabs>
          <w:tab w:val="left" w:pos="210"/>
          <w:tab w:val="clear" w:pos="420"/>
        </w:tabs>
        <w:spacing w:line="360" w:lineRule="auto"/>
        <w:rPr>
          <w:rFonts w:cs="宋体"/>
          <w:color w:val="auto"/>
          <w:szCs w:val="21"/>
        </w:rPr>
      </w:pPr>
      <w:r>
        <w:rPr>
          <w:rFonts w:hint="eastAsia" w:cs="宋体"/>
          <w:color w:val="auto"/>
          <w:szCs w:val="21"/>
        </w:rPr>
        <w:t>工程量清单中各项工作内容和要求均符合相关技术标准和要求以及《水利工程工程量清单计价规范》（GB50501-2007）的规定；</w:t>
      </w:r>
    </w:p>
    <w:p>
      <w:pPr>
        <w:numPr>
          <w:ilvl w:val="0"/>
          <w:numId w:val="4"/>
        </w:numPr>
        <w:tabs>
          <w:tab w:val="left" w:pos="210"/>
          <w:tab w:val="clear" w:pos="420"/>
        </w:tabs>
        <w:spacing w:line="360" w:lineRule="auto"/>
        <w:rPr>
          <w:rFonts w:cs="宋体"/>
          <w:color w:val="auto"/>
          <w:szCs w:val="21"/>
        </w:rPr>
      </w:pPr>
      <w:r>
        <w:rPr>
          <w:rFonts w:hint="eastAsia" w:cs="宋体"/>
          <w:color w:val="auto"/>
          <w:szCs w:val="21"/>
        </w:rPr>
        <w:t>(桂水建设[2019]7 号)印发广西水利水电工程施工招标文件示范文本(2019 年版);</w:t>
      </w:r>
    </w:p>
    <w:p>
      <w:pPr>
        <w:numPr>
          <w:ilvl w:val="0"/>
          <w:numId w:val="4"/>
        </w:numPr>
        <w:tabs>
          <w:tab w:val="left" w:pos="210"/>
          <w:tab w:val="clear" w:pos="420"/>
        </w:tabs>
        <w:spacing w:line="360" w:lineRule="auto"/>
        <w:rPr>
          <w:rFonts w:cs="宋体"/>
          <w:color w:val="auto"/>
          <w:szCs w:val="21"/>
        </w:rPr>
      </w:pPr>
      <w:r>
        <w:rPr>
          <w:rFonts w:hint="eastAsia" w:cs="宋体"/>
          <w:color w:val="auto"/>
          <w:szCs w:val="21"/>
        </w:rPr>
        <w:t>定额、取费标准使用的优先顺序如下：</w:t>
      </w:r>
    </w:p>
    <w:p>
      <w:pPr>
        <w:tabs>
          <w:tab w:val="left" w:pos="210"/>
        </w:tabs>
        <w:spacing w:line="360" w:lineRule="auto"/>
        <w:ind w:left="420" w:firstLine="420" w:firstLineChars="200"/>
        <w:rPr>
          <w:rFonts w:cs="宋体"/>
          <w:color w:val="auto"/>
          <w:szCs w:val="21"/>
        </w:rPr>
      </w:pPr>
      <w:r>
        <w:rPr>
          <w:rFonts w:hint="eastAsia" w:cs="宋体"/>
          <w:color w:val="auto"/>
          <w:szCs w:val="21"/>
        </w:rPr>
        <w:t>①广西区水电厅、区发改委、财政厅以桂水基[2007]38 号文联合发布的《广西水利水电工程设计概（预）算编制规定》、《广西水利水电建筑工程预算定额》、《广西水利水电设备安装工程预算定额》和《广西水利水电工程机械台时费定额》。</w:t>
      </w:r>
    </w:p>
    <w:p>
      <w:pPr>
        <w:tabs>
          <w:tab w:val="left" w:pos="210"/>
        </w:tabs>
        <w:spacing w:line="360" w:lineRule="auto"/>
        <w:ind w:left="420" w:firstLine="420" w:firstLineChars="200"/>
        <w:rPr>
          <w:rFonts w:cs="宋体"/>
          <w:color w:val="auto"/>
          <w:szCs w:val="21"/>
        </w:rPr>
      </w:pPr>
      <w:r>
        <w:rPr>
          <w:rFonts w:hint="eastAsia" w:cs="宋体"/>
          <w:color w:val="auto"/>
          <w:szCs w:val="21"/>
        </w:rPr>
        <w:t>②桂水基[2016]1 号文颁布的《关于调整广西水利水电建设工程定额人工预算单价的通知》。</w:t>
      </w:r>
    </w:p>
    <w:p>
      <w:pPr>
        <w:numPr>
          <w:ilvl w:val="0"/>
          <w:numId w:val="4"/>
        </w:numPr>
        <w:tabs>
          <w:tab w:val="left" w:pos="210"/>
          <w:tab w:val="clear" w:pos="420"/>
        </w:tabs>
        <w:spacing w:line="360" w:lineRule="auto"/>
        <w:rPr>
          <w:rFonts w:cs="宋体"/>
          <w:color w:val="auto"/>
          <w:szCs w:val="21"/>
        </w:rPr>
      </w:pPr>
      <w:r>
        <w:rPr>
          <w:rFonts w:hint="eastAsia" w:cs="宋体"/>
          <w:color w:val="auto"/>
          <w:szCs w:val="21"/>
        </w:rPr>
        <w:t>桂水基[2014]41 号文发布的《广西壮族自治区水利水电工程概（预）算补充定额》，缺项子目套用相关行业预算定额。</w:t>
      </w:r>
    </w:p>
    <w:p>
      <w:pPr>
        <w:numPr>
          <w:ilvl w:val="0"/>
          <w:numId w:val="4"/>
        </w:numPr>
        <w:tabs>
          <w:tab w:val="left" w:pos="210"/>
          <w:tab w:val="clear" w:pos="420"/>
        </w:tabs>
        <w:spacing w:line="360" w:lineRule="auto"/>
        <w:rPr>
          <w:rFonts w:cs="宋体"/>
          <w:color w:val="auto"/>
          <w:szCs w:val="21"/>
        </w:rPr>
      </w:pPr>
      <w:r>
        <w:rPr>
          <w:rFonts w:hint="eastAsia" w:cs="宋体"/>
          <w:color w:val="auto"/>
          <w:szCs w:val="21"/>
        </w:rPr>
        <w:t>桂水基[2016]16 号文发布的《水利厅关于营业税改增值税后广西水利水电工程计价依据调整的通知》。</w:t>
      </w:r>
    </w:p>
    <w:p>
      <w:pPr>
        <w:numPr>
          <w:ilvl w:val="0"/>
          <w:numId w:val="4"/>
        </w:numPr>
        <w:tabs>
          <w:tab w:val="left" w:pos="210"/>
          <w:tab w:val="clear" w:pos="420"/>
        </w:tabs>
        <w:spacing w:line="360" w:lineRule="auto"/>
        <w:rPr>
          <w:rFonts w:cs="宋体"/>
          <w:color w:val="auto"/>
          <w:szCs w:val="21"/>
        </w:rPr>
      </w:pPr>
      <w:r>
        <w:rPr>
          <w:rFonts w:hint="eastAsia" w:cs="宋体"/>
          <w:color w:val="auto"/>
          <w:szCs w:val="21"/>
        </w:rPr>
        <w:t>广西水利厅以桂水基[2004]46 号文发布的《关于在我区水利水电建设工程实行建筑意外伤害保险制度的通知》。</w:t>
      </w:r>
    </w:p>
    <w:p>
      <w:pPr>
        <w:numPr>
          <w:ilvl w:val="0"/>
          <w:numId w:val="4"/>
        </w:numPr>
        <w:tabs>
          <w:tab w:val="left" w:pos="210"/>
          <w:tab w:val="clear" w:pos="420"/>
        </w:tabs>
        <w:spacing w:line="360" w:lineRule="auto"/>
        <w:rPr>
          <w:rFonts w:cs="宋体"/>
          <w:color w:val="auto"/>
          <w:szCs w:val="21"/>
        </w:rPr>
      </w:pPr>
      <w:r>
        <w:rPr>
          <w:rFonts w:hint="eastAsia" w:cs="宋体"/>
          <w:color w:val="auto"/>
          <w:szCs w:val="21"/>
        </w:rPr>
        <w:t>桂水建设[2019]4 号文发布的《自治区水利厅关于调整水利工程增值税税率的通知》，将增值税调整为 9%。</w:t>
      </w:r>
    </w:p>
    <w:p>
      <w:pPr>
        <w:numPr>
          <w:ilvl w:val="0"/>
          <w:numId w:val="4"/>
        </w:numPr>
        <w:tabs>
          <w:tab w:val="left" w:pos="210"/>
          <w:tab w:val="clear" w:pos="420"/>
        </w:tabs>
        <w:spacing w:line="360" w:lineRule="auto"/>
        <w:rPr>
          <w:rFonts w:cs="宋体"/>
          <w:color w:val="auto"/>
          <w:szCs w:val="21"/>
        </w:rPr>
      </w:pPr>
      <w:r>
        <w:rPr>
          <w:rFonts w:hint="eastAsia" w:cs="宋体"/>
          <w:color w:val="auto"/>
          <w:szCs w:val="21"/>
        </w:rPr>
        <w:t xml:space="preserve">(桂人社规〔2019〕9 号)广西壮族自治区人力资源和社会保障厅广西壮族自治区财政厅关于印发降低社会保险费率实施方案的通知费率调整为 32.8%。 </w:t>
      </w:r>
    </w:p>
    <w:p>
      <w:pPr>
        <w:numPr>
          <w:ilvl w:val="0"/>
          <w:numId w:val="4"/>
        </w:numPr>
        <w:tabs>
          <w:tab w:val="left" w:pos="210"/>
          <w:tab w:val="clear" w:pos="420"/>
        </w:tabs>
        <w:spacing w:line="360" w:lineRule="auto"/>
        <w:rPr>
          <w:rFonts w:cs="宋体"/>
          <w:color w:val="auto"/>
          <w:szCs w:val="21"/>
        </w:rPr>
      </w:pPr>
      <w:r>
        <w:rPr>
          <w:rFonts w:hint="eastAsia" w:cs="宋体"/>
          <w:color w:val="auto"/>
          <w:szCs w:val="21"/>
        </w:rPr>
        <w:t xml:space="preserve">缺项子目套用相关行业预算定额，但其费用构成及计算标准仍套用桂水基[2007]38号文执行。 </w:t>
      </w:r>
    </w:p>
    <w:p>
      <w:pPr>
        <w:numPr>
          <w:ilvl w:val="0"/>
          <w:numId w:val="4"/>
        </w:numPr>
        <w:tabs>
          <w:tab w:val="left" w:pos="210"/>
          <w:tab w:val="clear" w:pos="420"/>
        </w:tabs>
        <w:spacing w:line="360" w:lineRule="auto"/>
        <w:rPr>
          <w:rFonts w:cs="宋体"/>
          <w:color w:val="auto"/>
          <w:szCs w:val="21"/>
        </w:rPr>
      </w:pPr>
      <w:r>
        <w:rPr>
          <w:rFonts w:hint="eastAsia" w:cs="宋体"/>
          <w:color w:val="auto"/>
          <w:szCs w:val="21"/>
        </w:rPr>
        <w:t>广西钱江水利水电有限公司提供的设计图纸及相关的标准、规范、技术资料；</w:t>
      </w:r>
    </w:p>
    <w:p>
      <w:pPr>
        <w:numPr>
          <w:ilvl w:val="0"/>
          <w:numId w:val="4"/>
        </w:numPr>
        <w:tabs>
          <w:tab w:val="left" w:pos="210"/>
          <w:tab w:val="clear" w:pos="420"/>
        </w:tabs>
        <w:spacing w:line="360" w:lineRule="auto"/>
        <w:rPr>
          <w:rFonts w:cs="宋体"/>
          <w:color w:val="auto"/>
          <w:szCs w:val="21"/>
        </w:rPr>
      </w:pPr>
      <w:r>
        <w:rPr>
          <w:rFonts w:hint="eastAsia" w:cs="宋体"/>
          <w:color w:val="auto"/>
          <w:szCs w:val="21"/>
        </w:rPr>
        <w:t>工程材料价格采用《桂林市建设工程造价信息》2024年第 1期（灵川县）材料价格；没有的材料价格采用2024年第1期《桂林市建设工程造价信息》发布的桂林市信息价；</w:t>
      </w:r>
    </w:p>
    <w:p>
      <w:pPr>
        <w:numPr>
          <w:ilvl w:val="0"/>
          <w:numId w:val="4"/>
        </w:numPr>
        <w:tabs>
          <w:tab w:val="left" w:pos="210"/>
          <w:tab w:val="clear" w:pos="420"/>
        </w:tabs>
        <w:spacing w:line="360" w:lineRule="auto"/>
        <w:rPr>
          <w:rFonts w:cs="宋体"/>
          <w:b/>
          <w:bCs/>
          <w:color w:val="auto"/>
          <w:szCs w:val="21"/>
        </w:rPr>
      </w:pPr>
      <w:r>
        <w:rPr>
          <w:rFonts w:hint="eastAsia" w:cs="宋体"/>
          <w:b/>
          <w:bCs/>
          <w:color w:val="auto"/>
          <w:szCs w:val="21"/>
        </w:rPr>
        <w:t>编制软件采用：</w:t>
      </w:r>
      <w:r>
        <w:rPr>
          <w:rFonts w:hint="eastAsia" w:cs="宋体"/>
          <w:b/>
          <w:bCs/>
          <w:color w:val="auto"/>
          <w:szCs w:val="21"/>
          <w:u w:val="single"/>
        </w:rPr>
        <w:t>桂能水利计价软件进行编制</w:t>
      </w:r>
      <w:r>
        <w:rPr>
          <w:rFonts w:hint="eastAsia" w:cs="宋体"/>
          <w:b/>
          <w:bCs/>
          <w:color w:val="auto"/>
          <w:szCs w:val="21"/>
        </w:rPr>
        <w:t>。</w:t>
      </w:r>
    </w:p>
    <w:p>
      <w:pPr>
        <w:tabs>
          <w:tab w:val="left" w:pos="210"/>
        </w:tabs>
        <w:spacing w:line="360" w:lineRule="auto"/>
        <w:jc w:val="left"/>
        <w:outlineLvl w:val="1"/>
        <w:rPr>
          <w:rFonts w:cs="宋体"/>
          <w:b/>
          <w:color w:val="auto"/>
          <w:sz w:val="24"/>
        </w:rPr>
      </w:pPr>
      <w:bookmarkStart w:id="255" w:name="_Toc1915"/>
      <w:r>
        <w:rPr>
          <w:rFonts w:hint="eastAsia" w:cs="宋体"/>
          <w:color w:val="auto"/>
        </w:rPr>
        <w:t>二、</w:t>
      </w:r>
      <w:r>
        <w:rPr>
          <w:rFonts w:hint="eastAsia" w:cs="宋体"/>
          <w:b/>
          <w:color w:val="auto"/>
          <w:sz w:val="24"/>
        </w:rPr>
        <w:t>注意事项及要求：</w:t>
      </w:r>
      <w:bookmarkEnd w:id="255"/>
    </w:p>
    <w:p>
      <w:pPr>
        <w:tabs>
          <w:tab w:val="left" w:pos="210"/>
        </w:tabs>
        <w:spacing w:line="360" w:lineRule="auto"/>
        <w:ind w:left="420"/>
        <w:rPr>
          <w:rFonts w:cs="宋体"/>
          <w:color w:val="auto"/>
          <w:szCs w:val="21"/>
        </w:rPr>
      </w:pPr>
      <w:r>
        <w:rPr>
          <w:rFonts w:hint="eastAsia" w:cs="宋体"/>
          <w:color w:val="auto"/>
          <w:szCs w:val="21"/>
        </w:rPr>
        <w:t>1、严格按国家标准及本项目工程量清单、图纸要求施工；</w:t>
      </w:r>
    </w:p>
    <w:p>
      <w:pPr>
        <w:pStyle w:val="28"/>
        <w:spacing w:line="360" w:lineRule="auto"/>
        <w:ind w:firstLine="420" w:firstLineChars="200"/>
        <w:rPr>
          <w:rFonts w:ascii="Times New Roman" w:hAnsi="Times New Roman" w:cs="宋体"/>
          <w:color w:val="auto"/>
        </w:rPr>
      </w:pPr>
      <w:r>
        <w:rPr>
          <w:rFonts w:hint="eastAsia" w:ascii="Times New Roman" w:hAnsi="Times New Roman" w:cs="宋体"/>
          <w:color w:val="auto"/>
          <w:szCs w:val="21"/>
        </w:rPr>
        <w:t>2、</w:t>
      </w:r>
      <w:r>
        <w:rPr>
          <w:rFonts w:hint="eastAsia" w:ascii="Times New Roman" w:hAnsi="Times New Roman" w:cs="宋体"/>
          <w:color w:val="auto"/>
        </w:rPr>
        <w:t>要求工期：</w:t>
      </w:r>
      <w:r>
        <w:rPr>
          <w:rFonts w:hint="eastAsia" w:ascii="Times New Roman" w:hAnsi="Times New Roman"/>
          <w:color w:val="auto"/>
          <w:szCs w:val="21"/>
        </w:rPr>
        <w:t>自合同签订之日起</w:t>
      </w:r>
      <w:r>
        <w:rPr>
          <w:rFonts w:hint="eastAsia" w:ascii="Times New Roman" w:hAnsi="Times New Roman"/>
          <w:color w:val="auto"/>
          <w:szCs w:val="21"/>
          <w:lang w:val="en-US" w:eastAsia="zh-CN"/>
        </w:rPr>
        <w:t>9</w:t>
      </w:r>
      <w:r>
        <w:rPr>
          <w:rFonts w:hint="eastAsia" w:ascii="Times New Roman" w:hAnsi="Times New Roman"/>
          <w:color w:val="auto"/>
          <w:szCs w:val="21"/>
        </w:rPr>
        <w:t>0天（日历日）内完工</w:t>
      </w:r>
      <w:r>
        <w:rPr>
          <w:rFonts w:hint="eastAsia" w:ascii="Times New Roman" w:hAnsi="Times New Roman" w:cs="宋体"/>
          <w:color w:val="auto"/>
          <w:szCs w:val="21"/>
        </w:rPr>
        <w:t>。</w:t>
      </w:r>
      <w:r>
        <w:rPr>
          <w:rFonts w:hint="eastAsia" w:ascii="Times New Roman" w:hAnsi="Times New Roman" w:cs="宋体"/>
          <w:color w:val="auto"/>
        </w:rPr>
        <w:t xml:space="preserve"> </w:t>
      </w:r>
    </w:p>
    <w:p>
      <w:pPr>
        <w:tabs>
          <w:tab w:val="left" w:pos="210"/>
        </w:tabs>
        <w:spacing w:line="360" w:lineRule="auto"/>
        <w:ind w:firstLine="420" w:firstLineChars="200"/>
        <w:rPr>
          <w:rFonts w:cs="宋体"/>
          <w:color w:val="auto"/>
        </w:rPr>
      </w:pPr>
      <w:r>
        <w:rPr>
          <w:rFonts w:hint="eastAsia" w:cs="宋体"/>
          <w:color w:val="auto"/>
        </w:rPr>
        <w:t xml:space="preserve">   质量标准：达到国家施工验收规范合格标准。</w:t>
      </w:r>
    </w:p>
    <w:p>
      <w:pPr>
        <w:tabs>
          <w:tab w:val="left" w:pos="210"/>
        </w:tabs>
        <w:spacing w:line="360" w:lineRule="auto"/>
        <w:ind w:firstLine="420" w:firstLineChars="200"/>
        <w:rPr>
          <w:rFonts w:cs="宋体"/>
          <w:color w:val="auto"/>
          <w:szCs w:val="21"/>
        </w:rPr>
      </w:pPr>
      <w:r>
        <w:rPr>
          <w:rFonts w:hint="eastAsia" w:cs="宋体"/>
          <w:color w:val="auto"/>
        </w:rPr>
        <w:t>3、</w:t>
      </w:r>
      <w:r>
        <w:rPr>
          <w:rFonts w:hint="eastAsia" w:cs="宋体"/>
          <w:color w:val="auto"/>
          <w:szCs w:val="21"/>
        </w:rPr>
        <w:t>供应商承诺工程竣工后，供应商应按照采购人的要求免费对开工的工程场地进行清理及清洁。</w:t>
      </w:r>
    </w:p>
    <w:p>
      <w:pPr>
        <w:spacing w:line="360" w:lineRule="auto"/>
        <w:ind w:firstLine="420" w:firstLineChars="200"/>
        <w:rPr>
          <w:rFonts w:cs="宋体"/>
          <w:color w:val="auto"/>
        </w:rPr>
      </w:pPr>
      <w:r>
        <w:rPr>
          <w:rFonts w:hint="eastAsia" w:cs="宋体"/>
          <w:color w:val="auto"/>
        </w:rPr>
        <w:t>4、工程量不明确的，供应商在现场考察时详细测量，竞标时必须详细列明所报工作范围，并在施工方案中保证工程完整、全面。</w:t>
      </w:r>
    </w:p>
    <w:p>
      <w:pPr>
        <w:spacing w:line="360" w:lineRule="auto"/>
        <w:ind w:firstLine="420" w:firstLineChars="200"/>
        <w:rPr>
          <w:rFonts w:cs="宋体"/>
          <w:color w:val="auto"/>
        </w:rPr>
      </w:pPr>
      <w:r>
        <w:rPr>
          <w:rFonts w:hint="eastAsia" w:cs="宋体"/>
          <w:color w:val="auto"/>
        </w:rPr>
        <w:t>5、采购预算和上限控制价</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color w:val="auto"/>
          <w:kern w:val="0"/>
          <w:szCs w:val="21"/>
        </w:rPr>
      </w:pPr>
      <w:r>
        <w:rPr>
          <w:rFonts w:hint="eastAsia"/>
          <w:b/>
          <w:color w:val="auto"/>
        </w:rPr>
        <w:t>（1）</w:t>
      </w:r>
      <w:r>
        <w:rPr>
          <w:b/>
          <w:color w:val="auto"/>
        </w:rPr>
        <w:t>采购预算：</w:t>
      </w:r>
      <w:r>
        <w:rPr>
          <w:color w:val="auto"/>
          <w:kern w:val="0"/>
          <w:szCs w:val="21"/>
        </w:rPr>
        <w:t>本工程总造价为人民币</w:t>
      </w:r>
      <w:r>
        <w:rPr>
          <w:rFonts w:hint="eastAsia"/>
          <w:color w:val="auto"/>
          <w:kern w:val="0"/>
          <w:szCs w:val="21"/>
          <w:u w:val="single"/>
        </w:rPr>
        <w:t>1000117.33元</w:t>
      </w:r>
      <w:r>
        <w:rPr>
          <w:color w:val="auto"/>
          <w:kern w:val="0"/>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b/>
          <w:bCs/>
          <w:color w:val="auto"/>
          <w:kern w:val="0"/>
          <w:szCs w:val="21"/>
        </w:rPr>
      </w:pPr>
      <w:r>
        <w:rPr>
          <w:rFonts w:hint="eastAsia"/>
          <w:b/>
          <w:color w:val="auto"/>
        </w:rPr>
        <w:t>（2）</w:t>
      </w:r>
      <w:r>
        <w:rPr>
          <w:b/>
          <w:color w:val="auto"/>
        </w:rPr>
        <w:t>上限控制价：</w:t>
      </w:r>
      <w:r>
        <w:rPr>
          <w:color w:val="auto"/>
          <w:kern w:val="0"/>
          <w:szCs w:val="21"/>
        </w:rPr>
        <w:t>经采购人确认</w:t>
      </w:r>
      <w:r>
        <w:rPr>
          <w:rFonts w:hint="eastAsia"/>
          <w:color w:val="auto"/>
          <w:kern w:val="0"/>
          <w:szCs w:val="21"/>
        </w:rPr>
        <w:t>，本工程最高磋商报价为1000117.33元。</w:t>
      </w:r>
    </w:p>
    <w:p>
      <w:pPr>
        <w:tabs>
          <w:tab w:val="left" w:pos="1305"/>
        </w:tabs>
        <w:spacing w:line="360" w:lineRule="auto"/>
        <w:ind w:firstLine="422" w:firstLineChars="200"/>
        <w:rPr>
          <w:rFonts w:cs="宋体"/>
          <w:color w:val="auto"/>
        </w:rPr>
      </w:pPr>
      <w:r>
        <w:rPr>
          <w:rFonts w:hint="eastAsia" w:cs="宋体"/>
          <w:b/>
          <w:color w:val="auto"/>
          <w:szCs w:val="21"/>
          <w:u w:val="single"/>
        </w:rPr>
        <w:t>注：供应商的第二次磋商报价不得高于该供应商第一次磋商报价，否则做无效标处理。如供应商维持磋商报价不变，以原磋商报价作为供应商最后报价</w:t>
      </w:r>
      <w:r>
        <w:rPr>
          <w:rFonts w:hint="eastAsia" w:cs="宋体"/>
          <w:b/>
          <w:bCs/>
          <w:color w:val="auto"/>
          <w:szCs w:val="21"/>
          <w:u w:val="single"/>
        </w:rPr>
        <w:t>；如供应商需要改变原磋商报价时，</w:t>
      </w:r>
      <w:r>
        <w:rPr>
          <w:rFonts w:hint="eastAsia" w:cs="宋体"/>
          <w:b/>
          <w:color w:val="auto"/>
          <w:szCs w:val="21"/>
          <w:u w:val="single"/>
        </w:rPr>
        <w:t xml:space="preserve">供应商应预先准备好调整后的已标价的工程量清单。 </w:t>
      </w:r>
    </w:p>
    <w:p>
      <w:pPr>
        <w:adjustRightInd w:val="0"/>
        <w:spacing w:line="360" w:lineRule="auto"/>
        <w:outlineLvl w:val="1"/>
        <w:rPr>
          <w:rFonts w:cs="宋体"/>
          <w:b/>
          <w:color w:val="auto"/>
          <w:sz w:val="24"/>
        </w:rPr>
      </w:pPr>
      <w:bookmarkStart w:id="256" w:name="_Toc22397"/>
      <w:r>
        <w:rPr>
          <w:rFonts w:hint="eastAsia" w:cs="宋体"/>
          <w:b/>
          <w:color w:val="auto"/>
          <w:sz w:val="24"/>
        </w:rPr>
        <w:t>三、工程量清单（另册）</w:t>
      </w:r>
    </w:p>
    <w:p>
      <w:pPr>
        <w:tabs>
          <w:tab w:val="left" w:pos="210"/>
        </w:tabs>
        <w:spacing w:line="360" w:lineRule="auto"/>
        <w:ind w:left="420"/>
        <w:rPr>
          <w:color w:val="auto"/>
        </w:rPr>
      </w:pPr>
      <w:r>
        <w:rPr>
          <w:rFonts w:hint="eastAsia"/>
          <w:color w:val="auto"/>
        </w:rPr>
        <w:t>工程量清单是本竞争性磋商文件的一个重要组成部分</w:t>
      </w:r>
      <w:bookmarkEnd w:id="256"/>
      <w:r>
        <w:rPr>
          <w:rFonts w:hint="eastAsia"/>
          <w:color w:val="auto"/>
        </w:rPr>
        <w:t>。</w:t>
      </w:r>
    </w:p>
    <w:p>
      <w:pPr>
        <w:rPr>
          <w:color w:val="auto"/>
        </w:rPr>
      </w:pPr>
    </w:p>
    <w:p>
      <w:pPr>
        <w:jc w:val="center"/>
        <w:outlineLvl w:val="0"/>
        <w:rPr>
          <w:rFonts w:eastAsia="华文中宋" w:cs="华文中宋"/>
          <w:b/>
          <w:bCs/>
          <w:color w:val="auto"/>
          <w:sz w:val="32"/>
          <w:szCs w:val="32"/>
        </w:rPr>
      </w:pPr>
      <w:bookmarkStart w:id="257" w:name="_Toc26783"/>
      <w:bookmarkStart w:id="258" w:name="_Toc10833"/>
      <w:r>
        <w:rPr>
          <w:rFonts w:hint="eastAsia" w:eastAsia="华文中宋" w:cs="华文中宋"/>
          <w:b/>
          <w:bCs/>
          <w:color w:val="auto"/>
          <w:sz w:val="32"/>
          <w:szCs w:val="32"/>
        </w:rPr>
        <w:br w:type="page"/>
      </w:r>
      <w:bookmarkStart w:id="259" w:name="_Toc25073"/>
      <w:r>
        <w:rPr>
          <w:rFonts w:hint="eastAsia" w:eastAsia="华文中宋" w:cs="华文中宋"/>
          <w:b/>
          <w:bCs/>
          <w:color w:val="auto"/>
          <w:sz w:val="32"/>
          <w:szCs w:val="32"/>
        </w:rPr>
        <w:t>第四章  评审办法</w:t>
      </w:r>
      <w:bookmarkEnd w:id="249"/>
      <w:bookmarkEnd w:id="257"/>
      <w:bookmarkEnd w:id="258"/>
      <w:bookmarkEnd w:id="259"/>
    </w:p>
    <w:p>
      <w:pPr>
        <w:pStyle w:val="28"/>
        <w:spacing w:line="440" w:lineRule="exact"/>
        <w:ind w:firstLine="413" w:firstLineChars="196"/>
        <w:outlineLvl w:val="1"/>
        <w:rPr>
          <w:rFonts w:ascii="Times New Roman" w:hAnsi="Times New Roman" w:cs="宋体"/>
          <w:b/>
          <w:bCs/>
          <w:color w:val="auto"/>
        </w:rPr>
      </w:pPr>
      <w:bookmarkStart w:id="260" w:name="_Toc12444"/>
      <w:r>
        <w:rPr>
          <w:rFonts w:hint="eastAsia" w:ascii="Times New Roman" w:hAnsi="Times New Roman" w:cs="宋体"/>
          <w:b/>
          <w:bCs/>
          <w:color w:val="auto"/>
        </w:rPr>
        <w:t>一、评审依据及方式</w:t>
      </w:r>
      <w:bookmarkEnd w:id="260"/>
    </w:p>
    <w:p>
      <w:pPr>
        <w:pStyle w:val="28"/>
        <w:spacing w:line="440" w:lineRule="exact"/>
        <w:ind w:firstLine="420" w:firstLineChars="200"/>
        <w:rPr>
          <w:rFonts w:ascii="Times New Roman" w:hAnsi="Times New Roman" w:cs="宋体"/>
          <w:color w:val="auto"/>
        </w:rPr>
      </w:pPr>
      <w:r>
        <w:rPr>
          <w:rFonts w:hint="eastAsia" w:ascii="Times New Roman" w:hAnsi="Times New Roman" w:cs="宋体"/>
          <w:color w:val="auto"/>
        </w:rPr>
        <w:t>1.评审依据：磋商小组以竞争性磋商文件和响应文件为评审依据，对磋商供应商的响应文件按百分制打分。</w:t>
      </w:r>
    </w:p>
    <w:p>
      <w:pPr>
        <w:pStyle w:val="28"/>
        <w:spacing w:line="440" w:lineRule="exact"/>
        <w:ind w:firstLine="420" w:firstLineChars="200"/>
        <w:rPr>
          <w:rFonts w:ascii="Times New Roman" w:hAnsi="Times New Roman" w:cs="宋体"/>
          <w:color w:val="auto"/>
        </w:rPr>
      </w:pPr>
      <w:r>
        <w:rPr>
          <w:rFonts w:hint="eastAsia" w:ascii="Times New Roman" w:hAnsi="Times New Roman" w:cs="宋体"/>
          <w:color w:val="auto"/>
        </w:rPr>
        <w:t>2.评审方式：以封闭方式进行评审。</w:t>
      </w:r>
    </w:p>
    <w:p>
      <w:pPr>
        <w:pStyle w:val="28"/>
        <w:spacing w:line="440" w:lineRule="exact"/>
        <w:ind w:left="210" w:leftChars="100" w:firstLine="210" w:firstLineChars="100"/>
        <w:rPr>
          <w:rFonts w:ascii="Times New Roman" w:hAnsi="Times New Roman" w:cs="宋体"/>
          <w:color w:val="auto"/>
        </w:rPr>
      </w:pPr>
      <w:r>
        <w:rPr>
          <w:rFonts w:hint="eastAsia" w:ascii="Times New Roman" w:hAnsi="Times New Roman" w:cs="宋体"/>
          <w:color w:val="auto"/>
        </w:rPr>
        <w:t>3.根据财库〔2012〕69号文规定，采购人和采购代理机构，磋商小组成员要严格遵守政府采购相关法律制度，依法履行各自职责，公正、客观、审慎地组织和参与评审工作。</w:t>
      </w:r>
    </w:p>
    <w:p>
      <w:pPr>
        <w:pStyle w:val="28"/>
        <w:spacing w:line="440" w:lineRule="exact"/>
        <w:ind w:firstLine="422" w:firstLineChars="200"/>
        <w:outlineLvl w:val="1"/>
        <w:rPr>
          <w:rFonts w:ascii="Times New Roman" w:hAnsi="Times New Roman" w:cs="宋体"/>
          <w:b/>
          <w:bCs/>
          <w:color w:val="auto"/>
        </w:rPr>
      </w:pPr>
      <w:bookmarkStart w:id="261" w:name="_Toc8759"/>
      <w:r>
        <w:rPr>
          <w:rFonts w:hint="eastAsia" w:ascii="Times New Roman" w:hAnsi="Times New Roman" w:cs="宋体"/>
          <w:b/>
          <w:bCs/>
          <w:color w:val="auto"/>
        </w:rPr>
        <w:t>二、评审办法</w:t>
      </w:r>
      <w:bookmarkEnd w:id="261"/>
    </w:p>
    <w:p>
      <w:pPr>
        <w:pStyle w:val="28"/>
        <w:spacing w:line="440" w:lineRule="exact"/>
        <w:ind w:firstLine="422" w:firstLineChars="200"/>
        <w:rPr>
          <w:rFonts w:ascii="Times New Roman" w:hAnsi="Times New Roman" w:cs="宋体"/>
          <w:b/>
          <w:color w:val="auto"/>
        </w:rPr>
      </w:pPr>
      <w:r>
        <w:rPr>
          <w:rFonts w:hint="eastAsia" w:ascii="Times New Roman" w:hAnsi="Times New Roman" w:cs="宋体"/>
          <w:b/>
          <w:color w:val="auto"/>
        </w:rPr>
        <w:t>（一）本次评标采用综合评分法。磋商小组会首先对磋商供应商提交的响应文件进行资格性审查和符合性审查，只有通过了资格性审查和符合性审查才能进入详评。</w:t>
      </w:r>
    </w:p>
    <w:p>
      <w:pPr>
        <w:pStyle w:val="28"/>
        <w:spacing w:line="440" w:lineRule="exact"/>
        <w:ind w:firstLine="422" w:firstLineChars="200"/>
        <w:rPr>
          <w:b/>
          <w:color w:val="auto"/>
        </w:rPr>
      </w:pPr>
      <w:r>
        <w:rPr>
          <w:rFonts w:hint="eastAsia"/>
          <w:b/>
          <w:color w:val="auto"/>
        </w:rPr>
        <w:t>注：本项目为专门面向中小企业采购的项目，其企业划分标准详见本章附件。</w:t>
      </w:r>
    </w:p>
    <w:p>
      <w:pPr>
        <w:pStyle w:val="28"/>
        <w:spacing w:line="440" w:lineRule="exact"/>
        <w:ind w:firstLine="422" w:firstLineChars="200"/>
        <w:rPr>
          <w:rFonts w:ascii="Times New Roman" w:hAnsi="Times New Roman" w:cs="宋体"/>
          <w:b/>
          <w:color w:val="auto"/>
        </w:rPr>
      </w:pPr>
      <w:r>
        <w:rPr>
          <w:rFonts w:hint="eastAsia" w:ascii="Times New Roman" w:hAnsi="Times New Roman" w:cs="宋体"/>
          <w:b/>
          <w:color w:val="auto"/>
        </w:rPr>
        <w:t>（二）计分办法（百分制，分值保留两位小数）</w:t>
      </w:r>
    </w:p>
    <w:p>
      <w:pPr>
        <w:spacing w:line="440" w:lineRule="exact"/>
        <w:ind w:firstLine="211" w:firstLineChars="100"/>
        <w:rPr>
          <w:b/>
          <w:color w:val="auto"/>
          <w:highlight w:val="none"/>
        </w:rPr>
      </w:pPr>
      <w:r>
        <w:rPr>
          <w:b/>
          <w:color w:val="auto"/>
          <w:highlight w:val="none"/>
        </w:rPr>
        <w:t>1、价格分………………………………………………………………………………………………满分</w:t>
      </w:r>
      <w:r>
        <w:rPr>
          <w:rFonts w:hint="eastAsia"/>
          <w:b/>
          <w:color w:val="auto"/>
          <w:highlight w:val="none"/>
        </w:rPr>
        <w:t>30</w:t>
      </w:r>
      <w:r>
        <w:rPr>
          <w:b/>
          <w:color w:val="auto"/>
          <w:highlight w:val="none"/>
        </w:rPr>
        <w:t>分</w:t>
      </w:r>
    </w:p>
    <w:p>
      <w:pPr>
        <w:spacing w:line="400" w:lineRule="exact"/>
        <w:ind w:firstLine="420" w:firstLineChars="200"/>
        <w:rPr>
          <w:bCs/>
          <w:color w:val="auto"/>
          <w:highlight w:val="none"/>
        </w:rPr>
      </w:pPr>
      <w:r>
        <w:rPr>
          <w:bCs/>
          <w:color w:val="auto"/>
          <w:highlight w:val="none"/>
        </w:rPr>
        <w:t>（1）</w:t>
      </w:r>
      <w:r>
        <w:rPr>
          <w:rFonts w:hint="eastAsia"/>
          <w:bCs/>
          <w:color w:val="auto"/>
          <w:highlight w:val="none"/>
        </w:rPr>
        <w:t>本项目评审</w:t>
      </w:r>
      <w:r>
        <w:rPr>
          <w:bCs/>
          <w:color w:val="auto"/>
          <w:highlight w:val="none"/>
        </w:rPr>
        <w:t>报价=最后报价。</w:t>
      </w:r>
    </w:p>
    <w:p>
      <w:pPr>
        <w:spacing w:line="400" w:lineRule="exact"/>
        <w:ind w:firstLine="420" w:firstLineChars="200"/>
        <w:rPr>
          <w:bCs/>
          <w:color w:val="auto"/>
          <w:highlight w:val="none"/>
        </w:rPr>
      </w:pPr>
      <w:r>
        <w:rPr>
          <w:bCs/>
          <w:color w:val="auto"/>
          <w:highlight w:val="none"/>
        </w:rPr>
        <w:t>（2）以进入</w:t>
      </w:r>
      <w:r>
        <w:rPr>
          <w:rFonts w:hint="eastAsia"/>
          <w:bCs/>
          <w:color w:val="auto"/>
          <w:highlight w:val="none"/>
        </w:rPr>
        <w:t>详评</w:t>
      </w:r>
      <w:r>
        <w:rPr>
          <w:bCs/>
          <w:color w:val="auto"/>
          <w:highlight w:val="none"/>
        </w:rPr>
        <w:t>的最低的</w:t>
      </w:r>
      <w:r>
        <w:rPr>
          <w:rFonts w:hint="eastAsia"/>
          <w:bCs/>
          <w:color w:val="auto"/>
          <w:highlight w:val="none"/>
        </w:rPr>
        <w:t>评审报</w:t>
      </w:r>
      <w:r>
        <w:rPr>
          <w:bCs/>
          <w:color w:val="auto"/>
          <w:highlight w:val="none"/>
        </w:rPr>
        <w:t>价为</w:t>
      </w:r>
      <w:r>
        <w:rPr>
          <w:rFonts w:hint="eastAsia"/>
          <w:bCs/>
          <w:color w:val="auto"/>
          <w:highlight w:val="none"/>
        </w:rPr>
        <w:t>3</w:t>
      </w:r>
      <w:r>
        <w:rPr>
          <w:bCs/>
          <w:color w:val="auto"/>
          <w:highlight w:val="none"/>
        </w:rPr>
        <w:t>0分。</w:t>
      </w:r>
    </w:p>
    <w:p>
      <w:pPr>
        <w:spacing w:line="400" w:lineRule="exact"/>
        <w:ind w:firstLine="420" w:firstLineChars="200"/>
        <w:rPr>
          <w:bCs/>
          <w:color w:val="auto"/>
          <w:highlight w:val="none"/>
        </w:rPr>
      </w:pPr>
      <w:r>
        <w:rPr>
          <w:bCs/>
          <w:color w:val="auto"/>
          <w:highlight w:val="none"/>
        </w:rPr>
        <w:t>（3）某供应商价格分 = 供应商最低评审报价（金额）/某供应商评审报价（金额）×</w:t>
      </w:r>
      <w:r>
        <w:rPr>
          <w:rFonts w:hint="eastAsia"/>
          <w:bCs/>
          <w:color w:val="auto"/>
          <w:highlight w:val="none"/>
        </w:rPr>
        <w:t>3</w:t>
      </w:r>
      <w:r>
        <w:rPr>
          <w:bCs/>
          <w:color w:val="auto"/>
          <w:highlight w:val="none"/>
        </w:rPr>
        <w:t>0分。</w:t>
      </w:r>
    </w:p>
    <w:p>
      <w:pPr>
        <w:spacing w:line="440" w:lineRule="exact"/>
        <w:ind w:firstLine="211" w:firstLineChars="100"/>
        <w:rPr>
          <w:b/>
          <w:color w:val="auto"/>
          <w:highlight w:val="none"/>
        </w:rPr>
      </w:pPr>
      <w:r>
        <w:rPr>
          <w:b/>
          <w:color w:val="auto"/>
          <w:highlight w:val="none"/>
        </w:rPr>
        <w:t>2、技术分……………………………</w:t>
      </w:r>
      <w:r>
        <w:rPr>
          <w:b/>
          <w:bCs/>
          <w:color w:val="auto"/>
          <w:szCs w:val="21"/>
          <w:highlight w:val="none"/>
        </w:rPr>
        <w:t>…………………………</w:t>
      </w:r>
      <w:r>
        <w:rPr>
          <w:b/>
          <w:color w:val="auto"/>
          <w:highlight w:val="none"/>
        </w:rPr>
        <w:t>………………………………………满分</w:t>
      </w:r>
      <w:r>
        <w:rPr>
          <w:rFonts w:hint="eastAsia"/>
          <w:b/>
          <w:color w:val="auto"/>
          <w:highlight w:val="none"/>
        </w:rPr>
        <w:t>50</w:t>
      </w:r>
      <w:r>
        <w:rPr>
          <w:b/>
          <w:color w:val="auto"/>
          <w:highlight w:val="none"/>
        </w:rPr>
        <w:t>分</w:t>
      </w:r>
    </w:p>
    <w:p>
      <w:pPr>
        <w:spacing w:line="440" w:lineRule="exact"/>
        <w:ind w:firstLine="535" w:firstLineChars="255"/>
        <w:rPr>
          <w:bCs/>
          <w:color w:val="auto"/>
          <w:kern w:val="0"/>
          <w:szCs w:val="21"/>
          <w:highlight w:val="none"/>
        </w:rPr>
      </w:pPr>
      <w:r>
        <w:rPr>
          <w:rFonts w:hint="eastAsia"/>
          <w:bCs/>
          <w:color w:val="auto"/>
          <w:kern w:val="0"/>
          <w:szCs w:val="21"/>
          <w:highlight w:val="none"/>
        </w:rPr>
        <w:t>由磋商小组针对供应商提供的施工组织设计方案进行独立评分：</w:t>
      </w:r>
    </w:p>
    <w:p>
      <w:pPr>
        <w:spacing w:line="440" w:lineRule="exact"/>
        <w:ind w:firstLine="538" w:firstLineChars="255"/>
        <w:rPr>
          <w:b/>
          <w:color w:val="auto"/>
          <w:szCs w:val="21"/>
          <w:highlight w:val="none"/>
        </w:rPr>
      </w:pPr>
      <w:r>
        <w:rPr>
          <w:b/>
          <w:color w:val="auto"/>
          <w:szCs w:val="22"/>
          <w:highlight w:val="none"/>
        </w:rPr>
        <w:t>（1）</w:t>
      </w:r>
      <w:r>
        <w:rPr>
          <w:b/>
          <w:color w:val="auto"/>
          <w:szCs w:val="21"/>
          <w:highlight w:val="none"/>
        </w:rPr>
        <w:t>总体概述</w:t>
      </w:r>
      <w:r>
        <w:rPr>
          <w:b/>
          <w:color w:val="auto"/>
          <w:szCs w:val="22"/>
          <w:highlight w:val="none"/>
        </w:rPr>
        <w:t>……………………………………………………………………</w:t>
      </w:r>
      <w:r>
        <w:rPr>
          <w:b/>
          <w:color w:val="auto"/>
          <w:szCs w:val="21"/>
          <w:highlight w:val="none"/>
        </w:rPr>
        <w:t>…</w:t>
      </w:r>
      <w:r>
        <w:rPr>
          <w:b/>
          <w:color w:val="auto"/>
          <w:szCs w:val="22"/>
          <w:highlight w:val="none"/>
        </w:rPr>
        <w:t>……………………</w:t>
      </w:r>
      <w:r>
        <w:rPr>
          <w:rFonts w:hint="eastAsia"/>
          <w:b/>
          <w:color w:val="auto"/>
          <w:szCs w:val="21"/>
          <w:highlight w:val="none"/>
        </w:rPr>
        <w:t>5</w:t>
      </w:r>
      <w:r>
        <w:rPr>
          <w:b/>
          <w:color w:val="auto"/>
          <w:szCs w:val="21"/>
          <w:highlight w:val="none"/>
        </w:rPr>
        <w:t>分</w:t>
      </w:r>
    </w:p>
    <w:p>
      <w:pPr>
        <w:spacing w:line="440" w:lineRule="exact"/>
        <w:ind w:firstLine="535" w:firstLineChars="255"/>
        <w:rPr>
          <w:bCs/>
          <w:color w:val="auto"/>
          <w:kern w:val="0"/>
          <w:szCs w:val="21"/>
          <w:highlight w:val="none"/>
        </w:rPr>
      </w:pPr>
      <w:r>
        <w:rPr>
          <w:bCs/>
          <w:color w:val="auto"/>
          <w:kern w:val="0"/>
          <w:szCs w:val="21"/>
          <w:highlight w:val="none"/>
        </w:rPr>
        <w:t>优（</w:t>
      </w:r>
      <w:r>
        <w:rPr>
          <w:rFonts w:hint="eastAsia"/>
          <w:bCs/>
          <w:color w:val="auto"/>
          <w:kern w:val="0"/>
          <w:szCs w:val="21"/>
          <w:highlight w:val="none"/>
        </w:rPr>
        <w:t>5</w:t>
      </w:r>
      <w:r>
        <w:rPr>
          <w:bCs/>
          <w:color w:val="auto"/>
          <w:kern w:val="0"/>
          <w:szCs w:val="21"/>
          <w:highlight w:val="none"/>
        </w:rPr>
        <w:t>分）：对项目总体有深刻认识，表达清晰、完整、严谨、合理，措施先进、具体、有效、成熟；施工段划分清晰、合理，符合规范要求；</w:t>
      </w:r>
    </w:p>
    <w:p>
      <w:pPr>
        <w:spacing w:line="440" w:lineRule="exact"/>
        <w:ind w:firstLine="535" w:firstLineChars="255"/>
        <w:rPr>
          <w:bCs/>
          <w:color w:val="auto"/>
          <w:kern w:val="0"/>
          <w:szCs w:val="21"/>
          <w:highlight w:val="none"/>
        </w:rPr>
      </w:pPr>
      <w:r>
        <w:rPr>
          <w:bCs/>
          <w:color w:val="auto"/>
          <w:kern w:val="0"/>
          <w:szCs w:val="21"/>
          <w:highlight w:val="none"/>
        </w:rPr>
        <w:t>良（</w:t>
      </w:r>
      <w:r>
        <w:rPr>
          <w:rFonts w:hint="eastAsia"/>
          <w:bCs/>
          <w:color w:val="auto"/>
          <w:kern w:val="0"/>
          <w:szCs w:val="21"/>
          <w:highlight w:val="none"/>
        </w:rPr>
        <w:t>4</w:t>
      </w:r>
      <w:r>
        <w:rPr>
          <w:bCs/>
          <w:color w:val="auto"/>
          <w:kern w:val="0"/>
          <w:szCs w:val="21"/>
          <w:highlight w:val="none"/>
        </w:rPr>
        <w:t>分）：对项目总体有一定认识，表达清晰、完整，措施具体有效；施工段划分清晰，符合规范要求；</w:t>
      </w:r>
    </w:p>
    <w:p>
      <w:pPr>
        <w:spacing w:line="440" w:lineRule="exact"/>
        <w:ind w:firstLine="535" w:firstLineChars="255"/>
        <w:rPr>
          <w:bCs/>
          <w:color w:val="auto"/>
          <w:kern w:val="0"/>
          <w:szCs w:val="21"/>
          <w:highlight w:val="none"/>
        </w:rPr>
      </w:pPr>
      <w:r>
        <w:rPr>
          <w:bCs/>
          <w:color w:val="auto"/>
          <w:kern w:val="0"/>
          <w:szCs w:val="21"/>
          <w:highlight w:val="none"/>
        </w:rPr>
        <w:t>中（</w:t>
      </w:r>
      <w:r>
        <w:rPr>
          <w:rFonts w:hint="eastAsia"/>
          <w:bCs/>
          <w:color w:val="auto"/>
          <w:kern w:val="0"/>
          <w:szCs w:val="21"/>
          <w:highlight w:val="none"/>
        </w:rPr>
        <w:t>3</w:t>
      </w:r>
      <w:r>
        <w:rPr>
          <w:bCs/>
          <w:color w:val="auto"/>
          <w:kern w:val="0"/>
          <w:szCs w:val="21"/>
          <w:highlight w:val="none"/>
        </w:rPr>
        <w:t>分）：对项目总体有认识，有一定的措施但部分不具体；施工段划分较合理，符合规范要求；</w:t>
      </w:r>
    </w:p>
    <w:p>
      <w:pPr>
        <w:spacing w:line="440" w:lineRule="exact"/>
        <w:ind w:firstLine="535" w:firstLineChars="255"/>
        <w:rPr>
          <w:bCs/>
          <w:color w:val="auto"/>
          <w:kern w:val="0"/>
          <w:szCs w:val="21"/>
          <w:highlight w:val="none"/>
        </w:rPr>
      </w:pPr>
      <w:r>
        <w:rPr>
          <w:bCs/>
          <w:color w:val="auto"/>
          <w:kern w:val="0"/>
          <w:szCs w:val="21"/>
          <w:highlight w:val="none"/>
        </w:rPr>
        <w:t>差（</w:t>
      </w:r>
      <w:r>
        <w:rPr>
          <w:rFonts w:hint="eastAsia"/>
          <w:bCs/>
          <w:color w:val="auto"/>
          <w:kern w:val="0"/>
          <w:szCs w:val="21"/>
          <w:highlight w:val="none"/>
        </w:rPr>
        <w:t>2</w:t>
      </w:r>
      <w:r>
        <w:rPr>
          <w:bCs/>
          <w:color w:val="auto"/>
          <w:kern w:val="0"/>
          <w:szCs w:val="21"/>
          <w:highlight w:val="none"/>
        </w:rPr>
        <w:t>分）：对项目认识不足，表达不清晰，措施不具体；施工段划分不合理。</w:t>
      </w:r>
    </w:p>
    <w:p>
      <w:pPr>
        <w:spacing w:line="440" w:lineRule="exact"/>
        <w:ind w:firstLine="538" w:firstLineChars="255"/>
        <w:rPr>
          <w:b/>
          <w:color w:val="auto"/>
          <w:szCs w:val="22"/>
          <w:highlight w:val="none"/>
        </w:rPr>
      </w:pPr>
      <w:r>
        <w:rPr>
          <w:b/>
          <w:color w:val="auto"/>
          <w:szCs w:val="22"/>
          <w:highlight w:val="none"/>
        </w:rPr>
        <w:t>（2）主要施工方法…………………</w:t>
      </w:r>
      <w:r>
        <w:rPr>
          <w:b/>
          <w:color w:val="auto"/>
          <w:szCs w:val="21"/>
          <w:highlight w:val="none"/>
        </w:rPr>
        <w:t>…</w:t>
      </w:r>
      <w:r>
        <w:rPr>
          <w:b/>
          <w:color w:val="auto"/>
          <w:szCs w:val="22"/>
          <w:highlight w:val="none"/>
        </w:rPr>
        <w:t>………………………………………………………………</w:t>
      </w:r>
      <w:r>
        <w:rPr>
          <w:rFonts w:hint="eastAsia"/>
          <w:b/>
          <w:color w:val="auto"/>
          <w:szCs w:val="21"/>
          <w:highlight w:val="none"/>
        </w:rPr>
        <w:t>10</w:t>
      </w:r>
      <w:r>
        <w:rPr>
          <w:b/>
          <w:color w:val="auto"/>
          <w:szCs w:val="21"/>
          <w:highlight w:val="none"/>
        </w:rPr>
        <w:t>分</w:t>
      </w:r>
    </w:p>
    <w:p>
      <w:pPr>
        <w:spacing w:line="440" w:lineRule="exact"/>
        <w:ind w:firstLine="535" w:firstLineChars="255"/>
        <w:rPr>
          <w:bCs/>
          <w:color w:val="auto"/>
          <w:szCs w:val="21"/>
          <w:highlight w:val="none"/>
        </w:rPr>
      </w:pPr>
      <w:r>
        <w:rPr>
          <w:bCs/>
          <w:color w:val="auto"/>
          <w:szCs w:val="21"/>
          <w:highlight w:val="none"/>
        </w:rPr>
        <w:t>优（</w:t>
      </w:r>
      <w:r>
        <w:rPr>
          <w:rFonts w:hint="eastAsia"/>
          <w:color w:val="auto"/>
          <w:kern w:val="0"/>
          <w:szCs w:val="21"/>
          <w:highlight w:val="none"/>
        </w:rPr>
        <w:t>10</w:t>
      </w:r>
      <w:r>
        <w:rPr>
          <w:color w:val="auto"/>
          <w:kern w:val="0"/>
          <w:szCs w:val="21"/>
          <w:highlight w:val="none"/>
        </w:rPr>
        <w:t>分</w:t>
      </w:r>
      <w:r>
        <w:rPr>
          <w:bCs/>
          <w:color w:val="auto"/>
          <w:szCs w:val="21"/>
          <w:highlight w:val="none"/>
        </w:rPr>
        <w:t>）：各主要分部施工方法符合项目实际，有详尽的施工技术方案，工艺先进、方法科学合理、可行，能指导具体施工并确保安全；</w:t>
      </w:r>
    </w:p>
    <w:p>
      <w:pPr>
        <w:spacing w:line="440" w:lineRule="exact"/>
        <w:ind w:firstLine="535" w:firstLineChars="255"/>
        <w:rPr>
          <w:bCs/>
          <w:color w:val="auto"/>
          <w:szCs w:val="21"/>
          <w:highlight w:val="none"/>
        </w:rPr>
      </w:pPr>
      <w:r>
        <w:rPr>
          <w:bCs/>
          <w:color w:val="auto"/>
          <w:szCs w:val="21"/>
          <w:highlight w:val="none"/>
        </w:rPr>
        <w:t>良（</w:t>
      </w:r>
      <w:r>
        <w:rPr>
          <w:rFonts w:hint="eastAsia"/>
          <w:color w:val="auto"/>
          <w:kern w:val="0"/>
          <w:szCs w:val="21"/>
          <w:highlight w:val="none"/>
        </w:rPr>
        <w:t>7</w:t>
      </w:r>
      <w:r>
        <w:rPr>
          <w:color w:val="auto"/>
          <w:kern w:val="0"/>
          <w:szCs w:val="21"/>
          <w:highlight w:val="none"/>
        </w:rPr>
        <w:t>分</w:t>
      </w:r>
      <w:r>
        <w:rPr>
          <w:bCs/>
          <w:color w:val="auto"/>
          <w:szCs w:val="21"/>
          <w:highlight w:val="none"/>
        </w:rPr>
        <w:t>）：各主要分部施工方法符合项目实际，有较详尽的施工技术方案，工艺较好、方法科学合理、可行，能指导具体施工并确保安全；</w:t>
      </w:r>
    </w:p>
    <w:p>
      <w:pPr>
        <w:spacing w:line="440" w:lineRule="exact"/>
        <w:ind w:firstLine="535" w:firstLineChars="255"/>
        <w:rPr>
          <w:bCs/>
          <w:color w:val="auto"/>
          <w:szCs w:val="21"/>
          <w:highlight w:val="none"/>
        </w:rPr>
      </w:pPr>
      <w:r>
        <w:rPr>
          <w:bCs/>
          <w:color w:val="auto"/>
          <w:szCs w:val="21"/>
          <w:highlight w:val="none"/>
        </w:rPr>
        <w:t>中（</w:t>
      </w:r>
      <w:r>
        <w:rPr>
          <w:rFonts w:hint="eastAsia"/>
          <w:color w:val="auto"/>
          <w:kern w:val="0"/>
          <w:szCs w:val="21"/>
          <w:highlight w:val="none"/>
        </w:rPr>
        <w:t>5</w:t>
      </w:r>
      <w:r>
        <w:rPr>
          <w:color w:val="auto"/>
          <w:kern w:val="0"/>
          <w:szCs w:val="21"/>
          <w:highlight w:val="none"/>
        </w:rPr>
        <w:t>分</w:t>
      </w:r>
      <w:r>
        <w:rPr>
          <w:bCs/>
          <w:color w:val="auto"/>
          <w:szCs w:val="21"/>
          <w:highlight w:val="none"/>
        </w:rPr>
        <w:t>）：各主要分部施工方法能满足项目需求，有施工技术方案，能指导具体施工并确保安全；</w:t>
      </w:r>
    </w:p>
    <w:p>
      <w:pPr>
        <w:spacing w:line="440" w:lineRule="exact"/>
        <w:ind w:firstLine="535" w:firstLineChars="255"/>
        <w:rPr>
          <w:bCs/>
          <w:color w:val="auto"/>
          <w:szCs w:val="21"/>
          <w:highlight w:val="none"/>
        </w:rPr>
      </w:pPr>
      <w:r>
        <w:rPr>
          <w:bCs/>
          <w:color w:val="auto"/>
          <w:szCs w:val="21"/>
          <w:highlight w:val="none"/>
        </w:rPr>
        <w:t>差（</w:t>
      </w:r>
      <w:r>
        <w:rPr>
          <w:rFonts w:hint="eastAsia"/>
          <w:bCs/>
          <w:color w:val="auto"/>
          <w:szCs w:val="21"/>
          <w:highlight w:val="none"/>
        </w:rPr>
        <w:t>3</w:t>
      </w:r>
      <w:r>
        <w:rPr>
          <w:color w:val="auto"/>
          <w:kern w:val="0"/>
          <w:szCs w:val="21"/>
          <w:highlight w:val="none"/>
        </w:rPr>
        <w:t>分</w:t>
      </w:r>
      <w:r>
        <w:rPr>
          <w:bCs/>
          <w:color w:val="auto"/>
          <w:szCs w:val="21"/>
          <w:highlight w:val="none"/>
        </w:rPr>
        <w:t>）：各主要分部施工方法不能满足项目需求，没有施工技术方案，不能指导具体施工并确保安全。</w:t>
      </w:r>
    </w:p>
    <w:p>
      <w:pPr>
        <w:spacing w:line="440" w:lineRule="exact"/>
        <w:ind w:firstLine="538" w:firstLineChars="255"/>
        <w:rPr>
          <w:b/>
          <w:color w:val="auto"/>
          <w:szCs w:val="22"/>
          <w:highlight w:val="none"/>
        </w:rPr>
      </w:pPr>
      <w:r>
        <w:rPr>
          <w:b/>
          <w:color w:val="auto"/>
          <w:szCs w:val="21"/>
          <w:highlight w:val="none"/>
        </w:rPr>
        <w:t>（3）施工进度计划和各阶段进度的保证措施</w:t>
      </w:r>
      <w:r>
        <w:rPr>
          <w:b/>
          <w:color w:val="auto"/>
          <w:szCs w:val="22"/>
          <w:highlight w:val="none"/>
        </w:rPr>
        <w:t>…………………………………</w:t>
      </w:r>
      <w:r>
        <w:rPr>
          <w:b/>
          <w:color w:val="auto"/>
          <w:szCs w:val="21"/>
          <w:highlight w:val="none"/>
        </w:rPr>
        <w:t>…</w:t>
      </w:r>
      <w:r>
        <w:rPr>
          <w:b/>
          <w:color w:val="auto"/>
          <w:szCs w:val="22"/>
          <w:highlight w:val="none"/>
        </w:rPr>
        <w:t>……………………</w:t>
      </w:r>
      <w:r>
        <w:rPr>
          <w:rFonts w:hint="eastAsia"/>
          <w:b/>
          <w:color w:val="auto"/>
          <w:szCs w:val="21"/>
          <w:highlight w:val="none"/>
        </w:rPr>
        <w:t>5</w:t>
      </w:r>
      <w:r>
        <w:rPr>
          <w:b/>
          <w:color w:val="auto"/>
          <w:szCs w:val="21"/>
          <w:highlight w:val="none"/>
        </w:rPr>
        <w:t>分</w:t>
      </w:r>
    </w:p>
    <w:p>
      <w:pPr>
        <w:spacing w:line="440" w:lineRule="exact"/>
        <w:ind w:firstLine="535" w:firstLineChars="255"/>
        <w:rPr>
          <w:bCs/>
          <w:color w:val="auto"/>
          <w:szCs w:val="21"/>
          <w:highlight w:val="none"/>
        </w:rPr>
      </w:pPr>
      <w:r>
        <w:rPr>
          <w:bCs/>
          <w:color w:val="auto"/>
          <w:szCs w:val="21"/>
          <w:highlight w:val="none"/>
        </w:rPr>
        <w:t>优</w:t>
      </w:r>
      <w:r>
        <w:rPr>
          <w:bCs/>
          <w:color w:val="auto"/>
          <w:kern w:val="0"/>
          <w:szCs w:val="21"/>
          <w:highlight w:val="none"/>
        </w:rPr>
        <w:t>（</w:t>
      </w:r>
      <w:r>
        <w:rPr>
          <w:rFonts w:hint="eastAsia"/>
          <w:bCs/>
          <w:color w:val="auto"/>
          <w:kern w:val="0"/>
          <w:szCs w:val="21"/>
          <w:highlight w:val="none"/>
        </w:rPr>
        <w:t>5</w:t>
      </w:r>
      <w:r>
        <w:rPr>
          <w:bCs/>
          <w:color w:val="auto"/>
          <w:kern w:val="0"/>
          <w:szCs w:val="21"/>
          <w:highlight w:val="none"/>
        </w:rPr>
        <w:t>分）</w:t>
      </w:r>
      <w:r>
        <w:rPr>
          <w:bCs/>
          <w:color w:val="auto"/>
          <w:szCs w:val="21"/>
          <w:highlight w:val="none"/>
        </w:rPr>
        <w:t>：关键线路清晰、准确、完整，计划编制合理、可行，关键节点的控制措施有力、合理、可行；</w:t>
      </w:r>
    </w:p>
    <w:p>
      <w:pPr>
        <w:spacing w:line="440" w:lineRule="exact"/>
        <w:ind w:firstLine="535" w:firstLineChars="255"/>
        <w:rPr>
          <w:bCs/>
          <w:color w:val="auto"/>
          <w:szCs w:val="21"/>
          <w:highlight w:val="none"/>
        </w:rPr>
      </w:pPr>
      <w:r>
        <w:rPr>
          <w:bCs/>
          <w:color w:val="auto"/>
          <w:szCs w:val="21"/>
          <w:highlight w:val="none"/>
        </w:rPr>
        <w:t>良</w:t>
      </w:r>
      <w:r>
        <w:rPr>
          <w:bCs/>
          <w:color w:val="auto"/>
          <w:kern w:val="0"/>
          <w:szCs w:val="21"/>
          <w:highlight w:val="none"/>
        </w:rPr>
        <w:t>（</w:t>
      </w:r>
      <w:r>
        <w:rPr>
          <w:rFonts w:hint="eastAsia"/>
          <w:bCs/>
          <w:color w:val="auto"/>
          <w:kern w:val="0"/>
          <w:szCs w:val="21"/>
          <w:highlight w:val="none"/>
        </w:rPr>
        <w:t>4</w:t>
      </w:r>
      <w:r>
        <w:rPr>
          <w:bCs/>
          <w:color w:val="auto"/>
          <w:kern w:val="0"/>
          <w:szCs w:val="21"/>
          <w:highlight w:val="none"/>
        </w:rPr>
        <w:t>分）</w:t>
      </w:r>
      <w:r>
        <w:rPr>
          <w:bCs/>
          <w:color w:val="auto"/>
          <w:szCs w:val="21"/>
          <w:highlight w:val="none"/>
        </w:rPr>
        <w:t>：关键线路清晰、准确、完整，计划编制可行，关键节点的控制措施合理、可行；</w:t>
      </w:r>
    </w:p>
    <w:p>
      <w:pPr>
        <w:spacing w:line="440" w:lineRule="exact"/>
        <w:ind w:firstLine="535" w:firstLineChars="255"/>
        <w:rPr>
          <w:bCs/>
          <w:color w:val="auto"/>
          <w:szCs w:val="21"/>
          <w:highlight w:val="none"/>
        </w:rPr>
      </w:pPr>
      <w:r>
        <w:rPr>
          <w:bCs/>
          <w:color w:val="auto"/>
          <w:szCs w:val="21"/>
          <w:highlight w:val="none"/>
        </w:rPr>
        <w:t>中</w:t>
      </w:r>
      <w:r>
        <w:rPr>
          <w:bCs/>
          <w:color w:val="auto"/>
          <w:kern w:val="0"/>
          <w:szCs w:val="21"/>
          <w:highlight w:val="none"/>
        </w:rPr>
        <w:t>（</w:t>
      </w:r>
      <w:r>
        <w:rPr>
          <w:rFonts w:hint="eastAsia"/>
          <w:bCs/>
          <w:color w:val="auto"/>
          <w:kern w:val="0"/>
          <w:szCs w:val="21"/>
          <w:highlight w:val="none"/>
        </w:rPr>
        <w:t>3</w:t>
      </w:r>
      <w:r>
        <w:rPr>
          <w:bCs/>
          <w:color w:val="auto"/>
          <w:kern w:val="0"/>
          <w:szCs w:val="21"/>
          <w:highlight w:val="none"/>
        </w:rPr>
        <w:t>分）</w:t>
      </w:r>
      <w:r>
        <w:rPr>
          <w:bCs/>
          <w:color w:val="auto"/>
          <w:szCs w:val="21"/>
          <w:highlight w:val="none"/>
        </w:rPr>
        <w:t>：关键线路基本准确，计划编制合理，关键节点的控制措施基本可行；</w:t>
      </w:r>
    </w:p>
    <w:p>
      <w:pPr>
        <w:spacing w:line="440" w:lineRule="exact"/>
        <w:ind w:firstLine="535" w:firstLineChars="255"/>
        <w:rPr>
          <w:bCs/>
          <w:color w:val="auto"/>
          <w:szCs w:val="21"/>
          <w:highlight w:val="none"/>
        </w:rPr>
      </w:pPr>
      <w:r>
        <w:rPr>
          <w:bCs/>
          <w:color w:val="auto"/>
          <w:szCs w:val="21"/>
          <w:highlight w:val="none"/>
        </w:rPr>
        <w:t>差（</w:t>
      </w:r>
      <w:r>
        <w:rPr>
          <w:rFonts w:hint="eastAsia"/>
          <w:bCs/>
          <w:color w:val="auto"/>
          <w:szCs w:val="21"/>
          <w:highlight w:val="none"/>
        </w:rPr>
        <w:t>2</w:t>
      </w:r>
      <w:r>
        <w:rPr>
          <w:color w:val="auto"/>
          <w:kern w:val="0"/>
          <w:szCs w:val="21"/>
          <w:highlight w:val="none"/>
        </w:rPr>
        <w:t>分</w:t>
      </w:r>
      <w:r>
        <w:rPr>
          <w:bCs/>
          <w:color w:val="auto"/>
          <w:szCs w:val="21"/>
          <w:highlight w:val="none"/>
        </w:rPr>
        <w:t>）：关键线路不准确，计划编制不合理，关键节点的控制不可行。</w:t>
      </w:r>
    </w:p>
    <w:p>
      <w:pPr>
        <w:spacing w:line="440" w:lineRule="exact"/>
        <w:ind w:firstLine="538" w:firstLineChars="255"/>
        <w:rPr>
          <w:b/>
          <w:color w:val="auto"/>
          <w:szCs w:val="22"/>
          <w:highlight w:val="none"/>
        </w:rPr>
      </w:pPr>
      <w:r>
        <w:rPr>
          <w:b/>
          <w:color w:val="auto"/>
          <w:szCs w:val="21"/>
          <w:highlight w:val="none"/>
        </w:rPr>
        <w:t>（4）</w:t>
      </w:r>
      <w:r>
        <w:rPr>
          <w:b/>
          <w:color w:val="auto"/>
          <w:szCs w:val="22"/>
          <w:highlight w:val="none"/>
        </w:rPr>
        <w:t>劳动力</w:t>
      </w:r>
      <w:r>
        <w:rPr>
          <w:b/>
          <w:color w:val="auto"/>
          <w:szCs w:val="21"/>
          <w:highlight w:val="none"/>
        </w:rPr>
        <w:t>和材料投入计划及其保证措施</w:t>
      </w:r>
      <w:r>
        <w:rPr>
          <w:b/>
          <w:color w:val="auto"/>
          <w:szCs w:val="22"/>
          <w:highlight w:val="none"/>
        </w:rPr>
        <w:t>…………………………………………</w:t>
      </w:r>
      <w:r>
        <w:rPr>
          <w:b/>
          <w:color w:val="auto"/>
          <w:szCs w:val="21"/>
          <w:highlight w:val="none"/>
        </w:rPr>
        <w:t>…</w:t>
      </w:r>
      <w:r>
        <w:rPr>
          <w:b/>
          <w:color w:val="auto"/>
          <w:szCs w:val="22"/>
          <w:highlight w:val="none"/>
        </w:rPr>
        <w:t>………………</w:t>
      </w:r>
      <w:r>
        <w:rPr>
          <w:rFonts w:hint="eastAsia"/>
          <w:b/>
          <w:color w:val="auto"/>
          <w:szCs w:val="21"/>
          <w:highlight w:val="none"/>
        </w:rPr>
        <w:t>5</w:t>
      </w:r>
      <w:r>
        <w:rPr>
          <w:b/>
          <w:color w:val="auto"/>
          <w:szCs w:val="21"/>
          <w:highlight w:val="none"/>
        </w:rPr>
        <w:t>分</w:t>
      </w:r>
    </w:p>
    <w:p>
      <w:pPr>
        <w:spacing w:line="440" w:lineRule="exact"/>
        <w:ind w:firstLine="535" w:firstLineChars="255"/>
        <w:rPr>
          <w:bCs/>
          <w:color w:val="auto"/>
          <w:szCs w:val="21"/>
          <w:highlight w:val="none"/>
        </w:rPr>
      </w:pPr>
      <w:r>
        <w:rPr>
          <w:bCs/>
          <w:color w:val="auto"/>
          <w:szCs w:val="21"/>
          <w:highlight w:val="none"/>
        </w:rPr>
        <w:t>优（</w:t>
      </w:r>
      <w:r>
        <w:rPr>
          <w:rFonts w:hint="eastAsia"/>
          <w:color w:val="auto"/>
          <w:kern w:val="0"/>
          <w:szCs w:val="21"/>
          <w:highlight w:val="none"/>
        </w:rPr>
        <w:t>5</w:t>
      </w:r>
      <w:r>
        <w:rPr>
          <w:color w:val="auto"/>
          <w:kern w:val="0"/>
          <w:szCs w:val="21"/>
          <w:highlight w:val="none"/>
        </w:rPr>
        <w:t>分</w:t>
      </w:r>
      <w:r>
        <w:rPr>
          <w:bCs/>
          <w:color w:val="auto"/>
          <w:szCs w:val="21"/>
          <w:highlight w:val="none"/>
        </w:rPr>
        <w:t>）：投入计划与进度计划呼应，较好满足施工需要，调配投入计划合理、准确；</w:t>
      </w:r>
    </w:p>
    <w:p>
      <w:pPr>
        <w:spacing w:line="440" w:lineRule="exact"/>
        <w:ind w:firstLine="535" w:firstLineChars="255"/>
        <w:rPr>
          <w:bCs/>
          <w:color w:val="auto"/>
          <w:szCs w:val="21"/>
          <w:highlight w:val="none"/>
        </w:rPr>
      </w:pPr>
      <w:r>
        <w:rPr>
          <w:bCs/>
          <w:color w:val="auto"/>
          <w:szCs w:val="21"/>
          <w:highlight w:val="none"/>
        </w:rPr>
        <w:t>良（</w:t>
      </w:r>
      <w:r>
        <w:rPr>
          <w:rFonts w:hint="eastAsia"/>
          <w:color w:val="auto"/>
          <w:kern w:val="0"/>
          <w:szCs w:val="21"/>
          <w:highlight w:val="none"/>
        </w:rPr>
        <w:t>4</w:t>
      </w:r>
      <w:r>
        <w:rPr>
          <w:color w:val="auto"/>
          <w:kern w:val="0"/>
          <w:szCs w:val="21"/>
          <w:highlight w:val="none"/>
        </w:rPr>
        <w:t>分</w:t>
      </w:r>
      <w:r>
        <w:rPr>
          <w:bCs/>
          <w:color w:val="auto"/>
          <w:szCs w:val="21"/>
          <w:highlight w:val="none"/>
        </w:rPr>
        <w:t>）：投入计划与进度计划呼应，基本满足施工需要，调配投入计划基本合理、准确；</w:t>
      </w:r>
    </w:p>
    <w:p>
      <w:pPr>
        <w:spacing w:line="440" w:lineRule="exact"/>
        <w:ind w:firstLine="535" w:firstLineChars="255"/>
        <w:rPr>
          <w:bCs/>
          <w:color w:val="auto"/>
          <w:szCs w:val="21"/>
          <w:highlight w:val="none"/>
        </w:rPr>
      </w:pPr>
      <w:r>
        <w:rPr>
          <w:bCs/>
          <w:color w:val="auto"/>
          <w:szCs w:val="21"/>
          <w:highlight w:val="none"/>
        </w:rPr>
        <w:t>中（</w:t>
      </w:r>
      <w:r>
        <w:rPr>
          <w:rFonts w:hint="eastAsia"/>
          <w:color w:val="auto"/>
          <w:kern w:val="0"/>
          <w:szCs w:val="21"/>
          <w:highlight w:val="none"/>
        </w:rPr>
        <w:t>3</w:t>
      </w:r>
      <w:r>
        <w:rPr>
          <w:color w:val="auto"/>
          <w:kern w:val="0"/>
          <w:szCs w:val="21"/>
          <w:highlight w:val="none"/>
        </w:rPr>
        <w:t>分</w:t>
      </w:r>
      <w:r>
        <w:rPr>
          <w:bCs/>
          <w:color w:val="auto"/>
          <w:szCs w:val="21"/>
          <w:highlight w:val="none"/>
        </w:rPr>
        <w:t>）：投入计划与进度计划呼应，基本满足施工需要，调配投入计划基本合理；</w:t>
      </w:r>
    </w:p>
    <w:p>
      <w:pPr>
        <w:spacing w:line="440" w:lineRule="exact"/>
        <w:ind w:firstLine="535" w:firstLineChars="255"/>
        <w:rPr>
          <w:bCs/>
          <w:color w:val="auto"/>
          <w:szCs w:val="21"/>
          <w:highlight w:val="none"/>
        </w:rPr>
      </w:pPr>
      <w:r>
        <w:rPr>
          <w:bCs/>
          <w:color w:val="auto"/>
          <w:szCs w:val="21"/>
          <w:highlight w:val="none"/>
        </w:rPr>
        <w:t>差（</w:t>
      </w:r>
      <w:r>
        <w:rPr>
          <w:rFonts w:hint="eastAsia"/>
          <w:bCs/>
          <w:color w:val="auto"/>
          <w:szCs w:val="21"/>
          <w:highlight w:val="none"/>
        </w:rPr>
        <w:t>2</w:t>
      </w:r>
      <w:r>
        <w:rPr>
          <w:color w:val="auto"/>
          <w:kern w:val="0"/>
          <w:szCs w:val="21"/>
          <w:highlight w:val="none"/>
        </w:rPr>
        <w:t>分</w:t>
      </w:r>
      <w:r>
        <w:rPr>
          <w:bCs/>
          <w:color w:val="auto"/>
          <w:szCs w:val="21"/>
          <w:highlight w:val="none"/>
        </w:rPr>
        <w:t>）：投入计划与进度计划不呼应，不能满足施工需要。</w:t>
      </w:r>
    </w:p>
    <w:p>
      <w:pPr>
        <w:spacing w:line="440" w:lineRule="exact"/>
        <w:ind w:firstLine="538" w:firstLineChars="255"/>
        <w:rPr>
          <w:b/>
          <w:color w:val="auto"/>
          <w:szCs w:val="21"/>
          <w:highlight w:val="none"/>
        </w:rPr>
      </w:pPr>
      <w:r>
        <w:rPr>
          <w:b/>
          <w:color w:val="auto"/>
          <w:szCs w:val="21"/>
          <w:highlight w:val="none"/>
        </w:rPr>
        <w:t>（5）</w:t>
      </w:r>
      <w:r>
        <w:rPr>
          <w:b/>
          <w:color w:val="auto"/>
          <w:szCs w:val="22"/>
          <w:highlight w:val="none"/>
        </w:rPr>
        <w:t>施工</w:t>
      </w:r>
      <w:r>
        <w:rPr>
          <w:b/>
          <w:color w:val="auto"/>
          <w:szCs w:val="21"/>
          <w:highlight w:val="none"/>
        </w:rPr>
        <w:t>平面布置和临时设施布置</w:t>
      </w:r>
      <w:r>
        <w:rPr>
          <w:b/>
          <w:color w:val="auto"/>
          <w:szCs w:val="22"/>
          <w:highlight w:val="none"/>
        </w:rPr>
        <w:t>……………………</w:t>
      </w:r>
      <w:r>
        <w:rPr>
          <w:b/>
          <w:color w:val="auto"/>
          <w:szCs w:val="21"/>
          <w:highlight w:val="none"/>
        </w:rPr>
        <w:t>…</w:t>
      </w:r>
      <w:r>
        <w:rPr>
          <w:b/>
          <w:color w:val="auto"/>
          <w:szCs w:val="22"/>
          <w:highlight w:val="none"/>
        </w:rPr>
        <w:t>……………</w:t>
      </w:r>
      <w:r>
        <w:rPr>
          <w:b/>
          <w:color w:val="auto"/>
          <w:szCs w:val="21"/>
          <w:highlight w:val="none"/>
        </w:rPr>
        <w:t>…</w:t>
      </w:r>
      <w:r>
        <w:rPr>
          <w:b/>
          <w:color w:val="auto"/>
          <w:szCs w:val="22"/>
          <w:highlight w:val="none"/>
        </w:rPr>
        <w:t>……………………………</w:t>
      </w:r>
      <w:r>
        <w:rPr>
          <w:rFonts w:hint="eastAsia"/>
          <w:b/>
          <w:color w:val="auto"/>
          <w:szCs w:val="21"/>
          <w:highlight w:val="none"/>
        </w:rPr>
        <w:t>5</w:t>
      </w:r>
      <w:r>
        <w:rPr>
          <w:b/>
          <w:color w:val="auto"/>
          <w:szCs w:val="21"/>
          <w:highlight w:val="none"/>
        </w:rPr>
        <w:t>分</w:t>
      </w:r>
    </w:p>
    <w:p>
      <w:pPr>
        <w:spacing w:line="440" w:lineRule="exact"/>
        <w:ind w:firstLine="535" w:firstLineChars="255"/>
        <w:rPr>
          <w:bCs/>
          <w:color w:val="auto"/>
          <w:szCs w:val="21"/>
          <w:highlight w:val="none"/>
        </w:rPr>
      </w:pPr>
      <w:r>
        <w:rPr>
          <w:bCs/>
          <w:color w:val="auto"/>
          <w:szCs w:val="21"/>
          <w:highlight w:val="none"/>
        </w:rPr>
        <w:t>优（</w:t>
      </w:r>
      <w:r>
        <w:rPr>
          <w:rFonts w:hint="eastAsia"/>
          <w:color w:val="auto"/>
          <w:kern w:val="0"/>
          <w:szCs w:val="21"/>
          <w:highlight w:val="none"/>
        </w:rPr>
        <w:t>5</w:t>
      </w:r>
      <w:r>
        <w:rPr>
          <w:color w:val="auto"/>
          <w:kern w:val="0"/>
          <w:szCs w:val="21"/>
          <w:highlight w:val="none"/>
        </w:rPr>
        <w:t>分</w:t>
      </w:r>
      <w:r>
        <w:rPr>
          <w:bCs/>
          <w:color w:val="auto"/>
          <w:szCs w:val="21"/>
          <w:highlight w:val="none"/>
        </w:rPr>
        <w:t>）：总体布置有针对性、合理，较好满足施工需要，符合安全、文明生产要求；</w:t>
      </w:r>
    </w:p>
    <w:p>
      <w:pPr>
        <w:spacing w:line="440" w:lineRule="exact"/>
        <w:ind w:firstLine="535" w:firstLineChars="255"/>
        <w:rPr>
          <w:bCs/>
          <w:color w:val="auto"/>
          <w:szCs w:val="21"/>
          <w:highlight w:val="none"/>
        </w:rPr>
      </w:pPr>
      <w:r>
        <w:rPr>
          <w:bCs/>
          <w:color w:val="auto"/>
          <w:szCs w:val="21"/>
          <w:highlight w:val="none"/>
        </w:rPr>
        <w:t>良（</w:t>
      </w:r>
      <w:r>
        <w:rPr>
          <w:rFonts w:hint="eastAsia"/>
          <w:color w:val="auto"/>
          <w:kern w:val="0"/>
          <w:szCs w:val="21"/>
          <w:highlight w:val="none"/>
        </w:rPr>
        <w:t>4</w:t>
      </w:r>
      <w:r>
        <w:rPr>
          <w:color w:val="auto"/>
          <w:kern w:val="0"/>
          <w:szCs w:val="21"/>
          <w:highlight w:val="none"/>
        </w:rPr>
        <w:t>分</w:t>
      </w:r>
      <w:r>
        <w:rPr>
          <w:bCs/>
          <w:color w:val="auto"/>
          <w:szCs w:val="21"/>
          <w:highlight w:val="none"/>
        </w:rPr>
        <w:t>）：总体布置合理，能满足施工需要，基本符合安全、文明生产要求；</w:t>
      </w:r>
    </w:p>
    <w:p>
      <w:pPr>
        <w:spacing w:line="440" w:lineRule="exact"/>
        <w:ind w:firstLine="535" w:firstLineChars="255"/>
        <w:rPr>
          <w:bCs/>
          <w:color w:val="auto"/>
          <w:szCs w:val="21"/>
          <w:highlight w:val="none"/>
        </w:rPr>
      </w:pPr>
      <w:r>
        <w:rPr>
          <w:bCs/>
          <w:color w:val="auto"/>
          <w:szCs w:val="21"/>
          <w:highlight w:val="none"/>
        </w:rPr>
        <w:t>中（</w:t>
      </w:r>
      <w:r>
        <w:rPr>
          <w:rFonts w:hint="eastAsia"/>
          <w:color w:val="auto"/>
          <w:kern w:val="0"/>
          <w:szCs w:val="21"/>
          <w:highlight w:val="none"/>
        </w:rPr>
        <w:t>3</w:t>
      </w:r>
      <w:r>
        <w:rPr>
          <w:color w:val="auto"/>
          <w:kern w:val="0"/>
          <w:szCs w:val="21"/>
          <w:highlight w:val="none"/>
        </w:rPr>
        <w:t>分</w:t>
      </w:r>
      <w:r>
        <w:rPr>
          <w:bCs/>
          <w:color w:val="auto"/>
          <w:szCs w:val="21"/>
          <w:highlight w:val="none"/>
        </w:rPr>
        <w:t>）：总体布置基本合理，基本满足施工需要；</w:t>
      </w:r>
    </w:p>
    <w:p>
      <w:pPr>
        <w:spacing w:line="440" w:lineRule="exact"/>
        <w:ind w:firstLine="535" w:firstLineChars="255"/>
        <w:rPr>
          <w:bCs/>
          <w:color w:val="auto"/>
          <w:szCs w:val="21"/>
          <w:highlight w:val="none"/>
        </w:rPr>
      </w:pPr>
      <w:r>
        <w:rPr>
          <w:bCs/>
          <w:color w:val="auto"/>
          <w:szCs w:val="21"/>
          <w:highlight w:val="none"/>
        </w:rPr>
        <w:t>差（</w:t>
      </w:r>
      <w:r>
        <w:rPr>
          <w:rFonts w:hint="eastAsia"/>
          <w:bCs/>
          <w:color w:val="auto"/>
          <w:szCs w:val="21"/>
          <w:highlight w:val="none"/>
        </w:rPr>
        <w:t>2</w:t>
      </w:r>
      <w:r>
        <w:rPr>
          <w:color w:val="auto"/>
          <w:kern w:val="0"/>
          <w:szCs w:val="21"/>
          <w:highlight w:val="none"/>
        </w:rPr>
        <w:t>分</w:t>
      </w:r>
      <w:r>
        <w:rPr>
          <w:bCs/>
          <w:color w:val="auto"/>
          <w:szCs w:val="21"/>
          <w:highlight w:val="none"/>
        </w:rPr>
        <w:t>）：总体布置不合理，不符合安全、文明生产要求。</w:t>
      </w:r>
    </w:p>
    <w:p>
      <w:pPr>
        <w:spacing w:line="440" w:lineRule="exact"/>
        <w:ind w:firstLine="538" w:firstLineChars="255"/>
        <w:rPr>
          <w:b/>
          <w:color w:val="auto"/>
          <w:szCs w:val="21"/>
          <w:highlight w:val="none"/>
        </w:rPr>
      </w:pPr>
      <w:r>
        <w:rPr>
          <w:b/>
          <w:color w:val="auto"/>
          <w:szCs w:val="21"/>
          <w:highlight w:val="none"/>
        </w:rPr>
        <w:t>（6）关键</w:t>
      </w:r>
      <w:r>
        <w:rPr>
          <w:b/>
          <w:color w:val="auto"/>
          <w:szCs w:val="22"/>
          <w:highlight w:val="none"/>
        </w:rPr>
        <w:t>施工</w:t>
      </w:r>
      <w:r>
        <w:rPr>
          <w:b/>
          <w:color w:val="auto"/>
          <w:szCs w:val="21"/>
          <w:highlight w:val="none"/>
        </w:rPr>
        <w:t>技术、工艺及工程实施的重点、难点和解决方案</w:t>
      </w:r>
      <w:r>
        <w:rPr>
          <w:b/>
          <w:color w:val="auto"/>
          <w:szCs w:val="22"/>
          <w:highlight w:val="none"/>
        </w:rPr>
        <w:t>……………………………………</w:t>
      </w:r>
      <w:r>
        <w:rPr>
          <w:rFonts w:hint="eastAsia"/>
          <w:b/>
          <w:color w:val="auto"/>
          <w:szCs w:val="21"/>
          <w:highlight w:val="none"/>
        </w:rPr>
        <w:t>5</w:t>
      </w:r>
      <w:r>
        <w:rPr>
          <w:b/>
          <w:color w:val="auto"/>
          <w:szCs w:val="21"/>
          <w:highlight w:val="none"/>
        </w:rPr>
        <w:t>分</w:t>
      </w:r>
    </w:p>
    <w:p>
      <w:pPr>
        <w:spacing w:line="440" w:lineRule="exact"/>
        <w:ind w:firstLine="535" w:firstLineChars="255"/>
        <w:rPr>
          <w:bCs/>
          <w:color w:val="auto"/>
          <w:szCs w:val="21"/>
          <w:highlight w:val="none"/>
        </w:rPr>
      </w:pPr>
      <w:r>
        <w:rPr>
          <w:bCs/>
          <w:color w:val="auto"/>
          <w:szCs w:val="21"/>
          <w:highlight w:val="none"/>
        </w:rPr>
        <w:t>优（</w:t>
      </w:r>
      <w:r>
        <w:rPr>
          <w:rFonts w:hint="eastAsia"/>
          <w:color w:val="auto"/>
          <w:kern w:val="0"/>
          <w:szCs w:val="21"/>
          <w:highlight w:val="none"/>
        </w:rPr>
        <w:t>5</w:t>
      </w:r>
      <w:r>
        <w:rPr>
          <w:color w:val="auto"/>
          <w:kern w:val="0"/>
          <w:szCs w:val="21"/>
          <w:highlight w:val="none"/>
        </w:rPr>
        <w:t>分</w:t>
      </w:r>
      <w:r>
        <w:rPr>
          <w:bCs/>
          <w:color w:val="auto"/>
          <w:szCs w:val="21"/>
          <w:highlight w:val="none"/>
        </w:rPr>
        <w:t>）：对项目关键技术、工艺有深入的表达，对重点、难点有先进合理的施工措施并有可行的安全措施，解决方案完整、经济、安全、切实可行，措施得力。</w:t>
      </w:r>
    </w:p>
    <w:p>
      <w:pPr>
        <w:spacing w:line="440" w:lineRule="exact"/>
        <w:ind w:firstLine="535" w:firstLineChars="255"/>
        <w:rPr>
          <w:bCs/>
          <w:color w:val="auto"/>
          <w:szCs w:val="21"/>
          <w:highlight w:val="none"/>
        </w:rPr>
      </w:pPr>
      <w:r>
        <w:rPr>
          <w:bCs/>
          <w:color w:val="auto"/>
          <w:szCs w:val="21"/>
          <w:highlight w:val="none"/>
        </w:rPr>
        <w:t>良（</w:t>
      </w:r>
      <w:r>
        <w:rPr>
          <w:rFonts w:hint="eastAsia"/>
          <w:color w:val="auto"/>
          <w:kern w:val="0"/>
          <w:szCs w:val="21"/>
          <w:highlight w:val="none"/>
        </w:rPr>
        <w:t>4</w:t>
      </w:r>
      <w:r>
        <w:rPr>
          <w:color w:val="auto"/>
          <w:kern w:val="0"/>
          <w:szCs w:val="21"/>
          <w:highlight w:val="none"/>
        </w:rPr>
        <w:t>分</w:t>
      </w:r>
      <w:r>
        <w:rPr>
          <w:bCs/>
          <w:color w:val="auto"/>
          <w:szCs w:val="21"/>
          <w:highlight w:val="none"/>
        </w:rPr>
        <w:t>）：对项目关键技术、工艺有深入的表达，对重点、难点有合理的建议，解决方案经济、安全、基本可行。</w:t>
      </w:r>
    </w:p>
    <w:p>
      <w:pPr>
        <w:spacing w:line="440" w:lineRule="exact"/>
        <w:ind w:firstLine="535" w:firstLineChars="255"/>
        <w:rPr>
          <w:bCs/>
          <w:color w:val="auto"/>
          <w:szCs w:val="21"/>
          <w:highlight w:val="none"/>
        </w:rPr>
      </w:pPr>
      <w:r>
        <w:rPr>
          <w:bCs/>
          <w:color w:val="auto"/>
          <w:szCs w:val="21"/>
          <w:highlight w:val="none"/>
        </w:rPr>
        <w:t>中（</w:t>
      </w:r>
      <w:r>
        <w:rPr>
          <w:rFonts w:hint="eastAsia"/>
          <w:color w:val="auto"/>
          <w:kern w:val="0"/>
          <w:szCs w:val="21"/>
          <w:highlight w:val="none"/>
        </w:rPr>
        <w:t>3</w:t>
      </w:r>
      <w:r>
        <w:rPr>
          <w:color w:val="auto"/>
          <w:kern w:val="0"/>
          <w:szCs w:val="21"/>
          <w:highlight w:val="none"/>
        </w:rPr>
        <w:t>分</w:t>
      </w:r>
      <w:r>
        <w:rPr>
          <w:bCs/>
          <w:color w:val="auto"/>
          <w:szCs w:val="21"/>
          <w:highlight w:val="none"/>
        </w:rPr>
        <w:t>）：对项目关键技术有一定了解，对重点、难点有建议，解决方案基本可行。</w:t>
      </w:r>
    </w:p>
    <w:p>
      <w:pPr>
        <w:spacing w:line="440" w:lineRule="exact"/>
        <w:ind w:firstLine="535" w:firstLineChars="255"/>
        <w:rPr>
          <w:bCs/>
          <w:color w:val="auto"/>
          <w:kern w:val="0"/>
          <w:szCs w:val="21"/>
          <w:highlight w:val="none"/>
        </w:rPr>
      </w:pPr>
      <w:r>
        <w:rPr>
          <w:bCs/>
          <w:color w:val="auto"/>
          <w:szCs w:val="21"/>
          <w:highlight w:val="none"/>
        </w:rPr>
        <w:t>差（</w:t>
      </w:r>
      <w:r>
        <w:rPr>
          <w:rFonts w:hint="eastAsia"/>
          <w:bCs/>
          <w:color w:val="auto"/>
          <w:szCs w:val="21"/>
          <w:highlight w:val="none"/>
        </w:rPr>
        <w:t>2</w:t>
      </w:r>
      <w:r>
        <w:rPr>
          <w:color w:val="auto"/>
          <w:kern w:val="0"/>
          <w:szCs w:val="21"/>
          <w:highlight w:val="none"/>
        </w:rPr>
        <w:t>分</w:t>
      </w:r>
      <w:r>
        <w:rPr>
          <w:bCs/>
          <w:color w:val="auto"/>
          <w:szCs w:val="21"/>
          <w:highlight w:val="none"/>
        </w:rPr>
        <w:t>）：对项目关键技术有表述，对重点、难点有建议，解决方案不可行。</w:t>
      </w:r>
    </w:p>
    <w:p>
      <w:pPr>
        <w:spacing w:line="440" w:lineRule="exact"/>
        <w:ind w:firstLine="538" w:firstLineChars="255"/>
        <w:rPr>
          <w:b/>
          <w:color w:val="auto"/>
          <w:szCs w:val="21"/>
          <w:highlight w:val="none"/>
        </w:rPr>
      </w:pPr>
      <w:r>
        <w:rPr>
          <w:b/>
          <w:color w:val="auto"/>
          <w:kern w:val="0"/>
          <w:szCs w:val="21"/>
          <w:highlight w:val="none"/>
        </w:rPr>
        <w:t>（7）安全文明施工措施</w:t>
      </w:r>
      <w:r>
        <w:rPr>
          <w:b/>
          <w:color w:val="auto"/>
          <w:szCs w:val="22"/>
          <w:highlight w:val="none"/>
        </w:rPr>
        <w:t>…………………</w:t>
      </w:r>
      <w:r>
        <w:rPr>
          <w:b/>
          <w:color w:val="auto"/>
          <w:szCs w:val="21"/>
          <w:highlight w:val="none"/>
        </w:rPr>
        <w:t>…</w:t>
      </w:r>
      <w:r>
        <w:rPr>
          <w:b/>
          <w:color w:val="auto"/>
          <w:szCs w:val="22"/>
          <w:highlight w:val="none"/>
        </w:rPr>
        <w:t>………………………</w:t>
      </w:r>
      <w:r>
        <w:rPr>
          <w:b/>
          <w:color w:val="auto"/>
          <w:szCs w:val="21"/>
          <w:highlight w:val="none"/>
        </w:rPr>
        <w:t>…</w:t>
      </w:r>
      <w:r>
        <w:rPr>
          <w:b/>
          <w:color w:val="auto"/>
          <w:szCs w:val="22"/>
          <w:highlight w:val="none"/>
        </w:rPr>
        <w:t>…………………………………</w:t>
      </w:r>
      <w:r>
        <w:rPr>
          <w:rFonts w:hint="eastAsia"/>
          <w:b/>
          <w:color w:val="auto"/>
          <w:szCs w:val="21"/>
          <w:highlight w:val="none"/>
        </w:rPr>
        <w:t>5</w:t>
      </w:r>
      <w:r>
        <w:rPr>
          <w:b/>
          <w:color w:val="auto"/>
          <w:szCs w:val="21"/>
          <w:highlight w:val="none"/>
        </w:rPr>
        <w:t>分</w:t>
      </w:r>
    </w:p>
    <w:p>
      <w:pPr>
        <w:spacing w:line="440" w:lineRule="exact"/>
        <w:ind w:firstLine="535" w:firstLineChars="255"/>
        <w:rPr>
          <w:bCs/>
          <w:color w:val="auto"/>
          <w:szCs w:val="21"/>
          <w:highlight w:val="none"/>
        </w:rPr>
      </w:pPr>
      <w:r>
        <w:rPr>
          <w:bCs/>
          <w:color w:val="auto"/>
          <w:szCs w:val="21"/>
          <w:highlight w:val="none"/>
        </w:rPr>
        <w:t>优（</w:t>
      </w:r>
      <w:r>
        <w:rPr>
          <w:rFonts w:hint="eastAsia"/>
          <w:color w:val="auto"/>
          <w:kern w:val="0"/>
          <w:szCs w:val="21"/>
          <w:highlight w:val="none"/>
        </w:rPr>
        <w:t>5</w:t>
      </w:r>
      <w:r>
        <w:rPr>
          <w:color w:val="auto"/>
          <w:kern w:val="0"/>
          <w:szCs w:val="21"/>
          <w:highlight w:val="none"/>
        </w:rPr>
        <w:t>分</w:t>
      </w:r>
      <w:r>
        <w:rPr>
          <w:bCs/>
          <w:color w:val="auto"/>
          <w:szCs w:val="21"/>
          <w:highlight w:val="none"/>
        </w:rPr>
        <w:t>）：针对项目实际情况，有先进、具体、完整、可行的实施措施，采用规范正确、清晰。</w:t>
      </w:r>
    </w:p>
    <w:p>
      <w:pPr>
        <w:spacing w:line="440" w:lineRule="exact"/>
        <w:ind w:firstLine="535" w:firstLineChars="255"/>
        <w:rPr>
          <w:bCs/>
          <w:color w:val="auto"/>
          <w:szCs w:val="21"/>
          <w:highlight w:val="none"/>
        </w:rPr>
      </w:pPr>
      <w:r>
        <w:rPr>
          <w:bCs/>
          <w:color w:val="auto"/>
          <w:szCs w:val="21"/>
          <w:highlight w:val="none"/>
        </w:rPr>
        <w:t>良（</w:t>
      </w:r>
      <w:r>
        <w:rPr>
          <w:rFonts w:hint="eastAsia"/>
          <w:color w:val="auto"/>
          <w:kern w:val="0"/>
          <w:szCs w:val="21"/>
          <w:highlight w:val="none"/>
        </w:rPr>
        <w:t>4</w:t>
      </w:r>
      <w:r>
        <w:rPr>
          <w:color w:val="auto"/>
          <w:kern w:val="0"/>
          <w:szCs w:val="21"/>
          <w:highlight w:val="none"/>
        </w:rPr>
        <w:t>分</w:t>
      </w:r>
      <w:r>
        <w:rPr>
          <w:bCs/>
          <w:color w:val="auto"/>
          <w:szCs w:val="21"/>
          <w:highlight w:val="none"/>
        </w:rPr>
        <w:t>）：针对项目实际情况，有合理的措施且具体、完整，采用规范正确。</w:t>
      </w:r>
    </w:p>
    <w:p>
      <w:pPr>
        <w:spacing w:line="440" w:lineRule="exact"/>
        <w:ind w:firstLine="535" w:firstLineChars="255"/>
        <w:rPr>
          <w:bCs/>
          <w:color w:val="auto"/>
          <w:szCs w:val="21"/>
          <w:highlight w:val="none"/>
        </w:rPr>
      </w:pPr>
      <w:r>
        <w:rPr>
          <w:bCs/>
          <w:color w:val="auto"/>
          <w:szCs w:val="21"/>
          <w:highlight w:val="none"/>
        </w:rPr>
        <w:t>中（</w:t>
      </w:r>
      <w:r>
        <w:rPr>
          <w:rFonts w:hint="eastAsia"/>
          <w:bCs/>
          <w:color w:val="auto"/>
          <w:szCs w:val="21"/>
          <w:highlight w:val="none"/>
        </w:rPr>
        <w:t>3</w:t>
      </w:r>
      <w:r>
        <w:rPr>
          <w:color w:val="auto"/>
          <w:kern w:val="0"/>
          <w:szCs w:val="21"/>
          <w:highlight w:val="none"/>
        </w:rPr>
        <w:t>分</w:t>
      </w:r>
      <w:r>
        <w:rPr>
          <w:bCs/>
          <w:color w:val="auto"/>
          <w:szCs w:val="21"/>
          <w:highlight w:val="none"/>
        </w:rPr>
        <w:t>）：有基本合理的措施，采用规范正确。</w:t>
      </w:r>
    </w:p>
    <w:p>
      <w:pPr>
        <w:spacing w:line="440" w:lineRule="exact"/>
        <w:ind w:firstLine="535" w:firstLineChars="255"/>
        <w:rPr>
          <w:bCs/>
          <w:color w:val="auto"/>
          <w:szCs w:val="21"/>
          <w:highlight w:val="none"/>
        </w:rPr>
      </w:pPr>
      <w:r>
        <w:rPr>
          <w:bCs/>
          <w:color w:val="auto"/>
          <w:szCs w:val="21"/>
          <w:highlight w:val="none"/>
        </w:rPr>
        <w:t>差（</w:t>
      </w:r>
      <w:r>
        <w:rPr>
          <w:rFonts w:hint="eastAsia"/>
          <w:bCs/>
          <w:color w:val="auto"/>
          <w:szCs w:val="21"/>
          <w:highlight w:val="none"/>
        </w:rPr>
        <w:t>2</w:t>
      </w:r>
      <w:r>
        <w:rPr>
          <w:color w:val="auto"/>
          <w:kern w:val="0"/>
          <w:szCs w:val="21"/>
          <w:highlight w:val="none"/>
        </w:rPr>
        <w:t>分</w:t>
      </w:r>
      <w:r>
        <w:rPr>
          <w:bCs/>
          <w:color w:val="auto"/>
          <w:szCs w:val="21"/>
          <w:highlight w:val="none"/>
        </w:rPr>
        <w:t>）：安全文明措施不得力，采用规范不正确。</w:t>
      </w:r>
    </w:p>
    <w:p>
      <w:pPr>
        <w:spacing w:line="440" w:lineRule="exact"/>
        <w:ind w:firstLine="538" w:firstLineChars="255"/>
        <w:rPr>
          <w:b/>
          <w:color w:val="auto"/>
          <w:szCs w:val="21"/>
          <w:highlight w:val="none"/>
        </w:rPr>
      </w:pPr>
      <w:r>
        <w:rPr>
          <w:b/>
          <w:color w:val="auto"/>
          <w:szCs w:val="21"/>
          <w:highlight w:val="none"/>
        </w:rPr>
        <w:t>（8）</w:t>
      </w:r>
      <w:r>
        <w:rPr>
          <w:b/>
          <w:color w:val="auto"/>
          <w:szCs w:val="22"/>
          <w:highlight w:val="none"/>
        </w:rPr>
        <w:t>质量</w:t>
      </w:r>
      <w:r>
        <w:rPr>
          <w:b/>
          <w:color w:val="auto"/>
          <w:szCs w:val="21"/>
          <w:highlight w:val="none"/>
        </w:rPr>
        <w:t>保证与承诺</w:t>
      </w:r>
      <w:r>
        <w:rPr>
          <w:b/>
          <w:color w:val="auto"/>
          <w:szCs w:val="22"/>
          <w:highlight w:val="none"/>
        </w:rPr>
        <w:t>………………</w:t>
      </w:r>
      <w:r>
        <w:rPr>
          <w:b/>
          <w:color w:val="auto"/>
          <w:szCs w:val="21"/>
          <w:highlight w:val="none"/>
        </w:rPr>
        <w:t>…</w:t>
      </w:r>
      <w:r>
        <w:rPr>
          <w:b/>
          <w:color w:val="auto"/>
          <w:szCs w:val="22"/>
          <w:highlight w:val="none"/>
        </w:rPr>
        <w:t>…………………………………</w:t>
      </w:r>
      <w:r>
        <w:rPr>
          <w:b/>
          <w:color w:val="auto"/>
          <w:szCs w:val="21"/>
          <w:highlight w:val="none"/>
        </w:rPr>
        <w:t>…</w:t>
      </w:r>
      <w:r>
        <w:rPr>
          <w:b/>
          <w:color w:val="auto"/>
          <w:szCs w:val="22"/>
          <w:highlight w:val="none"/>
        </w:rPr>
        <w:t>…………………</w:t>
      </w:r>
      <w:r>
        <w:rPr>
          <w:b/>
          <w:color w:val="auto"/>
          <w:szCs w:val="21"/>
          <w:highlight w:val="none"/>
        </w:rPr>
        <w:t>…</w:t>
      </w:r>
      <w:r>
        <w:rPr>
          <w:b/>
          <w:color w:val="auto"/>
          <w:szCs w:val="22"/>
          <w:highlight w:val="none"/>
        </w:rPr>
        <w:t>………</w:t>
      </w:r>
      <w:r>
        <w:rPr>
          <w:rFonts w:hint="eastAsia"/>
          <w:b/>
          <w:color w:val="auto"/>
          <w:szCs w:val="21"/>
          <w:highlight w:val="none"/>
        </w:rPr>
        <w:t>5</w:t>
      </w:r>
      <w:r>
        <w:rPr>
          <w:b/>
          <w:color w:val="auto"/>
          <w:szCs w:val="21"/>
          <w:highlight w:val="none"/>
        </w:rPr>
        <w:t>分</w:t>
      </w:r>
    </w:p>
    <w:p>
      <w:pPr>
        <w:spacing w:line="440" w:lineRule="exact"/>
        <w:ind w:firstLine="535" w:firstLineChars="255"/>
        <w:rPr>
          <w:bCs/>
          <w:color w:val="auto"/>
          <w:szCs w:val="21"/>
          <w:highlight w:val="none"/>
        </w:rPr>
      </w:pPr>
      <w:r>
        <w:rPr>
          <w:bCs/>
          <w:color w:val="auto"/>
          <w:szCs w:val="21"/>
          <w:highlight w:val="none"/>
        </w:rPr>
        <w:t>优（</w:t>
      </w:r>
      <w:r>
        <w:rPr>
          <w:rFonts w:hint="eastAsia"/>
          <w:color w:val="auto"/>
          <w:kern w:val="0"/>
          <w:szCs w:val="21"/>
          <w:highlight w:val="none"/>
        </w:rPr>
        <w:t>5</w:t>
      </w:r>
      <w:r>
        <w:rPr>
          <w:color w:val="auto"/>
          <w:kern w:val="0"/>
          <w:szCs w:val="21"/>
          <w:highlight w:val="none"/>
        </w:rPr>
        <w:t>分</w:t>
      </w:r>
      <w:r>
        <w:rPr>
          <w:bCs/>
          <w:color w:val="auto"/>
          <w:szCs w:val="21"/>
          <w:highlight w:val="none"/>
        </w:rPr>
        <w:t>）：针对项目实际提出先进、可行、具体的保证措施，超过</w:t>
      </w:r>
      <w:r>
        <w:rPr>
          <w:rFonts w:hint="eastAsia"/>
          <w:bCs/>
          <w:color w:val="auto"/>
          <w:szCs w:val="21"/>
          <w:highlight w:val="none"/>
          <w:lang w:eastAsia="zh-CN"/>
        </w:rPr>
        <w:t>竞争性磋商文件</w:t>
      </w:r>
      <w:r>
        <w:rPr>
          <w:bCs/>
          <w:color w:val="auto"/>
          <w:szCs w:val="21"/>
          <w:highlight w:val="none"/>
        </w:rPr>
        <w:t>的质量要求及施工验收规范要求。</w:t>
      </w:r>
    </w:p>
    <w:p>
      <w:pPr>
        <w:spacing w:line="440" w:lineRule="exact"/>
        <w:ind w:firstLine="535" w:firstLineChars="255"/>
        <w:rPr>
          <w:bCs/>
          <w:color w:val="auto"/>
          <w:szCs w:val="21"/>
          <w:highlight w:val="none"/>
        </w:rPr>
      </w:pPr>
      <w:r>
        <w:rPr>
          <w:bCs/>
          <w:color w:val="auto"/>
          <w:szCs w:val="21"/>
          <w:highlight w:val="none"/>
        </w:rPr>
        <w:t>良（</w:t>
      </w:r>
      <w:r>
        <w:rPr>
          <w:rFonts w:hint="eastAsia"/>
          <w:color w:val="auto"/>
          <w:kern w:val="0"/>
          <w:szCs w:val="21"/>
          <w:highlight w:val="none"/>
        </w:rPr>
        <w:t>4</w:t>
      </w:r>
      <w:r>
        <w:rPr>
          <w:color w:val="auto"/>
          <w:kern w:val="0"/>
          <w:szCs w:val="21"/>
          <w:highlight w:val="none"/>
        </w:rPr>
        <w:t>分</w:t>
      </w:r>
      <w:r>
        <w:rPr>
          <w:bCs/>
          <w:color w:val="auto"/>
          <w:szCs w:val="21"/>
          <w:highlight w:val="none"/>
        </w:rPr>
        <w:t>）：针对项目实际提出先进、可行、具体的保证措施，满足</w:t>
      </w:r>
      <w:r>
        <w:rPr>
          <w:rFonts w:hint="eastAsia"/>
          <w:bCs/>
          <w:color w:val="auto"/>
          <w:szCs w:val="21"/>
          <w:highlight w:val="none"/>
          <w:lang w:eastAsia="zh-CN"/>
        </w:rPr>
        <w:t>竞争性磋商文件</w:t>
      </w:r>
      <w:r>
        <w:rPr>
          <w:bCs/>
          <w:color w:val="auto"/>
          <w:szCs w:val="21"/>
          <w:highlight w:val="none"/>
        </w:rPr>
        <w:t>的质量要求。</w:t>
      </w:r>
    </w:p>
    <w:p>
      <w:pPr>
        <w:spacing w:line="440" w:lineRule="exact"/>
        <w:ind w:firstLine="535" w:firstLineChars="255"/>
        <w:rPr>
          <w:bCs/>
          <w:color w:val="auto"/>
          <w:szCs w:val="21"/>
          <w:highlight w:val="none"/>
        </w:rPr>
      </w:pPr>
      <w:r>
        <w:rPr>
          <w:bCs/>
          <w:color w:val="auto"/>
          <w:szCs w:val="21"/>
          <w:highlight w:val="none"/>
        </w:rPr>
        <w:t>中（</w:t>
      </w:r>
      <w:r>
        <w:rPr>
          <w:rFonts w:hint="eastAsia"/>
          <w:color w:val="auto"/>
          <w:kern w:val="0"/>
          <w:szCs w:val="21"/>
          <w:highlight w:val="none"/>
        </w:rPr>
        <w:t>3</w:t>
      </w:r>
      <w:r>
        <w:rPr>
          <w:color w:val="auto"/>
          <w:kern w:val="0"/>
          <w:szCs w:val="21"/>
          <w:highlight w:val="none"/>
        </w:rPr>
        <w:t>分</w:t>
      </w:r>
      <w:r>
        <w:rPr>
          <w:bCs/>
          <w:color w:val="auto"/>
          <w:szCs w:val="21"/>
          <w:highlight w:val="none"/>
        </w:rPr>
        <w:t>）：具体措施可行，满足</w:t>
      </w:r>
      <w:r>
        <w:rPr>
          <w:rFonts w:hint="eastAsia"/>
          <w:bCs/>
          <w:color w:val="auto"/>
          <w:szCs w:val="21"/>
          <w:highlight w:val="none"/>
          <w:lang w:eastAsia="zh-CN"/>
        </w:rPr>
        <w:t>竞争性磋商文件</w:t>
      </w:r>
      <w:r>
        <w:rPr>
          <w:bCs/>
          <w:color w:val="auto"/>
          <w:szCs w:val="21"/>
          <w:highlight w:val="none"/>
        </w:rPr>
        <w:t>的质量要求。</w:t>
      </w:r>
    </w:p>
    <w:p>
      <w:pPr>
        <w:spacing w:line="440" w:lineRule="exact"/>
        <w:ind w:firstLine="535" w:firstLineChars="255"/>
        <w:rPr>
          <w:bCs/>
          <w:color w:val="auto"/>
          <w:szCs w:val="21"/>
          <w:highlight w:val="none"/>
        </w:rPr>
      </w:pPr>
      <w:r>
        <w:rPr>
          <w:bCs/>
          <w:color w:val="auto"/>
          <w:szCs w:val="21"/>
          <w:highlight w:val="none"/>
        </w:rPr>
        <w:t>差（</w:t>
      </w:r>
      <w:r>
        <w:rPr>
          <w:rFonts w:hint="eastAsia"/>
          <w:bCs/>
          <w:color w:val="auto"/>
          <w:szCs w:val="21"/>
          <w:highlight w:val="none"/>
        </w:rPr>
        <w:t>1</w:t>
      </w:r>
      <w:r>
        <w:rPr>
          <w:color w:val="auto"/>
          <w:kern w:val="0"/>
          <w:szCs w:val="21"/>
          <w:highlight w:val="none"/>
        </w:rPr>
        <w:t>分</w:t>
      </w:r>
      <w:r>
        <w:rPr>
          <w:bCs/>
          <w:color w:val="auto"/>
          <w:szCs w:val="21"/>
          <w:highlight w:val="none"/>
        </w:rPr>
        <w:t>）：措施不可行。</w:t>
      </w:r>
    </w:p>
    <w:p>
      <w:pPr>
        <w:spacing w:line="440" w:lineRule="exact"/>
        <w:ind w:firstLine="538" w:firstLineChars="255"/>
        <w:rPr>
          <w:b/>
          <w:color w:val="auto"/>
          <w:szCs w:val="21"/>
          <w:highlight w:val="none"/>
        </w:rPr>
      </w:pPr>
      <w:r>
        <w:rPr>
          <w:b/>
          <w:color w:val="auto"/>
          <w:szCs w:val="21"/>
          <w:highlight w:val="none"/>
        </w:rPr>
        <w:t>（9）新技术应用与承诺</w:t>
      </w:r>
      <w:r>
        <w:rPr>
          <w:b/>
          <w:color w:val="auto"/>
          <w:szCs w:val="22"/>
          <w:highlight w:val="none"/>
        </w:rPr>
        <w:t>………………</w:t>
      </w:r>
      <w:r>
        <w:rPr>
          <w:b/>
          <w:color w:val="auto"/>
          <w:szCs w:val="21"/>
          <w:highlight w:val="none"/>
        </w:rPr>
        <w:t>…</w:t>
      </w:r>
      <w:r>
        <w:rPr>
          <w:b/>
          <w:color w:val="auto"/>
          <w:szCs w:val="22"/>
          <w:highlight w:val="none"/>
        </w:rPr>
        <w:t>…………………</w:t>
      </w:r>
      <w:r>
        <w:rPr>
          <w:b/>
          <w:color w:val="auto"/>
          <w:szCs w:val="21"/>
          <w:highlight w:val="none"/>
        </w:rPr>
        <w:t>…</w:t>
      </w:r>
      <w:r>
        <w:rPr>
          <w:b/>
          <w:color w:val="auto"/>
          <w:szCs w:val="22"/>
          <w:highlight w:val="none"/>
        </w:rPr>
        <w:t>………</w:t>
      </w:r>
      <w:r>
        <w:rPr>
          <w:b/>
          <w:color w:val="auto"/>
          <w:szCs w:val="21"/>
          <w:highlight w:val="none"/>
        </w:rPr>
        <w:t>…</w:t>
      </w:r>
      <w:r>
        <w:rPr>
          <w:b/>
          <w:color w:val="auto"/>
          <w:szCs w:val="22"/>
          <w:highlight w:val="none"/>
        </w:rPr>
        <w:t>………</w:t>
      </w:r>
      <w:r>
        <w:rPr>
          <w:b/>
          <w:color w:val="auto"/>
          <w:szCs w:val="21"/>
          <w:highlight w:val="none"/>
        </w:rPr>
        <w:t>…</w:t>
      </w:r>
      <w:r>
        <w:rPr>
          <w:b/>
          <w:color w:val="auto"/>
          <w:szCs w:val="22"/>
          <w:highlight w:val="none"/>
        </w:rPr>
        <w:t>…………</w:t>
      </w:r>
      <w:r>
        <w:rPr>
          <w:b/>
          <w:color w:val="auto"/>
          <w:szCs w:val="21"/>
          <w:highlight w:val="none"/>
        </w:rPr>
        <w:t>…</w:t>
      </w:r>
      <w:r>
        <w:rPr>
          <w:b/>
          <w:color w:val="auto"/>
          <w:szCs w:val="22"/>
          <w:highlight w:val="none"/>
        </w:rPr>
        <w:t>…</w:t>
      </w:r>
      <w:r>
        <w:rPr>
          <w:b/>
          <w:color w:val="auto"/>
          <w:szCs w:val="21"/>
          <w:highlight w:val="none"/>
        </w:rPr>
        <w:t>…</w:t>
      </w:r>
      <w:r>
        <w:rPr>
          <w:b/>
          <w:color w:val="auto"/>
          <w:szCs w:val="22"/>
          <w:highlight w:val="none"/>
        </w:rPr>
        <w:t>…</w:t>
      </w:r>
      <w:r>
        <w:rPr>
          <w:rFonts w:hint="eastAsia"/>
          <w:b/>
          <w:color w:val="auto"/>
          <w:szCs w:val="21"/>
          <w:highlight w:val="none"/>
        </w:rPr>
        <w:t>5</w:t>
      </w:r>
      <w:r>
        <w:rPr>
          <w:b/>
          <w:color w:val="auto"/>
          <w:szCs w:val="21"/>
          <w:highlight w:val="none"/>
        </w:rPr>
        <w:t>分</w:t>
      </w:r>
    </w:p>
    <w:p>
      <w:pPr>
        <w:spacing w:line="440" w:lineRule="exact"/>
        <w:ind w:firstLine="535" w:firstLineChars="255"/>
        <w:rPr>
          <w:color w:val="auto"/>
          <w:szCs w:val="22"/>
          <w:highlight w:val="none"/>
        </w:rPr>
      </w:pPr>
      <w:r>
        <w:rPr>
          <w:color w:val="auto"/>
          <w:szCs w:val="22"/>
          <w:highlight w:val="none"/>
        </w:rPr>
        <w:t>优（</w:t>
      </w:r>
      <w:r>
        <w:rPr>
          <w:rFonts w:hint="eastAsia"/>
          <w:color w:val="auto"/>
          <w:kern w:val="0"/>
          <w:szCs w:val="21"/>
          <w:highlight w:val="none"/>
        </w:rPr>
        <w:t>5</w:t>
      </w:r>
      <w:r>
        <w:rPr>
          <w:color w:val="auto"/>
          <w:kern w:val="0"/>
          <w:szCs w:val="21"/>
          <w:highlight w:val="none"/>
        </w:rPr>
        <w:t>分</w:t>
      </w:r>
      <w:r>
        <w:rPr>
          <w:color w:val="auto"/>
          <w:szCs w:val="22"/>
          <w:highlight w:val="none"/>
        </w:rPr>
        <w:t>）：针对项目实际，提出采用新技术的具体措施。新技术的验证材料可靠，对节约投资和工期的保证措施得力、具体、严谨。对采用新技术可能产生的风险预见充分，对新技术的实施有安全生产的可靠方案。</w:t>
      </w:r>
    </w:p>
    <w:p>
      <w:pPr>
        <w:spacing w:line="440" w:lineRule="exact"/>
        <w:ind w:firstLine="535" w:firstLineChars="255"/>
        <w:rPr>
          <w:color w:val="auto"/>
          <w:szCs w:val="22"/>
          <w:highlight w:val="none"/>
        </w:rPr>
      </w:pPr>
      <w:r>
        <w:rPr>
          <w:color w:val="auto"/>
          <w:szCs w:val="22"/>
          <w:highlight w:val="none"/>
        </w:rPr>
        <w:t>良（</w:t>
      </w:r>
      <w:r>
        <w:rPr>
          <w:rFonts w:hint="eastAsia"/>
          <w:color w:val="auto"/>
          <w:kern w:val="0"/>
          <w:szCs w:val="21"/>
          <w:highlight w:val="none"/>
        </w:rPr>
        <w:t>4</w:t>
      </w:r>
      <w:r>
        <w:rPr>
          <w:color w:val="auto"/>
          <w:kern w:val="0"/>
          <w:szCs w:val="21"/>
          <w:highlight w:val="none"/>
        </w:rPr>
        <w:t>分</w:t>
      </w:r>
      <w:r>
        <w:rPr>
          <w:color w:val="auto"/>
          <w:szCs w:val="22"/>
          <w:highlight w:val="none"/>
        </w:rPr>
        <w:t>）：针对项目实际，提出采用新技术的具体措施。新技术的验证材料可靠，对节约投资和工期有保证措施。对采用新技术可能产生的风险有一定的预见。</w:t>
      </w:r>
    </w:p>
    <w:p>
      <w:pPr>
        <w:spacing w:line="440" w:lineRule="exact"/>
        <w:ind w:firstLine="535" w:firstLineChars="255"/>
        <w:rPr>
          <w:color w:val="auto"/>
          <w:szCs w:val="21"/>
          <w:highlight w:val="none"/>
        </w:rPr>
      </w:pPr>
      <w:r>
        <w:rPr>
          <w:color w:val="auto"/>
          <w:szCs w:val="22"/>
          <w:highlight w:val="none"/>
        </w:rPr>
        <w:t>中（</w:t>
      </w:r>
      <w:r>
        <w:rPr>
          <w:rFonts w:hint="eastAsia"/>
          <w:color w:val="auto"/>
          <w:kern w:val="0"/>
          <w:szCs w:val="21"/>
          <w:highlight w:val="none"/>
        </w:rPr>
        <w:t>3</w:t>
      </w:r>
      <w:r>
        <w:rPr>
          <w:color w:val="auto"/>
          <w:kern w:val="0"/>
          <w:szCs w:val="21"/>
          <w:highlight w:val="none"/>
        </w:rPr>
        <w:t>分</w:t>
      </w:r>
      <w:r>
        <w:rPr>
          <w:color w:val="auto"/>
          <w:szCs w:val="22"/>
          <w:highlight w:val="none"/>
        </w:rPr>
        <w:t>）：有新技术措施，但验证材料不充分，对节约投资和工期可能有一定收益，对</w:t>
      </w:r>
      <w:r>
        <w:rPr>
          <w:color w:val="auto"/>
          <w:szCs w:val="21"/>
          <w:highlight w:val="none"/>
        </w:rPr>
        <w:t>采用新技术可能产生的风险预见不足。</w:t>
      </w:r>
    </w:p>
    <w:p>
      <w:pPr>
        <w:spacing w:line="440" w:lineRule="exact"/>
        <w:ind w:firstLine="535" w:firstLineChars="255"/>
        <w:rPr>
          <w:color w:val="auto"/>
          <w:szCs w:val="21"/>
          <w:highlight w:val="none"/>
        </w:rPr>
      </w:pPr>
      <w:r>
        <w:rPr>
          <w:color w:val="auto"/>
          <w:szCs w:val="21"/>
          <w:highlight w:val="none"/>
        </w:rPr>
        <w:t>差（</w:t>
      </w:r>
      <w:r>
        <w:rPr>
          <w:rFonts w:hint="eastAsia"/>
          <w:color w:val="auto"/>
          <w:szCs w:val="21"/>
          <w:highlight w:val="none"/>
        </w:rPr>
        <w:t>1</w:t>
      </w:r>
      <w:r>
        <w:rPr>
          <w:color w:val="auto"/>
          <w:kern w:val="0"/>
          <w:szCs w:val="21"/>
          <w:highlight w:val="none"/>
        </w:rPr>
        <w:t>分</w:t>
      </w:r>
      <w:r>
        <w:rPr>
          <w:color w:val="auto"/>
          <w:szCs w:val="21"/>
          <w:highlight w:val="none"/>
        </w:rPr>
        <w:t>）：采用的新技术针对性不强或验证材料不可靠，对节约投资和工期没有具体收益。</w:t>
      </w:r>
    </w:p>
    <w:p>
      <w:pPr>
        <w:spacing w:line="440" w:lineRule="exact"/>
        <w:ind w:firstLine="538" w:firstLineChars="255"/>
        <w:rPr>
          <w:b/>
          <w:bCs/>
          <w:color w:val="auto"/>
          <w:kern w:val="0"/>
          <w:szCs w:val="21"/>
          <w:highlight w:val="none"/>
        </w:rPr>
      </w:pPr>
      <w:bookmarkStart w:id="262" w:name="_Toc4007"/>
      <w:bookmarkStart w:id="263" w:name="_Toc23170"/>
      <w:bookmarkStart w:id="264" w:name="_Toc27705"/>
      <w:r>
        <w:rPr>
          <w:b/>
          <w:color w:val="auto"/>
          <w:kern w:val="0"/>
          <w:szCs w:val="21"/>
          <w:highlight w:val="none"/>
        </w:rPr>
        <w:t>注：</w:t>
      </w:r>
      <w:r>
        <w:rPr>
          <w:b/>
          <w:color w:val="auto"/>
          <w:highlight w:val="none"/>
        </w:rPr>
        <w:t>供应商</w:t>
      </w:r>
      <w:r>
        <w:rPr>
          <w:b/>
          <w:color w:val="auto"/>
          <w:kern w:val="0"/>
          <w:szCs w:val="21"/>
          <w:highlight w:val="none"/>
        </w:rPr>
        <w:t>未提供上述“施工组织</w:t>
      </w:r>
      <w:r>
        <w:rPr>
          <w:rFonts w:hint="eastAsia"/>
          <w:b/>
          <w:color w:val="auto"/>
          <w:kern w:val="0"/>
          <w:szCs w:val="21"/>
          <w:highlight w:val="none"/>
        </w:rPr>
        <w:t>设计</w:t>
      </w:r>
      <w:r>
        <w:rPr>
          <w:b/>
          <w:color w:val="auto"/>
          <w:kern w:val="0"/>
          <w:szCs w:val="21"/>
          <w:highlight w:val="none"/>
        </w:rPr>
        <w:t>方案”相应内容的，相应项不得分。</w:t>
      </w:r>
      <w:bookmarkEnd w:id="262"/>
      <w:bookmarkEnd w:id="263"/>
      <w:bookmarkEnd w:id="264"/>
    </w:p>
    <w:p>
      <w:pPr>
        <w:tabs>
          <w:tab w:val="left" w:pos="1305"/>
        </w:tabs>
        <w:spacing w:line="440" w:lineRule="exact"/>
        <w:ind w:left="210"/>
        <w:rPr>
          <w:b/>
          <w:bCs/>
          <w:color w:val="auto"/>
          <w:szCs w:val="21"/>
          <w:highlight w:val="none"/>
        </w:rPr>
      </w:pPr>
      <w:r>
        <w:rPr>
          <w:rFonts w:hint="eastAsia"/>
          <w:b/>
          <w:color w:val="auto"/>
          <w:szCs w:val="21"/>
          <w:highlight w:val="none"/>
        </w:rPr>
        <w:t>3、信誉实力</w:t>
      </w:r>
      <w:r>
        <w:rPr>
          <w:b/>
          <w:bCs/>
          <w:color w:val="auto"/>
          <w:highlight w:val="none"/>
        </w:rPr>
        <w:t>分………………</w:t>
      </w:r>
      <w:r>
        <w:rPr>
          <w:b/>
          <w:bCs/>
          <w:color w:val="auto"/>
          <w:szCs w:val="21"/>
          <w:highlight w:val="none"/>
        </w:rPr>
        <w:t>…</w:t>
      </w:r>
      <w:r>
        <w:rPr>
          <w:b/>
          <w:bCs/>
          <w:color w:val="auto"/>
          <w:highlight w:val="none"/>
        </w:rPr>
        <w:t>………………</w:t>
      </w:r>
      <w:r>
        <w:rPr>
          <w:b/>
          <w:bCs/>
          <w:color w:val="auto"/>
          <w:szCs w:val="21"/>
          <w:highlight w:val="none"/>
        </w:rPr>
        <w:t>…</w:t>
      </w:r>
      <w:r>
        <w:rPr>
          <w:b/>
          <w:bCs/>
          <w:color w:val="auto"/>
          <w:highlight w:val="none"/>
        </w:rPr>
        <w:t>………</w:t>
      </w:r>
      <w:r>
        <w:rPr>
          <w:b/>
          <w:bCs/>
          <w:color w:val="auto"/>
          <w:szCs w:val="21"/>
          <w:highlight w:val="none"/>
        </w:rPr>
        <w:t>…</w:t>
      </w:r>
      <w:r>
        <w:rPr>
          <w:b/>
          <w:bCs/>
          <w:color w:val="auto"/>
          <w:highlight w:val="none"/>
        </w:rPr>
        <w:t>………</w:t>
      </w:r>
      <w:r>
        <w:rPr>
          <w:b/>
          <w:bCs/>
          <w:color w:val="auto"/>
          <w:szCs w:val="21"/>
          <w:highlight w:val="none"/>
        </w:rPr>
        <w:t>…</w:t>
      </w:r>
      <w:r>
        <w:rPr>
          <w:b/>
          <w:bCs/>
          <w:color w:val="auto"/>
          <w:highlight w:val="none"/>
        </w:rPr>
        <w:t>…………</w:t>
      </w:r>
      <w:r>
        <w:rPr>
          <w:b/>
          <w:bCs/>
          <w:color w:val="auto"/>
          <w:szCs w:val="21"/>
          <w:highlight w:val="none"/>
        </w:rPr>
        <w:t>…</w:t>
      </w:r>
      <w:r>
        <w:rPr>
          <w:b/>
          <w:bCs/>
          <w:color w:val="auto"/>
          <w:highlight w:val="none"/>
        </w:rPr>
        <w:t>…</w:t>
      </w:r>
      <w:r>
        <w:rPr>
          <w:b/>
          <w:bCs/>
          <w:color w:val="auto"/>
          <w:szCs w:val="21"/>
          <w:highlight w:val="none"/>
        </w:rPr>
        <w:t>…</w:t>
      </w:r>
      <w:r>
        <w:rPr>
          <w:b/>
          <w:bCs/>
          <w:color w:val="auto"/>
          <w:highlight w:val="none"/>
        </w:rPr>
        <w:t>……</w:t>
      </w:r>
      <w:r>
        <w:rPr>
          <w:b/>
          <w:bCs/>
          <w:color w:val="auto"/>
          <w:szCs w:val="21"/>
          <w:highlight w:val="none"/>
        </w:rPr>
        <w:t>…</w:t>
      </w:r>
      <w:r>
        <w:rPr>
          <w:b/>
          <w:bCs/>
          <w:color w:val="auto"/>
          <w:highlight w:val="none"/>
        </w:rPr>
        <w:t>……</w:t>
      </w:r>
      <w:r>
        <w:rPr>
          <w:b/>
          <w:bCs/>
          <w:color w:val="auto"/>
          <w:szCs w:val="21"/>
          <w:highlight w:val="none"/>
        </w:rPr>
        <w:t>…</w:t>
      </w:r>
      <w:r>
        <w:rPr>
          <w:b/>
          <w:bCs/>
          <w:color w:val="auto"/>
          <w:highlight w:val="none"/>
        </w:rPr>
        <w:t>……</w:t>
      </w:r>
      <w:r>
        <w:rPr>
          <w:rFonts w:hint="eastAsia"/>
          <w:b/>
          <w:bCs/>
          <w:color w:val="auto"/>
          <w:highlight w:val="none"/>
        </w:rPr>
        <w:t>20</w:t>
      </w:r>
      <w:r>
        <w:rPr>
          <w:b/>
          <w:bCs/>
          <w:color w:val="auto"/>
          <w:szCs w:val="21"/>
          <w:highlight w:val="none"/>
        </w:rPr>
        <w:t>分</w:t>
      </w:r>
    </w:p>
    <w:p>
      <w:pPr>
        <w:spacing w:line="440" w:lineRule="exact"/>
        <w:ind w:firstLine="535" w:firstLineChars="255"/>
        <w:rPr>
          <w:bCs/>
          <w:color w:val="auto"/>
          <w:szCs w:val="22"/>
          <w:highlight w:val="none"/>
        </w:rPr>
      </w:pPr>
      <w:r>
        <w:rPr>
          <w:rFonts w:hint="eastAsia"/>
          <w:bCs/>
          <w:color w:val="auto"/>
          <w:szCs w:val="22"/>
          <w:highlight w:val="none"/>
        </w:rPr>
        <w:t>（1）</w:t>
      </w:r>
      <w:r>
        <w:rPr>
          <w:bCs/>
          <w:color w:val="auto"/>
          <w:szCs w:val="22"/>
          <w:highlight w:val="none"/>
        </w:rPr>
        <w:t>供应商</w:t>
      </w:r>
      <w:r>
        <w:rPr>
          <w:rFonts w:hint="eastAsia"/>
          <w:bCs/>
          <w:color w:val="auto"/>
          <w:highlight w:val="none"/>
        </w:rPr>
        <w:t>2021年1月1日</w:t>
      </w:r>
      <w:r>
        <w:rPr>
          <w:bCs/>
          <w:color w:val="auto"/>
          <w:highlight w:val="none"/>
        </w:rPr>
        <w:t>以来完成</w:t>
      </w:r>
      <w:r>
        <w:rPr>
          <w:rFonts w:hint="eastAsia"/>
          <w:bCs/>
          <w:color w:val="auto"/>
          <w:highlight w:val="none"/>
        </w:rPr>
        <w:t>过灌溉水渠工程施工业绩的</w:t>
      </w:r>
      <w:r>
        <w:rPr>
          <w:bCs/>
          <w:color w:val="auto"/>
          <w:highlight w:val="none"/>
        </w:rPr>
        <w:t>，每提供一个得</w:t>
      </w:r>
      <w:r>
        <w:rPr>
          <w:rFonts w:hint="default"/>
          <w:bCs/>
          <w:color w:val="auto"/>
          <w:highlight w:val="none"/>
          <w:lang w:val="en-US"/>
        </w:rPr>
        <w:t>4</w:t>
      </w:r>
      <w:r>
        <w:rPr>
          <w:bCs/>
          <w:color w:val="auto"/>
          <w:highlight w:val="none"/>
        </w:rPr>
        <w:t>分，</w:t>
      </w:r>
      <w:r>
        <w:rPr>
          <w:rFonts w:hint="eastAsia"/>
          <w:bCs/>
          <w:color w:val="auto"/>
          <w:highlight w:val="none"/>
        </w:rPr>
        <w:t>本项</w:t>
      </w:r>
      <w:r>
        <w:rPr>
          <w:bCs/>
          <w:color w:val="auto"/>
          <w:highlight w:val="none"/>
        </w:rPr>
        <w:t>满分</w:t>
      </w:r>
      <w:r>
        <w:rPr>
          <w:rFonts w:hint="eastAsia"/>
          <w:bCs/>
          <w:color w:val="auto"/>
          <w:highlight w:val="none"/>
        </w:rPr>
        <w:t>20</w:t>
      </w:r>
      <w:r>
        <w:rPr>
          <w:bCs/>
          <w:color w:val="auto"/>
          <w:highlight w:val="none"/>
        </w:rPr>
        <w:t>分。以</w:t>
      </w:r>
      <w:r>
        <w:rPr>
          <w:bCs/>
          <w:color w:val="auto"/>
          <w:szCs w:val="22"/>
          <w:highlight w:val="none"/>
        </w:rPr>
        <w:t>中标、成交通知书或签订的合同为准。</w:t>
      </w:r>
    </w:p>
    <w:p>
      <w:pPr>
        <w:tabs>
          <w:tab w:val="left" w:pos="1305"/>
        </w:tabs>
        <w:spacing w:line="440" w:lineRule="exact"/>
        <w:ind w:firstLine="211" w:firstLineChars="100"/>
        <w:rPr>
          <w:b/>
          <w:color w:val="auto"/>
          <w:szCs w:val="21"/>
        </w:rPr>
      </w:pPr>
      <w:r>
        <w:rPr>
          <w:rFonts w:hint="eastAsia"/>
          <w:b/>
          <w:color w:val="auto"/>
          <w:szCs w:val="21"/>
        </w:rPr>
        <w:t>5</w:t>
      </w:r>
      <w:r>
        <w:rPr>
          <w:b/>
          <w:color w:val="auto"/>
          <w:szCs w:val="21"/>
        </w:rPr>
        <w:t>、综合得分＝1+2+3</w:t>
      </w:r>
    </w:p>
    <w:p>
      <w:pPr>
        <w:tabs>
          <w:tab w:val="left" w:pos="1305"/>
        </w:tabs>
        <w:spacing w:line="440" w:lineRule="exact"/>
        <w:ind w:firstLine="211" w:firstLineChars="100"/>
        <w:outlineLvl w:val="1"/>
        <w:rPr>
          <w:rFonts w:cs="宋体"/>
          <w:b/>
          <w:color w:val="auto"/>
          <w:szCs w:val="21"/>
        </w:rPr>
      </w:pPr>
      <w:bookmarkStart w:id="265" w:name="_Toc32125"/>
      <w:r>
        <w:rPr>
          <w:rFonts w:hint="eastAsia" w:cs="宋体"/>
          <w:b/>
          <w:color w:val="auto"/>
          <w:szCs w:val="21"/>
        </w:rPr>
        <w:t>三、推荐成交候选人原则</w:t>
      </w:r>
      <w:bookmarkEnd w:id="265"/>
    </w:p>
    <w:p>
      <w:pPr>
        <w:tabs>
          <w:tab w:val="left" w:pos="1305"/>
        </w:tabs>
        <w:spacing w:line="440" w:lineRule="exact"/>
        <w:ind w:firstLine="420" w:firstLineChars="200"/>
        <w:rPr>
          <w:rFonts w:cs="宋体"/>
          <w:color w:val="auto"/>
          <w:szCs w:val="21"/>
        </w:rPr>
      </w:pPr>
      <w:r>
        <w:rPr>
          <w:rFonts w:hint="eastAsia" w:cs="宋体"/>
          <w:color w:val="auto"/>
          <w:szCs w:val="21"/>
        </w:rPr>
        <w:t>（1）磋商小组应当根据综合评分情况，按照综合得分由高到低顺序推荐三名成交候选供应商，并编写评审报告。磋商小组根据综合得分由高到低排列次序，若得分相同时，以最后报价由低到高顺序排列；若仍相同的，依次按技术分、项目管理机构分、业绩分由高到低顺序排列并推荐成交候选供应商。</w:t>
      </w:r>
    </w:p>
    <w:p>
      <w:pPr>
        <w:tabs>
          <w:tab w:val="left" w:pos="1305"/>
        </w:tabs>
        <w:spacing w:line="440" w:lineRule="exact"/>
        <w:ind w:firstLine="420" w:firstLineChars="200"/>
        <w:rPr>
          <w:rFonts w:cs="宋体"/>
          <w:color w:val="auto"/>
          <w:szCs w:val="21"/>
        </w:rPr>
      </w:pPr>
      <w:r>
        <w:rPr>
          <w:rFonts w:hint="eastAsia" w:cs="宋体"/>
          <w:color w:val="auto"/>
          <w:szCs w:val="21"/>
        </w:rPr>
        <w:t>（2）采购人应当确定磋商小组推荐排名第一的成交候选供应商为成交供应商。</w:t>
      </w:r>
    </w:p>
    <w:p>
      <w:pPr>
        <w:tabs>
          <w:tab w:val="left" w:pos="1305"/>
        </w:tabs>
        <w:spacing w:line="440" w:lineRule="exact"/>
        <w:ind w:firstLine="420" w:firstLineChars="200"/>
        <w:rPr>
          <w:rFonts w:cs="宋体"/>
          <w:color w:val="auto"/>
          <w:szCs w:val="21"/>
        </w:rPr>
      </w:pPr>
      <w:r>
        <w:rPr>
          <w:rFonts w:hint="eastAsia" w:cs="宋体"/>
          <w:color w:val="auto"/>
          <w:szCs w:val="21"/>
        </w:rPr>
        <w:t>（3）排名第一的成交候选供应商放弃成交、因不可抗力提出不能履行合同，采购人可以按照评审报告推荐的成交候选供应商名单排序，确定下一候选供应商为成交供应商，也可以重新开展政府采购活动。</w:t>
      </w:r>
    </w:p>
    <w:p>
      <w:pPr>
        <w:tabs>
          <w:tab w:val="left" w:pos="1305"/>
        </w:tabs>
        <w:spacing w:line="440" w:lineRule="exact"/>
        <w:ind w:firstLine="420" w:firstLineChars="200"/>
        <w:rPr>
          <w:rFonts w:cs="宋体"/>
          <w:color w:val="auto"/>
          <w:szCs w:val="21"/>
        </w:rPr>
      </w:pPr>
      <w:r>
        <w:rPr>
          <w:rFonts w:hint="eastAsia" w:cs="宋体"/>
          <w:color w:val="auto"/>
          <w:szCs w:val="21"/>
        </w:rPr>
        <w:t>（4）磋商小组认为某供应商的响应报价或者某些分项报价明显不合理或者低于成本，有可能影响质量和不能诚信履约的，应要求其在规定的期限内提供书面文件予以解释说明，并提交相关证明材料，否则，磋商小组可以取消该供应商的成交候选资格，按顺序由排在其后面的供应商递补，以此类推。</w:t>
      </w:r>
    </w:p>
    <w:p>
      <w:pPr>
        <w:pStyle w:val="24"/>
        <w:rPr>
          <w:color w:val="auto"/>
        </w:rPr>
      </w:pPr>
    </w:p>
    <w:p>
      <w:pPr>
        <w:rPr>
          <w:rFonts w:hint="eastAsia" w:cs="宋体"/>
          <w:b/>
          <w:bCs/>
          <w:color w:val="auto"/>
          <w:sz w:val="24"/>
        </w:rPr>
      </w:pPr>
      <w:bookmarkStart w:id="266" w:name="_Toc16533"/>
      <w:r>
        <w:rPr>
          <w:rFonts w:hint="eastAsia" w:cs="宋体"/>
          <w:b/>
          <w:bCs/>
          <w:color w:val="auto"/>
          <w:sz w:val="24"/>
        </w:rPr>
        <w:br w:type="page"/>
      </w:r>
    </w:p>
    <w:p>
      <w:pPr>
        <w:spacing w:line="280" w:lineRule="exact"/>
        <w:outlineLvl w:val="1"/>
        <w:rPr>
          <w:rFonts w:cs="宋体"/>
          <w:b/>
          <w:bCs/>
          <w:color w:val="auto"/>
          <w:sz w:val="24"/>
        </w:rPr>
      </w:pPr>
      <w:r>
        <w:rPr>
          <w:rFonts w:hint="eastAsia" w:cs="宋体"/>
          <w:b/>
          <w:bCs/>
          <w:color w:val="auto"/>
          <w:sz w:val="24"/>
        </w:rPr>
        <w:t>附表</w:t>
      </w:r>
      <w:bookmarkEnd w:id="266"/>
    </w:p>
    <w:p>
      <w:pPr>
        <w:widowControl/>
        <w:spacing w:before="156" w:beforeLines="50" w:after="156" w:afterLines="50" w:line="280" w:lineRule="exact"/>
        <w:jc w:val="center"/>
        <w:rPr>
          <w:rFonts w:cs="宋体"/>
          <w:b/>
          <w:bCs/>
          <w:color w:val="auto"/>
          <w:kern w:val="0"/>
          <w:sz w:val="30"/>
          <w:szCs w:val="30"/>
        </w:rPr>
      </w:pPr>
      <w:bookmarkStart w:id="267" w:name="_Toc28361_WPSOffice_Level2"/>
      <w:r>
        <w:rPr>
          <w:rFonts w:hint="eastAsia" w:cs="宋体"/>
          <w:b/>
          <w:bCs/>
          <w:color w:val="auto"/>
          <w:kern w:val="0"/>
          <w:sz w:val="30"/>
          <w:szCs w:val="30"/>
        </w:rPr>
        <w:t>统计上大中小微型企业划分标准</w:t>
      </w:r>
      <w:bookmarkEnd w:id="267"/>
    </w:p>
    <w:tbl>
      <w:tblPr>
        <w:tblStyle w:val="53"/>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jc w:val="center"/>
        </w:trPr>
        <w:tc>
          <w:tcPr>
            <w:tcW w:w="2113" w:type="dxa"/>
            <w:shd w:val="clear" w:color="auto" w:fill="8DB3E2"/>
            <w:vAlign w:val="center"/>
          </w:tcPr>
          <w:p>
            <w:pPr>
              <w:widowControl/>
              <w:spacing w:line="280" w:lineRule="exact"/>
              <w:jc w:val="center"/>
              <w:rPr>
                <w:rFonts w:cs="宋体"/>
                <w:b/>
                <w:bCs/>
                <w:color w:val="auto"/>
                <w:kern w:val="0"/>
                <w:sz w:val="18"/>
                <w:szCs w:val="21"/>
              </w:rPr>
            </w:pPr>
            <w:r>
              <w:rPr>
                <w:rFonts w:hint="eastAsia" w:cs="宋体"/>
                <w:b/>
                <w:bCs/>
                <w:color w:val="auto"/>
                <w:kern w:val="0"/>
                <w:sz w:val="18"/>
                <w:szCs w:val="21"/>
              </w:rPr>
              <w:t>行业名称</w:t>
            </w:r>
          </w:p>
        </w:tc>
        <w:tc>
          <w:tcPr>
            <w:tcW w:w="1369" w:type="dxa"/>
            <w:shd w:val="clear" w:color="auto" w:fill="8DB3E2"/>
            <w:vAlign w:val="center"/>
          </w:tcPr>
          <w:p>
            <w:pPr>
              <w:widowControl/>
              <w:spacing w:line="280" w:lineRule="exact"/>
              <w:jc w:val="center"/>
              <w:rPr>
                <w:rFonts w:cs="宋体"/>
                <w:b/>
                <w:bCs/>
                <w:color w:val="auto"/>
                <w:kern w:val="0"/>
                <w:sz w:val="18"/>
                <w:szCs w:val="18"/>
              </w:rPr>
            </w:pPr>
            <w:r>
              <w:rPr>
                <w:rFonts w:hint="eastAsia" w:cs="宋体"/>
                <w:b/>
                <w:bCs/>
                <w:color w:val="auto"/>
                <w:kern w:val="0"/>
                <w:sz w:val="18"/>
                <w:szCs w:val="18"/>
              </w:rPr>
              <w:t>指标名称</w:t>
            </w:r>
          </w:p>
        </w:tc>
        <w:tc>
          <w:tcPr>
            <w:tcW w:w="709" w:type="dxa"/>
            <w:shd w:val="clear" w:color="auto" w:fill="8DB3E2"/>
            <w:vAlign w:val="center"/>
          </w:tcPr>
          <w:p>
            <w:pPr>
              <w:widowControl/>
              <w:spacing w:line="280" w:lineRule="exact"/>
              <w:jc w:val="center"/>
              <w:rPr>
                <w:rFonts w:cs="宋体"/>
                <w:b/>
                <w:bCs/>
                <w:color w:val="auto"/>
                <w:kern w:val="0"/>
                <w:sz w:val="18"/>
                <w:szCs w:val="18"/>
              </w:rPr>
            </w:pPr>
            <w:r>
              <w:rPr>
                <w:rFonts w:hint="eastAsia" w:cs="宋体"/>
                <w:b/>
                <w:bCs/>
                <w:color w:val="auto"/>
                <w:kern w:val="0"/>
                <w:sz w:val="18"/>
                <w:szCs w:val="18"/>
              </w:rPr>
              <w:t>计量</w:t>
            </w:r>
          </w:p>
          <w:p>
            <w:pPr>
              <w:widowControl/>
              <w:spacing w:line="280" w:lineRule="exact"/>
              <w:jc w:val="center"/>
              <w:rPr>
                <w:rFonts w:cs="宋体"/>
                <w:b/>
                <w:bCs/>
                <w:color w:val="auto"/>
                <w:kern w:val="0"/>
                <w:sz w:val="18"/>
                <w:szCs w:val="18"/>
              </w:rPr>
            </w:pPr>
            <w:r>
              <w:rPr>
                <w:rFonts w:hint="eastAsia" w:cs="宋体"/>
                <w:b/>
                <w:bCs/>
                <w:color w:val="auto"/>
                <w:kern w:val="0"/>
                <w:sz w:val="18"/>
                <w:szCs w:val="18"/>
              </w:rPr>
              <w:t>单位</w:t>
            </w:r>
          </w:p>
        </w:tc>
        <w:tc>
          <w:tcPr>
            <w:tcW w:w="1125" w:type="dxa"/>
            <w:shd w:val="clear" w:color="auto" w:fill="8DB3E2"/>
            <w:vAlign w:val="center"/>
          </w:tcPr>
          <w:p>
            <w:pPr>
              <w:widowControl/>
              <w:spacing w:line="280" w:lineRule="exact"/>
              <w:jc w:val="center"/>
              <w:rPr>
                <w:rFonts w:cs="宋体"/>
                <w:b/>
                <w:bCs/>
                <w:color w:val="auto"/>
                <w:kern w:val="0"/>
                <w:sz w:val="18"/>
                <w:szCs w:val="18"/>
              </w:rPr>
            </w:pPr>
            <w:r>
              <w:rPr>
                <w:rFonts w:hint="eastAsia" w:cs="宋体"/>
                <w:b/>
                <w:bCs/>
                <w:color w:val="auto"/>
                <w:kern w:val="0"/>
                <w:sz w:val="18"/>
                <w:szCs w:val="18"/>
              </w:rPr>
              <w:t>大型</w:t>
            </w:r>
          </w:p>
        </w:tc>
        <w:tc>
          <w:tcPr>
            <w:tcW w:w="1701" w:type="dxa"/>
            <w:shd w:val="clear" w:color="auto" w:fill="8DB3E2"/>
            <w:vAlign w:val="center"/>
          </w:tcPr>
          <w:p>
            <w:pPr>
              <w:widowControl/>
              <w:spacing w:line="280" w:lineRule="exact"/>
              <w:jc w:val="center"/>
              <w:rPr>
                <w:rFonts w:cs="宋体"/>
                <w:b/>
                <w:bCs/>
                <w:color w:val="auto"/>
                <w:kern w:val="0"/>
                <w:sz w:val="18"/>
                <w:szCs w:val="18"/>
              </w:rPr>
            </w:pPr>
            <w:r>
              <w:rPr>
                <w:rFonts w:hint="eastAsia" w:cs="宋体"/>
                <w:b/>
                <w:bCs/>
                <w:color w:val="auto"/>
                <w:kern w:val="0"/>
                <w:sz w:val="18"/>
                <w:szCs w:val="18"/>
              </w:rPr>
              <w:t>中型</w:t>
            </w:r>
          </w:p>
        </w:tc>
        <w:tc>
          <w:tcPr>
            <w:tcW w:w="1426" w:type="dxa"/>
            <w:shd w:val="clear" w:color="auto" w:fill="8DB3E2"/>
            <w:vAlign w:val="center"/>
          </w:tcPr>
          <w:p>
            <w:pPr>
              <w:widowControl/>
              <w:spacing w:line="280" w:lineRule="exact"/>
              <w:jc w:val="center"/>
              <w:rPr>
                <w:rFonts w:cs="宋体"/>
                <w:b/>
                <w:bCs/>
                <w:color w:val="auto"/>
                <w:kern w:val="0"/>
                <w:sz w:val="18"/>
                <w:szCs w:val="18"/>
              </w:rPr>
            </w:pPr>
            <w:r>
              <w:rPr>
                <w:rFonts w:hint="eastAsia" w:cs="宋体"/>
                <w:b/>
                <w:bCs/>
                <w:color w:val="auto"/>
                <w:kern w:val="0"/>
                <w:sz w:val="18"/>
                <w:szCs w:val="18"/>
              </w:rPr>
              <w:t>小型</w:t>
            </w:r>
          </w:p>
        </w:tc>
        <w:tc>
          <w:tcPr>
            <w:tcW w:w="992" w:type="dxa"/>
            <w:shd w:val="clear" w:color="auto" w:fill="8DB3E2"/>
            <w:vAlign w:val="center"/>
          </w:tcPr>
          <w:p>
            <w:pPr>
              <w:widowControl/>
              <w:spacing w:line="280" w:lineRule="exact"/>
              <w:jc w:val="center"/>
              <w:rPr>
                <w:rFonts w:cs="宋体"/>
                <w:b/>
                <w:bCs/>
                <w:color w:val="auto"/>
                <w:kern w:val="0"/>
                <w:sz w:val="18"/>
                <w:szCs w:val="18"/>
              </w:rPr>
            </w:pPr>
            <w:r>
              <w:rPr>
                <w:rFonts w:hint="eastAsia" w:cs="宋体"/>
                <w:b/>
                <w:bCs/>
                <w:color w:val="auto"/>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Align w:val="center"/>
          </w:tcPr>
          <w:p>
            <w:pPr>
              <w:widowControl/>
              <w:spacing w:line="280" w:lineRule="exact"/>
              <w:jc w:val="left"/>
              <w:rPr>
                <w:rFonts w:cs="宋体"/>
                <w:color w:val="auto"/>
                <w:kern w:val="0"/>
                <w:sz w:val="18"/>
                <w:szCs w:val="18"/>
              </w:rPr>
            </w:pPr>
            <w:r>
              <w:rPr>
                <w:rFonts w:hint="eastAsia" w:cs="宋体"/>
                <w:color w:val="auto"/>
                <w:kern w:val="0"/>
                <w:sz w:val="18"/>
                <w:szCs w:val="18"/>
              </w:rPr>
              <w:t>农、林、牧、渔业</w:t>
            </w: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营业收入(Y)</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万元</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Y≥20000</w:t>
            </w:r>
          </w:p>
        </w:tc>
        <w:tc>
          <w:tcPr>
            <w:tcW w:w="1701"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500≤Y＜20000</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50≤Y＜500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color w:val="auto"/>
                <w:kern w:val="0"/>
                <w:sz w:val="18"/>
                <w:szCs w:val="18"/>
              </w:rPr>
            </w:pPr>
            <w:r>
              <w:rPr>
                <w:rFonts w:hint="eastAsia" w:cs="宋体"/>
                <w:color w:val="auto"/>
                <w:kern w:val="0"/>
                <w:sz w:val="18"/>
                <w:szCs w:val="18"/>
              </w:rPr>
              <w:t>工业 *</w:t>
            </w: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从业人员(X)</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人</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X≥1000</w:t>
            </w:r>
          </w:p>
        </w:tc>
        <w:tc>
          <w:tcPr>
            <w:tcW w:w="1701"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300≤X＜1000</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20≤X＜300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color w:val="auto"/>
                <w:kern w:val="0"/>
                <w:sz w:val="18"/>
                <w:szCs w:val="18"/>
              </w:rPr>
            </w:pP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营业收入(Y)</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万元</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Y≥40000</w:t>
            </w:r>
          </w:p>
        </w:tc>
        <w:tc>
          <w:tcPr>
            <w:tcW w:w="1701"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2000≤Y＜40000</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300≤Y＜2000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color w:val="auto"/>
                <w:kern w:val="0"/>
                <w:sz w:val="18"/>
                <w:szCs w:val="18"/>
              </w:rPr>
            </w:pPr>
            <w:r>
              <w:rPr>
                <w:rFonts w:hint="eastAsia" w:cs="宋体"/>
                <w:color w:val="auto"/>
                <w:kern w:val="0"/>
                <w:sz w:val="18"/>
                <w:szCs w:val="18"/>
              </w:rPr>
              <w:t>建筑业</w:t>
            </w: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营业收入(Y)</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万元</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Y≥80000</w:t>
            </w:r>
          </w:p>
        </w:tc>
        <w:tc>
          <w:tcPr>
            <w:tcW w:w="1701"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6000≤Y＜80000</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300≤Y＜6000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color w:val="auto"/>
                <w:kern w:val="0"/>
                <w:sz w:val="18"/>
                <w:szCs w:val="18"/>
              </w:rPr>
            </w:pP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资产总额(Z)</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万元</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Z≥80000</w:t>
            </w:r>
          </w:p>
        </w:tc>
        <w:tc>
          <w:tcPr>
            <w:tcW w:w="1701"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5000≤Z＜80000</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300≤Z＜5000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color w:val="auto"/>
                <w:kern w:val="0"/>
                <w:sz w:val="18"/>
                <w:szCs w:val="18"/>
              </w:rPr>
            </w:pPr>
            <w:r>
              <w:rPr>
                <w:rFonts w:hint="eastAsia" w:cs="宋体"/>
                <w:color w:val="auto"/>
                <w:kern w:val="0"/>
                <w:sz w:val="18"/>
                <w:szCs w:val="18"/>
              </w:rPr>
              <w:t>批发业</w:t>
            </w: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从业人员(X)</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人</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X≥200</w:t>
            </w:r>
          </w:p>
        </w:tc>
        <w:tc>
          <w:tcPr>
            <w:tcW w:w="1701"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20≤X＜200</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5≤X＜20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color w:val="auto"/>
                <w:kern w:val="0"/>
                <w:sz w:val="18"/>
                <w:szCs w:val="18"/>
              </w:rPr>
            </w:pP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营业收入(Y)</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万元</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Y≥40000</w:t>
            </w:r>
          </w:p>
        </w:tc>
        <w:tc>
          <w:tcPr>
            <w:tcW w:w="1701"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5000≤Y＜40000</w:t>
            </w:r>
          </w:p>
        </w:tc>
        <w:tc>
          <w:tcPr>
            <w:tcW w:w="1426" w:type="dxa"/>
            <w:vAlign w:val="center"/>
          </w:tcPr>
          <w:p>
            <w:pPr>
              <w:widowControl/>
              <w:spacing w:line="280" w:lineRule="exact"/>
              <w:ind w:left="-1" w:leftChars="-1" w:hanging="1"/>
              <w:jc w:val="center"/>
              <w:rPr>
                <w:rFonts w:cs="宋体"/>
                <w:color w:val="auto"/>
                <w:kern w:val="0"/>
                <w:sz w:val="18"/>
                <w:szCs w:val="18"/>
              </w:rPr>
            </w:pPr>
            <w:r>
              <w:rPr>
                <w:rFonts w:hint="eastAsia" w:cs="宋体"/>
                <w:color w:val="auto"/>
                <w:kern w:val="0"/>
                <w:sz w:val="18"/>
                <w:szCs w:val="18"/>
              </w:rPr>
              <w:t>1000≤Y＜5000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color w:val="auto"/>
                <w:kern w:val="0"/>
                <w:sz w:val="18"/>
                <w:szCs w:val="18"/>
              </w:rPr>
            </w:pPr>
            <w:r>
              <w:rPr>
                <w:rFonts w:hint="eastAsia" w:cs="宋体"/>
                <w:color w:val="auto"/>
                <w:kern w:val="0"/>
                <w:sz w:val="18"/>
                <w:szCs w:val="18"/>
              </w:rPr>
              <w:t>零售业</w:t>
            </w: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从业人员(X)</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人</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X≥300</w:t>
            </w:r>
          </w:p>
        </w:tc>
        <w:tc>
          <w:tcPr>
            <w:tcW w:w="1701"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50≤X＜300</w:t>
            </w:r>
          </w:p>
        </w:tc>
        <w:tc>
          <w:tcPr>
            <w:tcW w:w="1426" w:type="dxa"/>
            <w:vAlign w:val="center"/>
          </w:tcPr>
          <w:p>
            <w:pPr>
              <w:widowControl/>
              <w:spacing w:line="280" w:lineRule="exact"/>
              <w:ind w:left="-1" w:leftChars="-1" w:hanging="1"/>
              <w:jc w:val="center"/>
              <w:rPr>
                <w:rFonts w:cs="宋体"/>
                <w:color w:val="auto"/>
                <w:kern w:val="0"/>
                <w:sz w:val="18"/>
                <w:szCs w:val="18"/>
              </w:rPr>
            </w:pPr>
            <w:r>
              <w:rPr>
                <w:rFonts w:hint="eastAsia" w:cs="宋体"/>
                <w:color w:val="auto"/>
                <w:kern w:val="0"/>
                <w:sz w:val="18"/>
                <w:szCs w:val="18"/>
              </w:rPr>
              <w:t xml:space="preserve">10≤X＜50 </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color w:val="auto"/>
                <w:kern w:val="0"/>
                <w:sz w:val="18"/>
                <w:szCs w:val="18"/>
              </w:rPr>
            </w:pP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营业收入(Y)</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万元</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Y≥20000</w:t>
            </w:r>
          </w:p>
        </w:tc>
        <w:tc>
          <w:tcPr>
            <w:tcW w:w="1701"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500≤Y＜20000</w:t>
            </w:r>
          </w:p>
        </w:tc>
        <w:tc>
          <w:tcPr>
            <w:tcW w:w="1426" w:type="dxa"/>
            <w:vAlign w:val="center"/>
          </w:tcPr>
          <w:p>
            <w:pPr>
              <w:widowControl/>
              <w:spacing w:line="280" w:lineRule="exact"/>
              <w:ind w:left="-1" w:leftChars="-1" w:hanging="1"/>
              <w:jc w:val="center"/>
              <w:rPr>
                <w:rFonts w:cs="宋体"/>
                <w:color w:val="auto"/>
                <w:kern w:val="0"/>
                <w:sz w:val="18"/>
                <w:szCs w:val="18"/>
              </w:rPr>
            </w:pPr>
            <w:r>
              <w:rPr>
                <w:rFonts w:hint="eastAsia" w:cs="宋体"/>
                <w:color w:val="auto"/>
                <w:kern w:val="0"/>
                <w:sz w:val="18"/>
                <w:szCs w:val="18"/>
              </w:rPr>
              <w:t>100≤Y＜500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color w:val="auto"/>
                <w:kern w:val="0"/>
                <w:sz w:val="18"/>
                <w:szCs w:val="18"/>
              </w:rPr>
            </w:pPr>
            <w:r>
              <w:rPr>
                <w:rFonts w:hint="eastAsia" w:cs="宋体"/>
                <w:color w:val="auto"/>
                <w:kern w:val="0"/>
                <w:sz w:val="18"/>
                <w:szCs w:val="18"/>
              </w:rPr>
              <w:t>交通运输业 *</w:t>
            </w: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从业人员(X)</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人</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X≥1000</w:t>
            </w:r>
          </w:p>
        </w:tc>
        <w:tc>
          <w:tcPr>
            <w:tcW w:w="1701"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300≤X＜1000</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20≤X＜300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color w:val="auto"/>
                <w:kern w:val="0"/>
                <w:sz w:val="18"/>
                <w:szCs w:val="18"/>
              </w:rPr>
            </w:pP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营业收入(Y)</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万元</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Y≥30000</w:t>
            </w:r>
          </w:p>
        </w:tc>
        <w:tc>
          <w:tcPr>
            <w:tcW w:w="1701"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3000≤Y＜30000</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200≤Y＜3000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color w:val="auto"/>
                <w:kern w:val="0"/>
                <w:sz w:val="18"/>
                <w:szCs w:val="18"/>
              </w:rPr>
            </w:pPr>
            <w:r>
              <w:rPr>
                <w:rFonts w:hint="eastAsia" w:cs="宋体"/>
                <w:color w:val="auto"/>
                <w:kern w:val="0"/>
                <w:sz w:val="18"/>
                <w:szCs w:val="18"/>
              </w:rPr>
              <w:t>仓储业*</w:t>
            </w: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从业人员(X)</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人</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X≥200</w:t>
            </w:r>
          </w:p>
        </w:tc>
        <w:tc>
          <w:tcPr>
            <w:tcW w:w="1701" w:type="dxa"/>
            <w:vAlign w:val="center"/>
          </w:tcPr>
          <w:p>
            <w:pPr>
              <w:widowControl/>
              <w:spacing w:line="280" w:lineRule="exact"/>
              <w:ind w:left="1" w:leftChars="-51" w:hanging="108" w:hangingChars="60"/>
              <w:jc w:val="center"/>
              <w:rPr>
                <w:rFonts w:cs="宋体"/>
                <w:color w:val="auto"/>
                <w:kern w:val="0"/>
                <w:sz w:val="18"/>
                <w:szCs w:val="18"/>
              </w:rPr>
            </w:pPr>
            <w:r>
              <w:rPr>
                <w:rFonts w:hint="eastAsia" w:cs="宋体"/>
                <w:color w:val="auto"/>
                <w:kern w:val="0"/>
                <w:sz w:val="18"/>
                <w:szCs w:val="18"/>
              </w:rPr>
              <w:t>100≤X＜200</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20≤X＜100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color w:val="auto"/>
                <w:kern w:val="0"/>
                <w:sz w:val="18"/>
                <w:szCs w:val="18"/>
              </w:rPr>
            </w:pP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营业收入(Y)</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万元</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Y≥30000</w:t>
            </w:r>
          </w:p>
        </w:tc>
        <w:tc>
          <w:tcPr>
            <w:tcW w:w="1701"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1000≤Y＜30000</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100≤Y＜1000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color w:val="auto"/>
                <w:kern w:val="0"/>
                <w:sz w:val="18"/>
                <w:szCs w:val="18"/>
              </w:rPr>
            </w:pPr>
            <w:r>
              <w:rPr>
                <w:rFonts w:hint="eastAsia" w:cs="宋体"/>
                <w:color w:val="auto"/>
                <w:kern w:val="0"/>
                <w:sz w:val="18"/>
                <w:szCs w:val="18"/>
              </w:rPr>
              <w:t>邮政业</w:t>
            </w: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从业人员(X)</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人</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X≥1000</w:t>
            </w:r>
          </w:p>
        </w:tc>
        <w:tc>
          <w:tcPr>
            <w:tcW w:w="1701"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300≤X＜1000</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20≤X＜300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color w:val="auto"/>
                <w:kern w:val="0"/>
                <w:sz w:val="18"/>
                <w:szCs w:val="18"/>
              </w:rPr>
            </w:pP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营业收入(Y)</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万元</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Y≥30000</w:t>
            </w:r>
          </w:p>
        </w:tc>
        <w:tc>
          <w:tcPr>
            <w:tcW w:w="1701"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2000≤Y＜30000</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100≤Y＜2000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color w:val="auto"/>
                <w:kern w:val="0"/>
                <w:sz w:val="18"/>
                <w:szCs w:val="18"/>
              </w:rPr>
            </w:pPr>
            <w:r>
              <w:rPr>
                <w:rFonts w:hint="eastAsia" w:cs="宋体"/>
                <w:color w:val="auto"/>
                <w:kern w:val="0"/>
                <w:sz w:val="18"/>
                <w:szCs w:val="18"/>
              </w:rPr>
              <w:t>住宿业</w:t>
            </w: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从业人员(X)</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人</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X≥300</w:t>
            </w:r>
          </w:p>
        </w:tc>
        <w:tc>
          <w:tcPr>
            <w:tcW w:w="1701" w:type="dxa"/>
            <w:vAlign w:val="center"/>
          </w:tcPr>
          <w:p>
            <w:pPr>
              <w:widowControl/>
              <w:spacing w:line="280" w:lineRule="exact"/>
              <w:ind w:left="1" w:leftChars="-51" w:hanging="108" w:hangingChars="60"/>
              <w:jc w:val="center"/>
              <w:rPr>
                <w:rFonts w:cs="宋体"/>
                <w:color w:val="auto"/>
                <w:kern w:val="0"/>
                <w:sz w:val="18"/>
                <w:szCs w:val="18"/>
              </w:rPr>
            </w:pPr>
            <w:r>
              <w:rPr>
                <w:rFonts w:hint="eastAsia" w:cs="宋体"/>
                <w:color w:val="auto"/>
                <w:kern w:val="0"/>
                <w:sz w:val="18"/>
                <w:szCs w:val="18"/>
              </w:rPr>
              <w:t>100≤X＜300</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10≤X＜100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color w:val="auto"/>
                <w:kern w:val="0"/>
                <w:sz w:val="18"/>
                <w:szCs w:val="18"/>
              </w:rPr>
            </w:pP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营业收入(Y)</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万元</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Y≥10000</w:t>
            </w:r>
          </w:p>
        </w:tc>
        <w:tc>
          <w:tcPr>
            <w:tcW w:w="1701"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2000≤Y＜10000</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100≤Y＜2000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color w:val="auto"/>
                <w:kern w:val="0"/>
                <w:sz w:val="18"/>
                <w:szCs w:val="18"/>
              </w:rPr>
            </w:pPr>
            <w:r>
              <w:rPr>
                <w:rFonts w:hint="eastAsia" w:cs="宋体"/>
                <w:color w:val="auto"/>
                <w:kern w:val="0"/>
                <w:sz w:val="18"/>
                <w:szCs w:val="18"/>
              </w:rPr>
              <w:t>餐饮业</w:t>
            </w: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从业人员(X)</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人</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X≥300</w:t>
            </w:r>
          </w:p>
        </w:tc>
        <w:tc>
          <w:tcPr>
            <w:tcW w:w="1701" w:type="dxa"/>
            <w:vAlign w:val="center"/>
          </w:tcPr>
          <w:p>
            <w:pPr>
              <w:widowControl/>
              <w:spacing w:line="280" w:lineRule="exact"/>
              <w:ind w:left="1" w:leftChars="-51" w:hanging="108" w:hangingChars="60"/>
              <w:jc w:val="center"/>
              <w:rPr>
                <w:rFonts w:cs="宋体"/>
                <w:color w:val="auto"/>
                <w:kern w:val="0"/>
                <w:sz w:val="18"/>
                <w:szCs w:val="18"/>
              </w:rPr>
            </w:pPr>
            <w:r>
              <w:rPr>
                <w:rFonts w:hint="eastAsia" w:cs="宋体"/>
                <w:color w:val="auto"/>
                <w:kern w:val="0"/>
                <w:sz w:val="18"/>
                <w:szCs w:val="18"/>
              </w:rPr>
              <w:t xml:space="preserve">100≤X＜300 </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10≤X＜100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color w:val="auto"/>
                <w:kern w:val="0"/>
                <w:sz w:val="18"/>
                <w:szCs w:val="18"/>
              </w:rPr>
            </w:pP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营业收入(Y)</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万元</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Y≥10000</w:t>
            </w:r>
          </w:p>
        </w:tc>
        <w:tc>
          <w:tcPr>
            <w:tcW w:w="1701"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2000≤Y＜10000</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100≤Y＜2000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color w:val="auto"/>
                <w:kern w:val="0"/>
                <w:sz w:val="18"/>
                <w:szCs w:val="18"/>
              </w:rPr>
            </w:pPr>
            <w:r>
              <w:rPr>
                <w:rFonts w:hint="eastAsia" w:cs="宋体"/>
                <w:color w:val="auto"/>
                <w:kern w:val="0"/>
                <w:sz w:val="18"/>
                <w:szCs w:val="18"/>
              </w:rPr>
              <w:t>信息传输业 *</w:t>
            </w: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从业人员(X)</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人</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X≥2000</w:t>
            </w:r>
          </w:p>
        </w:tc>
        <w:tc>
          <w:tcPr>
            <w:tcW w:w="1701"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100≤X＜2000</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10≤X＜100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color w:val="auto"/>
                <w:kern w:val="0"/>
                <w:sz w:val="18"/>
                <w:szCs w:val="18"/>
              </w:rPr>
            </w:pP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营业收入(Y)</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万元</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Y≥100000</w:t>
            </w:r>
          </w:p>
        </w:tc>
        <w:tc>
          <w:tcPr>
            <w:tcW w:w="1701"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1000≤Y＜100000</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100≤Y＜1000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80" w:lineRule="exact"/>
              <w:jc w:val="left"/>
              <w:rPr>
                <w:rFonts w:cs="宋体"/>
                <w:color w:val="auto"/>
                <w:spacing w:val="-12"/>
                <w:kern w:val="0"/>
                <w:sz w:val="18"/>
                <w:szCs w:val="18"/>
              </w:rPr>
            </w:pPr>
            <w:r>
              <w:rPr>
                <w:rFonts w:hint="eastAsia" w:cs="宋体"/>
                <w:color w:val="auto"/>
                <w:spacing w:val="-12"/>
                <w:kern w:val="0"/>
                <w:sz w:val="18"/>
                <w:szCs w:val="18"/>
              </w:rPr>
              <w:t>软件和信息技术服</w:t>
            </w:r>
            <w:r>
              <w:rPr>
                <w:rFonts w:hint="eastAsia" w:cs="宋体"/>
                <w:color w:val="auto"/>
                <w:kern w:val="0"/>
                <w:sz w:val="18"/>
                <w:szCs w:val="18"/>
              </w:rPr>
              <w:t>务业</w:t>
            </w: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从业人员(X)</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人</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X≥300</w:t>
            </w:r>
          </w:p>
        </w:tc>
        <w:tc>
          <w:tcPr>
            <w:tcW w:w="1701" w:type="dxa"/>
            <w:vAlign w:val="center"/>
          </w:tcPr>
          <w:p>
            <w:pPr>
              <w:widowControl/>
              <w:spacing w:line="280" w:lineRule="exact"/>
              <w:ind w:left="1" w:leftChars="-51" w:hanging="108" w:hangingChars="60"/>
              <w:jc w:val="center"/>
              <w:rPr>
                <w:rFonts w:cs="宋体"/>
                <w:color w:val="auto"/>
                <w:kern w:val="0"/>
                <w:sz w:val="18"/>
                <w:szCs w:val="18"/>
              </w:rPr>
            </w:pPr>
            <w:r>
              <w:rPr>
                <w:rFonts w:hint="eastAsia" w:cs="宋体"/>
                <w:color w:val="auto"/>
                <w:kern w:val="0"/>
                <w:sz w:val="18"/>
                <w:szCs w:val="18"/>
              </w:rPr>
              <w:t xml:space="preserve">100≤X＜300 </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10≤X＜100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widowControl/>
              <w:spacing w:line="280" w:lineRule="exact"/>
              <w:jc w:val="left"/>
              <w:rPr>
                <w:rFonts w:cs="宋体"/>
                <w:color w:val="auto"/>
                <w:spacing w:val="-12"/>
                <w:kern w:val="0"/>
                <w:sz w:val="18"/>
                <w:szCs w:val="18"/>
              </w:rPr>
            </w:pP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营业收入(Y)</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万元</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Y≥10000</w:t>
            </w:r>
          </w:p>
        </w:tc>
        <w:tc>
          <w:tcPr>
            <w:tcW w:w="1701"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1000≤Y＜10000</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50≤Y＜1000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80" w:lineRule="exact"/>
              <w:jc w:val="left"/>
              <w:rPr>
                <w:rFonts w:cs="宋体"/>
                <w:color w:val="auto"/>
                <w:kern w:val="0"/>
                <w:sz w:val="18"/>
                <w:szCs w:val="18"/>
              </w:rPr>
            </w:pPr>
            <w:r>
              <w:rPr>
                <w:rFonts w:hint="eastAsia" w:cs="宋体"/>
                <w:color w:val="auto"/>
                <w:kern w:val="0"/>
                <w:sz w:val="18"/>
                <w:szCs w:val="18"/>
              </w:rPr>
              <w:t>房地产开发经营</w:t>
            </w: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营业收入(Y)</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万元</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Y≥200000</w:t>
            </w:r>
          </w:p>
        </w:tc>
        <w:tc>
          <w:tcPr>
            <w:tcW w:w="1701"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1000≤Y＜200000</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100≤Y＜1000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widowControl/>
              <w:spacing w:line="280" w:lineRule="exact"/>
              <w:jc w:val="left"/>
              <w:rPr>
                <w:rFonts w:cs="宋体"/>
                <w:color w:val="auto"/>
                <w:kern w:val="0"/>
                <w:sz w:val="18"/>
                <w:szCs w:val="18"/>
              </w:rPr>
            </w:pP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资产总额(Z)</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万元</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Z≥10000</w:t>
            </w:r>
          </w:p>
        </w:tc>
        <w:tc>
          <w:tcPr>
            <w:tcW w:w="1701"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5000≤Z＜10000</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2000≤Z＜5000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80" w:lineRule="exact"/>
              <w:jc w:val="left"/>
              <w:rPr>
                <w:rFonts w:cs="宋体"/>
                <w:color w:val="auto"/>
                <w:kern w:val="0"/>
                <w:sz w:val="18"/>
                <w:szCs w:val="18"/>
              </w:rPr>
            </w:pPr>
            <w:r>
              <w:rPr>
                <w:rFonts w:hint="eastAsia" w:cs="宋体"/>
                <w:color w:val="auto"/>
                <w:kern w:val="0"/>
                <w:sz w:val="18"/>
                <w:szCs w:val="18"/>
              </w:rPr>
              <w:t>物业管理</w:t>
            </w: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从业人员(X)</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人</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X≥1000</w:t>
            </w:r>
          </w:p>
        </w:tc>
        <w:tc>
          <w:tcPr>
            <w:tcW w:w="1701"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300≤X＜1000</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100≤X＜300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widowControl/>
              <w:spacing w:line="280" w:lineRule="exact"/>
              <w:jc w:val="left"/>
              <w:rPr>
                <w:rFonts w:cs="宋体"/>
                <w:color w:val="auto"/>
                <w:kern w:val="0"/>
                <w:sz w:val="18"/>
                <w:szCs w:val="18"/>
              </w:rPr>
            </w:pP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营业收入(Y)</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万元</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Y≥5000</w:t>
            </w:r>
          </w:p>
        </w:tc>
        <w:tc>
          <w:tcPr>
            <w:tcW w:w="1701" w:type="dxa"/>
            <w:vAlign w:val="center"/>
          </w:tcPr>
          <w:p>
            <w:pPr>
              <w:widowControl/>
              <w:spacing w:line="280" w:lineRule="exact"/>
              <w:ind w:left="1" w:leftChars="-51" w:hanging="108" w:hangingChars="60"/>
              <w:jc w:val="center"/>
              <w:rPr>
                <w:rFonts w:cs="宋体"/>
                <w:color w:val="auto"/>
                <w:kern w:val="0"/>
                <w:sz w:val="18"/>
                <w:szCs w:val="18"/>
              </w:rPr>
            </w:pPr>
            <w:r>
              <w:rPr>
                <w:rFonts w:hint="eastAsia" w:cs="宋体"/>
                <w:color w:val="auto"/>
                <w:kern w:val="0"/>
                <w:sz w:val="18"/>
                <w:szCs w:val="18"/>
              </w:rPr>
              <w:t>1000≤Y＜5000</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500≤Y＜1000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80" w:lineRule="exact"/>
              <w:jc w:val="left"/>
              <w:rPr>
                <w:rFonts w:cs="宋体"/>
                <w:color w:val="auto"/>
                <w:kern w:val="0"/>
                <w:sz w:val="18"/>
                <w:szCs w:val="18"/>
              </w:rPr>
            </w:pPr>
            <w:r>
              <w:rPr>
                <w:rFonts w:hint="eastAsia" w:cs="宋体"/>
                <w:color w:val="auto"/>
                <w:kern w:val="0"/>
                <w:sz w:val="18"/>
                <w:szCs w:val="18"/>
              </w:rPr>
              <w:t>租赁和商务服务业</w:t>
            </w: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从业人员(X)</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人</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X≥300</w:t>
            </w:r>
          </w:p>
        </w:tc>
        <w:tc>
          <w:tcPr>
            <w:tcW w:w="1701" w:type="dxa"/>
            <w:vAlign w:val="center"/>
          </w:tcPr>
          <w:p>
            <w:pPr>
              <w:widowControl/>
              <w:spacing w:line="280" w:lineRule="exact"/>
              <w:ind w:left="1" w:leftChars="-51" w:hanging="108" w:hangingChars="60"/>
              <w:jc w:val="center"/>
              <w:rPr>
                <w:rFonts w:cs="宋体"/>
                <w:color w:val="auto"/>
                <w:kern w:val="0"/>
                <w:sz w:val="18"/>
                <w:szCs w:val="18"/>
              </w:rPr>
            </w:pPr>
            <w:r>
              <w:rPr>
                <w:rFonts w:hint="eastAsia" w:cs="宋体"/>
                <w:color w:val="auto"/>
                <w:kern w:val="0"/>
                <w:sz w:val="18"/>
                <w:szCs w:val="18"/>
              </w:rPr>
              <w:t>100≤X＜300</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10≤X＜100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widowControl/>
              <w:spacing w:line="280" w:lineRule="exact"/>
              <w:jc w:val="left"/>
              <w:rPr>
                <w:rFonts w:cs="宋体"/>
                <w:color w:val="auto"/>
                <w:kern w:val="0"/>
                <w:sz w:val="18"/>
                <w:szCs w:val="18"/>
              </w:rPr>
            </w:pP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资产总额(Z)</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万元</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Z≥120000</w:t>
            </w:r>
          </w:p>
        </w:tc>
        <w:tc>
          <w:tcPr>
            <w:tcW w:w="1701"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8000≤Z＜120000</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100≤Z＜8000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Align w:val="center"/>
          </w:tcPr>
          <w:p>
            <w:pPr>
              <w:widowControl/>
              <w:spacing w:line="280" w:lineRule="exact"/>
              <w:jc w:val="left"/>
              <w:rPr>
                <w:rFonts w:cs="宋体"/>
                <w:color w:val="auto"/>
                <w:kern w:val="0"/>
                <w:sz w:val="18"/>
                <w:szCs w:val="18"/>
              </w:rPr>
            </w:pPr>
            <w:r>
              <w:rPr>
                <w:rFonts w:hint="eastAsia" w:cs="宋体"/>
                <w:color w:val="auto"/>
                <w:kern w:val="0"/>
                <w:sz w:val="18"/>
                <w:szCs w:val="18"/>
              </w:rPr>
              <w:t>其他未列明行业 *</w:t>
            </w:r>
          </w:p>
        </w:tc>
        <w:tc>
          <w:tcPr>
            <w:tcW w:w="136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从业人员(X)</w:t>
            </w:r>
          </w:p>
        </w:tc>
        <w:tc>
          <w:tcPr>
            <w:tcW w:w="709"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人</w:t>
            </w:r>
          </w:p>
        </w:tc>
        <w:tc>
          <w:tcPr>
            <w:tcW w:w="1125"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X≥300</w:t>
            </w:r>
          </w:p>
        </w:tc>
        <w:tc>
          <w:tcPr>
            <w:tcW w:w="1701" w:type="dxa"/>
            <w:vAlign w:val="center"/>
          </w:tcPr>
          <w:p>
            <w:pPr>
              <w:widowControl/>
              <w:spacing w:line="280" w:lineRule="exact"/>
              <w:ind w:left="1" w:leftChars="-51" w:hanging="108" w:hangingChars="60"/>
              <w:jc w:val="center"/>
              <w:rPr>
                <w:rFonts w:cs="宋体"/>
                <w:color w:val="auto"/>
                <w:kern w:val="0"/>
                <w:sz w:val="18"/>
                <w:szCs w:val="18"/>
              </w:rPr>
            </w:pPr>
            <w:r>
              <w:rPr>
                <w:rFonts w:hint="eastAsia" w:cs="宋体"/>
                <w:color w:val="auto"/>
                <w:kern w:val="0"/>
                <w:sz w:val="18"/>
                <w:szCs w:val="18"/>
              </w:rPr>
              <w:t>100≤X＜300</w:t>
            </w:r>
          </w:p>
        </w:tc>
        <w:tc>
          <w:tcPr>
            <w:tcW w:w="1426"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10≤X＜100</w:t>
            </w:r>
          </w:p>
        </w:tc>
        <w:tc>
          <w:tcPr>
            <w:tcW w:w="992" w:type="dxa"/>
            <w:vAlign w:val="center"/>
          </w:tcPr>
          <w:p>
            <w:pPr>
              <w:widowControl/>
              <w:spacing w:line="280" w:lineRule="exact"/>
              <w:jc w:val="center"/>
              <w:rPr>
                <w:rFonts w:cs="宋体"/>
                <w:color w:val="auto"/>
                <w:kern w:val="0"/>
                <w:sz w:val="18"/>
                <w:szCs w:val="18"/>
              </w:rPr>
            </w:pPr>
            <w:r>
              <w:rPr>
                <w:rFonts w:hint="eastAsia" w:cs="宋体"/>
                <w:color w:val="auto"/>
                <w:kern w:val="0"/>
                <w:sz w:val="18"/>
                <w:szCs w:val="18"/>
              </w:rPr>
              <w:t>X＜10</w:t>
            </w:r>
          </w:p>
        </w:tc>
      </w:tr>
    </w:tbl>
    <w:p>
      <w:pPr>
        <w:widowControl/>
        <w:spacing w:line="440" w:lineRule="exact"/>
        <w:rPr>
          <w:rFonts w:cs="宋体"/>
          <w:color w:val="auto"/>
          <w:spacing w:val="8"/>
          <w:kern w:val="0"/>
          <w:szCs w:val="21"/>
        </w:rPr>
      </w:pPr>
      <w:r>
        <w:rPr>
          <w:rFonts w:hint="eastAsia" w:cs="宋体"/>
          <w:color w:val="auto"/>
          <w:spacing w:val="8"/>
          <w:kern w:val="0"/>
          <w:szCs w:val="21"/>
        </w:rPr>
        <w:t>说明：</w:t>
      </w:r>
    </w:p>
    <w:p>
      <w:pPr>
        <w:pStyle w:val="28"/>
        <w:adjustRightInd w:val="0"/>
        <w:spacing w:line="440" w:lineRule="exact"/>
        <w:ind w:firstLine="452" w:firstLineChars="200"/>
        <w:contextualSpacing/>
        <w:rPr>
          <w:rFonts w:ascii="Times New Roman" w:hAnsi="Times New Roman" w:cs="宋体"/>
          <w:color w:val="auto"/>
          <w:spacing w:val="8"/>
          <w:kern w:val="0"/>
          <w:szCs w:val="21"/>
        </w:rPr>
      </w:pPr>
      <w:r>
        <w:rPr>
          <w:rFonts w:hint="eastAsia" w:ascii="Times New Roman" w:hAnsi="Times New Roman" w:cs="宋体"/>
          <w:color w:val="auto"/>
          <w:spacing w:val="8"/>
          <w:kern w:val="0"/>
          <w:szCs w:val="21"/>
        </w:rPr>
        <w:t>1.大型、中型和小型企业须同时满足所列指标的下限，否则下划一档；微型企业只须满足所列指标中的一项即可。</w:t>
      </w:r>
    </w:p>
    <w:p>
      <w:pPr>
        <w:pStyle w:val="28"/>
        <w:adjustRightInd w:val="0"/>
        <w:spacing w:line="440" w:lineRule="exact"/>
        <w:ind w:firstLine="452" w:firstLineChars="200"/>
        <w:contextualSpacing/>
        <w:rPr>
          <w:rFonts w:ascii="Times New Roman" w:hAnsi="Times New Roman" w:cs="宋体"/>
          <w:color w:val="auto"/>
          <w:spacing w:val="8"/>
          <w:kern w:val="0"/>
          <w:szCs w:val="21"/>
        </w:rPr>
      </w:pPr>
      <w:r>
        <w:rPr>
          <w:rFonts w:hint="eastAsia" w:ascii="Times New Roman" w:hAnsi="Times New Roman" w:cs="宋体"/>
          <w:color w:val="auto"/>
          <w:spacing w:val="8"/>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28"/>
        <w:spacing w:line="440" w:lineRule="exact"/>
        <w:ind w:firstLine="452" w:firstLineChars="200"/>
        <w:rPr>
          <w:rFonts w:ascii="Times New Roman" w:hAnsi="Times New Roman" w:cs="宋体"/>
          <w:color w:val="auto"/>
          <w:spacing w:val="8"/>
          <w:kern w:val="0"/>
          <w:szCs w:val="21"/>
        </w:rPr>
      </w:pPr>
      <w:r>
        <w:rPr>
          <w:rFonts w:hint="eastAsia" w:ascii="Times New Roman" w:hAnsi="Times New Roman" w:cs="宋体"/>
          <w:color w:val="auto"/>
          <w:spacing w:val="8"/>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bookmarkStart w:id="268" w:name="_Toc8466"/>
      <w:bookmarkStart w:id="269" w:name="_Toc4774"/>
    </w:p>
    <w:p>
      <w:pPr>
        <w:pStyle w:val="13"/>
        <w:ind w:left="2940"/>
        <w:rPr>
          <w:rFonts w:cs="宋体"/>
          <w:color w:val="auto"/>
          <w:spacing w:val="8"/>
          <w:kern w:val="0"/>
          <w:sz w:val="24"/>
        </w:rPr>
      </w:pPr>
    </w:p>
    <w:p>
      <w:pPr>
        <w:jc w:val="center"/>
        <w:outlineLvl w:val="0"/>
        <w:rPr>
          <w:rFonts w:eastAsia="华文中宋" w:cs="华文中宋"/>
          <w:b/>
          <w:bCs/>
          <w:color w:val="auto"/>
          <w:sz w:val="32"/>
          <w:szCs w:val="32"/>
        </w:rPr>
      </w:pPr>
      <w:bookmarkStart w:id="270" w:name="_Toc25717"/>
      <w:bookmarkStart w:id="271" w:name="_Toc11185"/>
      <w:r>
        <w:rPr>
          <w:rFonts w:hint="eastAsia" w:eastAsia="华文中宋" w:cs="华文中宋"/>
          <w:b/>
          <w:bCs/>
          <w:color w:val="auto"/>
          <w:sz w:val="32"/>
          <w:szCs w:val="32"/>
        </w:rPr>
        <w:br w:type="page"/>
      </w:r>
      <w:bookmarkStart w:id="272" w:name="_Toc2307"/>
      <w:r>
        <w:rPr>
          <w:rFonts w:hint="eastAsia" w:eastAsia="华文中宋" w:cs="华文中宋"/>
          <w:b/>
          <w:bCs/>
          <w:color w:val="auto"/>
          <w:sz w:val="32"/>
          <w:szCs w:val="32"/>
        </w:rPr>
        <w:t>第五章  采购合同（合同主要条款及格式）</w:t>
      </w:r>
      <w:bookmarkEnd w:id="268"/>
      <w:bookmarkEnd w:id="269"/>
      <w:bookmarkEnd w:id="270"/>
      <w:bookmarkEnd w:id="271"/>
      <w:bookmarkEnd w:id="272"/>
    </w:p>
    <w:p>
      <w:pPr>
        <w:pStyle w:val="4"/>
        <w:spacing w:line="720" w:lineRule="auto"/>
        <w:jc w:val="center"/>
        <w:outlineLvl w:val="1"/>
        <w:rPr>
          <w:b w:val="0"/>
          <w:color w:val="auto"/>
          <w:sz w:val="30"/>
          <w:szCs w:val="30"/>
        </w:rPr>
      </w:pPr>
      <w:bookmarkStart w:id="273" w:name="_Toc10014"/>
      <w:bookmarkStart w:id="274" w:name="_Toc24269"/>
      <w:r>
        <w:rPr>
          <w:rFonts w:hint="eastAsia"/>
          <w:color w:val="auto"/>
          <w:sz w:val="30"/>
          <w:szCs w:val="30"/>
        </w:rPr>
        <w:t>第一</w:t>
      </w:r>
      <w:r>
        <w:rPr>
          <w:rFonts w:hint="eastAsia"/>
          <w:color w:val="auto"/>
          <w:sz w:val="30"/>
          <w:szCs w:val="30"/>
          <w:lang w:val="en-US" w:eastAsia="zh-CN"/>
        </w:rPr>
        <w:t>节</w:t>
      </w:r>
      <w:r>
        <w:rPr>
          <w:rFonts w:hint="eastAsia"/>
          <w:color w:val="auto"/>
          <w:sz w:val="30"/>
          <w:szCs w:val="30"/>
        </w:rPr>
        <w:t xml:space="preserve"> 合同协议书</w:t>
      </w:r>
    </w:p>
    <w:p>
      <w:pPr>
        <w:spacing w:line="360" w:lineRule="auto"/>
        <w:rPr>
          <w:rFonts w:hint="default" w:ascii="宋体" w:hAnsi="宋体" w:cs="宋体"/>
          <w:b/>
          <w:bCs/>
          <w:color w:val="auto"/>
          <w:szCs w:val="21"/>
          <w:u w:val="single"/>
          <w:lang w:val="en-US" w:eastAsia="zh-CN"/>
        </w:rPr>
      </w:pPr>
      <w:r>
        <w:rPr>
          <w:rFonts w:hint="eastAsia" w:ascii="宋体" w:hAnsi="宋体"/>
          <w:b/>
          <w:color w:val="auto"/>
          <w:szCs w:val="21"/>
        </w:rPr>
        <w:t>发包人（全称）：</w:t>
      </w:r>
      <w:r>
        <w:rPr>
          <w:rFonts w:hint="eastAsia" w:ascii="宋体" w:hAnsi="宋体"/>
          <w:b/>
          <w:bCs/>
          <w:color w:val="auto"/>
          <w:szCs w:val="21"/>
          <w:u w:val="single"/>
        </w:rPr>
        <w:t xml:space="preserve"> </w:t>
      </w:r>
      <w:r>
        <w:rPr>
          <w:rFonts w:hint="eastAsia" w:ascii="宋体" w:hAnsi="宋体" w:cs="宋体"/>
          <w:b/>
          <w:bCs/>
          <w:color w:val="auto"/>
          <w:szCs w:val="21"/>
          <w:u w:val="single"/>
        </w:rPr>
        <w:t xml:space="preserve">  </w:t>
      </w:r>
      <w:r>
        <w:rPr>
          <w:rFonts w:hint="eastAsia" w:ascii="宋体" w:hAnsi="宋体" w:eastAsia="宋体" w:cs="宋体"/>
          <w:b/>
          <w:bCs/>
          <w:color w:val="auto"/>
          <w:sz w:val="21"/>
          <w:szCs w:val="21"/>
          <w:u w:val="single"/>
          <w:lang w:eastAsia="zh-CN"/>
        </w:rPr>
        <w:t xml:space="preserve">                </w:t>
      </w:r>
      <w:r>
        <w:rPr>
          <w:rFonts w:hint="eastAsia" w:ascii="宋体" w:hAnsi="宋体" w:cs="宋体"/>
          <w:b/>
          <w:bCs/>
          <w:color w:val="auto"/>
          <w:szCs w:val="21"/>
          <w:u w:val="single"/>
          <w:lang w:val="en-US" w:eastAsia="zh-CN"/>
        </w:rPr>
        <w:t xml:space="preserve">      </w:t>
      </w:r>
    </w:p>
    <w:p>
      <w:pPr>
        <w:spacing w:line="360" w:lineRule="auto"/>
        <w:rPr>
          <w:rFonts w:hint="default" w:ascii="宋体" w:hAnsi="宋体" w:eastAsia="宋体"/>
          <w:b/>
          <w:bCs/>
          <w:color w:val="auto"/>
          <w:szCs w:val="21"/>
          <w:u w:val="single"/>
          <w:lang w:val="en-US" w:eastAsia="zh-CN"/>
        </w:rPr>
      </w:pPr>
      <w:r>
        <w:rPr>
          <w:rFonts w:hint="eastAsia" w:ascii="宋体" w:hAnsi="宋体"/>
          <w:b/>
          <w:color w:val="auto"/>
          <w:szCs w:val="21"/>
        </w:rPr>
        <w:t>承包人（全称）：</w:t>
      </w:r>
      <w:r>
        <w:rPr>
          <w:rFonts w:ascii="宋体" w:hAnsi="宋体"/>
          <w:b/>
          <w:bCs/>
          <w:color w:val="auto"/>
          <w:szCs w:val="21"/>
          <w:u w:val="single"/>
        </w:rPr>
        <w:t xml:space="preserve"> </w:t>
      </w:r>
      <w:r>
        <w:rPr>
          <w:rFonts w:hint="eastAsia" w:ascii="宋体" w:hAnsi="宋体"/>
          <w:b/>
          <w:bCs/>
          <w:color w:val="auto"/>
          <w:szCs w:val="21"/>
          <w:u w:val="single"/>
        </w:rPr>
        <w:t xml:space="preserve">  </w:t>
      </w:r>
      <w:r>
        <w:rPr>
          <w:rFonts w:hint="eastAsia" w:ascii="宋体" w:hAnsi="宋体"/>
          <w:b/>
          <w:bCs/>
          <w:color w:val="auto"/>
          <w:szCs w:val="21"/>
          <w:u w:val="single"/>
          <w:lang w:eastAsia="zh-CN"/>
        </w:rPr>
        <w:t xml:space="preserve">                    </w:t>
      </w:r>
      <w:r>
        <w:rPr>
          <w:rFonts w:hint="eastAsia" w:ascii="宋体" w:hAnsi="宋体"/>
          <w:b/>
          <w:bCs/>
          <w:color w:val="auto"/>
          <w:szCs w:val="21"/>
          <w:u w:val="single"/>
          <w:lang w:val="en-US" w:eastAsia="zh-CN"/>
        </w:rPr>
        <w:t xml:space="preserve">  </w:t>
      </w:r>
    </w:p>
    <w:p>
      <w:pPr>
        <w:spacing w:line="360" w:lineRule="auto"/>
        <w:ind w:firstLine="420" w:firstLineChars="200"/>
        <w:rPr>
          <w:rFonts w:ascii="宋体" w:hAnsi="宋体"/>
          <w:color w:val="auto"/>
          <w:szCs w:val="21"/>
        </w:rPr>
      </w:pPr>
      <w:r>
        <w:rPr>
          <w:rFonts w:hint="eastAsia" w:ascii="宋体" w:hAnsi="宋体"/>
          <w:color w:val="auto"/>
          <w:szCs w:val="21"/>
        </w:rPr>
        <w:t>根据《</w:t>
      </w:r>
      <w:r>
        <w:rPr>
          <w:rFonts w:hint="eastAsia" w:cs="宋体"/>
          <w:color w:val="auto"/>
          <w:kern w:val="0"/>
          <w:szCs w:val="21"/>
        </w:rPr>
        <w:t>中华人民共和国民法典</w:t>
      </w:r>
      <w:r>
        <w:rPr>
          <w:rFonts w:hint="eastAsia" w:ascii="宋体" w:hAnsi="宋体"/>
          <w:color w:val="auto"/>
          <w:szCs w:val="21"/>
        </w:rPr>
        <w:t>》、《中华人民共和国建筑法》及有关法律规定，遵循平等、自愿、公平和诚实信用的原则，双方就</w:t>
      </w:r>
      <w:r>
        <w:rPr>
          <w:rFonts w:hint="eastAsia" w:ascii="宋体" w:hAnsi="宋体"/>
          <w:color w:val="auto"/>
          <w:szCs w:val="21"/>
          <w:u w:val="single"/>
          <w:lang w:val="en-US" w:eastAsia="zh-CN"/>
        </w:rPr>
        <w:t xml:space="preserve"> </w:t>
      </w:r>
      <w:r>
        <w:rPr>
          <w:rFonts w:hint="eastAsia" w:ascii="宋体" w:hAnsi="宋体" w:eastAsia="宋体" w:cs="宋体"/>
          <w:b w:val="0"/>
          <w:bCs w:val="0"/>
          <w:color w:val="auto"/>
          <w:sz w:val="21"/>
          <w:szCs w:val="21"/>
          <w:u w:val="single"/>
          <w:lang w:eastAsia="zh-CN"/>
        </w:rPr>
        <w:t>灵川县灵川镇木马村委三排至车田优质稻产业基地内灌溉水渠工程</w:t>
      </w:r>
      <w:r>
        <w:rPr>
          <w:rFonts w:hint="eastAsia" w:ascii="宋体" w:hAnsi="宋体" w:cs="宋体"/>
          <w:color w:val="auto"/>
          <w:szCs w:val="21"/>
          <w:u w:val="single"/>
        </w:rPr>
        <w:t xml:space="preserve"> </w:t>
      </w:r>
      <w:r>
        <w:rPr>
          <w:rFonts w:hint="eastAsia" w:ascii="宋体" w:hAnsi="宋体"/>
          <w:color w:val="auto"/>
          <w:szCs w:val="21"/>
        </w:rPr>
        <w:t>施工及有关事项协商一致，共同达成如下协议：</w:t>
      </w:r>
    </w:p>
    <w:p>
      <w:pPr>
        <w:pStyle w:val="5"/>
        <w:spacing w:before="120" w:after="120" w:line="360" w:lineRule="auto"/>
        <w:outlineLvl w:val="2"/>
        <w:rPr>
          <w:rFonts w:ascii="宋体" w:hAnsi="宋体"/>
          <w:bCs w:val="0"/>
          <w:color w:val="auto"/>
          <w:sz w:val="21"/>
          <w:szCs w:val="21"/>
        </w:rPr>
      </w:pPr>
      <w:r>
        <w:rPr>
          <w:rFonts w:ascii="宋体" w:hAnsi="宋体"/>
          <w:bCs w:val="0"/>
          <w:color w:val="auto"/>
          <w:sz w:val="21"/>
          <w:szCs w:val="21"/>
        </w:rPr>
        <w:t xml:space="preserve">   </w:t>
      </w:r>
      <w:r>
        <w:rPr>
          <w:rFonts w:ascii="宋体" w:hAnsi="宋体"/>
          <w:b w:val="0"/>
          <w:color w:val="auto"/>
          <w:sz w:val="21"/>
          <w:szCs w:val="21"/>
        </w:rPr>
        <w:t xml:space="preserve"> </w:t>
      </w:r>
      <w:bookmarkStart w:id="275" w:name="_Toc351203481"/>
      <w:r>
        <w:rPr>
          <w:rFonts w:hint="eastAsia" w:ascii="宋体" w:hAnsi="宋体"/>
          <w:b w:val="0"/>
          <w:color w:val="auto"/>
          <w:sz w:val="21"/>
          <w:szCs w:val="21"/>
        </w:rPr>
        <w:t>一、工程概况</w:t>
      </w:r>
      <w:bookmarkEnd w:id="275"/>
    </w:p>
    <w:p>
      <w:pPr>
        <w:spacing w:line="360" w:lineRule="auto"/>
        <w:ind w:firstLine="420" w:firstLineChars="200"/>
        <w:rPr>
          <w:rFonts w:ascii="宋体" w:hAnsi="宋体"/>
          <w:b/>
          <w:color w:val="auto"/>
          <w:szCs w:val="21"/>
          <w:u w:val="single"/>
        </w:rPr>
      </w:pPr>
      <w:r>
        <w:rPr>
          <w:rFonts w:ascii="宋体" w:hAnsi="宋体"/>
          <w:bCs/>
          <w:color w:val="auto"/>
          <w:szCs w:val="21"/>
        </w:rPr>
        <w:t>1.</w:t>
      </w:r>
      <w:r>
        <w:rPr>
          <w:rFonts w:hint="eastAsia" w:ascii="宋体" w:hAnsi="宋体"/>
          <w:bCs/>
          <w:color w:val="auto"/>
          <w:szCs w:val="21"/>
        </w:rPr>
        <w:t>工程名称</w:t>
      </w:r>
      <w:r>
        <w:rPr>
          <w:rFonts w:hint="eastAsia" w:ascii="宋体" w:hAnsi="宋体"/>
          <w:color w:val="auto"/>
          <w:szCs w:val="21"/>
        </w:rPr>
        <w:t>：</w:t>
      </w:r>
      <w:r>
        <w:rPr>
          <w:rFonts w:hint="eastAsia" w:ascii="宋体" w:hAnsi="宋体" w:cs="宋体"/>
          <w:color w:val="auto"/>
          <w:szCs w:val="21"/>
          <w:u w:val="single"/>
        </w:rPr>
        <w:t xml:space="preserve"> </w:t>
      </w:r>
      <w:r>
        <w:rPr>
          <w:rFonts w:hint="eastAsia" w:ascii="宋体" w:hAnsi="宋体" w:eastAsia="宋体" w:cs="宋体"/>
          <w:b w:val="0"/>
          <w:bCs w:val="0"/>
          <w:color w:val="auto"/>
          <w:sz w:val="21"/>
          <w:szCs w:val="21"/>
          <w:u w:val="single"/>
          <w:lang w:eastAsia="zh-CN"/>
        </w:rPr>
        <w:t>灵川县灵川镇木马村委三排至车田优质稻产业基地内灌溉水渠工程</w:t>
      </w:r>
      <w:r>
        <w:rPr>
          <w:rFonts w:hint="eastAsia" w:ascii="宋体" w:hAnsi="宋体"/>
          <w:color w:val="auto"/>
          <w:szCs w:val="21"/>
        </w:rPr>
        <w:t>。</w:t>
      </w:r>
    </w:p>
    <w:p>
      <w:pPr>
        <w:spacing w:line="360" w:lineRule="auto"/>
        <w:ind w:firstLine="411" w:firstLineChars="196"/>
        <w:rPr>
          <w:rFonts w:hint="eastAsia" w:ascii="宋体" w:hAnsi="宋体" w:eastAsia="宋体" w:cs="宋体"/>
          <w:color w:val="auto"/>
          <w:szCs w:val="21"/>
          <w:u w:val="single"/>
          <w:lang w:val="en-US" w:eastAsia="zh-CN"/>
        </w:rPr>
      </w:pPr>
      <w:r>
        <w:rPr>
          <w:rFonts w:ascii="宋体" w:hAnsi="宋体"/>
          <w:bCs/>
          <w:color w:val="auto"/>
          <w:szCs w:val="21"/>
        </w:rPr>
        <w:t>2.</w:t>
      </w:r>
      <w:r>
        <w:rPr>
          <w:rFonts w:hint="eastAsia" w:ascii="宋体" w:hAnsi="宋体"/>
          <w:bCs/>
          <w:color w:val="auto"/>
          <w:szCs w:val="21"/>
        </w:rPr>
        <w:t>工程地点：</w:t>
      </w:r>
      <w:r>
        <w:rPr>
          <w:rFonts w:hint="eastAsia" w:ascii="宋体" w:hAnsi="宋体"/>
          <w:bCs/>
          <w:color w:val="auto"/>
          <w:szCs w:val="21"/>
          <w:u w:val="single"/>
          <w:lang w:val="en-US" w:eastAsia="zh-CN"/>
        </w:rPr>
        <w:t xml:space="preserve"> </w:t>
      </w:r>
      <w:r>
        <w:rPr>
          <w:rFonts w:hint="eastAsia" w:ascii="宋体" w:hAnsi="宋体" w:eastAsia="宋体" w:cs="宋体"/>
          <w:b w:val="0"/>
          <w:bCs w:val="0"/>
          <w:color w:val="auto"/>
          <w:sz w:val="21"/>
          <w:szCs w:val="21"/>
          <w:u w:val="single"/>
          <w:lang w:eastAsia="zh-CN"/>
        </w:rPr>
        <w:t>灵川县灵川镇木马村</w:t>
      </w:r>
    </w:p>
    <w:p>
      <w:pPr>
        <w:pStyle w:val="28"/>
        <w:spacing w:line="360" w:lineRule="auto"/>
        <w:ind w:firstLine="420" w:firstLineChars="200"/>
        <w:jc w:val="left"/>
        <w:rPr>
          <w:rFonts w:hint="eastAsia" w:hAnsi="宋体" w:cs="宋体"/>
          <w:color w:val="auto"/>
          <w:szCs w:val="21"/>
          <w:u w:val="single"/>
        </w:rPr>
      </w:pPr>
      <w:bookmarkStart w:id="276" w:name="_Toc351203482"/>
      <w:r>
        <w:rPr>
          <w:rFonts w:hint="eastAsia" w:hAnsi="宋体" w:cs="宋体"/>
          <w:color w:val="auto"/>
          <w:szCs w:val="21"/>
        </w:rPr>
        <w:t>3.资金来源：</w:t>
      </w:r>
      <w:r>
        <w:rPr>
          <w:rFonts w:hint="eastAsia" w:hAnsi="宋体" w:cs="宋体"/>
          <w:color w:val="auto"/>
          <w:szCs w:val="21"/>
          <w:u w:val="single"/>
        </w:rPr>
        <w:t xml:space="preserve"> </w:t>
      </w:r>
      <w:r>
        <w:rPr>
          <w:rFonts w:hint="eastAsia" w:ascii="宋体" w:hAnsi="宋体" w:eastAsia="宋体" w:cs="宋体"/>
          <w:color w:val="auto"/>
          <w:sz w:val="21"/>
          <w:szCs w:val="21"/>
          <w:u w:val="single"/>
          <w:lang w:val="en-US" w:eastAsia="zh-CN"/>
        </w:rPr>
        <w:t xml:space="preserve"> 财政资金</w:t>
      </w:r>
      <w:r>
        <w:rPr>
          <w:rFonts w:hint="eastAsia" w:hAnsi="宋体" w:cs="宋体"/>
          <w:color w:val="auto"/>
          <w:szCs w:val="21"/>
          <w:u w:val="single"/>
        </w:rPr>
        <w:t xml:space="preserve"> 。</w:t>
      </w:r>
    </w:p>
    <w:p>
      <w:pPr>
        <w:pStyle w:val="28"/>
        <w:spacing w:line="360" w:lineRule="auto"/>
        <w:ind w:firstLine="420" w:firstLineChars="200"/>
        <w:jc w:val="left"/>
        <w:rPr>
          <w:rFonts w:hint="eastAsia" w:hAnsi="宋体" w:cs="宋体"/>
          <w:color w:val="auto"/>
          <w:szCs w:val="21"/>
        </w:rPr>
      </w:pPr>
      <w:r>
        <w:rPr>
          <w:rFonts w:hint="eastAsia" w:hAnsi="宋体" w:cs="宋体"/>
          <w:color w:val="auto"/>
          <w:szCs w:val="21"/>
        </w:rPr>
        <w:t xml:space="preserve">4.工程内容： </w:t>
      </w:r>
      <w:r>
        <w:rPr>
          <w:rFonts w:hint="eastAsia" w:hAnsi="宋体" w:cs="宋体"/>
          <w:color w:val="auto"/>
          <w:szCs w:val="21"/>
          <w:u w:val="single"/>
        </w:rPr>
        <w:t xml:space="preserve"> </w:t>
      </w:r>
      <w:r>
        <w:rPr>
          <w:rFonts w:hint="eastAsia" w:ascii="宋体" w:hAnsi="宋体" w:eastAsia="宋体" w:cs="宋体"/>
          <w:color w:val="auto"/>
          <w:sz w:val="21"/>
          <w:szCs w:val="21"/>
          <w:u w:val="single"/>
          <w:lang w:eastAsia="zh-CN"/>
        </w:rPr>
        <w:t>本工程施工图纸范围内包含的工程施工内容，详见评审后的控制价和工程量清单。</w:t>
      </w:r>
    </w:p>
    <w:p>
      <w:pPr>
        <w:spacing w:line="360" w:lineRule="auto"/>
        <w:ind w:firstLine="411" w:firstLineChars="196"/>
        <w:rPr>
          <w:rFonts w:hint="eastAsia"/>
          <w:b/>
          <w:color w:val="auto"/>
          <w:u w:val="single"/>
        </w:rPr>
      </w:pPr>
      <w:r>
        <w:rPr>
          <w:rFonts w:hint="eastAsia" w:ascii="宋体" w:hAnsi="宋体" w:cs="宋体"/>
          <w:color w:val="auto"/>
          <w:szCs w:val="21"/>
        </w:rPr>
        <w:t xml:space="preserve">5.工程承包范围： </w:t>
      </w:r>
      <w:r>
        <w:rPr>
          <w:rFonts w:hint="eastAsia" w:ascii="宋体" w:hAnsi="宋体" w:cs="宋体"/>
          <w:color w:val="auto"/>
          <w:szCs w:val="21"/>
          <w:u w:val="single"/>
        </w:rPr>
        <w:t>详见工程量清单及图纸要求的内容。</w:t>
      </w:r>
    </w:p>
    <w:p>
      <w:pPr>
        <w:spacing w:line="360" w:lineRule="auto"/>
        <w:ind w:firstLine="411" w:firstLineChars="196"/>
        <w:rPr>
          <w:rFonts w:ascii="宋体" w:hAnsi="宋体"/>
          <w:color w:val="auto"/>
          <w:szCs w:val="21"/>
        </w:rPr>
      </w:pPr>
      <w:r>
        <w:rPr>
          <w:rFonts w:hint="eastAsia" w:ascii="宋体" w:hAnsi="宋体"/>
          <w:color w:val="auto"/>
          <w:szCs w:val="21"/>
        </w:rPr>
        <w:t>二、合同工期</w:t>
      </w:r>
      <w:bookmarkEnd w:id="276"/>
    </w:p>
    <w:p>
      <w:pPr>
        <w:spacing w:line="360" w:lineRule="auto"/>
        <w:ind w:firstLine="459"/>
        <w:rPr>
          <w:rFonts w:ascii="宋体" w:hAnsi="宋体"/>
          <w:b w:val="0"/>
          <w:bCs w:val="0"/>
          <w:color w:val="auto"/>
          <w:szCs w:val="21"/>
        </w:rPr>
      </w:pPr>
      <w:r>
        <w:rPr>
          <w:rFonts w:hint="eastAsia" w:ascii="宋体" w:hAnsi="宋体"/>
          <w:color w:val="auto"/>
          <w:szCs w:val="21"/>
        </w:rPr>
        <w:t>计划开工日期：</w:t>
      </w:r>
      <w:r>
        <w:rPr>
          <w:rFonts w:hint="eastAsia" w:ascii="宋体" w:hAnsi="宋体"/>
          <w:b w:val="0"/>
          <w:bCs w:val="0"/>
          <w:color w:val="auto"/>
          <w:szCs w:val="21"/>
          <w:u w:val="single"/>
        </w:rPr>
        <w:t xml:space="preserve"> </w:t>
      </w:r>
      <w:r>
        <w:rPr>
          <w:rFonts w:hint="eastAsia" w:ascii="宋体" w:hAnsi="宋体"/>
          <w:b w:val="0"/>
          <w:bCs w:val="0"/>
          <w:color w:val="auto"/>
          <w:szCs w:val="21"/>
          <w:u w:val="single"/>
          <w:lang w:val="en-US" w:eastAsia="zh-CN"/>
        </w:rPr>
        <w:t>2024</w:t>
      </w:r>
      <w:r>
        <w:rPr>
          <w:rFonts w:hint="eastAsia" w:ascii="宋体" w:hAnsi="宋体"/>
          <w:b w:val="0"/>
          <w:bCs w:val="0"/>
          <w:color w:val="auto"/>
          <w:szCs w:val="21"/>
        </w:rPr>
        <w:t>年</w:t>
      </w:r>
      <w:r>
        <w:rPr>
          <w:rFonts w:hint="eastAsia" w:ascii="宋体" w:hAnsi="宋体"/>
          <w:b w:val="0"/>
          <w:bCs w:val="0"/>
          <w:color w:val="auto"/>
          <w:szCs w:val="21"/>
          <w:u w:val="single"/>
        </w:rPr>
        <w:t xml:space="preserve"> </w:t>
      </w:r>
      <w:r>
        <w:rPr>
          <w:rFonts w:hint="eastAsia" w:ascii="宋体" w:hAnsi="宋体"/>
          <w:b w:val="0"/>
          <w:bCs w:val="0"/>
          <w:color w:val="auto"/>
          <w:szCs w:val="21"/>
          <w:u w:val="single"/>
          <w:lang w:val="en-US" w:eastAsia="zh-CN"/>
        </w:rPr>
        <w:t xml:space="preserve">  </w:t>
      </w:r>
      <w:r>
        <w:rPr>
          <w:rFonts w:hint="eastAsia" w:ascii="宋体" w:hAnsi="宋体"/>
          <w:b w:val="0"/>
          <w:bCs w:val="0"/>
          <w:color w:val="auto"/>
          <w:szCs w:val="21"/>
          <w:u w:val="single"/>
        </w:rPr>
        <w:t xml:space="preserve"> </w:t>
      </w:r>
      <w:r>
        <w:rPr>
          <w:rFonts w:hint="eastAsia" w:ascii="宋体" w:hAnsi="宋体"/>
          <w:b w:val="0"/>
          <w:bCs w:val="0"/>
          <w:color w:val="auto"/>
          <w:szCs w:val="21"/>
        </w:rPr>
        <w:t>月</w:t>
      </w:r>
      <w:r>
        <w:rPr>
          <w:rFonts w:hint="eastAsia" w:ascii="宋体" w:hAnsi="宋体"/>
          <w:b w:val="0"/>
          <w:bCs w:val="0"/>
          <w:color w:val="auto"/>
          <w:szCs w:val="21"/>
          <w:u w:val="single"/>
        </w:rPr>
        <w:t xml:space="preserve"> </w:t>
      </w:r>
      <w:r>
        <w:rPr>
          <w:rFonts w:hint="eastAsia" w:ascii="宋体" w:hAnsi="宋体"/>
          <w:b w:val="0"/>
          <w:bCs w:val="0"/>
          <w:color w:val="auto"/>
          <w:szCs w:val="21"/>
          <w:u w:val="single"/>
          <w:lang w:val="en-US" w:eastAsia="zh-CN"/>
        </w:rPr>
        <w:t xml:space="preserve">  </w:t>
      </w:r>
      <w:r>
        <w:rPr>
          <w:rFonts w:hint="eastAsia" w:ascii="宋体" w:hAnsi="宋体"/>
          <w:b w:val="0"/>
          <w:bCs w:val="0"/>
          <w:color w:val="auto"/>
          <w:szCs w:val="21"/>
          <w:u w:val="single"/>
        </w:rPr>
        <w:t xml:space="preserve"> </w:t>
      </w:r>
      <w:r>
        <w:rPr>
          <w:rFonts w:hint="eastAsia" w:ascii="宋体" w:hAnsi="宋体"/>
          <w:b w:val="0"/>
          <w:bCs w:val="0"/>
          <w:color w:val="auto"/>
          <w:szCs w:val="21"/>
        </w:rPr>
        <w:t>日。</w:t>
      </w:r>
    </w:p>
    <w:p>
      <w:pPr>
        <w:spacing w:line="360" w:lineRule="auto"/>
        <w:ind w:firstLine="459"/>
        <w:rPr>
          <w:rFonts w:ascii="宋体" w:hAnsi="宋体"/>
          <w:color w:val="auto"/>
          <w:szCs w:val="21"/>
        </w:rPr>
      </w:pPr>
      <w:r>
        <w:rPr>
          <w:rFonts w:hint="eastAsia" w:ascii="宋体" w:hAnsi="宋体"/>
          <w:b w:val="0"/>
          <w:bCs w:val="0"/>
          <w:color w:val="auto"/>
          <w:szCs w:val="21"/>
        </w:rPr>
        <w:t>计划竣工日期：</w:t>
      </w:r>
      <w:r>
        <w:rPr>
          <w:rFonts w:hint="eastAsia" w:ascii="宋体" w:hAnsi="宋体"/>
          <w:b w:val="0"/>
          <w:bCs w:val="0"/>
          <w:color w:val="auto"/>
          <w:szCs w:val="21"/>
          <w:u w:val="single"/>
          <w:lang w:val="en-US" w:eastAsia="zh-CN"/>
        </w:rPr>
        <w:t>2024</w:t>
      </w:r>
      <w:r>
        <w:rPr>
          <w:rFonts w:hint="eastAsia" w:ascii="宋体" w:hAnsi="宋体"/>
          <w:b w:val="0"/>
          <w:bCs w:val="0"/>
          <w:color w:val="auto"/>
          <w:szCs w:val="21"/>
          <w:u w:val="single"/>
        </w:rPr>
        <w:t xml:space="preserve"> </w:t>
      </w:r>
      <w:r>
        <w:rPr>
          <w:rFonts w:hint="eastAsia" w:ascii="宋体" w:hAnsi="宋体"/>
          <w:b w:val="0"/>
          <w:bCs w:val="0"/>
          <w:color w:val="auto"/>
          <w:szCs w:val="21"/>
        </w:rPr>
        <w:t>年</w:t>
      </w:r>
      <w:r>
        <w:rPr>
          <w:rFonts w:hint="eastAsia" w:ascii="宋体" w:hAnsi="宋体"/>
          <w:b w:val="0"/>
          <w:bCs w:val="0"/>
          <w:color w:val="auto"/>
          <w:szCs w:val="21"/>
          <w:u w:val="single"/>
        </w:rPr>
        <w:t xml:space="preserve"> </w:t>
      </w:r>
      <w:r>
        <w:rPr>
          <w:rFonts w:hint="eastAsia" w:ascii="宋体" w:hAnsi="宋体"/>
          <w:b w:val="0"/>
          <w:bCs w:val="0"/>
          <w:color w:val="auto"/>
          <w:szCs w:val="21"/>
          <w:u w:val="single"/>
          <w:lang w:val="en-US" w:eastAsia="zh-CN"/>
        </w:rPr>
        <w:t xml:space="preserve">  </w:t>
      </w:r>
      <w:r>
        <w:rPr>
          <w:rFonts w:hint="eastAsia" w:ascii="宋体" w:hAnsi="宋体"/>
          <w:b w:val="0"/>
          <w:bCs w:val="0"/>
          <w:color w:val="auto"/>
          <w:szCs w:val="21"/>
          <w:u w:val="single"/>
        </w:rPr>
        <w:t xml:space="preserve"> </w:t>
      </w:r>
      <w:r>
        <w:rPr>
          <w:rFonts w:hint="eastAsia" w:ascii="宋体" w:hAnsi="宋体"/>
          <w:b w:val="0"/>
          <w:bCs w:val="0"/>
          <w:color w:val="auto"/>
          <w:szCs w:val="21"/>
        </w:rPr>
        <w:t>月</w:t>
      </w:r>
      <w:r>
        <w:rPr>
          <w:rFonts w:hint="eastAsia" w:ascii="宋体" w:hAnsi="宋体"/>
          <w:b w:val="0"/>
          <w:bCs w:val="0"/>
          <w:color w:val="auto"/>
          <w:szCs w:val="21"/>
          <w:u w:val="single"/>
        </w:rPr>
        <w:t xml:space="preserve"> </w:t>
      </w:r>
      <w:r>
        <w:rPr>
          <w:rFonts w:hint="eastAsia" w:ascii="宋体" w:hAnsi="宋体"/>
          <w:b w:val="0"/>
          <w:bCs w:val="0"/>
          <w:color w:val="auto"/>
          <w:szCs w:val="21"/>
          <w:u w:val="single"/>
          <w:lang w:val="en-US" w:eastAsia="zh-CN"/>
        </w:rPr>
        <w:t xml:space="preserve">  </w:t>
      </w:r>
      <w:r>
        <w:rPr>
          <w:rFonts w:hint="eastAsia" w:ascii="宋体" w:hAnsi="宋体"/>
          <w:b w:val="0"/>
          <w:bCs w:val="0"/>
          <w:color w:val="auto"/>
          <w:szCs w:val="21"/>
          <w:u w:val="single"/>
        </w:rPr>
        <w:t xml:space="preserve"> </w:t>
      </w:r>
      <w:r>
        <w:rPr>
          <w:rFonts w:hint="eastAsia" w:ascii="宋体" w:hAnsi="宋体"/>
          <w:b w:val="0"/>
          <w:bCs w:val="0"/>
          <w:color w:val="auto"/>
          <w:szCs w:val="21"/>
        </w:rPr>
        <w:t>日</w:t>
      </w:r>
      <w:r>
        <w:rPr>
          <w:rFonts w:hint="eastAsia" w:ascii="宋体" w:hAnsi="宋体"/>
          <w:color w:val="auto"/>
          <w:szCs w:val="21"/>
        </w:rPr>
        <w:t>。</w:t>
      </w:r>
    </w:p>
    <w:p>
      <w:pPr>
        <w:spacing w:line="360" w:lineRule="auto"/>
        <w:ind w:left="210" w:leftChars="100" w:firstLine="247" w:firstLineChars="118"/>
        <w:rPr>
          <w:rFonts w:ascii="宋体" w:hAnsi="宋体"/>
          <w:color w:val="auto"/>
          <w:szCs w:val="21"/>
        </w:rPr>
      </w:pPr>
      <w:r>
        <w:rPr>
          <w:rFonts w:hint="eastAsia" w:ascii="宋体" w:hAnsi="宋体"/>
          <w:color w:val="auto"/>
          <w:szCs w:val="21"/>
        </w:rPr>
        <w:t>工期总日历天数：</w:t>
      </w:r>
      <w:r>
        <w:rPr>
          <w:rFonts w:hint="eastAsia" w:ascii="宋体" w:hAnsi="宋体"/>
          <w:b w:val="0"/>
          <w:bCs/>
          <w:color w:val="auto"/>
          <w:szCs w:val="21"/>
          <w:u w:val="single"/>
        </w:rPr>
        <w:t xml:space="preserve"> </w:t>
      </w:r>
      <w:r>
        <w:rPr>
          <w:rFonts w:hint="eastAsia" w:ascii="宋体" w:hAnsi="宋体"/>
          <w:b w:val="0"/>
          <w:bCs/>
          <w:color w:val="auto"/>
          <w:szCs w:val="21"/>
          <w:u w:val="single"/>
          <w:lang w:val="en-US" w:eastAsia="zh-CN"/>
        </w:rPr>
        <w:t>90</w:t>
      </w:r>
      <w:r>
        <w:rPr>
          <w:rFonts w:hint="eastAsia" w:ascii="宋体" w:hAnsi="宋体"/>
          <w:b w:val="0"/>
          <w:bCs/>
          <w:color w:val="auto"/>
          <w:szCs w:val="21"/>
          <w:u w:val="single"/>
        </w:rPr>
        <w:t xml:space="preserve"> </w:t>
      </w:r>
      <w:r>
        <w:rPr>
          <w:rFonts w:hint="eastAsia" w:ascii="宋体" w:hAnsi="宋体"/>
          <w:color w:val="auto"/>
          <w:szCs w:val="21"/>
        </w:rPr>
        <w:t>天。工期总日历天数与根据前述计划开竣工日期计算的工期天数不一致的，以工期总日历天数为准。</w:t>
      </w:r>
    </w:p>
    <w:p>
      <w:pPr>
        <w:pStyle w:val="5"/>
        <w:spacing w:before="120" w:after="120" w:line="360" w:lineRule="auto"/>
        <w:rPr>
          <w:rFonts w:ascii="宋体" w:hAnsi="宋体"/>
          <w:bCs w:val="0"/>
          <w:color w:val="auto"/>
          <w:sz w:val="21"/>
          <w:szCs w:val="21"/>
        </w:rPr>
      </w:pPr>
      <w:r>
        <w:rPr>
          <w:rFonts w:ascii="宋体" w:hAnsi="宋体"/>
          <w:bCs w:val="0"/>
          <w:color w:val="auto"/>
          <w:sz w:val="21"/>
          <w:szCs w:val="21"/>
        </w:rPr>
        <w:t xml:space="preserve">    </w:t>
      </w:r>
      <w:bookmarkStart w:id="277" w:name="_Toc351203483"/>
      <w:r>
        <w:rPr>
          <w:rFonts w:hint="eastAsia" w:ascii="宋体" w:hAnsi="宋体"/>
          <w:b w:val="0"/>
          <w:color w:val="auto"/>
          <w:sz w:val="21"/>
          <w:szCs w:val="21"/>
        </w:rPr>
        <w:t>三、质量标准</w:t>
      </w:r>
      <w:bookmarkEnd w:id="277"/>
    </w:p>
    <w:p>
      <w:pPr>
        <w:spacing w:line="360" w:lineRule="auto"/>
        <w:ind w:firstLine="459"/>
        <w:rPr>
          <w:rFonts w:ascii="宋体" w:hAnsi="宋体"/>
          <w:color w:val="auto"/>
          <w:szCs w:val="21"/>
        </w:rPr>
      </w:pPr>
      <w:r>
        <w:rPr>
          <w:rFonts w:hint="eastAsia" w:ascii="宋体" w:hAnsi="宋体"/>
          <w:color w:val="auto"/>
          <w:szCs w:val="21"/>
        </w:rPr>
        <w:t>工程质量</w:t>
      </w:r>
      <w:r>
        <w:rPr>
          <w:rFonts w:hint="eastAsia" w:hAnsi="宋体"/>
          <w:b/>
          <w:color w:val="auto"/>
          <w:u w:val="single"/>
        </w:rPr>
        <w:t>符合达到国家水利工程施工验收规范合格</w:t>
      </w:r>
      <w:r>
        <w:rPr>
          <w:rFonts w:hint="eastAsia" w:ascii="宋体" w:hAnsi="宋体"/>
          <w:color w:val="auto"/>
          <w:szCs w:val="21"/>
        </w:rPr>
        <w:t>标准。</w:t>
      </w:r>
    </w:p>
    <w:p>
      <w:pPr>
        <w:pStyle w:val="5"/>
        <w:spacing w:before="120" w:after="120" w:line="360" w:lineRule="auto"/>
        <w:rPr>
          <w:rFonts w:ascii="宋体" w:hAnsi="宋体"/>
          <w:bCs w:val="0"/>
          <w:color w:val="auto"/>
          <w:sz w:val="21"/>
          <w:szCs w:val="21"/>
        </w:rPr>
      </w:pPr>
      <w:r>
        <w:rPr>
          <w:rFonts w:ascii="宋体" w:hAnsi="宋体"/>
          <w:bCs w:val="0"/>
          <w:color w:val="auto"/>
          <w:sz w:val="21"/>
          <w:szCs w:val="21"/>
        </w:rPr>
        <w:t xml:space="preserve">   </w:t>
      </w:r>
      <w:r>
        <w:rPr>
          <w:rFonts w:ascii="宋体" w:hAnsi="宋体"/>
          <w:b w:val="0"/>
          <w:color w:val="auto"/>
          <w:sz w:val="21"/>
          <w:szCs w:val="21"/>
        </w:rPr>
        <w:t xml:space="preserve"> </w:t>
      </w:r>
      <w:bookmarkStart w:id="278" w:name="_Toc351203484"/>
      <w:r>
        <w:rPr>
          <w:rFonts w:hint="eastAsia" w:ascii="宋体" w:hAnsi="宋体"/>
          <w:b w:val="0"/>
          <w:color w:val="auto"/>
          <w:sz w:val="21"/>
          <w:szCs w:val="21"/>
        </w:rPr>
        <w:t>四、签约合同价与合同价格形式</w:t>
      </w:r>
      <w:bookmarkEnd w:id="278"/>
      <w:r>
        <w:rPr>
          <w:rFonts w:ascii="宋体" w:hAnsi="宋体"/>
          <w:b w:val="0"/>
          <w:color w:val="auto"/>
          <w:sz w:val="21"/>
          <w:szCs w:val="21"/>
        </w:rPr>
        <w:tab/>
      </w:r>
    </w:p>
    <w:p>
      <w:pPr>
        <w:pStyle w:val="28"/>
        <w:spacing w:line="360" w:lineRule="auto"/>
        <w:ind w:firstLine="540"/>
        <w:jc w:val="left"/>
        <w:rPr>
          <w:rFonts w:hint="default" w:ascii="宋体" w:hAnsi="宋体" w:eastAsia="宋体" w:cs="宋体"/>
          <w:color w:val="auto"/>
          <w:sz w:val="21"/>
          <w:szCs w:val="21"/>
          <w:lang w:val="en-US" w:eastAsia="zh-CN"/>
        </w:rPr>
      </w:pPr>
      <w:r>
        <w:rPr>
          <w:rFonts w:hint="eastAsia" w:hAnsi="宋体" w:cs="宋体"/>
          <w:color w:val="auto"/>
          <w:szCs w:val="21"/>
        </w:rPr>
        <w:t>签约合同价为：</w:t>
      </w:r>
      <w:r>
        <w:rPr>
          <w:rFonts w:hint="eastAsia" w:ascii="宋体" w:hAnsi="宋体" w:eastAsia="宋体" w:cs="宋体"/>
          <w:color w:val="auto"/>
          <w:sz w:val="21"/>
          <w:szCs w:val="21"/>
          <w:u w:val="single"/>
          <w:lang w:val="en-US" w:eastAsia="zh-CN"/>
        </w:rPr>
        <w:t xml:space="preserve">                                      </w:t>
      </w:r>
    </w:p>
    <w:p>
      <w:pPr>
        <w:pStyle w:val="28"/>
        <w:spacing w:line="360" w:lineRule="auto"/>
        <w:ind w:firstLine="540"/>
        <w:jc w:val="left"/>
        <w:rPr>
          <w:rFonts w:hint="eastAsia" w:hAnsi="宋体" w:cs="宋体"/>
          <w:color w:val="auto"/>
          <w:szCs w:val="21"/>
        </w:rPr>
      </w:pPr>
      <w:r>
        <w:rPr>
          <w:rFonts w:hint="eastAsia" w:hAnsi="宋体" w:cs="宋体"/>
          <w:color w:val="auto"/>
          <w:szCs w:val="21"/>
        </w:rPr>
        <w:t>最终结算以竣工结算审计结果为准。</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合同价格形式：固定单价合同，总价可调。</w:t>
      </w:r>
    </w:p>
    <w:p>
      <w:pPr>
        <w:pStyle w:val="5"/>
        <w:spacing w:before="120" w:after="120" w:line="360" w:lineRule="auto"/>
        <w:rPr>
          <w:rFonts w:ascii="宋体" w:hAnsi="宋体"/>
          <w:bCs w:val="0"/>
          <w:color w:val="auto"/>
          <w:sz w:val="21"/>
          <w:szCs w:val="21"/>
        </w:rPr>
      </w:pPr>
      <w:r>
        <w:rPr>
          <w:rFonts w:ascii="宋体" w:hAnsi="宋体"/>
          <w:bCs w:val="0"/>
          <w:color w:val="auto"/>
          <w:sz w:val="21"/>
          <w:szCs w:val="21"/>
        </w:rPr>
        <w:t xml:space="preserve">   </w:t>
      </w:r>
      <w:r>
        <w:rPr>
          <w:rFonts w:ascii="宋体" w:hAnsi="宋体"/>
          <w:b w:val="0"/>
          <w:color w:val="auto"/>
          <w:sz w:val="21"/>
          <w:szCs w:val="21"/>
        </w:rPr>
        <w:t xml:space="preserve"> </w:t>
      </w:r>
      <w:bookmarkStart w:id="279" w:name="_Toc351203486"/>
      <w:r>
        <w:rPr>
          <w:rFonts w:hint="eastAsia" w:ascii="宋体" w:hAnsi="宋体"/>
          <w:b w:val="0"/>
          <w:color w:val="auto"/>
          <w:sz w:val="21"/>
          <w:szCs w:val="21"/>
        </w:rPr>
        <w:t>五、合同文件构成</w:t>
      </w:r>
      <w:bookmarkEnd w:id="279"/>
    </w:p>
    <w:p>
      <w:pPr>
        <w:spacing w:line="360" w:lineRule="auto"/>
        <w:ind w:firstLine="420" w:firstLineChars="200"/>
        <w:rPr>
          <w:rFonts w:ascii="宋体" w:hAnsi="宋体"/>
          <w:bCs/>
          <w:color w:val="auto"/>
          <w:szCs w:val="21"/>
        </w:rPr>
      </w:pPr>
      <w:r>
        <w:rPr>
          <w:rFonts w:hint="eastAsia" w:ascii="宋体" w:hAnsi="宋体"/>
          <w:bCs/>
          <w:color w:val="auto"/>
          <w:szCs w:val="21"/>
        </w:rPr>
        <w:t>本协议书与下列文件一起构成合同文件：</w:t>
      </w: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szCs w:val="21"/>
        </w:rPr>
        <w:t>（1）专用合同条款及其附件；</w:t>
      </w: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szCs w:val="21"/>
        </w:rPr>
        <w:t>（2）通用合同条款；</w:t>
      </w: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szCs w:val="21"/>
        </w:rPr>
        <w:t>（3）技术标准和要求；</w:t>
      </w: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szCs w:val="21"/>
        </w:rPr>
        <w:t>（4）已标价工程量清单或预算书；</w:t>
      </w: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szCs w:val="21"/>
        </w:rPr>
        <w:t>（5）其他合同文件。</w:t>
      </w: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szCs w:val="21"/>
        </w:rPr>
        <w:t>在合同订立及履行过程中形成的与合同有关的文件均构成合同文件组成部分。</w:t>
      </w: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szCs w:val="21"/>
        </w:rPr>
        <w:t>上述各项合同文件包括合同当事人就该项合同文件所作出的补充和修改，属于同一类内容的文件，应以最新签署的为准。专用合同条款及其附件须经合同当事人签字或盖章。</w:t>
      </w:r>
    </w:p>
    <w:p>
      <w:pPr>
        <w:pStyle w:val="5"/>
        <w:spacing w:before="120" w:after="120" w:line="360" w:lineRule="auto"/>
        <w:rPr>
          <w:rFonts w:ascii="宋体" w:hAnsi="宋体"/>
          <w:b w:val="0"/>
          <w:bCs w:val="0"/>
          <w:color w:val="auto"/>
          <w:sz w:val="21"/>
          <w:szCs w:val="21"/>
        </w:rPr>
      </w:pPr>
      <w:r>
        <w:rPr>
          <w:rFonts w:ascii="宋体" w:hAnsi="宋体"/>
          <w:b w:val="0"/>
          <w:bCs w:val="0"/>
          <w:color w:val="auto"/>
          <w:sz w:val="21"/>
          <w:szCs w:val="21"/>
        </w:rPr>
        <w:t xml:space="preserve">   </w:t>
      </w:r>
      <w:r>
        <w:rPr>
          <w:rFonts w:ascii="宋体" w:hAnsi="宋体"/>
          <w:b w:val="0"/>
          <w:color w:val="auto"/>
          <w:sz w:val="21"/>
          <w:szCs w:val="21"/>
        </w:rPr>
        <w:t xml:space="preserve"> </w:t>
      </w:r>
      <w:bookmarkStart w:id="280" w:name="_Toc351203487"/>
      <w:r>
        <w:rPr>
          <w:rFonts w:hint="eastAsia" w:ascii="宋体" w:hAnsi="宋体"/>
          <w:b w:val="0"/>
          <w:color w:val="auto"/>
          <w:sz w:val="21"/>
          <w:szCs w:val="21"/>
        </w:rPr>
        <w:t>六、承诺</w:t>
      </w:r>
      <w:bookmarkEnd w:id="280"/>
    </w:p>
    <w:p>
      <w:pPr>
        <w:spacing w:line="360" w:lineRule="auto"/>
        <w:ind w:firstLine="420" w:firstLineChars="200"/>
        <w:rPr>
          <w:rFonts w:ascii="宋体" w:hAnsi="宋体"/>
          <w:bCs/>
          <w:color w:val="auto"/>
          <w:szCs w:val="21"/>
        </w:rPr>
      </w:pPr>
      <w:r>
        <w:rPr>
          <w:rFonts w:ascii="宋体" w:hAnsi="宋体"/>
          <w:bCs/>
          <w:color w:val="auto"/>
          <w:szCs w:val="21"/>
        </w:rPr>
        <w:t>1.</w:t>
      </w:r>
      <w:r>
        <w:rPr>
          <w:rFonts w:hint="eastAsia" w:ascii="宋体" w:hAnsi="宋体"/>
          <w:bCs/>
          <w:color w:val="auto"/>
          <w:szCs w:val="21"/>
        </w:rPr>
        <w:t>发包人承诺按照法律规定履行项目审批手续、筹集工程建设资金并按照合同约定的期限和方式支付合同价款。</w:t>
      </w:r>
    </w:p>
    <w:p>
      <w:pPr>
        <w:spacing w:line="360" w:lineRule="auto"/>
        <w:ind w:firstLine="420" w:firstLineChars="200"/>
        <w:rPr>
          <w:rFonts w:ascii="宋体" w:hAnsi="宋体"/>
          <w:bCs/>
          <w:color w:val="auto"/>
          <w:szCs w:val="21"/>
        </w:rPr>
      </w:pPr>
      <w:r>
        <w:rPr>
          <w:rFonts w:ascii="宋体" w:hAnsi="宋体"/>
          <w:bCs/>
          <w:color w:val="auto"/>
          <w:szCs w:val="21"/>
        </w:rPr>
        <w:t>2.</w:t>
      </w:r>
      <w:r>
        <w:rPr>
          <w:rFonts w:hint="eastAsia" w:ascii="宋体" w:hAnsi="宋体"/>
          <w:bCs/>
          <w:color w:val="auto"/>
          <w:szCs w:val="21"/>
        </w:rPr>
        <w:t>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rPr>
          <w:rFonts w:ascii="宋体" w:hAnsi="宋体"/>
          <w:bCs/>
          <w:color w:val="auto"/>
          <w:szCs w:val="21"/>
        </w:rPr>
      </w:pPr>
      <w:r>
        <w:rPr>
          <w:rFonts w:ascii="宋体" w:hAnsi="宋体"/>
          <w:bCs/>
          <w:color w:val="auto"/>
          <w:szCs w:val="21"/>
        </w:rPr>
        <w:t>3.</w:t>
      </w:r>
      <w:r>
        <w:rPr>
          <w:rFonts w:hint="eastAsia" w:ascii="宋体" w:hAnsi="宋体"/>
          <w:bCs/>
          <w:color w:val="auto"/>
          <w:szCs w:val="21"/>
        </w:rPr>
        <w:t>发包人和承包人签订合同的，双方理解并承诺不再就同一工程另行签订与合同实质性内容相背离的协议。</w:t>
      </w:r>
    </w:p>
    <w:p>
      <w:pPr>
        <w:spacing w:line="360" w:lineRule="auto"/>
        <w:outlineLvl w:val="2"/>
        <w:rPr>
          <w:rFonts w:ascii="宋体" w:hAnsi="宋体"/>
          <w:bCs/>
          <w:color w:val="auto"/>
          <w:szCs w:val="21"/>
        </w:rPr>
      </w:pPr>
      <w:bookmarkStart w:id="281" w:name="_Toc351203488"/>
      <w:r>
        <w:rPr>
          <w:rFonts w:ascii="宋体" w:hAnsi="宋体"/>
          <w:b/>
          <w:color w:val="auto"/>
          <w:szCs w:val="21"/>
        </w:rPr>
        <w:t xml:space="preserve">   </w:t>
      </w:r>
      <w:r>
        <w:rPr>
          <w:rFonts w:ascii="宋体" w:hAnsi="宋体"/>
          <w:bCs/>
          <w:color w:val="auto"/>
          <w:szCs w:val="21"/>
        </w:rPr>
        <w:t xml:space="preserve"> </w:t>
      </w:r>
      <w:r>
        <w:rPr>
          <w:rFonts w:hint="eastAsia" w:ascii="宋体" w:hAnsi="宋体"/>
          <w:bCs/>
          <w:color w:val="auto"/>
          <w:szCs w:val="21"/>
        </w:rPr>
        <w:t>七、词语含义</w:t>
      </w:r>
      <w:bookmarkEnd w:id="281"/>
    </w:p>
    <w:p>
      <w:pPr>
        <w:spacing w:line="360" w:lineRule="auto"/>
        <w:ind w:firstLine="420" w:firstLineChars="200"/>
        <w:rPr>
          <w:rFonts w:ascii="宋体" w:hAnsi="宋体"/>
          <w:bCs/>
          <w:color w:val="auto"/>
          <w:szCs w:val="21"/>
        </w:rPr>
      </w:pPr>
      <w:r>
        <w:rPr>
          <w:rFonts w:hint="eastAsia" w:ascii="宋体" w:hAnsi="宋体"/>
          <w:bCs/>
          <w:color w:val="auto"/>
          <w:szCs w:val="21"/>
        </w:rPr>
        <w:t>本协议书中词语含义与第二部分通用合同条款中赋予的含义相同。</w:t>
      </w:r>
    </w:p>
    <w:p>
      <w:pPr>
        <w:pStyle w:val="5"/>
        <w:spacing w:before="120" w:after="120" w:line="360" w:lineRule="auto"/>
        <w:rPr>
          <w:rFonts w:ascii="宋体" w:hAnsi="宋体"/>
          <w:bCs w:val="0"/>
          <w:color w:val="auto"/>
          <w:sz w:val="21"/>
          <w:szCs w:val="21"/>
        </w:rPr>
      </w:pPr>
      <w:r>
        <w:rPr>
          <w:rFonts w:ascii="宋体" w:hAnsi="宋体"/>
          <w:bCs w:val="0"/>
          <w:color w:val="auto"/>
          <w:sz w:val="21"/>
          <w:szCs w:val="21"/>
        </w:rPr>
        <w:t xml:space="preserve">  </w:t>
      </w:r>
      <w:r>
        <w:rPr>
          <w:rFonts w:ascii="宋体" w:hAnsi="宋体"/>
          <w:b w:val="0"/>
          <w:color w:val="auto"/>
          <w:sz w:val="21"/>
          <w:szCs w:val="21"/>
        </w:rPr>
        <w:t xml:space="preserve">  </w:t>
      </w:r>
      <w:bookmarkStart w:id="282" w:name="_Toc351203489"/>
      <w:r>
        <w:rPr>
          <w:rFonts w:hint="eastAsia" w:ascii="宋体" w:hAnsi="宋体"/>
          <w:b w:val="0"/>
          <w:color w:val="auto"/>
          <w:sz w:val="21"/>
          <w:szCs w:val="21"/>
        </w:rPr>
        <w:t>八、签订时间</w:t>
      </w:r>
      <w:bookmarkEnd w:id="282"/>
    </w:p>
    <w:p>
      <w:pPr>
        <w:spacing w:line="360" w:lineRule="auto"/>
        <w:ind w:firstLine="420" w:firstLineChars="200"/>
        <w:rPr>
          <w:rFonts w:ascii="宋体" w:hAnsi="宋体"/>
          <w:bCs/>
          <w:color w:val="auto"/>
          <w:szCs w:val="21"/>
        </w:rPr>
      </w:pPr>
      <w:r>
        <w:rPr>
          <w:rFonts w:hint="eastAsia" w:ascii="宋体" w:hAnsi="宋体"/>
          <w:bCs/>
          <w:color w:val="auto"/>
          <w:szCs w:val="21"/>
        </w:rPr>
        <w:t>本合同于</w:t>
      </w:r>
      <w:r>
        <w:rPr>
          <w:rFonts w:ascii="宋体" w:hAnsi="宋体"/>
          <w:bCs/>
          <w:color w:val="auto"/>
          <w:szCs w:val="21"/>
          <w:u w:val="single"/>
        </w:rPr>
        <w:t xml:space="preserve"> </w:t>
      </w:r>
      <w:r>
        <w:rPr>
          <w:rFonts w:hint="eastAsia" w:ascii="宋体" w:hAnsi="宋体"/>
          <w:bCs/>
          <w:color w:val="auto"/>
          <w:szCs w:val="21"/>
          <w:u w:val="single"/>
          <w:lang w:val="en-US" w:eastAsia="zh-CN"/>
        </w:rPr>
        <w:t>2024</w:t>
      </w:r>
      <w:r>
        <w:rPr>
          <w:rFonts w:hint="eastAsia" w:ascii="宋体" w:hAnsi="宋体"/>
          <w:bCs/>
          <w:color w:val="auto"/>
          <w:szCs w:val="21"/>
          <w:u w:val="single"/>
        </w:rPr>
        <w:t xml:space="preserve"> </w:t>
      </w:r>
      <w:r>
        <w:rPr>
          <w:rFonts w:hint="eastAsia" w:ascii="宋体" w:hAnsi="宋体"/>
          <w:bCs/>
          <w:color w:val="auto"/>
          <w:szCs w:val="21"/>
        </w:rPr>
        <w:t>年</w:t>
      </w:r>
      <w:r>
        <w:rPr>
          <w:rFonts w:ascii="宋体" w:hAnsi="宋体"/>
          <w:bCs/>
          <w:color w:val="auto"/>
          <w:szCs w:val="21"/>
          <w:u w:val="single"/>
        </w:rPr>
        <w:t xml:space="preserve"> </w:t>
      </w:r>
      <w:r>
        <w:rPr>
          <w:rFonts w:hint="eastAsia" w:ascii="宋体" w:hAnsi="宋体"/>
          <w:bCs/>
          <w:color w:val="auto"/>
          <w:szCs w:val="21"/>
          <w:u w:val="single"/>
          <w:lang w:val="en-US" w:eastAsia="zh-CN"/>
        </w:rPr>
        <w:t xml:space="preserve">  </w:t>
      </w:r>
      <w:r>
        <w:rPr>
          <w:rFonts w:hint="eastAsia" w:ascii="宋体" w:hAnsi="宋体"/>
          <w:bCs/>
          <w:color w:val="auto"/>
          <w:szCs w:val="21"/>
          <w:u w:val="single"/>
        </w:rPr>
        <w:t xml:space="preserve"> </w:t>
      </w:r>
      <w:r>
        <w:rPr>
          <w:rFonts w:hint="eastAsia" w:ascii="宋体" w:hAnsi="宋体"/>
          <w:bCs/>
          <w:color w:val="auto"/>
          <w:szCs w:val="21"/>
        </w:rPr>
        <w:t>月</w:t>
      </w:r>
      <w:r>
        <w:rPr>
          <w:rFonts w:ascii="宋体" w:hAnsi="宋体"/>
          <w:bCs/>
          <w:color w:val="auto"/>
          <w:szCs w:val="21"/>
          <w:u w:val="single"/>
        </w:rPr>
        <w:t xml:space="preserve"> </w:t>
      </w:r>
      <w:r>
        <w:rPr>
          <w:rFonts w:hint="eastAsia" w:ascii="宋体" w:hAnsi="宋体"/>
          <w:bCs/>
          <w:color w:val="auto"/>
          <w:szCs w:val="21"/>
          <w:u w:val="single"/>
          <w:lang w:val="en-US" w:eastAsia="zh-CN"/>
        </w:rPr>
        <w:t xml:space="preserve">  </w:t>
      </w:r>
      <w:r>
        <w:rPr>
          <w:rFonts w:hint="eastAsia" w:ascii="宋体" w:hAnsi="宋体"/>
          <w:bCs/>
          <w:color w:val="auto"/>
          <w:szCs w:val="21"/>
          <w:u w:val="single"/>
        </w:rPr>
        <w:t xml:space="preserve"> </w:t>
      </w:r>
      <w:r>
        <w:rPr>
          <w:rFonts w:hint="eastAsia" w:ascii="宋体" w:hAnsi="宋体"/>
          <w:bCs/>
          <w:color w:val="auto"/>
          <w:szCs w:val="21"/>
        </w:rPr>
        <w:t>日签订。</w:t>
      </w:r>
    </w:p>
    <w:p>
      <w:pPr>
        <w:pStyle w:val="5"/>
        <w:spacing w:before="120" w:after="120" w:line="360" w:lineRule="auto"/>
        <w:rPr>
          <w:rFonts w:ascii="宋体" w:hAnsi="宋体"/>
          <w:bCs w:val="0"/>
          <w:color w:val="auto"/>
          <w:sz w:val="21"/>
          <w:szCs w:val="21"/>
        </w:rPr>
      </w:pPr>
      <w:r>
        <w:rPr>
          <w:rFonts w:ascii="宋体" w:hAnsi="宋体"/>
          <w:bCs w:val="0"/>
          <w:color w:val="auto"/>
          <w:sz w:val="21"/>
          <w:szCs w:val="21"/>
        </w:rPr>
        <w:t xml:space="preserve">    </w:t>
      </w:r>
      <w:bookmarkStart w:id="283" w:name="_Toc351203490"/>
      <w:r>
        <w:rPr>
          <w:rFonts w:hint="eastAsia" w:ascii="宋体" w:hAnsi="宋体"/>
          <w:b w:val="0"/>
          <w:color w:val="auto"/>
          <w:sz w:val="21"/>
          <w:szCs w:val="21"/>
        </w:rPr>
        <w:t>九、签订地点</w:t>
      </w:r>
      <w:bookmarkEnd w:id="283"/>
    </w:p>
    <w:p>
      <w:pPr>
        <w:spacing w:line="360" w:lineRule="auto"/>
        <w:ind w:firstLine="420" w:firstLineChars="200"/>
        <w:rPr>
          <w:rFonts w:ascii="宋体" w:hAnsi="宋体"/>
          <w:bCs/>
          <w:color w:val="auto"/>
          <w:szCs w:val="21"/>
        </w:rPr>
      </w:pPr>
      <w:r>
        <w:rPr>
          <w:rFonts w:hint="eastAsia" w:ascii="宋体" w:hAnsi="宋体"/>
          <w:bCs/>
          <w:color w:val="auto"/>
          <w:szCs w:val="21"/>
        </w:rPr>
        <w:t>本合同在</w:t>
      </w:r>
      <w:r>
        <w:rPr>
          <w:rFonts w:hint="eastAsia"/>
          <w:b/>
          <w:color w:val="auto"/>
          <w:u w:val="single"/>
        </w:rPr>
        <w:t xml:space="preserve"> </w:t>
      </w:r>
      <w:r>
        <w:rPr>
          <w:rFonts w:hint="eastAsia"/>
          <w:b/>
          <w:color w:val="auto"/>
          <w:u w:val="single"/>
          <w:lang w:eastAsia="zh-CN"/>
        </w:rPr>
        <w:t xml:space="preserve">                </w:t>
      </w:r>
      <w:r>
        <w:rPr>
          <w:rFonts w:hint="eastAsia"/>
          <w:b/>
          <w:color w:val="auto"/>
          <w:u w:val="single"/>
        </w:rPr>
        <w:t xml:space="preserve"> </w:t>
      </w:r>
      <w:r>
        <w:rPr>
          <w:rFonts w:hint="eastAsia" w:ascii="宋体" w:hAnsi="宋体"/>
          <w:bCs/>
          <w:color w:val="auto"/>
          <w:szCs w:val="21"/>
        </w:rPr>
        <w:t>签订。</w:t>
      </w:r>
    </w:p>
    <w:p>
      <w:pPr>
        <w:pStyle w:val="5"/>
        <w:spacing w:before="120" w:after="120" w:line="360" w:lineRule="auto"/>
        <w:rPr>
          <w:rFonts w:ascii="宋体" w:hAnsi="宋体"/>
          <w:bCs w:val="0"/>
          <w:color w:val="auto"/>
          <w:sz w:val="21"/>
          <w:szCs w:val="21"/>
        </w:rPr>
      </w:pPr>
      <w:r>
        <w:rPr>
          <w:rFonts w:ascii="宋体" w:hAnsi="宋体"/>
          <w:bCs w:val="0"/>
          <w:color w:val="auto"/>
          <w:sz w:val="21"/>
          <w:szCs w:val="21"/>
        </w:rPr>
        <w:t xml:space="preserve">    </w:t>
      </w:r>
      <w:bookmarkStart w:id="284" w:name="_Toc351203491"/>
      <w:r>
        <w:rPr>
          <w:rFonts w:hint="eastAsia" w:ascii="宋体" w:hAnsi="宋体"/>
          <w:b w:val="0"/>
          <w:color w:val="auto"/>
          <w:sz w:val="21"/>
          <w:szCs w:val="21"/>
        </w:rPr>
        <w:t>十、补充协议</w:t>
      </w:r>
      <w:bookmarkEnd w:id="284"/>
    </w:p>
    <w:p>
      <w:pPr>
        <w:spacing w:line="360" w:lineRule="auto"/>
        <w:ind w:firstLine="420" w:firstLineChars="200"/>
        <w:rPr>
          <w:rFonts w:ascii="宋体" w:hAnsi="宋体"/>
          <w:b/>
          <w:bCs/>
          <w:color w:val="auto"/>
          <w:szCs w:val="21"/>
        </w:rPr>
      </w:pPr>
      <w:r>
        <w:rPr>
          <w:rFonts w:hint="eastAsia" w:ascii="宋体" w:hAnsi="宋体"/>
          <w:bCs/>
          <w:color w:val="auto"/>
          <w:szCs w:val="21"/>
        </w:rPr>
        <w:t>合同未尽事宜，合同当事人另行签订补充协议，补充协议是合同的组成部分。</w:t>
      </w:r>
    </w:p>
    <w:p>
      <w:pPr>
        <w:pStyle w:val="5"/>
        <w:spacing w:before="120" w:after="120" w:line="360" w:lineRule="auto"/>
        <w:rPr>
          <w:rFonts w:ascii="宋体" w:hAnsi="宋体"/>
          <w:bCs w:val="0"/>
          <w:color w:val="auto"/>
          <w:sz w:val="21"/>
          <w:szCs w:val="21"/>
        </w:rPr>
      </w:pPr>
      <w:r>
        <w:rPr>
          <w:rFonts w:ascii="宋体" w:hAnsi="宋体"/>
          <w:bCs w:val="0"/>
          <w:color w:val="auto"/>
          <w:sz w:val="21"/>
          <w:szCs w:val="21"/>
        </w:rPr>
        <w:t xml:space="preserve">   </w:t>
      </w:r>
      <w:bookmarkStart w:id="285" w:name="_Toc351203492"/>
      <w:r>
        <w:rPr>
          <w:rFonts w:hint="eastAsia" w:ascii="宋体" w:hAnsi="宋体"/>
          <w:bCs w:val="0"/>
          <w:color w:val="auto"/>
          <w:sz w:val="21"/>
          <w:szCs w:val="21"/>
        </w:rPr>
        <w:t xml:space="preserve"> 十一</w:t>
      </w:r>
      <w:r>
        <w:rPr>
          <w:rFonts w:hint="eastAsia" w:ascii="宋体" w:hAnsi="宋体"/>
          <w:b w:val="0"/>
          <w:color w:val="auto"/>
          <w:sz w:val="21"/>
          <w:szCs w:val="21"/>
        </w:rPr>
        <w:t>、合同生效</w:t>
      </w:r>
      <w:bookmarkEnd w:id="285"/>
    </w:p>
    <w:p>
      <w:pPr>
        <w:spacing w:line="360" w:lineRule="auto"/>
        <w:ind w:firstLine="420" w:firstLineChars="200"/>
        <w:rPr>
          <w:rFonts w:ascii="宋体" w:hAnsi="宋体"/>
          <w:bCs/>
          <w:color w:val="auto"/>
          <w:szCs w:val="21"/>
        </w:rPr>
      </w:pPr>
      <w:r>
        <w:rPr>
          <w:rFonts w:hint="eastAsia" w:ascii="宋体" w:hAnsi="宋体"/>
          <w:bCs/>
          <w:color w:val="auto"/>
          <w:szCs w:val="21"/>
        </w:rPr>
        <w:t>本合同自</w:t>
      </w:r>
      <w:r>
        <w:rPr>
          <w:rFonts w:ascii="宋体" w:hAnsi="宋体"/>
          <w:bCs/>
          <w:color w:val="auto"/>
          <w:szCs w:val="21"/>
          <w:u w:val="single"/>
        </w:rPr>
        <w:t xml:space="preserve">   </w:t>
      </w:r>
      <w:r>
        <w:rPr>
          <w:rFonts w:hint="eastAsia" w:ascii="宋体" w:hAnsi="宋体"/>
          <w:b/>
          <w:bCs/>
          <w:color w:val="auto"/>
          <w:szCs w:val="21"/>
          <w:u w:val="single"/>
        </w:rPr>
        <w:t xml:space="preserve">甲乙双方签字盖章后  </w:t>
      </w:r>
      <w:r>
        <w:rPr>
          <w:rFonts w:hint="eastAsia" w:ascii="宋体" w:hAnsi="宋体"/>
          <w:bCs/>
          <w:color w:val="auto"/>
          <w:szCs w:val="21"/>
        </w:rPr>
        <w:t>生效。</w:t>
      </w:r>
    </w:p>
    <w:p>
      <w:pPr>
        <w:pStyle w:val="5"/>
        <w:spacing w:before="120" w:after="120" w:line="360" w:lineRule="auto"/>
        <w:rPr>
          <w:rFonts w:ascii="宋体" w:hAnsi="宋体"/>
          <w:bCs w:val="0"/>
          <w:color w:val="auto"/>
          <w:sz w:val="21"/>
          <w:szCs w:val="21"/>
        </w:rPr>
      </w:pPr>
      <w:r>
        <w:rPr>
          <w:rFonts w:ascii="宋体" w:hAnsi="宋体"/>
          <w:bCs w:val="0"/>
          <w:color w:val="auto"/>
          <w:sz w:val="21"/>
          <w:szCs w:val="21"/>
        </w:rPr>
        <w:t xml:space="preserve">    </w:t>
      </w:r>
      <w:bookmarkStart w:id="286" w:name="_Toc351203493"/>
      <w:r>
        <w:rPr>
          <w:rFonts w:hint="eastAsia" w:ascii="宋体" w:hAnsi="宋体"/>
          <w:b w:val="0"/>
          <w:color w:val="auto"/>
          <w:sz w:val="21"/>
          <w:szCs w:val="21"/>
        </w:rPr>
        <w:t>十二、合同份数</w:t>
      </w:r>
      <w:bookmarkEnd w:id="286"/>
    </w:p>
    <w:p>
      <w:pPr>
        <w:pStyle w:val="28"/>
        <w:spacing w:line="360" w:lineRule="auto"/>
        <w:ind w:firstLine="540"/>
        <w:jc w:val="left"/>
        <w:rPr>
          <w:rFonts w:hint="eastAsia" w:hAnsi="宋体" w:cs="宋体"/>
          <w:color w:val="auto"/>
          <w:szCs w:val="21"/>
        </w:rPr>
      </w:pPr>
      <w:r>
        <w:rPr>
          <w:rFonts w:hint="eastAsia" w:hAnsi="宋体" w:cs="宋体"/>
          <w:color w:val="auto"/>
          <w:szCs w:val="21"/>
        </w:rPr>
        <w:t>本合同一式</w:t>
      </w:r>
      <w:r>
        <w:rPr>
          <w:rFonts w:hint="eastAsia" w:hAnsi="宋体" w:cs="宋体"/>
          <w:color w:val="auto"/>
          <w:szCs w:val="21"/>
          <w:u w:val="single"/>
        </w:rPr>
        <w:t>6</w:t>
      </w:r>
      <w:r>
        <w:rPr>
          <w:rFonts w:hint="eastAsia" w:hAnsi="宋体" w:cs="宋体"/>
          <w:color w:val="auto"/>
          <w:szCs w:val="21"/>
        </w:rPr>
        <w:t>份，均具有同等法律效力，业务主管部门执</w:t>
      </w:r>
      <w:r>
        <w:rPr>
          <w:rFonts w:hint="eastAsia" w:hAnsi="宋体" w:cs="宋体"/>
          <w:color w:val="auto"/>
          <w:szCs w:val="21"/>
          <w:u w:val="single"/>
        </w:rPr>
        <w:t>3</w:t>
      </w:r>
      <w:r>
        <w:rPr>
          <w:rFonts w:hint="eastAsia" w:hAnsi="宋体" w:cs="宋体"/>
          <w:color w:val="auto"/>
          <w:szCs w:val="21"/>
        </w:rPr>
        <w:t>份，建设单位人执</w:t>
      </w:r>
      <w:r>
        <w:rPr>
          <w:rFonts w:hint="eastAsia" w:hAnsi="宋体" w:cs="宋体"/>
          <w:color w:val="auto"/>
          <w:szCs w:val="21"/>
          <w:u w:val="single"/>
        </w:rPr>
        <w:t xml:space="preserve"> 2 </w:t>
      </w:r>
      <w:r>
        <w:rPr>
          <w:rFonts w:hint="eastAsia" w:hAnsi="宋体" w:cs="宋体"/>
          <w:color w:val="auto"/>
          <w:szCs w:val="21"/>
        </w:rPr>
        <w:t>份，承包人执</w:t>
      </w:r>
      <w:r>
        <w:rPr>
          <w:rFonts w:hint="eastAsia" w:hAnsi="宋体" w:cs="宋体"/>
          <w:color w:val="auto"/>
          <w:szCs w:val="21"/>
          <w:u w:val="single"/>
        </w:rPr>
        <w:t>1</w:t>
      </w:r>
      <w:r>
        <w:rPr>
          <w:rFonts w:hint="eastAsia" w:hAnsi="宋体" w:cs="宋体"/>
          <w:color w:val="auto"/>
          <w:szCs w:val="21"/>
        </w:rPr>
        <w:t>份。</w:t>
      </w:r>
    </w:p>
    <w:p>
      <w:pPr>
        <w:pStyle w:val="2"/>
        <w:rPr>
          <w:rFonts w:hint="default" w:ascii="宋体" w:hAnsi="宋体" w:eastAsia="宋体"/>
          <w:bCs/>
          <w:color w:val="auto"/>
          <w:szCs w:val="21"/>
          <w:lang w:val="en-US" w:eastAsia="zh-CN"/>
        </w:rPr>
      </w:pPr>
      <w:r>
        <w:rPr>
          <w:rFonts w:hint="eastAsia" w:ascii="宋体" w:hAnsi="宋体"/>
          <w:bCs/>
          <w:color w:val="auto"/>
          <w:szCs w:val="21"/>
          <w:lang w:val="en-US" w:eastAsia="zh-CN"/>
        </w:rPr>
        <w:t>此页无正文</w:t>
      </w:r>
    </w:p>
    <w:p>
      <w:pPr>
        <w:pStyle w:val="2"/>
        <w:rPr>
          <w:rFonts w:hint="eastAsia" w:ascii="宋体" w:hAnsi="宋体"/>
          <w:bCs/>
          <w:color w:val="auto"/>
          <w:szCs w:val="21"/>
        </w:rPr>
      </w:pPr>
    </w:p>
    <w:p>
      <w:pPr>
        <w:pStyle w:val="2"/>
        <w:rPr>
          <w:rFonts w:hint="eastAsia" w:ascii="宋体" w:hAnsi="宋体"/>
          <w:bCs/>
          <w:color w:val="auto"/>
          <w:szCs w:val="21"/>
        </w:rPr>
      </w:pPr>
    </w:p>
    <w:p>
      <w:pPr>
        <w:rPr>
          <w:rFonts w:ascii="宋体" w:hAnsi="宋体"/>
          <w:color w:val="auto"/>
          <w:szCs w:val="21"/>
        </w:rPr>
      </w:pPr>
      <w:r>
        <w:rPr>
          <w:rFonts w:hint="eastAsia" w:ascii="宋体" w:hAnsi="宋体"/>
          <w:color w:val="auto"/>
          <w:szCs w:val="21"/>
        </w:rPr>
        <w:t>发包人：</w:t>
      </w:r>
      <w:r>
        <w:rPr>
          <w:rFonts w:ascii="宋体" w:hAnsi="宋体"/>
          <w:color w:val="auto"/>
          <w:szCs w:val="21"/>
        </w:rPr>
        <w:t xml:space="preserve">  (</w:t>
      </w:r>
      <w:r>
        <w:rPr>
          <w:rFonts w:hint="eastAsia" w:ascii="宋体" w:hAnsi="宋体"/>
          <w:color w:val="auto"/>
          <w:szCs w:val="21"/>
        </w:rPr>
        <w:t>公章</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承包人：</w:t>
      </w:r>
      <w:r>
        <w:rPr>
          <w:rFonts w:ascii="宋体" w:hAnsi="宋体"/>
          <w:color w:val="auto"/>
          <w:szCs w:val="21"/>
        </w:rPr>
        <w:t xml:space="preserve">  (</w:t>
      </w:r>
      <w:r>
        <w:rPr>
          <w:rFonts w:hint="eastAsia" w:ascii="宋体" w:hAnsi="宋体"/>
          <w:color w:val="auto"/>
          <w:szCs w:val="21"/>
        </w:rPr>
        <w:t>公章</w:t>
      </w:r>
      <w:r>
        <w:rPr>
          <w:rFonts w:ascii="宋体" w:hAnsi="宋体"/>
          <w:color w:val="auto"/>
          <w:szCs w:val="21"/>
        </w:rPr>
        <w:t xml:space="preserve">)                  </w:t>
      </w:r>
    </w:p>
    <w:p>
      <w:pPr>
        <w:rPr>
          <w:rFonts w:ascii="宋体" w:hAnsi="宋体"/>
          <w:color w:val="auto"/>
          <w:szCs w:val="21"/>
          <w:u w:val="single"/>
        </w:rPr>
      </w:pPr>
      <w:r>
        <w:rPr>
          <w:rFonts w:ascii="宋体" w:hAnsi="宋体"/>
          <w:color w:val="auto"/>
          <w:szCs w:val="21"/>
        </w:rPr>
        <w:t xml:space="preserve">               </w:t>
      </w:r>
    </w:p>
    <w:p>
      <w:pPr>
        <w:rPr>
          <w:rFonts w:ascii="宋体" w:hAnsi="宋体"/>
          <w:color w:val="auto"/>
          <w:szCs w:val="21"/>
        </w:rPr>
      </w:pPr>
      <w:r>
        <w:rPr>
          <w:rFonts w:hint="eastAsia" w:ascii="宋体" w:hAnsi="宋体"/>
          <w:color w:val="auto"/>
          <w:szCs w:val="21"/>
        </w:rPr>
        <w:t>法定代表人或其委托代理人：</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法定代表人或其委托代理人：</w:t>
      </w:r>
    </w:p>
    <w:p>
      <w:pPr>
        <w:rPr>
          <w:rFonts w:hint="eastAsia" w:ascii="宋体" w:hAnsi="宋体"/>
          <w:color w:val="auto"/>
          <w:szCs w:val="21"/>
        </w:rPr>
      </w:pPr>
      <w:r>
        <w:rPr>
          <w:rFonts w:hint="eastAsia" w:ascii="宋体" w:hAnsi="宋体"/>
          <w:color w:val="auto"/>
          <w:szCs w:val="21"/>
        </w:rPr>
        <w:t>（签字）</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（签字）</w:t>
      </w:r>
    </w:p>
    <w:p>
      <w:pPr>
        <w:jc w:val="center"/>
        <w:rPr>
          <w:rFonts w:hint="eastAsia"/>
          <w:b/>
          <w:bCs/>
          <w:color w:val="auto"/>
          <w:sz w:val="30"/>
          <w:szCs w:val="30"/>
        </w:rPr>
      </w:pPr>
    </w:p>
    <w:p>
      <w:pPr>
        <w:rPr>
          <w:rFonts w:hint="eastAsia"/>
          <w:b/>
          <w:bCs/>
          <w:color w:val="auto"/>
          <w:sz w:val="30"/>
          <w:szCs w:val="30"/>
        </w:rPr>
      </w:pPr>
      <w:r>
        <w:rPr>
          <w:rFonts w:hint="eastAsia"/>
          <w:b/>
          <w:bCs/>
          <w:color w:val="auto"/>
          <w:sz w:val="30"/>
          <w:szCs w:val="30"/>
        </w:rPr>
        <w:br w:type="page"/>
      </w:r>
    </w:p>
    <w:p>
      <w:pPr>
        <w:jc w:val="center"/>
        <w:outlineLvl w:val="1"/>
        <w:rPr>
          <w:b/>
          <w:bCs/>
          <w:color w:val="auto"/>
          <w:sz w:val="30"/>
          <w:szCs w:val="30"/>
        </w:rPr>
      </w:pPr>
      <w:r>
        <w:rPr>
          <w:rFonts w:hint="eastAsia"/>
          <w:b/>
          <w:bCs/>
          <w:color w:val="auto"/>
          <w:sz w:val="30"/>
          <w:szCs w:val="30"/>
        </w:rPr>
        <w:t>第二节　　通用合同条款</w:t>
      </w:r>
    </w:p>
    <w:p>
      <w:pPr>
        <w:pStyle w:val="47"/>
        <w:ind w:firstLine="420" w:firstLineChars="200"/>
        <w:rPr>
          <w:rFonts w:hint="eastAsia"/>
          <w:bCs/>
          <w:color w:val="auto"/>
          <w:sz w:val="21"/>
          <w:szCs w:val="21"/>
        </w:rPr>
      </w:pPr>
    </w:p>
    <w:p>
      <w:pPr>
        <w:pStyle w:val="47"/>
        <w:ind w:firstLine="420" w:firstLineChars="200"/>
        <w:rPr>
          <w:rFonts w:ascii="ˎ̥" w:hAnsi="ˎ̥"/>
          <w:color w:val="auto"/>
          <w:sz w:val="21"/>
          <w:szCs w:val="21"/>
        </w:rPr>
      </w:pPr>
      <w:r>
        <w:rPr>
          <w:rFonts w:hint="eastAsia"/>
          <w:bCs/>
          <w:color w:val="auto"/>
          <w:sz w:val="21"/>
          <w:szCs w:val="21"/>
        </w:rPr>
        <w:t>本工程的施工合同通用条款按广西壮族自治区水利厅颁发的《广西水利水电工程标准施工招标文件(2010年版)》(桂水基[2011] 1号文)中规定的通用合同条款执行。</w:t>
      </w:r>
    </w:p>
    <w:p>
      <w:pPr>
        <w:pStyle w:val="47"/>
        <w:jc w:val="center"/>
        <w:outlineLvl w:val="1"/>
        <w:rPr>
          <w:color w:val="auto"/>
          <w:sz w:val="30"/>
          <w:szCs w:val="30"/>
        </w:rPr>
      </w:pPr>
      <w:r>
        <w:rPr>
          <w:rFonts w:hint="eastAsia" w:ascii="ˎ̥" w:hAnsi="ˎ̥"/>
          <w:color w:val="auto"/>
          <w:sz w:val="21"/>
          <w:szCs w:val="21"/>
        </w:rPr>
        <w:br w:type="page"/>
      </w:r>
      <w:r>
        <w:rPr>
          <w:rFonts w:hint="eastAsia"/>
          <w:b/>
          <w:color w:val="auto"/>
          <w:sz w:val="30"/>
          <w:szCs w:val="30"/>
        </w:rPr>
        <w:t>第三节　　专用条款</w:t>
      </w:r>
    </w:p>
    <w:p>
      <w:pPr>
        <w:pStyle w:val="5"/>
        <w:spacing w:before="0" w:after="0" w:line="377" w:lineRule="auto"/>
        <w:outlineLvl w:val="2"/>
        <w:rPr>
          <w:rFonts w:ascii="宋体" w:hAnsi="宋体" w:cs="宋体"/>
          <w:color w:val="auto"/>
          <w:sz w:val="21"/>
          <w:szCs w:val="21"/>
        </w:rPr>
      </w:pPr>
      <w:bookmarkStart w:id="287" w:name="_Toc222033878"/>
      <w:bookmarkStart w:id="288" w:name="_Toc229305387"/>
      <w:bookmarkStart w:id="289" w:name="_Toc222032696"/>
      <w:bookmarkStart w:id="290" w:name="_Toc222031029"/>
      <w:bookmarkStart w:id="291" w:name="_Toc222029527"/>
      <w:bookmarkStart w:id="292" w:name="_Toc221951111"/>
      <w:r>
        <w:rPr>
          <w:rFonts w:hint="eastAsia" w:ascii="宋体" w:hAnsi="宋体" w:cs="宋体"/>
          <w:color w:val="auto"/>
          <w:sz w:val="21"/>
          <w:szCs w:val="21"/>
        </w:rPr>
        <w:t>1．一般约定</w:t>
      </w:r>
      <w:bookmarkEnd w:id="287"/>
      <w:bookmarkEnd w:id="288"/>
      <w:bookmarkEnd w:id="289"/>
      <w:bookmarkEnd w:id="290"/>
      <w:bookmarkEnd w:id="291"/>
      <w:bookmarkEnd w:id="292"/>
    </w:p>
    <w:p>
      <w:pPr>
        <w:pStyle w:val="6"/>
        <w:spacing w:before="0" w:after="0" w:line="377" w:lineRule="auto"/>
        <w:outlineLvl w:val="3"/>
        <w:rPr>
          <w:rFonts w:ascii="宋体" w:hAnsi="宋体" w:cs="宋体"/>
          <w:color w:val="auto"/>
          <w:sz w:val="21"/>
          <w:szCs w:val="21"/>
        </w:rPr>
      </w:pPr>
      <w:bookmarkStart w:id="293" w:name="_Toc221951112"/>
      <w:r>
        <w:rPr>
          <w:rFonts w:hint="eastAsia" w:ascii="宋体" w:hAnsi="宋体" w:cs="宋体"/>
          <w:color w:val="auto"/>
          <w:sz w:val="21"/>
          <w:szCs w:val="21"/>
        </w:rPr>
        <w:t>1.1  词语定义</w:t>
      </w:r>
      <w:bookmarkEnd w:id="293"/>
    </w:p>
    <w:p>
      <w:pPr>
        <w:spacing w:line="400" w:lineRule="exact"/>
        <w:rPr>
          <w:rFonts w:ascii="宋体" w:hAnsi="宋体" w:cs="宋体"/>
          <w:color w:val="auto"/>
          <w:szCs w:val="21"/>
        </w:rPr>
      </w:pPr>
      <w:bookmarkStart w:id="294" w:name="_Toc221951113"/>
      <w:r>
        <w:rPr>
          <w:rFonts w:hint="eastAsia" w:ascii="宋体" w:hAnsi="宋体" w:cs="宋体"/>
          <w:color w:val="auto"/>
          <w:szCs w:val="21"/>
        </w:rPr>
        <w:t>1.1.1  合同当事人和人员</w:t>
      </w:r>
      <w:bookmarkEnd w:id="294"/>
    </w:p>
    <w:p>
      <w:pPr>
        <w:spacing w:line="400" w:lineRule="exact"/>
        <w:rPr>
          <w:rFonts w:ascii="宋体" w:hAnsi="宋体" w:cs="宋体"/>
          <w:color w:val="auto"/>
          <w:szCs w:val="21"/>
        </w:rPr>
      </w:pPr>
      <w:bookmarkStart w:id="295" w:name="_Toc221951114"/>
      <w:r>
        <w:rPr>
          <w:rFonts w:hint="eastAsia" w:ascii="宋体" w:hAnsi="宋体" w:cs="宋体"/>
          <w:color w:val="auto"/>
          <w:szCs w:val="21"/>
        </w:rPr>
        <w:t>1.1.1.1  发包人：</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b/>
          <w:bCs/>
          <w:color w:val="auto"/>
          <w:szCs w:val="21"/>
          <w:u w:val="single"/>
          <w:lang w:eastAsia="zh-CN"/>
        </w:rPr>
        <w:t xml:space="preserve">                </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w:t>
      </w:r>
      <w:bookmarkEnd w:id="295"/>
    </w:p>
    <w:p>
      <w:pPr>
        <w:spacing w:line="400" w:lineRule="exact"/>
        <w:rPr>
          <w:rFonts w:ascii="宋体" w:hAnsi="宋体" w:cs="宋体"/>
          <w:color w:val="auto"/>
          <w:szCs w:val="21"/>
        </w:rPr>
      </w:pPr>
      <w:bookmarkStart w:id="296" w:name="_Toc221951115"/>
      <w:r>
        <w:rPr>
          <w:rFonts w:hint="eastAsia" w:ascii="宋体" w:hAnsi="宋体" w:cs="宋体"/>
          <w:color w:val="auto"/>
          <w:szCs w:val="21"/>
        </w:rPr>
        <w:t>1.1.1.2  承包人：</w:t>
      </w:r>
      <w:r>
        <w:rPr>
          <w:rFonts w:hint="eastAsia" w:ascii="宋体" w:hAnsi="宋体" w:cs="宋体"/>
          <w:b/>
          <w:bCs/>
          <w:color w:val="auto"/>
          <w:szCs w:val="21"/>
          <w:u w:val="single"/>
        </w:rPr>
        <w:t xml:space="preserve">  </w:t>
      </w:r>
      <w:r>
        <w:rPr>
          <w:rFonts w:hint="eastAsia" w:ascii="宋体" w:hAnsi="宋体" w:cs="宋体"/>
          <w:b/>
          <w:bCs/>
          <w:color w:val="auto"/>
          <w:szCs w:val="21"/>
          <w:u w:val="single"/>
          <w:lang w:val="en-US" w:eastAsia="zh-CN"/>
        </w:rPr>
        <w:t xml:space="preserve">                     </w:t>
      </w:r>
      <w:r>
        <w:rPr>
          <w:rFonts w:hint="eastAsia" w:ascii="宋体" w:hAnsi="宋体" w:cs="宋体"/>
          <w:b/>
          <w:bCs/>
          <w:color w:val="auto"/>
          <w:szCs w:val="21"/>
          <w:u w:val="single"/>
        </w:rPr>
        <w:t xml:space="preserve"> </w:t>
      </w:r>
      <w:r>
        <w:rPr>
          <w:rFonts w:hint="eastAsia" w:ascii="宋体" w:hAnsi="宋体" w:cs="宋体"/>
          <w:color w:val="auto"/>
          <w:szCs w:val="21"/>
          <w:u w:val="single"/>
        </w:rPr>
        <w:t xml:space="preserve"> </w:t>
      </w:r>
      <w:r>
        <w:rPr>
          <w:rFonts w:hint="eastAsia" w:ascii="宋体" w:hAnsi="宋体" w:cs="宋体"/>
          <w:color w:val="auto"/>
          <w:szCs w:val="21"/>
        </w:rPr>
        <w:t>。</w:t>
      </w:r>
      <w:bookmarkEnd w:id="296"/>
    </w:p>
    <w:p>
      <w:pPr>
        <w:spacing w:line="400" w:lineRule="exact"/>
        <w:rPr>
          <w:rFonts w:ascii="宋体" w:hAnsi="宋体" w:cs="宋体"/>
          <w:color w:val="auto"/>
          <w:szCs w:val="21"/>
        </w:rPr>
      </w:pPr>
      <w:bookmarkStart w:id="297" w:name="_Toc221951116"/>
      <w:r>
        <w:rPr>
          <w:rFonts w:hint="eastAsia" w:ascii="宋体" w:hAnsi="宋体" w:cs="宋体"/>
          <w:color w:val="auto"/>
          <w:szCs w:val="21"/>
        </w:rPr>
        <w:t>1.1.1.3  分包人：</w:t>
      </w:r>
      <w:r>
        <w:rPr>
          <w:rFonts w:hint="eastAsia" w:ascii="宋体" w:hAnsi="宋体" w:cs="宋体"/>
          <w:color w:val="auto"/>
          <w:szCs w:val="21"/>
          <w:u w:val="single"/>
        </w:rPr>
        <w:t xml:space="preserve">  本工程不进行分包   </w:t>
      </w:r>
      <w:r>
        <w:rPr>
          <w:rFonts w:hint="eastAsia" w:ascii="宋体" w:hAnsi="宋体" w:cs="宋体"/>
          <w:color w:val="auto"/>
          <w:szCs w:val="21"/>
        </w:rPr>
        <w:t>。</w:t>
      </w:r>
      <w:bookmarkEnd w:id="297"/>
    </w:p>
    <w:p>
      <w:pPr>
        <w:spacing w:line="400" w:lineRule="exact"/>
        <w:rPr>
          <w:rFonts w:ascii="宋体" w:hAnsi="宋体" w:cs="宋体"/>
          <w:color w:val="auto"/>
          <w:szCs w:val="21"/>
        </w:rPr>
      </w:pPr>
      <w:bookmarkStart w:id="298" w:name="_Toc221951125"/>
      <w:r>
        <w:rPr>
          <w:rFonts w:hint="eastAsia" w:ascii="宋体" w:hAnsi="宋体" w:cs="宋体"/>
          <w:color w:val="auto"/>
          <w:szCs w:val="21"/>
        </w:rPr>
        <w:t>1.1.2  日期</w:t>
      </w:r>
      <w:bookmarkEnd w:id="298"/>
      <w:r>
        <w:rPr>
          <w:rFonts w:hint="eastAsia" w:ascii="宋体" w:hAnsi="宋体" w:cs="宋体"/>
          <w:color w:val="auto"/>
          <w:szCs w:val="21"/>
        </w:rPr>
        <w:t>：开工日期</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2024</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日，完工日期</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2024</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lang w:val="en-US" w:eastAsia="zh-CN"/>
        </w:rPr>
        <w:t xml:space="preserve">     </w:t>
      </w:r>
      <w:r>
        <w:rPr>
          <w:rFonts w:hint="eastAsia" w:ascii="宋体" w:hAnsi="宋体" w:cs="宋体"/>
          <w:color w:val="auto"/>
          <w:szCs w:val="21"/>
        </w:rPr>
        <w:t>日前。</w:t>
      </w:r>
    </w:p>
    <w:p>
      <w:pPr>
        <w:spacing w:line="400" w:lineRule="exact"/>
        <w:rPr>
          <w:rFonts w:ascii="宋体" w:hAnsi="宋体" w:cs="宋体"/>
          <w:color w:val="auto"/>
          <w:szCs w:val="21"/>
          <w:highlight w:val="none"/>
        </w:rPr>
      </w:pPr>
      <w:bookmarkStart w:id="299" w:name="_Toc221951126"/>
      <w:r>
        <w:rPr>
          <w:rFonts w:hint="eastAsia" w:ascii="宋体" w:hAnsi="宋体" w:cs="宋体"/>
          <w:color w:val="auto"/>
          <w:szCs w:val="21"/>
        </w:rPr>
        <w:t>1.1.3  缺陷责任期（工程质量保修期）：</w:t>
      </w:r>
      <w:bookmarkEnd w:id="299"/>
      <w:r>
        <w:rPr>
          <w:rFonts w:hint="eastAsia" w:ascii="宋体" w:hAnsi="宋体" w:cs="宋体"/>
          <w:color w:val="auto"/>
          <w:szCs w:val="21"/>
          <w:highlight w:val="none"/>
        </w:rPr>
        <w:t>双方约定本项目的质量保修期为保修期的起算日至通过完工验收后一年。</w:t>
      </w:r>
    </w:p>
    <w:p>
      <w:pPr>
        <w:pStyle w:val="5"/>
        <w:spacing w:before="0" w:after="0" w:line="377" w:lineRule="auto"/>
        <w:outlineLvl w:val="2"/>
        <w:rPr>
          <w:rFonts w:ascii="宋体" w:hAnsi="宋体" w:cs="宋体"/>
          <w:color w:val="auto"/>
          <w:sz w:val="21"/>
          <w:szCs w:val="21"/>
        </w:rPr>
      </w:pPr>
      <w:bookmarkStart w:id="300" w:name="_Toc221951127"/>
      <w:r>
        <w:rPr>
          <w:rFonts w:hint="eastAsia" w:ascii="宋体" w:hAnsi="宋体" w:cs="宋体"/>
          <w:color w:val="auto"/>
          <w:sz w:val="21"/>
          <w:szCs w:val="21"/>
        </w:rPr>
        <w:t>1.2  合同文件的优先顺序</w:t>
      </w:r>
      <w:bookmarkEnd w:id="300"/>
    </w:p>
    <w:p>
      <w:pPr>
        <w:spacing w:line="400" w:lineRule="exact"/>
        <w:rPr>
          <w:rFonts w:ascii="宋体" w:hAnsi="宋体" w:cs="宋体"/>
          <w:color w:val="auto"/>
          <w:szCs w:val="21"/>
        </w:rPr>
      </w:pPr>
      <w:bookmarkStart w:id="301" w:name="_Toc221951128"/>
      <w:r>
        <w:rPr>
          <w:rFonts w:hint="eastAsia" w:ascii="宋体" w:hAnsi="宋体" w:cs="宋体"/>
          <w:color w:val="auto"/>
          <w:szCs w:val="21"/>
        </w:rPr>
        <w:t>进入合同的各项文件及其优先顺序</w:t>
      </w:r>
      <w:bookmarkEnd w:id="301"/>
      <w:r>
        <w:rPr>
          <w:rFonts w:hint="eastAsia" w:ascii="宋体" w:hAnsi="宋体" w:cs="宋体"/>
          <w:color w:val="auto"/>
          <w:szCs w:val="21"/>
        </w:rPr>
        <w:t>如下：</w:t>
      </w:r>
    </w:p>
    <w:p>
      <w:pPr>
        <w:spacing w:line="400" w:lineRule="exact"/>
        <w:ind w:firstLine="359" w:firstLineChars="171"/>
        <w:rPr>
          <w:rFonts w:ascii="宋体" w:hAnsi="宋体" w:cs="宋体"/>
          <w:color w:val="auto"/>
          <w:szCs w:val="21"/>
        </w:rPr>
      </w:pPr>
      <w:r>
        <w:rPr>
          <w:rFonts w:hint="eastAsia" w:ascii="宋体" w:hAnsi="宋体" w:cs="宋体"/>
          <w:color w:val="auto"/>
          <w:szCs w:val="21"/>
        </w:rPr>
        <w:t>（1）合同协议书（包括补充协议、合同谈判备忘录）；</w:t>
      </w:r>
    </w:p>
    <w:p>
      <w:pPr>
        <w:spacing w:line="400" w:lineRule="exact"/>
        <w:ind w:firstLine="359" w:firstLineChars="171"/>
        <w:rPr>
          <w:rFonts w:ascii="宋体" w:hAnsi="宋体" w:cs="宋体"/>
          <w:color w:val="auto"/>
          <w:szCs w:val="21"/>
        </w:rPr>
      </w:pPr>
      <w:r>
        <w:rPr>
          <w:rFonts w:hint="eastAsia" w:ascii="宋体" w:hAnsi="宋体" w:cs="宋体"/>
          <w:color w:val="auto"/>
          <w:szCs w:val="21"/>
        </w:rPr>
        <w:t>（2）专用合同条款（含附加条款）；</w:t>
      </w:r>
    </w:p>
    <w:p>
      <w:pPr>
        <w:spacing w:line="400" w:lineRule="exact"/>
        <w:ind w:firstLine="359" w:firstLineChars="171"/>
        <w:rPr>
          <w:rFonts w:ascii="宋体" w:hAnsi="宋体" w:cs="宋体"/>
          <w:color w:val="auto"/>
          <w:szCs w:val="21"/>
        </w:rPr>
      </w:pPr>
      <w:r>
        <w:rPr>
          <w:rFonts w:hint="eastAsia" w:ascii="宋体" w:hAnsi="宋体" w:cs="宋体"/>
          <w:color w:val="auto"/>
          <w:szCs w:val="21"/>
        </w:rPr>
        <w:t>（3）通用合同条款；</w:t>
      </w:r>
    </w:p>
    <w:p>
      <w:pPr>
        <w:spacing w:line="400" w:lineRule="exact"/>
        <w:ind w:firstLine="359" w:firstLineChars="171"/>
        <w:rPr>
          <w:rFonts w:ascii="宋体" w:hAnsi="宋体" w:cs="宋体"/>
          <w:color w:val="auto"/>
          <w:szCs w:val="21"/>
        </w:rPr>
      </w:pPr>
      <w:r>
        <w:rPr>
          <w:rFonts w:hint="eastAsia" w:ascii="宋体" w:hAnsi="宋体" w:cs="宋体"/>
          <w:color w:val="auto"/>
          <w:szCs w:val="21"/>
        </w:rPr>
        <w:t>（4）技术标准和要求（合同技术条款）；</w:t>
      </w:r>
    </w:p>
    <w:p>
      <w:pPr>
        <w:spacing w:line="400" w:lineRule="exact"/>
        <w:ind w:firstLine="359" w:firstLineChars="171"/>
        <w:rPr>
          <w:rFonts w:ascii="宋体" w:hAnsi="宋体" w:cs="宋体"/>
          <w:color w:val="auto"/>
          <w:szCs w:val="21"/>
        </w:rPr>
      </w:pPr>
      <w:r>
        <w:rPr>
          <w:rFonts w:hint="eastAsia" w:ascii="宋体" w:hAnsi="宋体" w:cs="宋体"/>
          <w:color w:val="auto"/>
          <w:szCs w:val="21"/>
        </w:rPr>
        <w:t>（5）已标价工程量清单；</w:t>
      </w:r>
    </w:p>
    <w:p>
      <w:pPr>
        <w:spacing w:line="400" w:lineRule="exact"/>
        <w:ind w:firstLine="420" w:firstLineChars="200"/>
        <w:rPr>
          <w:rFonts w:ascii="宋体" w:hAnsi="宋体" w:cs="宋体"/>
          <w:color w:val="auto"/>
          <w:szCs w:val="21"/>
        </w:rPr>
      </w:pPr>
      <w:r>
        <w:rPr>
          <w:rFonts w:hint="eastAsia" w:ascii="宋体" w:hAnsi="宋体" w:cs="宋体"/>
          <w:color w:val="auto"/>
          <w:szCs w:val="21"/>
        </w:rPr>
        <w:t>（6）其他合同文件。</w:t>
      </w:r>
    </w:p>
    <w:p>
      <w:pPr>
        <w:spacing w:line="400" w:lineRule="exact"/>
        <w:ind w:firstLine="525" w:firstLineChars="250"/>
        <w:outlineLvl w:val="2"/>
        <w:rPr>
          <w:rFonts w:ascii="宋体" w:hAnsi="宋体" w:cs="宋体"/>
          <w:color w:val="auto"/>
          <w:szCs w:val="21"/>
        </w:rPr>
      </w:pPr>
      <w:r>
        <w:rPr>
          <w:rFonts w:hint="eastAsia" w:ascii="宋体" w:hAnsi="宋体" w:cs="宋体"/>
          <w:color w:val="auto"/>
          <w:szCs w:val="21"/>
        </w:rPr>
        <w:t>1.3合同签订</w:t>
      </w:r>
    </w:p>
    <w:p>
      <w:pPr>
        <w:spacing w:line="400" w:lineRule="exact"/>
        <w:ind w:firstLine="525" w:firstLineChars="250"/>
        <w:rPr>
          <w:rFonts w:ascii="宋体" w:hAnsi="宋体" w:cs="宋体"/>
          <w:color w:val="auto"/>
          <w:szCs w:val="21"/>
        </w:rPr>
      </w:pPr>
      <w:r>
        <w:rPr>
          <w:rFonts w:hint="eastAsia" w:ascii="宋体" w:hAnsi="宋体" w:cs="宋体"/>
          <w:color w:val="auto"/>
          <w:szCs w:val="21"/>
        </w:rPr>
        <w:t>中标单位在签订合同时，必须由本单位法定代表人或委托人到场签订合同和承诺书，承诺书须承诺按施工工期完成并通过完工验收；因施工单位的原因未能按期完工的，按有关约定计处罚金。</w:t>
      </w:r>
    </w:p>
    <w:p>
      <w:pPr>
        <w:spacing w:line="400" w:lineRule="exact"/>
        <w:ind w:firstLine="420" w:firstLineChars="200"/>
        <w:rPr>
          <w:rFonts w:ascii="宋体" w:hAnsi="宋体" w:cs="宋体"/>
          <w:color w:val="auto"/>
          <w:szCs w:val="21"/>
        </w:rPr>
      </w:pPr>
    </w:p>
    <w:p>
      <w:pPr>
        <w:pStyle w:val="5"/>
        <w:spacing w:before="0" w:after="0" w:line="377" w:lineRule="auto"/>
        <w:outlineLvl w:val="2"/>
        <w:rPr>
          <w:rFonts w:ascii="宋体" w:hAnsi="宋体" w:cs="宋体"/>
          <w:color w:val="auto"/>
          <w:sz w:val="21"/>
          <w:szCs w:val="21"/>
        </w:rPr>
      </w:pPr>
      <w:bookmarkStart w:id="302" w:name="_Toc221951129"/>
      <w:r>
        <w:rPr>
          <w:rFonts w:hint="eastAsia" w:ascii="宋体" w:hAnsi="宋体" w:cs="宋体"/>
          <w:color w:val="auto"/>
          <w:sz w:val="21"/>
          <w:szCs w:val="21"/>
        </w:rPr>
        <w:t>1.4  联络</w:t>
      </w:r>
      <w:bookmarkEnd w:id="302"/>
    </w:p>
    <w:p>
      <w:pPr>
        <w:spacing w:line="400" w:lineRule="exact"/>
        <w:rPr>
          <w:rFonts w:ascii="宋体" w:hAnsi="宋体" w:cs="宋体"/>
          <w:color w:val="auto"/>
          <w:szCs w:val="21"/>
        </w:rPr>
      </w:pPr>
      <w:bookmarkStart w:id="303" w:name="_Toc221951130"/>
      <w:r>
        <w:rPr>
          <w:rFonts w:hint="eastAsia" w:ascii="宋体" w:hAnsi="宋体" w:cs="宋体"/>
          <w:color w:val="auto"/>
          <w:szCs w:val="21"/>
        </w:rPr>
        <w:t xml:space="preserve">1.4.1 来往函件均应按技术标准和要求（合同技术条款）约定的期限送达 </w:t>
      </w:r>
      <w:r>
        <w:rPr>
          <w:rFonts w:hint="eastAsia" w:ascii="宋体" w:hAnsi="宋体" w:cs="宋体"/>
          <w:color w:val="auto"/>
          <w:szCs w:val="21"/>
          <w:u w:val="single"/>
        </w:rPr>
        <w:t xml:space="preserve"> </w:t>
      </w:r>
      <w:r>
        <w:rPr>
          <w:rFonts w:hint="eastAsia" w:ascii="宋体" w:hAnsi="宋体" w:eastAsia="宋体" w:cs="宋体"/>
          <w:color w:val="auto"/>
          <w:szCs w:val="21"/>
          <w:u w:val="single"/>
        </w:rPr>
        <w:t xml:space="preserve"> </w:t>
      </w:r>
      <w:r>
        <w:rPr>
          <w:rFonts w:hint="eastAsia" w:ascii="宋体" w:hAnsi="宋体" w:cs="宋体"/>
          <w:b/>
          <w:bCs/>
          <w:color w:val="auto"/>
          <w:szCs w:val="21"/>
          <w:u w:val="single"/>
          <w:lang w:eastAsia="zh-CN"/>
        </w:rPr>
        <w:t xml:space="preserve">                </w:t>
      </w:r>
      <w:r>
        <w:rPr>
          <w:rFonts w:hint="eastAsia" w:ascii="宋体" w:hAnsi="宋体" w:cs="宋体"/>
          <w:b/>
          <w:bCs/>
          <w:color w:val="auto"/>
          <w:szCs w:val="21"/>
          <w:u w:val="single"/>
        </w:rPr>
        <w:t xml:space="preserve"> </w:t>
      </w:r>
      <w:r>
        <w:rPr>
          <w:rFonts w:hint="eastAsia" w:ascii="宋体" w:hAnsi="宋体" w:cs="宋体"/>
          <w:color w:val="auto"/>
          <w:szCs w:val="21"/>
        </w:rPr>
        <w:t>。</w:t>
      </w:r>
      <w:bookmarkEnd w:id="303"/>
    </w:p>
    <w:p>
      <w:pPr>
        <w:pStyle w:val="4"/>
        <w:spacing w:before="0" w:after="0" w:line="377" w:lineRule="auto"/>
        <w:outlineLvl w:val="1"/>
        <w:rPr>
          <w:rFonts w:ascii="宋体" w:hAnsi="宋体" w:cs="宋体"/>
          <w:color w:val="auto"/>
          <w:sz w:val="21"/>
          <w:szCs w:val="21"/>
        </w:rPr>
      </w:pPr>
      <w:bookmarkStart w:id="304" w:name="_Toc222032697"/>
      <w:bookmarkStart w:id="305" w:name="_Toc221951131"/>
      <w:bookmarkStart w:id="306" w:name="_Toc229305388"/>
      <w:bookmarkStart w:id="307" w:name="_Toc222033879"/>
      <w:bookmarkStart w:id="308" w:name="_Toc222029528"/>
      <w:bookmarkStart w:id="309" w:name="_Toc222031030"/>
      <w:r>
        <w:rPr>
          <w:rFonts w:hint="eastAsia" w:ascii="宋体" w:hAnsi="宋体" w:cs="宋体"/>
          <w:color w:val="auto"/>
          <w:sz w:val="21"/>
          <w:szCs w:val="21"/>
        </w:rPr>
        <w:t>2  发包人义务</w:t>
      </w:r>
      <w:bookmarkEnd w:id="304"/>
      <w:bookmarkEnd w:id="305"/>
      <w:bookmarkEnd w:id="306"/>
      <w:bookmarkEnd w:id="307"/>
      <w:bookmarkEnd w:id="308"/>
      <w:bookmarkEnd w:id="309"/>
    </w:p>
    <w:p>
      <w:pPr>
        <w:pStyle w:val="5"/>
        <w:spacing w:before="0" w:after="0" w:line="377" w:lineRule="auto"/>
        <w:outlineLvl w:val="2"/>
        <w:rPr>
          <w:rFonts w:ascii="宋体" w:hAnsi="宋体" w:cs="宋体"/>
          <w:color w:val="auto"/>
          <w:sz w:val="21"/>
          <w:szCs w:val="21"/>
        </w:rPr>
      </w:pPr>
      <w:bookmarkStart w:id="310" w:name="_Toc221951132"/>
      <w:r>
        <w:rPr>
          <w:rFonts w:hint="eastAsia" w:ascii="宋体" w:hAnsi="宋体" w:cs="宋体"/>
          <w:color w:val="auto"/>
          <w:sz w:val="21"/>
          <w:szCs w:val="21"/>
        </w:rPr>
        <w:t>2.1  提供施工场地</w:t>
      </w:r>
      <w:bookmarkEnd w:id="310"/>
    </w:p>
    <w:p>
      <w:pPr>
        <w:spacing w:line="400" w:lineRule="exact"/>
        <w:ind w:right="248" w:firstLine="480"/>
        <w:rPr>
          <w:rFonts w:ascii="宋体" w:hAnsi="宋体" w:cs="宋体"/>
          <w:b/>
          <w:bCs/>
          <w:color w:val="auto"/>
          <w:szCs w:val="21"/>
        </w:rPr>
      </w:pPr>
      <w:bookmarkStart w:id="311" w:name="_Toc221951133"/>
      <w:r>
        <w:rPr>
          <w:rFonts w:hint="eastAsia" w:ascii="宋体" w:hAnsi="宋体" w:cs="宋体"/>
          <w:color w:val="auto"/>
          <w:szCs w:val="21"/>
        </w:rPr>
        <w:t>2.1.1发包人提供的施工场地范围为：</w:t>
      </w:r>
      <w:bookmarkEnd w:id="311"/>
      <w:r>
        <w:rPr>
          <w:rFonts w:hint="eastAsia" w:ascii="宋体" w:hAnsi="宋体" w:cs="宋体"/>
          <w:color w:val="auto"/>
          <w:szCs w:val="21"/>
          <w:u w:val="single"/>
        </w:rPr>
        <w:t>本工程无征地、青苗补偿等费用，施工所有的土地包括永久和临时用地均由项目村自行解决。</w:t>
      </w:r>
      <w:r>
        <w:rPr>
          <w:rFonts w:hint="eastAsia" w:ascii="宋体" w:hAnsi="宋体" w:cs="宋体"/>
          <w:b/>
          <w:bCs/>
          <w:color w:val="auto"/>
          <w:szCs w:val="21"/>
        </w:rPr>
        <w:t xml:space="preserve">  </w:t>
      </w:r>
    </w:p>
    <w:p>
      <w:pPr>
        <w:spacing w:line="400" w:lineRule="exact"/>
        <w:ind w:right="248" w:firstLine="480"/>
        <w:rPr>
          <w:rFonts w:ascii="宋体" w:hAnsi="宋体" w:cs="宋体"/>
          <w:color w:val="auto"/>
          <w:szCs w:val="21"/>
        </w:rPr>
      </w:pPr>
      <w:r>
        <w:rPr>
          <w:rFonts w:hint="eastAsia" w:ascii="宋体" w:hAnsi="宋体" w:cs="宋体"/>
          <w:color w:val="auto"/>
          <w:szCs w:val="21"/>
        </w:rPr>
        <w:t>2.1.2承包人自行勘察的施工场地范围为：</w:t>
      </w:r>
      <w:r>
        <w:rPr>
          <w:rFonts w:hint="eastAsia" w:ascii="宋体" w:hAnsi="宋体" w:cs="宋体"/>
          <w:color w:val="auto"/>
          <w:szCs w:val="21"/>
          <w:u w:val="single"/>
        </w:rPr>
        <w:t>全工地范围</w:t>
      </w:r>
      <w:r>
        <w:rPr>
          <w:rFonts w:hint="eastAsia" w:ascii="宋体" w:hAnsi="宋体" w:cs="宋体"/>
          <w:color w:val="auto"/>
          <w:szCs w:val="21"/>
        </w:rPr>
        <w:t>。</w:t>
      </w:r>
    </w:p>
    <w:p>
      <w:pPr>
        <w:spacing w:line="400" w:lineRule="exact"/>
        <w:ind w:firstLine="420" w:firstLineChars="200"/>
        <w:rPr>
          <w:rFonts w:ascii="宋体" w:hAnsi="宋体" w:cs="宋体"/>
          <w:color w:val="auto"/>
          <w:szCs w:val="21"/>
        </w:rPr>
      </w:pPr>
    </w:p>
    <w:p>
      <w:pPr>
        <w:pStyle w:val="4"/>
        <w:spacing w:before="0" w:after="0" w:line="377" w:lineRule="auto"/>
        <w:outlineLvl w:val="1"/>
        <w:rPr>
          <w:rFonts w:ascii="宋体" w:hAnsi="宋体" w:cs="宋体"/>
          <w:color w:val="auto"/>
          <w:sz w:val="21"/>
          <w:szCs w:val="21"/>
        </w:rPr>
      </w:pPr>
      <w:bookmarkStart w:id="312" w:name="_Toc222029530"/>
      <w:bookmarkStart w:id="313" w:name="_Toc222032699"/>
      <w:bookmarkStart w:id="314" w:name="_Toc222031032"/>
      <w:bookmarkStart w:id="315" w:name="_Toc229305390"/>
      <w:bookmarkStart w:id="316" w:name="_Toc221951150"/>
      <w:bookmarkStart w:id="317" w:name="_Toc222033881"/>
      <w:r>
        <w:rPr>
          <w:rFonts w:hint="eastAsia" w:ascii="宋体" w:hAnsi="宋体" w:cs="宋体"/>
          <w:color w:val="auto"/>
          <w:sz w:val="21"/>
          <w:szCs w:val="21"/>
        </w:rPr>
        <w:t>3 承包人</w:t>
      </w:r>
      <w:bookmarkEnd w:id="312"/>
      <w:bookmarkEnd w:id="313"/>
      <w:bookmarkEnd w:id="314"/>
      <w:bookmarkEnd w:id="315"/>
      <w:bookmarkEnd w:id="316"/>
      <w:bookmarkEnd w:id="317"/>
    </w:p>
    <w:p>
      <w:pPr>
        <w:pStyle w:val="5"/>
        <w:spacing w:before="0" w:after="0" w:line="377" w:lineRule="auto"/>
        <w:outlineLvl w:val="2"/>
        <w:rPr>
          <w:rFonts w:ascii="宋体" w:hAnsi="宋体" w:cs="宋体"/>
          <w:color w:val="auto"/>
          <w:sz w:val="21"/>
          <w:szCs w:val="21"/>
        </w:rPr>
      </w:pPr>
      <w:bookmarkStart w:id="318" w:name="_Toc221951151"/>
      <w:r>
        <w:rPr>
          <w:rFonts w:hint="eastAsia" w:ascii="宋体" w:hAnsi="宋体" w:cs="宋体"/>
          <w:color w:val="auto"/>
          <w:sz w:val="21"/>
          <w:szCs w:val="21"/>
        </w:rPr>
        <w:t>3.1  承包人的一般义务</w:t>
      </w:r>
      <w:bookmarkEnd w:id="318"/>
    </w:p>
    <w:p>
      <w:pPr>
        <w:spacing w:line="400" w:lineRule="exact"/>
        <w:ind w:right="248" w:firstLine="480"/>
        <w:outlineLvl w:val="3"/>
        <w:rPr>
          <w:rFonts w:ascii="宋体" w:hAnsi="宋体" w:cs="宋体"/>
          <w:color w:val="auto"/>
          <w:szCs w:val="21"/>
        </w:rPr>
      </w:pPr>
      <w:bookmarkStart w:id="319" w:name="_Toc221951152"/>
      <w:r>
        <w:rPr>
          <w:rFonts w:hint="eastAsia" w:ascii="宋体" w:hAnsi="宋体" w:cs="宋体"/>
          <w:color w:val="auto"/>
          <w:szCs w:val="21"/>
        </w:rPr>
        <w:t>3.1.1  其他义务</w:t>
      </w:r>
      <w:bookmarkEnd w:id="319"/>
    </w:p>
    <w:p>
      <w:pPr>
        <w:spacing w:line="400" w:lineRule="exact"/>
        <w:ind w:right="248" w:firstLine="480"/>
        <w:rPr>
          <w:rFonts w:ascii="宋体" w:hAnsi="宋体" w:cs="宋体"/>
          <w:b/>
          <w:color w:val="auto"/>
          <w:szCs w:val="21"/>
        </w:rPr>
      </w:pPr>
      <w:r>
        <w:rPr>
          <w:rFonts w:hint="eastAsia" w:ascii="宋体" w:hAnsi="宋体" w:cs="宋体"/>
          <w:b/>
          <w:color w:val="auto"/>
          <w:szCs w:val="21"/>
        </w:rPr>
        <w:t>（一）办理建筑意外伤害保险。</w:t>
      </w:r>
    </w:p>
    <w:p>
      <w:pPr>
        <w:pStyle w:val="32"/>
        <w:spacing w:after="0" w:line="400" w:lineRule="exact"/>
        <w:ind w:left="0" w:leftChars="0" w:firstLine="420" w:firstLineChars="200"/>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承包人要严格按照国务院《工伤保险条例》规定，及时为农民工办理参加工伤保险手续，并按时足额缴纳工伤保险费。同时，按照《建筑法》规定，为施工现场从事危险作业的农民工办理意外伤害保险。必须在工程开工前办理完建筑意外保险的投保手续，为参加本合同工程现场施工所有作业人员及管理人员，包括参加工程建设的管理人员、监理人员、施工人员（含民工）办理建筑意外伤害保险，支付保险费（意外伤害保险费为中标的工程量清单总价的3‰，由承包人承担）。</w:t>
      </w:r>
    </w:p>
    <w:p>
      <w:pPr>
        <w:pStyle w:val="32"/>
        <w:spacing w:after="0" w:line="400" w:lineRule="exact"/>
        <w:ind w:left="0" w:leftChars="0" w:firstLine="420" w:firstLineChars="200"/>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保险期限自投保之日（工程开工之日）起至工程竣工验收时止，时间上涵盖施工全过程的任一时段。</w:t>
      </w:r>
    </w:p>
    <w:p>
      <w:pPr>
        <w:pStyle w:val="32"/>
        <w:spacing w:after="0" w:line="400" w:lineRule="exact"/>
        <w:ind w:left="0" w:leftChars="0" w:firstLine="420" w:firstLineChars="200"/>
        <w:rPr>
          <w:rFonts w:ascii="宋体" w:hAnsi="宋体" w:cs="宋体"/>
          <w:color w:val="auto"/>
          <w:szCs w:val="21"/>
        </w:rPr>
      </w:pPr>
      <w:r>
        <w:rPr>
          <w:rFonts w:hint="eastAsia" w:ascii="宋体" w:hAnsi="宋体" w:eastAsia="宋体" w:cs="宋体"/>
          <w:bCs/>
          <w:color w:val="auto"/>
          <w:kern w:val="2"/>
          <w:sz w:val="21"/>
          <w:szCs w:val="21"/>
          <w:lang w:val="en-US" w:eastAsia="zh-CN" w:bidi="ar-SA"/>
        </w:rPr>
        <w:t>鉴于本合同工程各工种调动频繁、用工流动性大等特点，投保实行不记名和不计人数的方式，一旦该工程项目发生人员意外伤害，只要是在该工程发生的，都应该由保险公司在保险责任范围内负责赔付。</w:t>
      </w:r>
    </w:p>
    <w:p>
      <w:pPr>
        <w:spacing w:line="400" w:lineRule="exact"/>
        <w:ind w:right="248" w:firstLine="480"/>
        <w:rPr>
          <w:rFonts w:ascii="宋体" w:hAnsi="宋体" w:cs="宋体"/>
          <w:b/>
          <w:color w:val="auto"/>
          <w:szCs w:val="21"/>
        </w:rPr>
      </w:pPr>
      <w:r>
        <w:rPr>
          <w:rFonts w:hint="eastAsia" w:ascii="宋体" w:hAnsi="宋体" w:cs="宋体"/>
          <w:b/>
          <w:color w:val="auto"/>
          <w:szCs w:val="21"/>
        </w:rPr>
        <w:t>（二）工程施工的义务和责任</w:t>
      </w:r>
    </w:p>
    <w:p>
      <w:pPr>
        <w:spacing w:line="360" w:lineRule="exact"/>
        <w:ind w:firstLine="420" w:firstLineChars="200"/>
        <w:rPr>
          <w:rFonts w:ascii="宋体" w:hAnsi="宋体" w:cs="宋体"/>
          <w:bCs/>
          <w:color w:val="auto"/>
          <w:szCs w:val="21"/>
        </w:rPr>
      </w:pPr>
      <w:bookmarkStart w:id="320" w:name="_Toc221951153"/>
      <w:r>
        <w:rPr>
          <w:rFonts w:hint="eastAsia" w:ascii="宋体" w:hAnsi="宋体" w:cs="宋体"/>
          <w:bCs/>
          <w:color w:val="auto"/>
          <w:szCs w:val="21"/>
        </w:rPr>
        <w:t>（1）承包人应负责施工场地内部的水、电等施工管、线路的铺、架设及其费用，并按供电部门规定向供电部门（或发包人）交纳水、电费。发包人提供的接电点在签订合同时明确。另外，施工通讯及设施由承包人负责并承担费用。</w:t>
      </w:r>
    </w:p>
    <w:p>
      <w:pPr>
        <w:spacing w:line="360" w:lineRule="exact"/>
        <w:ind w:firstLine="420" w:firstLineChars="200"/>
        <w:rPr>
          <w:rFonts w:ascii="宋体" w:hAnsi="宋体" w:cs="宋体"/>
          <w:bCs/>
          <w:color w:val="auto"/>
          <w:szCs w:val="21"/>
        </w:rPr>
      </w:pPr>
      <w:r>
        <w:rPr>
          <w:rFonts w:hint="eastAsia" w:ascii="宋体" w:hAnsi="宋体" w:cs="宋体"/>
          <w:bCs/>
          <w:color w:val="auto"/>
          <w:szCs w:val="21"/>
        </w:rPr>
        <w:t>（2）除民房外、承包人应按指示负责拆除、清理已征用土地上的杂物、灌木、树木、树根、杂草等。</w:t>
      </w:r>
    </w:p>
    <w:p>
      <w:pPr>
        <w:spacing w:line="360" w:lineRule="exact"/>
        <w:ind w:firstLine="420" w:firstLineChars="200"/>
        <w:rPr>
          <w:rFonts w:ascii="宋体" w:hAnsi="宋体" w:cs="宋体"/>
          <w:color w:val="auto"/>
          <w:szCs w:val="21"/>
        </w:rPr>
      </w:pPr>
      <w:r>
        <w:rPr>
          <w:rFonts w:hint="eastAsia" w:ascii="宋体" w:hAnsi="宋体" w:cs="宋体"/>
          <w:color w:val="auto"/>
          <w:szCs w:val="21"/>
        </w:rPr>
        <w:t>（3）承包人应充分理解有一些设施（如施工道路、桥梁）可能会有其它人和单位使用通行，在使用过程中发生干扰时，应立即通知监理人并服从监理人的决定。</w:t>
      </w:r>
    </w:p>
    <w:p>
      <w:pPr>
        <w:spacing w:line="360" w:lineRule="exact"/>
        <w:ind w:firstLine="420" w:firstLineChars="200"/>
        <w:rPr>
          <w:rFonts w:ascii="宋体" w:hAnsi="宋体" w:cs="宋体"/>
          <w:bCs/>
          <w:color w:val="auto"/>
          <w:szCs w:val="21"/>
        </w:rPr>
      </w:pPr>
      <w:r>
        <w:rPr>
          <w:rFonts w:hint="eastAsia" w:ascii="宋体" w:hAnsi="宋体" w:cs="宋体"/>
          <w:color w:val="auto"/>
          <w:szCs w:val="21"/>
        </w:rPr>
        <w:t>（4）承包人应为发包人现场代表对施工现场的检查监督提供必要的配合，并对这种配合对施工的影响应有充分的考虑。</w:t>
      </w:r>
    </w:p>
    <w:p>
      <w:pPr>
        <w:spacing w:line="360" w:lineRule="exact"/>
        <w:ind w:firstLine="420" w:firstLineChars="200"/>
        <w:rPr>
          <w:rFonts w:ascii="宋体" w:hAnsi="宋体" w:cs="宋体"/>
          <w:bCs/>
          <w:color w:val="auto"/>
          <w:szCs w:val="21"/>
        </w:rPr>
      </w:pPr>
      <w:r>
        <w:rPr>
          <w:rFonts w:hint="eastAsia" w:ascii="宋体" w:hAnsi="宋体" w:cs="宋体"/>
          <w:bCs/>
          <w:color w:val="auto"/>
          <w:szCs w:val="21"/>
        </w:rPr>
        <w:t>（5）工程竣工后，承包人应按发包人的指示清理施工现场直至发包人满意为止。</w:t>
      </w:r>
    </w:p>
    <w:p>
      <w:pPr>
        <w:spacing w:line="360" w:lineRule="exact"/>
        <w:ind w:firstLine="420" w:firstLineChars="200"/>
        <w:rPr>
          <w:rFonts w:ascii="宋体" w:hAnsi="宋体" w:cs="宋体"/>
          <w:bCs/>
          <w:color w:val="auto"/>
          <w:szCs w:val="21"/>
        </w:rPr>
      </w:pPr>
      <w:r>
        <w:rPr>
          <w:rFonts w:hint="eastAsia" w:ascii="宋体" w:hAnsi="宋体" w:cs="宋体"/>
          <w:bCs/>
          <w:color w:val="auto"/>
          <w:szCs w:val="21"/>
        </w:rPr>
        <w:t>（6）对上述（1）～（5）项工作,费用已包括在有关单价和总价中，发包人不再另行支付由此所发生的一切费用。</w:t>
      </w:r>
    </w:p>
    <w:p>
      <w:pPr>
        <w:tabs>
          <w:tab w:val="left" w:pos="1134"/>
          <w:tab w:val="left" w:pos="1276"/>
          <w:tab w:val="left" w:pos="1985"/>
        </w:tabs>
        <w:spacing w:line="360" w:lineRule="exact"/>
        <w:ind w:firstLine="420" w:firstLineChars="200"/>
        <w:rPr>
          <w:rFonts w:ascii="宋体" w:hAnsi="宋体" w:cs="宋体"/>
          <w:color w:val="auto"/>
          <w:szCs w:val="21"/>
        </w:rPr>
      </w:pPr>
      <w:r>
        <w:rPr>
          <w:rFonts w:hint="eastAsia" w:ascii="宋体" w:hAnsi="宋体" w:cs="宋体"/>
          <w:color w:val="auto"/>
          <w:szCs w:val="21"/>
        </w:rPr>
        <w:t>（7）经过公路、城市道路的施工车辆，必须按交警、城管、环保、环卫等部门规定执行。施工车辆的营运手续办理、清洗等一切费用由承包人承担。由于车辆超载、带泥或洒漏造成的道路损坏、环境污染等，其责任和费用均由承包人承担。</w:t>
      </w:r>
    </w:p>
    <w:p>
      <w:pPr>
        <w:tabs>
          <w:tab w:val="left" w:pos="1134"/>
          <w:tab w:val="left" w:pos="1276"/>
          <w:tab w:val="left" w:pos="1985"/>
        </w:tabs>
        <w:spacing w:line="360" w:lineRule="exact"/>
        <w:ind w:firstLine="420" w:firstLineChars="200"/>
        <w:rPr>
          <w:rFonts w:ascii="宋体" w:hAnsi="宋体" w:cs="宋体"/>
          <w:color w:val="auto"/>
          <w:szCs w:val="21"/>
        </w:rPr>
      </w:pPr>
      <w:r>
        <w:rPr>
          <w:rFonts w:hint="eastAsia" w:ascii="宋体" w:hAnsi="宋体" w:cs="宋体"/>
          <w:color w:val="auto"/>
          <w:szCs w:val="21"/>
        </w:rPr>
        <w:t>（8）承包人必须文明、安全施工，在施工期间发生的一切人员伤亡和财产损失等责任事故和所发生的一切费用概由承包人承担。</w:t>
      </w:r>
    </w:p>
    <w:p>
      <w:pPr>
        <w:pStyle w:val="28"/>
        <w:tabs>
          <w:tab w:val="left" w:pos="6300"/>
          <w:tab w:val="left" w:pos="6510"/>
        </w:tabs>
        <w:spacing w:line="360" w:lineRule="exact"/>
        <w:ind w:firstLine="420" w:firstLineChars="200"/>
        <w:rPr>
          <w:rFonts w:hAnsi="宋体" w:cs="宋体"/>
          <w:color w:val="auto"/>
          <w:szCs w:val="21"/>
        </w:rPr>
      </w:pPr>
      <w:r>
        <w:rPr>
          <w:rFonts w:hint="eastAsia" w:hAnsi="宋体" w:cs="宋体"/>
          <w:color w:val="auto"/>
          <w:szCs w:val="21"/>
        </w:rPr>
        <w:t>（9）按照发包人的要求作好安全文明宣传、领导检查宣传等工作，相关费用由承包人承担。</w:t>
      </w:r>
    </w:p>
    <w:p>
      <w:pPr>
        <w:pStyle w:val="28"/>
        <w:spacing w:line="360" w:lineRule="exact"/>
        <w:ind w:firstLine="420" w:firstLineChars="200"/>
        <w:rPr>
          <w:rFonts w:hAnsi="宋体" w:cs="宋体"/>
          <w:color w:val="auto"/>
          <w:szCs w:val="21"/>
        </w:rPr>
      </w:pPr>
      <w:r>
        <w:rPr>
          <w:rFonts w:hint="eastAsia" w:hAnsi="宋体" w:cs="宋体"/>
          <w:color w:val="auto"/>
          <w:szCs w:val="21"/>
        </w:rPr>
        <w:t>（10）承包人应按约定时间和要求，完成以下工作：</w:t>
      </w:r>
    </w:p>
    <w:p>
      <w:pPr>
        <w:pStyle w:val="28"/>
        <w:spacing w:line="360" w:lineRule="exact"/>
        <w:ind w:firstLine="420" w:firstLineChars="200"/>
        <w:rPr>
          <w:rFonts w:hAnsi="宋体" w:cs="宋体"/>
          <w:color w:val="auto"/>
          <w:szCs w:val="21"/>
        </w:rPr>
      </w:pPr>
      <w:r>
        <w:rPr>
          <w:rFonts w:hint="eastAsia" w:hAnsi="宋体" w:cs="宋体"/>
          <w:color w:val="auto"/>
          <w:szCs w:val="21"/>
        </w:rPr>
        <w:t xml:space="preserve">①按时提交施工组织设计、单位工程的施工方案。                     </w:t>
      </w:r>
    </w:p>
    <w:p>
      <w:pPr>
        <w:pStyle w:val="28"/>
        <w:spacing w:line="360" w:lineRule="exact"/>
        <w:ind w:firstLine="420" w:firstLineChars="200"/>
        <w:rPr>
          <w:rFonts w:hAnsi="宋体" w:cs="宋体"/>
          <w:color w:val="auto"/>
          <w:szCs w:val="21"/>
        </w:rPr>
      </w:pPr>
      <w:r>
        <w:rPr>
          <w:rFonts w:hint="eastAsia" w:hAnsi="宋体" w:cs="宋体"/>
          <w:color w:val="auto"/>
          <w:szCs w:val="21"/>
        </w:rPr>
        <w:t>②每月25日提交当月工程进度报表及下月进度计划。</w:t>
      </w:r>
    </w:p>
    <w:p>
      <w:pPr>
        <w:pStyle w:val="28"/>
        <w:spacing w:line="360" w:lineRule="exact"/>
        <w:ind w:firstLine="420" w:firstLineChars="200"/>
        <w:rPr>
          <w:rFonts w:hAnsi="宋体" w:cs="宋体"/>
          <w:color w:val="auto"/>
          <w:szCs w:val="21"/>
        </w:rPr>
      </w:pPr>
      <w:r>
        <w:rPr>
          <w:rFonts w:hint="eastAsia" w:hAnsi="宋体" w:cs="宋体"/>
          <w:color w:val="auto"/>
          <w:szCs w:val="21"/>
        </w:rPr>
        <w:t xml:space="preserve">③承包人自行负责施工安全保卫工作及夜间施工照明。                                                                           </w:t>
      </w:r>
    </w:p>
    <w:p>
      <w:pPr>
        <w:spacing w:line="360" w:lineRule="exact"/>
        <w:ind w:firstLine="420" w:firstLineChars="200"/>
        <w:rPr>
          <w:rFonts w:ascii="宋体" w:hAnsi="宋体" w:cs="宋体"/>
          <w:color w:val="auto"/>
          <w:szCs w:val="21"/>
        </w:rPr>
      </w:pPr>
      <w:r>
        <w:rPr>
          <w:rFonts w:hint="eastAsia" w:ascii="宋体" w:hAnsi="宋体" w:cs="宋体"/>
          <w:color w:val="auto"/>
          <w:szCs w:val="21"/>
        </w:rPr>
        <w:t xml:space="preserve">④需承包人办理的有关施工场地交通、环卫和施工噪音管理等手续：遵守有关部门对施工现场交通、环卫和施工噪音管理规定，如有发生，费用由承包人承担。             </w:t>
      </w:r>
    </w:p>
    <w:p>
      <w:pPr>
        <w:pStyle w:val="28"/>
        <w:spacing w:line="360" w:lineRule="exact"/>
        <w:ind w:firstLine="420" w:firstLineChars="200"/>
        <w:rPr>
          <w:rFonts w:hAnsi="宋体" w:cs="宋体"/>
          <w:color w:val="auto"/>
          <w:szCs w:val="21"/>
        </w:rPr>
      </w:pPr>
      <w:r>
        <w:rPr>
          <w:rFonts w:hint="eastAsia" w:hAnsi="宋体" w:cs="宋体"/>
          <w:color w:val="auto"/>
          <w:szCs w:val="21"/>
        </w:rPr>
        <w:t xml:space="preserve">⑤已完工程成品保护的特殊要求及费用承担：已竣工工程未交付发包人之前，承包人按协议条款约定负责已完成工程的成品保护工作，保护期间发生损坏，承包人自费予以修复。                        </w:t>
      </w:r>
    </w:p>
    <w:p>
      <w:pPr>
        <w:pStyle w:val="28"/>
        <w:spacing w:line="360" w:lineRule="exact"/>
        <w:ind w:firstLine="420" w:firstLineChars="200"/>
        <w:rPr>
          <w:rFonts w:hAnsi="宋体" w:cs="宋体"/>
          <w:color w:val="auto"/>
          <w:szCs w:val="21"/>
        </w:rPr>
      </w:pPr>
      <w:r>
        <w:rPr>
          <w:rFonts w:hint="eastAsia" w:hAnsi="宋体" w:cs="宋体"/>
          <w:color w:val="auto"/>
          <w:szCs w:val="21"/>
        </w:rPr>
        <w:t xml:space="preserve">⑥承包人有义务对施工场地周围管线（含地上及地下）和邻近建筑物、构筑物(含坟墓、文物保护建筑)、古树名木等进行探明并负责保护。                                              </w:t>
      </w:r>
    </w:p>
    <w:p>
      <w:pPr>
        <w:pStyle w:val="28"/>
        <w:spacing w:line="360" w:lineRule="exact"/>
        <w:ind w:firstLine="420" w:firstLineChars="200"/>
        <w:rPr>
          <w:rFonts w:hAnsi="宋体" w:cs="宋体"/>
          <w:color w:val="auto"/>
          <w:szCs w:val="21"/>
        </w:rPr>
      </w:pPr>
      <w:r>
        <w:rPr>
          <w:rFonts w:hint="eastAsia" w:hAnsi="宋体" w:cs="宋体"/>
          <w:color w:val="auto"/>
          <w:szCs w:val="21"/>
        </w:rPr>
        <w:t xml:space="preserve">⑦施工场地清洁卫生的要求：按城建卫生有关规定执行，由承包人负责，费用由承包人承担。 </w:t>
      </w:r>
    </w:p>
    <w:p>
      <w:pPr>
        <w:pStyle w:val="28"/>
        <w:tabs>
          <w:tab w:val="left" w:pos="6300"/>
          <w:tab w:val="left" w:pos="6510"/>
        </w:tabs>
        <w:spacing w:line="360" w:lineRule="exact"/>
        <w:ind w:firstLine="420" w:firstLineChars="200"/>
        <w:rPr>
          <w:rFonts w:hAnsi="宋体" w:cs="宋体"/>
          <w:color w:val="auto"/>
          <w:szCs w:val="21"/>
        </w:rPr>
      </w:pPr>
      <w:r>
        <w:rPr>
          <w:rFonts w:hint="eastAsia" w:hAnsi="宋体" w:cs="宋体"/>
          <w:color w:val="auto"/>
          <w:szCs w:val="21"/>
        </w:rPr>
        <w:t>⑧承包人承担施工场地、水电及运输通道的修建和维护、清场等费用。</w:t>
      </w:r>
    </w:p>
    <w:p>
      <w:pPr>
        <w:pStyle w:val="28"/>
        <w:tabs>
          <w:tab w:val="left" w:pos="6300"/>
          <w:tab w:val="left" w:pos="6510"/>
        </w:tabs>
        <w:spacing w:line="360" w:lineRule="exact"/>
        <w:ind w:firstLine="420" w:firstLineChars="200"/>
        <w:rPr>
          <w:rFonts w:hAnsi="宋体" w:cs="宋体"/>
          <w:color w:val="auto"/>
          <w:szCs w:val="21"/>
        </w:rPr>
      </w:pPr>
      <w:r>
        <w:rPr>
          <w:rFonts w:hint="eastAsia" w:hAnsi="宋体" w:cs="宋体"/>
          <w:color w:val="auto"/>
          <w:szCs w:val="21"/>
        </w:rPr>
        <w:t>（11）双方约定承包人应做的其他工作：</w:t>
      </w:r>
    </w:p>
    <w:p>
      <w:pPr>
        <w:tabs>
          <w:tab w:val="left" w:pos="1134"/>
          <w:tab w:val="left" w:pos="1276"/>
          <w:tab w:val="left" w:pos="1985"/>
        </w:tabs>
        <w:spacing w:line="360" w:lineRule="exact"/>
        <w:ind w:firstLine="420" w:firstLineChars="200"/>
        <w:rPr>
          <w:rFonts w:ascii="宋体" w:hAnsi="宋体" w:cs="宋体"/>
          <w:color w:val="auto"/>
          <w:szCs w:val="21"/>
        </w:rPr>
      </w:pPr>
      <w:r>
        <w:rPr>
          <w:rFonts w:hint="eastAsia" w:ascii="宋体" w:hAnsi="宋体" w:cs="宋体"/>
          <w:color w:val="auto"/>
          <w:szCs w:val="21"/>
        </w:rPr>
        <w:t>①凡属于需要承包人交付给其他承包人的工作面以及与其他承包人交叉作业的工作面，承包人必须按规定的完工日期完成并将清理好的工作面移交给发包人。</w:t>
      </w:r>
    </w:p>
    <w:p>
      <w:pPr>
        <w:tabs>
          <w:tab w:val="left" w:pos="1134"/>
          <w:tab w:val="left" w:pos="1276"/>
          <w:tab w:val="left" w:pos="1985"/>
        </w:tabs>
        <w:spacing w:line="360" w:lineRule="exact"/>
        <w:ind w:firstLine="420" w:firstLineChars="200"/>
        <w:rPr>
          <w:rFonts w:ascii="宋体" w:hAnsi="宋体" w:cs="宋体"/>
          <w:color w:val="auto"/>
          <w:szCs w:val="21"/>
        </w:rPr>
      </w:pPr>
      <w:r>
        <w:rPr>
          <w:rFonts w:hint="eastAsia" w:ascii="宋体" w:hAnsi="宋体" w:cs="宋体"/>
          <w:color w:val="auto"/>
          <w:szCs w:val="21"/>
        </w:rPr>
        <w:t>②工程完工后，承包人应清理施工现场。并在工程完工后2个月内完成并提交工程竣工资料和工程结算资料。承包人逾期提交，发包人将对承包人的拖延行为视为违约，并按1000元/天计算违约金，违约金从承包人应得的工程款中扣除，但其最终的累计总金额与各项逾期完工违约金合计不超过合同价格的5％。</w:t>
      </w:r>
    </w:p>
    <w:p>
      <w:pPr>
        <w:pStyle w:val="32"/>
        <w:spacing w:after="0" w:line="240" w:lineRule="auto"/>
        <w:ind w:left="0" w:leftChars="0" w:firstLine="420" w:firstLineChars="200"/>
        <w:rPr>
          <w:rFonts w:ascii="宋体" w:hAnsi="宋体" w:cs="宋体"/>
          <w:color w:val="auto"/>
          <w:szCs w:val="21"/>
        </w:rPr>
      </w:pPr>
      <w:r>
        <w:rPr>
          <w:rFonts w:hint="eastAsia" w:ascii="宋体" w:hAnsi="宋体" w:cs="宋体"/>
          <w:color w:val="auto"/>
          <w:szCs w:val="21"/>
        </w:rPr>
        <w:t>（12）其他未尽事宜待签订施工合同时双方再协商。</w:t>
      </w:r>
    </w:p>
    <w:bookmarkEnd w:id="320"/>
    <w:p>
      <w:pPr>
        <w:pStyle w:val="5"/>
        <w:spacing w:before="0" w:after="0" w:line="377" w:lineRule="auto"/>
        <w:outlineLvl w:val="2"/>
        <w:rPr>
          <w:rFonts w:ascii="宋体" w:hAnsi="宋体" w:cs="宋体"/>
          <w:color w:val="auto"/>
          <w:sz w:val="21"/>
          <w:szCs w:val="21"/>
        </w:rPr>
      </w:pPr>
      <w:bookmarkStart w:id="321" w:name="_Toc221951158"/>
      <w:r>
        <w:rPr>
          <w:rFonts w:hint="eastAsia" w:ascii="宋体" w:hAnsi="宋体" w:cs="宋体"/>
          <w:color w:val="auto"/>
          <w:sz w:val="21"/>
          <w:szCs w:val="21"/>
        </w:rPr>
        <w:t>3.2 分包</w:t>
      </w:r>
    </w:p>
    <w:p>
      <w:pPr>
        <w:spacing w:before="0" w:after="0" w:line="377" w:lineRule="auto"/>
        <w:outlineLvl w:val="9"/>
        <w:rPr>
          <w:rFonts w:ascii="宋体" w:hAnsi="宋体" w:cs="宋体"/>
          <w:color w:val="auto"/>
          <w:sz w:val="21"/>
          <w:szCs w:val="21"/>
        </w:rPr>
      </w:pPr>
      <w:r>
        <w:rPr>
          <w:rFonts w:hint="eastAsia" w:ascii="宋体" w:hAnsi="宋体" w:cs="宋体"/>
          <w:color w:val="auto"/>
          <w:sz w:val="21"/>
          <w:szCs w:val="21"/>
        </w:rPr>
        <w:t xml:space="preserve">     </w:t>
      </w:r>
      <w:r>
        <w:rPr>
          <w:rFonts w:hint="eastAsia" w:ascii="宋体" w:hAnsi="宋体" w:cs="宋体"/>
          <w:b w:val="0"/>
          <w:bCs w:val="0"/>
          <w:color w:val="auto"/>
          <w:sz w:val="21"/>
          <w:szCs w:val="21"/>
        </w:rPr>
        <w:t>本工程不允许分包。</w:t>
      </w:r>
    </w:p>
    <w:p>
      <w:pPr>
        <w:pStyle w:val="5"/>
        <w:spacing w:before="0" w:after="0" w:line="377" w:lineRule="auto"/>
        <w:outlineLvl w:val="2"/>
        <w:rPr>
          <w:rFonts w:ascii="宋体" w:hAnsi="宋体" w:cs="宋体"/>
          <w:color w:val="auto"/>
          <w:sz w:val="21"/>
          <w:szCs w:val="21"/>
        </w:rPr>
      </w:pPr>
      <w:r>
        <w:rPr>
          <w:rFonts w:hint="eastAsia" w:ascii="宋体" w:hAnsi="宋体" w:cs="宋体"/>
          <w:color w:val="auto"/>
          <w:sz w:val="21"/>
          <w:szCs w:val="21"/>
        </w:rPr>
        <w:t>3.3 不利物质条件</w:t>
      </w:r>
      <w:bookmarkEnd w:id="321"/>
    </w:p>
    <w:p>
      <w:pPr>
        <w:spacing w:line="400" w:lineRule="exact"/>
        <w:ind w:right="248" w:firstLine="420" w:firstLineChars="200"/>
        <w:rPr>
          <w:rFonts w:ascii="宋体" w:hAnsi="宋体" w:cs="宋体"/>
          <w:color w:val="auto"/>
          <w:szCs w:val="21"/>
        </w:rPr>
      </w:pPr>
      <w:bookmarkStart w:id="322" w:name="_Toc221951159"/>
      <w:r>
        <w:rPr>
          <w:rFonts w:hint="eastAsia" w:ascii="宋体" w:hAnsi="宋体" w:cs="宋体"/>
          <w:color w:val="auto"/>
          <w:szCs w:val="21"/>
        </w:rPr>
        <w:t>4.11.1不利物质条件的范围：</w:t>
      </w:r>
      <w:r>
        <w:rPr>
          <w:rFonts w:hint="eastAsia" w:ascii="宋体" w:hAnsi="宋体" w:cs="宋体"/>
          <w:color w:val="auto"/>
          <w:szCs w:val="21"/>
          <w:u w:val="single"/>
        </w:rPr>
        <w:t xml:space="preserve">  无  </w:t>
      </w:r>
      <w:r>
        <w:rPr>
          <w:rFonts w:hint="eastAsia" w:ascii="宋体" w:hAnsi="宋体" w:cs="宋体"/>
          <w:color w:val="auto"/>
          <w:szCs w:val="21"/>
        </w:rPr>
        <w:t>。</w:t>
      </w:r>
      <w:bookmarkEnd w:id="322"/>
    </w:p>
    <w:p>
      <w:pPr>
        <w:pStyle w:val="4"/>
        <w:spacing w:before="0" w:after="0" w:line="377" w:lineRule="auto"/>
        <w:outlineLvl w:val="1"/>
        <w:rPr>
          <w:rFonts w:ascii="宋体" w:hAnsi="宋体" w:cs="宋体"/>
          <w:color w:val="auto"/>
          <w:sz w:val="21"/>
          <w:szCs w:val="21"/>
        </w:rPr>
      </w:pPr>
      <w:bookmarkStart w:id="323" w:name="_Toc229305391"/>
      <w:bookmarkStart w:id="324" w:name="_Toc221951160"/>
      <w:bookmarkStart w:id="325" w:name="_Toc222032700"/>
      <w:bookmarkStart w:id="326" w:name="_Toc222033882"/>
      <w:bookmarkStart w:id="327" w:name="_Toc222031033"/>
      <w:bookmarkStart w:id="328" w:name="_Toc222029531"/>
      <w:r>
        <w:rPr>
          <w:rFonts w:hint="eastAsia" w:ascii="宋体" w:hAnsi="宋体" w:cs="宋体"/>
          <w:color w:val="auto"/>
          <w:sz w:val="21"/>
          <w:szCs w:val="21"/>
        </w:rPr>
        <w:t>4  材料和工程设备</w:t>
      </w:r>
      <w:bookmarkEnd w:id="323"/>
      <w:bookmarkEnd w:id="324"/>
      <w:bookmarkEnd w:id="325"/>
      <w:bookmarkEnd w:id="326"/>
      <w:bookmarkEnd w:id="327"/>
      <w:bookmarkEnd w:id="328"/>
    </w:p>
    <w:p>
      <w:pPr>
        <w:pStyle w:val="5"/>
        <w:spacing w:before="0" w:after="0" w:line="377" w:lineRule="auto"/>
        <w:outlineLvl w:val="2"/>
        <w:rPr>
          <w:rFonts w:ascii="宋体" w:hAnsi="宋体" w:cs="宋体"/>
          <w:color w:val="auto"/>
          <w:sz w:val="21"/>
          <w:szCs w:val="21"/>
        </w:rPr>
      </w:pPr>
      <w:bookmarkStart w:id="329" w:name="_Toc221951163"/>
      <w:r>
        <w:rPr>
          <w:rFonts w:hint="eastAsia" w:ascii="宋体" w:hAnsi="宋体" w:cs="宋体"/>
          <w:color w:val="auto"/>
          <w:sz w:val="21"/>
          <w:szCs w:val="21"/>
        </w:rPr>
        <w:t>4.1  发包人提供的材料和工程设备</w:t>
      </w:r>
      <w:bookmarkEnd w:id="329"/>
    </w:p>
    <w:p>
      <w:pPr>
        <w:spacing w:line="400" w:lineRule="exact"/>
        <w:ind w:right="248" w:firstLine="424" w:firstLineChars="202"/>
        <w:rPr>
          <w:rFonts w:ascii="宋体" w:hAnsi="宋体" w:cs="宋体"/>
          <w:color w:val="auto"/>
          <w:szCs w:val="21"/>
        </w:rPr>
      </w:pPr>
      <w:bookmarkStart w:id="330" w:name="_Toc222031034"/>
      <w:bookmarkStart w:id="331" w:name="_Toc221951166"/>
      <w:bookmarkStart w:id="332" w:name="_Toc222032701"/>
      <w:bookmarkStart w:id="333" w:name="_Toc222029532"/>
      <w:bookmarkStart w:id="334" w:name="_Toc229305392"/>
      <w:bookmarkStart w:id="335" w:name="_Toc222033883"/>
      <w:r>
        <w:rPr>
          <w:rFonts w:hint="eastAsia" w:ascii="宋体" w:hAnsi="宋体" w:cs="宋体"/>
          <w:color w:val="auto"/>
          <w:szCs w:val="21"/>
        </w:rPr>
        <w:t>4.1.1 无。</w:t>
      </w:r>
    </w:p>
    <w:p>
      <w:pPr>
        <w:pStyle w:val="4"/>
        <w:spacing w:before="0" w:after="0" w:line="377" w:lineRule="auto"/>
        <w:outlineLvl w:val="1"/>
        <w:rPr>
          <w:rFonts w:ascii="宋体" w:hAnsi="宋体" w:cs="宋体"/>
          <w:color w:val="auto"/>
          <w:sz w:val="21"/>
          <w:szCs w:val="21"/>
        </w:rPr>
      </w:pPr>
      <w:r>
        <w:rPr>
          <w:rFonts w:hint="eastAsia" w:ascii="宋体" w:hAnsi="宋体" w:cs="宋体"/>
          <w:color w:val="auto"/>
          <w:sz w:val="21"/>
          <w:szCs w:val="21"/>
        </w:rPr>
        <w:t>5  施工设备和临时设施</w:t>
      </w:r>
      <w:bookmarkEnd w:id="330"/>
      <w:bookmarkEnd w:id="331"/>
      <w:bookmarkEnd w:id="332"/>
      <w:bookmarkEnd w:id="333"/>
      <w:bookmarkEnd w:id="334"/>
      <w:bookmarkEnd w:id="335"/>
    </w:p>
    <w:p>
      <w:pPr>
        <w:pStyle w:val="5"/>
        <w:spacing w:before="0" w:after="0" w:line="377" w:lineRule="auto"/>
        <w:outlineLvl w:val="2"/>
        <w:rPr>
          <w:rFonts w:ascii="宋体" w:hAnsi="宋体" w:cs="宋体"/>
          <w:color w:val="auto"/>
          <w:sz w:val="21"/>
          <w:szCs w:val="21"/>
        </w:rPr>
      </w:pPr>
      <w:bookmarkStart w:id="336" w:name="_Toc229593367"/>
      <w:r>
        <w:rPr>
          <w:rFonts w:hint="eastAsia" w:ascii="宋体" w:hAnsi="宋体" w:cs="宋体"/>
          <w:color w:val="auto"/>
          <w:sz w:val="21"/>
          <w:szCs w:val="21"/>
        </w:rPr>
        <w:t>5.1 承包人提供的施工设备和临时设施</w:t>
      </w:r>
      <w:bookmarkEnd w:id="336"/>
    </w:p>
    <w:p>
      <w:pPr>
        <w:spacing w:line="400" w:lineRule="exact"/>
        <w:ind w:right="248" w:firstLine="424" w:firstLineChars="202"/>
        <w:rPr>
          <w:rFonts w:ascii="宋体" w:hAnsi="宋体" w:cs="宋体"/>
          <w:color w:val="auto"/>
          <w:szCs w:val="21"/>
        </w:rPr>
      </w:pPr>
      <w:r>
        <w:rPr>
          <w:rFonts w:hint="eastAsia" w:ascii="宋体" w:hAnsi="宋体" w:cs="宋体"/>
          <w:color w:val="auto"/>
          <w:szCs w:val="21"/>
        </w:rPr>
        <w:t>5.1.1 承包人自行承担修建临时设施的费用，需要临时占地的，由承包人办理相关申请手续，发包人予以协助，发生的相关费用由承包人承担。</w:t>
      </w:r>
    </w:p>
    <w:p>
      <w:pPr>
        <w:pStyle w:val="5"/>
        <w:spacing w:before="0" w:after="0" w:line="377" w:lineRule="auto"/>
        <w:outlineLvl w:val="2"/>
        <w:rPr>
          <w:rFonts w:ascii="宋体" w:hAnsi="宋体" w:cs="宋体"/>
          <w:color w:val="auto"/>
          <w:sz w:val="21"/>
          <w:szCs w:val="21"/>
        </w:rPr>
      </w:pPr>
      <w:bookmarkStart w:id="337" w:name="_Toc221951167"/>
      <w:r>
        <w:rPr>
          <w:rFonts w:hint="eastAsia" w:ascii="宋体" w:hAnsi="宋体" w:cs="宋体"/>
          <w:color w:val="auto"/>
          <w:sz w:val="21"/>
          <w:szCs w:val="21"/>
        </w:rPr>
        <w:t>5.2  发包人提供的施工设备和临时设施</w:t>
      </w:r>
      <w:bookmarkEnd w:id="337"/>
    </w:p>
    <w:p>
      <w:pPr>
        <w:spacing w:line="400" w:lineRule="exact"/>
        <w:ind w:right="248" w:firstLine="424" w:firstLineChars="202"/>
        <w:rPr>
          <w:rFonts w:ascii="宋体" w:hAnsi="宋体" w:cs="宋体"/>
          <w:color w:val="auto"/>
          <w:szCs w:val="21"/>
        </w:rPr>
      </w:pPr>
      <w:bookmarkStart w:id="338" w:name="_Toc221951169"/>
      <w:r>
        <w:rPr>
          <w:rFonts w:hint="eastAsia" w:ascii="宋体" w:hAnsi="宋体" w:cs="宋体"/>
          <w:color w:val="auto"/>
          <w:szCs w:val="21"/>
        </w:rPr>
        <w:t>（1）发包人提供的的施工设备</w:t>
      </w:r>
      <w:bookmarkEnd w:id="338"/>
      <w:r>
        <w:rPr>
          <w:rFonts w:hint="eastAsia" w:ascii="宋体" w:hAnsi="宋体" w:cs="宋体"/>
          <w:color w:val="auto"/>
          <w:szCs w:val="21"/>
        </w:rPr>
        <w:t>：</w:t>
      </w:r>
      <w:r>
        <w:rPr>
          <w:rFonts w:hint="eastAsia" w:ascii="宋体" w:hAnsi="宋体" w:cs="宋体"/>
          <w:color w:val="auto"/>
          <w:szCs w:val="21"/>
          <w:u w:val="single"/>
        </w:rPr>
        <w:t xml:space="preserve">    无        </w:t>
      </w:r>
      <w:r>
        <w:rPr>
          <w:rFonts w:hint="eastAsia" w:ascii="宋体" w:hAnsi="宋体" w:cs="宋体"/>
          <w:color w:val="auto"/>
          <w:szCs w:val="21"/>
        </w:rPr>
        <w:t>。</w:t>
      </w:r>
    </w:p>
    <w:p>
      <w:pPr>
        <w:spacing w:line="400" w:lineRule="exact"/>
        <w:ind w:right="248" w:firstLine="424" w:firstLineChars="202"/>
        <w:rPr>
          <w:rFonts w:ascii="宋体" w:hAnsi="宋体" w:cs="宋体"/>
          <w:color w:val="auto"/>
          <w:szCs w:val="21"/>
        </w:rPr>
      </w:pPr>
      <w:r>
        <w:rPr>
          <w:rFonts w:hint="eastAsia" w:ascii="宋体" w:hAnsi="宋体" w:cs="宋体"/>
          <w:color w:val="auto"/>
          <w:szCs w:val="21"/>
        </w:rPr>
        <w:t>（2）发包人提供的临时设施：</w:t>
      </w:r>
      <w:r>
        <w:rPr>
          <w:rFonts w:hint="eastAsia" w:ascii="宋体" w:hAnsi="宋体" w:cs="宋体"/>
          <w:color w:val="auto"/>
          <w:szCs w:val="21"/>
          <w:u w:val="single"/>
        </w:rPr>
        <w:t xml:space="preserve">      无        </w:t>
      </w:r>
      <w:r>
        <w:rPr>
          <w:rFonts w:hint="eastAsia" w:ascii="宋体" w:hAnsi="宋体" w:cs="宋体"/>
          <w:color w:val="auto"/>
          <w:szCs w:val="21"/>
        </w:rPr>
        <w:t>。</w:t>
      </w:r>
    </w:p>
    <w:p>
      <w:pPr>
        <w:pStyle w:val="4"/>
        <w:spacing w:before="0" w:after="0" w:line="377" w:lineRule="auto"/>
        <w:outlineLvl w:val="1"/>
        <w:rPr>
          <w:rFonts w:ascii="宋体" w:hAnsi="宋体" w:cs="宋体"/>
          <w:color w:val="auto"/>
          <w:sz w:val="21"/>
          <w:szCs w:val="21"/>
        </w:rPr>
      </w:pPr>
      <w:r>
        <w:rPr>
          <w:rFonts w:hint="eastAsia" w:ascii="宋体" w:hAnsi="宋体" w:cs="宋体"/>
          <w:color w:val="auto"/>
          <w:sz w:val="21"/>
          <w:szCs w:val="21"/>
        </w:rPr>
        <w:t>6交通运输</w:t>
      </w:r>
    </w:p>
    <w:p>
      <w:pPr>
        <w:spacing w:line="400" w:lineRule="exact"/>
        <w:rPr>
          <w:rFonts w:ascii="宋体" w:hAnsi="宋体" w:cs="宋体"/>
          <w:color w:val="auto"/>
          <w:szCs w:val="21"/>
        </w:rPr>
      </w:pPr>
      <w:r>
        <w:rPr>
          <w:rFonts w:hint="eastAsia" w:ascii="宋体" w:hAnsi="宋体" w:cs="宋体"/>
          <w:color w:val="auto"/>
          <w:szCs w:val="21"/>
        </w:rPr>
        <w:t>6.1道路通行权和场外设施</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道路通行权和场外设施的约定：</w:t>
      </w:r>
      <w:r>
        <w:rPr>
          <w:rFonts w:hint="eastAsia" w:ascii="宋体" w:hAnsi="宋体" w:cs="宋体"/>
          <w:color w:val="auto"/>
          <w:szCs w:val="21"/>
          <w:u w:val="single"/>
        </w:rPr>
        <w:t>施工区内、外交通及材料二次运输途径和方式由承包单位根据具体情况自行选择和确定，所需费用由承包人承担</w:t>
      </w:r>
      <w:r>
        <w:rPr>
          <w:rFonts w:hint="eastAsia" w:ascii="宋体" w:hAnsi="宋体" w:cs="宋体"/>
          <w:color w:val="auto"/>
          <w:szCs w:val="21"/>
        </w:rPr>
        <w:t>。</w:t>
      </w:r>
    </w:p>
    <w:p>
      <w:pPr>
        <w:spacing w:line="400" w:lineRule="exact"/>
        <w:outlineLvl w:val="1"/>
        <w:rPr>
          <w:rFonts w:ascii="宋体" w:hAnsi="宋体" w:cs="宋体"/>
          <w:b/>
          <w:bCs/>
          <w:color w:val="auto"/>
          <w:sz w:val="21"/>
          <w:szCs w:val="21"/>
        </w:rPr>
      </w:pPr>
      <w:r>
        <w:rPr>
          <w:rFonts w:hint="eastAsia" w:ascii="宋体" w:hAnsi="宋体" w:cs="宋体"/>
          <w:b/>
          <w:bCs/>
          <w:color w:val="auto"/>
          <w:sz w:val="21"/>
          <w:szCs w:val="21"/>
        </w:rPr>
        <w:t>7 测量放线</w:t>
      </w:r>
    </w:p>
    <w:p>
      <w:pPr>
        <w:pStyle w:val="5"/>
        <w:spacing w:before="0" w:after="0" w:line="377" w:lineRule="auto"/>
        <w:outlineLvl w:val="2"/>
        <w:rPr>
          <w:rFonts w:ascii="宋体" w:hAnsi="宋体" w:cs="宋体"/>
          <w:color w:val="auto"/>
          <w:sz w:val="21"/>
          <w:szCs w:val="21"/>
        </w:rPr>
      </w:pPr>
      <w:r>
        <w:rPr>
          <w:rFonts w:hint="eastAsia" w:ascii="宋体" w:hAnsi="宋体" w:cs="宋体"/>
          <w:color w:val="auto"/>
          <w:sz w:val="21"/>
          <w:szCs w:val="21"/>
        </w:rPr>
        <w:t>7.1施工控制网</w:t>
      </w:r>
    </w:p>
    <w:p>
      <w:pPr>
        <w:spacing w:line="400" w:lineRule="exact"/>
        <w:rPr>
          <w:rFonts w:ascii="宋体" w:hAnsi="宋体" w:cs="宋体"/>
          <w:color w:val="auto"/>
          <w:szCs w:val="21"/>
        </w:rPr>
      </w:pPr>
      <w:r>
        <w:rPr>
          <w:rFonts w:hint="eastAsia" w:ascii="宋体" w:hAnsi="宋体" w:cs="宋体"/>
          <w:color w:val="auto"/>
          <w:kern w:val="0"/>
          <w:szCs w:val="21"/>
        </w:rPr>
        <w:t>7.1.1</w:t>
      </w:r>
      <w:r>
        <w:rPr>
          <w:rFonts w:hint="eastAsia" w:ascii="宋体" w:hAnsi="宋体" w:cs="宋体"/>
          <w:color w:val="auto"/>
          <w:szCs w:val="21"/>
        </w:rPr>
        <w:t>施工控制网的约定</w:t>
      </w:r>
      <w:r>
        <w:rPr>
          <w:rFonts w:hint="eastAsia" w:ascii="宋体" w:hAnsi="宋体" w:cs="宋体"/>
          <w:color w:val="auto"/>
          <w:kern w:val="0"/>
          <w:szCs w:val="21"/>
        </w:rPr>
        <w:t>：</w:t>
      </w:r>
      <w:r>
        <w:rPr>
          <w:rFonts w:hint="eastAsia" w:ascii="宋体" w:hAnsi="宋体" w:cs="宋体"/>
          <w:color w:val="auto"/>
          <w:szCs w:val="21"/>
          <w:u w:val="single"/>
        </w:rPr>
        <w:t xml:space="preserve">由承包人负责测设及承担其费用  </w:t>
      </w:r>
      <w:r>
        <w:rPr>
          <w:rFonts w:hint="eastAsia" w:ascii="宋体" w:hAnsi="宋体" w:cs="宋体"/>
          <w:color w:val="auto"/>
          <w:szCs w:val="21"/>
        </w:rPr>
        <w:t>。</w:t>
      </w:r>
    </w:p>
    <w:p>
      <w:pPr>
        <w:pStyle w:val="4"/>
        <w:spacing w:before="0" w:after="0" w:line="377" w:lineRule="auto"/>
        <w:outlineLvl w:val="1"/>
        <w:rPr>
          <w:rFonts w:ascii="宋体" w:hAnsi="宋体" w:cs="宋体"/>
          <w:color w:val="auto"/>
          <w:sz w:val="21"/>
          <w:szCs w:val="21"/>
        </w:rPr>
      </w:pPr>
      <w:r>
        <w:rPr>
          <w:rFonts w:hint="eastAsia" w:ascii="宋体" w:hAnsi="宋体" w:cs="宋体"/>
          <w:color w:val="auto"/>
          <w:sz w:val="21"/>
          <w:szCs w:val="21"/>
        </w:rPr>
        <w:t>8施工安全、治安保卫和环境保护</w:t>
      </w:r>
    </w:p>
    <w:p>
      <w:pPr>
        <w:pStyle w:val="4"/>
        <w:spacing w:before="0" w:after="0" w:line="377" w:lineRule="auto"/>
        <w:outlineLvl w:val="1"/>
        <w:rPr>
          <w:rFonts w:ascii="宋体" w:hAnsi="宋体" w:cs="宋体"/>
          <w:color w:val="auto"/>
          <w:sz w:val="21"/>
          <w:szCs w:val="21"/>
        </w:rPr>
      </w:pPr>
      <w:r>
        <w:rPr>
          <w:rFonts w:hint="eastAsia" w:ascii="宋体" w:hAnsi="宋体" w:cs="宋体"/>
          <w:color w:val="auto"/>
          <w:sz w:val="21"/>
          <w:szCs w:val="21"/>
        </w:rPr>
        <w:t>8.1承包人的施工安全责任</w:t>
      </w:r>
    </w:p>
    <w:p>
      <w:pPr>
        <w:spacing w:line="400" w:lineRule="exact"/>
        <w:ind w:right="248"/>
        <w:rPr>
          <w:rFonts w:ascii="宋体" w:hAnsi="宋体" w:cs="宋体"/>
          <w:color w:val="auto"/>
          <w:szCs w:val="21"/>
        </w:rPr>
      </w:pPr>
      <w:r>
        <w:rPr>
          <w:rFonts w:hint="eastAsia" w:ascii="宋体" w:hAnsi="宋体" w:cs="宋体"/>
          <w:color w:val="auto"/>
          <w:szCs w:val="21"/>
        </w:rPr>
        <w:t>8.1.1下列工程应编制专项施工方案：</w:t>
      </w:r>
      <w:r>
        <w:rPr>
          <w:rFonts w:hint="eastAsia" w:ascii="宋体" w:hAnsi="宋体" w:cs="宋体"/>
          <w:color w:val="auto"/>
          <w:szCs w:val="21"/>
          <w:u w:val="single"/>
        </w:rPr>
        <w:t xml:space="preserve"> 无 </w:t>
      </w:r>
      <w:r>
        <w:rPr>
          <w:rFonts w:hint="eastAsia" w:ascii="宋体" w:hAnsi="宋体" w:cs="宋体"/>
          <w:color w:val="auto"/>
          <w:szCs w:val="21"/>
        </w:rPr>
        <w:t>。其中应组织专家论证和审查的专项施工方案：</w:t>
      </w:r>
      <w:r>
        <w:rPr>
          <w:rFonts w:hint="eastAsia" w:ascii="宋体" w:hAnsi="宋体" w:cs="宋体"/>
          <w:color w:val="auto"/>
          <w:szCs w:val="21"/>
          <w:u w:val="single"/>
        </w:rPr>
        <w:t xml:space="preserve"> 无 </w:t>
      </w:r>
      <w:r>
        <w:rPr>
          <w:rFonts w:hint="eastAsia" w:ascii="宋体" w:hAnsi="宋体" w:cs="宋体"/>
          <w:color w:val="auto"/>
          <w:szCs w:val="21"/>
        </w:rPr>
        <w:t>。</w:t>
      </w:r>
    </w:p>
    <w:p>
      <w:pPr>
        <w:pStyle w:val="5"/>
        <w:spacing w:before="0" w:after="0" w:line="377" w:lineRule="auto"/>
        <w:outlineLvl w:val="2"/>
        <w:rPr>
          <w:rFonts w:ascii="宋体" w:hAnsi="宋体" w:cs="宋体"/>
          <w:color w:val="auto"/>
          <w:sz w:val="21"/>
          <w:szCs w:val="21"/>
        </w:rPr>
      </w:pPr>
      <w:r>
        <w:rPr>
          <w:rFonts w:hint="eastAsia" w:ascii="宋体" w:hAnsi="宋体" w:cs="宋体"/>
          <w:color w:val="auto"/>
          <w:sz w:val="21"/>
          <w:szCs w:val="21"/>
        </w:rPr>
        <w:t>8.2文明工地</w:t>
      </w:r>
    </w:p>
    <w:p>
      <w:pPr>
        <w:spacing w:line="400" w:lineRule="exact"/>
        <w:ind w:right="248"/>
        <w:rPr>
          <w:rFonts w:ascii="宋体" w:hAnsi="宋体" w:cs="宋体"/>
          <w:color w:val="auto"/>
          <w:szCs w:val="21"/>
        </w:rPr>
      </w:pPr>
      <w:r>
        <w:rPr>
          <w:rFonts w:hint="eastAsia" w:ascii="宋体" w:hAnsi="宋体" w:cs="宋体"/>
          <w:color w:val="auto"/>
          <w:szCs w:val="21"/>
        </w:rPr>
        <w:t>8.2.1 本合同文明工地的约定：</w:t>
      </w:r>
      <w:r>
        <w:rPr>
          <w:rFonts w:hint="eastAsia" w:ascii="宋体" w:hAnsi="宋体" w:cs="宋体"/>
          <w:bCs/>
          <w:color w:val="auto"/>
          <w:szCs w:val="21"/>
          <w:u w:val="single"/>
        </w:rPr>
        <w:t>按水利部《水利系统文明建设工地评审管理办法》创建文明建设工地</w:t>
      </w:r>
      <w:r>
        <w:rPr>
          <w:rFonts w:hint="eastAsia" w:ascii="宋体" w:hAnsi="宋体" w:cs="宋体"/>
          <w:color w:val="auto"/>
          <w:szCs w:val="21"/>
        </w:rPr>
        <w:t>。</w:t>
      </w:r>
    </w:p>
    <w:p>
      <w:pPr>
        <w:pStyle w:val="4"/>
        <w:spacing w:before="0" w:after="0" w:line="377" w:lineRule="auto"/>
        <w:outlineLvl w:val="1"/>
        <w:rPr>
          <w:rFonts w:ascii="宋体" w:hAnsi="宋体" w:cs="宋体"/>
          <w:color w:val="auto"/>
          <w:sz w:val="21"/>
          <w:szCs w:val="21"/>
        </w:rPr>
      </w:pPr>
      <w:bookmarkStart w:id="339" w:name="_Toc222031038"/>
      <w:bookmarkStart w:id="340" w:name="_Toc222032705"/>
      <w:bookmarkStart w:id="341" w:name="_Toc229305394"/>
      <w:bookmarkStart w:id="342" w:name="_Toc222029536"/>
      <w:bookmarkStart w:id="343" w:name="_Toc221951188"/>
      <w:bookmarkStart w:id="344" w:name="_Toc222033887"/>
      <w:r>
        <w:rPr>
          <w:rFonts w:hint="eastAsia" w:ascii="宋体" w:hAnsi="宋体" w:cs="宋体"/>
          <w:color w:val="auto"/>
          <w:sz w:val="21"/>
          <w:szCs w:val="21"/>
        </w:rPr>
        <w:t>9 开工和竣工</w:t>
      </w:r>
      <w:bookmarkEnd w:id="339"/>
      <w:bookmarkEnd w:id="340"/>
      <w:bookmarkEnd w:id="341"/>
      <w:bookmarkEnd w:id="342"/>
      <w:bookmarkEnd w:id="343"/>
      <w:bookmarkEnd w:id="344"/>
      <w:r>
        <w:rPr>
          <w:rFonts w:hint="eastAsia" w:ascii="宋体" w:hAnsi="宋体" w:cs="宋体"/>
          <w:color w:val="auto"/>
          <w:sz w:val="21"/>
          <w:szCs w:val="21"/>
        </w:rPr>
        <w:t>（完工）</w:t>
      </w:r>
    </w:p>
    <w:p>
      <w:pPr>
        <w:spacing w:line="400" w:lineRule="exact"/>
        <w:rPr>
          <w:rFonts w:ascii="宋体" w:hAnsi="宋体" w:cs="宋体"/>
          <w:color w:val="auto"/>
          <w:szCs w:val="21"/>
        </w:rPr>
      </w:pPr>
      <w:r>
        <w:rPr>
          <w:rFonts w:hint="eastAsia" w:ascii="宋体" w:hAnsi="宋体" w:cs="宋体"/>
          <w:color w:val="auto"/>
          <w:szCs w:val="21"/>
        </w:rPr>
        <w:t>9.1  本工程工程完工时间为</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2024</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日。</w:t>
      </w:r>
    </w:p>
    <w:p>
      <w:pPr>
        <w:pStyle w:val="4"/>
        <w:spacing w:before="0" w:after="0" w:line="377" w:lineRule="auto"/>
        <w:outlineLvl w:val="1"/>
        <w:rPr>
          <w:rFonts w:ascii="宋体" w:hAnsi="宋体" w:cs="宋体"/>
          <w:color w:val="auto"/>
          <w:sz w:val="21"/>
          <w:szCs w:val="21"/>
        </w:rPr>
      </w:pPr>
      <w:bookmarkStart w:id="345" w:name="_Toc221951189"/>
      <w:r>
        <w:rPr>
          <w:rFonts w:hint="eastAsia" w:ascii="宋体" w:hAnsi="宋体" w:cs="宋体"/>
          <w:color w:val="auto"/>
          <w:sz w:val="21"/>
          <w:szCs w:val="21"/>
        </w:rPr>
        <w:t>10. 异常恶劣的气候条件</w:t>
      </w:r>
      <w:bookmarkEnd w:id="345"/>
      <w:r>
        <w:rPr>
          <w:rFonts w:hint="eastAsia" w:ascii="宋体" w:hAnsi="宋体" w:cs="宋体"/>
          <w:color w:val="auto"/>
          <w:sz w:val="21"/>
          <w:szCs w:val="21"/>
        </w:rPr>
        <w:t xml:space="preserve"> </w:t>
      </w:r>
    </w:p>
    <w:p>
      <w:pPr>
        <w:spacing w:line="400" w:lineRule="exact"/>
        <w:ind w:right="248" w:firstLine="480"/>
        <w:rPr>
          <w:rFonts w:ascii="宋体" w:hAnsi="宋体" w:cs="宋体"/>
          <w:color w:val="auto"/>
          <w:szCs w:val="21"/>
        </w:rPr>
      </w:pPr>
      <w:bookmarkStart w:id="346" w:name="_Toc221951191"/>
      <w:r>
        <w:rPr>
          <w:rFonts w:hint="eastAsia" w:ascii="宋体" w:hAnsi="宋体" w:cs="宋体"/>
          <w:color w:val="auto"/>
          <w:szCs w:val="21"/>
        </w:rPr>
        <w:t>10.1.1本合同工程界定异常恶劣气候条件的范围为：</w:t>
      </w:r>
      <w:bookmarkEnd w:id="346"/>
    </w:p>
    <w:p>
      <w:pPr>
        <w:spacing w:line="400" w:lineRule="exact"/>
        <w:ind w:right="248" w:firstLine="480"/>
        <w:rPr>
          <w:rFonts w:ascii="宋体" w:hAnsi="宋体" w:cs="宋体"/>
          <w:color w:val="auto"/>
          <w:szCs w:val="21"/>
        </w:rPr>
      </w:pPr>
      <w:bookmarkStart w:id="347" w:name="_Toc221951192"/>
      <w:bookmarkStart w:id="348" w:name="_Toc221951198"/>
      <w:r>
        <w:rPr>
          <w:rFonts w:hint="eastAsia" w:ascii="宋体" w:hAnsi="宋体" w:cs="宋体"/>
          <w:color w:val="auto"/>
          <w:szCs w:val="21"/>
        </w:rPr>
        <w:t>（1）日降雨量大于 200 ㎜的雨日超过 1 天；</w:t>
      </w:r>
      <w:bookmarkEnd w:id="347"/>
    </w:p>
    <w:p>
      <w:pPr>
        <w:spacing w:line="400" w:lineRule="exact"/>
        <w:ind w:right="248" w:firstLine="480"/>
        <w:rPr>
          <w:rFonts w:ascii="宋体" w:hAnsi="宋体" w:cs="宋体"/>
          <w:color w:val="auto"/>
          <w:szCs w:val="21"/>
        </w:rPr>
      </w:pPr>
      <w:bookmarkStart w:id="349" w:name="_Toc221951193"/>
      <w:r>
        <w:rPr>
          <w:rFonts w:hint="eastAsia" w:ascii="宋体" w:hAnsi="宋体" w:cs="宋体"/>
          <w:color w:val="auto"/>
          <w:szCs w:val="21"/>
        </w:rPr>
        <w:t>（2）</w:t>
      </w:r>
      <w:bookmarkEnd w:id="349"/>
      <w:r>
        <w:rPr>
          <w:rFonts w:hint="eastAsia" w:ascii="宋体" w:hAnsi="宋体" w:cs="宋体"/>
          <w:color w:val="auto"/>
          <w:szCs w:val="21"/>
        </w:rPr>
        <w:t>10级以上的持续1日的大风（以气象部门鉴定为准））</w:t>
      </w:r>
    </w:p>
    <w:p>
      <w:pPr>
        <w:spacing w:line="400" w:lineRule="exact"/>
        <w:ind w:right="248" w:firstLine="480"/>
        <w:rPr>
          <w:rFonts w:ascii="宋体" w:hAnsi="宋体" w:cs="宋体"/>
          <w:color w:val="auto"/>
          <w:szCs w:val="21"/>
        </w:rPr>
      </w:pPr>
      <w:bookmarkStart w:id="350" w:name="_Toc221951194"/>
      <w:r>
        <w:rPr>
          <w:rFonts w:hint="eastAsia" w:ascii="宋体" w:hAnsi="宋体" w:cs="宋体"/>
          <w:color w:val="auto"/>
          <w:szCs w:val="21"/>
        </w:rPr>
        <w:t>（3）</w:t>
      </w:r>
      <w:bookmarkEnd w:id="350"/>
      <w:r>
        <w:rPr>
          <w:rFonts w:hint="eastAsia" w:ascii="宋体" w:hAnsi="宋体" w:cs="宋体"/>
          <w:color w:val="auto"/>
          <w:szCs w:val="21"/>
        </w:rPr>
        <w:t>日气温超过  40  ℃的高温大于   2  天；</w:t>
      </w:r>
      <w:bookmarkStart w:id="351" w:name="_Toc221951195"/>
    </w:p>
    <w:p>
      <w:pPr>
        <w:spacing w:line="400" w:lineRule="exact"/>
        <w:ind w:right="248" w:firstLine="480"/>
        <w:rPr>
          <w:rFonts w:ascii="宋体" w:hAnsi="宋体" w:cs="宋体"/>
          <w:color w:val="auto"/>
          <w:szCs w:val="21"/>
        </w:rPr>
      </w:pPr>
      <w:r>
        <w:rPr>
          <w:rFonts w:hint="eastAsia" w:ascii="宋体" w:hAnsi="宋体" w:cs="宋体"/>
          <w:color w:val="auto"/>
          <w:szCs w:val="21"/>
        </w:rPr>
        <w:t>（4）</w:t>
      </w:r>
      <w:bookmarkEnd w:id="351"/>
      <w:r>
        <w:rPr>
          <w:rFonts w:hint="eastAsia" w:ascii="宋体" w:hAnsi="宋体" w:cs="宋体"/>
          <w:color w:val="auto"/>
          <w:szCs w:val="21"/>
        </w:rPr>
        <w:t>日气温低于  -10  ℃的严寒大于   2  天。</w:t>
      </w:r>
      <w:bookmarkStart w:id="352" w:name="_Toc221951196"/>
    </w:p>
    <w:p>
      <w:pPr>
        <w:spacing w:line="400" w:lineRule="exact"/>
        <w:ind w:right="248" w:firstLine="480"/>
        <w:rPr>
          <w:rFonts w:ascii="宋体" w:hAnsi="宋体" w:cs="宋体"/>
          <w:color w:val="auto"/>
          <w:szCs w:val="21"/>
        </w:rPr>
      </w:pPr>
      <w:r>
        <w:rPr>
          <w:rFonts w:hint="eastAsia" w:ascii="宋体" w:hAnsi="宋体" w:cs="宋体"/>
          <w:color w:val="auto"/>
          <w:szCs w:val="21"/>
        </w:rPr>
        <w:t>（5）</w:t>
      </w:r>
      <w:bookmarkEnd w:id="352"/>
      <w:r>
        <w:rPr>
          <w:rFonts w:hint="eastAsia" w:ascii="宋体" w:hAnsi="宋体" w:cs="宋体"/>
          <w:color w:val="auto"/>
          <w:szCs w:val="21"/>
        </w:rPr>
        <w:t>造成工程损坏的冰雹和大雪灾害；</w:t>
      </w:r>
    </w:p>
    <w:p>
      <w:pPr>
        <w:spacing w:line="400" w:lineRule="exact"/>
        <w:ind w:right="248" w:firstLine="480"/>
        <w:rPr>
          <w:rFonts w:ascii="宋体" w:hAnsi="宋体" w:cs="宋体"/>
          <w:color w:val="auto"/>
          <w:szCs w:val="21"/>
        </w:rPr>
      </w:pPr>
      <w:r>
        <w:rPr>
          <w:rFonts w:hint="eastAsia" w:ascii="宋体" w:hAnsi="宋体" w:cs="宋体"/>
          <w:color w:val="auto"/>
          <w:szCs w:val="21"/>
        </w:rPr>
        <w:t>（6）6级以上的地震；</w:t>
      </w:r>
    </w:p>
    <w:p>
      <w:pPr>
        <w:spacing w:line="400" w:lineRule="exact"/>
        <w:ind w:right="248" w:firstLine="480"/>
        <w:rPr>
          <w:rFonts w:ascii="宋体" w:hAnsi="宋体" w:cs="宋体"/>
          <w:color w:val="auto"/>
          <w:szCs w:val="21"/>
        </w:rPr>
      </w:pPr>
      <w:r>
        <w:rPr>
          <w:rFonts w:hint="eastAsia" w:ascii="宋体" w:hAnsi="宋体" w:cs="宋体"/>
          <w:color w:val="auto"/>
          <w:szCs w:val="21"/>
        </w:rPr>
        <w:t>（7）50年一遇及以上的洪水；</w:t>
      </w:r>
    </w:p>
    <w:p>
      <w:pPr>
        <w:spacing w:line="400" w:lineRule="exact"/>
        <w:ind w:right="248" w:firstLine="480"/>
        <w:rPr>
          <w:rFonts w:ascii="宋体" w:hAnsi="宋体" w:cs="宋体"/>
          <w:color w:val="auto"/>
          <w:szCs w:val="21"/>
        </w:rPr>
      </w:pPr>
      <w:bookmarkStart w:id="353" w:name="_Toc221951197"/>
      <w:r>
        <w:rPr>
          <w:rFonts w:hint="eastAsia" w:ascii="宋体" w:hAnsi="宋体" w:cs="宋体"/>
          <w:color w:val="auto"/>
          <w:szCs w:val="21"/>
        </w:rPr>
        <w:t>（8）其他异常恶劣气候灾害。</w:t>
      </w:r>
      <w:bookmarkEnd w:id="353"/>
    </w:p>
    <w:p>
      <w:pPr>
        <w:spacing w:before="0" w:after="0" w:line="377" w:lineRule="auto"/>
        <w:outlineLvl w:val="9"/>
        <w:rPr>
          <w:rFonts w:ascii="宋体" w:hAnsi="宋体" w:cs="宋体"/>
          <w:color w:val="auto"/>
          <w:sz w:val="21"/>
          <w:szCs w:val="21"/>
        </w:rPr>
      </w:pPr>
    </w:p>
    <w:p>
      <w:pPr>
        <w:pStyle w:val="6"/>
        <w:spacing w:before="0" w:after="0" w:line="377" w:lineRule="auto"/>
        <w:rPr>
          <w:rFonts w:ascii="宋体" w:hAnsi="宋体" w:cs="宋体"/>
          <w:color w:val="auto"/>
          <w:sz w:val="21"/>
          <w:szCs w:val="21"/>
        </w:rPr>
      </w:pPr>
      <w:r>
        <w:rPr>
          <w:rFonts w:hint="eastAsia" w:ascii="宋体" w:hAnsi="宋体" w:cs="宋体"/>
          <w:color w:val="auto"/>
          <w:sz w:val="21"/>
          <w:szCs w:val="21"/>
        </w:rPr>
        <w:t>11 .1 承包人工期延误</w:t>
      </w:r>
      <w:bookmarkEnd w:id="348"/>
      <w:r>
        <w:rPr>
          <w:rFonts w:hint="eastAsia" w:ascii="宋体" w:hAnsi="宋体" w:cs="宋体"/>
          <w:color w:val="auto"/>
          <w:sz w:val="21"/>
          <w:szCs w:val="21"/>
        </w:rPr>
        <w:t xml:space="preserve"> </w:t>
      </w:r>
      <w:bookmarkStart w:id="354" w:name="_Toc221951200"/>
    </w:p>
    <w:p>
      <w:pPr>
        <w:spacing w:line="400" w:lineRule="exact"/>
        <w:ind w:right="248" w:firstLine="420" w:firstLineChars="200"/>
        <w:rPr>
          <w:rFonts w:ascii="宋体" w:hAnsi="宋体" w:cs="宋体"/>
          <w:bCs/>
          <w:color w:val="auto"/>
          <w:szCs w:val="21"/>
        </w:rPr>
      </w:pPr>
      <w:r>
        <w:rPr>
          <w:rFonts w:hint="eastAsia" w:ascii="宋体" w:hAnsi="宋体" w:cs="宋体"/>
          <w:bCs/>
          <w:color w:val="auto"/>
          <w:szCs w:val="21"/>
        </w:rPr>
        <w:t>（1）逾期完工违约金表(参考格式)</w:t>
      </w:r>
      <w:bookmarkEnd w:id="354"/>
    </w:p>
    <w:tbl>
      <w:tblPr>
        <w:tblStyle w:val="53"/>
        <w:tblW w:w="0" w:type="auto"/>
        <w:tblInd w:w="25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51"/>
        <w:gridCol w:w="3598"/>
        <w:gridCol w:w="2579"/>
        <w:gridCol w:w="222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3" w:hRule="atLeast"/>
        </w:trPr>
        <w:tc>
          <w:tcPr>
            <w:tcW w:w="851" w:type="dxa"/>
            <w:noWrap w:val="0"/>
            <w:vAlign w:val="center"/>
          </w:tcPr>
          <w:p>
            <w:pPr>
              <w:spacing w:line="400" w:lineRule="exact"/>
              <w:ind w:right="-3"/>
              <w:jc w:val="center"/>
              <w:rPr>
                <w:rFonts w:ascii="宋体" w:hAnsi="宋体" w:cs="宋体"/>
                <w:color w:val="auto"/>
                <w:szCs w:val="21"/>
              </w:rPr>
            </w:pPr>
            <w:bookmarkStart w:id="355" w:name="_Toc221951201"/>
            <w:r>
              <w:rPr>
                <w:rFonts w:hint="eastAsia" w:ascii="宋体" w:hAnsi="宋体" w:cs="宋体"/>
                <w:color w:val="auto"/>
                <w:szCs w:val="21"/>
              </w:rPr>
              <w:t>序号</w:t>
            </w:r>
            <w:bookmarkEnd w:id="355"/>
          </w:p>
        </w:tc>
        <w:tc>
          <w:tcPr>
            <w:tcW w:w="3598" w:type="dxa"/>
            <w:noWrap w:val="0"/>
            <w:vAlign w:val="center"/>
          </w:tcPr>
          <w:p>
            <w:pPr>
              <w:spacing w:line="400" w:lineRule="exact"/>
              <w:ind w:right="3"/>
              <w:jc w:val="center"/>
              <w:rPr>
                <w:rFonts w:ascii="宋体" w:hAnsi="宋体" w:cs="宋体"/>
                <w:color w:val="auto"/>
                <w:szCs w:val="21"/>
              </w:rPr>
            </w:pPr>
            <w:bookmarkStart w:id="356" w:name="_Toc221951202"/>
            <w:r>
              <w:rPr>
                <w:rFonts w:hint="eastAsia" w:ascii="宋体" w:hAnsi="宋体" w:cs="宋体"/>
                <w:color w:val="auto"/>
                <w:szCs w:val="21"/>
              </w:rPr>
              <w:t>项目及其说明</w:t>
            </w:r>
            <w:bookmarkEnd w:id="356"/>
          </w:p>
        </w:tc>
        <w:tc>
          <w:tcPr>
            <w:tcW w:w="2579" w:type="dxa"/>
            <w:noWrap w:val="0"/>
            <w:vAlign w:val="center"/>
          </w:tcPr>
          <w:p>
            <w:pPr>
              <w:spacing w:line="400" w:lineRule="exact"/>
              <w:ind w:right="9"/>
              <w:jc w:val="center"/>
              <w:rPr>
                <w:rFonts w:ascii="宋体" w:hAnsi="宋体" w:cs="宋体"/>
                <w:color w:val="auto"/>
                <w:szCs w:val="21"/>
              </w:rPr>
            </w:pPr>
            <w:bookmarkStart w:id="357" w:name="_Toc221951203"/>
            <w:r>
              <w:rPr>
                <w:rFonts w:hint="eastAsia" w:ascii="宋体" w:hAnsi="宋体" w:cs="宋体"/>
                <w:color w:val="auto"/>
                <w:szCs w:val="21"/>
              </w:rPr>
              <w:t>要求完工日期</w:t>
            </w:r>
            <w:bookmarkEnd w:id="357"/>
          </w:p>
        </w:tc>
        <w:tc>
          <w:tcPr>
            <w:tcW w:w="2229" w:type="dxa"/>
            <w:noWrap w:val="0"/>
            <w:vAlign w:val="top"/>
          </w:tcPr>
          <w:p>
            <w:pPr>
              <w:spacing w:line="400" w:lineRule="exact"/>
              <w:ind w:right="9"/>
              <w:jc w:val="center"/>
              <w:rPr>
                <w:rFonts w:ascii="宋体" w:hAnsi="宋体" w:cs="宋体"/>
                <w:color w:val="auto"/>
                <w:szCs w:val="21"/>
              </w:rPr>
            </w:pPr>
            <w:bookmarkStart w:id="358" w:name="_Toc221951204"/>
            <w:r>
              <w:rPr>
                <w:rFonts w:hint="eastAsia" w:ascii="宋体" w:hAnsi="宋体" w:cs="宋体"/>
                <w:color w:val="auto"/>
                <w:szCs w:val="21"/>
              </w:rPr>
              <w:t>违约金(元/天)</w:t>
            </w:r>
            <w:bookmarkEnd w:id="358"/>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3" w:hRule="atLeast"/>
        </w:trPr>
        <w:tc>
          <w:tcPr>
            <w:tcW w:w="851" w:type="dxa"/>
            <w:noWrap w:val="0"/>
            <w:vAlign w:val="center"/>
          </w:tcPr>
          <w:p>
            <w:pPr>
              <w:spacing w:line="400" w:lineRule="exact"/>
              <w:ind w:right="248"/>
              <w:jc w:val="center"/>
              <w:rPr>
                <w:rFonts w:ascii="宋体" w:hAnsi="宋体" w:cs="宋体"/>
                <w:color w:val="auto"/>
                <w:szCs w:val="21"/>
              </w:rPr>
            </w:pPr>
            <w:r>
              <w:rPr>
                <w:rFonts w:hint="eastAsia" w:ascii="宋体" w:hAnsi="宋体" w:cs="宋体"/>
                <w:color w:val="auto"/>
                <w:szCs w:val="21"/>
              </w:rPr>
              <w:t xml:space="preserve">  1</w:t>
            </w:r>
          </w:p>
        </w:tc>
        <w:tc>
          <w:tcPr>
            <w:tcW w:w="3598" w:type="dxa"/>
            <w:noWrap w:val="0"/>
            <w:vAlign w:val="center"/>
          </w:tcPr>
          <w:p>
            <w:pPr>
              <w:spacing w:line="400" w:lineRule="exact"/>
              <w:ind w:right="9"/>
              <w:jc w:val="center"/>
              <w:rPr>
                <w:rFonts w:hint="eastAsia" w:ascii="宋体" w:hAnsi="宋体" w:cs="宋体"/>
                <w:color w:val="auto"/>
                <w:szCs w:val="21"/>
              </w:rPr>
            </w:pPr>
            <w:r>
              <w:rPr>
                <w:rFonts w:hint="eastAsia" w:ascii="宋体" w:hAnsi="宋体" w:cs="宋体"/>
                <w:color w:val="auto"/>
                <w:szCs w:val="21"/>
              </w:rPr>
              <w:t>整体工程</w:t>
            </w:r>
          </w:p>
        </w:tc>
        <w:tc>
          <w:tcPr>
            <w:tcW w:w="2579" w:type="dxa"/>
            <w:noWrap w:val="0"/>
            <w:vAlign w:val="center"/>
          </w:tcPr>
          <w:p>
            <w:pPr>
              <w:spacing w:line="400" w:lineRule="exact"/>
              <w:ind w:right="9"/>
              <w:jc w:val="center"/>
              <w:rPr>
                <w:rFonts w:hint="eastAsia" w:ascii="宋体" w:hAnsi="宋体" w:cs="宋体"/>
                <w:color w:val="auto"/>
                <w:szCs w:val="21"/>
              </w:rPr>
            </w:pPr>
            <w:r>
              <w:rPr>
                <w:rFonts w:hint="eastAsia" w:ascii="宋体" w:hAnsi="宋体" w:cs="宋体"/>
                <w:color w:val="auto"/>
                <w:szCs w:val="21"/>
                <w:highlight w:val="none"/>
                <w:lang w:val="en-US" w:eastAsia="zh-CN"/>
              </w:rPr>
              <w:t>2024</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日</w:t>
            </w:r>
          </w:p>
        </w:tc>
        <w:tc>
          <w:tcPr>
            <w:tcW w:w="2229" w:type="dxa"/>
            <w:noWrap w:val="0"/>
            <w:vAlign w:val="top"/>
          </w:tcPr>
          <w:p>
            <w:pPr>
              <w:spacing w:line="400" w:lineRule="exact"/>
              <w:ind w:right="9"/>
              <w:jc w:val="center"/>
              <w:rPr>
                <w:rFonts w:hint="eastAsia" w:ascii="宋体" w:hAnsi="宋体" w:cs="宋体"/>
                <w:color w:val="auto"/>
                <w:szCs w:val="21"/>
              </w:rPr>
            </w:pPr>
            <w:r>
              <w:rPr>
                <w:rFonts w:hint="eastAsia" w:ascii="宋体" w:hAnsi="宋体" w:cs="宋体"/>
                <w:color w:val="auto"/>
                <w:szCs w:val="21"/>
              </w:rPr>
              <w:t>1000</w:t>
            </w:r>
          </w:p>
        </w:tc>
      </w:tr>
    </w:tbl>
    <w:p>
      <w:pPr>
        <w:spacing w:line="360" w:lineRule="auto"/>
        <w:ind w:right="248" w:firstLine="420" w:firstLineChars="200"/>
        <w:rPr>
          <w:rFonts w:ascii="宋体" w:hAnsi="宋体" w:cs="宋体"/>
          <w:color w:val="auto"/>
          <w:szCs w:val="21"/>
        </w:rPr>
      </w:pPr>
      <w:bookmarkStart w:id="359" w:name="_Toc221951205"/>
      <w:r>
        <w:rPr>
          <w:rFonts w:hint="eastAsia" w:ascii="宋体" w:hAnsi="宋体" w:cs="宋体"/>
          <w:color w:val="auto"/>
          <w:szCs w:val="21"/>
        </w:rPr>
        <w:t xml:space="preserve"> 承包人如未能按上表各节点要求的完工日期前完工，</w:t>
      </w:r>
      <w:r>
        <w:rPr>
          <w:rFonts w:hint="eastAsia" w:ascii="宋体" w:hAnsi="宋体" w:cs="宋体"/>
          <w:bCs/>
          <w:color w:val="auto"/>
          <w:szCs w:val="21"/>
        </w:rPr>
        <w:t>逾期完工违约金按</w:t>
      </w:r>
      <w:r>
        <w:rPr>
          <w:rFonts w:hint="eastAsia" w:ascii="宋体" w:hAnsi="宋体" w:cs="宋体"/>
          <w:bCs/>
          <w:color w:val="auto"/>
          <w:szCs w:val="21"/>
          <w:u w:val="single"/>
        </w:rPr>
        <w:t xml:space="preserve"> </w:t>
      </w:r>
      <w:r>
        <w:rPr>
          <w:rFonts w:hint="eastAsia" w:ascii="宋体" w:hAnsi="宋体" w:cs="宋体"/>
          <w:color w:val="auto"/>
          <w:szCs w:val="21"/>
          <w:u w:val="single"/>
        </w:rPr>
        <w:t xml:space="preserve">1000 </w:t>
      </w:r>
      <w:r>
        <w:rPr>
          <w:rFonts w:hint="eastAsia" w:ascii="宋体" w:hAnsi="宋体" w:cs="宋体"/>
          <w:bCs/>
          <w:color w:val="auto"/>
          <w:szCs w:val="21"/>
        </w:rPr>
        <w:t>元/天”计算。</w:t>
      </w:r>
    </w:p>
    <w:p>
      <w:pPr>
        <w:spacing w:line="360" w:lineRule="auto"/>
        <w:ind w:right="248" w:firstLine="420" w:firstLineChars="200"/>
        <w:rPr>
          <w:rFonts w:ascii="宋体" w:hAnsi="宋体" w:cs="宋体"/>
          <w:color w:val="auto"/>
          <w:szCs w:val="21"/>
        </w:rPr>
      </w:pPr>
      <w:r>
        <w:rPr>
          <w:rFonts w:hint="eastAsia" w:ascii="宋体" w:hAnsi="宋体" w:cs="宋体"/>
          <w:color w:val="auto"/>
          <w:szCs w:val="21"/>
        </w:rPr>
        <w:t>（2）全部逾期完工违约金的总限额不超过合同总价的</w:t>
      </w:r>
      <w:r>
        <w:rPr>
          <w:rFonts w:hint="eastAsia" w:ascii="宋体" w:hAnsi="宋体" w:cs="宋体"/>
          <w:color w:val="auto"/>
          <w:szCs w:val="21"/>
          <w:u w:val="single"/>
        </w:rPr>
        <w:t>5</w:t>
      </w:r>
      <w:r>
        <w:rPr>
          <w:rFonts w:hint="eastAsia" w:ascii="宋体" w:hAnsi="宋体" w:cs="宋体"/>
          <w:color w:val="auto"/>
          <w:szCs w:val="21"/>
        </w:rPr>
        <w:t xml:space="preserve"> %，发包人可从应向承包人支付的任何金额中扣除此项违约金或以其他方式收回此款，此违约金的支付并不能解除承包人应完成工程的责任或合同规定的其他责任。</w:t>
      </w:r>
      <w:bookmarkEnd w:id="359"/>
    </w:p>
    <w:p>
      <w:pPr>
        <w:pStyle w:val="6"/>
        <w:spacing w:before="0" w:after="0" w:line="360" w:lineRule="auto"/>
        <w:rPr>
          <w:rFonts w:ascii="宋体" w:hAnsi="宋体" w:cs="宋体"/>
          <w:color w:val="auto"/>
          <w:sz w:val="21"/>
          <w:szCs w:val="21"/>
        </w:rPr>
      </w:pPr>
      <w:r>
        <w:rPr>
          <w:rFonts w:hint="eastAsia" w:ascii="宋体" w:hAnsi="宋体" w:cs="宋体"/>
          <w:color w:val="auto"/>
          <w:sz w:val="21"/>
          <w:szCs w:val="21"/>
        </w:rPr>
        <w:t>11.2工期提前</w:t>
      </w:r>
    </w:p>
    <w:p>
      <w:pPr>
        <w:spacing w:line="360" w:lineRule="auto"/>
        <w:ind w:right="248" w:firstLine="420" w:firstLineChars="200"/>
        <w:rPr>
          <w:rFonts w:hint="eastAsia" w:ascii="宋体" w:hAnsi="宋体" w:cs="宋体"/>
          <w:color w:val="auto"/>
          <w:szCs w:val="21"/>
        </w:rPr>
      </w:pPr>
      <w:r>
        <w:rPr>
          <w:rFonts w:hint="eastAsia" w:ascii="宋体" w:hAnsi="宋体" w:cs="宋体"/>
          <w:color w:val="auto"/>
          <w:szCs w:val="21"/>
        </w:rPr>
        <w:t>工期提前的资金约定：</w:t>
      </w:r>
      <w:r>
        <w:rPr>
          <w:rFonts w:hint="eastAsia" w:ascii="宋体" w:hAnsi="宋体" w:cs="宋体"/>
          <w:bCs/>
          <w:color w:val="auto"/>
          <w:szCs w:val="21"/>
          <w:u w:val="single"/>
        </w:rPr>
        <w:t>在保证工程质量的前提下，发包人鼓励承包人提前完工，但本合同工程无提前工期奖金</w:t>
      </w:r>
      <w:r>
        <w:rPr>
          <w:rFonts w:hint="eastAsia" w:ascii="宋体" w:hAnsi="宋体" w:cs="宋体"/>
          <w:color w:val="auto"/>
          <w:szCs w:val="21"/>
        </w:rPr>
        <w:t>。</w:t>
      </w:r>
      <w:bookmarkStart w:id="360" w:name="_Toc229305395"/>
      <w:bookmarkStart w:id="361" w:name="_Toc222032706"/>
      <w:bookmarkStart w:id="362" w:name="_Toc222031039"/>
      <w:bookmarkStart w:id="363" w:name="_Toc222029537"/>
      <w:bookmarkStart w:id="364" w:name="_Toc221951206"/>
      <w:bookmarkStart w:id="365" w:name="_Toc222033888"/>
    </w:p>
    <w:p>
      <w:pPr>
        <w:spacing w:line="360" w:lineRule="auto"/>
        <w:ind w:right="248"/>
        <w:rPr>
          <w:rFonts w:hint="eastAsia" w:ascii="宋体" w:hAnsi="宋体" w:cs="宋体"/>
          <w:b/>
          <w:bCs/>
          <w:color w:val="auto"/>
          <w:sz w:val="21"/>
          <w:szCs w:val="21"/>
        </w:rPr>
      </w:pPr>
      <w:r>
        <w:rPr>
          <w:rFonts w:hint="eastAsia" w:ascii="宋体" w:hAnsi="宋体" w:cs="宋体"/>
          <w:b/>
          <w:bCs/>
          <w:color w:val="auto"/>
          <w:sz w:val="21"/>
          <w:szCs w:val="21"/>
        </w:rPr>
        <w:t>12  暂停施工</w:t>
      </w:r>
      <w:bookmarkEnd w:id="360"/>
      <w:bookmarkEnd w:id="361"/>
      <w:bookmarkEnd w:id="362"/>
      <w:bookmarkEnd w:id="363"/>
      <w:bookmarkEnd w:id="364"/>
      <w:bookmarkEnd w:id="365"/>
      <w:bookmarkStart w:id="366" w:name="_Toc221951207"/>
    </w:p>
    <w:p>
      <w:pPr>
        <w:spacing w:line="360" w:lineRule="auto"/>
        <w:ind w:right="248"/>
        <w:rPr>
          <w:rFonts w:ascii="宋体" w:hAnsi="宋体" w:cs="宋体"/>
          <w:b/>
          <w:bCs/>
          <w:color w:val="auto"/>
          <w:sz w:val="21"/>
          <w:szCs w:val="21"/>
        </w:rPr>
      </w:pPr>
      <w:r>
        <w:rPr>
          <w:rFonts w:hint="eastAsia" w:ascii="宋体" w:hAnsi="宋体" w:cs="宋体"/>
          <w:b/>
          <w:bCs/>
          <w:color w:val="auto"/>
          <w:sz w:val="21"/>
          <w:szCs w:val="21"/>
        </w:rPr>
        <w:t>12.1  承包人暂停施工的责任</w:t>
      </w:r>
      <w:bookmarkEnd w:id="366"/>
    </w:p>
    <w:p>
      <w:pPr>
        <w:spacing w:line="360" w:lineRule="auto"/>
        <w:ind w:right="248" w:firstLine="480"/>
        <w:rPr>
          <w:rFonts w:ascii="宋体" w:hAnsi="宋体" w:cs="宋体"/>
          <w:color w:val="auto"/>
          <w:szCs w:val="21"/>
        </w:rPr>
      </w:pPr>
      <w:bookmarkStart w:id="367" w:name="_Toc221951209"/>
      <w:r>
        <w:rPr>
          <w:rFonts w:hint="eastAsia" w:ascii="宋体" w:hAnsi="宋体" w:cs="宋体"/>
          <w:color w:val="auto"/>
          <w:szCs w:val="21"/>
        </w:rPr>
        <w:t xml:space="preserve"> (1) 承包人承担暂停施工责任的其它情形：</w:t>
      </w:r>
      <w:r>
        <w:rPr>
          <w:rFonts w:hint="eastAsia" w:ascii="宋体" w:hAnsi="宋体" w:cs="宋体"/>
          <w:color w:val="auto"/>
          <w:szCs w:val="21"/>
          <w:u w:val="single"/>
        </w:rPr>
        <w:t>工程质量不合格及承包人原因造成的其他情形</w:t>
      </w:r>
      <w:r>
        <w:rPr>
          <w:rFonts w:hint="eastAsia" w:ascii="宋体" w:hAnsi="宋体" w:cs="宋体"/>
          <w:color w:val="auto"/>
          <w:szCs w:val="21"/>
        </w:rPr>
        <w:t xml:space="preserve"> 。</w:t>
      </w:r>
      <w:bookmarkEnd w:id="367"/>
    </w:p>
    <w:p>
      <w:pPr>
        <w:pStyle w:val="6"/>
        <w:spacing w:before="0" w:after="0" w:line="360" w:lineRule="auto"/>
        <w:rPr>
          <w:rFonts w:ascii="宋体" w:hAnsi="宋体" w:cs="宋体"/>
          <w:color w:val="auto"/>
          <w:sz w:val="21"/>
          <w:szCs w:val="21"/>
        </w:rPr>
      </w:pPr>
      <w:r>
        <w:rPr>
          <w:rFonts w:hint="eastAsia" w:ascii="宋体" w:hAnsi="宋体" w:cs="宋体"/>
          <w:color w:val="auto"/>
          <w:sz w:val="21"/>
          <w:szCs w:val="21"/>
        </w:rPr>
        <w:t>12.2  发包人暂停施工的责任</w:t>
      </w:r>
    </w:p>
    <w:p>
      <w:pPr>
        <w:spacing w:line="360" w:lineRule="auto"/>
        <w:ind w:right="248" w:firstLine="480"/>
        <w:rPr>
          <w:rFonts w:ascii="宋体" w:hAnsi="宋体" w:cs="宋体"/>
          <w:color w:val="auto"/>
          <w:szCs w:val="21"/>
        </w:rPr>
      </w:pPr>
      <w:r>
        <w:rPr>
          <w:rFonts w:hint="eastAsia" w:ascii="宋体" w:hAnsi="宋体" w:cs="宋体"/>
          <w:color w:val="auto"/>
          <w:szCs w:val="21"/>
        </w:rPr>
        <w:t xml:space="preserve"> (3) 发包人承担暂停施工责任的其它情形：</w:t>
      </w:r>
      <w:r>
        <w:rPr>
          <w:rFonts w:hint="eastAsia" w:ascii="宋体" w:hAnsi="宋体" w:cs="宋体"/>
          <w:color w:val="auto"/>
          <w:szCs w:val="21"/>
          <w:u w:val="single"/>
        </w:rPr>
        <w:t>因异常恶劣气候及发包人、承包人双方一致认可的因素影响延误工期，工期顺延，但不另行增加费用</w:t>
      </w:r>
      <w:r>
        <w:rPr>
          <w:rFonts w:hint="eastAsia" w:ascii="宋体" w:hAnsi="宋体" w:cs="宋体"/>
          <w:color w:val="auto"/>
          <w:szCs w:val="21"/>
        </w:rPr>
        <w:t>。</w:t>
      </w:r>
    </w:p>
    <w:p>
      <w:pPr>
        <w:pStyle w:val="6"/>
        <w:spacing w:before="0" w:after="0" w:line="360" w:lineRule="auto"/>
        <w:rPr>
          <w:rFonts w:ascii="宋体" w:hAnsi="宋体" w:cs="宋体"/>
          <w:color w:val="auto"/>
          <w:sz w:val="21"/>
          <w:szCs w:val="21"/>
        </w:rPr>
      </w:pPr>
      <w:r>
        <w:rPr>
          <w:rFonts w:hint="eastAsia" w:ascii="宋体" w:hAnsi="宋体" w:cs="宋体"/>
          <w:color w:val="auto"/>
          <w:sz w:val="21"/>
          <w:szCs w:val="21"/>
        </w:rPr>
        <w:t>13  工程质量</w:t>
      </w:r>
    </w:p>
    <w:p>
      <w:pPr>
        <w:pStyle w:val="6"/>
        <w:spacing w:before="0" w:after="0" w:line="360" w:lineRule="auto"/>
        <w:rPr>
          <w:rFonts w:ascii="宋体" w:hAnsi="宋体" w:cs="宋体"/>
          <w:color w:val="auto"/>
          <w:sz w:val="21"/>
          <w:szCs w:val="21"/>
        </w:rPr>
      </w:pPr>
      <w:r>
        <w:rPr>
          <w:rFonts w:hint="eastAsia" w:ascii="宋体" w:hAnsi="宋体" w:cs="宋体"/>
          <w:color w:val="auto"/>
          <w:sz w:val="21"/>
          <w:szCs w:val="21"/>
        </w:rPr>
        <w:t>13.1质量评定</w:t>
      </w:r>
    </w:p>
    <w:p>
      <w:pPr>
        <w:spacing w:line="360" w:lineRule="auto"/>
        <w:ind w:right="248" w:firstLine="480"/>
        <w:rPr>
          <w:rFonts w:ascii="宋体" w:hAnsi="宋体" w:cs="宋体"/>
          <w:color w:val="auto"/>
          <w:szCs w:val="21"/>
        </w:rPr>
      </w:pPr>
      <w:r>
        <w:rPr>
          <w:rFonts w:hint="eastAsia" w:ascii="宋体" w:hAnsi="宋体" w:cs="宋体"/>
          <w:color w:val="auto"/>
          <w:szCs w:val="21"/>
        </w:rPr>
        <w:t>13.1.1重要隐蔽单元工程和关键部位单元工程质量评定的约定：</w:t>
      </w:r>
      <w:r>
        <w:rPr>
          <w:rFonts w:hint="eastAsia" w:ascii="宋体" w:hAnsi="宋体" w:cs="宋体"/>
          <w:color w:val="auto"/>
          <w:szCs w:val="21"/>
          <w:u w:val="single"/>
        </w:rPr>
        <w:t>需发包人、监理人、承包人和设计共同评定</w:t>
      </w:r>
      <w:r>
        <w:rPr>
          <w:rFonts w:hint="eastAsia" w:ascii="宋体" w:hAnsi="宋体" w:cs="宋体"/>
          <w:color w:val="auto"/>
          <w:szCs w:val="21"/>
        </w:rPr>
        <w:t>。</w:t>
      </w:r>
    </w:p>
    <w:p>
      <w:pPr>
        <w:spacing w:line="360" w:lineRule="auto"/>
        <w:ind w:right="248" w:firstLine="480"/>
        <w:rPr>
          <w:rFonts w:ascii="宋体" w:hAnsi="宋体" w:cs="宋体"/>
          <w:color w:val="auto"/>
          <w:szCs w:val="21"/>
        </w:rPr>
      </w:pPr>
      <w:r>
        <w:rPr>
          <w:rFonts w:hint="eastAsia" w:ascii="宋体" w:hAnsi="宋体" w:cs="宋体"/>
          <w:color w:val="auto"/>
          <w:szCs w:val="21"/>
        </w:rPr>
        <w:t>13.1.2工程合格及优良标准为：按《水利水电工程施工质量检验与评定规程》（SL176-2007）进行质量检验评定，施工质量达到合格等级；优良标准为：按《水利水电工程施工质量检验与评定规程》（SL176-2007）进行质量检验评定，施工质量达到优良等级；达到优良的奖金为：无。</w:t>
      </w:r>
    </w:p>
    <w:p>
      <w:pPr>
        <w:pStyle w:val="6"/>
        <w:spacing w:before="0" w:after="0" w:line="360" w:lineRule="auto"/>
        <w:rPr>
          <w:rFonts w:ascii="宋体" w:hAnsi="宋体" w:cs="宋体"/>
          <w:color w:val="auto"/>
          <w:sz w:val="21"/>
          <w:szCs w:val="21"/>
        </w:rPr>
      </w:pPr>
      <w:r>
        <w:rPr>
          <w:rFonts w:hint="eastAsia" w:ascii="宋体" w:hAnsi="宋体" w:cs="宋体"/>
          <w:color w:val="auto"/>
          <w:sz w:val="21"/>
          <w:szCs w:val="21"/>
        </w:rPr>
        <w:t>13.2  质量事故处理</w:t>
      </w:r>
    </w:p>
    <w:p>
      <w:pPr>
        <w:spacing w:line="360" w:lineRule="auto"/>
        <w:ind w:right="248" w:firstLine="480"/>
        <w:rPr>
          <w:rFonts w:ascii="宋体" w:hAnsi="宋体" w:cs="宋体"/>
          <w:color w:val="auto"/>
          <w:szCs w:val="21"/>
        </w:rPr>
      </w:pPr>
      <w:r>
        <w:rPr>
          <w:rFonts w:hint="eastAsia" w:ascii="宋体" w:hAnsi="宋体" w:cs="宋体"/>
          <w:color w:val="auto"/>
          <w:szCs w:val="21"/>
        </w:rPr>
        <w:t xml:space="preserve">13.2.1工程竣工验收时， </w:t>
      </w:r>
      <w:r>
        <w:rPr>
          <w:rFonts w:hint="eastAsia" w:ascii="宋体" w:hAnsi="宋体" w:cs="宋体"/>
          <w:color w:val="auto"/>
          <w:szCs w:val="21"/>
          <w:u w:val="single"/>
        </w:rPr>
        <w:t xml:space="preserve">  承包人 </w:t>
      </w:r>
      <w:r>
        <w:rPr>
          <w:rFonts w:hint="eastAsia" w:ascii="宋体" w:hAnsi="宋体" w:cs="宋体"/>
          <w:color w:val="auto"/>
          <w:szCs w:val="21"/>
        </w:rPr>
        <w:t>向竣工验收委员会汇报并提交历次质量缺陷处理的备案资料。</w:t>
      </w:r>
    </w:p>
    <w:p>
      <w:pPr>
        <w:pStyle w:val="6"/>
        <w:spacing w:before="0" w:after="0" w:line="360" w:lineRule="auto"/>
        <w:rPr>
          <w:rFonts w:ascii="宋体" w:hAnsi="宋体" w:cs="宋体"/>
          <w:color w:val="auto"/>
          <w:sz w:val="21"/>
          <w:szCs w:val="21"/>
        </w:rPr>
      </w:pPr>
      <w:r>
        <w:rPr>
          <w:rFonts w:hint="eastAsia" w:ascii="宋体" w:hAnsi="宋体" w:cs="宋体"/>
          <w:color w:val="auto"/>
          <w:sz w:val="21"/>
          <w:szCs w:val="21"/>
        </w:rPr>
        <w:t>14. 试验和检验</w:t>
      </w:r>
    </w:p>
    <w:p>
      <w:pPr>
        <w:pStyle w:val="6"/>
        <w:spacing w:before="0" w:after="0" w:line="360" w:lineRule="auto"/>
        <w:rPr>
          <w:rFonts w:ascii="宋体" w:hAnsi="宋体" w:cs="宋体"/>
          <w:color w:val="auto"/>
          <w:sz w:val="21"/>
          <w:szCs w:val="21"/>
        </w:rPr>
      </w:pPr>
      <w:r>
        <w:rPr>
          <w:rFonts w:hint="eastAsia" w:ascii="宋体" w:hAnsi="宋体" w:cs="宋体"/>
          <w:color w:val="auto"/>
          <w:sz w:val="21"/>
          <w:szCs w:val="21"/>
        </w:rPr>
        <w:t>14.1材料、工程设备和工程的试验和检验</w:t>
      </w:r>
    </w:p>
    <w:p>
      <w:pPr>
        <w:spacing w:line="360" w:lineRule="auto"/>
        <w:ind w:firstLine="420" w:firstLineChars="200"/>
        <w:rPr>
          <w:rFonts w:ascii="宋体" w:hAnsi="宋体" w:cs="宋体"/>
          <w:color w:val="auto"/>
          <w:szCs w:val="21"/>
        </w:rPr>
      </w:pPr>
      <w:r>
        <w:rPr>
          <w:rFonts w:hint="eastAsia" w:ascii="宋体" w:hAnsi="宋体" w:cs="宋体"/>
          <w:color w:val="auto"/>
          <w:szCs w:val="21"/>
        </w:rPr>
        <w:t>14.1.1 水工金属结构、启闭机及机电产品进场后的交货检查和验收中，承包人负责</w:t>
      </w:r>
      <w:r>
        <w:rPr>
          <w:rFonts w:hint="eastAsia" w:ascii="宋体" w:hAnsi="宋体" w:cs="宋体"/>
          <w:color w:val="auto"/>
          <w:szCs w:val="21"/>
          <w:u w:val="single"/>
        </w:rPr>
        <w:t>卸车及卸车后的验收、保管、转运、仓储管理，发生的费用由承包人承担</w:t>
      </w:r>
      <w:r>
        <w:rPr>
          <w:rFonts w:hint="eastAsia" w:ascii="宋体"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14.1.2 本工程实行见证取样的试块、试件及有关材料：</w:t>
      </w:r>
      <w:r>
        <w:rPr>
          <w:rFonts w:hint="eastAsia" w:ascii="宋体" w:hAnsi="宋体" w:cs="宋体"/>
          <w:color w:val="auto"/>
          <w:szCs w:val="21"/>
          <w:u w:val="single"/>
        </w:rPr>
        <w:t>砂浆、砼试件、钢筋、水泥、砂、碎石及有关材料</w:t>
      </w:r>
      <w:r>
        <w:rPr>
          <w:rFonts w:hint="eastAsia" w:ascii="宋体" w:hAnsi="宋体" w:cs="宋体"/>
          <w:color w:val="auto"/>
          <w:szCs w:val="21"/>
        </w:rPr>
        <w:t>。</w:t>
      </w:r>
    </w:p>
    <w:p>
      <w:pPr>
        <w:pStyle w:val="6"/>
        <w:spacing w:before="0" w:after="0" w:line="360" w:lineRule="auto"/>
        <w:rPr>
          <w:rFonts w:ascii="宋体" w:hAnsi="宋体" w:cs="宋体"/>
          <w:color w:val="auto"/>
          <w:sz w:val="21"/>
          <w:szCs w:val="21"/>
        </w:rPr>
      </w:pPr>
      <w:bookmarkStart w:id="368" w:name="_Toc229305396"/>
      <w:bookmarkStart w:id="369" w:name="_Toc222032708"/>
      <w:bookmarkStart w:id="370" w:name="_Toc221951213"/>
      <w:bookmarkStart w:id="371" w:name="_Toc222029539"/>
      <w:bookmarkStart w:id="372" w:name="_Toc222031041"/>
      <w:bookmarkStart w:id="373" w:name="_Toc222033890"/>
      <w:r>
        <w:rPr>
          <w:rFonts w:hint="eastAsia" w:ascii="宋体" w:hAnsi="宋体" w:cs="宋体"/>
          <w:color w:val="auto"/>
          <w:sz w:val="21"/>
          <w:szCs w:val="21"/>
        </w:rPr>
        <w:t>15  变更</w:t>
      </w:r>
      <w:bookmarkEnd w:id="368"/>
      <w:bookmarkEnd w:id="369"/>
      <w:bookmarkEnd w:id="370"/>
      <w:bookmarkEnd w:id="371"/>
      <w:bookmarkEnd w:id="372"/>
      <w:bookmarkEnd w:id="373"/>
    </w:p>
    <w:p>
      <w:pPr>
        <w:spacing w:after="120" w:line="360" w:lineRule="auto"/>
        <w:rPr>
          <w:rFonts w:ascii="宋体" w:hAnsi="宋体"/>
          <w:color w:val="auto"/>
          <w:szCs w:val="21"/>
        </w:rPr>
      </w:pPr>
      <w:r>
        <w:rPr>
          <w:rFonts w:hint="eastAsia" w:ascii="宋体" w:hAnsi="宋体" w:cs="宋体"/>
          <w:color w:val="auto"/>
          <w:szCs w:val="21"/>
        </w:rPr>
        <w:t xml:space="preserve"> </w:t>
      </w:r>
      <w:r>
        <w:rPr>
          <w:rFonts w:ascii="宋体" w:hAnsi="宋体"/>
          <w:color w:val="auto"/>
          <w:szCs w:val="21"/>
        </w:rPr>
        <w:t>变更的范围</w:t>
      </w:r>
    </w:p>
    <w:p>
      <w:pPr>
        <w:spacing w:line="360" w:lineRule="auto"/>
        <w:ind w:right="248"/>
        <w:rPr>
          <w:rFonts w:ascii="宋体" w:hAnsi="宋体" w:cs="宋体"/>
          <w:color w:val="auto"/>
          <w:szCs w:val="21"/>
          <w:highlight w:val="none"/>
        </w:rPr>
      </w:pPr>
      <w:r>
        <w:rPr>
          <w:rFonts w:hint="eastAsia" w:ascii="宋体" w:hAnsi="宋体"/>
          <w:color w:val="auto"/>
          <w:szCs w:val="21"/>
        </w:rPr>
        <w:t xml:space="preserve">   </w:t>
      </w:r>
      <w:r>
        <w:rPr>
          <w:rFonts w:hint="eastAsia" w:ascii="宋体" w:hAnsi="宋体"/>
          <w:color w:val="auto"/>
          <w:szCs w:val="21"/>
          <w:highlight w:val="none"/>
        </w:rPr>
        <w:t xml:space="preserve"> </w:t>
      </w:r>
      <w:r>
        <w:rPr>
          <w:rFonts w:ascii="宋体" w:hAnsi="宋体"/>
          <w:color w:val="auto"/>
          <w:szCs w:val="21"/>
          <w:highlight w:val="none"/>
        </w:rPr>
        <w:t>关于变更的范围的约定：</w:t>
      </w:r>
      <w:r>
        <w:rPr>
          <w:rFonts w:ascii="宋体" w:hAnsi="宋体"/>
          <w:color w:val="auto"/>
          <w:szCs w:val="21"/>
          <w:highlight w:val="none"/>
          <w:u w:val="single"/>
        </w:rPr>
        <w:t xml:space="preserve"> </w:t>
      </w:r>
      <w:r>
        <w:rPr>
          <w:rFonts w:hint="eastAsia" w:ascii="宋体" w:hAnsi="宋体"/>
          <w:color w:val="auto"/>
          <w:kern w:val="0"/>
          <w:szCs w:val="21"/>
          <w:highlight w:val="none"/>
          <w:u w:val="single"/>
        </w:rPr>
        <w:t>由于设计缺陷、</w:t>
      </w:r>
      <w:r>
        <w:rPr>
          <w:rFonts w:hint="eastAsia" w:ascii="宋体" w:hAnsi="宋体"/>
          <w:color w:val="auto"/>
          <w:szCs w:val="21"/>
          <w:highlight w:val="none"/>
          <w:u w:val="single"/>
        </w:rPr>
        <w:t>不可预见因素或发包人要求所发生的工程量增减（由变更、签证产生），其工程量按实际发生的由监理单位、设计单位现场核实确认后再报业务主管部门及发包人并征得业务主管部门和发包人同意后方可变更。</w:t>
      </w:r>
    </w:p>
    <w:p>
      <w:pPr>
        <w:pStyle w:val="6"/>
        <w:spacing w:before="0" w:after="0" w:line="360" w:lineRule="auto"/>
        <w:rPr>
          <w:rFonts w:ascii="宋体" w:hAnsi="宋体" w:cs="宋体"/>
          <w:color w:val="auto"/>
          <w:sz w:val="21"/>
          <w:szCs w:val="21"/>
        </w:rPr>
      </w:pPr>
      <w:r>
        <w:rPr>
          <w:rFonts w:hint="eastAsia" w:ascii="宋体" w:hAnsi="宋体" w:cs="宋体"/>
          <w:color w:val="auto"/>
          <w:sz w:val="21"/>
          <w:szCs w:val="21"/>
        </w:rPr>
        <w:t>15.1 变更的估价原则</w:t>
      </w:r>
    </w:p>
    <w:p>
      <w:pPr>
        <w:spacing w:line="360" w:lineRule="auto"/>
        <w:rPr>
          <w:rFonts w:ascii="宋体" w:hAnsi="宋体" w:cs="宋体"/>
          <w:color w:val="auto"/>
          <w:szCs w:val="21"/>
        </w:rPr>
      </w:pPr>
      <w:r>
        <w:rPr>
          <w:rFonts w:hint="eastAsia" w:ascii="宋体" w:hAnsi="宋体" w:cs="宋体"/>
          <w:color w:val="auto"/>
          <w:szCs w:val="21"/>
        </w:rPr>
        <w:t xml:space="preserve">    15.1.1已标价工程量清单中无适用或类似子目的单价，按照以下原则确定:①有定额可套的，套用编制控制价所选定额计算，并乘以中标价下浮系数（中标价下浮系数为中标价与控制价的比值），其中材料价格有信息价的按当地同期信息价，无信息或信息价明显高于市场价的由发包人、承包人、监理人市场询价确定。②无定额可套的，由发包人、承包人、市场询价确定。</w:t>
      </w:r>
    </w:p>
    <w:p>
      <w:pPr>
        <w:pStyle w:val="6"/>
        <w:spacing w:before="0" w:after="0" w:line="360" w:lineRule="auto"/>
        <w:rPr>
          <w:rFonts w:ascii="宋体" w:hAnsi="宋体" w:cs="宋体"/>
          <w:color w:val="auto"/>
          <w:sz w:val="21"/>
          <w:szCs w:val="21"/>
        </w:rPr>
      </w:pPr>
      <w:bookmarkStart w:id="374" w:name="_Toc221951218"/>
      <w:r>
        <w:rPr>
          <w:rFonts w:hint="eastAsia" w:ascii="宋体" w:hAnsi="宋体" w:cs="宋体"/>
          <w:color w:val="auto"/>
          <w:sz w:val="21"/>
          <w:szCs w:val="21"/>
        </w:rPr>
        <w:t>15.2承包人的合理化建议</w:t>
      </w:r>
    </w:p>
    <w:p>
      <w:pPr>
        <w:spacing w:line="360" w:lineRule="auto"/>
        <w:ind w:firstLine="420"/>
        <w:rPr>
          <w:rFonts w:ascii="宋体" w:hAnsi="宋体" w:cs="宋体"/>
          <w:color w:val="auto"/>
          <w:szCs w:val="21"/>
        </w:rPr>
      </w:pPr>
      <w:r>
        <w:rPr>
          <w:rFonts w:hint="eastAsia" w:ascii="宋体" w:hAnsi="宋体" w:cs="宋体"/>
          <w:color w:val="auto"/>
          <w:szCs w:val="21"/>
        </w:rPr>
        <w:t xml:space="preserve">15.2.1 </w:t>
      </w:r>
      <w:bookmarkEnd w:id="374"/>
      <w:bookmarkStart w:id="375" w:name="_Toc221951219"/>
      <w:r>
        <w:rPr>
          <w:rFonts w:hint="eastAsia" w:ascii="宋体" w:hAnsi="宋体" w:cs="宋体"/>
          <w:color w:val="auto"/>
          <w:szCs w:val="21"/>
        </w:rPr>
        <w:t>承包人实现合理化建议的奖励金额为：</w:t>
      </w:r>
      <w:bookmarkEnd w:id="375"/>
      <w:bookmarkStart w:id="376" w:name="_Toc221951220"/>
      <w:r>
        <w:rPr>
          <w:rFonts w:hint="eastAsia" w:ascii="宋体" w:hAnsi="宋体" w:cs="宋体"/>
          <w:color w:val="auto"/>
          <w:szCs w:val="21"/>
          <w:u w:val="single"/>
        </w:rPr>
        <w:t xml:space="preserve"> 无 </w:t>
      </w:r>
      <w:r>
        <w:rPr>
          <w:rFonts w:hint="eastAsia" w:ascii="宋体" w:hAnsi="宋体" w:cs="宋体"/>
          <w:color w:val="auto"/>
          <w:szCs w:val="21"/>
        </w:rPr>
        <w:t>。</w:t>
      </w:r>
      <w:bookmarkEnd w:id="376"/>
    </w:p>
    <w:p>
      <w:pPr>
        <w:pStyle w:val="6"/>
        <w:spacing w:before="0" w:after="0" w:line="360" w:lineRule="auto"/>
        <w:rPr>
          <w:rFonts w:ascii="宋体" w:hAnsi="宋体" w:cs="宋体"/>
          <w:color w:val="auto"/>
          <w:sz w:val="21"/>
          <w:szCs w:val="21"/>
        </w:rPr>
      </w:pPr>
      <w:bookmarkStart w:id="377" w:name="_Toc229305397"/>
      <w:r>
        <w:rPr>
          <w:rFonts w:hint="eastAsia" w:ascii="宋体" w:hAnsi="宋体" w:cs="宋体"/>
          <w:color w:val="auto"/>
          <w:sz w:val="21"/>
          <w:szCs w:val="21"/>
        </w:rPr>
        <w:t>16 价格调整</w:t>
      </w:r>
      <w:bookmarkEnd w:id="377"/>
    </w:p>
    <w:p>
      <w:pPr>
        <w:pStyle w:val="6"/>
        <w:spacing w:before="0" w:after="0" w:line="360" w:lineRule="auto"/>
        <w:rPr>
          <w:rFonts w:ascii="宋体" w:hAnsi="宋体" w:cs="宋体"/>
          <w:color w:val="auto"/>
          <w:sz w:val="21"/>
          <w:szCs w:val="21"/>
        </w:rPr>
      </w:pPr>
      <w:r>
        <w:rPr>
          <w:rFonts w:hint="eastAsia" w:ascii="宋体" w:hAnsi="宋体" w:cs="宋体"/>
          <w:color w:val="auto"/>
          <w:sz w:val="21"/>
          <w:szCs w:val="21"/>
        </w:rPr>
        <w:t xml:space="preserve">16.1 物价波动引起的价格调整  </w:t>
      </w:r>
      <w:bookmarkStart w:id="378" w:name="_Toc222031042"/>
      <w:bookmarkStart w:id="379" w:name="_Toc222033891"/>
      <w:bookmarkStart w:id="380" w:name="_Toc221951223"/>
      <w:bookmarkStart w:id="381" w:name="_Toc222032709"/>
      <w:bookmarkStart w:id="382" w:name="_Toc222029540"/>
      <w:bookmarkStart w:id="383" w:name="_Toc229305398"/>
    </w:p>
    <w:p>
      <w:pPr>
        <w:spacing w:before="0" w:after="0" w:line="360" w:lineRule="auto"/>
        <w:outlineLvl w:val="9"/>
        <w:rPr>
          <w:rFonts w:ascii="宋体" w:hAnsi="宋体" w:cs="宋体"/>
          <w:b/>
          <w:bCs/>
          <w:color w:val="auto"/>
          <w:sz w:val="21"/>
          <w:szCs w:val="21"/>
          <w:highlight w:val="yellow"/>
        </w:rPr>
      </w:pPr>
      <w:r>
        <w:rPr>
          <w:rFonts w:hint="eastAsia" w:ascii="宋体" w:hAnsi="宋体" w:cs="宋体"/>
          <w:color w:val="auto"/>
          <w:sz w:val="21"/>
          <w:szCs w:val="21"/>
        </w:rPr>
        <w:t xml:space="preserve">  </w:t>
      </w:r>
      <w:r>
        <w:rPr>
          <w:rFonts w:hint="eastAsia" w:ascii="宋体" w:hAnsi="宋体" w:cs="宋体"/>
          <w:b/>
          <w:bCs/>
          <w:color w:val="auto"/>
          <w:sz w:val="21"/>
          <w:szCs w:val="21"/>
          <w:highlight w:val="none"/>
        </w:rPr>
        <w:t xml:space="preserve"> 本合同工程合同价格在合同实施期间，若本工程水泥、沙子、碎石、钢材主要材料价格涨（跌）幅超过±15%以上（不含±15%）可对超过部分进行材料价差调整（材料价格以合同施工期间内《桂林市建设工程造价信息》内的灵川县信息价格为准，如果灵川县信息价缺少的可参照桂林市的信息价）。</w:t>
      </w:r>
    </w:p>
    <w:p>
      <w:pPr>
        <w:pStyle w:val="6"/>
        <w:spacing w:before="0" w:after="0" w:line="360" w:lineRule="auto"/>
        <w:rPr>
          <w:rFonts w:hint="eastAsia" w:ascii="宋体" w:hAnsi="宋体" w:cs="宋体"/>
          <w:color w:val="auto"/>
          <w:sz w:val="21"/>
          <w:szCs w:val="21"/>
        </w:rPr>
      </w:pPr>
      <w:r>
        <w:rPr>
          <w:rFonts w:hint="eastAsia" w:ascii="宋体" w:hAnsi="宋体" w:cs="宋体"/>
          <w:color w:val="auto"/>
          <w:sz w:val="21"/>
          <w:szCs w:val="21"/>
        </w:rPr>
        <w:t>17  计量与支付</w:t>
      </w:r>
      <w:bookmarkEnd w:id="378"/>
      <w:bookmarkEnd w:id="379"/>
      <w:bookmarkEnd w:id="380"/>
      <w:bookmarkEnd w:id="381"/>
      <w:bookmarkEnd w:id="382"/>
      <w:bookmarkEnd w:id="383"/>
    </w:p>
    <w:p>
      <w:pPr>
        <w:spacing w:after="120" w:line="360" w:lineRule="auto"/>
        <w:rPr>
          <w:rFonts w:ascii="宋体" w:hAnsi="宋体"/>
          <w:b/>
          <w:bCs/>
          <w:color w:val="auto"/>
          <w:szCs w:val="21"/>
        </w:rPr>
      </w:pPr>
      <w:bookmarkStart w:id="384" w:name="_Toc297216213"/>
      <w:bookmarkStart w:id="385" w:name="_Toc296891035"/>
      <w:bookmarkStart w:id="386" w:name="_Toc300935004"/>
      <w:bookmarkStart w:id="387" w:name="_Toc296346708"/>
      <w:bookmarkStart w:id="388" w:name="_Toc296347206"/>
      <w:bookmarkStart w:id="389" w:name="_Toc303539161"/>
      <w:bookmarkStart w:id="390" w:name="_Toc292559917"/>
      <w:bookmarkStart w:id="391" w:name="_Toc312678042"/>
      <w:bookmarkStart w:id="392" w:name="_Toc297120507"/>
      <w:bookmarkStart w:id="393" w:name="_Toc304295581"/>
      <w:bookmarkStart w:id="394" w:name="_Toc292559412"/>
      <w:bookmarkStart w:id="395" w:name="_Toc297048393"/>
      <w:bookmarkStart w:id="396" w:name="_Toc296503207"/>
      <w:bookmarkStart w:id="397" w:name="_Toc296944546"/>
      <w:bookmarkStart w:id="398" w:name="_Toc296891247"/>
      <w:bookmarkStart w:id="399" w:name="_Toc297123554"/>
      <w:r>
        <w:rPr>
          <w:rFonts w:hint="eastAsia" w:ascii="宋体" w:hAnsi="宋体" w:cs="宋体"/>
          <w:b/>
          <w:bCs/>
          <w:color w:val="auto"/>
          <w:szCs w:val="21"/>
        </w:rPr>
        <w:t>17.1</w:t>
      </w:r>
      <w:r>
        <w:rPr>
          <w:rFonts w:hint="eastAsia" w:ascii="宋体" w:hAnsi="宋体" w:cs="宋体"/>
          <w:color w:val="auto"/>
          <w:szCs w:val="21"/>
        </w:rPr>
        <w:t xml:space="preserve"> </w:t>
      </w:r>
      <w:r>
        <w:rPr>
          <w:rFonts w:ascii="宋体" w:hAnsi="宋体"/>
          <w:color w:val="auto"/>
          <w:szCs w:val="21"/>
        </w:rPr>
        <w:t xml:space="preserve"> </w:t>
      </w:r>
      <w:r>
        <w:rPr>
          <w:rFonts w:ascii="宋体" w:hAnsi="宋体"/>
          <w:b/>
          <w:bCs/>
          <w:color w:val="auto"/>
          <w:szCs w:val="21"/>
        </w:rPr>
        <w:t>预付款</w:t>
      </w:r>
    </w:p>
    <w:p>
      <w:pPr>
        <w:spacing w:after="120"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工程预付款的总金额为签约合同价的60%,分1次支付给承包人。（预付款的扣回：工程预付款在合同累计完成金额达到签约合同价格的20%时开始扣款，直到合同累计完成金额达到签约合同价的80%时全部扣清）</w:t>
      </w:r>
    </w:p>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Pr>
        <w:pStyle w:val="6"/>
        <w:spacing w:before="0" w:after="0" w:line="360" w:lineRule="auto"/>
        <w:rPr>
          <w:rFonts w:hint="eastAsia" w:ascii="宋体" w:hAnsi="宋体" w:cs="宋体"/>
          <w:color w:val="auto"/>
          <w:szCs w:val="21"/>
        </w:rPr>
      </w:pPr>
      <w:r>
        <w:rPr>
          <w:rFonts w:hint="eastAsia" w:ascii="宋体" w:hAnsi="宋体" w:cs="宋体"/>
          <w:color w:val="auto"/>
          <w:sz w:val="21"/>
          <w:szCs w:val="21"/>
        </w:rPr>
        <w:t>17.2 进度款</w:t>
      </w:r>
    </w:p>
    <w:p>
      <w:pPr>
        <w:spacing w:line="360" w:lineRule="auto"/>
        <w:ind w:firstLine="420" w:firstLineChars="200"/>
        <w:rPr>
          <w:rFonts w:ascii="宋体" w:hAnsi="宋体" w:cs="宋体"/>
          <w:color w:val="auto"/>
          <w:szCs w:val="21"/>
        </w:rPr>
      </w:pPr>
      <w:r>
        <w:rPr>
          <w:rFonts w:hint="eastAsia" w:ascii="宋体" w:hAnsi="宋体" w:cs="宋体"/>
          <w:color w:val="auto"/>
          <w:szCs w:val="21"/>
        </w:rPr>
        <w:t>17.2.1进度付款申请单</w:t>
      </w:r>
    </w:p>
    <w:p>
      <w:pPr>
        <w:spacing w:line="360" w:lineRule="auto"/>
        <w:ind w:right="248" w:firstLine="480"/>
        <w:rPr>
          <w:rFonts w:ascii="宋体" w:hAnsi="宋体" w:cs="宋体"/>
          <w:color w:val="auto"/>
          <w:szCs w:val="21"/>
        </w:rPr>
      </w:pPr>
      <w:r>
        <w:rPr>
          <w:rFonts w:hint="eastAsia" w:ascii="宋体" w:hAnsi="宋体" w:cs="宋体"/>
          <w:color w:val="auto"/>
          <w:szCs w:val="21"/>
        </w:rPr>
        <w:t>承包人提交进度付款申请单的份数：</w:t>
      </w:r>
      <w:r>
        <w:rPr>
          <w:rFonts w:hint="eastAsia" w:ascii="宋体" w:hAnsi="宋体" w:cs="宋体"/>
          <w:color w:val="auto"/>
          <w:szCs w:val="21"/>
          <w:u w:val="single"/>
        </w:rPr>
        <w:t xml:space="preserve"> 一式四份 </w:t>
      </w:r>
      <w:r>
        <w:rPr>
          <w:rFonts w:hint="eastAsia" w:ascii="宋体"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17.2.2进度付款证书和支付时间</w:t>
      </w:r>
    </w:p>
    <w:p>
      <w:pPr>
        <w:autoSpaceDE w:val="0"/>
        <w:autoSpaceDN w:val="0"/>
        <w:adjustRightInd w:val="0"/>
        <w:spacing w:line="360" w:lineRule="auto"/>
        <w:ind w:left="420" w:leftChars="200" w:right="-420" w:rightChars="-200"/>
        <w:rPr>
          <w:rFonts w:ascii="宋体" w:hAnsi="宋体" w:cs="宋体"/>
          <w:color w:val="auto"/>
          <w:kern w:val="0"/>
          <w:szCs w:val="21"/>
        </w:rPr>
      </w:pPr>
      <w:r>
        <w:rPr>
          <w:rFonts w:hint="eastAsia" w:ascii="宋体" w:hAnsi="宋体" w:cs="宋体"/>
          <w:color w:val="auto"/>
          <w:kern w:val="0"/>
          <w:szCs w:val="21"/>
        </w:rPr>
        <w:t>本款“专用合同条款的约定支付逾期付款违约金”为：零。</w:t>
      </w:r>
    </w:p>
    <w:p>
      <w:pPr>
        <w:autoSpaceDE w:val="0"/>
        <w:autoSpaceDN w:val="0"/>
        <w:adjustRightInd w:val="0"/>
        <w:spacing w:line="360" w:lineRule="auto"/>
        <w:ind w:right="-420" w:rightChars="-200"/>
        <w:rPr>
          <w:rFonts w:hint="eastAsia" w:ascii="宋体" w:hAnsi="宋体" w:cs="宋体"/>
          <w:color w:val="auto"/>
          <w:kern w:val="0"/>
          <w:szCs w:val="21"/>
        </w:rPr>
      </w:pPr>
      <w:r>
        <w:rPr>
          <w:rFonts w:hint="eastAsia" w:ascii="宋体" w:hAnsi="宋体" w:cs="宋体"/>
          <w:color w:val="auto"/>
          <w:kern w:val="0"/>
          <w:szCs w:val="21"/>
        </w:rPr>
        <w:t xml:space="preserve">    17.2.3 工程进度付款的支付比例</w:t>
      </w:r>
    </w:p>
    <w:p>
      <w:pPr>
        <w:pStyle w:val="2"/>
        <w:spacing w:line="500" w:lineRule="exact"/>
        <w:ind w:firstLine="420" w:firstLineChars="200"/>
        <w:rPr>
          <w:rFonts w:hint="eastAsia" w:ascii="宋体" w:hAnsi="宋体" w:cs="宋体"/>
          <w:color w:val="auto"/>
          <w:kern w:val="0"/>
          <w:szCs w:val="21"/>
          <w:highlight w:val="none"/>
        </w:rPr>
      </w:pPr>
      <w:r>
        <w:rPr>
          <w:rFonts w:hint="eastAsia" w:ascii="宋体" w:hAnsi="宋体"/>
          <w:color w:val="auto"/>
          <w:sz w:val="21"/>
          <w:szCs w:val="21"/>
          <w:highlight w:val="none"/>
        </w:rPr>
        <w:t>关于付款周期的约定：项目完工后，按规定程序最多付至合同价款的90%。经验收达到质量要求，</w:t>
      </w:r>
      <w:r>
        <w:rPr>
          <w:rFonts w:hint="eastAsia" w:ascii="宋体" w:hAnsi="宋体" w:eastAsia="宋体" w:cs="Times New Roman"/>
          <w:color w:val="auto"/>
          <w:sz w:val="21"/>
          <w:szCs w:val="21"/>
          <w:highlight w:val="none"/>
        </w:rPr>
        <w:t>按实际工程量</w:t>
      </w:r>
      <w:r>
        <w:rPr>
          <w:rFonts w:hint="eastAsia" w:ascii="宋体" w:hAnsi="宋体" w:eastAsia="宋体" w:cs="Times New Roman"/>
          <w:color w:val="auto"/>
          <w:sz w:val="21"/>
          <w:szCs w:val="21"/>
          <w:highlight w:val="none"/>
          <w:lang w:val="en-US" w:eastAsia="zh-CN"/>
        </w:rPr>
        <w:t>报审</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最终结算以财政评审结果或审计结果为准</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工程款付至结算价的97%（含已支付的合同款</w:t>
      </w:r>
      <w:r>
        <w:rPr>
          <w:rFonts w:hint="eastAsia" w:ascii="宋体" w:hAnsi="宋体"/>
          <w:color w:val="auto"/>
          <w:sz w:val="21"/>
          <w:szCs w:val="21"/>
          <w:highlight w:val="none"/>
        </w:rPr>
        <w:t>）。关于进度付款申请单编制的约定：工程款原则上按进度支付，合同内进度款支付限额为已完成工程量的90%，工程变更部分进度款支付限额为已完成工程量的90%；项目完工后，工程款最多付至合同价款的90%。工程完工验收达到质量要求，工程款支付至结算价的97%（含已支付的合同款）。但甲方向乙方支付工程进度款受甲方财政资金计划制约，若甲方因财政资金计划调整延迟付款的，由甲、乙双方另行商议付款时间，但甲方需积极安排财政预算，在财政资金到位后及时支付乙方相应合同款。乙方放弃要求甲方支付逾期付款违约金的权利。</w:t>
      </w:r>
    </w:p>
    <w:p>
      <w:pPr>
        <w:spacing w:line="360" w:lineRule="auto"/>
        <w:ind w:right="248" w:firstLine="480"/>
        <w:rPr>
          <w:rFonts w:ascii="宋体" w:hAnsi="宋体" w:cs="宋体"/>
          <w:color w:val="auto"/>
          <w:szCs w:val="21"/>
          <w:highlight w:val="none"/>
        </w:rPr>
      </w:pPr>
      <w:r>
        <w:rPr>
          <w:rFonts w:hint="eastAsia" w:ascii="宋体" w:hAnsi="宋体" w:cs="宋体"/>
          <w:color w:val="auto"/>
          <w:kern w:val="0"/>
          <w:szCs w:val="21"/>
          <w:highlight w:val="none"/>
        </w:rPr>
        <w:t>每个付款周期按实际完成工程量的</w:t>
      </w:r>
      <w:r>
        <w:rPr>
          <w:rFonts w:hint="eastAsia" w:ascii="宋体" w:hAnsi="宋体" w:cs="宋体"/>
          <w:color w:val="auto"/>
          <w:kern w:val="0"/>
          <w:szCs w:val="21"/>
          <w:highlight w:val="none"/>
          <w:u w:val="single"/>
        </w:rPr>
        <w:t xml:space="preserve"> 90% </w:t>
      </w:r>
      <w:r>
        <w:rPr>
          <w:rFonts w:hint="eastAsia" w:ascii="宋体" w:hAnsi="宋体" w:cs="宋体"/>
          <w:color w:val="auto"/>
          <w:kern w:val="0"/>
          <w:szCs w:val="21"/>
          <w:highlight w:val="none"/>
        </w:rPr>
        <w:t>支付工程进度款（含因设计变更引起增加工程量造价同期支付）,但余款不能少于关键工程未完工程量造价的2倍（此处应明确列出，一般是指施工难度大造价相对低的项目，如隧洞工程等）；余款在工程完工结算经财政评审（或审计机构审计）确认后，扣除质量保证金后，在一个月内付清。</w:t>
      </w:r>
    </w:p>
    <w:p>
      <w:pPr>
        <w:pStyle w:val="6"/>
        <w:spacing w:before="0" w:after="0" w:line="360" w:lineRule="auto"/>
        <w:rPr>
          <w:rFonts w:ascii="宋体" w:hAnsi="宋体" w:cs="宋体"/>
          <w:color w:val="auto"/>
          <w:sz w:val="21"/>
          <w:szCs w:val="21"/>
        </w:rPr>
      </w:pPr>
      <w:bookmarkStart w:id="400" w:name="_Toc221951260"/>
      <w:r>
        <w:rPr>
          <w:rFonts w:hint="eastAsia" w:ascii="宋体" w:hAnsi="宋体" w:cs="宋体"/>
          <w:color w:val="auto"/>
          <w:sz w:val="21"/>
          <w:szCs w:val="21"/>
        </w:rPr>
        <w:t>17.3 质量保证金</w:t>
      </w:r>
      <w:bookmarkEnd w:id="400"/>
    </w:p>
    <w:p>
      <w:pPr>
        <w:spacing w:line="360" w:lineRule="auto"/>
        <w:ind w:right="248" w:firstLine="420" w:firstLineChars="200"/>
        <w:rPr>
          <w:rFonts w:ascii="宋体" w:hAnsi="宋体" w:cs="宋体"/>
          <w:color w:val="auto"/>
          <w:szCs w:val="21"/>
        </w:rPr>
      </w:pPr>
      <w:bookmarkStart w:id="401" w:name="_Toc221951262"/>
      <w:r>
        <w:rPr>
          <w:rFonts w:hint="eastAsia" w:ascii="宋体" w:hAnsi="宋体" w:cs="宋体"/>
          <w:color w:val="auto"/>
          <w:szCs w:val="21"/>
        </w:rPr>
        <w:t>17.2.1</w:t>
      </w:r>
      <w:bookmarkEnd w:id="401"/>
      <w:r>
        <w:rPr>
          <w:rFonts w:hint="eastAsia" w:ascii="宋体" w:hAnsi="宋体" w:cs="宋体"/>
          <w:color w:val="auto"/>
          <w:szCs w:val="21"/>
        </w:rPr>
        <w:t xml:space="preserve"> 每个付款周期扣留的质量保证金为工程进度付款的</w:t>
      </w:r>
      <w:r>
        <w:rPr>
          <w:rFonts w:hint="eastAsia" w:ascii="宋体" w:hAnsi="宋体" w:cs="宋体"/>
          <w:color w:val="auto"/>
          <w:szCs w:val="21"/>
          <w:u w:val="single"/>
        </w:rPr>
        <w:t xml:space="preserve"> 3 </w:t>
      </w:r>
      <w:r>
        <w:rPr>
          <w:rFonts w:hint="eastAsia" w:ascii="宋体" w:hAnsi="宋体" w:cs="宋体"/>
          <w:color w:val="auto"/>
          <w:szCs w:val="21"/>
        </w:rPr>
        <w:t>%，扣留的质量保证金总额为签约合同价的</w:t>
      </w:r>
      <w:r>
        <w:rPr>
          <w:rFonts w:hint="eastAsia" w:ascii="宋体" w:hAnsi="宋体" w:cs="宋体"/>
          <w:color w:val="auto"/>
          <w:szCs w:val="21"/>
          <w:u w:val="single"/>
        </w:rPr>
        <w:t xml:space="preserve"> 3 </w:t>
      </w:r>
      <w:r>
        <w:rPr>
          <w:rFonts w:hint="eastAsia" w:ascii="宋体" w:hAnsi="宋体" w:cs="宋体"/>
          <w:color w:val="auto"/>
          <w:szCs w:val="21"/>
        </w:rPr>
        <w:t>%。缺陷责任期（一年）到期后，无质量安全问题的，凭支付申请书经签字确认后，在一个月内付清。</w:t>
      </w:r>
    </w:p>
    <w:p>
      <w:pPr>
        <w:pStyle w:val="6"/>
        <w:spacing w:before="0" w:after="0" w:line="360" w:lineRule="auto"/>
        <w:rPr>
          <w:rFonts w:ascii="宋体" w:hAnsi="宋体" w:cs="宋体"/>
          <w:color w:val="auto"/>
          <w:sz w:val="21"/>
          <w:szCs w:val="21"/>
        </w:rPr>
      </w:pPr>
      <w:bookmarkStart w:id="402" w:name="_Toc221951265"/>
      <w:r>
        <w:rPr>
          <w:rFonts w:hint="eastAsia" w:ascii="宋体" w:hAnsi="宋体" w:cs="宋体"/>
          <w:color w:val="auto"/>
          <w:sz w:val="21"/>
          <w:szCs w:val="21"/>
        </w:rPr>
        <w:t>17.4  竣工（完工）结算</w:t>
      </w:r>
      <w:bookmarkEnd w:id="402"/>
    </w:p>
    <w:p>
      <w:pPr>
        <w:spacing w:line="360" w:lineRule="auto"/>
        <w:ind w:right="248" w:firstLine="480"/>
        <w:rPr>
          <w:rFonts w:ascii="宋体" w:hAnsi="宋体" w:cs="宋体"/>
          <w:color w:val="auto"/>
          <w:szCs w:val="21"/>
        </w:rPr>
      </w:pPr>
      <w:bookmarkStart w:id="403" w:name="_Toc221951266"/>
      <w:r>
        <w:rPr>
          <w:rFonts w:hint="eastAsia" w:ascii="宋体" w:hAnsi="宋体" w:cs="宋体"/>
          <w:color w:val="auto"/>
          <w:szCs w:val="21"/>
        </w:rPr>
        <w:t>17.3.1  竣工（完工）付款申请单</w:t>
      </w:r>
      <w:bookmarkEnd w:id="403"/>
      <w:r>
        <w:rPr>
          <w:rFonts w:hint="eastAsia" w:ascii="宋体" w:hAnsi="宋体" w:cs="宋体"/>
          <w:color w:val="auto"/>
          <w:szCs w:val="21"/>
        </w:rPr>
        <w:t xml:space="preserve"> </w:t>
      </w:r>
    </w:p>
    <w:p>
      <w:pPr>
        <w:spacing w:line="360" w:lineRule="auto"/>
        <w:ind w:right="248" w:firstLine="480"/>
        <w:rPr>
          <w:rFonts w:ascii="宋体" w:hAnsi="宋体" w:cs="宋体"/>
          <w:color w:val="auto"/>
          <w:szCs w:val="21"/>
        </w:rPr>
      </w:pPr>
      <w:bookmarkStart w:id="404" w:name="_Toc221951267"/>
      <w:r>
        <w:rPr>
          <w:rFonts w:hint="eastAsia" w:ascii="宋体" w:hAnsi="宋体" w:cs="宋体"/>
          <w:color w:val="auto"/>
          <w:szCs w:val="21"/>
        </w:rPr>
        <w:t>（1）承包人应提交竣工付款申请单份数：</w:t>
      </w:r>
      <w:r>
        <w:rPr>
          <w:rFonts w:hint="eastAsia" w:ascii="宋体" w:hAnsi="宋体" w:cs="宋体"/>
          <w:color w:val="auto"/>
          <w:szCs w:val="21"/>
          <w:u w:val="single"/>
        </w:rPr>
        <w:t xml:space="preserve">  一式四份  </w:t>
      </w:r>
      <w:r>
        <w:rPr>
          <w:rFonts w:hint="eastAsia" w:ascii="宋体" w:hAnsi="宋体" w:cs="宋体"/>
          <w:color w:val="auto"/>
          <w:szCs w:val="21"/>
        </w:rPr>
        <w:t>。</w:t>
      </w:r>
      <w:bookmarkEnd w:id="404"/>
    </w:p>
    <w:p>
      <w:pPr>
        <w:spacing w:line="360" w:lineRule="auto"/>
        <w:ind w:right="248" w:firstLine="480"/>
        <w:rPr>
          <w:rFonts w:ascii="宋体" w:hAnsi="宋体" w:cs="宋体"/>
          <w:color w:val="auto"/>
          <w:szCs w:val="21"/>
        </w:rPr>
      </w:pPr>
      <w:r>
        <w:rPr>
          <w:rFonts w:hint="eastAsia" w:ascii="宋体" w:hAnsi="宋体" w:cs="宋体"/>
          <w:color w:val="auto"/>
          <w:szCs w:val="21"/>
        </w:rPr>
        <w:t>17.3.2除按通用合同条款所说的内容外，增加以下内容：最终结算以财政评审结果或审计结果为准。</w:t>
      </w:r>
    </w:p>
    <w:p>
      <w:pPr>
        <w:pStyle w:val="6"/>
        <w:spacing w:before="0" w:after="0" w:line="360" w:lineRule="auto"/>
        <w:rPr>
          <w:rFonts w:ascii="宋体" w:hAnsi="宋体" w:cs="宋体"/>
          <w:color w:val="auto"/>
          <w:sz w:val="21"/>
          <w:szCs w:val="21"/>
        </w:rPr>
      </w:pPr>
      <w:bookmarkStart w:id="405" w:name="_Toc221951268"/>
      <w:r>
        <w:rPr>
          <w:rFonts w:hint="eastAsia" w:ascii="宋体" w:hAnsi="宋体" w:cs="宋体"/>
          <w:color w:val="auto"/>
          <w:sz w:val="21"/>
          <w:szCs w:val="21"/>
        </w:rPr>
        <w:t>17.5  最终结清</w:t>
      </w:r>
      <w:bookmarkEnd w:id="405"/>
    </w:p>
    <w:p>
      <w:pPr>
        <w:spacing w:line="360" w:lineRule="auto"/>
        <w:ind w:right="248" w:firstLine="480"/>
        <w:rPr>
          <w:rFonts w:ascii="宋体" w:hAnsi="宋体" w:cs="宋体"/>
          <w:color w:val="auto"/>
          <w:szCs w:val="21"/>
        </w:rPr>
      </w:pPr>
      <w:bookmarkStart w:id="406" w:name="_Toc221951269"/>
      <w:r>
        <w:rPr>
          <w:rFonts w:hint="eastAsia" w:ascii="宋体" w:hAnsi="宋体" w:cs="宋体"/>
          <w:color w:val="auto"/>
          <w:szCs w:val="21"/>
        </w:rPr>
        <w:t>17.4 1  最终结清申请单</w:t>
      </w:r>
      <w:bookmarkEnd w:id="406"/>
    </w:p>
    <w:p>
      <w:pPr>
        <w:spacing w:line="360" w:lineRule="auto"/>
        <w:ind w:right="248" w:firstLine="480"/>
        <w:rPr>
          <w:rFonts w:ascii="宋体" w:hAnsi="宋体" w:cs="宋体"/>
          <w:color w:val="auto"/>
          <w:szCs w:val="21"/>
        </w:rPr>
      </w:pPr>
      <w:bookmarkStart w:id="407" w:name="_Toc221951270"/>
      <w:r>
        <w:rPr>
          <w:rFonts w:hint="eastAsia" w:ascii="宋体" w:hAnsi="宋体" w:cs="宋体"/>
          <w:color w:val="auto"/>
          <w:szCs w:val="21"/>
        </w:rPr>
        <w:t>（1）承包人应提交最终结清申请单</w:t>
      </w:r>
      <w:bookmarkEnd w:id="407"/>
      <w:r>
        <w:rPr>
          <w:rFonts w:hint="eastAsia" w:ascii="宋体" w:hAnsi="宋体" w:cs="宋体"/>
          <w:color w:val="auto"/>
          <w:szCs w:val="21"/>
        </w:rPr>
        <w:t>份数：</w:t>
      </w:r>
      <w:r>
        <w:rPr>
          <w:rFonts w:hint="eastAsia" w:ascii="宋体" w:hAnsi="宋体" w:cs="宋体"/>
          <w:color w:val="auto"/>
          <w:szCs w:val="21"/>
          <w:u w:val="single"/>
        </w:rPr>
        <w:t xml:space="preserve">  一式四份  </w:t>
      </w:r>
      <w:r>
        <w:rPr>
          <w:rFonts w:hint="eastAsia" w:ascii="宋体" w:hAnsi="宋体" w:cs="宋体"/>
          <w:color w:val="auto"/>
          <w:szCs w:val="21"/>
        </w:rPr>
        <w:t>。</w:t>
      </w:r>
    </w:p>
    <w:p>
      <w:pPr>
        <w:pStyle w:val="6"/>
        <w:spacing w:before="0" w:after="0" w:line="360" w:lineRule="auto"/>
        <w:rPr>
          <w:rFonts w:ascii="宋体" w:hAnsi="宋体" w:cs="宋体"/>
          <w:color w:val="auto"/>
          <w:sz w:val="21"/>
          <w:szCs w:val="21"/>
        </w:rPr>
      </w:pPr>
      <w:r>
        <w:rPr>
          <w:rFonts w:hint="eastAsia" w:ascii="宋体" w:hAnsi="宋体" w:cs="宋体"/>
          <w:color w:val="auto"/>
          <w:sz w:val="21"/>
          <w:szCs w:val="21"/>
        </w:rPr>
        <w:t>17.6 竣工财务决算</w:t>
      </w:r>
    </w:p>
    <w:p>
      <w:pPr>
        <w:autoSpaceDE w:val="0"/>
        <w:autoSpaceDN w:val="0"/>
        <w:adjustRightInd w:val="0"/>
        <w:spacing w:line="360" w:lineRule="auto"/>
        <w:ind w:left="420" w:leftChars="200" w:right="-420" w:rightChars="-200"/>
        <w:rPr>
          <w:rFonts w:hint="eastAsia" w:ascii="宋体" w:hAnsi="宋体" w:cs="宋体"/>
          <w:color w:val="auto"/>
          <w:kern w:val="0"/>
          <w:szCs w:val="21"/>
        </w:rPr>
      </w:pPr>
      <w:r>
        <w:rPr>
          <w:rFonts w:hint="eastAsia" w:ascii="宋体" w:hAnsi="宋体" w:cs="宋体"/>
          <w:color w:val="auto"/>
          <w:szCs w:val="21"/>
        </w:rPr>
        <w:t>承包人应为竣工财务决算编制提供的资料：</w:t>
      </w:r>
      <w:r>
        <w:rPr>
          <w:rFonts w:hint="eastAsia" w:ascii="宋体" w:hAnsi="宋体" w:cs="宋体"/>
          <w:color w:val="auto"/>
          <w:szCs w:val="21"/>
          <w:u w:val="single"/>
        </w:rPr>
        <w:t xml:space="preserve">  一式四份  </w:t>
      </w:r>
      <w:r>
        <w:rPr>
          <w:rFonts w:hint="eastAsia" w:ascii="宋体" w:hAnsi="宋体" w:cs="宋体"/>
          <w:color w:val="auto"/>
          <w:szCs w:val="21"/>
        </w:rPr>
        <w:t>。</w:t>
      </w:r>
    </w:p>
    <w:p>
      <w:pPr>
        <w:pStyle w:val="6"/>
        <w:numPr>
          <w:ilvl w:val="0"/>
          <w:numId w:val="5"/>
        </w:numPr>
        <w:spacing w:before="0" w:after="0" w:line="360" w:lineRule="auto"/>
        <w:rPr>
          <w:rFonts w:hint="eastAsia" w:ascii="宋体" w:hAnsi="宋体" w:cs="宋体"/>
          <w:color w:val="auto"/>
          <w:sz w:val="21"/>
          <w:szCs w:val="21"/>
        </w:rPr>
      </w:pPr>
      <w:bookmarkStart w:id="408" w:name="_Toc229305399"/>
      <w:bookmarkStart w:id="409" w:name="_Toc222031043"/>
      <w:bookmarkStart w:id="410" w:name="_Toc222029541"/>
      <w:bookmarkStart w:id="411" w:name="_Toc221951271"/>
      <w:bookmarkStart w:id="412" w:name="_Toc222032710"/>
      <w:bookmarkStart w:id="413" w:name="_Toc222033892"/>
      <w:r>
        <w:rPr>
          <w:rFonts w:hint="eastAsia" w:ascii="宋体" w:hAnsi="宋体" w:cs="宋体"/>
          <w:color w:val="auto"/>
          <w:sz w:val="21"/>
          <w:szCs w:val="21"/>
        </w:rPr>
        <w:t>竣工验收</w:t>
      </w:r>
      <w:bookmarkEnd w:id="408"/>
      <w:bookmarkEnd w:id="409"/>
      <w:bookmarkEnd w:id="410"/>
      <w:bookmarkEnd w:id="411"/>
      <w:bookmarkEnd w:id="412"/>
      <w:bookmarkEnd w:id="413"/>
      <w:r>
        <w:rPr>
          <w:rFonts w:hint="eastAsia" w:ascii="宋体" w:hAnsi="宋体" w:cs="宋体"/>
          <w:color w:val="auto"/>
          <w:sz w:val="21"/>
          <w:szCs w:val="21"/>
        </w:rPr>
        <w:t>（验收）</w:t>
      </w:r>
    </w:p>
    <w:p>
      <w:pPr>
        <w:rPr>
          <w:rFonts w:hint="eastAsia"/>
          <w:color w:val="auto"/>
        </w:rPr>
      </w:pPr>
      <w:r>
        <w:rPr>
          <w:rFonts w:hint="eastAsia"/>
          <w:color w:val="auto"/>
        </w:rPr>
        <w:t xml:space="preserve">    竣工验收根据合同文件及国家标准进行验收。</w:t>
      </w:r>
    </w:p>
    <w:p>
      <w:pPr>
        <w:pStyle w:val="6"/>
        <w:spacing w:before="0" w:after="0" w:line="360" w:lineRule="auto"/>
        <w:rPr>
          <w:rFonts w:ascii="宋体" w:hAnsi="宋体" w:cs="宋体"/>
          <w:color w:val="auto"/>
          <w:sz w:val="21"/>
          <w:szCs w:val="21"/>
        </w:rPr>
      </w:pPr>
      <w:bookmarkStart w:id="414" w:name="_Toc221951272"/>
      <w:r>
        <w:rPr>
          <w:rFonts w:hint="eastAsia" w:ascii="宋体" w:hAnsi="宋体" w:cs="宋体"/>
          <w:color w:val="auto"/>
          <w:sz w:val="21"/>
          <w:szCs w:val="21"/>
        </w:rPr>
        <w:t xml:space="preserve">18.1 </w:t>
      </w:r>
      <w:bookmarkEnd w:id="414"/>
      <w:r>
        <w:rPr>
          <w:rFonts w:hint="eastAsia" w:ascii="宋体" w:hAnsi="宋体" w:cs="宋体"/>
          <w:color w:val="auto"/>
          <w:sz w:val="21"/>
          <w:szCs w:val="21"/>
        </w:rPr>
        <w:t>验收工作分类</w:t>
      </w:r>
    </w:p>
    <w:p>
      <w:pPr>
        <w:spacing w:line="360" w:lineRule="auto"/>
        <w:ind w:right="248" w:firstLine="480"/>
        <w:rPr>
          <w:rFonts w:ascii="宋体" w:hAnsi="宋体" w:cs="宋体"/>
          <w:color w:val="auto"/>
          <w:szCs w:val="21"/>
        </w:rPr>
      </w:pPr>
      <w:bookmarkStart w:id="415" w:name="_Toc221951274"/>
      <w:r>
        <w:rPr>
          <w:rFonts w:hint="eastAsia" w:ascii="宋体" w:hAnsi="宋体" w:cs="宋体"/>
          <w:color w:val="auto"/>
          <w:szCs w:val="21"/>
        </w:rPr>
        <w:t>根据《水利工程建设项目验收管理规定》(水利部令第30号)和《水利水电建设工程验收规程》（SL223-2008）的相关规定执行。</w:t>
      </w:r>
    </w:p>
    <w:p>
      <w:pPr>
        <w:pStyle w:val="6"/>
        <w:spacing w:before="0" w:after="0" w:line="360" w:lineRule="auto"/>
        <w:rPr>
          <w:rFonts w:ascii="宋体" w:hAnsi="宋体" w:cs="宋体"/>
          <w:color w:val="auto"/>
          <w:sz w:val="21"/>
          <w:szCs w:val="21"/>
        </w:rPr>
      </w:pPr>
      <w:r>
        <w:rPr>
          <w:rFonts w:hint="eastAsia" w:ascii="宋体" w:hAnsi="宋体" w:cs="宋体"/>
          <w:color w:val="auto"/>
          <w:sz w:val="21"/>
          <w:szCs w:val="21"/>
        </w:rPr>
        <w:t>18.2  分部工程验收</w:t>
      </w:r>
    </w:p>
    <w:p>
      <w:pPr>
        <w:spacing w:line="360" w:lineRule="auto"/>
        <w:ind w:right="248" w:firstLine="480"/>
        <w:rPr>
          <w:rFonts w:ascii="宋体" w:hAnsi="宋体" w:cs="宋体"/>
          <w:color w:val="auto"/>
          <w:szCs w:val="21"/>
        </w:rPr>
      </w:pPr>
      <w:r>
        <w:rPr>
          <w:rFonts w:hint="eastAsia" w:ascii="宋体" w:hAnsi="宋体" w:cs="宋体"/>
          <w:color w:val="auto"/>
          <w:szCs w:val="21"/>
        </w:rPr>
        <w:t>18.2.1本工程由发包人主持的分部工程验收为 ：</w:t>
      </w:r>
      <w:r>
        <w:rPr>
          <w:rFonts w:hint="eastAsia" w:ascii="宋体" w:hAnsi="宋体" w:cs="宋体"/>
          <w:color w:val="auto"/>
          <w:szCs w:val="21"/>
          <w:u w:val="single"/>
        </w:rPr>
        <w:t>按《水利水电建设工程验收规程》进行</w:t>
      </w:r>
      <w:r>
        <w:rPr>
          <w:rFonts w:hint="eastAsia" w:ascii="宋体" w:hAnsi="宋体" w:cs="宋体"/>
          <w:color w:val="auto"/>
          <w:szCs w:val="21"/>
        </w:rPr>
        <w:t>。</w:t>
      </w:r>
    </w:p>
    <w:p>
      <w:pPr>
        <w:pStyle w:val="6"/>
        <w:spacing w:before="0" w:after="0" w:line="360" w:lineRule="auto"/>
        <w:rPr>
          <w:rFonts w:ascii="宋体" w:hAnsi="宋体" w:cs="宋体"/>
          <w:color w:val="auto"/>
          <w:sz w:val="21"/>
          <w:szCs w:val="21"/>
        </w:rPr>
      </w:pPr>
      <w:r>
        <w:rPr>
          <w:rFonts w:hint="eastAsia" w:ascii="宋体" w:hAnsi="宋体" w:cs="宋体"/>
          <w:color w:val="auto"/>
          <w:sz w:val="21"/>
          <w:szCs w:val="21"/>
        </w:rPr>
        <w:t>18.3  单位工程验收</w:t>
      </w:r>
    </w:p>
    <w:p>
      <w:pPr>
        <w:spacing w:line="360" w:lineRule="auto"/>
        <w:ind w:right="248" w:firstLine="420" w:firstLineChars="200"/>
        <w:rPr>
          <w:rFonts w:ascii="宋体" w:hAnsi="宋体" w:cs="宋体"/>
          <w:color w:val="auto"/>
          <w:szCs w:val="21"/>
        </w:rPr>
      </w:pPr>
      <w:r>
        <w:rPr>
          <w:rFonts w:hint="eastAsia" w:ascii="宋体" w:hAnsi="宋体" w:cs="宋体"/>
          <w:color w:val="auto"/>
          <w:szCs w:val="21"/>
        </w:rPr>
        <w:t>18.3.1  提前投入使用的单位工程包括：</w:t>
      </w:r>
      <w:r>
        <w:rPr>
          <w:rFonts w:hint="eastAsia" w:ascii="宋体" w:hAnsi="宋体" w:cs="宋体"/>
          <w:color w:val="auto"/>
          <w:szCs w:val="21"/>
          <w:u w:val="single"/>
        </w:rPr>
        <w:t>按《水利水电建设工程验收规程》进行</w:t>
      </w:r>
      <w:r>
        <w:rPr>
          <w:rFonts w:hint="eastAsia" w:ascii="宋体" w:hAnsi="宋体" w:cs="宋体"/>
          <w:color w:val="auto"/>
          <w:szCs w:val="21"/>
        </w:rPr>
        <w:t>。</w:t>
      </w:r>
    </w:p>
    <w:bookmarkEnd w:id="415"/>
    <w:p>
      <w:pPr>
        <w:pStyle w:val="6"/>
        <w:spacing w:before="0" w:after="0" w:line="360" w:lineRule="auto"/>
        <w:rPr>
          <w:rFonts w:ascii="宋体" w:hAnsi="宋体" w:cs="宋体"/>
          <w:color w:val="auto"/>
          <w:sz w:val="21"/>
          <w:szCs w:val="21"/>
        </w:rPr>
      </w:pPr>
      <w:r>
        <w:rPr>
          <w:rFonts w:hint="eastAsia" w:ascii="宋体" w:hAnsi="宋体" w:cs="宋体"/>
          <w:color w:val="auto"/>
          <w:sz w:val="21"/>
          <w:szCs w:val="21"/>
        </w:rPr>
        <w:t xml:space="preserve"> </w:t>
      </w:r>
      <w:bookmarkStart w:id="416" w:name="_Toc221951282"/>
      <w:r>
        <w:rPr>
          <w:rFonts w:hint="eastAsia" w:ascii="宋体" w:hAnsi="宋体" w:cs="宋体"/>
          <w:color w:val="auto"/>
          <w:sz w:val="21"/>
          <w:szCs w:val="21"/>
        </w:rPr>
        <w:t xml:space="preserve">18.4  </w:t>
      </w:r>
      <w:bookmarkEnd w:id="416"/>
      <w:r>
        <w:rPr>
          <w:rFonts w:hint="eastAsia" w:ascii="宋体" w:hAnsi="宋体" w:cs="宋体"/>
          <w:color w:val="auto"/>
          <w:sz w:val="21"/>
          <w:szCs w:val="21"/>
        </w:rPr>
        <w:t>阶段验收</w:t>
      </w:r>
    </w:p>
    <w:p>
      <w:pPr>
        <w:spacing w:line="360" w:lineRule="auto"/>
        <w:ind w:firstLine="420" w:firstLineChars="200"/>
        <w:rPr>
          <w:rFonts w:ascii="宋体" w:hAnsi="宋体" w:cs="宋体"/>
          <w:color w:val="auto"/>
          <w:szCs w:val="21"/>
        </w:rPr>
      </w:pPr>
      <w:bookmarkStart w:id="417" w:name="_Toc221951283"/>
      <w:r>
        <w:rPr>
          <w:rFonts w:hint="eastAsia" w:ascii="宋体" w:hAnsi="宋体" w:cs="宋体"/>
          <w:color w:val="auto"/>
          <w:szCs w:val="21"/>
        </w:rPr>
        <w:t>18.4.1 本合同工程阶段验收类别包括：</w:t>
      </w:r>
      <w:bookmarkEnd w:id="417"/>
      <w:bookmarkStart w:id="418" w:name="_Toc221951284"/>
      <w:r>
        <w:rPr>
          <w:rFonts w:hint="eastAsia" w:ascii="宋体" w:hAnsi="宋体" w:cs="宋体"/>
          <w:color w:val="auto"/>
          <w:szCs w:val="21"/>
          <w:u w:val="single"/>
        </w:rPr>
        <w:t xml:space="preserve">   完工验收    </w:t>
      </w:r>
      <w:r>
        <w:rPr>
          <w:rFonts w:hint="eastAsia" w:ascii="宋体" w:hAnsi="宋体" w:cs="宋体"/>
          <w:color w:val="auto"/>
          <w:szCs w:val="21"/>
        </w:rPr>
        <w:t>。</w:t>
      </w:r>
      <w:bookmarkEnd w:id="418"/>
    </w:p>
    <w:p>
      <w:pPr>
        <w:pStyle w:val="6"/>
        <w:spacing w:before="0" w:after="0" w:line="360" w:lineRule="auto"/>
        <w:rPr>
          <w:rFonts w:ascii="宋体" w:hAnsi="宋体" w:cs="宋体"/>
          <w:color w:val="auto"/>
          <w:sz w:val="21"/>
          <w:szCs w:val="21"/>
        </w:rPr>
      </w:pPr>
      <w:bookmarkStart w:id="419" w:name="_Toc221951285"/>
      <w:r>
        <w:rPr>
          <w:rFonts w:hint="eastAsia" w:ascii="宋体" w:hAnsi="宋体" w:cs="宋体"/>
          <w:color w:val="auto"/>
          <w:sz w:val="21"/>
          <w:szCs w:val="21"/>
        </w:rPr>
        <w:t xml:space="preserve">18.5 </w:t>
      </w:r>
      <w:bookmarkEnd w:id="419"/>
      <w:r>
        <w:rPr>
          <w:rFonts w:hint="eastAsia" w:ascii="宋体" w:hAnsi="宋体" w:cs="宋体"/>
          <w:color w:val="auto"/>
          <w:sz w:val="21"/>
          <w:szCs w:val="21"/>
        </w:rPr>
        <w:t xml:space="preserve">专项验收   </w:t>
      </w:r>
    </w:p>
    <w:p>
      <w:pPr>
        <w:spacing w:line="360" w:lineRule="auto"/>
        <w:ind w:right="248" w:firstLine="480"/>
        <w:rPr>
          <w:rFonts w:ascii="宋体" w:hAnsi="宋体" w:cs="宋体"/>
          <w:color w:val="auto"/>
          <w:szCs w:val="21"/>
        </w:rPr>
      </w:pPr>
      <w:bookmarkStart w:id="420" w:name="_Toc221951286"/>
      <w:r>
        <w:rPr>
          <w:rFonts w:hint="eastAsia" w:ascii="宋体" w:hAnsi="宋体" w:cs="宋体"/>
          <w:color w:val="auto"/>
          <w:szCs w:val="21"/>
        </w:rPr>
        <w:t xml:space="preserve">18.5.1 </w:t>
      </w:r>
      <w:bookmarkEnd w:id="420"/>
      <w:r>
        <w:rPr>
          <w:rFonts w:hint="eastAsia" w:ascii="宋体" w:hAnsi="宋体" w:cs="宋体"/>
          <w:color w:val="auto"/>
          <w:szCs w:val="21"/>
        </w:rPr>
        <w:t>本合同工程专项验收类别包括：</w:t>
      </w:r>
      <w:r>
        <w:rPr>
          <w:rFonts w:hint="eastAsia" w:ascii="宋体" w:hAnsi="宋体" w:cs="宋体"/>
          <w:color w:val="auto"/>
          <w:szCs w:val="21"/>
          <w:u w:val="single"/>
        </w:rPr>
        <w:t xml:space="preserve">   无   </w:t>
      </w:r>
      <w:r>
        <w:rPr>
          <w:rFonts w:hint="eastAsia" w:ascii="宋体" w:hAnsi="宋体" w:cs="宋体"/>
          <w:color w:val="auto"/>
          <w:szCs w:val="21"/>
        </w:rPr>
        <w:t>。</w:t>
      </w:r>
    </w:p>
    <w:p>
      <w:pPr>
        <w:pStyle w:val="6"/>
        <w:spacing w:before="0" w:after="0" w:line="360" w:lineRule="auto"/>
        <w:rPr>
          <w:rFonts w:ascii="宋体" w:hAnsi="宋体" w:cs="宋体"/>
          <w:color w:val="auto"/>
          <w:sz w:val="21"/>
          <w:szCs w:val="21"/>
        </w:rPr>
      </w:pPr>
      <w:bookmarkStart w:id="421" w:name="_Toc221951289"/>
      <w:r>
        <w:rPr>
          <w:rFonts w:hint="eastAsia" w:ascii="宋体" w:hAnsi="宋体" w:cs="宋体"/>
          <w:color w:val="auto"/>
          <w:sz w:val="21"/>
          <w:szCs w:val="21"/>
        </w:rPr>
        <w:t>18.6 竣工</w:t>
      </w:r>
      <w:bookmarkEnd w:id="421"/>
      <w:r>
        <w:rPr>
          <w:rFonts w:hint="eastAsia" w:ascii="宋体" w:hAnsi="宋体" w:cs="宋体"/>
          <w:color w:val="auto"/>
          <w:sz w:val="21"/>
          <w:szCs w:val="21"/>
        </w:rPr>
        <w:t>验收</w:t>
      </w:r>
    </w:p>
    <w:p>
      <w:pPr>
        <w:spacing w:line="360" w:lineRule="auto"/>
        <w:ind w:right="248" w:firstLine="420" w:firstLineChars="200"/>
        <w:rPr>
          <w:rFonts w:ascii="宋体" w:hAnsi="宋体" w:cs="宋体"/>
          <w:color w:val="auto"/>
          <w:szCs w:val="21"/>
        </w:rPr>
      </w:pPr>
      <w:bookmarkStart w:id="422" w:name="_Toc221951290"/>
      <w:r>
        <w:rPr>
          <w:rFonts w:hint="eastAsia" w:ascii="宋体" w:hAnsi="宋体" w:cs="宋体"/>
          <w:color w:val="auto"/>
          <w:szCs w:val="21"/>
        </w:rPr>
        <w:t xml:space="preserve">18.6.1本工程 </w:t>
      </w:r>
      <w:r>
        <w:rPr>
          <w:rFonts w:hint="eastAsia" w:ascii="宋体" w:hAnsi="宋体" w:cs="宋体"/>
          <w:color w:val="auto"/>
          <w:szCs w:val="21"/>
          <w:u w:val="single"/>
        </w:rPr>
        <w:t xml:space="preserve">不需要 </w:t>
      </w:r>
      <w:r>
        <w:rPr>
          <w:rFonts w:hint="eastAsia" w:ascii="宋体" w:hAnsi="宋体" w:cs="宋体"/>
          <w:color w:val="auto"/>
          <w:szCs w:val="21"/>
        </w:rPr>
        <w:t>（需要/不需要）竣工验收技术鉴定（蓄水安全鉴定）。</w:t>
      </w:r>
      <w:bookmarkEnd w:id="422"/>
    </w:p>
    <w:p>
      <w:pPr>
        <w:pStyle w:val="6"/>
        <w:spacing w:before="0" w:after="0" w:line="360" w:lineRule="auto"/>
        <w:rPr>
          <w:rFonts w:ascii="宋体" w:hAnsi="宋体" w:cs="宋体"/>
          <w:color w:val="auto"/>
          <w:sz w:val="21"/>
          <w:szCs w:val="21"/>
        </w:rPr>
      </w:pPr>
      <w:r>
        <w:rPr>
          <w:rFonts w:hint="eastAsia" w:ascii="宋体" w:hAnsi="宋体" w:cs="宋体"/>
          <w:color w:val="auto"/>
          <w:sz w:val="21"/>
          <w:szCs w:val="21"/>
        </w:rPr>
        <w:t>18.7 施工期运行</w:t>
      </w:r>
    </w:p>
    <w:p>
      <w:pPr>
        <w:spacing w:line="360" w:lineRule="auto"/>
        <w:ind w:right="248" w:firstLine="420" w:firstLineChars="200"/>
        <w:rPr>
          <w:rFonts w:ascii="宋体" w:hAnsi="宋体" w:cs="宋体"/>
          <w:color w:val="auto"/>
          <w:szCs w:val="21"/>
        </w:rPr>
      </w:pPr>
      <w:r>
        <w:rPr>
          <w:rFonts w:hint="eastAsia" w:ascii="宋体" w:hAnsi="宋体" w:cs="宋体"/>
          <w:color w:val="auto"/>
          <w:szCs w:val="21"/>
        </w:rPr>
        <w:t>18.8.1需要在施工期运行的单位工程或工程设备为：</w:t>
      </w:r>
      <w:r>
        <w:rPr>
          <w:rFonts w:hint="eastAsia" w:ascii="宋体" w:hAnsi="宋体" w:cs="宋体"/>
          <w:color w:val="auto"/>
          <w:szCs w:val="21"/>
          <w:u w:val="single"/>
        </w:rPr>
        <w:t>无</w:t>
      </w:r>
      <w:r>
        <w:rPr>
          <w:rFonts w:hint="eastAsia" w:ascii="宋体" w:hAnsi="宋体" w:cs="宋体"/>
          <w:color w:val="auto"/>
          <w:szCs w:val="21"/>
        </w:rPr>
        <w:t>。</w:t>
      </w:r>
    </w:p>
    <w:p>
      <w:pPr>
        <w:pStyle w:val="6"/>
        <w:spacing w:before="0" w:after="0" w:line="360" w:lineRule="auto"/>
        <w:rPr>
          <w:rFonts w:ascii="宋体" w:hAnsi="宋体" w:cs="宋体"/>
          <w:color w:val="auto"/>
          <w:sz w:val="21"/>
          <w:szCs w:val="21"/>
        </w:rPr>
      </w:pPr>
      <w:r>
        <w:rPr>
          <w:rFonts w:hint="eastAsia" w:ascii="宋体" w:hAnsi="宋体" w:cs="宋体"/>
          <w:color w:val="auto"/>
          <w:sz w:val="21"/>
          <w:szCs w:val="21"/>
        </w:rPr>
        <w:t>18.8试运行</w:t>
      </w:r>
    </w:p>
    <w:p>
      <w:pPr>
        <w:spacing w:line="360" w:lineRule="auto"/>
        <w:ind w:right="248" w:firstLine="420" w:firstLineChars="200"/>
        <w:rPr>
          <w:rFonts w:ascii="宋体" w:hAnsi="宋体" w:cs="宋体"/>
          <w:color w:val="auto"/>
          <w:szCs w:val="21"/>
        </w:rPr>
      </w:pPr>
      <w:r>
        <w:rPr>
          <w:rFonts w:hint="eastAsia" w:ascii="宋体" w:hAnsi="宋体" w:cs="宋体"/>
          <w:color w:val="auto"/>
          <w:szCs w:val="21"/>
        </w:rPr>
        <w:t>18.9.1试运行的组织：</w:t>
      </w:r>
      <w:r>
        <w:rPr>
          <w:rFonts w:hint="eastAsia" w:ascii="宋体" w:hAnsi="宋体" w:cs="宋体"/>
          <w:color w:val="auto"/>
          <w:szCs w:val="21"/>
          <w:u w:val="single"/>
        </w:rPr>
        <w:t xml:space="preserve"> 由发包人组织  </w:t>
      </w:r>
      <w:r>
        <w:rPr>
          <w:rFonts w:hint="eastAsia" w:ascii="宋体" w:hAnsi="宋体" w:cs="宋体"/>
          <w:color w:val="auto"/>
          <w:szCs w:val="21"/>
        </w:rPr>
        <w:t>；费用承担：</w:t>
      </w:r>
      <w:r>
        <w:rPr>
          <w:rFonts w:hint="eastAsia" w:ascii="宋体" w:hAnsi="宋体" w:cs="宋体"/>
          <w:color w:val="auto"/>
          <w:szCs w:val="21"/>
          <w:u w:val="single"/>
        </w:rPr>
        <w:t xml:space="preserve">  由承包人承担  </w:t>
      </w:r>
      <w:r>
        <w:rPr>
          <w:rFonts w:hint="eastAsia" w:ascii="宋体" w:hAnsi="宋体" w:cs="宋体"/>
          <w:color w:val="auto"/>
          <w:szCs w:val="21"/>
        </w:rPr>
        <w:t>。</w:t>
      </w:r>
    </w:p>
    <w:p>
      <w:pPr>
        <w:pStyle w:val="6"/>
        <w:spacing w:before="0" w:after="0" w:line="360" w:lineRule="auto"/>
        <w:rPr>
          <w:rFonts w:ascii="宋体" w:hAnsi="宋体" w:cs="宋体"/>
          <w:color w:val="auto"/>
          <w:sz w:val="21"/>
          <w:szCs w:val="21"/>
        </w:rPr>
      </w:pPr>
      <w:r>
        <w:rPr>
          <w:rFonts w:hint="eastAsia" w:ascii="宋体" w:hAnsi="宋体" w:cs="宋体"/>
          <w:color w:val="auto"/>
          <w:sz w:val="21"/>
          <w:szCs w:val="21"/>
        </w:rPr>
        <w:t>19  缺陷责任与保修责任</w:t>
      </w:r>
    </w:p>
    <w:p>
      <w:pPr>
        <w:pStyle w:val="6"/>
        <w:spacing w:before="0" w:after="0" w:line="360" w:lineRule="auto"/>
        <w:rPr>
          <w:rFonts w:ascii="宋体" w:hAnsi="宋体" w:cs="宋体"/>
          <w:color w:val="auto"/>
          <w:sz w:val="21"/>
          <w:szCs w:val="21"/>
        </w:rPr>
      </w:pPr>
      <w:r>
        <w:rPr>
          <w:rFonts w:hint="eastAsia" w:ascii="宋体" w:hAnsi="宋体" w:cs="宋体"/>
          <w:color w:val="auto"/>
          <w:sz w:val="21"/>
          <w:szCs w:val="21"/>
        </w:rPr>
        <w:t>19.1 缺陷责任期（工程质量保修期）的起算时间</w:t>
      </w:r>
    </w:p>
    <w:p>
      <w:pPr>
        <w:spacing w:line="360" w:lineRule="auto"/>
        <w:ind w:right="248" w:firstLine="420" w:firstLineChars="200"/>
        <w:rPr>
          <w:rFonts w:ascii="宋体" w:hAnsi="宋体" w:cs="宋体"/>
          <w:color w:val="auto"/>
          <w:szCs w:val="21"/>
        </w:rPr>
      </w:pPr>
      <w:r>
        <w:rPr>
          <w:rFonts w:hint="eastAsia" w:ascii="宋体" w:hAnsi="宋体" w:cs="宋体"/>
          <w:color w:val="auto"/>
          <w:szCs w:val="21"/>
        </w:rPr>
        <w:t>本工程缺陷责任期（工程质量保修）计算如下：起算日 按通用条款19.1和19.7的约定，终止日按专用条款1.1.4.5约定。</w:t>
      </w:r>
    </w:p>
    <w:p>
      <w:pPr>
        <w:spacing w:line="360" w:lineRule="auto"/>
        <w:ind w:right="248"/>
        <w:rPr>
          <w:rFonts w:hint="eastAsia" w:ascii="宋体" w:hAnsi="宋体" w:cs="宋体"/>
          <w:b/>
          <w:bCs/>
          <w:color w:val="auto"/>
          <w:szCs w:val="21"/>
        </w:rPr>
      </w:pPr>
      <w:bookmarkStart w:id="423" w:name="_Toc216003201"/>
      <w:bookmarkStart w:id="424" w:name="_Toc229593394"/>
      <w:bookmarkStart w:id="425" w:name="_Toc241491287"/>
      <w:r>
        <w:rPr>
          <w:rFonts w:hint="eastAsia" w:ascii="宋体" w:hAnsi="宋体" w:cs="宋体"/>
          <w:b/>
          <w:bCs/>
          <w:color w:val="auto"/>
          <w:szCs w:val="21"/>
        </w:rPr>
        <w:t>20.  工程保险</w:t>
      </w:r>
    </w:p>
    <w:p>
      <w:pPr>
        <w:spacing w:line="360" w:lineRule="auto"/>
        <w:ind w:left="899" w:leftChars="228" w:right="248" w:hanging="420" w:hangingChars="200"/>
        <w:rPr>
          <w:rFonts w:hint="eastAsia" w:ascii="宋体" w:hAnsi="宋体" w:cs="宋体"/>
          <w:color w:val="auto"/>
          <w:szCs w:val="21"/>
        </w:rPr>
      </w:pPr>
      <w:r>
        <w:rPr>
          <w:rFonts w:hint="eastAsia" w:ascii="宋体" w:hAnsi="宋体" w:cs="宋体"/>
          <w:color w:val="auto"/>
          <w:szCs w:val="21"/>
        </w:rPr>
        <w:t xml:space="preserve">建筑工程一切险和（或）安装工程一切险投保人： </w:t>
      </w:r>
      <w:r>
        <w:rPr>
          <w:rFonts w:hint="eastAsia" w:ascii="宋体" w:hAnsi="宋体" w:cs="宋体"/>
          <w:color w:val="auto"/>
          <w:szCs w:val="21"/>
          <w:u w:val="single"/>
        </w:rPr>
        <w:t>参加本合同工程现场施工所有作业人员及管理人员  ；</w:t>
      </w:r>
      <w:r>
        <w:rPr>
          <w:rFonts w:hint="eastAsia" w:ascii="宋体" w:hAnsi="宋体" w:cs="宋体"/>
          <w:color w:val="auto"/>
          <w:szCs w:val="21"/>
        </w:rPr>
        <w:t xml:space="preserve">                        </w:t>
      </w:r>
    </w:p>
    <w:p>
      <w:pPr>
        <w:spacing w:line="360" w:lineRule="auto"/>
        <w:ind w:left="899" w:leftChars="228" w:right="248" w:hanging="420" w:hangingChars="200"/>
        <w:rPr>
          <w:rFonts w:hint="eastAsia" w:ascii="宋体" w:hAnsi="宋体" w:cs="宋体"/>
          <w:color w:val="auto"/>
          <w:szCs w:val="21"/>
        </w:rPr>
      </w:pPr>
      <w:r>
        <w:rPr>
          <w:rFonts w:hint="eastAsia" w:ascii="宋体" w:hAnsi="宋体" w:cs="宋体"/>
          <w:color w:val="auto"/>
          <w:szCs w:val="21"/>
        </w:rPr>
        <w:t xml:space="preserve">投保内容： </w:t>
      </w:r>
      <w:r>
        <w:rPr>
          <w:rFonts w:hint="eastAsia" w:ascii="宋体" w:hAnsi="宋体" w:cs="宋体"/>
          <w:color w:val="auto"/>
          <w:szCs w:val="21"/>
          <w:u w:val="single"/>
        </w:rPr>
        <w:t>按有关文件规定办理 ；</w:t>
      </w:r>
      <w:r>
        <w:rPr>
          <w:rFonts w:hint="eastAsia" w:ascii="宋体" w:hAnsi="宋体" w:cs="宋体"/>
          <w:color w:val="auto"/>
          <w:szCs w:val="21"/>
        </w:rPr>
        <w:t xml:space="preserve">                                                      </w:t>
      </w:r>
    </w:p>
    <w:p>
      <w:pPr>
        <w:spacing w:line="360" w:lineRule="auto"/>
        <w:ind w:left="899" w:leftChars="228" w:right="248" w:hanging="420" w:hangingChars="200"/>
        <w:rPr>
          <w:rFonts w:ascii="宋体" w:hAnsi="宋体" w:cs="宋体"/>
          <w:color w:val="auto"/>
          <w:szCs w:val="21"/>
        </w:rPr>
      </w:pPr>
      <w:r>
        <w:rPr>
          <w:rFonts w:hint="eastAsia" w:ascii="宋体" w:hAnsi="宋体" w:cs="宋体"/>
          <w:color w:val="auto"/>
          <w:szCs w:val="21"/>
        </w:rPr>
        <w:t xml:space="preserve">保险金额、保险费率和保险期限： </w:t>
      </w:r>
      <w:r>
        <w:rPr>
          <w:rFonts w:hint="eastAsia" w:ascii="宋体" w:hAnsi="宋体" w:cs="宋体"/>
          <w:color w:val="auto"/>
          <w:szCs w:val="21"/>
          <w:u w:val="single"/>
        </w:rPr>
        <w:t>开工至完工；其他事项按有关文件规定办理 。</w:t>
      </w:r>
    </w:p>
    <w:p>
      <w:pPr>
        <w:pStyle w:val="6"/>
        <w:spacing w:before="0" w:after="0" w:line="440" w:lineRule="exact"/>
        <w:rPr>
          <w:rFonts w:ascii="宋体" w:hAnsi="宋体" w:cs="宋体"/>
          <w:color w:val="auto"/>
          <w:sz w:val="21"/>
          <w:szCs w:val="21"/>
        </w:rPr>
      </w:pPr>
      <w:r>
        <w:rPr>
          <w:rFonts w:hint="eastAsia" w:ascii="宋体" w:hAnsi="宋体" w:cs="宋体"/>
          <w:color w:val="auto"/>
          <w:sz w:val="21"/>
          <w:szCs w:val="21"/>
        </w:rPr>
        <w:t>21. 不可抗力</w:t>
      </w:r>
      <w:bookmarkEnd w:id="423"/>
      <w:bookmarkEnd w:id="424"/>
      <w:bookmarkEnd w:id="425"/>
    </w:p>
    <w:p>
      <w:pPr>
        <w:pStyle w:val="6"/>
        <w:spacing w:before="0" w:after="0" w:line="440" w:lineRule="exact"/>
        <w:rPr>
          <w:rFonts w:ascii="宋体" w:hAnsi="宋体" w:cs="宋体"/>
          <w:color w:val="auto"/>
          <w:sz w:val="21"/>
          <w:szCs w:val="21"/>
        </w:rPr>
      </w:pPr>
      <w:bookmarkStart w:id="426" w:name="_Toc216003202"/>
      <w:bookmarkStart w:id="427" w:name="_Toc229593395"/>
      <w:r>
        <w:rPr>
          <w:rFonts w:hint="eastAsia" w:ascii="宋体" w:hAnsi="宋体" w:cs="宋体"/>
          <w:color w:val="auto"/>
          <w:sz w:val="21"/>
          <w:szCs w:val="21"/>
        </w:rPr>
        <w:t>21.1 不可抗力的确认</w:t>
      </w:r>
      <w:bookmarkEnd w:id="426"/>
      <w:bookmarkEnd w:id="427"/>
    </w:p>
    <w:p>
      <w:pPr>
        <w:spacing w:line="440" w:lineRule="exact"/>
        <w:ind w:right="248" w:firstLine="420" w:firstLineChars="200"/>
        <w:rPr>
          <w:rFonts w:ascii="宋体" w:hAnsi="宋体" w:cs="宋体"/>
          <w:color w:val="auto"/>
          <w:szCs w:val="21"/>
          <w:u w:val="single"/>
        </w:rPr>
      </w:pPr>
      <w:r>
        <w:rPr>
          <w:rFonts w:hint="eastAsia" w:ascii="宋体" w:hAnsi="宋体" w:cs="宋体"/>
          <w:color w:val="auto"/>
          <w:szCs w:val="21"/>
        </w:rPr>
        <w:t xml:space="preserve">21.1.1 不可抗力是指承包人和发包人在订立合同时不可预见，在工程施工过程中不可避免发生并不能克服的自然灾害和社会性突发事件，如地震、海啸、瘟疫、水灾、骚乱、暴动、战争和本合同专用合同条款第10款的约定。                                                                                                                                                                                                                                                                                                                                                                                                                                                                                                                                                                                                                                                                                                                                                                                                                                                                                                                                                                                                                                                                                                                                                                                                                                                                                                                                                                                                                                                                                                                                                                                                                                                                                                                                                                                                                                                                                                                                                                                                                                          </w:t>
      </w:r>
      <w:r>
        <w:rPr>
          <w:rFonts w:hint="eastAsia" w:ascii="宋体" w:hAnsi="宋体" w:cs="宋体"/>
          <w:b/>
          <w:color w:val="auto"/>
          <w:szCs w:val="21"/>
        </w:rPr>
        <w:t xml:space="preserve"> </w:t>
      </w:r>
    </w:p>
    <w:p>
      <w:pPr>
        <w:pStyle w:val="6"/>
        <w:spacing w:before="0" w:after="0" w:line="440" w:lineRule="exact"/>
        <w:rPr>
          <w:rFonts w:ascii="宋体" w:hAnsi="宋体" w:cs="宋体"/>
          <w:color w:val="auto"/>
          <w:sz w:val="21"/>
          <w:szCs w:val="21"/>
        </w:rPr>
      </w:pPr>
      <w:bookmarkStart w:id="428" w:name="_Toc222031045"/>
      <w:bookmarkStart w:id="429" w:name="_Toc229305401"/>
      <w:bookmarkStart w:id="430" w:name="_Toc222033894"/>
      <w:bookmarkStart w:id="431" w:name="_Toc221951334"/>
      <w:bookmarkStart w:id="432" w:name="_Toc222029543"/>
      <w:bookmarkStart w:id="433" w:name="_Toc222032712"/>
      <w:r>
        <w:rPr>
          <w:rFonts w:hint="eastAsia" w:ascii="宋体" w:hAnsi="宋体" w:cs="宋体"/>
          <w:color w:val="auto"/>
          <w:sz w:val="21"/>
          <w:szCs w:val="21"/>
        </w:rPr>
        <w:t>22. 争议的解决</w:t>
      </w:r>
      <w:bookmarkEnd w:id="428"/>
      <w:bookmarkEnd w:id="429"/>
      <w:bookmarkEnd w:id="430"/>
      <w:bookmarkEnd w:id="431"/>
      <w:bookmarkEnd w:id="432"/>
      <w:bookmarkEnd w:id="433"/>
    </w:p>
    <w:p>
      <w:pPr>
        <w:pStyle w:val="6"/>
        <w:spacing w:before="0" w:after="0" w:line="440" w:lineRule="exact"/>
        <w:rPr>
          <w:rFonts w:ascii="宋体" w:hAnsi="宋体" w:cs="宋体"/>
          <w:color w:val="auto"/>
          <w:sz w:val="21"/>
          <w:szCs w:val="21"/>
        </w:rPr>
      </w:pPr>
      <w:bookmarkStart w:id="434" w:name="_Toc221951335"/>
      <w:r>
        <w:rPr>
          <w:rFonts w:hint="eastAsia" w:ascii="宋体" w:hAnsi="宋体" w:cs="宋体"/>
          <w:color w:val="auto"/>
          <w:sz w:val="21"/>
          <w:szCs w:val="21"/>
        </w:rPr>
        <w:t>22.1 争议的解决方式</w:t>
      </w:r>
    </w:p>
    <w:p>
      <w:pPr>
        <w:spacing w:line="440" w:lineRule="exact"/>
        <w:ind w:firstLine="420" w:firstLineChars="200"/>
        <w:rPr>
          <w:rFonts w:ascii="宋体" w:hAnsi="宋体" w:cs="宋体"/>
          <w:color w:val="auto"/>
          <w:szCs w:val="21"/>
        </w:rPr>
      </w:pPr>
      <w:r>
        <w:rPr>
          <w:rFonts w:hint="eastAsia" w:ascii="宋体" w:hAnsi="宋体" w:cs="宋体"/>
          <w:color w:val="auto"/>
          <w:szCs w:val="21"/>
        </w:rPr>
        <w:t>合同当事人友好协商解决不成、不愿提请争议评审或不接受争议评审组意见的，约定的合同争议解决方式 ：</w:t>
      </w:r>
      <w:bookmarkEnd w:id="434"/>
      <w:r>
        <w:rPr>
          <w:rFonts w:hint="eastAsia" w:ascii="宋体" w:hAnsi="宋体" w:cs="宋体"/>
          <w:color w:val="auto"/>
          <w:szCs w:val="21"/>
          <w:u w:val="single"/>
        </w:rPr>
        <w:t xml:space="preserve"> 提交灵川县人民法院裁决 </w:t>
      </w:r>
      <w:r>
        <w:rPr>
          <w:rFonts w:hint="eastAsia" w:ascii="宋体" w:hAnsi="宋体" w:cs="宋体"/>
          <w:color w:val="auto"/>
          <w:szCs w:val="21"/>
        </w:rPr>
        <w:t xml:space="preserve">。 </w:t>
      </w:r>
    </w:p>
    <w:p>
      <w:pPr>
        <w:pStyle w:val="6"/>
        <w:spacing w:before="0" w:after="0" w:line="440" w:lineRule="exact"/>
        <w:rPr>
          <w:rFonts w:ascii="宋体" w:hAnsi="宋体" w:cs="宋体"/>
          <w:color w:val="auto"/>
          <w:sz w:val="21"/>
          <w:szCs w:val="21"/>
        </w:rPr>
      </w:pPr>
      <w:r>
        <w:rPr>
          <w:rFonts w:hint="eastAsia" w:ascii="宋体" w:hAnsi="宋体" w:cs="宋体"/>
          <w:color w:val="auto"/>
          <w:sz w:val="21"/>
          <w:szCs w:val="21"/>
        </w:rPr>
        <w:t>23.附加条款</w:t>
      </w:r>
    </w:p>
    <w:p>
      <w:pPr>
        <w:spacing w:line="440" w:lineRule="exact"/>
        <w:rPr>
          <w:rFonts w:ascii="宋体" w:hAnsi="宋体" w:cs="宋体"/>
          <w:bCs/>
          <w:color w:val="auto"/>
          <w:kern w:val="0"/>
          <w:szCs w:val="21"/>
        </w:rPr>
      </w:pPr>
      <w:r>
        <w:rPr>
          <w:rFonts w:hint="eastAsia" w:ascii="宋体" w:hAnsi="宋体" w:cs="宋体"/>
          <w:color w:val="auto"/>
          <w:kern w:val="0"/>
          <w:szCs w:val="21"/>
        </w:rPr>
        <w:t>23.1</w:t>
      </w:r>
      <w:r>
        <w:rPr>
          <w:rFonts w:hint="eastAsia" w:ascii="宋体" w:hAnsi="宋体" w:cs="宋体"/>
          <w:bCs/>
          <w:color w:val="auto"/>
          <w:kern w:val="0"/>
          <w:szCs w:val="21"/>
        </w:rPr>
        <w:t>对承包人的要求</w:t>
      </w:r>
    </w:p>
    <w:p>
      <w:pPr>
        <w:spacing w:line="440" w:lineRule="exact"/>
        <w:ind w:firstLine="420" w:firstLineChars="200"/>
        <w:rPr>
          <w:rFonts w:ascii="宋体" w:hAnsi="宋体" w:cs="宋体"/>
          <w:bCs/>
          <w:color w:val="auto"/>
          <w:kern w:val="0"/>
          <w:szCs w:val="21"/>
        </w:rPr>
      </w:pPr>
      <w:r>
        <w:rPr>
          <w:rFonts w:hint="eastAsia" w:ascii="宋体" w:hAnsi="宋体" w:cs="宋体"/>
          <w:color w:val="auto"/>
          <w:kern w:val="0"/>
          <w:szCs w:val="21"/>
        </w:rPr>
        <w:t>1、</w:t>
      </w:r>
      <w:r>
        <w:rPr>
          <w:rFonts w:hint="eastAsia" w:ascii="宋体" w:hAnsi="宋体" w:cs="宋体"/>
          <w:bCs/>
          <w:color w:val="auto"/>
          <w:kern w:val="0"/>
          <w:szCs w:val="21"/>
        </w:rPr>
        <w:t>因承包人的原因造成施工进度计划滞后，承包人均应按发包人和监理人的指示，采取有效措施赶上进度。若施工进度仍然满足不了发包人的要求，视为承包人已经构成违约，发包人可通知承包人解除合同。发包人可在发出通知5天后派员进驻工地直接监管工程，使用承包人设备、临时工程和材料，另行组织人员或委托其他承包人施工，但发包人的这一行为不免除承包人按合同规定应负的责任。</w:t>
      </w:r>
    </w:p>
    <w:p>
      <w:pPr>
        <w:spacing w:line="440" w:lineRule="exact"/>
        <w:ind w:firstLine="420" w:firstLineChars="200"/>
        <w:rPr>
          <w:rFonts w:ascii="宋体" w:hAnsi="宋体" w:cs="宋体"/>
          <w:bCs/>
          <w:color w:val="auto"/>
          <w:spacing w:val="-2"/>
          <w:kern w:val="0"/>
          <w:szCs w:val="21"/>
        </w:rPr>
      </w:pPr>
      <w:r>
        <w:rPr>
          <w:rFonts w:hint="eastAsia" w:ascii="宋体" w:hAnsi="宋体" w:cs="宋体"/>
          <w:color w:val="auto"/>
          <w:kern w:val="0"/>
          <w:szCs w:val="21"/>
        </w:rPr>
        <w:t>2、</w:t>
      </w:r>
      <w:r>
        <w:rPr>
          <w:rFonts w:hint="eastAsia" w:ascii="宋体" w:hAnsi="宋体" w:cs="宋体"/>
          <w:bCs/>
          <w:color w:val="auto"/>
          <w:spacing w:val="-2"/>
          <w:kern w:val="0"/>
          <w:szCs w:val="21"/>
        </w:rPr>
        <w:t>遵守国务院《建设工程质量管理条例》，根据水利部、自治区和水利厅的有关质量管理规定，建立健全质量管理机构，结合工程实际制定完善的可操作性强的质量管理制度，施工质量等级达到合同约定等级。</w:t>
      </w:r>
    </w:p>
    <w:p>
      <w:pPr>
        <w:spacing w:line="440" w:lineRule="exact"/>
        <w:ind w:firstLine="420" w:firstLineChars="200"/>
        <w:rPr>
          <w:rFonts w:ascii="宋体" w:hAnsi="宋体" w:cs="宋体"/>
          <w:bCs/>
          <w:color w:val="auto"/>
          <w:kern w:val="0"/>
          <w:szCs w:val="21"/>
        </w:rPr>
      </w:pPr>
      <w:r>
        <w:rPr>
          <w:rFonts w:hint="eastAsia" w:ascii="宋体" w:hAnsi="宋体" w:cs="宋体"/>
          <w:color w:val="auto"/>
          <w:kern w:val="0"/>
          <w:szCs w:val="21"/>
        </w:rPr>
        <w:t>3、</w:t>
      </w:r>
      <w:r>
        <w:rPr>
          <w:rFonts w:hint="eastAsia" w:ascii="宋体" w:hAnsi="宋体" w:cs="宋体"/>
          <w:bCs/>
          <w:color w:val="auto"/>
          <w:kern w:val="0"/>
          <w:szCs w:val="21"/>
        </w:rPr>
        <w:t>按国家《中华人民共和国生产安全法》、《建设工程安全生产管理条例》、自治区安全生产法规和水利水电工程施工安全操作规程的规定建立健全安全管理机构和安全管理制度，采取安全施工保障措施保障工程施工安全。</w:t>
      </w:r>
    </w:p>
    <w:p>
      <w:pPr>
        <w:spacing w:line="440" w:lineRule="exact"/>
        <w:ind w:firstLine="420" w:firstLineChars="200"/>
        <w:rPr>
          <w:rFonts w:ascii="宋体" w:hAnsi="宋体" w:cs="宋体"/>
          <w:bCs/>
          <w:color w:val="auto"/>
          <w:kern w:val="0"/>
          <w:szCs w:val="21"/>
        </w:rPr>
      </w:pPr>
      <w:r>
        <w:rPr>
          <w:rFonts w:hint="eastAsia" w:ascii="宋体" w:hAnsi="宋体" w:cs="宋体"/>
          <w:color w:val="auto"/>
          <w:kern w:val="0"/>
          <w:szCs w:val="21"/>
        </w:rPr>
        <w:t>4、</w:t>
      </w:r>
      <w:r>
        <w:rPr>
          <w:rFonts w:hint="eastAsia" w:ascii="宋体" w:hAnsi="宋体" w:cs="宋体"/>
          <w:bCs/>
          <w:color w:val="auto"/>
          <w:kern w:val="0"/>
          <w:szCs w:val="21"/>
        </w:rPr>
        <w:t>按有关施工规程规范及本</w:t>
      </w:r>
      <w:r>
        <w:rPr>
          <w:rFonts w:hint="eastAsia" w:ascii="宋体" w:hAnsi="宋体" w:cs="宋体"/>
          <w:bCs/>
          <w:color w:val="auto"/>
          <w:kern w:val="0"/>
          <w:szCs w:val="21"/>
          <w:lang w:eastAsia="zh-CN"/>
        </w:rPr>
        <w:t>竞争性磋商文件</w:t>
      </w:r>
      <w:r>
        <w:rPr>
          <w:rFonts w:hint="eastAsia" w:ascii="宋体" w:hAnsi="宋体" w:cs="宋体"/>
          <w:bCs/>
          <w:color w:val="auto"/>
          <w:kern w:val="0"/>
          <w:szCs w:val="21"/>
        </w:rPr>
        <w:t>技术条款进行组织施工并实施施工过程和移交前工程保护措施。</w:t>
      </w:r>
    </w:p>
    <w:p>
      <w:pPr>
        <w:spacing w:line="440" w:lineRule="exact"/>
        <w:ind w:firstLine="420" w:firstLineChars="200"/>
        <w:rPr>
          <w:rFonts w:ascii="宋体" w:hAnsi="宋体" w:cs="宋体"/>
          <w:bCs/>
          <w:color w:val="auto"/>
          <w:kern w:val="0"/>
          <w:szCs w:val="21"/>
        </w:rPr>
      </w:pPr>
      <w:r>
        <w:rPr>
          <w:rFonts w:hint="eastAsia" w:ascii="宋体" w:hAnsi="宋体" w:cs="宋体"/>
          <w:color w:val="auto"/>
          <w:kern w:val="0"/>
          <w:szCs w:val="21"/>
        </w:rPr>
        <w:t>5、</w:t>
      </w:r>
      <w:r>
        <w:rPr>
          <w:rFonts w:hint="eastAsia" w:ascii="宋体" w:hAnsi="宋体" w:cs="宋体"/>
          <w:bCs/>
          <w:color w:val="auto"/>
          <w:kern w:val="0"/>
          <w:szCs w:val="21"/>
        </w:rPr>
        <w:t>按水利部《水利系统文明建设工地评审管理办法》创建文明建设工地。</w:t>
      </w:r>
    </w:p>
    <w:p>
      <w:pPr>
        <w:spacing w:line="440" w:lineRule="exact"/>
        <w:ind w:firstLine="420" w:firstLineChars="200"/>
        <w:rPr>
          <w:rFonts w:ascii="宋体" w:hAnsi="宋体" w:cs="宋体"/>
          <w:bCs/>
          <w:color w:val="auto"/>
          <w:spacing w:val="-4"/>
          <w:kern w:val="0"/>
          <w:szCs w:val="21"/>
        </w:rPr>
      </w:pPr>
      <w:r>
        <w:rPr>
          <w:rFonts w:hint="eastAsia" w:ascii="宋体" w:hAnsi="宋体" w:cs="宋体"/>
          <w:color w:val="auto"/>
          <w:kern w:val="0"/>
          <w:szCs w:val="21"/>
        </w:rPr>
        <w:t>6、</w:t>
      </w:r>
      <w:r>
        <w:rPr>
          <w:rFonts w:hint="eastAsia" w:ascii="宋体" w:hAnsi="宋体" w:cs="宋体"/>
          <w:bCs/>
          <w:color w:val="auto"/>
          <w:spacing w:val="-4"/>
          <w:kern w:val="0"/>
          <w:szCs w:val="21"/>
        </w:rPr>
        <w:t>承包人违约有以下情况之一者，发包人有权采取合同规定的以下措施处理，并视情节轻重处予违约金。</w:t>
      </w:r>
    </w:p>
    <w:p>
      <w:pPr>
        <w:spacing w:line="440" w:lineRule="exact"/>
        <w:ind w:firstLine="420" w:firstLineChars="200"/>
        <w:rPr>
          <w:rFonts w:ascii="宋体" w:hAnsi="宋体" w:cs="宋体"/>
          <w:bCs/>
          <w:color w:val="auto"/>
          <w:kern w:val="0"/>
          <w:szCs w:val="21"/>
        </w:rPr>
      </w:pPr>
      <w:r>
        <w:rPr>
          <w:rFonts w:hint="eastAsia" w:ascii="宋体" w:hAnsi="宋体" w:cs="宋体"/>
          <w:bCs/>
          <w:color w:val="auto"/>
          <w:kern w:val="0"/>
          <w:szCs w:val="21"/>
        </w:rPr>
        <w:t>（1）未经发包人批准，施工期内承包人调走主要施工技术人员（包括建造师、专业工程师），经发现不及时调回的，违约金额为履约保证金金额的5%～20%（视情节严重而定）。</w:t>
      </w:r>
    </w:p>
    <w:p>
      <w:pPr>
        <w:spacing w:line="440" w:lineRule="exact"/>
        <w:ind w:firstLine="420" w:firstLineChars="200"/>
        <w:rPr>
          <w:rFonts w:ascii="宋体" w:hAnsi="宋体" w:cs="宋体"/>
          <w:bCs/>
          <w:color w:val="auto"/>
          <w:kern w:val="0"/>
          <w:szCs w:val="21"/>
        </w:rPr>
      </w:pPr>
      <w:r>
        <w:rPr>
          <w:rFonts w:hint="eastAsia" w:ascii="宋体" w:hAnsi="宋体" w:cs="宋体"/>
          <w:bCs/>
          <w:color w:val="auto"/>
          <w:kern w:val="0"/>
          <w:szCs w:val="21"/>
        </w:rPr>
        <w:t>（2）未经发包人批准，施工期内自行调走主要施工机械，经发现不及时调回的，违约金额为履约保证金金额的5%～20%（视情节严重而定）。</w:t>
      </w:r>
    </w:p>
    <w:p>
      <w:pPr>
        <w:spacing w:line="440" w:lineRule="exact"/>
        <w:ind w:firstLine="420" w:firstLineChars="200"/>
        <w:rPr>
          <w:rFonts w:ascii="宋体" w:hAnsi="宋体" w:cs="宋体"/>
          <w:bCs/>
          <w:color w:val="auto"/>
          <w:kern w:val="0"/>
          <w:szCs w:val="21"/>
        </w:rPr>
      </w:pPr>
      <w:r>
        <w:rPr>
          <w:rFonts w:hint="eastAsia" w:ascii="宋体" w:hAnsi="宋体" w:cs="宋体"/>
          <w:bCs/>
          <w:color w:val="auto"/>
          <w:kern w:val="0"/>
          <w:szCs w:val="21"/>
        </w:rPr>
        <w:t>（3）所有以上违约金额均在承包人的履约保证金（包括银行利息）及计量支付款内扣除，承包人履约保证金被扣除后，由发包人从最后一次计量支付时扣相应金额补足履约保证金。</w:t>
      </w:r>
    </w:p>
    <w:p>
      <w:pPr>
        <w:spacing w:line="440" w:lineRule="exact"/>
        <w:ind w:firstLine="420" w:firstLineChars="200"/>
        <w:rPr>
          <w:rFonts w:ascii="宋体" w:hAnsi="宋体" w:cs="宋体"/>
          <w:bCs/>
          <w:color w:val="auto"/>
          <w:kern w:val="0"/>
          <w:szCs w:val="21"/>
        </w:rPr>
      </w:pPr>
      <w:r>
        <w:rPr>
          <w:rFonts w:hint="eastAsia" w:ascii="宋体" w:hAnsi="宋体" w:cs="宋体"/>
          <w:bCs/>
          <w:color w:val="auto"/>
          <w:kern w:val="0"/>
          <w:szCs w:val="21"/>
        </w:rPr>
        <w:t>（4）承包人的人员机械进场必须按照合同书或根据工程实际调整经监理人和发包人确认的人员和机械进场时间表进场，承包人不得拖延、调换或减少。主要机械的数量、型号和劳动力、材料的投入，应与合同相符，若发包人或建设主管部门认为合同规定的进场机械、材料和劳动力不能满足施工进度要求，有权指令承包人增加机械、材料和劳动力投入，承包人不得拒绝。</w:t>
      </w:r>
    </w:p>
    <w:p>
      <w:pPr>
        <w:spacing w:line="440" w:lineRule="exact"/>
        <w:ind w:firstLine="420" w:firstLineChars="200"/>
        <w:rPr>
          <w:rFonts w:ascii="宋体" w:hAnsi="宋体" w:cs="宋体"/>
          <w:bCs/>
          <w:color w:val="auto"/>
          <w:kern w:val="0"/>
          <w:szCs w:val="21"/>
        </w:rPr>
      </w:pPr>
      <w:r>
        <w:rPr>
          <w:rFonts w:hint="eastAsia" w:ascii="宋体" w:hAnsi="宋体" w:cs="宋体"/>
          <w:bCs/>
          <w:color w:val="auto"/>
          <w:kern w:val="0"/>
          <w:szCs w:val="21"/>
        </w:rPr>
        <w:t>（5）合同签订之日起15日内，承包人无法按合同规定进场全部人员和机械时，作为承包人违约，发包人可解除合同，没收其全部履约保证金，另行发包工程。</w:t>
      </w:r>
    </w:p>
    <w:p>
      <w:pPr>
        <w:spacing w:line="440" w:lineRule="exact"/>
        <w:ind w:firstLine="420" w:firstLineChars="200"/>
        <w:rPr>
          <w:rFonts w:ascii="宋体" w:hAnsi="宋体" w:cs="宋体"/>
          <w:bCs/>
          <w:color w:val="auto"/>
          <w:kern w:val="0"/>
          <w:szCs w:val="21"/>
        </w:rPr>
      </w:pPr>
      <w:r>
        <w:rPr>
          <w:rFonts w:hint="eastAsia" w:ascii="宋体" w:hAnsi="宋体" w:cs="宋体"/>
          <w:color w:val="auto"/>
          <w:kern w:val="0"/>
          <w:szCs w:val="21"/>
        </w:rPr>
        <w:t>7、</w:t>
      </w:r>
      <w:r>
        <w:rPr>
          <w:rFonts w:hint="eastAsia" w:ascii="宋体" w:hAnsi="宋体" w:cs="宋体"/>
          <w:bCs/>
          <w:color w:val="auto"/>
          <w:kern w:val="0"/>
          <w:szCs w:val="21"/>
        </w:rPr>
        <w:t>承包人生活设施及施工场地，应自费配备消防设备，防止火灾发生。</w:t>
      </w:r>
    </w:p>
    <w:p>
      <w:pPr>
        <w:spacing w:line="440" w:lineRule="exact"/>
        <w:ind w:firstLine="420" w:firstLineChars="200"/>
        <w:rPr>
          <w:rFonts w:ascii="宋体" w:hAnsi="宋体" w:cs="宋体"/>
          <w:bCs/>
          <w:color w:val="auto"/>
          <w:kern w:val="0"/>
          <w:szCs w:val="21"/>
        </w:rPr>
      </w:pPr>
      <w:r>
        <w:rPr>
          <w:rFonts w:hint="eastAsia" w:ascii="宋体" w:hAnsi="宋体" w:cs="宋体"/>
          <w:color w:val="auto"/>
          <w:kern w:val="0"/>
          <w:szCs w:val="21"/>
        </w:rPr>
        <w:t>8、</w:t>
      </w:r>
      <w:r>
        <w:rPr>
          <w:rFonts w:hint="eastAsia" w:ascii="宋体" w:hAnsi="宋体" w:cs="宋体"/>
          <w:bCs/>
          <w:color w:val="auto"/>
          <w:kern w:val="0"/>
          <w:szCs w:val="21"/>
        </w:rPr>
        <w:t>承包人使用的劳动力均应进行保险，否则不准安排工作，禁止使用童工。</w:t>
      </w:r>
    </w:p>
    <w:p>
      <w:pPr>
        <w:spacing w:line="440" w:lineRule="exact"/>
        <w:ind w:firstLine="420" w:firstLineChars="200"/>
        <w:rPr>
          <w:rFonts w:ascii="宋体" w:hAnsi="宋体" w:cs="宋体"/>
          <w:bCs/>
          <w:color w:val="auto"/>
          <w:kern w:val="0"/>
          <w:szCs w:val="21"/>
        </w:rPr>
      </w:pPr>
      <w:r>
        <w:rPr>
          <w:rFonts w:hint="eastAsia" w:ascii="宋体" w:hAnsi="宋体" w:cs="宋体"/>
          <w:color w:val="auto"/>
          <w:kern w:val="0"/>
          <w:szCs w:val="21"/>
        </w:rPr>
        <w:t>9、</w:t>
      </w:r>
      <w:r>
        <w:rPr>
          <w:rFonts w:hint="eastAsia" w:ascii="宋体" w:hAnsi="宋体" w:cs="宋体"/>
          <w:bCs/>
          <w:color w:val="auto"/>
          <w:kern w:val="0"/>
          <w:szCs w:val="21"/>
        </w:rPr>
        <w:t>凡</w:t>
      </w:r>
      <w:r>
        <w:rPr>
          <w:rFonts w:hint="eastAsia" w:ascii="宋体" w:hAnsi="宋体" w:cs="宋体"/>
          <w:bCs/>
          <w:color w:val="auto"/>
          <w:kern w:val="0"/>
          <w:szCs w:val="21"/>
          <w:lang w:eastAsia="zh-CN"/>
        </w:rPr>
        <w:t>竞争性磋商文件</w:t>
      </w:r>
      <w:r>
        <w:rPr>
          <w:rFonts w:hint="eastAsia" w:ascii="宋体" w:hAnsi="宋体" w:cs="宋体"/>
          <w:bCs/>
          <w:color w:val="auto"/>
          <w:kern w:val="0"/>
          <w:szCs w:val="21"/>
        </w:rPr>
        <w:t>的合同条件、技术规范、设计图纸没有明显提及或明显遗漏或明显错误的，应以国内现行规范解释为依据，或以国内惯例解释处理。承包人发现后应及时向监理工程师报告，防止造成损失，并不利用以上文件的含糊、遗漏、错误或缺点索取利益。</w:t>
      </w:r>
    </w:p>
    <w:p>
      <w:pPr>
        <w:spacing w:line="440" w:lineRule="exact"/>
        <w:ind w:firstLine="420" w:firstLineChars="200"/>
        <w:rPr>
          <w:rFonts w:ascii="宋体" w:hAnsi="宋体" w:cs="宋体"/>
          <w:bCs/>
          <w:color w:val="auto"/>
          <w:kern w:val="0"/>
          <w:szCs w:val="21"/>
        </w:rPr>
      </w:pPr>
      <w:r>
        <w:rPr>
          <w:rFonts w:hint="eastAsia" w:ascii="宋体" w:hAnsi="宋体" w:cs="宋体"/>
          <w:bCs/>
          <w:color w:val="auto"/>
          <w:kern w:val="0"/>
          <w:szCs w:val="21"/>
        </w:rPr>
        <w:t>10、承包人未能按时完成当月合同进度计划70%工程量的，发包人有权自行组织施工，以不超过投标报价的2倍单价扣减承包人的进度款，支付自行组织施工完成的工程款。也有权终止本合同并清退承包人，承包人须在10天内离场，否则发包人将强行撤出所有施工设备，所造成的全部损失由承包人承担。</w:t>
      </w:r>
    </w:p>
    <w:p>
      <w:pPr>
        <w:spacing w:line="440" w:lineRule="exact"/>
        <w:ind w:firstLine="420" w:firstLineChars="200"/>
        <w:rPr>
          <w:rFonts w:hint="eastAsia" w:ascii="宋体" w:hAnsi="宋体" w:cs="宋体"/>
          <w:bCs/>
          <w:color w:val="auto"/>
          <w:kern w:val="0"/>
          <w:szCs w:val="21"/>
        </w:rPr>
      </w:pPr>
      <w:r>
        <w:rPr>
          <w:rFonts w:hint="eastAsia" w:ascii="宋体" w:hAnsi="宋体" w:cs="宋体"/>
          <w:bCs/>
          <w:color w:val="auto"/>
          <w:kern w:val="0"/>
          <w:szCs w:val="21"/>
        </w:rPr>
        <w:t>11、有关主管部门及发包人检查发现问题时，承包人应按要求整改。在规定时间内不进行整改或整改无效的，发包人有权终止本施工合同并清退承包人。承包人须在10天内离场，否则发包人将强行撤出所有施工设备，所造成的全部损失由承包人承担。</w:t>
      </w:r>
    </w:p>
    <w:p>
      <w:pPr>
        <w:pStyle w:val="2"/>
        <w:rPr>
          <w:rFonts w:hint="eastAsia" w:ascii="宋体" w:hAnsi="宋体" w:cs="宋体"/>
          <w:bCs/>
          <w:color w:val="auto"/>
          <w:kern w:val="0"/>
          <w:szCs w:val="21"/>
        </w:rPr>
      </w:pPr>
    </w:p>
    <w:p>
      <w:pPr>
        <w:pStyle w:val="2"/>
        <w:rPr>
          <w:rFonts w:hint="eastAsia" w:ascii="宋体" w:hAnsi="宋体" w:cs="宋体"/>
          <w:bCs/>
          <w:color w:val="auto"/>
          <w:kern w:val="0"/>
          <w:szCs w:val="21"/>
        </w:rPr>
      </w:pPr>
    </w:p>
    <w:p>
      <w:pPr>
        <w:rPr>
          <w:rFonts w:ascii="宋体" w:hAnsi="宋体"/>
          <w:b/>
          <w:color w:val="auto"/>
          <w:sz w:val="24"/>
        </w:rPr>
      </w:pPr>
      <w:r>
        <w:rPr>
          <w:rFonts w:ascii="宋体" w:hAnsi="宋体"/>
          <w:b/>
          <w:color w:val="auto"/>
          <w:sz w:val="24"/>
        </w:rPr>
        <w:br w:type="page"/>
      </w:r>
    </w:p>
    <w:p>
      <w:pPr>
        <w:spacing w:line="360" w:lineRule="auto"/>
        <w:rPr>
          <w:rFonts w:ascii="宋体" w:hAnsi="宋体"/>
          <w:b/>
          <w:color w:val="auto"/>
          <w:sz w:val="24"/>
        </w:rPr>
      </w:pPr>
      <w:r>
        <w:rPr>
          <w:rFonts w:ascii="宋体" w:hAnsi="宋体"/>
          <w:b/>
          <w:color w:val="auto"/>
          <w:sz w:val="24"/>
        </w:rPr>
        <w:t>附件</w:t>
      </w:r>
    </w:p>
    <w:p>
      <w:pPr>
        <w:spacing w:line="360" w:lineRule="auto"/>
        <w:ind w:firstLine="3373" w:firstLineChars="1200"/>
        <w:rPr>
          <w:rFonts w:ascii="宋体" w:hAnsi="宋体"/>
          <w:b/>
          <w:color w:val="auto"/>
          <w:sz w:val="28"/>
          <w:szCs w:val="28"/>
        </w:rPr>
      </w:pPr>
      <w:r>
        <w:rPr>
          <w:rFonts w:ascii="宋体" w:hAnsi="宋体"/>
          <w:b/>
          <w:color w:val="auto"/>
          <w:sz w:val="28"/>
          <w:szCs w:val="28"/>
        </w:rPr>
        <w:t>工程质量保修书</w:t>
      </w:r>
    </w:p>
    <w:p>
      <w:pPr>
        <w:pStyle w:val="28"/>
        <w:spacing w:line="360" w:lineRule="auto"/>
        <w:ind w:firstLine="540"/>
        <w:rPr>
          <w:rFonts w:hAnsi="宋体"/>
          <w:color w:val="auto"/>
        </w:rPr>
      </w:pPr>
    </w:p>
    <w:p>
      <w:pPr>
        <w:pStyle w:val="28"/>
        <w:spacing w:line="360" w:lineRule="auto"/>
        <w:ind w:firstLine="540"/>
        <w:rPr>
          <w:rFonts w:hint="default" w:hAnsi="宋体" w:eastAsia="宋体"/>
          <w:color w:val="auto"/>
          <w:lang w:val="en-US" w:eastAsia="zh-CN"/>
        </w:rPr>
      </w:pPr>
      <w:r>
        <w:rPr>
          <w:rFonts w:hint="eastAsia" w:hAnsi="宋体"/>
          <w:color w:val="auto"/>
        </w:rPr>
        <w:t>发包人(全称)：</w:t>
      </w:r>
      <w:r>
        <w:rPr>
          <w:rFonts w:hint="eastAsia" w:hAnsi="宋体" w:cs="宋体"/>
          <w:b/>
          <w:color w:val="auto"/>
          <w:sz w:val="24"/>
          <w:szCs w:val="24"/>
          <w:u w:val="single"/>
        </w:rPr>
        <w:t xml:space="preserve"> </w:t>
      </w:r>
      <w:r>
        <w:rPr>
          <w:rFonts w:hint="eastAsia" w:hAnsi="宋体" w:cs="宋体"/>
          <w:b/>
          <w:color w:val="auto"/>
          <w:sz w:val="24"/>
          <w:szCs w:val="24"/>
          <w:u w:val="single"/>
          <w:lang w:val="en-US" w:eastAsia="zh-CN"/>
        </w:rPr>
        <w:t xml:space="preserve">                 </w:t>
      </w:r>
      <w:r>
        <w:rPr>
          <w:rFonts w:hint="eastAsia" w:hAnsi="宋体" w:cs="宋体"/>
          <w:b/>
          <w:color w:val="auto"/>
          <w:sz w:val="24"/>
          <w:szCs w:val="24"/>
          <w:u w:val="single"/>
        </w:rPr>
        <w:t xml:space="preserve"> </w:t>
      </w:r>
      <w:r>
        <w:rPr>
          <w:rFonts w:hint="eastAsia" w:hAnsi="宋体" w:cs="宋体"/>
          <w:b/>
          <w:color w:val="auto"/>
          <w:sz w:val="24"/>
          <w:szCs w:val="24"/>
          <w:u w:val="single"/>
          <w:lang w:val="en-US" w:eastAsia="zh-CN"/>
        </w:rPr>
        <w:t xml:space="preserve">  </w:t>
      </w:r>
    </w:p>
    <w:p>
      <w:pPr>
        <w:pStyle w:val="28"/>
        <w:spacing w:line="360" w:lineRule="auto"/>
        <w:ind w:firstLine="540"/>
        <w:rPr>
          <w:rFonts w:hAnsi="宋体"/>
          <w:color w:val="auto"/>
        </w:rPr>
      </w:pPr>
      <w:r>
        <w:rPr>
          <w:rFonts w:hint="eastAsia" w:hAnsi="宋体"/>
          <w:color w:val="auto"/>
        </w:rPr>
        <w:t>承包人(全称)：</w:t>
      </w:r>
      <w:r>
        <w:rPr>
          <w:rFonts w:hint="eastAsia" w:hAnsi="宋体" w:cs="宋体"/>
          <w:b/>
          <w:color w:val="auto"/>
          <w:sz w:val="24"/>
          <w:szCs w:val="24"/>
          <w:u w:val="single"/>
        </w:rPr>
        <w:t xml:space="preserve"> </w:t>
      </w:r>
      <w:r>
        <w:rPr>
          <w:rFonts w:hint="eastAsia" w:hAnsi="宋体" w:cs="宋体"/>
          <w:b/>
          <w:color w:val="auto"/>
          <w:sz w:val="24"/>
          <w:szCs w:val="24"/>
          <w:u w:val="single"/>
          <w:lang w:eastAsia="zh-CN"/>
        </w:rPr>
        <w:t xml:space="preserve">                    </w:t>
      </w:r>
      <w:r>
        <w:rPr>
          <w:rFonts w:hint="eastAsia" w:hAnsi="宋体" w:cs="宋体"/>
          <w:b/>
          <w:color w:val="auto"/>
          <w:sz w:val="24"/>
          <w:szCs w:val="24"/>
          <w:u w:val="single"/>
          <w:lang w:val="en-US" w:eastAsia="zh-CN"/>
        </w:rPr>
        <w:t xml:space="preserve">  </w:t>
      </w:r>
      <w:r>
        <w:rPr>
          <w:rFonts w:hint="eastAsia" w:hAnsi="宋体" w:cs="宋体"/>
          <w:b/>
          <w:color w:val="auto"/>
          <w:sz w:val="24"/>
          <w:szCs w:val="24"/>
          <w:u w:val="single"/>
        </w:rPr>
        <w:t xml:space="preserve"> </w:t>
      </w:r>
    </w:p>
    <w:p>
      <w:pPr>
        <w:topLinePunct/>
        <w:spacing w:line="360" w:lineRule="auto"/>
        <w:ind w:firstLine="411" w:firstLineChars="196"/>
        <w:rPr>
          <w:rFonts w:ascii="宋体" w:hAnsi="宋体" w:cs="宋体"/>
          <w:color w:val="auto"/>
          <w:kern w:val="0"/>
          <w:szCs w:val="21"/>
        </w:rPr>
      </w:pPr>
      <w:r>
        <w:rPr>
          <w:rFonts w:hint="eastAsia" w:ascii="宋体" w:hAnsi="宋体"/>
          <w:color w:val="auto"/>
        </w:rPr>
        <w:t>为保证</w:t>
      </w:r>
      <w:r>
        <w:rPr>
          <w:rFonts w:hint="eastAsia" w:ascii="宋体" w:hAnsi="宋体"/>
          <w:color w:val="auto"/>
          <w:u w:val="single"/>
        </w:rPr>
        <w:t xml:space="preserve"> </w:t>
      </w:r>
      <w:r>
        <w:rPr>
          <w:rFonts w:hint="eastAsia" w:ascii="宋体" w:hAnsi="宋体"/>
          <w:color w:val="auto"/>
          <w:szCs w:val="21"/>
          <w:u w:val="single"/>
          <w:lang w:val="en-US" w:eastAsia="zh-CN"/>
        </w:rPr>
        <w:t xml:space="preserve"> </w:t>
      </w:r>
      <w:r>
        <w:rPr>
          <w:rFonts w:hint="eastAsia" w:ascii="宋体" w:hAnsi="宋体" w:eastAsia="宋体" w:cs="宋体"/>
          <w:b w:val="0"/>
          <w:bCs w:val="0"/>
          <w:color w:val="auto"/>
          <w:sz w:val="21"/>
          <w:szCs w:val="21"/>
          <w:u w:val="single"/>
          <w:lang w:eastAsia="zh-CN"/>
        </w:rPr>
        <w:t>灵川县灵川镇木马村委三排至车田优质稻产业基地内灌溉水渠工程</w:t>
      </w:r>
      <w:r>
        <w:rPr>
          <w:rFonts w:hint="eastAsia" w:ascii="宋体" w:hAnsi="宋体"/>
          <w:color w:val="auto"/>
          <w:u w:val="single"/>
        </w:rPr>
        <w:t xml:space="preserve"> </w:t>
      </w:r>
      <w:r>
        <w:rPr>
          <w:rFonts w:hint="eastAsia" w:ascii="宋体" w:hAnsi="宋体"/>
          <w:color w:val="auto"/>
        </w:rPr>
        <w:t>(工程名称)在合理使用期限内正常使用，发包人承包人协商一致签订工程质量保修书。承包人在质量保修期内按照有关管理规定及双方约定承担工程质量保修责任。</w:t>
      </w:r>
    </w:p>
    <w:p>
      <w:pPr>
        <w:pStyle w:val="28"/>
        <w:spacing w:line="360" w:lineRule="auto"/>
        <w:ind w:firstLine="540"/>
        <w:rPr>
          <w:rFonts w:hAnsi="宋体"/>
          <w:color w:val="auto"/>
        </w:rPr>
      </w:pPr>
      <w:r>
        <w:rPr>
          <w:rFonts w:hint="eastAsia" w:hAnsi="宋体"/>
          <w:color w:val="auto"/>
        </w:rPr>
        <w:t>一、工程质量保修范围和内容</w:t>
      </w:r>
    </w:p>
    <w:p>
      <w:pPr>
        <w:pStyle w:val="28"/>
        <w:spacing w:line="360" w:lineRule="auto"/>
        <w:ind w:firstLine="420"/>
        <w:rPr>
          <w:rFonts w:hAnsi="宋体"/>
          <w:color w:val="auto"/>
        </w:rPr>
      </w:pPr>
      <w:r>
        <w:rPr>
          <w:rFonts w:hint="eastAsia" w:hAnsi="宋体"/>
          <w:color w:val="auto"/>
        </w:rPr>
        <w:t>承包人在质量保修期内，按照有关法律、法规，规章规定和双方约定，承担本工程质量保修责任。</w:t>
      </w:r>
    </w:p>
    <w:p>
      <w:pPr>
        <w:pStyle w:val="28"/>
        <w:spacing w:line="360" w:lineRule="auto"/>
        <w:rPr>
          <w:rFonts w:hAnsi="宋体"/>
          <w:color w:val="auto"/>
        </w:rPr>
      </w:pPr>
      <w:r>
        <w:rPr>
          <w:rFonts w:hint="eastAsia" w:hAnsi="宋体"/>
          <w:color w:val="auto"/>
        </w:rPr>
        <w:t>质量保修范围包括地基基础工程、主体结构工程、屋面防水工程、水利水电工程和双方约定的其他土建工程，以及电气管线、上下水管线的安装工程，供热、供冷系统工程等项目。</w:t>
      </w:r>
    </w:p>
    <w:p>
      <w:pPr>
        <w:pStyle w:val="28"/>
        <w:spacing w:line="360" w:lineRule="auto"/>
        <w:ind w:firstLine="406"/>
        <w:rPr>
          <w:rFonts w:hAnsi="宋体"/>
          <w:color w:val="auto"/>
        </w:rPr>
      </w:pPr>
      <w:r>
        <w:rPr>
          <w:rFonts w:hint="eastAsia" w:hAnsi="宋体"/>
          <w:color w:val="auto"/>
        </w:rPr>
        <w:t>具体质量保修内容双方约定如下：</w:t>
      </w:r>
      <w:r>
        <w:rPr>
          <w:rFonts w:hint="eastAsia" w:hAnsi="宋体" w:cs="宋体"/>
          <w:color w:val="auto"/>
          <w:u w:val="single"/>
        </w:rPr>
        <w:t xml:space="preserve">在承包人承包范围内的工程质量问题以及承包人施工造成的质量问题，由承包人承担保修责任。  </w:t>
      </w:r>
    </w:p>
    <w:p>
      <w:pPr>
        <w:pStyle w:val="28"/>
        <w:spacing w:line="360" w:lineRule="auto"/>
        <w:ind w:firstLine="540"/>
        <w:rPr>
          <w:rFonts w:hAnsi="宋体"/>
          <w:b/>
          <w:color w:val="auto"/>
        </w:rPr>
      </w:pPr>
      <w:r>
        <w:rPr>
          <w:rFonts w:hint="eastAsia" w:hAnsi="宋体"/>
          <w:b/>
          <w:color w:val="auto"/>
        </w:rPr>
        <w:t>二、质量保修期</w:t>
      </w:r>
    </w:p>
    <w:p>
      <w:pPr>
        <w:pStyle w:val="28"/>
        <w:spacing w:line="360" w:lineRule="auto"/>
        <w:ind w:firstLine="412"/>
        <w:rPr>
          <w:rFonts w:hint="eastAsia" w:hAnsi="宋体"/>
          <w:color w:val="auto"/>
          <w:highlight w:val="none"/>
        </w:rPr>
      </w:pPr>
      <w:r>
        <w:rPr>
          <w:rFonts w:hint="eastAsia" w:hAnsi="宋体"/>
          <w:color w:val="auto"/>
          <w:highlight w:val="none"/>
        </w:rPr>
        <w:t>质量保修期从工程实际完工验收通过之日算起。分单项完工验收的工程，按单项工程分别计算质量保修期。</w:t>
      </w:r>
    </w:p>
    <w:p>
      <w:pPr>
        <w:pStyle w:val="28"/>
        <w:spacing w:line="360" w:lineRule="auto"/>
        <w:ind w:firstLine="412"/>
        <w:rPr>
          <w:rFonts w:hint="eastAsia" w:hAnsi="宋体"/>
          <w:color w:val="auto"/>
        </w:rPr>
      </w:pPr>
      <w:r>
        <w:rPr>
          <w:rFonts w:hint="eastAsia" w:hAnsi="宋体"/>
          <w:color w:val="auto"/>
        </w:rPr>
        <w:t>双方根据国家有关规定，结合具体工程约定质量保修期如下：</w:t>
      </w:r>
    </w:p>
    <w:p>
      <w:pPr>
        <w:pStyle w:val="28"/>
        <w:spacing w:line="360" w:lineRule="auto"/>
        <w:ind w:firstLine="412"/>
        <w:rPr>
          <w:rFonts w:hint="eastAsia" w:hAnsi="宋体"/>
          <w:color w:val="auto"/>
          <w:highlight w:val="none"/>
          <w:u w:val="single"/>
        </w:rPr>
      </w:pPr>
      <w:r>
        <w:rPr>
          <w:rFonts w:hint="eastAsia" w:hAnsi="宋体"/>
          <w:color w:val="auto"/>
        </w:rPr>
        <w:t xml:space="preserve"> </w:t>
      </w:r>
      <w:r>
        <w:rPr>
          <w:rFonts w:hint="eastAsia" w:hAnsi="宋体"/>
          <w:color w:val="auto"/>
          <w:highlight w:val="none"/>
          <w:u w:val="single"/>
        </w:rPr>
        <w:t xml:space="preserve"> 本工程保修期为壹年。 </w:t>
      </w:r>
    </w:p>
    <w:p>
      <w:pPr>
        <w:pStyle w:val="28"/>
        <w:spacing w:line="360" w:lineRule="auto"/>
        <w:ind w:firstLine="540"/>
        <w:rPr>
          <w:rFonts w:hint="eastAsia" w:hAnsi="宋体"/>
          <w:b/>
          <w:color w:val="auto"/>
        </w:rPr>
      </w:pPr>
      <w:r>
        <w:rPr>
          <w:rFonts w:hint="eastAsia" w:hAnsi="宋体"/>
          <w:b/>
          <w:color w:val="auto"/>
        </w:rPr>
        <w:t>三、质量保修保质责任</w:t>
      </w:r>
    </w:p>
    <w:p>
      <w:pPr>
        <w:pStyle w:val="28"/>
        <w:spacing w:line="360" w:lineRule="auto"/>
        <w:ind w:firstLine="412"/>
        <w:rPr>
          <w:rFonts w:hAnsi="宋体"/>
          <w:color w:val="auto"/>
        </w:rPr>
      </w:pPr>
      <w:r>
        <w:rPr>
          <w:rFonts w:hint="eastAsia" w:hAnsi="宋体"/>
          <w:color w:val="auto"/>
        </w:rPr>
        <w:t>1、属于保修范围和内容的项目，承包人应在接到修理通知之日后2天内派人修理。承包人不在约定期限内派人修理，发包人可委托其他人员修理，保修费用从质量保修金内扣除。</w:t>
      </w:r>
    </w:p>
    <w:p>
      <w:pPr>
        <w:pStyle w:val="28"/>
        <w:spacing w:line="360" w:lineRule="auto"/>
        <w:ind w:firstLine="412"/>
        <w:rPr>
          <w:rFonts w:hAnsi="宋体"/>
          <w:color w:val="auto"/>
        </w:rPr>
      </w:pPr>
      <w:r>
        <w:rPr>
          <w:rFonts w:hint="eastAsia" w:hAnsi="宋体"/>
          <w:color w:val="auto"/>
        </w:rPr>
        <w:t>2、发生须紧急抢修事故的，承包人接到事故通知后，应立即到达事故现场抢修。非承包人施工质量引起的事故，抢修费用由发包人承担。</w:t>
      </w:r>
    </w:p>
    <w:p>
      <w:pPr>
        <w:pStyle w:val="28"/>
        <w:spacing w:line="360" w:lineRule="auto"/>
        <w:ind w:firstLine="412"/>
        <w:rPr>
          <w:rFonts w:hAnsi="宋体"/>
          <w:color w:val="auto"/>
        </w:rPr>
      </w:pPr>
      <w:r>
        <w:rPr>
          <w:rFonts w:hint="eastAsia" w:hAnsi="宋体"/>
          <w:color w:val="auto"/>
        </w:rPr>
        <w:t>3、在保修期内，如发生涉及结构安全的质量问题，发包人和承包人应当立即向当地建设行政主管部门报告，并采取安全防范措施，由原设计单位或具有相应资质等级的设计单位提出保修方案，承包人负责实施保修。因承包人原因致使工程在合理使用期限内造成人身和财产损害的，承包人应承担损害赔偿责任。</w:t>
      </w:r>
    </w:p>
    <w:p>
      <w:pPr>
        <w:pStyle w:val="28"/>
        <w:spacing w:line="360" w:lineRule="auto"/>
        <w:ind w:firstLine="456"/>
        <w:rPr>
          <w:rFonts w:hAnsi="宋体"/>
          <w:color w:val="auto"/>
        </w:rPr>
      </w:pPr>
      <w:r>
        <w:rPr>
          <w:rFonts w:hint="eastAsia" w:hAnsi="宋体"/>
          <w:color w:val="auto"/>
        </w:rPr>
        <w:t>4、保修完成后，由发包人组织有关单位人员验收。</w:t>
      </w:r>
    </w:p>
    <w:p>
      <w:pPr>
        <w:pStyle w:val="28"/>
        <w:spacing w:line="360" w:lineRule="auto"/>
        <w:ind w:firstLine="422" w:firstLineChars="200"/>
        <w:rPr>
          <w:rFonts w:hint="eastAsia" w:hAnsi="宋体"/>
          <w:b/>
          <w:color w:val="auto"/>
        </w:rPr>
      </w:pPr>
      <w:r>
        <w:rPr>
          <w:rFonts w:hint="eastAsia" w:hAnsi="宋体"/>
          <w:b/>
          <w:color w:val="auto"/>
        </w:rPr>
        <w:t>四、其他</w:t>
      </w:r>
    </w:p>
    <w:p>
      <w:pPr>
        <w:pStyle w:val="28"/>
        <w:spacing w:line="360" w:lineRule="auto"/>
        <w:ind w:firstLine="420" w:firstLineChars="200"/>
        <w:rPr>
          <w:rFonts w:hint="eastAsia" w:hAnsi="宋体"/>
          <w:color w:val="auto"/>
        </w:rPr>
      </w:pPr>
      <w:r>
        <w:rPr>
          <w:rFonts w:hint="eastAsia" w:hAnsi="宋体"/>
          <w:color w:val="auto"/>
        </w:rPr>
        <w:t>本工程为</w:t>
      </w:r>
      <w:r>
        <w:rPr>
          <w:rFonts w:hint="eastAsia" w:hAnsi="宋体"/>
          <w:color w:val="auto"/>
          <w:lang w:eastAsia="zh-CN"/>
        </w:rPr>
        <w:t>水利</w:t>
      </w:r>
      <w:r>
        <w:rPr>
          <w:rFonts w:hint="eastAsia" w:hAnsi="宋体"/>
          <w:color w:val="auto"/>
        </w:rPr>
        <w:t>工程，质量保修期为</w:t>
      </w:r>
      <w:r>
        <w:rPr>
          <w:rFonts w:hint="eastAsia" w:hAnsi="宋体"/>
          <w:color w:val="auto"/>
          <w:u w:val="single"/>
        </w:rPr>
        <w:t xml:space="preserve">   1   </w:t>
      </w:r>
      <w:r>
        <w:rPr>
          <w:rFonts w:hint="eastAsia" w:hAnsi="宋体"/>
          <w:color w:val="auto"/>
        </w:rPr>
        <w:t>年。</w:t>
      </w:r>
    </w:p>
    <w:p>
      <w:pPr>
        <w:pStyle w:val="28"/>
        <w:spacing w:line="360" w:lineRule="auto"/>
        <w:ind w:firstLine="420" w:firstLineChars="200"/>
        <w:rPr>
          <w:rFonts w:hAnsi="宋体"/>
          <w:color w:val="auto"/>
          <w:u w:val="single"/>
        </w:rPr>
      </w:pPr>
      <w:r>
        <w:rPr>
          <w:rFonts w:hint="eastAsia" w:hAnsi="宋体"/>
          <w:color w:val="auto"/>
        </w:rPr>
        <w:t>双方约定的其他工程质量保修事项：</w:t>
      </w:r>
      <w:r>
        <w:rPr>
          <w:rFonts w:hint="eastAsia" w:hAnsi="宋体"/>
          <w:color w:val="auto"/>
          <w:u w:val="single"/>
        </w:rPr>
        <w:t xml:space="preserve">  无   </w:t>
      </w:r>
      <w:r>
        <w:rPr>
          <w:rFonts w:hint="eastAsia" w:hAnsi="宋体"/>
          <w:color w:val="auto"/>
        </w:rPr>
        <w:t>。</w:t>
      </w:r>
    </w:p>
    <w:p>
      <w:pPr>
        <w:pStyle w:val="28"/>
        <w:spacing w:line="360" w:lineRule="auto"/>
        <w:ind w:firstLine="456"/>
        <w:rPr>
          <w:rFonts w:hAnsi="宋体"/>
          <w:color w:val="auto"/>
          <w:u w:val="single"/>
        </w:rPr>
      </w:pPr>
    </w:p>
    <w:p>
      <w:pPr>
        <w:pStyle w:val="28"/>
        <w:spacing w:line="360" w:lineRule="auto"/>
        <w:ind w:firstLine="456"/>
        <w:rPr>
          <w:rFonts w:hAnsi="宋体"/>
          <w:color w:val="auto"/>
        </w:rPr>
      </w:pPr>
      <w:r>
        <w:rPr>
          <w:rFonts w:hint="eastAsia" w:hAnsi="宋体"/>
          <w:color w:val="auto"/>
        </w:rPr>
        <w:t>本工程质量保修书作为施工合同附件，由施工合同发包人承包人双方共同签署。</w:t>
      </w:r>
    </w:p>
    <w:p>
      <w:pPr>
        <w:pStyle w:val="28"/>
        <w:spacing w:line="360" w:lineRule="auto"/>
        <w:ind w:firstLine="540"/>
        <w:rPr>
          <w:rFonts w:hAnsi="宋体"/>
          <w:color w:val="auto"/>
        </w:rPr>
      </w:pPr>
    </w:p>
    <w:p>
      <w:pPr>
        <w:pStyle w:val="28"/>
        <w:tabs>
          <w:tab w:val="left" w:pos="4500"/>
        </w:tabs>
        <w:spacing w:line="360" w:lineRule="auto"/>
        <w:ind w:firstLine="540"/>
        <w:rPr>
          <w:rFonts w:hint="eastAsia" w:hAnsi="宋体"/>
          <w:color w:val="auto"/>
        </w:rPr>
      </w:pPr>
    </w:p>
    <w:p>
      <w:pPr>
        <w:pStyle w:val="28"/>
        <w:tabs>
          <w:tab w:val="left" w:pos="4500"/>
        </w:tabs>
        <w:spacing w:line="360" w:lineRule="auto"/>
        <w:ind w:firstLine="540"/>
        <w:rPr>
          <w:rFonts w:hint="eastAsia" w:hAnsi="宋体"/>
          <w:color w:val="auto"/>
        </w:rPr>
      </w:pPr>
    </w:p>
    <w:p>
      <w:pPr>
        <w:pStyle w:val="28"/>
        <w:tabs>
          <w:tab w:val="left" w:pos="4500"/>
        </w:tabs>
        <w:spacing w:line="360" w:lineRule="auto"/>
        <w:ind w:firstLine="540"/>
        <w:rPr>
          <w:rFonts w:hint="eastAsia" w:hAnsi="宋体"/>
          <w:color w:val="auto"/>
        </w:rPr>
      </w:pPr>
    </w:p>
    <w:p>
      <w:pPr>
        <w:pStyle w:val="28"/>
        <w:tabs>
          <w:tab w:val="left" w:pos="4500"/>
        </w:tabs>
        <w:spacing w:line="360" w:lineRule="auto"/>
        <w:ind w:firstLine="540"/>
        <w:rPr>
          <w:rFonts w:hint="eastAsia" w:hAnsi="宋体"/>
          <w:color w:val="auto"/>
        </w:rPr>
      </w:pPr>
    </w:p>
    <w:p>
      <w:pPr>
        <w:pStyle w:val="28"/>
        <w:tabs>
          <w:tab w:val="left" w:pos="4500"/>
        </w:tabs>
        <w:spacing w:line="360" w:lineRule="auto"/>
        <w:ind w:firstLine="540"/>
        <w:rPr>
          <w:rFonts w:hAnsi="宋体"/>
          <w:color w:val="auto"/>
        </w:rPr>
      </w:pPr>
      <w:r>
        <w:rPr>
          <w:rFonts w:hint="eastAsia" w:hAnsi="宋体"/>
          <w:color w:val="auto"/>
        </w:rPr>
        <w:t xml:space="preserve">发  包  人(公章)： </w:t>
      </w:r>
      <w:r>
        <w:rPr>
          <w:rFonts w:hint="eastAsia" w:hAnsi="宋体"/>
          <w:color w:val="auto"/>
        </w:rPr>
        <w:tab/>
      </w:r>
      <w:r>
        <w:rPr>
          <w:rFonts w:hint="eastAsia" w:hAnsi="宋体"/>
          <w:color w:val="auto"/>
        </w:rPr>
        <w:t xml:space="preserve">     承  包  人(公章)：</w:t>
      </w:r>
    </w:p>
    <w:p>
      <w:pPr>
        <w:pStyle w:val="28"/>
        <w:tabs>
          <w:tab w:val="left" w:pos="4500"/>
        </w:tabs>
        <w:spacing w:line="360" w:lineRule="auto"/>
        <w:ind w:firstLine="540"/>
        <w:rPr>
          <w:rFonts w:hint="eastAsia" w:hAnsi="宋体"/>
          <w:color w:val="auto"/>
        </w:rPr>
      </w:pPr>
    </w:p>
    <w:p>
      <w:pPr>
        <w:pStyle w:val="28"/>
        <w:tabs>
          <w:tab w:val="left" w:pos="4500"/>
        </w:tabs>
        <w:spacing w:line="360" w:lineRule="auto"/>
        <w:ind w:firstLine="540"/>
        <w:rPr>
          <w:rFonts w:hint="eastAsia" w:hAnsi="宋体"/>
          <w:color w:val="auto"/>
        </w:rPr>
      </w:pPr>
      <w:r>
        <w:rPr>
          <w:rFonts w:hint="eastAsia" w:hAnsi="宋体"/>
          <w:color w:val="auto"/>
        </w:rPr>
        <w:t xml:space="preserve">法定代表人或 </w:t>
      </w:r>
      <w:r>
        <w:rPr>
          <w:rFonts w:hint="eastAsia" w:hAnsi="宋体"/>
          <w:color w:val="auto"/>
        </w:rPr>
        <w:tab/>
      </w:r>
      <w:r>
        <w:rPr>
          <w:rFonts w:hint="eastAsia" w:hAnsi="宋体"/>
          <w:color w:val="auto"/>
        </w:rPr>
        <w:t xml:space="preserve">     法定代表人或</w:t>
      </w:r>
    </w:p>
    <w:p>
      <w:pPr>
        <w:pStyle w:val="28"/>
        <w:tabs>
          <w:tab w:val="left" w:pos="4500"/>
        </w:tabs>
        <w:spacing w:line="360" w:lineRule="auto"/>
        <w:ind w:firstLine="540"/>
        <w:rPr>
          <w:rFonts w:hAnsi="宋体"/>
          <w:color w:val="auto"/>
        </w:rPr>
      </w:pPr>
      <w:r>
        <w:rPr>
          <w:rFonts w:hint="eastAsia" w:hAnsi="宋体"/>
          <w:color w:val="auto"/>
        </w:rPr>
        <w:t>其委托代理人(签字)：                       其委托代理人(签字)：</w:t>
      </w:r>
    </w:p>
    <w:p>
      <w:pPr>
        <w:pStyle w:val="28"/>
        <w:tabs>
          <w:tab w:val="left" w:pos="4500"/>
        </w:tabs>
        <w:spacing w:line="360" w:lineRule="auto"/>
        <w:ind w:firstLine="540"/>
        <w:rPr>
          <w:rFonts w:hAnsi="宋体"/>
          <w:color w:val="auto"/>
        </w:rPr>
      </w:pPr>
    </w:p>
    <w:p>
      <w:pPr>
        <w:spacing w:line="480" w:lineRule="auto"/>
        <w:ind w:firstLine="630" w:firstLineChars="300"/>
        <w:rPr>
          <w:rFonts w:ascii="仿宋" w:hAnsi="仿宋" w:eastAsia="仿宋"/>
          <w:color w:val="auto"/>
          <w:sz w:val="30"/>
          <w:szCs w:val="30"/>
        </w:rPr>
      </w:pPr>
      <w:r>
        <w:rPr>
          <w:rFonts w:hint="eastAsia" w:ascii="宋体" w:hAnsi="宋体"/>
          <w:color w:val="auto"/>
        </w:rPr>
        <w:t xml:space="preserve">   年    月    日                                 年    月    日</w:t>
      </w:r>
    </w:p>
    <w:p>
      <w:pPr>
        <w:spacing w:line="500" w:lineRule="exact"/>
        <w:ind w:firstLine="320" w:firstLineChars="100"/>
        <w:rPr>
          <w:rFonts w:ascii="仿宋" w:hAnsi="仿宋" w:eastAsia="仿宋" w:cs="仿宋"/>
          <w:color w:val="auto"/>
          <w:sz w:val="32"/>
        </w:rPr>
      </w:pPr>
    </w:p>
    <w:p>
      <w:pPr>
        <w:pStyle w:val="2"/>
        <w:rPr>
          <w:rFonts w:hint="eastAsia" w:ascii="宋体" w:hAnsi="宋体" w:cs="宋体"/>
          <w:bCs/>
          <w:color w:val="auto"/>
          <w:kern w:val="0"/>
          <w:szCs w:val="21"/>
        </w:rPr>
      </w:pPr>
    </w:p>
    <w:p>
      <w:pPr>
        <w:pStyle w:val="2"/>
        <w:rPr>
          <w:rFonts w:hint="eastAsia" w:ascii="宋体" w:hAnsi="宋体" w:cs="宋体"/>
          <w:bCs/>
          <w:color w:val="auto"/>
          <w:kern w:val="0"/>
          <w:szCs w:val="21"/>
        </w:rPr>
      </w:pPr>
    </w:p>
    <w:p>
      <w:pPr>
        <w:pStyle w:val="2"/>
        <w:rPr>
          <w:rFonts w:hint="eastAsia" w:ascii="宋体" w:hAnsi="宋体" w:cs="宋体"/>
          <w:bCs/>
          <w:color w:val="auto"/>
          <w:kern w:val="0"/>
          <w:szCs w:val="21"/>
        </w:rPr>
      </w:pPr>
    </w:p>
    <w:p>
      <w:pPr>
        <w:pStyle w:val="2"/>
        <w:rPr>
          <w:rFonts w:hint="eastAsia" w:ascii="宋体" w:hAnsi="宋体" w:cs="宋体"/>
          <w:bCs/>
          <w:color w:val="auto"/>
          <w:kern w:val="0"/>
          <w:szCs w:val="21"/>
        </w:rPr>
      </w:pPr>
    </w:p>
    <w:p>
      <w:pPr>
        <w:pStyle w:val="2"/>
        <w:rPr>
          <w:rFonts w:hint="eastAsia" w:ascii="宋体" w:hAnsi="宋体" w:cs="宋体"/>
          <w:bCs/>
          <w:color w:val="auto"/>
          <w:kern w:val="0"/>
          <w:szCs w:val="21"/>
        </w:rPr>
      </w:pPr>
    </w:p>
    <w:p>
      <w:pPr>
        <w:pStyle w:val="2"/>
        <w:rPr>
          <w:rFonts w:hint="eastAsia" w:ascii="宋体" w:hAnsi="宋体" w:cs="宋体"/>
          <w:bCs/>
          <w:color w:val="auto"/>
          <w:kern w:val="0"/>
          <w:szCs w:val="21"/>
        </w:rPr>
      </w:pPr>
    </w:p>
    <w:p>
      <w:pPr>
        <w:pStyle w:val="2"/>
        <w:rPr>
          <w:rFonts w:hint="eastAsia" w:ascii="宋体" w:hAnsi="宋体" w:cs="宋体"/>
          <w:bCs/>
          <w:color w:val="auto"/>
          <w:kern w:val="0"/>
          <w:szCs w:val="21"/>
        </w:rPr>
      </w:pPr>
    </w:p>
    <w:p>
      <w:pPr>
        <w:pStyle w:val="2"/>
        <w:rPr>
          <w:rFonts w:hint="eastAsia" w:ascii="宋体" w:hAnsi="宋体" w:cs="宋体"/>
          <w:bCs/>
          <w:color w:val="auto"/>
          <w:kern w:val="0"/>
          <w:szCs w:val="21"/>
        </w:rPr>
      </w:pPr>
    </w:p>
    <w:p>
      <w:pPr>
        <w:pStyle w:val="2"/>
        <w:rPr>
          <w:rFonts w:hint="eastAsia" w:ascii="宋体" w:hAnsi="宋体" w:cs="宋体"/>
          <w:bCs/>
          <w:color w:val="auto"/>
          <w:kern w:val="0"/>
          <w:szCs w:val="21"/>
        </w:rPr>
      </w:pPr>
    </w:p>
    <w:p>
      <w:pPr>
        <w:spacing w:line="440" w:lineRule="exact"/>
        <w:ind w:firstLine="420" w:firstLineChars="200"/>
        <w:rPr>
          <w:rFonts w:hint="eastAsia" w:ascii="宋体" w:hAnsi="宋体" w:cs="宋体"/>
          <w:bCs/>
          <w:color w:val="auto"/>
          <w:kern w:val="0"/>
          <w:szCs w:val="21"/>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rPr>
          <w:rFonts w:hint="eastAsia"/>
          <w:color w:val="auto"/>
        </w:rPr>
      </w:pPr>
      <w:r>
        <w:rPr>
          <w:rFonts w:hint="eastAsia"/>
          <w:color w:val="auto"/>
        </w:rPr>
        <w:br w:type="page"/>
      </w:r>
    </w:p>
    <w:p>
      <w:pPr>
        <w:widowControl/>
        <w:spacing w:line="600" w:lineRule="exact"/>
        <w:jc w:val="center"/>
        <w:rPr>
          <w:rFonts w:hint="eastAsia" w:ascii="宋体" w:hAnsi="宋体" w:cs="仿宋"/>
          <w:b/>
          <w:color w:val="auto"/>
          <w:sz w:val="30"/>
          <w:szCs w:val="30"/>
        </w:rPr>
      </w:pPr>
    </w:p>
    <w:p>
      <w:pPr>
        <w:widowControl/>
        <w:spacing w:line="600" w:lineRule="exact"/>
        <w:jc w:val="center"/>
        <w:rPr>
          <w:rFonts w:hint="eastAsia" w:ascii="宋体" w:hAnsi="宋体" w:cs="仿宋"/>
          <w:b/>
          <w:color w:val="auto"/>
          <w:sz w:val="30"/>
          <w:szCs w:val="30"/>
        </w:rPr>
      </w:pPr>
      <w:r>
        <w:rPr>
          <w:rFonts w:hint="eastAsia" w:ascii="宋体" w:hAnsi="宋体" w:cs="仿宋"/>
          <w:b/>
          <w:color w:val="auto"/>
          <w:sz w:val="30"/>
          <w:szCs w:val="30"/>
        </w:rPr>
        <w:t>安全生产合同</w:t>
      </w:r>
    </w:p>
    <w:p>
      <w:pPr>
        <w:widowControl/>
        <w:spacing w:line="600" w:lineRule="exact"/>
        <w:ind w:firstLine="420"/>
        <w:jc w:val="center"/>
        <w:rPr>
          <w:rFonts w:hint="eastAsia" w:ascii="仿宋" w:hAnsi="仿宋" w:eastAsia="仿宋" w:cs="仿宋"/>
          <w:color w:val="auto"/>
          <w:szCs w:val="21"/>
        </w:rPr>
      </w:pPr>
    </w:p>
    <w:p>
      <w:pPr>
        <w:widowControl/>
        <w:spacing w:line="600" w:lineRule="exact"/>
        <w:ind w:firstLine="420"/>
        <w:jc w:val="left"/>
        <w:rPr>
          <w:rFonts w:hint="eastAsia" w:ascii="宋体" w:hAnsi="宋体"/>
          <w:b/>
          <w:color w:val="auto"/>
          <w:szCs w:val="21"/>
          <w:u w:val="single"/>
        </w:rPr>
      </w:pPr>
      <w:r>
        <w:rPr>
          <w:rFonts w:hint="eastAsia" w:ascii="宋体" w:hAnsi="宋体" w:cs="仿宋"/>
          <w:color w:val="auto"/>
          <w:szCs w:val="21"/>
        </w:rPr>
        <w:t xml:space="preserve"> 为在</w:t>
      </w:r>
      <w:r>
        <w:rPr>
          <w:rFonts w:hint="eastAsia" w:ascii="宋体" w:hAnsi="宋体"/>
          <w:color w:val="auto"/>
          <w:szCs w:val="21"/>
          <w:u w:val="single"/>
          <w:lang w:val="en-US" w:eastAsia="zh-CN"/>
        </w:rPr>
        <w:t xml:space="preserve"> </w:t>
      </w:r>
      <w:r>
        <w:rPr>
          <w:rFonts w:hint="eastAsia" w:ascii="宋体" w:hAnsi="宋体" w:eastAsia="宋体" w:cs="宋体"/>
          <w:b w:val="0"/>
          <w:bCs w:val="0"/>
          <w:color w:val="auto"/>
          <w:sz w:val="21"/>
          <w:szCs w:val="21"/>
          <w:u w:val="single"/>
          <w:lang w:eastAsia="zh-CN"/>
        </w:rPr>
        <w:t>灵川县灵川镇木马村委三排至车田优质稻产业基地内灌溉水渠工程</w:t>
      </w:r>
      <w:r>
        <w:rPr>
          <w:rFonts w:hint="eastAsia" w:ascii="宋体" w:hAnsi="宋体" w:cs="仿宋"/>
          <w:color w:val="auto"/>
          <w:szCs w:val="21"/>
        </w:rPr>
        <w:t>的实施过程中创造安全、高效的施工环境，切实做好本项目的安全管理工作，本项目发包人</w:t>
      </w:r>
      <w:r>
        <w:rPr>
          <w:rFonts w:hint="eastAsia" w:ascii="宋体" w:hAnsi="宋体" w:cs="仿宋"/>
          <w:color w:val="auto"/>
          <w:szCs w:val="21"/>
          <w:u w:val="single"/>
        </w:rPr>
        <w:t xml:space="preserve"> </w:t>
      </w:r>
      <w:r>
        <w:rPr>
          <w:rFonts w:hint="eastAsia" w:ascii="宋体" w:hAnsi="宋体" w:cs="仿宋"/>
          <w:color w:val="auto"/>
          <w:szCs w:val="21"/>
          <w:u w:val="single"/>
          <w:lang w:eastAsia="zh-CN"/>
        </w:rPr>
        <w:t xml:space="preserve">                </w:t>
      </w:r>
      <w:r>
        <w:rPr>
          <w:rFonts w:hint="eastAsia" w:ascii="宋体" w:hAnsi="宋体" w:cs="仿宋"/>
          <w:color w:val="auto"/>
          <w:szCs w:val="21"/>
          <w:u w:val="single"/>
        </w:rPr>
        <w:t xml:space="preserve"> </w:t>
      </w:r>
      <w:r>
        <w:rPr>
          <w:rFonts w:hint="eastAsia" w:ascii="宋体" w:hAnsi="宋体" w:cs="仿宋"/>
          <w:color w:val="auto"/>
          <w:szCs w:val="21"/>
        </w:rPr>
        <w:t>（以下简称“发包人”）与承包人</w:t>
      </w:r>
      <w:r>
        <w:rPr>
          <w:rFonts w:hint="eastAsia" w:ascii="宋体" w:hAnsi="宋体" w:cs="仿宋"/>
          <w:color w:val="auto"/>
          <w:szCs w:val="21"/>
          <w:u w:val="single"/>
        </w:rPr>
        <w:t xml:space="preserve"> </w:t>
      </w:r>
      <w:r>
        <w:rPr>
          <w:rFonts w:hint="eastAsia" w:ascii="宋体" w:hAnsi="宋体" w:cs="仿宋"/>
          <w:color w:val="auto"/>
          <w:szCs w:val="21"/>
          <w:u w:val="single"/>
          <w:lang w:eastAsia="zh-CN"/>
        </w:rPr>
        <w:t xml:space="preserve">                    </w:t>
      </w:r>
      <w:r>
        <w:rPr>
          <w:rFonts w:hint="eastAsia" w:ascii="宋体" w:hAnsi="宋体" w:cs="仿宋"/>
          <w:color w:val="auto"/>
          <w:szCs w:val="21"/>
          <w:u w:val="single"/>
        </w:rPr>
        <w:t xml:space="preserve">  </w:t>
      </w:r>
      <w:r>
        <w:rPr>
          <w:rFonts w:hint="eastAsia" w:ascii="宋体" w:hAnsi="宋体" w:cs="仿宋"/>
          <w:color w:val="auto"/>
          <w:szCs w:val="21"/>
        </w:rPr>
        <w:t>（以下简称“承包人”）特此签订安全生产合同：</w:t>
      </w:r>
    </w:p>
    <w:p>
      <w:pPr>
        <w:widowControl/>
        <w:spacing w:line="600" w:lineRule="exact"/>
        <w:ind w:firstLine="422"/>
        <w:jc w:val="left"/>
        <w:rPr>
          <w:rFonts w:hint="eastAsia" w:ascii="宋体" w:hAnsi="宋体" w:cs="仿宋"/>
          <w:color w:val="auto"/>
          <w:szCs w:val="21"/>
        </w:rPr>
      </w:pPr>
      <w:r>
        <w:rPr>
          <w:rFonts w:hint="eastAsia" w:ascii="宋体" w:hAnsi="宋体" w:cs="仿宋"/>
          <w:b/>
          <w:color w:val="auto"/>
          <w:szCs w:val="21"/>
        </w:rPr>
        <w:t>1、发包人职责</w:t>
      </w:r>
    </w:p>
    <w:p>
      <w:pPr>
        <w:widowControl/>
        <w:spacing w:line="600" w:lineRule="exact"/>
        <w:ind w:firstLine="420"/>
        <w:jc w:val="left"/>
        <w:rPr>
          <w:rFonts w:hint="eastAsia" w:ascii="宋体" w:hAnsi="宋体" w:cs="仿宋"/>
          <w:color w:val="auto"/>
          <w:szCs w:val="21"/>
        </w:rPr>
      </w:pPr>
      <w:r>
        <w:rPr>
          <w:rFonts w:hint="eastAsia" w:ascii="宋体" w:hAnsi="宋体" w:cs="仿宋"/>
          <w:color w:val="auto"/>
          <w:szCs w:val="21"/>
        </w:rPr>
        <w:t>（1）严格遵守国家有关安全生产的法律法规，认真执行工程承包合同中的有关安全要求。</w:t>
      </w:r>
    </w:p>
    <w:p>
      <w:pPr>
        <w:widowControl/>
        <w:spacing w:line="600" w:lineRule="exact"/>
        <w:ind w:firstLine="420"/>
        <w:jc w:val="left"/>
        <w:rPr>
          <w:rFonts w:hint="eastAsia" w:ascii="宋体" w:hAnsi="宋体" w:cs="仿宋"/>
          <w:color w:val="auto"/>
          <w:szCs w:val="21"/>
        </w:rPr>
      </w:pPr>
      <w:r>
        <w:rPr>
          <w:rFonts w:hint="eastAsia" w:ascii="宋体" w:hAnsi="宋体" w:cs="仿宋"/>
          <w:color w:val="auto"/>
          <w:szCs w:val="21"/>
        </w:rPr>
        <w:t>（2）按照“安全第一、预防为主、综合治理”和坚持“管生产必须管安全”的原则进行安全生产管理，做到生产与安全工作同时计划、布置、检查、总结和评比。</w:t>
      </w:r>
    </w:p>
    <w:p>
      <w:pPr>
        <w:widowControl/>
        <w:spacing w:line="600" w:lineRule="exact"/>
        <w:ind w:firstLine="420"/>
        <w:jc w:val="left"/>
        <w:rPr>
          <w:rFonts w:hint="eastAsia" w:ascii="宋体" w:hAnsi="宋体" w:cs="仿宋"/>
          <w:color w:val="auto"/>
          <w:szCs w:val="21"/>
        </w:rPr>
      </w:pPr>
      <w:r>
        <w:rPr>
          <w:rFonts w:hint="eastAsia" w:ascii="宋体" w:hAnsi="宋体" w:cs="仿宋"/>
          <w:color w:val="auto"/>
          <w:szCs w:val="21"/>
        </w:rPr>
        <w:t>（3）重要的安全设施必须坚持与主体工程“三同时”的原则，即：同时设计、审批，同时施工，同时验收，投入使用。</w:t>
      </w:r>
    </w:p>
    <w:p>
      <w:pPr>
        <w:widowControl/>
        <w:spacing w:line="600" w:lineRule="exact"/>
        <w:ind w:firstLine="420"/>
        <w:jc w:val="left"/>
        <w:rPr>
          <w:rFonts w:hint="eastAsia" w:ascii="宋体" w:hAnsi="宋体" w:cs="仿宋"/>
          <w:color w:val="auto"/>
          <w:szCs w:val="21"/>
        </w:rPr>
      </w:pPr>
      <w:r>
        <w:rPr>
          <w:rFonts w:hint="eastAsia" w:ascii="宋体" w:hAnsi="宋体" w:cs="仿宋"/>
          <w:color w:val="auto"/>
          <w:szCs w:val="21"/>
        </w:rPr>
        <w:t>（4）定期召开安全生产调度会，及时传达中央及地方有关安全生产的精神。</w:t>
      </w:r>
    </w:p>
    <w:p>
      <w:pPr>
        <w:widowControl/>
        <w:spacing w:line="600" w:lineRule="exact"/>
        <w:ind w:firstLine="420"/>
        <w:jc w:val="left"/>
        <w:rPr>
          <w:rFonts w:hint="eastAsia" w:ascii="宋体" w:hAnsi="宋体" w:cs="仿宋"/>
          <w:color w:val="auto"/>
          <w:szCs w:val="21"/>
        </w:rPr>
      </w:pPr>
      <w:r>
        <w:rPr>
          <w:rFonts w:hint="eastAsia" w:ascii="宋体" w:hAnsi="宋体" w:cs="仿宋"/>
          <w:color w:val="auto"/>
          <w:szCs w:val="21"/>
        </w:rPr>
        <w:t>（5）组织对承包人施工现场安全生产检查，监督承包人及时处理发现的各项安全隐患。</w:t>
      </w:r>
    </w:p>
    <w:p>
      <w:pPr>
        <w:widowControl/>
        <w:spacing w:line="600" w:lineRule="exact"/>
        <w:ind w:firstLine="482"/>
        <w:jc w:val="left"/>
        <w:rPr>
          <w:rFonts w:hint="eastAsia" w:ascii="宋体" w:hAnsi="宋体" w:cs="仿宋"/>
          <w:color w:val="auto"/>
          <w:szCs w:val="21"/>
        </w:rPr>
      </w:pPr>
      <w:r>
        <w:rPr>
          <w:rFonts w:hint="eastAsia" w:ascii="宋体" w:hAnsi="宋体" w:cs="仿宋"/>
          <w:b/>
          <w:color w:val="auto"/>
          <w:szCs w:val="21"/>
        </w:rPr>
        <w:t>2、承包人职责</w:t>
      </w:r>
    </w:p>
    <w:p>
      <w:pPr>
        <w:widowControl/>
        <w:spacing w:line="600" w:lineRule="exact"/>
        <w:ind w:firstLine="422"/>
        <w:jc w:val="left"/>
        <w:rPr>
          <w:rFonts w:hint="eastAsia" w:ascii="宋体" w:hAnsi="宋体" w:cs="仿宋"/>
          <w:color w:val="auto"/>
          <w:szCs w:val="21"/>
        </w:rPr>
      </w:pPr>
      <w:r>
        <w:rPr>
          <w:rFonts w:hint="eastAsia" w:ascii="宋体" w:hAnsi="宋体" w:cs="仿宋"/>
          <w:color w:val="auto"/>
          <w:szCs w:val="21"/>
        </w:rPr>
        <w:t>（1）严格遵守《中代人民共和国安全生产法》《建设工程安全生产管理条例》等国家有关安全生产的法律法规和《水利工程施工安全技术规程》等有关安全生产的规定，认真执行工程承包合同中的有关安全要求。</w:t>
      </w:r>
    </w:p>
    <w:p>
      <w:pPr>
        <w:widowControl/>
        <w:spacing w:line="600" w:lineRule="exact"/>
        <w:ind w:firstLine="420"/>
        <w:jc w:val="left"/>
        <w:rPr>
          <w:rFonts w:hint="eastAsia" w:ascii="宋体" w:hAnsi="宋体" w:cs="仿宋"/>
          <w:color w:val="auto"/>
          <w:szCs w:val="21"/>
        </w:rPr>
      </w:pPr>
      <w:r>
        <w:rPr>
          <w:rFonts w:hint="eastAsia" w:ascii="宋体" w:hAnsi="宋体" w:cs="仿宋"/>
          <w:color w:val="auto"/>
          <w:szCs w:val="21"/>
        </w:rPr>
        <w:t>（2）坚持“安全第一、预防为主、综合治理”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widowControl/>
        <w:spacing w:line="600" w:lineRule="exact"/>
        <w:ind w:firstLine="420"/>
        <w:jc w:val="left"/>
        <w:rPr>
          <w:rFonts w:hint="eastAsia" w:ascii="宋体" w:hAnsi="宋体" w:cs="仿宋"/>
          <w:color w:val="auto"/>
          <w:szCs w:val="21"/>
        </w:rPr>
      </w:pPr>
      <w:r>
        <w:rPr>
          <w:rFonts w:hint="eastAsia" w:ascii="宋体" w:hAnsi="宋体" w:cs="仿宋"/>
          <w:color w:val="auto"/>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水利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widowControl/>
        <w:spacing w:line="600" w:lineRule="exact"/>
        <w:ind w:firstLine="420"/>
        <w:jc w:val="left"/>
        <w:rPr>
          <w:rFonts w:hint="eastAsia" w:ascii="宋体" w:hAnsi="宋体" w:cs="仿宋"/>
          <w:color w:val="auto"/>
          <w:szCs w:val="21"/>
        </w:rPr>
      </w:pPr>
      <w:r>
        <w:rPr>
          <w:rFonts w:hint="eastAsia" w:ascii="宋体" w:hAnsi="宋体" w:cs="仿宋"/>
          <w:color w:val="auto"/>
          <w:szCs w:val="21"/>
        </w:rPr>
        <w:t>（4）承包人在任何时候都应采取各种合理的预防措施，防止其员工发生任何违法、违禁、暴力或妨碍治安的行为。</w:t>
      </w:r>
    </w:p>
    <w:p>
      <w:pPr>
        <w:widowControl/>
        <w:spacing w:line="600" w:lineRule="exact"/>
        <w:ind w:firstLine="420"/>
        <w:jc w:val="left"/>
        <w:rPr>
          <w:rFonts w:hint="eastAsia" w:ascii="宋体" w:hAnsi="宋体" w:cs="仿宋"/>
          <w:color w:val="auto"/>
          <w:szCs w:val="21"/>
        </w:rPr>
      </w:pPr>
      <w:r>
        <w:rPr>
          <w:rFonts w:hint="eastAsia" w:ascii="宋体" w:hAnsi="宋体" w:cs="仿宋"/>
          <w:color w:val="auto"/>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pPr>
        <w:widowControl/>
        <w:spacing w:line="600" w:lineRule="exact"/>
        <w:ind w:firstLine="420"/>
        <w:jc w:val="left"/>
        <w:rPr>
          <w:rFonts w:hint="eastAsia" w:ascii="宋体" w:hAnsi="宋体" w:cs="仿宋"/>
          <w:color w:val="auto"/>
          <w:szCs w:val="21"/>
        </w:rPr>
      </w:pPr>
      <w:r>
        <w:rPr>
          <w:rFonts w:hint="eastAsia" w:ascii="宋体" w:hAnsi="宋体" w:cs="仿宋"/>
          <w:color w:val="auto"/>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widowControl/>
        <w:spacing w:line="600" w:lineRule="exact"/>
        <w:ind w:firstLine="420"/>
        <w:jc w:val="left"/>
        <w:rPr>
          <w:rFonts w:hint="eastAsia" w:ascii="宋体" w:hAnsi="宋体" w:cs="仿宋"/>
          <w:color w:val="auto"/>
          <w:szCs w:val="21"/>
        </w:rPr>
      </w:pPr>
      <w:r>
        <w:rPr>
          <w:rFonts w:hint="eastAsia" w:ascii="宋体" w:hAnsi="宋体" w:cs="仿宋"/>
          <w:color w:val="auto"/>
          <w:szCs w:val="21"/>
        </w:rPr>
        <w:t>（7）操作人员上岗，必须按规定穿戴防护用品。施工负责人和安全检查员应随时检查劳动防护用品的穿戴情况，不按规定穿戴防护用品的人员不得上岗。</w:t>
      </w:r>
    </w:p>
    <w:p>
      <w:pPr>
        <w:widowControl/>
        <w:spacing w:line="600" w:lineRule="exact"/>
        <w:ind w:firstLine="420"/>
        <w:jc w:val="left"/>
        <w:rPr>
          <w:rFonts w:hint="eastAsia" w:ascii="宋体" w:hAnsi="宋体" w:cs="仿宋"/>
          <w:color w:val="auto"/>
          <w:szCs w:val="21"/>
        </w:rPr>
      </w:pPr>
      <w:r>
        <w:rPr>
          <w:rFonts w:hint="eastAsia" w:ascii="宋体" w:hAnsi="宋体" w:cs="仿宋"/>
          <w:color w:val="auto"/>
          <w:szCs w:val="21"/>
        </w:rPr>
        <w:t>（8）所有施工机具设备和高空作业的设备均应定期检查，并有安全员的签字记录，保证其经常处于完好状态；不合格的机具、设备和劳动保护用品严禁使用。</w:t>
      </w:r>
    </w:p>
    <w:p>
      <w:pPr>
        <w:widowControl/>
        <w:spacing w:line="600" w:lineRule="exact"/>
        <w:ind w:firstLine="420"/>
        <w:jc w:val="left"/>
        <w:rPr>
          <w:rFonts w:hint="eastAsia" w:ascii="宋体" w:hAnsi="宋体" w:cs="仿宋"/>
          <w:color w:val="auto"/>
          <w:szCs w:val="21"/>
        </w:rPr>
      </w:pPr>
      <w:r>
        <w:rPr>
          <w:rFonts w:hint="eastAsia" w:ascii="宋体" w:hAnsi="宋体" w:cs="仿宋"/>
          <w:color w:val="auto"/>
          <w:szCs w:val="21"/>
        </w:rPr>
        <w:t>（9）施工中采用新技术、新工艺、新设备、新材料时，必须制定相应的安全技术措施，施工现场必须具有相关的安全标志牌。</w:t>
      </w:r>
    </w:p>
    <w:p>
      <w:pPr>
        <w:widowControl/>
        <w:spacing w:line="600" w:lineRule="exact"/>
        <w:ind w:firstLine="420"/>
        <w:jc w:val="left"/>
        <w:rPr>
          <w:rFonts w:hint="eastAsia" w:ascii="宋体" w:hAnsi="宋体" w:cs="仿宋"/>
          <w:color w:val="auto"/>
          <w:szCs w:val="21"/>
        </w:rPr>
      </w:pPr>
      <w:r>
        <w:rPr>
          <w:rFonts w:hint="eastAsia" w:ascii="宋体" w:hAnsi="宋体" w:cs="仿宋"/>
          <w:color w:val="auto"/>
          <w:szCs w:val="21"/>
        </w:rPr>
        <w:t>（10）承包人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widowControl/>
        <w:spacing w:line="600" w:lineRule="exact"/>
        <w:ind w:firstLine="420"/>
        <w:jc w:val="left"/>
        <w:rPr>
          <w:rFonts w:hint="eastAsia" w:ascii="宋体" w:hAnsi="宋体" w:cs="仿宋"/>
          <w:color w:val="auto"/>
          <w:szCs w:val="21"/>
        </w:rPr>
      </w:pPr>
      <w:r>
        <w:rPr>
          <w:rFonts w:hint="eastAsia" w:ascii="宋体" w:hAnsi="宋体" w:cs="仿宋"/>
          <w:color w:val="auto"/>
          <w:szCs w:val="21"/>
        </w:rPr>
        <w:t>(11)安全生产费用按照《水利工程安全生产监督管理办法》的相关规定使用和管理。</w:t>
      </w:r>
    </w:p>
    <w:p>
      <w:pPr>
        <w:widowControl/>
        <w:spacing w:line="600" w:lineRule="exact"/>
        <w:ind w:firstLine="482"/>
        <w:jc w:val="left"/>
        <w:rPr>
          <w:rFonts w:hint="eastAsia" w:ascii="宋体" w:hAnsi="宋体" w:cs="仿宋"/>
          <w:color w:val="auto"/>
          <w:szCs w:val="21"/>
        </w:rPr>
      </w:pPr>
      <w:r>
        <w:rPr>
          <w:rFonts w:hint="eastAsia" w:ascii="宋体" w:hAnsi="宋体" w:cs="仿宋"/>
          <w:b/>
          <w:color w:val="auto"/>
          <w:szCs w:val="21"/>
        </w:rPr>
        <w:t>3、违约责任</w:t>
      </w:r>
    </w:p>
    <w:p>
      <w:pPr>
        <w:widowControl/>
        <w:spacing w:line="600" w:lineRule="exact"/>
        <w:ind w:firstLine="420"/>
        <w:jc w:val="left"/>
        <w:rPr>
          <w:rFonts w:hint="eastAsia" w:ascii="宋体" w:hAnsi="宋体" w:cs="仿宋"/>
          <w:color w:val="auto"/>
          <w:szCs w:val="21"/>
        </w:rPr>
      </w:pPr>
      <w:r>
        <w:rPr>
          <w:rFonts w:hint="eastAsia" w:ascii="宋体" w:hAnsi="宋体" w:cs="仿宋"/>
          <w:color w:val="auto"/>
          <w:szCs w:val="21"/>
        </w:rPr>
        <w:t>如因发包人或承包人违约造成安全事故，将依法追究责任。</w:t>
      </w:r>
    </w:p>
    <w:p>
      <w:pPr>
        <w:widowControl/>
        <w:spacing w:line="600" w:lineRule="exact"/>
        <w:ind w:firstLine="470"/>
        <w:jc w:val="left"/>
        <w:rPr>
          <w:rFonts w:hint="eastAsia" w:ascii="宋体" w:hAnsi="宋体" w:cs="仿宋"/>
          <w:color w:val="auto"/>
          <w:szCs w:val="21"/>
        </w:rPr>
      </w:pPr>
      <w:r>
        <w:rPr>
          <w:rFonts w:hint="eastAsia" w:ascii="宋体" w:hAnsi="宋体" w:cs="仿宋"/>
          <w:color w:val="auto"/>
          <w:szCs w:val="21"/>
        </w:rPr>
        <w:t>4、本合同由双方法定代表人或其授权的代理人签署并加盖单位章后生效，全部工程竣工验收后失效。</w:t>
      </w:r>
    </w:p>
    <w:p>
      <w:pPr>
        <w:pStyle w:val="28"/>
        <w:spacing w:line="560" w:lineRule="exact"/>
        <w:ind w:firstLine="540"/>
        <w:jc w:val="left"/>
        <w:rPr>
          <w:rFonts w:hint="eastAsia" w:hAnsi="宋体" w:cs="仿宋"/>
          <w:color w:val="auto"/>
          <w:szCs w:val="21"/>
        </w:rPr>
      </w:pPr>
      <w:r>
        <w:rPr>
          <w:rFonts w:hint="eastAsia" w:hAnsi="宋体" w:cs="仿宋"/>
          <w:color w:val="auto"/>
          <w:szCs w:val="21"/>
        </w:rPr>
        <w:t xml:space="preserve">5、本合同一式 </w:t>
      </w:r>
      <w:r>
        <w:rPr>
          <w:rFonts w:hint="eastAsia" w:hAnsi="宋体" w:cs="仿宋"/>
          <w:color w:val="auto"/>
          <w:szCs w:val="21"/>
          <w:u w:val="single"/>
        </w:rPr>
        <w:t>陆</w:t>
      </w:r>
      <w:r>
        <w:rPr>
          <w:rFonts w:hint="eastAsia" w:hAnsi="宋体" w:cs="仿宋"/>
          <w:color w:val="auto"/>
          <w:szCs w:val="21"/>
        </w:rPr>
        <w:t>份，均具有同等法律效力，建设单位人执</w:t>
      </w:r>
      <w:r>
        <w:rPr>
          <w:rFonts w:hint="eastAsia" w:hAnsi="宋体" w:cs="仿宋"/>
          <w:color w:val="auto"/>
          <w:szCs w:val="21"/>
          <w:u w:val="single"/>
        </w:rPr>
        <w:t xml:space="preserve"> 肆 </w:t>
      </w:r>
      <w:r>
        <w:rPr>
          <w:rFonts w:hint="eastAsia" w:hAnsi="宋体" w:cs="仿宋"/>
          <w:color w:val="auto"/>
          <w:szCs w:val="21"/>
        </w:rPr>
        <w:t xml:space="preserve">份，承包人执 </w:t>
      </w:r>
      <w:r>
        <w:rPr>
          <w:rFonts w:hint="eastAsia" w:hAnsi="宋体" w:cs="仿宋"/>
          <w:color w:val="auto"/>
          <w:szCs w:val="21"/>
          <w:u w:val="single"/>
        </w:rPr>
        <w:t xml:space="preserve"> 贰 </w:t>
      </w:r>
      <w:r>
        <w:rPr>
          <w:rFonts w:hint="eastAsia" w:hAnsi="宋体" w:cs="仿宋"/>
          <w:color w:val="auto"/>
          <w:szCs w:val="21"/>
        </w:rPr>
        <w:t>份。</w:t>
      </w:r>
    </w:p>
    <w:p>
      <w:pPr>
        <w:pStyle w:val="28"/>
        <w:spacing w:line="560" w:lineRule="exact"/>
        <w:jc w:val="left"/>
        <w:rPr>
          <w:rFonts w:hint="eastAsia" w:hAnsi="宋体" w:cs="仿宋"/>
          <w:color w:val="auto"/>
          <w:szCs w:val="21"/>
        </w:rPr>
      </w:pPr>
    </w:p>
    <w:p>
      <w:pPr>
        <w:pStyle w:val="28"/>
        <w:spacing w:line="560" w:lineRule="exact"/>
        <w:jc w:val="left"/>
        <w:rPr>
          <w:rFonts w:hint="eastAsia" w:hAnsi="宋体" w:cs="仿宋"/>
          <w:color w:val="auto"/>
          <w:szCs w:val="21"/>
        </w:rPr>
      </w:pPr>
    </w:p>
    <w:p>
      <w:pPr>
        <w:pStyle w:val="28"/>
        <w:spacing w:line="560" w:lineRule="exact"/>
        <w:jc w:val="left"/>
        <w:rPr>
          <w:rFonts w:hint="eastAsia" w:hAnsi="宋体" w:cs="仿宋"/>
          <w:color w:val="auto"/>
          <w:szCs w:val="21"/>
        </w:rPr>
      </w:pPr>
    </w:p>
    <w:p>
      <w:pPr>
        <w:pStyle w:val="28"/>
        <w:spacing w:line="560" w:lineRule="exact"/>
        <w:jc w:val="left"/>
        <w:rPr>
          <w:rFonts w:hint="eastAsia" w:hAnsi="宋体" w:cs="仿宋"/>
          <w:color w:val="auto"/>
          <w:szCs w:val="21"/>
        </w:rPr>
      </w:pPr>
    </w:p>
    <w:p>
      <w:pPr>
        <w:pStyle w:val="28"/>
        <w:spacing w:line="560" w:lineRule="exact"/>
        <w:jc w:val="left"/>
        <w:rPr>
          <w:rFonts w:hint="eastAsia" w:hAnsi="宋体" w:eastAsia="宋体" w:cs="仿宋"/>
          <w:color w:val="auto"/>
          <w:szCs w:val="21"/>
          <w:lang w:eastAsia="zh-CN"/>
        </w:rPr>
      </w:pPr>
      <w:r>
        <w:rPr>
          <w:rFonts w:hint="eastAsia" w:hAnsi="宋体" w:cs="仿宋"/>
          <w:color w:val="auto"/>
          <w:szCs w:val="21"/>
        </w:rPr>
        <w:t>发包人：</w:t>
      </w:r>
      <w:r>
        <w:rPr>
          <w:rFonts w:hint="eastAsia" w:hAnsi="宋体" w:cs="仿宋"/>
          <w:color w:val="auto"/>
          <w:szCs w:val="21"/>
          <w:u w:val="single"/>
        </w:rPr>
        <w:t xml:space="preserve"> </w:t>
      </w:r>
      <w:r>
        <w:rPr>
          <w:rFonts w:hint="eastAsia" w:hAnsi="宋体" w:cs="仿宋"/>
          <w:color w:val="auto"/>
          <w:szCs w:val="21"/>
          <w:u w:val="single"/>
          <w:lang w:eastAsia="zh-CN"/>
        </w:rPr>
        <w:t xml:space="preserve">                </w:t>
      </w:r>
      <w:r>
        <w:rPr>
          <w:rFonts w:hint="eastAsia" w:hAnsi="宋体" w:cs="仿宋"/>
          <w:color w:val="auto"/>
          <w:szCs w:val="21"/>
          <w:u w:val="single"/>
          <w:lang w:val="en-US" w:eastAsia="zh-CN"/>
        </w:rPr>
        <w:t xml:space="preserve">   </w:t>
      </w:r>
      <w:r>
        <w:rPr>
          <w:rFonts w:hint="eastAsia" w:hAnsi="宋体" w:cs="仿宋"/>
          <w:color w:val="auto"/>
          <w:szCs w:val="21"/>
          <w:u w:val="single"/>
        </w:rPr>
        <w:t xml:space="preserve"> </w:t>
      </w:r>
      <w:r>
        <w:rPr>
          <w:rFonts w:hint="eastAsia" w:hAnsi="宋体" w:cs="仿宋"/>
          <w:color w:val="auto"/>
          <w:szCs w:val="21"/>
        </w:rPr>
        <w:t xml:space="preserve">                         </w:t>
      </w:r>
      <w:r>
        <w:rPr>
          <w:rFonts w:hint="eastAsia" w:hAnsi="宋体" w:cs="仿宋"/>
          <w:color w:val="auto"/>
          <w:szCs w:val="21"/>
          <w:lang w:val="en-US" w:eastAsia="zh-CN"/>
        </w:rPr>
        <w:t xml:space="preserve"> </w:t>
      </w:r>
      <w:r>
        <w:rPr>
          <w:rFonts w:hint="eastAsia" w:hAnsi="宋体" w:cs="仿宋"/>
          <w:color w:val="auto"/>
          <w:szCs w:val="21"/>
        </w:rPr>
        <w:t>承包人：</w:t>
      </w:r>
      <w:r>
        <w:rPr>
          <w:rFonts w:hint="eastAsia" w:hAnsi="宋体" w:cs="仿宋"/>
          <w:color w:val="auto"/>
          <w:szCs w:val="21"/>
          <w:u w:val="single"/>
        </w:rPr>
        <w:t xml:space="preserve"> </w:t>
      </w:r>
      <w:r>
        <w:rPr>
          <w:rFonts w:hint="eastAsia" w:hAnsi="宋体" w:cs="仿宋"/>
          <w:color w:val="auto"/>
          <w:szCs w:val="21"/>
          <w:u w:val="single"/>
          <w:lang w:eastAsia="zh-CN"/>
        </w:rPr>
        <w:t xml:space="preserve">                    </w:t>
      </w:r>
    </w:p>
    <w:p>
      <w:pPr>
        <w:pStyle w:val="28"/>
        <w:spacing w:line="560" w:lineRule="exact"/>
        <w:jc w:val="left"/>
        <w:rPr>
          <w:rFonts w:hint="eastAsia" w:hAnsi="宋体" w:cs="仿宋"/>
          <w:color w:val="auto"/>
          <w:szCs w:val="21"/>
        </w:rPr>
      </w:pPr>
      <w:r>
        <w:rPr>
          <w:rFonts w:hint="eastAsia" w:hAnsi="宋体" w:cs="仿宋"/>
          <w:color w:val="auto"/>
          <w:szCs w:val="21"/>
        </w:rPr>
        <w:t xml:space="preserve">           (公章)                                                (公章)  </w:t>
      </w:r>
    </w:p>
    <w:p>
      <w:pPr>
        <w:widowControl/>
        <w:spacing w:line="600" w:lineRule="exact"/>
        <w:ind w:firstLine="240"/>
        <w:jc w:val="left"/>
        <w:rPr>
          <w:rFonts w:hint="eastAsia" w:ascii="宋体" w:hAnsi="宋体" w:cs="仿宋"/>
          <w:color w:val="auto"/>
          <w:szCs w:val="21"/>
        </w:rPr>
      </w:pPr>
      <w:r>
        <w:rPr>
          <w:rFonts w:hint="eastAsia" w:ascii="宋体" w:hAnsi="宋体" w:cs="仿宋"/>
          <w:color w:val="auto"/>
          <w:szCs w:val="21"/>
        </w:rPr>
        <w:t xml:space="preserve">   </w:t>
      </w:r>
    </w:p>
    <w:p>
      <w:pPr>
        <w:widowControl/>
        <w:spacing w:line="600" w:lineRule="exact"/>
        <w:jc w:val="left"/>
        <w:rPr>
          <w:rFonts w:hint="eastAsia" w:ascii="宋体" w:hAnsi="宋体" w:cs="仿宋"/>
          <w:color w:val="auto"/>
          <w:szCs w:val="21"/>
        </w:rPr>
      </w:pPr>
      <w:r>
        <w:rPr>
          <w:rFonts w:hint="eastAsia" w:ascii="宋体" w:hAnsi="宋体" w:cs="仿宋"/>
          <w:color w:val="auto"/>
          <w:szCs w:val="21"/>
        </w:rPr>
        <w:t xml:space="preserve">法定代表人或                                         法定代表人或                      </w:t>
      </w:r>
    </w:p>
    <w:p>
      <w:pPr>
        <w:widowControl/>
        <w:spacing w:line="560" w:lineRule="exact"/>
        <w:jc w:val="left"/>
        <w:rPr>
          <w:rFonts w:hint="eastAsia" w:ascii="宋体" w:hAnsi="宋体" w:cs="仿宋"/>
          <w:color w:val="auto"/>
          <w:szCs w:val="21"/>
        </w:rPr>
      </w:pPr>
      <w:r>
        <w:rPr>
          <w:rFonts w:hint="eastAsia" w:ascii="宋体" w:hAnsi="宋体" w:cs="仿宋"/>
          <w:color w:val="auto"/>
          <w:szCs w:val="21"/>
        </w:rPr>
        <w:t>其委托代理人：</w:t>
      </w:r>
      <w:r>
        <w:rPr>
          <w:rFonts w:hint="eastAsia" w:ascii="宋体" w:hAnsi="宋体" w:cs="仿宋"/>
          <w:color w:val="auto"/>
          <w:szCs w:val="21"/>
          <w:u w:val="single"/>
        </w:rPr>
        <w:t xml:space="preserve">     </w:t>
      </w:r>
      <w:r>
        <w:rPr>
          <w:rFonts w:hint="eastAsia" w:ascii="宋体" w:hAnsi="宋体" w:cs="仿宋"/>
          <w:color w:val="auto"/>
          <w:szCs w:val="21"/>
          <w:u w:val="single"/>
          <w:lang w:val="en-US" w:eastAsia="zh-CN"/>
        </w:rPr>
        <w:t xml:space="preserve">       </w:t>
      </w:r>
      <w:r>
        <w:rPr>
          <w:rFonts w:hint="eastAsia" w:ascii="宋体" w:hAnsi="宋体" w:cs="仿宋"/>
          <w:color w:val="auto"/>
          <w:szCs w:val="21"/>
          <w:u w:val="single"/>
        </w:rPr>
        <w:t xml:space="preserve"> </w:t>
      </w:r>
      <w:r>
        <w:rPr>
          <w:rFonts w:hint="eastAsia" w:ascii="宋体" w:hAnsi="宋体" w:cs="仿宋"/>
          <w:color w:val="auto"/>
          <w:szCs w:val="21"/>
          <w:u w:val="single"/>
          <w:lang w:val="en-US" w:eastAsia="zh-CN"/>
        </w:rPr>
        <w:t xml:space="preserve"> </w:t>
      </w:r>
      <w:r>
        <w:rPr>
          <w:rFonts w:hint="eastAsia" w:ascii="宋体" w:hAnsi="宋体" w:cs="仿宋"/>
          <w:color w:val="auto"/>
          <w:szCs w:val="21"/>
        </w:rPr>
        <w:t>（签字）                  其委托代理人：</w:t>
      </w:r>
      <w:r>
        <w:rPr>
          <w:rFonts w:hint="eastAsia" w:ascii="宋体" w:hAnsi="宋体" w:cs="仿宋"/>
          <w:color w:val="auto"/>
          <w:szCs w:val="21"/>
          <w:u w:val="single"/>
        </w:rPr>
        <w:t xml:space="preserve">      </w:t>
      </w:r>
      <w:r>
        <w:rPr>
          <w:rFonts w:hint="eastAsia" w:ascii="宋体" w:hAnsi="宋体" w:cs="仿宋"/>
          <w:color w:val="auto"/>
          <w:szCs w:val="21"/>
          <w:u w:val="single"/>
          <w:lang w:val="en-US" w:eastAsia="zh-CN"/>
        </w:rPr>
        <w:t xml:space="preserve">        </w:t>
      </w:r>
      <w:r>
        <w:rPr>
          <w:rFonts w:hint="eastAsia" w:ascii="宋体" w:hAnsi="宋体" w:cs="仿宋"/>
          <w:color w:val="auto"/>
          <w:szCs w:val="21"/>
        </w:rPr>
        <w:t>（签字）</w:t>
      </w:r>
    </w:p>
    <w:p>
      <w:pPr>
        <w:widowControl/>
        <w:spacing w:line="560" w:lineRule="exact"/>
        <w:ind w:firstLine="240"/>
        <w:jc w:val="left"/>
        <w:rPr>
          <w:rFonts w:hint="eastAsia" w:ascii="宋体" w:hAnsi="宋体" w:cs="仿宋"/>
          <w:color w:val="auto"/>
          <w:szCs w:val="21"/>
        </w:rPr>
      </w:pPr>
      <w:r>
        <w:rPr>
          <w:rFonts w:hint="eastAsia" w:ascii="宋体" w:hAnsi="宋体" w:cs="仿宋"/>
          <w:color w:val="auto"/>
          <w:szCs w:val="21"/>
        </w:rPr>
        <w:t xml:space="preserve">    </w:t>
      </w:r>
    </w:p>
    <w:p>
      <w:pPr>
        <w:widowControl/>
        <w:spacing w:line="560" w:lineRule="exact"/>
        <w:ind w:firstLine="240"/>
        <w:jc w:val="left"/>
        <w:rPr>
          <w:rFonts w:hint="eastAsia" w:ascii="宋体" w:hAnsi="宋体" w:cs="仿宋"/>
          <w:color w:val="auto"/>
          <w:szCs w:val="21"/>
        </w:rPr>
      </w:pPr>
      <w:r>
        <w:rPr>
          <w:rFonts w:hint="eastAsia" w:ascii="宋体" w:hAnsi="宋体" w:cs="仿宋"/>
          <w:color w:val="auto"/>
          <w:szCs w:val="21"/>
          <w:u w:val="single"/>
        </w:rPr>
        <w:t xml:space="preserve">        </w:t>
      </w:r>
      <w:r>
        <w:rPr>
          <w:rFonts w:hint="eastAsia" w:ascii="宋体" w:hAnsi="宋体" w:cs="仿宋"/>
          <w:color w:val="auto"/>
          <w:szCs w:val="21"/>
        </w:rPr>
        <w:t>年</w:t>
      </w:r>
      <w:r>
        <w:rPr>
          <w:rFonts w:hint="eastAsia" w:ascii="宋体" w:hAnsi="宋体" w:cs="仿宋"/>
          <w:color w:val="auto"/>
          <w:szCs w:val="21"/>
          <w:u w:val="single"/>
        </w:rPr>
        <w:t xml:space="preserve">      </w:t>
      </w:r>
      <w:r>
        <w:rPr>
          <w:rFonts w:hint="eastAsia" w:ascii="宋体" w:hAnsi="宋体" w:cs="仿宋"/>
          <w:color w:val="auto"/>
          <w:szCs w:val="21"/>
        </w:rPr>
        <w:t>月</w:t>
      </w:r>
      <w:r>
        <w:rPr>
          <w:rFonts w:hint="eastAsia" w:ascii="宋体" w:hAnsi="宋体" w:cs="仿宋"/>
          <w:color w:val="auto"/>
          <w:szCs w:val="21"/>
          <w:u w:val="single"/>
        </w:rPr>
        <w:t xml:space="preserve">      </w:t>
      </w:r>
      <w:r>
        <w:rPr>
          <w:rFonts w:hint="eastAsia" w:ascii="宋体" w:hAnsi="宋体" w:cs="仿宋"/>
          <w:color w:val="auto"/>
          <w:szCs w:val="21"/>
        </w:rPr>
        <w:t xml:space="preserve">日                             </w:t>
      </w:r>
      <w:r>
        <w:rPr>
          <w:rFonts w:hint="eastAsia" w:ascii="宋体" w:hAnsi="宋体" w:cs="仿宋"/>
          <w:color w:val="auto"/>
          <w:szCs w:val="21"/>
          <w:u w:val="single"/>
        </w:rPr>
        <w:t xml:space="preserve">       </w:t>
      </w:r>
      <w:r>
        <w:rPr>
          <w:rFonts w:hint="eastAsia" w:ascii="宋体" w:hAnsi="宋体" w:cs="仿宋"/>
          <w:color w:val="auto"/>
          <w:szCs w:val="21"/>
        </w:rPr>
        <w:t>年</w:t>
      </w:r>
      <w:r>
        <w:rPr>
          <w:rFonts w:hint="eastAsia" w:ascii="宋体" w:hAnsi="宋体" w:cs="仿宋"/>
          <w:color w:val="auto"/>
          <w:szCs w:val="21"/>
          <w:u w:val="single"/>
        </w:rPr>
        <w:t xml:space="preserve">     </w:t>
      </w:r>
      <w:r>
        <w:rPr>
          <w:rFonts w:hint="eastAsia" w:ascii="宋体" w:hAnsi="宋体" w:cs="仿宋"/>
          <w:color w:val="auto"/>
          <w:szCs w:val="21"/>
        </w:rPr>
        <w:t>月</w:t>
      </w:r>
      <w:r>
        <w:rPr>
          <w:rFonts w:hint="eastAsia" w:ascii="宋体" w:hAnsi="宋体" w:cs="仿宋"/>
          <w:color w:val="auto"/>
          <w:szCs w:val="21"/>
          <w:u w:val="single"/>
        </w:rPr>
        <w:t xml:space="preserve">     </w:t>
      </w:r>
      <w:r>
        <w:rPr>
          <w:rFonts w:hint="eastAsia" w:ascii="宋体" w:hAnsi="宋体" w:cs="仿宋"/>
          <w:color w:val="auto"/>
          <w:szCs w:val="21"/>
        </w:rPr>
        <w:t>日</w:t>
      </w:r>
    </w:p>
    <w:p>
      <w:pPr>
        <w:widowControl/>
        <w:spacing w:line="560" w:lineRule="exact"/>
        <w:jc w:val="left"/>
        <w:rPr>
          <w:rFonts w:hint="eastAsia" w:ascii="宋体" w:hAnsi="宋体" w:cs="仿宋"/>
          <w:color w:val="auto"/>
          <w:szCs w:val="21"/>
        </w:rPr>
      </w:pPr>
    </w:p>
    <w:p>
      <w:pPr>
        <w:rPr>
          <w:rFonts w:hint="eastAsia" w:ascii="宋体" w:hAnsi="宋体" w:cs="仿宋"/>
          <w:color w:val="auto"/>
          <w:szCs w:val="21"/>
        </w:rPr>
      </w:pPr>
      <w:r>
        <w:rPr>
          <w:rFonts w:hint="eastAsia" w:ascii="宋体" w:hAnsi="宋体" w:cs="仿宋"/>
          <w:color w:val="auto"/>
          <w:szCs w:val="21"/>
        </w:rPr>
        <w:br w:type="page"/>
      </w:r>
    </w:p>
    <w:p>
      <w:pPr>
        <w:spacing w:line="560" w:lineRule="exact"/>
        <w:jc w:val="center"/>
        <w:rPr>
          <w:rFonts w:hint="eastAsia" w:ascii="宋体" w:hAnsi="宋体" w:cs="仿宋"/>
          <w:b/>
          <w:color w:val="auto"/>
          <w:sz w:val="30"/>
          <w:szCs w:val="30"/>
        </w:rPr>
      </w:pPr>
      <w:r>
        <w:rPr>
          <w:rFonts w:hint="eastAsia" w:ascii="宋体" w:hAnsi="宋体" w:cs="仿宋"/>
          <w:b/>
          <w:color w:val="auto"/>
          <w:sz w:val="30"/>
          <w:szCs w:val="30"/>
        </w:rPr>
        <w:t>廉 政 合 同</w:t>
      </w:r>
    </w:p>
    <w:p>
      <w:pPr>
        <w:spacing w:line="500" w:lineRule="exact"/>
        <w:ind w:firstLine="2800" w:firstLineChars="1000"/>
        <w:rPr>
          <w:rFonts w:hint="eastAsia"/>
          <w:color w:val="auto"/>
          <w:szCs w:val="21"/>
        </w:rPr>
      </w:pPr>
      <w:r>
        <w:rPr>
          <w:rFonts w:hint="eastAsia"/>
          <w:color w:val="auto"/>
          <w:sz w:val="28"/>
        </w:rPr>
        <w:t xml:space="preserve">  </w:t>
      </w:r>
    </w:p>
    <w:p>
      <w:pPr>
        <w:spacing w:line="500" w:lineRule="exact"/>
        <w:ind w:firstLine="420" w:firstLineChars="200"/>
        <w:rPr>
          <w:rFonts w:hint="eastAsia" w:ascii="宋体" w:hAnsi="宋体"/>
          <w:b/>
          <w:color w:val="auto"/>
          <w:szCs w:val="21"/>
          <w:u w:val="single"/>
        </w:rPr>
      </w:pPr>
      <w:r>
        <w:rPr>
          <w:rFonts w:hint="eastAsia" w:ascii="宋体" w:hAnsi="宋体" w:cs="仿宋"/>
          <w:color w:val="auto"/>
          <w:szCs w:val="21"/>
        </w:rPr>
        <w:t>根据《关于在水利基础设施建设中加强廉政建设的若干意见》以及有关工程建设、廉政建设的规定，为做好工程建设中的党风廉政建设，保证工程建设高效优质，保证建设资金的安全和有效使用以及投资效益，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eastAsia="宋体" w:cs="宋体"/>
          <w:b w:val="0"/>
          <w:bCs w:val="0"/>
          <w:color w:val="auto"/>
          <w:sz w:val="21"/>
          <w:szCs w:val="21"/>
          <w:u w:val="single"/>
          <w:lang w:eastAsia="zh-CN"/>
        </w:rPr>
        <w:t>灵川县灵川镇木马村委三排至车田优质稻产业基地内灌溉水渠工程</w:t>
      </w:r>
      <w:r>
        <w:rPr>
          <w:rFonts w:hint="eastAsia" w:ascii="宋体" w:hAnsi="宋体" w:cs="仿宋"/>
          <w:color w:val="auto"/>
          <w:szCs w:val="21"/>
        </w:rPr>
        <w:t>的项目法人</w:t>
      </w:r>
      <w:r>
        <w:rPr>
          <w:rFonts w:hint="eastAsia" w:ascii="宋体" w:hAnsi="宋体" w:cs="仿宋"/>
          <w:color w:val="auto"/>
          <w:szCs w:val="21"/>
          <w:u w:val="single"/>
        </w:rPr>
        <w:t xml:space="preserve"> </w:t>
      </w:r>
      <w:r>
        <w:rPr>
          <w:rFonts w:hint="eastAsia" w:ascii="宋体" w:hAnsi="宋体" w:cs="仿宋"/>
          <w:color w:val="auto"/>
          <w:szCs w:val="21"/>
          <w:u w:val="single"/>
          <w:lang w:eastAsia="zh-CN"/>
        </w:rPr>
        <w:t xml:space="preserve">           </w:t>
      </w:r>
      <w:r>
        <w:rPr>
          <w:rFonts w:hint="eastAsia" w:ascii="宋体" w:hAnsi="宋体" w:cs="仿宋"/>
          <w:color w:val="auto"/>
          <w:szCs w:val="21"/>
          <w:u w:val="single"/>
        </w:rPr>
        <w:t xml:space="preserve"> </w:t>
      </w:r>
      <w:r>
        <w:rPr>
          <w:rFonts w:hint="eastAsia" w:ascii="宋体" w:hAnsi="宋体" w:cs="仿宋"/>
          <w:color w:val="auto"/>
          <w:szCs w:val="21"/>
        </w:rPr>
        <w:t>（以下简称“</w:t>
      </w:r>
      <w:r>
        <w:rPr>
          <w:rFonts w:hint="eastAsia" w:ascii="宋体" w:hAnsi="宋体" w:cs="仿宋"/>
          <w:color w:val="auto"/>
          <w:spacing w:val="10"/>
          <w:szCs w:val="21"/>
        </w:rPr>
        <w:t>发包人</w:t>
      </w:r>
      <w:r>
        <w:rPr>
          <w:rFonts w:hint="eastAsia" w:ascii="宋体" w:hAnsi="宋体" w:cs="仿宋"/>
          <w:color w:val="auto"/>
          <w:szCs w:val="21"/>
        </w:rPr>
        <w:t>”）与该项目施工单位</w:t>
      </w:r>
      <w:r>
        <w:rPr>
          <w:rFonts w:hint="eastAsia" w:ascii="宋体" w:hAnsi="宋体" w:cs="仿宋"/>
          <w:color w:val="auto"/>
          <w:szCs w:val="21"/>
          <w:u w:val="single"/>
        </w:rPr>
        <w:t xml:space="preserve"> </w:t>
      </w:r>
      <w:r>
        <w:rPr>
          <w:rFonts w:hint="eastAsia" w:ascii="宋体" w:hAnsi="宋体" w:cs="仿宋"/>
          <w:color w:val="auto"/>
          <w:szCs w:val="21"/>
          <w:u w:val="single"/>
          <w:lang w:eastAsia="zh-CN"/>
        </w:rPr>
        <w:t xml:space="preserve">                    </w:t>
      </w:r>
      <w:r>
        <w:rPr>
          <w:rFonts w:hint="eastAsia" w:ascii="宋体" w:hAnsi="宋体" w:cs="仿宋"/>
          <w:color w:val="auto"/>
          <w:szCs w:val="21"/>
          <w:u w:val="single"/>
        </w:rPr>
        <w:t xml:space="preserve"> </w:t>
      </w:r>
      <w:r>
        <w:rPr>
          <w:rFonts w:hint="eastAsia" w:ascii="宋体" w:hAnsi="宋体" w:cs="仿宋"/>
          <w:color w:val="auto"/>
          <w:szCs w:val="21"/>
        </w:rPr>
        <w:t>（以下简称“</w:t>
      </w:r>
      <w:r>
        <w:rPr>
          <w:rFonts w:hint="eastAsia" w:ascii="宋体" w:hAnsi="宋体" w:cs="仿宋"/>
          <w:color w:val="auto"/>
          <w:spacing w:val="10"/>
          <w:szCs w:val="21"/>
        </w:rPr>
        <w:t>承包人</w:t>
      </w:r>
      <w:r>
        <w:rPr>
          <w:rFonts w:hint="eastAsia" w:ascii="宋体" w:hAnsi="宋体" w:cs="仿宋"/>
          <w:color w:val="auto"/>
          <w:szCs w:val="21"/>
        </w:rPr>
        <w:t>”），特订立如下合同。</w:t>
      </w:r>
    </w:p>
    <w:p>
      <w:pPr>
        <w:spacing w:line="500" w:lineRule="exact"/>
        <w:rPr>
          <w:rFonts w:hint="eastAsia" w:ascii="宋体" w:hAnsi="宋体" w:cs="仿宋"/>
          <w:color w:val="auto"/>
          <w:szCs w:val="21"/>
        </w:rPr>
      </w:pPr>
      <w:r>
        <w:rPr>
          <w:rFonts w:hint="eastAsia" w:ascii="宋体" w:hAnsi="宋体" w:cs="仿宋"/>
          <w:color w:val="auto"/>
          <w:spacing w:val="10"/>
          <w:szCs w:val="21"/>
        </w:rPr>
        <w:t>1.发包人和承包人</w:t>
      </w:r>
      <w:r>
        <w:rPr>
          <w:rFonts w:hint="eastAsia" w:ascii="宋体" w:hAnsi="宋体" w:cs="仿宋"/>
          <w:color w:val="auto"/>
          <w:szCs w:val="21"/>
        </w:rPr>
        <w:t>双方的权利和义务</w:t>
      </w:r>
    </w:p>
    <w:p>
      <w:pPr>
        <w:spacing w:line="500" w:lineRule="exact"/>
        <w:rPr>
          <w:rFonts w:hint="eastAsia" w:ascii="宋体" w:hAnsi="宋体" w:cs="仿宋"/>
          <w:color w:val="auto"/>
          <w:szCs w:val="21"/>
        </w:rPr>
      </w:pPr>
      <w:r>
        <w:rPr>
          <w:rFonts w:hint="eastAsia" w:ascii="宋体" w:hAnsi="宋体" w:cs="仿宋"/>
          <w:color w:val="auto"/>
          <w:szCs w:val="21"/>
        </w:rPr>
        <w:t xml:space="preserve">  （1）严格遵守党的政策规定和国家有关法律法规及交通运输部的有关规定。</w:t>
      </w:r>
    </w:p>
    <w:p>
      <w:pPr>
        <w:spacing w:line="500" w:lineRule="exact"/>
        <w:ind w:firstLine="210" w:firstLineChars="100"/>
        <w:rPr>
          <w:rFonts w:hint="eastAsia" w:ascii="宋体" w:hAnsi="宋体"/>
          <w:b/>
          <w:color w:val="auto"/>
          <w:szCs w:val="21"/>
          <w:u w:val="single"/>
        </w:rPr>
      </w:pPr>
      <w:r>
        <w:rPr>
          <w:rFonts w:hint="eastAsia" w:ascii="宋体" w:hAnsi="宋体" w:cs="仿宋"/>
          <w:color w:val="auto"/>
          <w:szCs w:val="21"/>
        </w:rPr>
        <w:t>（2）严格执行</w:t>
      </w:r>
      <w:r>
        <w:rPr>
          <w:rFonts w:hint="eastAsia" w:ascii="宋体" w:hAnsi="宋体"/>
          <w:color w:val="auto"/>
          <w:szCs w:val="21"/>
          <w:u w:val="single"/>
          <w:lang w:val="en-US" w:eastAsia="zh-CN"/>
        </w:rPr>
        <w:t xml:space="preserve"> </w:t>
      </w:r>
      <w:r>
        <w:rPr>
          <w:rFonts w:hint="eastAsia" w:ascii="宋体" w:hAnsi="宋体" w:eastAsia="宋体" w:cs="宋体"/>
          <w:b w:val="0"/>
          <w:bCs w:val="0"/>
          <w:color w:val="auto"/>
          <w:sz w:val="21"/>
          <w:szCs w:val="21"/>
          <w:u w:val="single"/>
          <w:lang w:eastAsia="zh-CN"/>
        </w:rPr>
        <w:t>灵川县灵川镇木马村委三排至车田优质稻产业基地内灌溉水渠工程</w:t>
      </w:r>
      <w:r>
        <w:rPr>
          <w:rFonts w:hint="eastAsia" w:ascii="宋体" w:hAnsi="宋体" w:cs="仿宋"/>
          <w:color w:val="auto"/>
          <w:szCs w:val="21"/>
        </w:rPr>
        <w:t>的施工合同文件，自觉按合同办事。</w:t>
      </w:r>
    </w:p>
    <w:p>
      <w:pPr>
        <w:spacing w:line="500" w:lineRule="exact"/>
        <w:ind w:firstLine="210" w:firstLineChars="100"/>
        <w:rPr>
          <w:rFonts w:hint="eastAsia" w:ascii="宋体" w:hAnsi="宋体" w:cs="仿宋"/>
          <w:color w:val="auto"/>
          <w:szCs w:val="21"/>
        </w:rPr>
      </w:pPr>
      <w:r>
        <w:rPr>
          <w:rFonts w:hint="eastAsia" w:ascii="宋体" w:hAnsi="宋体" w:cs="仿宋"/>
          <w:color w:val="auto"/>
          <w:szCs w:val="21"/>
        </w:rPr>
        <w:t>（3）双方的业务活动坚持公开、公正、诚信、透明的原则（法律认定的商业秘密和合同文件另有规定除外），不得损害国家和集体利益，不得违反工程建设管理规章制度。</w:t>
      </w:r>
    </w:p>
    <w:p>
      <w:pPr>
        <w:spacing w:line="500" w:lineRule="exact"/>
        <w:ind w:firstLine="210" w:firstLineChars="100"/>
        <w:rPr>
          <w:rFonts w:hint="eastAsia" w:ascii="宋体" w:hAnsi="宋体" w:cs="仿宋"/>
          <w:color w:val="auto"/>
          <w:szCs w:val="21"/>
        </w:rPr>
      </w:pPr>
      <w:r>
        <w:rPr>
          <w:rFonts w:hint="eastAsia" w:ascii="宋体" w:hAnsi="宋体" w:cs="仿宋"/>
          <w:color w:val="auto"/>
          <w:szCs w:val="21"/>
        </w:rPr>
        <w:t>（4）建立健全廉政制度，开展廉政教育，设立廉政告示牌，公布举报电话，监督并认真查处违法违纪行为。</w:t>
      </w:r>
    </w:p>
    <w:p>
      <w:pPr>
        <w:spacing w:line="500" w:lineRule="exact"/>
        <w:ind w:firstLine="210" w:firstLineChars="100"/>
        <w:rPr>
          <w:rFonts w:hint="eastAsia" w:ascii="宋体" w:hAnsi="宋体" w:cs="仿宋"/>
          <w:color w:val="auto"/>
          <w:szCs w:val="21"/>
        </w:rPr>
      </w:pPr>
      <w:r>
        <w:rPr>
          <w:rFonts w:hint="eastAsia" w:ascii="宋体" w:hAnsi="宋体" w:cs="仿宋"/>
          <w:color w:val="auto"/>
          <w:szCs w:val="21"/>
        </w:rPr>
        <w:t>（5）发现对方在业务活动中有违反廉政规定的行为，有及时提醒对方纠正的权利和义务。</w:t>
      </w:r>
    </w:p>
    <w:p>
      <w:pPr>
        <w:spacing w:line="500" w:lineRule="exact"/>
        <w:ind w:firstLine="210" w:firstLineChars="100"/>
        <w:rPr>
          <w:rFonts w:hint="eastAsia" w:ascii="宋体" w:hAnsi="宋体" w:cs="仿宋"/>
          <w:color w:val="auto"/>
          <w:szCs w:val="21"/>
        </w:rPr>
      </w:pPr>
      <w:r>
        <w:rPr>
          <w:rFonts w:hint="eastAsia" w:ascii="宋体" w:hAnsi="宋体" w:cs="仿宋"/>
          <w:color w:val="auto"/>
          <w:szCs w:val="21"/>
        </w:rPr>
        <w:t>（6）发现对方严重违反本合同义务条款的行为，有向其上级有关部门举报、建议给予处理并要求告知处理结果的权利。</w:t>
      </w:r>
    </w:p>
    <w:p>
      <w:pPr>
        <w:spacing w:line="500" w:lineRule="exact"/>
        <w:rPr>
          <w:rFonts w:hint="eastAsia" w:ascii="宋体" w:hAnsi="宋体" w:cs="仿宋"/>
          <w:color w:val="auto"/>
          <w:szCs w:val="21"/>
        </w:rPr>
      </w:pPr>
      <w:r>
        <w:rPr>
          <w:rFonts w:hint="eastAsia" w:ascii="宋体" w:hAnsi="宋体" w:cs="仿宋"/>
          <w:color w:val="auto"/>
          <w:spacing w:val="10"/>
          <w:szCs w:val="21"/>
        </w:rPr>
        <w:t>2.发包人</w:t>
      </w:r>
      <w:r>
        <w:rPr>
          <w:rFonts w:hint="eastAsia" w:ascii="宋体" w:hAnsi="宋体" w:cs="仿宋"/>
          <w:color w:val="auto"/>
          <w:szCs w:val="21"/>
        </w:rPr>
        <w:t>的义务</w:t>
      </w:r>
    </w:p>
    <w:p>
      <w:pPr>
        <w:spacing w:line="500" w:lineRule="exact"/>
        <w:ind w:firstLine="210" w:firstLineChars="100"/>
        <w:rPr>
          <w:rFonts w:hint="eastAsia" w:ascii="宋体" w:hAnsi="宋体" w:cs="仿宋"/>
          <w:color w:val="auto"/>
          <w:szCs w:val="21"/>
        </w:rPr>
      </w:pPr>
      <w:r>
        <w:rPr>
          <w:rFonts w:hint="eastAsia" w:ascii="宋体" w:hAnsi="宋体" w:cs="仿宋"/>
          <w:color w:val="auto"/>
          <w:szCs w:val="21"/>
        </w:rPr>
        <w:t>（1）</w:t>
      </w:r>
      <w:r>
        <w:rPr>
          <w:rFonts w:hint="eastAsia" w:ascii="宋体" w:hAnsi="宋体" w:cs="仿宋"/>
          <w:color w:val="auto"/>
          <w:spacing w:val="10"/>
          <w:szCs w:val="21"/>
        </w:rPr>
        <w:t>发包人</w:t>
      </w:r>
      <w:r>
        <w:rPr>
          <w:rFonts w:hint="eastAsia" w:ascii="宋体" w:hAnsi="宋体" w:cs="仿宋"/>
          <w:color w:val="auto"/>
          <w:szCs w:val="21"/>
        </w:rPr>
        <w:t>及其工作人员不得索要或接受</w:t>
      </w:r>
      <w:r>
        <w:rPr>
          <w:rFonts w:hint="eastAsia" w:ascii="宋体" w:hAnsi="宋体" w:cs="仿宋"/>
          <w:color w:val="auto"/>
          <w:spacing w:val="10"/>
          <w:szCs w:val="21"/>
        </w:rPr>
        <w:t>承包人</w:t>
      </w:r>
      <w:r>
        <w:rPr>
          <w:rFonts w:hint="eastAsia" w:ascii="宋体" w:hAnsi="宋体" w:cs="仿宋"/>
          <w:color w:val="auto"/>
          <w:szCs w:val="21"/>
        </w:rPr>
        <w:t>的礼金、有价证券和贵重物品，不得让</w:t>
      </w:r>
      <w:r>
        <w:rPr>
          <w:rFonts w:hint="eastAsia" w:ascii="宋体" w:hAnsi="宋体" w:cs="仿宋"/>
          <w:color w:val="auto"/>
          <w:spacing w:val="10"/>
          <w:szCs w:val="21"/>
        </w:rPr>
        <w:t>承包人</w:t>
      </w:r>
      <w:r>
        <w:rPr>
          <w:rFonts w:hint="eastAsia" w:ascii="宋体" w:hAnsi="宋体" w:cs="仿宋"/>
          <w:color w:val="auto"/>
          <w:szCs w:val="21"/>
        </w:rPr>
        <w:t>报销任何应由</w:t>
      </w:r>
      <w:r>
        <w:rPr>
          <w:rFonts w:hint="eastAsia" w:ascii="宋体" w:hAnsi="宋体" w:cs="仿宋"/>
          <w:color w:val="auto"/>
          <w:spacing w:val="10"/>
          <w:szCs w:val="21"/>
        </w:rPr>
        <w:t>发包人</w:t>
      </w:r>
      <w:r>
        <w:rPr>
          <w:rFonts w:hint="eastAsia" w:ascii="宋体" w:hAnsi="宋体" w:cs="仿宋"/>
          <w:color w:val="auto"/>
          <w:szCs w:val="21"/>
        </w:rPr>
        <w:t>或</w:t>
      </w:r>
      <w:r>
        <w:rPr>
          <w:rFonts w:hint="eastAsia" w:ascii="宋体" w:hAnsi="宋体" w:cs="仿宋"/>
          <w:color w:val="auto"/>
          <w:spacing w:val="10"/>
          <w:szCs w:val="21"/>
        </w:rPr>
        <w:t>发包人</w:t>
      </w:r>
      <w:r>
        <w:rPr>
          <w:rFonts w:hint="eastAsia" w:ascii="宋体" w:hAnsi="宋体" w:cs="仿宋"/>
          <w:color w:val="auto"/>
          <w:szCs w:val="21"/>
        </w:rPr>
        <w:t>工作人员个人支付的费用等。</w:t>
      </w:r>
    </w:p>
    <w:p>
      <w:pPr>
        <w:spacing w:line="500" w:lineRule="exact"/>
        <w:ind w:firstLine="210" w:firstLineChars="100"/>
        <w:rPr>
          <w:rFonts w:hint="eastAsia" w:ascii="宋体" w:hAnsi="宋体" w:cs="仿宋"/>
          <w:color w:val="auto"/>
          <w:szCs w:val="21"/>
        </w:rPr>
      </w:pPr>
      <w:r>
        <w:rPr>
          <w:rFonts w:hint="eastAsia" w:ascii="宋体" w:hAnsi="宋体" w:cs="仿宋"/>
          <w:color w:val="auto"/>
          <w:szCs w:val="21"/>
        </w:rPr>
        <w:t>（2）发包人工作人员不得参加承包人安排的超标准宴请和娱乐活动；不得接受承包人提供的通讯工具、交通工具和高档办公用品等。</w:t>
      </w:r>
    </w:p>
    <w:p>
      <w:pPr>
        <w:spacing w:line="500" w:lineRule="exact"/>
        <w:ind w:firstLine="210" w:firstLineChars="100"/>
        <w:rPr>
          <w:rFonts w:hint="eastAsia" w:ascii="宋体" w:hAnsi="宋体" w:cs="仿宋"/>
          <w:color w:val="auto"/>
          <w:szCs w:val="21"/>
        </w:rPr>
      </w:pPr>
      <w:r>
        <w:rPr>
          <w:rFonts w:hint="eastAsia" w:ascii="宋体" w:hAnsi="宋体" w:cs="仿宋"/>
          <w:color w:val="auto"/>
          <w:szCs w:val="21"/>
        </w:rPr>
        <w:t>（3）发包人及其工作人员不得要求或者接受承包人为其住房装修、婚丧嫁娶活动、配偶子女的工作安排以及出国出境、旅游等提供方便等。</w:t>
      </w:r>
    </w:p>
    <w:p>
      <w:pPr>
        <w:spacing w:line="500" w:lineRule="exact"/>
        <w:ind w:firstLine="210" w:firstLineChars="100"/>
        <w:rPr>
          <w:rFonts w:hint="eastAsia" w:ascii="宋体" w:hAnsi="宋体" w:cs="仿宋"/>
          <w:color w:val="auto"/>
          <w:szCs w:val="21"/>
        </w:rPr>
      </w:pPr>
      <w:r>
        <w:rPr>
          <w:rFonts w:hint="eastAsia" w:ascii="宋体" w:hAnsi="宋体" w:cs="仿宋"/>
          <w:color w:val="auto"/>
          <w:szCs w:val="21"/>
        </w:rPr>
        <w:t>（4）发包人工作人员及其配偶、子女不得从事与发包人工程有关的材料设备供应、工程分包、劳务等经济活动等。</w:t>
      </w:r>
    </w:p>
    <w:p>
      <w:pPr>
        <w:spacing w:line="500" w:lineRule="exact"/>
        <w:ind w:firstLine="210" w:firstLineChars="100"/>
        <w:rPr>
          <w:rFonts w:hint="eastAsia" w:ascii="宋体" w:hAnsi="宋体" w:cs="仿宋"/>
          <w:color w:val="auto"/>
          <w:szCs w:val="21"/>
        </w:rPr>
      </w:pPr>
      <w:r>
        <w:rPr>
          <w:rFonts w:hint="eastAsia" w:ascii="宋体" w:hAnsi="宋体" w:cs="仿宋"/>
          <w:color w:val="auto"/>
          <w:szCs w:val="21"/>
        </w:rPr>
        <w:t>（5）发包人及其工作人员不得以任何理由向承包人推荐分包单位或推销材料，不得要求承包人购买合同规定外的材料和设备。</w:t>
      </w:r>
    </w:p>
    <w:p>
      <w:pPr>
        <w:spacing w:line="500" w:lineRule="exact"/>
        <w:ind w:firstLine="210" w:firstLineChars="100"/>
        <w:rPr>
          <w:rFonts w:hint="eastAsia" w:ascii="宋体" w:hAnsi="宋体" w:cs="仿宋"/>
          <w:color w:val="auto"/>
          <w:szCs w:val="21"/>
        </w:rPr>
      </w:pPr>
      <w:r>
        <w:rPr>
          <w:rFonts w:hint="eastAsia" w:ascii="宋体" w:hAnsi="宋体" w:cs="仿宋"/>
          <w:color w:val="auto"/>
          <w:szCs w:val="21"/>
        </w:rPr>
        <w:t>（6）发包人工作人员要秉公办事，不准营私舞弊，不准利用职权从事各种个人有偿中介活动和安排个人施工队伍。</w:t>
      </w:r>
    </w:p>
    <w:p>
      <w:pPr>
        <w:spacing w:line="500" w:lineRule="exact"/>
        <w:rPr>
          <w:rFonts w:hint="eastAsia" w:ascii="宋体" w:hAnsi="宋体" w:cs="仿宋"/>
          <w:color w:val="auto"/>
          <w:szCs w:val="21"/>
        </w:rPr>
      </w:pPr>
      <w:r>
        <w:rPr>
          <w:rFonts w:hint="eastAsia" w:ascii="宋体" w:hAnsi="宋体" w:cs="仿宋"/>
          <w:color w:val="auto"/>
          <w:spacing w:val="10"/>
          <w:szCs w:val="21"/>
        </w:rPr>
        <w:t>3.承包人的</w:t>
      </w:r>
      <w:r>
        <w:rPr>
          <w:rFonts w:hint="eastAsia" w:ascii="宋体" w:hAnsi="宋体" w:cs="仿宋"/>
          <w:color w:val="auto"/>
          <w:szCs w:val="21"/>
        </w:rPr>
        <w:t>义务</w:t>
      </w:r>
    </w:p>
    <w:p>
      <w:pPr>
        <w:spacing w:line="500" w:lineRule="exact"/>
        <w:rPr>
          <w:rFonts w:hint="eastAsia" w:ascii="宋体" w:hAnsi="宋体" w:cs="仿宋"/>
          <w:color w:val="auto"/>
          <w:szCs w:val="21"/>
        </w:rPr>
      </w:pPr>
      <w:r>
        <w:rPr>
          <w:rFonts w:hint="eastAsia" w:ascii="宋体" w:hAnsi="宋体" w:cs="仿宋"/>
          <w:color w:val="auto"/>
          <w:szCs w:val="21"/>
        </w:rPr>
        <w:t xml:space="preserve">   （1）</w:t>
      </w:r>
      <w:r>
        <w:rPr>
          <w:rFonts w:hint="eastAsia" w:ascii="宋体" w:hAnsi="宋体" w:cs="仿宋"/>
          <w:color w:val="auto"/>
          <w:spacing w:val="10"/>
          <w:szCs w:val="21"/>
        </w:rPr>
        <w:t>承包人</w:t>
      </w:r>
      <w:r>
        <w:rPr>
          <w:rFonts w:hint="eastAsia" w:ascii="宋体" w:hAnsi="宋体" w:cs="仿宋"/>
          <w:color w:val="auto"/>
          <w:szCs w:val="21"/>
        </w:rPr>
        <w:t>不得以任何理由向</w:t>
      </w:r>
      <w:r>
        <w:rPr>
          <w:rFonts w:hint="eastAsia" w:ascii="宋体" w:hAnsi="宋体" w:cs="仿宋"/>
          <w:color w:val="auto"/>
          <w:spacing w:val="10"/>
          <w:szCs w:val="21"/>
        </w:rPr>
        <w:t>发包人</w:t>
      </w:r>
      <w:r>
        <w:rPr>
          <w:rFonts w:hint="eastAsia" w:ascii="宋体" w:hAnsi="宋体" w:cs="仿宋"/>
          <w:color w:val="auto"/>
          <w:szCs w:val="21"/>
        </w:rPr>
        <w:t>及其工作人员行贿或馈赠礼金、有价证券、贵重礼品。</w:t>
      </w:r>
    </w:p>
    <w:p>
      <w:pPr>
        <w:spacing w:line="500" w:lineRule="exact"/>
        <w:rPr>
          <w:rFonts w:hint="eastAsia" w:ascii="宋体" w:hAnsi="宋体" w:cs="仿宋"/>
          <w:color w:val="auto"/>
          <w:szCs w:val="21"/>
        </w:rPr>
      </w:pPr>
      <w:r>
        <w:rPr>
          <w:rFonts w:hint="eastAsia" w:ascii="宋体" w:hAnsi="宋体" w:cs="仿宋"/>
          <w:color w:val="auto"/>
          <w:szCs w:val="21"/>
        </w:rPr>
        <w:t xml:space="preserve">   （2）</w:t>
      </w:r>
      <w:r>
        <w:rPr>
          <w:rFonts w:hint="eastAsia" w:ascii="宋体" w:hAnsi="宋体" w:cs="仿宋"/>
          <w:color w:val="auto"/>
          <w:spacing w:val="10"/>
          <w:szCs w:val="21"/>
        </w:rPr>
        <w:t>承包人</w:t>
      </w:r>
      <w:r>
        <w:rPr>
          <w:rFonts w:hint="eastAsia" w:ascii="宋体" w:hAnsi="宋体" w:cs="仿宋"/>
          <w:color w:val="auto"/>
          <w:szCs w:val="21"/>
        </w:rPr>
        <w:t>不得以任何名义为</w:t>
      </w:r>
      <w:r>
        <w:rPr>
          <w:rFonts w:hint="eastAsia" w:ascii="宋体" w:hAnsi="宋体" w:cs="仿宋"/>
          <w:color w:val="auto"/>
          <w:spacing w:val="10"/>
          <w:szCs w:val="21"/>
        </w:rPr>
        <w:t>发包人</w:t>
      </w:r>
      <w:r>
        <w:rPr>
          <w:rFonts w:hint="eastAsia" w:ascii="宋体" w:hAnsi="宋体" w:cs="仿宋"/>
          <w:color w:val="auto"/>
          <w:szCs w:val="21"/>
        </w:rPr>
        <w:t>及其工作人员报销应由</w:t>
      </w:r>
      <w:r>
        <w:rPr>
          <w:rFonts w:hint="eastAsia" w:ascii="宋体" w:hAnsi="宋体" w:cs="仿宋"/>
          <w:color w:val="auto"/>
          <w:spacing w:val="10"/>
          <w:szCs w:val="21"/>
        </w:rPr>
        <w:t>发包人</w:t>
      </w:r>
      <w:r>
        <w:rPr>
          <w:rFonts w:hint="eastAsia" w:ascii="宋体" w:hAnsi="宋体" w:cs="仿宋"/>
          <w:color w:val="auto"/>
          <w:szCs w:val="21"/>
        </w:rPr>
        <w:t>单位或个人支付的任何费用。</w:t>
      </w:r>
    </w:p>
    <w:p>
      <w:pPr>
        <w:spacing w:line="500" w:lineRule="exact"/>
        <w:rPr>
          <w:rFonts w:hint="eastAsia" w:ascii="宋体" w:hAnsi="宋体" w:cs="仿宋"/>
          <w:color w:val="auto"/>
          <w:szCs w:val="21"/>
        </w:rPr>
      </w:pPr>
      <w:r>
        <w:rPr>
          <w:rFonts w:hint="eastAsia" w:ascii="宋体" w:hAnsi="宋体" w:cs="仿宋"/>
          <w:color w:val="auto"/>
          <w:szCs w:val="21"/>
        </w:rPr>
        <w:t xml:space="preserve">   （3）</w:t>
      </w:r>
      <w:r>
        <w:rPr>
          <w:rFonts w:hint="eastAsia" w:ascii="宋体" w:hAnsi="宋体" w:cs="仿宋"/>
          <w:color w:val="auto"/>
          <w:spacing w:val="10"/>
          <w:szCs w:val="21"/>
        </w:rPr>
        <w:t>承包人</w:t>
      </w:r>
      <w:r>
        <w:rPr>
          <w:rFonts w:hint="eastAsia" w:ascii="宋体" w:hAnsi="宋体" w:cs="仿宋"/>
          <w:color w:val="auto"/>
          <w:szCs w:val="21"/>
        </w:rPr>
        <w:t>不得以任何理由安排</w:t>
      </w:r>
      <w:r>
        <w:rPr>
          <w:rFonts w:hint="eastAsia" w:ascii="宋体" w:hAnsi="宋体" w:cs="仿宋"/>
          <w:color w:val="auto"/>
          <w:spacing w:val="10"/>
          <w:szCs w:val="21"/>
        </w:rPr>
        <w:t>发包人</w:t>
      </w:r>
      <w:r>
        <w:rPr>
          <w:rFonts w:hint="eastAsia" w:ascii="宋体" w:hAnsi="宋体" w:cs="仿宋"/>
          <w:color w:val="auto"/>
          <w:szCs w:val="21"/>
        </w:rPr>
        <w:t>工作人员参加超标准宴请及娱乐活动。</w:t>
      </w:r>
    </w:p>
    <w:p>
      <w:pPr>
        <w:spacing w:line="500" w:lineRule="exact"/>
        <w:rPr>
          <w:rFonts w:hint="eastAsia" w:ascii="宋体" w:hAnsi="宋体" w:cs="仿宋"/>
          <w:color w:val="auto"/>
          <w:szCs w:val="21"/>
        </w:rPr>
      </w:pPr>
      <w:r>
        <w:rPr>
          <w:rFonts w:hint="eastAsia" w:ascii="宋体" w:hAnsi="宋体" w:cs="仿宋"/>
          <w:color w:val="auto"/>
          <w:szCs w:val="21"/>
        </w:rPr>
        <w:t xml:space="preserve">   （4）</w:t>
      </w:r>
      <w:r>
        <w:rPr>
          <w:rFonts w:hint="eastAsia" w:ascii="宋体" w:hAnsi="宋体" w:cs="仿宋"/>
          <w:color w:val="auto"/>
          <w:spacing w:val="10"/>
          <w:szCs w:val="21"/>
        </w:rPr>
        <w:t>承包人</w:t>
      </w:r>
      <w:r>
        <w:rPr>
          <w:rFonts w:hint="eastAsia" w:ascii="宋体" w:hAnsi="宋体" w:cs="仿宋"/>
          <w:color w:val="auto"/>
          <w:szCs w:val="21"/>
        </w:rPr>
        <w:t>不得为</w:t>
      </w:r>
      <w:r>
        <w:rPr>
          <w:rFonts w:hint="eastAsia" w:ascii="宋体" w:hAnsi="宋体" w:cs="仿宋"/>
          <w:color w:val="auto"/>
          <w:spacing w:val="10"/>
          <w:szCs w:val="21"/>
        </w:rPr>
        <w:t>发包人</w:t>
      </w:r>
      <w:r>
        <w:rPr>
          <w:rFonts w:hint="eastAsia" w:ascii="宋体" w:hAnsi="宋体" w:cs="仿宋"/>
          <w:color w:val="auto"/>
          <w:szCs w:val="21"/>
        </w:rPr>
        <w:t>单位和个人购置或提供通讯工具、交通工具和高档办公用品等。</w:t>
      </w:r>
    </w:p>
    <w:p>
      <w:pPr>
        <w:spacing w:line="500" w:lineRule="exact"/>
        <w:rPr>
          <w:rFonts w:hint="eastAsia" w:ascii="宋体" w:hAnsi="宋体" w:cs="仿宋"/>
          <w:color w:val="auto"/>
          <w:szCs w:val="21"/>
        </w:rPr>
      </w:pPr>
      <w:r>
        <w:rPr>
          <w:rFonts w:hint="eastAsia" w:ascii="宋体" w:hAnsi="宋体" w:cs="仿宋"/>
          <w:color w:val="auto"/>
          <w:szCs w:val="21"/>
        </w:rPr>
        <w:t>4.违约责任</w:t>
      </w:r>
    </w:p>
    <w:p>
      <w:pPr>
        <w:spacing w:line="500" w:lineRule="exact"/>
        <w:ind w:firstLine="210" w:firstLineChars="100"/>
        <w:rPr>
          <w:rFonts w:hint="eastAsia" w:ascii="宋体" w:hAnsi="宋体" w:cs="仿宋"/>
          <w:color w:val="auto"/>
          <w:szCs w:val="21"/>
        </w:rPr>
      </w:pPr>
      <w:r>
        <w:rPr>
          <w:rFonts w:hint="eastAsia" w:ascii="宋体" w:hAnsi="宋体" w:cs="仿宋"/>
          <w:color w:val="auto"/>
          <w:szCs w:val="21"/>
        </w:rPr>
        <w:t>（1）发包人及其工作人员违反本合同第1、2条，按管理权限，依据有关规定给予党纪、政纪或组织处理；涉嫌犯罪的，移交司法机关追究刑事责任；给承包人单位造成经济损失的，应予以赔偿。</w:t>
      </w:r>
    </w:p>
    <w:p>
      <w:pPr>
        <w:spacing w:line="500" w:lineRule="exact"/>
        <w:ind w:firstLine="210" w:firstLineChars="100"/>
        <w:rPr>
          <w:rFonts w:hint="eastAsia" w:ascii="宋体" w:hAnsi="宋体" w:cs="仿宋"/>
          <w:color w:val="auto"/>
          <w:szCs w:val="21"/>
        </w:rPr>
      </w:pPr>
      <w:r>
        <w:rPr>
          <w:rFonts w:hint="eastAsia" w:ascii="宋体" w:hAnsi="宋体" w:cs="仿宋"/>
          <w:color w:val="auto"/>
          <w:szCs w:val="21"/>
        </w:rPr>
        <w:t>（2）承包人及其工作人员违反本合同第1、3条，按管理权限，依据有关规定给予党纪、政纪或组织处理；给发包人造成经济损失的，应予以赔偿；情节严重的，发包人建议交通主管部门给予承包人一至三年内不得进入其主管的公路建设市场的处罚。</w:t>
      </w:r>
    </w:p>
    <w:p>
      <w:pPr>
        <w:spacing w:line="500" w:lineRule="exact"/>
        <w:ind w:firstLine="420" w:firstLineChars="200"/>
        <w:rPr>
          <w:rFonts w:hint="eastAsia" w:ascii="宋体" w:hAnsi="宋体" w:cs="仿宋"/>
          <w:color w:val="auto"/>
          <w:szCs w:val="21"/>
        </w:rPr>
      </w:pPr>
      <w:r>
        <w:rPr>
          <w:rFonts w:hint="eastAsia" w:ascii="宋体" w:hAnsi="宋体" w:cs="仿宋"/>
          <w:color w:val="auto"/>
          <w:szCs w:val="21"/>
        </w:rPr>
        <w:t>5.双方约定：本合同由双方或双方上级单位的纪检监察部门负责监督执行。由</w:t>
      </w:r>
      <w:r>
        <w:rPr>
          <w:rFonts w:hint="eastAsia" w:ascii="宋体" w:hAnsi="宋体" w:cs="仿宋"/>
          <w:color w:val="auto"/>
          <w:spacing w:val="10"/>
          <w:szCs w:val="21"/>
        </w:rPr>
        <w:t>发包人</w:t>
      </w:r>
      <w:r>
        <w:rPr>
          <w:rFonts w:hint="eastAsia" w:ascii="宋体" w:hAnsi="宋体" w:cs="仿宋"/>
          <w:color w:val="auto"/>
          <w:szCs w:val="21"/>
        </w:rPr>
        <w:t>或</w:t>
      </w:r>
      <w:r>
        <w:rPr>
          <w:rFonts w:hint="eastAsia" w:ascii="宋体" w:hAnsi="宋体" w:cs="仿宋"/>
          <w:color w:val="auto"/>
          <w:spacing w:val="10"/>
          <w:szCs w:val="21"/>
        </w:rPr>
        <w:t>发包人</w:t>
      </w:r>
      <w:r>
        <w:rPr>
          <w:rFonts w:hint="eastAsia" w:ascii="宋体" w:hAnsi="宋体" w:cs="仿宋"/>
          <w:color w:val="auto"/>
          <w:szCs w:val="21"/>
        </w:rPr>
        <w:t>上级单位的纪检监察部门约请</w:t>
      </w:r>
      <w:r>
        <w:rPr>
          <w:rFonts w:hint="eastAsia" w:ascii="宋体" w:hAnsi="宋体" w:cs="仿宋"/>
          <w:color w:val="auto"/>
          <w:spacing w:val="10"/>
          <w:szCs w:val="21"/>
        </w:rPr>
        <w:t>承包人</w:t>
      </w:r>
      <w:r>
        <w:rPr>
          <w:rFonts w:hint="eastAsia" w:ascii="宋体" w:hAnsi="宋体" w:cs="仿宋"/>
          <w:color w:val="auto"/>
          <w:szCs w:val="21"/>
        </w:rPr>
        <w:t>或</w:t>
      </w:r>
      <w:r>
        <w:rPr>
          <w:rFonts w:hint="eastAsia" w:ascii="宋体" w:hAnsi="宋体" w:cs="仿宋"/>
          <w:color w:val="auto"/>
          <w:spacing w:val="10"/>
          <w:szCs w:val="21"/>
        </w:rPr>
        <w:t>承包人</w:t>
      </w:r>
      <w:r>
        <w:rPr>
          <w:rFonts w:hint="eastAsia" w:ascii="宋体" w:hAnsi="宋体" w:cs="仿宋"/>
          <w:color w:val="auto"/>
          <w:szCs w:val="21"/>
        </w:rPr>
        <w:t>上级单位纪检监察部门对本合同执行情况进行检查，提出在本合同规定的范围内的裁定意见。</w:t>
      </w:r>
    </w:p>
    <w:p>
      <w:pPr>
        <w:spacing w:line="500" w:lineRule="exact"/>
        <w:ind w:firstLine="420" w:firstLineChars="200"/>
        <w:rPr>
          <w:rFonts w:hint="eastAsia" w:ascii="宋体" w:hAnsi="宋体" w:cs="仿宋"/>
          <w:color w:val="auto"/>
          <w:szCs w:val="21"/>
        </w:rPr>
      </w:pPr>
      <w:r>
        <w:rPr>
          <w:rFonts w:hint="eastAsia" w:ascii="宋体" w:hAnsi="宋体" w:cs="仿宋"/>
          <w:color w:val="auto"/>
          <w:szCs w:val="21"/>
        </w:rPr>
        <w:t>6.本合同有效期为</w:t>
      </w:r>
      <w:r>
        <w:rPr>
          <w:rFonts w:hint="eastAsia" w:ascii="宋体" w:hAnsi="宋体" w:cs="仿宋"/>
          <w:color w:val="auto"/>
          <w:spacing w:val="10"/>
          <w:szCs w:val="21"/>
        </w:rPr>
        <w:t>发包人和承包人</w:t>
      </w:r>
      <w:r>
        <w:rPr>
          <w:rFonts w:hint="eastAsia" w:ascii="宋体" w:hAnsi="宋体" w:cs="仿宋"/>
          <w:color w:val="auto"/>
          <w:szCs w:val="21"/>
        </w:rPr>
        <w:t>签署之日起至该工程项目竣工验收后止。</w:t>
      </w:r>
    </w:p>
    <w:p>
      <w:pPr>
        <w:spacing w:line="500" w:lineRule="exact"/>
        <w:ind w:firstLine="420" w:firstLineChars="200"/>
        <w:rPr>
          <w:rFonts w:hint="eastAsia" w:ascii="宋体" w:hAnsi="宋体"/>
          <w:b/>
          <w:color w:val="auto"/>
          <w:szCs w:val="21"/>
          <w:u w:val="single"/>
        </w:rPr>
      </w:pPr>
      <w:r>
        <w:rPr>
          <w:rFonts w:hint="eastAsia" w:ascii="宋体" w:hAnsi="宋体" w:cs="仿宋"/>
          <w:color w:val="auto"/>
          <w:szCs w:val="21"/>
        </w:rPr>
        <w:t>7.本合同作为</w:t>
      </w:r>
      <w:r>
        <w:rPr>
          <w:rFonts w:hint="eastAsia" w:ascii="宋体" w:hAnsi="宋体"/>
          <w:b/>
          <w:color w:val="auto"/>
          <w:szCs w:val="21"/>
          <w:u w:val="single"/>
        </w:rPr>
        <w:t xml:space="preserve"> </w:t>
      </w:r>
      <w:r>
        <w:rPr>
          <w:rFonts w:hint="eastAsia" w:ascii="宋体" w:hAnsi="宋体" w:eastAsia="宋体" w:cs="宋体"/>
          <w:b w:val="0"/>
          <w:bCs w:val="0"/>
          <w:color w:val="auto"/>
          <w:sz w:val="21"/>
          <w:szCs w:val="21"/>
          <w:u w:val="single"/>
          <w:lang w:eastAsia="zh-CN"/>
        </w:rPr>
        <w:t>灵川县灵川镇木马村委三排至车田优质稻产业基地内灌溉水渠工程</w:t>
      </w:r>
      <w:r>
        <w:rPr>
          <w:rFonts w:hint="eastAsia" w:ascii="宋体" w:hAnsi="宋体"/>
          <w:b/>
          <w:color w:val="auto"/>
          <w:szCs w:val="21"/>
          <w:u w:val="single"/>
        </w:rPr>
        <w:t xml:space="preserve"> </w:t>
      </w:r>
      <w:r>
        <w:rPr>
          <w:rFonts w:hint="eastAsia" w:ascii="宋体" w:hAnsi="宋体" w:cs="仿宋"/>
          <w:color w:val="auto"/>
          <w:szCs w:val="21"/>
        </w:rPr>
        <w:t>施工合同的附件，与工程施工合同具有同等的法律效力，经合同双方签署后立即生效。</w:t>
      </w:r>
    </w:p>
    <w:p>
      <w:pPr>
        <w:spacing w:line="500" w:lineRule="exact"/>
        <w:ind w:firstLine="420" w:firstLineChars="200"/>
        <w:rPr>
          <w:rFonts w:hint="eastAsia" w:ascii="宋体" w:hAnsi="宋体" w:cs="仿宋"/>
          <w:color w:val="auto"/>
          <w:szCs w:val="21"/>
        </w:rPr>
      </w:pPr>
      <w:r>
        <w:rPr>
          <w:rFonts w:hint="eastAsia" w:ascii="宋体" w:hAnsi="宋体" w:cs="仿宋"/>
          <w:color w:val="auto"/>
          <w:szCs w:val="21"/>
        </w:rPr>
        <w:t>8.本合同一式</w:t>
      </w:r>
      <w:r>
        <w:rPr>
          <w:rFonts w:hint="eastAsia" w:ascii="宋体" w:hAnsi="宋体" w:cs="仿宋"/>
          <w:color w:val="auto"/>
          <w:szCs w:val="21"/>
          <w:u w:val="single"/>
        </w:rPr>
        <w:t>陆</w:t>
      </w:r>
      <w:r>
        <w:rPr>
          <w:rFonts w:hint="eastAsia" w:ascii="宋体" w:hAnsi="宋体" w:cs="仿宋"/>
          <w:color w:val="auto"/>
          <w:szCs w:val="21"/>
        </w:rPr>
        <w:t>份，</w:t>
      </w:r>
      <w:r>
        <w:rPr>
          <w:rFonts w:hint="eastAsia" w:ascii="宋体" w:hAnsi="宋体" w:cs="仿宋"/>
          <w:color w:val="auto"/>
          <w:spacing w:val="10"/>
          <w:szCs w:val="21"/>
        </w:rPr>
        <w:t>发包人和承包人各</w:t>
      </w:r>
      <w:r>
        <w:rPr>
          <w:rFonts w:hint="eastAsia" w:ascii="宋体" w:hAnsi="宋体" w:cs="仿宋"/>
          <w:color w:val="auto"/>
          <w:szCs w:val="21"/>
        </w:rPr>
        <w:t>执</w:t>
      </w:r>
      <w:r>
        <w:rPr>
          <w:rFonts w:hint="eastAsia" w:ascii="宋体" w:hAnsi="宋体" w:cs="仿宋"/>
          <w:color w:val="auto"/>
          <w:szCs w:val="21"/>
          <w:u w:val="single"/>
        </w:rPr>
        <w:t>贰</w:t>
      </w:r>
      <w:r>
        <w:rPr>
          <w:rFonts w:hint="eastAsia" w:ascii="宋体" w:hAnsi="宋体" w:cs="仿宋"/>
          <w:color w:val="auto"/>
          <w:szCs w:val="21"/>
        </w:rPr>
        <w:t>份，送交</w:t>
      </w:r>
      <w:r>
        <w:rPr>
          <w:rFonts w:hint="eastAsia" w:ascii="宋体" w:hAnsi="宋体" w:cs="仿宋"/>
          <w:color w:val="auto"/>
          <w:spacing w:val="10"/>
          <w:szCs w:val="21"/>
        </w:rPr>
        <w:t>发包人和承包人</w:t>
      </w:r>
      <w:r>
        <w:rPr>
          <w:rFonts w:hint="eastAsia" w:ascii="宋体" w:hAnsi="宋体" w:cs="仿宋"/>
          <w:color w:val="auto"/>
          <w:szCs w:val="21"/>
        </w:rPr>
        <w:t>的监督单位各</w:t>
      </w:r>
      <w:r>
        <w:rPr>
          <w:rFonts w:hint="eastAsia" w:ascii="宋体" w:hAnsi="宋体" w:cs="仿宋"/>
          <w:color w:val="auto"/>
          <w:szCs w:val="21"/>
          <w:u w:val="single"/>
        </w:rPr>
        <w:t>壹份</w:t>
      </w:r>
      <w:r>
        <w:rPr>
          <w:rFonts w:hint="eastAsia" w:ascii="宋体" w:hAnsi="宋体" w:cs="仿宋"/>
          <w:color w:val="auto"/>
          <w:szCs w:val="21"/>
        </w:rPr>
        <w:t>。</w:t>
      </w:r>
    </w:p>
    <w:p>
      <w:pPr>
        <w:pStyle w:val="2"/>
        <w:spacing w:line="500" w:lineRule="exact"/>
        <w:rPr>
          <w:rFonts w:hint="eastAsia" w:ascii="宋体" w:hAnsi="宋体"/>
          <w:color w:val="auto"/>
          <w:sz w:val="21"/>
          <w:szCs w:val="21"/>
        </w:rPr>
      </w:pPr>
    </w:p>
    <w:p>
      <w:pPr>
        <w:pStyle w:val="28"/>
        <w:spacing w:line="360" w:lineRule="auto"/>
        <w:jc w:val="left"/>
        <w:rPr>
          <w:rFonts w:hint="default" w:hAnsi="宋体" w:eastAsia="宋体" w:cs="仿宋"/>
          <w:color w:val="auto"/>
          <w:szCs w:val="21"/>
          <w:u w:val="single"/>
          <w:lang w:val="en-US" w:eastAsia="zh-CN"/>
        </w:rPr>
      </w:pPr>
      <w:r>
        <w:rPr>
          <w:rFonts w:hint="eastAsia" w:hAnsi="宋体" w:cs="仿宋"/>
          <w:color w:val="auto"/>
          <w:szCs w:val="21"/>
        </w:rPr>
        <w:t>发包人：</w:t>
      </w:r>
      <w:r>
        <w:rPr>
          <w:rFonts w:hint="eastAsia" w:hAnsi="宋体" w:cs="仿宋"/>
          <w:color w:val="auto"/>
          <w:szCs w:val="21"/>
          <w:u w:val="single"/>
        </w:rPr>
        <w:t xml:space="preserve"> </w:t>
      </w:r>
      <w:r>
        <w:rPr>
          <w:rFonts w:hint="eastAsia" w:hAnsi="宋体" w:cs="仿宋"/>
          <w:color w:val="auto"/>
          <w:szCs w:val="21"/>
          <w:u w:val="single"/>
          <w:lang w:eastAsia="zh-CN"/>
        </w:rPr>
        <w:t xml:space="preserve">                </w:t>
      </w:r>
      <w:r>
        <w:rPr>
          <w:rFonts w:hint="eastAsia" w:hAnsi="宋体" w:cs="仿宋"/>
          <w:color w:val="auto"/>
          <w:szCs w:val="21"/>
          <w:u w:val="single"/>
        </w:rPr>
        <w:t xml:space="preserve">  </w:t>
      </w:r>
      <w:r>
        <w:rPr>
          <w:rFonts w:hint="eastAsia" w:hAnsi="宋体" w:cs="仿宋"/>
          <w:color w:val="auto"/>
          <w:szCs w:val="21"/>
        </w:rPr>
        <w:t xml:space="preserve">        </w:t>
      </w:r>
      <w:r>
        <w:rPr>
          <w:rFonts w:hint="eastAsia" w:hAnsi="宋体" w:cs="仿宋"/>
          <w:color w:val="auto"/>
          <w:szCs w:val="21"/>
          <w:lang w:val="en-US" w:eastAsia="zh-CN"/>
        </w:rPr>
        <w:t xml:space="preserve">                 </w:t>
      </w:r>
      <w:r>
        <w:rPr>
          <w:rFonts w:hint="eastAsia" w:hAnsi="宋体" w:cs="仿宋"/>
          <w:color w:val="auto"/>
          <w:szCs w:val="21"/>
        </w:rPr>
        <w:t>承包人：</w:t>
      </w:r>
      <w:r>
        <w:rPr>
          <w:rFonts w:hint="eastAsia" w:hAnsi="宋体" w:cs="仿宋"/>
          <w:color w:val="auto"/>
          <w:szCs w:val="21"/>
          <w:u w:val="single"/>
          <w:lang w:val="en-US" w:eastAsia="zh-CN"/>
        </w:rPr>
        <w:t xml:space="preserve">  </w:t>
      </w:r>
      <w:r>
        <w:rPr>
          <w:rFonts w:hint="eastAsia" w:hAnsi="宋体" w:cs="仿宋"/>
          <w:color w:val="auto"/>
          <w:szCs w:val="21"/>
          <w:u w:val="single"/>
          <w:lang w:eastAsia="zh-CN"/>
        </w:rPr>
        <w:t xml:space="preserve">                    </w:t>
      </w:r>
      <w:r>
        <w:rPr>
          <w:rFonts w:hint="eastAsia" w:hAnsi="宋体" w:cs="仿宋"/>
          <w:color w:val="auto"/>
          <w:szCs w:val="21"/>
          <w:u w:val="single"/>
          <w:lang w:val="en-US" w:eastAsia="zh-CN"/>
        </w:rPr>
        <w:t xml:space="preserve">   </w:t>
      </w:r>
    </w:p>
    <w:p>
      <w:pPr>
        <w:pStyle w:val="28"/>
        <w:spacing w:line="360" w:lineRule="auto"/>
        <w:jc w:val="left"/>
        <w:rPr>
          <w:rFonts w:hint="eastAsia" w:hAnsi="宋体" w:cs="仿宋"/>
          <w:color w:val="auto"/>
          <w:szCs w:val="21"/>
        </w:rPr>
      </w:pPr>
      <w:r>
        <w:rPr>
          <w:rFonts w:hint="eastAsia" w:hAnsi="宋体" w:cs="仿宋"/>
          <w:color w:val="auto"/>
          <w:szCs w:val="21"/>
        </w:rPr>
        <w:t xml:space="preserve">                                                 </w:t>
      </w:r>
    </w:p>
    <w:p>
      <w:pPr>
        <w:spacing w:line="360" w:lineRule="auto"/>
        <w:rPr>
          <w:rFonts w:hint="eastAsia" w:ascii="宋体" w:hAnsi="宋体" w:cs="仿宋"/>
          <w:color w:val="auto"/>
          <w:szCs w:val="21"/>
          <w:u w:val="single"/>
        </w:rPr>
      </w:pPr>
      <w:r>
        <w:rPr>
          <w:rFonts w:hint="eastAsia" w:ascii="宋体" w:hAnsi="宋体" w:cs="仿宋"/>
          <w:color w:val="auto"/>
          <w:szCs w:val="21"/>
        </w:rPr>
        <w:t>法定代表人或其委托代理人 ：</w:t>
      </w:r>
      <w:r>
        <w:rPr>
          <w:rFonts w:hint="eastAsia" w:ascii="宋体" w:hAnsi="宋体" w:cs="仿宋"/>
          <w:color w:val="auto"/>
          <w:szCs w:val="21"/>
          <w:u w:val="single"/>
        </w:rPr>
        <w:t xml:space="preserve">             </w:t>
      </w:r>
      <w:r>
        <w:rPr>
          <w:rFonts w:hint="eastAsia" w:ascii="宋体" w:hAnsi="宋体" w:cs="仿宋"/>
          <w:color w:val="auto"/>
          <w:szCs w:val="21"/>
        </w:rPr>
        <w:t xml:space="preserve">          法定代表人或其委托代理人 ：</w:t>
      </w:r>
      <w:r>
        <w:rPr>
          <w:rFonts w:hint="eastAsia" w:ascii="宋体" w:hAnsi="宋体" w:cs="仿宋"/>
          <w:color w:val="auto"/>
          <w:szCs w:val="21"/>
          <w:u w:val="single"/>
        </w:rPr>
        <w:t xml:space="preserve">                 </w:t>
      </w:r>
    </w:p>
    <w:p>
      <w:pPr>
        <w:spacing w:line="360" w:lineRule="auto"/>
        <w:rPr>
          <w:rFonts w:hint="eastAsia" w:ascii="宋体" w:hAnsi="宋体"/>
          <w:color w:val="auto"/>
          <w:szCs w:val="21"/>
        </w:rPr>
      </w:pPr>
      <w:r>
        <w:rPr>
          <w:rFonts w:hint="eastAsia" w:ascii="宋体" w:hAnsi="宋体" w:cs="仿宋"/>
          <w:color w:val="auto"/>
          <w:szCs w:val="21"/>
        </w:rPr>
        <w:t xml:space="preserve"> </w:t>
      </w:r>
      <w:r>
        <w:rPr>
          <w:rFonts w:hint="eastAsia" w:ascii="宋体" w:hAnsi="宋体" w:cs="仿宋"/>
          <w:color w:val="auto"/>
          <w:szCs w:val="21"/>
          <w:u w:val="single"/>
        </w:rPr>
        <w:t xml:space="preserve">       </w:t>
      </w:r>
      <w:r>
        <w:rPr>
          <w:rFonts w:hint="eastAsia" w:ascii="宋体" w:hAnsi="宋体" w:cs="仿宋"/>
          <w:color w:val="auto"/>
          <w:szCs w:val="21"/>
        </w:rPr>
        <w:t xml:space="preserve">年 </w:t>
      </w:r>
      <w:r>
        <w:rPr>
          <w:rFonts w:hint="eastAsia" w:ascii="宋体" w:hAnsi="宋体" w:cs="仿宋"/>
          <w:color w:val="auto"/>
          <w:szCs w:val="21"/>
          <w:u w:val="single"/>
        </w:rPr>
        <w:t xml:space="preserve">   </w:t>
      </w:r>
      <w:r>
        <w:rPr>
          <w:rFonts w:hint="eastAsia" w:ascii="宋体" w:hAnsi="宋体" w:cs="仿宋"/>
          <w:color w:val="auto"/>
          <w:szCs w:val="21"/>
        </w:rPr>
        <w:t>月</w:t>
      </w:r>
      <w:r>
        <w:rPr>
          <w:rFonts w:hint="eastAsia" w:ascii="宋体" w:hAnsi="宋体" w:cs="仿宋"/>
          <w:color w:val="auto"/>
          <w:szCs w:val="21"/>
          <w:u w:val="single"/>
        </w:rPr>
        <w:t xml:space="preserve">   </w:t>
      </w:r>
      <w:r>
        <w:rPr>
          <w:rFonts w:hint="eastAsia" w:ascii="宋体" w:hAnsi="宋体" w:cs="仿宋"/>
          <w:color w:val="auto"/>
          <w:szCs w:val="21"/>
        </w:rPr>
        <w:t xml:space="preserve">日                                  </w:t>
      </w:r>
      <w:r>
        <w:rPr>
          <w:rFonts w:hint="eastAsia" w:ascii="宋体" w:hAnsi="宋体" w:cs="仿宋"/>
          <w:color w:val="auto"/>
          <w:szCs w:val="21"/>
          <w:u w:val="single"/>
        </w:rPr>
        <w:t xml:space="preserve">       </w:t>
      </w:r>
      <w:r>
        <w:rPr>
          <w:rFonts w:hint="eastAsia" w:ascii="宋体" w:hAnsi="宋体" w:cs="仿宋"/>
          <w:color w:val="auto"/>
          <w:szCs w:val="21"/>
        </w:rPr>
        <w:t xml:space="preserve">年 </w:t>
      </w:r>
      <w:r>
        <w:rPr>
          <w:rFonts w:hint="eastAsia" w:ascii="宋体" w:hAnsi="宋体" w:cs="仿宋"/>
          <w:color w:val="auto"/>
          <w:szCs w:val="21"/>
          <w:u w:val="single"/>
        </w:rPr>
        <w:t xml:space="preserve">   </w:t>
      </w:r>
      <w:r>
        <w:rPr>
          <w:rFonts w:hint="eastAsia" w:ascii="宋体" w:hAnsi="宋体" w:cs="仿宋"/>
          <w:color w:val="auto"/>
          <w:szCs w:val="21"/>
        </w:rPr>
        <w:t>月</w:t>
      </w:r>
      <w:r>
        <w:rPr>
          <w:rFonts w:hint="eastAsia" w:ascii="宋体" w:hAnsi="宋体" w:cs="仿宋"/>
          <w:color w:val="auto"/>
          <w:szCs w:val="21"/>
          <w:u w:val="single"/>
        </w:rPr>
        <w:t xml:space="preserve">   </w:t>
      </w:r>
      <w:r>
        <w:rPr>
          <w:rFonts w:hint="eastAsia" w:ascii="宋体" w:hAnsi="宋体" w:cs="仿宋"/>
          <w:color w:val="auto"/>
          <w:szCs w:val="21"/>
        </w:rPr>
        <w:t>日</w:t>
      </w:r>
    </w:p>
    <w:p>
      <w:pPr>
        <w:rPr>
          <w:color w:val="auto"/>
        </w:rPr>
      </w:pPr>
      <w:r>
        <w:rPr>
          <w:color w:val="auto"/>
        </w:rPr>
        <w:br w:type="page"/>
      </w:r>
    </w:p>
    <w:p>
      <w:pPr>
        <w:pStyle w:val="2"/>
        <w:rPr>
          <w:color w:val="auto"/>
        </w:rPr>
      </w:pPr>
    </w:p>
    <w:p>
      <w:pPr>
        <w:jc w:val="center"/>
        <w:outlineLvl w:val="0"/>
        <w:rPr>
          <w:rFonts w:eastAsia="华文中宋" w:cs="华文中宋"/>
          <w:b/>
          <w:bCs/>
          <w:color w:val="auto"/>
          <w:sz w:val="32"/>
          <w:szCs w:val="32"/>
        </w:rPr>
      </w:pPr>
      <w:bookmarkStart w:id="435" w:name="_Toc4230"/>
      <w:bookmarkStart w:id="436" w:name="_Toc11163"/>
      <w:bookmarkStart w:id="437" w:name="_Toc2274"/>
      <w:r>
        <w:rPr>
          <w:rFonts w:hint="eastAsia" w:eastAsia="华文中宋" w:cs="华文中宋"/>
          <w:b/>
          <w:bCs/>
          <w:color w:val="auto"/>
          <w:sz w:val="32"/>
          <w:szCs w:val="32"/>
        </w:rPr>
        <w:t xml:space="preserve">第六章  </w:t>
      </w:r>
      <w:bookmarkEnd w:id="273"/>
      <w:bookmarkEnd w:id="274"/>
      <w:bookmarkStart w:id="438" w:name="_Toc13185"/>
      <w:r>
        <w:rPr>
          <w:rFonts w:hint="eastAsia" w:eastAsia="华文中宋" w:cs="华文中宋"/>
          <w:b/>
          <w:bCs/>
          <w:color w:val="auto"/>
          <w:sz w:val="32"/>
          <w:szCs w:val="32"/>
        </w:rPr>
        <w:t>响应文件（格式）</w:t>
      </w:r>
      <w:bookmarkEnd w:id="435"/>
      <w:bookmarkEnd w:id="436"/>
      <w:bookmarkEnd w:id="437"/>
      <w:bookmarkEnd w:id="438"/>
    </w:p>
    <w:p>
      <w:pPr>
        <w:rPr>
          <w:rFonts w:cs="宋体"/>
          <w:color w:val="auto"/>
        </w:rPr>
      </w:pPr>
    </w:p>
    <w:p>
      <w:pPr>
        <w:pStyle w:val="28"/>
        <w:outlineLvl w:val="1"/>
        <w:rPr>
          <w:rFonts w:ascii="Times New Roman" w:hAnsi="Times New Roman" w:cs="宋体"/>
          <w:b/>
          <w:color w:val="auto"/>
          <w:sz w:val="32"/>
        </w:rPr>
      </w:pPr>
      <w:bookmarkStart w:id="439" w:name="_Toc13321"/>
      <w:bookmarkStart w:id="440" w:name="_Toc497927069"/>
      <w:bookmarkStart w:id="441" w:name="_Toc18351"/>
      <w:bookmarkStart w:id="442" w:name="_Toc32435"/>
      <w:bookmarkStart w:id="443" w:name="_Toc21496"/>
      <w:r>
        <w:rPr>
          <w:rFonts w:hint="eastAsia" w:ascii="Times New Roman" w:hAnsi="Times New Roman" w:cs="宋体"/>
          <w:b/>
          <w:color w:val="auto"/>
          <w:sz w:val="32"/>
        </w:rPr>
        <w:t>一、响应文件标记</w:t>
      </w:r>
      <w:bookmarkEnd w:id="439"/>
      <w:bookmarkEnd w:id="440"/>
      <w:bookmarkEnd w:id="441"/>
      <w:bookmarkEnd w:id="442"/>
      <w:bookmarkEnd w:id="443"/>
    </w:p>
    <w:p>
      <w:pPr>
        <w:adjustRightInd w:val="0"/>
        <w:snapToGrid w:val="0"/>
        <w:rPr>
          <w:rFonts w:cs="宋体"/>
          <w:b/>
          <w:color w:val="auto"/>
          <w:sz w:val="44"/>
          <w:szCs w:val="44"/>
        </w:rPr>
      </w:pPr>
    </w:p>
    <w:p>
      <w:pPr>
        <w:pStyle w:val="365"/>
        <w:rPr>
          <w:rFonts w:cs="宋体"/>
          <w:color w:val="auto"/>
        </w:rPr>
      </w:pPr>
    </w:p>
    <w:p>
      <w:pPr>
        <w:snapToGrid w:val="0"/>
        <w:spacing w:before="120" w:beforeLines="50" w:after="50"/>
        <w:jc w:val="center"/>
        <w:rPr>
          <w:rFonts w:cs="宋体"/>
          <w:b/>
          <w:color w:val="auto"/>
          <w:sz w:val="36"/>
          <w:szCs w:val="36"/>
        </w:rPr>
      </w:pPr>
      <w:r>
        <w:rPr>
          <w:rFonts w:hint="eastAsia" w:cs="宋体"/>
          <w:b/>
          <w:color w:val="auto"/>
          <w:sz w:val="36"/>
          <w:szCs w:val="36"/>
        </w:rPr>
        <w:t>响 应 文 件</w:t>
      </w:r>
    </w:p>
    <w:p>
      <w:pPr>
        <w:snapToGrid w:val="0"/>
        <w:spacing w:before="120" w:beforeLines="50" w:after="50"/>
        <w:ind w:firstLine="480" w:firstLineChars="150"/>
        <w:rPr>
          <w:rFonts w:cs="宋体"/>
          <w:b/>
          <w:color w:val="auto"/>
          <w:sz w:val="28"/>
          <w:szCs w:val="28"/>
        </w:rPr>
      </w:pPr>
      <w:r>
        <w:rPr>
          <w:rFonts w:hint="eastAsia" w:cs="宋体"/>
          <w:color w:val="auto"/>
          <w:sz w:val="32"/>
          <w:szCs w:val="32"/>
        </w:rPr>
        <w:t xml:space="preserve">                       </w:t>
      </w:r>
    </w:p>
    <w:p>
      <w:pPr>
        <w:snapToGrid w:val="0"/>
        <w:spacing w:before="120" w:beforeLines="50" w:after="50"/>
        <w:ind w:firstLine="422" w:firstLineChars="150"/>
        <w:rPr>
          <w:rFonts w:cs="宋体"/>
          <w:b/>
          <w:color w:val="auto"/>
          <w:sz w:val="28"/>
          <w:szCs w:val="28"/>
        </w:rPr>
      </w:pPr>
    </w:p>
    <w:p>
      <w:pPr>
        <w:snapToGrid w:val="0"/>
        <w:spacing w:before="120" w:beforeLines="50" w:after="50"/>
        <w:ind w:firstLine="422" w:firstLineChars="150"/>
        <w:rPr>
          <w:rFonts w:cs="宋体"/>
          <w:b/>
          <w:color w:val="auto"/>
          <w:sz w:val="28"/>
          <w:szCs w:val="28"/>
        </w:rPr>
      </w:pPr>
    </w:p>
    <w:p>
      <w:pPr>
        <w:snapToGrid w:val="0"/>
        <w:spacing w:before="120" w:beforeLines="50" w:after="50"/>
        <w:ind w:firstLine="2249" w:firstLineChars="800"/>
        <w:rPr>
          <w:rFonts w:cs="宋体"/>
          <w:b/>
          <w:color w:val="auto"/>
          <w:sz w:val="28"/>
          <w:szCs w:val="28"/>
          <w:u w:val="single"/>
        </w:rPr>
      </w:pPr>
      <w:r>
        <w:rPr>
          <w:rFonts w:hint="eastAsia" w:cs="宋体"/>
          <w:b/>
          <w:color w:val="auto"/>
          <w:sz w:val="28"/>
          <w:szCs w:val="28"/>
        </w:rPr>
        <w:t>项目名称：</w:t>
      </w:r>
      <w:r>
        <w:rPr>
          <w:rFonts w:hint="eastAsia" w:cs="宋体"/>
          <w:b/>
          <w:bCs/>
          <w:color w:val="auto"/>
          <w:sz w:val="28"/>
          <w:szCs w:val="28"/>
          <w:u w:val="single"/>
        </w:rPr>
        <w:t xml:space="preserve">                       </w:t>
      </w:r>
      <w:r>
        <w:rPr>
          <w:rFonts w:hint="eastAsia" w:cs="宋体"/>
          <w:color w:val="auto"/>
          <w:sz w:val="18"/>
          <w:szCs w:val="18"/>
        </w:rPr>
        <w:t xml:space="preserve">  </w:t>
      </w:r>
    </w:p>
    <w:p>
      <w:pPr>
        <w:snapToGrid w:val="0"/>
        <w:spacing w:before="120" w:beforeLines="50" w:after="50"/>
        <w:ind w:firstLine="2704" w:firstLineChars="962"/>
        <w:rPr>
          <w:rFonts w:cs="宋体"/>
          <w:b/>
          <w:color w:val="auto"/>
          <w:sz w:val="28"/>
          <w:szCs w:val="28"/>
        </w:rPr>
      </w:pPr>
    </w:p>
    <w:p>
      <w:pPr>
        <w:snapToGrid w:val="0"/>
        <w:spacing w:before="120" w:beforeLines="50" w:after="50"/>
        <w:ind w:firstLine="2249" w:firstLineChars="800"/>
        <w:rPr>
          <w:rFonts w:cs="宋体"/>
          <w:b/>
          <w:color w:val="auto"/>
          <w:sz w:val="28"/>
          <w:szCs w:val="28"/>
        </w:rPr>
      </w:pPr>
      <w:r>
        <w:rPr>
          <w:rFonts w:hint="eastAsia" w:cs="宋体"/>
          <w:b/>
          <w:color w:val="auto"/>
          <w:sz w:val="28"/>
          <w:szCs w:val="28"/>
        </w:rPr>
        <w:t>项目编号：</w:t>
      </w:r>
      <w:r>
        <w:rPr>
          <w:rFonts w:hint="eastAsia" w:cs="宋体"/>
          <w:b/>
          <w:color w:val="auto"/>
          <w:sz w:val="28"/>
          <w:szCs w:val="28"/>
          <w:u w:val="single"/>
        </w:rPr>
        <w:t xml:space="preserve">                       </w:t>
      </w:r>
    </w:p>
    <w:p>
      <w:pPr>
        <w:rPr>
          <w:rFonts w:cs="宋体"/>
          <w:b/>
          <w:color w:val="auto"/>
        </w:rPr>
      </w:pPr>
    </w:p>
    <w:p>
      <w:pPr>
        <w:spacing w:line="400" w:lineRule="exact"/>
        <w:ind w:firstLine="2704" w:firstLineChars="962"/>
        <w:rPr>
          <w:rFonts w:cs="宋体"/>
          <w:b/>
          <w:color w:val="auto"/>
          <w:sz w:val="28"/>
          <w:szCs w:val="28"/>
        </w:rPr>
      </w:pPr>
    </w:p>
    <w:p>
      <w:pPr>
        <w:pStyle w:val="365"/>
        <w:rPr>
          <w:rFonts w:cs="宋体"/>
          <w:b/>
          <w:color w:val="auto"/>
          <w:sz w:val="28"/>
          <w:szCs w:val="28"/>
        </w:rPr>
      </w:pPr>
    </w:p>
    <w:p>
      <w:pPr>
        <w:pStyle w:val="365"/>
        <w:rPr>
          <w:rFonts w:cs="宋体"/>
          <w:b/>
          <w:color w:val="auto"/>
          <w:sz w:val="28"/>
          <w:szCs w:val="28"/>
        </w:rPr>
      </w:pPr>
    </w:p>
    <w:p>
      <w:pPr>
        <w:pStyle w:val="365"/>
        <w:rPr>
          <w:rFonts w:cs="宋体"/>
          <w:b/>
          <w:color w:val="auto"/>
          <w:sz w:val="28"/>
          <w:szCs w:val="28"/>
        </w:rPr>
      </w:pPr>
    </w:p>
    <w:p>
      <w:pPr>
        <w:snapToGrid w:val="0"/>
        <w:spacing w:before="120" w:beforeLines="50" w:after="50"/>
        <w:ind w:firstLine="2249" w:firstLineChars="800"/>
        <w:rPr>
          <w:rFonts w:cs="宋体"/>
          <w:b/>
          <w:color w:val="auto"/>
          <w:sz w:val="28"/>
          <w:szCs w:val="28"/>
          <w:u w:val="single"/>
        </w:rPr>
      </w:pPr>
      <w:r>
        <w:rPr>
          <w:rFonts w:hint="eastAsia" w:cs="宋体"/>
          <w:b/>
          <w:color w:val="auto"/>
          <w:sz w:val="28"/>
          <w:szCs w:val="28"/>
        </w:rPr>
        <w:t>采购代理机构：</w:t>
      </w:r>
      <w:r>
        <w:rPr>
          <w:rFonts w:hint="eastAsia" w:cs="宋体"/>
          <w:b/>
          <w:color w:val="auto"/>
          <w:sz w:val="28"/>
          <w:szCs w:val="28"/>
          <w:u w:val="single"/>
        </w:rPr>
        <w:t xml:space="preserve"> 广西科联招标中心有限公司   </w:t>
      </w:r>
    </w:p>
    <w:p>
      <w:pPr>
        <w:pStyle w:val="365"/>
        <w:rPr>
          <w:color w:val="auto"/>
        </w:rPr>
      </w:pPr>
    </w:p>
    <w:p>
      <w:pPr>
        <w:pStyle w:val="22"/>
        <w:spacing w:line="440" w:lineRule="exact"/>
        <w:ind w:left="900" w:hanging="480" w:hangingChars="200"/>
        <w:rPr>
          <w:rFonts w:cs="宋体"/>
          <w:bCs/>
          <w:color w:val="auto"/>
          <w:sz w:val="24"/>
        </w:rPr>
      </w:pPr>
    </w:p>
    <w:p>
      <w:pPr>
        <w:pStyle w:val="22"/>
        <w:spacing w:line="440" w:lineRule="exact"/>
        <w:ind w:left="900" w:hanging="480" w:hangingChars="200"/>
        <w:rPr>
          <w:rFonts w:cs="宋体"/>
          <w:bCs/>
          <w:color w:val="auto"/>
          <w:sz w:val="24"/>
        </w:rPr>
      </w:pPr>
    </w:p>
    <w:p>
      <w:pPr>
        <w:pStyle w:val="22"/>
        <w:spacing w:line="440" w:lineRule="exact"/>
        <w:ind w:left="900" w:hanging="480" w:hangingChars="200"/>
        <w:rPr>
          <w:rFonts w:cs="宋体"/>
          <w:bCs/>
          <w:color w:val="auto"/>
          <w:sz w:val="24"/>
        </w:rPr>
      </w:pPr>
    </w:p>
    <w:p>
      <w:pPr>
        <w:pStyle w:val="22"/>
        <w:spacing w:line="440" w:lineRule="exact"/>
        <w:ind w:left="900" w:hanging="480" w:hangingChars="200"/>
        <w:rPr>
          <w:rFonts w:cs="宋体"/>
          <w:bCs/>
          <w:color w:val="auto"/>
          <w:sz w:val="24"/>
        </w:rPr>
      </w:pPr>
    </w:p>
    <w:p>
      <w:pPr>
        <w:pStyle w:val="22"/>
        <w:spacing w:line="440" w:lineRule="exact"/>
        <w:ind w:left="900" w:hanging="480" w:hangingChars="200"/>
        <w:rPr>
          <w:rFonts w:cs="宋体"/>
          <w:bCs/>
          <w:color w:val="auto"/>
          <w:sz w:val="24"/>
        </w:rPr>
      </w:pPr>
    </w:p>
    <w:p>
      <w:pPr>
        <w:outlineLvl w:val="1"/>
        <w:rPr>
          <w:rFonts w:cs="宋体"/>
          <w:b/>
          <w:bCs/>
          <w:color w:val="auto"/>
          <w:sz w:val="32"/>
          <w:szCs w:val="32"/>
        </w:rPr>
      </w:pPr>
      <w:bookmarkStart w:id="444" w:name="_Toc21615"/>
      <w:bookmarkStart w:id="445" w:name="_Toc497927070"/>
      <w:bookmarkStart w:id="446" w:name="_Toc19430"/>
      <w:r>
        <w:rPr>
          <w:rFonts w:hint="eastAsia" w:cs="宋体"/>
          <w:b/>
          <w:bCs/>
          <w:color w:val="auto"/>
          <w:sz w:val="32"/>
          <w:szCs w:val="32"/>
        </w:rPr>
        <w:br w:type="page"/>
      </w:r>
      <w:bookmarkStart w:id="447" w:name="_Toc22592"/>
      <w:bookmarkStart w:id="448" w:name="_Toc12538"/>
      <w:r>
        <w:rPr>
          <w:rFonts w:hint="eastAsia" w:cs="宋体"/>
          <w:b/>
          <w:bCs/>
          <w:color w:val="auto"/>
          <w:sz w:val="32"/>
          <w:szCs w:val="32"/>
        </w:rPr>
        <w:t>二、响应文件组成</w:t>
      </w:r>
      <w:bookmarkEnd w:id="444"/>
      <w:bookmarkEnd w:id="445"/>
      <w:bookmarkEnd w:id="446"/>
      <w:bookmarkEnd w:id="447"/>
      <w:bookmarkEnd w:id="448"/>
    </w:p>
    <w:p>
      <w:pPr>
        <w:pStyle w:val="21"/>
        <w:rPr>
          <w:rFonts w:cs="宋体"/>
          <w:color w:val="auto"/>
        </w:rPr>
      </w:pPr>
    </w:p>
    <w:p>
      <w:pPr>
        <w:pStyle w:val="21"/>
        <w:rPr>
          <w:rFonts w:cs="宋体"/>
          <w:b/>
          <w:bCs/>
          <w:color w:val="auto"/>
          <w:sz w:val="28"/>
          <w:szCs w:val="28"/>
        </w:rPr>
      </w:pPr>
    </w:p>
    <w:p>
      <w:pPr>
        <w:numPr>
          <w:ilvl w:val="0"/>
          <w:numId w:val="6"/>
        </w:numPr>
        <w:spacing w:line="400" w:lineRule="exact"/>
        <w:ind w:firstLine="568" w:firstLineChars="202"/>
        <w:rPr>
          <w:rFonts w:cs="宋体"/>
          <w:b/>
          <w:bCs/>
          <w:color w:val="auto"/>
          <w:sz w:val="28"/>
          <w:szCs w:val="28"/>
        </w:rPr>
      </w:pPr>
      <w:r>
        <w:rPr>
          <w:rFonts w:hint="eastAsia" w:cs="宋体"/>
          <w:b/>
          <w:bCs/>
          <w:color w:val="auto"/>
          <w:sz w:val="28"/>
          <w:szCs w:val="28"/>
        </w:rPr>
        <w:t>资格性响应证明材料</w:t>
      </w:r>
    </w:p>
    <w:p>
      <w:pPr>
        <w:pStyle w:val="21"/>
        <w:rPr>
          <w:rFonts w:cs="宋体"/>
          <w:b/>
          <w:bCs/>
          <w:color w:val="auto"/>
          <w:sz w:val="28"/>
          <w:szCs w:val="28"/>
        </w:rPr>
      </w:pPr>
    </w:p>
    <w:p>
      <w:pPr>
        <w:pStyle w:val="21"/>
        <w:rPr>
          <w:rFonts w:cs="宋体"/>
          <w:b/>
          <w:bCs/>
          <w:color w:val="auto"/>
          <w:sz w:val="28"/>
          <w:szCs w:val="28"/>
        </w:rPr>
      </w:pPr>
    </w:p>
    <w:p>
      <w:pPr>
        <w:numPr>
          <w:ilvl w:val="0"/>
          <w:numId w:val="6"/>
        </w:numPr>
        <w:spacing w:line="400" w:lineRule="exact"/>
        <w:ind w:firstLine="568" w:firstLineChars="202"/>
        <w:rPr>
          <w:rFonts w:cs="宋体"/>
          <w:b/>
          <w:bCs/>
          <w:color w:val="auto"/>
          <w:sz w:val="28"/>
          <w:szCs w:val="28"/>
        </w:rPr>
      </w:pPr>
      <w:r>
        <w:rPr>
          <w:rFonts w:hint="eastAsia" w:cs="宋体"/>
          <w:b/>
          <w:bCs/>
          <w:color w:val="auto"/>
          <w:sz w:val="28"/>
          <w:szCs w:val="28"/>
        </w:rPr>
        <w:t>符合性响应证明材料</w:t>
      </w:r>
    </w:p>
    <w:p>
      <w:pPr>
        <w:pStyle w:val="21"/>
        <w:rPr>
          <w:rFonts w:cs="宋体"/>
          <w:b/>
          <w:bCs/>
          <w:color w:val="auto"/>
          <w:sz w:val="28"/>
          <w:szCs w:val="28"/>
        </w:rPr>
      </w:pPr>
    </w:p>
    <w:p>
      <w:pPr>
        <w:pStyle w:val="21"/>
        <w:rPr>
          <w:rFonts w:cs="宋体"/>
          <w:b/>
          <w:bCs/>
          <w:color w:val="auto"/>
          <w:sz w:val="28"/>
          <w:szCs w:val="28"/>
        </w:rPr>
      </w:pPr>
    </w:p>
    <w:p>
      <w:pPr>
        <w:numPr>
          <w:ilvl w:val="0"/>
          <w:numId w:val="6"/>
        </w:numPr>
        <w:spacing w:line="400" w:lineRule="exact"/>
        <w:ind w:firstLine="568" w:firstLineChars="202"/>
        <w:rPr>
          <w:rFonts w:cs="宋体"/>
          <w:b/>
          <w:bCs/>
          <w:color w:val="auto"/>
          <w:sz w:val="28"/>
          <w:szCs w:val="28"/>
        </w:rPr>
      </w:pPr>
      <w:r>
        <w:rPr>
          <w:rFonts w:hint="eastAsia" w:cs="宋体"/>
          <w:b/>
          <w:bCs/>
          <w:color w:val="auto"/>
          <w:sz w:val="28"/>
          <w:szCs w:val="28"/>
        </w:rPr>
        <w:t>其他有效证明材料</w:t>
      </w:r>
    </w:p>
    <w:p>
      <w:pPr>
        <w:pStyle w:val="365"/>
        <w:rPr>
          <w:rFonts w:cs="宋体"/>
          <w:color w:val="auto"/>
        </w:rPr>
      </w:pPr>
    </w:p>
    <w:p>
      <w:pPr>
        <w:tabs>
          <w:tab w:val="left" w:pos="5040"/>
        </w:tabs>
        <w:spacing w:line="400" w:lineRule="exact"/>
        <w:rPr>
          <w:rFonts w:cs="宋体"/>
          <w:color w:val="auto"/>
          <w:szCs w:val="21"/>
        </w:rPr>
      </w:pPr>
    </w:p>
    <w:p>
      <w:pPr>
        <w:pStyle w:val="365"/>
        <w:rPr>
          <w:rFonts w:cs="宋体"/>
          <w:color w:val="auto"/>
          <w:szCs w:val="21"/>
        </w:rPr>
      </w:pPr>
    </w:p>
    <w:p>
      <w:pPr>
        <w:pStyle w:val="365"/>
        <w:rPr>
          <w:rFonts w:cs="宋体"/>
          <w:color w:val="auto"/>
          <w:szCs w:val="21"/>
        </w:rPr>
      </w:pPr>
    </w:p>
    <w:p>
      <w:pPr>
        <w:pStyle w:val="365"/>
        <w:rPr>
          <w:rFonts w:cs="宋体"/>
          <w:color w:val="auto"/>
          <w:szCs w:val="21"/>
        </w:rPr>
      </w:pPr>
    </w:p>
    <w:p>
      <w:pPr>
        <w:pStyle w:val="365"/>
        <w:rPr>
          <w:rFonts w:cs="宋体"/>
          <w:color w:val="auto"/>
          <w:szCs w:val="21"/>
        </w:rPr>
      </w:pPr>
    </w:p>
    <w:p>
      <w:pPr>
        <w:tabs>
          <w:tab w:val="left" w:pos="3570"/>
        </w:tabs>
        <w:spacing w:line="400" w:lineRule="exact"/>
        <w:jc w:val="center"/>
        <w:outlineLvl w:val="1"/>
        <w:rPr>
          <w:rFonts w:eastAsia="华文中宋" w:cs="华文中宋"/>
          <w:b/>
          <w:bCs/>
          <w:color w:val="auto"/>
          <w:sz w:val="30"/>
          <w:szCs w:val="30"/>
        </w:rPr>
      </w:pPr>
      <w:bookmarkStart w:id="449" w:name="_Toc11067"/>
      <w:bookmarkStart w:id="450" w:name="_Toc497927071"/>
      <w:bookmarkStart w:id="451" w:name="_Toc7185"/>
      <w:r>
        <w:rPr>
          <w:rFonts w:hint="eastAsia" w:cs="宋体"/>
          <w:color w:val="auto"/>
          <w:sz w:val="32"/>
          <w:szCs w:val="32"/>
        </w:rPr>
        <w:br w:type="page"/>
      </w:r>
      <w:bookmarkStart w:id="452" w:name="_Toc12268"/>
      <w:bookmarkStart w:id="453" w:name="_Toc13766"/>
      <w:r>
        <w:rPr>
          <w:rFonts w:hint="eastAsia" w:eastAsia="华文中宋" w:cs="华文中宋"/>
          <w:b/>
          <w:bCs/>
          <w:color w:val="auto"/>
          <w:sz w:val="30"/>
          <w:szCs w:val="30"/>
        </w:rPr>
        <w:t>（一）资格性响应证明材料目录</w:t>
      </w:r>
      <w:bookmarkEnd w:id="449"/>
      <w:bookmarkEnd w:id="450"/>
      <w:bookmarkEnd w:id="451"/>
      <w:bookmarkEnd w:id="452"/>
      <w:bookmarkEnd w:id="453"/>
    </w:p>
    <w:p>
      <w:pPr>
        <w:rPr>
          <w:rFonts w:cs="宋体"/>
          <w:color w:val="auto"/>
        </w:rPr>
      </w:pPr>
    </w:p>
    <w:p>
      <w:pPr>
        <w:tabs>
          <w:tab w:val="left" w:pos="3570"/>
        </w:tabs>
        <w:spacing w:line="400" w:lineRule="exact"/>
        <w:ind w:firstLine="420" w:firstLineChars="200"/>
        <w:rPr>
          <w:rFonts w:cs="宋体"/>
          <w:color w:val="auto"/>
          <w:szCs w:val="21"/>
        </w:rPr>
      </w:pPr>
      <w:r>
        <w:rPr>
          <w:rFonts w:hint="eastAsia" w:cs="宋体"/>
          <w:color w:val="auto"/>
          <w:szCs w:val="21"/>
        </w:rPr>
        <w:t>1.供应商相应的法定代表人、负责人、自然人有效身份证正反两面复印件</w:t>
      </w:r>
      <w:r>
        <w:rPr>
          <w:rFonts w:hint="eastAsia" w:cs="宋体"/>
          <w:b/>
          <w:bCs/>
          <w:color w:val="auto"/>
          <w:szCs w:val="21"/>
        </w:rPr>
        <w:t>（必须提供）</w:t>
      </w:r>
      <w:r>
        <w:rPr>
          <w:rFonts w:hint="eastAsia" w:cs="宋体"/>
          <w:color w:val="auto"/>
          <w:szCs w:val="21"/>
        </w:rPr>
        <w:t>；</w:t>
      </w:r>
    </w:p>
    <w:p>
      <w:pPr>
        <w:tabs>
          <w:tab w:val="left" w:pos="3570"/>
        </w:tabs>
        <w:spacing w:line="400" w:lineRule="exact"/>
        <w:ind w:firstLine="420" w:firstLineChars="200"/>
        <w:rPr>
          <w:rFonts w:cs="宋体"/>
          <w:color w:val="auto"/>
          <w:szCs w:val="21"/>
        </w:rPr>
      </w:pPr>
      <w:r>
        <w:rPr>
          <w:rFonts w:hint="eastAsia" w:cs="宋体"/>
          <w:color w:val="auto"/>
          <w:szCs w:val="21"/>
        </w:rPr>
        <w:t>2.供应商的授权委托书原件、委托代理人有效身份证正反面复印件以及由县级以上（含县级）社会养老保险经办机构出具的供应商为委托代理人交纳的响应文件递交截止时间前半年内任意连续二个月社保证明复印件</w:t>
      </w:r>
      <w:r>
        <w:rPr>
          <w:rFonts w:hint="eastAsia" w:cs="宋体"/>
          <w:b/>
          <w:bCs/>
          <w:color w:val="auto"/>
          <w:szCs w:val="21"/>
        </w:rPr>
        <w:t>（委托代理时必须提供）</w:t>
      </w:r>
      <w:r>
        <w:rPr>
          <w:rFonts w:hint="eastAsia" w:cs="宋体"/>
          <w:color w:val="auto"/>
          <w:szCs w:val="21"/>
        </w:rPr>
        <w:t>。除供应商为以下三种情形的：</w:t>
      </w:r>
    </w:p>
    <w:p>
      <w:pPr>
        <w:tabs>
          <w:tab w:val="left" w:pos="3570"/>
        </w:tabs>
        <w:spacing w:line="400" w:lineRule="exact"/>
        <w:ind w:firstLine="420" w:firstLineChars="200"/>
        <w:rPr>
          <w:rFonts w:cs="宋体"/>
          <w:color w:val="auto"/>
          <w:szCs w:val="21"/>
        </w:rPr>
      </w:pPr>
      <w:r>
        <w:rPr>
          <w:rFonts w:hint="eastAsia" w:cs="宋体"/>
          <w:color w:val="auto"/>
          <w:szCs w:val="21"/>
        </w:rPr>
        <w:t>（1） 如供应商为截标时间前60日以内成立的公司，可以提供供应商与委托代理人签订的劳动合同复印件代替社保证明复印件；</w:t>
      </w:r>
    </w:p>
    <w:p>
      <w:pPr>
        <w:spacing w:line="360" w:lineRule="auto"/>
        <w:ind w:firstLine="420" w:firstLineChars="200"/>
        <w:rPr>
          <w:rFonts w:cs="宋体"/>
          <w:color w:val="auto"/>
          <w:szCs w:val="21"/>
        </w:rPr>
      </w:pPr>
      <w:r>
        <w:rPr>
          <w:rFonts w:hint="eastAsia" w:cs="宋体"/>
          <w:color w:val="auto"/>
          <w:szCs w:val="21"/>
        </w:rPr>
        <w:t>（2）如供应商为事业单位，可以提供事业单位机构编制管理证复印件或事业单位机构为其发放工资的工资条复印件代替社保证明复印件；</w:t>
      </w:r>
    </w:p>
    <w:p>
      <w:pPr>
        <w:spacing w:line="360" w:lineRule="auto"/>
        <w:ind w:firstLine="420" w:firstLineChars="200"/>
        <w:rPr>
          <w:rFonts w:cs="宋体"/>
          <w:color w:val="auto"/>
          <w:szCs w:val="21"/>
        </w:rPr>
      </w:pPr>
      <w:r>
        <w:rPr>
          <w:rFonts w:hint="eastAsia" w:cs="宋体"/>
          <w:color w:val="auto"/>
          <w:szCs w:val="21"/>
        </w:rPr>
        <w:t>（3）如委托代理人为免缴纳社保人员，提供免缴纳社保的证明材料复印件及供应商与委托代理人签订的劳动合同复印件代替社保证明复印件。</w:t>
      </w:r>
    </w:p>
    <w:p>
      <w:pPr>
        <w:spacing w:line="360" w:lineRule="auto"/>
        <w:ind w:firstLine="422" w:firstLineChars="200"/>
        <w:rPr>
          <w:rFonts w:cs="宋体"/>
          <w:color w:val="auto"/>
          <w:szCs w:val="21"/>
        </w:rPr>
      </w:pPr>
      <w:r>
        <w:rPr>
          <w:rFonts w:hint="eastAsia" w:cs="宋体"/>
          <w:b/>
          <w:bCs/>
          <w:color w:val="auto"/>
          <w:szCs w:val="21"/>
        </w:rPr>
        <w:t>【属自然人的应提供由县级以上（含县级）社会养老保险经办机构出具的自然人本人及委托代理人所交纳的响应文件递交截止时间前半年内任意连续二个月社保证明复印件</w:t>
      </w:r>
      <w:r>
        <w:rPr>
          <w:rFonts w:hint="eastAsia" w:cs="宋体"/>
          <w:color w:val="auto"/>
          <w:szCs w:val="21"/>
        </w:rPr>
        <w:t>】</w:t>
      </w:r>
      <w:r>
        <w:rPr>
          <w:rFonts w:hint="eastAsia" w:cs="宋体"/>
          <w:b/>
          <w:bCs/>
          <w:color w:val="auto"/>
          <w:szCs w:val="21"/>
        </w:rPr>
        <w:t>（委托代理时必须提供）</w:t>
      </w:r>
      <w:r>
        <w:rPr>
          <w:rFonts w:hint="eastAsia" w:cs="宋体"/>
          <w:color w:val="auto"/>
          <w:szCs w:val="21"/>
        </w:rPr>
        <w:t>；</w:t>
      </w:r>
    </w:p>
    <w:p>
      <w:pPr>
        <w:tabs>
          <w:tab w:val="left" w:pos="3570"/>
        </w:tabs>
        <w:spacing w:line="400" w:lineRule="exact"/>
        <w:ind w:firstLine="420" w:firstLineChars="200"/>
        <w:rPr>
          <w:rFonts w:cs="宋体"/>
          <w:color w:val="auto"/>
          <w:szCs w:val="21"/>
        </w:rPr>
      </w:pPr>
      <w:r>
        <w:rPr>
          <w:rFonts w:hint="eastAsia" w:cs="宋体"/>
          <w:color w:val="auto"/>
          <w:szCs w:val="21"/>
        </w:rPr>
        <w:t>3.供应商参加政府采购活动前3年内在经营活动中没有重大违法记录及有关信用信息的书面声明</w:t>
      </w:r>
      <w:r>
        <w:rPr>
          <w:rFonts w:hint="eastAsia" w:cs="宋体"/>
          <w:b/>
          <w:bCs/>
          <w:color w:val="auto"/>
          <w:szCs w:val="21"/>
        </w:rPr>
        <w:t>（必须提供）</w:t>
      </w:r>
      <w:r>
        <w:rPr>
          <w:rFonts w:hint="eastAsia" w:cs="宋体"/>
          <w:color w:val="auto"/>
          <w:szCs w:val="21"/>
        </w:rPr>
        <w:t>；</w:t>
      </w:r>
    </w:p>
    <w:p>
      <w:pPr>
        <w:tabs>
          <w:tab w:val="left" w:pos="3570"/>
        </w:tabs>
        <w:spacing w:line="400" w:lineRule="exact"/>
        <w:ind w:firstLine="420" w:firstLineChars="200"/>
        <w:rPr>
          <w:rFonts w:cs="宋体"/>
          <w:color w:val="auto"/>
          <w:szCs w:val="21"/>
        </w:rPr>
      </w:pPr>
      <w:r>
        <w:rPr>
          <w:rFonts w:hint="eastAsia" w:cs="宋体"/>
          <w:color w:val="auto"/>
          <w:szCs w:val="21"/>
        </w:rPr>
        <w:t>4.供应商的法人或者其他组织营业执照等证明文件复印件</w:t>
      </w:r>
      <w:r>
        <w:rPr>
          <w:rFonts w:hint="eastAsia" w:cs="宋体"/>
          <w:b/>
          <w:bCs/>
          <w:color w:val="auto"/>
          <w:szCs w:val="21"/>
        </w:rPr>
        <w:t>（必须提供，自然人除外）</w:t>
      </w:r>
      <w:r>
        <w:rPr>
          <w:rFonts w:hint="eastAsia" w:cs="宋体"/>
          <w:color w:val="auto"/>
          <w:szCs w:val="21"/>
        </w:rPr>
        <w:t>；</w:t>
      </w:r>
    </w:p>
    <w:p>
      <w:pPr>
        <w:tabs>
          <w:tab w:val="left" w:pos="3570"/>
        </w:tabs>
        <w:spacing w:line="400" w:lineRule="exact"/>
        <w:ind w:firstLine="420" w:firstLineChars="200"/>
        <w:rPr>
          <w:rFonts w:cs="宋体"/>
          <w:color w:val="auto"/>
          <w:szCs w:val="21"/>
        </w:rPr>
      </w:pPr>
      <w:r>
        <w:rPr>
          <w:rFonts w:hint="eastAsia" w:cs="宋体"/>
          <w:color w:val="auto"/>
          <w:szCs w:val="21"/>
        </w:rPr>
        <w:t>5.供应商</w:t>
      </w:r>
      <w:r>
        <w:rPr>
          <w:rFonts w:hint="eastAsia" w:cs="宋体"/>
          <w:bCs/>
          <w:color w:val="auto"/>
          <w:kern w:val="0"/>
          <w:szCs w:val="21"/>
        </w:rPr>
        <w:t>有效的资质证书复印件</w:t>
      </w:r>
      <w:r>
        <w:rPr>
          <w:rFonts w:hint="eastAsia" w:cs="宋体"/>
          <w:b/>
          <w:bCs/>
          <w:color w:val="auto"/>
          <w:szCs w:val="21"/>
        </w:rPr>
        <w:t>（必须提供）</w:t>
      </w:r>
      <w:r>
        <w:rPr>
          <w:rFonts w:hint="eastAsia" w:cs="宋体"/>
          <w:color w:val="auto"/>
          <w:szCs w:val="21"/>
        </w:rPr>
        <w:t>；</w:t>
      </w:r>
    </w:p>
    <w:p>
      <w:pPr>
        <w:tabs>
          <w:tab w:val="left" w:pos="3570"/>
        </w:tabs>
        <w:spacing w:line="400" w:lineRule="exact"/>
        <w:ind w:firstLine="420" w:firstLineChars="200"/>
        <w:rPr>
          <w:rFonts w:cs="宋体"/>
          <w:b/>
          <w:bCs/>
          <w:color w:val="auto"/>
          <w:szCs w:val="21"/>
        </w:rPr>
      </w:pPr>
      <w:r>
        <w:rPr>
          <w:rFonts w:hint="eastAsia" w:cs="宋体"/>
          <w:color w:val="auto"/>
          <w:szCs w:val="21"/>
        </w:rPr>
        <w:t>6.供应商财务状况报告（提供2022年度或2023年度经审计的财务报告复印件或者截标时间前半年内至少一个月能反映财务状况的报表或者供应商自拟的截标时间前半年内至少一个月的财务情况说明）</w:t>
      </w:r>
      <w:r>
        <w:rPr>
          <w:rFonts w:hint="eastAsia" w:cs="宋体"/>
          <w:b/>
          <w:bCs/>
          <w:color w:val="auto"/>
          <w:szCs w:val="21"/>
        </w:rPr>
        <w:t>（必须提供）；</w:t>
      </w:r>
    </w:p>
    <w:p>
      <w:pPr>
        <w:tabs>
          <w:tab w:val="left" w:pos="3570"/>
        </w:tabs>
        <w:spacing w:line="400" w:lineRule="exact"/>
        <w:ind w:firstLine="420" w:firstLineChars="200"/>
        <w:rPr>
          <w:rFonts w:cs="宋体"/>
          <w:color w:val="auto"/>
          <w:szCs w:val="21"/>
        </w:rPr>
      </w:pPr>
      <w:r>
        <w:rPr>
          <w:rFonts w:hint="eastAsia" w:cs="宋体"/>
          <w:color w:val="auto"/>
          <w:szCs w:val="21"/>
        </w:rPr>
        <w:t>7.供应商截止响应文件递交截止时间前半年内任意一个月或任一季度依法缴纳税收的证明材料[增值税缴纳发票(税收完税证明)或企业所得税完税证明或税务部门出具的免税证明]复印件</w:t>
      </w:r>
      <w:r>
        <w:rPr>
          <w:rFonts w:hint="eastAsia" w:cs="宋体"/>
          <w:b/>
          <w:bCs/>
          <w:color w:val="auto"/>
          <w:szCs w:val="21"/>
        </w:rPr>
        <w:t>（必须提供）</w:t>
      </w:r>
      <w:r>
        <w:rPr>
          <w:rFonts w:hint="eastAsia" w:cs="宋体"/>
          <w:color w:val="auto"/>
          <w:szCs w:val="21"/>
        </w:rPr>
        <w:t>。</w:t>
      </w:r>
    </w:p>
    <w:p>
      <w:pPr>
        <w:tabs>
          <w:tab w:val="left" w:pos="3570"/>
        </w:tabs>
        <w:spacing w:line="400" w:lineRule="exact"/>
        <w:ind w:firstLine="420" w:firstLineChars="200"/>
        <w:rPr>
          <w:rFonts w:cs="宋体"/>
          <w:b/>
          <w:color w:val="auto"/>
          <w:sz w:val="28"/>
          <w:szCs w:val="28"/>
        </w:rPr>
      </w:pPr>
      <w:r>
        <w:rPr>
          <w:rFonts w:hint="eastAsia" w:cs="宋体"/>
          <w:color w:val="auto"/>
          <w:szCs w:val="21"/>
        </w:rPr>
        <w:t>8.中小企业声明函或者残疾人福利性单位声明函（格式后附）或者供应商属于监狱企业的，提供由省级以上监狱管理局、戒毒管理局（含新疆生产建设兵团）出具的属于监狱企业的证明文件</w:t>
      </w:r>
      <w:r>
        <w:rPr>
          <w:rFonts w:hint="eastAsia" w:cs="宋体"/>
          <w:b/>
          <w:bCs/>
          <w:color w:val="auto"/>
          <w:szCs w:val="21"/>
        </w:rPr>
        <w:t>（必须提供）</w:t>
      </w:r>
      <w:r>
        <w:rPr>
          <w:rFonts w:hint="eastAsia" w:cs="宋体"/>
          <w:color w:val="auto"/>
          <w:szCs w:val="21"/>
        </w:rPr>
        <w:t>。</w:t>
      </w:r>
    </w:p>
    <w:p>
      <w:pPr>
        <w:pStyle w:val="24"/>
        <w:rPr>
          <w:rFonts w:cs="宋体"/>
          <w:b/>
          <w:color w:val="auto"/>
          <w:sz w:val="28"/>
          <w:szCs w:val="28"/>
        </w:rPr>
      </w:pPr>
    </w:p>
    <w:p>
      <w:pPr>
        <w:pStyle w:val="24"/>
        <w:rPr>
          <w:rFonts w:cs="宋体"/>
          <w:b/>
          <w:color w:val="auto"/>
          <w:sz w:val="28"/>
          <w:szCs w:val="28"/>
        </w:rPr>
      </w:pPr>
    </w:p>
    <w:p>
      <w:pPr>
        <w:spacing w:line="440" w:lineRule="atLeast"/>
        <w:outlineLvl w:val="1"/>
        <w:rPr>
          <w:rFonts w:cs="宋体"/>
          <w:b/>
          <w:color w:val="auto"/>
          <w:sz w:val="28"/>
          <w:szCs w:val="28"/>
        </w:rPr>
      </w:pPr>
      <w:r>
        <w:rPr>
          <w:rFonts w:hint="eastAsia" w:cs="宋体"/>
          <w:b/>
          <w:color w:val="auto"/>
          <w:sz w:val="28"/>
          <w:szCs w:val="28"/>
        </w:rPr>
        <w:br w:type="page"/>
      </w:r>
      <w:bookmarkStart w:id="454" w:name="_Toc22703"/>
      <w:bookmarkStart w:id="455" w:name="_Toc6697"/>
      <w:bookmarkStart w:id="456" w:name="_Toc30365"/>
      <w:bookmarkStart w:id="457" w:name="_Toc28594"/>
      <w:bookmarkStart w:id="458" w:name="_Toc19265"/>
      <w:bookmarkStart w:id="459" w:name="_Toc4819"/>
      <w:r>
        <w:rPr>
          <w:rFonts w:hint="eastAsia" w:cs="宋体"/>
          <w:b/>
          <w:color w:val="auto"/>
          <w:sz w:val="28"/>
          <w:szCs w:val="28"/>
        </w:rPr>
        <w:t>1.供应商相应的法定代表人、负责人、自然人有效身份证正反两面复印件（必须提供）；</w:t>
      </w:r>
      <w:bookmarkEnd w:id="454"/>
      <w:bookmarkEnd w:id="455"/>
      <w:bookmarkEnd w:id="456"/>
      <w:bookmarkEnd w:id="457"/>
      <w:bookmarkEnd w:id="458"/>
      <w:bookmarkEnd w:id="459"/>
    </w:p>
    <w:p>
      <w:pPr>
        <w:spacing w:line="440" w:lineRule="atLeast"/>
        <w:rPr>
          <w:color w:val="auto"/>
        </w:rPr>
      </w:pPr>
    </w:p>
    <w:p>
      <w:pPr>
        <w:rPr>
          <w:color w:val="auto"/>
        </w:rPr>
      </w:pPr>
    </w:p>
    <w:p>
      <w:pPr>
        <w:spacing w:line="440" w:lineRule="atLeast"/>
        <w:rPr>
          <w:rFonts w:cs="宋体"/>
          <w:b/>
          <w:color w:val="auto"/>
          <w:sz w:val="28"/>
          <w:szCs w:val="28"/>
        </w:rPr>
      </w:pPr>
    </w:p>
    <w:p>
      <w:pPr>
        <w:spacing w:line="440" w:lineRule="atLeast"/>
        <w:outlineLvl w:val="1"/>
        <w:rPr>
          <w:rFonts w:cs="宋体"/>
          <w:b/>
          <w:color w:val="auto"/>
          <w:sz w:val="28"/>
          <w:szCs w:val="28"/>
        </w:rPr>
      </w:pPr>
      <w:bookmarkStart w:id="460" w:name="_Toc16399"/>
      <w:bookmarkStart w:id="461" w:name="_Toc15990"/>
      <w:bookmarkStart w:id="462" w:name="_Toc29198"/>
      <w:bookmarkStart w:id="463" w:name="_Toc1213"/>
      <w:bookmarkStart w:id="464" w:name="_Toc16573"/>
      <w:bookmarkStart w:id="465" w:name="_Toc3592"/>
      <w:r>
        <w:rPr>
          <w:rFonts w:hint="eastAsia" w:cs="宋体"/>
          <w:b/>
          <w:color w:val="auto"/>
          <w:sz w:val="28"/>
          <w:szCs w:val="28"/>
        </w:rPr>
        <w:t>2.供应商的授权委托书原件、委托代理人有效身份证正反面复印件以及由县级以上（含县级）社会养老保险经办机构出具的供应商为委托代理人交纳的响应文件递交截止时间前半年内任意连续二个月社保证明复印件（委托代理时必须提供）。除供应商为以下三种情形的：</w:t>
      </w:r>
      <w:bookmarkEnd w:id="460"/>
      <w:bookmarkEnd w:id="461"/>
      <w:bookmarkEnd w:id="462"/>
      <w:bookmarkEnd w:id="463"/>
      <w:bookmarkEnd w:id="464"/>
      <w:bookmarkEnd w:id="465"/>
    </w:p>
    <w:p>
      <w:pPr>
        <w:spacing w:line="440" w:lineRule="atLeast"/>
        <w:rPr>
          <w:rFonts w:cs="宋体"/>
          <w:b/>
          <w:color w:val="auto"/>
          <w:szCs w:val="21"/>
        </w:rPr>
      </w:pPr>
      <w:r>
        <w:rPr>
          <w:rFonts w:hint="eastAsia" w:cs="宋体"/>
          <w:b/>
          <w:color w:val="auto"/>
          <w:szCs w:val="21"/>
        </w:rPr>
        <w:t>（1） 如供应商为截标时间前60日以内成立的公司，可以提供供应商与委托代理人签订的劳动合同复印件代替社保证明复印件；</w:t>
      </w:r>
    </w:p>
    <w:p>
      <w:pPr>
        <w:spacing w:line="440" w:lineRule="atLeast"/>
        <w:rPr>
          <w:rFonts w:cs="宋体"/>
          <w:b/>
          <w:color w:val="auto"/>
          <w:szCs w:val="21"/>
        </w:rPr>
      </w:pPr>
      <w:r>
        <w:rPr>
          <w:rFonts w:hint="eastAsia" w:cs="宋体"/>
          <w:b/>
          <w:color w:val="auto"/>
          <w:szCs w:val="21"/>
        </w:rPr>
        <w:t>（2）如供应商为事业单位，可以提供事业单位机构编制管理证复印件或事业单位机构为其发放工资的工资条复印件代替社保证明复印件；</w:t>
      </w:r>
    </w:p>
    <w:p>
      <w:pPr>
        <w:spacing w:line="440" w:lineRule="atLeast"/>
        <w:rPr>
          <w:rFonts w:cs="宋体"/>
          <w:b/>
          <w:color w:val="auto"/>
          <w:szCs w:val="21"/>
        </w:rPr>
      </w:pPr>
      <w:r>
        <w:rPr>
          <w:rFonts w:hint="eastAsia" w:cs="宋体"/>
          <w:b/>
          <w:color w:val="auto"/>
          <w:szCs w:val="21"/>
        </w:rPr>
        <w:t>（3）如委托代理人为免缴纳社保人员，提供免缴纳社保的证明材料复印件及供应商与委托代理人签订的劳动合同复印件代替社保证明复印件。</w:t>
      </w:r>
    </w:p>
    <w:p>
      <w:pPr>
        <w:spacing w:line="440" w:lineRule="atLeast"/>
        <w:rPr>
          <w:rFonts w:cs="宋体"/>
          <w:b/>
          <w:color w:val="auto"/>
          <w:szCs w:val="21"/>
        </w:rPr>
      </w:pPr>
      <w:r>
        <w:rPr>
          <w:rFonts w:hint="eastAsia" w:cs="宋体"/>
          <w:b/>
          <w:color w:val="auto"/>
          <w:szCs w:val="21"/>
        </w:rPr>
        <w:t>【属自然人的应提供由县级以上（含县级）社会养老保险经办机构出具的自然人本人及委托代理人所交纳的响应文件递交截止时间前半年内任意连续二个月社保证明复印件】（委托代理时必须提供）</w:t>
      </w:r>
    </w:p>
    <w:p>
      <w:pPr>
        <w:spacing w:line="440" w:lineRule="atLeast"/>
        <w:rPr>
          <w:rFonts w:cs="宋体"/>
          <w:b/>
          <w:color w:val="auto"/>
          <w:sz w:val="28"/>
          <w:szCs w:val="28"/>
        </w:rPr>
      </w:pPr>
    </w:p>
    <w:p>
      <w:pPr>
        <w:pStyle w:val="28"/>
        <w:rPr>
          <w:rFonts w:ascii="Times New Roman" w:hAnsi="Times New Roman" w:cs="宋体"/>
          <w:b/>
          <w:color w:val="auto"/>
          <w:sz w:val="32"/>
        </w:rPr>
      </w:pPr>
      <w:r>
        <w:rPr>
          <w:rFonts w:hint="eastAsia" w:ascii="Times New Roman" w:hAnsi="Times New Roman" w:cs="宋体"/>
          <w:b/>
          <w:color w:val="auto"/>
          <w:sz w:val="32"/>
        </w:rPr>
        <w:t>附件：</w:t>
      </w:r>
    </w:p>
    <w:p>
      <w:pPr>
        <w:pStyle w:val="28"/>
        <w:jc w:val="center"/>
        <w:rPr>
          <w:rFonts w:ascii="Times New Roman" w:hAnsi="Times New Roman" w:cs="宋体"/>
          <w:b/>
          <w:color w:val="auto"/>
          <w:sz w:val="32"/>
        </w:rPr>
      </w:pPr>
      <w:bookmarkStart w:id="466" w:name="_Toc5420_WPSOffice_Level1"/>
      <w:bookmarkStart w:id="467" w:name="_Toc964_WPSOffice_Level1"/>
      <w:r>
        <w:rPr>
          <w:rFonts w:hint="eastAsia" w:ascii="Times New Roman" w:hAnsi="Times New Roman" w:cs="宋体"/>
          <w:b/>
          <w:color w:val="auto"/>
          <w:sz w:val="32"/>
        </w:rPr>
        <w:t>授权委托书（格式一）</w:t>
      </w:r>
      <w:bookmarkEnd w:id="466"/>
      <w:bookmarkEnd w:id="467"/>
    </w:p>
    <w:p>
      <w:pPr>
        <w:pStyle w:val="13"/>
        <w:ind w:left="2940"/>
        <w:rPr>
          <w:color w:val="auto"/>
          <w:sz w:val="30"/>
          <w:szCs w:val="30"/>
        </w:rPr>
      </w:pPr>
      <w:r>
        <w:rPr>
          <w:rFonts w:hint="eastAsia" w:cs="宋体"/>
          <w:b/>
          <w:color w:val="auto"/>
          <w:sz w:val="30"/>
          <w:szCs w:val="30"/>
        </w:rPr>
        <w:t>（适合非自然人参与磋商）</w:t>
      </w:r>
    </w:p>
    <w:p>
      <w:pPr>
        <w:pStyle w:val="28"/>
        <w:rPr>
          <w:rFonts w:ascii="Times New Roman" w:hAnsi="Times New Roman" w:cs="宋体"/>
          <w:color w:val="auto"/>
        </w:rPr>
      </w:pPr>
    </w:p>
    <w:p>
      <w:pPr>
        <w:spacing w:line="400" w:lineRule="exact"/>
        <w:rPr>
          <w:rFonts w:cs="宋体"/>
          <w:color w:val="auto"/>
        </w:rPr>
      </w:pPr>
      <w:r>
        <w:rPr>
          <w:rFonts w:hint="eastAsia" w:cs="宋体"/>
          <w:color w:val="auto"/>
          <w:szCs w:val="21"/>
        </w:rPr>
        <w:t>致：</w:t>
      </w:r>
      <w:r>
        <w:rPr>
          <w:rFonts w:hint="eastAsia" w:cs="宋体"/>
          <w:color w:val="auto"/>
          <w:szCs w:val="21"/>
          <w:u w:val="single"/>
        </w:rPr>
        <w:t xml:space="preserve"> 广西科联招标中心有限公司 </w:t>
      </w:r>
    </w:p>
    <w:p>
      <w:pPr>
        <w:spacing w:line="400" w:lineRule="exact"/>
        <w:rPr>
          <w:rFonts w:cs="宋体"/>
          <w:color w:val="auto"/>
          <w:szCs w:val="21"/>
        </w:rPr>
      </w:pPr>
    </w:p>
    <w:p>
      <w:pPr>
        <w:pStyle w:val="28"/>
        <w:spacing w:line="400" w:lineRule="exact"/>
        <w:ind w:firstLine="420" w:firstLineChars="200"/>
        <w:rPr>
          <w:rFonts w:ascii="Times New Roman" w:hAnsi="Times New Roman" w:cs="宋体"/>
          <w:color w:val="auto"/>
        </w:rPr>
      </w:pPr>
      <w:r>
        <w:rPr>
          <w:rFonts w:hint="eastAsia" w:ascii="Times New Roman" w:hAnsi="Times New Roman" w:cs="宋体"/>
          <w:color w:val="auto"/>
          <w:kern w:val="0"/>
        </w:rPr>
        <w:t>我</w:t>
      </w:r>
      <w:r>
        <w:rPr>
          <w:rFonts w:hint="eastAsia" w:ascii="Times New Roman" w:hAnsi="Times New Roman" w:cs="宋体"/>
          <w:color w:val="auto"/>
          <w:kern w:val="0"/>
          <w:u w:val="single"/>
        </w:rPr>
        <w:t xml:space="preserve">              </w:t>
      </w:r>
      <w:r>
        <w:rPr>
          <w:rFonts w:hint="eastAsia" w:ascii="Times New Roman" w:hAnsi="Times New Roman" w:cs="宋体"/>
          <w:color w:val="auto"/>
          <w:kern w:val="0"/>
        </w:rPr>
        <w:t>（姓名）系</w:t>
      </w:r>
      <w:r>
        <w:rPr>
          <w:rFonts w:hint="eastAsia" w:ascii="Times New Roman" w:hAnsi="Times New Roman" w:cs="宋体"/>
          <w:color w:val="auto"/>
          <w:kern w:val="0"/>
          <w:u w:val="single"/>
        </w:rPr>
        <w:t xml:space="preserve">                                     </w:t>
      </w:r>
      <w:r>
        <w:rPr>
          <w:rFonts w:hint="eastAsia" w:ascii="Times New Roman" w:hAnsi="Times New Roman" w:cs="宋体"/>
          <w:color w:val="auto"/>
          <w:kern w:val="0"/>
        </w:rPr>
        <w:t>（供应商名称）的法定代表人（负责人），现授权委托本单位在职职工</w:t>
      </w:r>
      <w:r>
        <w:rPr>
          <w:rFonts w:hint="eastAsia" w:ascii="Times New Roman" w:hAnsi="Times New Roman" w:cs="宋体"/>
          <w:color w:val="auto"/>
          <w:kern w:val="0"/>
          <w:u w:val="single"/>
        </w:rPr>
        <w:t xml:space="preserve">            </w:t>
      </w:r>
      <w:r>
        <w:rPr>
          <w:rFonts w:hint="eastAsia" w:ascii="Times New Roman" w:hAnsi="Times New Roman" w:cs="宋体"/>
          <w:color w:val="auto"/>
          <w:kern w:val="0"/>
        </w:rPr>
        <w:t>（姓 名）以我公司名义参加</w:t>
      </w:r>
      <w:r>
        <w:rPr>
          <w:rFonts w:hint="eastAsia" w:ascii="Times New Roman" w:hAnsi="Times New Roman" w:cs="宋体"/>
          <w:color w:val="auto"/>
          <w:kern w:val="0"/>
          <w:u w:val="single"/>
        </w:rPr>
        <w:t xml:space="preserve">           （</w:t>
      </w:r>
      <w:r>
        <w:rPr>
          <w:rFonts w:hint="eastAsia" w:ascii="Times New Roman" w:hAnsi="Times New Roman" w:cs="宋体"/>
          <w:color w:val="auto"/>
          <w:u w:val="single"/>
        </w:rPr>
        <w:t xml:space="preserve">项目名称及项目编号） </w:t>
      </w:r>
      <w:r>
        <w:rPr>
          <w:rFonts w:hint="eastAsia" w:ascii="Times New Roman" w:hAnsi="Times New Roman" w:cs="宋体"/>
          <w:color w:val="auto"/>
        </w:rPr>
        <w:t>项目的磋商活动，并代表我方全权办理针对上述项目的磋商、签约等具体事务和签署相关文件。</w:t>
      </w:r>
    </w:p>
    <w:p>
      <w:pPr>
        <w:pStyle w:val="28"/>
        <w:spacing w:line="400" w:lineRule="exact"/>
        <w:ind w:firstLine="420" w:firstLineChars="200"/>
        <w:rPr>
          <w:rFonts w:ascii="Times New Roman" w:hAnsi="Times New Roman" w:cs="宋体"/>
          <w:color w:val="auto"/>
        </w:rPr>
      </w:pPr>
      <w:r>
        <w:rPr>
          <w:rFonts w:hint="eastAsia" w:ascii="Times New Roman" w:hAnsi="Times New Roman" w:cs="宋体"/>
          <w:color w:val="auto"/>
        </w:rPr>
        <w:t>我方对被授权人的签字事项负全部责任。</w:t>
      </w:r>
    </w:p>
    <w:p>
      <w:pPr>
        <w:pStyle w:val="28"/>
        <w:spacing w:line="400" w:lineRule="exact"/>
        <w:ind w:firstLine="420" w:firstLineChars="200"/>
        <w:rPr>
          <w:rFonts w:ascii="Times New Roman" w:hAnsi="Times New Roman" w:cs="宋体"/>
          <w:color w:val="auto"/>
          <w:u w:val="single"/>
        </w:rPr>
      </w:pPr>
      <w:r>
        <w:rPr>
          <w:rFonts w:hint="eastAsia" w:ascii="Times New Roman" w:hAnsi="Times New Roman" w:cs="宋体"/>
          <w:color w:val="auto"/>
        </w:rPr>
        <w:t>授权委托代理期限：从</w:t>
      </w:r>
      <w:r>
        <w:rPr>
          <w:rFonts w:hint="eastAsia" w:ascii="Times New Roman" w:hAnsi="Times New Roman" w:cs="宋体"/>
          <w:color w:val="auto"/>
          <w:u w:val="single"/>
        </w:rPr>
        <w:t xml:space="preserve">       </w:t>
      </w:r>
      <w:r>
        <w:rPr>
          <w:rFonts w:hint="eastAsia" w:ascii="Times New Roman" w:hAnsi="Times New Roman" w:cs="宋体"/>
          <w:color w:val="auto"/>
        </w:rPr>
        <w:t>年</w:t>
      </w:r>
      <w:r>
        <w:rPr>
          <w:rFonts w:hint="eastAsia" w:ascii="Times New Roman" w:hAnsi="Times New Roman" w:cs="宋体"/>
          <w:color w:val="auto"/>
          <w:u w:val="single"/>
        </w:rPr>
        <w:t xml:space="preserve">     </w:t>
      </w:r>
      <w:r>
        <w:rPr>
          <w:rFonts w:hint="eastAsia" w:ascii="Times New Roman" w:hAnsi="Times New Roman" w:cs="宋体"/>
          <w:color w:val="auto"/>
        </w:rPr>
        <w:t xml:space="preserve">月 </w:t>
      </w:r>
      <w:r>
        <w:rPr>
          <w:rFonts w:hint="eastAsia" w:ascii="Times New Roman" w:hAnsi="Times New Roman" w:cs="宋体"/>
          <w:color w:val="auto"/>
          <w:u w:val="single"/>
        </w:rPr>
        <w:t xml:space="preserve">    </w:t>
      </w:r>
      <w:r>
        <w:rPr>
          <w:rFonts w:hint="eastAsia" w:ascii="Times New Roman" w:hAnsi="Times New Roman" w:cs="宋体"/>
          <w:color w:val="auto"/>
        </w:rPr>
        <w:t xml:space="preserve"> 日起至</w:t>
      </w:r>
      <w:r>
        <w:rPr>
          <w:rFonts w:hint="eastAsia" w:ascii="Times New Roman" w:hAnsi="Times New Roman" w:cs="宋体"/>
          <w:color w:val="auto"/>
          <w:u w:val="single"/>
        </w:rPr>
        <w:t xml:space="preserve">         </w:t>
      </w:r>
      <w:r>
        <w:rPr>
          <w:rFonts w:hint="eastAsia" w:ascii="Times New Roman" w:hAnsi="Times New Roman" w:cs="宋体"/>
          <w:color w:val="auto"/>
        </w:rPr>
        <w:t>年</w:t>
      </w:r>
      <w:r>
        <w:rPr>
          <w:rFonts w:hint="eastAsia" w:ascii="Times New Roman" w:hAnsi="Times New Roman" w:cs="宋体"/>
          <w:color w:val="auto"/>
          <w:u w:val="single"/>
        </w:rPr>
        <w:t xml:space="preserve">     </w:t>
      </w:r>
      <w:r>
        <w:rPr>
          <w:rFonts w:hint="eastAsia" w:ascii="Times New Roman" w:hAnsi="Times New Roman" w:cs="宋体"/>
          <w:color w:val="auto"/>
        </w:rPr>
        <w:t xml:space="preserve">月 </w:t>
      </w:r>
      <w:r>
        <w:rPr>
          <w:rFonts w:hint="eastAsia" w:ascii="Times New Roman" w:hAnsi="Times New Roman" w:cs="宋体"/>
          <w:color w:val="auto"/>
          <w:u w:val="single"/>
        </w:rPr>
        <w:t xml:space="preserve">     </w:t>
      </w:r>
      <w:r>
        <w:rPr>
          <w:rFonts w:hint="eastAsia" w:ascii="Times New Roman" w:hAnsi="Times New Roman" w:cs="宋体"/>
          <w:color w:val="auto"/>
        </w:rPr>
        <w:t>日止。</w:t>
      </w:r>
    </w:p>
    <w:p>
      <w:pPr>
        <w:pStyle w:val="28"/>
        <w:spacing w:line="400" w:lineRule="exact"/>
        <w:rPr>
          <w:rFonts w:ascii="Times New Roman" w:hAnsi="Times New Roman" w:cs="宋体"/>
          <w:color w:val="auto"/>
          <w:u w:val="single"/>
        </w:rPr>
      </w:pPr>
      <w:r>
        <w:rPr>
          <w:rFonts w:hint="eastAsia" w:ascii="Times New Roman" w:hAnsi="Times New Roman" w:cs="宋体"/>
          <w:color w:val="auto"/>
        </w:rPr>
        <w:t xml:space="preserve">                                                                                             </w:t>
      </w:r>
    </w:p>
    <w:p>
      <w:pPr>
        <w:spacing w:line="400" w:lineRule="exact"/>
        <w:ind w:firstLine="420" w:firstLineChars="200"/>
        <w:rPr>
          <w:rFonts w:cs="宋体"/>
          <w:color w:val="auto"/>
          <w:kern w:val="0"/>
        </w:rPr>
      </w:pPr>
      <w:r>
        <w:rPr>
          <w:rFonts w:hint="eastAsia" w:cs="宋体"/>
          <w:color w:val="auto"/>
          <w:kern w:val="0"/>
        </w:rPr>
        <w:t xml:space="preserve">代理人无转委托权,特此委托。 </w:t>
      </w:r>
    </w:p>
    <w:p>
      <w:pPr>
        <w:spacing w:line="400" w:lineRule="exact"/>
        <w:ind w:firstLine="420" w:firstLineChars="200"/>
        <w:rPr>
          <w:rFonts w:cs="宋体"/>
          <w:color w:val="auto"/>
          <w:kern w:val="0"/>
        </w:rPr>
      </w:pPr>
    </w:p>
    <w:p>
      <w:pPr>
        <w:spacing w:line="400" w:lineRule="exact"/>
        <w:ind w:firstLine="420" w:firstLineChars="200"/>
        <w:rPr>
          <w:rFonts w:cs="宋体"/>
          <w:color w:val="auto"/>
          <w:szCs w:val="21"/>
        </w:rPr>
      </w:pPr>
      <w:r>
        <w:rPr>
          <w:rFonts w:hint="eastAsia" w:cs="宋体"/>
          <w:color w:val="auto"/>
          <w:szCs w:val="21"/>
        </w:rPr>
        <w:t>我已在下面签字，以资证明。</w:t>
      </w:r>
    </w:p>
    <w:p>
      <w:pPr>
        <w:spacing w:line="400" w:lineRule="exact"/>
        <w:ind w:firstLine="420" w:firstLineChars="200"/>
        <w:rPr>
          <w:rFonts w:cs="宋体"/>
          <w:color w:val="auto"/>
          <w:szCs w:val="21"/>
        </w:rPr>
      </w:pPr>
    </w:p>
    <w:p>
      <w:pPr>
        <w:spacing w:line="400" w:lineRule="exact"/>
        <w:ind w:firstLine="420" w:firstLineChars="200"/>
        <w:rPr>
          <w:rFonts w:cs="宋体"/>
          <w:color w:val="auto"/>
          <w:szCs w:val="21"/>
        </w:rPr>
      </w:pPr>
    </w:p>
    <w:p>
      <w:pPr>
        <w:snapToGrid w:val="0"/>
        <w:spacing w:line="400" w:lineRule="exact"/>
        <w:ind w:firstLine="420"/>
        <w:rPr>
          <w:rFonts w:cs="宋体"/>
          <w:color w:val="auto"/>
          <w:szCs w:val="21"/>
          <w:u w:val="single"/>
        </w:rPr>
      </w:pPr>
      <w:r>
        <w:rPr>
          <w:rFonts w:hint="eastAsia" w:cs="宋体"/>
          <w:color w:val="auto"/>
          <w:szCs w:val="21"/>
        </w:rPr>
        <w:t>磋商供应商[公章（CA签章）]：</w:t>
      </w:r>
      <w:r>
        <w:rPr>
          <w:rFonts w:hint="eastAsia" w:cs="宋体"/>
          <w:color w:val="auto"/>
          <w:szCs w:val="21"/>
          <w:u w:val="single"/>
        </w:rPr>
        <w:t xml:space="preserve">                                   </w:t>
      </w:r>
    </w:p>
    <w:p>
      <w:pPr>
        <w:snapToGrid w:val="0"/>
        <w:spacing w:line="400" w:lineRule="exact"/>
        <w:ind w:firstLine="420"/>
        <w:rPr>
          <w:rFonts w:cs="宋体"/>
          <w:color w:val="auto"/>
          <w:szCs w:val="21"/>
        </w:rPr>
      </w:pPr>
    </w:p>
    <w:p>
      <w:pPr>
        <w:snapToGrid w:val="0"/>
        <w:spacing w:line="400" w:lineRule="exact"/>
        <w:ind w:firstLine="420"/>
        <w:rPr>
          <w:rFonts w:cs="宋体"/>
          <w:color w:val="auto"/>
          <w:szCs w:val="21"/>
        </w:rPr>
      </w:pPr>
      <w:r>
        <w:rPr>
          <w:rFonts w:hint="eastAsia" w:cs="宋体"/>
          <w:color w:val="auto"/>
          <w:szCs w:val="21"/>
        </w:rPr>
        <w:t>法定代表人（负责人）签字（或个人CA签章）：</w:t>
      </w:r>
      <w:r>
        <w:rPr>
          <w:rFonts w:hint="eastAsia" w:cs="宋体"/>
          <w:color w:val="auto"/>
          <w:szCs w:val="21"/>
          <w:u w:val="single"/>
        </w:rPr>
        <w:t xml:space="preserve">              </w:t>
      </w:r>
      <w:r>
        <w:rPr>
          <w:rFonts w:hint="eastAsia" w:cs="宋体"/>
          <w:color w:val="auto"/>
          <w:szCs w:val="21"/>
        </w:rPr>
        <w:t xml:space="preserve">     　　 </w:t>
      </w:r>
      <w:r>
        <w:rPr>
          <w:rFonts w:hint="eastAsia" w:cs="宋体"/>
          <w:color w:val="auto"/>
          <w:szCs w:val="21"/>
          <w:u w:val="single"/>
        </w:rPr>
        <w:t xml:space="preserve">       </w:t>
      </w:r>
      <w:r>
        <w:rPr>
          <w:rFonts w:hint="eastAsia" w:cs="宋体"/>
          <w:color w:val="auto"/>
          <w:szCs w:val="21"/>
        </w:rPr>
        <w:t>年</w:t>
      </w:r>
      <w:r>
        <w:rPr>
          <w:rFonts w:hint="eastAsia" w:cs="宋体"/>
          <w:color w:val="auto"/>
          <w:szCs w:val="21"/>
          <w:u w:val="single"/>
        </w:rPr>
        <w:t xml:space="preserve">      </w:t>
      </w:r>
      <w:r>
        <w:rPr>
          <w:rFonts w:hint="eastAsia" w:cs="宋体"/>
          <w:color w:val="auto"/>
          <w:szCs w:val="21"/>
        </w:rPr>
        <w:t>月</w:t>
      </w:r>
      <w:r>
        <w:rPr>
          <w:rFonts w:hint="eastAsia" w:cs="宋体"/>
          <w:color w:val="auto"/>
          <w:szCs w:val="21"/>
          <w:u w:val="single"/>
        </w:rPr>
        <w:t xml:space="preserve">     </w:t>
      </w:r>
      <w:r>
        <w:rPr>
          <w:rFonts w:hint="eastAsia" w:cs="宋体"/>
          <w:color w:val="auto"/>
          <w:szCs w:val="21"/>
        </w:rPr>
        <w:t>日</w:t>
      </w:r>
    </w:p>
    <w:p>
      <w:pPr>
        <w:pStyle w:val="21"/>
        <w:rPr>
          <w:rFonts w:cs="宋体"/>
          <w:color w:val="auto"/>
        </w:rPr>
      </w:pPr>
    </w:p>
    <w:p>
      <w:pPr>
        <w:spacing w:line="440" w:lineRule="atLeast"/>
        <w:rPr>
          <w:rFonts w:cs="宋体"/>
          <w:b/>
          <w:color w:val="auto"/>
          <w:szCs w:val="21"/>
        </w:rPr>
      </w:pPr>
      <w:r>
        <w:rPr>
          <w:rFonts w:hint="eastAsia" w:cs="宋体"/>
          <w:b/>
          <w:color w:val="auto"/>
          <w:szCs w:val="21"/>
        </w:rPr>
        <w:t>附：供应商的授权委托书原件、委托代理人有效身份证正反面复印件以及由县级以上（含县级）社会养老保险经办机构出具的供应商为委托代理人交纳的响应文件递交截止时间前半年内任意连续二个月社保证明复印件，除供应商为以下三种情形的：</w:t>
      </w:r>
    </w:p>
    <w:p>
      <w:pPr>
        <w:spacing w:line="440" w:lineRule="atLeast"/>
        <w:rPr>
          <w:rFonts w:cs="宋体"/>
          <w:b/>
          <w:color w:val="auto"/>
          <w:szCs w:val="21"/>
        </w:rPr>
      </w:pPr>
      <w:r>
        <w:rPr>
          <w:rFonts w:hint="eastAsia" w:cs="宋体"/>
          <w:b/>
          <w:color w:val="auto"/>
          <w:szCs w:val="21"/>
        </w:rPr>
        <w:t>（1） 如供应商为截标时间前60日以内成立的公司，可以提供供应商与委托代理人签订的劳动合同复印件代替社保证明复印件；</w:t>
      </w:r>
    </w:p>
    <w:p>
      <w:pPr>
        <w:spacing w:line="440" w:lineRule="atLeast"/>
        <w:rPr>
          <w:rFonts w:cs="宋体"/>
          <w:b/>
          <w:color w:val="auto"/>
          <w:szCs w:val="21"/>
        </w:rPr>
      </w:pPr>
      <w:r>
        <w:rPr>
          <w:rFonts w:hint="eastAsia" w:cs="宋体"/>
          <w:b/>
          <w:color w:val="auto"/>
          <w:szCs w:val="21"/>
        </w:rPr>
        <w:t>（2）如供应商为事业单位，可以提供事业单位机构编制管理证复印件或事业单位机构为其发放工资的工资条复印件代替社保证明复印件；</w:t>
      </w:r>
    </w:p>
    <w:p>
      <w:pPr>
        <w:spacing w:line="440" w:lineRule="atLeast"/>
        <w:rPr>
          <w:rFonts w:cs="宋体"/>
          <w:b/>
          <w:color w:val="auto"/>
          <w:szCs w:val="21"/>
        </w:rPr>
      </w:pPr>
      <w:r>
        <w:rPr>
          <w:rFonts w:hint="eastAsia" w:cs="宋体"/>
          <w:b/>
          <w:color w:val="auto"/>
          <w:szCs w:val="21"/>
        </w:rPr>
        <w:t>（3）如委托代理人为免缴纳社保人员，提供免缴纳社保的证明材料复印件及供应商与委托代理人签订的劳动合同复印件代替社保证明复印件。</w:t>
      </w:r>
    </w:p>
    <w:p>
      <w:pPr>
        <w:pStyle w:val="28"/>
        <w:spacing w:line="340" w:lineRule="exact"/>
        <w:ind w:firstLine="420" w:firstLineChars="200"/>
        <w:rPr>
          <w:rFonts w:ascii="Times New Roman" w:hAnsi="Times New Roman" w:cs="宋体"/>
          <w:color w:val="auto"/>
        </w:rPr>
      </w:pPr>
    </w:p>
    <w:p>
      <w:pPr>
        <w:pStyle w:val="13"/>
        <w:ind w:left="2940"/>
        <w:rPr>
          <w:color w:val="auto"/>
        </w:rPr>
      </w:pPr>
    </w:p>
    <w:p>
      <w:pPr>
        <w:pStyle w:val="28"/>
        <w:jc w:val="center"/>
        <w:rPr>
          <w:rFonts w:ascii="Times New Roman" w:hAnsi="Times New Roman" w:cs="宋体"/>
          <w:b/>
          <w:color w:val="auto"/>
          <w:sz w:val="32"/>
        </w:rPr>
      </w:pPr>
      <w:bookmarkStart w:id="468" w:name="_Toc21370_WPSOffice_Level1"/>
      <w:bookmarkStart w:id="469" w:name="_Toc6975_WPSOffice_Level1"/>
      <w:r>
        <w:rPr>
          <w:rFonts w:hint="eastAsia" w:ascii="Times New Roman" w:hAnsi="Times New Roman" w:cs="宋体"/>
          <w:b/>
          <w:color w:val="auto"/>
          <w:sz w:val="32"/>
        </w:rPr>
        <w:t>授权委托书（格式二）</w:t>
      </w:r>
    </w:p>
    <w:p>
      <w:pPr>
        <w:pStyle w:val="28"/>
        <w:jc w:val="center"/>
        <w:rPr>
          <w:rFonts w:ascii="Times New Roman" w:hAnsi="Times New Roman" w:cs="宋体"/>
          <w:b/>
          <w:color w:val="auto"/>
          <w:sz w:val="30"/>
          <w:szCs w:val="30"/>
        </w:rPr>
      </w:pPr>
      <w:r>
        <w:rPr>
          <w:rFonts w:hint="eastAsia" w:ascii="Times New Roman" w:hAnsi="Times New Roman" w:cs="宋体"/>
          <w:b/>
          <w:color w:val="auto"/>
          <w:sz w:val="30"/>
          <w:szCs w:val="30"/>
        </w:rPr>
        <w:t>（适合自然人参与磋商）</w:t>
      </w:r>
      <w:bookmarkEnd w:id="468"/>
      <w:bookmarkEnd w:id="469"/>
    </w:p>
    <w:p>
      <w:pPr>
        <w:pStyle w:val="28"/>
        <w:rPr>
          <w:rFonts w:ascii="Times New Roman" w:hAnsi="Times New Roman" w:cs="宋体"/>
          <w:b/>
          <w:color w:val="auto"/>
          <w:sz w:val="32"/>
        </w:rPr>
      </w:pPr>
    </w:p>
    <w:p>
      <w:pPr>
        <w:pStyle w:val="28"/>
        <w:rPr>
          <w:rFonts w:ascii="Times New Roman" w:hAnsi="Times New Roman" w:cs="宋体"/>
          <w:color w:val="auto"/>
          <w:szCs w:val="21"/>
          <w:u w:val="single"/>
        </w:rPr>
      </w:pPr>
      <w:r>
        <w:rPr>
          <w:rFonts w:hint="eastAsia" w:ascii="Times New Roman" w:hAnsi="Times New Roman" w:cs="宋体"/>
          <w:b/>
          <w:color w:val="auto"/>
          <w:szCs w:val="21"/>
        </w:rPr>
        <w:t>致</w:t>
      </w:r>
      <w:r>
        <w:rPr>
          <w:rFonts w:hint="eastAsia" w:ascii="Times New Roman" w:hAnsi="Times New Roman" w:cs="宋体"/>
          <w:color w:val="auto"/>
          <w:szCs w:val="21"/>
        </w:rPr>
        <w:t>：</w:t>
      </w:r>
      <w:r>
        <w:rPr>
          <w:rFonts w:hint="eastAsia" w:ascii="Times New Roman" w:hAnsi="Times New Roman" w:cs="宋体"/>
          <w:color w:val="auto"/>
          <w:szCs w:val="21"/>
          <w:u w:val="single"/>
        </w:rPr>
        <w:t xml:space="preserve"> 广西科联招标中心有限公司 </w:t>
      </w:r>
    </w:p>
    <w:p>
      <w:pPr>
        <w:rPr>
          <w:rFonts w:cs="宋体"/>
          <w:color w:val="auto"/>
        </w:rPr>
      </w:pPr>
    </w:p>
    <w:p>
      <w:pPr>
        <w:pStyle w:val="28"/>
        <w:spacing w:line="340" w:lineRule="exact"/>
        <w:ind w:firstLine="420" w:firstLineChars="200"/>
        <w:rPr>
          <w:rFonts w:ascii="Times New Roman" w:hAnsi="Times New Roman" w:cs="宋体"/>
          <w:color w:val="auto"/>
        </w:rPr>
      </w:pPr>
      <w:r>
        <w:rPr>
          <w:rFonts w:hint="eastAsia" w:ascii="Times New Roman" w:hAnsi="Times New Roman" w:cs="宋体"/>
          <w:color w:val="auto"/>
          <w:kern w:val="0"/>
        </w:rPr>
        <w:t>我</w:t>
      </w:r>
      <w:r>
        <w:rPr>
          <w:rFonts w:hint="eastAsia" w:ascii="Times New Roman" w:hAnsi="Times New Roman" w:cs="宋体"/>
          <w:color w:val="auto"/>
          <w:kern w:val="0"/>
          <w:u w:val="single"/>
        </w:rPr>
        <w:t xml:space="preserve">              </w:t>
      </w:r>
      <w:r>
        <w:rPr>
          <w:rFonts w:hint="eastAsia" w:ascii="Times New Roman" w:hAnsi="Times New Roman" w:cs="宋体"/>
          <w:color w:val="auto"/>
          <w:kern w:val="0"/>
        </w:rPr>
        <w:t>（姓名）系自然人，现授权委托</w:t>
      </w:r>
      <w:r>
        <w:rPr>
          <w:rFonts w:hint="eastAsia" w:ascii="Times New Roman" w:hAnsi="Times New Roman" w:cs="宋体"/>
          <w:color w:val="auto"/>
          <w:kern w:val="0"/>
          <w:u w:val="single"/>
        </w:rPr>
        <w:t xml:space="preserve">            </w:t>
      </w:r>
      <w:r>
        <w:rPr>
          <w:rFonts w:hint="eastAsia" w:ascii="Times New Roman" w:hAnsi="Times New Roman" w:cs="宋体"/>
          <w:color w:val="auto"/>
          <w:kern w:val="0"/>
        </w:rPr>
        <w:t>（姓 名）以本人名义参加</w:t>
      </w:r>
      <w:r>
        <w:rPr>
          <w:rFonts w:hint="eastAsia" w:ascii="Times New Roman" w:hAnsi="Times New Roman" w:cs="宋体"/>
          <w:color w:val="auto"/>
          <w:kern w:val="0"/>
          <w:u w:val="single"/>
        </w:rPr>
        <w:t xml:space="preserve">      </w:t>
      </w:r>
      <w:r>
        <w:rPr>
          <w:rFonts w:hint="eastAsia" w:ascii="Times New Roman" w:hAnsi="Times New Roman" w:cs="宋体"/>
          <w:color w:val="auto"/>
          <w:u w:val="single"/>
        </w:rPr>
        <w:t xml:space="preserve">（项目名称及项目编号）        </w:t>
      </w:r>
      <w:r>
        <w:rPr>
          <w:rFonts w:hint="eastAsia" w:ascii="Times New Roman" w:hAnsi="Times New Roman" w:cs="宋体"/>
          <w:color w:val="auto"/>
        </w:rPr>
        <w:t>项目的磋商活动，并代表本人全权办理针对上述项目的磋商、签约等具体事务和签署相关文件。</w:t>
      </w:r>
    </w:p>
    <w:p>
      <w:pPr>
        <w:pStyle w:val="28"/>
        <w:spacing w:line="340" w:lineRule="exact"/>
        <w:ind w:firstLine="420" w:firstLineChars="200"/>
        <w:rPr>
          <w:rFonts w:ascii="Times New Roman" w:hAnsi="Times New Roman" w:cs="宋体"/>
          <w:color w:val="auto"/>
        </w:rPr>
      </w:pPr>
      <w:r>
        <w:rPr>
          <w:rFonts w:hint="eastAsia" w:ascii="Times New Roman" w:hAnsi="Times New Roman" w:cs="宋体"/>
          <w:color w:val="auto"/>
        </w:rPr>
        <w:t>本人对被授权人的签字事项负全部责任。</w:t>
      </w:r>
    </w:p>
    <w:p>
      <w:pPr>
        <w:pStyle w:val="28"/>
        <w:spacing w:line="340" w:lineRule="exact"/>
        <w:ind w:firstLine="420" w:firstLineChars="200"/>
        <w:rPr>
          <w:rFonts w:ascii="Times New Roman" w:hAnsi="Times New Roman" w:cs="宋体"/>
          <w:color w:val="auto"/>
          <w:u w:val="single"/>
        </w:rPr>
      </w:pPr>
      <w:r>
        <w:rPr>
          <w:rFonts w:hint="eastAsia" w:ascii="Times New Roman" w:hAnsi="Times New Roman" w:cs="宋体"/>
          <w:color w:val="auto"/>
        </w:rPr>
        <w:t>授权委托代理期限：从</w:t>
      </w:r>
      <w:r>
        <w:rPr>
          <w:rFonts w:hint="eastAsia" w:ascii="Times New Roman" w:hAnsi="Times New Roman" w:cs="宋体"/>
          <w:color w:val="auto"/>
          <w:u w:val="single"/>
        </w:rPr>
        <w:t xml:space="preserve">       </w:t>
      </w:r>
      <w:r>
        <w:rPr>
          <w:rFonts w:hint="eastAsia" w:ascii="Times New Roman" w:hAnsi="Times New Roman" w:cs="宋体"/>
          <w:color w:val="auto"/>
        </w:rPr>
        <w:t>年</w:t>
      </w:r>
      <w:r>
        <w:rPr>
          <w:rFonts w:hint="eastAsia" w:ascii="Times New Roman" w:hAnsi="Times New Roman" w:cs="宋体"/>
          <w:color w:val="auto"/>
          <w:u w:val="single"/>
        </w:rPr>
        <w:t xml:space="preserve">     </w:t>
      </w:r>
      <w:r>
        <w:rPr>
          <w:rFonts w:hint="eastAsia" w:ascii="Times New Roman" w:hAnsi="Times New Roman" w:cs="宋体"/>
          <w:color w:val="auto"/>
        </w:rPr>
        <w:t xml:space="preserve">月 </w:t>
      </w:r>
      <w:r>
        <w:rPr>
          <w:rFonts w:hint="eastAsia" w:ascii="Times New Roman" w:hAnsi="Times New Roman" w:cs="宋体"/>
          <w:color w:val="auto"/>
          <w:u w:val="single"/>
        </w:rPr>
        <w:t xml:space="preserve">    </w:t>
      </w:r>
      <w:r>
        <w:rPr>
          <w:rFonts w:hint="eastAsia" w:ascii="Times New Roman" w:hAnsi="Times New Roman" w:cs="宋体"/>
          <w:color w:val="auto"/>
        </w:rPr>
        <w:t xml:space="preserve"> 日起至</w:t>
      </w:r>
      <w:r>
        <w:rPr>
          <w:rFonts w:hint="eastAsia" w:ascii="Times New Roman" w:hAnsi="Times New Roman" w:cs="宋体"/>
          <w:color w:val="auto"/>
          <w:u w:val="single"/>
        </w:rPr>
        <w:t xml:space="preserve">         </w:t>
      </w:r>
      <w:r>
        <w:rPr>
          <w:rFonts w:hint="eastAsia" w:ascii="Times New Roman" w:hAnsi="Times New Roman" w:cs="宋体"/>
          <w:color w:val="auto"/>
        </w:rPr>
        <w:t>年</w:t>
      </w:r>
      <w:r>
        <w:rPr>
          <w:rFonts w:hint="eastAsia" w:ascii="Times New Roman" w:hAnsi="Times New Roman" w:cs="宋体"/>
          <w:color w:val="auto"/>
          <w:u w:val="single"/>
        </w:rPr>
        <w:t xml:space="preserve">     </w:t>
      </w:r>
      <w:r>
        <w:rPr>
          <w:rFonts w:hint="eastAsia" w:ascii="Times New Roman" w:hAnsi="Times New Roman" w:cs="宋体"/>
          <w:color w:val="auto"/>
        </w:rPr>
        <w:t xml:space="preserve">月 </w:t>
      </w:r>
      <w:r>
        <w:rPr>
          <w:rFonts w:hint="eastAsia" w:ascii="Times New Roman" w:hAnsi="Times New Roman" w:cs="宋体"/>
          <w:color w:val="auto"/>
          <w:u w:val="single"/>
        </w:rPr>
        <w:t xml:space="preserve">     </w:t>
      </w:r>
      <w:r>
        <w:rPr>
          <w:rFonts w:hint="eastAsia" w:ascii="Times New Roman" w:hAnsi="Times New Roman" w:cs="宋体"/>
          <w:color w:val="auto"/>
        </w:rPr>
        <w:t>日止。</w:t>
      </w:r>
    </w:p>
    <w:p>
      <w:pPr>
        <w:pStyle w:val="28"/>
        <w:spacing w:line="340" w:lineRule="exact"/>
        <w:rPr>
          <w:rFonts w:ascii="Times New Roman" w:hAnsi="Times New Roman" w:cs="宋体"/>
          <w:color w:val="auto"/>
          <w:u w:val="single"/>
        </w:rPr>
      </w:pPr>
      <w:r>
        <w:rPr>
          <w:rFonts w:hint="eastAsia" w:ascii="Times New Roman" w:hAnsi="Times New Roman" w:cs="宋体"/>
          <w:color w:val="auto"/>
        </w:rPr>
        <w:t xml:space="preserve">                                                                                             </w:t>
      </w:r>
    </w:p>
    <w:p>
      <w:pPr>
        <w:spacing w:line="340" w:lineRule="exact"/>
        <w:ind w:firstLine="420" w:firstLineChars="200"/>
        <w:rPr>
          <w:rFonts w:cs="宋体"/>
          <w:color w:val="auto"/>
          <w:kern w:val="0"/>
        </w:rPr>
      </w:pPr>
      <w:r>
        <w:rPr>
          <w:rFonts w:hint="eastAsia" w:cs="宋体"/>
          <w:color w:val="auto"/>
          <w:kern w:val="0"/>
        </w:rPr>
        <w:t xml:space="preserve">代理人无转委托权,特此委托。 </w:t>
      </w:r>
    </w:p>
    <w:p>
      <w:pPr>
        <w:spacing w:line="340" w:lineRule="exact"/>
        <w:ind w:firstLine="420" w:firstLineChars="200"/>
        <w:rPr>
          <w:rFonts w:cs="宋体"/>
          <w:color w:val="auto"/>
          <w:kern w:val="0"/>
        </w:rPr>
      </w:pPr>
    </w:p>
    <w:p>
      <w:pPr>
        <w:spacing w:line="340" w:lineRule="exact"/>
        <w:ind w:firstLine="420" w:firstLineChars="200"/>
        <w:rPr>
          <w:rFonts w:cs="宋体"/>
          <w:color w:val="auto"/>
          <w:szCs w:val="21"/>
        </w:rPr>
      </w:pPr>
      <w:r>
        <w:rPr>
          <w:rFonts w:hint="eastAsia" w:cs="宋体"/>
          <w:color w:val="auto"/>
          <w:szCs w:val="21"/>
        </w:rPr>
        <w:t>我已在下面签字，以资证明。</w:t>
      </w:r>
    </w:p>
    <w:p>
      <w:pPr>
        <w:spacing w:line="340" w:lineRule="exact"/>
        <w:ind w:firstLine="420" w:firstLineChars="200"/>
        <w:rPr>
          <w:rFonts w:cs="宋体"/>
          <w:color w:val="auto"/>
          <w:szCs w:val="21"/>
        </w:rPr>
      </w:pPr>
    </w:p>
    <w:p>
      <w:pPr>
        <w:snapToGrid w:val="0"/>
        <w:spacing w:line="340" w:lineRule="exact"/>
        <w:ind w:firstLine="420"/>
        <w:rPr>
          <w:rFonts w:cs="宋体"/>
          <w:color w:val="auto"/>
          <w:szCs w:val="21"/>
        </w:rPr>
      </w:pPr>
      <w:r>
        <w:rPr>
          <w:rFonts w:hint="eastAsia" w:cs="宋体"/>
          <w:color w:val="auto"/>
          <w:szCs w:val="21"/>
        </w:rPr>
        <w:t>自然人签字并在签名处加盖大拇指指印或个人CA签章：</w:t>
      </w:r>
      <w:r>
        <w:rPr>
          <w:rFonts w:hint="eastAsia" w:cs="宋体"/>
          <w:color w:val="auto"/>
          <w:szCs w:val="21"/>
          <w:u w:val="single"/>
        </w:rPr>
        <w:t xml:space="preserve">             </w:t>
      </w:r>
      <w:r>
        <w:rPr>
          <w:rFonts w:hint="eastAsia" w:cs="宋体"/>
          <w:color w:val="auto"/>
          <w:szCs w:val="21"/>
        </w:rPr>
        <w:t xml:space="preserve">     </w:t>
      </w:r>
      <w:r>
        <w:rPr>
          <w:rFonts w:hint="eastAsia" w:cs="宋体"/>
          <w:color w:val="auto"/>
          <w:szCs w:val="21"/>
          <w:u w:val="single"/>
        </w:rPr>
        <w:t xml:space="preserve">      </w:t>
      </w:r>
      <w:r>
        <w:rPr>
          <w:rFonts w:hint="eastAsia" w:cs="宋体"/>
          <w:color w:val="auto"/>
          <w:szCs w:val="21"/>
        </w:rPr>
        <w:t>年</w:t>
      </w:r>
      <w:r>
        <w:rPr>
          <w:rFonts w:hint="eastAsia" w:cs="宋体"/>
          <w:color w:val="auto"/>
          <w:szCs w:val="21"/>
          <w:u w:val="single"/>
        </w:rPr>
        <w:t xml:space="preserve">      </w:t>
      </w:r>
      <w:r>
        <w:rPr>
          <w:rFonts w:hint="eastAsia" w:cs="宋体"/>
          <w:color w:val="auto"/>
          <w:szCs w:val="21"/>
        </w:rPr>
        <w:t>月</w:t>
      </w:r>
      <w:r>
        <w:rPr>
          <w:rFonts w:hint="eastAsia" w:cs="宋体"/>
          <w:color w:val="auto"/>
          <w:szCs w:val="21"/>
          <w:u w:val="single"/>
        </w:rPr>
        <w:t xml:space="preserve">     </w:t>
      </w:r>
      <w:r>
        <w:rPr>
          <w:rFonts w:hint="eastAsia" w:cs="宋体"/>
          <w:color w:val="auto"/>
          <w:szCs w:val="21"/>
        </w:rPr>
        <w:t>日</w:t>
      </w:r>
    </w:p>
    <w:p>
      <w:pPr>
        <w:pStyle w:val="28"/>
        <w:spacing w:line="400" w:lineRule="exact"/>
        <w:ind w:left="420" w:leftChars="200"/>
        <w:rPr>
          <w:rFonts w:ascii="Times New Roman" w:hAnsi="Times New Roman" w:cs="宋体"/>
          <w:color w:val="auto"/>
          <w:szCs w:val="21"/>
        </w:rPr>
      </w:pPr>
    </w:p>
    <w:p>
      <w:pPr>
        <w:pStyle w:val="28"/>
        <w:spacing w:line="400" w:lineRule="exact"/>
        <w:rPr>
          <w:rFonts w:ascii="Times New Roman" w:hAnsi="Times New Roman" w:cs="宋体"/>
          <w:b/>
          <w:color w:val="auto"/>
          <w:szCs w:val="21"/>
        </w:rPr>
      </w:pPr>
      <w:r>
        <w:rPr>
          <w:rFonts w:hint="eastAsia" w:ascii="Times New Roman" w:hAnsi="Times New Roman" w:cs="宋体"/>
          <w:b/>
          <w:color w:val="auto"/>
          <w:szCs w:val="21"/>
        </w:rPr>
        <w:t>附：委托代理人有效身份证正反面复印件</w:t>
      </w:r>
    </w:p>
    <w:p>
      <w:pPr>
        <w:pStyle w:val="21"/>
        <w:rPr>
          <w:rFonts w:cs="宋体"/>
          <w:b/>
          <w:color w:val="auto"/>
          <w:szCs w:val="21"/>
        </w:rPr>
      </w:pPr>
    </w:p>
    <w:p>
      <w:pPr>
        <w:pStyle w:val="13"/>
        <w:ind w:left="0" w:leftChars="0"/>
        <w:outlineLvl w:val="1"/>
        <w:rPr>
          <w:rFonts w:cs="宋体"/>
          <w:b/>
          <w:color w:val="auto"/>
          <w:sz w:val="28"/>
          <w:szCs w:val="28"/>
        </w:rPr>
      </w:pPr>
      <w:bookmarkStart w:id="470" w:name="_Toc2998"/>
      <w:bookmarkStart w:id="471" w:name="_Toc2683"/>
      <w:bookmarkStart w:id="472" w:name="_Toc2550"/>
      <w:bookmarkStart w:id="473" w:name="_Toc24664"/>
      <w:bookmarkStart w:id="474" w:name="_Toc27156"/>
      <w:bookmarkStart w:id="475" w:name="_Toc14148"/>
      <w:r>
        <w:rPr>
          <w:rFonts w:hint="eastAsia" w:cs="宋体"/>
          <w:b/>
          <w:color w:val="auto"/>
          <w:sz w:val="28"/>
          <w:szCs w:val="28"/>
        </w:rPr>
        <w:t>3.供应商参加政府采购活动前3年内在经营活动中没有重大违法记录及有关信用信息的书面声明（必须提供）；</w:t>
      </w:r>
      <w:bookmarkEnd w:id="470"/>
      <w:bookmarkEnd w:id="471"/>
      <w:bookmarkEnd w:id="472"/>
      <w:bookmarkEnd w:id="473"/>
      <w:bookmarkEnd w:id="474"/>
      <w:bookmarkEnd w:id="475"/>
    </w:p>
    <w:p>
      <w:pPr>
        <w:pStyle w:val="28"/>
        <w:spacing w:line="400" w:lineRule="exact"/>
        <w:ind w:left="420" w:leftChars="200" w:firstLine="157" w:firstLineChars="49"/>
        <w:rPr>
          <w:rFonts w:ascii="Times New Roman" w:hAnsi="Times New Roman" w:cs="宋体"/>
          <w:b/>
          <w:color w:val="auto"/>
          <w:sz w:val="32"/>
          <w:szCs w:val="32"/>
        </w:rPr>
      </w:pPr>
      <w:r>
        <w:rPr>
          <w:rFonts w:hint="eastAsia" w:ascii="Times New Roman" w:hAnsi="Times New Roman" w:cs="宋体"/>
          <w:b/>
          <w:color w:val="auto"/>
          <w:sz w:val="32"/>
          <w:szCs w:val="32"/>
        </w:rPr>
        <w:t xml:space="preserve">                       </w:t>
      </w:r>
    </w:p>
    <w:p>
      <w:pPr>
        <w:pStyle w:val="28"/>
        <w:spacing w:line="400" w:lineRule="exact"/>
        <w:rPr>
          <w:rFonts w:ascii="Times New Roman" w:hAnsi="Times New Roman" w:cs="宋体"/>
          <w:b/>
          <w:color w:val="auto"/>
          <w:sz w:val="32"/>
          <w:szCs w:val="32"/>
        </w:rPr>
      </w:pPr>
      <w:r>
        <w:rPr>
          <w:rFonts w:hint="eastAsia" w:ascii="Times New Roman" w:hAnsi="Times New Roman" w:cs="宋体"/>
          <w:b/>
          <w:color w:val="auto"/>
          <w:sz w:val="32"/>
          <w:szCs w:val="32"/>
        </w:rPr>
        <w:t>附件：</w:t>
      </w:r>
    </w:p>
    <w:p>
      <w:pPr>
        <w:pStyle w:val="28"/>
        <w:spacing w:line="400" w:lineRule="exact"/>
        <w:jc w:val="center"/>
        <w:rPr>
          <w:rFonts w:ascii="Times New Roman" w:hAnsi="Times New Roman" w:cs="宋体"/>
          <w:b/>
          <w:color w:val="auto"/>
          <w:sz w:val="32"/>
          <w:szCs w:val="32"/>
        </w:rPr>
      </w:pPr>
      <w:bookmarkStart w:id="476" w:name="_Toc30890_WPSOffice_Level1"/>
      <w:bookmarkStart w:id="477" w:name="_Toc30304_WPSOffice_Level1"/>
      <w:r>
        <w:rPr>
          <w:rFonts w:hint="eastAsia" w:ascii="Times New Roman" w:hAnsi="Times New Roman" w:cs="宋体"/>
          <w:b/>
          <w:color w:val="auto"/>
          <w:sz w:val="32"/>
          <w:szCs w:val="32"/>
        </w:rPr>
        <w:t>声   明</w:t>
      </w:r>
      <w:bookmarkEnd w:id="476"/>
      <w:bookmarkEnd w:id="477"/>
    </w:p>
    <w:p>
      <w:pPr>
        <w:pStyle w:val="28"/>
        <w:spacing w:line="400" w:lineRule="exact"/>
        <w:rPr>
          <w:rFonts w:ascii="Times New Roman" w:hAnsi="Times New Roman" w:cs="宋体"/>
          <w:b/>
          <w:color w:val="auto"/>
          <w:sz w:val="32"/>
          <w:szCs w:val="32"/>
        </w:rPr>
      </w:pPr>
    </w:p>
    <w:p>
      <w:pPr>
        <w:pStyle w:val="28"/>
        <w:spacing w:line="400" w:lineRule="exact"/>
        <w:rPr>
          <w:rFonts w:ascii="Times New Roman" w:hAnsi="Times New Roman" w:cs="宋体"/>
          <w:b/>
          <w:color w:val="auto"/>
          <w:szCs w:val="21"/>
          <w:u w:val="single"/>
        </w:rPr>
      </w:pPr>
      <w:r>
        <w:rPr>
          <w:rFonts w:hint="eastAsia" w:ascii="Times New Roman" w:hAnsi="Times New Roman" w:cs="宋体"/>
          <w:b/>
          <w:color w:val="auto"/>
          <w:szCs w:val="21"/>
        </w:rPr>
        <w:t>致：</w:t>
      </w:r>
      <w:r>
        <w:rPr>
          <w:rFonts w:hint="eastAsia" w:ascii="Times New Roman" w:hAnsi="Times New Roman" w:cs="宋体"/>
          <w:b/>
          <w:color w:val="auto"/>
          <w:szCs w:val="21"/>
          <w:u w:val="single"/>
        </w:rPr>
        <w:t xml:space="preserve"> 广西科联招标中心有限公司 </w:t>
      </w:r>
    </w:p>
    <w:p>
      <w:pPr>
        <w:rPr>
          <w:rFonts w:cs="宋体"/>
          <w:color w:val="auto"/>
          <w:szCs w:val="21"/>
          <w:u w:val="single"/>
        </w:rPr>
      </w:pPr>
    </w:p>
    <w:p>
      <w:pPr>
        <w:pStyle w:val="21"/>
        <w:rPr>
          <w:rFonts w:cs="宋体"/>
          <w:color w:val="auto"/>
        </w:rPr>
      </w:pPr>
    </w:p>
    <w:p>
      <w:pPr>
        <w:pStyle w:val="28"/>
        <w:spacing w:line="400" w:lineRule="exact"/>
        <w:ind w:firstLine="420" w:firstLineChars="200"/>
        <w:rPr>
          <w:rFonts w:ascii="Times New Roman" w:hAnsi="Times New Roman" w:cs="宋体"/>
          <w:color w:val="auto"/>
        </w:rPr>
      </w:pPr>
      <w:r>
        <w:rPr>
          <w:rFonts w:hint="eastAsia" w:ascii="Times New Roman" w:hAnsi="Times New Roman" w:cs="宋体"/>
          <w:color w:val="auto"/>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w:t>
      </w:r>
      <w:r>
        <w:rPr>
          <w:rFonts w:hint="eastAsia" w:ascii="Times New Roman" w:hAnsi="Times New Roman" w:cs="宋体"/>
          <w:color w:val="auto"/>
          <w:lang w:eastAsia="zh-CN"/>
        </w:rPr>
        <w:t>重大税收违法失信主体</w:t>
      </w:r>
      <w:r>
        <w:rPr>
          <w:rFonts w:hint="eastAsia" w:ascii="Times New Roman" w:hAnsi="Times New Roman" w:cs="宋体"/>
          <w:color w:val="auto"/>
        </w:rPr>
        <w:t>、政府采购严重违法失信行为记录名单，完全符合《中华人民共和国政府采购法》第二十二条规定的供应商资格条件，我方对此声明负全部法律责任。</w:t>
      </w:r>
    </w:p>
    <w:p>
      <w:pPr>
        <w:rPr>
          <w:rFonts w:cs="宋体"/>
          <w:color w:val="auto"/>
        </w:rPr>
      </w:pPr>
    </w:p>
    <w:p>
      <w:pPr>
        <w:snapToGrid w:val="0"/>
        <w:spacing w:line="400" w:lineRule="exact"/>
        <w:ind w:firstLine="1890" w:firstLineChars="900"/>
        <w:rPr>
          <w:rFonts w:cs="宋体"/>
          <w:color w:val="auto"/>
        </w:rPr>
      </w:pPr>
      <w:r>
        <w:rPr>
          <w:rFonts w:hint="eastAsia" w:cs="宋体"/>
          <w:color w:val="auto"/>
          <w:szCs w:val="21"/>
        </w:rPr>
        <w:t>磋商供应商[公章(CA签章)，自然人签字或个人CA签章]：</w:t>
      </w:r>
      <w:r>
        <w:rPr>
          <w:rFonts w:hint="eastAsia" w:cs="宋体"/>
          <w:color w:val="auto"/>
          <w:szCs w:val="21"/>
          <w:u w:val="single"/>
        </w:rPr>
        <w:t xml:space="preserve">                       </w:t>
      </w:r>
    </w:p>
    <w:p>
      <w:pPr>
        <w:pStyle w:val="28"/>
        <w:ind w:firstLine="3990" w:firstLineChars="1900"/>
        <w:rPr>
          <w:rFonts w:ascii="Times New Roman" w:hAnsi="Times New Roman" w:cs="宋体"/>
          <w:color w:val="auto"/>
        </w:rPr>
      </w:pPr>
    </w:p>
    <w:p>
      <w:pPr>
        <w:pStyle w:val="28"/>
        <w:ind w:firstLine="3990" w:firstLineChars="1900"/>
        <w:rPr>
          <w:rFonts w:ascii="Times New Roman" w:hAnsi="Times New Roman" w:cs="宋体"/>
          <w:color w:val="auto"/>
          <w:u w:val="single"/>
        </w:rPr>
      </w:pPr>
      <w:r>
        <w:rPr>
          <w:rFonts w:hint="eastAsia" w:ascii="Times New Roman" w:hAnsi="Times New Roman" w:cs="宋体"/>
          <w:color w:val="auto"/>
        </w:rPr>
        <w:t>日          期：</w:t>
      </w:r>
      <w:r>
        <w:rPr>
          <w:rFonts w:hint="eastAsia" w:ascii="Times New Roman" w:hAnsi="Times New Roman" w:cs="宋体"/>
          <w:color w:val="auto"/>
          <w:u w:val="single"/>
        </w:rPr>
        <w:t xml:space="preserve">                            </w:t>
      </w:r>
    </w:p>
    <w:p>
      <w:pPr>
        <w:pStyle w:val="28"/>
        <w:spacing w:line="340" w:lineRule="exact"/>
        <w:rPr>
          <w:rFonts w:ascii="Times New Roman" w:hAnsi="Times New Roman" w:cs="宋体"/>
          <w:b/>
          <w:color w:val="auto"/>
          <w:sz w:val="28"/>
          <w:szCs w:val="28"/>
        </w:rPr>
      </w:pPr>
    </w:p>
    <w:p>
      <w:pPr>
        <w:pStyle w:val="28"/>
        <w:spacing w:line="340" w:lineRule="exact"/>
        <w:rPr>
          <w:rFonts w:ascii="Times New Roman" w:hAnsi="Times New Roman" w:cs="宋体"/>
          <w:b/>
          <w:color w:val="auto"/>
          <w:sz w:val="28"/>
          <w:szCs w:val="28"/>
        </w:rPr>
      </w:pPr>
    </w:p>
    <w:p>
      <w:pPr>
        <w:pStyle w:val="28"/>
        <w:spacing w:line="340" w:lineRule="exact"/>
        <w:rPr>
          <w:rFonts w:ascii="Times New Roman" w:hAnsi="Times New Roman" w:cs="宋体"/>
          <w:b/>
          <w:color w:val="auto"/>
          <w:sz w:val="28"/>
          <w:szCs w:val="28"/>
        </w:rPr>
      </w:pPr>
    </w:p>
    <w:p>
      <w:pPr>
        <w:pStyle w:val="13"/>
        <w:ind w:left="0" w:leftChars="0"/>
        <w:outlineLvl w:val="1"/>
        <w:rPr>
          <w:rFonts w:cs="宋体"/>
          <w:b/>
          <w:color w:val="auto"/>
          <w:sz w:val="28"/>
          <w:szCs w:val="28"/>
        </w:rPr>
      </w:pPr>
      <w:bookmarkStart w:id="478" w:name="_Toc12471"/>
      <w:bookmarkStart w:id="479" w:name="_Toc28909"/>
      <w:bookmarkStart w:id="480" w:name="_Toc28801"/>
      <w:bookmarkStart w:id="481" w:name="_Toc20796"/>
      <w:bookmarkStart w:id="482" w:name="_Toc32703"/>
      <w:bookmarkStart w:id="483" w:name="_Toc20647"/>
      <w:r>
        <w:rPr>
          <w:rFonts w:hint="eastAsia" w:cs="宋体"/>
          <w:b/>
          <w:color w:val="auto"/>
          <w:sz w:val="28"/>
          <w:szCs w:val="28"/>
        </w:rPr>
        <w:t>4.供应商的法人或者其他组织营业执照等证明文件复印件（必须提供，自然人除外）；</w:t>
      </w:r>
      <w:bookmarkEnd w:id="478"/>
      <w:bookmarkEnd w:id="479"/>
      <w:bookmarkEnd w:id="480"/>
      <w:bookmarkEnd w:id="481"/>
      <w:bookmarkEnd w:id="482"/>
      <w:bookmarkEnd w:id="483"/>
    </w:p>
    <w:p>
      <w:pPr>
        <w:tabs>
          <w:tab w:val="left" w:pos="1305"/>
        </w:tabs>
        <w:spacing w:line="340" w:lineRule="exact"/>
        <w:rPr>
          <w:rFonts w:cs="宋体"/>
          <w:b/>
          <w:color w:val="auto"/>
          <w:szCs w:val="21"/>
        </w:rPr>
      </w:pPr>
    </w:p>
    <w:p>
      <w:pPr>
        <w:tabs>
          <w:tab w:val="left" w:pos="1305"/>
        </w:tabs>
        <w:spacing w:line="400" w:lineRule="exact"/>
        <w:rPr>
          <w:rFonts w:cs="宋体"/>
          <w:b/>
          <w:color w:val="auto"/>
          <w:szCs w:val="21"/>
        </w:rPr>
      </w:pPr>
      <w:r>
        <w:rPr>
          <w:rFonts w:hint="eastAsia" w:cs="宋体"/>
          <w:b/>
          <w:color w:val="auto"/>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rPr>
          <w:rFonts w:cs="宋体"/>
          <w:b/>
          <w:bCs/>
          <w:color w:val="auto"/>
          <w:sz w:val="28"/>
          <w:szCs w:val="28"/>
        </w:rPr>
      </w:pPr>
    </w:p>
    <w:p>
      <w:pPr>
        <w:pStyle w:val="28"/>
        <w:spacing w:line="340" w:lineRule="exact"/>
        <w:rPr>
          <w:rFonts w:ascii="Times New Roman" w:hAnsi="Times New Roman" w:cs="宋体"/>
          <w:b/>
          <w:color w:val="auto"/>
          <w:sz w:val="28"/>
          <w:szCs w:val="28"/>
        </w:rPr>
      </w:pPr>
    </w:p>
    <w:p>
      <w:pPr>
        <w:rPr>
          <w:rFonts w:cs="宋体"/>
          <w:b/>
          <w:color w:val="auto"/>
          <w:sz w:val="28"/>
          <w:szCs w:val="28"/>
        </w:rPr>
      </w:pPr>
      <w:bookmarkStart w:id="484" w:name="_Toc12697"/>
      <w:bookmarkStart w:id="485" w:name="_Toc29194"/>
      <w:bookmarkStart w:id="486" w:name="_Toc6956"/>
      <w:bookmarkStart w:id="487" w:name="_Toc28158"/>
      <w:r>
        <w:rPr>
          <w:rFonts w:hint="eastAsia" w:cs="宋体"/>
          <w:b/>
          <w:color w:val="auto"/>
          <w:sz w:val="28"/>
          <w:szCs w:val="28"/>
        </w:rPr>
        <w:br w:type="page"/>
      </w:r>
    </w:p>
    <w:p>
      <w:pPr>
        <w:pStyle w:val="13"/>
        <w:ind w:left="0" w:leftChars="0"/>
        <w:outlineLvl w:val="1"/>
        <w:rPr>
          <w:rFonts w:cs="宋体"/>
          <w:b/>
          <w:color w:val="auto"/>
          <w:sz w:val="28"/>
          <w:szCs w:val="28"/>
        </w:rPr>
      </w:pPr>
      <w:bookmarkStart w:id="488" w:name="_Toc19732"/>
      <w:bookmarkStart w:id="489" w:name="_Toc23069"/>
      <w:r>
        <w:rPr>
          <w:rFonts w:hint="eastAsia" w:cs="宋体"/>
          <w:b/>
          <w:color w:val="auto"/>
          <w:sz w:val="28"/>
          <w:szCs w:val="28"/>
        </w:rPr>
        <w:t>5.供应商有效的资质证书复印件（必须提供）；</w:t>
      </w:r>
      <w:bookmarkEnd w:id="484"/>
      <w:bookmarkEnd w:id="485"/>
      <w:bookmarkEnd w:id="486"/>
      <w:bookmarkEnd w:id="487"/>
      <w:bookmarkEnd w:id="488"/>
      <w:bookmarkEnd w:id="489"/>
    </w:p>
    <w:p>
      <w:pPr>
        <w:pStyle w:val="13"/>
        <w:ind w:left="0" w:leftChars="0"/>
        <w:rPr>
          <w:color w:val="auto"/>
        </w:rPr>
      </w:pPr>
    </w:p>
    <w:p>
      <w:pPr>
        <w:pStyle w:val="28"/>
        <w:spacing w:line="340" w:lineRule="exact"/>
        <w:jc w:val="left"/>
        <w:rPr>
          <w:rFonts w:ascii="Times New Roman" w:hAnsi="Times New Roman" w:cs="宋体"/>
          <w:b/>
          <w:color w:val="auto"/>
          <w:sz w:val="28"/>
          <w:szCs w:val="28"/>
        </w:rPr>
      </w:pPr>
    </w:p>
    <w:p>
      <w:pPr>
        <w:pStyle w:val="13"/>
        <w:ind w:left="0" w:leftChars="0"/>
        <w:jc w:val="left"/>
        <w:rPr>
          <w:rFonts w:cs="宋体"/>
          <w:b/>
          <w:color w:val="auto"/>
          <w:sz w:val="28"/>
          <w:szCs w:val="28"/>
        </w:rPr>
      </w:pPr>
    </w:p>
    <w:p>
      <w:pPr>
        <w:jc w:val="left"/>
        <w:rPr>
          <w:rFonts w:cs="宋体"/>
          <w:b/>
          <w:color w:val="auto"/>
          <w:sz w:val="28"/>
          <w:szCs w:val="28"/>
        </w:rPr>
      </w:pPr>
    </w:p>
    <w:p>
      <w:pPr>
        <w:pStyle w:val="2"/>
        <w:rPr>
          <w:color w:val="auto"/>
        </w:rPr>
      </w:pPr>
    </w:p>
    <w:p>
      <w:pPr>
        <w:spacing w:line="340" w:lineRule="exact"/>
        <w:jc w:val="left"/>
        <w:rPr>
          <w:rFonts w:cs="宋体"/>
          <w:b/>
          <w:color w:val="auto"/>
          <w:sz w:val="28"/>
          <w:szCs w:val="28"/>
        </w:rPr>
      </w:pPr>
      <w:bookmarkStart w:id="490" w:name="_Toc27290"/>
      <w:bookmarkStart w:id="491" w:name="_Toc31765"/>
      <w:bookmarkStart w:id="492" w:name="_Toc16476"/>
      <w:bookmarkStart w:id="493" w:name="_Toc1162"/>
    </w:p>
    <w:p>
      <w:pPr>
        <w:pStyle w:val="13"/>
        <w:ind w:left="0" w:leftChars="0"/>
        <w:outlineLvl w:val="1"/>
        <w:rPr>
          <w:rFonts w:cs="宋体"/>
          <w:b/>
          <w:color w:val="auto"/>
          <w:sz w:val="28"/>
          <w:szCs w:val="28"/>
        </w:rPr>
      </w:pPr>
      <w:bookmarkStart w:id="494" w:name="_Toc3115"/>
      <w:bookmarkStart w:id="495" w:name="_Toc7999"/>
      <w:r>
        <w:rPr>
          <w:rFonts w:hint="eastAsia" w:cs="宋体"/>
          <w:b/>
          <w:color w:val="auto"/>
          <w:sz w:val="28"/>
          <w:szCs w:val="28"/>
        </w:rPr>
        <w:t>6.供应商财务状况报告（提供2022年度或2023年度经审计的财务报告复印件或者截标时间前半年内至少一个月能反映财务状况的报表或者供应商自拟的截标时间前半年内至少一个月的财务情况说明）（必须提供）；</w:t>
      </w:r>
      <w:bookmarkEnd w:id="490"/>
      <w:bookmarkEnd w:id="491"/>
      <w:bookmarkEnd w:id="492"/>
      <w:bookmarkEnd w:id="493"/>
      <w:bookmarkEnd w:id="494"/>
      <w:bookmarkEnd w:id="495"/>
    </w:p>
    <w:p>
      <w:pPr>
        <w:ind w:left="2940" w:leftChars="1400"/>
        <w:rPr>
          <w:color w:val="auto"/>
        </w:rPr>
      </w:pPr>
      <w:bookmarkStart w:id="496" w:name="_Toc12791"/>
      <w:bookmarkStart w:id="497" w:name="_Toc18342"/>
      <w:bookmarkStart w:id="498" w:name="_Toc21896"/>
      <w:bookmarkStart w:id="499" w:name="_Toc10639"/>
    </w:p>
    <w:p>
      <w:pPr>
        <w:spacing w:line="340" w:lineRule="exact"/>
        <w:jc w:val="left"/>
        <w:rPr>
          <w:rFonts w:cs="宋体"/>
          <w:b/>
          <w:color w:val="auto"/>
          <w:sz w:val="28"/>
          <w:szCs w:val="28"/>
        </w:rPr>
      </w:pPr>
    </w:p>
    <w:p>
      <w:pPr>
        <w:jc w:val="left"/>
        <w:rPr>
          <w:rFonts w:cs="宋体"/>
          <w:b/>
          <w:color w:val="auto"/>
          <w:sz w:val="28"/>
          <w:szCs w:val="28"/>
        </w:rPr>
      </w:pPr>
    </w:p>
    <w:p>
      <w:pPr>
        <w:jc w:val="left"/>
        <w:rPr>
          <w:rFonts w:cs="宋体"/>
          <w:b/>
          <w:color w:val="auto"/>
          <w:sz w:val="28"/>
          <w:szCs w:val="28"/>
        </w:rPr>
      </w:pPr>
    </w:p>
    <w:p>
      <w:pPr>
        <w:snapToGrid w:val="0"/>
        <w:jc w:val="left"/>
        <w:rPr>
          <w:color w:val="auto"/>
          <w:sz w:val="18"/>
          <w:szCs w:val="18"/>
        </w:rPr>
      </w:pPr>
    </w:p>
    <w:p>
      <w:pPr>
        <w:spacing w:line="340" w:lineRule="exact"/>
        <w:jc w:val="left"/>
        <w:rPr>
          <w:rFonts w:cs="宋体"/>
          <w:b/>
          <w:color w:val="auto"/>
          <w:sz w:val="28"/>
          <w:szCs w:val="28"/>
        </w:rPr>
      </w:pPr>
    </w:p>
    <w:p>
      <w:pPr>
        <w:pStyle w:val="13"/>
        <w:ind w:left="0" w:leftChars="0"/>
        <w:outlineLvl w:val="1"/>
        <w:rPr>
          <w:rFonts w:cs="宋体"/>
          <w:b/>
          <w:color w:val="auto"/>
          <w:sz w:val="28"/>
          <w:szCs w:val="28"/>
        </w:rPr>
      </w:pPr>
      <w:bookmarkStart w:id="500" w:name="_Toc10118"/>
      <w:bookmarkStart w:id="501" w:name="_Toc9187"/>
      <w:r>
        <w:rPr>
          <w:rFonts w:hint="eastAsia" w:cs="宋体"/>
          <w:b/>
          <w:color w:val="auto"/>
          <w:sz w:val="28"/>
          <w:szCs w:val="28"/>
        </w:rPr>
        <w:t>7.供应商在磋商当天前近半年内任意一个月或任一季度依法缴纳税收的证明材料（增值税发票(税收完税证明)或企业所得税完税证明或税务部门出具的免税证明）复印件（必须提供）。</w:t>
      </w:r>
      <w:bookmarkEnd w:id="496"/>
      <w:bookmarkEnd w:id="497"/>
      <w:bookmarkEnd w:id="498"/>
      <w:bookmarkEnd w:id="499"/>
      <w:bookmarkEnd w:id="500"/>
      <w:bookmarkEnd w:id="501"/>
    </w:p>
    <w:p>
      <w:pPr>
        <w:rPr>
          <w:rFonts w:cs="宋体"/>
          <w:b/>
          <w:bCs/>
          <w:color w:val="auto"/>
          <w:sz w:val="32"/>
          <w:szCs w:val="32"/>
        </w:rPr>
      </w:pPr>
    </w:p>
    <w:p>
      <w:pPr>
        <w:pStyle w:val="2"/>
        <w:rPr>
          <w:color w:val="auto"/>
        </w:rPr>
      </w:pPr>
    </w:p>
    <w:p>
      <w:pPr>
        <w:rPr>
          <w:rFonts w:cs="宋体"/>
          <w:b/>
          <w:color w:val="auto"/>
          <w:sz w:val="28"/>
          <w:szCs w:val="28"/>
        </w:rPr>
      </w:pPr>
      <w:r>
        <w:rPr>
          <w:rFonts w:hint="eastAsia" w:cs="宋体"/>
          <w:b/>
          <w:color w:val="auto"/>
          <w:sz w:val="28"/>
          <w:szCs w:val="28"/>
        </w:rPr>
        <w:br w:type="page"/>
      </w:r>
    </w:p>
    <w:p>
      <w:pPr>
        <w:pStyle w:val="13"/>
        <w:ind w:left="0" w:leftChars="0"/>
        <w:outlineLvl w:val="1"/>
        <w:rPr>
          <w:rFonts w:cs="宋体"/>
          <w:b/>
          <w:bCs/>
          <w:color w:val="auto"/>
          <w:sz w:val="32"/>
          <w:szCs w:val="32"/>
        </w:rPr>
      </w:pPr>
      <w:bookmarkStart w:id="502" w:name="_Toc28539"/>
      <w:bookmarkStart w:id="503" w:name="_Toc18910"/>
      <w:r>
        <w:rPr>
          <w:rFonts w:hint="eastAsia" w:cs="宋体"/>
          <w:b/>
          <w:color w:val="auto"/>
          <w:sz w:val="28"/>
          <w:szCs w:val="28"/>
        </w:rPr>
        <w:t>8.中小企业声明函或者残疾人福利性单位声明函（格式后附）或者供应商属于监狱企业的，提供由省级以上监狱管理局、戒毒管理局（含新疆生产建设兵团）</w:t>
      </w:r>
      <w:bookmarkEnd w:id="502"/>
      <w:bookmarkEnd w:id="503"/>
      <w:r>
        <w:rPr>
          <w:rFonts w:hint="eastAsia" w:cs="宋体"/>
          <w:b/>
          <w:color w:val="auto"/>
          <w:sz w:val="28"/>
          <w:szCs w:val="28"/>
        </w:rPr>
        <w:t>出具的属于监狱企业的证明文件（必须提供）。</w:t>
      </w:r>
    </w:p>
    <w:p>
      <w:pPr>
        <w:rPr>
          <w:rFonts w:cs="宋体"/>
          <w:b/>
          <w:bCs/>
          <w:color w:val="auto"/>
          <w:sz w:val="32"/>
          <w:szCs w:val="32"/>
        </w:rPr>
      </w:pPr>
    </w:p>
    <w:p>
      <w:pPr>
        <w:jc w:val="center"/>
        <w:outlineLvl w:val="1"/>
        <w:rPr>
          <w:rStyle w:val="270"/>
          <w:rFonts w:cs="宋体"/>
          <w:b/>
          <w:bCs/>
          <w:color w:val="auto"/>
          <w:kern w:val="0"/>
          <w:sz w:val="24"/>
        </w:rPr>
      </w:pPr>
      <w:bookmarkStart w:id="504" w:name="_Toc27491"/>
      <w:bookmarkStart w:id="505" w:name="_Toc16031"/>
      <w:bookmarkStart w:id="506" w:name="_Toc20297"/>
      <w:bookmarkStart w:id="507" w:name="_Toc23913"/>
      <w:bookmarkStart w:id="508" w:name="_Toc20326"/>
      <w:bookmarkStart w:id="509" w:name="_Toc22992"/>
      <w:bookmarkStart w:id="510" w:name="_Toc26201"/>
      <w:r>
        <w:rPr>
          <w:rStyle w:val="270"/>
          <w:rFonts w:hint="eastAsia" w:cs="宋体"/>
          <w:b/>
          <w:bCs/>
          <w:color w:val="auto"/>
          <w:kern w:val="0"/>
          <w:sz w:val="24"/>
        </w:rPr>
        <w:t>（1）</w:t>
      </w:r>
      <w:r>
        <w:rPr>
          <w:rStyle w:val="270"/>
          <w:rFonts w:cs="宋体"/>
          <w:b/>
          <w:bCs/>
          <w:color w:val="auto"/>
          <w:kern w:val="0"/>
          <w:sz w:val="24"/>
        </w:rPr>
        <w:t>中小企业声明函（</w:t>
      </w:r>
      <w:r>
        <w:rPr>
          <w:rStyle w:val="270"/>
          <w:rFonts w:hint="eastAsia" w:cs="宋体"/>
          <w:b/>
          <w:bCs/>
          <w:color w:val="auto"/>
          <w:kern w:val="0"/>
          <w:sz w:val="24"/>
        </w:rPr>
        <w:t>工程</w:t>
      </w:r>
      <w:r>
        <w:rPr>
          <w:rStyle w:val="270"/>
          <w:rFonts w:cs="宋体"/>
          <w:b/>
          <w:bCs/>
          <w:color w:val="auto"/>
          <w:kern w:val="0"/>
          <w:sz w:val="24"/>
        </w:rPr>
        <w:t>）</w:t>
      </w:r>
      <w:bookmarkEnd w:id="504"/>
      <w:bookmarkEnd w:id="505"/>
      <w:bookmarkEnd w:id="506"/>
      <w:bookmarkEnd w:id="507"/>
      <w:bookmarkEnd w:id="508"/>
      <w:r>
        <w:rPr>
          <w:rStyle w:val="270"/>
          <w:rFonts w:hint="eastAsia" w:cs="宋体"/>
          <w:b/>
          <w:bCs/>
          <w:color w:val="auto"/>
          <w:kern w:val="0"/>
          <w:sz w:val="24"/>
        </w:rPr>
        <w:t>（格式）</w:t>
      </w:r>
      <w:bookmarkEnd w:id="509"/>
      <w:bookmarkEnd w:id="510"/>
    </w:p>
    <w:p>
      <w:pPr>
        <w:spacing w:after="60" w:line="360" w:lineRule="atLeast"/>
        <w:ind w:left="63" w:leftChars="30" w:right="63" w:rightChars="30"/>
        <w:jc w:val="center"/>
        <w:rPr>
          <w:color w:val="auto"/>
          <w:kern w:val="0"/>
          <w:szCs w:val="21"/>
        </w:rPr>
      </w:pPr>
    </w:p>
    <w:p>
      <w:pPr>
        <w:spacing w:line="360" w:lineRule="auto"/>
        <w:ind w:firstLine="420"/>
        <w:rPr>
          <w:bCs/>
          <w:color w:val="auto"/>
          <w:szCs w:val="21"/>
        </w:rPr>
      </w:pPr>
      <w:r>
        <w:rPr>
          <w:rFonts w:hint="eastAsia"/>
          <w:bCs/>
          <w:color w:val="auto"/>
          <w:szCs w:val="21"/>
        </w:rPr>
        <w:t>本公司（联合体）郑重声明，根据《政府采购促进中小企业发展管理办法》（财库﹝2020﹞46 号）的规定，本公司（联合体）参加</w:t>
      </w:r>
      <w:r>
        <w:rPr>
          <w:rFonts w:hint="eastAsia"/>
          <w:bCs/>
          <w:color w:val="auto"/>
          <w:szCs w:val="21"/>
          <w:u w:val="single"/>
        </w:rPr>
        <w:t>（单位名称）</w:t>
      </w:r>
      <w:r>
        <w:rPr>
          <w:rFonts w:hint="eastAsia"/>
          <w:bCs/>
          <w:color w:val="auto"/>
          <w:szCs w:val="21"/>
        </w:rPr>
        <w:t>的</w:t>
      </w:r>
      <w:r>
        <w:rPr>
          <w:rFonts w:hint="eastAsia"/>
          <w:bCs/>
          <w:color w:val="auto"/>
          <w:szCs w:val="21"/>
          <w:u w:val="single"/>
        </w:rPr>
        <w:t>（项目名称）</w:t>
      </w:r>
      <w:r>
        <w:rPr>
          <w:rFonts w:hint="eastAsia"/>
          <w:bCs/>
          <w:color w:val="auto"/>
          <w:szCs w:val="21"/>
        </w:rPr>
        <w:t>采购活动，工程的施工单位全部为符合政策要求的中小企业承接。相关企业（含联合体中的中小企业、签订分包意向协议的中小企业） 的具体情况如下：</w:t>
      </w:r>
    </w:p>
    <w:p>
      <w:pPr>
        <w:spacing w:line="360" w:lineRule="auto"/>
        <w:ind w:firstLine="420"/>
        <w:rPr>
          <w:bCs/>
          <w:color w:val="auto"/>
          <w:szCs w:val="21"/>
        </w:rPr>
      </w:pPr>
      <w:r>
        <w:rPr>
          <w:bCs/>
          <w:color w:val="auto"/>
          <w:szCs w:val="21"/>
        </w:rPr>
        <w:t>1.</w:t>
      </w:r>
      <w:r>
        <w:rPr>
          <w:rFonts w:hint="eastAsia"/>
          <w:bCs/>
          <w:color w:val="auto"/>
          <w:szCs w:val="21"/>
          <w:u w:val="single"/>
        </w:rPr>
        <w:t>（标的名称）</w:t>
      </w:r>
      <w:r>
        <w:rPr>
          <w:rFonts w:hint="eastAsia"/>
          <w:bCs/>
          <w:color w:val="auto"/>
          <w:szCs w:val="21"/>
        </w:rPr>
        <w:t>，属于</w:t>
      </w:r>
      <w:r>
        <w:rPr>
          <w:rFonts w:hint="eastAsia"/>
          <w:bCs/>
          <w:color w:val="auto"/>
          <w:szCs w:val="21"/>
          <w:u w:val="single"/>
        </w:rPr>
        <w:t>（采购文件中明确的所属行业）</w:t>
      </w:r>
      <w:r>
        <w:rPr>
          <w:rFonts w:hint="eastAsia"/>
          <w:bCs/>
          <w:color w:val="auto"/>
          <w:szCs w:val="21"/>
        </w:rPr>
        <w:t>行业；承建企业为</w:t>
      </w:r>
      <w:r>
        <w:rPr>
          <w:rFonts w:hint="eastAsia"/>
          <w:bCs/>
          <w:color w:val="auto"/>
          <w:szCs w:val="21"/>
          <w:u w:val="single"/>
        </w:rPr>
        <w:t>（企业名称）</w:t>
      </w:r>
      <w:r>
        <w:rPr>
          <w:rFonts w:hint="eastAsia"/>
          <w:bCs/>
          <w:color w:val="auto"/>
          <w:szCs w:val="21"/>
        </w:rPr>
        <w:t>，从业人员</w:t>
      </w:r>
      <w:r>
        <w:rPr>
          <w:bCs/>
          <w:color w:val="auto"/>
          <w:szCs w:val="21"/>
          <w:u w:val="single"/>
        </w:rPr>
        <w:t xml:space="preserve">    </w:t>
      </w:r>
      <w:r>
        <w:rPr>
          <w:rFonts w:hint="eastAsia"/>
          <w:bCs/>
          <w:color w:val="auto"/>
          <w:szCs w:val="21"/>
        </w:rPr>
        <w:t>人，营业收入为</w:t>
      </w:r>
      <w:r>
        <w:rPr>
          <w:rFonts w:hint="eastAsia"/>
          <w:bCs/>
          <w:color w:val="auto"/>
          <w:szCs w:val="21"/>
          <w:u w:val="single"/>
        </w:rPr>
        <w:t xml:space="preserve"> </w:t>
      </w:r>
      <w:r>
        <w:rPr>
          <w:bCs/>
          <w:color w:val="auto"/>
          <w:szCs w:val="21"/>
          <w:u w:val="single"/>
        </w:rPr>
        <w:t xml:space="preserve">  </w:t>
      </w:r>
      <w:r>
        <w:rPr>
          <w:rFonts w:hint="eastAsia"/>
          <w:bCs/>
          <w:color w:val="auto"/>
          <w:szCs w:val="21"/>
          <w:u w:val="single"/>
        </w:rPr>
        <w:t xml:space="preserve"> </w:t>
      </w:r>
      <w:r>
        <w:rPr>
          <w:rFonts w:hint="eastAsia"/>
          <w:bCs/>
          <w:color w:val="auto"/>
          <w:szCs w:val="21"/>
        </w:rPr>
        <w:t>万元，资产总额为</w:t>
      </w:r>
      <w:r>
        <w:rPr>
          <w:rFonts w:hint="eastAsia"/>
          <w:bCs/>
          <w:color w:val="auto"/>
          <w:szCs w:val="21"/>
          <w:u w:val="single"/>
        </w:rPr>
        <w:t xml:space="preserve">    </w:t>
      </w:r>
      <w:r>
        <w:rPr>
          <w:rFonts w:hint="eastAsia"/>
          <w:bCs/>
          <w:color w:val="auto"/>
          <w:szCs w:val="21"/>
        </w:rPr>
        <w:t>万元，属于</w:t>
      </w:r>
      <w:r>
        <w:rPr>
          <w:rFonts w:hint="eastAsia"/>
          <w:bCs/>
          <w:color w:val="auto"/>
          <w:szCs w:val="21"/>
          <w:u w:val="single"/>
        </w:rPr>
        <w:t>（中型企业、小型企业、微型企业）</w:t>
      </w:r>
      <w:r>
        <w:rPr>
          <w:rFonts w:hint="eastAsia"/>
          <w:bCs/>
          <w:color w:val="auto"/>
          <w:szCs w:val="21"/>
        </w:rPr>
        <w:t>；</w:t>
      </w:r>
    </w:p>
    <w:p>
      <w:pPr>
        <w:spacing w:line="360" w:lineRule="auto"/>
        <w:ind w:firstLine="420"/>
        <w:rPr>
          <w:bCs/>
          <w:color w:val="auto"/>
          <w:szCs w:val="21"/>
        </w:rPr>
      </w:pPr>
      <w:r>
        <w:rPr>
          <w:bCs/>
          <w:color w:val="auto"/>
          <w:szCs w:val="21"/>
        </w:rPr>
        <w:t>2.</w:t>
      </w:r>
      <w:r>
        <w:rPr>
          <w:rFonts w:hint="eastAsia"/>
          <w:bCs/>
          <w:color w:val="auto"/>
          <w:szCs w:val="21"/>
          <w:u w:val="single"/>
        </w:rPr>
        <w:t>（标的名称）</w:t>
      </w:r>
      <w:r>
        <w:rPr>
          <w:rFonts w:hint="eastAsia"/>
          <w:bCs/>
          <w:color w:val="auto"/>
          <w:szCs w:val="21"/>
        </w:rPr>
        <w:t>，属于</w:t>
      </w:r>
      <w:r>
        <w:rPr>
          <w:rFonts w:hint="eastAsia"/>
          <w:bCs/>
          <w:color w:val="auto"/>
          <w:szCs w:val="21"/>
          <w:u w:val="single"/>
        </w:rPr>
        <w:t>（采购文件中明确的所属行业）</w:t>
      </w:r>
      <w:r>
        <w:rPr>
          <w:rFonts w:hint="eastAsia"/>
          <w:bCs/>
          <w:color w:val="auto"/>
          <w:szCs w:val="21"/>
        </w:rPr>
        <w:t>行业；承建企业为</w:t>
      </w:r>
      <w:r>
        <w:rPr>
          <w:rFonts w:hint="eastAsia"/>
          <w:bCs/>
          <w:color w:val="auto"/>
          <w:szCs w:val="21"/>
          <w:u w:val="single"/>
        </w:rPr>
        <w:t>（企业名称）</w:t>
      </w:r>
      <w:r>
        <w:rPr>
          <w:rFonts w:hint="eastAsia"/>
          <w:bCs/>
          <w:color w:val="auto"/>
          <w:szCs w:val="21"/>
        </w:rPr>
        <w:t>，从业人员</w:t>
      </w:r>
      <w:r>
        <w:rPr>
          <w:rFonts w:hint="eastAsia"/>
          <w:bCs/>
          <w:color w:val="auto"/>
          <w:szCs w:val="21"/>
          <w:u w:val="single"/>
        </w:rPr>
        <w:t xml:space="preserve">       </w:t>
      </w:r>
      <w:r>
        <w:rPr>
          <w:rFonts w:hint="eastAsia"/>
          <w:bCs/>
          <w:color w:val="auto"/>
          <w:szCs w:val="21"/>
        </w:rPr>
        <w:t>人，营业收入为</w:t>
      </w:r>
      <w:r>
        <w:rPr>
          <w:rFonts w:hint="eastAsia"/>
          <w:bCs/>
          <w:color w:val="auto"/>
          <w:szCs w:val="21"/>
          <w:u w:val="single"/>
        </w:rPr>
        <w:t xml:space="preserve">     </w:t>
      </w:r>
      <w:r>
        <w:rPr>
          <w:rFonts w:hint="eastAsia"/>
          <w:bCs/>
          <w:color w:val="auto"/>
          <w:szCs w:val="21"/>
        </w:rPr>
        <w:t>万元，资产总额为</w:t>
      </w:r>
      <w:r>
        <w:rPr>
          <w:rFonts w:hint="eastAsia"/>
          <w:bCs/>
          <w:color w:val="auto"/>
          <w:szCs w:val="21"/>
          <w:u w:val="single"/>
        </w:rPr>
        <w:t xml:space="preserve"> </w:t>
      </w:r>
      <w:r>
        <w:rPr>
          <w:bCs/>
          <w:color w:val="auto"/>
          <w:szCs w:val="21"/>
          <w:u w:val="single"/>
        </w:rPr>
        <w:t xml:space="preserve">     </w:t>
      </w:r>
      <w:r>
        <w:rPr>
          <w:rFonts w:hint="eastAsia"/>
          <w:bCs/>
          <w:color w:val="auto"/>
          <w:szCs w:val="21"/>
          <w:u w:val="single"/>
        </w:rPr>
        <w:t xml:space="preserve"> </w:t>
      </w:r>
      <w:r>
        <w:rPr>
          <w:rFonts w:hint="eastAsia"/>
          <w:bCs/>
          <w:color w:val="auto"/>
          <w:szCs w:val="21"/>
        </w:rPr>
        <w:t>万元，属于</w:t>
      </w:r>
      <w:r>
        <w:rPr>
          <w:rFonts w:hint="eastAsia"/>
          <w:bCs/>
          <w:color w:val="auto"/>
          <w:szCs w:val="21"/>
          <w:u w:val="single"/>
        </w:rPr>
        <w:t>（中型企业、小型企业、微型企业）</w:t>
      </w:r>
      <w:r>
        <w:rPr>
          <w:rFonts w:hint="eastAsia"/>
          <w:bCs/>
          <w:color w:val="auto"/>
          <w:szCs w:val="21"/>
        </w:rPr>
        <w:t>；</w:t>
      </w:r>
    </w:p>
    <w:p>
      <w:pPr>
        <w:spacing w:line="360" w:lineRule="auto"/>
        <w:ind w:firstLine="420"/>
        <w:rPr>
          <w:bCs/>
          <w:color w:val="auto"/>
          <w:szCs w:val="21"/>
        </w:rPr>
      </w:pPr>
      <w:r>
        <w:rPr>
          <w:rFonts w:hint="eastAsia"/>
          <w:bCs/>
          <w:color w:val="auto"/>
          <w:szCs w:val="21"/>
        </w:rPr>
        <w:t>……</w:t>
      </w:r>
    </w:p>
    <w:p>
      <w:pPr>
        <w:spacing w:line="360" w:lineRule="auto"/>
        <w:ind w:firstLine="420"/>
        <w:rPr>
          <w:bCs/>
          <w:color w:val="auto"/>
          <w:szCs w:val="21"/>
        </w:rPr>
      </w:pPr>
      <w:r>
        <w:rPr>
          <w:rFonts w:hint="eastAsia"/>
          <w:bCs/>
          <w:color w:val="auto"/>
          <w:szCs w:val="21"/>
        </w:rPr>
        <w:t>以上企业，不属于大企业的分支机构，不存在控股股东为大企业的情形，也不存在与大企业的负责人为同一人的情形。</w:t>
      </w:r>
    </w:p>
    <w:p>
      <w:pPr>
        <w:spacing w:line="360" w:lineRule="auto"/>
        <w:ind w:firstLine="420"/>
        <w:rPr>
          <w:bCs/>
          <w:color w:val="auto"/>
          <w:szCs w:val="21"/>
        </w:rPr>
      </w:pPr>
      <w:r>
        <w:rPr>
          <w:rFonts w:hint="eastAsia"/>
          <w:bCs/>
          <w:color w:val="auto"/>
          <w:szCs w:val="21"/>
        </w:rPr>
        <w:t>本企业对上述声明内容的真实性负责。如有虚假，将依法承担相应责任。</w:t>
      </w:r>
    </w:p>
    <w:p>
      <w:pPr>
        <w:spacing w:line="360" w:lineRule="auto"/>
        <w:ind w:right="420" w:firstLine="5355" w:firstLineChars="2550"/>
        <w:rPr>
          <w:bCs/>
          <w:color w:val="auto"/>
          <w:szCs w:val="21"/>
        </w:rPr>
      </w:pPr>
    </w:p>
    <w:p>
      <w:pPr>
        <w:spacing w:line="360" w:lineRule="auto"/>
        <w:ind w:firstLine="840" w:firstLineChars="400"/>
        <w:rPr>
          <w:rFonts w:cs="Arial"/>
          <w:color w:val="auto"/>
          <w:szCs w:val="21"/>
        </w:rPr>
      </w:pPr>
      <w:r>
        <w:rPr>
          <w:rFonts w:hint="eastAsia" w:cs="Arial"/>
          <w:color w:val="auto"/>
          <w:szCs w:val="21"/>
        </w:rPr>
        <w:t>供应商</w:t>
      </w:r>
      <w:r>
        <w:rPr>
          <w:rFonts w:cs="Arial"/>
          <w:color w:val="auto"/>
          <w:szCs w:val="21"/>
        </w:rPr>
        <w:t>：</w:t>
      </w:r>
      <w:r>
        <w:rPr>
          <w:rFonts w:cs="Arial"/>
          <w:color w:val="auto"/>
          <w:szCs w:val="21"/>
          <w:u w:val="single"/>
        </w:rPr>
        <w:t xml:space="preserve">                                       </w:t>
      </w:r>
      <w:r>
        <w:rPr>
          <w:rFonts w:hint="eastAsia" w:cs="宋体"/>
          <w:color w:val="auto"/>
          <w:szCs w:val="21"/>
        </w:rPr>
        <w:t>[公章（CA签章）]</w:t>
      </w:r>
    </w:p>
    <w:p>
      <w:pPr>
        <w:spacing w:line="360" w:lineRule="auto"/>
        <w:ind w:firstLine="840" w:firstLineChars="400"/>
        <w:rPr>
          <w:color w:val="auto"/>
          <w:szCs w:val="21"/>
        </w:rPr>
      </w:pPr>
      <w:r>
        <w:rPr>
          <w:rFonts w:hint="eastAsia" w:cs="Arial"/>
          <w:color w:val="auto"/>
          <w:szCs w:val="21"/>
        </w:rPr>
        <w:t>日期</w:t>
      </w:r>
      <w:r>
        <w:rPr>
          <w:rFonts w:cs="Arial"/>
          <w:color w:val="auto"/>
          <w:szCs w:val="21"/>
        </w:rPr>
        <w:t>：</w:t>
      </w:r>
      <w:r>
        <w:rPr>
          <w:rFonts w:hint="eastAsia" w:cs="宋体"/>
          <w:color w:val="auto"/>
          <w:kern w:val="0"/>
          <w:szCs w:val="21"/>
          <w:u w:val="single"/>
        </w:rPr>
        <w:t xml:space="preserve">              </w:t>
      </w:r>
      <w:r>
        <w:rPr>
          <w:rFonts w:hint="eastAsia" w:cs="宋体"/>
          <w:color w:val="auto"/>
          <w:kern w:val="0"/>
          <w:szCs w:val="21"/>
        </w:rPr>
        <w:t>年</w:t>
      </w:r>
      <w:r>
        <w:rPr>
          <w:rFonts w:hint="eastAsia" w:cs="宋体"/>
          <w:color w:val="auto"/>
          <w:kern w:val="0"/>
          <w:szCs w:val="21"/>
          <w:u w:val="single"/>
        </w:rPr>
        <w:t xml:space="preserve">     </w:t>
      </w:r>
      <w:r>
        <w:rPr>
          <w:rFonts w:hint="eastAsia" w:cs="宋体"/>
          <w:color w:val="auto"/>
          <w:kern w:val="0"/>
          <w:szCs w:val="21"/>
        </w:rPr>
        <w:t>月</w:t>
      </w:r>
      <w:r>
        <w:rPr>
          <w:rFonts w:hint="eastAsia" w:cs="宋体"/>
          <w:color w:val="auto"/>
          <w:kern w:val="0"/>
          <w:szCs w:val="21"/>
          <w:u w:val="single"/>
        </w:rPr>
        <w:t xml:space="preserve">     </w:t>
      </w:r>
      <w:r>
        <w:rPr>
          <w:rFonts w:hint="eastAsia" w:cs="宋体"/>
          <w:color w:val="auto"/>
          <w:kern w:val="0"/>
          <w:szCs w:val="21"/>
        </w:rPr>
        <w:t>日</w:t>
      </w:r>
    </w:p>
    <w:p>
      <w:pPr>
        <w:pStyle w:val="47"/>
        <w:spacing w:before="0" w:beforeAutospacing="0" w:after="0" w:afterAutospacing="0"/>
        <w:rPr>
          <w:rFonts w:ascii="Times New Roman" w:hAnsi="Times New Roman"/>
          <w:b/>
          <w:color w:val="auto"/>
          <w:sz w:val="21"/>
          <w:szCs w:val="21"/>
        </w:rPr>
      </w:pPr>
    </w:p>
    <w:p>
      <w:pPr>
        <w:pStyle w:val="47"/>
        <w:spacing w:before="0" w:beforeAutospacing="0" w:after="0" w:afterAutospacing="0"/>
        <w:rPr>
          <w:rFonts w:ascii="Times New Roman" w:hAnsi="Times New Roman"/>
          <w:b/>
          <w:color w:val="auto"/>
          <w:sz w:val="21"/>
          <w:szCs w:val="21"/>
        </w:rPr>
      </w:pPr>
    </w:p>
    <w:p>
      <w:pPr>
        <w:pStyle w:val="47"/>
        <w:spacing w:before="0" w:beforeAutospacing="0" w:after="0" w:afterAutospacing="0"/>
        <w:rPr>
          <w:rFonts w:ascii="Times New Roman" w:hAnsi="Times New Roman"/>
          <w:b/>
          <w:color w:val="auto"/>
          <w:sz w:val="21"/>
          <w:szCs w:val="21"/>
        </w:rPr>
      </w:pPr>
    </w:p>
    <w:p>
      <w:pPr>
        <w:pStyle w:val="47"/>
        <w:spacing w:before="0" w:beforeAutospacing="0" w:after="0" w:afterAutospacing="0" w:line="360" w:lineRule="exact"/>
        <w:rPr>
          <w:rFonts w:ascii="Times New Roman" w:hAnsi="Times New Roman"/>
          <w:b/>
          <w:color w:val="auto"/>
          <w:sz w:val="21"/>
          <w:szCs w:val="21"/>
        </w:rPr>
      </w:pPr>
      <w:r>
        <w:rPr>
          <w:rFonts w:hint="eastAsia" w:ascii="Times New Roman" w:hAnsi="Times New Roman"/>
          <w:b/>
          <w:color w:val="auto"/>
          <w:sz w:val="21"/>
          <w:szCs w:val="21"/>
        </w:rPr>
        <w:t>注：</w:t>
      </w:r>
    </w:p>
    <w:p>
      <w:pPr>
        <w:pStyle w:val="47"/>
        <w:spacing w:before="0" w:beforeAutospacing="0" w:after="0" w:afterAutospacing="0" w:line="360" w:lineRule="exact"/>
        <w:ind w:firstLine="422" w:firstLineChars="200"/>
        <w:rPr>
          <w:rFonts w:ascii="Times New Roman" w:hAnsi="Times New Roman"/>
          <w:b/>
          <w:color w:val="auto"/>
          <w:sz w:val="21"/>
          <w:szCs w:val="21"/>
        </w:rPr>
      </w:pPr>
      <w:r>
        <w:rPr>
          <w:rFonts w:hint="eastAsia" w:ascii="Times New Roman" w:hAnsi="Times New Roman"/>
          <w:b/>
          <w:color w:val="auto"/>
          <w:sz w:val="21"/>
          <w:szCs w:val="21"/>
        </w:rPr>
        <w:t>1、供应商应按照中小微型企业划分标准按照《国家统计局关于印发《统计上大中小微型企业划分办法〔2017〕》的通知》（国统字〔2017〕213号）的划分标准进行如实申明，如提供虚假申明应依法承担相应法律责任。如成交人为中型、小型和微型企业的，成交结果将同时公告（或成交人的《中小企业声明函》，接受社会监督。</w:t>
      </w:r>
    </w:p>
    <w:p>
      <w:pPr>
        <w:pStyle w:val="47"/>
        <w:spacing w:before="0" w:beforeAutospacing="0" w:after="0" w:afterAutospacing="0" w:line="360" w:lineRule="exact"/>
        <w:ind w:firstLine="422" w:firstLineChars="200"/>
        <w:rPr>
          <w:rFonts w:ascii="Times New Roman" w:hAnsi="Times New Roman"/>
          <w:b/>
          <w:color w:val="auto"/>
          <w:sz w:val="21"/>
          <w:szCs w:val="21"/>
        </w:rPr>
      </w:pPr>
      <w:r>
        <w:rPr>
          <w:rFonts w:hint="eastAsia" w:ascii="Times New Roman" w:hAnsi="Times New Roman"/>
          <w:b/>
          <w:color w:val="auto"/>
          <w:sz w:val="21"/>
          <w:szCs w:val="21"/>
        </w:rPr>
        <w:t>2、本项目所属行业参照《统计上大中小微型企业划分标准表》，属于“建筑业”</w:t>
      </w:r>
    </w:p>
    <w:p>
      <w:pPr>
        <w:rPr>
          <w:rFonts w:cs="宋体"/>
          <w:b/>
          <w:color w:val="auto"/>
          <w:kern w:val="0"/>
          <w:sz w:val="24"/>
        </w:rPr>
      </w:pPr>
      <w:bookmarkStart w:id="511" w:name="_Toc15783"/>
      <w:bookmarkStart w:id="512" w:name="_Toc20905"/>
      <w:bookmarkStart w:id="513" w:name="_Toc13328"/>
      <w:bookmarkStart w:id="514" w:name="_Toc7068"/>
      <w:bookmarkStart w:id="515" w:name="OLE_LINK13"/>
      <w:bookmarkStart w:id="516" w:name="OLE_LINK14"/>
      <w:r>
        <w:rPr>
          <w:rFonts w:hint="eastAsia" w:cs="宋体"/>
          <w:b/>
          <w:color w:val="auto"/>
          <w:kern w:val="0"/>
          <w:sz w:val="24"/>
        </w:rPr>
        <w:br w:type="page"/>
      </w:r>
    </w:p>
    <w:p>
      <w:pPr>
        <w:spacing w:line="588" w:lineRule="exact"/>
        <w:jc w:val="center"/>
        <w:outlineLvl w:val="1"/>
        <w:rPr>
          <w:rFonts w:cs="宋体"/>
          <w:b/>
          <w:color w:val="auto"/>
          <w:kern w:val="0"/>
          <w:sz w:val="24"/>
        </w:rPr>
      </w:pPr>
      <w:bookmarkStart w:id="517" w:name="_Toc577"/>
      <w:bookmarkStart w:id="518" w:name="_Toc2170"/>
      <w:r>
        <w:rPr>
          <w:rFonts w:hint="eastAsia" w:cs="宋体"/>
          <w:b/>
          <w:color w:val="auto"/>
          <w:kern w:val="0"/>
          <w:sz w:val="24"/>
        </w:rPr>
        <w:t>（2）残疾人福利性单位声明函（格式）</w:t>
      </w:r>
      <w:bookmarkEnd w:id="511"/>
      <w:bookmarkEnd w:id="512"/>
      <w:bookmarkEnd w:id="513"/>
      <w:bookmarkEnd w:id="514"/>
      <w:bookmarkEnd w:id="517"/>
      <w:bookmarkEnd w:id="518"/>
    </w:p>
    <w:bookmarkEnd w:id="515"/>
    <w:bookmarkEnd w:id="516"/>
    <w:p>
      <w:pPr>
        <w:spacing w:line="588" w:lineRule="exact"/>
        <w:rPr>
          <w:rFonts w:cs="宋体"/>
          <w:b/>
          <w:color w:val="auto"/>
          <w:kern w:val="0"/>
          <w:szCs w:val="21"/>
        </w:rPr>
      </w:pPr>
    </w:p>
    <w:p>
      <w:pPr>
        <w:spacing w:line="588" w:lineRule="exact"/>
        <w:ind w:firstLine="420" w:firstLineChars="200"/>
        <w:rPr>
          <w:rFonts w:cs="宋体"/>
          <w:color w:val="auto"/>
          <w:kern w:val="0"/>
          <w:szCs w:val="21"/>
        </w:rPr>
      </w:pPr>
      <w:r>
        <w:rPr>
          <w:rFonts w:hint="eastAsia" w:cs="宋体"/>
          <w:color w:val="auto"/>
          <w:kern w:val="0"/>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cs="宋体"/>
          <w:color w:val="auto"/>
          <w:kern w:val="0"/>
          <w:szCs w:val="21"/>
        </w:rPr>
      </w:pPr>
      <w:r>
        <w:rPr>
          <w:rFonts w:hint="eastAsia" w:cs="宋体"/>
          <w:color w:val="auto"/>
          <w:kern w:val="0"/>
          <w:szCs w:val="21"/>
        </w:rPr>
        <w:t>本单位对上述声明的真实性负责。如有虚假，将依法承担相应责任。</w:t>
      </w:r>
    </w:p>
    <w:p>
      <w:pPr>
        <w:spacing w:line="588" w:lineRule="exact"/>
        <w:ind w:firstLine="420" w:firstLineChars="200"/>
        <w:rPr>
          <w:rFonts w:cs="宋体"/>
          <w:color w:val="auto"/>
          <w:kern w:val="0"/>
          <w:szCs w:val="21"/>
        </w:rPr>
      </w:pPr>
    </w:p>
    <w:p>
      <w:pPr>
        <w:widowControl/>
        <w:ind w:firstLine="2310" w:firstLineChars="1100"/>
        <w:jc w:val="left"/>
        <w:rPr>
          <w:rFonts w:cs="宋体"/>
          <w:color w:val="auto"/>
          <w:szCs w:val="21"/>
        </w:rPr>
      </w:pPr>
      <w:r>
        <w:rPr>
          <w:rFonts w:hint="eastAsia" w:cs="宋体"/>
          <w:color w:val="auto"/>
          <w:kern w:val="0"/>
          <w:szCs w:val="21"/>
        </w:rPr>
        <w:t xml:space="preserve">      </w:t>
      </w:r>
      <w:r>
        <w:rPr>
          <w:rFonts w:hint="eastAsia" w:cs="宋体"/>
          <w:color w:val="auto"/>
          <w:szCs w:val="21"/>
        </w:rPr>
        <w:t>磋商供应商[公章(CA签章)]：</w:t>
      </w:r>
      <w:r>
        <w:rPr>
          <w:rFonts w:hint="eastAsia" w:cs="宋体"/>
          <w:color w:val="auto"/>
          <w:szCs w:val="21"/>
          <w:u w:val="single"/>
        </w:rPr>
        <w:t xml:space="preserve">                                    </w:t>
      </w:r>
    </w:p>
    <w:p>
      <w:pPr>
        <w:spacing w:line="300" w:lineRule="exact"/>
        <w:ind w:left="2940" w:leftChars="1400" w:firstLine="630" w:firstLineChars="300"/>
        <w:rPr>
          <w:rFonts w:cs="宋体"/>
          <w:color w:val="auto"/>
          <w:szCs w:val="22"/>
        </w:rPr>
      </w:pPr>
    </w:p>
    <w:p>
      <w:pPr>
        <w:spacing w:line="340" w:lineRule="exact"/>
        <w:ind w:left="420"/>
        <w:jc w:val="center"/>
        <w:rPr>
          <w:color w:val="auto"/>
        </w:rPr>
      </w:pPr>
      <w:r>
        <w:rPr>
          <w:rFonts w:hint="eastAsia" w:cs="宋体"/>
          <w:color w:val="auto"/>
        </w:rPr>
        <w:t>日          期：</w:t>
      </w:r>
      <w:r>
        <w:rPr>
          <w:rFonts w:hint="eastAsia" w:cs="宋体"/>
          <w:color w:val="auto"/>
          <w:u w:val="single"/>
        </w:rPr>
        <w:t xml:space="preserve">                         </w:t>
      </w:r>
    </w:p>
    <w:p>
      <w:pPr>
        <w:rPr>
          <w:rFonts w:cs="宋体"/>
          <w:b/>
          <w:bCs/>
          <w:color w:val="auto"/>
          <w:sz w:val="32"/>
          <w:szCs w:val="32"/>
        </w:rPr>
      </w:pPr>
    </w:p>
    <w:p>
      <w:pPr>
        <w:rPr>
          <w:rFonts w:cs="宋体"/>
          <w:b/>
          <w:bCs/>
          <w:color w:val="auto"/>
          <w:sz w:val="32"/>
          <w:szCs w:val="32"/>
        </w:rPr>
      </w:pPr>
    </w:p>
    <w:p>
      <w:pPr>
        <w:rPr>
          <w:rFonts w:cs="宋体"/>
          <w:b/>
          <w:bCs/>
          <w:color w:val="auto"/>
          <w:sz w:val="32"/>
          <w:szCs w:val="32"/>
        </w:rPr>
      </w:pPr>
      <w:r>
        <w:rPr>
          <w:rFonts w:hint="eastAsia" w:cs="宋体"/>
          <w:b/>
          <w:color w:val="auto"/>
          <w:kern w:val="0"/>
          <w:szCs w:val="21"/>
        </w:rPr>
        <w:t>注：符合条件的残疾人福利性单位在参加政府采购活动时，应当提供《残疾人福利性单位声明函》，并对声明的真实性负责，成交结果将同时公告企业《残疾人福利性单位声明函》，接受社会监督】</w:t>
      </w:r>
    </w:p>
    <w:p>
      <w:pPr>
        <w:rPr>
          <w:rFonts w:cs="宋体"/>
          <w:b/>
          <w:bCs/>
          <w:color w:val="auto"/>
          <w:sz w:val="32"/>
          <w:szCs w:val="32"/>
        </w:rPr>
      </w:pPr>
    </w:p>
    <w:p>
      <w:pPr>
        <w:rPr>
          <w:rFonts w:cs="宋体"/>
          <w:b/>
          <w:bCs/>
          <w:color w:val="auto"/>
          <w:sz w:val="32"/>
          <w:szCs w:val="32"/>
        </w:rPr>
      </w:pPr>
      <w:r>
        <w:rPr>
          <w:rFonts w:hint="eastAsia" w:cs="宋体"/>
          <w:b/>
          <w:bCs/>
          <w:color w:val="auto"/>
          <w:sz w:val="32"/>
          <w:szCs w:val="32"/>
        </w:rPr>
        <w:br w:type="page"/>
      </w:r>
    </w:p>
    <w:p>
      <w:pPr>
        <w:ind w:left="420"/>
        <w:jc w:val="center"/>
        <w:outlineLvl w:val="1"/>
        <w:rPr>
          <w:rFonts w:cs="宋体"/>
          <w:b/>
          <w:color w:val="auto"/>
          <w:sz w:val="28"/>
          <w:szCs w:val="28"/>
        </w:rPr>
      </w:pPr>
      <w:r>
        <w:rPr>
          <w:rFonts w:hint="eastAsia" w:cs="宋体"/>
          <w:b/>
          <w:color w:val="auto"/>
          <w:kern w:val="0"/>
          <w:sz w:val="24"/>
        </w:rPr>
        <w:t>（3）</w:t>
      </w:r>
      <w:r>
        <w:rPr>
          <w:rFonts w:hint="eastAsia" w:cs="宋体"/>
          <w:b/>
          <w:color w:val="auto"/>
          <w:sz w:val="28"/>
          <w:szCs w:val="28"/>
        </w:rPr>
        <w:t>供应商属于监狱企业的，提供由省级以上监狱管理局、戒毒管理局（含新疆生产建设兵团）出具的属于监狱企业的证明文件</w:t>
      </w:r>
    </w:p>
    <w:p>
      <w:pPr>
        <w:ind w:left="420"/>
        <w:jc w:val="center"/>
        <w:outlineLvl w:val="1"/>
        <w:rPr>
          <w:rFonts w:cs="宋体"/>
          <w:b/>
          <w:bCs/>
          <w:color w:val="auto"/>
          <w:sz w:val="32"/>
          <w:szCs w:val="32"/>
        </w:rPr>
      </w:pPr>
      <w:r>
        <w:rPr>
          <w:rFonts w:hint="eastAsia" w:cs="宋体"/>
          <w:b/>
          <w:bCs/>
          <w:color w:val="auto"/>
          <w:sz w:val="32"/>
          <w:szCs w:val="32"/>
        </w:rPr>
        <w:br w:type="page"/>
      </w:r>
      <w:bookmarkStart w:id="519" w:name="_Toc17586"/>
      <w:bookmarkStart w:id="520" w:name="_Toc22183"/>
      <w:r>
        <w:rPr>
          <w:rFonts w:hint="eastAsia" w:cs="宋体"/>
          <w:b/>
          <w:bCs/>
          <w:color w:val="auto"/>
          <w:sz w:val="32"/>
          <w:szCs w:val="32"/>
        </w:rPr>
        <w:t>（二）符合性响应证明材料目录</w:t>
      </w:r>
      <w:bookmarkEnd w:id="519"/>
      <w:bookmarkEnd w:id="520"/>
    </w:p>
    <w:p>
      <w:pPr>
        <w:spacing w:line="360" w:lineRule="auto"/>
        <w:ind w:left="420"/>
        <w:rPr>
          <w:rFonts w:cs="宋体"/>
          <w:color w:val="auto"/>
          <w:sz w:val="24"/>
        </w:rPr>
      </w:pPr>
    </w:p>
    <w:p>
      <w:pPr>
        <w:spacing w:line="360" w:lineRule="auto"/>
        <w:ind w:left="420"/>
        <w:rPr>
          <w:rFonts w:cs="宋体"/>
          <w:color w:val="auto"/>
          <w:sz w:val="24"/>
        </w:rPr>
      </w:pPr>
      <w:r>
        <w:rPr>
          <w:rFonts w:hint="eastAsia" w:cs="宋体"/>
          <w:color w:val="auto"/>
          <w:sz w:val="24"/>
        </w:rPr>
        <w:t>1.响应函（格式见附件）</w:t>
      </w:r>
      <w:r>
        <w:rPr>
          <w:rFonts w:hint="eastAsia" w:cs="宋体"/>
          <w:b/>
          <w:bCs/>
          <w:color w:val="auto"/>
          <w:sz w:val="24"/>
        </w:rPr>
        <w:t>（必须提供）</w:t>
      </w:r>
      <w:r>
        <w:rPr>
          <w:rFonts w:hint="eastAsia" w:cs="宋体"/>
          <w:color w:val="auto"/>
          <w:sz w:val="24"/>
        </w:rPr>
        <w:t>；</w:t>
      </w:r>
    </w:p>
    <w:p>
      <w:pPr>
        <w:spacing w:line="360" w:lineRule="auto"/>
        <w:ind w:left="420"/>
        <w:rPr>
          <w:rFonts w:cs="宋体"/>
          <w:color w:val="auto"/>
          <w:sz w:val="24"/>
        </w:rPr>
      </w:pPr>
      <w:r>
        <w:rPr>
          <w:rFonts w:hint="eastAsia" w:cs="宋体"/>
          <w:color w:val="auto"/>
          <w:sz w:val="24"/>
        </w:rPr>
        <w:t>2.工程报价汇总表（格式见附件）</w:t>
      </w:r>
      <w:r>
        <w:rPr>
          <w:rFonts w:hint="eastAsia" w:cs="宋体"/>
          <w:b/>
          <w:bCs/>
          <w:color w:val="auto"/>
          <w:sz w:val="24"/>
        </w:rPr>
        <w:t>（必须提供</w:t>
      </w:r>
      <w:r>
        <w:rPr>
          <w:rFonts w:hint="eastAsia" w:cs="宋体"/>
          <w:color w:val="auto"/>
          <w:sz w:val="24"/>
        </w:rPr>
        <w:t>）；</w:t>
      </w:r>
    </w:p>
    <w:p>
      <w:pPr>
        <w:spacing w:line="360" w:lineRule="auto"/>
        <w:ind w:left="420"/>
        <w:rPr>
          <w:rFonts w:cs="宋体"/>
          <w:color w:val="auto"/>
          <w:sz w:val="24"/>
        </w:rPr>
      </w:pPr>
      <w:r>
        <w:rPr>
          <w:rFonts w:hint="eastAsia" w:cs="宋体"/>
          <w:color w:val="auto"/>
          <w:sz w:val="24"/>
        </w:rPr>
        <w:t>3.标价工程量清单</w:t>
      </w:r>
      <w:r>
        <w:rPr>
          <w:rFonts w:hint="eastAsia" w:cs="宋体"/>
          <w:b/>
          <w:bCs/>
          <w:color w:val="auto"/>
          <w:sz w:val="24"/>
        </w:rPr>
        <w:t>（必须提供）</w:t>
      </w:r>
      <w:r>
        <w:rPr>
          <w:rFonts w:hint="eastAsia" w:cs="宋体"/>
          <w:color w:val="auto"/>
          <w:sz w:val="24"/>
        </w:rPr>
        <w:t>；</w:t>
      </w:r>
    </w:p>
    <w:p>
      <w:pPr>
        <w:spacing w:line="360" w:lineRule="auto"/>
        <w:ind w:left="420"/>
        <w:rPr>
          <w:rFonts w:cs="宋体"/>
          <w:color w:val="auto"/>
          <w:sz w:val="24"/>
        </w:rPr>
      </w:pPr>
      <w:r>
        <w:rPr>
          <w:rFonts w:hint="eastAsia" w:cs="宋体"/>
          <w:color w:val="auto"/>
          <w:sz w:val="24"/>
        </w:rPr>
        <w:t>4.拟投入本工程主要施工管理人员表</w:t>
      </w:r>
      <w:r>
        <w:rPr>
          <w:rFonts w:hint="eastAsia" w:cs="宋体"/>
          <w:b/>
          <w:bCs/>
          <w:color w:val="auto"/>
          <w:sz w:val="24"/>
        </w:rPr>
        <w:t>（必须提供）</w:t>
      </w:r>
      <w:r>
        <w:rPr>
          <w:rFonts w:hint="eastAsia" w:cs="宋体"/>
          <w:color w:val="auto"/>
          <w:sz w:val="24"/>
        </w:rPr>
        <w:t>；</w:t>
      </w:r>
    </w:p>
    <w:p>
      <w:pPr>
        <w:spacing w:line="360" w:lineRule="auto"/>
        <w:ind w:left="420"/>
        <w:rPr>
          <w:rFonts w:cs="宋体"/>
          <w:color w:val="auto"/>
          <w:sz w:val="24"/>
        </w:rPr>
      </w:pPr>
      <w:r>
        <w:rPr>
          <w:rFonts w:hint="eastAsia" w:cs="宋体"/>
          <w:color w:val="auto"/>
          <w:sz w:val="24"/>
        </w:rPr>
        <w:t>5.担任本工程的项目经理简历表（应附相关证书、身份证复印件）</w:t>
      </w:r>
      <w:r>
        <w:rPr>
          <w:rFonts w:hint="eastAsia" w:cs="宋体"/>
          <w:b/>
          <w:bCs/>
          <w:color w:val="auto"/>
          <w:sz w:val="24"/>
        </w:rPr>
        <w:t>（必须提供）</w:t>
      </w:r>
      <w:r>
        <w:rPr>
          <w:rFonts w:hint="eastAsia" w:cs="宋体"/>
          <w:color w:val="auto"/>
          <w:sz w:val="24"/>
        </w:rPr>
        <w:t>；</w:t>
      </w:r>
    </w:p>
    <w:p>
      <w:pPr>
        <w:spacing w:line="360" w:lineRule="auto"/>
        <w:ind w:left="420"/>
        <w:rPr>
          <w:color w:val="auto"/>
        </w:rPr>
      </w:pPr>
      <w:r>
        <w:rPr>
          <w:rFonts w:hint="eastAsia" w:cs="宋体"/>
          <w:color w:val="auto"/>
          <w:sz w:val="24"/>
        </w:rPr>
        <w:t>6.施工组织设计方案</w:t>
      </w:r>
      <w:r>
        <w:rPr>
          <w:rFonts w:hint="eastAsia" w:cs="宋体"/>
          <w:b/>
          <w:bCs/>
          <w:color w:val="auto"/>
          <w:sz w:val="24"/>
        </w:rPr>
        <w:t>（如有，请提供）</w:t>
      </w:r>
      <w:r>
        <w:rPr>
          <w:rFonts w:hint="eastAsia" w:cs="宋体"/>
          <w:color w:val="auto"/>
          <w:sz w:val="24"/>
        </w:rPr>
        <w:t>；</w:t>
      </w:r>
    </w:p>
    <w:p>
      <w:pPr>
        <w:spacing w:line="360" w:lineRule="auto"/>
        <w:ind w:left="420"/>
        <w:rPr>
          <w:rFonts w:cs="宋体"/>
          <w:color w:val="auto"/>
          <w:sz w:val="24"/>
        </w:rPr>
      </w:pPr>
      <w:r>
        <w:rPr>
          <w:rFonts w:hint="eastAsia" w:cs="宋体"/>
          <w:color w:val="auto"/>
          <w:sz w:val="24"/>
        </w:rPr>
        <w:t>7.工程完工服务承诺书</w:t>
      </w:r>
      <w:r>
        <w:rPr>
          <w:rFonts w:hint="eastAsia" w:cs="宋体"/>
          <w:b/>
          <w:bCs/>
          <w:color w:val="auto"/>
          <w:sz w:val="24"/>
        </w:rPr>
        <w:t>（必须提供）</w:t>
      </w:r>
      <w:r>
        <w:rPr>
          <w:rFonts w:hint="eastAsia" w:cs="宋体"/>
          <w:color w:val="auto"/>
          <w:sz w:val="24"/>
        </w:rPr>
        <w:t>；</w:t>
      </w:r>
    </w:p>
    <w:p>
      <w:pPr>
        <w:spacing w:line="360" w:lineRule="auto"/>
        <w:ind w:left="420"/>
        <w:rPr>
          <w:rFonts w:cs="宋体"/>
          <w:color w:val="auto"/>
          <w:sz w:val="24"/>
        </w:rPr>
      </w:pPr>
      <w:bookmarkStart w:id="521" w:name="_Toc1014"/>
      <w:bookmarkStart w:id="522" w:name="_Toc6633"/>
      <w:r>
        <w:rPr>
          <w:rFonts w:hint="eastAsia" w:cs="宋体"/>
          <w:color w:val="auto"/>
          <w:sz w:val="24"/>
        </w:rPr>
        <w:t>8.农民工工资保障金交纳与使用承诺书</w:t>
      </w:r>
      <w:r>
        <w:rPr>
          <w:rFonts w:hint="eastAsia" w:cs="宋体"/>
          <w:b/>
          <w:bCs/>
          <w:color w:val="auto"/>
          <w:sz w:val="24"/>
        </w:rPr>
        <w:t>（必须提供）</w:t>
      </w:r>
      <w:r>
        <w:rPr>
          <w:rFonts w:hint="eastAsia" w:cs="宋体"/>
          <w:color w:val="auto"/>
          <w:sz w:val="24"/>
        </w:rPr>
        <w:t>；</w:t>
      </w:r>
      <w:bookmarkEnd w:id="521"/>
      <w:bookmarkEnd w:id="522"/>
    </w:p>
    <w:p>
      <w:pPr>
        <w:spacing w:line="360" w:lineRule="auto"/>
        <w:ind w:left="420"/>
        <w:rPr>
          <w:rFonts w:cs="宋体"/>
          <w:color w:val="auto"/>
          <w:sz w:val="24"/>
        </w:rPr>
      </w:pPr>
      <w:bookmarkStart w:id="523" w:name="_Toc13958"/>
      <w:bookmarkStart w:id="524" w:name="_Toc6752"/>
      <w:r>
        <w:rPr>
          <w:rFonts w:hint="eastAsia" w:cs="宋体"/>
          <w:color w:val="auto"/>
          <w:sz w:val="24"/>
        </w:rPr>
        <w:t>9.城乡清洁工程渣土清运承诺书</w:t>
      </w:r>
      <w:r>
        <w:rPr>
          <w:rFonts w:hint="eastAsia" w:cs="宋体"/>
          <w:b/>
          <w:bCs/>
          <w:color w:val="auto"/>
          <w:sz w:val="24"/>
        </w:rPr>
        <w:t>（必须提供）</w:t>
      </w:r>
      <w:r>
        <w:rPr>
          <w:rFonts w:hint="eastAsia" w:cs="宋体"/>
          <w:color w:val="auto"/>
          <w:sz w:val="24"/>
        </w:rPr>
        <w:t>。</w:t>
      </w:r>
      <w:bookmarkEnd w:id="523"/>
      <w:bookmarkEnd w:id="524"/>
    </w:p>
    <w:p>
      <w:pPr>
        <w:pStyle w:val="365"/>
        <w:rPr>
          <w:rFonts w:cs="宋体"/>
          <w:color w:val="auto"/>
        </w:rPr>
      </w:pPr>
    </w:p>
    <w:p>
      <w:pPr>
        <w:pStyle w:val="21"/>
        <w:rPr>
          <w:rFonts w:cs="宋体"/>
          <w:color w:val="auto"/>
        </w:rPr>
      </w:pPr>
    </w:p>
    <w:p>
      <w:pPr>
        <w:spacing w:line="400" w:lineRule="exact"/>
        <w:outlineLvl w:val="1"/>
        <w:rPr>
          <w:rFonts w:cs="宋体"/>
          <w:b/>
          <w:bCs/>
          <w:color w:val="auto"/>
          <w:sz w:val="28"/>
          <w:szCs w:val="28"/>
        </w:rPr>
      </w:pPr>
      <w:bookmarkStart w:id="525" w:name="_Toc12920"/>
      <w:bookmarkStart w:id="526" w:name="_Toc17617"/>
      <w:bookmarkStart w:id="527" w:name="_Toc497927072"/>
      <w:r>
        <w:rPr>
          <w:rFonts w:hint="eastAsia" w:cs="宋体"/>
          <w:b/>
          <w:bCs/>
          <w:color w:val="auto"/>
          <w:sz w:val="28"/>
          <w:szCs w:val="28"/>
        </w:rPr>
        <w:br w:type="page"/>
      </w:r>
      <w:bookmarkStart w:id="528" w:name="_Toc13266"/>
      <w:bookmarkStart w:id="529" w:name="_Toc15505"/>
      <w:bookmarkStart w:id="530" w:name="_Toc22576"/>
      <w:bookmarkStart w:id="531" w:name="_Toc4512"/>
      <w:bookmarkStart w:id="532" w:name="_Toc15513"/>
      <w:bookmarkStart w:id="533" w:name="_Toc7733"/>
      <w:r>
        <w:rPr>
          <w:rFonts w:hint="eastAsia" w:cs="宋体"/>
          <w:b/>
          <w:bCs/>
          <w:color w:val="auto"/>
          <w:sz w:val="28"/>
          <w:szCs w:val="28"/>
        </w:rPr>
        <w:t>1.响应函（格式见附件）（必须提供）</w:t>
      </w:r>
      <w:bookmarkEnd w:id="525"/>
      <w:bookmarkEnd w:id="526"/>
      <w:bookmarkEnd w:id="527"/>
      <w:bookmarkEnd w:id="528"/>
      <w:bookmarkEnd w:id="529"/>
      <w:bookmarkEnd w:id="530"/>
      <w:bookmarkEnd w:id="531"/>
      <w:bookmarkEnd w:id="532"/>
      <w:bookmarkEnd w:id="533"/>
    </w:p>
    <w:p>
      <w:pPr>
        <w:pStyle w:val="365"/>
        <w:rPr>
          <w:rFonts w:cs="宋体"/>
          <w:color w:val="auto"/>
        </w:rPr>
      </w:pPr>
    </w:p>
    <w:p>
      <w:pPr>
        <w:pStyle w:val="28"/>
        <w:rPr>
          <w:rFonts w:ascii="Times New Roman" w:hAnsi="Times New Roman" w:cs="宋体"/>
          <w:b/>
          <w:color w:val="auto"/>
          <w:sz w:val="32"/>
        </w:rPr>
      </w:pPr>
      <w:r>
        <w:rPr>
          <w:rFonts w:hint="eastAsia" w:ascii="Times New Roman" w:hAnsi="Times New Roman" w:cs="宋体"/>
          <w:b/>
          <w:color w:val="auto"/>
          <w:sz w:val="32"/>
        </w:rPr>
        <w:t>附件：</w:t>
      </w:r>
    </w:p>
    <w:p>
      <w:pPr>
        <w:pStyle w:val="28"/>
        <w:ind w:firstLine="803" w:firstLineChars="250"/>
        <w:jc w:val="center"/>
        <w:rPr>
          <w:rFonts w:ascii="Times New Roman" w:hAnsi="Times New Roman" w:cs="宋体"/>
          <w:b/>
          <w:color w:val="auto"/>
          <w:sz w:val="32"/>
        </w:rPr>
      </w:pPr>
      <w:bookmarkStart w:id="534" w:name="_Toc17832_WPSOffice_Level1"/>
      <w:bookmarkStart w:id="535" w:name="_Toc7273_WPSOffice_Level1"/>
      <w:r>
        <w:rPr>
          <w:rFonts w:hint="eastAsia" w:ascii="Times New Roman" w:hAnsi="Times New Roman" w:cs="宋体"/>
          <w:b/>
          <w:color w:val="auto"/>
          <w:sz w:val="32"/>
        </w:rPr>
        <w:t>响 应 函 （格 式）</w:t>
      </w:r>
      <w:bookmarkEnd w:id="534"/>
      <w:bookmarkEnd w:id="535"/>
    </w:p>
    <w:p>
      <w:pPr>
        <w:spacing w:line="240" w:lineRule="exact"/>
        <w:jc w:val="center"/>
        <w:rPr>
          <w:rFonts w:cs="宋体"/>
          <w:color w:val="auto"/>
          <w:sz w:val="32"/>
        </w:rPr>
      </w:pPr>
    </w:p>
    <w:p>
      <w:pPr>
        <w:spacing w:line="400" w:lineRule="exact"/>
        <w:rPr>
          <w:rFonts w:cs="宋体"/>
          <w:color w:val="auto"/>
        </w:rPr>
      </w:pPr>
      <w:r>
        <w:rPr>
          <w:rFonts w:hint="eastAsia" w:cs="宋体"/>
          <w:color w:val="auto"/>
          <w:szCs w:val="21"/>
        </w:rPr>
        <w:t>致</w:t>
      </w:r>
      <w:r>
        <w:rPr>
          <w:rFonts w:hint="eastAsia" w:cs="宋体"/>
          <w:color w:val="auto"/>
          <w:szCs w:val="21"/>
          <w:u w:val="single"/>
        </w:rPr>
        <w:t>：广西科联招标中心有限公司</w:t>
      </w:r>
    </w:p>
    <w:p>
      <w:pPr>
        <w:spacing w:line="400" w:lineRule="exact"/>
        <w:rPr>
          <w:rFonts w:cs="宋体"/>
          <w:color w:val="auto"/>
          <w:szCs w:val="21"/>
        </w:rPr>
      </w:pPr>
    </w:p>
    <w:p>
      <w:pPr>
        <w:pStyle w:val="28"/>
        <w:spacing w:line="400" w:lineRule="exact"/>
        <w:ind w:firstLine="420"/>
        <w:rPr>
          <w:rFonts w:ascii="Times New Roman" w:hAnsi="Times New Roman" w:cs="宋体"/>
          <w:color w:val="auto"/>
        </w:rPr>
      </w:pPr>
      <w:r>
        <w:rPr>
          <w:rFonts w:hint="eastAsia" w:ascii="Times New Roman" w:hAnsi="Times New Roman" w:cs="宋体"/>
          <w:color w:val="auto"/>
        </w:rPr>
        <w:t>根据贵方</w:t>
      </w:r>
      <w:r>
        <w:rPr>
          <w:rFonts w:hint="eastAsia" w:ascii="Times New Roman" w:hAnsi="Times New Roman" w:cs="宋体"/>
          <w:color w:val="auto"/>
          <w:u w:val="single"/>
        </w:rPr>
        <w:t xml:space="preserve">       </w:t>
      </w:r>
      <w:r>
        <w:rPr>
          <w:rFonts w:hint="eastAsia" w:ascii="Times New Roman" w:hAnsi="Times New Roman" w:cs="宋体"/>
          <w:color w:val="auto"/>
        </w:rPr>
        <w:t>项目竞争性磋商文件，项目编号：</w:t>
      </w:r>
      <w:r>
        <w:rPr>
          <w:rFonts w:hint="eastAsia" w:ascii="Times New Roman" w:hAnsi="Times New Roman" w:cs="宋体"/>
          <w:color w:val="auto"/>
          <w:szCs w:val="21"/>
          <w:u w:val="single"/>
        </w:rPr>
        <w:t xml:space="preserve">            </w:t>
      </w:r>
      <w:r>
        <w:rPr>
          <w:rFonts w:hint="eastAsia" w:ascii="Times New Roman" w:hAnsi="Times New Roman" w:cs="宋体"/>
          <w:color w:val="auto"/>
          <w:szCs w:val="21"/>
        </w:rPr>
        <w:t>，签字代表</w:t>
      </w:r>
      <w:r>
        <w:rPr>
          <w:rFonts w:hint="eastAsia" w:ascii="Times New Roman" w:hAnsi="Times New Roman" w:cs="宋体"/>
          <w:color w:val="auto"/>
          <w:u w:val="single"/>
        </w:rPr>
        <w:t xml:space="preserve">         </w:t>
      </w:r>
      <w:r>
        <w:rPr>
          <w:rFonts w:hint="eastAsia" w:ascii="Times New Roman" w:hAnsi="Times New Roman" w:cs="宋体"/>
          <w:color w:val="auto"/>
        </w:rPr>
        <w:t xml:space="preserve">（姓名）经正式授权并代表供应商 </w:t>
      </w:r>
      <w:r>
        <w:rPr>
          <w:rFonts w:hint="eastAsia" w:ascii="Times New Roman" w:hAnsi="Times New Roman" w:cs="宋体"/>
          <w:color w:val="auto"/>
          <w:u w:val="single"/>
        </w:rPr>
        <w:t xml:space="preserve">                                   （</w:t>
      </w:r>
      <w:r>
        <w:rPr>
          <w:rFonts w:hint="eastAsia" w:ascii="Times New Roman" w:hAnsi="Times New Roman" w:cs="宋体"/>
          <w:color w:val="auto"/>
        </w:rPr>
        <w:t>供应商单位名称），提交电子响应文件。</w:t>
      </w:r>
    </w:p>
    <w:p>
      <w:pPr>
        <w:pStyle w:val="28"/>
        <w:spacing w:line="400" w:lineRule="exact"/>
        <w:ind w:firstLine="420"/>
        <w:rPr>
          <w:rFonts w:ascii="Times New Roman" w:hAnsi="Times New Roman" w:cs="宋体"/>
          <w:color w:val="auto"/>
        </w:rPr>
      </w:pPr>
      <w:r>
        <w:rPr>
          <w:rFonts w:hint="eastAsia" w:ascii="Times New Roman" w:hAnsi="Times New Roman" w:cs="宋体"/>
          <w:color w:val="auto"/>
        </w:rPr>
        <w:t>据此函，签字代表宣布同意如下：</w:t>
      </w:r>
    </w:p>
    <w:p>
      <w:pPr>
        <w:pStyle w:val="28"/>
        <w:spacing w:line="400" w:lineRule="exact"/>
        <w:ind w:firstLine="420"/>
        <w:rPr>
          <w:rFonts w:ascii="Times New Roman" w:hAnsi="Times New Roman" w:cs="宋体"/>
          <w:color w:val="auto"/>
        </w:rPr>
      </w:pPr>
      <w:r>
        <w:rPr>
          <w:rFonts w:hint="eastAsia" w:ascii="Times New Roman" w:hAnsi="Times New Roman" w:cs="宋体"/>
          <w:color w:val="auto"/>
        </w:rPr>
        <w:t>1.</w:t>
      </w:r>
      <w:r>
        <w:rPr>
          <w:rFonts w:hAnsi="宋体" w:cs="宋体"/>
          <w:color w:val="auto"/>
          <w:spacing w:val="-2"/>
        </w:rPr>
        <w:t>经踏勘项目现场和研究上述</w:t>
      </w:r>
      <w:r>
        <w:rPr>
          <w:rFonts w:hint="eastAsia" w:hAnsi="宋体" w:cs="宋体"/>
          <w:color w:val="auto"/>
          <w:spacing w:val="-2"/>
        </w:rPr>
        <w:t>竞争性磋商</w:t>
      </w:r>
      <w:r>
        <w:rPr>
          <w:rFonts w:hAnsi="宋体" w:cs="宋体"/>
          <w:color w:val="auto"/>
          <w:spacing w:val="-2"/>
        </w:rPr>
        <w:t>文件的</w:t>
      </w:r>
      <w:r>
        <w:rPr>
          <w:rFonts w:hint="eastAsia" w:hAnsi="宋体" w:cs="宋体"/>
          <w:color w:val="auto"/>
          <w:spacing w:val="-2"/>
        </w:rPr>
        <w:t>供应商</w:t>
      </w:r>
      <w:r>
        <w:rPr>
          <w:rFonts w:hAnsi="宋体" w:cs="宋体"/>
          <w:color w:val="auto"/>
          <w:spacing w:val="-2"/>
        </w:rPr>
        <w:t>须知、合同</w:t>
      </w:r>
      <w:r>
        <w:rPr>
          <w:rFonts w:hAnsi="宋体" w:cs="宋体"/>
          <w:color w:val="auto"/>
          <w:spacing w:val="-4"/>
        </w:rPr>
        <w:t>条款、图纸、工</w:t>
      </w:r>
      <w:r>
        <w:rPr>
          <w:rFonts w:hAnsi="宋体" w:cs="宋体"/>
          <w:color w:val="auto"/>
          <w:spacing w:val="-2"/>
        </w:rPr>
        <w:t>程量清单及其他有关文件后，</w:t>
      </w:r>
      <w:r>
        <w:rPr>
          <w:rFonts w:hint="eastAsia" w:hAnsi="宋体" w:cs="宋体"/>
          <w:color w:val="auto"/>
          <w:spacing w:val="-2"/>
        </w:rPr>
        <w:t>结合工程报价汇总表，</w:t>
      </w:r>
      <w:r>
        <w:rPr>
          <w:rFonts w:hAnsi="宋体" w:cs="宋体"/>
          <w:color w:val="auto"/>
          <w:spacing w:val="-2"/>
        </w:rPr>
        <w:t>我方愿意以工程总造价人民币(大</w:t>
      </w:r>
      <w:r>
        <w:rPr>
          <w:rFonts w:hAnsi="宋体" w:cs="宋体"/>
          <w:color w:val="auto"/>
          <w:spacing w:val="2"/>
        </w:rPr>
        <w:t>写)</w:t>
      </w:r>
      <w:r>
        <w:rPr>
          <w:rFonts w:hAnsi="宋体" w:cs="宋体"/>
          <w:color w:val="auto"/>
          <w:spacing w:val="2"/>
          <w:u w:val="single"/>
        </w:rPr>
        <w:t xml:space="preserve">           </w:t>
      </w:r>
      <w:r>
        <w:rPr>
          <w:rFonts w:hAnsi="宋体" w:cs="宋体"/>
          <w:color w:val="auto"/>
          <w:spacing w:val="2"/>
        </w:rPr>
        <w:t>(￥</w:t>
      </w:r>
      <w:r>
        <w:rPr>
          <w:rFonts w:hAnsi="宋体" w:cs="宋体"/>
          <w:color w:val="auto"/>
          <w:spacing w:val="2"/>
          <w:u w:val="single"/>
        </w:rPr>
        <w:t xml:space="preserve">      </w:t>
      </w:r>
      <w:r>
        <w:rPr>
          <w:rFonts w:hAnsi="宋体" w:cs="宋体"/>
          <w:color w:val="auto"/>
          <w:spacing w:val="2"/>
        </w:rPr>
        <w:t>元)</w:t>
      </w:r>
      <w:r>
        <w:rPr>
          <w:rFonts w:hAnsi="宋体" w:cs="宋体"/>
          <w:color w:val="auto"/>
          <w:spacing w:val="-6"/>
        </w:rPr>
        <w:t>，工期</w:t>
      </w:r>
      <w:r>
        <w:rPr>
          <w:rFonts w:hAnsi="宋体" w:cs="宋体"/>
          <w:color w:val="auto"/>
          <w:spacing w:val="-6"/>
          <w:u w:val="single"/>
        </w:rPr>
        <w:t xml:space="preserve">      </w:t>
      </w:r>
      <w:r>
        <w:rPr>
          <w:rFonts w:hint="eastAsia" w:ascii="Times New Roman" w:hAnsi="Times New Roman" w:cs="宋体"/>
          <w:color w:val="auto"/>
          <w:kern w:val="0"/>
          <w:szCs w:val="21"/>
        </w:rPr>
        <w:t>天（日历日）</w:t>
      </w:r>
      <w:r>
        <w:rPr>
          <w:rFonts w:hint="eastAsia" w:hAnsi="宋体" w:cs="宋体"/>
          <w:color w:val="auto"/>
          <w:spacing w:val="-6"/>
        </w:rPr>
        <w:t>，并按上述图纸、合同条款、工程量清单的条件要求承包上述工程的施工、竣工，并承担任何质量缺陷保修责任。我方保证工程质量达到</w:t>
      </w:r>
      <w:r>
        <w:rPr>
          <w:rFonts w:hint="eastAsia" w:hAnsi="宋体" w:cs="宋体"/>
          <w:color w:val="auto"/>
          <w:spacing w:val="-6"/>
          <w:u w:val="single"/>
        </w:rPr>
        <w:t xml:space="preserve">                </w:t>
      </w:r>
      <w:r>
        <w:rPr>
          <w:rFonts w:hint="eastAsia" w:hAnsi="宋体" w:cs="宋体"/>
          <w:color w:val="auto"/>
          <w:spacing w:val="-6"/>
        </w:rPr>
        <w:t>标准</w:t>
      </w:r>
      <w:r>
        <w:rPr>
          <w:rFonts w:hAnsi="宋体" w:cs="宋体"/>
          <w:color w:val="auto"/>
        </w:rPr>
        <w:t>。</w:t>
      </w:r>
    </w:p>
    <w:p>
      <w:pPr>
        <w:pStyle w:val="28"/>
        <w:spacing w:line="400" w:lineRule="exact"/>
        <w:ind w:firstLine="420"/>
        <w:rPr>
          <w:rFonts w:ascii="Times New Roman" w:hAnsi="Times New Roman" w:cs="宋体"/>
          <w:color w:val="auto"/>
        </w:rPr>
      </w:pPr>
      <w:r>
        <w:rPr>
          <w:rFonts w:hint="eastAsia" w:ascii="Times New Roman" w:hAnsi="Times New Roman" w:cs="宋体"/>
          <w:color w:val="auto"/>
        </w:rPr>
        <w:t>2.我方承诺已具备磋商文件规定的供应商资格条件。</w:t>
      </w:r>
    </w:p>
    <w:p>
      <w:pPr>
        <w:pStyle w:val="28"/>
        <w:spacing w:line="400" w:lineRule="exact"/>
        <w:ind w:firstLine="420"/>
        <w:rPr>
          <w:rFonts w:ascii="Times New Roman" w:hAnsi="Times New Roman" w:cs="宋体"/>
          <w:color w:val="auto"/>
        </w:rPr>
      </w:pPr>
      <w:r>
        <w:rPr>
          <w:rFonts w:hint="eastAsia" w:ascii="Times New Roman" w:hAnsi="Times New Roman" w:cs="宋体"/>
          <w:color w:val="auto"/>
        </w:rPr>
        <w:t>3.我方已详细审核磋商文件，包括修改文件（如有的话）和有关附件，将自行承担因对全部磋商文件理解不正确或误解而产生的相应后果。</w:t>
      </w:r>
    </w:p>
    <w:p>
      <w:pPr>
        <w:pStyle w:val="28"/>
        <w:spacing w:line="400" w:lineRule="exact"/>
        <w:ind w:firstLine="420"/>
        <w:rPr>
          <w:rFonts w:ascii="Times New Roman" w:hAnsi="Times New Roman" w:cs="宋体"/>
          <w:color w:val="auto"/>
        </w:rPr>
      </w:pPr>
      <w:r>
        <w:rPr>
          <w:rFonts w:hint="eastAsia" w:ascii="Times New Roman" w:hAnsi="Times New Roman" w:cs="宋体"/>
          <w:color w:val="auto"/>
        </w:rPr>
        <w:t>4.响应文件有效期为</w:t>
      </w:r>
      <w:r>
        <w:rPr>
          <w:rFonts w:hint="eastAsia" w:ascii="Times New Roman" w:hAnsi="Times New Roman" w:cs="宋体"/>
          <w:color w:val="auto"/>
          <w:szCs w:val="21"/>
        </w:rPr>
        <w:t>响应文件递交截止时间之日起90天。</w:t>
      </w:r>
    </w:p>
    <w:p>
      <w:pPr>
        <w:pStyle w:val="28"/>
        <w:spacing w:line="400" w:lineRule="exact"/>
        <w:ind w:firstLine="420"/>
        <w:rPr>
          <w:rFonts w:ascii="Times New Roman" w:hAnsi="Times New Roman" w:cs="宋体"/>
          <w:color w:val="auto"/>
        </w:rPr>
      </w:pPr>
      <w:r>
        <w:rPr>
          <w:rFonts w:hint="eastAsia" w:ascii="Times New Roman" w:hAnsi="Times New Roman" w:cs="宋体"/>
          <w:color w:val="auto"/>
        </w:rPr>
        <w:t>5.如我方成交：</w:t>
      </w:r>
    </w:p>
    <w:p>
      <w:pPr>
        <w:pStyle w:val="28"/>
        <w:spacing w:line="400" w:lineRule="exact"/>
        <w:ind w:firstLine="420"/>
        <w:rPr>
          <w:rFonts w:ascii="Times New Roman" w:hAnsi="Times New Roman" w:cs="宋体"/>
          <w:color w:val="auto"/>
        </w:rPr>
      </w:pPr>
      <w:r>
        <w:rPr>
          <w:rFonts w:hint="eastAsia" w:ascii="Times New Roman" w:hAnsi="Times New Roman" w:cs="宋体"/>
          <w:color w:val="auto"/>
        </w:rPr>
        <w:t>（1）我方承诺在收到成交通知书后，在成交通知书规定的期限内与采购人签订合同。</w:t>
      </w:r>
    </w:p>
    <w:p>
      <w:pPr>
        <w:pStyle w:val="28"/>
        <w:spacing w:line="400" w:lineRule="exact"/>
        <w:ind w:firstLine="420"/>
        <w:rPr>
          <w:rFonts w:ascii="Times New Roman" w:hAnsi="Times New Roman" w:cs="宋体"/>
          <w:color w:val="auto"/>
          <w:szCs w:val="21"/>
        </w:rPr>
      </w:pPr>
      <w:r>
        <w:rPr>
          <w:rFonts w:hint="eastAsia" w:ascii="Times New Roman" w:hAnsi="Times New Roman" w:cs="宋体"/>
          <w:color w:val="auto"/>
          <w:szCs w:val="21"/>
        </w:rPr>
        <w:t>（2）我方承诺按照磋商文件规定递交履约担保。</w:t>
      </w:r>
    </w:p>
    <w:p>
      <w:pPr>
        <w:pStyle w:val="28"/>
        <w:spacing w:line="400" w:lineRule="exact"/>
        <w:ind w:firstLine="420"/>
        <w:rPr>
          <w:rFonts w:ascii="Times New Roman" w:hAnsi="Times New Roman" w:cs="宋体"/>
          <w:color w:val="auto"/>
          <w:szCs w:val="21"/>
        </w:rPr>
      </w:pPr>
      <w:r>
        <w:rPr>
          <w:rFonts w:hint="eastAsia" w:ascii="Times New Roman" w:hAnsi="Times New Roman" w:cs="宋体"/>
          <w:color w:val="auto"/>
          <w:szCs w:val="21"/>
        </w:rPr>
        <w:t>（3）我方承诺本响应文件至本项目合同履行完毕止均保持有效，按磋商文件及政府采购法律、法规的规定履行合同责任和义务。</w:t>
      </w:r>
    </w:p>
    <w:p>
      <w:pPr>
        <w:pStyle w:val="28"/>
        <w:spacing w:line="400" w:lineRule="exact"/>
        <w:ind w:firstLine="420"/>
        <w:rPr>
          <w:rFonts w:ascii="Times New Roman" w:hAnsi="Times New Roman" w:cs="宋体"/>
          <w:color w:val="auto"/>
          <w:szCs w:val="21"/>
        </w:rPr>
      </w:pPr>
      <w:r>
        <w:rPr>
          <w:rFonts w:hint="eastAsia" w:ascii="Times New Roman" w:hAnsi="Times New Roman" w:cs="宋体"/>
          <w:color w:val="auto"/>
          <w:szCs w:val="21"/>
        </w:rPr>
        <w:t>与本项目有关的正式通讯地址为：</w:t>
      </w:r>
    </w:p>
    <w:p>
      <w:pPr>
        <w:rPr>
          <w:rFonts w:cs="宋体"/>
          <w:color w:val="auto"/>
          <w:szCs w:val="21"/>
        </w:rPr>
      </w:pPr>
    </w:p>
    <w:p>
      <w:pPr>
        <w:pStyle w:val="28"/>
        <w:spacing w:line="400" w:lineRule="exact"/>
        <w:ind w:firstLine="420"/>
        <w:rPr>
          <w:rFonts w:ascii="Times New Roman" w:hAnsi="Times New Roman" w:cs="宋体"/>
          <w:b/>
          <w:bCs/>
          <w:color w:val="auto"/>
          <w:szCs w:val="21"/>
        </w:rPr>
      </w:pPr>
      <w:r>
        <w:rPr>
          <w:rFonts w:hint="eastAsia" w:ascii="Times New Roman" w:hAnsi="Times New Roman" w:cs="宋体"/>
          <w:b/>
          <w:bCs/>
          <w:color w:val="auto"/>
          <w:szCs w:val="21"/>
        </w:rPr>
        <w:t>地址：</w:t>
      </w:r>
      <w:r>
        <w:rPr>
          <w:rFonts w:hint="eastAsia" w:ascii="Times New Roman" w:hAnsi="Times New Roman" w:cs="宋体"/>
          <w:b/>
          <w:bCs/>
          <w:color w:val="auto"/>
          <w:szCs w:val="21"/>
          <w:u w:val="single"/>
        </w:rPr>
        <w:t xml:space="preserve">                                   </w:t>
      </w:r>
      <w:r>
        <w:rPr>
          <w:rFonts w:hint="eastAsia" w:ascii="Times New Roman" w:hAnsi="Times New Roman" w:cs="宋体"/>
          <w:b/>
          <w:bCs/>
          <w:color w:val="auto"/>
          <w:szCs w:val="21"/>
        </w:rPr>
        <w:t xml:space="preserve"> 邮编：</w:t>
      </w:r>
      <w:r>
        <w:rPr>
          <w:rFonts w:hint="eastAsia" w:ascii="Times New Roman" w:hAnsi="Times New Roman" w:cs="宋体"/>
          <w:b/>
          <w:bCs/>
          <w:color w:val="auto"/>
          <w:szCs w:val="21"/>
          <w:u w:val="single"/>
        </w:rPr>
        <w:t xml:space="preserve">          </w:t>
      </w:r>
      <w:r>
        <w:rPr>
          <w:rFonts w:hint="eastAsia" w:ascii="Times New Roman" w:hAnsi="Times New Roman" w:cs="宋体"/>
          <w:b/>
          <w:bCs/>
          <w:color w:val="auto"/>
          <w:szCs w:val="21"/>
        </w:rPr>
        <w:t xml:space="preserve">  </w:t>
      </w:r>
    </w:p>
    <w:p>
      <w:pPr>
        <w:pStyle w:val="28"/>
        <w:spacing w:line="400" w:lineRule="exact"/>
        <w:ind w:firstLine="420"/>
        <w:rPr>
          <w:rFonts w:ascii="Times New Roman" w:hAnsi="Times New Roman" w:cs="宋体"/>
          <w:b/>
          <w:bCs/>
          <w:color w:val="auto"/>
          <w:szCs w:val="21"/>
          <w:u w:val="single"/>
        </w:rPr>
      </w:pPr>
      <w:r>
        <w:rPr>
          <w:rFonts w:hint="eastAsia" w:ascii="Times New Roman" w:hAnsi="Times New Roman" w:cs="宋体"/>
          <w:b/>
          <w:bCs/>
          <w:color w:val="auto"/>
          <w:szCs w:val="21"/>
        </w:rPr>
        <w:t>电话、传真：</w:t>
      </w:r>
      <w:r>
        <w:rPr>
          <w:rFonts w:hint="eastAsia" w:ascii="Times New Roman" w:hAnsi="Times New Roman" w:cs="宋体"/>
          <w:b/>
          <w:bCs/>
          <w:color w:val="auto"/>
          <w:szCs w:val="21"/>
          <w:u w:val="single"/>
        </w:rPr>
        <w:t xml:space="preserve">                             </w:t>
      </w:r>
    </w:p>
    <w:p>
      <w:pPr>
        <w:pStyle w:val="28"/>
        <w:spacing w:line="400" w:lineRule="exact"/>
        <w:ind w:firstLine="420"/>
        <w:rPr>
          <w:rFonts w:ascii="Times New Roman" w:hAnsi="Times New Roman" w:cs="宋体"/>
          <w:b/>
          <w:bCs/>
          <w:color w:val="auto"/>
          <w:szCs w:val="21"/>
        </w:rPr>
      </w:pPr>
      <w:r>
        <w:rPr>
          <w:rFonts w:hint="eastAsia" w:ascii="Times New Roman" w:hAnsi="Times New Roman" w:cs="宋体"/>
          <w:b/>
          <w:bCs/>
          <w:color w:val="auto"/>
          <w:szCs w:val="21"/>
        </w:rPr>
        <w:t>开户名称：</w:t>
      </w:r>
      <w:r>
        <w:rPr>
          <w:rFonts w:hint="eastAsia" w:ascii="Times New Roman" w:hAnsi="Times New Roman" w:cs="宋体"/>
          <w:b/>
          <w:bCs/>
          <w:color w:val="auto"/>
          <w:szCs w:val="21"/>
          <w:u w:val="single"/>
        </w:rPr>
        <w:t xml:space="preserve">                               </w:t>
      </w:r>
    </w:p>
    <w:p>
      <w:pPr>
        <w:pStyle w:val="28"/>
        <w:spacing w:line="400" w:lineRule="exact"/>
        <w:ind w:firstLine="420"/>
        <w:rPr>
          <w:rFonts w:ascii="Times New Roman" w:hAnsi="Times New Roman" w:cs="宋体"/>
          <w:b/>
          <w:bCs/>
          <w:color w:val="auto"/>
          <w:szCs w:val="21"/>
        </w:rPr>
      </w:pPr>
      <w:r>
        <w:rPr>
          <w:rFonts w:hint="eastAsia" w:ascii="Times New Roman" w:hAnsi="Times New Roman" w:cs="宋体"/>
          <w:b/>
          <w:bCs/>
          <w:color w:val="auto"/>
          <w:szCs w:val="21"/>
        </w:rPr>
        <w:t>开户银行：</w:t>
      </w:r>
      <w:r>
        <w:rPr>
          <w:rFonts w:hint="eastAsia" w:ascii="Times New Roman" w:hAnsi="Times New Roman" w:cs="宋体"/>
          <w:b/>
          <w:bCs/>
          <w:color w:val="auto"/>
          <w:szCs w:val="21"/>
          <w:u w:val="single"/>
        </w:rPr>
        <w:t xml:space="preserve">                               </w:t>
      </w:r>
    </w:p>
    <w:p>
      <w:pPr>
        <w:pStyle w:val="28"/>
        <w:spacing w:line="400" w:lineRule="exact"/>
        <w:ind w:firstLine="420"/>
        <w:rPr>
          <w:rFonts w:ascii="Times New Roman" w:hAnsi="Times New Roman" w:cs="宋体"/>
          <w:b/>
          <w:bCs/>
          <w:color w:val="auto"/>
          <w:szCs w:val="21"/>
        </w:rPr>
      </w:pPr>
      <w:r>
        <w:rPr>
          <w:rFonts w:hint="eastAsia" w:ascii="Times New Roman" w:hAnsi="Times New Roman" w:cs="宋体"/>
          <w:b/>
          <w:bCs/>
          <w:color w:val="auto"/>
          <w:szCs w:val="21"/>
        </w:rPr>
        <w:t>账号：</w:t>
      </w:r>
      <w:r>
        <w:rPr>
          <w:rFonts w:hint="eastAsia" w:ascii="Times New Roman" w:hAnsi="Times New Roman" w:cs="宋体"/>
          <w:b/>
          <w:bCs/>
          <w:color w:val="auto"/>
          <w:szCs w:val="21"/>
          <w:u w:val="single"/>
        </w:rPr>
        <w:t xml:space="preserve">                                   </w:t>
      </w:r>
    </w:p>
    <w:p>
      <w:pPr>
        <w:pStyle w:val="28"/>
        <w:spacing w:line="400" w:lineRule="exact"/>
        <w:ind w:firstLine="420"/>
        <w:rPr>
          <w:rFonts w:ascii="Times New Roman" w:hAnsi="Times New Roman" w:cs="宋体"/>
          <w:b/>
          <w:bCs/>
          <w:color w:val="auto"/>
          <w:szCs w:val="21"/>
          <w:u w:val="single"/>
        </w:rPr>
      </w:pPr>
      <w:r>
        <w:rPr>
          <w:rFonts w:hint="eastAsia" w:ascii="Times New Roman" w:hAnsi="Times New Roman" w:cs="宋体"/>
          <w:b/>
          <w:bCs/>
          <w:color w:val="auto"/>
          <w:szCs w:val="21"/>
        </w:rPr>
        <w:t>供应商[公章(CA签章)、自然人除外]：</w:t>
      </w:r>
      <w:r>
        <w:rPr>
          <w:rFonts w:hint="eastAsia" w:ascii="Times New Roman" w:hAnsi="Times New Roman" w:cs="宋体"/>
          <w:b/>
          <w:bCs/>
          <w:color w:val="auto"/>
          <w:szCs w:val="21"/>
          <w:u w:val="single"/>
        </w:rPr>
        <w:t xml:space="preserve">                              </w:t>
      </w:r>
    </w:p>
    <w:p>
      <w:pPr>
        <w:pStyle w:val="28"/>
        <w:spacing w:line="400" w:lineRule="exact"/>
        <w:ind w:firstLine="420"/>
        <w:rPr>
          <w:rFonts w:ascii="Times New Roman" w:hAnsi="Times New Roman" w:cs="宋体"/>
          <w:b/>
          <w:bCs/>
          <w:color w:val="auto"/>
          <w:szCs w:val="21"/>
          <w:u w:val="single"/>
        </w:rPr>
      </w:pPr>
      <w:r>
        <w:rPr>
          <w:rFonts w:hint="eastAsia" w:ascii="Times New Roman" w:hAnsi="Times New Roman" w:cs="宋体"/>
          <w:b/>
          <w:bCs/>
          <w:color w:val="auto"/>
          <w:szCs w:val="21"/>
        </w:rPr>
        <w:t>法定代表人、负责人、自然人或相应的委托代理人签字[或盖章(CA签章)]（属自然人的应在签名处加盖大拇指指印或个人CA签章）：</w:t>
      </w:r>
      <w:r>
        <w:rPr>
          <w:rFonts w:hint="eastAsia" w:ascii="Times New Roman" w:hAnsi="Times New Roman" w:cs="宋体"/>
          <w:b/>
          <w:bCs/>
          <w:color w:val="auto"/>
          <w:szCs w:val="21"/>
          <w:u w:val="single"/>
        </w:rPr>
        <w:t xml:space="preserve">              </w:t>
      </w:r>
    </w:p>
    <w:p>
      <w:pPr>
        <w:pStyle w:val="28"/>
        <w:spacing w:line="400" w:lineRule="exact"/>
        <w:ind w:firstLine="420"/>
        <w:rPr>
          <w:rFonts w:ascii="Times New Roman" w:hAnsi="Times New Roman" w:cs="宋体"/>
          <w:b/>
          <w:color w:val="auto"/>
          <w:sz w:val="28"/>
          <w:szCs w:val="28"/>
        </w:rPr>
      </w:pPr>
      <w:r>
        <w:rPr>
          <w:rFonts w:hint="eastAsia" w:ascii="Times New Roman" w:hAnsi="Times New Roman" w:cs="宋体"/>
          <w:b/>
          <w:bCs/>
          <w:color w:val="auto"/>
          <w:szCs w:val="21"/>
        </w:rPr>
        <w:t>响应日期：</w:t>
      </w:r>
      <w:r>
        <w:rPr>
          <w:rFonts w:hint="eastAsia" w:ascii="Times New Roman" w:hAnsi="Times New Roman" w:cs="宋体"/>
          <w:b/>
          <w:bCs/>
          <w:color w:val="auto"/>
          <w:szCs w:val="21"/>
          <w:u w:val="single"/>
        </w:rPr>
        <w:t xml:space="preserve">                               </w:t>
      </w:r>
    </w:p>
    <w:p>
      <w:pPr>
        <w:rPr>
          <w:rFonts w:hAnsi="宋体" w:cs="宋体"/>
          <w:b/>
          <w:color w:val="auto"/>
          <w:sz w:val="28"/>
          <w:szCs w:val="28"/>
        </w:rPr>
      </w:pPr>
      <w:bookmarkStart w:id="536" w:name="_Toc20211"/>
      <w:bookmarkStart w:id="537" w:name="_Toc28417"/>
      <w:r>
        <w:rPr>
          <w:rFonts w:hint="eastAsia" w:hAnsi="宋体" w:cs="宋体"/>
          <w:b/>
          <w:color w:val="auto"/>
          <w:sz w:val="28"/>
          <w:szCs w:val="28"/>
        </w:rPr>
        <w:br w:type="page"/>
      </w:r>
    </w:p>
    <w:p>
      <w:pPr>
        <w:spacing w:line="400" w:lineRule="exact"/>
        <w:outlineLvl w:val="1"/>
        <w:rPr>
          <w:rFonts w:ascii="宋体" w:hAnsi="宋体" w:cs="宋体"/>
          <w:color w:val="auto"/>
        </w:rPr>
      </w:pPr>
      <w:bookmarkStart w:id="538" w:name="_Toc3465"/>
      <w:bookmarkStart w:id="539" w:name="_Toc15542"/>
      <w:bookmarkStart w:id="540" w:name="_Toc6215"/>
      <w:bookmarkStart w:id="541" w:name="_Toc10518"/>
      <w:r>
        <w:rPr>
          <w:rFonts w:hint="eastAsia" w:hAnsi="宋体" w:cs="宋体"/>
          <w:b/>
          <w:color w:val="auto"/>
          <w:sz w:val="28"/>
          <w:szCs w:val="28"/>
        </w:rPr>
        <w:t>2</w:t>
      </w:r>
      <w:r>
        <w:rPr>
          <w:rFonts w:hint="eastAsia" w:ascii="宋体" w:hAnsi="宋体" w:cs="宋体"/>
          <w:b/>
          <w:color w:val="auto"/>
          <w:sz w:val="28"/>
          <w:szCs w:val="28"/>
        </w:rPr>
        <w:t>.工程</w:t>
      </w:r>
      <w:r>
        <w:rPr>
          <w:rFonts w:hint="eastAsia" w:ascii="宋体" w:hAnsi="宋体" w:cs="宋体"/>
          <w:b/>
          <w:bCs/>
          <w:color w:val="auto"/>
          <w:sz w:val="28"/>
          <w:szCs w:val="28"/>
        </w:rPr>
        <w:t>报价</w:t>
      </w:r>
      <w:r>
        <w:rPr>
          <w:rFonts w:hint="eastAsia" w:ascii="宋体" w:hAnsi="宋体" w:cs="宋体"/>
          <w:b/>
          <w:color w:val="auto"/>
          <w:sz w:val="28"/>
          <w:szCs w:val="28"/>
        </w:rPr>
        <w:t>汇总表（必须提供）；</w:t>
      </w:r>
      <w:bookmarkEnd w:id="536"/>
      <w:bookmarkEnd w:id="537"/>
      <w:bookmarkEnd w:id="538"/>
      <w:bookmarkEnd w:id="539"/>
      <w:bookmarkEnd w:id="540"/>
      <w:bookmarkEnd w:id="541"/>
    </w:p>
    <w:p>
      <w:pPr>
        <w:pStyle w:val="28"/>
        <w:spacing w:line="320" w:lineRule="exact"/>
        <w:jc w:val="left"/>
        <w:rPr>
          <w:rFonts w:hAnsi="宋体" w:cs="宋体"/>
          <w:b/>
          <w:color w:val="auto"/>
          <w:sz w:val="28"/>
          <w:szCs w:val="28"/>
        </w:rPr>
      </w:pPr>
    </w:p>
    <w:p>
      <w:pPr>
        <w:widowControl/>
        <w:jc w:val="center"/>
        <w:rPr>
          <w:rFonts w:ascii="宋体" w:hAnsi="宋体" w:cs="宋体"/>
          <w:b/>
          <w:color w:val="auto"/>
          <w:kern w:val="0"/>
          <w:sz w:val="24"/>
        </w:rPr>
      </w:pPr>
      <w:r>
        <w:rPr>
          <w:rFonts w:hint="eastAsia" w:ascii="宋体" w:hAnsi="宋体" w:cs="宋体"/>
          <w:b/>
          <w:color w:val="auto"/>
          <w:kern w:val="0"/>
          <w:sz w:val="24"/>
        </w:rPr>
        <w:t>工程报价汇总表（格式）</w:t>
      </w:r>
    </w:p>
    <w:p>
      <w:pPr>
        <w:widowControl/>
        <w:jc w:val="center"/>
        <w:rPr>
          <w:rFonts w:ascii="宋体" w:hAnsi="宋体" w:cs="宋体"/>
          <w:color w:val="auto"/>
          <w:kern w:val="0"/>
          <w:sz w:val="24"/>
        </w:rPr>
      </w:pPr>
    </w:p>
    <w:p>
      <w:pPr>
        <w:widowControl/>
        <w:spacing w:after="120" w:afterLines="50" w:line="360" w:lineRule="exact"/>
        <w:jc w:val="left"/>
        <w:rPr>
          <w:rFonts w:ascii="宋体" w:hAnsi="宋体" w:cs="宋体"/>
          <w:b/>
          <w:bCs/>
          <w:color w:val="auto"/>
          <w:kern w:val="0"/>
          <w:szCs w:val="21"/>
        </w:rPr>
      </w:pPr>
      <w:r>
        <w:rPr>
          <w:rFonts w:hint="eastAsia" w:ascii="宋体" w:hAnsi="宋体" w:cs="宋体"/>
          <w:b/>
          <w:bCs/>
          <w:color w:val="auto"/>
          <w:kern w:val="0"/>
          <w:szCs w:val="21"/>
        </w:rPr>
        <w:t>工程名称:</w:t>
      </w:r>
      <w:r>
        <w:rPr>
          <w:rFonts w:hint="eastAsia" w:ascii="宋体" w:hAnsi="宋体" w:cs="宋体"/>
          <w:b/>
          <w:bCs/>
          <w:color w:val="auto"/>
          <w:kern w:val="0"/>
          <w:szCs w:val="21"/>
          <w:u w:val="single"/>
        </w:rPr>
        <w:t xml:space="preserve">                                     </w:t>
      </w:r>
      <w:r>
        <w:rPr>
          <w:rFonts w:hint="eastAsia" w:ascii="宋体" w:hAnsi="宋体" w:cs="宋体"/>
          <w:b/>
          <w:bCs/>
          <w:color w:val="auto"/>
          <w:szCs w:val="21"/>
        </w:rPr>
        <w:t xml:space="preserve">             </w:t>
      </w:r>
      <w:r>
        <w:rPr>
          <w:rFonts w:hint="eastAsia" w:ascii="宋体" w:hAnsi="宋体" w:cs="宋体"/>
          <w:b/>
          <w:bCs/>
          <w:color w:val="auto"/>
          <w:kern w:val="0"/>
          <w:szCs w:val="21"/>
        </w:rPr>
        <w:t>币种：人民币</w:t>
      </w:r>
    </w:p>
    <w:tbl>
      <w:tblPr>
        <w:tblStyle w:val="53"/>
        <w:tblW w:w="9720" w:type="dxa"/>
        <w:tblInd w:w="108" w:type="dxa"/>
        <w:tblLayout w:type="fixed"/>
        <w:tblCellMar>
          <w:top w:w="0" w:type="dxa"/>
          <w:left w:w="108" w:type="dxa"/>
          <w:bottom w:w="0" w:type="dxa"/>
          <w:right w:w="108" w:type="dxa"/>
        </w:tblCellMar>
      </w:tblPr>
      <w:tblGrid>
        <w:gridCol w:w="720"/>
        <w:gridCol w:w="2985"/>
        <w:gridCol w:w="4785"/>
        <w:gridCol w:w="1230"/>
      </w:tblGrid>
      <w:tr>
        <w:tblPrEx>
          <w:tblCellMar>
            <w:top w:w="0" w:type="dxa"/>
            <w:left w:w="108" w:type="dxa"/>
            <w:bottom w:w="0" w:type="dxa"/>
            <w:right w:w="108" w:type="dxa"/>
          </w:tblCellMar>
        </w:tblPrEx>
        <w:trPr>
          <w:trHeight w:val="850" w:hRule="atLeast"/>
        </w:trPr>
        <w:tc>
          <w:tcPr>
            <w:tcW w:w="720" w:type="dxa"/>
            <w:tcBorders>
              <w:top w:val="single" w:color="auto" w:sz="4" w:space="0"/>
              <w:left w:val="single" w:color="auto" w:sz="8" w:space="0"/>
              <w:bottom w:val="single" w:color="auto" w:sz="4" w:space="0"/>
              <w:right w:val="single" w:color="auto" w:sz="4" w:space="0"/>
            </w:tcBorders>
            <w:vAlign w:val="center"/>
          </w:tcPr>
          <w:p>
            <w:pPr>
              <w:widowControl/>
              <w:spacing w:line="360" w:lineRule="exact"/>
              <w:jc w:val="center"/>
              <w:rPr>
                <w:rFonts w:cs="宋体"/>
                <w:b/>
                <w:bCs/>
                <w:color w:val="auto"/>
                <w:kern w:val="0"/>
                <w:szCs w:val="21"/>
              </w:rPr>
            </w:pPr>
            <w:r>
              <w:rPr>
                <w:rFonts w:hint="eastAsia" w:cs="宋体"/>
                <w:b/>
                <w:bCs/>
                <w:color w:val="auto"/>
                <w:kern w:val="0"/>
                <w:szCs w:val="21"/>
              </w:rPr>
              <w:t>一</w:t>
            </w:r>
          </w:p>
        </w:tc>
        <w:tc>
          <w:tcPr>
            <w:tcW w:w="2985" w:type="dxa"/>
            <w:tcBorders>
              <w:top w:val="single" w:color="auto" w:sz="8" w:space="0"/>
              <w:left w:val="nil"/>
              <w:bottom w:val="single" w:color="auto" w:sz="4" w:space="0"/>
              <w:right w:val="single" w:color="000000" w:sz="4" w:space="0"/>
            </w:tcBorders>
            <w:vAlign w:val="center"/>
          </w:tcPr>
          <w:p>
            <w:pPr>
              <w:widowControl/>
              <w:spacing w:line="360" w:lineRule="exact"/>
              <w:rPr>
                <w:rFonts w:cs="宋体"/>
                <w:b/>
                <w:bCs/>
                <w:color w:val="auto"/>
                <w:kern w:val="0"/>
                <w:szCs w:val="21"/>
              </w:rPr>
            </w:pPr>
            <w:r>
              <w:rPr>
                <w:rFonts w:hint="eastAsia" w:cs="宋体"/>
                <w:b/>
                <w:bCs/>
                <w:color w:val="auto"/>
                <w:kern w:val="0"/>
                <w:szCs w:val="21"/>
              </w:rPr>
              <w:t>工程总造价</w:t>
            </w:r>
          </w:p>
        </w:tc>
        <w:tc>
          <w:tcPr>
            <w:tcW w:w="4785" w:type="dxa"/>
            <w:tcBorders>
              <w:top w:val="single" w:color="auto" w:sz="8" w:space="0"/>
              <w:left w:val="nil"/>
              <w:bottom w:val="single" w:color="auto" w:sz="4" w:space="0"/>
              <w:right w:val="single" w:color="auto" w:sz="8" w:space="0"/>
            </w:tcBorders>
            <w:vAlign w:val="center"/>
          </w:tcPr>
          <w:p>
            <w:pPr>
              <w:widowControl/>
              <w:spacing w:line="360" w:lineRule="exact"/>
              <w:rPr>
                <w:rFonts w:cs="宋体"/>
                <w:color w:val="auto"/>
                <w:kern w:val="0"/>
                <w:szCs w:val="21"/>
              </w:rPr>
            </w:pPr>
            <w:r>
              <w:rPr>
                <w:rFonts w:hint="eastAsia" w:cs="宋体"/>
                <w:color w:val="auto"/>
                <w:kern w:val="0"/>
                <w:szCs w:val="21"/>
                <w:u w:val="single"/>
              </w:rPr>
              <w:t xml:space="preserve">                    </w:t>
            </w:r>
            <w:r>
              <w:rPr>
                <w:rFonts w:hint="eastAsia" w:cs="宋体"/>
                <w:color w:val="auto"/>
                <w:kern w:val="0"/>
                <w:szCs w:val="21"/>
              </w:rPr>
              <w:t>（元）</w:t>
            </w:r>
          </w:p>
        </w:tc>
        <w:tc>
          <w:tcPr>
            <w:tcW w:w="1230" w:type="dxa"/>
            <w:tcBorders>
              <w:top w:val="single" w:color="auto" w:sz="8" w:space="0"/>
              <w:left w:val="nil"/>
              <w:bottom w:val="single" w:color="auto" w:sz="4" w:space="0"/>
              <w:right w:val="single" w:color="auto" w:sz="8" w:space="0"/>
            </w:tcBorders>
            <w:vAlign w:val="center"/>
          </w:tcPr>
          <w:p>
            <w:pPr>
              <w:widowControl/>
              <w:spacing w:line="360" w:lineRule="exact"/>
              <w:jc w:val="center"/>
              <w:rPr>
                <w:rFonts w:cs="宋体"/>
                <w:color w:val="auto"/>
                <w:kern w:val="0"/>
                <w:szCs w:val="21"/>
                <w:u w:val="single"/>
              </w:rPr>
            </w:pPr>
            <w:r>
              <w:rPr>
                <w:rFonts w:hint="eastAsia" w:cs="宋体"/>
                <w:color w:val="auto"/>
                <w:kern w:val="0"/>
                <w:szCs w:val="21"/>
              </w:rPr>
              <w:t>备注</w:t>
            </w:r>
          </w:p>
        </w:tc>
      </w:tr>
      <w:tr>
        <w:tblPrEx>
          <w:tblCellMar>
            <w:top w:w="0" w:type="dxa"/>
            <w:left w:w="108" w:type="dxa"/>
            <w:bottom w:w="0" w:type="dxa"/>
            <w:right w:w="108" w:type="dxa"/>
          </w:tblCellMar>
        </w:tblPrEx>
        <w:trPr>
          <w:trHeight w:val="850" w:hRule="atLeast"/>
        </w:trPr>
        <w:tc>
          <w:tcPr>
            <w:tcW w:w="720" w:type="dxa"/>
            <w:tcBorders>
              <w:top w:val="single" w:color="auto" w:sz="4" w:space="0"/>
              <w:left w:val="single" w:color="auto" w:sz="8" w:space="0"/>
              <w:bottom w:val="single" w:color="auto" w:sz="4" w:space="0"/>
              <w:right w:val="single" w:color="auto" w:sz="4" w:space="0"/>
            </w:tcBorders>
            <w:vAlign w:val="center"/>
          </w:tcPr>
          <w:p>
            <w:pPr>
              <w:widowControl/>
              <w:spacing w:line="360" w:lineRule="exact"/>
              <w:jc w:val="center"/>
              <w:rPr>
                <w:rFonts w:cs="宋体"/>
                <w:b/>
                <w:bCs/>
                <w:color w:val="auto"/>
                <w:kern w:val="0"/>
                <w:szCs w:val="21"/>
              </w:rPr>
            </w:pPr>
            <w:r>
              <w:rPr>
                <w:rFonts w:hint="eastAsia" w:cs="宋体"/>
                <w:b/>
                <w:bCs/>
                <w:color w:val="auto"/>
                <w:kern w:val="0"/>
                <w:szCs w:val="21"/>
              </w:rPr>
              <w:t>二</w:t>
            </w:r>
          </w:p>
        </w:tc>
        <w:tc>
          <w:tcPr>
            <w:tcW w:w="2985" w:type="dxa"/>
            <w:tcBorders>
              <w:top w:val="single" w:color="auto" w:sz="8" w:space="0"/>
              <w:left w:val="nil"/>
              <w:bottom w:val="single" w:color="auto" w:sz="4" w:space="0"/>
              <w:right w:val="single" w:color="000000" w:sz="4" w:space="0"/>
            </w:tcBorders>
            <w:vAlign w:val="center"/>
          </w:tcPr>
          <w:p>
            <w:pPr>
              <w:widowControl/>
              <w:spacing w:line="360" w:lineRule="exact"/>
              <w:rPr>
                <w:rFonts w:cs="宋体"/>
                <w:b/>
                <w:bCs/>
                <w:color w:val="auto"/>
                <w:kern w:val="0"/>
                <w:szCs w:val="21"/>
              </w:rPr>
            </w:pPr>
            <w:r>
              <w:rPr>
                <w:rFonts w:hint="eastAsia" w:cs="宋体"/>
                <w:b/>
                <w:bCs/>
                <w:color w:val="auto"/>
                <w:kern w:val="0"/>
                <w:szCs w:val="21"/>
              </w:rPr>
              <w:t>承诺工期</w:t>
            </w:r>
          </w:p>
        </w:tc>
        <w:tc>
          <w:tcPr>
            <w:tcW w:w="4785" w:type="dxa"/>
            <w:tcBorders>
              <w:top w:val="single" w:color="auto" w:sz="8" w:space="0"/>
              <w:left w:val="nil"/>
              <w:bottom w:val="single" w:color="auto" w:sz="4" w:space="0"/>
              <w:right w:val="single" w:color="auto" w:sz="8" w:space="0"/>
            </w:tcBorders>
            <w:vAlign w:val="center"/>
          </w:tcPr>
          <w:p>
            <w:pPr>
              <w:widowControl/>
              <w:spacing w:line="360" w:lineRule="exact"/>
              <w:rPr>
                <w:rFonts w:cs="宋体"/>
                <w:color w:val="auto"/>
                <w:kern w:val="0"/>
                <w:szCs w:val="21"/>
              </w:rPr>
            </w:pPr>
            <w:r>
              <w:rPr>
                <w:rFonts w:hint="eastAsia" w:cs="宋体"/>
                <w:color w:val="auto"/>
                <w:kern w:val="0"/>
                <w:szCs w:val="21"/>
                <w:u w:val="single"/>
              </w:rPr>
              <w:t xml:space="preserve">         </w:t>
            </w:r>
            <w:r>
              <w:rPr>
                <w:rFonts w:hint="eastAsia" w:cs="宋体"/>
                <w:color w:val="auto"/>
                <w:kern w:val="0"/>
                <w:szCs w:val="21"/>
              </w:rPr>
              <w:t>天（日历日）</w:t>
            </w:r>
          </w:p>
        </w:tc>
        <w:tc>
          <w:tcPr>
            <w:tcW w:w="1230" w:type="dxa"/>
            <w:tcBorders>
              <w:top w:val="single" w:color="auto" w:sz="8" w:space="0"/>
              <w:left w:val="nil"/>
              <w:bottom w:val="single" w:color="auto" w:sz="4" w:space="0"/>
              <w:right w:val="single" w:color="auto" w:sz="8" w:space="0"/>
            </w:tcBorders>
            <w:vAlign w:val="center"/>
          </w:tcPr>
          <w:p>
            <w:pPr>
              <w:widowControl/>
              <w:spacing w:line="360" w:lineRule="exact"/>
              <w:rPr>
                <w:rFonts w:cs="宋体"/>
                <w:color w:val="auto"/>
                <w:kern w:val="0"/>
                <w:szCs w:val="21"/>
                <w:u w:val="single"/>
              </w:rPr>
            </w:pPr>
          </w:p>
        </w:tc>
      </w:tr>
      <w:tr>
        <w:tblPrEx>
          <w:tblCellMar>
            <w:top w:w="0" w:type="dxa"/>
            <w:left w:w="108" w:type="dxa"/>
            <w:bottom w:w="0" w:type="dxa"/>
            <w:right w:w="108" w:type="dxa"/>
          </w:tblCellMar>
        </w:tblPrEx>
        <w:trPr>
          <w:trHeight w:val="850" w:hRule="atLeast"/>
        </w:trPr>
        <w:tc>
          <w:tcPr>
            <w:tcW w:w="720" w:type="dxa"/>
            <w:tcBorders>
              <w:top w:val="single" w:color="auto" w:sz="4" w:space="0"/>
              <w:left w:val="single" w:color="auto" w:sz="8" w:space="0"/>
              <w:bottom w:val="single" w:color="auto" w:sz="4" w:space="0"/>
              <w:right w:val="single" w:color="auto" w:sz="4" w:space="0"/>
            </w:tcBorders>
            <w:vAlign w:val="center"/>
          </w:tcPr>
          <w:p>
            <w:pPr>
              <w:widowControl/>
              <w:spacing w:line="360" w:lineRule="exact"/>
              <w:jc w:val="center"/>
              <w:rPr>
                <w:rFonts w:cs="宋体"/>
                <w:b/>
                <w:bCs/>
                <w:color w:val="auto"/>
                <w:kern w:val="0"/>
                <w:szCs w:val="21"/>
              </w:rPr>
            </w:pPr>
            <w:r>
              <w:rPr>
                <w:rFonts w:hint="eastAsia" w:cs="宋体"/>
                <w:b/>
                <w:bCs/>
                <w:color w:val="auto"/>
                <w:kern w:val="0"/>
                <w:szCs w:val="21"/>
              </w:rPr>
              <w:t>三</w:t>
            </w:r>
          </w:p>
        </w:tc>
        <w:tc>
          <w:tcPr>
            <w:tcW w:w="2985" w:type="dxa"/>
            <w:tcBorders>
              <w:top w:val="single" w:color="auto" w:sz="8" w:space="0"/>
              <w:left w:val="nil"/>
              <w:bottom w:val="single" w:color="auto" w:sz="4" w:space="0"/>
              <w:right w:val="single" w:color="000000" w:sz="4" w:space="0"/>
            </w:tcBorders>
            <w:vAlign w:val="center"/>
          </w:tcPr>
          <w:p>
            <w:pPr>
              <w:widowControl/>
              <w:spacing w:line="360" w:lineRule="exact"/>
              <w:rPr>
                <w:rFonts w:cs="宋体"/>
                <w:b/>
                <w:bCs/>
                <w:color w:val="auto"/>
                <w:kern w:val="0"/>
                <w:szCs w:val="21"/>
              </w:rPr>
            </w:pPr>
            <w:r>
              <w:rPr>
                <w:rFonts w:hint="eastAsia" w:cs="宋体"/>
                <w:b/>
                <w:bCs/>
                <w:color w:val="auto"/>
                <w:kern w:val="0"/>
                <w:szCs w:val="21"/>
              </w:rPr>
              <w:t>承诺质量等级</w:t>
            </w:r>
          </w:p>
        </w:tc>
        <w:tc>
          <w:tcPr>
            <w:tcW w:w="4785" w:type="dxa"/>
            <w:tcBorders>
              <w:top w:val="single" w:color="auto" w:sz="8" w:space="0"/>
              <w:left w:val="nil"/>
              <w:bottom w:val="single" w:color="auto" w:sz="4" w:space="0"/>
              <w:right w:val="single" w:color="auto" w:sz="8" w:space="0"/>
            </w:tcBorders>
            <w:vAlign w:val="center"/>
          </w:tcPr>
          <w:p>
            <w:pPr>
              <w:widowControl/>
              <w:spacing w:line="360" w:lineRule="exact"/>
              <w:rPr>
                <w:rFonts w:cs="宋体"/>
                <w:color w:val="auto"/>
                <w:kern w:val="0"/>
                <w:szCs w:val="21"/>
              </w:rPr>
            </w:pPr>
            <w:r>
              <w:rPr>
                <w:rFonts w:hint="eastAsia" w:ascii="宋体" w:hAnsi="宋体" w:cs="宋体"/>
                <w:color w:val="auto"/>
                <w:spacing w:val="-6"/>
              </w:rPr>
              <w:t>我方保证工程质量达到</w:t>
            </w:r>
            <w:r>
              <w:rPr>
                <w:rFonts w:hint="eastAsia" w:ascii="宋体" w:hAnsi="宋体" w:cs="宋体"/>
                <w:color w:val="auto"/>
                <w:spacing w:val="-6"/>
                <w:u w:val="single"/>
              </w:rPr>
              <w:t xml:space="preserve">                  </w:t>
            </w:r>
            <w:r>
              <w:rPr>
                <w:rFonts w:hint="eastAsia" w:ascii="宋体" w:hAnsi="宋体" w:cs="宋体"/>
                <w:color w:val="auto"/>
                <w:spacing w:val="-6"/>
              </w:rPr>
              <w:t>标准</w:t>
            </w:r>
          </w:p>
        </w:tc>
        <w:tc>
          <w:tcPr>
            <w:tcW w:w="1230" w:type="dxa"/>
            <w:tcBorders>
              <w:top w:val="single" w:color="auto" w:sz="8" w:space="0"/>
              <w:left w:val="nil"/>
              <w:bottom w:val="single" w:color="auto" w:sz="4" w:space="0"/>
              <w:right w:val="single" w:color="auto" w:sz="8" w:space="0"/>
            </w:tcBorders>
            <w:vAlign w:val="center"/>
          </w:tcPr>
          <w:p>
            <w:pPr>
              <w:widowControl/>
              <w:spacing w:line="360" w:lineRule="exact"/>
              <w:rPr>
                <w:rFonts w:ascii="宋体" w:hAnsi="宋体" w:cs="宋体"/>
                <w:color w:val="auto"/>
                <w:spacing w:val="-6"/>
              </w:rPr>
            </w:pPr>
          </w:p>
        </w:tc>
      </w:tr>
    </w:tbl>
    <w:p>
      <w:pPr>
        <w:spacing w:line="340" w:lineRule="exact"/>
        <w:rPr>
          <w:rFonts w:ascii="宋体" w:hAnsi="宋体" w:cs="宋体"/>
          <w:color w:val="auto"/>
          <w:szCs w:val="21"/>
        </w:rPr>
      </w:pPr>
    </w:p>
    <w:p>
      <w:pPr>
        <w:spacing w:line="340" w:lineRule="exact"/>
        <w:rPr>
          <w:rFonts w:ascii="宋体" w:hAnsi="宋体" w:cs="宋体"/>
          <w:color w:val="auto"/>
          <w:szCs w:val="21"/>
        </w:rPr>
      </w:pPr>
    </w:p>
    <w:p>
      <w:pPr>
        <w:pStyle w:val="21"/>
        <w:rPr>
          <w:rFonts w:ascii="宋体" w:hAnsi="宋体" w:cs="宋体"/>
          <w:color w:val="auto"/>
          <w:szCs w:val="21"/>
        </w:rPr>
      </w:pPr>
    </w:p>
    <w:p>
      <w:pPr>
        <w:pStyle w:val="21"/>
        <w:rPr>
          <w:rFonts w:ascii="宋体" w:hAnsi="宋体" w:cs="宋体"/>
          <w:color w:val="auto"/>
          <w:szCs w:val="21"/>
        </w:rPr>
      </w:pPr>
    </w:p>
    <w:p>
      <w:pPr>
        <w:pStyle w:val="21"/>
        <w:rPr>
          <w:rFonts w:ascii="宋体" w:hAnsi="宋体" w:cs="宋体"/>
          <w:color w:val="auto"/>
          <w:szCs w:val="21"/>
        </w:rPr>
      </w:pPr>
    </w:p>
    <w:p>
      <w:pPr>
        <w:spacing w:line="360" w:lineRule="auto"/>
        <w:rPr>
          <w:rFonts w:ascii="宋体" w:hAnsi="宋体" w:cs="宋体"/>
          <w:b/>
          <w:bCs/>
          <w:color w:val="auto"/>
          <w:szCs w:val="21"/>
          <w:u w:val="single"/>
        </w:rPr>
      </w:pPr>
      <w:r>
        <w:rPr>
          <w:rFonts w:hint="eastAsia" w:ascii="宋体" w:hAnsi="宋体" w:cs="宋体"/>
          <w:b/>
          <w:bCs/>
          <w:color w:val="auto"/>
          <w:szCs w:val="21"/>
        </w:rPr>
        <w:t>磋商供应商（CA签章，自然人除外）：</w:t>
      </w:r>
      <w:r>
        <w:rPr>
          <w:rFonts w:hint="eastAsia" w:ascii="宋体" w:hAnsi="宋体" w:cs="宋体"/>
          <w:b/>
          <w:bCs/>
          <w:color w:val="auto"/>
          <w:szCs w:val="21"/>
          <w:u w:val="single"/>
        </w:rPr>
        <w:t xml:space="preserve">                                        </w:t>
      </w:r>
    </w:p>
    <w:p>
      <w:pPr>
        <w:spacing w:line="360" w:lineRule="auto"/>
        <w:rPr>
          <w:rFonts w:ascii="宋体" w:hAnsi="宋体" w:cs="宋体"/>
          <w:b/>
          <w:bCs/>
          <w:color w:val="auto"/>
        </w:rPr>
      </w:pPr>
    </w:p>
    <w:p>
      <w:pPr>
        <w:spacing w:line="360" w:lineRule="auto"/>
        <w:rPr>
          <w:rFonts w:ascii="宋体" w:hAnsi="宋体" w:cs="宋体"/>
          <w:b/>
          <w:bCs/>
          <w:color w:val="auto"/>
        </w:rPr>
      </w:pPr>
      <w:r>
        <w:rPr>
          <w:rFonts w:hint="eastAsia" w:ascii="宋体" w:hAnsi="宋体" w:cs="宋体"/>
          <w:b/>
          <w:bCs/>
          <w:color w:val="auto"/>
        </w:rPr>
        <w:t>法定代表人、负责人、自然人或相应的委托代理人签字或个人CA签章</w:t>
      </w:r>
    </w:p>
    <w:p>
      <w:pPr>
        <w:spacing w:line="360" w:lineRule="auto"/>
        <w:rPr>
          <w:rFonts w:ascii="宋体" w:hAnsi="宋体" w:cs="宋体"/>
          <w:b/>
          <w:bCs/>
          <w:color w:val="auto"/>
          <w:szCs w:val="21"/>
          <w:u w:val="single"/>
        </w:rPr>
      </w:pPr>
      <w:r>
        <w:rPr>
          <w:rFonts w:hint="eastAsia" w:ascii="宋体" w:hAnsi="宋体" w:cs="宋体"/>
          <w:b/>
          <w:bCs/>
          <w:color w:val="auto"/>
        </w:rPr>
        <w:t>（属自然人的应在签名处加盖食指指印或个人CA签章）：</w:t>
      </w:r>
      <w:r>
        <w:rPr>
          <w:rFonts w:hint="eastAsia" w:ascii="宋体" w:hAnsi="宋体" w:cs="宋体"/>
          <w:b/>
          <w:bCs/>
          <w:color w:val="auto"/>
          <w:szCs w:val="21"/>
          <w:u w:val="single"/>
        </w:rPr>
        <w:t xml:space="preserve">                                    </w:t>
      </w:r>
    </w:p>
    <w:p>
      <w:pPr>
        <w:tabs>
          <w:tab w:val="left" w:pos="1305"/>
        </w:tabs>
        <w:spacing w:line="360" w:lineRule="auto"/>
        <w:rPr>
          <w:rFonts w:cs="宋体"/>
          <w:b/>
          <w:bCs/>
          <w:color w:val="auto"/>
        </w:rPr>
      </w:pPr>
    </w:p>
    <w:p>
      <w:pPr>
        <w:tabs>
          <w:tab w:val="left" w:pos="1305"/>
        </w:tabs>
        <w:spacing w:line="360" w:lineRule="auto"/>
        <w:rPr>
          <w:rFonts w:ascii="宋体" w:hAnsi="宋体" w:cs="宋体"/>
          <w:b/>
          <w:bCs/>
          <w:color w:val="auto"/>
          <w:szCs w:val="21"/>
        </w:rPr>
      </w:pPr>
      <w:r>
        <w:rPr>
          <w:rFonts w:hint="eastAsia" w:cs="宋体"/>
          <w:b/>
          <w:bCs/>
          <w:color w:val="auto"/>
        </w:rPr>
        <w:t>日    期：</w:t>
      </w:r>
      <w:r>
        <w:rPr>
          <w:rFonts w:hint="eastAsia" w:cs="宋体"/>
          <w:b/>
          <w:bCs/>
          <w:color w:val="auto"/>
          <w:u w:val="single"/>
        </w:rPr>
        <w:t xml:space="preserve">                            </w:t>
      </w:r>
    </w:p>
    <w:p>
      <w:pPr>
        <w:pStyle w:val="28"/>
        <w:spacing w:line="340" w:lineRule="exact"/>
        <w:rPr>
          <w:rFonts w:hAnsi="宋体" w:cs="宋体"/>
          <w:b/>
          <w:color w:val="auto"/>
          <w:sz w:val="28"/>
          <w:szCs w:val="28"/>
        </w:rPr>
      </w:pPr>
    </w:p>
    <w:p>
      <w:pPr>
        <w:spacing w:line="400" w:lineRule="exact"/>
        <w:outlineLvl w:val="1"/>
        <w:rPr>
          <w:rFonts w:ascii="宋体" w:hAnsi="宋体" w:cs="宋体"/>
          <w:b/>
          <w:color w:val="auto"/>
          <w:sz w:val="28"/>
          <w:szCs w:val="28"/>
        </w:rPr>
      </w:pPr>
      <w:r>
        <w:rPr>
          <w:rFonts w:hint="eastAsia" w:ascii="宋体" w:hAnsi="宋体" w:cs="宋体"/>
          <w:b/>
          <w:color w:val="auto"/>
          <w:sz w:val="28"/>
          <w:szCs w:val="28"/>
        </w:rPr>
        <w:br w:type="page"/>
      </w:r>
      <w:bookmarkStart w:id="542" w:name="_Toc5788"/>
      <w:bookmarkStart w:id="543" w:name="_Toc21686"/>
      <w:bookmarkStart w:id="544" w:name="_Toc32015"/>
      <w:bookmarkStart w:id="545" w:name="_Toc4209"/>
      <w:bookmarkStart w:id="546" w:name="_Toc5594"/>
      <w:bookmarkStart w:id="547" w:name="_Toc8996"/>
      <w:r>
        <w:rPr>
          <w:rFonts w:hint="eastAsia" w:ascii="宋体" w:hAnsi="宋体" w:cs="宋体"/>
          <w:b/>
          <w:color w:val="auto"/>
          <w:sz w:val="28"/>
          <w:szCs w:val="28"/>
        </w:rPr>
        <w:t>3.标价</w:t>
      </w:r>
      <w:r>
        <w:rPr>
          <w:rFonts w:hint="eastAsia" w:ascii="宋体" w:hAnsi="宋体" w:cs="宋体"/>
          <w:b/>
          <w:bCs/>
          <w:color w:val="auto"/>
          <w:sz w:val="28"/>
          <w:szCs w:val="28"/>
        </w:rPr>
        <w:t>工程量</w:t>
      </w:r>
      <w:r>
        <w:rPr>
          <w:rFonts w:hint="eastAsia" w:ascii="宋体" w:hAnsi="宋体" w:cs="宋体"/>
          <w:b/>
          <w:color w:val="auto"/>
          <w:sz w:val="28"/>
          <w:szCs w:val="28"/>
        </w:rPr>
        <w:t>清单（必须提供）</w:t>
      </w:r>
      <w:bookmarkEnd w:id="542"/>
      <w:bookmarkEnd w:id="543"/>
      <w:bookmarkEnd w:id="544"/>
      <w:bookmarkEnd w:id="545"/>
      <w:bookmarkEnd w:id="546"/>
      <w:bookmarkEnd w:id="547"/>
    </w:p>
    <w:p>
      <w:pPr>
        <w:snapToGrid w:val="0"/>
        <w:ind w:firstLine="420"/>
        <w:jc w:val="right"/>
        <w:rPr>
          <w:rFonts w:ascii="宋体" w:hAnsi="宋体" w:cs="宋体"/>
          <w:color w:val="auto"/>
        </w:rPr>
      </w:pPr>
    </w:p>
    <w:p>
      <w:pPr>
        <w:jc w:val="center"/>
        <w:rPr>
          <w:rFonts w:ascii="宋体" w:hAnsi="宋体" w:cs="宋体"/>
          <w:b/>
          <w:bCs/>
          <w:color w:val="auto"/>
          <w:sz w:val="24"/>
        </w:rPr>
      </w:pPr>
      <w:bookmarkStart w:id="548" w:name="_Toc446943082"/>
      <w:bookmarkStart w:id="549" w:name="_Toc394929435"/>
      <w:bookmarkStart w:id="550" w:name="_Toc234659851"/>
      <w:bookmarkStart w:id="551" w:name="_Toc271557289"/>
      <w:r>
        <w:rPr>
          <w:rFonts w:hint="eastAsia" w:ascii="宋体" w:hAnsi="宋体" w:cs="宋体"/>
          <w:b/>
          <w:bCs/>
          <w:color w:val="auto"/>
          <w:sz w:val="24"/>
        </w:rPr>
        <w:t>已标价工程量清单</w:t>
      </w:r>
      <w:bookmarkEnd w:id="548"/>
      <w:bookmarkEnd w:id="549"/>
      <w:bookmarkEnd w:id="550"/>
      <w:bookmarkEnd w:id="551"/>
    </w:p>
    <w:p>
      <w:pPr>
        <w:ind w:firstLine="420"/>
        <w:jc w:val="center"/>
        <w:rPr>
          <w:rFonts w:ascii="宋体" w:hAnsi="宋体" w:cs="宋体"/>
          <w:color w:val="auto"/>
        </w:rPr>
      </w:pPr>
    </w:p>
    <w:p>
      <w:pPr>
        <w:spacing w:line="360" w:lineRule="auto"/>
        <w:ind w:firstLine="420"/>
        <w:rPr>
          <w:rFonts w:ascii="宋体" w:hAnsi="宋体" w:cs="宋体"/>
          <w:color w:val="auto"/>
          <w:szCs w:val="21"/>
        </w:rPr>
      </w:pPr>
      <w:r>
        <w:rPr>
          <w:rFonts w:hint="eastAsia" w:ascii="宋体" w:hAnsi="宋体" w:cs="宋体"/>
          <w:color w:val="auto"/>
          <w:szCs w:val="21"/>
        </w:rPr>
        <w:t>供应商应按照第三章“工程量清单”的要求逐项填报工程量清单，包括工程量清单说明、磋商报价说明及工程量清单各项表格（采购人</w:t>
      </w:r>
      <w:r>
        <w:rPr>
          <w:rFonts w:hint="eastAsia" w:ascii="宋体" w:hAnsi="宋体" w:cs="宋体"/>
          <w:color w:val="auto"/>
        </w:rPr>
        <w:t>提供的工程量清单</w:t>
      </w:r>
      <w:r>
        <w:rPr>
          <w:rFonts w:hint="eastAsia" w:ascii="宋体" w:hAnsi="宋体" w:cs="宋体"/>
          <w:color w:val="auto"/>
          <w:szCs w:val="21"/>
        </w:rPr>
        <w:t>）。</w:t>
      </w:r>
    </w:p>
    <w:p>
      <w:pPr>
        <w:spacing w:line="340" w:lineRule="exact"/>
        <w:rPr>
          <w:rFonts w:ascii="宋体" w:hAnsi="宋体" w:cs="宋体"/>
          <w:color w:val="auto"/>
          <w:szCs w:val="21"/>
        </w:rPr>
      </w:pPr>
    </w:p>
    <w:p>
      <w:pPr>
        <w:spacing w:line="400" w:lineRule="exact"/>
        <w:rPr>
          <w:rFonts w:ascii="宋体" w:hAnsi="宋体" w:cs="宋体"/>
          <w:b/>
          <w:bCs/>
          <w:color w:val="auto"/>
          <w:sz w:val="28"/>
          <w:szCs w:val="28"/>
        </w:rPr>
      </w:pPr>
      <w:r>
        <w:rPr>
          <w:rFonts w:hint="eastAsia" w:ascii="宋体" w:hAnsi="宋体" w:cs="宋体"/>
          <w:b/>
          <w:bCs/>
          <w:color w:val="auto"/>
          <w:sz w:val="28"/>
          <w:szCs w:val="28"/>
        </w:rPr>
        <w:t>注：</w:t>
      </w:r>
      <w:r>
        <w:rPr>
          <w:rFonts w:hint="eastAsia" w:ascii="宋体" w:hAnsi="宋体" w:cs="宋体"/>
          <w:b/>
          <w:color w:val="auto"/>
          <w:sz w:val="24"/>
        </w:rPr>
        <w:t>当本清单由多页构成时，需逐页加盖磋商供应商公章（CA签章）（属自然人的须逐页签字或个人CA签章），否则磋商无效。</w:t>
      </w:r>
    </w:p>
    <w:p>
      <w:pPr>
        <w:pStyle w:val="21"/>
        <w:rPr>
          <w:rFonts w:ascii="宋体" w:hAnsi="宋体" w:cs="宋体"/>
          <w:color w:val="auto"/>
        </w:rPr>
      </w:pPr>
    </w:p>
    <w:p>
      <w:pPr>
        <w:pStyle w:val="21"/>
        <w:rPr>
          <w:rFonts w:ascii="宋体" w:hAnsi="宋体" w:cs="宋体"/>
          <w:color w:val="auto"/>
        </w:rPr>
      </w:pPr>
    </w:p>
    <w:p>
      <w:pPr>
        <w:pStyle w:val="21"/>
        <w:rPr>
          <w:rFonts w:ascii="宋体" w:hAnsi="宋体" w:cs="宋体"/>
          <w:color w:val="auto"/>
        </w:rPr>
      </w:pPr>
    </w:p>
    <w:p>
      <w:pPr>
        <w:pStyle w:val="21"/>
        <w:rPr>
          <w:rFonts w:ascii="宋体" w:hAnsi="宋体" w:cs="宋体"/>
          <w:color w:val="auto"/>
        </w:rPr>
      </w:pPr>
    </w:p>
    <w:p>
      <w:pPr>
        <w:pStyle w:val="21"/>
        <w:rPr>
          <w:rFonts w:ascii="宋体" w:hAnsi="宋体" w:cs="宋体"/>
          <w:color w:val="auto"/>
        </w:rPr>
      </w:pPr>
    </w:p>
    <w:p>
      <w:pPr>
        <w:rPr>
          <w:rFonts w:ascii="宋体" w:hAnsi="宋体" w:cs="宋体"/>
          <w:color w:val="auto"/>
        </w:rPr>
      </w:pPr>
    </w:p>
    <w:p>
      <w:pPr>
        <w:pStyle w:val="24"/>
        <w:rPr>
          <w:color w:val="auto"/>
        </w:rPr>
      </w:pPr>
    </w:p>
    <w:p>
      <w:pPr>
        <w:spacing w:line="400" w:lineRule="exact"/>
        <w:outlineLvl w:val="1"/>
        <w:rPr>
          <w:rFonts w:cs="宋体"/>
          <w:b/>
          <w:bCs/>
          <w:iCs/>
          <w:color w:val="auto"/>
          <w:sz w:val="28"/>
          <w:szCs w:val="28"/>
        </w:rPr>
      </w:pPr>
      <w:r>
        <w:rPr>
          <w:rFonts w:hint="eastAsia" w:hAnsi="宋体" w:cs="宋体"/>
          <w:b/>
          <w:color w:val="auto"/>
          <w:sz w:val="28"/>
          <w:szCs w:val="28"/>
        </w:rPr>
        <w:br w:type="page"/>
      </w:r>
      <w:bookmarkStart w:id="552" w:name="_Toc8898"/>
      <w:bookmarkStart w:id="553" w:name="_Toc6913"/>
      <w:bookmarkStart w:id="554" w:name="_Toc22086"/>
      <w:bookmarkStart w:id="555" w:name="_Toc13917"/>
      <w:bookmarkStart w:id="556" w:name="_Toc26600"/>
      <w:bookmarkStart w:id="557" w:name="_Toc24899"/>
      <w:r>
        <w:rPr>
          <w:rFonts w:hint="eastAsia" w:cs="宋体"/>
          <w:b/>
          <w:color w:val="auto"/>
          <w:sz w:val="28"/>
          <w:szCs w:val="28"/>
        </w:rPr>
        <w:t>4.</w:t>
      </w:r>
      <w:r>
        <w:rPr>
          <w:rFonts w:hint="eastAsia" w:cs="宋体"/>
          <w:b/>
          <w:bCs/>
          <w:iCs/>
          <w:color w:val="auto"/>
          <w:sz w:val="28"/>
          <w:szCs w:val="28"/>
        </w:rPr>
        <w:t>拟</w:t>
      </w:r>
      <w:r>
        <w:rPr>
          <w:rFonts w:hint="eastAsia" w:cs="宋体"/>
          <w:b/>
          <w:bCs/>
          <w:color w:val="auto"/>
          <w:sz w:val="28"/>
          <w:szCs w:val="28"/>
        </w:rPr>
        <w:t>投入</w:t>
      </w:r>
      <w:r>
        <w:rPr>
          <w:rFonts w:hint="eastAsia" w:cs="宋体"/>
          <w:b/>
          <w:bCs/>
          <w:iCs/>
          <w:color w:val="auto"/>
          <w:sz w:val="28"/>
          <w:szCs w:val="28"/>
        </w:rPr>
        <w:t>本工程主要施工管理人员表（必须提供）；</w:t>
      </w:r>
      <w:bookmarkEnd w:id="552"/>
      <w:bookmarkEnd w:id="553"/>
      <w:bookmarkEnd w:id="554"/>
      <w:bookmarkEnd w:id="555"/>
      <w:bookmarkEnd w:id="556"/>
      <w:bookmarkEnd w:id="557"/>
    </w:p>
    <w:p>
      <w:pPr>
        <w:spacing w:line="500" w:lineRule="exact"/>
        <w:jc w:val="center"/>
        <w:outlineLvl w:val="1"/>
        <w:rPr>
          <w:rFonts w:cs="宋体"/>
          <w:b/>
          <w:color w:val="auto"/>
          <w:sz w:val="28"/>
          <w:szCs w:val="28"/>
        </w:rPr>
      </w:pPr>
      <w:r>
        <w:rPr>
          <w:rFonts w:hint="eastAsia" w:cs="宋体"/>
          <w:b/>
          <w:color w:val="auto"/>
          <w:sz w:val="28"/>
          <w:szCs w:val="28"/>
        </w:rPr>
        <w:t>（1）主要施工管理人员表</w:t>
      </w:r>
    </w:p>
    <w:p>
      <w:pPr>
        <w:spacing w:line="360" w:lineRule="exact"/>
        <w:rPr>
          <w:rFonts w:cs="宋体"/>
          <w:color w:val="auto"/>
          <w:kern w:val="0"/>
          <w:szCs w:val="21"/>
        </w:rPr>
      </w:pPr>
      <w:r>
        <w:rPr>
          <w:rFonts w:hint="eastAsia" w:cs="宋体"/>
          <w:color w:val="auto"/>
          <w:szCs w:val="21"/>
        </w:rPr>
        <w:t>工程名称：</w:t>
      </w:r>
      <w:r>
        <w:rPr>
          <w:rFonts w:hint="eastAsia" w:cs="宋体"/>
          <w:color w:val="auto"/>
          <w:szCs w:val="21"/>
          <w:u w:val="single"/>
        </w:rPr>
        <w:t xml:space="preserve">                              </w:t>
      </w:r>
      <w:r>
        <w:rPr>
          <w:rFonts w:hint="eastAsia" w:cs="宋体"/>
          <w:color w:val="auto"/>
          <w:szCs w:val="21"/>
        </w:rPr>
        <w:t xml:space="preserve"> </w:t>
      </w:r>
    </w:p>
    <w:tbl>
      <w:tblPr>
        <w:tblStyle w:val="53"/>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0"/>
        <w:gridCol w:w="793"/>
        <w:gridCol w:w="792"/>
        <w:gridCol w:w="1447"/>
        <w:gridCol w:w="3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color w:val="auto"/>
                <w:szCs w:val="21"/>
              </w:rPr>
            </w:pPr>
            <w:r>
              <w:rPr>
                <w:rFonts w:hint="eastAsia" w:cs="宋体"/>
                <w:color w:val="auto"/>
                <w:szCs w:val="21"/>
              </w:rPr>
              <w:t>名   称</w:t>
            </w:r>
          </w:p>
        </w:tc>
        <w:tc>
          <w:tcPr>
            <w:tcW w:w="7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color w:val="auto"/>
                <w:szCs w:val="21"/>
              </w:rPr>
            </w:pPr>
            <w:r>
              <w:rPr>
                <w:rFonts w:hint="eastAsia" w:cs="宋体"/>
                <w:color w:val="auto"/>
                <w:szCs w:val="21"/>
              </w:rPr>
              <w:t>姓名</w:t>
            </w:r>
          </w:p>
        </w:tc>
        <w:tc>
          <w:tcPr>
            <w:tcW w:w="7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color w:val="auto"/>
                <w:szCs w:val="21"/>
              </w:rPr>
            </w:pPr>
            <w:r>
              <w:rPr>
                <w:rFonts w:hint="eastAsia" w:cs="宋体"/>
                <w:color w:val="auto"/>
                <w:szCs w:val="21"/>
              </w:rPr>
              <w:t>职务</w:t>
            </w: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color w:val="auto"/>
                <w:szCs w:val="21"/>
              </w:rPr>
            </w:pPr>
            <w:r>
              <w:rPr>
                <w:rFonts w:hint="eastAsia" w:cs="宋体"/>
                <w:color w:val="auto"/>
                <w:szCs w:val="21"/>
              </w:rPr>
              <w:t>资质/职称</w:t>
            </w:r>
          </w:p>
        </w:tc>
        <w:tc>
          <w:tcPr>
            <w:tcW w:w="36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color w:val="auto"/>
                <w:szCs w:val="21"/>
              </w:rPr>
            </w:pPr>
            <w:r>
              <w:rPr>
                <w:rFonts w:hint="eastAsia" w:cs="宋体"/>
                <w:color w:val="auto"/>
                <w:szCs w:val="21"/>
              </w:rPr>
              <w:t>执业资格证号/上岗证号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r>
              <w:rPr>
                <w:rFonts w:hint="eastAsia" w:cs="宋体"/>
                <w:color w:val="auto"/>
                <w:szCs w:val="21"/>
              </w:rPr>
              <w:t>一、总部</w:t>
            </w:r>
          </w:p>
        </w:tc>
        <w:tc>
          <w:tcPr>
            <w:tcW w:w="7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36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r>
              <w:rPr>
                <w:rFonts w:hint="eastAsia" w:cs="宋体"/>
                <w:color w:val="auto"/>
                <w:szCs w:val="21"/>
              </w:rPr>
              <w:t>1.项目主管</w:t>
            </w:r>
          </w:p>
        </w:tc>
        <w:tc>
          <w:tcPr>
            <w:tcW w:w="7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36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r>
              <w:rPr>
                <w:rFonts w:hint="eastAsia" w:cs="宋体"/>
                <w:color w:val="auto"/>
                <w:szCs w:val="21"/>
              </w:rPr>
              <w:t>2.其他人员</w:t>
            </w:r>
          </w:p>
        </w:tc>
        <w:tc>
          <w:tcPr>
            <w:tcW w:w="7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36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7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36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r>
              <w:rPr>
                <w:rFonts w:hint="eastAsia" w:cs="宋体"/>
                <w:color w:val="auto"/>
                <w:szCs w:val="21"/>
              </w:rPr>
              <w:t>二、现场</w:t>
            </w:r>
          </w:p>
        </w:tc>
        <w:tc>
          <w:tcPr>
            <w:tcW w:w="7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36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r>
              <w:rPr>
                <w:rFonts w:hint="eastAsia" w:cs="宋体"/>
                <w:color w:val="auto"/>
                <w:szCs w:val="21"/>
              </w:rPr>
              <w:t>1.项目经理</w:t>
            </w:r>
          </w:p>
        </w:tc>
        <w:tc>
          <w:tcPr>
            <w:tcW w:w="7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36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r>
              <w:rPr>
                <w:rFonts w:hint="eastAsia" w:cs="宋体"/>
                <w:color w:val="auto"/>
                <w:szCs w:val="21"/>
              </w:rPr>
              <w:t>2.项目副经理（如有）</w:t>
            </w:r>
          </w:p>
        </w:tc>
        <w:tc>
          <w:tcPr>
            <w:tcW w:w="7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36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r>
              <w:rPr>
                <w:rFonts w:hint="eastAsia" w:cs="宋体"/>
                <w:color w:val="auto"/>
                <w:szCs w:val="21"/>
              </w:rPr>
              <w:t>3.技术负责人</w:t>
            </w:r>
          </w:p>
        </w:tc>
        <w:tc>
          <w:tcPr>
            <w:tcW w:w="7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36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r>
              <w:rPr>
                <w:rFonts w:hint="eastAsia" w:cs="宋体"/>
                <w:color w:val="auto"/>
                <w:szCs w:val="21"/>
              </w:rPr>
              <w:t>4.质量管理员</w:t>
            </w:r>
          </w:p>
        </w:tc>
        <w:tc>
          <w:tcPr>
            <w:tcW w:w="7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36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r>
              <w:rPr>
                <w:rFonts w:hint="eastAsia" w:cs="宋体"/>
                <w:color w:val="auto"/>
                <w:szCs w:val="21"/>
              </w:rPr>
              <w:t>5.安全管理员</w:t>
            </w:r>
          </w:p>
        </w:tc>
        <w:tc>
          <w:tcPr>
            <w:tcW w:w="7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36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r>
              <w:rPr>
                <w:rFonts w:hint="eastAsia" w:cs="宋体"/>
                <w:color w:val="auto"/>
                <w:szCs w:val="21"/>
              </w:rPr>
              <w:t>6.施工员</w:t>
            </w:r>
          </w:p>
        </w:tc>
        <w:tc>
          <w:tcPr>
            <w:tcW w:w="7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36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r>
              <w:rPr>
                <w:rFonts w:hint="eastAsia" w:cs="宋体"/>
                <w:color w:val="auto"/>
                <w:szCs w:val="21"/>
              </w:rPr>
              <w:t>7.材料员</w:t>
            </w:r>
          </w:p>
        </w:tc>
        <w:tc>
          <w:tcPr>
            <w:tcW w:w="7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36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r>
              <w:rPr>
                <w:rFonts w:hint="eastAsia" w:cs="宋体"/>
                <w:color w:val="auto"/>
                <w:szCs w:val="21"/>
              </w:rPr>
              <w:t>...</w:t>
            </w:r>
          </w:p>
        </w:tc>
        <w:tc>
          <w:tcPr>
            <w:tcW w:w="7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c>
          <w:tcPr>
            <w:tcW w:w="36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4"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rPr>
                <w:rFonts w:cs="宋体"/>
                <w:b/>
                <w:bCs/>
                <w:color w:val="auto"/>
                <w:szCs w:val="21"/>
              </w:rPr>
            </w:pPr>
            <w:r>
              <w:rPr>
                <w:rFonts w:hint="eastAsia" w:cs="宋体"/>
                <w:b/>
                <w:bCs/>
                <w:color w:val="auto"/>
                <w:szCs w:val="21"/>
              </w:rPr>
              <w:t>注：</w:t>
            </w:r>
          </w:p>
          <w:p>
            <w:pPr>
              <w:spacing w:line="440" w:lineRule="exact"/>
              <w:ind w:firstLine="420" w:firstLineChars="200"/>
              <w:rPr>
                <w:rFonts w:cs="宋体"/>
                <w:color w:val="auto"/>
                <w:szCs w:val="21"/>
              </w:rPr>
            </w:pPr>
            <w:r>
              <w:rPr>
                <w:rFonts w:hint="eastAsia" w:cs="宋体"/>
                <w:color w:val="auto"/>
                <w:szCs w:val="21"/>
              </w:rPr>
              <w:t>人员要求：拟投入本工程的项目经理、技术负责人、质量管理员和安全管理员必须是本单位的</w:t>
            </w:r>
            <w:r>
              <w:rPr>
                <w:rFonts w:hint="eastAsia" w:cs="宋体"/>
                <w:b/>
                <w:bCs/>
                <w:color w:val="auto"/>
                <w:szCs w:val="21"/>
              </w:rPr>
              <w:t>在岗</w:t>
            </w:r>
            <w:r>
              <w:rPr>
                <w:rFonts w:hint="eastAsia" w:cs="宋体"/>
                <w:color w:val="auto"/>
                <w:szCs w:val="21"/>
              </w:rPr>
              <w:t>人员，并持有相应的执业资格证书，对相关人员的具体条件要求如下：</w:t>
            </w:r>
          </w:p>
          <w:p>
            <w:pPr>
              <w:spacing w:line="440" w:lineRule="exact"/>
              <w:ind w:firstLine="420" w:firstLineChars="200"/>
              <w:rPr>
                <w:rFonts w:cs="宋体"/>
                <w:color w:val="auto"/>
                <w:szCs w:val="21"/>
              </w:rPr>
            </w:pPr>
            <w:r>
              <w:rPr>
                <w:rFonts w:hint="eastAsia" w:cs="宋体"/>
                <w:color w:val="auto"/>
                <w:szCs w:val="21"/>
              </w:rPr>
              <w:t>1）项目经理：持有贰级或贰级以上建造师注册证书，专业是水利水电工程类专业（以建造师注册证书中“专业类别”栏所填写的专业为准）；持有省级或省级以上水行政主管部门或其授权部门（机构）颁发的B类安全生产考核合格证书。</w:t>
            </w:r>
          </w:p>
          <w:p>
            <w:pPr>
              <w:spacing w:line="440" w:lineRule="exact"/>
              <w:ind w:firstLine="420" w:firstLineChars="200"/>
              <w:rPr>
                <w:rFonts w:cs="宋体"/>
                <w:color w:val="auto"/>
                <w:szCs w:val="21"/>
              </w:rPr>
            </w:pPr>
            <w:r>
              <w:rPr>
                <w:rFonts w:hint="eastAsia" w:cs="宋体"/>
                <w:color w:val="auto"/>
                <w:szCs w:val="21"/>
              </w:rPr>
              <w:t>项目经理不得在任何在建工程中担任任何管理职务。符合以下条件之一的，界定为无在建工程：</w:t>
            </w:r>
          </w:p>
          <w:p>
            <w:pPr>
              <w:spacing w:line="440" w:lineRule="exact"/>
              <w:ind w:firstLine="420" w:firstLineChars="200"/>
              <w:rPr>
                <w:rFonts w:cs="宋体"/>
                <w:color w:val="auto"/>
                <w:szCs w:val="21"/>
              </w:rPr>
            </w:pPr>
            <w:r>
              <w:rPr>
                <w:rFonts w:hint="eastAsia" w:cs="宋体"/>
                <w:color w:val="auto"/>
                <w:szCs w:val="21"/>
              </w:rPr>
              <w:t>①在建项目施工合同（包括签订的补充协议）工期已结束。</w:t>
            </w:r>
          </w:p>
          <w:p>
            <w:pPr>
              <w:spacing w:line="440" w:lineRule="exact"/>
              <w:ind w:firstLine="420" w:firstLineChars="200"/>
              <w:rPr>
                <w:rFonts w:cs="宋体"/>
                <w:color w:val="auto"/>
                <w:szCs w:val="21"/>
              </w:rPr>
            </w:pPr>
            <w:r>
              <w:rPr>
                <w:rFonts w:hint="eastAsia" w:cs="宋体"/>
                <w:color w:val="auto"/>
                <w:szCs w:val="21"/>
              </w:rPr>
              <w:t>②项目通过合同完工验收或竣工验收。</w:t>
            </w:r>
          </w:p>
          <w:p>
            <w:pPr>
              <w:spacing w:line="440" w:lineRule="exact"/>
              <w:ind w:firstLine="420" w:firstLineChars="200"/>
              <w:rPr>
                <w:rFonts w:cs="宋体"/>
                <w:color w:val="auto"/>
                <w:szCs w:val="21"/>
              </w:rPr>
            </w:pPr>
            <w:r>
              <w:rPr>
                <w:rFonts w:hint="eastAsia" w:cs="宋体"/>
                <w:color w:val="auto"/>
                <w:szCs w:val="21"/>
              </w:rPr>
              <w:t>③发包人原因造成停工的，工程项目已按建设管理程序办理停工手续。</w:t>
            </w:r>
          </w:p>
          <w:p>
            <w:pPr>
              <w:spacing w:line="440" w:lineRule="exact"/>
              <w:ind w:firstLine="420" w:firstLineChars="200"/>
              <w:rPr>
                <w:rFonts w:cs="宋体"/>
                <w:color w:val="auto"/>
                <w:szCs w:val="21"/>
              </w:rPr>
            </w:pPr>
            <w:r>
              <w:rPr>
                <w:rFonts w:hint="eastAsia" w:cs="宋体"/>
                <w:color w:val="auto"/>
                <w:szCs w:val="21"/>
              </w:rPr>
              <w:t>2）技术负责人：持有中级或中级以上技术职称，专业是水利水电工程类专业（专业以技术职称证书所填写专业为准）。</w:t>
            </w:r>
          </w:p>
          <w:p>
            <w:pPr>
              <w:spacing w:line="440" w:lineRule="exact"/>
              <w:ind w:firstLine="420" w:firstLineChars="200"/>
              <w:rPr>
                <w:rFonts w:cs="宋体"/>
                <w:color w:val="auto"/>
                <w:szCs w:val="21"/>
              </w:rPr>
            </w:pPr>
            <w:r>
              <w:rPr>
                <w:rFonts w:hint="eastAsia" w:cs="宋体"/>
                <w:color w:val="auto"/>
                <w:szCs w:val="21"/>
              </w:rPr>
              <w:t>3）质量管理员：持有初级或初级以上技术职称，专业是水利水电工程类专业（专业以技术职称证书所填写专业为准）。</w:t>
            </w:r>
          </w:p>
          <w:p>
            <w:pPr>
              <w:spacing w:line="440" w:lineRule="exact"/>
              <w:ind w:firstLine="420" w:firstLineChars="200"/>
              <w:rPr>
                <w:rFonts w:cs="宋体"/>
                <w:color w:val="auto"/>
                <w:szCs w:val="21"/>
              </w:rPr>
            </w:pPr>
            <w:r>
              <w:rPr>
                <w:rFonts w:hint="eastAsia" w:cs="宋体"/>
                <w:color w:val="auto"/>
                <w:szCs w:val="21"/>
              </w:rPr>
              <w:t>4）安全管理员：持有省级或省级以上水行政主管部门或其授权部门（机构）颁发的C类安全生产考核合格证书。</w:t>
            </w:r>
          </w:p>
          <w:p>
            <w:pPr>
              <w:spacing w:line="440" w:lineRule="exact"/>
              <w:ind w:firstLine="422" w:firstLineChars="200"/>
              <w:rPr>
                <w:rFonts w:cs="宋体"/>
                <w:color w:val="auto"/>
                <w:szCs w:val="21"/>
              </w:rPr>
            </w:pPr>
            <w:r>
              <w:rPr>
                <w:rFonts w:hint="eastAsia"/>
                <w:b/>
                <w:bCs/>
                <w:color w:val="auto"/>
              </w:rPr>
              <w:t>供应商于响应文件中提供满足以上“人员要求”的施工管理人员相应证书复印件和身份证复印件，并</w:t>
            </w:r>
            <w:r>
              <w:rPr>
                <w:rFonts w:hint="eastAsia" w:cs="宋体"/>
                <w:b/>
                <w:bCs/>
                <w:color w:val="auto"/>
                <w:szCs w:val="21"/>
              </w:rPr>
              <w:t>提供由县级以上（含县级）社会养老保险经办机构出具的供应商为施工管理人员交纳的响应文件递交截止时间前半年内任意连续二个月社保证明复印件</w:t>
            </w:r>
            <w:r>
              <w:rPr>
                <w:rFonts w:hint="eastAsia" w:cs="宋体"/>
                <w:color w:val="auto"/>
                <w:szCs w:val="21"/>
              </w:rPr>
              <w:t>（除供应商为以下三种情形的：①如供应商为截标时间前60日以内成立的公司，可以提供供应商与施工管理人员签订的劳动合同复印件代替社保证明复印件；②如供应商为事业单位，可以提供事业单位机构编制管理证复印件或事业单位机构为其发放工资的工资条复印件代替社保证明复印件；③如施工管理人员为免缴纳社保人员，提供免缴纳社保的证明材料复印件及供应商与施工管理人员签订的劳动合同复印件代替社保证明复印件），</w:t>
            </w:r>
            <w:r>
              <w:rPr>
                <w:rFonts w:hint="eastAsia" w:cs="宋体"/>
                <w:b/>
                <w:bCs/>
                <w:color w:val="auto"/>
                <w:szCs w:val="21"/>
              </w:rPr>
              <w:t>否则响应文件按无效响应处理。</w:t>
            </w:r>
          </w:p>
        </w:tc>
      </w:tr>
    </w:tbl>
    <w:p>
      <w:pPr>
        <w:spacing w:line="360" w:lineRule="exact"/>
        <w:rPr>
          <w:rFonts w:cs="宋体"/>
          <w:color w:val="auto"/>
          <w:spacing w:val="-2"/>
          <w:kern w:val="0"/>
          <w:szCs w:val="21"/>
        </w:rPr>
      </w:pPr>
    </w:p>
    <w:p>
      <w:pPr>
        <w:pStyle w:val="28"/>
        <w:spacing w:line="340" w:lineRule="exact"/>
        <w:jc w:val="center"/>
        <w:rPr>
          <w:rFonts w:ascii="Times New Roman" w:hAnsi="Times New Roman" w:cs="宋体"/>
          <w:b/>
          <w:color w:val="auto"/>
          <w:sz w:val="32"/>
          <w:szCs w:val="32"/>
        </w:rPr>
      </w:pPr>
    </w:p>
    <w:p>
      <w:pPr>
        <w:pStyle w:val="13"/>
        <w:ind w:left="2940"/>
        <w:rPr>
          <w:color w:val="auto"/>
        </w:rPr>
      </w:pPr>
    </w:p>
    <w:p>
      <w:pPr>
        <w:snapToGrid w:val="0"/>
        <w:spacing w:line="360" w:lineRule="auto"/>
        <w:ind w:firstLine="1897" w:firstLineChars="900"/>
        <w:rPr>
          <w:rFonts w:cs="宋体"/>
          <w:b/>
          <w:bCs/>
          <w:color w:val="auto"/>
          <w:szCs w:val="21"/>
        </w:rPr>
      </w:pPr>
      <w:r>
        <w:rPr>
          <w:rFonts w:hint="eastAsia" w:cs="宋体"/>
          <w:b/>
          <w:bCs/>
          <w:color w:val="auto"/>
          <w:szCs w:val="21"/>
        </w:rPr>
        <w:t>磋商供应商[公章(CA签章)，自然人签字或个人CA签章]：</w:t>
      </w:r>
      <w:r>
        <w:rPr>
          <w:rFonts w:hint="eastAsia" w:cs="宋体"/>
          <w:b/>
          <w:bCs/>
          <w:color w:val="auto"/>
          <w:u w:val="single"/>
        </w:rPr>
        <w:t xml:space="preserve">               </w:t>
      </w:r>
    </w:p>
    <w:p>
      <w:pPr>
        <w:snapToGrid w:val="0"/>
        <w:spacing w:line="360" w:lineRule="auto"/>
        <w:ind w:firstLine="1897" w:firstLineChars="900"/>
        <w:rPr>
          <w:rFonts w:cs="宋体"/>
          <w:b/>
          <w:bCs/>
          <w:color w:val="auto"/>
          <w:szCs w:val="21"/>
        </w:rPr>
      </w:pPr>
      <w:r>
        <w:rPr>
          <w:rFonts w:hint="eastAsia" w:cs="宋体"/>
          <w:b/>
          <w:bCs/>
          <w:color w:val="auto"/>
        </w:rPr>
        <w:t>日    期：</w:t>
      </w:r>
      <w:r>
        <w:rPr>
          <w:rFonts w:hint="eastAsia" w:cs="宋体"/>
          <w:b/>
          <w:bCs/>
          <w:color w:val="auto"/>
          <w:u w:val="single"/>
        </w:rPr>
        <w:t xml:space="preserve">                            </w:t>
      </w:r>
    </w:p>
    <w:p>
      <w:pPr>
        <w:rPr>
          <w:rFonts w:cs="宋体"/>
          <w:b/>
          <w:bCs/>
          <w:color w:val="auto"/>
          <w:sz w:val="28"/>
          <w:szCs w:val="28"/>
        </w:rPr>
      </w:pPr>
      <w:r>
        <w:rPr>
          <w:rFonts w:hint="eastAsia" w:cs="宋体"/>
          <w:b/>
          <w:bCs/>
          <w:color w:val="auto"/>
          <w:sz w:val="28"/>
          <w:szCs w:val="28"/>
        </w:rPr>
        <w:br w:type="page"/>
      </w:r>
    </w:p>
    <w:p>
      <w:pPr>
        <w:spacing w:line="500" w:lineRule="exact"/>
        <w:jc w:val="center"/>
        <w:outlineLvl w:val="1"/>
        <w:rPr>
          <w:rFonts w:cs="宋体"/>
          <w:b/>
          <w:color w:val="auto"/>
          <w:sz w:val="28"/>
          <w:szCs w:val="28"/>
        </w:rPr>
      </w:pPr>
      <w:r>
        <w:rPr>
          <w:rFonts w:hint="eastAsia" w:cs="宋体"/>
          <w:b/>
          <w:color w:val="auto"/>
          <w:sz w:val="28"/>
          <w:szCs w:val="28"/>
        </w:rPr>
        <w:t>（2）项目经理没有在任何在建工程中担任任何管理职务的声明</w:t>
      </w:r>
    </w:p>
    <w:p>
      <w:pPr>
        <w:pStyle w:val="21"/>
        <w:rPr>
          <w:rFonts w:cs="宋体"/>
          <w:color w:val="auto"/>
          <w:szCs w:val="21"/>
        </w:rPr>
      </w:pPr>
    </w:p>
    <w:p>
      <w:pPr>
        <w:pStyle w:val="28"/>
        <w:spacing w:line="360" w:lineRule="auto"/>
        <w:rPr>
          <w:rFonts w:ascii="Times New Roman" w:hAnsi="Times New Roman" w:cs="宋体"/>
          <w:b/>
          <w:color w:val="auto"/>
          <w:szCs w:val="21"/>
          <w:u w:val="single"/>
        </w:rPr>
      </w:pPr>
      <w:r>
        <w:rPr>
          <w:rFonts w:hint="eastAsia" w:ascii="Times New Roman" w:hAnsi="Times New Roman" w:cs="宋体"/>
          <w:b/>
          <w:color w:val="auto"/>
          <w:szCs w:val="21"/>
        </w:rPr>
        <w:t>致：</w:t>
      </w:r>
      <w:r>
        <w:rPr>
          <w:rFonts w:hint="eastAsia" w:ascii="Times New Roman" w:hAnsi="Times New Roman" w:cs="宋体"/>
          <w:b/>
          <w:color w:val="auto"/>
          <w:szCs w:val="21"/>
          <w:u w:val="single"/>
        </w:rPr>
        <w:t xml:space="preserve"> 广西科联招标中心有限公司 </w:t>
      </w:r>
    </w:p>
    <w:p>
      <w:pPr>
        <w:spacing w:line="360" w:lineRule="auto"/>
        <w:rPr>
          <w:rFonts w:cs="宋体"/>
          <w:color w:val="auto"/>
          <w:szCs w:val="21"/>
          <w:u w:val="single"/>
        </w:rPr>
      </w:pPr>
    </w:p>
    <w:p>
      <w:pPr>
        <w:pStyle w:val="28"/>
        <w:spacing w:line="360" w:lineRule="auto"/>
        <w:ind w:firstLine="420" w:firstLineChars="200"/>
        <w:rPr>
          <w:rFonts w:ascii="Times New Roman" w:hAnsi="Times New Roman" w:cs="宋体"/>
          <w:color w:val="auto"/>
        </w:rPr>
      </w:pPr>
      <w:r>
        <w:rPr>
          <w:rFonts w:hint="eastAsia" w:ascii="Times New Roman" w:hAnsi="Times New Roman" w:cs="宋体"/>
          <w:color w:val="auto"/>
        </w:rPr>
        <w:t>我（公司）郑重声明，拟投入本项目的项目经理</w:t>
      </w:r>
      <w:r>
        <w:rPr>
          <w:rFonts w:hint="eastAsia" w:ascii="Times New Roman" w:hAnsi="Times New Roman" w:cs="宋体"/>
          <w:color w:val="auto"/>
          <w:u w:val="single"/>
        </w:rPr>
        <w:t xml:space="preserve">                        （姓名、身份证号码）</w:t>
      </w:r>
      <w:r>
        <w:rPr>
          <w:rFonts w:hint="eastAsia" w:ascii="Times New Roman" w:hAnsi="Times New Roman" w:cs="宋体"/>
          <w:color w:val="auto"/>
        </w:rPr>
        <w:t>，其没有在任何在建工程中担任任何管理职务，我方对此声明负全部法律责任。</w:t>
      </w:r>
    </w:p>
    <w:p>
      <w:pPr>
        <w:pStyle w:val="28"/>
        <w:spacing w:line="360" w:lineRule="auto"/>
        <w:ind w:firstLine="420" w:firstLineChars="200"/>
        <w:rPr>
          <w:rFonts w:ascii="Times New Roman" w:hAnsi="Times New Roman" w:cs="宋体"/>
          <w:color w:val="auto"/>
        </w:rPr>
      </w:pPr>
      <w:r>
        <w:rPr>
          <w:rFonts w:hint="eastAsia" w:ascii="Times New Roman" w:hAnsi="Times New Roman" w:cs="宋体"/>
          <w:color w:val="auto"/>
        </w:rPr>
        <w:t>特此声明。</w:t>
      </w:r>
    </w:p>
    <w:p>
      <w:pPr>
        <w:snapToGrid w:val="0"/>
        <w:spacing w:line="360" w:lineRule="auto"/>
        <w:ind w:firstLine="1890" w:firstLineChars="900"/>
        <w:rPr>
          <w:rFonts w:cs="宋体"/>
          <w:color w:val="auto"/>
          <w:szCs w:val="21"/>
        </w:rPr>
      </w:pPr>
    </w:p>
    <w:p>
      <w:pPr>
        <w:snapToGrid w:val="0"/>
        <w:spacing w:line="360" w:lineRule="auto"/>
        <w:ind w:firstLine="1897" w:firstLineChars="900"/>
        <w:rPr>
          <w:rFonts w:cs="宋体"/>
          <w:b/>
          <w:bCs/>
          <w:color w:val="auto"/>
          <w:szCs w:val="21"/>
        </w:rPr>
      </w:pPr>
    </w:p>
    <w:p>
      <w:pPr>
        <w:snapToGrid w:val="0"/>
        <w:spacing w:line="360" w:lineRule="auto"/>
        <w:ind w:firstLine="1897" w:firstLineChars="900"/>
        <w:rPr>
          <w:rFonts w:cs="宋体"/>
          <w:b/>
          <w:bCs/>
          <w:color w:val="auto"/>
        </w:rPr>
      </w:pPr>
      <w:r>
        <w:rPr>
          <w:rFonts w:hint="eastAsia" w:cs="宋体"/>
          <w:b/>
          <w:bCs/>
          <w:color w:val="auto"/>
          <w:szCs w:val="21"/>
        </w:rPr>
        <w:t>磋商供应商[公章(CA签章)，自然人签字或个人CA签章]：</w:t>
      </w:r>
      <w:r>
        <w:rPr>
          <w:rFonts w:hint="eastAsia" w:cs="宋体"/>
          <w:b/>
          <w:bCs/>
          <w:color w:val="auto"/>
          <w:szCs w:val="21"/>
          <w:u w:val="single"/>
        </w:rPr>
        <w:t xml:space="preserve">                       </w:t>
      </w:r>
    </w:p>
    <w:p>
      <w:pPr>
        <w:pStyle w:val="28"/>
        <w:spacing w:line="360" w:lineRule="auto"/>
        <w:ind w:firstLine="4006" w:firstLineChars="1900"/>
        <w:rPr>
          <w:rFonts w:ascii="Times New Roman" w:hAnsi="Times New Roman" w:cs="宋体"/>
          <w:b/>
          <w:bCs/>
          <w:color w:val="auto"/>
        </w:rPr>
      </w:pPr>
    </w:p>
    <w:p>
      <w:pPr>
        <w:pStyle w:val="28"/>
        <w:spacing w:line="360" w:lineRule="auto"/>
        <w:ind w:firstLine="4006" w:firstLineChars="1900"/>
        <w:rPr>
          <w:rFonts w:ascii="Times New Roman" w:hAnsi="Times New Roman" w:cs="宋体"/>
          <w:b/>
          <w:bCs/>
          <w:color w:val="auto"/>
          <w:u w:val="single"/>
        </w:rPr>
      </w:pPr>
      <w:r>
        <w:rPr>
          <w:rFonts w:hint="eastAsia" w:ascii="Times New Roman" w:hAnsi="Times New Roman" w:cs="宋体"/>
          <w:b/>
          <w:bCs/>
          <w:color w:val="auto"/>
        </w:rPr>
        <w:t>日          期：</w:t>
      </w:r>
      <w:r>
        <w:rPr>
          <w:rFonts w:hint="eastAsia" w:ascii="Times New Roman" w:hAnsi="Times New Roman" w:cs="宋体"/>
          <w:b/>
          <w:bCs/>
          <w:color w:val="auto"/>
          <w:u w:val="single"/>
        </w:rPr>
        <w:t xml:space="preserve">                            </w:t>
      </w:r>
    </w:p>
    <w:p>
      <w:pPr>
        <w:pStyle w:val="28"/>
        <w:spacing w:line="360" w:lineRule="auto"/>
        <w:rPr>
          <w:rFonts w:ascii="Times New Roman" w:hAnsi="Times New Roman" w:cs="宋体"/>
          <w:b/>
          <w:color w:val="auto"/>
          <w:sz w:val="28"/>
          <w:szCs w:val="28"/>
        </w:rPr>
      </w:pPr>
    </w:p>
    <w:p>
      <w:pPr>
        <w:pStyle w:val="21"/>
        <w:rPr>
          <w:rFonts w:cs="宋体"/>
          <w:color w:val="auto"/>
          <w:szCs w:val="21"/>
        </w:rPr>
      </w:pPr>
    </w:p>
    <w:p>
      <w:pPr>
        <w:spacing w:line="440" w:lineRule="exact"/>
        <w:rPr>
          <w:rFonts w:cs="宋体"/>
          <w:color w:val="auto"/>
          <w:szCs w:val="21"/>
        </w:rPr>
      </w:pPr>
      <w:r>
        <w:rPr>
          <w:rFonts w:hint="eastAsia" w:cs="宋体"/>
          <w:color w:val="auto"/>
          <w:szCs w:val="21"/>
        </w:rPr>
        <w:t>注：项目经理不得在任何在建工程中担任任何管理职务。符合以下条件之一的，界定为无在建工程：</w:t>
      </w:r>
    </w:p>
    <w:p>
      <w:pPr>
        <w:spacing w:line="440" w:lineRule="exact"/>
        <w:ind w:firstLine="420" w:firstLineChars="200"/>
        <w:rPr>
          <w:rFonts w:cs="宋体"/>
          <w:color w:val="auto"/>
          <w:szCs w:val="21"/>
        </w:rPr>
      </w:pPr>
      <w:r>
        <w:rPr>
          <w:rFonts w:hint="eastAsia" w:cs="宋体"/>
          <w:color w:val="auto"/>
          <w:szCs w:val="21"/>
        </w:rPr>
        <w:t>①在建项目施工合同（包括签订的补充协议）工期已结束。</w:t>
      </w:r>
    </w:p>
    <w:p>
      <w:pPr>
        <w:spacing w:line="440" w:lineRule="exact"/>
        <w:ind w:firstLine="420" w:firstLineChars="200"/>
        <w:rPr>
          <w:rFonts w:cs="宋体"/>
          <w:color w:val="auto"/>
          <w:szCs w:val="21"/>
        </w:rPr>
      </w:pPr>
      <w:r>
        <w:rPr>
          <w:rFonts w:hint="eastAsia" w:cs="宋体"/>
          <w:color w:val="auto"/>
          <w:szCs w:val="21"/>
        </w:rPr>
        <w:t>②项目通过合同完工验收或竣工验收。</w:t>
      </w:r>
    </w:p>
    <w:p>
      <w:pPr>
        <w:spacing w:line="440" w:lineRule="exact"/>
        <w:ind w:firstLine="420" w:firstLineChars="200"/>
        <w:rPr>
          <w:rFonts w:cs="宋体"/>
          <w:color w:val="auto"/>
          <w:szCs w:val="21"/>
        </w:rPr>
      </w:pPr>
      <w:r>
        <w:rPr>
          <w:rFonts w:hint="eastAsia" w:cs="宋体"/>
          <w:color w:val="auto"/>
          <w:szCs w:val="21"/>
        </w:rPr>
        <w:t>③发包人原因造成停工的，工程项目已按建设管理程序办理停工手续。</w:t>
      </w:r>
    </w:p>
    <w:p>
      <w:pPr>
        <w:pStyle w:val="21"/>
        <w:rPr>
          <w:rFonts w:cs="宋体"/>
          <w:color w:val="auto"/>
          <w:szCs w:val="21"/>
        </w:rPr>
      </w:pPr>
    </w:p>
    <w:p>
      <w:pPr>
        <w:spacing w:line="400" w:lineRule="exact"/>
        <w:outlineLvl w:val="1"/>
        <w:rPr>
          <w:rFonts w:cs="宋体"/>
          <w:b/>
          <w:color w:val="auto"/>
          <w:sz w:val="28"/>
          <w:szCs w:val="28"/>
        </w:rPr>
      </w:pPr>
      <w:r>
        <w:rPr>
          <w:rFonts w:hint="eastAsia" w:cs="宋体"/>
          <w:b/>
          <w:color w:val="auto"/>
          <w:sz w:val="28"/>
          <w:szCs w:val="28"/>
        </w:rPr>
        <w:br w:type="page"/>
      </w:r>
      <w:bookmarkStart w:id="558" w:name="_Toc16701"/>
      <w:bookmarkStart w:id="559" w:name="_Toc24032"/>
      <w:bookmarkStart w:id="560" w:name="_Toc21979"/>
      <w:bookmarkStart w:id="561" w:name="_Toc21827"/>
      <w:bookmarkStart w:id="562" w:name="_Toc791"/>
      <w:bookmarkStart w:id="563" w:name="_Toc9556"/>
      <w:r>
        <w:rPr>
          <w:rFonts w:hint="eastAsia" w:cs="宋体"/>
          <w:b/>
          <w:color w:val="auto"/>
          <w:sz w:val="28"/>
          <w:szCs w:val="28"/>
        </w:rPr>
        <w:t>5.担任本工程的项目经理简历表（应附相关证书、身份证复印件）（必须提供）；</w:t>
      </w:r>
      <w:bookmarkEnd w:id="558"/>
      <w:bookmarkEnd w:id="559"/>
      <w:bookmarkEnd w:id="560"/>
      <w:bookmarkEnd w:id="561"/>
      <w:bookmarkEnd w:id="562"/>
      <w:bookmarkEnd w:id="563"/>
    </w:p>
    <w:p>
      <w:pPr>
        <w:rPr>
          <w:rFonts w:cs="宋体"/>
          <w:color w:val="auto"/>
        </w:rPr>
      </w:pPr>
    </w:p>
    <w:p>
      <w:pPr>
        <w:jc w:val="center"/>
        <w:rPr>
          <w:rFonts w:cs="宋体"/>
          <w:b/>
          <w:color w:val="auto"/>
          <w:sz w:val="24"/>
        </w:rPr>
      </w:pPr>
      <w:r>
        <w:rPr>
          <w:rFonts w:hint="eastAsia" w:cs="宋体"/>
          <w:b/>
          <w:color w:val="auto"/>
          <w:sz w:val="24"/>
        </w:rPr>
        <w:t>担任本工程的项目经理简历表</w:t>
      </w:r>
    </w:p>
    <w:p>
      <w:pPr>
        <w:jc w:val="center"/>
        <w:rPr>
          <w:rFonts w:cs="宋体"/>
          <w:b/>
          <w:color w:val="auto"/>
          <w:sz w:val="32"/>
        </w:rPr>
      </w:pPr>
    </w:p>
    <w:tbl>
      <w:tblPr>
        <w:tblStyle w:val="53"/>
        <w:tblW w:w="841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1608"/>
        <w:gridCol w:w="1072"/>
        <w:gridCol w:w="536"/>
        <w:gridCol w:w="536"/>
        <w:gridCol w:w="1072"/>
        <w:gridCol w:w="268"/>
        <w:gridCol w:w="496"/>
        <w:gridCol w:w="44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single" w:color="auto" w:sz="8" w:space="0"/>
              <w:left w:val="single" w:color="auto" w:sz="8" w:space="0"/>
            </w:tcBorders>
          </w:tcPr>
          <w:p>
            <w:pPr>
              <w:spacing w:line="440" w:lineRule="exact"/>
              <w:jc w:val="center"/>
              <w:rPr>
                <w:rFonts w:cs="宋体"/>
                <w:color w:val="auto"/>
              </w:rPr>
            </w:pPr>
            <w:r>
              <w:rPr>
                <w:rFonts w:hint="eastAsia" w:cs="宋体"/>
                <w:color w:val="auto"/>
              </w:rPr>
              <w:t>姓  名</w:t>
            </w:r>
          </w:p>
        </w:tc>
        <w:tc>
          <w:tcPr>
            <w:tcW w:w="1608" w:type="dxa"/>
            <w:tcBorders>
              <w:top w:val="single" w:color="auto" w:sz="8" w:space="0"/>
            </w:tcBorders>
          </w:tcPr>
          <w:p>
            <w:pPr>
              <w:spacing w:line="440" w:lineRule="exact"/>
              <w:jc w:val="center"/>
              <w:rPr>
                <w:rFonts w:cs="宋体"/>
                <w:color w:val="auto"/>
              </w:rPr>
            </w:pPr>
          </w:p>
        </w:tc>
        <w:tc>
          <w:tcPr>
            <w:tcW w:w="1072" w:type="dxa"/>
            <w:tcBorders>
              <w:top w:val="single" w:color="auto" w:sz="8" w:space="0"/>
            </w:tcBorders>
          </w:tcPr>
          <w:p>
            <w:pPr>
              <w:spacing w:line="440" w:lineRule="exact"/>
              <w:jc w:val="center"/>
              <w:rPr>
                <w:rFonts w:cs="宋体"/>
                <w:color w:val="auto"/>
              </w:rPr>
            </w:pPr>
            <w:r>
              <w:rPr>
                <w:rFonts w:hint="eastAsia" w:cs="宋体"/>
                <w:color w:val="auto"/>
              </w:rPr>
              <w:t>性  别</w:t>
            </w:r>
          </w:p>
        </w:tc>
        <w:tc>
          <w:tcPr>
            <w:tcW w:w="1072" w:type="dxa"/>
            <w:gridSpan w:val="2"/>
            <w:tcBorders>
              <w:top w:val="single" w:color="auto" w:sz="8" w:space="0"/>
            </w:tcBorders>
          </w:tcPr>
          <w:p>
            <w:pPr>
              <w:spacing w:line="440" w:lineRule="exact"/>
              <w:jc w:val="center"/>
              <w:rPr>
                <w:rFonts w:cs="宋体"/>
                <w:color w:val="auto"/>
              </w:rPr>
            </w:pPr>
          </w:p>
        </w:tc>
        <w:tc>
          <w:tcPr>
            <w:tcW w:w="1340" w:type="dxa"/>
            <w:gridSpan w:val="2"/>
            <w:tcBorders>
              <w:top w:val="single" w:color="auto" w:sz="8" w:space="0"/>
            </w:tcBorders>
          </w:tcPr>
          <w:p>
            <w:pPr>
              <w:spacing w:line="440" w:lineRule="exact"/>
              <w:jc w:val="center"/>
              <w:rPr>
                <w:rFonts w:cs="宋体"/>
                <w:color w:val="auto"/>
              </w:rPr>
            </w:pPr>
            <w:r>
              <w:rPr>
                <w:rFonts w:hint="eastAsia" w:cs="宋体"/>
                <w:color w:val="auto"/>
              </w:rPr>
              <w:t>年  龄</w:t>
            </w:r>
          </w:p>
        </w:tc>
        <w:tc>
          <w:tcPr>
            <w:tcW w:w="2144" w:type="dxa"/>
            <w:gridSpan w:val="3"/>
            <w:tcBorders>
              <w:top w:val="single" w:color="auto" w:sz="8" w:space="0"/>
              <w:right w:val="single" w:color="auto" w:sz="8" w:space="0"/>
            </w:tcBorders>
          </w:tcPr>
          <w:p>
            <w:pPr>
              <w:spacing w:line="440" w:lineRule="exact"/>
              <w:jc w:val="center"/>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color w:val="auto"/>
              </w:rPr>
            </w:pPr>
            <w:r>
              <w:rPr>
                <w:rFonts w:hint="eastAsia" w:cs="宋体"/>
                <w:color w:val="auto"/>
              </w:rPr>
              <w:t>职  务</w:t>
            </w:r>
          </w:p>
        </w:tc>
        <w:tc>
          <w:tcPr>
            <w:tcW w:w="1608" w:type="dxa"/>
          </w:tcPr>
          <w:p>
            <w:pPr>
              <w:spacing w:line="440" w:lineRule="exact"/>
              <w:jc w:val="center"/>
              <w:rPr>
                <w:rFonts w:cs="宋体"/>
                <w:color w:val="auto"/>
              </w:rPr>
            </w:pPr>
          </w:p>
        </w:tc>
        <w:tc>
          <w:tcPr>
            <w:tcW w:w="1072" w:type="dxa"/>
          </w:tcPr>
          <w:p>
            <w:pPr>
              <w:spacing w:line="440" w:lineRule="exact"/>
              <w:jc w:val="center"/>
              <w:rPr>
                <w:rFonts w:cs="宋体"/>
                <w:color w:val="auto"/>
              </w:rPr>
            </w:pPr>
            <w:r>
              <w:rPr>
                <w:rFonts w:hint="eastAsia" w:cs="宋体"/>
                <w:color w:val="auto"/>
              </w:rPr>
              <w:t>职  称</w:t>
            </w:r>
          </w:p>
        </w:tc>
        <w:tc>
          <w:tcPr>
            <w:tcW w:w="1072" w:type="dxa"/>
            <w:gridSpan w:val="2"/>
          </w:tcPr>
          <w:p>
            <w:pPr>
              <w:spacing w:line="440" w:lineRule="exact"/>
              <w:jc w:val="center"/>
              <w:rPr>
                <w:rFonts w:cs="宋体"/>
                <w:color w:val="auto"/>
              </w:rPr>
            </w:pPr>
          </w:p>
        </w:tc>
        <w:tc>
          <w:tcPr>
            <w:tcW w:w="1340" w:type="dxa"/>
            <w:gridSpan w:val="2"/>
          </w:tcPr>
          <w:p>
            <w:pPr>
              <w:spacing w:line="440" w:lineRule="exact"/>
              <w:jc w:val="center"/>
              <w:rPr>
                <w:rFonts w:cs="宋体"/>
                <w:color w:val="auto"/>
              </w:rPr>
            </w:pPr>
            <w:r>
              <w:rPr>
                <w:rFonts w:hint="eastAsia" w:cs="宋体"/>
                <w:color w:val="auto"/>
              </w:rPr>
              <w:t>学  历</w:t>
            </w:r>
          </w:p>
        </w:tc>
        <w:tc>
          <w:tcPr>
            <w:tcW w:w="2144" w:type="dxa"/>
            <w:gridSpan w:val="3"/>
            <w:tcBorders>
              <w:right w:val="single" w:color="auto" w:sz="8" w:space="0"/>
            </w:tcBorders>
          </w:tcPr>
          <w:p>
            <w:pPr>
              <w:spacing w:line="440" w:lineRule="exact"/>
              <w:jc w:val="center"/>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0" w:type="dxa"/>
            <w:tcBorders>
              <w:left w:val="single" w:color="auto" w:sz="8" w:space="0"/>
            </w:tcBorders>
          </w:tcPr>
          <w:p>
            <w:pPr>
              <w:spacing w:line="440" w:lineRule="exact"/>
              <w:jc w:val="center"/>
              <w:rPr>
                <w:rFonts w:cs="宋体"/>
                <w:color w:val="auto"/>
              </w:rPr>
            </w:pPr>
            <w:r>
              <w:rPr>
                <w:rFonts w:hint="eastAsia" w:cs="宋体"/>
                <w:color w:val="auto"/>
              </w:rPr>
              <w:t>专  业</w:t>
            </w:r>
          </w:p>
        </w:tc>
        <w:tc>
          <w:tcPr>
            <w:tcW w:w="2680" w:type="dxa"/>
            <w:gridSpan w:val="2"/>
          </w:tcPr>
          <w:p>
            <w:pPr>
              <w:spacing w:line="440" w:lineRule="exact"/>
              <w:rPr>
                <w:rFonts w:cs="宋体"/>
                <w:color w:val="auto"/>
              </w:rPr>
            </w:pPr>
          </w:p>
        </w:tc>
        <w:tc>
          <w:tcPr>
            <w:tcW w:w="2908" w:type="dxa"/>
            <w:gridSpan w:val="5"/>
          </w:tcPr>
          <w:p>
            <w:pPr>
              <w:spacing w:line="440" w:lineRule="exact"/>
              <w:rPr>
                <w:rFonts w:cs="宋体"/>
                <w:color w:val="auto"/>
              </w:rPr>
            </w:pPr>
            <w:r>
              <w:rPr>
                <w:rFonts w:hint="eastAsia" w:cs="宋体"/>
                <w:color w:val="auto"/>
              </w:rPr>
              <w:t>从事项目经理或建造师年限</w:t>
            </w:r>
          </w:p>
        </w:tc>
        <w:tc>
          <w:tcPr>
            <w:tcW w:w="1648" w:type="dxa"/>
            <w:gridSpan w:val="2"/>
            <w:tcBorders>
              <w:right w:val="single" w:color="auto" w:sz="8" w:space="0"/>
            </w:tcBorders>
          </w:tcPr>
          <w:p>
            <w:pPr>
              <w:spacing w:line="440" w:lineRule="exact"/>
              <w:jc w:val="center"/>
              <w:rPr>
                <w:rFonts w:cs="宋体"/>
                <w:color w:val="auto"/>
              </w:rPr>
            </w:pPr>
            <w:r>
              <w:rPr>
                <w:rFonts w:hint="eastAsia" w:cs="宋体"/>
                <w:color w:val="auto"/>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16" w:type="dxa"/>
            <w:gridSpan w:val="10"/>
            <w:tcBorders>
              <w:left w:val="single" w:color="auto" w:sz="8" w:space="0"/>
              <w:right w:val="single" w:color="auto" w:sz="8" w:space="0"/>
            </w:tcBorders>
          </w:tcPr>
          <w:p>
            <w:pPr>
              <w:spacing w:line="440" w:lineRule="exact"/>
              <w:jc w:val="center"/>
              <w:rPr>
                <w:rFonts w:cs="宋体"/>
                <w:color w:val="auto"/>
              </w:rPr>
            </w:pPr>
            <w:r>
              <w:rPr>
                <w:rFonts w:hint="eastAsia" w:cs="宋体"/>
                <w:color w:val="auto"/>
              </w:rPr>
              <w:t>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color w:val="auto"/>
              </w:rPr>
            </w:pPr>
            <w:r>
              <w:rPr>
                <w:rFonts w:hint="eastAsia" w:cs="宋体"/>
                <w:color w:val="auto"/>
              </w:rPr>
              <w:t>建设单位</w:t>
            </w:r>
          </w:p>
        </w:tc>
        <w:tc>
          <w:tcPr>
            <w:tcW w:w="1608" w:type="dxa"/>
          </w:tcPr>
          <w:p>
            <w:pPr>
              <w:spacing w:line="440" w:lineRule="exact"/>
              <w:jc w:val="center"/>
              <w:rPr>
                <w:rFonts w:cs="宋体"/>
                <w:color w:val="auto"/>
              </w:rPr>
            </w:pPr>
            <w:r>
              <w:rPr>
                <w:rFonts w:hint="eastAsia" w:cs="宋体"/>
                <w:color w:val="auto"/>
              </w:rPr>
              <w:t>项目名称</w:t>
            </w:r>
          </w:p>
        </w:tc>
        <w:tc>
          <w:tcPr>
            <w:tcW w:w="1608" w:type="dxa"/>
            <w:gridSpan w:val="2"/>
          </w:tcPr>
          <w:p>
            <w:pPr>
              <w:spacing w:line="440" w:lineRule="exact"/>
              <w:jc w:val="center"/>
              <w:rPr>
                <w:rFonts w:cs="宋体"/>
                <w:color w:val="auto"/>
              </w:rPr>
            </w:pPr>
            <w:r>
              <w:rPr>
                <w:rFonts w:hint="eastAsia" w:cs="宋体"/>
                <w:color w:val="auto"/>
              </w:rPr>
              <w:t>建设规模</w:t>
            </w:r>
          </w:p>
        </w:tc>
        <w:tc>
          <w:tcPr>
            <w:tcW w:w="1608" w:type="dxa"/>
            <w:gridSpan w:val="2"/>
          </w:tcPr>
          <w:p>
            <w:pPr>
              <w:spacing w:line="440" w:lineRule="exact"/>
              <w:jc w:val="center"/>
              <w:rPr>
                <w:rFonts w:cs="宋体"/>
                <w:color w:val="auto"/>
              </w:rPr>
            </w:pPr>
            <w:r>
              <w:rPr>
                <w:rFonts w:hint="eastAsia" w:cs="宋体"/>
                <w:color w:val="auto"/>
              </w:rPr>
              <w:t>开、竣工日期</w:t>
            </w:r>
          </w:p>
        </w:tc>
        <w:tc>
          <w:tcPr>
            <w:tcW w:w="1206" w:type="dxa"/>
            <w:gridSpan w:val="3"/>
          </w:tcPr>
          <w:p>
            <w:pPr>
              <w:spacing w:line="440" w:lineRule="exact"/>
              <w:jc w:val="center"/>
              <w:rPr>
                <w:rFonts w:cs="宋体"/>
                <w:color w:val="auto"/>
              </w:rPr>
            </w:pPr>
            <w:r>
              <w:rPr>
                <w:rFonts w:hint="eastAsia" w:cs="宋体"/>
                <w:color w:val="auto"/>
              </w:rPr>
              <w:t>工程质量</w:t>
            </w:r>
          </w:p>
        </w:tc>
        <w:tc>
          <w:tcPr>
            <w:tcW w:w="1206" w:type="dxa"/>
            <w:tcBorders>
              <w:right w:val="single" w:color="auto" w:sz="8" w:space="0"/>
            </w:tcBorders>
          </w:tcPr>
          <w:p>
            <w:pPr>
              <w:spacing w:line="440" w:lineRule="exact"/>
              <w:jc w:val="center"/>
              <w:rPr>
                <w:rFonts w:cs="宋体"/>
                <w:color w:val="auto"/>
              </w:rPr>
            </w:pPr>
            <w:r>
              <w:rPr>
                <w:rFonts w:hint="eastAsia" w:cs="宋体"/>
                <w:color w:val="auto"/>
              </w:rPr>
              <w:t>受奖情况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color w:val="auto"/>
              </w:rPr>
            </w:pPr>
          </w:p>
        </w:tc>
        <w:tc>
          <w:tcPr>
            <w:tcW w:w="1608" w:type="dxa"/>
          </w:tcPr>
          <w:p>
            <w:pPr>
              <w:spacing w:line="440" w:lineRule="exact"/>
              <w:jc w:val="center"/>
              <w:rPr>
                <w:rFonts w:cs="宋体"/>
                <w:color w:val="auto"/>
              </w:rPr>
            </w:pPr>
          </w:p>
        </w:tc>
        <w:tc>
          <w:tcPr>
            <w:tcW w:w="1608" w:type="dxa"/>
            <w:gridSpan w:val="2"/>
          </w:tcPr>
          <w:p>
            <w:pPr>
              <w:spacing w:line="440" w:lineRule="exact"/>
              <w:jc w:val="center"/>
              <w:rPr>
                <w:rFonts w:cs="宋体"/>
                <w:color w:val="auto"/>
              </w:rPr>
            </w:pPr>
          </w:p>
        </w:tc>
        <w:tc>
          <w:tcPr>
            <w:tcW w:w="1608" w:type="dxa"/>
            <w:gridSpan w:val="2"/>
          </w:tcPr>
          <w:p>
            <w:pPr>
              <w:spacing w:line="440" w:lineRule="exact"/>
              <w:jc w:val="center"/>
              <w:rPr>
                <w:rFonts w:cs="宋体"/>
                <w:color w:val="auto"/>
              </w:rPr>
            </w:pPr>
          </w:p>
        </w:tc>
        <w:tc>
          <w:tcPr>
            <w:tcW w:w="1206" w:type="dxa"/>
            <w:gridSpan w:val="3"/>
          </w:tcPr>
          <w:p>
            <w:pPr>
              <w:spacing w:line="440" w:lineRule="exact"/>
              <w:jc w:val="center"/>
              <w:rPr>
                <w:rFonts w:cs="宋体"/>
                <w:color w:val="auto"/>
              </w:rPr>
            </w:pPr>
          </w:p>
        </w:tc>
        <w:tc>
          <w:tcPr>
            <w:tcW w:w="1206" w:type="dxa"/>
            <w:tcBorders>
              <w:right w:val="single" w:color="auto" w:sz="8" w:space="0"/>
            </w:tcBorders>
          </w:tcPr>
          <w:p>
            <w:pPr>
              <w:spacing w:line="440" w:lineRule="exact"/>
              <w:jc w:val="center"/>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color w:val="auto"/>
              </w:rPr>
            </w:pPr>
          </w:p>
        </w:tc>
        <w:tc>
          <w:tcPr>
            <w:tcW w:w="1608" w:type="dxa"/>
          </w:tcPr>
          <w:p>
            <w:pPr>
              <w:spacing w:line="440" w:lineRule="exact"/>
              <w:jc w:val="center"/>
              <w:rPr>
                <w:rFonts w:cs="宋体"/>
                <w:color w:val="auto"/>
              </w:rPr>
            </w:pPr>
          </w:p>
        </w:tc>
        <w:tc>
          <w:tcPr>
            <w:tcW w:w="1608" w:type="dxa"/>
            <w:gridSpan w:val="2"/>
          </w:tcPr>
          <w:p>
            <w:pPr>
              <w:spacing w:line="440" w:lineRule="exact"/>
              <w:jc w:val="center"/>
              <w:rPr>
                <w:rFonts w:cs="宋体"/>
                <w:color w:val="auto"/>
              </w:rPr>
            </w:pPr>
          </w:p>
        </w:tc>
        <w:tc>
          <w:tcPr>
            <w:tcW w:w="1608" w:type="dxa"/>
            <w:gridSpan w:val="2"/>
          </w:tcPr>
          <w:p>
            <w:pPr>
              <w:spacing w:line="440" w:lineRule="exact"/>
              <w:jc w:val="center"/>
              <w:rPr>
                <w:rFonts w:cs="宋体"/>
                <w:color w:val="auto"/>
              </w:rPr>
            </w:pPr>
          </w:p>
        </w:tc>
        <w:tc>
          <w:tcPr>
            <w:tcW w:w="1206" w:type="dxa"/>
            <w:gridSpan w:val="3"/>
          </w:tcPr>
          <w:p>
            <w:pPr>
              <w:spacing w:line="440" w:lineRule="exact"/>
              <w:jc w:val="center"/>
              <w:rPr>
                <w:rFonts w:cs="宋体"/>
                <w:color w:val="auto"/>
              </w:rPr>
            </w:pPr>
          </w:p>
        </w:tc>
        <w:tc>
          <w:tcPr>
            <w:tcW w:w="1206" w:type="dxa"/>
            <w:tcBorders>
              <w:right w:val="single" w:color="auto" w:sz="8" w:space="0"/>
            </w:tcBorders>
          </w:tcPr>
          <w:p>
            <w:pPr>
              <w:spacing w:line="440" w:lineRule="exact"/>
              <w:jc w:val="center"/>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color w:val="auto"/>
              </w:rPr>
            </w:pPr>
          </w:p>
        </w:tc>
        <w:tc>
          <w:tcPr>
            <w:tcW w:w="1608" w:type="dxa"/>
          </w:tcPr>
          <w:p>
            <w:pPr>
              <w:spacing w:line="440" w:lineRule="exact"/>
              <w:jc w:val="center"/>
              <w:rPr>
                <w:rFonts w:cs="宋体"/>
                <w:color w:val="auto"/>
              </w:rPr>
            </w:pPr>
          </w:p>
        </w:tc>
        <w:tc>
          <w:tcPr>
            <w:tcW w:w="1608" w:type="dxa"/>
            <w:gridSpan w:val="2"/>
          </w:tcPr>
          <w:p>
            <w:pPr>
              <w:spacing w:line="440" w:lineRule="exact"/>
              <w:jc w:val="center"/>
              <w:rPr>
                <w:rFonts w:cs="宋体"/>
                <w:color w:val="auto"/>
              </w:rPr>
            </w:pPr>
          </w:p>
        </w:tc>
        <w:tc>
          <w:tcPr>
            <w:tcW w:w="1608" w:type="dxa"/>
            <w:gridSpan w:val="2"/>
          </w:tcPr>
          <w:p>
            <w:pPr>
              <w:spacing w:line="440" w:lineRule="exact"/>
              <w:jc w:val="center"/>
              <w:rPr>
                <w:rFonts w:cs="宋体"/>
                <w:color w:val="auto"/>
              </w:rPr>
            </w:pPr>
          </w:p>
        </w:tc>
        <w:tc>
          <w:tcPr>
            <w:tcW w:w="1206" w:type="dxa"/>
            <w:gridSpan w:val="3"/>
          </w:tcPr>
          <w:p>
            <w:pPr>
              <w:spacing w:line="440" w:lineRule="exact"/>
              <w:jc w:val="center"/>
              <w:rPr>
                <w:rFonts w:cs="宋体"/>
                <w:color w:val="auto"/>
              </w:rPr>
            </w:pPr>
          </w:p>
        </w:tc>
        <w:tc>
          <w:tcPr>
            <w:tcW w:w="1206" w:type="dxa"/>
            <w:tcBorders>
              <w:right w:val="single" w:color="auto" w:sz="8" w:space="0"/>
            </w:tcBorders>
          </w:tcPr>
          <w:p>
            <w:pPr>
              <w:spacing w:line="440" w:lineRule="exact"/>
              <w:jc w:val="center"/>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color w:val="auto"/>
              </w:rPr>
            </w:pPr>
          </w:p>
        </w:tc>
        <w:tc>
          <w:tcPr>
            <w:tcW w:w="1608" w:type="dxa"/>
          </w:tcPr>
          <w:p>
            <w:pPr>
              <w:spacing w:line="440" w:lineRule="exact"/>
              <w:jc w:val="center"/>
              <w:rPr>
                <w:rFonts w:cs="宋体"/>
                <w:color w:val="auto"/>
              </w:rPr>
            </w:pPr>
          </w:p>
        </w:tc>
        <w:tc>
          <w:tcPr>
            <w:tcW w:w="1608" w:type="dxa"/>
            <w:gridSpan w:val="2"/>
          </w:tcPr>
          <w:p>
            <w:pPr>
              <w:spacing w:line="440" w:lineRule="exact"/>
              <w:jc w:val="center"/>
              <w:rPr>
                <w:rFonts w:cs="宋体"/>
                <w:color w:val="auto"/>
              </w:rPr>
            </w:pPr>
          </w:p>
        </w:tc>
        <w:tc>
          <w:tcPr>
            <w:tcW w:w="1608" w:type="dxa"/>
            <w:gridSpan w:val="2"/>
          </w:tcPr>
          <w:p>
            <w:pPr>
              <w:spacing w:line="440" w:lineRule="exact"/>
              <w:jc w:val="center"/>
              <w:rPr>
                <w:rFonts w:cs="宋体"/>
                <w:color w:val="auto"/>
              </w:rPr>
            </w:pPr>
          </w:p>
        </w:tc>
        <w:tc>
          <w:tcPr>
            <w:tcW w:w="1206" w:type="dxa"/>
            <w:gridSpan w:val="3"/>
          </w:tcPr>
          <w:p>
            <w:pPr>
              <w:spacing w:line="440" w:lineRule="exact"/>
              <w:jc w:val="center"/>
              <w:rPr>
                <w:rFonts w:cs="宋体"/>
                <w:color w:val="auto"/>
              </w:rPr>
            </w:pPr>
          </w:p>
        </w:tc>
        <w:tc>
          <w:tcPr>
            <w:tcW w:w="1206" w:type="dxa"/>
            <w:tcBorders>
              <w:right w:val="single" w:color="auto" w:sz="8" w:space="0"/>
            </w:tcBorders>
          </w:tcPr>
          <w:p>
            <w:pPr>
              <w:spacing w:line="440" w:lineRule="exact"/>
              <w:jc w:val="center"/>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color w:val="auto"/>
              </w:rPr>
            </w:pPr>
          </w:p>
        </w:tc>
        <w:tc>
          <w:tcPr>
            <w:tcW w:w="1608" w:type="dxa"/>
          </w:tcPr>
          <w:p>
            <w:pPr>
              <w:spacing w:line="440" w:lineRule="exact"/>
              <w:jc w:val="center"/>
              <w:rPr>
                <w:rFonts w:cs="宋体"/>
                <w:color w:val="auto"/>
              </w:rPr>
            </w:pPr>
          </w:p>
        </w:tc>
        <w:tc>
          <w:tcPr>
            <w:tcW w:w="1608" w:type="dxa"/>
            <w:gridSpan w:val="2"/>
          </w:tcPr>
          <w:p>
            <w:pPr>
              <w:spacing w:line="440" w:lineRule="exact"/>
              <w:jc w:val="center"/>
              <w:rPr>
                <w:rFonts w:cs="宋体"/>
                <w:color w:val="auto"/>
              </w:rPr>
            </w:pPr>
          </w:p>
        </w:tc>
        <w:tc>
          <w:tcPr>
            <w:tcW w:w="1608" w:type="dxa"/>
            <w:gridSpan w:val="2"/>
          </w:tcPr>
          <w:p>
            <w:pPr>
              <w:spacing w:line="440" w:lineRule="exact"/>
              <w:jc w:val="center"/>
              <w:rPr>
                <w:rFonts w:cs="宋体"/>
                <w:color w:val="auto"/>
              </w:rPr>
            </w:pPr>
          </w:p>
        </w:tc>
        <w:tc>
          <w:tcPr>
            <w:tcW w:w="1206" w:type="dxa"/>
            <w:gridSpan w:val="3"/>
          </w:tcPr>
          <w:p>
            <w:pPr>
              <w:spacing w:line="440" w:lineRule="exact"/>
              <w:jc w:val="center"/>
              <w:rPr>
                <w:rFonts w:cs="宋体"/>
                <w:color w:val="auto"/>
              </w:rPr>
            </w:pPr>
          </w:p>
        </w:tc>
        <w:tc>
          <w:tcPr>
            <w:tcW w:w="1206" w:type="dxa"/>
            <w:tcBorders>
              <w:right w:val="single" w:color="auto" w:sz="8" w:space="0"/>
            </w:tcBorders>
          </w:tcPr>
          <w:p>
            <w:pPr>
              <w:spacing w:line="440" w:lineRule="exact"/>
              <w:jc w:val="center"/>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color w:val="auto"/>
              </w:rPr>
            </w:pPr>
          </w:p>
        </w:tc>
        <w:tc>
          <w:tcPr>
            <w:tcW w:w="1608" w:type="dxa"/>
          </w:tcPr>
          <w:p>
            <w:pPr>
              <w:spacing w:line="440" w:lineRule="exact"/>
              <w:jc w:val="center"/>
              <w:rPr>
                <w:rFonts w:cs="宋体"/>
                <w:color w:val="auto"/>
              </w:rPr>
            </w:pPr>
          </w:p>
        </w:tc>
        <w:tc>
          <w:tcPr>
            <w:tcW w:w="1608" w:type="dxa"/>
            <w:gridSpan w:val="2"/>
          </w:tcPr>
          <w:p>
            <w:pPr>
              <w:spacing w:line="440" w:lineRule="exact"/>
              <w:jc w:val="center"/>
              <w:rPr>
                <w:rFonts w:cs="宋体"/>
                <w:color w:val="auto"/>
              </w:rPr>
            </w:pPr>
          </w:p>
        </w:tc>
        <w:tc>
          <w:tcPr>
            <w:tcW w:w="1608" w:type="dxa"/>
            <w:gridSpan w:val="2"/>
          </w:tcPr>
          <w:p>
            <w:pPr>
              <w:spacing w:line="440" w:lineRule="exact"/>
              <w:jc w:val="center"/>
              <w:rPr>
                <w:rFonts w:cs="宋体"/>
                <w:color w:val="auto"/>
              </w:rPr>
            </w:pPr>
          </w:p>
        </w:tc>
        <w:tc>
          <w:tcPr>
            <w:tcW w:w="1206" w:type="dxa"/>
            <w:gridSpan w:val="3"/>
          </w:tcPr>
          <w:p>
            <w:pPr>
              <w:spacing w:line="440" w:lineRule="exact"/>
              <w:jc w:val="center"/>
              <w:rPr>
                <w:rFonts w:cs="宋体"/>
                <w:color w:val="auto"/>
              </w:rPr>
            </w:pPr>
          </w:p>
        </w:tc>
        <w:tc>
          <w:tcPr>
            <w:tcW w:w="1206" w:type="dxa"/>
            <w:tcBorders>
              <w:right w:val="single" w:color="auto" w:sz="8" w:space="0"/>
            </w:tcBorders>
          </w:tcPr>
          <w:p>
            <w:pPr>
              <w:spacing w:line="440" w:lineRule="exact"/>
              <w:jc w:val="center"/>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color w:val="auto"/>
              </w:rPr>
            </w:pPr>
          </w:p>
        </w:tc>
        <w:tc>
          <w:tcPr>
            <w:tcW w:w="1608" w:type="dxa"/>
          </w:tcPr>
          <w:p>
            <w:pPr>
              <w:spacing w:line="440" w:lineRule="exact"/>
              <w:jc w:val="center"/>
              <w:rPr>
                <w:rFonts w:cs="宋体"/>
                <w:color w:val="auto"/>
              </w:rPr>
            </w:pPr>
          </w:p>
        </w:tc>
        <w:tc>
          <w:tcPr>
            <w:tcW w:w="1608" w:type="dxa"/>
            <w:gridSpan w:val="2"/>
          </w:tcPr>
          <w:p>
            <w:pPr>
              <w:spacing w:line="440" w:lineRule="exact"/>
              <w:jc w:val="center"/>
              <w:rPr>
                <w:rFonts w:cs="宋体"/>
                <w:color w:val="auto"/>
              </w:rPr>
            </w:pPr>
          </w:p>
        </w:tc>
        <w:tc>
          <w:tcPr>
            <w:tcW w:w="1608" w:type="dxa"/>
            <w:gridSpan w:val="2"/>
          </w:tcPr>
          <w:p>
            <w:pPr>
              <w:spacing w:line="440" w:lineRule="exact"/>
              <w:jc w:val="center"/>
              <w:rPr>
                <w:rFonts w:cs="宋体"/>
                <w:color w:val="auto"/>
              </w:rPr>
            </w:pPr>
          </w:p>
        </w:tc>
        <w:tc>
          <w:tcPr>
            <w:tcW w:w="1206" w:type="dxa"/>
            <w:gridSpan w:val="3"/>
          </w:tcPr>
          <w:p>
            <w:pPr>
              <w:spacing w:line="440" w:lineRule="exact"/>
              <w:jc w:val="center"/>
              <w:rPr>
                <w:rFonts w:cs="宋体"/>
                <w:color w:val="auto"/>
              </w:rPr>
            </w:pPr>
          </w:p>
        </w:tc>
        <w:tc>
          <w:tcPr>
            <w:tcW w:w="1206" w:type="dxa"/>
            <w:tcBorders>
              <w:right w:val="single" w:color="auto" w:sz="8" w:space="0"/>
            </w:tcBorders>
          </w:tcPr>
          <w:p>
            <w:pPr>
              <w:spacing w:line="440" w:lineRule="exact"/>
              <w:jc w:val="center"/>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bottom w:val="single" w:color="auto" w:sz="8" w:space="0"/>
            </w:tcBorders>
          </w:tcPr>
          <w:p>
            <w:pPr>
              <w:spacing w:line="440" w:lineRule="exact"/>
              <w:jc w:val="center"/>
              <w:rPr>
                <w:rFonts w:cs="宋体"/>
                <w:color w:val="auto"/>
              </w:rPr>
            </w:pPr>
          </w:p>
        </w:tc>
        <w:tc>
          <w:tcPr>
            <w:tcW w:w="1608" w:type="dxa"/>
            <w:tcBorders>
              <w:bottom w:val="single" w:color="auto" w:sz="8" w:space="0"/>
            </w:tcBorders>
          </w:tcPr>
          <w:p>
            <w:pPr>
              <w:spacing w:line="440" w:lineRule="exact"/>
              <w:jc w:val="center"/>
              <w:rPr>
                <w:rFonts w:cs="宋体"/>
                <w:color w:val="auto"/>
              </w:rPr>
            </w:pPr>
          </w:p>
        </w:tc>
        <w:tc>
          <w:tcPr>
            <w:tcW w:w="1608" w:type="dxa"/>
            <w:gridSpan w:val="2"/>
            <w:tcBorders>
              <w:bottom w:val="single" w:color="auto" w:sz="8" w:space="0"/>
            </w:tcBorders>
          </w:tcPr>
          <w:p>
            <w:pPr>
              <w:spacing w:line="440" w:lineRule="exact"/>
              <w:jc w:val="center"/>
              <w:rPr>
                <w:rFonts w:cs="宋体"/>
                <w:color w:val="auto"/>
              </w:rPr>
            </w:pPr>
          </w:p>
        </w:tc>
        <w:tc>
          <w:tcPr>
            <w:tcW w:w="1608" w:type="dxa"/>
            <w:gridSpan w:val="2"/>
            <w:tcBorders>
              <w:bottom w:val="single" w:color="auto" w:sz="8" w:space="0"/>
            </w:tcBorders>
          </w:tcPr>
          <w:p>
            <w:pPr>
              <w:spacing w:line="440" w:lineRule="exact"/>
              <w:jc w:val="center"/>
              <w:rPr>
                <w:rFonts w:cs="宋体"/>
                <w:color w:val="auto"/>
              </w:rPr>
            </w:pPr>
          </w:p>
        </w:tc>
        <w:tc>
          <w:tcPr>
            <w:tcW w:w="1206" w:type="dxa"/>
            <w:gridSpan w:val="3"/>
            <w:tcBorders>
              <w:bottom w:val="single" w:color="auto" w:sz="8" w:space="0"/>
            </w:tcBorders>
          </w:tcPr>
          <w:p>
            <w:pPr>
              <w:spacing w:line="440" w:lineRule="exact"/>
              <w:jc w:val="center"/>
              <w:rPr>
                <w:rFonts w:cs="宋体"/>
                <w:color w:val="auto"/>
              </w:rPr>
            </w:pPr>
          </w:p>
        </w:tc>
        <w:tc>
          <w:tcPr>
            <w:tcW w:w="1206" w:type="dxa"/>
            <w:tcBorders>
              <w:bottom w:val="single" w:color="auto" w:sz="8" w:space="0"/>
              <w:right w:val="single" w:color="auto" w:sz="8" w:space="0"/>
            </w:tcBorders>
          </w:tcPr>
          <w:p>
            <w:pPr>
              <w:spacing w:line="440" w:lineRule="exact"/>
              <w:jc w:val="center"/>
              <w:rPr>
                <w:rFonts w:cs="宋体"/>
                <w:color w:val="auto"/>
              </w:rPr>
            </w:pPr>
          </w:p>
        </w:tc>
      </w:tr>
    </w:tbl>
    <w:p>
      <w:pPr>
        <w:pStyle w:val="21"/>
        <w:rPr>
          <w:rFonts w:cs="宋体"/>
          <w:b/>
          <w:color w:val="auto"/>
          <w:sz w:val="24"/>
        </w:rPr>
      </w:pPr>
    </w:p>
    <w:p>
      <w:pPr>
        <w:widowControl/>
        <w:ind w:firstLine="3092" w:firstLineChars="1100"/>
        <w:jc w:val="left"/>
        <w:rPr>
          <w:rFonts w:cs="宋体"/>
          <w:b/>
          <w:color w:val="auto"/>
          <w:kern w:val="0"/>
          <w:sz w:val="28"/>
          <w:szCs w:val="28"/>
          <w:lang w:bidi="ar"/>
        </w:rPr>
      </w:pPr>
    </w:p>
    <w:p>
      <w:pPr>
        <w:widowControl/>
        <w:jc w:val="left"/>
        <w:rPr>
          <w:rFonts w:cs="宋体"/>
          <w:b/>
          <w:bCs/>
          <w:color w:val="auto"/>
          <w:szCs w:val="21"/>
          <w:u w:val="single"/>
        </w:rPr>
      </w:pPr>
      <w:r>
        <w:rPr>
          <w:rFonts w:hint="eastAsia" w:cs="宋体"/>
          <w:b/>
          <w:bCs/>
          <w:color w:val="auto"/>
          <w:szCs w:val="21"/>
        </w:rPr>
        <w:t>磋商供应商[公章(CA签章)，自然人签字或个人CA签章]：</w:t>
      </w:r>
      <w:r>
        <w:rPr>
          <w:rFonts w:hint="eastAsia" w:cs="宋体"/>
          <w:b/>
          <w:bCs/>
          <w:color w:val="auto"/>
          <w:szCs w:val="21"/>
          <w:u w:val="single"/>
        </w:rPr>
        <w:t xml:space="preserve">                                 </w:t>
      </w:r>
    </w:p>
    <w:p>
      <w:pPr>
        <w:widowControl/>
        <w:jc w:val="left"/>
        <w:rPr>
          <w:rFonts w:cs="宋体"/>
          <w:b/>
          <w:bCs/>
          <w:color w:val="auto"/>
          <w:szCs w:val="21"/>
        </w:rPr>
      </w:pPr>
    </w:p>
    <w:p>
      <w:pPr>
        <w:snapToGrid w:val="0"/>
        <w:spacing w:line="300" w:lineRule="exact"/>
        <w:rPr>
          <w:rFonts w:cs="宋体"/>
          <w:b/>
          <w:bCs/>
          <w:color w:val="auto"/>
          <w:u w:val="single"/>
        </w:rPr>
      </w:pPr>
      <w:r>
        <w:rPr>
          <w:rFonts w:hint="eastAsia" w:cs="宋体"/>
          <w:b/>
          <w:bCs/>
          <w:color w:val="auto"/>
        </w:rPr>
        <w:t>日          期：</w:t>
      </w:r>
      <w:r>
        <w:rPr>
          <w:rFonts w:hint="eastAsia" w:cs="宋体"/>
          <w:b/>
          <w:bCs/>
          <w:color w:val="auto"/>
          <w:u w:val="single"/>
        </w:rPr>
        <w:t xml:space="preserve">                              </w:t>
      </w:r>
    </w:p>
    <w:p>
      <w:pPr>
        <w:snapToGrid w:val="0"/>
        <w:spacing w:line="300" w:lineRule="exact"/>
        <w:ind w:firstLine="3570" w:firstLineChars="1700"/>
        <w:rPr>
          <w:rFonts w:cs="宋体"/>
          <w:color w:val="auto"/>
          <w:u w:val="single"/>
        </w:rPr>
      </w:pPr>
    </w:p>
    <w:p>
      <w:pPr>
        <w:pStyle w:val="21"/>
        <w:rPr>
          <w:rFonts w:cs="宋体"/>
          <w:color w:val="auto"/>
          <w:u w:val="single"/>
        </w:rPr>
      </w:pPr>
    </w:p>
    <w:p>
      <w:pPr>
        <w:pStyle w:val="21"/>
        <w:rPr>
          <w:rFonts w:cs="宋体"/>
          <w:color w:val="auto"/>
          <w:u w:val="single"/>
        </w:rPr>
      </w:pPr>
    </w:p>
    <w:p>
      <w:pPr>
        <w:pStyle w:val="21"/>
        <w:rPr>
          <w:rFonts w:cs="宋体"/>
          <w:b/>
          <w:bCs/>
          <w:color w:val="auto"/>
          <w:szCs w:val="21"/>
        </w:rPr>
      </w:pPr>
    </w:p>
    <w:p>
      <w:pPr>
        <w:rPr>
          <w:rFonts w:cs="宋体"/>
          <w:b/>
          <w:color w:val="auto"/>
          <w:sz w:val="28"/>
          <w:szCs w:val="28"/>
        </w:rPr>
      </w:pPr>
      <w:bookmarkStart w:id="564" w:name="_Toc31920"/>
      <w:bookmarkStart w:id="565" w:name="_Toc13064"/>
      <w:r>
        <w:rPr>
          <w:rFonts w:hint="eastAsia" w:cs="宋体"/>
          <w:b/>
          <w:color w:val="auto"/>
          <w:sz w:val="28"/>
          <w:szCs w:val="28"/>
        </w:rPr>
        <w:br w:type="page"/>
      </w:r>
    </w:p>
    <w:p>
      <w:pPr>
        <w:spacing w:line="400" w:lineRule="exact"/>
        <w:outlineLvl w:val="1"/>
        <w:rPr>
          <w:rFonts w:cs="宋体"/>
          <w:b/>
          <w:color w:val="auto"/>
          <w:sz w:val="28"/>
          <w:szCs w:val="28"/>
        </w:rPr>
      </w:pPr>
      <w:bookmarkStart w:id="566" w:name="_Toc10745"/>
      <w:bookmarkStart w:id="567" w:name="_Toc4756"/>
      <w:bookmarkStart w:id="568" w:name="_Toc9716"/>
      <w:bookmarkStart w:id="569" w:name="_Toc14989"/>
      <w:r>
        <w:rPr>
          <w:rFonts w:hint="eastAsia" w:cs="宋体"/>
          <w:b/>
          <w:color w:val="auto"/>
          <w:sz w:val="28"/>
          <w:szCs w:val="28"/>
        </w:rPr>
        <w:t>6.施工组织设计方案（如有，请提供）；</w:t>
      </w:r>
      <w:bookmarkEnd w:id="564"/>
      <w:bookmarkEnd w:id="565"/>
      <w:bookmarkEnd w:id="566"/>
      <w:bookmarkEnd w:id="567"/>
      <w:bookmarkEnd w:id="568"/>
      <w:bookmarkEnd w:id="569"/>
    </w:p>
    <w:p>
      <w:pPr>
        <w:snapToGrid w:val="0"/>
        <w:spacing w:line="400" w:lineRule="exact"/>
        <w:jc w:val="center"/>
        <w:rPr>
          <w:rFonts w:cs="宋体"/>
          <w:b/>
          <w:color w:val="auto"/>
          <w:sz w:val="24"/>
        </w:rPr>
      </w:pPr>
    </w:p>
    <w:p>
      <w:pPr>
        <w:snapToGrid w:val="0"/>
        <w:spacing w:line="400" w:lineRule="exact"/>
        <w:jc w:val="center"/>
        <w:rPr>
          <w:rFonts w:cs="宋体"/>
          <w:b/>
          <w:color w:val="auto"/>
          <w:sz w:val="28"/>
          <w:szCs w:val="28"/>
        </w:rPr>
      </w:pPr>
      <w:r>
        <w:rPr>
          <w:rFonts w:hint="eastAsia" w:cs="宋体"/>
          <w:b/>
          <w:color w:val="auto"/>
          <w:sz w:val="24"/>
        </w:rPr>
        <w:t>施工组织设计方案（格式）</w:t>
      </w:r>
    </w:p>
    <w:p>
      <w:pPr>
        <w:snapToGrid w:val="0"/>
        <w:spacing w:line="400" w:lineRule="exact"/>
        <w:jc w:val="center"/>
        <w:rPr>
          <w:rFonts w:cs="宋体"/>
          <w:b/>
          <w:color w:val="auto"/>
          <w:sz w:val="28"/>
          <w:szCs w:val="28"/>
        </w:rPr>
      </w:pPr>
    </w:p>
    <w:p>
      <w:pPr>
        <w:snapToGrid w:val="0"/>
        <w:spacing w:line="400" w:lineRule="exact"/>
        <w:jc w:val="center"/>
        <w:rPr>
          <w:rFonts w:cs="宋体"/>
          <w:color w:val="auto"/>
        </w:rPr>
      </w:pPr>
    </w:p>
    <w:p>
      <w:pPr>
        <w:pStyle w:val="320"/>
        <w:spacing w:line="300" w:lineRule="exact"/>
        <w:ind w:firstLine="425"/>
        <w:rPr>
          <w:rFonts w:ascii="Times New Roman" w:hAnsi="Times New Roman"/>
          <w:color w:val="auto"/>
        </w:rPr>
      </w:pPr>
      <w:r>
        <w:rPr>
          <w:rFonts w:hint="eastAsia" w:ascii="Times New Roman" w:hAnsi="Times New Roman"/>
          <w:color w:val="auto"/>
        </w:rPr>
        <w:t>1.供应商编制施工组织设计的要求：</w:t>
      </w:r>
    </w:p>
    <w:p>
      <w:pPr>
        <w:pStyle w:val="320"/>
        <w:spacing w:line="300" w:lineRule="exact"/>
        <w:ind w:firstLine="425"/>
        <w:rPr>
          <w:rFonts w:ascii="Times New Roman" w:hAnsi="Times New Roman"/>
          <w:color w:val="auto"/>
        </w:rPr>
      </w:pPr>
      <w:r>
        <w:rPr>
          <w:rFonts w:hint="eastAsia" w:ascii="Times New Roman" w:hAnsi="Times New Roman"/>
          <w:color w:val="auto"/>
        </w:rPr>
        <w:t>编制时应按以下章顺序采用文字并结合图表形式进行说明：</w:t>
      </w:r>
    </w:p>
    <w:p>
      <w:pPr>
        <w:pStyle w:val="320"/>
        <w:numPr>
          <w:ilvl w:val="0"/>
          <w:numId w:val="7"/>
        </w:numPr>
        <w:spacing w:line="300" w:lineRule="exact"/>
        <w:ind w:firstLine="425"/>
        <w:jc w:val="left"/>
        <w:rPr>
          <w:rFonts w:ascii="Times New Roman" w:hAnsi="Times New Roman"/>
          <w:color w:val="auto"/>
        </w:rPr>
      </w:pPr>
      <w:r>
        <w:rPr>
          <w:rFonts w:hint="eastAsia" w:ascii="Times New Roman" w:hAnsi="Times New Roman"/>
          <w:color w:val="auto"/>
        </w:rPr>
        <w:t>总体概述；</w:t>
      </w:r>
    </w:p>
    <w:p>
      <w:pPr>
        <w:pStyle w:val="320"/>
        <w:numPr>
          <w:ilvl w:val="0"/>
          <w:numId w:val="7"/>
        </w:numPr>
        <w:spacing w:line="300" w:lineRule="exact"/>
        <w:ind w:firstLine="425"/>
        <w:jc w:val="left"/>
        <w:rPr>
          <w:rFonts w:ascii="Times New Roman" w:hAnsi="Times New Roman"/>
          <w:color w:val="auto"/>
        </w:rPr>
      </w:pPr>
      <w:r>
        <w:rPr>
          <w:rFonts w:hint="eastAsia" w:ascii="Times New Roman" w:hAnsi="Times New Roman"/>
          <w:color w:val="auto"/>
        </w:rPr>
        <w:t>主要施工方法；</w:t>
      </w:r>
    </w:p>
    <w:p>
      <w:pPr>
        <w:pStyle w:val="320"/>
        <w:numPr>
          <w:ilvl w:val="0"/>
          <w:numId w:val="7"/>
        </w:numPr>
        <w:spacing w:line="300" w:lineRule="exact"/>
        <w:ind w:firstLine="425"/>
        <w:jc w:val="left"/>
        <w:rPr>
          <w:rFonts w:ascii="Times New Roman" w:hAnsi="Times New Roman"/>
          <w:color w:val="auto"/>
        </w:rPr>
      </w:pPr>
      <w:r>
        <w:rPr>
          <w:rFonts w:hint="eastAsia" w:ascii="Times New Roman" w:hAnsi="Times New Roman"/>
          <w:color w:val="auto"/>
        </w:rPr>
        <w:t>施工进度、施工进度计划和各阶段进度的保证措施；</w:t>
      </w:r>
    </w:p>
    <w:p>
      <w:pPr>
        <w:pStyle w:val="320"/>
        <w:numPr>
          <w:ilvl w:val="0"/>
          <w:numId w:val="7"/>
        </w:numPr>
        <w:spacing w:line="300" w:lineRule="exact"/>
        <w:ind w:firstLine="425"/>
        <w:jc w:val="left"/>
        <w:rPr>
          <w:rFonts w:ascii="Times New Roman" w:hAnsi="Times New Roman"/>
          <w:color w:val="auto"/>
        </w:rPr>
      </w:pPr>
      <w:r>
        <w:rPr>
          <w:rFonts w:hint="eastAsia" w:ascii="Times New Roman" w:hAnsi="Times New Roman"/>
          <w:color w:val="auto"/>
        </w:rPr>
        <w:t>劳动力和材料投入计划及其保证措施；</w:t>
      </w:r>
    </w:p>
    <w:p>
      <w:pPr>
        <w:pStyle w:val="320"/>
        <w:numPr>
          <w:ilvl w:val="0"/>
          <w:numId w:val="7"/>
        </w:numPr>
        <w:spacing w:line="300" w:lineRule="exact"/>
        <w:ind w:firstLine="425"/>
        <w:jc w:val="left"/>
        <w:rPr>
          <w:rFonts w:ascii="Times New Roman" w:hAnsi="Times New Roman"/>
          <w:color w:val="auto"/>
        </w:rPr>
      </w:pPr>
      <w:r>
        <w:rPr>
          <w:rFonts w:hint="eastAsia" w:ascii="Times New Roman" w:hAnsi="Times New Roman"/>
          <w:color w:val="auto"/>
        </w:rPr>
        <w:t>施工平面布置和临时设施布置；</w:t>
      </w:r>
    </w:p>
    <w:p>
      <w:pPr>
        <w:pStyle w:val="320"/>
        <w:numPr>
          <w:ilvl w:val="0"/>
          <w:numId w:val="7"/>
        </w:numPr>
        <w:spacing w:line="300" w:lineRule="exact"/>
        <w:ind w:firstLine="425"/>
        <w:jc w:val="left"/>
        <w:rPr>
          <w:rFonts w:ascii="Times New Roman" w:hAnsi="Times New Roman"/>
          <w:color w:val="auto"/>
        </w:rPr>
      </w:pPr>
      <w:r>
        <w:rPr>
          <w:rFonts w:hint="eastAsia" w:ascii="Times New Roman" w:hAnsi="Times New Roman"/>
          <w:color w:val="auto"/>
        </w:rPr>
        <w:t>关键施工技术、工艺及工程实施的重点、难点和解决方案；</w:t>
      </w:r>
    </w:p>
    <w:p>
      <w:pPr>
        <w:pStyle w:val="320"/>
        <w:numPr>
          <w:ilvl w:val="0"/>
          <w:numId w:val="7"/>
        </w:numPr>
        <w:spacing w:line="300" w:lineRule="exact"/>
        <w:ind w:firstLine="425"/>
        <w:jc w:val="left"/>
        <w:rPr>
          <w:rFonts w:ascii="Times New Roman" w:hAnsi="Times New Roman"/>
          <w:color w:val="auto"/>
        </w:rPr>
      </w:pPr>
      <w:r>
        <w:rPr>
          <w:rFonts w:hint="eastAsia" w:ascii="Times New Roman" w:hAnsi="Times New Roman"/>
          <w:color w:val="auto"/>
        </w:rPr>
        <w:t>安全文明施工措施；</w:t>
      </w:r>
    </w:p>
    <w:p>
      <w:pPr>
        <w:pStyle w:val="320"/>
        <w:numPr>
          <w:ilvl w:val="0"/>
          <w:numId w:val="7"/>
        </w:numPr>
        <w:spacing w:line="300" w:lineRule="exact"/>
        <w:ind w:firstLine="425"/>
        <w:jc w:val="left"/>
        <w:rPr>
          <w:rFonts w:ascii="Times New Roman" w:hAnsi="Times New Roman"/>
          <w:color w:val="auto"/>
        </w:rPr>
      </w:pPr>
      <w:r>
        <w:rPr>
          <w:rFonts w:hint="eastAsia" w:ascii="Times New Roman" w:hAnsi="Times New Roman"/>
          <w:color w:val="auto"/>
        </w:rPr>
        <w:t>质量保证与承诺；</w:t>
      </w:r>
    </w:p>
    <w:p>
      <w:pPr>
        <w:pStyle w:val="320"/>
        <w:numPr>
          <w:ilvl w:val="0"/>
          <w:numId w:val="7"/>
        </w:numPr>
        <w:spacing w:line="300" w:lineRule="exact"/>
        <w:ind w:firstLine="425"/>
        <w:jc w:val="left"/>
        <w:rPr>
          <w:rFonts w:ascii="Times New Roman" w:hAnsi="Times New Roman"/>
          <w:color w:val="auto"/>
        </w:rPr>
      </w:pPr>
      <w:r>
        <w:rPr>
          <w:rFonts w:hint="eastAsia" w:ascii="Times New Roman" w:hAnsi="Times New Roman"/>
          <w:color w:val="auto"/>
        </w:rPr>
        <w:t>新技术应用与承诺</w:t>
      </w:r>
    </w:p>
    <w:p>
      <w:pPr>
        <w:pStyle w:val="320"/>
        <w:spacing w:line="300" w:lineRule="exact"/>
        <w:ind w:firstLine="425"/>
        <w:rPr>
          <w:rFonts w:ascii="Times New Roman" w:hAnsi="Times New Roman"/>
          <w:color w:val="auto"/>
        </w:rPr>
      </w:pPr>
      <w:r>
        <w:rPr>
          <w:rFonts w:hint="eastAsia" w:ascii="Times New Roman" w:hAnsi="Times New Roman"/>
          <w:color w:val="auto"/>
        </w:rPr>
        <w:t>2.施工组织设计除采用文字表述外可附下列图表，图表及格式要求附后。</w:t>
      </w:r>
    </w:p>
    <w:p>
      <w:pPr>
        <w:pStyle w:val="320"/>
        <w:spacing w:line="300" w:lineRule="exact"/>
        <w:ind w:firstLine="425"/>
        <w:rPr>
          <w:rFonts w:ascii="Times New Roman" w:hAnsi="Times New Roman"/>
          <w:color w:val="auto"/>
        </w:rPr>
      </w:pPr>
      <w:r>
        <w:rPr>
          <w:rFonts w:hint="eastAsia" w:ascii="Times New Roman" w:hAnsi="Times New Roman"/>
          <w:color w:val="auto"/>
        </w:rPr>
        <w:t>附表一</w:t>
      </w:r>
      <w:r>
        <w:rPr>
          <w:rFonts w:hint="eastAsia" w:ascii="Times New Roman" w:hAnsi="Times New Roman"/>
          <w:color w:val="auto"/>
        </w:rPr>
        <w:tab/>
      </w:r>
      <w:r>
        <w:rPr>
          <w:rFonts w:hint="eastAsia" w:ascii="Times New Roman" w:hAnsi="Times New Roman"/>
          <w:color w:val="auto"/>
          <w:spacing w:val="-1"/>
        </w:rPr>
        <w:t>拟</w:t>
      </w:r>
      <w:r>
        <w:rPr>
          <w:rFonts w:hint="eastAsia" w:ascii="Times New Roman" w:hAnsi="Times New Roman"/>
          <w:color w:val="auto"/>
        </w:rPr>
        <w:t>投入本项目的主要施工设备表</w:t>
      </w:r>
    </w:p>
    <w:p>
      <w:pPr>
        <w:pStyle w:val="320"/>
        <w:spacing w:line="300" w:lineRule="exact"/>
        <w:ind w:firstLine="425"/>
        <w:rPr>
          <w:rFonts w:ascii="Times New Roman" w:hAnsi="Times New Roman"/>
          <w:color w:val="auto"/>
        </w:rPr>
      </w:pPr>
      <w:r>
        <w:rPr>
          <w:rFonts w:hint="eastAsia" w:ascii="Times New Roman" w:hAnsi="Times New Roman"/>
          <w:color w:val="auto"/>
        </w:rPr>
        <w:t>附表二</w:t>
      </w:r>
      <w:r>
        <w:rPr>
          <w:rFonts w:hint="eastAsia" w:ascii="Times New Roman" w:hAnsi="Times New Roman"/>
          <w:color w:val="auto"/>
        </w:rPr>
        <w:tab/>
      </w:r>
      <w:r>
        <w:rPr>
          <w:rFonts w:hint="eastAsia" w:ascii="Times New Roman" w:hAnsi="Times New Roman"/>
          <w:color w:val="auto"/>
          <w:spacing w:val="-1"/>
        </w:rPr>
        <w:t>拟</w:t>
      </w:r>
      <w:r>
        <w:rPr>
          <w:rFonts w:hint="eastAsia" w:ascii="Times New Roman" w:hAnsi="Times New Roman"/>
          <w:color w:val="auto"/>
        </w:rPr>
        <w:t>配备本项目的试验和检测仪器设备表</w:t>
      </w:r>
    </w:p>
    <w:p>
      <w:pPr>
        <w:pStyle w:val="320"/>
        <w:spacing w:line="300" w:lineRule="exact"/>
        <w:ind w:firstLine="425"/>
        <w:rPr>
          <w:rFonts w:ascii="Times New Roman" w:hAnsi="Times New Roman"/>
          <w:color w:val="auto"/>
        </w:rPr>
      </w:pPr>
      <w:r>
        <w:rPr>
          <w:rFonts w:hint="eastAsia" w:ascii="Times New Roman" w:hAnsi="Times New Roman"/>
          <w:color w:val="auto"/>
        </w:rPr>
        <w:t>附表三</w:t>
      </w:r>
      <w:r>
        <w:rPr>
          <w:rFonts w:hint="eastAsia" w:ascii="Times New Roman" w:hAnsi="Times New Roman"/>
          <w:color w:val="auto"/>
        </w:rPr>
        <w:tab/>
      </w:r>
      <w:r>
        <w:rPr>
          <w:rFonts w:hint="eastAsia" w:ascii="Times New Roman" w:hAnsi="Times New Roman"/>
          <w:color w:val="auto"/>
          <w:spacing w:val="-1"/>
        </w:rPr>
        <w:t>劳</w:t>
      </w:r>
      <w:r>
        <w:rPr>
          <w:rFonts w:hint="eastAsia" w:ascii="Times New Roman" w:hAnsi="Times New Roman"/>
          <w:color w:val="auto"/>
        </w:rPr>
        <w:t>动力计划表</w:t>
      </w:r>
    </w:p>
    <w:p>
      <w:pPr>
        <w:pStyle w:val="320"/>
        <w:spacing w:line="300" w:lineRule="exact"/>
        <w:ind w:firstLine="425"/>
        <w:rPr>
          <w:rFonts w:ascii="Times New Roman" w:hAnsi="Times New Roman"/>
          <w:color w:val="auto"/>
        </w:rPr>
      </w:pPr>
      <w:r>
        <w:rPr>
          <w:rFonts w:hint="eastAsia" w:ascii="Times New Roman" w:hAnsi="Times New Roman"/>
          <w:color w:val="auto"/>
        </w:rPr>
        <w:t>附表四</w:t>
      </w:r>
      <w:r>
        <w:rPr>
          <w:rFonts w:hint="eastAsia" w:ascii="Times New Roman" w:hAnsi="Times New Roman"/>
          <w:color w:val="auto"/>
        </w:rPr>
        <w:tab/>
      </w:r>
      <w:r>
        <w:rPr>
          <w:rFonts w:hint="eastAsia" w:ascii="Times New Roman" w:hAnsi="Times New Roman"/>
          <w:color w:val="auto"/>
        </w:rPr>
        <w:t>计划开、竣工日期和施工进度网络图或横道图</w:t>
      </w:r>
    </w:p>
    <w:p>
      <w:pPr>
        <w:pStyle w:val="320"/>
        <w:spacing w:line="300" w:lineRule="exact"/>
        <w:ind w:firstLine="425"/>
        <w:rPr>
          <w:rFonts w:ascii="Times New Roman" w:hAnsi="Times New Roman"/>
          <w:color w:val="auto"/>
        </w:rPr>
      </w:pPr>
      <w:r>
        <w:rPr>
          <w:rFonts w:hint="eastAsia" w:ascii="Times New Roman" w:hAnsi="Times New Roman"/>
          <w:color w:val="auto"/>
        </w:rPr>
        <w:t>附表五</w:t>
      </w:r>
      <w:r>
        <w:rPr>
          <w:rFonts w:hint="eastAsia" w:ascii="Times New Roman" w:hAnsi="Times New Roman"/>
          <w:color w:val="auto"/>
        </w:rPr>
        <w:tab/>
      </w:r>
      <w:r>
        <w:rPr>
          <w:rFonts w:hint="eastAsia" w:ascii="Times New Roman" w:hAnsi="Times New Roman"/>
          <w:color w:val="auto"/>
          <w:spacing w:val="-1"/>
        </w:rPr>
        <w:t>施</w:t>
      </w:r>
      <w:r>
        <w:rPr>
          <w:rFonts w:hint="eastAsia" w:ascii="Times New Roman" w:hAnsi="Times New Roman"/>
          <w:color w:val="auto"/>
        </w:rPr>
        <w:t>工总平面图</w:t>
      </w:r>
    </w:p>
    <w:p>
      <w:pPr>
        <w:pStyle w:val="320"/>
        <w:spacing w:line="300" w:lineRule="exact"/>
        <w:ind w:firstLine="425"/>
        <w:rPr>
          <w:rFonts w:ascii="Times New Roman" w:hAnsi="Times New Roman"/>
          <w:color w:val="auto"/>
        </w:rPr>
      </w:pPr>
      <w:r>
        <w:rPr>
          <w:rFonts w:hint="eastAsia" w:ascii="Times New Roman" w:hAnsi="Times New Roman"/>
          <w:color w:val="auto"/>
          <w:position w:val="-2"/>
        </w:rPr>
        <w:t>附表六</w:t>
      </w:r>
      <w:r>
        <w:rPr>
          <w:rFonts w:hint="eastAsia" w:ascii="Times New Roman" w:hAnsi="Times New Roman"/>
          <w:color w:val="auto"/>
          <w:position w:val="-2"/>
        </w:rPr>
        <w:tab/>
      </w:r>
      <w:r>
        <w:rPr>
          <w:rFonts w:hint="eastAsia" w:ascii="Times New Roman" w:hAnsi="Times New Roman"/>
          <w:color w:val="auto"/>
          <w:spacing w:val="-1"/>
          <w:position w:val="-2"/>
        </w:rPr>
        <w:t>临</w:t>
      </w:r>
      <w:r>
        <w:rPr>
          <w:rFonts w:hint="eastAsia" w:ascii="Times New Roman" w:hAnsi="Times New Roman"/>
          <w:color w:val="auto"/>
          <w:position w:val="-2"/>
        </w:rPr>
        <w:t>时用地表</w:t>
      </w:r>
    </w:p>
    <w:p>
      <w:pPr>
        <w:rPr>
          <w:rFonts w:cs="宋体"/>
          <w:color w:val="auto"/>
        </w:rPr>
      </w:pPr>
      <w:bookmarkStart w:id="570" w:name="_Toc418752351"/>
      <w:bookmarkStart w:id="571" w:name="_Toc483317224"/>
      <w:bookmarkStart w:id="572" w:name="_Toc418751905"/>
    </w:p>
    <w:p>
      <w:pPr>
        <w:rPr>
          <w:rFonts w:cs="宋体"/>
          <w:b/>
          <w:color w:val="auto"/>
        </w:rPr>
      </w:pPr>
      <w:r>
        <w:rPr>
          <w:rFonts w:hint="eastAsia" w:cs="宋体"/>
          <w:b/>
          <w:color w:val="auto"/>
        </w:rPr>
        <w:t>附表一：拟投入本项目的主要施工设备表</w:t>
      </w:r>
      <w:bookmarkEnd w:id="570"/>
      <w:bookmarkEnd w:id="571"/>
      <w:bookmarkEnd w:id="572"/>
    </w:p>
    <w:tbl>
      <w:tblPr>
        <w:tblStyle w:val="53"/>
        <w:tblW w:w="9648" w:type="dxa"/>
        <w:tblInd w:w="-5" w:type="dxa"/>
        <w:tblLayout w:type="fixed"/>
        <w:tblCellMar>
          <w:top w:w="0" w:type="dxa"/>
          <w:left w:w="0" w:type="dxa"/>
          <w:bottom w:w="0" w:type="dxa"/>
          <w:right w:w="0" w:type="dxa"/>
        </w:tblCellMar>
      </w:tblPr>
      <w:tblGrid>
        <w:gridCol w:w="734"/>
        <w:gridCol w:w="1198"/>
        <w:gridCol w:w="839"/>
        <w:gridCol w:w="1092"/>
        <w:gridCol w:w="741"/>
        <w:gridCol w:w="814"/>
        <w:gridCol w:w="1337"/>
        <w:gridCol w:w="965"/>
        <w:gridCol w:w="1164"/>
        <w:gridCol w:w="764"/>
      </w:tblGrid>
      <w:tr>
        <w:tblPrEx>
          <w:tblCellMar>
            <w:top w:w="0" w:type="dxa"/>
            <w:left w:w="0" w:type="dxa"/>
            <w:bottom w:w="0" w:type="dxa"/>
            <w:right w:w="0" w:type="dxa"/>
          </w:tblCellMar>
        </w:tblPrEx>
        <w:trPr>
          <w:trHeight w:val="827" w:hRule="atLeast"/>
        </w:trPr>
        <w:tc>
          <w:tcPr>
            <w:tcW w:w="734" w:type="dxa"/>
            <w:tcBorders>
              <w:top w:val="single" w:color="000000" w:sz="4" w:space="0"/>
              <w:left w:val="single" w:color="000000" w:sz="4" w:space="0"/>
              <w:bottom w:val="single" w:color="000000" w:sz="4" w:space="0"/>
              <w:right w:val="single" w:color="000000" w:sz="4" w:space="0"/>
            </w:tcBorders>
            <w:vAlign w:val="center"/>
          </w:tcPr>
          <w:p>
            <w:pPr>
              <w:pStyle w:val="320"/>
              <w:jc w:val="center"/>
              <w:rPr>
                <w:rFonts w:ascii="Times New Roman" w:hAnsi="Times New Roman"/>
                <w:color w:val="auto"/>
              </w:rPr>
            </w:pPr>
            <w:r>
              <w:rPr>
                <w:rFonts w:hint="eastAsia" w:ascii="Times New Roman" w:hAnsi="Times New Roman"/>
                <w:color w:val="auto"/>
              </w:rPr>
              <w:t>序号</w:t>
            </w:r>
          </w:p>
        </w:tc>
        <w:tc>
          <w:tcPr>
            <w:tcW w:w="1198" w:type="dxa"/>
            <w:tcBorders>
              <w:top w:val="single" w:color="000000" w:sz="4" w:space="0"/>
              <w:left w:val="nil"/>
              <w:bottom w:val="single" w:color="000000" w:sz="4" w:space="0"/>
              <w:right w:val="single" w:color="000000" w:sz="4" w:space="0"/>
            </w:tcBorders>
            <w:vAlign w:val="center"/>
          </w:tcPr>
          <w:p>
            <w:pPr>
              <w:pStyle w:val="320"/>
              <w:jc w:val="center"/>
              <w:rPr>
                <w:rFonts w:ascii="Times New Roman" w:hAnsi="Times New Roman"/>
                <w:color w:val="auto"/>
              </w:rPr>
            </w:pPr>
            <w:r>
              <w:rPr>
                <w:rFonts w:hint="eastAsia" w:ascii="Times New Roman" w:hAnsi="Times New Roman"/>
                <w:color w:val="auto"/>
              </w:rPr>
              <w:t>设备名称</w:t>
            </w:r>
          </w:p>
        </w:tc>
        <w:tc>
          <w:tcPr>
            <w:tcW w:w="839" w:type="dxa"/>
            <w:tcBorders>
              <w:top w:val="single" w:color="000000" w:sz="4" w:space="0"/>
              <w:left w:val="nil"/>
              <w:bottom w:val="single" w:color="000000" w:sz="4" w:space="0"/>
              <w:right w:val="single" w:color="000000" w:sz="4" w:space="0"/>
            </w:tcBorders>
            <w:vAlign w:val="center"/>
          </w:tcPr>
          <w:p>
            <w:pPr>
              <w:pStyle w:val="320"/>
              <w:jc w:val="center"/>
              <w:rPr>
                <w:rFonts w:ascii="Times New Roman" w:hAnsi="Times New Roman"/>
                <w:color w:val="auto"/>
              </w:rPr>
            </w:pPr>
            <w:r>
              <w:rPr>
                <w:rFonts w:hint="eastAsia" w:ascii="Times New Roman" w:hAnsi="Times New Roman"/>
                <w:color w:val="auto"/>
              </w:rPr>
              <w:t>型号</w:t>
            </w:r>
          </w:p>
          <w:p>
            <w:pPr>
              <w:pStyle w:val="320"/>
              <w:jc w:val="center"/>
              <w:rPr>
                <w:rFonts w:ascii="Times New Roman" w:hAnsi="Times New Roman"/>
                <w:color w:val="auto"/>
              </w:rPr>
            </w:pPr>
            <w:r>
              <w:rPr>
                <w:rFonts w:hint="eastAsia" w:ascii="Times New Roman" w:hAnsi="Times New Roman"/>
                <w:color w:val="auto"/>
              </w:rPr>
              <w:t>规格</w:t>
            </w:r>
          </w:p>
        </w:tc>
        <w:tc>
          <w:tcPr>
            <w:tcW w:w="1092" w:type="dxa"/>
            <w:tcBorders>
              <w:top w:val="single" w:color="000000" w:sz="4" w:space="0"/>
              <w:left w:val="nil"/>
              <w:bottom w:val="single" w:color="000000" w:sz="4" w:space="0"/>
              <w:right w:val="single" w:color="000000" w:sz="4" w:space="0"/>
            </w:tcBorders>
            <w:vAlign w:val="center"/>
          </w:tcPr>
          <w:p>
            <w:pPr>
              <w:pStyle w:val="320"/>
              <w:jc w:val="center"/>
              <w:rPr>
                <w:rFonts w:ascii="Times New Roman" w:hAnsi="Times New Roman"/>
                <w:color w:val="auto"/>
              </w:rPr>
            </w:pPr>
            <w:r>
              <w:rPr>
                <w:rFonts w:hint="eastAsia" w:ascii="Times New Roman" w:hAnsi="Times New Roman"/>
                <w:color w:val="auto"/>
              </w:rPr>
              <w:t>数量</w:t>
            </w:r>
          </w:p>
        </w:tc>
        <w:tc>
          <w:tcPr>
            <w:tcW w:w="741" w:type="dxa"/>
            <w:tcBorders>
              <w:top w:val="single" w:color="000000" w:sz="4" w:space="0"/>
              <w:left w:val="nil"/>
              <w:bottom w:val="single" w:color="000000" w:sz="4" w:space="0"/>
              <w:right w:val="single" w:color="000000" w:sz="4" w:space="0"/>
            </w:tcBorders>
            <w:vAlign w:val="center"/>
          </w:tcPr>
          <w:p>
            <w:pPr>
              <w:pStyle w:val="320"/>
              <w:jc w:val="center"/>
              <w:rPr>
                <w:rFonts w:ascii="Times New Roman" w:hAnsi="Times New Roman"/>
                <w:color w:val="auto"/>
              </w:rPr>
            </w:pPr>
            <w:r>
              <w:rPr>
                <w:rFonts w:hint="eastAsia" w:ascii="Times New Roman" w:hAnsi="Times New Roman"/>
                <w:color w:val="auto"/>
              </w:rPr>
              <w:t>国别</w:t>
            </w:r>
          </w:p>
          <w:p>
            <w:pPr>
              <w:pStyle w:val="320"/>
              <w:jc w:val="center"/>
              <w:rPr>
                <w:rFonts w:ascii="Times New Roman" w:hAnsi="Times New Roman"/>
                <w:color w:val="auto"/>
              </w:rPr>
            </w:pPr>
            <w:r>
              <w:rPr>
                <w:rFonts w:hint="eastAsia" w:ascii="Times New Roman" w:hAnsi="Times New Roman"/>
                <w:color w:val="auto"/>
              </w:rPr>
              <w:t>产地</w:t>
            </w:r>
          </w:p>
        </w:tc>
        <w:tc>
          <w:tcPr>
            <w:tcW w:w="814" w:type="dxa"/>
            <w:tcBorders>
              <w:top w:val="single" w:color="000000" w:sz="4" w:space="0"/>
              <w:left w:val="nil"/>
              <w:bottom w:val="single" w:color="000000" w:sz="4" w:space="0"/>
              <w:right w:val="single" w:color="000000" w:sz="4" w:space="0"/>
            </w:tcBorders>
            <w:vAlign w:val="center"/>
          </w:tcPr>
          <w:p>
            <w:pPr>
              <w:pStyle w:val="320"/>
              <w:jc w:val="center"/>
              <w:rPr>
                <w:rFonts w:ascii="Times New Roman" w:hAnsi="Times New Roman"/>
                <w:color w:val="auto"/>
              </w:rPr>
            </w:pPr>
            <w:r>
              <w:rPr>
                <w:rFonts w:hint="eastAsia" w:ascii="Times New Roman" w:hAnsi="Times New Roman"/>
                <w:color w:val="auto"/>
              </w:rPr>
              <w:t>制造</w:t>
            </w:r>
          </w:p>
          <w:p>
            <w:pPr>
              <w:pStyle w:val="320"/>
              <w:jc w:val="center"/>
              <w:rPr>
                <w:rFonts w:ascii="Times New Roman" w:hAnsi="Times New Roman"/>
                <w:color w:val="auto"/>
              </w:rPr>
            </w:pPr>
            <w:r>
              <w:rPr>
                <w:rFonts w:hint="eastAsia" w:ascii="Times New Roman" w:hAnsi="Times New Roman"/>
                <w:color w:val="auto"/>
              </w:rPr>
              <w:t>年份</w:t>
            </w:r>
          </w:p>
        </w:tc>
        <w:tc>
          <w:tcPr>
            <w:tcW w:w="1337" w:type="dxa"/>
            <w:tcBorders>
              <w:top w:val="single" w:color="000000" w:sz="4" w:space="0"/>
              <w:left w:val="nil"/>
              <w:bottom w:val="single" w:color="000000" w:sz="4" w:space="0"/>
              <w:right w:val="single" w:color="000000" w:sz="4" w:space="0"/>
            </w:tcBorders>
            <w:vAlign w:val="center"/>
          </w:tcPr>
          <w:p>
            <w:pPr>
              <w:pStyle w:val="320"/>
              <w:jc w:val="center"/>
              <w:rPr>
                <w:rFonts w:ascii="Times New Roman" w:hAnsi="Times New Roman"/>
                <w:color w:val="auto"/>
              </w:rPr>
            </w:pPr>
            <w:r>
              <w:rPr>
                <w:rFonts w:hint="eastAsia" w:ascii="Times New Roman" w:hAnsi="Times New Roman"/>
                <w:color w:val="auto"/>
              </w:rPr>
              <w:t>额定功率</w:t>
            </w:r>
          </w:p>
          <w:p>
            <w:pPr>
              <w:pStyle w:val="320"/>
              <w:jc w:val="center"/>
              <w:rPr>
                <w:rFonts w:ascii="Times New Roman" w:hAnsi="Times New Roman"/>
                <w:color w:val="auto"/>
              </w:rPr>
            </w:pPr>
            <w:r>
              <w:rPr>
                <w:rFonts w:hint="eastAsia" w:ascii="Times New Roman" w:hAnsi="Times New Roman"/>
                <w:color w:val="auto"/>
              </w:rPr>
              <w:t>（KW）</w:t>
            </w:r>
          </w:p>
        </w:tc>
        <w:tc>
          <w:tcPr>
            <w:tcW w:w="965" w:type="dxa"/>
            <w:tcBorders>
              <w:top w:val="single" w:color="000000" w:sz="4" w:space="0"/>
              <w:left w:val="nil"/>
              <w:bottom w:val="single" w:color="000000" w:sz="4" w:space="0"/>
              <w:right w:val="single" w:color="000000" w:sz="4" w:space="0"/>
            </w:tcBorders>
            <w:vAlign w:val="center"/>
          </w:tcPr>
          <w:p>
            <w:pPr>
              <w:pStyle w:val="320"/>
              <w:jc w:val="center"/>
              <w:rPr>
                <w:rFonts w:ascii="Times New Roman" w:hAnsi="Times New Roman"/>
                <w:color w:val="auto"/>
              </w:rPr>
            </w:pPr>
            <w:r>
              <w:rPr>
                <w:rFonts w:hint="eastAsia" w:ascii="Times New Roman" w:hAnsi="Times New Roman"/>
                <w:color w:val="auto"/>
              </w:rPr>
              <w:t>生产</w:t>
            </w:r>
          </w:p>
          <w:p>
            <w:pPr>
              <w:pStyle w:val="320"/>
              <w:jc w:val="center"/>
              <w:rPr>
                <w:rFonts w:ascii="Times New Roman" w:hAnsi="Times New Roman"/>
                <w:color w:val="auto"/>
              </w:rPr>
            </w:pPr>
            <w:r>
              <w:rPr>
                <w:rFonts w:hint="eastAsia" w:ascii="Times New Roman" w:hAnsi="Times New Roman"/>
                <w:color w:val="auto"/>
              </w:rPr>
              <w:t>能力</w:t>
            </w:r>
          </w:p>
        </w:tc>
        <w:tc>
          <w:tcPr>
            <w:tcW w:w="1164" w:type="dxa"/>
            <w:tcBorders>
              <w:top w:val="single" w:color="000000" w:sz="4" w:space="0"/>
              <w:left w:val="nil"/>
              <w:bottom w:val="single" w:color="000000" w:sz="4" w:space="0"/>
              <w:right w:val="single" w:color="000000" w:sz="4" w:space="0"/>
            </w:tcBorders>
            <w:vAlign w:val="center"/>
          </w:tcPr>
          <w:p>
            <w:pPr>
              <w:pStyle w:val="320"/>
              <w:jc w:val="center"/>
              <w:rPr>
                <w:rFonts w:ascii="Times New Roman" w:hAnsi="Times New Roman"/>
                <w:color w:val="auto"/>
              </w:rPr>
            </w:pPr>
            <w:r>
              <w:rPr>
                <w:rFonts w:hint="eastAsia" w:ascii="Times New Roman" w:hAnsi="Times New Roman"/>
                <w:color w:val="auto"/>
              </w:rPr>
              <w:t>用于施</w:t>
            </w:r>
          </w:p>
          <w:p>
            <w:pPr>
              <w:pStyle w:val="320"/>
              <w:jc w:val="center"/>
              <w:rPr>
                <w:rFonts w:ascii="Times New Roman" w:hAnsi="Times New Roman"/>
                <w:color w:val="auto"/>
              </w:rPr>
            </w:pPr>
            <w:r>
              <w:rPr>
                <w:rFonts w:hint="eastAsia" w:ascii="Times New Roman" w:hAnsi="Times New Roman"/>
                <w:color w:val="auto"/>
              </w:rPr>
              <w:t>工部位</w:t>
            </w:r>
          </w:p>
        </w:tc>
        <w:tc>
          <w:tcPr>
            <w:tcW w:w="764" w:type="dxa"/>
            <w:tcBorders>
              <w:top w:val="single" w:color="000000" w:sz="4" w:space="0"/>
              <w:left w:val="nil"/>
              <w:bottom w:val="single" w:color="000000" w:sz="4" w:space="0"/>
              <w:right w:val="single" w:color="000000" w:sz="4" w:space="0"/>
            </w:tcBorders>
            <w:vAlign w:val="center"/>
          </w:tcPr>
          <w:p>
            <w:pPr>
              <w:pStyle w:val="320"/>
              <w:jc w:val="center"/>
              <w:rPr>
                <w:rFonts w:ascii="Times New Roman" w:hAnsi="Times New Roman"/>
                <w:color w:val="auto"/>
              </w:rPr>
            </w:pPr>
            <w:r>
              <w:rPr>
                <w:rFonts w:hint="eastAsia" w:ascii="Times New Roman" w:hAnsi="Times New Roman"/>
                <w:color w:val="auto"/>
              </w:rPr>
              <w:t>备注</w:t>
            </w: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tcPr>
          <w:p>
            <w:pPr>
              <w:pStyle w:val="320"/>
              <w:rPr>
                <w:rFonts w:ascii="Times New Roman" w:hAnsi="Times New Roman"/>
                <w:color w:val="auto"/>
              </w:rPr>
            </w:pPr>
          </w:p>
        </w:tc>
        <w:tc>
          <w:tcPr>
            <w:tcW w:w="1198"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839"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1092"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741"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814"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1337"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965"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1164"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764"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tcPr>
          <w:p>
            <w:pPr>
              <w:pStyle w:val="320"/>
              <w:rPr>
                <w:rFonts w:ascii="Times New Roman" w:hAnsi="Times New Roman"/>
                <w:color w:val="auto"/>
              </w:rPr>
            </w:pPr>
          </w:p>
        </w:tc>
        <w:tc>
          <w:tcPr>
            <w:tcW w:w="1198"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839"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1092"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741"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814"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1337"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965"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1164"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764"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tcPr>
          <w:p>
            <w:pPr>
              <w:pStyle w:val="320"/>
              <w:rPr>
                <w:rFonts w:ascii="Times New Roman" w:hAnsi="Times New Roman"/>
                <w:color w:val="auto"/>
              </w:rPr>
            </w:pPr>
          </w:p>
        </w:tc>
        <w:tc>
          <w:tcPr>
            <w:tcW w:w="1198"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839"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1092"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741"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814"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1337"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965"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1164"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764"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tcPr>
          <w:p>
            <w:pPr>
              <w:pStyle w:val="320"/>
              <w:rPr>
                <w:rFonts w:ascii="Times New Roman" w:hAnsi="Times New Roman"/>
                <w:color w:val="auto"/>
              </w:rPr>
            </w:pPr>
          </w:p>
        </w:tc>
        <w:tc>
          <w:tcPr>
            <w:tcW w:w="1198"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839"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1092"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741"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814"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1337"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965"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1164"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c>
          <w:tcPr>
            <w:tcW w:w="764"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rPr>
            </w:pPr>
          </w:p>
        </w:tc>
      </w:tr>
    </w:tbl>
    <w:p>
      <w:pPr>
        <w:pStyle w:val="320"/>
        <w:rPr>
          <w:rFonts w:ascii="Times New Roman" w:hAnsi="Times New Roman"/>
          <w:color w:val="auto"/>
        </w:rPr>
      </w:pPr>
      <w:r>
        <w:rPr>
          <w:rFonts w:hint="eastAsia" w:ascii="Times New Roman" w:hAnsi="Times New Roman"/>
          <w:color w:val="auto"/>
        </w:rPr>
        <w:t xml:space="preserve"> </w:t>
      </w:r>
    </w:p>
    <w:p>
      <w:pPr>
        <w:rPr>
          <w:rFonts w:cs="宋体"/>
          <w:b/>
          <w:color w:val="auto"/>
        </w:rPr>
      </w:pPr>
      <w:bookmarkStart w:id="573" w:name="_Toc418751906"/>
      <w:bookmarkStart w:id="574" w:name="_Toc418752352"/>
      <w:bookmarkStart w:id="575" w:name="_Toc483317225"/>
      <w:r>
        <w:rPr>
          <w:rFonts w:hint="eastAsia" w:cs="宋体"/>
          <w:b/>
          <w:color w:val="auto"/>
        </w:rPr>
        <w:t>附表二：拟配备本项目的试验和检测仪器设备表</w:t>
      </w:r>
      <w:bookmarkEnd w:id="573"/>
      <w:bookmarkEnd w:id="574"/>
      <w:bookmarkEnd w:id="575"/>
    </w:p>
    <w:tbl>
      <w:tblPr>
        <w:tblStyle w:val="53"/>
        <w:tblW w:w="9648" w:type="dxa"/>
        <w:tblInd w:w="-5" w:type="dxa"/>
        <w:tblLayout w:type="fixed"/>
        <w:tblCellMar>
          <w:top w:w="0" w:type="dxa"/>
          <w:left w:w="0" w:type="dxa"/>
          <w:bottom w:w="0" w:type="dxa"/>
          <w:right w:w="0" w:type="dxa"/>
        </w:tblCellMar>
      </w:tblPr>
      <w:tblGrid>
        <w:gridCol w:w="759"/>
        <w:gridCol w:w="1239"/>
        <w:gridCol w:w="866"/>
        <w:gridCol w:w="996"/>
        <w:gridCol w:w="750"/>
        <w:gridCol w:w="810"/>
        <w:gridCol w:w="1562"/>
        <w:gridCol w:w="1885"/>
        <w:gridCol w:w="781"/>
      </w:tblGrid>
      <w:tr>
        <w:tblPrEx>
          <w:tblCellMar>
            <w:top w:w="0" w:type="dxa"/>
            <w:left w:w="0" w:type="dxa"/>
            <w:bottom w:w="0" w:type="dxa"/>
            <w:right w:w="0" w:type="dxa"/>
          </w:tblCellMar>
        </w:tblPrEx>
        <w:trPr>
          <w:trHeight w:val="889"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pStyle w:val="320"/>
              <w:jc w:val="center"/>
              <w:rPr>
                <w:rFonts w:ascii="Times New Roman" w:hAnsi="Times New Roman"/>
                <w:color w:val="auto"/>
                <w:sz w:val="24"/>
                <w:szCs w:val="24"/>
              </w:rPr>
            </w:pPr>
            <w:r>
              <w:rPr>
                <w:rFonts w:hint="eastAsia" w:ascii="Times New Roman" w:hAnsi="Times New Roman"/>
                <w:color w:val="auto"/>
              </w:rPr>
              <w:t>序号</w:t>
            </w:r>
          </w:p>
        </w:tc>
        <w:tc>
          <w:tcPr>
            <w:tcW w:w="1239" w:type="dxa"/>
            <w:tcBorders>
              <w:top w:val="single" w:color="000000" w:sz="4" w:space="0"/>
              <w:left w:val="nil"/>
              <w:bottom w:val="single" w:color="000000" w:sz="4" w:space="0"/>
              <w:right w:val="single" w:color="000000" w:sz="4" w:space="0"/>
            </w:tcBorders>
            <w:vAlign w:val="center"/>
          </w:tcPr>
          <w:p>
            <w:pPr>
              <w:pStyle w:val="320"/>
              <w:jc w:val="center"/>
              <w:rPr>
                <w:rFonts w:ascii="Times New Roman" w:hAnsi="Times New Roman"/>
                <w:color w:val="auto"/>
              </w:rPr>
            </w:pPr>
            <w:r>
              <w:rPr>
                <w:rFonts w:hint="eastAsia" w:ascii="Times New Roman" w:hAnsi="Times New Roman"/>
                <w:color w:val="auto"/>
              </w:rPr>
              <w:t>仪器设备</w:t>
            </w:r>
          </w:p>
          <w:p>
            <w:pPr>
              <w:pStyle w:val="320"/>
              <w:jc w:val="center"/>
              <w:rPr>
                <w:rFonts w:ascii="Times New Roman" w:hAnsi="Times New Roman"/>
                <w:color w:val="auto"/>
                <w:sz w:val="24"/>
                <w:szCs w:val="24"/>
              </w:rPr>
            </w:pPr>
            <w:r>
              <w:rPr>
                <w:rFonts w:hint="eastAsia" w:ascii="Times New Roman" w:hAnsi="Times New Roman"/>
                <w:color w:val="auto"/>
              </w:rPr>
              <w:t>名称</w:t>
            </w:r>
          </w:p>
        </w:tc>
        <w:tc>
          <w:tcPr>
            <w:tcW w:w="866" w:type="dxa"/>
            <w:tcBorders>
              <w:top w:val="single" w:color="000000" w:sz="4" w:space="0"/>
              <w:left w:val="nil"/>
              <w:bottom w:val="single" w:color="000000" w:sz="4" w:space="0"/>
              <w:right w:val="single" w:color="000000" w:sz="4" w:space="0"/>
            </w:tcBorders>
            <w:vAlign w:val="center"/>
          </w:tcPr>
          <w:p>
            <w:pPr>
              <w:pStyle w:val="320"/>
              <w:jc w:val="center"/>
              <w:rPr>
                <w:rFonts w:ascii="Times New Roman" w:hAnsi="Times New Roman"/>
                <w:color w:val="auto"/>
              </w:rPr>
            </w:pPr>
            <w:r>
              <w:rPr>
                <w:rFonts w:hint="eastAsia" w:ascii="Times New Roman" w:hAnsi="Times New Roman"/>
                <w:color w:val="auto"/>
              </w:rPr>
              <w:t>型号</w:t>
            </w:r>
          </w:p>
          <w:p>
            <w:pPr>
              <w:pStyle w:val="320"/>
              <w:jc w:val="center"/>
              <w:rPr>
                <w:rFonts w:ascii="Times New Roman" w:hAnsi="Times New Roman"/>
                <w:color w:val="auto"/>
                <w:sz w:val="24"/>
                <w:szCs w:val="24"/>
              </w:rPr>
            </w:pPr>
            <w:r>
              <w:rPr>
                <w:rFonts w:hint="eastAsia" w:ascii="Times New Roman" w:hAnsi="Times New Roman"/>
                <w:color w:val="auto"/>
              </w:rPr>
              <w:t>规格</w:t>
            </w:r>
          </w:p>
        </w:tc>
        <w:tc>
          <w:tcPr>
            <w:tcW w:w="996" w:type="dxa"/>
            <w:tcBorders>
              <w:top w:val="single" w:color="000000" w:sz="4" w:space="0"/>
              <w:left w:val="nil"/>
              <w:bottom w:val="single" w:color="000000" w:sz="4" w:space="0"/>
              <w:right w:val="single" w:color="000000" w:sz="4" w:space="0"/>
            </w:tcBorders>
            <w:vAlign w:val="center"/>
          </w:tcPr>
          <w:p>
            <w:pPr>
              <w:pStyle w:val="320"/>
              <w:jc w:val="center"/>
              <w:rPr>
                <w:rFonts w:ascii="Times New Roman" w:hAnsi="Times New Roman"/>
                <w:color w:val="auto"/>
                <w:sz w:val="24"/>
                <w:szCs w:val="24"/>
              </w:rPr>
            </w:pPr>
            <w:r>
              <w:rPr>
                <w:rFonts w:hint="eastAsia" w:ascii="Times New Roman" w:hAnsi="Times New Roman"/>
                <w:color w:val="auto"/>
              </w:rPr>
              <w:t>数量</w:t>
            </w:r>
          </w:p>
        </w:tc>
        <w:tc>
          <w:tcPr>
            <w:tcW w:w="750" w:type="dxa"/>
            <w:tcBorders>
              <w:top w:val="single" w:color="000000" w:sz="4" w:space="0"/>
              <w:left w:val="nil"/>
              <w:bottom w:val="single" w:color="000000" w:sz="4" w:space="0"/>
              <w:right w:val="single" w:color="000000" w:sz="4" w:space="0"/>
            </w:tcBorders>
            <w:vAlign w:val="center"/>
          </w:tcPr>
          <w:p>
            <w:pPr>
              <w:pStyle w:val="320"/>
              <w:jc w:val="center"/>
              <w:rPr>
                <w:rFonts w:ascii="Times New Roman" w:hAnsi="Times New Roman"/>
                <w:color w:val="auto"/>
              </w:rPr>
            </w:pPr>
            <w:r>
              <w:rPr>
                <w:rFonts w:hint="eastAsia" w:ascii="Times New Roman" w:hAnsi="Times New Roman"/>
                <w:color w:val="auto"/>
              </w:rPr>
              <w:t>国别</w:t>
            </w:r>
          </w:p>
          <w:p>
            <w:pPr>
              <w:pStyle w:val="320"/>
              <w:jc w:val="center"/>
              <w:rPr>
                <w:rFonts w:ascii="Times New Roman" w:hAnsi="Times New Roman"/>
                <w:color w:val="auto"/>
                <w:sz w:val="24"/>
                <w:szCs w:val="24"/>
              </w:rPr>
            </w:pPr>
            <w:r>
              <w:rPr>
                <w:rFonts w:hint="eastAsia" w:ascii="Times New Roman" w:hAnsi="Times New Roman"/>
                <w:color w:val="auto"/>
              </w:rPr>
              <w:t>产地</w:t>
            </w:r>
          </w:p>
        </w:tc>
        <w:tc>
          <w:tcPr>
            <w:tcW w:w="810" w:type="dxa"/>
            <w:tcBorders>
              <w:top w:val="single" w:color="000000" w:sz="4" w:space="0"/>
              <w:left w:val="nil"/>
              <w:bottom w:val="single" w:color="000000" w:sz="4" w:space="0"/>
              <w:right w:val="single" w:color="000000" w:sz="4" w:space="0"/>
            </w:tcBorders>
            <w:vAlign w:val="center"/>
          </w:tcPr>
          <w:p>
            <w:pPr>
              <w:pStyle w:val="320"/>
              <w:jc w:val="center"/>
              <w:rPr>
                <w:rFonts w:ascii="Times New Roman" w:hAnsi="Times New Roman"/>
                <w:color w:val="auto"/>
              </w:rPr>
            </w:pPr>
            <w:r>
              <w:rPr>
                <w:rFonts w:hint="eastAsia" w:ascii="Times New Roman" w:hAnsi="Times New Roman"/>
                <w:color w:val="auto"/>
              </w:rPr>
              <w:t>制造</w:t>
            </w:r>
          </w:p>
          <w:p>
            <w:pPr>
              <w:pStyle w:val="320"/>
              <w:jc w:val="center"/>
              <w:rPr>
                <w:rFonts w:ascii="Times New Roman" w:hAnsi="Times New Roman"/>
                <w:color w:val="auto"/>
                <w:sz w:val="24"/>
                <w:szCs w:val="24"/>
              </w:rPr>
            </w:pPr>
            <w:r>
              <w:rPr>
                <w:rFonts w:hint="eastAsia" w:ascii="Times New Roman" w:hAnsi="Times New Roman"/>
                <w:color w:val="auto"/>
              </w:rPr>
              <w:t>年份</w:t>
            </w:r>
          </w:p>
        </w:tc>
        <w:tc>
          <w:tcPr>
            <w:tcW w:w="1562" w:type="dxa"/>
            <w:tcBorders>
              <w:top w:val="single" w:color="000000" w:sz="4" w:space="0"/>
              <w:left w:val="nil"/>
              <w:bottom w:val="single" w:color="000000" w:sz="4" w:space="0"/>
              <w:right w:val="single" w:color="000000" w:sz="4" w:space="0"/>
            </w:tcBorders>
            <w:vAlign w:val="center"/>
          </w:tcPr>
          <w:p>
            <w:pPr>
              <w:pStyle w:val="320"/>
              <w:jc w:val="center"/>
              <w:rPr>
                <w:rFonts w:ascii="Times New Roman" w:hAnsi="Times New Roman"/>
                <w:color w:val="auto"/>
              </w:rPr>
            </w:pPr>
            <w:r>
              <w:rPr>
                <w:rFonts w:hint="eastAsia" w:ascii="Times New Roman" w:hAnsi="Times New Roman"/>
                <w:color w:val="auto"/>
              </w:rPr>
              <w:t>已使用</w:t>
            </w:r>
          </w:p>
          <w:p>
            <w:pPr>
              <w:pStyle w:val="320"/>
              <w:jc w:val="center"/>
              <w:rPr>
                <w:rFonts w:ascii="Times New Roman" w:hAnsi="Times New Roman"/>
                <w:color w:val="auto"/>
                <w:sz w:val="24"/>
                <w:szCs w:val="24"/>
              </w:rPr>
            </w:pPr>
            <w:r>
              <w:rPr>
                <w:rFonts w:hint="eastAsia" w:ascii="Times New Roman" w:hAnsi="Times New Roman"/>
                <w:color w:val="auto"/>
              </w:rPr>
              <w:t>台时数</w:t>
            </w:r>
          </w:p>
        </w:tc>
        <w:tc>
          <w:tcPr>
            <w:tcW w:w="1885" w:type="dxa"/>
            <w:tcBorders>
              <w:top w:val="single" w:color="000000" w:sz="4" w:space="0"/>
              <w:left w:val="nil"/>
              <w:bottom w:val="single" w:color="000000" w:sz="4" w:space="0"/>
              <w:right w:val="single" w:color="000000" w:sz="4" w:space="0"/>
            </w:tcBorders>
            <w:vAlign w:val="center"/>
          </w:tcPr>
          <w:p>
            <w:pPr>
              <w:pStyle w:val="320"/>
              <w:jc w:val="center"/>
              <w:rPr>
                <w:rFonts w:ascii="Times New Roman" w:hAnsi="Times New Roman"/>
                <w:color w:val="auto"/>
                <w:sz w:val="24"/>
                <w:szCs w:val="24"/>
              </w:rPr>
            </w:pPr>
            <w:r>
              <w:rPr>
                <w:rFonts w:hint="eastAsia" w:ascii="Times New Roman" w:hAnsi="Times New Roman"/>
                <w:color w:val="auto"/>
              </w:rPr>
              <w:t>用途</w:t>
            </w:r>
          </w:p>
        </w:tc>
        <w:tc>
          <w:tcPr>
            <w:tcW w:w="781" w:type="dxa"/>
            <w:tcBorders>
              <w:top w:val="single" w:color="000000" w:sz="4" w:space="0"/>
              <w:left w:val="nil"/>
              <w:bottom w:val="single" w:color="000000" w:sz="4" w:space="0"/>
              <w:right w:val="single" w:color="000000" w:sz="4" w:space="0"/>
            </w:tcBorders>
            <w:vAlign w:val="center"/>
          </w:tcPr>
          <w:p>
            <w:pPr>
              <w:pStyle w:val="320"/>
              <w:jc w:val="center"/>
              <w:rPr>
                <w:rFonts w:ascii="Times New Roman" w:hAnsi="Times New Roman"/>
                <w:color w:val="auto"/>
                <w:sz w:val="24"/>
                <w:szCs w:val="24"/>
              </w:rPr>
            </w:pPr>
            <w:r>
              <w:rPr>
                <w:rFonts w:hint="eastAsia" w:ascii="Times New Roman" w:hAnsi="Times New Roman"/>
                <w:color w:val="auto"/>
              </w:rPr>
              <w:t>备注</w:t>
            </w:r>
          </w:p>
        </w:tc>
      </w:tr>
      <w:tr>
        <w:tblPrEx>
          <w:tblCellMar>
            <w:top w:w="0" w:type="dxa"/>
            <w:left w:w="0" w:type="dxa"/>
            <w:bottom w:w="0" w:type="dxa"/>
            <w:right w:w="0" w:type="dxa"/>
          </w:tblCellMar>
        </w:tblPrEx>
        <w:trPr>
          <w:trHeight w:val="450" w:hRule="atLeast"/>
        </w:trPr>
        <w:tc>
          <w:tcPr>
            <w:tcW w:w="759" w:type="dxa"/>
            <w:tcBorders>
              <w:top w:val="single" w:color="000000" w:sz="4" w:space="0"/>
              <w:left w:val="single" w:color="000000" w:sz="4" w:space="0"/>
              <w:bottom w:val="single" w:color="000000" w:sz="4" w:space="0"/>
              <w:right w:val="single" w:color="000000" w:sz="4" w:space="0"/>
            </w:tcBorders>
          </w:tcPr>
          <w:p>
            <w:pPr>
              <w:pStyle w:val="320"/>
              <w:rPr>
                <w:rFonts w:ascii="Times New Roman" w:hAnsi="Times New Roman"/>
                <w:color w:val="auto"/>
                <w:sz w:val="24"/>
                <w:szCs w:val="24"/>
              </w:rPr>
            </w:pPr>
          </w:p>
        </w:tc>
        <w:tc>
          <w:tcPr>
            <w:tcW w:w="1239"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866"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996"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750"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810"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562"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885"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781"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r>
      <w:tr>
        <w:tblPrEx>
          <w:tblCellMar>
            <w:top w:w="0" w:type="dxa"/>
            <w:left w:w="0" w:type="dxa"/>
            <w:bottom w:w="0" w:type="dxa"/>
            <w:right w:w="0" w:type="dxa"/>
          </w:tblCellMar>
        </w:tblPrEx>
        <w:trPr>
          <w:trHeight w:val="450" w:hRule="atLeast"/>
        </w:trPr>
        <w:tc>
          <w:tcPr>
            <w:tcW w:w="759" w:type="dxa"/>
            <w:tcBorders>
              <w:top w:val="single" w:color="000000" w:sz="4" w:space="0"/>
              <w:left w:val="single" w:color="000000" w:sz="4" w:space="0"/>
              <w:bottom w:val="single" w:color="000000" w:sz="4" w:space="0"/>
              <w:right w:val="single" w:color="000000" w:sz="4" w:space="0"/>
            </w:tcBorders>
          </w:tcPr>
          <w:p>
            <w:pPr>
              <w:pStyle w:val="320"/>
              <w:rPr>
                <w:rFonts w:ascii="Times New Roman" w:hAnsi="Times New Roman"/>
                <w:color w:val="auto"/>
                <w:sz w:val="24"/>
                <w:szCs w:val="24"/>
              </w:rPr>
            </w:pPr>
          </w:p>
        </w:tc>
        <w:tc>
          <w:tcPr>
            <w:tcW w:w="1239"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866"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996"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750"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810"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562"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885"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781"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r>
      <w:tr>
        <w:tblPrEx>
          <w:tblCellMar>
            <w:top w:w="0" w:type="dxa"/>
            <w:left w:w="0" w:type="dxa"/>
            <w:bottom w:w="0" w:type="dxa"/>
            <w:right w:w="0" w:type="dxa"/>
          </w:tblCellMar>
        </w:tblPrEx>
        <w:trPr>
          <w:trHeight w:val="450" w:hRule="atLeast"/>
        </w:trPr>
        <w:tc>
          <w:tcPr>
            <w:tcW w:w="759" w:type="dxa"/>
            <w:tcBorders>
              <w:top w:val="single" w:color="000000" w:sz="4" w:space="0"/>
              <w:left w:val="single" w:color="000000" w:sz="4" w:space="0"/>
              <w:bottom w:val="single" w:color="000000" w:sz="4" w:space="0"/>
              <w:right w:val="single" w:color="000000" w:sz="4" w:space="0"/>
            </w:tcBorders>
          </w:tcPr>
          <w:p>
            <w:pPr>
              <w:pStyle w:val="320"/>
              <w:rPr>
                <w:rFonts w:ascii="Times New Roman" w:hAnsi="Times New Roman"/>
                <w:color w:val="auto"/>
                <w:sz w:val="24"/>
                <w:szCs w:val="24"/>
              </w:rPr>
            </w:pPr>
          </w:p>
        </w:tc>
        <w:tc>
          <w:tcPr>
            <w:tcW w:w="1239"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866"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996"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750"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810"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562"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885"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781"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r>
      <w:tr>
        <w:tblPrEx>
          <w:tblCellMar>
            <w:top w:w="0" w:type="dxa"/>
            <w:left w:w="0" w:type="dxa"/>
            <w:bottom w:w="0" w:type="dxa"/>
            <w:right w:w="0" w:type="dxa"/>
          </w:tblCellMar>
        </w:tblPrEx>
        <w:trPr>
          <w:trHeight w:val="450" w:hRule="atLeast"/>
        </w:trPr>
        <w:tc>
          <w:tcPr>
            <w:tcW w:w="759" w:type="dxa"/>
            <w:tcBorders>
              <w:top w:val="single" w:color="000000" w:sz="4" w:space="0"/>
              <w:left w:val="single" w:color="000000" w:sz="4" w:space="0"/>
              <w:bottom w:val="single" w:color="000000" w:sz="4" w:space="0"/>
              <w:right w:val="single" w:color="000000" w:sz="4" w:space="0"/>
            </w:tcBorders>
          </w:tcPr>
          <w:p>
            <w:pPr>
              <w:pStyle w:val="320"/>
              <w:rPr>
                <w:rFonts w:ascii="Times New Roman" w:hAnsi="Times New Roman"/>
                <w:color w:val="auto"/>
                <w:sz w:val="24"/>
                <w:szCs w:val="24"/>
              </w:rPr>
            </w:pPr>
          </w:p>
        </w:tc>
        <w:tc>
          <w:tcPr>
            <w:tcW w:w="1239"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866"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996"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750"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810"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562"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885"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781"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r>
    </w:tbl>
    <w:p>
      <w:pPr>
        <w:pStyle w:val="320"/>
        <w:rPr>
          <w:rFonts w:ascii="Times New Roman" w:hAnsi="Times New Roman"/>
          <w:b/>
          <w:color w:val="auto"/>
        </w:rPr>
      </w:pPr>
      <w:r>
        <w:rPr>
          <w:rFonts w:hint="eastAsia" w:ascii="Times New Roman" w:hAnsi="Times New Roman"/>
          <w:color w:val="auto"/>
          <w:sz w:val="20"/>
          <w:szCs w:val="20"/>
        </w:rPr>
        <w:t xml:space="preserve"> </w:t>
      </w:r>
      <w:bookmarkStart w:id="576" w:name="_Toc418752353"/>
      <w:bookmarkStart w:id="577" w:name="_Toc418751907"/>
      <w:bookmarkStart w:id="578" w:name="_Toc483317226"/>
      <w:r>
        <w:rPr>
          <w:rFonts w:hint="eastAsia" w:ascii="Times New Roman" w:hAnsi="Times New Roman"/>
          <w:b/>
          <w:color w:val="auto"/>
        </w:rPr>
        <w:t>附表三：劳动力计划表</w:t>
      </w:r>
      <w:bookmarkEnd w:id="576"/>
      <w:bookmarkEnd w:id="577"/>
      <w:bookmarkEnd w:id="578"/>
    </w:p>
    <w:p>
      <w:pPr>
        <w:pStyle w:val="320"/>
        <w:jc w:val="right"/>
        <w:rPr>
          <w:rFonts w:ascii="Times New Roman" w:hAnsi="Times New Roman"/>
          <w:color w:val="auto"/>
        </w:rPr>
      </w:pPr>
      <w:r>
        <w:rPr>
          <w:rFonts w:hint="eastAsia" w:ascii="Times New Roman" w:hAnsi="Times New Roman"/>
          <w:color w:val="auto"/>
        </w:rPr>
        <w:t>单位：人</w:t>
      </w:r>
    </w:p>
    <w:tbl>
      <w:tblPr>
        <w:tblStyle w:val="53"/>
        <w:tblW w:w="9648" w:type="dxa"/>
        <w:tblInd w:w="-5" w:type="dxa"/>
        <w:tblLayout w:type="fixed"/>
        <w:tblCellMar>
          <w:top w:w="0" w:type="dxa"/>
          <w:left w:w="0" w:type="dxa"/>
          <w:bottom w:w="0" w:type="dxa"/>
          <w:right w:w="0" w:type="dxa"/>
        </w:tblCellMar>
      </w:tblPr>
      <w:tblGrid>
        <w:gridCol w:w="938"/>
        <w:gridCol w:w="1478"/>
        <w:gridCol w:w="1204"/>
        <w:gridCol w:w="1206"/>
        <w:gridCol w:w="1204"/>
        <w:gridCol w:w="1206"/>
        <w:gridCol w:w="1204"/>
        <w:gridCol w:w="1208"/>
      </w:tblGrid>
      <w:tr>
        <w:tblPrEx>
          <w:tblCellMar>
            <w:top w:w="0" w:type="dxa"/>
            <w:left w:w="0" w:type="dxa"/>
            <w:bottom w:w="0" w:type="dxa"/>
            <w:right w:w="0" w:type="dxa"/>
          </w:tblCellMar>
        </w:tblPrEx>
        <w:trPr>
          <w:trHeight w:val="450" w:hRule="atLeast"/>
        </w:trPr>
        <w:tc>
          <w:tcPr>
            <w:tcW w:w="938" w:type="dxa"/>
            <w:tcBorders>
              <w:top w:val="single" w:color="000000" w:sz="4" w:space="0"/>
              <w:left w:val="single" w:color="000000" w:sz="4" w:space="0"/>
              <w:bottom w:val="single" w:color="000000" w:sz="4" w:space="0"/>
              <w:right w:val="single" w:color="000000" w:sz="4" w:space="0"/>
            </w:tcBorders>
            <w:vAlign w:val="center"/>
          </w:tcPr>
          <w:p>
            <w:pPr>
              <w:pStyle w:val="320"/>
              <w:jc w:val="center"/>
              <w:rPr>
                <w:rFonts w:ascii="Times New Roman" w:hAnsi="Times New Roman"/>
                <w:color w:val="auto"/>
                <w:sz w:val="24"/>
                <w:szCs w:val="24"/>
              </w:rPr>
            </w:pPr>
            <w:r>
              <w:rPr>
                <w:rFonts w:hint="eastAsia" w:ascii="Times New Roman" w:hAnsi="Times New Roman"/>
                <w:color w:val="auto"/>
              </w:rPr>
              <w:t>工种</w:t>
            </w:r>
          </w:p>
        </w:tc>
        <w:tc>
          <w:tcPr>
            <w:tcW w:w="8710" w:type="dxa"/>
            <w:gridSpan w:val="7"/>
            <w:tcBorders>
              <w:top w:val="single" w:color="000000" w:sz="4" w:space="0"/>
              <w:left w:val="nil"/>
              <w:bottom w:val="single" w:color="000000" w:sz="4" w:space="0"/>
              <w:right w:val="single" w:color="000000" w:sz="4" w:space="0"/>
            </w:tcBorders>
            <w:vAlign w:val="center"/>
          </w:tcPr>
          <w:p>
            <w:pPr>
              <w:pStyle w:val="320"/>
              <w:jc w:val="center"/>
              <w:rPr>
                <w:rFonts w:ascii="Times New Roman" w:hAnsi="Times New Roman"/>
                <w:color w:val="auto"/>
                <w:sz w:val="24"/>
                <w:szCs w:val="24"/>
              </w:rPr>
            </w:pPr>
            <w:r>
              <w:rPr>
                <w:rFonts w:hint="eastAsia" w:ascii="Times New Roman" w:hAnsi="Times New Roman"/>
                <w:color w:val="auto"/>
              </w:rPr>
              <w:t>按工程施工阶段投入劳动力情况</w:t>
            </w:r>
          </w:p>
        </w:tc>
      </w:tr>
      <w:tr>
        <w:tblPrEx>
          <w:tblCellMar>
            <w:top w:w="0" w:type="dxa"/>
            <w:left w:w="0" w:type="dxa"/>
            <w:bottom w:w="0" w:type="dxa"/>
            <w:right w:w="0" w:type="dxa"/>
          </w:tblCellMar>
        </w:tblPrEx>
        <w:trPr>
          <w:trHeight w:val="450" w:hRule="atLeast"/>
        </w:trPr>
        <w:tc>
          <w:tcPr>
            <w:tcW w:w="938" w:type="dxa"/>
            <w:tcBorders>
              <w:top w:val="single" w:color="000000" w:sz="4" w:space="0"/>
              <w:left w:val="single" w:color="000000" w:sz="4" w:space="0"/>
              <w:bottom w:val="single" w:color="000000" w:sz="4" w:space="0"/>
              <w:right w:val="single" w:color="000000" w:sz="4" w:space="0"/>
            </w:tcBorders>
          </w:tcPr>
          <w:p>
            <w:pPr>
              <w:pStyle w:val="320"/>
              <w:rPr>
                <w:rFonts w:ascii="Times New Roman" w:hAnsi="Times New Roman"/>
                <w:color w:val="auto"/>
                <w:sz w:val="24"/>
                <w:szCs w:val="24"/>
              </w:rPr>
            </w:pPr>
          </w:p>
        </w:tc>
        <w:tc>
          <w:tcPr>
            <w:tcW w:w="1478"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204"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206"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204"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206"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204"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208"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r>
      <w:tr>
        <w:tblPrEx>
          <w:tblCellMar>
            <w:top w:w="0" w:type="dxa"/>
            <w:left w:w="0" w:type="dxa"/>
            <w:bottom w:w="0" w:type="dxa"/>
            <w:right w:w="0" w:type="dxa"/>
          </w:tblCellMar>
        </w:tblPrEx>
        <w:trPr>
          <w:trHeight w:val="450" w:hRule="atLeast"/>
        </w:trPr>
        <w:tc>
          <w:tcPr>
            <w:tcW w:w="938" w:type="dxa"/>
            <w:tcBorders>
              <w:top w:val="single" w:color="000000" w:sz="4" w:space="0"/>
              <w:left w:val="single" w:color="000000" w:sz="4" w:space="0"/>
              <w:bottom w:val="single" w:color="000000" w:sz="4" w:space="0"/>
              <w:right w:val="single" w:color="000000" w:sz="4" w:space="0"/>
            </w:tcBorders>
          </w:tcPr>
          <w:p>
            <w:pPr>
              <w:pStyle w:val="320"/>
              <w:rPr>
                <w:rFonts w:ascii="Times New Roman" w:hAnsi="Times New Roman"/>
                <w:color w:val="auto"/>
                <w:sz w:val="24"/>
                <w:szCs w:val="24"/>
              </w:rPr>
            </w:pPr>
          </w:p>
        </w:tc>
        <w:tc>
          <w:tcPr>
            <w:tcW w:w="1478"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204"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206"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204"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206"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204"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208"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r>
      <w:tr>
        <w:tblPrEx>
          <w:tblCellMar>
            <w:top w:w="0" w:type="dxa"/>
            <w:left w:w="0" w:type="dxa"/>
            <w:bottom w:w="0" w:type="dxa"/>
            <w:right w:w="0" w:type="dxa"/>
          </w:tblCellMar>
        </w:tblPrEx>
        <w:trPr>
          <w:trHeight w:val="450" w:hRule="atLeast"/>
        </w:trPr>
        <w:tc>
          <w:tcPr>
            <w:tcW w:w="938" w:type="dxa"/>
            <w:tcBorders>
              <w:top w:val="single" w:color="000000" w:sz="4" w:space="0"/>
              <w:left w:val="single" w:color="000000" w:sz="4" w:space="0"/>
              <w:bottom w:val="single" w:color="000000" w:sz="4" w:space="0"/>
              <w:right w:val="single" w:color="000000" w:sz="4" w:space="0"/>
            </w:tcBorders>
          </w:tcPr>
          <w:p>
            <w:pPr>
              <w:pStyle w:val="320"/>
              <w:rPr>
                <w:rFonts w:ascii="Times New Roman" w:hAnsi="Times New Roman"/>
                <w:color w:val="auto"/>
                <w:sz w:val="24"/>
                <w:szCs w:val="24"/>
              </w:rPr>
            </w:pPr>
          </w:p>
        </w:tc>
        <w:tc>
          <w:tcPr>
            <w:tcW w:w="1478"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204"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206"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204"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206"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204"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208"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r>
      <w:tr>
        <w:tblPrEx>
          <w:tblCellMar>
            <w:top w:w="0" w:type="dxa"/>
            <w:left w:w="0" w:type="dxa"/>
            <w:bottom w:w="0" w:type="dxa"/>
            <w:right w:w="0" w:type="dxa"/>
          </w:tblCellMar>
        </w:tblPrEx>
        <w:trPr>
          <w:trHeight w:val="450" w:hRule="atLeast"/>
        </w:trPr>
        <w:tc>
          <w:tcPr>
            <w:tcW w:w="938" w:type="dxa"/>
            <w:tcBorders>
              <w:top w:val="single" w:color="000000" w:sz="4" w:space="0"/>
              <w:left w:val="single" w:color="000000" w:sz="4" w:space="0"/>
              <w:bottom w:val="single" w:color="000000" w:sz="4" w:space="0"/>
              <w:right w:val="single" w:color="000000" w:sz="4" w:space="0"/>
            </w:tcBorders>
          </w:tcPr>
          <w:p>
            <w:pPr>
              <w:pStyle w:val="320"/>
              <w:rPr>
                <w:rFonts w:ascii="Times New Roman" w:hAnsi="Times New Roman"/>
                <w:color w:val="auto"/>
                <w:sz w:val="24"/>
                <w:szCs w:val="24"/>
              </w:rPr>
            </w:pPr>
          </w:p>
        </w:tc>
        <w:tc>
          <w:tcPr>
            <w:tcW w:w="1478"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204"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206"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204"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206"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204"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1208"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r>
    </w:tbl>
    <w:p>
      <w:pPr>
        <w:pStyle w:val="320"/>
        <w:rPr>
          <w:rFonts w:ascii="Times New Roman" w:hAnsi="Times New Roman"/>
          <w:color w:val="auto"/>
          <w:sz w:val="20"/>
          <w:szCs w:val="20"/>
        </w:rPr>
      </w:pPr>
      <w:r>
        <w:rPr>
          <w:rFonts w:hint="eastAsia" w:ascii="Times New Roman" w:hAnsi="Times New Roman"/>
          <w:color w:val="auto"/>
          <w:sz w:val="20"/>
          <w:szCs w:val="20"/>
        </w:rPr>
        <w:t xml:space="preserve"> </w:t>
      </w:r>
    </w:p>
    <w:p>
      <w:pPr>
        <w:rPr>
          <w:rFonts w:cs="宋体"/>
          <w:b/>
          <w:color w:val="auto"/>
        </w:rPr>
      </w:pPr>
      <w:bookmarkStart w:id="579" w:name="_Toc418751908"/>
      <w:bookmarkStart w:id="580" w:name="_Toc483317227"/>
      <w:bookmarkStart w:id="581" w:name="_Toc418752354"/>
      <w:r>
        <w:rPr>
          <w:rFonts w:hint="eastAsia" w:cs="宋体"/>
          <w:b/>
          <w:color w:val="auto"/>
        </w:rPr>
        <w:t>附表四：计划开、竣工日期和施工进度网络图或横道图</w:t>
      </w:r>
      <w:bookmarkEnd w:id="579"/>
      <w:bookmarkEnd w:id="580"/>
      <w:bookmarkEnd w:id="581"/>
    </w:p>
    <w:p>
      <w:pPr>
        <w:pStyle w:val="320"/>
        <w:rPr>
          <w:rFonts w:ascii="Times New Roman" w:hAnsi="Times New Roman"/>
          <w:color w:val="auto"/>
          <w:sz w:val="20"/>
          <w:szCs w:val="20"/>
        </w:rPr>
      </w:pPr>
      <w:r>
        <w:rPr>
          <w:rFonts w:hint="eastAsia" w:ascii="Times New Roman" w:hAnsi="Times New Roman"/>
          <w:color w:val="auto"/>
          <w:sz w:val="20"/>
          <w:szCs w:val="20"/>
        </w:rPr>
        <w:t xml:space="preserve"> </w:t>
      </w:r>
    </w:p>
    <w:p>
      <w:pPr>
        <w:pStyle w:val="320"/>
        <w:ind w:firstLine="424"/>
        <w:rPr>
          <w:rFonts w:ascii="Times New Roman" w:hAnsi="Times New Roman"/>
          <w:color w:val="auto"/>
        </w:rPr>
      </w:pPr>
      <w:r>
        <w:rPr>
          <w:rFonts w:hint="eastAsia" w:ascii="Times New Roman" w:hAnsi="Times New Roman"/>
          <w:color w:val="auto"/>
        </w:rPr>
        <w:t>1.供应商应递交施工进度网络图或横道图</w:t>
      </w:r>
      <w:r>
        <w:rPr>
          <w:rFonts w:hint="eastAsia" w:ascii="Times New Roman" w:hAnsi="Times New Roman"/>
          <w:color w:val="auto"/>
          <w:spacing w:val="1"/>
        </w:rPr>
        <w:t>，说</w:t>
      </w:r>
      <w:r>
        <w:rPr>
          <w:rFonts w:hint="eastAsia" w:ascii="Times New Roman" w:hAnsi="Times New Roman"/>
          <w:color w:val="auto"/>
          <w:spacing w:val="2"/>
        </w:rPr>
        <w:t>明</w:t>
      </w:r>
      <w:r>
        <w:rPr>
          <w:rFonts w:hint="eastAsia" w:ascii="Times New Roman" w:hAnsi="Times New Roman"/>
          <w:color w:val="auto"/>
          <w:spacing w:val="1"/>
        </w:rPr>
        <w:t>按</w:t>
      </w:r>
      <w:r>
        <w:rPr>
          <w:rFonts w:hint="eastAsia" w:ascii="Times New Roman" w:hAnsi="Times New Roman"/>
          <w:color w:val="auto"/>
          <w:spacing w:val="2"/>
        </w:rPr>
        <w:t>竞争性磋商</w:t>
      </w:r>
      <w:r>
        <w:rPr>
          <w:rFonts w:hint="eastAsia" w:ascii="Times New Roman" w:hAnsi="Times New Roman"/>
          <w:color w:val="auto"/>
          <w:spacing w:val="1"/>
        </w:rPr>
        <w:t>文</w:t>
      </w:r>
      <w:r>
        <w:rPr>
          <w:rFonts w:hint="eastAsia" w:ascii="Times New Roman" w:hAnsi="Times New Roman"/>
          <w:color w:val="auto"/>
          <w:spacing w:val="2"/>
        </w:rPr>
        <w:t>件</w:t>
      </w:r>
      <w:r>
        <w:rPr>
          <w:rFonts w:hint="eastAsia" w:ascii="Times New Roman" w:hAnsi="Times New Roman"/>
          <w:color w:val="auto"/>
          <w:spacing w:val="1"/>
        </w:rPr>
        <w:t>要</w:t>
      </w:r>
      <w:r>
        <w:rPr>
          <w:rFonts w:hint="eastAsia" w:ascii="Times New Roman" w:hAnsi="Times New Roman"/>
          <w:color w:val="auto"/>
          <w:spacing w:val="2"/>
        </w:rPr>
        <w:t>求</w:t>
      </w:r>
      <w:r>
        <w:rPr>
          <w:rFonts w:hint="eastAsia" w:ascii="Times New Roman" w:hAnsi="Times New Roman"/>
          <w:color w:val="auto"/>
          <w:spacing w:val="1"/>
        </w:rPr>
        <w:t>的计</w:t>
      </w:r>
      <w:r>
        <w:rPr>
          <w:rFonts w:hint="eastAsia" w:ascii="Times New Roman" w:hAnsi="Times New Roman"/>
          <w:color w:val="auto"/>
          <w:spacing w:val="2"/>
        </w:rPr>
        <w:t>划</w:t>
      </w:r>
      <w:r>
        <w:rPr>
          <w:rFonts w:hint="eastAsia" w:ascii="Times New Roman" w:hAnsi="Times New Roman"/>
          <w:color w:val="auto"/>
          <w:spacing w:val="1"/>
        </w:rPr>
        <w:t>工</w:t>
      </w:r>
      <w:r>
        <w:rPr>
          <w:rFonts w:hint="eastAsia" w:ascii="Times New Roman" w:hAnsi="Times New Roman"/>
          <w:color w:val="auto"/>
          <w:spacing w:val="4"/>
        </w:rPr>
        <w:t>期</w:t>
      </w:r>
      <w:r>
        <w:rPr>
          <w:rFonts w:hint="eastAsia" w:ascii="Times New Roman" w:hAnsi="Times New Roman"/>
          <w:color w:val="auto"/>
          <w:spacing w:val="2"/>
        </w:rPr>
        <w:t>进</w:t>
      </w:r>
      <w:r>
        <w:rPr>
          <w:rFonts w:hint="eastAsia" w:ascii="Times New Roman" w:hAnsi="Times New Roman"/>
          <w:color w:val="auto"/>
          <w:spacing w:val="1"/>
        </w:rPr>
        <w:t>行</w:t>
      </w:r>
      <w:r>
        <w:rPr>
          <w:rFonts w:hint="eastAsia" w:ascii="Times New Roman" w:hAnsi="Times New Roman"/>
          <w:color w:val="auto"/>
        </w:rPr>
        <w:t>施工的各个关键日期。</w:t>
      </w:r>
    </w:p>
    <w:p>
      <w:pPr>
        <w:pStyle w:val="320"/>
        <w:ind w:firstLine="424"/>
        <w:rPr>
          <w:rFonts w:ascii="Times New Roman" w:hAnsi="Times New Roman"/>
          <w:color w:val="auto"/>
        </w:rPr>
      </w:pPr>
      <w:r>
        <w:rPr>
          <w:rFonts w:hint="eastAsia" w:ascii="Times New Roman" w:hAnsi="Times New Roman"/>
          <w:color w:val="auto"/>
        </w:rPr>
        <w:t>2.计划开工日期：自合同签订之日起至2024年</w:t>
      </w:r>
      <w:r>
        <w:rPr>
          <w:rFonts w:ascii="Times New Roman" w:hAnsi="Times New Roman"/>
          <w:color w:val="auto"/>
        </w:rPr>
        <w:t xml:space="preserve">  </w:t>
      </w:r>
      <w:r>
        <w:rPr>
          <w:rFonts w:hint="eastAsia" w:ascii="Times New Roman" w:hAnsi="Times New Roman"/>
          <w:color w:val="auto"/>
        </w:rPr>
        <w:t>月</w:t>
      </w:r>
      <w:r>
        <w:rPr>
          <w:rFonts w:ascii="Times New Roman" w:hAnsi="Times New Roman"/>
          <w:color w:val="auto"/>
        </w:rPr>
        <w:t xml:space="preserve">  </w:t>
      </w:r>
      <w:r>
        <w:rPr>
          <w:rFonts w:hint="eastAsia" w:ascii="Times New Roman" w:hAnsi="Times New Roman"/>
          <w:color w:val="auto"/>
        </w:rPr>
        <w:t>日。</w:t>
      </w:r>
    </w:p>
    <w:p>
      <w:pPr>
        <w:pStyle w:val="320"/>
        <w:rPr>
          <w:rFonts w:ascii="Times New Roman" w:hAnsi="Times New Roman"/>
          <w:color w:val="auto"/>
          <w:sz w:val="20"/>
          <w:szCs w:val="20"/>
        </w:rPr>
      </w:pPr>
      <w:r>
        <w:rPr>
          <w:rFonts w:hint="eastAsia" w:ascii="Times New Roman" w:hAnsi="Times New Roman"/>
          <w:color w:val="auto"/>
          <w:sz w:val="20"/>
          <w:szCs w:val="20"/>
        </w:rPr>
        <w:t xml:space="preserve"> </w:t>
      </w:r>
    </w:p>
    <w:p>
      <w:pPr>
        <w:rPr>
          <w:rFonts w:cs="宋体"/>
          <w:b/>
          <w:color w:val="auto"/>
        </w:rPr>
      </w:pPr>
      <w:bookmarkStart w:id="582" w:name="_Toc483317228"/>
      <w:bookmarkStart w:id="583" w:name="_Toc418751909"/>
      <w:bookmarkStart w:id="584" w:name="_Toc418752355"/>
      <w:r>
        <w:rPr>
          <w:rFonts w:hint="eastAsia" w:cs="宋体"/>
          <w:b/>
          <w:color w:val="auto"/>
        </w:rPr>
        <w:t>附表五：施工总平面图</w:t>
      </w:r>
      <w:bookmarkEnd w:id="582"/>
      <w:bookmarkEnd w:id="583"/>
      <w:bookmarkEnd w:id="584"/>
    </w:p>
    <w:p>
      <w:pPr>
        <w:pStyle w:val="320"/>
        <w:rPr>
          <w:rFonts w:ascii="Times New Roman" w:hAnsi="Times New Roman"/>
          <w:color w:val="auto"/>
          <w:sz w:val="20"/>
          <w:szCs w:val="20"/>
        </w:rPr>
      </w:pPr>
      <w:r>
        <w:rPr>
          <w:rFonts w:hint="eastAsia" w:ascii="Times New Roman" w:hAnsi="Times New Roman"/>
          <w:color w:val="auto"/>
          <w:sz w:val="20"/>
          <w:szCs w:val="20"/>
        </w:rPr>
        <w:t xml:space="preserve"> </w:t>
      </w:r>
    </w:p>
    <w:p>
      <w:pPr>
        <w:pStyle w:val="320"/>
        <w:ind w:firstLine="424"/>
        <w:rPr>
          <w:rFonts w:ascii="Times New Roman" w:hAnsi="Times New Roman"/>
          <w:color w:val="auto"/>
        </w:rPr>
      </w:pPr>
      <w:r>
        <w:rPr>
          <w:rFonts w:hint="eastAsia" w:ascii="Times New Roman" w:hAnsi="Times New Roman"/>
          <w:color w:val="auto"/>
        </w:rPr>
        <w:t>供应商应递交一份施工总平面图</w:t>
      </w:r>
      <w:r>
        <w:rPr>
          <w:rFonts w:hint="eastAsia" w:ascii="Times New Roman" w:hAnsi="Times New Roman"/>
          <w:color w:val="auto"/>
          <w:spacing w:val="-47"/>
        </w:rPr>
        <w:t>，</w:t>
      </w:r>
      <w:r>
        <w:rPr>
          <w:rFonts w:hint="eastAsia" w:ascii="Times New Roman" w:hAnsi="Times New Roman"/>
          <w:color w:val="auto"/>
        </w:rPr>
        <w:t>绘出现场临时设施布置图表并附文字说明</w:t>
      </w:r>
      <w:r>
        <w:rPr>
          <w:rFonts w:hint="eastAsia" w:ascii="Times New Roman" w:hAnsi="Times New Roman"/>
          <w:color w:val="auto"/>
          <w:spacing w:val="-47"/>
        </w:rPr>
        <w:t>，</w:t>
      </w:r>
      <w:r>
        <w:rPr>
          <w:rFonts w:hint="eastAsia" w:ascii="Times New Roman" w:hAnsi="Times New Roman"/>
          <w:color w:val="auto"/>
        </w:rPr>
        <w:t>说明临时设施</w:t>
      </w:r>
      <w:r>
        <w:rPr>
          <w:rFonts w:hint="eastAsia" w:ascii="Times New Roman" w:hAnsi="Times New Roman"/>
          <w:color w:val="auto"/>
          <w:spacing w:val="-11"/>
        </w:rPr>
        <w:t>、</w:t>
      </w:r>
      <w:r>
        <w:rPr>
          <w:rFonts w:hint="eastAsia" w:ascii="Times New Roman" w:hAnsi="Times New Roman"/>
          <w:color w:val="auto"/>
        </w:rPr>
        <w:t>加工车间</w:t>
      </w:r>
      <w:r>
        <w:rPr>
          <w:rFonts w:hint="eastAsia" w:ascii="Times New Roman" w:hAnsi="Times New Roman"/>
          <w:color w:val="auto"/>
          <w:spacing w:val="-11"/>
        </w:rPr>
        <w:t>、</w:t>
      </w:r>
      <w:r>
        <w:rPr>
          <w:rFonts w:hint="eastAsia" w:ascii="Times New Roman" w:hAnsi="Times New Roman"/>
          <w:color w:val="auto"/>
        </w:rPr>
        <w:t>现场办公</w:t>
      </w:r>
      <w:r>
        <w:rPr>
          <w:rFonts w:hint="eastAsia" w:ascii="Times New Roman" w:hAnsi="Times New Roman"/>
          <w:color w:val="auto"/>
          <w:spacing w:val="-11"/>
        </w:rPr>
        <w:t>、</w:t>
      </w:r>
      <w:r>
        <w:rPr>
          <w:rFonts w:hint="eastAsia" w:ascii="Times New Roman" w:hAnsi="Times New Roman"/>
          <w:color w:val="auto"/>
        </w:rPr>
        <w:t>设备及仓储</w:t>
      </w:r>
      <w:r>
        <w:rPr>
          <w:rFonts w:hint="eastAsia" w:ascii="Times New Roman" w:hAnsi="Times New Roman"/>
          <w:color w:val="auto"/>
          <w:spacing w:val="-11"/>
        </w:rPr>
        <w:t>、</w:t>
      </w:r>
      <w:r>
        <w:rPr>
          <w:rFonts w:hint="eastAsia" w:ascii="Times New Roman" w:hAnsi="Times New Roman"/>
          <w:color w:val="auto"/>
        </w:rPr>
        <w:t>供电</w:t>
      </w:r>
      <w:r>
        <w:rPr>
          <w:rFonts w:hint="eastAsia" w:ascii="Times New Roman" w:hAnsi="Times New Roman"/>
          <w:color w:val="auto"/>
          <w:spacing w:val="-11"/>
        </w:rPr>
        <w:t>、</w:t>
      </w:r>
      <w:r>
        <w:rPr>
          <w:rFonts w:hint="eastAsia" w:ascii="Times New Roman" w:hAnsi="Times New Roman"/>
          <w:color w:val="auto"/>
        </w:rPr>
        <w:t>供水</w:t>
      </w:r>
      <w:r>
        <w:rPr>
          <w:rFonts w:hint="eastAsia" w:ascii="Times New Roman" w:hAnsi="Times New Roman"/>
          <w:color w:val="auto"/>
          <w:spacing w:val="-10"/>
        </w:rPr>
        <w:t>、</w:t>
      </w:r>
      <w:r>
        <w:rPr>
          <w:rFonts w:hint="eastAsia" w:ascii="Times New Roman" w:hAnsi="Times New Roman"/>
          <w:color w:val="auto"/>
        </w:rPr>
        <w:t>卫生</w:t>
      </w:r>
      <w:r>
        <w:rPr>
          <w:rFonts w:hint="eastAsia" w:ascii="Times New Roman" w:hAnsi="Times New Roman"/>
          <w:color w:val="auto"/>
          <w:spacing w:val="-11"/>
        </w:rPr>
        <w:t>、</w:t>
      </w:r>
      <w:r>
        <w:rPr>
          <w:rFonts w:hint="eastAsia" w:ascii="Times New Roman" w:hAnsi="Times New Roman"/>
          <w:color w:val="auto"/>
        </w:rPr>
        <w:t>生活</w:t>
      </w:r>
      <w:r>
        <w:rPr>
          <w:rFonts w:hint="eastAsia" w:ascii="Times New Roman" w:hAnsi="Times New Roman"/>
          <w:color w:val="auto"/>
          <w:spacing w:val="-11"/>
        </w:rPr>
        <w:t>、</w:t>
      </w:r>
      <w:r>
        <w:rPr>
          <w:rFonts w:hint="eastAsia" w:ascii="Times New Roman" w:hAnsi="Times New Roman"/>
          <w:color w:val="auto"/>
        </w:rPr>
        <w:t>道路</w:t>
      </w:r>
      <w:r>
        <w:rPr>
          <w:rFonts w:hint="eastAsia" w:ascii="Times New Roman" w:hAnsi="Times New Roman"/>
          <w:color w:val="auto"/>
          <w:spacing w:val="-11"/>
        </w:rPr>
        <w:t>、</w:t>
      </w:r>
      <w:r>
        <w:rPr>
          <w:rFonts w:hint="eastAsia" w:ascii="Times New Roman" w:hAnsi="Times New Roman"/>
          <w:color w:val="auto"/>
          <w:spacing w:val="1"/>
        </w:rPr>
        <w:t>消</w:t>
      </w:r>
      <w:r>
        <w:rPr>
          <w:rFonts w:hint="eastAsia" w:ascii="Times New Roman" w:hAnsi="Times New Roman"/>
          <w:color w:val="auto"/>
        </w:rPr>
        <w:t>防等设施的情况和布置。</w:t>
      </w:r>
    </w:p>
    <w:p>
      <w:pPr>
        <w:pStyle w:val="320"/>
        <w:rPr>
          <w:rFonts w:ascii="Times New Roman" w:hAnsi="Times New Roman"/>
          <w:color w:val="auto"/>
          <w:sz w:val="20"/>
          <w:szCs w:val="20"/>
        </w:rPr>
      </w:pPr>
      <w:r>
        <w:rPr>
          <w:rFonts w:hint="eastAsia" w:ascii="Times New Roman" w:hAnsi="Times New Roman"/>
          <w:color w:val="auto"/>
          <w:sz w:val="20"/>
          <w:szCs w:val="20"/>
        </w:rPr>
        <w:t xml:space="preserve"> </w:t>
      </w:r>
    </w:p>
    <w:p>
      <w:pPr>
        <w:rPr>
          <w:rFonts w:cs="宋体"/>
          <w:b/>
          <w:color w:val="auto"/>
        </w:rPr>
      </w:pPr>
      <w:bookmarkStart w:id="585" w:name="_Toc483317229"/>
      <w:bookmarkStart w:id="586" w:name="_Toc418752356"/>
      <w:bookmarkStart w:id="587" w:name="_Toc418751910"/>
      <w:r>
        <w:rPr>
          <w:rFonts w:hint="eastAsia" w:cs="宋体"/>
          <w:b/>
          <w:color w:val="auto"/>
        </w:rPr>
        <w:t>附表六：临时用地表</w:t>
      </w:r>
      <w:bookmarkEnd w:id="585"/>
      <w:bookmarkEnd w:id="586"/>
      <w:bookmarkEnd w:id="587"/>
    </w:p>
    <w:tbl>
      <w:tblPr>
        <w:tblStyle w:val="53"/>
        <w:tblW w:w="9648" w:type="dxa"/>
        <w:tblInd w:w="-5" w:type="dxa"/>
        <w:tblLayout w:type="fixed"/>
        <w:tblCellMar>
          <w:top w:w="0" w:type="dxa"/>
          <w:left w:w="0" w:type="dxa"/>
          <w:bottom w:w="0" w:type="dxa"/>
          <w:right w:w="0" w:type="dxa"/>
        </w:tblCellMar>
      </w:tblPr>
      <w:tblGrid>
        <w:gridCol w:w="2412"/>
        <w:gridCol w:w="2412"/>
        <w:gridCol w:w="2412"/>
        <w:gridCol w:w="2412"/>
      </w:tblGrid>
      <w:tr>
        <w:tblPrEx>
          <w:tblCellMar>
            <w:top w:w="0" w:type="dxa"/>
            <w:left w:w="0" w:type="dxa"/>
            <w:bottom w:w="0" w:type="dxa"/>
            <w:right w:w="0" w:type="dxa"/>
          </w:tblCellMar>
        </w:tblPrEx>
        <w:trPr>
          <w:trHeight w:val="450" w:hRule="atLeast"/>
        </w:trPr>
        <w:tc>
          <w:tcPr>
            <w:tcW w:w="2412" w:type="dxa"/>
            <w:tcBorders>
              <w:top w:val="single" w:color="000000" w:sz="4" w:space="0"/>
              <w:left w:val="single" w:color="000000" w:sz="4" w:space="0"/>
              <w:bottom w:val="single" w:color="000000" w:sz="4" w:space="0"/>
              <w:right w:val="single" w:color="000000" w:sz="4" w:space="0"/>
            </w:tcBorders>
            <w:vAlign w:val="center"/>
          </w:tcPr>
          <w:p>
            <w:pPr>
              <w:pStyle w:val="320"/>
              <w:jc w:val="center"/>
              <w:rPr>
                <w:rFonts w:ascii="Times New Roman" w:hAnsi="Times New Roman"/>
                <w:color w:val="auto"/>
                <w:sz w:val="24"/>
                <w:szCs w:val="24"/>
              </w:rPr>
            </w:pPr>
            <w:r>
              <w:rPr>
                <w:rFonts w:hint="eastAsia" w:ascii="Times New Roman" w:hAnsi="Times New Roman"/>
                <w:color w:val="auto"/>
              </w:rPr>
              <w:t>用途</w:t>
            </w:r>
          </w:p>
        </w:tc>
        <w:tc>
          <w:tcPr>
            <w:tcW w:w="2412" w:type="dxa"/>
            <w:tcBorders>
              <w:top w:val="single" w:color="000000" w:sz="4" w:space="0"/>
              <w:left w:val="nil"/>
              <w:bottom w:val="single" w:color="000000" w:sz="4" w:space="0"/>
              <w:right w:val="single" w:color="000000" w:sz="4" w:space="0"/>
            </w:tcBorders>
            <w:vAlign w:val="center"/>
          </w:tcPr>
          <w:p>
            <w:pPr>
              <w:pStyle w:val="320"/>
              <w:jc w:val="center"/>
              <w:rPr>
                <w:rFonts w:ascii="Times New Roman" w:hAnsi="Times New Roman"/>
                <w:color w:val="auto"/>
                <w:sz w:val="24"/>
                <w:szCs w:val="24"/>
              </w:rPr>
            </w:pPr>
            <w:r>
              <w:rPr>
                <w:rFonts w:hint="eastAsia" w:ascii="Times New Roman" w:hAnsi="Times New Roman"/>
                <w:color w:val="auto"/>
              </w:rPr>
              <w:t>面积（平</w:t>
            </w:r>
            <w:r>
              <w:rPr>
                <w:rFonts w:hint="eastAsia" w:ascii="Times New Roman" w:hAnsi="Times New Roman"/>
                <w:color w:val="auto"/>
                <w:spacing w:val="-1"/>
              </w:rPr>
              <w:t>方</w:t>
            </w:r>
            <w:r>
              <w:rPr>
                <w:rFonts w:hint="eastAsia" w:ascii="Times New Roman" w:hAnsi="Times New Roman"/>
                <w:color w:val="auto"/>
              </w:rPr>
              <w:t>米）</w:t>
            </w:r>
          </w:p>
        </w:tc>
        <w:tc>
          <w:tcPr>
            <w:tcW w:w="2412" w:type="dxa"/>
            <w:tcBorders>
              <w:top w:val="single" w:color="000000" w:sz="4" w:space="0"/>
              <w:left w:val="nil"/>
              <w:bottom w:val="single" w:color="000000" w:sz="4" w:space="0"/>
              <w:right w:val="single" w:color="000000" w:sz="4" w:space="0"/>
            </w:tcBorders>
            <w:vAlign w:val="center"/>
          </w:tcPr>
          <w:p>
            <w:pPr>
              <w:pStyle w:val="320"/>
              <w:jc w:val="center"/>
              <w:rPr>
                <w:rFonts w:ascii="Times New Roman" w:hAnsi="Times New Roman"/>
                <w:color w:val="auto"/>
                <w:sz w:val="24"/>
                <w:szCs w:val="24"/>
              </w:rPr>
            </w:pPr>
            <w:r>
              <w:rPr>
                <w:rFonts w:hint="eastAsia" w:ascii="Times New Roman" w:hAnsi="Times New Roman"/>
                <w:color w:val="auto"/>
              </w:rPr>
              <w:t>位置</w:t>
            </w:r>
          </w:p>
        </w:tc>
        <w:tc>
          <w:tcPr>
            <w:tcW w:w="2412" w:type="dxa"/>
            <w:tcBorders>
              <w:top w:val="single" w:color="000000" w:sz="4" w:space="0"/>
              <w:left w:val="nil"/>
              <w:bottom w:val="single" w:color="000000" w:sz="4" w:space="0"/>
              <w:right w:val="single" w:color="000000" w:sz="4" w:space="0"/>
            </w:tcBorders>
            <w:vAlign w:val="center"/>
          </w:tcPr>
          <w:p>
            <w:pPr>
              <w:pStyle w:val="320"/>
              <w:jc w:val="center"/>
              <w:rPr>
                <w:rFonts w:ascii="Times New Roman" w:hAnsi="Times New Roman"/>
                <w:color w:val="auto"/>
                <w:sz w:val="24"/>
                <w:szCs w:val="24"/>
              </w:rPr>
            </w:pPr>
            <w:r>
              <w:rPr>
                <w:rFonts w:hint="eastAsia" w:ascii="Times New Roman" w:hAnsi="Times New Roman"/>
                <w:color w:val="auto"/>
              </w:rPr>
              <w:t>需用时间</w:t>
            </w:r>
          </w:p>
        </w:tc>
      </w:tr>
      <w:tr>
        <w:tblPrEx>
          <w:tblCellMar>
            <w:top w:w="0" w:type="dxa"/>
            <w:left w:w="0" w:type="dxa"/>
            <w:bottom w:w="0" w:type="dxa"/>
            <w:right w:w="0" w:type="dxa"/>
          </w:tblCellMar>
        </w:tblPrEx>
        <w:trPr>
          <w:trHeight w:val="450" w:hRule="atLeast"/>
        </w:trPr>
        <w:tc>
          <w:tcPr>
            <w:tcW w:w="2412" w:type="dxa"/>
            <w:tcBorders>
              <w:top w:val="single" w:color="000000" w:sz="4" w:space="0"/>
              <w:left w:val="single" w:color="000000" w:sz="4" w:space="0"/>
              <w:bottom w:val="single" w:color="000000" w:sz="4" w:space="0"/>
              <w:right w:val="single" w:color="000000" w:sz="4" w:space="0"/>
            </w:tcBorders>
          </w:tcPr>
          <w:p>
            <w:pPr>
              <w:pStyle w:val="320"/>
              <w:rPr>
                <w:rFonts w:ascii="Times New Roman" w:hAnsi="Times New Roman"/>
                <w:color w:val="auto"/>
                <w:sz w:val="24"/>
                <w:szCs w:val="24"/>
              </w:rPr>
            </w:pPr>
          </w:p>
        </w:tc>
        <w:tc>
          <w:tcPr>
            <w:tcW w:w="2412"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2412"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2412"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r>
      <w:tr>
        <w:tblPrEx>
          <w:tblCellMar>
            <w:top w:w="0" w:type="dxa"/>
            <w:left w:w="0" w:type="dxa"/>
            <w:bottom w:w="0" w:type="dxa"/>
            <w:right w:w="0" w:type="dxa"/>
          </w:tblCellMar>
        </w:tblPrEx>
        <w:trPr>
          <w:trHeight w:val="450" w:hRule="atLeast"/>
        </w:trPr>
        <w:tc>
          <w:tcPr>
            <w:tcW w:w="2412" w:type="dxa"/>
            <w:tcBorders>
              <w:top w:val="single" w:color="000000" w:sz="4" w:space="0"/>
              <w:left w:val="single" w:color="000000" w:sz="4" w:space="0"/>
              <w:bottom w:val="single" w:color="000000" w:sz="4" w:space="0"/>
              <w:right w:val="single" w:color="000000" w:sz="4" w:space="0"/>
            </w:tcBorders>
          </w:tcPr>
          <w:p>
            <w:pPr>
              <w:pStyle w:val="320"/>
              <w:rPr>
                <w:rFonts w:ascii="Times New Roman" w:hAnsi="Times New Roman"/>
                <w:color w:val="auto"/>
                <w:sz w:val="24"/>
                <w:szCs w:val="24"/>
              </w:rPr>
            </w:pPr>
          </w:p>
        </w:tc>
        <w:tc>
          <w:tcPr>
            <w:tcW w:w="2412"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2412"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2412"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r>
      <w:tr>
        <w:tblPrEx>
          <w:tblCellMar>
            <w:top w:w="0" w:type="dxa"/>
            <w:left w:w="0" w:type="dxa"/>
            <w:bottom w:w="0" w:type="dxa"/>
            <w:right w:w="0" w:type="dxa"/>
          </w:tblCellMar>
        </w:tblPrEx>
        <w:trPr>
          <w:trHeight w:val="450" w:hRule="atLeast"/>
        </w:trPr>
        <w:tc>
          <w:tcPr>
            <w:tcW w:w="2412" w:type="dxa"/>
            <w:tcBorders>
              <w:top w:val="single" w:color="000000" w:sz="4" w:space="0"/>
              <w:left w:val="single" w:color="000000" w:sz="4" w:space="0"/>
              <w:bottom w:val="single" w:color="000000" w:sz="4" w:space="0"/>
              <w:right w:val="single" w:color="000000" w:sz="4" w:space="0"/>
            </w:tcBorders>
          </w:tcPr>
          <w:p>
            <w:pPr>
              <w:pStyle w:val="320"/>
              <w:rPr>
                <w:rFonts w:ascii="Times New Roman" w:hAnsi="Times New Roman"/>
                <w:color w:val="auto"/>
                <w:sz w:val="24"/>
                <w:szCs w:val="24"/>
              </w:rPr>
            </w:pPr>
          </w:p>
        </w:tc>
        <w:tc>
          <w:tcPr>
            <w:tcW w:w="2412"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2412"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c>
          <w:tcPr>
            <w:tcW w:w="2412" w:type="dxa"/>
            <w:tcBorders>
              <w:top w:val="single" w:color="000000" w:sz="4" w:space="0"/>
              <w:left w:val="nil"/>
              <w:bottom w:val="single" w:color="000000" w:sz="4" w:space="0"/>
              <w:right w:val="single" w:color="000000" w:sz="4" w:space="0"/>
            </w:tcBorders>
          </w:tcPr>
          <w:p>
            <w:pPr>
              <w:pStyle w:val="320"/>
              <w:rPr>
                <w:rFonts w:ascii="Times New Roman" w:hAnsi="Times New Roman"/>
                <w:color w:val="auto"/>
                <w:sz w:val="24"/>
                <w:szCs w:val="24"/>
              </w:rPr>
            </w:pPr>
          </w:p>
        </w:tc>
      </w:tr>
    </w:tbl>
    <w:p>
      <w:pPr>
        <w:pStyle w:val="28"/>
        <w:spacing w:line="340" w:lineRule="exact"/>
        <w:rPr>
          <w:rFonts w:ascii="Times New Roman" w:hAnsi="Times New Roman" w:cs="宋体"/>
          <w:b/>
          <w:color w:val="auto"/>
          <w:sz w:val="28"/>
          <w:szCs w:val="28"/>
        </w:rPr>
      </w:pPr>
    </w:p>
    <w:p>
      <w:pPr>
        <w:spacing w:line="400" w:lineRule="exact"/>
        <w:outlineLvl w:val="1"/>
        <w:rPr>
          <w:rFonts w:cs="宋体"/>
          <w:b/>
          <w:color w:val="auto"/>
          <w:sz w:val="28"/>
          <w:szCs w:val="28"/>
        </w:rPr>
      </w:pPr>
      <w:r>
        <w:rPr>
          <w:rFonts w:hint="eastAsia" w:cs="宋体"/>
          <w:b/>
          <w:color w:val="auto"/>
          <w:sz w:val="28"/>
          <w:szCs w:val="28"/>
        </w:rPr>
        <w:br w:type="page"/>
      </w:r>
      <w:bookmarkStart w:id="588" w:name="_Toc4253"/>
      <w:bookmarkStart w:id="589" w:name="_Toc15169"/>
      <w:bookmarkStart w:id="590" w:name="_Toc1099"/>
      <w:bookmarkStart w:id="591" w:name="_Toc18938"/>
      <w:bookmarkStart w:id="592" w:name="_Toc226"/>
      <w:bookmarkStart w:id="593" w:name="_Toc12322"/>
      <w:r>
        <w:rPr>
          <w:rFonts w:hint="eastAsia" w:cs="宋体"/>
          <w:b/>
          <w:color w:val="auto"/>
          <w:sz w:val="28"/>
          <w:szCs w:val="28"/>
        </w:rPr>
        <w:t>7.工程</w:t>
      </w:r>
      <w:r>
        <w:rPr>
          <w:rFonts w:hint="eastAsia" w:cs="宋体"/>
          <w:b/>
          <w:bCs/>
          <w:color w:val="auto"/>
          <w:sz w:val="28"/>
          <w:szCs w:val="28"/>
        </w:rPr>
        <w:t>完工</w:t>
      </w:r>
      <w:r>
        <w:rPr>
          <w:rFonts w:hint="eastAsia" w:cs="宋体"/>
          <w:b/>
          <w:color w:val="auto"/>
          <w:sz w:val="28"/>
          <w:szCs w:val="28"/>
        </w:rPr>
        <w:t>服务承诺书（必须提供）；</w:t>
      </w:r>
      <w:bookmarkEnd w:id="588"/>
      <w:bookmarkEnd w:id="589"/>
      <w:bookmarkEnd w:id="590"/>
      <w:bookmarkEnd w:id="591"/>
      <w:bookmarkEnd w:id="592"/>
      <w:bookmarkEnd w:id="593"/>
    </w:p>
    <w:p>
      <w:pPr>
        <w:spacing w:line="360" w:lineRule="auto"/>
        <w:jc w:val="center"/>
        <w:rPr>
          <w:rFonts w:cs="宋体"/>
          <w:b/>
          <w:color w:val="auto"/>
          <w:sz w:val="24"/>
        </w:rPr>
      </w:pPr>
    </w:p>
    <w:p>
      <w:pPr>
        <w:spacing w:line="360" w:lineRule="auto"/>
        <w:jc w:val="center"/>
        <w:rPr>
          <w:rFonts w:cs="宋体"/>
          <w:b/>
          <w:color w:val="auto"/>
          <w:sz w:val="28"/>
          <w:szCs w:val="28"/>
        </w:rPr>
      </w:pPr>
      <w:r>
        <w:rPr>
          <w:rFonts w:hint="eastAsia" w:cs="宋体"/>
          <w:b/>
          <w:color w:val="auto"/>
          <w:sz w:val="28"/>
          <w:szCs w:val="28"/>
        </w:rPr>
        <w:t>工程完工服务承诺书（格式）</w:t>
      </w:r>
    </w:p>
    <w:p>
      <w:pPr>
        <w:pStyle w:val="28"/>
        <w:jc w:val="center"/>
        <w:rPr>
          <w:rFonts w:ascii="Times New Roman" w:hAnsi="Times New Roman" w:cs="宋体"/>
          <w:color w:val="auto"/>
        </w:rPr>
      </w:pPr>
      <w:r>
        <w:rPr>
          <w:rFonts w:hint="eastAsia" w:ascii="Times New Roman" w:hAnsi="Times New Roman" w:cs="宋体"/>
          <w:color w:val="auto"/>
        </w:rPr>
        <w:t>（由</w:t>
      </w:r>
      <w:r>
        <w:rPr>
          <w:rFonts w:hint="eastAsia" w:ascii="Times New Roman" w:hAnsi="Times New Roman" w:cs="宋体"/>
          <w:color w:val="auto"/>
          <w:szCs w:val="21"/>
        </w:rPr>
        <w:t>供应商</w:t>
      </w:r>
      <w:r>
        <w:rPr>
          <w:rFonts w:hint="eastAsia" w:ascii="Times New Roman" w:hAnsi="Times New Roman" w:cs="宋体"/>
          <w:color w:val="auto"/>
        </w:rPr>
        <w:t>按《工程量清单》中工程完工服务及要求自行分别填写）</w:t>
      </w:r>
    </w:p>
    <w:p>
      <w:pPr>
        <w:pStyle w:val="28"/>
        <w:jc w:val="left"/>
        <w:rPr>
          <w:rFonts w:ascii="Times New Roman" w:hAnsi="Times New Roman" w:cs="宋体"/>
          <w:color w:val="auto"/>
        </w:rPr>
      </w:pPr>
    </w:p>
    <w:p>
      <w:pPr>
        <w:widowControl/>
        <w:jc w:val="left"/>
        <w:rPr>
          <w:rFonts w:cs="宋体"/>
          <w:color w:val="auto"/>
          <w:szCs w:val="21"/>
        </w:rPr>
      </w:pPr>
    </w:p>
    <w:p>
      <w:pPr>
        <w:widowControl/>
        <w:jc w:val="left"/>
        <w:rPr>
          <w:rFonts w:cs="宋体"/>
          <w:color w:val="auto"/>
          <w:szCs w:val="21"/>
        </w:rPr>
      </w:pPr>
    </w:p>
    <w:p>
      <w:pPr>
        <w:widowControl/>
        <w:jc w:val="left"/>
        <w:rPr>
          <w:rFonts w:cs="宋体"/>
          <w:b/>
          <w:bCs/>
          <w:color w:val="auto"/>
          <w:szCs w:val="21"/>
        </w:rPr>
      </w:pPr>
    </w:p>
    <w:p>
      <w:pPr>
        <w:widowControl/>
        <w:jc w:val="left"/>
        <w:rPr>
          <w:rFonts w:cs="宋体"/>
          <w:b/>
          <w:bCs/>
          <w:color w:val="auto"/>
          <w:szCs w:val="21"/>
        </w:rPr>
      </w:pPr>
    </w:p>
    <w:p>
      <w:pPr>
        <w:widowControl/>
        <w:jc w:val="left"/>
        <w:rPr>
          <w:rFonts w:cs="宋体"/>
          <w:b/>
          <w:bCs/>
          <w:color w:val="auto"/>
          <w:szCs w:val="21"/>
        </w:rPr>
      </w:pPr>
    </w:p>
    <w:p>
      <w:pPr>
        <w:widowControl/>
        <w:jc w:val="left"/>
        <w:rPr>
          <w:rFonts w:cs="宋体"/>
          <w:b/>
          <w:bCs/>
          <w:color w:val="auto"/>
          <w:szCs w:val="21"/>
        </w:rPr>
      </w:pPr>
    </w:p>
    <w:p>
      <w:pPr>
        <w:widowControl/>
        <w:jc w:val="left"/>
        <w:rPr>
          <w:rFonts w:cs="宋体"/>
          <w:b/>
          <w:bCs/>
          <w:color w:val="auto"/>
          <w:szCs w:val="21"/>
        </w:rPr>
      </w:pPr>
    </w:p>
    <w:p>
      <w:pPr>
        <w:widowControl/>
        <w:jc w:val="left"/>
        <w:rPr>
          <w:rFonts w:cs="宋体"/>
          <w:b/>
          <w:bCs/>
          <w:color w:val="auto"/>
          <w:szCs w:val="21"/>
        </w:rPr>
      </w:pPr>
    </w:p>
    <w:p>
      <w:pPr>
        <w:widowControl/>
        <w:jc w:val="left"/>
        <w:rPr>
          <w:rFonts w:cs="宋体"/>
          <w:b/>
          <w:bCs/>
          <w:color w:val="auto"/>
          <w:szCs w:val="21"/>
        </w:rPr>
      </w:pPr>
    </w:p>
    <w:p>
      <w:pPr>
        <w:widowControl/>
        <w:jc w:val="left"/>
        <w:rPr>
          <w:rFonts w:cs="宋体"/>
          <w:b/>
          <w:bCs/>
          <w:color w:val="auto"/>
          <w:szCs w:val="21"/>
        </w:rPr>
      </w:pPr>
    </w:p>
    <w:p>
      <w:pPr>
        <w:widowControl/>
        <w:jc w:val="left"/>
        <w:rPr>
          <w:rFonts w:cs="宋体"/>
          <w:b/>
          <w:bCs/>
          <w:color w:val="auto"/>
          <w:szCs w:val="21"/>
        </w:rPr>
      </w:pPr>
    </w:p>
    <w:p>
      <w:pPr>
        <w:widowControl/>
        <w:jc w:val="left"/>
        <w:rPr>
          <w:rFonts w:cs="宋体"/>
          <w:b/>
          <w:bCs/>
          <w:color w:val="auto"/>
          <w:szCs w:val="21"/>
        </w:rPr>
      </w:pPr>
    </w:p>
    <w:p>
      <w:pPr>
        <w:widowControl/>
        <w:jc w:val="left"/>
        <w:rPr>
          <w:rFonts w:cs="宋体"/>
          <w:b/>
          <w:bCs/>
          <w:color w:val="auto"/>
          <w:szCs w:val="21"/>
          <w:u w:val="single"/>
        </w:rPr>
      </w:pPr>
      <w:r>
        <w:rPr>
          <w:rFonts w:hint="eastAsia" w:cs="宋体"/>
          <w:b/>
          <w:bCs/>
          <w:color w:val="auto"/>
          <w:szCs w:val="21"/>
        </w:rPr>
        <w:t>磋商供应商[公章(CA签章)，自然人签字或个人CA签章]：</w:t>
      </w:r>
      <w:r>
        <w:rPr>
          <w:rFonts w:hint="eastAsia" w:cs="宋体"/>
          <w:b/>
          <w:bCs/>
          <w:color w:val="auto"/>
          <w:szCs w:val="21"/>
          <w:u w:val="single"/>
        </w:rPr>
        <w:t xml:space="preserve">                                 </w:t>
      </w:r>
    </w:p>
    <w:p>
      <w:pPr>
        <w:widowControl/>
        <w:jc w:val="left"/>
        <w:rPr>
          <w:rFonts w:cs="宋体"/>
          <w:b/>
          <w:bCs/>
          <w:color w:val="auto"/>
          <w:szCs w:val="21"/>
        </w:rPr>
      </w:pPr>
    </w:p>
    <w:p>
      <w:pPr>
        <w:snapToGrid w:val="0"/>
        <w:spacing w:line="300" w:lineRule="exact"/>
        <w:rPr>
          <w:rFonts w:cs="宋体"/>
          <w:b/>
          <w:bCs/>
          <w:color w:val="auto"/>
          <w:u w:val="single"/>
        </w:rPr>
      </w:pPr>
      <w:r>
        <w:rPr>
          <w:rFonts w:hint="eastAsia" w:cs="宋体"/>
          <w:b/>
          <w:bCs/>
          <w:color w:val="auto"/>
        </w:rPr>
        <w:t>日          期：</w:t>
      </w:r>
      <w:r>
        <w:rPr>
          <w:rFonts w:hint="eastAsia" w:cs="宋体"/>
          <w:b/>
          <w:bCs/>
          <w:color w:val="auto"/>
          <w:u w:val="single"/>
        </w:rPr>
        <w:t xml:space="preserve">                              </w:t>
      </w:r>
    </w:p>
    <w:p>
      <w:pPr>
        <w:rPr>
          <w:color w:val="auto"/>
        </w:rPr>
      </w:pPr>
    </w:p>
    <w:p>
      <w:pPr>
        <w:spacing w:line="420" w:lineRule="exact"/>
        <w:rPr>
          <w:rFonts w:cs="宋体"/>
          <w:b/>
          <w:color w:val="auto"/>
          <w:sz w:val="28"/>
          <w:szCs w:val="28"/>
        </w:rPr>
      </w:pPr>
    </w:p>
    <w:p>
      <w:pPr>
        <w:pStyle w:val="2"/>
        <w:rPr>
          <w:color w:val="auto"/>
        </w:rPr>
      </w:pPr>
    </w:p>
    <w:p>
      <w:pPr>
        <w:rPr>
          <w:rFonts w:cs="宋体"/>
          <w:b/>
          <w:color w:val="auto"/>
          <w:sz w:val="28"/>
          <w:szCs w:val="28"/>
        </w:rPr>
      </w:pPr>
      <w:bookmarkStart w:id="594" w:name="_Toc24798"/>
      <w:bookmarkStart w:id="595" w:name="_Toc32582"/>
      <w:bookmarkStart w:id="596" w:name="_Toc330"/>
      <w:bookmarkStart w:id="597" w:name="_Toc31962"/>
      <w:bookmarkStart w:id="598" w:name="_Toc1043"/>
      <w:bookmarkStart w:id="599" w:name="_Toc26788"/>
      <w:bookmarkStart w:id="600" w:name="_Toc27687"/>
      <w:bookmarkStart w:id="601" w:name="_Toc31255"/>
      <w:r>
        <w:rPr>
          <w:rFonts w:hint="eastAsia" w:cs="宋体"/>
          <w:b/>
          <w:color w:val="auto"/>
          <w:sz w:val="28"/>
          <w:szCs w:val="28"/>
        </w:rPr>
        <w:br w:type="page"/>
      </w:r>
    </w:p>
    <w:p>
      <w:pPr>
        <w:spacing w:line="360" w:lineRule="auto"/>
        <w:outlineLvl w:val="1"/>
        <w:rPr>
          <w:rFonts w:cs="宋体"/>
          <w:b/>
          <w:color w:val="auto"/>
          <w:sz w:val="28"/>
          <w:szCs w:val="28"/>
        </w:rPr>
      </w:pPr>
      <w:r>
        <w:rPr>
          <w:rFonts w:hint="eastAsia" w:cs="宋体"/>
          <w:b/>
          <w:color w:val="auto"/>
          <w:sz w:val="28"/>
          <w:szCs w:val="28"/>
        </w:rPr>
        <w:t>8.</w:t>
      </w:r>
      <w:r>
        <w:rPr>
          <w:rFonts w:hint="eastAsia" w:cs="宋体"/>
          <w:b/>
          <w:bCs/>
          <w:color w:val="auto"/>
          <w:sz w:val="28"/>
          <w:szCs w:val="28"/>
        </w:rPr>
        <w:t>农民工</w:t>
      </w:r>
      <w:r>
        <w:rPr>
          <w:rFonts w:hint="eastAsia" w:cs="宋体"/>
          <w:b/>
          <w:color w:val="auto"/>
          <w:sz w:val="28"/>
          <w:szCs w:val="28"/>
        </w:rPr>
        <w:t>工资保障金交纳与使用承诺书（必须提供）</w:t>
      </w:r>
      <w:bookmarkEnd w:id="594"/>
      <w:bookmarkEnd w:id="595"/>
      <w:r>
        <w:rPr>
          <w:rFonts w:hint="eastAsia" w:cs="宋体"/>
          <w:b/>
          <w:color w:val="auto"/>
          <w:sz w:val="28"/>
          <w:szCs w:val="28"/>
        </w:rPr>
        <w:t>；</w:t>
      </w:r>
      <w:bookmarkEnd w:id="596"/>
      <w:bookmarkEnd w:id="597"/>
      <w:bookmarkEnd w:id="598"/>
      <w:bookmarkEnd w:id="599"/>
      <w:bookmarkEnd w:id="600"/>
      <w:bookmarkEnd w:id="601"/>
    </w:p>
    <w:p>
      <w:pPr>
        <w:spacing w:line="360" w:lineRule="auto"/>
        <w:jc w:val="center"/>
        <w:rPr>
          <w:rFonts w:cs="宋体"/>
          <w:b/>
          <w:color w:val="auto"/>
          <w:sz w:val="28"/>
          <w:szCs w:val="28"/>
        </w:rPr>
      </w:pPr>
      <w:r>
        <w:rPr>
          <w:rFonts w:hint="eastAsia" w:cs="宋体"/>
          <w:b/>
          <w:color w:val="auto"/>
          <w:sz w:val="28"/>
          <w:szCs w:val="28"/>
        </w:rPr>
        <w:t>农民工工资保证金交纳与使用承诺书（格式）</w:t>
      </w:r>
    </w:p>
    <w:p>
      <w:pPr>
        <w:spacing w:line="420" w:lineRule="exact"/>
        <w:rPr>
          <w:rFonts w:cs="宋体"/>
          <w:color w:val="auto"/>
          <w:kern w:val="0"/>
          <w:szCs w:val="21"/>
        </w:rPr>
      </w:pPr>
    </w:p>
    <w:p>
      <w:pPr>
        <w:spacing w:line="420" w:lineRule="exact"/>
        <w:rPr>
          <w:rFonts w:cs="宋体"/>
          <w:b/>
          <w:color w:val="auto"/>
          <w:kern w:val="0"/>
          <w:szCs w:val="21"/>
          <w:u w:val="single"/>
        </w:rPr>
      </w:pPr>
      <w:r>
        <w:rPr>
          <w:rFonts w:hint="eastAsia" w:cs="宋体"/>
          <w:color w:val="auto"/>
          <w:kern w:val="0"/>
          <w:szCs w:val="21"/>
        </w:rPr>
        <w:t>致：</w:t>
      </w:r>
      <w:r>
        <w:rPr>
          <w:rFonts w:hint="eastAsia" w:cs="宋体"/>
          <w:color w:val="auto"/>
          <w:u w:val="single"/>
        </w:rPr>
        <w:t>广西科联招标中心有限公司</w:t>
      </w:r>
      <w:r>
        <w:rPr>
          <w:rFonts w:hint="eastAsia" w:cs="宋体"/>
          <w:color w:val="auto"/>
          <w:szCs w:val="21"/>
          <w:u w:val="single"/>
        </w:rPr>
        <w:t xml:space="preserve"> </w:t>
      </w:r>
    </w:p>
    <w:p>
      <w:pPr>
        <w:spacing w:line="420" w:lineRule="exact"/>
        <w:ind w:firstLine="420" w:firstLineChars="200"/>
        <w:rPr>
          <w:rFonts w:cs="宋体"/>
          <w:color w:val="auto"/>
          <w:kern w:val="0"/>
          <w:szCs w:val="21"/>
        </w:rPr>
      </w:pPr>
      <w:r>
        <w:rPr>
          <w:rFonts w:hint="eastAsia" w:cs="宋体"/>
          <w:color w:val="auto"/>
          <w:kern w:val="0"/>
          <w:szCs w:val="21"/>
        </w:rPr>
        <w:t>我方在此承诺：</w:t>
      </w:r>
    </w:p>
    <w:p>
      <w:pPr>
        <w:numPr>
          <w:ilvl w:val="0"/>
          <w:numId w:val="8"/>
        </w:numPr>
        <w:spacing w:line="420" w:lineRule="exact"/>
        <w:ind w:firstLine="420" w:firstLineChars="200"/>
        <w:rPr>
          <w:rFonts w:cs="宋体"/>
          <w:color w:val="auto"/>
          <w:kern w:val="0"/>
          <w:szCs w:val="21"/>
        </w:rPr>
      </w:pPr>
      <w:r>
        <w:rPr>
          <w:rFonts w:hint="eastAsia" w:cs="宋体"/>
          <w:color w:val="auto"/>
          <w:kern w:val="0"/>
          <w:szCs w:val="21"/>
        </w:rPr>
        <w:t>我方在本项目</w:t>
      </w:r>
      <w:r>
        <w:rPr>
          <w:rFonts w:hint="eastAsia" w:cs="宋体"/>
          <w:color w:val="auto"/>
          <w:kern w:val="0"/>
          <w:szCs w:val="21"/>
          <w:u w:val="single"/>
        </w:rPr>
        <w:t xml:space="preserve">               </w:t>
      </w:r>
      <w:r>
        <w:rPr>
          <w:rFonts w:hint="eastAsia" w:cs="宋体"/>
          <w:color w:val="auto"/>
          <w:kern w:val="0"/>
          <w:szCs w:val="21"/>
        </w:rPr>
        <w:t>（项目名称及编号）响应文件递交截止之日前所承建工程中，无拖欠或克扣农民工工资的行为。</w:t>
      </w:r>
    </w:p>
    <w:p>
      <w:pPr>
        <w:spacing w:line="420" w:lineRule="exact"/>
        <w:ind w:firstLine="420" w:firstLineChars="200"/>
        <w:rPr>
          <w:rFonts w:cs="宋体"/>
          <w:color w:val="auto"/>
          <w:kern w:val="0"/>
          <w:szCs w:val="21"/>
        </w:rPr>
      </w:pPr>
      <w:r>
        <w:rPr>
          <w:rFonts w:hint="eastAsia" w:cs="宋体"/>
          <w:color w:val="auto"/>
          <w:kern w:val="0"/>
          <w:szCs w:val="21"/>
        </w:rPr>
        <w:t>2. 我方参与磋商的</w:t>
      </w:r>
      <w:r>
        <w:rPr>
          <w:rFonts w:hint="eastAsia" w:cs="宋体"/>
          <w:color w:val="auto"/>
          <w:kern w:val="0"/>
          <w:szCs w:val="21"/>
          <w:u w:val="single"/>
        </w:rPr>
        <w:t xml:space="preserve">                    </w:t>
      </w:r>
      <w:r>
        <w:rPr>
          <w:rFonts w:hint="eastAsia" w:cs="宋体"/>
          <w:color w:val="auto"/>
          <w:kern w:val="0"/>
          <w:szCs w:val="21"/>
        </w:rPr>
        <w:t>项目，一旦成交，我方保证在签订施工合同后，及时并足额将农民工工资保证金足额存入指定的账户，作为本项目农民工工资保证金。</w:t>
      </w:r>
    </w:p>
    <w:p>
      <w:pPr>
        <w:spacing w:line="420" w:lineRule="exact"/>
        <w:ind w:firstLine="420" w:firstLineChars="200"/>
        <w:rPr>
          <w:rFonts w:cs="宋体"/>
          <w:color w:val="auto"/>
          <w:kern w:val="0"/>
          <w:szCs w:val="21"/>
        </w:rPr>
      </w:pPr>
      <w:r>
        <w:rPr>
          <w:rFonts w:hint="eastAsia" w:cs="宋体"/>
          <w:color w:val="auto"/>
          <w:kern w:val="0"/>
          <w:szCs w:val="21"/>
        </w:rPr>
        <w:t>3. 如我方在承包的</w:t>
      </w:r>
      <w:r>
        <w:rPr>
          <w:rFonts w:hint="eastAsia" w:cs="宋体"/>
          <w:color w:val="auto"/>
          <w:kern w:val="0"/>
          <w:szCs w:val="21"/>
          <w:u w:val="single"/>
        </w:rPr>
        <w:t xml:space="preserve">                    </w:t>
      </w:r>
      <w:r>
        <w:rPr>
          <w:rFonts w:hint="eastAsia" w:cs="宋体"/>
          <w:color w:val="auto"/>
          <w:kern w:val="0"/>
          <w:szCs w:val="21"/>
        </w:rPr>
        <w:t>项目中出现拖欠农民工和工人工资情况的，由相关部门从其农民工工资保证金中先予划支。</w:t>
      </w:r>
    </w:p>
    <w:p>
      <w:pPr>
        <w:spacing w:line="420" w:lineRule="exact"/>
        <w:ind w:firstLine="420" w:firstLineChars="200"/>
        <w:rPr>
          <w:color w:val="auto"/>
        </w:rPr>
      </w:pPr>
      <w:r>
        <w:rPr>
          <w:rFonts w:hint="eastAsia" w:cs="宋体"/>
          <w:color w:val="auto"/>
          <w:kern w:val="0"/>
          <w:szCs w:val="21"/>
        </w:rPr>
        <w:t>4. 如我方不按时、足额存入农民工工资保证金，采购人有权取消我方承包资格。</w:t>
      </w:r>
    </w:p>
    <w:p>
      <w:pPr>
        <w:pStyle w:val="28"/>
        <w:spacing w:line="340" w:lineRule="exact"/>
        <w:rPr>
          <w:rFonts w:ascii="Times New Roman" w:hAnsi="Times New Roman" w:cs="宋体"/>
          <w:b/>
          <w:color w:val="auto"/>
          <w:sz w:val="28"/>
          <w:szCs w:val="28"/>
        </w:rPr>
      </w:pPr>
    </w:p>
    <w:p>
      <w:pPr>
        <w:spacing w:line="340" w:lineRule="exact"/>
        <w:ind w:left="420"/>
        <w:jc w:val="center"/>
        <w:rPr>
          <w:rFonts w:cs="宋体"/>
          <w:b/>
          <w:bCs/>
          <w:color w:val="auto"/>
          <w:sz w:val="32"/>
          <w:szCs w:val="32"/>
        </w:rPr>
      </w:pPr>
      <w:bookmarkStart w:id="602" w:name="_Toc28672"/>
      <w:bookmarkStart w:id="603" w:name="_Toc9339"/>
      <w:bookmarkStart w:id="604" w:name="_Toc497927084"/>
    </w:p>
    <w:p>
      <w:pPr>
        <w:spacing w:line="340" w:lineRule="exact"/>
        <w:ind w:left="420"/>
        <w:jc w:val="center"/>
        <w:rPr>
          <w:rFonts w:cs="宋体"/>
          <w:b/>
          <w:bCs/>
          <w:color w:val="auto"/>
          <w:sz w:val="32"/>
          <w:szCs w:val="32"/>
        </w:rPr>
      </w:pPr>
    </w:p>
    <w:p>
      <w:pPr>
        <w:widowControl/>
        <w:jc w:val="left"/>
        <w:rPr>
          <w:rFonts w:cs="宋体"/>
          <w:b/>
          <w:bCs/>
          <w:color w:val="auto"/>
          <w:szCs w:val="21"/>
          <w:u w:val="single"/>
        </w:rPr>
      </w:pPr>
      <w:r>
        <w:rPr>
          <w:rFonts w:hint="eastAsia" w:cs="宋体"/>
          <w:b/>
          <w:bCs/>
          <w:color w:val="auto"/>
          <w:szCs w:val="21"/>
        </w:rPr>
        <w:t>磋商供应商[公章(CA签章)，自然人签字或个人CA签章]：</w:t>
      </w:r>
      <w:r>
        <w:rPr>
          <w:rFonts w:hint="eastAsia" w:cs="宋体"/>
          <w:b/>
          <w:bCs/>
          <w:color w:val="auto"/>
          <w:szCs w:val="21"/>
          <w:u w:val="single"/>
        </w:rPr>
        <w:t xml:space="preserve">                                 </w:t>
      </w:r>
    </w:p>
    <w:p>
      <w:pPr>
        <w:widowControl/>
        <w:jc w:val="left"/>
        <w:rPr>
          <w:rFonts w:cs="宋体"/>
          <w:b/>
          <w:bCs/>
          <w:color w:val="auto"/>
          <w:szCs w:val="21"/>
        </w:rPr>
      </w:pPr>
    </w:p>
    <w:p>
      <w:pPr>
        <w:snapToGrid w:val="0"/>
        <w:spacing w:line="300" w:lineRule="exact"/>
        <w:rPr>
          <w:rFonts w:cs="宋体"/>
          <w:b/>
          <w:bCs/>
          <w:color w:val="auto"/>
          <w:u w:val="single"/>
        </w:rPr>
      </w:pPr>
      <w:r>
        <w:rPr>
          <w:rFonts w:hint="eastAsia" w:cs="宋体"/>
          <w:b/>
          <w:bCs/>
          <w:color w:val="auto"/>
        </w:rPr>
        <w:t>日          期：</w:t>
      </w:r>
      <w:r>
        <w:rPr>
          <w:rFonts w:hint="eastAsia" w:cs="宋体"/>
          <w:b/>
          <w:bCs/>
          <w:color w:val="auto"/>
          <w:u w:val="single"/>
        </w:rPr>
        <w:t xml:space="preserve">                              </w:t>
      </w:r>
    </w:p>
    <w:p>
      <w:pPr>
        <w:rPr>
          <w:rFonts w:cs="宋体"/>
          <w:b/>
          <w:color w:val="auto"/>
          <w:sz w:val="28"/>
          <w:szCs w:val="28"/>
        </w:rPr>
      </w:pPr>
    </w:p>
    <w:p>
      <w:pPr>
        <w:pStyle w:val="2"/>
        <w:rPr>
          <w:rFonts w:cs="宋体"/>
          <w:b/>
          <w:color w:val="auto"/>
          <w:sz w:val="28"/>
          <w:szCs w:val="28"/>
        </w:rPr>
      </w:pPr>
    </w:p>
    <w:p>
      <w:pPr>
        <w:rPr>
          <w:rFonts w:cs="宋体"/>
          <w:b/>
          <w:color w:val="auto"/>
          <w:sz w:val="28"/>
          <w:szCs w:val="28"/>
        </w:rPr>
      </w:pPr>
    </w:p>
    <w:p>
      <w:pPr>
        <w:pStyle w:val="2"/>
        <w:rPr>
          <w:color w:val="auto"/>
        </w:rPr>
      </w:pPr>
    </w:p>
    <w:p>
      <w:pPr>
        <w:spacing w:line="400" w:lineRule="exact"/>
        <w:rPr>
          <w:rFonts w:cs="宋体"/>
          <w:b/>
          <w:color w:val="auto"/>
          <w:sz w:val="28"/>
          <w:szCs w:val="28"/>
        </w:rPr>
      </w:pPr>
      <w:bookmarkStart w:id="605" w:name="_Toc5526"/>
      <w:bookmarkStart w:id="606" w:name="_Toc12739"/>
      <w:bookmarkStart w:id="607" w:name="_Toc10529"/>
      <w:bookmarkStart w:id="608" w:name="_Toc21352"/>
      <w:bookmarkStart w:id="609" w:name="_Toc21098"/>
      <w:bookmarkStart w:id="610" w:name="_Toc3852"/>
      <w:bookmarkStart w:id="611" w:name="_Toc6927"/>
      <w:bookmarkStart w:id="612" w:name="_Toc509"/>
    </w:p>
    <w:p>
      <w:pPr>
        <w:spacing w:line="400" w:lineRule="exact"/>
        <w:rPr>
          <w:rFonts w:cs="宋体"/>
          <w:b/>
          <w:color w:val="auto"/>
          <w:sz w:val="28"/>
          <w:szCs w:val="28"/>
        </w:rPr>
      </w:pPr>
    </w:p>
    <w:p>
      <w:pPr>
        <w:spacing w:line="400" w:lineRule="exact"/>
        <w:rPr>
          <w:rFonts w:cs="宋体"/>
          <w:b/>
          <w:color w:val="auto"/>
          <w:sz w:val="28"/>
          <w:szCs w:val="28"/>
        </w:rPr>
      </w:pPr>
    </w:p>
    <w:p>
      <w:pPr>
        <w:spacing w:line="400" w:lineRule="exact"/>
        <w:rPr>
          <w:rFonts w:cs="宋体"/>
          <w:b/>
          <w:color w:val="auto"/>
          <w:sz w:val="28"/>
          <w:szCs w:val="28"/>
        </w:rPr>
      </w:pPr>
    </w:p>
    <w:p>
      <w:pPr>
        <w:spacing w:line="400" w:lineRule="exact"/>
        <w:rPr>
          <w:rFonts w:cs="宋体"/>
          <w:b/>
          <w:color w:val="auto"/>
          <w:sz w:val="28"/>
          <w:szCs w:val="28"/>
        </w:rPr>
      </w:pPr>
    </w:p>
    <w:p>
      <w:pPr>
        <w:spacing w:line="400" w:lineRule="exact"/>
        <w:outlineLvl w:val="1"/>
        <w:rPr>
          <w:rFonts w:cs="宋体"/>
          <w:b/>
          <w:color w:val="auto"/>
          <w:sz w:val="28"/>
          <w:szCs w:val="28"/>
        </w:rPr>
      </w:pPr>
      <w:r>
        <w:rPr>
          <w:rFonts w:hint="eastAsia" w:cs="宋体"/>
          <w:b/>
          <w:color w:val="auto"/>
          <w:sz w:val="28"/>
          <w:szCs w:val="28"/>
        </w:rPr>
        <w:t>9.城乡清洁工程渣土清运承诺书（必须提供）</w:t>
      </w:r>
      <w:bookmarkEnd w:id="605"/>
      <w:bookmarkEnd w:id="606"/>
      <w:bookmarkEnd w:id="607"/>
      <w:bookmarkEnd w:id="608"/>
      <w:bookmarkEnd w:id="609"/>
      <w:bookmarkEnd w:id="610"/>
      <w:bookmarkEnd w:id="611"/>
      <w:bookmarkEnd w:id="612"/>
    </w:p>
    <w:p>
      <w:pPr>
        <w:rPr>
          <w:color w:val="auto"/>
        </w:rPr>
      </w:pPr>
    </w:p>
    <w:p>
      <w:pPr>
        <w:rPr>
          <w:color w:val="auto"/>
        </w:rPr>
      </w:pPr>
    </w:p>
    <w:p>
      <w:pPr>
        <w:spacing w:line="340" w:lineRule="exact"/>
        <w:ind w:left="420"/>
        <w:jc w:val="center"/>
        <w:outlineLvl w:val="1"/>
        <w:rPr>
          <w:rFonts w:cs="宋体"/>
          <w:color w:val="auto"/>
          <w:szCs w:val="21"/>
        </w:rPr>
      </w:pPr>
      <w:r>
        <w:rPr>
          <w:rFonts w:hint="eastAsia" w:cs="宋体"/>
          <w:b/>
          <w:bCs/>
          <w:color w:val="auto"/>
          <w:sz w:val="32"/>
          <w:szCs w:val="32"/>
        </w:rPr>
        <w:br w:type="page"/>
      </w:r>
      <w:bookmarkStart w:id="613" w:name="_Toc30204"/>
      <w:bookmarkStart w:id="614" w:name="_Toc26970"/>
      <w:r>
        <w:rPr>
          <w:rFonts w:hint="eastAsia" w:cs="宋体"/>
          <w:b/>
          <w:bCs/>
          <w:color w:val="auto"/>
          <w:sz w:val="32"/>
          <w:szCs w:val="32"/>
        </w:rPr>
        <w:t>（三）其他有效证明材料目录</w:t>
      </w:r>
      <w:bookmarkEnd w:id="602"/>
      <w:bookmarkEnd w:id="603"/>
      <w:bookmarkEnd w:id="604"/>
      <w:bookmarkEnd w:id="613"/>
      <w:bookmarkEnd w:id="614"/>
    </w:p>
    <w:p>
      <w:pPr>
        <w:spacing w:line="360" w:lineRule="auto"/>
        <w:ind w:firstLine="420" w:firstLineChars="200"/>
        <w:rPr>
          <w:rFonts w:cs="宋体"/>
          <w:color w:val="auto"/>
          <w:szCs w:val="21"/>
        </w:rPr>
      </w:pPr>
    </w:p>
    <w:p>
      <w:pPr>
        <w:spacing w:line="360" w:lineRule="auto"/>
        <w:ind w:firstLine="420" w:firstLineChars="200"/>
        <w:rPr>
          <w:rFonts w:cs="宋体"/>
          <w:color w:val="auto"/>
          <w:szCs w:val="21"/>
        </w:rPr>
      </w:pPr>
      <w:r>
        <w:rPr>
          <w:rFonts w:hint="eastAsia" w:cs="宋体"/>
          <w:color w:val="auto"/>
          <w:szCs w:val="21"/>
        </w:rPr>
        <w:t>1.供应商2021年1月1日以来具有同类项目的业绩相关证明材料（无不良记录，以中标、成交通知书或签订的合同为准，并能清晰反映项目的名称、采购内容、采购金额、采购时间）</w:t>
      </w:r>
      <w:r>
        <w:rPr>
          <w:rFonts w:hint="eastAsia" w:cs="宋体"/>
          <w:b/>
          <w:bCs/>
          <w:color w:val="auto"/>
          <w:szCs w:val="21"/>
        </w:rPr>
        <w:t>（如有，请提供）；</w:t>
      </w:r>
    </w:p>
    <w:p>
      <w:pPr>
        <w:spacing w:line="360" w:lineRule="auto"/>
        <w:ind w:firstLine="420" w:firstLineChars="200"/>
        <w:rPr>
          <w:rFonts w:cs="宋体"/>
          <w:color w:val="auto"/>
          <w:szCs w:val="21"/>
        </w:rPr>
      </w:pPr>
    </w:p>
    <w:p>
      <w:pPr>
        <w:spacing w:line="360" w:lineRule="auto"/>
        <w:ind w:firstLine="420" w:firstLineChars="200"/>
        <w:rPr>
          <w:rFonts w:cs="宋体"/>
          <w:color w:val="auto"/>
          <w:szCs w:val="21"/>
        </w:rPr>
      </w:pPr>
      <w:r>
        <w:rPr>
          <w:rFonts w:hint="eastAsia" w:cs="宋体"/>
          <w:color w:val="auto"/>
          <w:szCs w:val="21"/>
        </w:rPr>
        <w:t>2.供应商可结合本项目的评审办法视自身情况自行提交其它相关证明材料。</w:t>
      </w:r>
    </w:p>
    <w:p>
      <w:pPr>
        <w:spacing w:line="360" w:lineRule="auto"/>
        <w:ind w:firstLine="480" w:firstLineChars="200"/>
        <w:rPr>
          <w:rFonts w:cs="宋体"/>
          <w:color w:val="auto"/>
          <w:sz w:val="24"/>
        </w:rPr>
      </w:pPr>
    </w:p>
    <w:p>
      <w:pPr>
        <w:pStyle w:val="365"/>
        <w:rPr>
          <w:rFonts w:cs="宋体"/>
          <w:b/>
          <w:bCs/>
          <w:color w:val="auto"/>
        </w:rPr>
      </w:pPr>
    </w:p>
    <w:p>
      <w:pPr>
        <w:pStyle w:val="365"/>
        <w:rPr>
          <w:rFonts w:cs="宋体"/>
          <w:b/>
          <w:bCs/>
          <w:color w:val="auto"/>
        </w:rPr>
      </w:pPr>
    </w:p>
    <w:p>
      <w:pPr>
        <w:pStyle w:val="365"/>
        <w:rPr>
          <w:rFonts w:cs="宋体"/>
          <w:b/>
          <w:bCs/>
          <w:color w:val="auto"/>
        </w:rPr>
      </w:pPr>
    </w:p>
    <w:p>
      <w:pPr>
        <w:pStyle w:val="365"/>
        <w:rPr>
          <w:rFonts w:cs="宋体"/>
          <w:b/>
          <w:bCs/>
          <w:color w:val="auto"/>
        </w:rPr>
      </w:pPr>
    </w:p>
    <w:p>
      <w:pPr>
        <w:spacing w:line="400" w:lineRule="exact"/>
        <w:outlineLvl w:val="1"/>
        <w:rPr>
          <w:rFonts w:cs="宋体"/>
          <w:b/>
          <w:bCs/>
          <w:iCs/>
          <w:color w:val="auto"/>
          <w:sz w:val="28"/>
          <w:szCs w:val="28"/>
        </w:rPr>
      </w:pPr>
      <w:r>
        <w:rPr>
          <w:rFonts w:hint="eastAsia" w:cs="宋体"/>
          <w:b/>
          <w:bCs/>
          <w:iCs/>
          <w:color w:val="auto"/>
          <w:sz w:val="28"/>
          <w:szCs w:val="28"/>
        </w:rPr>
        <w:br w:type="page"/>
      </w:r>
      <w:bookmarkStart w:id="615" w:name="_Toc6063"/>
      <w:bookmarkStart w:id="616" w:name="_Toc13907"/>
      <w:bookmarkStart w:id="617" w:name="_Toc6250"/>
      <w:bookmarkStart w:id="618" w:name="_Toc4954"/>
      <w:bookmarkStart w:id="619" w:name="_Toc4151"/>
      <w:bookmarkStart w:id="620" w:name="_Toc1498"/>
      <w:r>
        <w:rPr>
          <w:rFonts w:hint="eastAsia" w:cs="宋体"/>
          <w:b/>
          <w:bCs/>
          <w:iCs/>
          <w:color w:val="auto"/>
          <w:sz w:val="28"/>
          <w:szCs w:val="28"/>
        </w:rPr>
        <w:t>1.供应商2021年1月1日以来具有同类项目的业绩相关证明材料（无不良记录，以中标、成交通知书或签订的合同为准，并能清晰反映项目的名称、采购内容、采购金额、采购时间）（如有，请提供）</w:t>
      </w:r>
      <w:bookmarkEnd w:id="615"/>
      <w:bookmarkEnd w:id="616"/>
      <w:bookmarkEnd w:id="617"/>
      <w:bookmarkEnd w:id="618"/>
      <w:bookmarkEnd w:id="619"/>
      <w:bookmarkEnd w:id="620"/>
    </w:p>
    <w:p>
      <w:pPr>
        <w:rPr>
          <w:color w:val="auto"/>
        </w:rPr>
      </w:pPr>
    </w:p>
    <w:p>
      <w:pPr>
        <w:rPr>
          <w:color w:val="auto"/>
        </w:rPr>
      </w:pPr>
    </w:p>
    <w:p>
      <w:pPr>
        <w:tabs>
          <w:tab w:val="left" w:pos="1305"/>
        </w:tabs>
        <w:spacing w:line="360" w:lineRule="exact"/>
        <w:ind w:firstLine="420" w:firstLineChars="200"/>
        <w:rPr>
          <w:rFonts w:cs="宋体"/>
          <w:bCs/>
          <w:color w:val="auto"/>
          <w:kern w:val="0"/>
          <w:szCs w:val="21"/>
        </w:rPr>
      </w:pPr>
    </w:p>
    <w:p>
      <w:pPr>
        <w:tabs>
          <w:tab w:val="left" w:pos="1305"/>
        </w:tabs>
        <w:spacing w:line="360" w:lineRule="exact"/>
        <w:ind w:firstLine="420" w:firstLineChars="200"/>
        <w:rPr>
          <w:rFonts w:cs="宋体"/>
          <w:bCs/>
          <w:color w:val="auto"/>
          <w:kern w:val="0"/>
          <w:szCs w:val="21"/>
        </w:rPr>
      </w:pPr>
    </w:p>
    <w:p>
      <w:pPr>
        <w:tabs>
          <w:tab w:val="left" w:pos="1305"/>
        </w:tabs>
        <w:spacing w:line="360" w:lineRule="exact"/>
        <w:ind w:firstLine="560" w:firstLineChars="200"/>
        <w:rPr>
          <w:rFonts w:cs="宋体"/>
          <w:bCs/>
          <w:color w:val="auto"/>
          <w:kern w:val="0"/>
          <w:sz w:val="28"/>
          <w:szCs w:val="28"/>
        </w:rPr>
      </w:pPr>
    </w:p>
    <w:p>
      <w:pPr>
        <w:outlineLvl w:val="1"/>
        <w:rPr>
          <w:rFonts w:cs="宋体"/>
          <w:b/>
          <w:bCs/>
          <w:iCs/>
          <w:color w:val="auto"/>
          <w:sz w:val="28"/>
          <w:szCs w:val="28"/>
        </w:rPr>
      </w:pPr>
      <w:bookmarkStart w:id="621" w:name="_Toc30255"/>
      <w:bookmarkStart w:id="622" w:name="_Toc8204"/>
      <w:bookmarkStart w:id="623" w:name="_Toc17885"/>
      <w:bookmarkStart w:id="624" w:name="_Toc21485"/>
      <w:bookmarkStart w:id="625" w:name="_Toc21043"/>
      <w:bookmarkStart w:id="626" w:name="_Toc15093"/>
      <w:r>
        <w:rPr>
          <w:rFonts w:hint="eastAsia" w:cs="宋体"/>
          <w:b/>
          <w:bCs/>
          <w:iCs/>
          <w:color w:val="auto"/>
          <w:sz w:val="28"/>
          <w:szCs w:val="28"/>
        </w:rPr>
        <w:t>2.供应商可结合本项目自身情况自行提交其它相关证明材料。</w:t>
      </w:r>
      <w:bookmarkEnd w:id="621"/>
      <w:bookmarkEnd w:id="622"/>
      <w:bookmarkEnd w:id="623"/>
      <w:bookmarkEnd w:id="624"/>
      <w:bookmarkEnd w:id="625"/>
      <w:bookmarkEnd w:id="626"/>
    </w:p>
    <w:p>
      <w:pPr>
        <w:rPr>
          <w:color w:val="auto"/>
        </w:rPr>
      </w:pPr>
    </w:p>
    <w:p>
      <w:pPr>
        <w:rPr>
          <w:color w:val="auto"/>
        </w:rPr>
      </w:pPr>
    </w:p>
    <w:p>
      <w:pPr>
        <w:rPr>
          <w:color w:val="auto"/>
        </w:rPr>
      </w:pPr>
    </w:p>
    <w:p>
      <w:pPr>
        <w:jc w:val="center"/>
        <w:outlineLvl w:val="0"/>
        <w:rPr>
          <w:rFonts w:ascii="华文中宋" w:hAnsi="华文中宋" w:eastAsia="华文中宋" w:cs="华文中宋"/>
          <w:b/>
          <w:bCs/>
          <w:color w:val="auto"/>
          <w:sz w:val="32"/>
          <w:szCs w:val="32"/>
        </w:rPr>
      </w:pPr>
      <w:bookmarkStart w:id="627" w:name="_Toc22545"/>
      <w:bookmarkStart w:id="628" w:name="_Toc2237"/>
      <w:bookmarkStart w:id="629" w:name="_Toc16390"/>
      <w:bookmarkStart w:id="630" w:name="_Toc18780"/>
      <w:bookmarkStart w:id="631" w:name="_Toc6973"/>
      <w:bookmarkStart w:id="632" w:name="_Toc12385"/>
      <w:bookmarkStart w:id="633" w:name="_Toc16284"/>
      <w:bookmarkStart w:id="634" w:name="_Toc1637952"/>
      <w:r>
        <w:rPr>
          <w:rFonts w:hint="eastAsia" w:ascii="华文中宋" w:hAnsi="华文中宋" w:eastAsia="华文中宋" w:cs="华文中宋"/>
          <w:b/>
          <w:bCs/>
          <w:color w:val="auto"/>
          <w:sz w:val="32"/>
          <w:szCs w:val="32"/>
        </w:rPr>
        <w:br w:type="page"/>
      </w:r>
      <w:bookmarkStart w:id="635" w:name="_Toc13893"/>
      <w:r>
        <w:rPr>
          <w:rFonts w:hint="eastAsia" w:ascii="华文中宋" w:hAnsi="华文中宋" w:eastAsia="华文中宋" w:cs="华文中宋"/>
          <w:b/>
          <w:bCs/>
          <w:color w:val="auto"/>
          <w:sz w:val="32"/>
          <w:szCs w:val="32"/>
        </w:rPr>
        <w:t>第七章  图纸</w:t>
      </w:r>
      <w:bookmarkEnd w:id="627"/>
      <w:bookmarkEnd w:id="628"/>
      <w:bookmarkEnd w:id="629"/>
      <w:bookmarkEnd w:id="630"/>
      <w:bookmarkEnd w:id="631"/>
      <w:bookmarkEnd w:id="632"/>
      <w:bookmarkEnd w:id="633"/>
      <w:bookmarkEnd w:id="635"/>
    </w:p>
    <w:bookmarkEnd w:id="634"/>
    <w:p>
      <w:pPr>
        <w:jc w:val="center"/>
        <w:rPr>
          <w:color w:val="auto"/>
        </w:rPr>
      </w:pPr>
    </w:p>
    <w:p>
      <w:pPr>
        <w:jc w:val="center"/>
        <w:rPr>
          <w:rFonts w:ascii="宋体" w:hAnsi="宋体" w:cs="宋体"/>
          <w:b/>
          <w:color w:val="auto"/>
          <w:kern w:val="0"/>
          <w:sz w:val="24"/>
        </w:rPr>
      </w:pPr>
      <w:bookmarkStart w:id="636" w:name="_Toc16907"/>
      <w:bookmarkStart w:id="637" w:name="_Toc11205"/>
      <w:r>
        <w:rPr>
          <w:rFonts w:hint="eastAsia" w:ascii="宋体" w:hAnsi="宋体" w:cs="宋体"/>
          <w:b/>
          <w:color w:val="auto"/>
          <w:kern w:val="0"/>
          <w:sz w:val="24"/>
        </w:rPr>
        <w:t>另附</w:t>
      </w:r>
      <w:bookmarkEnd w:id="636"/>
      <w:bookmarkEnd w:id="637"/>
    </w:p>
    <w:p>
      <w:pPr>
        <w:jc w:val="center"/>
        <w:rPr>
          <w:rFonts w:ascii="华文中宋" w:hAnsi="华文中宋" w:eastAsia="华文中宋" w:cs="华文中宋"/>
          <w:b/>
          <w:bCs/>
          <w:color w:val="auto"/>
          <w:sz w:val="32"/>
          <w:szCs w:val="32"/>
        </w:rPr>
      </w:pPr>
      <w:bookmarkStart w:id="638" w:name="_Toc31419"/>
      <w:bookmarkStart w:id="639" w:name="_Toc389065348"/>
      <w:bookmarkStart w:id="640" w:name="_Toc358569767"/>
    </w:p>
    <w:p>
      <w:pPr>
        <w:pStyle w:val="2"/>
        <w:rPr>
          <w:rFonts w:ascii="华文中宋" w:hAnsi="华文中宋" w:eastAsia="华文中宋" w:cs="华文中宋"/>
          <w:b/>
          <w:bCs/>
          <w:color w:val="auto"/>
          <w:sz w:val="32"/>
          <w:szCs w:val="32"/>
        </w:rPr>
      </w:pPr>
    </w:p>
    <w:p>
      <w:pPr>
        <w:pStyle w:val="2"/>
        <w:rPr>
          <w:rFonts w:ascii="华文中宋" w:hAnsi="华文中宋" w:eastAsia="华文中宋" w:cs="华文中宋"/>
          <w:b/>
          <w:bCs/>
          <w:color w:val="auto"/>
          <w:sz w:val="32"/>
          <w:szCs w:val="32"/>
        </w:rPr>
      </w:pPr>
    </w:p>
    <w:p>
      <w:pPr>
        <w:pStyle w:val="2"/>
        <w:rPr>
          <w:rFonts w:ascii="华文中宋" w:hAnsi="华文中宋" w:eastAsia="华文中宋" w:cs="华文中宋"/>
          <w:b/>
          <w:bCs/>
          <w:color w:val="auto"/>
          <w:sz w:val="32"/>
          <w:szCs w:val="32"/>
        </w:rPr>
      </w:pPr>
    </w:p>
    <w:p>
      <w:pPr>
        <w:jc w:val="center"/>
        <w:outlineLvl w:val="0"/>
        <w:rPr>
          <w:rFonts w:ascii="华文中宋" w:hAnsi="华文中宋" w:eastAsia="华文中宋" w:cs="华文中宋"/>
          <w:b/>
          <w:bCs/>
          <w:color w:val="auto"/>
          <w:sz w:val="32"/>
          <w:szCs w:val="32"/>
        </w:rPr>
      </w:pPr>
      <w:bookmarkStart w:id="641" w:name="_Toc16028"/>
      <w:r>
        <w:rPr>
          <w:rFonts w:hint="eastAsia" w:ascii="华文中宋" w:hAnsi="华文中宋" w:eastAsia="华文中宋" w:cs="华文中宋"/>
          <w:b/>
          <w:bCs/>
          <w:color w:val="auto"/>
          <w:sz w:val="32"/>
          <w:szCs w:val="32"/>
        </w:rPr>
        <w:t>第八章  技术标准和要求</w:t>
      </w:r>
      <w:bookmarkEnd w:id="638"/>
      <w:bookmarkEnd w:id="639"/>
      <w:bookmarkEnd w:id="640"/>
      <w:bookmarkEnd w:id="641"/>
    </w:p>
    <w:p>
      <w:pPr>
        <w:jc w:val="center"/>
        <w:rPr>
          <w:rFonts w:ascii="Calibri" w:hAnsi="Calibri"/>
          <w:color w:val="auto"/>
          <w:szCs w:val="21"/>
        </w:rPr>
      </w:pPr>
      <w:bookmarkStart w:id="642" w:name="_Toc349557651"/>
      <w:bookmarkStart w:id="643" w:name="_Toc349555826"/>
    </w:p>
    <w:p>
      <w:pPr>
        <w:jc w:val="center"/>
        <w:rPr>
          <w:rFonts w:ascii="Calibri" w:hAnsi="Calibri"/>
          <w:color w:val="auto"/>
          <w:szCs w:val="21"/>
        </w:rPr>
      </w:pPr>
    </w:p>
    <w:p>
      <w:pPr>
        <w:jc w:val="center"/>
        <w:rPr>
          <w:color w:val="auto"/>
        </w:rPr>
      </w:pPr>
      <w:r>
        <w:rPr>
          <w:rFonts w:ascii="宋体" w:hAnsi="宋体" w:cs="宋体"/>
          <w:b/>
          <w:color w:val="auto"/>
          <w:kern w:val="0"/>
          <w:sz w:val="24"/>
        </w:rPr>
        <w:t>按现行有关的工程建设标准、技术规范执行</w:t>
      </w:r>
      <w:bookmarkEnd w:id="642"/>
      <w:bookmarkEnd w:id="643"/>
      <w:r>
        <w:rPr>
          <w:rFonts w:hint="eastAsia" w:ascii="宋体" w:hAnsi="宋体" w:cs="宋体"/>
          <w:b/>
          <w:color w:val="auto"/>
          <w:kern w:val="0"/>
          <w:sz w:val="24"/>
        </w:rPr>
        <w:t>。</w:t>
      </w:r>
    </w:p>
    <w:sectPr>
      <w:headerReference r:id="rId5" w:type="default"/>
      <w:footerReference r:id="rId6" w:type="default"/>
      <w:pgSz w:w="11910" w:h="16850"/>
      <w:pgMar w:top="1440" w:right="1080" w:bottom="1440" w:left="1080" w:header="876" w:footer="861"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MingLiU">
    <w:panose1 w:val="02020509000000000000"/>
    <w:charset w:val="88"/>
    <w:family w:val="modern"/>
    <w:pitch w:val="default"/>
    <w:sig w:usb0="A00002FF" w:usb1="28CFFCFA" w:usb2="00000016" w:usb3="00000000" w:csb0="00100001" w:csb1="00000000"/>
  </w:font>
  <w:font w:name="CordiaUPC">
    <w:panose1 w:val="020B0304020202020204"/>
    <w:charset w:val="DE"/>
    <w:family w:val="swiss"/>
    <w:pitch w:val="default"/>
    <w:sig w:usb0="81000003" w:usb1="00000000" w:usb2="00000000" w:usb3="00000000" w:csb0="00010001" w:csb1="00000000"/>
  </w:font>
  <w:font w:name="Impact">
    <w:panose1 w:val="020B0806030902050204"/>
    <w:charset w:val="00"/>
    <w:family w:val="swiss"/>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Noto Sans CJK JP Regular">
    <w:altName w:val="Arial"/>
    <w:panose1 w:val="00000000000000000000"/>
    <w:charset w:val="00"/>
    <w:family w:val="swiss"/>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Ìå">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方正大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3</w:t>
                          </w:r>
                          <w:r>
                            <w:fldChar w:fldCharType="end"/>
                          </w:r>
                        </w:p>
                      </w:txbxContent>
                    </wps:txbx>
                    <wps:bodyPr vert="horz" wrap="none" lIns="0" tIns="0" rIns="0" bIns="0" anchor="t" anchorCtr="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HMQH4PXAQAAswMAAA4AAAAAAAAAAQAgAAAA&#10;HgEAAGRycy9lMm9Eb2MueG1sUEsFBgAAAAAGAAYAWQEAAGc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2</w:t>
                          </w:r>
                          <w:r>
                            <w:fldChar w:fldCharType="end"/>
                          </w:r>
                        </w:p>
                      </w:txbxContent>
                    </wps:txbx>
                    <wps:bodyPr vert="horz" wrap="none" lIns="0" tIns="0" rIns="0" bIns="0" anchor="t" anchorCtr="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NJ9CZzXAQAAswMAAA4AAAAAAAAAAQAgAAAA&#10;HgEAAGRycy9lMm9Eb2MueG1sUEsFBgAAAAAGAAYAWQEAAGc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64</w:t>
                          </w:r>
                          <w:r>
                            <w:fldChar w:fldCharType="end"/>
                          </w:r>
                        </w:p>
                      </w:txbxContent>
                    </wps:txbx>
                    <wps:bodyPr vert="horz" wrap="none" lIns="0" tIns="0" rIns="0" bIns="0" anchor="t" anchorCtr="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GN3gDTXAQAAsgMAAA4AAAAAAAAAAQAgAAAA&#10;HgEAAGRycy9lMm9Eb2MueG1sUEsFBgAAAAAGAAYAWQEAAGc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64</w:t>
                    </w:r>
                    <w: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4CF58C"/>
    <w:multiLevelType w:val="singleLevel"/>
    <w:tmpl w:val="BB4CF58C"/>
    <w:lvl w:ilvl="0" w:tentative="0">
      <w:start w:val="2"/>
      <w:numFmt w:val="decimal"/>
      <w:suff w:val="nothing"/>
      <w:lvlText w:val="（%1）"/>
      <w:lvlJc w:val="left"/>
    </w:lvl>
  </w:abstractNum>
  <w:abstractNum w:abstractNumId="1">
    <w:nsid w:val="FAC1C0C3"/>
    <w:multiLevelType w:val="singleLevel"/>
    <w:tmpl w:val="FAC1C0C3"/>
    <w:lvl w:ilvl="0" w:tentative="0">
      <w:start w:val="1"/>
      <w:numFmt w:val="decimal"/>
      <w:lvlText w:val="(%1)"/>
      <w:lvlJc w:val="left"/>
      <w:pPr>
        <w:tabs>
          <w:tab w:val="left" w:pos="420"/>
        </w:tabs>
        <w:ind w:left="845" w:hanging="425"/>
      </w:pPr>
      <w:rPr>
        <w:rFonts w:hint="default"/>
      </w:rPr>
    </w:lvl>
  </w:abstractNum>
  <w:abstractNum w:abstractNumId="2">
    <w:nsid w:val="1D8F0435"/>
    <w:multiLevelType w:val="singleLevel"/>
    <w:tmpl w:val="1D8F0435"/>
    <w:lvl w:ilvl="0" w:tentative="0">
      <w:start w:val="1"/>
      <w:numFmt w:val="decimal"/>
      <w:suff w:val="space"/>
      <w:lvlText w:val="%1."/>
      <w:lvlJc w:val="left"/>
    </w:lvl>
  </w:abstractNum>
  <w:abstractNum w:abstractNumId="3">
    <w:nsid w:val="1FC16C3F"/>
    <w:multiLevelType w:val="multilevel"/>
    <w:tmpl w:val="1FC16C3F"/>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4">
    <w:nsid w:val="1FD97BE0"/>
    <w:multiLevelType w:val="singleLevel"/>
    <w:tmpl w:val="1FD97BE0"/>
    <w:lvl w:ilvl="0" w:tentative="0">
      <w:start w:val="1"/>
      <w:numFmt w:val="chineseCounting"/>
      <w:suff w:val="nothing"/>
      <w:lvlText w:val="（%1）"/>
      <w:lvlJc w:val="left"/>
      <w:rPr>
        <w:rFonts w:hint="eastAsia"/>
      </w:rPr>
    </w:lvl>
  </w:abstractNum>
  <w:abstractNum w:abstractNumId="5">
    <w:nsid w:val="2EBEB4BA"/>
    <w:multiLevelType w:val="singleLevel"/>
    <w:tmpl w:val="2EBEB4BA"/>
    <w:lvl w:ilvl="0" w:tentative="0">
      <w:start w:val="26"/>
      <w:numFmt w:val="decimal"/>
      <w:suff w:val="space"/>
      <w:lvlText w:val="%1."/>
      <w:lvlJc w:val="left"/>
    </w:lvl>
  </w:abstractNum>
  <w:abstractNum w:abstractNumId="6">
    <w:nsid w:val="5A1246E9"/>
    <w:multiLevelType w:val="singleLevel"/>
    <w:tmpl w:val="5A1246E9"/>
    <w:lvl w:ilvl="0" w:tentative="0">
      <w:start w:val="18"/>
      <w:numFmt w:val="decimal"/>
      <w:suff w:val="space"/>
      <w:lvlText w:val="%1 "/>
      <w:lvlJc w:val="left"/>
    </w:lvl>
  </w:abstractNum>
  <w:abstractNum w:abstractNumId="7">
    <w:nsid w:val="6A98117E"/>
    <w:multiLevelType w:val="multilevel"/>
    <w:tmpl w:val="6A98117E"/>
    <w:lvl w:ilvl="0" w:tentative="0">
      <w:start w:val="1"/>
      <w:numFmt w:val="chineseCounting"/>
      <w:suff w:val="space"/>
      <w:lvlText w:val="第%1章"/>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7"/>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zMTEyMDdlZTZlNWJiNjBmM2VlNTRjM2Y0MzYwNGEifQ=="/>
  </w:docVars>
  <w:rsids>
    <w:rsidRoot w:val="00172A27"/>
    <w:rsid w:val="00003FCF"/>
    <w:rsid w:val="00005F4A"/>
    <w:rsid w:val="00006DD4"/>
    <w:rsid w:val="000236AA"/>
    <w:rsid w:val="000265ED"/>
    <w:rsid w:val="0003128E"/>
    <w:rsid w:val="00034397"/>
    <w:rsid w:val="0004165B"/>
    <w:rsid w:val="0004268E"/>
    <w:rsid w:val="00043268"/>
    <w:rsid w:val="00045CAF"/>
    <w:rsid w:val="000572E1"/>
    <w:rsid w:val="0006497E"/>
    <w:rsid w:val="00067593"/>
    <w:rsid w:val="00072DF7"/>
    <w:rsid w:val="0007706E"/>
    <w:rsid w:val="00077774"/>
    <w:rsid w:val="0008783C"/>
    <w:rsid w:val="000904ED"/>
    <w:rsid w:val="000917DF"/>
    <w:rsid w:val="00091BFC"/>
    <w:rsid w:val="00097647"/>
    <w:rsid w:val="000A5046"/>
    <w:rsid w:val="000A6868"/>
    <w:rsid w:val="000A71AF"/>
    <w:rsid w:val="000B10E8"/>
    <w:rsid w:val="000C3E55"/>
    <w:rsid w:val="000D04A1"/>
    <w:rsid w:val="000D04A5"/>
    <w:rsid w:val="000D1A9B"/>
    <w:rsid w:val="000D20B0"/>
    <w:rsid w:val="000D3728"/>
    <w:rsid w:val="000D532E"/>
    <w:rsid w:val="000D6578"/>
    <w:rsid w:val="000D7499"/>
    <w:rsid w:val="000E0397"/>
    <w:rsid w:val="000E6DEB"/>
    <w:rsid w:val="0010489A"/>
    <w:rsid w:val="00124FC8"/>
    <w:rsid w:val="0012547B"/>
    <w:rsid w:val="0012767A"/>
    <w:rsid w:val="00143300"/>
    <w:rsid w:val="00146FCC"/>
    <w:rsid w:val="00150620"/>
    <w:rsid w:val="001518F2"/>
    <w:rsid w:val="00172A27"/>
    <w:rsid w:val="00176A20"/>
    <w:rsid w:val="00181FDA"/>
    <w:rsid w:val="00182959"/>
    <w:rsid w:val="00185AFE"/>
    <w:rsid w:val="00190D1C"/>
    <w:rsid w:val="001953A0"/>
    <w:rsid w:val="00196424"/>
    <w:rsid w:val="001A05FF"/>
    <w:rsid w:val="001A1D20"/>
    <w:rsid w:val="001B399B"/>
    <w:rsid w:val="001B587B"/>
    <w:rsid w:val="001B68A2"/>
    <w:rsid w:val="001C048E"/>
    <w:rsid w:val="001C189E"/>
    <w:rsid w:val="001C5FFC"/>
    <w:rsid w:val="001F0439"/>
    <w:rsid w:val="001F12DB"/>
    <w:rsid w:val="001F1C5F"/>
    <w:rsid w:val="001F2EC1"/>
    <w:rsid w:val="00200AD6"/>
    <w:rsid w:val="002146AC"/>
    <w:rsid w:val="0022120F"/>
    <w:rsid w:val="00234289"/>
    <w:rsid w:val="00234F73"/>
    <w:rsid w:val="00240BE6"/>
    <w:rsid w:val="00247246"/>
    <w:rsid w:val="00251DD9"/>
    <w:rsid w:val="00282183"/>
    <w:rsid w:val="002836BB"/>
    <w:rsid w:val="00294ABB"/>
    <w:rsid w:val="002A02A4"/>
    <w:rsid w:val="002A1337"/>
    <w:rsid w:val="002A2814"/>
    <w:rsid w:val="002A5932"/>
    <w:rsid w:val="002A7AA5"/>
    <w:rsid w:val="002B367F"/>
    <w:rsid w:val="002B4A1A"/>
    <w:rsid w:val="002B6D4B"/>
    <w:rsid w:val="002C2F35"/>
    <w:rsid w:val="002C64E9"/>
    <w:rsid w:val="002D224B"/>
    <w:rsid w:val="002E3F73"/>
    <w:rsid w:val="003072AC"/>
    <w:rsid w:val="003112C8"/>
    <w:rsid w:val="00313D88"/>
    <w:rsid w:val="00324C8D"/>
    <w:rsid w:val="003274EB"/>
    <w:rsid w:val="00342C97"/>
    <w:rsid w:val="00343C5E"/>
    <w:rsid w:val="00351702"/>
    <w:rsid w:val="00353869"/>
    <w:rsid w:val="003649DC"/>
    <w:rsid w:val="00370233"/>
    <w:rsid w:val="003B0ECE"/>
    <w:rsid w:val="003D6EE4"/>
    <w:rsid w:val="003E0A58"/>
    <w:rsid w:val="003E40B6"/>
    <w:rsid w:val="003F188C"/>
    <w:rsid w:val="0040596E"/>
    <w:rsid w:val="004159F5"/>
    <w:rsid w:val="00416BF3"/>
    <w:rsid w:val="00426450"/>
    <w:rsid w:val="00430049"/>
    <w:rsid w:val="004314DD"/>
    <w:rsid w:val="0043291F"/>
    <w:rsid w:val="00442D2A"/>
    <w:rsid w:val="004464D7"/>
    <w:rsid w:val="00447E0F"/>
    <w:rsid w:val="0046039F"/>
    <w:rsid w:val="004724CB"/>
    <w:rsid w:val="00472FD1"/>
    <w:rsid w:val="00480B45"/>
    <w:rsid w:val="004850FD"/>
    <w:rsid w:val="0048685E"/>
    <w:rsid w:val="00492A2E"/>
    <w:rsid w:val="00495451"/>
    <w:rsid w:val="004B591B"/>
    <w:rsid w:val="004C2E98"/>
    <w:rsid w:val="004D56BD"/>
    <w:rsid w:val="004F01DD"/>
    <w:rsid w:val="004F633E"/>
    <w:rsid w:val="004F79F9"/>
    <w:rsid w:val="005076B4"/>
    <w:rsid w:val="005176EA"/>
    <w:rsid w:val="00521F93"/>
    <w:rsid w:val="00523F82"/>
    <w:rsid w:val="0053009A"/>
    <w:rsid w:val="005421B5"/>
    <w:rsid w:val="005525B7"/>
    <w:rsid w:val="005604DD"/>
    <w:rsid w:val="0056266B"/>
    <w:rsid w:val="00566CDC"/>
    <w:rsid w:val="00567E86"/>
    <w:rsid w:val="00573E0A"/>
    <w:rsid w:val="0058373D"/>
    <w:rsid w:val="005849B0"/>
    <w:rsid w:val="005938C2"/>
    <w:rsid w:val="00594F40"/>
    <w:rsid w:val="005A03A0"/>
    <w:rsid w:val="005B11D9"/>
    <w:rsid w:val="005B5ED2"/>
    <w:rsid w:val="005C6705"/>
    <w:rsid w:val="005D52AA"/>
    <w:rsid w:val="005E3089"/>
    <w:rsid w:val="0061134E"/>
    <w:rsid w:val="00617F59"/>
    <w:rsid w:val="00621CEC"/>
    <w:rsid w:val="00635284"/>
    <w:rsid w:val="006375F3"/>
    <w:rsid w:val="00643766"/>
    <w:rsid w:val="00647915"/>
    <w:rsid w:val="00647C76"/>
    <w:rsid w:val="0065471A"/>
    <w:rsid w:val="00671204"/>
    <w:rsid w:val="006715CE"/>
    <w:rsid w:val="006727E6"/>
    <w:rsid w:val="00681FA4"/>
    <w:rsid w:val="00692DAD"/>
    <w:rsid w:val="00696E23"/>
    <w:rsid w:val="006A0233"/>
    <w:rsid w:val="006A14CB"/>
    <w:rsid w:val="006A666E"/>
    <w:rsid w:val="006B3C57"/>
    <w:rsid w:val="006C1848"/>
    <w:rsid w:val="006D158E"/>
    <w:rsid w:val="006D6F0F"/>
    <w:rsid w:val="006E127D"/>
    <w:rsid w:val="006E2CAA"/>
    <w:rsid w:val="006E2CF3"/>
    <w:rsid w:val="00703D1A"/>
    <w:rsid w:val="00714F4B"/>
    <w:rsid w:val="00715160"/>
    <w:rsid w:val="007233FB"/>
    <w:rsid w:val="00733D90"/>
    <w:rsid w:val="00736BDB"/>
    <w:rsid w:val="00751C6E"/>
    <w:rsid w:val="0075292A"/>
    <w:rsid w:val="00753CBA"/>
    <w:rsid w:val="0076144E"/>
    <w:rsid w:val="00766DD0"/>
    <w:rsid w:val="00782037"/>
    <w:rsid w:val="007843F9"/>
    <w:rsid w:val="00787BC0"/>
    <w:rsid w:val="00796985"/>
    <w:rsid w:val="00797DA4"/>
    <w:rsid w:val="00797DB1"/>
    <w:rsid w:val="007A3AFC"/>
    <w:rsid w:val="007B01D0"/>
    <w:rsid w:val="007B6E40"/>
    <w:rsid w:val="007C01B4"/>
    <w:rsid w:val="007C0AAF"/>
    <w:rsid w:val="007C279B"/>
    <w:rsid w:val="007D6F95"/>
    <w:rsid w:val="007E2A0E"/>
    <w:rsid w:val="007E50F5"/>
    <w:rsid w:val="007E7013"/>
    <w:rsid w:val="007E7036"/>
    <w:rsid w:val="007F20C6"/>
    <w:rsid w:val="008120DC"/>
    <w:rsid w:val="00817FF6"/>
    <w:rsid w:val="008213B7"/>
    <w:rsid w:val="008223D6"/>
    <w:rsid w:val="00822D9F"/>
    <w:rsid w:val="008257D3"/>
    <w:rsid w:val="00832165"/>
    <w:rsid w:val="00834EC7"/>
    <w:rsid w:val="00840D2B"/>
    <w:rsid w:val="00845820"/>
    <w:rsid w:val="00847FB1"/>
    <w:rsid w:val="008503AF"/>
    <w:rsid w:val="008548B0"/>
    <w:rsid w:val="00862AAC"/>
    <w:rsid w:val="00865AD6"/>
    <w:rsid w:val="008671CC"/>
    <w:rsid w:val="008748F2"/>
    <w:rsid w:val="008767DD"/>
    <w:rsid w:val="00876CBE"/>
    <w:rsid w:val="00882D49"/>
    <w:rsid w:val="0089385A"/>
    <w:rsid w:val="00893928"/>
    <w:rsid w:val="00894BD1"/>
    <w:rsid w:val="008A1FCE"/>
    <w:rsid w:val="008B4757"/>
    <w:rsid w:val="008B7CAB"/>
    <w:rsid w:val="008C050A"/>
    <w:rsid w:val="008C195C"/>
    <w:rsid w:val="008C68E7"/>
    <w:rsid w:val="008D138C"/>
    <w:rsid w:val="008D7131"/>
    <w:rsid w:val="008D7486"/>
    <w:rsid w:val="008E1CB2"/>
    <w:rsid w:val="008E6AFF"/>
    <w:rsid w:val="008F1FDB"/>
    <w:rsid w:val="008F32EE"/>
    <w:rsid w:val="008F4CB9"/>
    <w:rsid w:val="00902716"/>
    <w:rsid w:val="0090616B"/>
    <w:rsid w:val="009202A3"/>
    <w:rsid w:val="00924030"/>
    <w:rsid w:val="00951FCC"/>
    <w:rsid w:val="009603FF"/>
    <w:rsid w:val="009666B9"/>
    <w:rsid w:val="00971895"/>
    <w:rsid w:val="00985B65"/>
    <w:rsid w:val="00990205"/>
    <w:rsid w:val="0099096E"/>
    <w:rsid w:val="009915A6"/>
    <w:rsid w:val="00994B0D"/>
    <w:rsid w:val="009A7AF3"/>
    <w:rsid w:val="009C4A5F"/>
    <w:rsid w:val="009D3AF3"/>
    <w:rsid w:val="009D462C"/>
    <w:rsid w:val="009D6BE3"/>
    <w:rsid w:val="00A00252"/>
    <w:rsid w:val="00A21C33"/>
    <w:rsid w:val="00A22E94"/>
    <w:rsid w:val="00A23682"/>
    <w:rsid w:val="00A260ED"/>
    <w:rsid w:val="00A263D4"/>
    <w:rsid w:val="00A35947"/>
    <w:rsid w:val="00A37E88"/>
    <w:rsid w:val="00A52016"/>
    <w:rsid w:val="00A5401A"/>
    <w:rsid w:val="00A55345"/>
    <w:rsid w:val="00A62951"/>
    <w:rsid w:val="00A65FEA"/>
    <w:rsid w:val="00A91358"/>
    <w:rsid w:val="00A93270"/>
    <w:rsid w:val="00A967D1"/>
    <w:rsid w:val="00AA251E"/>
    <w:rsid w:val="00AA6250"/>
    <w:rsid w:val="00AA715F"/>
    <w:rsid w:val="00AB3028"/>
    <w:rsid w:val="00AC0A50"/>
    <w:rsid w:val="00AC488B"/>
    <w:rsid w:val="00AD6916"/>
    <w:rsid w:val="00AD706C"/>
    <w:rsid w:val="00AE18E3"/>
    <w:rsid w:val="00AE7638"/>
    <w:rsid w:val="00B06DC4"/>
    <w:rsid w:val="00B15F3F"/>
    <w:rsid w:val="00B2179F"/>
    <w:rsid w:val="00B306D5"/>
    <w:rsid w:val="00B312B2"/>
    <w:rsid w:val="00B34456"/>
    <w:rsid w:val="00B3533A"/>
    <w:rsid w:val="00B354E7"/>
    <w:rsid w:val="00B47B8B"/>
    <w:rsid w:val="00B51FB9"/>
    <w:rsid w:val="00B57D19"/>
    <w:rsid w:val="00B64604"/>
    <w:rsid w:val="00B66931"/>
    <w:rsid w:val="00B953DA"/>
    <w:rsid w:val="00BB1B64"/>
    <w:rsid w:val="00BC3239"/>
    <w:rsid w:val="00BC6724"/>
    <w:rsid w:val="00BD302F"/>
    <w:rsid w:val="00BD5D75"/>
    <w:rsid w:val="00BD752F"/>
    <w:rsid w:val="00BD7820"/>
    <w:rsid w:val="00BE34A1"/>
    <w:rsid w:val="00BE706A"/>
    <w:rsid w:val="00BE7612"/>
    <w:rsid w:val="00C11E2B"/>
    <w:rsid w:val="00C17AC9"/>
    <w:rsid w:val="00C219A5"/>
    <w:rsid w:val="00C24973"/>
    <w:rsid w:val="00C375B8"/>
    <w:rsid w:val="00C43E41"/>
    <w:rsid w:val="00C47785"/>
    <w:rsid w:val="00C60BFE"/>
    <w:rsid w:val="00C6224F"/>
    <w:rsid w:val="00C6512A"/>
    <w:rsid w:val="00C659FD"/>
    <w:rsid w:val="00C75A44"/>
    <w:rsid w:val="00C85385"/>
    <w:rsid w:val="00C95BBE"/>
    <w:rsid w:val="00CA2955"/>
    <w:rsid w:val="00CB25D9"/>
    <w:rsid w:val="00CC6A23"/>
    <w:rsid w:val="00CE085A"/>
    <w:rsid w:val="00CE0FE2"/>
    <w:rsid w:val="00CF00F0"/>
    <w:rsid w:val="00CF0977"/>
    <w:rsid w:val="00CF6674"/>
    <w:rsid w:val="00D055B1"/>
    <w:rsid w:val="00D05C88"/>
    <w:rsid w:val="00D10369"/>
    <w:rsid w:val="00D15D74"/>
    <w:rsid w:val="00D2487E"/>
    <w:rsid w:val="00D374A5"/>
    <w:rsid w:val="00D42961"/>
    <w:rsid w:val="00D43A4B"/>
    <w:rsid w:val="00D4664D"/>
    <w:rsid w:val="00D612D5"/>
    <w:rsid w:val="00D65442"/>
    <w:rsid w:val="00D7380C"/>
    <w:rsid w:val="00D73C53"/>
    <w:rsid w:val="00D82A50"/>
    <w:rsid w:val="00DC01FB"/>
    <w:rsid w:val="00DC3B62"/>
    <w:rsid w:val="00DD1CAC"/>
    <w:rsid w:val="00DD2234"/>
    <w:rsid w:val="00DD455D"/>
    <w:rsid w:val="00DE1928"/>
    <w:rsid w:val="00DE6D5C"/>
    <w:rsid w:val="00DF03C7"/>
    <w:rsid w:val="00DF1BF0"/>
    <w:rsid w:val="00DF1FAE"/>
    <w:rsid w:val="00DF6431"/>
    <w:rsid w:val="00E05419"/>
    <w:rsid w:val="00E05EA8"/>
    <w:rsid w:val="00E0605C"/>
    <w:rsid w:val="00E16991"/>
    <w:rsid w:val="00E26490"/>
    <w:rsid w:val="00E30130"/>
    <w:rsid w:val="00E43258"/>
    <w:rsid w:val="00E56063"/>
    <w:rsid w:val="00E576DD"/>
    <w:rsid w:val="00E57853"/>
    <w:rsid w:val="00E67600"/>
    <w:rsid w:val="00E75742"/>
    <w:rsid w:val="00E86CAC"/>
    <w:rsid w:val="00E953CB"/>
    <w:rsid w:val="00E96A11"/>
    <w:rsid w:val="00EB05EE"/>
    <w:rsid w:val="00EC013F"/>
    <w:rsid w:val="00EC6666"/>
    <w:rsid w:val="00ED61B8"/>
    <w:rsid w:val="00ED7B1F"/>
    <w:rsid w:val="00EE2D94"/>
    <w:rsid w:val="00EE4248"/>
    <w:rsid w:val="00EF1C9B"/>
    <w:rsid w:val="00F011DA"/>
    <w:rsid w:val="00F04609"/>
    <w:rsid w:val="00F105E2"/>
    <w:rsid w:val="00F14BCF"/>
    <w:rsid w:val="00F158EA"/>
    <w:rsid w:val="00F17600"/>
    <w:rsid w:val="00F27219"/>
    <w:rsid w:val="00F3576A"/>
    <w:rsid w:val="00F372C3"/>
    <w:rsid w:val="00F50013"/>
    <w:rsid w:val="00F51251"/>
    <w:rsid w:val="00F7168E"/>
    <w:rsid w:val="00F71E50"/>
    <w:rsid w:val="00F81A0D"/>
    <w:rsid w:val="00F85E8E"/>
    <w:rsid w:val="00F85EB4"/>
    <w:rsid w:val="00F92386"/>
    <w:rsid w:val="00F954CB"/>
    <w:rsid w:val="00F96093"/>
    <w:rsid w:val="00FA5098"/>
    <w:rsid w:val="00FB0CD1"/>
    <w:rsid w:val="00FB32D0"/>
    <w:rsid w:val="00FC0D3F"/>
    <w:rsid w:val="00FC5B52"/>
    <w:rsid w:val="00FD31C2"/>
    <w:rsid w:val="00FD3C9F"/>
    <w:rsid w:val="00FD66CE"/>
    <w:rsid w:val="00FE1195"/>
    <w:rsid w:val="00FE3277"/>
    <w:rsid w:val="00FE3644"/>
    <w:rsid w:val="00FE788A"/>
    <w:rsid w:val="00FF5475"/>
    <w:rsid w:val="00FF55B1"/>
    <w:rsid w:val="00FF7A8A"/>
    <w:rsid w:val="012071AD"/>
    <w:rsid w:val="01543C57"/>
    <w:rsid w:val="01791991"/>
    <w:rsid w:val="019F1BEA"/>
    <w:rsid w:val="01A32A0C"/>
    <w:rsid w:val="01B97AC1"/>
    <w:rsid w:val="01FC10EF"/>
    <w:rsid w:val="020C008E"/>
    <w:rsid w:val="020C43CC"/>
    <w:rsid w:val="021871C8"/>
    <w:rsid w:val="02342041"/>
    <w:rsid w:val="02353B5E"/>
    <w:rsid w:val="02366733"/>
    <w:rsid w:val="029167E5"/>
    <w:rsid w:val="029727B7"/>
    <w:rsid w:val="02C6476D"/>
    <w:rsid w:val="02FE4615"/>
    <w:rsid w:val="03046B20"/>
    <w:rsid w:val="033B5B99"/>
    <w:rsid w:val="0342120B"/>
    <w:rsid w:val="0360556D"/>
    <w:rsid w:val="03870314"/>
    <w:rsid w:val="0394000D"/>
    <w:rsid w:val="03B44752"/>
    <w:rsid w:val="03C31792"/>
    <w:rsid w:val="045C444A"/>
    <w:rsid w:val="046B56CD"/>
    <w:rsid w:val="048159B7"/>
    <w:rsid w:val="048E3466"/>
    <w:rsid w:val="048F3F30"/>
    <w:rsid w:val="04936845"/>
    <w:rsid w:val="04A034A9"/>
    <w:rsid w:val="04A362D9"/>
    <w:rsid w:val="04A50C67"/>
    <w:rsid w:val="04FE39CA"/>
    <w:rsid w:val="04FF5AEC"/>
    <w:rsid w:val="050D243C"/>
    <w:rsid w:val="050F365D"/>
    <w:rsid w:val="055037B9"/>
    <w:rsid w:val="0556373A"/>
    <w:rsid w:val="055D1B99"/>
    <w:rsid w:val="0569768E"/>
    <w:rsid w:val="057B0515"/>
    <w:rsid w:val="058A7C48"/>
    <w:rsid w:val="058F5C90"/>
    <w:rsid w:val="059D67A3"/>
    <w:rsid w:val="05B1175A"/>
    <w:rsid w:val="05BB42A5"/>
    <w:rsid w:val="05BD140C"/>
    <w:rsid w:val="05CA794E"/>
    <w:rsid w:val="05FC5DF0"/>
    <w:rsid w:val="06186DAE"/>
    <w:rsid w:val="061F2581"/>
    <w:rsid w:val="062D4371"/>
    <w:rsid w:val="062F0B5F"/>
    <w:rsid w:val="06314567"/>
    <w:rsid w:val="063253FF"/>
    <w:rsid w:val="0637588F"/>
    <w:rsid w:val="06381797"/>
    <w:rsid w:val="06564195"/>
    <w:rsid w:val="06782B10"/>
    <w:rsid w:val="068439A7"/>
    <w:rsid w:val="068C566F"/>
    <w:rsid w:val="06B72BC7"/>
    <w:rsid w:val="06BC0C19"/>
    <w:rsid w:val="07283BBC"/>
    <w:rsid w:val="074759E2"/>
    <w:rsid w:val="0749768F"/>
    <w:rsid w:val="07AD34DA"/>
    <w:rsid w:val="07CB3375"/>
    <w:rsid w:val="07CC43E5"/>
    <w:rsid w:val="07D43A0A"/>
    <w:rsid w:val="07F00B88"/>
    <w:rsid w:val="0807124B"/>
    <w:rsid w:val="08420CAE"/>
    <w:rsid w:val="084560A8"/>
    <w:rsid w:val="0857451B"/>
    <w:rsid w:val="08607919"/>
    <w:rsid w:val="08734357"/>
    <w:rsid w:val="08B319DE"/>
    <w:rsid w:val="08CC319D"/>
    <w:rsid w:val="092B4FFE"/>
    <w:rsid w:val="09616F12"/>
    <w:rsid w:val="09AC6783"/>
    <w:rsid w:val="09BD3AF5"/>
    <w:rsid w:val="09CD18FD"/>
    <w:rsid w:val="0A571B81"/>
    <w:rsid w:val="0A890D51"/>
    <w:rsid w:val="0A8C1B57"/>
    <w:rsid w:val="0A92134D"/>
    <w:rsid w:val="0AB17FEF"/>
    <w:rsid w:val="0AD90D68"/>
    <w:rsid w:val="0AE17F1C"/>
    <w:rsid w:val="0B024724"/>
    <w:rsid w:val="0B213A9F"/>
    <w:rsid w:val="0B3A5C6C"/>
    <w:rsid w:val="0B5302ED"/>
    <w:rsid w:val="0B56486A"/>
    <w:rsid w:val="0B5A630E"/>
    <w:rsid w:val="0B7E7085"/>
    <w:rsid w:val="0B806FF8"/>
    <w:rsid w:val="0B9A7C95"/>
    <w:rsid w:val="0B9F11F4"/>
    <w:rsid w:val="0BCE42CE"/>
    <w:rsid w:val="0BF422BF"/>
    <w:rsid w:val="0C026FFF"/>
    <w:rsid w:val="0C0A3890"/>
    <w:rsid w:val="0C123672"/>
    <w:rsid w:val="0C140D82"/>
    <w:rsid w:val="0C796C68"/>
    <w:rsid w:val="0C9F66CF"/>
    <w:rsid w:val="0CA359A6"/>
    <w:rsid w:val="0CBC447D"/>
    <w:rsid w:val="0CC55A09"/>
    <w:rsid w:val="0CD36378"/>
    <w:rsid w:val="0CE13D52"/>
    <w:rsid w:val="0CEC11E8"/>
    <w:rsid w:val="0CF4418A"/>
    <w:rsid w:val="0D15073F"/>
    <w:rsid w:val="0D366907"/>
    <w:rsid w:val="0D490AEC"/>
    <w:rsid w:val="0D605732"/>
    <w:rsid w:val="0D904B5A"/>
    <w:rsid w:val="0DBB646B"/>
    <w:rsid w:val="0DBE74A6"/>
    <w:rsid w:val="0DD028B8"/>
    <w:rsid w:val="0DD8350F"/>
    <w:rsid w:val="0DFB4557"/>
    <w:rsid w:val="0DFE7500"/>
    <w:rsid w:val="0E2F5189"/>
    <w:rsid w:val="0E3D5D75"/>
    <w:rsid w:val="0E4150FA"/>
    <w:rsid w:val="0E71088B"/>
    <w:rsid w:val="0EC00B7E"/>
    <w:rsid w:val="0ED03E48"/>
    <w:rsid w:val="0F0B0898"/>
    <w:rsid w:val="0F103AD7"/>
    <w:rsid w:val="0F21235A"/>
    <w:rsid w:val="0F512100"/>
    <w:rsid w:val="0F5D017B"/>
    <w:rsid w:val="0F5E6FEA"/>
    <w:rsid w:val="0F71201B"/>
    <w:rsid w:val="0F9E6A41"/>
    <w:rsid w:val="0FBF66B5"/>
    <w:rsid w:val="0FCF3999"/>
    <w:rsid w:val="0FD73403"/>
    <w:rsid w:val="0FD7617F"/>
    <w:rsid w:val="0FDE29B3"/>
    <w:rsid w:val="0FDE3802"/>
    <w:rsid w:val="0FDE5F55"/>
    <w:rsid w:val="0FDF5C2D"/>
    <w:rsid w:val="10264A11"/>
    <w:rsid w:val="10295EC3"/>
    <w:rsid w:val="10390BE8"/>
    <w:rsid w:val="10A65B52"/>
    <w:rsid w:val="10BE1696"/>
    <w:rsid w:val="10D77ADC"/>
    <w:rsid w:val="10EE120F"/>
    <w:rsid w:val="10FB5D66"/>
    <w:rsid w:val="10FD01BF"/>
    <w:rsid w:val="1114617F"/>
    <w:rsid w:val="112E0750"/>
    <w:rsid w:val="1131178D"/>
    <w:rsid w:val="113D56DD"/>
    <w:rsid w:val="113F7026"/>
    <w:rsid w:val="11694B15"/>
    <w:rsid w:val="116E5E5A"/>
    <w:rsid w:val="11881C25"/>
    <w:rsid w:val="11D010D8"/>
    <w:rsid w:val="11DB1BC5"/>
    <w:rsid w:val="11DD3607"/>
    <w:rsid w:val="11FB2591"/>
    <w:rsid w:val="120B1515"/>
    <w:rsid w:val="125964EF"/>
    <w:rsid w:val="129056B5"/>
    <w:rsid w:val="129610B3"/>
    <w:rsid w:val="12B0405A"/>
    <w:rsid w:val="12B5207C"/>
    <w:rsid w:val="12C4029B"/>
    <w:rsid w:val="130059ED"/>
    <w:rsid w:val="130C25E4"/>
    <w:rsid w:val="13207980"/>
    <w:rsid w:val="134148EC"/>
    <w:rsid w:val="13503220"/>
    <w:rsid w:val="13762452"/>
    <w:rsid w:val="138231D2"/>
    <w:rsid w:val="13887C14"/>
    <w:rsid w:val="139B5716"/>
    <w:rsid w:val="13A50343"/>
    <w:rsid w:val="13A83FEE"/>
    <w:rsid w:val="13C37044"/>
    <w:rsid w:val="13D527EF"/>
    <w:rsid w:val="13D9584A"/>
    <w:rsid w:val="13E83022"/>
    <w:rsid w:val="13F63148"/>
    <w:rsid w:val="14036F6F"/>
    <w:rsid w:val="14341EA0"/>
    <w:rsid w:val="146F39FE"/>
    <w:rsid w:val="14705EE9"/>
    <w:rsid w:val="14714C4C"/>
    <w:rsid w:val="14844010"/>
    <w:rsid w:val="14867A8D"/>
    <w:rsid w:val="14951E8E"/>
    <w:rsid w:val="149E13F0"/>
    <w:rsid w:val="14B71508"/>
    <w:rsid w:val="14C556E2"/>
    <w:rsid w:val="14F01CFE"/>
    <w:rsid w:val="14FB0265"/>
    <w:rsid w:val="15040A56"/>
    <w:rsid w:val="15066EC8"/>
    <w:rsid w:val="150A4901"/>
    <w:rsid w:val="150C3747"/>
    <w:rsid w:val="1523598F"/>
    <w:rsid w:val="1537321C"/>
    <w:rsid w:val="154A2ABB"/>
    <w:rsid w:val="15A703A2"/>
    <w:rsid w:val="15CC1BB7"/>
    <w:rsid w:val="15E2587E"/>
    <w:rsid w:val="15EE0320"/>
    <w:rsid w:val="15FB1205"/>
    <w:rsid w:val="162B4B2F"/>
    <w:rsid w:val="163B4748"/>
    <w:rsid w:val="163B5944"/>
    <w:rsid w:val="164D77A8"/>
    <w:rsid w:val="166A62AA"/>
    <w:rsid w:val="16B42F26"/>
    <w:rsid w:val="16CE38AF"/>
    <w:rsid w:val="16CE50F1"/>
    <w:rsid w:val="16D24FDB"/>
    <w:rsid w:val="16D42E36"/>
    <w:rsid w:val="16EA4574"/>
    <w:rsid w:val="172C7FDC"/>
    <w:rsid w:val="175869FE"/>
    <w:rsid w:val="17663A36"/>
    <w:rsid w:val="17955AF0"/>
    <w:rsid w:val="1796651F"/>
    <w:rsid w:val="17981307"/>
    <w:rsid w:val="17A77202"/>
    <w:rsid w:val="17E82CF3"/>
    <w:rsid w:val="17E92EF4"/>
    <w:rsid w:val="1818432D"/>
    <w:rsid w:val="18234DFF"/>
    <w:rsid w:val="18321F5C"/>
    <w:rsid w:val="1857752E"/>
    <w:rsid w:val="18605E3F"/>
    <w:rsid w:val="187F47D6"/>
    <w:rsid w:val="18B851FD"/>
    <w:rsid w:val="18BB20F3"/>
    <w:rsid w:val="18DE1CB6"/>
    <w:rsid w:val="190046F4"/>
    <w:rsid w:val="19005288"/>
    <w:rsid w:val="191B66E5"/>
    <w:rsid w:val="192E4A76"/>
    <w:rsid w:val="19FB6683"/>
    <w:rsid w:val="19FD48D6"/>
    <w:rsid w:val="1A115020"/>
    <w:rsid w:val="1A372A66"/>
    <w:rsid w:val="1A737ED0"/>
    <w:rsid w:val="1AA20B6A"/>
    <w:rsid w:val="1AAE2E67"/>
    <w:rsid w:val="1AD301C7"/>
    <w:rsid w:val="1ADD2E53"/>
    <w:rsid w:val="1ADE3CB4"/>
    <w:rsid w:val="1B2702E8"/>
    <w:rsid w:val="1B3064BA"/>
    <w:rsid w:val="1B9A62B3"/>
    <w:rsid w:val="1BC8507E"/>
    <w:rsid w:val="1BDD2D6F"/>
    <w:rsid w:val="1BDE241C"/>
    <w:rsid w:val="1BF02338"/>
    <w:rsid w:val="1BF648BE"/>
    <w:rsid w:val="1C1C299A"/>
    <w:rsid w:val="1C247350"/>
    <w:rsid w:val="1C67088B"/>
    <w:rsid w:val="1C8834C4"/>
    <w:rsid w:val="1C9635A4"/>
    <w:rsid w:val="1CA07888"/>
    <w:rsid w:val="1CC436F9"/>
    <w:rsid w:val="1CF6749F"/>
    <w:rsid w:val="1D105BB2"/>
    <w:rsid w:val="1D1C65C6"/>
    <w:rsid w:val="1D2D13FF"/>
    <w:rsid w:val="1D454B1B"/>
    <w:rsid w:val="1D8E2A78"/>
    <w:rsid w:val="1DD61D08"/>
    <w:rsid w:val="1E0D3161"/>
    <w:rsid w:val="1E1A491E"/>
    <w:rsid w:val="1E4A3FC0"/>
    <w:rsid w:val="1E5170FD"/>
    <w:rsid w:val="1E6F1C79"/>
    <w:rsid w:val="1E9265F0"/>
    <w:rsid w:val="1EA736F8"/>
    <w:rsid w:val="1EC37D91"/>
    <w:rsid w:val="1F04026B"/>
    <w:rsid w:val="1F3D58D3"/>
    <w:rsid w:val="1F8A4FBC"/>
    <w:rsid w:val="1FA66046"/>
    <w:rsid w:val="1FE12DE5"/>
    <w:rsid w:val="1FE16016"/>
    <w:rsid w:val="1FE52564"/>
    <w:rsid w:val="200C3C23"/>
    <w:rsid w:val="202D5948"/>
    <w:rsid w:val="20436A08"/>
    <w:rsid w:val="205C6834"/>
    <w:rsid w:val="205F52D4"/>
    <w:rsid w:val="207E7F77"/>
    <w:rsid w:val="20847555"/>
    <w:rsid w:val="20962E16"/>
    <w:rsid w:val="20B52727"/>
    <w:rsid w:val="20E303D3"/>
    <w:rsid w:val="21265E4F"/>
    <w:rsid w:val="212C3F92"/>
    <w:rsid w:val="213A30F3"/>
    <w:rsid w:val="21463165"/>
    <w:rsid w:val="2177567B"/>
    <w:rsid w:val="217C6B87"/>
    <w:rsid w:val="21981E51"/>
    <w:rsid w:val="21D0113C"/>
    <w:rsid w:val="21E40288"/>
    <w:rsid w:val="220B5DF0"/>
    <w:rsid w:val="222A78BB"/>
    <w:rsid w:val="226338A3"/>
    <w:rsid w:val="226A4F03"/>
    <w:rsid w:val="227114F9"/>
    <w:rsid w:val="22A2261D"/>
    <w:rsid w:val="22A77C33"/>
    <w:rsid w:val="22AA5B91"/>
    <w:rsid w:val="230A0DF6"/>
    <w:rsid w:val="2318544F"/>
    <w:rsid w:val="231B2C4F"/>
    <w:rsid w:val="23834E9A"/>
    <w:rsid w:val="23A17CD6"/>
    <w:rsid w:val="23A534B2"/>
    <w:rsid w:val="241A687D"/>
    <w:rsid w:val="242B219E"/>
    <w:rsid w:val="24582461"/>
    <w:rsid w:val="246C588C"/>
    <w:rsid w:val="24701C01"/>
    <w:rsid w:val="24A30AF0"/>
    <w:rsid w:val="24B0709F"/>
    <w:rsid w:val="24B30B11"/>
    <w:rsid w:val="24C85C3F"/>
    <w:rsid w:val="24D36BE2"/>
    <w:rsid w:val="24E65A81"/>
    <w:rsid w:val="250F5077"/>
    <w:rsid w:val="25227CA1"/>
    <w:rsid w:val="255E4015"/>
    <w:rsid w:val="257003D2"/>
    <w:rsid w:val="257A447E"/>
    <w:rsid w:val="25DF553A"/>
    <w:rsid w:val="25E371D4"/>
    <w:rsid w:val="26061115"/>
    <w:rsid w:val="26247424"/>
    <w:rsid w:val="26636159"/>
    <w:rsid w:val="26644CF8"/>
    <w:rsid w:val="26775153"/>
    <w:rsid w:val="26851A34"/>
    <w:rsid w:val="26A5654C"/>
    <w:rsid w:val="26AD5B77"/>
    <w:rsid w:val="26D80785"/>
    <w:rsid w:val="26DD412B"/>
    <w:rsid w:val="27030352"/>
    <w:rsid w:val="27507FF3"/>
    <w:rsid w:val="2762237B"/>
    <w:rsid w:val="276E0D20"/>
    <w:rsid w:val="27805F80"/>
    <w:rsid w:val="279544FE"/>
    <w:rsid w:val="27973840"/>
    <w:rsid w:val="27986805"/>
    <w:rsid w:val="27A054EB"/>
    <w:rsid w:val="27B47404"/>
    <w:rsid w:val="27C7448E"/>
    <w:rsid w:val="27ED2817"/>
    <w:rsid w:val="27F967E2"/>
    <w:rsid w:val="281B7617"/>
    <w:rsid w:val="283261F1"/>
    <w:rsid w:val="28497097"/>
    <w:rsid w:val="284B1061"/>
    <w:rsid w:val="2852419D"/>
    <w:rsid w:val="285618A9"/>
    <w:rsid w:val="287077E9"/>
    <w:rsid w:val="28C64B8B"/>
    <w:rsid w:val="28D97DB8"/>
    <w:rsid w:val="28F60FCD"/>
    <w:rsid w:val="29573CE9"/>
    <w:rsid w:val="29603124"/>
    <w:rsid w:val="2961776B"/>
    <w:rsid w:val="2997640A"/>
    <w:rsid w:val="2A070FB7"/>
    <w:rsid w:val="2A5406A7"/>
    <w:rsid w:val="2A74238E"/>
    <w:rsid w:val="2A814151"/>
    <w:rsid w:val="2A8B3997"/>
    <w:rsid w:val="2B3C2EE3"/>
    <w:rsid w:val="2B68109E"/>
    <w:rsid w:val="2B73203E"/>
    <w:rsid w:val="2B74525E"/>
    <w:rsid w:val="2B7D7783"/>
    <w:rsid w:val="2BD40CBE"/>
    <w:rsid w:val="2C192986"/>
    <w:rsid w:val="2C1F2B66"/>
    <w:rsid w:val="2C397017"/>
    <w:rsid w:val="2C6E17C2"/>
    <w:rsid w:val="2C800F7A"/>
    <w:rsid w:val="2CEC3EC3"/>
    <w:rsid w:val="2CF3012F"/>
    <w:rsid w:val="2CFA1C67"/>
    <w:rsid w:val="2D227FD2"/>
    <w:rsid w:val="2D236108"/>
    <w:rsid w:val="2D304D68"/>
    <w:rsid w:val="2D34274A"/>
    <w:rsid w:val="2D5A361F"/>
    <w:rsid w:val="2D836160"/>
    <w:rsid w:val="2DAB4FC5"/>
    <w:rsid w:val="2DB24B20"/>
    <w:rsid w:val="2DC84F02"/>
    <w:rsid w:val="2DD657A9"/>
    <w:rsid w:val="2DFE26D1"/>
    <w:rsid w:val="2E316EB5"/>
    <w:rsid w:val="2E36660D"/>
    <w:rsid w:val="2E3911B7"/>
    <w:rsid w:val="2E4108EA"/>
    <w:rsid w:val="2E6611AB"/>
    <w:rsid w:val="2E6B5FB9"/>
    <w:rsid w:val="2E792A9B"/>
    <w:rsid w:val="2E86077E"/>
    <w:rsid w:val="2E9B22F1"/>
    <w:rsid w:val="2EB04342"/>
    <w:rsid w:val="2EBD433B"/>
    <w:rsid w:val="2EE34559"/>
    <w:rsid w:val="2EE97A7A"/>
    <w:rsid w:val="2F0E3523"/>
    <w:rsid w:val="2F314314"/>
    <w:rsid w:val="2F586FE4"/>
    <w:rsid w:val="2F763CAE"/>
    <w:rsid w:val="2FD96721"/>
    <w:rsid w:val="2FF46F70"/>
    <w:rsid w:val="2FFB7130"/>
    <w:rsid w:val="301E16C7"/>
    <w:rsid w:val="302A3C52"/>
    <w:rsid w:val="3078676B"/>
    <w:rsid w:val="30922B6E"/>
    <w:rsid w:val="30942F77"/>
    <w:rsid w:val="30DC4F4C"/>
    <w:rsid w:val="30E3242D"/>
    <w:rsid w:val="312D39F9"/>
    <w:rsid w:val="313721C7"/>
    <w:rsid w:val="31590E82"/>
    <w:rsid w:val="31663A7F"/>
    <w:rsid w:val="31676588"/>
    <w:rsid w:val="316C6E4D"/>
    <w:rsid w:val="31A25DCC"/>
    <w:rsid w:val="31D27479"/>
    <w:rsid w:val="31E57E0B"/>
    <w:rsid w:val="31F4780E"/>
    <w:rsid w:val="32022285"/>
    <w:rsid w:val="323A46EF"/>
    <w:rsid w:val="326E7E26"/>
    <w:rsid w:val="32C5132B"/>
    <w:rsid w:val="330864CC"/>
    <w:rsid w:val="33177932"/>
    <w:rsid w:val="33191029"/>
    <w:rsid w:val="331C3D26"/>
    <w:rsid w:val="332C73F5"/>
    <w:rsid w:val="333170A5"/>
    <w:rsid w:val="33541711"/>
    <w:rsid w:val="3366138E"/>
    <w:rsid w:val="33733F1C"/>
    <w:rsid w:val="33B81129"/>
    <w:rsid w:val="33D01F98"/>
    <w:rsid w:val="340537C2"/>
    <w:rsid w:val="341C31B2"/>
    <w:rsid w:val="34256015"/>
    <w:rsid w:val="34331CF7"/>
    <w:rsid w:val="34370F81"/>
    <w:rsid w:val="344277BC"/>
    <w:rsid w:val="344A7771"/>
    <w:rsid w:val="34535CDA"/>
    <w:rsid w:val="346267D4"/>
    <w:rsid w:val="34AA375F"/>
    <w:rsid w:val="34B55DC5"/>
    <w:rsid w:val="34C86096"/>
    <w:rsid w:val="35054F41"/>
    <w:rsid w:val="355A3DF9"/>
    <w:rsid w:val="35661288"/>
    <w:rsid w:val="356E5C9A"/>
    <w:rsid w:val="35725E7F"/>
    <w:rsid w:val="357A2D6D"/>
    <w:rsid w:val="358E358F"/>
    <w:rsid w:val="35A83DA5"/>
    <w:rsid w:val="360A3A37"/>
    <w:rsid w:val="360A6D2C"/>
    <w:rsid w:val="36274FBF"/>
    <w:rsid w:val="36877708"/>
    <w:rsid w:val="368924B2"/>
    <w:rsid w:val="36F03CAB"/>
    <w:rsid w:val="371A0862"/>
    <w:rsid w:val="372159D9"/>
    <w:rsid w:val="372431A9"/>
    <w:rsid w:val="374A4141"/>
    <w:rsid w:val="37520721"/>
    <w:rsid w:val="37647A49"/>
    <w:rsid w:val="376B31FC"/>
    <w:rsid w:val="37876CD7"/>
    <w:rsid w:val="37891C41"/>
    <w:rsid w:val="37AF33BA"/>
    <w:rsid w:val="37C036A0"/>
    <w:rsid w:val="37F64415"/>
    <w:rsid w:val="380E6B51"/>
    <w:rsid w:val="38163439"/>
    <w:rsid w:val="382220E8"/>
    <w:rsid w:val="382A0901"/>
    <w:rsid w:val="38325D99"/>
    <w:rsid w:val="385D7F24"/>
    <w:rsid w:val="386C12AB"/>
    <w:rsid w:val="38A95010"/>
    <w:rsid w:val="38B245C5"/>
    <w:rsid w:val="38C2132C"/>
    <w:rsid w:val="38F6475A"/>
    <w:rsid w:val="390B232E"/>
    <w:rsid w:val="393F65A9"/>
    <w:rsid w:val="39691347"/>
    <w:rsid w:val="3987251A"/>
    <w:rsid w:val="399F120C"/>
    <w:rsid w:val="39C11183"/>
    <w:rsid w:val="39E15381"/>
    <w:rsid w:val="39EB7F5D"/>
    <w:rsid w:val="3A1204A1"/>
    <w:rsid w:val="3A18450B"/>
    <w:rsid w:val="3A2A1737"/>
    <w:rsid w:val="3A362890"/>
    <w:rsid w:val="3A417045"/>
    <w:rsid w:val="3A540410"/>
    <w:rsid w:val="3A6340C3"/>
    <w:rsid w:val="3A66066B"/>
    <w:rsid w:val="3A6A7A6C"/>
    <w:rsid w:val="3A7C0928"/>
    <w:rsid w:val="3A804B9A"/>
    <w:rsid w:val="3A920D71"/>
    <w:rsid w:val="3AA12337"/>
    <w:rsid w:val="3ACC4283"/>
    <w:rsid w:val="3ACF1BA7"/>
    <w:rsid w:val="3AD35612"/>
    <w:rsid w:val="3AEE314D"/>
    <w:rsid w:val="3AEF06FC"/>
    <w:rsid w:val="3B3616FD"/>
    <w:rsid w:val="3B3C2749"/>
    <w:rsid w:val="3B4E2EEA"/>
    <w:rsid w:val="3B6061D8"/>
    <w:rsid w:val="3B6202C3"/>
    <w:rsid w:val="3B682EC6"/>
    <w:rsid w:val="3B92236F"/>
    <w:rsid w:val="3B9A612F"/>
    <w:rsid w:val="3B9F47B3"/>
    <w:rsid w:val="3BAC09CB"/>
    <w:rsid w:val="3BAD26F5"/>
    <w:rsid w:val="3BD25F30"/>
    <w:rsid w:val="3BF34D89"/>
    <w:rsid w:val="3BF55114"/>
    <w:rsid w:val="3C0B1989"/>
    <w:rsid w:val="3C3A0AFA"/>
    <w:rsid w:val="3C456863"/>
    <w:rsid w:val="3C68390B"/>
    <w:rsid w:val="3C9B5B59"/>
    <w:rsid w:val="3CB16673"/>
    <w:rsid w:val="3CB72468"/>
    <w:rsid w:val="3D682F88"/>
    <w:rsid w:val="3DC02C3B"/>
    <w:rsid w:val="3DC553B8"/>
    <w:rsid w:val="3DCE3AD0"/>
    <w:rsid w:val="3DE07723"/>
    <w:rsid w:val="3E00251B"/>
    <w:rsid w:val="3E090362"/>
    <w:rsid w:val="3E0F5C51"/>
    <w:rsid w:val="3E3F3371"/>
    <w:rsid w:val="3E416D36"/>
    <w:rsid w:val="3E5743BA"/>
    <w:rsid w:val="3E6842C3"/>
    <w:rsid w:val="3E7D281C"/>
    <w:rsid w:val="3E8A0DE7"/>
    <w:rsid w:val="3EA37089"/>
    <w:rsid w:val="3EA9063C"/>
    <w:rsid w:val="3ED96A73"/>
    <w:rsid w:val="3F06752D"/>
    <w:rsid w:val="3F162BB3"/>
    <w:rsid w:val="3F206C1E"/>
    <w:rsid w:val="3F277CDA"/>
    <w:rsid w:val="3F4B6816"/>
    <w:rsid w:val="3F650B29"/>
    <w:rsid w:val="3F736B52"/>
    <w:rsid w:val="3F8743E7"/>
    <w:rsid w:val="3FA1678F"/>
    <w:rsid w:val="3FB917DF"/>
    <w:rsid w:val="3FB95A21"/>
    <w:rsid w:val="3FCC7A1E"/>
    <w:rsid w:val="3FCE4D23"/>
    <w:rsid w:val="3FD019E0"/>
    <w:rsid w:val="3FD87871"/>
    <w:rsid w:val="3FF86ED3"/>
    <w:rsid w:val="40330901"/>
    <w:rsid w:val="40357735"/>
    <w:rsid w:val="40390128"/>
    <w:rsid w:val="404A6FCD"/>
    <w:rsid w:val="40695D6E"/>
    <w:rsid w:val="40847106"/>
    <w:rsid w:val="40A8045D"/>
    <w:rsid w:val="40BF235C"/>
    <w:rsid w:val="40C2000D"/>
    <w:rsid w:val="40CD0C4F"/>
    <w:rsid w:val="41151DB4"/>
    <w:rsid w:val="41197AF6"/>
    <w:rsid w:val="41296076"/>
    <w:rsid w:val="41564230"/>
    <w:rsid w:val="415E5BE8"/>
    <w:rsid w:val="4182744A"/>
    <w:rsid w:val="418B6E87"/>
    <w:rsid w:val="419D7DDA"/>
    <w:rsid w:val="41AC7E24"/>
    <w:rsid w:val="41CE08E1"/>
    <w:rsid w:val="41EB3B14"/>
    <w:rsid w:val="4202250A"/>
    <w:rsid w:val="420D20C6"/>
    <w:rsid w:val="4227235F"/>
    <w:rsid w:val="42881C6A"/>
    <w:rsid w:val="42EB121C"/>
    <w:rsid w:val="42FD44B2"/>
    <w:rsid w:val="43125387"/>
    <w:rsid w:val="431F4E0A"/>
    <w:rsid w:val="432E1E4F"/>
    <w:rsid w:val="43572758"/>
    <w:rsid w:val="43964178"/>
    <w:rsid w:val="43B50079"/>
    <w:rsid w:val="43C26B6A"/>
    <w:rsid w:val="43CA157C"/>
    <w:rsid w:val="43EA6572"/>
    <w:rsid w:val="43EB561E"/>
    <w:rsid w:val="443211DD"/>
    <w:rsid w:val="44324DC8"/>
    <w:rsid w:val="44332BA9"/>
    <w:rsid w:val="4433402D"/>
    <w:rsid w:val="444A4C25"/>
    <w:rsid w:val="445E6CA4"/>
    <w:rsid w:val="44623562"/>
    <w:rsid w:val="44731C6A"/>
    <w:rsid w:val="44740900"/>
    <w:rsid w:val="44A338EB"/>
    <w:rsid w:val="44AA6D2D"/>
    <w:rsid w:val="44C041EC"/>
    <w:rsid w:val="451D1C26"/>
    <w:rsid w:val="452577F8"/>
    <w:rsid w:val="458974A9"/>
    <w:rsid w:val="45AB761C"/>
    <w:rsid w:val="45B44C81"/>
    <w:rsid w:val="45F2318F"/>
    <w:rsid w:val="460E4F45"/>
    <w:rsid w:val="461D57A5"/>
    <w:rsid w:val="46296ED5"/>
    <w:rsid w:val="465A6BE7"/>
    <w:rsid w:val="466F126D"/>
    <w:rsid w:val="4686223B"/>
    <w:rsid w:val="469A2312"/>
    <w:rsid w:val="46EC6E20"/>
    <w:rsid w:val="46F25071"/>
    <w:rsid w:val="470D30D5"/>
    <w:rsid w:val="471C3C7C"/>
    <w:rsid w:val="47525B10"/>
    <w:rsid w:val="47C30B14"/>
    <w:rsid w:val="47FC5B63"/>
    <w:rsid w:val="48234CBA"/>
    <w:rsid w:val="48382F58"/>
    <w:rsid w:val="4847319B"/>
    <w:rsid w:val="48AB2BA9"/>
    <w:rsid w:val="48C06CFA"/>
    <w:rsid w:val="48CD092B"/>
    <w:rsid w:val="48DD0ADD"/>
    <w:rsid w:val="490F69F3"/>
    <w:rsid w:val="491D6F70"/>
    <w:rsid w:val="492B2127"/>
    <w:rsid w:val="492E057F"/>
    <w:rsid w:val="493F4EA8"/>
    <w:rsid w:val="49711EE2"/>
    <w:rsid w:val="49746132"/>
    <w:rsid w:val="499363F1"/>
    <w:rsid w:val="49962061"/>
    <w:rsid w:val="4A01234E"/>
    <w:rsid w:val="4A205A39"/>
    <w:rsid w:val="4A2A4B22"/>
    <w:rsid w:val="4A3A0F04"/>
    <w:rsid w:val="4A423CA1"/>
    <w:rsid w:val="4A5809C6"/>
    <w:rsid w:val="4A8D7450"/>
    <w:rsid w:val="4A924D6C"/>
    <w:rsid w:val="4A96517D"/>
    <w:rsid w:val="4AA84652"/>
    <w:rsid w:val="4AFA4929"/>
    <w:rsid w:val="4B2E23F0"/>
    <w:rsid w:val="4B384997"/>
    <w:rsid w:val="4B4614E8"/>
    <w:rsid w:val="4B4E4840"/>
    <w:rsid w:val="4B55790B"/>
    <w:rsid w:val="4B663938"/>
    <w:rsid w:val="4BA75709"/>
    <w:rsid w:val="4BC0450D"/>
    <w:rsid w:val="4BC20E6C"/>
    <w:rsid w:val="4BCD5AF4"/>
    <w:rsid w:val="4BEE0D3D"/>
    <w:rsid w:val="4BF75653"/>
    <w:rsid w:val="4C461FAB"/>
    <w:rsid w:val="4C5D09EA"/>
    <w:rsid w:val="4C6857B5"/>
    <w:rsid w:val="4C8A1066"/>
    <w:rsid w:val="4C8A5E8F"/>
    <w:rsid w:val="4C940EBC"/>
    <w:rsid w:val="4CB87639"/>
    <w:rsid w:val="4CE7652C"/>
    <w:rsid w:val="4CED51A9"/>
    <w:rsid w:val="4CF5329D"/>
    <w:rsid w:val="4CFB2914"/>
    <w:rsid w:val="4D0D7563"/>
    <w:rsid w:val="4D19055F"/>
    <w:rsid w:val="4D2C3A4F"/>
    <w:rsid w:val="4D2C661C"/>
    <w:rsid w:val="4D4533AC"/>
    <w:rsid w:val="4D694096"/>
    <w:rsid w:val="4D760289"/>
    <w:rsid w:val="4DB14CDF"/>
    <w:rsid w:val="4DBB0B01"/>
    <w:rsid w:val="4DE374C2"/>
    <w:rsid w:val="4DE408D6"/>
    <w:rsid w:val="4E3B2251"/>
    <w:rsid w:val="4E456FA4"/>
    <w:rsid w:val="4E4D2583"/>
    <w:rsid w:val="4E4E2F43"/>
    <w:rsid w:val="4E5C7519"/>
    <w:rsid w:val="4E616639"/>
    <w:rsid w:val="4E697333"/>
    <w:rsid w:val="4E7B5F30"/>
    <w:rsid w:val="4E930261"/>
    <w:rsid w:val="4EB80E01"/>
    <w:rsid w:val="4EC2795E"/>
    <w:rsid w:val="4EC509EF"/>
    <w:rsid w:val="4EC81323"/>
    <w:rsid w:val="4F0733D8"/>
    <w:rsid w:val="4F1813ED"/>
    <w:rsid w:val="4F257D14"/>
    <w:rsid w:val="4F322AFA"/>
    <w:rsid w:val="4F442E5D"/>
    <w:rsid w:val="4F4F0B87"/>
    <w:rsid w:val="4F570711"/>
    <w:rsid w:val="4F6313C6"/>
    <w:rsid w:val="4F785B77"/>
    <w:rsid w:val="4F8354FA"/>
    <w:rsid w:val="4F844391"/>
    <w:rsid w:val="4F99788D"/>
    <w:rsid w:val="4FD35314"/>
    <w:rsid w:val="4FEB1473"/>
    <w:rsid w:val="500532A1"/>
    <w:rsid w:val="501D0174"/>
    <w:rsid w:val="50360D32"/>
    <w:rsid w:val="50586946"/>
    <w:rsid w:val="507F6933"/>
    <w:rsid w:val="50B63535"/>
    <w:rsid w:val="50B65D89"/>
    <w:rsid w:val="50C2524A"/>
    <w:rsid w:val="50EE42EE"/>
    <w:rsid w:val="50FE0AB7"/>
    <w:rsid w:val="5107308F"/>
    <w:rsid w:val="514A5AAA"/>
    <w:rsid w:val="514B21A5"/>
    <w:rsid w:val="515801C7"/>
    <w:rsid w:val="515B7CB7"/>
    <w:rsid w:val="51626FFE"/>
    <w:rsid w:val="516A3A56"/>
    <w:rsid w:val="51A70F54"/>
    <w:rsid w:val="51B7313F"/>
    <w:rsid w:val="51C34297"/>
    <w:rsid w:val="52291B63"/>
    <w:rsid w:val="528154FB"/>
    <w:rsid w:val="52930560"/>
    <w:rsid w:val="52A42F98"/>
    <w:rsid w:val="52B33A1E"/>
    <w:rsid w:val="53180DBA"/>
    <w:rsid w:val="532A16EF"/>
    <w:rsid w:val="532D2E42"/>
    <w:rsid w:val="537D42F8"/>
    <w:rsid w:val="53AB3B44"/>
    <w:rsid w:val="53C438F2"/>
    <w:rsid w:val="53CA3C92"/>
    <w:rsid w:val="53D74B59"/>
    <w:rsid w:val="53E8302C"/>
    <w:rsid w:val="53EE33A5"/>
    <w:rsid w:val="54370553"/>
    <w:rsid w:val="543D6DE5"/>
    <w:rsid w:val="54462186"/>
    <w:rsid w:val="54B95421"/>
    <w:rsid w:val="54C11331"/>
    <w:rsid w:val="54F779C9"/>
    <w:rsid w:val="55045B96"/>
    <w:rsid w:val="55180608"/>
    <w:rsid w:val="55441B9C"/>
    <w:rsid w:val="555032D6"/>
    <w:rsid w:val="556709D9"/>
    <w:rsid w:val="558150DE"/>
    <w:rsid w:val="55851F6B"/>
    <w:rsid w:val="559F37CF"/>
    <w:rsid w:val="55B654BC"/>
    <w:rsid w:val="56044479"/>
    <w:rsid w:val="56355833"/>
    <w:rsid w:val="56513B4D"/>
    <w:rsid w:val="566778F3"/>
    <w:rsid w:val="56922F01"/>
    <w:rsid w:val="569548FC"/>
    <w:rsid w:val="5699669D"/>
    <w:rsid w:val="56C6570E"/>
    <w:rsid w:val="56D36FB6"/>
    <w:rsid w:val="56F91B04"/>
    <w:rsid w:val="570A670A"/>
    <w:rsid w:val="572336AB"/>
    <w:rsid w:val="57257664"/>
    <w:rsid w:val="57424B6F"/>
    <w:rsid w:val="5793664A"/>
    <w:rsid w:val="57B91F59"/>
    <w:rsid w:val="57C40335"/>
    <w:rsid w:val="57CF71DE"/>
    <w:rsid w:val="57D30C82"/>
    <w:rsid w:val="57D93826"/>
    <w:rsid w:val="581F7CE9"/>
    <w:rsid w:val="58384833"/>
    <w:rsid w:val="58590BB5"/>
    <w:rsid w:val="586F62C0"/>
    <w:rsid w:val="58981BA8"/>
    <w:rsid w:val="58F06F37"/>
    <w:rsid w:val="590127A7"/>
    <w:rsid w:val="590C2C7D"/>
    <w:rsid w:val="59247D58"/>
    <w:rsid w:val="59286680"/>
    <w:rsid w:val="59995821"/>
    <w:rsid w:val="59A81EF2"/>
    <w:rsid w:val="59BB411D"/>
    <w:rsid w:val="59D35476"/>
    <w:rsid w:val="59FD3F9E"/>
    <w:rsid w:val="5A1B7FE4"/>
    <w:rsid w:val="5A257C61"/>
    <w:rsid w:val="5A607CCE"/>
    <w:rsid w:val="5A663F2E"/>
    <w:rsid w:val="5A6F390B"/>
    <w:rsid w:val="5A886F3D"/>
    <w:rsid w:val="5AB36FE8"/>
    <w:rsid w:val="5ADF54B5"/>
    <w:rsid w:val="5AE76118"/>
    <w:rsid w:val="5AF21AE9"/>
    <w:rsid w:val="5B114646"/>
    <w:rsid w:val="5B1B7CC7"/>
    <w:rsid w:val="5B326598"/>
    <w:rsid w:val="5B5B46DE"/>
    <w:rsid w:val="5B845AEA"/>
    <w:rsid w:val="5B8E63C4"/>
    <w:rsid w:val="5BAE5416"/>
    <w:rsid w:val="5BC56800"/>
    <w:rsid w:val="5BC822EF"/>
    <w:rsid w:val="5BF60D08"/>
    <w:rsid w:val="5BF73DE3"/>
    <w:rsid w:val="5BF907F8"/>
    <w:rsid w:val="5C11057A"/>
    <w:rsid w:val="5C314F4B"/>
    <w:rsid w:val="5C582ADC"/>
    <w:rsid w:val="5C690415"/>
    <w:rsid w:val="5C9347A9"/>
    <w:rsid w:val="5CCC5E7E"/>
    <w:rsid w:val="5CD04C47"/>
    <w:rsid w:val="5CD1707F"/>
    <w:rsid w:val="5CD60796"/>
    <w:rsid w:val="5CF34FF8"/>
    <w:rsid w:val="5CF949BB"/>
    <w:rsid w:val="5D573992"/>
    <w:rsid w:val="5DA30A1C"/>
    <w:rsid w:val="5DC55B33"/>
    <w:rsid w:val="5DEB68EA"/>
    <w:rsid w:val="5E1A3A26"/>
    <w:rsid w:val="5E684992"/>
    <w:rsid w:val="5E6A1E17"/>
    <w:rsid w:val="5E7A6E94"/>
    <w:rsid w:val="5E8E6FD6"/>
    <w:rsid w:val="5E99597B"/>
    <w:rsid w:val="5E9A1E1F"/>
    <w:rsid w:val="5EE527E1"/>
    <w:rsid w:val="5F015E04"/>
    <w:rsid w:val="5F030150"/>
    <w:rsid w:val="5F2534E9"/>
    <w:rsid w:val="5F2F5055"/>
    <w:rsid w:val="5F393B80"/>
    <w:rsid w:val="5F442CB4"/>
    <w:rsid w:val="5F54438E"/>
    <w:rsid w:val="5F5B3CD4"/>
    <w:rsid w:val="5FE70F2D"/>
    <w:rsid w:val="5FF10EC5"/>
    <w:rsid w:val="60182240"/>
    <w:rsid w:val="6029146A"/>
    <w:rsid w:val="604F343F"/>
    <w:rsid w:val="606C1960"/>
    <w:rsid w:val="607B7A2E"/>
    <w:rsid w:val="608E4A1C"/>
    <w:rsid w:val="609E709B"/>
    <w:rsid w:val="60AA51A8"/>
    <w:rsid w:val="60E53291"/>
    <w:rsid w:val="60EA1C6A"/>
    <w:rsid w:val="610572F8"/>
    <w:rsid w:val="61132E22"/>
    <w:rsid w:val="6124125A"/>
    <w:rsid w:val="613D1036"/>
    <w:rsid w:val="613E50BB"/>
    <w:rsid w:val="61534507"/>
    <w:rsid w:val="615D5095"/>
    <w:rsid w:val="61A54728"/>
    <w:rsid w:val="61E561AB"/>
    <w:rsid w:val="61FE10B3"/>
    <w:rsid w:val="62092E18"/>
    <w:rsid w:val="62253924"/>
    <w:rsid w:val="62363666"/>
    <w:rsid w:val="625610C0"/>
    <w:rsid w:val="62766C4A"/>
    <w:rsid w:val="627806C9"/>
    <w:rsid w:val="6278282F"/>
    <w:rsid w:val="62903E5E"/>
    <w:rsid w:val="62943799"/>
    <w:rsid w:val="62BB6808"/>
    <w:rsid w:val="62DC0E43"/>
    <w:rsid w:val="630A471E"/>
    <w:rsid w:val="634C2C1B"/>
    <w:rsid w:val="63500CFE"/>
    <w:rsid w:val="63564FFB"/>
    <w:rsid w:val="635C1421"/>
    <w:rsid w:val="637C56E8"/>
    <w:rsid w:val="63AA1DD1"/>
    <w:rsid w:val="63B000AA"/>
    <w:rsid w:val="63B111E3"/>
    <w:rsid w:val="63B82D47"/>
    <w:rsid w:val="63ED451C"/>
    <w:rsid w:val="63F02068"/>
    <w:rsid w:val="63F30730"/>
    <w:rsid w:val="64524F4A"/>
    <w:rsid w:val="64622749"/>
    <w:rsid w:val="64E27A00"/>
    <w:rsid w:val="64E42046"/>
    <w:rsid w:val="6501237B"/>
    <w:rsid w:val="650708A6"/>
    <w:rsid w:val="650B38EE"/>
    <w:rsid w:val="655B2A2B"/>
    <w:rsid w:val="65A13A93"/>
    <w:rsid w:val="65B61A11"/>
    <w:rsid w:val="65BF6897"/>
    <w:rsid w:val="65CB0B10"/>
    <w:rsid w:val="65E51D30"/>
    <w:rsid w:val="6620794F"/>
    <w:rsid w:val="662907EC"/>
    <w:rsid w:val="665515B1"/>
    <w:rsid w:val="66943183"/>
    <w:rsid w:val="66A4359E"/>
    <w:rsid w:val="66CC4E7E"/>
    <w:rsid w:val="66D71736"/>
    <w:rsid w:val="66F44FD1"/>
    <w:rsid w:val="66F73586"/>
    <w:rsid w:val="671B3424"/>
    <w:rsid w:val="672C582D"/>
    <w:rsid w:val="67401F4D"/>
    <w:rsid w:val="67415D26"/>
    <w:rsid w:val="676C5591"/>
    <w:rsid w:val="6784194E"/>
    <w:rsid w:val="6787315C"/>
    <w:rsid w:val="678E41BC"/>
    <w:rsid w:val="678F7B49"/>
    <w:rsid w:val="679A139F"/>
    <w:rsid w:val="67E81E4D"/>
    <w:rsid w:val="68114ECB"/>
    <w:rsid w:val="6833299C"/>
    <w:rsid w:val="68510504"/>
    <w:rsid w:val="685F0900"/>
    <w:rsid w:val="68684D3C"/>
    <w:rsid w:val="688A2F04"/>
    <w:rsid w:val="68B01332"/>
    <w:rsid w:val="68B03FED"/>
    <w:rsid w:val="68B56134"/>
    <w:rsid w:val="68E1459C"/>
    <w:rsid w:val="68E343C2"/>
    <w:rsid w:val="6908636A"/>
    <w:rsid w:val="69741FC9"/>
    <w:rsid w:val="69794D27"/>
    <w:rsid w:val="69A73642"/>
    <w:rsid w:val="69FD58C9"/>
    <w:rsid w:val="6A0E546F"/>
    <w:rsid w:val="6A1A3E14"/>
    <w:rsid w:val="6A287F98"/>
    <w:rsid w:val="6A2D7FEB"/>
    <w:rsid w:val="6A34616B"/>
    <w:rsid w:val="6A35284B"/>
    <w:rsid w:val="6A4315BC"/>
    <w:rsid w:val="6A5E619E"/>
    <w:rsid w:val="6A771266"/>
    <w:rsid w:val="6A8219B9"/>
    <w:rsid w:val="6A852A96"/>
    <w:rsid w:val="6A89113D"/>
    <w:rsid w:val="6A941E18"/>
    <w:rsid w:val="6B016D82"/>
    <w:rsid w:val="6B077D22"/>
    <w:rsid w:val="6B4E0D76"/>
    <w:rsid w:val="6B586297"/>
    <w:rsid w:val="6B644FF0"/>
    <w:rsid w:val="6BB17B6E"/>
    <w:rsid w:val="6BEE7E20"/>
    <w:rsid w:val="6BFD3031"/>
    <w:rsid w:val="6BFE286F"/>
    <w:rsid w:val="6C1D4922"/>
    <w:rsid w:val="6C1F1A3A"/>
    <w:rsid w:val="6C460B63"/>
    <w:rsid w:val="6C6B4EFE"/>
    <w:rsid w:val="6C705F6D"/>
    <w:rsid w:val="6C7D0B4F"/>
    <w:rsid w:val="6C847C6A"/>
    <w:rsid w:val="6C89702F"/>
    <w:rsid w:val="6CC62828"/>
    <w:rsid w:val="6CE32BE3"/>
    <w:rsid w:val="6D4B1CBB"/>
    <w:rsid w:val="6D54763D"/>
    <w:rsid w:val="6DB17F76"/>
    <w:rsid w:val="6DDC4B60"/>
    <w:rsid w:val="6E065DC5"/>
    <w:rsid w:val="6E2D42B2"/>
    <w:rsid w:val="6E355D2E"/>
    <w:rsid w:val="6E3C30B0"/>
    <w:rsid w:val="6E6C4E5A"/>
    <w:rsid w:val="6E6F26C1"/>
    <w:rsid w:val="6EC641D8"/>
    <w:rsid w:val="6ED07197"/>
    <w:rsid w:val="6F084B83"/>
    <w:rsid w:val="6F1057E5"/>
    <w:rsid w:val="6F176B74"/>
    <w:rsid w:val="6F1A326F"/>
    <w:rsid w:val="6F450C57"/>
    <w:rsid w:val="6F4F630E"/>
    <w:rsid w:val="6F591D65"/>
    <w:rsid w:val="6F655B31"/>
    <w:rsid w:val="6F70539D"/>
    <w:rsid w:val="6F875D3C"/>
    <w:rsid w:val="6FA537AE"/>
    <w:rsid w:val="6FBB6C0A"/>
    <w:rsid w:val="6FD84B7F"/>
    <w:rsid w:val="6FE77305"/>
    <w:rsid w:val="6FFB0A55"/>
    <w:rsid w:val="701628A7"/>
    <w:rsid w:val="7018252A"/>
    <w:rsid w:val="702E6C97"/>
    <w:rsid w:val="70306917"/>
    <w:rsid w:val="7034449D"/>
    <w:rsid w:val="70726651"/>
    <w:rsid w:val="707D700C"/>
    <w:rsid w:val="70AE7531"/>
    <w:rsid w:val="70B157EF"/>
    <w:rsid w:val="70C62FCD"/>
    <w:rsid w:val="70EF09D6"/>
    <w:rsid w:val="70F744A9"/>
    <w:rsid w:val="71333A0D"/>
    <w:rsid w:val="71494FDF"/>
    <w:rsid w:val="71676D88"/>
    <w:rsid w:val="71843CAF"/>
    <w:rsid w:val="71987FBF"/>
    <w:rsid w:val="71AE02C6"/>
    <w:rsid w:val="71B95184"/>
    <w:rsid w:val="71BB2740"/>
    <w:rsid w:val="71CF4334"/>
    <w:rsid w:val="71E80C9B"/>
    <w:rsid w:val="71F340C1"/>
    <w:rsid w:val="71FF4B3F"/>
    <w:rsid w:val="720A24F5"/>
    <w:rsid w:val="72190C9A"/>
    <w:rsid w:val="7225359C"/>
    <w:rsid w:val="72534367"/>
    <w:rsid w:val="72651E8C"/>
    <w:rsid w:val="726714AF"/>
    <w:rsid w:val="72B80B87"/>
    <w:rsid w:val="72BA79DA"/>
    <w:rsid w:val="72BB3A2A"/>
    <w:rsid w:val="72C1034B"/>
    <w:rsid w:val="72CE73C6"/>
    <w:rsid w:val="73013662"/>
    <w:rsid w:val="73076EFF"/>
    <w:rsid w:val="73124222"/>
    <w:rsid w:val="73306456"/>
    <w:rsid w:val="73396BF6"/>
    <w:rsid w:val="738F2539"/>
    <w:rsid w:val="73946C51"/>
    <w:rsid w:val="73CA554E"/>
    <w:rsid w:val="73CF0191"/>
    <w:rsid w:val="73CF67B0"/>
    <w:rsid w:val="73DE7D51"/>
    <w:rsid w:val="74023BFC"/>
    <w:rsid w:val="740E3227"/>
    <w:rsid w:val="7431692A"/>
    <w:rsid w:val="7457535D"/>
    <w:rsid w:val="74784559"/>
    <w:rsid w:val="749B6DC7"/>
    <w:rsid w:val="74A34E20"/>
    <w:rsid w:val="74AE1D28"/>
    <w:rsid w:val="74CD2669"/>
    <w:rsid w:val="74F01935"/>
    <w:rsid w:val="74F66433"/>
    <w:rsid w:val="750C7513"/>
    <w:rsid w:val="75283C4D"/>
    <w:rsid w:val="75526B58"/>
    <w:rsid w:val="756C46A5"/>
    <w:rsid w:val="75703482"/>
    <w:rsid w:val="75AA6994"/>
    <w:rsid w:val="75AE51B3"/>
    <w:rsid w:val="75B1177F"/>
    <w:rsid w:val="75D32B82"/>
    <w:rsid w:val="75DC2C78"/>
    <w:rsid w:val="75FE784C"/>
    <w:rsid w:val="760D414E"/>
    <w:rsid w:val="764334D3"/>
    <w:rsid w:val="765C61F9"/>
    <w:rsid w:val="766069B5"/>
    <w:rsid w:val="767A1B5B"/>
    <w:rsid w:val="767D1C0E"/>
    <w:rsid w:val="76B07D5F"/>
    <w:rsid w:val="76D05B67"/>
    <w:rsid w:val="770A79A4"/>
    <w:rsid w:val="770E3163"/>
    <w:rsid w:val="77685F73"/>
    <w:rsid w:val="778F5094"/>
    <w:rsid w:val="7792362F"/>
    <w:rsid w:val="77B32F6D"/>
    <w:rsid w:val="77BD2282"/>
    <w:rsid w:val="77D76CD7"/>
    <w:rsid w:val="77F16C67"/>
    <w:rsid w:val="77F871A2"/>
    <w:rsid w:val="78131CD9"/>
    <w:rsid w:val="785D4A1E"/>
    <w:rsid w:val="788174A2"/>
    <w:rsid w:val="78885CDF"/>
    <w:rsid w:val="78A20007"/>
    <w:rsid w:val="78FE6C92"/>
    <w:rsid w:val="7947433B"/>
    <w:rsid w:val="79730387"/>
    <w:rsid w:val="798B075D"/>
    <w:rsid w:val="799A287B"/>
    <w:rsid w:val="79F04B91"/>
    <w:rsid w:val="79FF0842"/>
    <w:rsid w:val="7A1268B5"/>
    <w:rsid w:val="7A2111EE"/>
    <w:rsid w:val="7A236D15"/>
    <w:rsid w:val="7A28251C"/>
    <w:rsid w:val="7A557D7A"/>
    <w:rsid w:val="7AA2038C"/>
    <w:rsid w:val="7AA95FF0"/>
    <w:rsid w:val="7AB45AE2"/>
    <w:rsid w:val="7AC557A1"/>
    <w:rsid w:val="7AD42547"/>
    <w:rsid w:val="7AE54A07"/>
    <w:rsid w:val="7AED0B42"/>
    <w:rsid w:val="7B000E04"/>
    <w:rsid w:val="7B07777E"/>
    <w:rsid w:val="7B173349"/>
    <w:rsid w:val="7B1F572E"/>
    <w:rsid w:val="7B38002F"/>
    <w:rsid w:val="7B397AE8"/>
    <w:rsid w:val="7B615D46"/>
    <w:rsid w:val="7B845591"/>
    <w:rsid w:val="7BA82FBC"/>
    <w:rsid w:val="7BBE7F39"/>
    <w:rsid w:val="7BC741EA"/>
    <w:rsid w:val="7BD47593"/>
    <w:rsid w:val="7BED557B"/>
    <w:rsid w:val="7CA23160"/>
    <w:rsid w:val="7CA87CB5"/>
    <w:rsid w:val="7CB11315"/>
    <w:rsid w:val="7CF404F4"/>
    <w:rsid w:val="7D416669"/>
    <w:rsid w:val="7D435C34"/>
    <w:rsid w:val="7DC00960"/>
    <w:rsid w:val="7E0B769B"/>
    <w:rsid w:val="7E155322"/>
    <w:rsid w:val="7E211369"/>
    <w:rsid w:val="7E287243"/>
    <w:rsid w:val="7E2C65B8"/>
    <w:rsid w:val="7E3549AA"/>
    <w:rsid w:val="7E44486F"/>
    <w:rsid w:val="7E5774A3"/>
    <w:rsid w:val="7E773EE8"/>
    <w:rsid w:val="7E924622"/>
    <w:rsid w:val="7EA22534"/>
    <w:rsid w:val="7EE12C11"/>
    <w:rsid w:val="7EE30820"/>
    <w:rsid w:val="7EE35FE0"/>
    <w:rsid w:val="7EEB39F8"/>
    <w:rsid w:val="7EF06B5D"/>
    <w:rsid w:val="7F061CF4"/>
    <w:rsid w:val="7F30567C"/>
    <w:rsid w:val="7F417FD4"/>
    <w:rsid w:val="7F5A62A6"/>
    <w:rsid w:val="7F607DDA"/>
    <w:rsid w:val="7F643ECB"/>
    <w:rsid w:val="7F7333AD"/>
    <w:rsid w:val="7F8D0B43"/>
    <w:rsid w:val="7F973D35"/>
    <w:rsid w:val="7F9B46DF"/>
    <w:rsid w:val="7FA01F4C"/>
    <w:rsid w:val="7FA028A6"/>
    <w:rsid w:val="7FB44B21"/>
    <w:rsid w:val="7FB97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qFormat="1" w:unhideWhenUsed="0" w:uiPriority="0" w:semiHidden="0" w:name="index 3"/>
    <w:lsdException w:qFormat="1" w:unhideWhenUsed="0" w:uiPriority="0" w:semiHidden="0" w:name="index 4"/>
    <w:lsdException w:uiPriority="99" w:name="index 5"/>
    <w:lsdException w:uiPriority="99" w:name="index 6"/>
    <w:lsdException w:uiPriority="99" w:name="index 7"/>
    <w:lsdException w:qFormat="1"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qFormat="1" w:unhideWhenUsed="0" w:uiPriority="0" w:semiHidden="0" w:name="List 2"/>
    <w:lsdException w:uiPriority="99"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qFormat="1" w:unhideWhenUsed="0" w:uiPriority="0" w:semiHidden="0"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9"/>
    <w:autoRedefine/>
    <w:qFormat/>
    <w:uiPriority w:val="0"/>
    <w:pPr>
      <w:keepNext/>
      <w:keepLines/>
      <w:spacing w:before="340" w:after="330" w:line="578" w:lineRule="auto"/>
      <w:outlineLvl w:val="0"/>
    </w:pPr>
    <w:rPr>
      <w:b/>
      <w:bCs/>
      <w:kern w:val="44"/>
      <w:sz w:val="36"/>
      <w:szCs w:val="44"/>
    </w:rPr>
  </w:style>
  <w:style w:type="paragraph" w:styleId="4">
    <w:name w:val="heading 2"/>
    <w:basedOn w:val="1"/>
    <w:next w:val="1"/>
    <w:link w:val="68"/>
    <w:autoRedefine/>
    <w:qFormat/>
    <w:uiPriority w:val="0"/>
    <w:pPr>
      <w:keepNext/>
      <w:keepLines/>
      <w:spacing w:before="260" w:after="260" w:line="415" w:lineRule="auto"/>
      <w:outlineLvl w:val="1"/>
    </w:pPr>
    <w:rPr>
      <w:rFonts w:ascii="Cambria" w:hAnsi="Cambria"/>
      <w:b/>
      <w:bCs/>
      <w:sz w:val="32"/>
      <w:szCs w:val="32"/>
    </w:rPr>
  </w:style>
  <w:style w:type="paragraph" w:styleId="5">
    <w:name w:val="heading 3"/>
    <w:basedOn w:val="1"/>
    <w:next w:val="1"/>
    <w:link w:val="98"/>
    <w:autoRedefine/>
    <w:qFormat/>
    <w:uiPriority w:val="0"/>
    <w:pPr>
      <w:keepNext/>
      <w:keepLines/>
      <w:widowControl/>
      <w:spacing w:before="260" w:after="260" w:line="416" w:lineRule="auto"/>
      <w:outlineLvl w:val="2"/>
    </w:pPr>
    <w:rPr>
      <w:b/>
      <w:bCs/>
      <w:sz w:val="24"/>
      <w:szCs w:val="32"/>
    </w:rPr>
  </w:style>
  <w:style w:type="paragraph" w:styleId="6">
    <w:name w:val="heading 4"/>
    <w:basedOn w:val="1"/>
    <w:next w:val="1"/>
    <w:link w:val="71"/>
    <w:autoRedefine/>
    <w:qFormat/>
    <w:uiPriority w:val="0"/>
    <w:pPr>
      <w:keepNext/>
      <w:keepLines/>
      <w:widowControl/>
      <w:spacing w:before="200" w:line="276" w:lineRule="auto"/>
      <w:jc w:val="left"/>
      <w:outlineLvl w:val="3"/>
    </w:pPr>
    <w:rPr>
      <w:rFonts w:ascii="Calibri Light" w:hAnsi="Calibri Light"/>
      <w:b/>
      <w:bCs/>
      <w:iCs/>
      <w:szCs w:val="22"/>
    </w:rPr>
  </w:style>
  <w:style w:type="paragraph" w:styleId="7">
    <w:name w:val="heading 5"/>
    <w:basedOn w:val="1"/>
    <w:next w:val="1"/>
    <w:link w:val="72"/>
    <w:autoRedefine/>
    <w:qFormat/>
    <w:uiPriority w:val="0"/>
    <w:pPr>
      <w:keepNext/>
      <w:keepLines/>
      <w:spacing w:before="280" w:after="290" w:line="376" w:lineRule="auto"/>
      <w:outlineLvl w:val="4"/>
    </w:pPr>
    <w:rPr>
      <w:b/>
      <w:bCs/>
      <w:sz w:val="28"/>
      <w:szCs w:val="28"/>
    </w:rPr>
  </w:style>
  <w:style w:type="paragraph" w:styleId="8">
    <w:name w:val="heading 6"/>
    <w:basedOn w:val="1"/>
    <w:next w:val="1"/>
    <w:link w:val="73"/>
    <w:autoRedefine/>
    <w:qFormat/>
    <w:uiPriority w:val="0"/>
    <w:pPr>
      <w:keepNext/>
      <w:keepLines/>
      <w:spacing w:before="240" w:after="64" w:line="320" w:lineRule="auto"/>
      <w:outlineLvl w:val="5"/>
    </w:pPr>
    <w:rPr>
      <w:rFonts w:ascii="Cambria" w:hAnsi="Cambria"/>
      <w:b/>
      <w:bCs/>
      <w:sz w:val="24"/>
    </w:rPr>
  </w:style>
  <w:style w:type="paragraph" w:styleId="9">
    <w:name w:val="heading 7"/>
    <w:basedOn w:val="1"/>
    <w:next w:val="1"/>
    <w:link w:val="74"/>
    <w:autoRedefine/>
    <w:qFormat/>
    <w:uiPriority w:val="0"/>
    <w:pPr>
      <w:keepNext/>
      <w:keepLines/>
      <w:spacing w:before="240" w:after="64" w:line="320" w:lineRule="auto"/>
      <w:ind w:firstLine="200" w:firstLineChars="200"/>
      <w:outlineLvl w:val="6"/>
    </w:pPr>
    <w:rPr>
      <w:b/>
      <w:bCs/>
      <w:sz w:val="24"/>
    </w:rPr>
  </w:style>
  <w:style w:type="paragraph" w:styleId="10">
    <w:name w:val="heading 8"/>
    <w:basedOn w:val="1"/>
    <w:next w:val="1"/>
    <w:link w:val="75"/>
    <w:autoRedefine/>
    <w:qFormat/>
    <w:uiPriority w:val="0"/>
    <w:pPr>
      <w:keepNext/>
      <w:keepLines/>
      <w:spacing w:before="240" w:after="64" w:line="320" w:lineRule="auto"/>
      <w:ind w:firstLine="200" w:firstLineChars="200"/>
      <w:outlineLvl w:val="7"/>
    </w:pPr>
    <w:rPr>
      <w:rFonts w:ascii="Cambria" w:hAnsi="Cambria"/>
      <w:sz w:val="24"/>
    </w:rPr>
  </w:style>
  <w:style w:type="paragraph" w:styleId="11">
    <w:name w:val="heading 9"/>
    <w:basedOn w:val="1"/>
    <w:next w:val="1"/>
    <w:link w:val="76"/>
    <w:autoRedefine/>
    <w:qFormat/>
    <w:uiPriority w:val="0"/>
    <w:pPr>
      <w:keepNext/>
      <w:keepLines/>
      <w:spacing w:before="240" w:after="64" w:line="320" w:lineRule="auto"/>
      <w:ind w:firstLine="200" w:firstLineChars="200"/>
      <w:outlineLvl w:val="8"/>
    </w:pPr>
    <w:rPr>
      <w:rFonts w:ascii="Cambria" w:hAnsi="Cambria"/>
      <w:szCs w:val="21"/>
    </w:rPr>
  </w:style>
  <w:style w:type="character" w:default="1" w:styleId="55">
    <w:name w:val="Default Paragraph Font"/>
    <w:autoRedefine/>
    <w:semiHidden/>
    <w:unhideWhenUsed/>
    <w:qFormat/>
    <w:uiPriority w:val="1"/>
  </w:style>
  <w:style w:type="table" w:default="1" w:styleId="53">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7"/>
    <w:autoRedefine/>
    <w:unhideWhenUsed/>
    <w:qFormat/>
    <w:uiPriority w:val="0"/>
    <w:pPr>
      <w:tabs>
        <w:tab w:val="center" w:pos="4153"/>
        <w:tab w:val="right" w:pos="8306"/>
      </w:tabs>
      <w:snapToGrid w:val="0"/>
      <w:jc w:val="left"/>
    </w:pPr>
    <w:rPr>
      <w:sz w:val="18"/>
      <w:szCs w:val="18"/>
    </w:rPr>
  </w:style>
  <w:style w:type="paragraph" w:styleId="12">
    <w:name w:val="toc 7"/>
    <w:basedOn w:val="1"/>
    <w:next w:val="1"/>
    <w:autoRedefine/>
    <w:unhideWhenUsed/>
    <w:qFormat/>
    <w:uiPriority w:val="0"/>
    <w:pPr>
      <w:spacing w:line="360" w:lineRule="exact"/>
      <w:ind w:left="1260" w:firstLine="200" w:firstLineChars="200"/>
      <w:jc w:val="left"/>
    </w:pPr>
    <w:rPr>
      <w:rFonts w:ascii="Calibri" w:hAnsi="Calibri"/>
      <w:sz w:val="18"/>
      <w:szCs w:val="18"/>
    </w:rPr>
  </w:style>
  <w:style w:type="paragraph" w:styleId="13">
    <w:name w:val="index 8"/>
    <w:basedOn w:val="1"/>
    <w:next w:val="1"/>
    <w:autoRedefine/>
    <w:qFormat/>
    <w:uiPriority w:val="0"/>
    <w:pPr>
      <w:ind w:left="1400" w:leftChars="1400"/>
    </w:pPr>
  </w:style>
  <w:style w:type="paragraph" w:styleId="14">
    <w:name w:val="Normal Indent"/>
    <w:basedOn w:val="1"/>
    <w:next w:val="15"/>
    <w:link w:val="77"/>
    <w:autoRedefine/>
    <w:qFormat/>
    <w:uiPriority w:val="0"/>
    <w:pPr>
      <w:adjustRightInd w:val="0"/>
      <w:spacing w:line="312" w:lineRule="atLeast"/>
      <w:ind w:firstLine="420" w:firstLineChars="200"/>
    </w:pPr>
    <w:rPr>
      <w:kern w:val="0"/>
      <w:szCs w:val="20"/>
    </w:rPr>
  </w:style>
  <w:style w:type="paragraph" w:customStyle="1" w:styleId="15">
    <w:name w:val="toc 21"/>
    <w:next w:val="1"/>
    <w:autoRedefine/>
    <w:qFormat/>
    <w:uiPriority w:val="0"/>
    <w:pPr>
      <w:wordWrap w:val="0"/>
      <w:ind w:left="425"/>
      <w:jc w:val="both"/>
    </w:pPr>
    <w:rPr>
      <w:rFonts w:ascii="Times New Roman" w:hAnsi="Times New Roman" w:eastAsia="宋体" w:cs="Times New Roman"/>
      <w:sz w:val="21"/>
      <w:lang w:val="en-US" w:eastAsia="zh-CN" w:bidi="ar-SA"/>
    </w:rPr>
  </w:style>
  <w:style w:type="paragraph" w:styleId="16">
    <w:name w:val="caption"/>
    <w:basedOn w:val="1"/>
    <w:next w:val="1"/>
    <w:autoRedefine/>
    <w:qFormat/>
    <w:uiPriority w:val="0"/>
    <w:pPr>
      <w:spacing w:line="360" w:lineRule="exact"/>
      <w:ind w:firstLine="200" w:firstLineChars="200"/>
    </w:pPr>
    <w:rPr>
      <w:rFonts w:ascii="Cambria" w:hAnsi="Cambria" w:eastAsia="黑体"/>
      <w:sz w:val="20"/>
      <w:szCs w:val="20"/>
    </w:rPr>
  </w:style>
  <w:style w:type="paragraph" w:styleId="17">
    <w:name w:val="List Bullet"/>
    <w:basedOn w:val="1"/>
    <w:autoRedefine/>
    <w:qFormat/>
    <w:uiPriority w:val="0"/>
    <w:pPr>
      <w:tabs>
        <w:tab w:val="left" w:pos="360"/>
      </w:tabs>
      <w:ind w:left="360" w:hanging="360"/>
    </w:pPr>
  </w:style>
  <w:style w:type="paragraph" w:styleId="18">
    <w:name w:val="Document Map"/>
    <w:basedOn w:val="1"/>
    <w:link w:val="78"/>
    <w:autoRedefine/>
    <w:qFormat/>
    <w:uiPriority w:val="0"/>
    <w:pPr>
      <w:shd w:val="clear" w:color="auto" w:fill="000080"/>
      <w:spacing w:line="360" w:lineRule="exact"/>
      <w:ind w:firstLine="200" w:firstLineChars="200"/>
    </w:pPr>
  </w:style>
  <w:style w:type="paragraph" w:styleId="19">
    <w:name w:val="annotation text"/>
    <w:basedOn w:val="1"/>
    <w:link w:val="79"/>
    <w:autoRedefine/>
    <w:qFormat/>
    <w:uiPriority w:val="0"/>
    <w:pPr>
      <w:widowControl/>
      <w:jc w:val="left"/>
    </w:pPr>
    <w:rPr>
      <w:rFonts w:ascii="Calibri" w:hAnsi="Calibri"/>
    </w:rPr>
  </w:style>
  <w:style w:type="paragraph" w:styleId="20">
    <w:name w:val="Body Text 3"/>
    <w:basedOn w:val="1"/>
    <w:link w:val="80"/>
    <w:autoRedefine/>
    <w:qFormat/>
    <w:uiPriority w:val="0"/>
    <w:pPr>
      <w:spacing w:line="360" w:lineRule="exact"/>
      <w:ind w:firstLine="200" w:firstLineChars="200"/>
    </w:pPr>
    <w:rPr>
      <w:rFonts w:ascii="宋体"/>
      <w:sz w:val="24"/>
      <w:szCs w:val="20"/>
    </w:rPr>
  </w:style>
  <w:style w:type="paragraph" w:styleId="21">
    <w:name w:val="Body Text"/>
    <w:basedOn w:val="1"/>
    <w:link w:val="81"/>
    <w:autoRedefine/>
    <w:unhideWhenUsed/>
    <w:qFormat/>
    <w:uiPriority w:val="0"/>
    <w:pPr>
      <w:spacing w:after="120"/>
    </w:pPr>
  </w:style>
  <w:style w:type="paragraph" w:styleId="22">
    <w:name w:val="Body Text Indent"/>
    <w:basedOn w:val="1"/>
    <w:link w:val="82"/>
    <w:autoRedefine/>
    <w:qFormat/>
    <w:uiPriority w:val="0"/>
    <w:pPr>
      <w:spacing w:after="120" w:line="360" w:lineRule="exact"/>
      <w:ind w:left="420" w:leftChars="200" w:firstLine="200" w:firstLineChars="200"/>
    </w:pPr>
  </w:style>
  <w:style w:type="paragraph" w:styleId="23">
    <w:name w:val="List 2"/>
    <w:basedOn w:val="1"/>
    <w:autoRedefine/>
    <w:qFormat/>
    <w:uiPriority w:val="0"/>
    <w:pPr>
      <w:ind w:left="840" w:hanging="420"/>
    </w:pPr>
    <w:rPr>
      <w:szCs w:val="20"/>
    </w:rPr>
  </w:style>
  <w:style w:type="paragraph" w:styleId="24">
    <w:name w:val="Block Text"/>
    <w:basedOn w:val="1"/>
    <w:autoRedefine/>
    <w:qFormat/>
    <w:uiPriority w:val="0"/>
    <w:pPr>
      <w:widowControl/>
      <w:overflowPunct w:val="0"/>
      <w:autoSpaceDE w:val="0"/>
      <w:autoSpaceDN w:val="0"/>
      <w:adjustRightInd w:val="0"/>
      <w:snapToGrid w:val="0"/>
      <w:spacing w:line="360" w:lineRule="auto"/>
      <w:ind w:left="1440" w:right="-510" w:hanging="759"/>
      <w:textAlignment w:val="baseline"/>
    </w:pPr>
    <w:rPr>
      <w:kern w:val="0"/>
      <w:sz w:val="24"/>
      <w:szCs w:val="20"/>
    </w:rPr>
  </w:style>
  <w:style w:type="paragraph" w:styleId="25">
    <w:name w:val="index 4"/>
    <w:basedOn w:val="1"/>
    <w:next w:val="1"/>
    <w:autoRedefine/>
    <w:qFormat/>
    <w:uiPriority w:val="0"/>
    <w:pPr>
      <w:ind w:left="600" w:leftChars="600"/>
    </w:pPr>
  </w:style>
  <w:style w:type="paragraph" w:styleId="26">
    <w:name w:val="toc 5"/>
    <w:basedOn w:val="1"/>
    <w:next w:val="1"/>
    <w:autoRedefine/>
    <w:unhideWhenUsed/>
    <w:qFormat/>
    <w:uiPriority w:val="0"/>
    <w:pPr>
      <w:spacing w:line="360" w:lineRule="exact"/>
      <w:ind w:left="840" w:firstLine="200" w:firstLineChars="200"/>
      <w:jc w:val="left"/>
    </w:pPr>
    <w:rPr>
      <w:rFonts w:ascii="Calibri" w:hAnsi="Calibri"/>
      <w:sz w:val="18"/>
      <w:szCs w:val="18"/>
    </w:rPr>
  </w:style>
  <w:style w:type="paragraph" w:styleId="27">
    <w:name w:val="toc 3"/>
    <w:basedOn w:val="1"/>
    <w:next w:val="1"/>
    <w:autoRedefine/>
    <w:unhideWhenUsed/>
    <w:qFormat/>
    <w:uiPriority w:val="39"/>
    <w:pPr>
      <w:ind w:left="840" w:leftChars="400"/>
    </w:pPr>
  </w:style>
  <w:style w:type="paragraph" w:styleId="28">
    <w:name w:val="Plain Text"/>
    <w:basedOn w:val="1"/>
    <w:link w:val="83"/>
    <w:autoRedefine/>
    <w:qFormat/>
    <w:uiPriority w:val="0"/>
    <w:rPr>
      <w:rFonts w:ascii="宋体" w:hAnsi="Courier New"/>
      <w:szCs w:val="22"/>
    </w:rPr>
  </w:style>
  <w:style w:type="paragraph" w:styleId="29">
    <w:name w:val="toc 8"/>
    <w:basedOn w:val="1"/>
    <w:next w:val="1"/>
    <w:autoRedefine/>
    <w:unhideWhenUsed/>
    <w:qFormat/>
    <w:uiPriority w:val="0"/>
    <w:pPr>
      <w:spacing w:line="360" w:lineRule="exact"/>
      <w:ind w:left="1470" w:firstLine="200" w:firstLineChars="200"/>
      <w:jc w:val="left"/>
    </w:pPr>
    <w:rPr>
      <w:rFonts w:ascii="Calibri" w:hAnsi="Calibri"/>
      <w:sz w:val="18"/>
      <w:szCs w:val="18"/>
    </w:rPr>
  </w:style>
  <w:style w:type="paragraph" w:styleId="30">
    <w:name w:val="index 3"/>
    <w:basedOn w:val="1"/>
    <w:next w:val="1"/>
    <w:autoRedefine/>
    <w:qFormat/>
    <w:uiPriority w:val="0"/>
    <w:pPr>
      <w:ind w:left="400" w:leftChars="400"/>
      <w:jc w:val="left"/>
    </w:pPr>
  </w:style>
  <w:style w:type="paragraph" w:styleId="31">
    <w:name w:val="Date"/>
    <w:basedOn w:val="1"/>
    <w:next w:val="1"/>
    <w:link w:val="84"/>
    <w:autoRedefine/>
    <w:qFormat/>
    <w:uiPriority w:val="0"/>
    <w:pPr>
      <w:spacing w:line="360" w:lineRule="exact"/>
      <w:ind w:left="100" w:leftChars="2500" w:firstLine="200" w:firstLineChars="200"/>
    </w:pPr>
    <w:rPr>
      <w:rFonts w:ascii="Calibri" w:hAnsi="Calibri"/>
    </w:rPr>
  </w:style>
  <w:style w:type="paragraph" w:styleId="32">
    <w:name w:val="Body Text Indent 2"/>
    <w:basedOn w:val="1"/>
    <w:link w:val="85"/>
    <w:autoRedefine/>
    <w:qFormat/>
    <w:uiPriority w:val="0"/>
    <w:pPr>
      <w:spacing w:after="120" w:line="480" w:lineRule="auto"/>
      <w:ind w:left="420" w:leftChars="200" w:firstLine="200" w:firstLineChars="200"/>
    </w:pPr>
  </w:style>
  <w:style w:type="paragraph" w:styleId="33">
    <w:name w:val="Balloon Text"/>
    <w:basedOn w:val="1"/>
    <w:link w:val="86"/>
    <w:autoRedefine/>
    <w:unhideWhenUsed/>
    <w:qFormat/>
    <w:uiPriority w:val="0"/>
    <w:rPr>
      <w:sz w:val="18"/>
      <w:szCs w:val="18"/>
    </w:rPr>
  </w:style>
  <w:style w:type="paragraph" w:styleId="34">
    <w:name w:val="header"/>
    <w:basedOn w:val="1"/>
    <w:link w:val="88"/>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35">
    <w:name w:val="toc 1"/>
    <w:basedOn w:val="1"/>
    <w:next w:val="1"/>
    <w:autoRedefine/>
    <w:unhideWhenUsed/>
    <w:qFormat/>
    <w:uiPriority w:val="39"/>
  </w:style>
  <w:style w:type="paragraph" w:styleId="36">
    <w:name w:val="toc 4"/>
    <w:basedOn w:val="1"/>
    <w:next w:val="1"/>
    <w:autoRedefine/>
    <w:unhideWhenUsed/>
    <w:qFormat/>
    <w:uiPriority w:val="0"/>
    <w:pPr>
      <w:spacing w:line="360" w:lineRule="exact"/>
      <w:ind w:left="630" w:firstLine="200" w:firstLineChars="200"/>
      <w:jc w:val="left"/>
    </w:pPr>
    <w:rPr>
      <w:rFonts w:ascii="Calibri" w:hAnsi="Calibri"/>
      <w:sz w:val="18"/>
      <w:szCs w:val="18"/>
    </w:rPr>
  </w:style>
  <w:style w:type="paragraph" w:styleId="37">
    <w:name w:val="Subtitle"/>
    <w:basedOn w:val="1"/>
    <w:next w:val="1"/>
    <w:link w:val="89"/>
    <w:autoRedefine/>
    <w:qFormat/>
    <w:uiPriority w:val="0"/>
    <w:pPr>
      <w:spacing w:before="240" w:after="60" w:line="312" w:lineRule="auto"/>
      <w:ind w:firstLine="200" w:firstLineChars="200"/>
      <w:jc w:val="center"/>
      <w:outlineLvl w:val="1"/>
    </w:pPr>
    <w:rPr>
      <w:rFonts w:ascii="Cambria" w:hAnsi="Cambria"/>
      <w:b/>
      <w:bCs/>
      <w:kern w:val="28"/>
      <w:sz w:val="32"/>
      <w:szCs w:val="32"/>
    </w:rPr>
  </w:style>
  <w:style w:type="paragraph" w:styleId="38">
    <w:name w:val="footnote text"/>
    <w:basedOn w:val="1"/>
    <w:link w:val="90"/>
    <w:autoRedefine/>
    <w:qFormat/>
    <w:uiPriority w:val="0"/>
    <w:pPr>
      <w:snapToGrid w:val="0"/>
      <w:jc w:val="left"/>
    </w:pPr>
    <w:rPr>
      <w:sz w:val="18"/>
      <w:szCs w:val="18"/>
    </w:rPr>
  </w:style>
  <w:style w:type="paragraph" w:styleId="39">
    <w:name w:val="toc 6"/>
    <w:basedOn w:val="1"/>
    <w:next w:val="1"/>
    <w:autoRedefine/>
    <w:unhideWhenUsed/>
    <w:qFormat/>
    <w:uiPriority w:val="0"/>
    <w:pPr>
      <w:spacing w:line="360" w:lineRule="exact"/>
      <w:ind w:left="1050" w:firstLine="200" w:firstLineChars="200"/>
      <w:jc w:val="left"/>
    </w:pPr>
    <w:rPr>
      <w:rFonts w:ascii="Calibri" w:hAnsi="Calibri"/>
      <w:sz w:val="18"/>
      <w:szCs w:val="18"/>
    </w:rPr>
  </w:style>
  <w:style w:type="paragraph" w:styleId="40">
    <w:name w:val="List 5"/>
    <w:basedOn w:val="1"/>
    <w:autoRedefine/>
    <w:qFormat/>
    <w:uiPriority w:val="0"/>
    <w:pPr>
      <w:ind w:left="2100" w:hanging="420"/>
    </w:pPr>
    <w:rPr>
      <w:szCs w:val="20"/>
    </w:rPr>
  </w:style>
  <w:style w:type="paragraph" w:styleId="41">
    <w:name w:val="Body Text Indent 3"/>
    <w:basedOn w:val="1"/>
    <w:link w:val="91"/>
    <w:autoRedefine/>
    <w:qFormat/>
    <w:uiPriority w:val="0"/>
    <w:pPr>
      <w:spacing w:after="120" w:line="360" w:lineRule="exact"/>
      <w:ind w:left="420" w:leftChars="200" w:firstLine="200" w:firstLineChars="200"/>
    </w:pPr>
    <w:rPr>
      <w:sz w:val="16"/>
      <w:szCs w:val="16"/>
    </w:rPr>
  </w:style>
  <w:style w:type="paragraph" w:styleId="42">
    <w:name w:val="index 9"/>
    <w:basedOn w:val="1"/>
    <w:next w:val="1"/>
    <w:autoRedefine/>
    <w:qFormat/>
    <w:uiPriority w:val="0"/>
    <w:pPr>
      <w:ind w:left="1600" w:leftChars="1600"/>
    </w:pPr>
    <w:rPr>
      <w:szCs w:val="20"/>
    </w:rPr>
  </w:style>
  <w:style w:type="paragraph" w:styleId="43">
    <w:name w:val="toc 2"/>
    <w:basedOn w:val="1"/>
    <w:next w:val="1"/>
    <w:link w:val="92"/>
    <w:autoRedefine/>
    <w:unhideWhenUsed/>
    <w:qFormat/>
    <w:uiPriority w:val="39"/>
    <w:pPr>
      <w:ind w:left="420" w:leftChars="200"/>
    </w:pPr>
  </w:style>
  <w:style w:type="paragraph" w:styleId="44">
    <w:name w:val="toc 9"/>
    <w:basedOn w:val="1"/>
    <w:next w:val="1"/>
    <w:autoRedefine/>
    <w:unhideWhenUsed/>
    <w:qFormat/>
    <w:uiPriority w:val="0"/>
    <w:pPr>
      <w:spacing w:line="360" w:lineRule="exact"/>
      <w:ind w:left="1680" w:firstLine="200" w:firstLineChars="200"/>
      <w:jc w:val="left"/>
    </w:pPr>
    <w:rPr>
      <w:rFonts w:ascii="Calibri" w:hAnsi="Calibri"/>
      <w:sz w:val="18"/>
      <w:szCs w:val="18"/>
    </w:rPr>
  </w:style>
  <w:style w:type="paragraph" w:styleId="45">
    <w:name w:val="Body Text 2"/>
    <w:basedOn w:val="1"/>
    <w:link w:val="93"/>
    <w:autoRedefine/>
    <w:qFormat/>
    <w:uiPriority w:val="0"/>
    <w:pPr>
      <w:spacing w:after="120" w:line="480" w:lineRule="auto"/>
      <w:ind w:firstLine="200" w:firstLineChars="200"/>
    </w:pPr>
    <w:rPr>
      <w:rFonts w:ascii="Calibri" w:hAnsi="Calibri"/>
    </w:rPr>
  </w:style>
  <w:style w:type="paragraph" w:styleId="46">
    <w:name w:val="HTML Preformatted"/>
    <w:basedOn w:val="1"/>
    <w:link w:val="94"/>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7">
    <w:name w:val="Normal (Web)"/>
    <w:basedOn w:val="1"/>
    <w:autoRedefine/>
    <w:unhideWhenUsed/>
    <w:qFormat/>
    <w:uiPriority w:val="0"/>
    <w:pPr>
      <w:widowControl/>
      <w:spacing w:before="100" w:beforeAutospacing="1" w:after="100" w:afterAutospacing="1"/>
      <w:jc w:val="left"/>
    </w:pPr>
    <w:rPr>
      <w:rFonts w:ascii="宋体" w:hAnsi="宋体" w:cs="宋体"/>
      <w:kern w:val="0"/>
      <w:sz w:val="24"/>
    </w:rPr>
  </w:style>
  <w:style w:type="paragraph" w:styleId="48">
    <w:name w:val="index 1"/>
    <w:basedOn w:val="1"/>
    <w:next w:val="1"/>
    <w:autoRedefine/>
    <w:qFormat/>
    <w:uiPriority w:val="0"/>
    <w:pPr>
      <w:ind w:right="257"/>
    </w:pPr>
    <w:rPr>
      <w:rFonts w:ascii="宋体" w:hAnsi="宋体"/>
      <w:szCs w:val="20"/>
    </w:rPr>
  </w:style>
  <w:style w:type="paragraph" w:styleId="49">
    <w:name w:val="Title"/>
    <w:basedOn w:val="1"/>
    <w:next w:val="28"/>
    <w:link w:val="95"/>
    <w:autoRedefine/>
    <w:qFormat/>
    <w:uiPriority w:val="0"/>
    <w:pPr>
      <w:spacing w:before="240" w:after="240"/>
      <w:ind w:firstLine="1687"/>
      <w:jc w:val="center"/>
      <w:outlineLvl w:val="0"/>
    </w:pPr>
    <w:rPr>
      <w:rFonts w:ascii="Cambria" w:hAnsi="Cambria"/>
      <w:b/>
      <w:bCs/>
      <w:sz w:val="32"/>
      <w:szCs w:val="32"/>
    </w:rPr>
  </w:style>
  <w:style w:type="paragraph" w:styleId="50">
    <w:name w:val="annotation subject"/>
    <w:basedOn w:val="19"/>
    <w:next w:val="19"/>
    <w:link w:val="96"/>
    <w:autoRedefine/>
    <w:qFormat/>
    <w:uiPriority w:val="0"/>
    <w:pPr>
      <w:widowControl w:val="0"/>
      <w:spacing w:line="360" w:lineRule="exact"/>
      <w:ind w:firstLine="200" w:firstLineChars="200"/>
    </w:pPr>
    <w:rPr>
      <w:rFonts w:ascii="Times New Roman" w:hAnsi="Times New Roman"/>
      <w:b/>
      <w:bCs/>
    </w:rPr>
  </w:style>
  <w:style w:type="paragraph" w:styleId="51">
    <w:name w:val="Body Text First Indent"/>
    <w:basedOn w:val="21"/>
    <w:link w:val="97"/>
    <w:autoRedefine/>
    <w:qFormat/>
    <w:uiPriority w:val="0"/>
    <w:pPr>
      <w:ind w:firstLine="420" w:firstLineChars="100"/>
    </w:pPr>
  </w:style>
  <w:style w:type="paragraph" w:styleId="52">
    <w:name w:val="Body Text First Indent 2"/>
    <w:basedOn w:val="22"/>
    <w:autoRedefine/>
    <w:unhideWhenUsed/>
    <w:qFormat/>
    <w:uiPriority w:val="99"/>
    <w:pPr>
      <w:ind w:firstLine="420"/>
    </w:pPr>
  </w:style>
  <w:style w:type="table" w:styleId="54">
    <w:name w:val="Table Grid"/>
    <w:basedOn w:val="5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autoRedefine/>
    <w:qFormat/>
    <w:uiPriority w:val="0"/>
    <w:rPr>
      <w:b/>
      <w:bCs/>
    </w:rPr>
  </w:style>
  <w:style w:type="character" w:styleId="57">
    <w:name w:val="page number"/>
    <w:basedOn w:val="55"/>
    <w:autoRedefine/>
    <w:qFormat/>
    <w:uiPriority w:val="0"/>
  </w:style>
  <w:style w:type="character" w:styleId="58">
    <w:name w:val="FollowedHyperlink"/>
    <w:autoRedefine/>
    <w:qFormat/>
    <w:uiPriority w:val="0"/>
    <w:rPr>
      <w:color w:val="333333"/>
      <w:u w:val="none"/>
    </w:rPr>
  </w:style>
  <w:style w:type="character" w:styleId="59">
    <w:name w:val="Emphasis"/>
    <w:autoRedefine/>
    <w:qFormat/>
    <w:uiPriority w:val="0"/>
    <w:rPr>
      <w:i/>
      <w:iCs/>
    </w:rPr>
  </w:style>
  <w:style w:type="character" w:styleId="60">
    <w:name w:val="HTML Definition"/>
    <w:autoRedefine/>
    <w:qFormat/>
    <w:uiPriority w:val="0"/>
  </w:style>
  <w:style w:type="character" w:styleId="61">
    <w:name w:val="HTML Acronym"/>
    <w:basedOn w:val="55"/>
    <w:autoRedefine/>
    <w:qFormat/>
    <w:uiPriority w:val="0"/>
  </w:style>
  <w:style w:type="character" w:styleId="62">
    <w:name w:val="HTML Variable"/>
    <w:autoRedefine/>
    <w:qFormat/>
    <w:uiPriority w:val="0"/>
  </w:style>
  <w:style w:type="character" w:styleId="63">
    <w:name w:val="Hyperlink"/>
    <w:basedOn w:val="55"/>
    <w:autoRedefine/>
    <w:qFormat/>
    <w:uiPriority w:val="99"/>
    <w:rPr>
      <w:color w:val="333333"/>
      <w:u w:val="none"/>
    </w:rPr>
  </w:style>
  <w:style w:type="character" w:styleId="64">
    <w:name w:val="HTML Code"/>
    <w:autoRedefine/>
    <w:qFormat/>
    <w:uiPriority w:val="0"/>
    <w:rPr>
      <w:rFonts w:ascii="Courier New" w:hAnsi="Courier New"/>
      <w:color w:val="505050"/>
      <w:sz w:val="24"/>
      <w:szCs w:val="24"/>
    </w:rPr>
  </w:style>
  <w:style w:type="character" w:styleId="65">
    <w:name w:val="annotation reference"/>
    <w:autoRedefine/>
    <w:qFormat/>
    <w:uiPriority w:val="0"/>
    <w:rPr>
      <w:sz w:val="21"/>
      <w:szCs w:val="21"/>
    </w:rPr>
  </w:style>
  <w:style w:type="character" w:styleId="66">
    <w:name w:val="HTML Cite"/>
    <w:autoRedefine/>
    <w:qFormat/>
    <w:uiPriority w:val="0"/>
  </w:style>
  <w:style w:type="character" w:styleId="67">
    <w:name w:val="footnote reference"/>
    <w:autoRedefine/>
    <w:qFormat/>
    <w:uiPriority w:val="0"/>
    <w:rPr>
      <w:vertAlign w:val="superscript"/>
    </w:rPr>
  </w:style>
  <w:style w:type="character" w:customStyle="1" w:styleId="68">
    <w:name w:val="标题 2 字符"/>
    <w:link w:val="4"/>
    <w:autoRedefine/>
    <w:qFormat/>
    <w:uiPriority w:val="0"/>
    <w:rPr>
      <w:rFonts w:ascii="Cambria" w:hAnsi="Cambria" w:eastAsia="宋体" w:cs="Times New Roman"/>
      <w:b/>
      <w:bCs/>
      <w:sz w:val="32"/>
      <w:szCs w:val="32"/>
    </w:rPr>
  </w:style>
  <w:style w:type="character" w:customStyle="1" w:styleId="69">
    <w:name w:val="标题 1 字符"/>
    <w:link w:val="3"/>
    <w:autoRedefine/>
    <w:qFormat/>
    <w:uiPriority w:val="0"/>
    <w:rPr>
      <w:rFonts w:ascii="Times New Roman" w:hAnsi="Times New Roman" w:eastAsia="宋体" w:cs="Times New Roman"/>
      <w:b/>
      <w:bCs/>
      <w:kern w:val="44"/>
      <w:sz w:val="36"/>
      <w:szCs w:val="44"/>
    </w:rPr>
  </w:style>
  <w:style w:type="character" w:customStyle="1" w:styleId="70">
    <w:name w:val="标题 3 Char"/>
    <w:autoRedefine/>
    <w:qFormat/>
    <w:uiPriority w:val="0"/>
    <w:rPr>
      <w:rFonts w:ascii="Times New Roman" w:hAnsi="Times New Roman" w:eastAsia="宋体" w:cs="Times New Roman"/>
      <w:b/>
      <w:bCs/>
      <w:kern w:val="2"/>
      <w:sz w:val="24"/>
      <w:szCs w:val="32"/>
    </w:rPr>
  </w:style>
  <w:style w:type="character" w:customStyle="1" w:styleId="71">
    <w:name w:val="标题 4 字符"/>
    <w:link w:val="6"/>
    <w:autoRedefine/>
    <w:qFormat/>
    <w:uiPriority w:val="0"/>
    <w:rPr>
      <w:rFonts w:ascii="Calibri Light" w:hAnsi="Calibri Light" w:eastAsia="宋体"/>
      <w:b/>
      <w:bCs/>
      <w:iCs/>
    </w:rPr>
  </w:style>
  <w:style w:type="character" w:customStyle="1" w:styleId="72">
    <w:name w:val="标题 5 字符"/>
    <w:link w:val="7"/>
    <w:autoRedefine/>
    <w:qFormat/>
    <w:uiPriority w:val="0"/>
    <w:rPr>
      <w:rFonts w:ascii="Times New Roman" w:hAnsi="Times New Roman" w:eastAsia="宋体" w:cs="Times New Roman"/>
      <w:b/>
      <w:bCs/>
      <w:sz w:val="28"/>
      <w:szCs w:val="28"/>
    </w:rPr>
  </w:style>
  <w:style w:type="character" w:customStyle="1" w:styleId="73">
    <w:name w:val="标题 6 字符"/>
    <w:link w:val="8"/>
    <w:autoRedefine/>
    <w:qFormat/>
    <w:uiPriority w:val="0"/>
    <w:rPr>
      <w:rFonts w:ascii="Cambria" w:hAnsi="Cambria" w:eastAsia="宋体" w:cs="Times New Roman"/>
      <w:b/>
      <w:bCs/>
      <w:sz w:val="24"/>
      <w:szCs w:val="24"/>
    </w:rPr>
  </w:style>
  <w:style w:type="character" w:customStyle="1" w:styleId="74">
    <w:name w:val="标题 7 字符"/>
    <w:link w:val="9"/>
    <w:autoRedefine/>
    <w:qFormat/>
    <w:uiPriority w:val="0"/>
    <w:rPr>
      <w:rFonts w:ascii="Times New Roman" w:hAnsi="Times New Roman" w:eastAsia="宋体" w:cs="Times New Roman"/>
      <w:b/>
      <w:bCs/>
      <w:sz w:val="24"/>
      <w:szCs w:val="24"/>
    </w:rPr>
  </w:style>
  <w:style w:type="character" w:customStyle="1" w:styleId="75">
    <w:name w:val="标题 8 字符"/>
    <w:link w:val="10"/>
    <w:autoRedefine/>
    <w:qFormat/>
    <w:uiPriority w:val="0"/>
    <w:rPr>
      <w:rFonts w:ascii="Cambria" w:hAnsi="Cambria" w:eastAsia="宋体" w:cs="Times New Roman"/>
      <w:sz w:val="24"/>
      <w:szCs w:val="24"/>
    </w:rPr>
  </w:style>
  <w:style w:type="character" w:customStyle="1" w:styleId="76">
    <w:name w:val="标题 9 字符"/>
    <w:link w:val="11"/>
    <w:autoRedefine/>
    <w:qFormat/>
    <w:uiPriority w:val="0"/>
    <w:rPr>
      <w:rFonts w:ascii="Cambria" w:hAnsi="Cambria" w:eastAsia="宋体" w:cs="Times New Roman"/>
      <w:szCs w:val="21"/>
    </w:rPr>
  </w:style>
  <w:style w:type="character" w:customStyle="1" w:styleId="77">
    <w:name w:val="正文缩进 字符"/>
    <w:link w:val="14"/>
    <w:autoRedefine/>
    <w:qFormat/>
    <w:locked/>
    <w:uiPriority w:val="0"/>
    <w:rPr>
      <w:sz w:val="21"/>
    </w:rPr>
  </w:style>
  <w:style w:type="character" w:customStyle="1" w:styleId="78">
    <w:name w:val="文档结构图 字符"/>
    <w:link w:val="18"/>
    <w:autoRedefine/>
    <w:qFormat/>
    <w:uiPriority w:val="0"/>
    <w:rPr>
      <w:rFonts w:ascii="Times New Roman" w:hAnsi="Times New Roman" w:eastAsia="宋体" w:cs="Times New Roman"/>
      <w:szCs w:val="24"/>
      <w:shd w:val="clear" w:color="auto" w:fill="000080"/>
    </w:rPr>
  </w:style>
  <w:style w:type="character" w:customStyle="1" w:styleId="79">
    <w:name w:val="批注文字 字符"/>
    <w:link w:val="19"/>
    <w:autoRedefine/>
    <w:qFormat/>
    <w:uiPriority w:val="0"/>
    <w:rPr>
      <w:szCs w:val="24"/>
    </w:rPr>
  </w:style>
  <w:style w:type="character" w:customStyle="1" w:styleId="80">
    <w:name w:val="正文文本 3 字符"/>
    <w:link w:val="20"/>
    <w:autoRedefine/>
    <w:qFormat/>
    <w:uiPriority w:val="0"/>
    <w:rPr>
      <w:rFonts w:ascii="宋体" w:hAnsi="Times New Roman" w:eastAsia="宋体" w:cs="Times New Roman"/>
      <w:sz w:val="24"/>
      <w:szCs w:val="20"/>
    </w:rPr>
  </w:style>
  <w:style w:type="character" w:customStyle="1" w:styleId="81">
    <w:name w:val="正文文本 字符"/>
    <w:link w:val="21"/>
    <w:autoRedefine/>
    <w:qFormat/>
    <w:uiPriority w:val="0"/>
    <w:rPr>
      <w:rFonts w:ascii="Times New Roman" w:hAnsi="Times New Roman" w:eastAsia="宋体" w:cs="Times New Roman"/>
      <w:szCs w:val="24"/>
    </w:rPr>
  </w:style>
  <w:style w:type="character" w:customStyle="1" w:styleId="82">
    <w:name w:val="正文文本缩进 字符"/>
    <w:link w:val="22"/>
    <w:autoRedefine/>
    <w:qFormat/>
    <w:uiPriority w:val="0"/>
    <w:rPr>
      <w:rFonts w:ascii="Times New Roman" w:hAnsi="Times New Roman" w:eastAsia="宋体" w:cs="Times New Roman"/>
      <w:szCs w:val="24"/>
    </w:rPr>
  </w:style>
  <w:style w:type="character" w:customStyle="1" w:styleId="83">
    <w:name w:val="纯文本 字符"/>
    <w:link w:val="28"/>
    <w:autoRedefine/>
    <w:qFormat/>
    <w:uiPriority w:val="0"/>
    <w:rPr>
      <w:rFonts w:ascii="宋体" w:hAnsi="Courier New" w:eastAsia="宋体"/>
    </w:rPr>
  </w:style>
  <w:style w:type="character" w:customStyle="1" w:styleId="84">
    <w:name w:val="日期 字符"/>
    <w:link w:val="31"/>
    <w:autoRedefine/>
    <w:qFormat/>
    <w:uiPriority w:val="0"/>
    <w:rPr>
      <w:szCs w:val="24"/>
    </w:rPr>
  </w:style>
  <w:style w:type="character" w:customStyle="1" w:styleId="85">
    <w:name w:val="正文文本缩进 2 字符"/>
    <w:link w:val="32"/>
    <w:autoRedefine/>
    <w:qFormat/>
    <w:uiPriority w:val="0"/>
    <w:rPr>
      <w:rFonts w:ascii="Times New Roman" w:hAnsi="Times New Roman" w:eastAsia="宋体" w:cs="Times New Roman"/>
      <w:szCs w:val="24"/>
    </w:rPr>
  </w:style>
  <w:style w:type="character" w:customStyle="1" w:styleId="86">
    <w:name w:val="批注框文本 字符"/>
    <w:link w:val="33"/>
    <w:autoRedefine/>
    <w:qFormat/>
    <w:uiPriority w:val="0"/>
    <w:rPr>
      <w:rFonts w:ascii="Times New Roman" w:hAnsi="Times New Roman" w:eastAsia="宋体" w:cs="Times New Roman"/>
      <w:sz w:val="18"/>
      <w:szCs w:val="18"/>
    </w:rPr>
  </w:style>
  <w:style w:type="character" w:customStyle="1" w:styleId="87">
    <w:name w:val="页脚 字符"/>
    <w:link w:val="2"/>
    <w:autoRedefine/>
    <w:qFormat/>
    <w:uiPriority w:val="0"/>
    <w:rPr>
      <w:rFonts w:ascii="Times New Roman" w:hAnsi="Times New Roman" w:eastAsia="宋体" w:cs="Times New Roman"/>
      <w:sz w:val="18"/>
      <w:szCs w:val="18"/>
    </w:rPr>
  </w:style>
  <w:style w:type="character" w:customStyle="1" w:styleId="88">
    <w:name w:val="页眉 字符"/>
    <w:link w:val="34"/>
    <w:autoRedefine/>
    <w:qFormat/>
    <w:uiPriority w:val="0"/>
    <w:rPr>
      <w:rFonts w:ascii="Times New Roman" w:hAnsi="Times New Roman" w:eastAsia="宋体" w:cs="Times New Roman"/>
      <w:sz w:val="18"/>
      <w:szCs w:val="18"/>
    </w:rPr>
  </w:style>
  <w:style w:type="character" w:customStyle="1" w:styleId="89">
    <w:name w:val="副标题 字符"/>
    <w:link w:val="37"/>
    <w:autoRedefine/>
    <w:qFormat/>
    <w:uiPriority w:val="0"/>
    <w:rPr>
      <w:rFonts w:ascii="Cambria" w:hAnsi="Cambria" w:cs="Times New Roman"/>
      <w:b/>
      <w:bCs/>
      <w:kern w:val="28"/>
      <w:sz w:val="32"/>
      <w:szCs w:val="32"/>
    </w:rPr>
  </w:style>
  <w:style w:type="character" w:customStyle="1" w:styleId="90">
    <w:name w:val="脚注文本 字符"/>
    <w:link w:val="38"/>
    <w:autoRedefine/>
    <w:qFormat/>
    <w:uiPriority w:val="0"/>
    <w:rPr>
      <w:kern w:val="2"/>
      <w:sz w:val="18"/>
      <w:szCs w:val="18"/>
    </w:rPr>
  </w:style>
  <w:style w:type="character" w:customStyle="1" w:styleId="91">
    <w:name w:val="正文文本缩进 3 字符"/>
    <w:link w:val="41"/>
    <w:autoRedefine/>
    <w:qFormat/>
    <w:uiPriority w:val="0"/>
    <w:rPr>
      <w:rFonts w:ascii="Times New Roman" w:hAnsi="Times New Roman" w:eastAsia="宋体" w:cs="Times New Roman"/>
      <w:sz w:val="16"/>
      <w:szCs w:val="16"/>
    </w:rPr>
  </w:style>
  <w:style w:type="character" w:customStyle="1" w:styleId="92">
    <w:name w:val="TOC 2 字符"/>
    <w:link w:val="43"/>
    <w:autoRedefine/>
    <w:qFormat/>
    <w:locked/>
    <w:uiPriority w:val="39"/>
    <w:rPr>
      <w:rFonts w:ascii="Times New Roman" w:hAnsi="Times New Roman" w:eastAsia="宋体" w:cs="Times New Roman"/>
      <w:szCs w:val="24"/>
    </w:rPr>
  </w:style>
  <w:style w:type="character" w:customStyle="1" w:styleId="93">
    <w:name w:val="正文文本 2 字符"/>
    <w:link w:val="45"/>
    <w:autoRedefine/>
    <w:qFormat/>
    <w:uiPriority w:val="0"/>
    <w:rPr>
      <w:szCs w:val="24"/>
    </w:rPr>
  </w:style>
  <w:style w:type="character" w:customStyle="1" w:styleId="94">
    <w:name w:val="HTML 预设格式 字符"/>
    <w:link w:val="46"/>
    <w:autoRedefine/>
    <w:qFormat/>
    <w:uiPriority w:val="0"/>
    <w:rPr>
      <w:rFonts w:ascii="Arial" w:hAnsi="Arial" w:cs="Arial"/>
      <w:sz w:val="24"/>
      <w:szCs w:val="24"/>
    </w:rPr>
  </w:style>
  <w:style w:type="character" w:customStyle="1" w:styleId="95">
    <w:name w:val="标题 字符"/>
    <w:link w:val="49"/>
    <w:autoRedefine/>
    <w:qFormat/>
    <w:uiPriority w:val="0"/>
    <w:rPr>
      <w:rFonts w:ascii="Cambria" w:hAnsi="Cambria"/>
      <w:b/>
      <w:bCs/>
      <w:sz w:val="32"/>
      <w:szCs w:val="32"/>
    </w:rPr>
  </w:style>
  <w:style w:type="character" w:customStyle="1" w:styleId="96">
    <w:name w:val="批注主题 字符"/>
    <w:link w:val="50"/>
    <w:autoRedefine/>
    <w:qFormat/>
    <w:uiPriority w:val="0"/>
    <w:rPr>
      <w:rFonts w:ascii="Times New Roman" w:hAnsi="Times New Roman" w:eastAsia="宋体" w:cs="Times New Roman"/>
      <w:b/>
      <w:bCs/>
      <w:szCs w:val="24"/>
    </w:rPr>
  </w:style>
  <w:style w:type="character" w:customStyle="1" w:styleId="97">
    <w:name w:val="正文文本首行缩进 字符"/>
    <w:link w:val="51"/>
    <w:autoRedefine/>
    <w:qFormat/>
    <w:uiPriority w:val="0"/>
    <w:rPr>
      <w:rFonts w:ascii="Times New Roman" w:hAnsi="Times New Roman" w:eastAsia="宋体" w:cs="Times New Roman"/>
      <w:kern w:val="2"/>
      <w:sz w:val="21"/>
      <w:szCs w:val="24"/>
    </w:rPr>
  </w:style>
  <w:style w:type="character" w:customStyle="1" w:styleId="98">
    <w:name w:val="标题 3 字符"/>
    <w:link w:val="5"/>
    <w:autoRedefine/>
    <w:qFormat/>
    <w:uiPriority w:val="0"/>
    <w:rPr>
      <w:rFonts w:ascii="Calibri" w:hAnsi="Calibri" w:eastAsia="宋体"/>
      <w:b/>
      <w:sz w:val="32"/>
    </w:rPr>
  </w:style>
  <w:style w:type="character" w:customStyle="1" w:styleId="99">
    <w:name w:val="标题 1 Char Char"/>
    <w:autoRedefine/>
    <w:qFormat/>
    <w:uiPriority w:val="0"/>
    <w:rPr>
      <w:rFonts w:eastAsia="宋体"/>
      <w:b/>
      <w:sz w:val="44"/>
      <w:lang w:val="en-US" w:eastAsia="zh-CN" w:bidi="ar-SA"/>
    </w:rPr>
  </w:style>
  <w:style w:type="paragraph" w:customStyle="1" w:styleId="100">
    <w:name w:val="首行缩进"/>
    <w:basedOn w:val="1"/>
    <w:autoRedefine/>
    <w:qFormat/>
    <w:uiPriority w:val="0"/>
    <w:pPr>
      <w:spacing w:line="360" w:lineRule="auto"/>
      <w:ind w:firstLine="480" w:firstLineChars="200"/>
    </w:pPr>
    <w:rPr>
      <w:rFonts w:ascii="宋体" w:hAnsi="宋体"/>
      <w:kern w:val="0"/>
      <w:sz w:val="24"/>
    </w:rPr>
  </w:style>
  <w:style w:type="character" w:customStyle="1" w:styleId="101">
    <w:name w:val="正文文本 (2) + 10 pt34"/>
    <w:autoRedefine/>
    <w:qFormat/>
    <w:uiPriority w:val="0"/>
    <w:rPr>
      <w:rFonts w:ascii="MingLiU" w:hAnsi="MingLiU" w:eastAsia="MingLiU" w:cs="MingLiU"/>
      <w:color w:val="000000"/>
      <w:spacing w:val="140"/>
      <w:w w:val="100"/>
      <w:position w:val="0"/>
      <w:sz w:val="20"/>
      <w:szCs w:val="20"/>
      <w:u w:val="none"/>
      <w:shd w:val="clear" w:color="auto" w:fill="FFFFFF"/>
      <w:lang w:val="zh-CN" w:eastAsia="zh-CN"/>
    </w:rPr>
  </w:style>
  <w:style w:type="character" w:customStyle="1" w:styleId="102">
    <w:name w:val="4 Char Char"/>
    <w:link w:val="103"/>
    <w:autoRedefine/>
    <w:qFormat/>
    <w:uiPriority w:val="0"/>
    <w:rPr>
      <w:rFonts w:ascii="Cambria" w:hAnsi="Cambria" w:eastAsia="宋体" w:cs="Times New Roman"/>
      <w:b/>
      <w:bCs/>
      <w:sz w:val="32"/>
      <w:szCs w:val="28"/>
    </w:rPr>
  </w:style>
  <w:style w:type="paragraph" w:customStyle="1" w:styleId="103">
    <w:name w:val="4"/>
    <w:basedOn w:val="6"/>
    <w:next w:val="21"/>
    <w:link w:val="102"/>
    <w:autoRedefine/>
    <w:qFormat/>
    <w:uiPriority w:val="0"/>
    <w:pPr>
      <w:widowControl w:val="0"/>
      <w:spacing w:before="120" w:after="120" w:line="360" w:lineRule="exact"/>
    </w:pPr>
    <w:rPr>
      <w:rFonts w:ascii="Cambria" w:hAnsi="Cambria"/>
      <w:iCs w:val="0"/>
      <w:sz w:val="32"/>
      <w:szCs w:val="28"/>
    </w:rPr>
  </w:style>
  <w:style w:type="character" w:customStyle="1" w:styleId="104">
    <w:name w:val="Heading 3 Char"/>
    <w:autoRedefine/>
    <w:qFormat/>
    <w:uiPriority w:val="0"/>
    <w:rPr>
      <w:rFonts w:cs="Times New Roman"/>
      <w:b/>
      <w:bCs/>
      <w:kern w:val="2"/>
      <w:sz w:val="32"/>
      <w:szCs w:val="32"/>
    </w:rPr>
  </w:style>
  <w:style w:type="character" w:customStyle="1" w:styleId="105">
    <w:name w:val="op-map-singlepoint-info-right"/>
    <w:basedOn w:val="55"/>
    <w:autoRedefine/>
    <w:qFormat/>
    <w:uiPriority w:val="0"/>
  </w:style>
  <w:style w:type="character" w:customStyle="1" w:styleId="106">
    <w:name w:val="15"/>
    <w:autoRedefine/>
    <w:qFormat/>
    <w:uiPriority w:val="0"/>
    <w:rPr>
      <w:rFonts w:hint="default" w:ascii="Times New Roman" w:hAnsi="Times New Roman" w:cs="Times New Roman"/>
      <w:color w:val="0000FF"/>
      <w:u w:val="single"/>
    </w:rPr>
  </w:style>
  <w:style w:type="character" w:customStyle="1" w:styleId="107">
    <w:name w:val="Body Text Indent Char"/>
    <w:autoRedefine/>
    <w:qFormat/>
    <w:uiPriority w:val="0"/>
    <w:rPr>
      <w:rFonts w:ascii="宋体" w:hAnsi="宋体" w:eastAsia="宋体"/>
      <w:kern w:val="2"/>
      <w:sz w:val="21"/>
      <w:lang w:val="en-US" w:eastAsia="zh-CN" w:bidi="ar-SA"/>
    </w:rPr>
  </w:style>
  <w:style w:type="character" w:customStyle="1" w:styleId="108">
    <w:name w:val="明显引用 字符"/>
    <w:link w:val="109"/>
    <w:autoRedefine/>
    <w:qFormat/>
    <w:uiPriority w:val="0"/>
    <w:rPr>
      <w:b/>
      <w:bCs/>
      <w:i/>
      <w:iCs/>
      <w:color w:val="4F81BD"/>
      <w:szCs w:val="24"/>
    </w:rPr>
  </w:style>
  <w:style w:type="paragraph" w:styleId="109">
    <w:name w:val="Intense Quote"/>
    <w:basedOn w:val="1"/>
    <w:next w:val="1"/>
    <w:link w:val="108"/>
    <w:autoRedefine/>
    <w:qFormat/>
    <w:uiPriority w:val="0"/>
    <w:pPr>
      <w:pBdr>
        <w:bottom w:val="single" w:color="4F81BD" w:sz="4" w:space="4"/>
      </w:pBdr>
      <w:spacing w:before="200" w:after="280" w:line="360" w:lineRule="exact"/>
      <w:ind w:left="936" w:right="936" w:firstLine="200" w:firstLineChars="200"/>
    </w:pPr>
    <w:rPr>
      <w:rFonts w:ascii="Calibri" w:hAnsi="Calibri"/>
      <w:b/>
      <w:bCs/>
      <w:i/>
      <w:iCs/>
      <w:color w:val="4F81BD"/>
    </w:rPr>
  </w:style>
  <w:style w:type="character" w:customStyle="1" w:styleId="110">
    <w:name w:val="正文文本 (2)_"/>
    <w:link w:val="111"/>
    <w:autoRedefine/>
    <w:qFormat/>
    <w:uiPriority w:val="0"/>
    <w:rPr>
      <w:rFonts w:ascii="MingLiU" w:hAnsi="MingLiU" w:eastAsia="MingLiU" w:cs="MingLiU"/>
      <w:spacing w:val="20"/>
      <w:sz w:val="22"/>
      <w:shd w:val="clear" w:color="auto" w:fill="FFFFFF"/>
    </w:rPr>
  </w:style>
  <w:style w:type="paragraph" w:customStyle="1" w:styleId="111">
    <w:name w:val="正文文本 (2)4"/>
    <w:basedOn w:val="1"/>
    <w:link w:val="110"/>
    <w:autoRedefine/>
    <w:qFormat/>
    <w:uiPriority w:val="0"/>
    <w:pPr>
      <w:shd w:val="clear" w:color="auto" w:fill="FFFFFF"/>
      <w:spacing w:before="300" w:line="439" w:lineRule="exact"/>
      <w:jc w:val="distribute"/>
    </w:pPr>
    <w:rPr>
      <w:rFonts w:ascii="MingLiU" w:hAnsi="MingLiU" w:eastAsia="MingLiU" w:cs="MingLiU"/>
      <w:spacing w:val="20"/>
      <w:sz w:val="22"/>
      <w:szCs w:val="22"/>
    </w:rPr>
  </w:style>
  <w:style w:type="character" w:customStyle="1" w:styleId="112">
    <w:name w:val="正文呀 Char"/>
    <w:link w:val="113"/>
    <w:autoRedefine/>
    <w:qFormat/>
    <w:uiPriority w:val="0"/>
    <w:rPr>
      <w:rFonts w:ascii="宋体" w:hAnsi="宋体"/>
      <w:kern w:val="2"/>
      <w:sz w:val="21"/>
      <w:szCs w:val="21"/>
    </w:rPr>
  </w:style>
  <w:style w:type="paragraph" w:customStyle="1" w:styleId="113">
    <w:name w:val="正文呀"/>
    <w:basedOn w:val="1"/>
    <w:link w:val="112"/>
    <w:autoRedefine/>
    <w:qFormat/>
    <w:uiPriority w:val="0"/>
    <w:pPr>
      <w:spacing w:line="420" w:lineRule="exact"/>
      <w:ind w:firstLine="420" w:firstLineChars="200"/>
    </w:pPr>
    <w:rPr>
      <w:rFonts w:ascii="宋体" w:hAnsi="宋体"/>
      <w:szCs w:val="21"/>
    </w:rPr>
  </w:style>
  <w:style w:type="character" w:customStyle="1" w:styleId="114">
    <w:name w:val="正文文本 (14) + Times New Roman"/>
    <w:autoRedefine/>
    <w:qFormat/>
    <w:uiPriority w:val="0"/>
    <w:rPr>
      <w:rFonts w:ascii="Times New Roman" w:hAnsi="Times New Roman" w:eastAsia="MingLiU" w:cs="Times New Roman"/>
      <w:color w:val="000000"/>
      <w:spacing w:val="0"/>
      <w:w w:val="100"/>
      <w:position w:val="0"/>
      <w:sz w:val="24"/>
      <w:szCs w:val="24"/>
      <w:u w:val="none"/>
      <w:shd w:val="clear" w:color="auto" w:fill="FFFFFF"/>
      <w:lang w:val="en-US" w:eastAsia="en-US"/>
    </w:rPr>
  </w:style>
  <w:style w:type="character" w:customStyle="1" w:styleId="115">
    <w:name w:val="正文文本 (45)_"/>
    <w:link w:val="116"/>
    <w:autoRedefine/>
    <w:qFormat/>
    <w:locked/>
    <w:uiPriority w:val="0"/>
    <w:rPr>
      <w:rFonts w:ascii="MingLiU" w:hAnsi="MingLiU" w:eastAsia="MingLiU"/>
      <w:sz w:val="22"/>
      <w:shd w:val="clear" w:color="auto" w:fill="FFFFFF"/>
    </w:rPr>
  </w:style>
  <w:style w:type="paragraph" w:customStyle="1" w:styleId="116">
    <w:name w:val="正文文本 (45)"/>
    <w:basedOn w:val="1"/>
    <w:link w:val="115"/>
    <w:autoRedefine/>
    <w:qFormat/>
    <w:uiPriority w:val="0"/>
    <w:pPr>
      <w:shd w:val="clear" w:color="auto" w:fill="FFFFFF"/>
      <w:spacing w:after="420" w:line="240" w:lineRule="atLeast"/>
      <w:jc w:val="center"/>
    </w:pPr>
    <w:rPr>
      <w:rFonts w:ascii="MingLiU" w:hAnsi="MingLiU" w:eastAsia="MingLiU"/>
      <w:sz w:val="22"/>
      <w:szCs w:val="22"/>
    </w:rPr>
  </w:style>
  <w:style w:type="character" w:customStyle="1" w:styleId="117">
    <w:name w:val="普通文字 Char Char1"/>
    <w:autoRedefine/>
    <w:qFormat/>
    <w:uiPriority w:val="0"/>
    <w:rPr>
      <w:rFonts w:ascii="宋体" w:hAnsi="Courier New" w:eastAsia="宋体"/>
      <w:kern w:val="2"/>
      <w:sz w:val="21"/>
      <w:lang w:val="en-US" w:eastAsia="zh-CN" w:bidi="ar-SA"/>
    </w:rPr>
  </w:style>
  <w:style w:type="character" w:customStyle="1" w:styleId="118">
    <w:name w:val="纯文本 Char2"/>
    <w:autoRedefine/>
    <w:qFormat/>
    <w:uiPriority w:val="0"/>
    <w:rPr>
      <w:rFonts w:ascii="宋体" w:hAnsi="Courier New"/>
      <w:kern w:val="2"/>
      <w:sz w:val="21"/>
    </w:rPr>
  </w:style>
  <w:style w:type="character" w:customStyle="1" w:styleId="119">
    <w:name w:val="正文文本 (2) + 间距 0 pt Exact1"/>
    <w:autoRedefine/>
    <w:qFormat/>
    <w:uiPriority w:val="0"/>
    <w:rPr>
      <w:rFonts w:ascii="MingLiU" w:hAnsi="MingLiU" w:eastAsia="MingLiU" w:cs="MingLiU"/>
      <w:color w:val="000000"/>
      <w:spacing w:val="0"/>
      <w:w w:val="100"/>
      <w:position w:val="0"/>
      <w:sz w:val="22"/>
      <w:szCs w:val="22"/>
      <w:u w:val="none"/>
      <w:shd w:val="clear" w:color="auto" w:fill="FFFFFF"/>
      <w:lang w:val="zh-CN" w:eastAsia="zh-CN"/>
    </w:rPr>
  </w:style>
  <w:style w:type="character" w:customStyle="1" w:styleId="120">
    <w:name w:val="不明显参考1"/>
    <w:autoRedefine/>
    <w:qFormat/>
    <w:uiPriority w:val="0"/>
    <w:rPr>
      <w:smallCaps/>
      <w:color w:val="C0504D"/>
      <w:u w:val="single"/>
    </w:rPr>
  </w:style>
  <w:style w:type="character" w:customStyle="1" w:styleId="121">
    <w:name w:val="标题 #7_"/>
    <w:link w:val="122"/>
    <w:autoRedefine/>
    <w:qFormat/>
    <w:locked/>
    <w:uiPriority w:val="0"/>
    <w:rPr>
      <w:rFonts w:ascii="MingLiU" w:hAnsi="MingLiU" w:eastAsia="MingLiU"/>
      <w:spacing w:val="30"/>
      <w:sz w:val="26"/>
      <w:szCs w:val="26"/>
      <w:shd w:val="clear" w:color="auto" w:fill="FFFFFF"/>
    </w:rPr>
  </w:style>
  <w:style w:type="paragraph" w:customStyle="1" w:styleId="122">
    <w:name w:val="标题 #7"/>
    <w:basedOn w:val="1"/>
    <w:link w:val="121"/>
    <w:autoRedefine/>
    <w:qFormat/>
    <w:uiPriority w:val="0"/>
    <w:pPr>
      <w:shd w:val="clear" w:color="auto" w:fill="FFFFFF"/>
      <w:spacing w:before="540" w:after="540" w:line="240" w:lineRule="atLeast"/>
      <w:jc w:val="center"/>
      <w:outlineLvl w:val="6"/>
    </w:pPr>
    <w:rPr>
      <w:rFonts w:ascii="MingLiU" w:hAnsi="MingLiU" w:eastAsia="MingLiU"/>
      <w:spacing w:val="30"/>
      <w:sz w:val="26"/>
      <w:szCs w:val="26"/>
    </w:rPr>
  </w:style>
  <w:style w:type="character" w:customStyle="1" w:styleId="123">
    <w:name w:val="Plain Text Char"/>
    <w:autoRedefine/>
    <w:qFormat/>
    <w:uiPriority w:val="0"/>
    <w:rPr>
      <w:rFonts w:ascii="宋体" w:hAnsi="Courier New" w:eastAsia="宋体"/>
      <w:sz w:val="24"/>
      <w:lang w:bidi="ar-SA"/>
    </w:rPr>
  </w:style>
  <w:style w:type="character" w:customStyle="1" w:styleId="124">
    <w:name w:val="正文文本 (2) + 间距 7 pt"/>
    <w:autoRedefine/>
    <w:qFormat/>
    <w:uiPriority w:val="0"/>
    <w:rPr>
      <w:rFonts w:ascii="MingLiU" w:hAnsi="MingLiU" w:eastAsia="MingLiU" w:cs="MingLiU"/>
      <w:color w:val="000000"/>
      <w:spacing w:val="150"/>
      <w:w w:val="100"/>
      <w:position w:val="0"/>
      <w:sz w:val="22"/>
      <w:szCs w:val="22"/>
      <w:u w:val="none"/>
      <w:shd w:val="clear" w:color="auto" w:fill="FFFFFF"/>
      <w:lang w:val="zh-CN" w:eastAsia="zh-CN"/>
    </w:rPr>
  </w:style>
  <w:style w:type="character" w:customStyle="1" w:styleId="125">
    <w:name w:val="正文文本 (2) + 10 pt3"/>
    <w:autoRedefine/>
    <w:qFormat/>
    <w:uiPriority w:val="0"/>
    <w:rPr>
      <w:rFonts w:ascii="MingLiU" w:hAnsi="MingLiU" w:eastAsia="MingLiU" w:cs="MingLiU"/>
      <w:color w:val="000000"/>
      <w:spacing w:val="0"/>
      <w:w w:val="100"/>
      <w:position w:val="0"/>
      <w:sz w:val="20"/>
      <w:szCs w:val="20"/>
      <w:u w:val="none"/>
      <w:lang w:val="zh-CN" w:eastAsia="zh-CN" w:bidi="zh-CN"/>
    </w:rPr>
  </w:style>
  <w:style w:type="character" w:customStyle="1" w:styleId="126">
    <w:name w:val="Char Char21"/>
    <w:autoRedefine/>
    <w:qFormat/>
    <w:uiPriority w:val="0"/>
    <w:rPr>
      <w:rFonts w:ascii="Arial" w:hAnsi="Arial" w:eastAsia="黑体" w:cs="Times New Roman"/>
      <w:b/>
      <w:bCs/>
      <w:sz w:val="32"/>
      <w:szCs w:val="32"/>
    </w:rPr>
  </w:style>
  <w:style w:type="character" w:customStyle="1" w:styleId="127">
    <w:name w:val="样式4 Char Char"/>
    <w:link w:val="128"/>
    <w:autoRedefine/>
    <w:qFormat/>
    <w:uiPriority w:val="0"/>
    <w:rPr>
      <w:rFonts w:ascii="宋体" w:hAnsi="宋体"/>
      <w:color w:val="FF0000"/>
      <w:sz w:val="24"/>
      <w:szCs w:val="24"/>
    </w:rPr>
  </w:style>
  <w:style w:type="paragraph" w:customStyle="1" w:styleId="128">
    <w:name w:val="样式4"/>
    <w:link w:val="127"/>
    <w:autoRedefine/>
    <w:qFormat/>
    <w:uiPriority w:val="0"/>
    <w:pPr>
      <w:ind w:left="-178" w:leftChars="-85" w:right="-107" w:rightChars="-51"/>
      <w:jc w:val="center"/>
    </w:pPr>
    <w:rPr>
      <w:rFonts w:ascii="宋体" w:hAnsi="宋体" w:eastAsia="宋体" w:cs="Times New Roman"/>
      <w:color w:val="FF0000"/>
      <w:kern w:val="2"/>
      <w:sz w:val="24"/>
      <w:szCs w:val="24"/>
      <w:lang w:val="en-US" w:eastAsia="zh-CN" w:bidi="ar-SA"/>
    </w:rPr>
  </w:style>
  <w:style w:type="character" w:customStyle="1" w:styleId="129">
    <w:name w:val="Char Char20"/>
    <w:autoRedefine/>
    <w:qFormat/>
    <w:uiPriority w:val="0"/>
    <w:rPr>
      <w:rFonts w:ascii="Times New Roman" w:hAnsi="Times New Roman" w:eastAsia="宋体" w:cs="Times New Roman"/>
      <w:b/>
      <w:bCs/>
      <w:sz w:val="24"/>
      <w:szCs w:val="32"/>
    </w:rPr>
  </w:style>
  <w:style w:type="character" w:customStyle="1" w:styleId="130">
    <w:name w:val="页眉或页脚 + Times New Roman"/>
    <w:autoRedefine/>
    <w:qFormat/>
    <w:uiPriority w:val="0"/>
    <w:rPr>
      <w:rFonts w:ascii="Times New Roman" w:hAnsi="Times New Roman" w:eastAsia="MingLiU" w:cs="Times New Roman"/>
      <w:color w:val="000000"/>
      <w:spacing w:val="0"/>
      <w:w w:val="100"/>
      <w:position w:val="0"/>
      <w:sz w:val="18"/>
      <w:szCs w:val="18"/>
      <w:u w:val="none"/>
      <w:lang w:val="zh-CN" w:eastAsia="zh-CN" w:bidi="ar-SA"/>
    </w:rPr>
  </w:style>
  <w:style w:type="character" w:customStyle="1" w:styleId="131">
    <w:name w:val="正文文本缩进 Char1"/>
    <w:autoRedefine/>
    <w:semiHidden/>
    <w:qFormat/>
    <w:uiPriority w:val="99"/>
    <w:rPr>
      <w:sz w:val="21"/>
    </w:rPr>
  </w:style>
  <w:style w:type="character" w:customStyle="1" w:styleId="132">
    <w:name w:val="Heading 2 Char"/>
    <w:autoRedefine/>
    <w:qFormat/>
    <w:uiPriority w:val="0"/>
    <w:rPr>
      <w:rFonts w:ascii="Arial" w:hAnsi="Arial" w:eastAsia="黑体"/>
      <w:b/>
      <w:bCs/>
      <w:kern w:val="2"/>
      <w:sz w:val="32"/>
      <w:szCs w:val="32"/>
      <w:lang w:val="en-US" w:eastAsia="zh-CN" w:bidi="ar-SA"/>
    </w:rPr>
  </w:style>
  <w:style w:type="character" w:customStyle="1" w:styleId="133">
    <w:name w:val="Title Char"/>
    <w:autoRedefine/>
    <w:qFormat/>
    <w:uiPriority w:val="0"/>
    <w:rPr>
      <w:rFonts w:ascii="Cambria" w:hAnsi="Cambria"/>
      <w:b/>
      <w:sz w:val="32"/>
      <w:lang w:bidi="ar-SA"/>
    </w:rPr>
  </w:style>
  <w:style w:type="character" w:customStyle="1" w:styleId="134">
    <w:name w:val="Comment Text Char1"/>
    <w:autoRedefine/>
    <w:qFormat/>
    <w:uiPriority w:val="0"/>
    <w:rPr>
      <w:sz w:val="24"/>
      <w:lang w:bidi="ar-SA"/>
    </w:rPr>
  </w:style>
  <w:style w:type="character" w:customStyle="1" w:styleId="135">
    <w:name w:val="样式3 Char Char"/>
    <w:link w:val="136"/>
    <w:autoRedefine/>
    <w:qFormat/>
    <w:uiPriority w:val="0"/>
    <w:rPr>
      <w:rFonts w:ascii="Times New Roman" w:hAnsi="Times New Roman" w:eastAsia="宋体" w:cs="Times New Roman"/>
      <w:szCs w:val="24"/>
    </w:rPr>
  </w:style>
  <w:style w:type="paragraph" w:customStyle="1" w:styleId="136">
    <w:name w:val="样式3"/>
    <w:basedOn w:val="21"/>
    <w:link w:val="135"/>
    <w:autoRedefine/>
    <w:qFormat/>
    <w:uiPriority w:val="0"/>
    <w:pPr>
      <w:spacing w:line="360" w:lineRule="exact"/>
    </w:pPr>
    <w:rPr>
      <w:rFonts w:ascii="Calibri" w:hAnsi="Calibri"/>
    </w:rPr>
  </w:style>
  <w:style w:type="character" w:customStyle="1" w:styleId="137">
    <w:name w:val="不明显强调3"/>
    <w:autoRedefine/>
    <w:qFormat/>
    <w:uiPriority w:val="0"/>
    <w:rPr>
      <w:i/>
      <w:iCs/>
      <w:color w:val="808080"/>
    </w:rPr>
  </w:style>
  <w:style w:type="character" w:customStyle="1" w:styleId="138">
    <w:name w:val="不明显强调1"/>
    <w:autoRedefine/>
    <w:qFormat/>
    <w:uiPriority w:val="0"/>
    <w:rPr>
      <w:i/>
      <w:iCs/>
      <w:color w:val="808080"/>
    </w:rPr>
  </w:style>
  <w:style w:type="character" w:customStyle="1" w:styleId="139">
    <w:name w:val="正文文本 (19) + 间距 0 pt"/>
    <w:autoRedefine/>
    <w:qFormat/>
    <w:uiPriority w:val="0"/>
    <w:rPr>
      <w:rFonts w:ascii="MingLiU" w:hAnsi="MingLiU" w:eastAsia="MingLiU" w:cs="MingLiU"/>
      <w:b/>
      <w:bCs/>
      <w:color w:val="000000"/>
      <w:spacing w:val="0"/>
      <w:w w:val="100"/>
      <w:position w:val="0"/>
      <w:sz w:val="22"/>
      <w:szCs w:val="22"/>
      <w:u w:val="none"/>
      <w:lang w:val="zh-CN" w:eastAsia="zh-CN" w:bidi="zh-CN"/>
    </w:rPr>
  </w:style>
  <w:style w:type="character" w:customStyle="1" w:styleId="140">
    <w:name w:val="目录 (2) + 间距 0 pt"/>
    <w:autoRedefine/>
    <w:qFormat/>
    <w:uiPriority w:val="0"/>
    <w:rPr>
      <w:rFonts w:ascii="MingLiU" w:hAnsi="MingLiU" w:eastAsia="MingLiU" w:cs="MingLiU"/>
      <w:color w:val="000000"/>
      <w:spacing w:val="0"/>
      <w:w w:val="100"/>
      <w:position w:val="0"/>
      <w:sz w:val="22"/>
      <w:szCs w:val="22"/>
      <w:u w:val="none"/>
      <w:lang w:val="zh-CN" w:eastAsia="zh-CN"/>
    </w:rPr>
  </w:style>
  <w:style w:type="character" w:customStyle="1" w:styleId="141">
    <w:name w:val="标题 #8_"/>
    <w:link w:val="142"/>
    <w:autoRedefine/>
    <w:qFormat/>
    <w:uiPriority w:val="0"/>
    <w:rPr>
      <w:rFonts w:ascii="MingLiU" w:hAnsi="MingLiU" w:eastAsia="MingLiU" w:cs="MingLiU"/>
      <w:b/>
      <w:bCs/>
      <w:spacing w:val="10"/>
      <w:sz w:val="22"/>
      <w:shd w:val="clear" w:color="auto" w:fill="FFFFFF"/>
    </w:rPr>
  </w:style>
  <w:style w:type="paragraph" w:customStyle="1" w:styleId="142">
    <w:name w:val="标题 #8"/>
    <w:basedOn w:val="1"/>
    <w:link w:val="141"/>
    <w:autoRedefine/>
    <w:qFormat/>
    <w:uiPriority w:val="0"/>
    <w:pPr>
      <w:shd w:val="clear" w:color="auto" w:fill="FFFFFF"/>
      <w:spacing w:before="120" w:after="420" w:line="0" w:lineRule="atLeast"/>
      <w:jc w:val="left"/>
      <w:outlineLvl w:val="7"/>
    </w:pPr>
    <w:rPr>
      <w:rFonts w:ascii="MingLiU" w:hAnsi="MingLiU" w:eastAsia="MingLiU" w:cs="MingLiU"/>
      <w:b/>
      <w:bCs/>
      <w:spacing w:val="10"/>
      <w:sz w:val="22"/>
      <w:szCs w:val="22"/>
    </w:rPr>
  </w:style>
  <w:style w:type="character" w:customStyle="1" w:styleId="143">
    <w:name w:val="样式5 Char Char"/>
    <w:link w:val="144"/>
    <w:autoRedefine/>
    <w:qFormat/>
    <w:uiPriority w:val="0"/>
    <w:rPr>
      <w:szCs w:val="24"/>
    </w:rPr>
  </w:style>
  <w:style w:type="paragraph" w:customStyle="1" w:styleId="144">
    <w:name w:val="样式5"/>
    <w:basedOn w:val="1"/>
    <w:next w:val="145"/>
    <w:link w:val="143"/>
    <w:autoRedefine/>
    <w:qFormat/>
    <w:uiPriority w:val="0"/>
    <w:pPr>
      <w:spacing w:line="360" w:lineRule="exact"/>
    </w:pPr>
    <w:rPr>
      <w:rFonts w:ascii="Calibri" w:hAnsi="Calibri"/>
    </w:rPr>
  </w:style>
  <w:style w:type="paragraph" w:customStyle="1" w:styleId="145">
    <w:name w:val="样式2"/>
    <w:basedOn w:val="21"/>
    <w:link w:val="146"/>
    <w:autoRedefine/>
    <w:qFormat/>
    <w:uiPriority w:val="0"/>
    <w:pPr>
      <w:wordWrap w:val="0"/>
      <w:spacing w:after="0" w:line="440" w:lineRule="exact"/>
      <w:ind w:firstLine="480" w:firstLineChars="200"/>
    </w:pPr>
    <w:rPr>
      <w:rFonts w:ascii="宋体" w:hAnsi="宋体"/>
      <w:sz w:val="24"/>
      <w:szCs w:val="84"/>
    </w:rPr>
  </w:style>
  <w:style w:type="character" w:customStyle="1" w:styleId="146">
    <w:name w:val="样式2 Char Char"/>
    <w:link w:val="145"/>
    <w:autoRedefine/>
    <w:qFormat/>
    <w:uiPriority w:val="0"/>
    <w:rPr>
      <w:rFonts w:ascii="宋体" w:hAnsi="宋体" w:eastAsia="宋体"/>
      <w:sz w:val="24"/>
      <w:szCs w:val="84"/>
    </w:rPr>
  </w:style>
  <w:style w:type="character" w:customStyle="1" w:styleId="147">
    <w:name w:val="页脚 Char1"/>
    <w:autoRedefine/>
    <w:semiHidden/>
    <w:qFormat/>
    <w:uiPriority w:val="99"/>
    <w:rPr>
      <w:sz w:val="18"/>
      <w:szCs w:val="18"/>
    </w:rPr>
  </w:style>
  <w:style w:type="character" w:customStyle="1" w:styleId="148">
    <w:name w:val="正文文本 (5)_"/>
    <w:link w:val="149"/>
    <w:autoRedefine/>
    <w:qFormat/>
    <w:uiPriority w:val="0"/>
    <w:rPr>
      <w:rFonts w:ascii="MingLiU" w:hAnsi="MingLiU" w:eastAsia="MingLiU" w:cs="MingLiU"/>
      <w:shd w:val="clear" w:color="auto" w:fill="FFFFFF"/>
    </w:rPr>
  </w:style>
  <w:style w:type="paragraph" w:customStyle="1" w:styleId="149">
    <w:name w:val="正文文本 (5)"/>
    <w:basedOn w:val="1"/>
    <w:link w:val="148"/>
    <w:autoRedefine/>
    <w:qFormat/>
    <w:uiPriority w:val="0"/>
    <w:pPr>
      <w:shd w:val="clear" w:color="auto" w:fill="FFFFFF"/>
      <w:spacing w:before="5100" w:line="0" w:lineRule="atLeast"/>
      <w:jc w:val="left"/>
    </w:pPr>
    <w:rPr>
      <w:rFonts w:ascii="MingLiU" w:hAnsi="MingLiU" w:eastAsia="MingLiU" w:cs="MingLiU"/>
      <w:szCs w:val="22"/>
    </w:rPr>
  </w:style>
  <w:style w:type="character" w:customStyle="1" w:styleId="150">
    <w:name w:val="正文文本 (2) + 间距 0 pt"/>
    <w:autoRedefine/>
    <w:qFormat/>
    <w:uiPriority w:val="0"/>
    <w:rPr>
      <w:rFonts w:ascii="MingLiU" w:hAnsi="MingLiU" w:eastAsia="MingLiU" w:cs="MingLiU"/>
      <w:color w:val="000000"/>
      <w:spacing w:val="0"/>
      <w:w w:val="100"/>
      <w:position w:val="0"/>
      <w:sz w:val="22"/>
      <w:szCs w:val="22"/>
      <w:u w:val="none"/>
      <w:shd w:val="clear" w:color="auto" w:fill="FFFFFF"/>
      <w:lang w:val="zh-CN" w:eastAsia="zh-CN" w:bidi="ar-SA"/>
    </w:rPr>
  </w:style>
  <w:style w:type="character" w:customStyle="1" w:styleId="151">
    <w:name w:val="style6"/>
    <w:basedOn w:val="55"/>
    <w:autoRedefine/>
    <w:qFormat/>
    <w:uiPriority w:val="0"/>
  </w:style>
  <w:style w:type="character" w:customStyle="1" w:styleId="152">
    <w:name w:val="Date Char"/>
    <w:autoRedefine/>
    <w:qFormat/>
    <w:uiPriority w:val="0"/>
    <w:rPr>
      <w:rFonts w:eastAsia="宋体"/>
      <w:kern w:val="2"/>
      <w:sz w:val="21"/>
      <w:szCs w:val="24"/>
      <w:lang w:val="en-US" w:eastAsia="zh-CN" w:bidi="ar-SA"/>
    </w:rPr>
  </w:style>
  <w:style w:type="character" w:customStyle="1" w:styleId="153">
    <w:name w:val="正文文本 (2) + 6.5 pt"/>
    <w:autoRedefine/>
    <w:qFormat/>
    <w:uiPriority w:val="0"/>
    <w:rPr>
      <w:rFonts w:ascii="MingLiU" w:hAnsi="MingLiU" w:eastAsia="MingLiU" w:cs="MingLiU"/>
      <w:i/>
      <w:iCs/>
      <w:color w:val="000000"/>
      <w:spacing w:val="0"/>
      <w:w w:val="100"/>
      <w:position w:val="0"/>
      <w:sz w:val="13"/>
      <w:szCs w:val="13"/>
      <w:u w:val="none"/>
      <w:shd w:val="clear" w:color="auto" w:fill="FFFFFF"/>
      <w:lang w:val="en-US" w:eastAsia="en-US" w:bidi="ar-SA"/>
    </w:rPr>
  </w:style>
  <w:style w:type="character" w:customStyle="1" w:styleId="154">
    <w:name w:val="标题 1 Char_1"/>
    <w:link w:val="155"/>
    <w:autoRedefine/>
    <w:qFormat/>
    <w:uiPriority w:val="99"/>
    <w:rPr>
      <w:rFonts w:ascii="Calibri" w:hAnsi="Calibri"/>
      <w:b/>
      <w:bCs/>
      <w:kern w:val="44"/>
      <w:sz w:val="32"/>
      <w:szCs w:val="44"/>
    </w:rPr>
  </w:style>
  <w:style w:type="paragraph" w:customStyle="1" w:styleId="155">
    <w:name w:val="标题 1_1"/>
    <w:basedOn w:val="156"/>
    <w:next w:val="156"/>
    <w:link w:val="154"/>
    <w:autoRedefine/>
    <w:qFormat/>
    <w:uiPriority w:val="99"/>
    <w:pPr>
      <w:keepNext/>
      <w:keepLines/>
      <w:spacing w:line="360" w:lineRule="auto"/>
      <w:outlineLvl w:val="0"/>
    </w:pPr>
    <w:rPr>
      <w:b/>
      <w:bCs/>
      <w:kern w:val="44"/>
      <w:sz w:val="32"/>
      <w:szCs w:val="44"/>
    </w:rPr>
  </w:style>
  <w:style w:type="paragraph" w:customStyle="1" w:styleId="156">
    <w:name w:val="正文_2"/>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157">
    <w:name w:val="不明显参考3"/>
    <w:autoRedefine/>
    <w:qFormat/>
    <w:uiPriority w:val="0"/>
    <w:rPr>
      <w:smallCaps/>
      <w:color w:val="C0504D"/>
      <w:u w:val="single"/>
    </w:rPr>
  </w:style>
  <w:style w:type="character" w:customStyle="1" w:styleId="158">
    <w:name w:val="正文小标题 Char"/>
    <w:link w:val="159"/>
    <w:autoRedefine/>
    <w:qFormat/>
    <w:uiPriority w:val="0"/>
    <w:rPr>
      <w:rFonts w:hAnsi="宋体"/>
      <w:sz w:val="21"/>
      <w:szCs w:val="21"/>
    </w:rPr>
  </w:style>
  <w:style w:type="paragraph" w:customStyle="1" w:styleId="159">
    <w:name w:val="正文小标题"/>
    <w:basedOn w:val="3"/>
    <w:link w:val="158"/>
    <w:autoRedefine/>
    <w:qFormat/>
    <w:uiPriority w:val="0"/>
    <w:pPr>
      <w:keepLines w:val="0"/>
      <w:spacing w:before="240" w:after="240" w:line="420" w:lineRule="exact"/>
    </w:pPr>
    <w:rPr>
      <w:rFonts w:hAnsi="宋体"/>
      <w:b w:val="0"/>
      <w:bCs w:val="0"/>
      <w:kern w:val="0"/>
      <w:sz w:val="21"/>
      <w:szCs w:val="21"/>
    </w:rPr>
  </w:style>
  <w:style w:type="character" w:customStyle="1" w:styleId="160">
    <w:name w:val="正文文本 (42)_"/>
    <w:link w:val="161"/>
    <w:autoRedefine/>
    <w:qFormat/>
    <w:locked/>
    <w:uiPriority w:val="0"/>
    <w:rPr>
      <w:rFonts w:ascii="MingLiU" w:hAnsi="MingLiU" w:eastAsia="MingLiU"/>
      <w:b/>
      <w:bCs/>
      <w:shd w:val="clear" w:color="auto" w:fill="FFFFFF"/>
    </w:rPr>
  </w:style>
  <w:style w:type="paragraph" w:customStyle="1" w:styleId="161">
    <w:name w:val="正文文本 (42)1"/>
    <w:basedOn w:val="1"/>
    <w:link w:val="160"/>
    <w:autoRedefine/>
    <w:qFormat/>
    <w:uiPriority w:val="0"/>
    <w:pPr>
      <w:shd w:val="clear" w:color="auto" w:fill="FFFFFF"/>
      <w:spacing w:line="398" w:lineRule="exact"/>
      <w:jc w:val="distribute"/>
    </w:pPr>
    <w:rPr>
      <w:rFonts w:ascii="MingLiU" w:hAnsi="MingLiU" w:eastAsia="MingLiU"/>
      <w:b/>
      <w:bCs/>
      <w:szCs w:val="22"/>
    </w:rPr>
  </w:style>
  <w:style w:type="character" w:customStyle="1" w:styleId="162">
    <w:name w:val="T10 Char"/>
    <w:link w:val="163"/>
    <w:autoRedefine/>
    <w:qFormat/>
    <w:uiPriority w:val="0"/>
    <w:rPr>
      <w:rFonts w:ascii="宋体" w:hAnsi="宋体"/>
      <w:b/>
      <w:sz w:val="28"/>
    </w:rPr>
  </w:style>
  <w:style w:type="paragraph" w:customStyle="1" w:styleId="163">
    <w:name w:val="T10"/>
    <w:basedOn w:val="1"/>
    <w:link w:val="162"/>
    <w:autoRedefine/>
    <w:qFormat/>
    <w:uiPriority w:val="0"/>
    <w:pPr>
      <w:adjustRightInd w:val="0"/>
      <w:spacing w:line="500" w:lineRule="exact"/>
      <w:ind w:left="10" w:leftChars="5" w:firstLine="561" w:firstLineChars="200"/>
      <w:jc w:val="center"/>
      <w:textAlignment w:val="baseline"/>
    </w:pPr>
    <w:rPr>
      <w:rFonts w:ascii="宋体" w:hAnsi="宋体"/>
      <w:b/>
      <w:kern w:val="0"/>
      <w:sz w:val="28"/>
      <w:szCs w:val="20"/>
    </w:rPr>
  </w:style>
  <w:style w:type="character" w:customStyle="1" w:styleId="164">
    <w:name w:val="ca-11"/>
    <w:autoRedefine/>
    <w:qFormat/>
    <w:uiPriority w:val="0"/>
    <w:rPr>
      <w:rFonts w:ascii="宋体" w:eastAsia="宋体"/>
      <w:sz w:val="21"/>
      <w:szCs w:val="21"/>
    </w:rPr>
  </w:style>
  <w:style w:type="character" w:customStyle="1" w:styleId="165">
    <w:name w:val="Char Char24"/>
    <w:autoRedefine/>
    <w:qFormat/>
    <w:uiPriority w:val="0"/>
    <w:rPr>
      <w:rFonts w:eastAsia="宋体"/>
      <w:b/>
      <w:bCs/>
      <w:kern w:val="44"/>
      <w:sz w:val="32"/>
      <w:szCs w:val="44"/>
      <w:lang w:val="en-US" w:eastAsia="zh-CN" w:bidi="ar-SA"/>
    </w:rPr>
  </w:style>
  <w:style w:type="character" w:customStyle="1" w:styleId="166">
    <w:name w:val="Char Char3"/>
    <w:autoRedefine/>
    <w:qFormat/>
    <w:uiPriority w:val="0"/>
    <w:rPr>
      <w:rFonts w:eastAsia="宋体"/>
      <w:kern w:val="2"/>
      <w:sz w:val="21"/>
      <w:szCs w:val="24"/>
      <w:lang w:val="en-US" w:eastAsia="zh-CN" w:bidi="ar-SA"/>
    </w:rPr>
  </w:style>
  <w:style w:type="character" w:customStyle="1" w:styleId="167">
    <w:name w:val="正文文本 (2) + 5.5 pt1"/>
    <w:autoRedefine/>
    <w:qFormat/>
    <w:uiPriority w:val="0"/>
    <w:rPr>
      <w:rFonts w:ascii="MingLiU" w:hAnsi="MingLiU" w:eastAsia="MingLiU" w:cs="MingLiU"/>
      <w:i/>
      <w:iCs/>
      <w:color w:val="000000"/>
      <w:spacing w:val="-20"/>
      <w:w w:val="100"/>
      <w:position w:val="0"/>
      <w:sz w:val="11"/>
      <w:szCs w:val="11"/>
      <w:u w:val="none"/>
      <w:shd w:val="clear" w:color="auto" w:fill="FFFFFF"/>
      <w:lang w:val="zh-CN" w:eastAsia="zh-CN"/>
    </w:rPr>
  </w:style>
  <w:style w:type="character" w:customStyle="1" w:styleId="168">
    <w:name w:val="Comment Text Char"/>
    <w:autoRedefine/>
    <w:qFormat/>
    <w:uiPriority w:val="0"/>
    <w:rPr>
      <w:rFonts w:cs="Times New Roman"/>
      <w:sz w:val="24"/>
      <w:szCs w:val="24"/>
    </w:rPr>
  </w:style>
  <w:style w:type="character" w:customStyle="1" w:styleId="169">
    <w:name w:val="不明显参考11"/>
    <w:autoRedefine/>
    <w:qFormat/>
    <w:uiPriority w:val="31"/>
    <w:rPr>
      <w:smallCaps/>
      <w:color w:val="C0504D"/>
      <w:u w:val="single"/>
    </w:rPr>
  </w:style>
  <w:style w:type="character" w:customStyle="1" w:styleId="170">
    <w:name w:val="标题 Char2"/>
    <w:autoRedefine/>
    <w:qFormat/>
    <w:uiPriority w:val="0"/>
    <w:rPr>
      <w:rFonts w:ascii="Cambria" w:hAnsi="Cambria" w:eastAsia="宋体" w:cs="Times New Roman"/>
      <w:b/>
      <w:bCs/>
      <w:sz w:val="32"/>
      <w:szCs w:val="32"/>
    </w:rPr>
  </w:style>
  <w:style w:type="character" w:customStyle="1" w:styleId="171">
    <w:name w:val="引用 Char1"/>
    <w:autoRedefine/>
    <w:qFormat/>
    <w:uiPriority w:val="29"/>
    <w:rPr>
      <w:rFonts w:ascii="Times New Roman" w:hAnsi="Times New Roman" w:eastAsia="宋体" w:cs="Times New Roman"/>
      <w:i/>
      <w:iCs/>
      <w:color w:val="000000"/>
      <w:szCs w:val="24"/>
    </w:rPr>
  </w:style>
  <w:style w:type="character" w:customStyle="1" w:styleId="172">
    <w:name w:val="纯文本 Char1"/>
    <w:autoRedefine/>
    <w:qFormat/>
    <w:uiPriority w:val="0"/>
    <w:rPr>
      <w:rFonts w:ascii="宋体" w:hAnsi="Courier New" w:eastAsia="宋体" w:cs="Courier New"/>
      <w:szCs w:val="21"/>
    </w:rPr>
  </w:style>
  <w:style w:type="character" w:customStyle="1" w:styleId="173">
    <w:name w:val="Char Char6"/>
    <w:autoRedefine/>
    <w:qFormat/>
    <w:uiPriority w:val="0"/>
    <w:rPr>
      <w:rFonts w:ascii="Arial" w:hAnsi="Arial" w:eastAsia="宋体"/>
      <w:b/>
      <w:bCs/>
      <w:kern w:val="2"/>
      <w:sz w:val="21"/>
      <w:szCs w:val="28"/>
      <w:lang w:val="en-US" w:eastAsia="zh-CN" w:bidi="ar-SA"/>
    </w:rPr>
  </w:style>
  <w:style w:type="character" w:customStyle="1" w:styleId="174">
    <w:name w:val="明显强调1"/>
    <w:autoRedefine/>
    <w:qFormat/>
    <w:uiPriority w:val="21"/>
    <w:rPr>
      <w:b/>
      <w:bCs/>
      <w:i/>
      <w:iCs/>
      <w:color w:val="4F81BD"/>
    </w:rPr>
  </w:style>
  <w:style w:type="character" w:customStyle="1" w:styleId="175">
    <w:name w:val="Comment Subject Char"/>
    <w:autoRedefine/>
    <w:qFormat/>
    <w:uiPriority w:val="0"/>
    <w:rPr>
      <w:b/>
      <w:sz w:val="24"/>
      <w:lang w:bidi="ar-SA"/>
    </w:rPr>
  </w:style>
  <w:style w:type="character" w:customStyle="1" w:styleId="176">
    <w:name w:val="Char Char"/>
    <w:autoRedefine/>
    <w:qFormat/>
    <w:uiPriority w:val="0"/>
    <w:rPr>
      <w:rFonts w:ascii="Cambria" w:hAnsi="Cambria"/>
      <w:b/>
      <w:bCs/>
      <w:kern w:val="2"/>
      <w:sz w:val="32"/>
      <w:szCs w:val="32"/>
      <w:lang w:bidi="ar-SA"/>
    </w:rPr>
  </w:style>
  <w:style w:type="character" w:customStyle="1" w:styleId="177">
    <w:name w:val="正文文本 (2) + 4 pt1"/>
    <w:autoRedefine/>
    <w:qFormat/>
    <w:uiPriority w:val="0"/>
    <w:rPr>
      <w:rFonts w:ascii="MingLiU" w:hAnsi="MingLiU" w:eastAsia="MingLiU" w:cs="MingLiU"/>
      <w:color w:val="000000"/>
      <w:spacing w:val="0"/>
      <w:w w:val="100"/>
      <w:position w:val="0"/>
      <w:sz w:val="8"/>
      <w:szCs w:val="8"/>
      <w:u w:val="none"/>
      <w:shd w:val="clear" w:color="auto" w:fill="FFFFFF"/>
      <w:lang w:val="zh-CN" w:eastAsia="zh-CN"/>
    </w:rPr>
  </w:style>
  <w:style w:type="character" w:customStyle="1" w:styleId="178">
    <w:name w:val="明显引用 Char2"/>
    <w:autoRedefine/>
    <w:qFormat/>
    <w:uiPriority w:val="30"/>
    <w:rPr>
      <w:b/>
      <w:bCs/>
      <w:i/>
      <w:iCs/>
      <w:color w:val="4F81BD"/>
      <w:sz w:val="21"/>
    </w:rPr>
  </w:style>
  <w:style w:type="character" w:customStyle="1" w:styleId="179">
    <w:name w:val="正文文本缩进 2 Char1"/>
    <w:autoRedefine/>
    <w:semiHidden/>
    <w:qFormat/>
    <w:uiPriority w:val="99"/>
    <w:rPr>
      <w:sz w:val="21"/>
    </w:rPr>
  </w:style>
  <w:style w:type="character" w:customStyle="1" w:styleId="180">
    <w:name w:val="明显参考1"/>
    <w:autoRedefine/>
    <w:qFormat/>
    <w:uiPriority w:val="32"/>
    <w:rPr>
      <w:b/>
      <w:bCs/>
      <w:smallCaps/>
      <w:color w:val="C0504D"/>
      <w:spacing w:val="5"/>
      <w:u w:val="single"/>
    </w:rPr>
  </w:style>
  <w:style w:type="character" w:customStyle="1" w:styleId="181">
    <w:name w:val="正文文本 (30) + CordiaUPC"/>
    <w:autoRedefine/>
    <w:qFormat/>
    <w:uiPriority w:val="0"/>
    <w:rPr>
      <w:rFonts w:ascii="CordiaUPC" w:hAnsi="CordiaUPC" w:eastAsia="Times New Roman" w:cs="CordiaUPC"/>
      <w:b/>
      <w:bCs/>
      <w:color w:val="000000"/>
      <w:spacing w:val="0"/>
      <w:w w:val="100"/>
      <w:position w:val="0"/>
      <w:sz w:val="34"/>
      <w:szCs w:val="34"/>
      <w:lang w:val="en-US" w:eastAsia="en-US" w:bidi="ar-SA"/>
    </w:rPr>
  </w:style>
  <w:style w:type="character" w:customStyle="1" w:styleId="182">
    <w:name w:val="正文文本 (2) + 间距 -1 pt"/>
    <w:autoRedefine/>
    <w:qFormat/>
    <w:uiPriority w:val="0"/>
    <w:rPr>
      <w:rFonts w:ascii="MingLiU" w:hAnsi="MingLiU" w:eastAsia="MingLiU" w:cs="MingLiU"/>
      <w:color w:val="000000"/>
      <w:spacing w:val="-20"/>
      <w:w w:val="100"/>
      <w:position w:val="0"/>
      <w:sz w:val="22"/>
      <w:szCs w:val="22"/>
      <w:u w:val="none"/>
      <w:shd w:val="clear" w:color="auto" w:fill="FFFFFF"/>
      <w:lang w:val="zh-CN" w:eastAsia="zh-CN" w:bidi="zh-CN"/>
    </w:rPr>
  </w:style>
  <w:style w:type="character" w:customStyle="1" w:styleId="183">
    <w:name w:val="正文文本 (2) + Impact1"/>
    <w:autoRedefine/>
    <w:qFormat/>
    <w:uiPriority w:val="0"/>
    <w:rPr>
      <w:rFonts w:ascii="Impact" w:hAnsi="Impact" w:eastAsia="Times New Roman" w:cs="Impact"/>
      <w:color w:val="000000"/>
      <w:spacing w:val="0"/>
      <w:w w:val="100"/>
      <w:position w:val="0"/>
      <w:sz w:val="16"/>
      <w:szCs w:val="16"/>
      <w:u w:val="none"/>
      <w:shd w:val="clear" w:color="auto" w:fill="FFFFFF"/>
      <w:lang w:val="en-US" w:eastAsia="en-US"/>
    </w:rPr>
  </w:style>
  <w:style w:type="character" w:customStyle="1" w:styleId="184">
    <w:name w:val="书籍标题2"/>
    <w:autoRedefine/>
    <w:qFormat/>
    <w:uiPriority w:val="33"/>
    <w:rPr>
      <w:b/>
      <w:bCs/>
      <w:smallCaps/>
      <w:spacing w:val="5"/>
    </w:rPr>
  </w:style>
  <w:style w:type="character" w:customStyle="1" w:styleId="185">
    <w:name w:val="Header Char"/>
    <w:autoRedefine/>
    <w:qFormat/>
    <w:uiPriority w:val="0"/>
    <w:rPr>
      <w:rFonts w:eastAsia="宋体"/>
      <w:kern w:val="2"/>
      <w:sz w:val="18"/>
      <w:szCs w:val="18"/>
      <w:lang w:val="en-US" w:eastAsia="zh-CN" w:bidi="ar-SA"/>
    </w:rPr>
  </w:style>
  <w:style w:type="character" w:customStyle="1" w:styleId="186">
    <w:name w:val="样式 宋体 小四 加粗 黑色"/>
    <w:autoRedefine/>
    <w:qFormat/>
    <w:uiPriority w:val="0"/>
    <w:rPr>
      <w:rFonts w:ascii="宋体" w:hAnsi="宋体"/>
      <w:b/>
      <w:bCs/>
      <w:color w:val="000000"/>
      <w:sz w:val="24"/>
    </w:rPr>
  </w:style>
  <w:style w:type="character" w:customStyle="1" w:styleId="187">
    <w:name w:val="明显引用 Char3"/>
    <w:autoRedefine/>
    <w:qFormat/>
    <w:uiPriority w:val="99"/>
    <w:rPr>
      <w:b/>
      <w:bCs/>
      <w:i/>
      <w:iCs/>
      <w:color w:val="4F81BD"/>
      <w:kern w:val="2"/>
      <w:sz w:val="21"/>
      <w:szCs w:val="24"/>
    </w:rPr>
  </w:style>
  <w:style w:type="character" w:customStyle="1" w:styleId="188">
    <w:name w:val="正文文本 (15)_"/>
    <w:link w:val="189"/>
    <w:autoRedefine/>
    <w:qFormat/>
    <w:locked/>
    <w:uiPriority w:val="0"/>
    <w:rPr>
      <w:rFonts w:ascii="MingLiU" w:hAnsi="MingLiU" w:eastAsia="MingLiU"/>
      <w:b/>
      <w:bCs/>
      <w:sz w:val="28"/>
      <w:szCs w:val="28"/>
      <w:shd w:val="clear" w:color="auto" w:fill="FFFFFF"/>
    </w:rPr>
  </w:style>
  <w:style w:type="paragraph" w:customStyle="1" w:styleId="189">
    <w:name w:val="正文文本 (15)"/>
    <w:basedOn w:val="1"/>
    <w:link w:val="188"/>
    <w:autoRedefine/>
    <w:qFormat/>
    <w:uiPriority w:val="0"/>
    <w:pPr>
      <w:shd w:val="clear" w:color="auto" w:fill="FFFFFF"/>
      <w:spacing w:before="120" w:after="420" w:line="240" w:lineRule="atLeast"/>
      <w:jc w:val="distribute"/>
    </w:pPr>
    <w:rPr>
      <w:rFonts w:ascii="MingLiU" w:hAnsi="MingLiU" w:eastAsia="MingLiU"/>
      <w:b/>
      <w:bCs/>
      <w:sz w:val="28"/>
      <w:szCs w:val="28"/>
    </w:rPr>
  </w:style>
  <w:style w:type="character" w:customStyle="1" w:styleId="190">
    <w:name w:val="正文文本 (19)_"/>
    <w:link w:val="191"/>
    <w:autoRedefine/>
    <w:qFormat/>
    <w:uiPriority w:val="0"/>
    <w:rPr>
      <w:rFonts w:ascii="MingLiU" w:hAnsi="MingLiU" w:eastAsia="MingLiU" w:cs="MingLiU"/>
      <w:b/>
      <w:bCs/>
      <w:spacing w:val="10"/>
      <w:sz w:val="22"/>
      <w:shd w:val="clear" w:color="auto" w:fill="FFFFFF"/>
    </w:rPr>
  </w:style>
  <w:style w:type="paragraph" w:customStyle="1" w:styleId="191">
    <w:name w:val="正文文本 (19)"/>
    <w:basedOn w:val="1"/>
    <w:link w:val="190"/>
    <w:autoRedefine/>
    <w:qFormat/>
    <w:uiPriority w:val="0"/>
    <w:pPr>
      <w:shd w:val="clear" w:color="auto" w:fill="FFFFFF"/>
      <w:spacing w:line="559" w:lineRule="exact"/>
      <w:jc w:val="left"/>
    </w:pPr>
    <w:rPr>
      <w:rFonts w:ascii="MingLiU" w:hAnsi="MingLiU" w:eastAsia="MingLiU" w:cs="MingLiU"/>
      <w:b/>
      <w:bCs/>
      <w:spacing w:val="10"/>
      <w:sz w:val="22"/>
      <w:szCs w:val="22"/>
    </w:rPr>
  </w:style>
  <w:style w:type="character" w:customStyle="1" w:styleId="192">
    <w:name w:val="正文文本 (2) + Times New Roman"/>
    <w:autoRedefine/>
    <w:qFormat/>
    <w:uiPriority w:val="0"/>
    <w:rPr>
      <w:rFonts w:ascii="Times New Roman" w:hAnsi="Times New Roman" w:eastAsia="Times New Roman" w:cs="Times New Roman"/>
      <w:color w:val="000000"/>
      <w:spacing w:val="0"/>
      <w:w w:val="100"/>
      <w:position w:val="0"/>
      <w:sz w:val="24"/>
      <w:szCs w:val="24"/>
      <w:u w:val="none"/>
      <w:shd w:val="clear" w:color="auto" w:fill="FFFFFF"/>
      <w:lang w:val="en-US" w:eastAsia="en-US" w:bidi="en-US"/>
    </w:rPr>
  </w:style>
  <w:style w:type="character" w:customStyle="1" w:styleId="193">
    <w:name w:val="小标题无样式 Char"/>
    <w:link w:val="194"/>
    <w:autoRedefine/>
    <w:qFormat/>
    <w:uiPriority w:val="0"/>
    <w:rPr>
      <w:rFonts w:ascii="宋体" w:hAnsi="宋体"/>
      <w:b/>
      <w:sz w:val="24"/>
      <w:szCs w:val="21"/>
    </w:rPr>
  </w:style>
  <w:style w:type="paragraph" w:customStyle="1" w:styleId="194">
    <w:name w:val="小标题无样式"/>
    <w:basedOn w:val="113"/>
    <w:link w:val="193"/>
    <w:autoRedefine/>
    <w:qFormat/>
    <w:uiPriority w:val="0"/>
    <w:pPr>
      <w:ind w:firstLine="0" w:firstLineChars="0"/>
    </w:pPr>
    <w:rPr>
      <w:b/>
      <w:kern w:val="0"/>
      <w:sz w:val="24"/>
    </w:rPr>
  </w:style>
  <w:style w:type="character" w:customStyle="1" w:styleId="195">
    <w:name w:val="样式 Char Char"/>
    <w:autoRedefine/>
    <w:qFormat/>
    <w:uiPriority w:val="0"/>
    <w:rPr>
      <w:rFonts w:ascii="宋体" w:hAnsi="宋体" w:eastAsia="宋体" w:cs="宋体"/>
      <w:sz w:val="24"/>
      <w:szCs w:val="24"/>
      <w:lang w:val="en-US" w:eastAsia="zh-CN" w:bidi="ar-SA"/>
    </w:rPr>
  </w:style>
  <w:style w:type="character" w:customStyle="1" w:styleId="196">
    <w:name w:val="Char Char2"/>
    <w:autoRedefine/>
    <w:qFormat/>
    <w:uiPriority w:val="0"/>
    <w:rPr>
      <w:rFonts w:ascii="宋体" w:hAnsi="Courier New" w:eastAsia="宋体"/>
      <w:kern w:val="2"/>
      <w:sz w:val="21"/>
      <w:szCs w:val="24"/>
      <w:lang w:val="en-US" w:eastAsia="zh-CN" w:bidi="ar-SA"/>
    </w:rPr>
  </w:style>
  <w:style w:type="character" w:customStyle="1" w:styleId="197">
    <w:name w:val="明显参考2"/>
    <w:autoRedefine/>
    <w:qFormat/>
    <w:uiPriority w:val="32"/>
    <w:rPr>
      <w:b/>
      <w:bCs/>
      <w:smallCaps/>
      <w:color w:val="C0504D"/>
      <w:spacing w:val="5"/>
      <w:u w:val="single"/>
    </w:rPr>
  </w:style>
  <w:style w:type="character" w:customStyle="1" w:styleId="198">
    <w:name w:val="para1"/>
    <w:autoRedefine/>
    <w:qFormat/>
    <w:uiPriority w:val="0"/>
    <w:rPr>
      <w:rFonts w:hint="default" w:ascii="Arial" w:hAnsi="Arial" w:cs="Arial"/>
      <w:sz w:val="18"/>
      <w:szCs w:val="18"/>
    </w:rPr>
  </w:style>
  <w:style w:type="character" w:customStyle="1" w:styleId="199">
    <w:name w:val="明显强调2"/>
    <w:autoRedefine/>
    <w:qFormat/>
    <w:uiPriority w:val="21"/>
    <w:rPr>
      <w:b/>
      <w:bCs/>
      <w:i/>
      <w:iCs/>
      <w:color w:val="4F81BD"/>
    </w:rPr>
  </w:style>
  <w:style w:type="character" w:customStyle="1" w:styleId="200">
    <w:name w:val="标题 #7 + 间距 0 pt"/>
    <w:autoRedefine/>
    <w:qFormat/>
    <w:uiPriority w:val="0"/>
    <w:rPr>
      <w:rFonts w:ascii="MingLiU" w:hAnsi="MingLiU" w:eastAsia="MingLiU" w:cs="MingLiU"/>
      <w:color w:val="000000"/>
      <w:spacing w:val="0"/>
      <w:w w:val="100"/>
      <w:position w:val="0"/>
      <w:sz w:val="26"/>
      <w:szCs w:val="26"/>
      <w:u w:val="none"/>
      <w:shd w:val="clear" w:color="auto" w:fill="FFFFFF"/>
      <w:lang w:val="zh-CN" w:eastAsia="zh-CN"/>
    </w:rPr>
  </w:style>
  <w:style w:type="character" w:customStyle="1" w:styleId="201">
    <w:name w:val="明显参考3"/>
    <w:autoRedefine/>
    <w:qFormat/>
    <w:uiPriority w:val="0"/>
    <w:rPr>
      <w:b/>
      <w:bCs/>
      <w:smallCaps/>
      <w:color w:val="C0504D"/>
      <w:spacing w:val="5"/>
      <w:u w:val="single"/>
    </w:rPr>
  </w:style>
  <w:style w:type="character" w:customStyle="1" w:styleId="202">
    <w:name w:val="正文文本 (14)_"/>
    <w:link w:val="203"/>
    <w:autoRedefine/>
    <w:qFormat/>
    <w:uiPriority w:val="0"/>
    <w:rPr>
      <w:rFonts w:ascii="MingLiU" w:hAnsi="MingLiU" w:eastAsia="MingLiU" w:cs="MingLiU"/>
      <w:sz w:val="18"/>
      <w:szCs w:val="18"/>
      <w:shd w:val="clear" w:color="auto" w:fill="FFFFFF"/>
    </w:rPr>
  </w:style>
  <w:style w:type="paragraph" w:customStyle="1" w:styleId="203">
    <w:name w:val="正文文本 (14)"/>
    <w:basedOn w:val="1"/>
    <w:link w:val="202"/>
    <w:autoRedefine/>
    <w:qFormat/>
    <w:uiPriority w:val="0"/>
    <w:pPr>
      <w:shd w:val="clear" w:color="auto" w:fill="FFFFFF"/>
      <w:spacing w:before="300" w:line="300" w:lineRule="exact"/>
      <w:jc w:val="distribute"/>
    </w:pPr>
    <w:rPr>
      <w:rFonts w:ascii="MingLiU" w:hAnsi="MingLiU" w:eastAsia="MingLiU" w:cs="MingLiU"/>
      <w:sz w:val="18"/>
      <w:szCs w:val="18"/>
    </w:rPr>
  </w:style>
  <w:style w:type="character" w:customStyle="1" w:styleId="204">
    <w:name w:val="正文文本 (31) + CordiaUPC"/>
    <w:autoRedefine/>
    <w:qFormat/>
    <w:uiPriority w:val="0"/>
    <w:rPr>
      <w:rFonts w:ascii="CordiaUPC" w:hAnsi="CordiaUPC" w:eastAsia="Times New Roman" w:cs="CordiaUPC"/>
      <w:b/>
      <w:bCs/>
      <w:color w:val="000000"/>
      <w:spacing w:val="0"/>
      <w:w w:val="100"/>
      <w:position w:val="0"/>
      <w:sz w:val="34"/>
      <w:szCs w:val="34"/>
      <w:lang w:val="en-US" w:eastAsia="en-US" w:bidi="ar-SA"/>
    </w:rPr>
  </w:style>
  <w:style w:type="character" w:customStyle="1" w:styleId="205">
    <w:name w:val="明显强调3"/>
    <w:autoRedefine/>
    <w:qFormat/>
    <w:uiPriority w:val="0"/>
    <w:rPr>
      <w:b/>
      <w:bCs/>
      <w:i/>
      <w:iCs/>
      <w:color w:val="4F81BD"/>
    </w:rPr>
  </w:style>
  <w:style w:type="character" w:customStyle="1" w:styleId="206">
    <w:name w:val="页眉或页脚_"/>
    <w:link w:val="207"/>
    <w:autoRedefine/>
    <w:qFormat/>
    <w:locked/>
    <w:uiPriority w:val="0"/>
    <w:rPr>
      <w:rFonts w:ascii="MingLiU" w:hAnsi="MingLiU" w:eastAsia="MingLiU"/>
      <w:spacing w:val="10"/>
      <w:shd w:val="clear" w:color="auto" w:fill="FFFFFF"/>
    </w:rPr>
  </w:style>
  <w:style w:type="paragraph" w:customStyle="1" w:styleId="207">
    <w:name w:val="页眉或页脚1"/>
    <w:basedOn w:val="1"/>
    <w:link w:val="206"/>
    <w:autoRedefine/>
    <w:qFormat/>
    <w:uiPriority w:val="0"/>
    <w:pPr>
      <w:shd w:val="clear" w:color="auto" w:fill="FFFFFF"/>
      <w:spacing w:line="240" w:lineRule="atLeast"/>
      <w:jc w:val="left"/>
    </w:pPr>
    <w:rPr>
      <w:rFonts w:ascii="MingLiU" w:hAnsi="MingLiU" w:eastAsia="MingLiU"/>
      <w:spacing w:val="10"/>
      <w:szCs w:val="22"/>
    </w:rPr>
  </w:style>
  <w:style w:type="character" w:customStyle="1" w:styleId="208">
    <w:name w:val="书籍标题1"/>
    <w:autoRedefine/>
    <w:qFormat/>
    <w:uiPriority w:val="33"/>
    <w:rPr>
      <w:b/>
      <w:bCs/>
      <w:smallCaps/>
      <w:spacing w:val="5"/>
    </w:rPr>
  </w:style>
  <w:style w:type="character" w:customStyle="1" w:styleId="209">
    <w:name w:val="标题 #8 + 间距 0 pt"/>
    <w:autoRedefine/>
    <w:qFormat/>
    <w:uiPriority w:val="0"/>
    <w:rPr>
      <w:rFonts w:ascii="MingLiU" w:hAnsi="MingLiU" w:eastAsia="MingLiU" w:cs="MingLiU"/>
      <w:b/>
      <w:bCs/>
      <w:color w:val="000000"/>
      <w:spacing w:val="0"/>
      <w:w w:val="100"/>
      <w:position w:val="0"/>
      <w:sz w:val="22"/>
      <w:szCs w:val="22"/>
      <w:u w:val="none"/>
      <w:lang w:val="zh-CN" w:eastAsia="zh-CN" w:bidi="zh-CN"/>
    </w:rPr>
  </w:style>
  <w:style w:type="character" w:customStyle="1" w:styleId="210">
    <w:name w:val="标题 3 Char Char"/>
    <w:autoRedefine/>
    <w:qFormat/>
    <w:uiPriority w:val="0"/>
    <w:rPr>
      <w:rFonts w:eastAsia="宋体"/>
      <w:b/>
      <w:bCs/>
      <w:kern w:val="2"/>
      <w:sz w:val="32"/>
      <w:szCs w:val="32"/>
      <w:lang w:val="en-US" w:eastAsia="zh-CN" w:bidi="ar-SA"/>
    </w:rPr>
  </w:style>
  <w:style w:type="character" w:customStyle="1" w:styleId="211">
    <w:name w:val="en"/>
    <w:basedOn w:val="55"/>
    <w:autoRedefine/>
    <w:qFormat/>
    <w:uiPriority w:val="0"/>
  </w:style>
  <w:style w:type="character" w:customStyle="1" w:styleId="212">
    <w:name w:val="Char Char7"/>
    <w:autoRedefine/>
    <w:qFormat/>
    <w:uiPriority w:val="0"/>
    <w:rPr>
      <w:rFonts w:eastAsia="宋体"/>
      <w:b/>
      <w:bCs/>
      <w:kern w:val="2"/>
      <w:sz w:val="24"/>
      <w:szCs w:val="32"/>
      <w:lang w:val="en-US" w:eastAsia="zh-CN" w:bidi="ar-SA"/>
    </w:rPr>
  </w:style>
  <w:style w:type="character" w:customStyle="1" w:styleId="213">
    <w:name w:val="Char Char23"/>
    <w:autoRedefine/>
    <w:qFormat/>
    <w:uiPriority w:val="0"/>
    <w:rPr>
      <w:rFonts w:eastAsia="宋体"/>
      <w:b/>
      <w:bCs/>
      <w:kern w:val="44"/>
      <w:sz w:val="32"/>
      <w:szCs w:val="44"/>
      <w:lang w:val="en-US" w:eastAsia="zh-CN" w:bidi="ar-SA"/>
    </w:rPr>
  </w:style>
  <w:style w:type="character" w:customStyle="1" w:styleId="214">
    <w:name w:val="批注文字 Char2"/>
    <w:autoRedefine/>
    <w:qFormat/>
    <w:uiPriority w:val="0"/>
    <w:rPr>
      <w:kern w:val="2"/>
      <w:sz w:val="21"/>
      <w:szCs w:val="24"/>
    </w:rPr>
  </w:style>
  <w:style w:type="character" w:customStyle="1" w:styleId="215">
    <w:name w:val="标题 2 Char"/>
    <w:autoRedefine/>
    <w:qFormat/>
    <w:uiPriority w:val="0"/>
    <w:rPr>
      <w:rFonts w:ascii="Cambria" w:hAnsi="Cambria" w:eastAsia="宋体" w:cs="Times New Roman"/>
      <w:b/>
      <w:bCs/>
      <w:sz w:val="32"/>
      <w:szCs w:val="32"/>
    </w:rPr>
  </w:style>
  <w:style w:type="character" w:customStyle="1" w:styleId="216">
    <w:name w:val="标题 #7 (5)_"/>
    <w:link w:val="217"/>
    <w:autoRedefine/>
    <w:qFormat/>
    <w:locked/>
    <w:uiPriority w:val="0"/>
    <w:rPr>
      <w:rFonts w:ascii="MingLiU" w:hAnsi="MingLiU" w:eastAsia="MingLiU"/>
      <w:spacing w:val="50"/>
      <w:sz w:val="30"/>
      <w:szCs w:val="30"/>
      <w:shd w:val="clear" w:color="auto" w:fill="FFFFFF"/>
    </w:rPr>
  </w:style>
  <w:style w:type="paragraph" w:customStyle="1" w:styleId="217">
    <w:name w:val="标题 #7 (5)"/>
    <w:basedOn w:val="1"/>
    <w:link w:val="216"/>
    <w:autoRedefine/>
    <w:qFormat/>
    <w:uiPriority w:val="0"/>
    <w:pPr>
      <w:shd w:val="clear" w:color="auto" w:fill="FFFFFF"/>
      <w:spacing w:line="559" w:lineRule="exact"/>
      <w:jc w:val="left"/>
      <w:outlineLvl w:val="6"/>
    </w:pPr>
    <w:rPr>
      <w:rFonts w:ascii="MingLiU" w:hAnsi="MingLiU" w:eastAsia="MingLiU"/>
      <w:spacing w:val="50"/>
      <w:sz w:val="30"/>
      <w:szCs w:val="30"/>
    </w:rPr>
  </w:style>
  <w:style w:type="character" w:customStyle="1" w:styleId="218">
    <w:name w:val="正文文本 (2) + 间距 3 pt"/>
    <w:autoRedefine/>
    <w:qFormat/>
    <w:uiPriority w:val="0"/>
    <w:rPr>
      <w:rFonts w:ascii="MingLiU" w:hAnsi="MingLiU" w:eastAsia="MingLiU" w:cs="MingLiU"/>
      <w:color w:val="000000"/>
      <w:spacing w:val="60"/>
      <w:w w:val="100"/>
      <w:position w:val="0"/>
      <w:sz w:val="22"/>
      <w:szCs w:val="22"/>
      <w:u w:val="none"/>
      <w:shd w:val="clear" w:color="auto" w:fill="FFFFFF"/>
      <w:lang w:val="zh-CN" w:eastAsia="zh-CN"/>
    </w:rPr>
  </w:style>
  <w:style w:type="character" w:customStyle="1" w:styleId="219">
    <w:name w:val="页眉或页脚 + Impact1"/>
    <w:autoRedefine/>
    <w:qFormat/>
    <w:uiPriority w:val="0"/>
    <w:rPr>
      <w:rFonts w:ascii="Impact" w:hAnsi="Impact" w:eastAsia="Times New Roman" w:cs="Impact"/>
      <w:color w:val="000000"/>
      <w:spacing w:val="0"/>
      <w:w w:val="100"/>
      <w:position w:val="0"/>
      <w:sz w:val="16"/>
      <w:szCs w:val="16"/>
      <w:u w:val="none"/>
      <w:lang w:val="zh-CN" w:eastAsia="zh-CN" w:bidi="ar-SA"/>
    </w:rPr>
  </w:style>
  <w:style w:type="character" w:customStyle="1" w:styleId="220">
    <w:name w:val="日期 Char1"/>
    <w:autoRedefine/>
    <w:qFormat/>
    <w:uiPriority w:val="0"/>
    <w:rPr>
      <w:rFonts w:ascii="Times New Roman" w:hAnsi="Times New Roman" w:eastAsia="宋体" w:cs="Times New Roman"/>
      <w:szCs w:val="24"/>
    </w:rPr>
  </w:style>
  <w:style w:type="character" w:customStyle="1" w:styleId="221">
    <w:name w:val="Char Char5"/>
    <w:autoRedefine/>
    <w:qFormat/>
    <w:uiPriority w:val="0"/>
    <w:rPr>
      <w:rFonts w:eastAsia="宋体"/>
      <w:b/>
      <w:bCs/>
      <w:kern w:val="2"/>
      <w:sz w:val="28"/>
      <w:szCs w:val="28"/>
      <w:lang w:val="en-US" w:eastAsia="zh-CN" w:bidi="ar-SA"/>
    </w:rPr>
  </w:style>
  <w:style w:type="character" w:customStyle="1" w:styleId="222">
    <w:name w:val="标题 Char3"/>
    <w:autoRedefine/>
    <w:qFormat/>
    <w:uiPriority w:val="0"/>
    <w:rPr>
      <w:rFonts w:ascii="Cambria" w:hAnsi="Cambria" w:cs="Times New Roman"/>
      <w:b/>
      <w:bCs/>
      <w:kern w:val="2"/>
      <w:sz w:val="32"/>
      <w:szCs w:val="32"/>
    </w:rPr>
  </w:style>
  <w:style w:type="character" w:customStyle="1" w:styleId="223">
    <w:name w:val="正文文本 Char2"/>
    <w:autoRedefine/>
    <w:qFormat/>
    <w:uiPriority w:val="0"/>
    <w:rPr>
      <w:kern w:val="2"/>
      <w:sz w:val="21"/>
      <w:szCs w:val="24"/>
    </w:rPr>
  </w:style>
  <w:style w:type="character" w:customStyle="1" w:styleId="224">
    <w:name w:val="正文文本 (2) + 5.5 pt"/>
    <w:autoRedefine/>
    <w:qFormat/>
    <w:uiPriority w:val="0"/>
    <w:rPr>
      <w:rFonts w:ascii="MingLiU" w:hAnsi="MingLiU" w:eastAsia="MingLiU" w:cs="MingLiU"/>
      <w:i/>
      <w:iCs/>
      <w:color w:val="000000"/>
      <w:spacing w:val="10"/>
      <w:w w:val="100"/>
      <w:position w:val="0"/>
      <w:sz w:val="11"/>
      <w:szCs w:val="11"/>
      <w:u w:val="none"/>
      <w:shd w:val="clear" w:color="auto" w:fill="FFFFFF"/>
      <w:lang w:val="zh-CN" w:eastAsia="zh-CN"/>
    </w:rPr>
  </w:style>
  <w:style w:type="character" w:customStyle="1" w:styleId="225">
    <w:name w:val="页眉或页脚 + 间距 0 pt"/>
    <w:autoRedefine/>
    <w:qFormat/>
    <w:uiPriority w:val="0"/>
    <w:rPr>
      <w:rFonts w:ascii="MingLiU" w:hAnsi="MingLiU" w:eastAsia="MingLiU" w:cs="MingLiU"/>
      <w:color w:val="000000"/>
      <w:spacing w:val="0"/>
      <w:w w:val="100"/>
      <w:position w:val="0"/>
      <w:sz w:val="20"/>
      <w:szCs w:val="20"/>
      <w:u w:val="none"/>
      <w:lang w:val="zh-CN" w:eastAsia="zh-CN" w:bidi="ar-SA"/>
    </w:rPr>
  </w:style>
  <w:style w:type="character" w:customStyle="1" w:styleId="226">
    <w:name w:val="Char Char4"/>
    <w:autoRedefine/>
    <w:qFormat/>
    <w:uiPriority w:val="0"/>
    <w:rPr>
      <w:b/>
      <w:bCs/>
      <w:kern w:val="2"/>
      <w:sz w:val="21"/>
      <w:szCs w:val="24"/>
      <w:lang w:bidi="ar-SA"/>
    </w:rPr>
  </w:style>
  <w:style w:type="character" w:customStyle="1" w:styleId="227">
    <w:name w:val="正文文本 (2) + 10 pt14"/>
    <w:autoRedefine/>
    <w:qFormat/>
    <w:uiPriority w:val="0"/>
    <w:rPr>
      <w:rFonts w:ascii="MingLiU" w:hAnsi="MingLiU" w:eastAsia="MingLiU" w:cs="MingLiU"/>
      <w:color w:val="000000"/>
      <w:spacing w:val="-40"/>
      <w:w w:val="100"/>
      <w:position w:val="0"/>
      <w:sz w:val="20"/>
      <w:szCs w:val="20"/>
      <w:u w:val="none"/>
      <w:shd w:val="clear" w:color="auto" w:fill="FFFFFF"/>
      <w:lang w:val="zh-CN" w:eastAsia="zh-CN"/>
    </w:rPr>
  </w:style>
  <w:style w:type="character" w:customStyle="1" w:styleId="228">
    <w:name w:val="Char Char19"/>
    <w:autoRedefine/>
    <w:qFormat/>
    <w:uiPriority w:val="0"/>
    <w:rPr>
      <w:rFonts w:ascii="Arial" w:hAnsi="Arial" w:eastAsia="宋体" w:cs="Times New Roman"/>
      <w:b/>
      <w:bCs/>
      <w:szCs w:val="28"/>
    </w:rPr>
  </w:style>
  <w:style w:type="character" w:customStyle="1" w:styleId="229">
    <w:name w:val="正文文本 (2) + 间距 2 pt1"/>
    <w:autoRedefine/>
    <w:qFormat/>
    <w:uiPriority w:val="0"/>
    <w:rPr>
      <w:rFonts w:ascii="MingLiU" w:hAnsi="MingLiU" w:eastAsia="MingLiU" w:cs="MingLiU"/>
      <w:color w:val="000000"/>
      <w:spacing w:val="50"/>
      <w:w w:val="100"/>
      <w:position w:val="0"/>
      <w:sz w:val="22"/>
      <w:szCs w:val="22"/>
      <w:u w:val="none"/>
      <w:shd w:val="clear" w:color="auto" w:fill="FFFFFF"/>
      <w:lang w:val="zh-CN" w:eastAsia="zh-CN"/>
    </w:rPr>
  </w:style>
  <w:style w:type="character" w:customStyle="1" w:styleId="230">
    <w:name w:val="正文文本 (2) + 间距 0 pt2"/>
    <w:autoRedefine/>
    <w:qFormat/>
    <w:uiPriority w:val="0"/>
    <w:rPr>
      <w:rFonts w:ascii="MingLiU" w:hAnsi="MingLiU" w:eastAsia="MingLiU" w:cs="MingLiU"/>
      <w:color w:val="000000"/>
      <w:spacing w:val="0"/>
      <w:w w:val="100"/>
      <w:position w:val="0"/>
      <w:sz w:val="22"/>
      <w:szCs w:val="22"/>
      <w:u w:val="none"/>
      <w:shd w:val="clear" w:color="auto" w:fill="FFFFFF"/>
      <w:lang w:val="zh-CN" w:eastAsia="zh-CN" w:bidi="zh-CN"/>
    </w:rPr>
  </w:style>
  <w:style w:type="character" w:customStyle="1" w:styleId="231">
    <w:name w:val="批注框文本 Char1"/>
    <w:autoRedefine/>
    <w:qFormat/>
    <w:uiPriority w:val="0"/>
    <w:rPr>
      <w:sz w:val="18"/>
      <w:szCs w:val="18"/>
    </w:rPr>
  </w:style>
  <w:style w:type="character" w:customStyle="1" w:styleId="232">
    <w:name w:val="引用 Char2"/>
    <w:autoRedefine/>
    <w:qFormat/>
    <w:uiPriority w:val="29"/>
    <w:rPr>
      <w:i/>
      <w:iCs/>
      <w:color w:val="000000"/>
      <w:sz w:val="21"/>
    </w:rPr>
  </w:style>
  <w:style w:type="character" w:customStyle="1" w:styleId="233">
    <w:name w:val="标题 Char1"/>
    <w:autoRedefine/>
    <w:qFormat/>
    <w:uiPriority w:val="0"/>
    <w:rPr>
      <w:rFonts w:ascii="Cambria" w:hAnsi="Cambria" w:eastAsia="宋体" w:cs="Times New Roman"/>
      <w:b/>
      <w:bCs/>
      <w:sz w:val="32"/>
      <w:szCs w:val="32"/>
    </w:rPr>
  </w:style>
  <w:style w:type="character" w:customStyle="1" w:styleId="234">
    <w:name w:val="引用 Char3"/>
    <w:autoRedefine/>
    <w:qFormat/>
    <w:uiPriority w:val="99"/>
    <w:rPr>
      <w:i/>
      <w:iCs/>
      <w:color w:val="000000"/>
      <w:kern w:val="2"/>
      <w:sz w:val="21"/>
      <w:szCs w:val="24"/>
    </w:rPr>
  </w:style>
  <w:style w:type="character" w:customStyle="1" w:styleId="235">
    <w:name w:val="正文文本 Char1"/>
    <w:autoRedefine/>
    <w:qFormat/>
    <w:uiPriority w:val="0"/>
    <w:rPr>
      <w:sz w:val="21"/>
    </w:rPr>
  </w:style>
  <w:style w:type="character" w:customStyle="1" w:styleId="236">
    <w:name w:val="文档结构图 Char1"/>
    <w:autoRedefine/>
    <w:qFormat/>
    <w:uiPriority w:val="0"/>
    <w:rPr>
      <w:rFonts w:ascii="宋体"/>
      <w:sz w:val="18"/>
      <w:szCs w:val="18"/>
    </w:rPr>
  </w:style>
  <w:style w:type="character" w:customStyle="1" w:styleId="237">
    <w:name w:val="Heading 3 Char1"/>
    <w:autoRedefine/>
    <w:qFormat/>
    <w:uiPriority w:val="0"/>
    <w:rPr>
      <w:rFonts w:eastAsia="宋体"/>
      <w:b/>
      <w:bCs/>
      <w:kern w:val="2"/>
      <w:sz w:val="24"/>
      <w:szCs w:val="32"/>
      <w:lang w:val="en-US" w:eastAsia="zh-CN" w:bidi="ar-SA"/>
    </w:rPr>
  </w:style>
  <w:style w:type="character" w:customStyle="1" w:styleId="238">
    <w:name w:val="Footnote Text Char"/>
    <w:autoRedefine/>
    <w:qFormat/>
    <w:uiPriority w:val="0"/>
    <w:rPr>
      <w:rFonts w:eastAsia="宋体"/>
      <w:sz w:val="18"/>
      <w:lang w:val="en-US" w:eastAsia="zh-CN" w:bidi="ar-SA"/>
    </w:rPr>
  </w:style>
  <w:style w:type="character" w:customStyle="1" w:styleId="239">
    <w:name w:val="副标题 Char1"/>
    <w:autoRedefine/>
    <w:qFormat/>
    <w:uiPriority w:val="11"/>
    <w:rPr>
      <w:rFonts w:ascii="Cambria" w:hAnsi="Cambria" w:eastAsia="宋体" w:cs="Times New Roman"/>
      <w:b/>
      <w:bCs/>
      <w:kern w:val="28"/>
      <w:sz w:val="32"/>
      <w:szCs w:val="32"/>
    </w:rPr>
  </w:style>
  <w:style w:type="character" w:customStyle="1" w:styleId="240">
    <w:name w:val="明显强调31"/>
    <w:autoRedefine/>
    <w:qFormat/>
    <w:uiPriority w:val="0"/>
    <w:rPr>
      <w:b/>
      <w:bCs/>
      <w:i/>
      <w:iCs/>
      <w:color w:val="4F81BD"/>
    </w:rPr>
  </w:style>
  <w:style w:type="character" w:customStyle="1" w:styleId="241">
    <w:name w:val="style1"/>
    <w:basedOn w:val="55"/>
    <w:autoRedefine/>
    <w:qFormat/>
    <w:uiPriority w:val="0"/>
  </w:style>
  <w:style w:type="character" w:customStyle="1" w:styleId="242">
    <w:name w:val="HTML 预设格式 Char1"/>
    <w:autoRedefine/>
    <w:qFormat/>
    <w:uiPriority w:val="99"/>
    <w:rPr>
      <w:rFonts w:ascii="Courier New" w:hAnsi="Courier New" w:cs="Courier New"/>
      <w:kern w:val="2"/>
    </w:rPr>
  </w:style>
  <w:style w:type="character" w:customStyle="1" w:styleId="243">
    <w:name w:val="正文呀2 Char"/>
    <w:link w:val="244"/>
    <w:autoRedefine/>
    <w:qFormat/>
    <w:uiPriority w:val="0"/>
    <w:rPr>
      <w:kern w:val="2"/>
      <w:sz w:val="21"/>
      <w:szCs w:val="21"/>
    </w:rPr>
  </w:style>
  <w:style w:type="paragraph" w:customStyle="1" w:styleId="244">
    <w:name w:val="正文呀2"/>
    <w:basedOn w:val="113"/>
    <w:link w:val="243"/>
    <w:autoRedefine/>
    <w:qFormat/>
    <w:uiPriority w:val="0"/>
    <w:rPr>
      <w:rFonts w:ascii="Times New Roman" w:hAnsi="Times New Roman"/>
    </w:rPr>
  </w:style>
  <w:style w:type="character" w:customStyle="1" w:styleId="245">
    <w:name w:val="普通文字 Char Char5"/>
    <w:autoRedefine/>
    <w:qFormat/>
    <w:uiPriority w:val="0"/>
    <w:rPr>
      <w:rFonts w:ascii="宋体" w:hAnsi="Courier New" w:eastAsia="宋体"/>
      <w:szCs w:val="21"/>
      <w:lang w:bidi="ar-SA"/>
    </w:rPr>
  </w:style>
  <w:style w:type="character" w:customStyle="1" w:styleId="246">
    <w:name w:val="Footer Char"/>
    <w:autoRedefine/>
    <w:qFormat/>
    <w:uiPriority w:val="0"/>
    <w:rPr>
      <w:rFonts w:eastAsia="宋体"/>
      <w:kern w:val="2"/>
      <w:sz w:val="18"/>
      <w:szCs w:val="18"/>
      <w:lang w:val="en-US" w:eastAsia="zh-CN" w:bidi="ar-SA"/>
    </w:rPr>
  </w:style>
  <w:style w:type="character" w:customStyle="1" w:styleId="247">
    <w:name w:val="表格标题 (4)_"/>
    <w:link w:val="248"/>
    <w:autoRedefine/>
    <w:qFormat/>
    <w:locked/>
    <w:uiPriority w:val="0"/>
    <w:rPr>
      <w:rFonts w:ascii="MingLiU" w:hAnsi="MingLiU" w:eastAsia="MingLiU"/>
      <w:b/>
      <w:bCs/>
      <w:sz w:val="22"/>
      <w:shd w:val="clear" w:color="auto" w:fill="FFFFFF"/>
    </w:rPr>
  </w:style>
  <w:style w:type="paragraph" w:customStyle="1" w:styleId="248">
    <w:name w:val="表格标题 (4)"/>
    <w:basedOn w:val="1"/>
    <w:link w:val="247"/>
    <w:autoRedefine/>
    <w:qFormat/>
    <w:uiPriority w:val="0"/>
    <w:pPr>
      <w:shd w:val="clear" w:color="auto" w:fill="FFFFFF"/>
      <w:spacing w:line="240" w:lineRule="atLeast"/>
      <w:jc w:val="left"/>
    </w:pPr>
    <w:rPr>
      <w:rFonts w:ascii="MingLiU" w:hAnsi="MingLiU" w:eastAsia="MingLiU"/>
      <w:b/>
      <w:bCs/>
      <w:sz w:val="22"/>
      <w:szCs w:val="22"/>
    </w:rPr>
  </w:style>
  <w:style w:type="character" w:customStyle="1" w:styleId="249">
    <w:name w:val="批注文字 Char Char"/>
    <w:autoRedefine/>
    <w:qFormat/>
    <w:uiPriority w:val="0"/>
    <w:rPr>
      <w:rFonts w:ascii="宋体" w:hAnsi="Times New Roman" w:eastAsia="宋体" w:cs="Times New Roman"/>
      <w:sz w:val="28"/>
      <w:szCs w:val="20"/>
    </w:rPr>
  </w:style>
  <w:style w:type="character" w:customStyle="1" w:styleId="250">
    <w:name w:val="页眉或页脚 + 间距 1 pt1"/>
    <w:autoRedefine/>
    <w:qFormat/>
    <w:uiPriority w:val="0"/>
    <w:rPr>
      <w:rFonts w:ascii="MingLiU" w:hAnsi="MingLiU" w:eastAsia="MingLiU" w:cs="MingLiU"/>
      <w:color w:val="000000"/>
      <w:spacing w:val="30"/>
      <w:w w:val="100"/>
      <w:position w:val="0"/>
      <w:sz w:val="20"/>
      <w:szCs w:val="20"/>
      <w:u w:val="none"/>
      <w:lang w:val="zh-CN" w:eastAsia="zh-CN" w:bidi="ar-SA"/>
    </w:rPr>
  </w:style>
  <w:style w:type="character" w:customStyle="1" w:styleId="251">
    <w:name w:val="标题5 Char Char"/>
    <w:link w:val="252"/>
    <w:autoRedefine/>
    <w:qFormat/>
    <w:uiPriority w:val="0"/>
    <w:rPr>
      <w:rFonts w:ascii="Arial" w:hAnsi="Arial"/>
      <w:b/>
      <w:bCs/>
      <w:sz w:val="24"/>
      <w:szCs w:val="32"/>
    </w:rPr>
  </w:style>
  <w:style w:type="paragraph" w:customStyle="1" w:styleId="252">
    <w:name w:val="标题5"/>
    <w:basedOn w:val="5"/>
    <w:link w:val="251"/>
    <w:autoRedefine/>
    <w:qFormat/>
    <w:uiPriority w:val="0"/>
    <w:pPr>
      <w:widowControl w:val="0"/>
      <w:spacing w:line="413" w:lineRule="auto"/>
    </w:pPr>
    <w:rPr>
      <w:rFonts w:ascii="Arial" w:hAnsi="Arial"/>
      <w:kern w:val="0"/>
    </w:rPr>
  </w:style>
  <w:style w:type="character" w:customStyle="1" w:styleId="253">
    <w:name w:val="标题 #8 (3)_"/>
    <w:link w:val="254"/>
    <w:autoRedefine/>
    <w:qFormat/>
    <w:uiPriority w:val="0"/>
    <w:rPr>
      <w:rFonts w:ascii="MingLiU" w:hAnsi="MingLiU" w:eastAsia="MingLiU" w:cs="MingLiU"/>
      <w:shd w:val="clear" w:color="auto" w:fill="FFFFFF"/>
    </w:rPr>
  </w:style>
  <w:style w:type="paragraph" w:customStyle="1" w:styleId="254">
    <w:name w:val="标题 #8 (3)"/>
    <w:basedOn w:val="1"/>
    <w:link w:val="253"/>
    <w:autoRedefine/>
    <w:qFormat/>
    <w:uiPriority w:val="0"/>
    <w:pPr>
      <w:shd w:val="clear" w:color="auto" w:fill="FFFFFF"/>
      <w:spacing w:before="300" w:after="420" w:line="0" w:lineRule="atLeast"/>
      <w:jc w:val="distribute"/>
      <w:outlineLvl w:val="7"/>
    </w:pPr>
    <w:rPr>
      <w:rFonts w:ascii="MingLiU" w:hAnsi="MingLiU" w:eastAsia="MingLiU" w:cs="MingLiU"/>
      <w:szCs w:val="22"/>
    </w:rPr>
  </w:style>
  <w:style w:type="character" w:customStyle="1" w:styleId="255">
    <w:name w:val="脚注文本 Char"/>
    <w:autoRedefine/>
    <w:qFormat/>
    <w:uiPriority w:val="0"/>
    <w:rPr>
      <w:sz w:val="18"/>
      <w:szCs w:val="18"/>
    </w:rPr>
  </w:style>
  <w:style w:type="character" w:customStyle="1" w:styleId="256">
    <w:name w:val="批注主题 Char1"/>
    <w:autoRedefine/>
    <w:qFormat/>
    <w:uiPriority w:val="0"/>
    <w:rPr>
      <w:b/>
      <w:bCs/>
      <w:kern w:val="2"/>
      <w:sz w:val="21"/>
      <w:szCs w:val="24"/>
    </w:rPr>
  </w:style>
  <w:style w:type="character" w:customStyle="1" w:styleId="257">
    <w:name w:val="Char Char8"/>
    <w:autoRedefine/>
    <w:qFormat/>
    <w:uiPriority w:val="0"/>
    <w:rPr>
      <w:rFonts w:eastAsia="宋体"/>
      <w:b/>
      <w:bCs/>
      <w:kern w:val="44"/>
      <w:sz w:val="32"/>
      <w:szCs w:val="44"/>
      <w:lang w:val="en-US" w:eastAsia="zh-CN" w:bidi="ar-SA"/>
    </w:rPr>
  </w:style>
  <w:style w:type="character" w:customStyle="1" w:styleId="258">
    <w:name w:val="Char Char Char"/>
    <w:autoRedefine/>
    <w:qFormat/>
    <w:uiPriority w:val="0"/>
    <w:rPr>
      <w:rFonts w:eastAsia="宋体"/>
      <w:kern w:val="2"/>
      <w:sz w:val="18"/>
      <w:szCs w:val="18"/>
      <w:lang w:val="en-US" w:eastAsia="zh-CN" w:bidi="ar-SA"/>
    </w:rPr>
  </w:style>
  <w:style w:type="character" w:customStyle="1" w:styleId="259">
    <w:name w:val="副标题 Char2"/>
    <w:autoRedefine/>
    <w:qFormat/>
    <w:uiPriority w:val="0"/>
    <w:rPr>
      <w:rFonts w:ascii="Cambria" w:hAnsi="Cambria" w:cs="Times New Roman"/>
      <w:b/>
      <w:bCs/>
      <w:kern w:val="28"/>
      <w:sz w:val="32"/>
      <w:szCs w:val="32"/>
    </w:rPr>
  </w:style>
  <w:style w:type="character" w:customStyle="1" w:styleId="260">
    <w:name w:val="062"/>
    <w:autoRedefine/>
    <w:qFormat/>
    <w:uiPriority w:val="0"/>
    <w:rPr>
      <w:rFonts w:ascii="宋体" w:hAnsi="宋体"/>
      <w:b/>
      <w:bCs/>
      <w:sz w:val="32"/>
    </w:rPr>
  </w:style>
  <w:style w:type="character" w:customStyle="1" w:styleId="261">
    <w:name w:val="Char Char22"/>
    <w:autoRedefine/>
    <w:qFormat/>
    <w:uiPriority w:val="0"/>
    <w:rPr>
      <w:rFonts w:ascii="Times New Roman" w:hAnsi="Times New Roman" w:eastAsia="宋体" w:cs="Times New Roman"/>
      <w:b/>
      <w:bCs/>
      <w:kern w:val="44"/>
      <w:sz w:val="32"/>
      <w:szCs w:val="44"/>
    </w:rPr>
  </w:style>
  <w:style w:type="character" w:customStyle="1" w:styleId="262">
    <w:name w:val="书籍标题3"/>
    <w:autoRedefine/>
    <w:qFormat/>
    <w:uiPriority w:val="0"/>
    <w:rPr>
      <w:b/>
      <w:bCs/>
      <w:smallCaps/>
      <w:spacing w:val="5"/>
    </w:rPr>
  </w:style>
  <w:style w:type="character" w:customStyle="1" w:styleId="263">
    <w:name w:val="标题 3 Char1"/>
    <w:autoRedefine/>
    <w:qFormat/>
    <w:uiPriority w:val="0"/>
    <w:rPr>
      <w:b/>
      <w:bCs/>
      <w:kern w:val="2"/>
      <w:sz w:val="32"/>
      <w:szCs w:val="32"/>
    </w:rPr>
  </w:style>
  <w:style w:type="character" w:customStyle="1" w:styleId="264">
    <w:name w:val="书籍标题31"/>
    <w:autoRedefine/>
    <w:qFormat/>
    <w:uiPriority w:val="0"/>
    <w:rPr>
      <w:b/>
      <w:bCs/>
      <w:smallCaps/>
      <w:spacing w:val="5"/>
    </w:rPr>
  </w:style>
  <w:style w:type="character" w:customStyle="1" w:styleId="265">
    <w:name w:val="Char Char91"/>
    <w:autoRedefine/>
    <w:qFormat/>
    <w:uiPriority w:val="0"/>
    <w:rPr>
      <w:rFonts w:eastAsia="宋体"/>
      <w:b/>
      <w:bCs/>
      <w:kern w:val="44"/>
      <w:sz w:val="32"/>
      <w:szCs w:val="44"/>
      <w:lang w:val="en-US" w:eastAsia="zh-CN" w:bidi="ar-SA"/>
    </w:rPr>
  </w:style>
  <w:style w:type="character" w:customStyle="1" w:styleId="266">
    <w:name w:val="Body Text Indent 2 Char"/>
    <w:autoRedefine/>
    <w:qFormat/>
    <w:uiPriority w:val="0"/>
    <w:rPr>
      <w:rFonts w:eastAsia="宋体"/>
      <w:kern w:val="2"/>
      <w:sz w:val="21"/>
      <w:szCs w:val="24"/>
      <w:lang w:val="en-US" w:eastAsia="zh-CN" w:bidi="ar-SA"/>
    </w:rPr>
  </w:style>
  <w:style w:type="character" w:customStyle="1" w:styleId="267">
    <w:name w:val="明显参考31"/>
    <w:autoRedefine/>
    <w:qFormat/>
    <w:uiPriority w:val="0"/>
    <w:rPr>
      <w:b/>
      <w:bCs/>
      <w:smallCaps/>
      <w:color w:val="C0504D"/>
      <w:spacing w:val="5"/>
      <w:u w:val="single"/>
    </w:rPr>
  </w:style>
  <w:style w:type="character" w:customStyle="1" w:styleId="268">
    <w:name w:val="标题 #7 (4) + 间距 7 pt"/>
    <w:autoRedefine/>
    <w:qFormat/>
    <w:uiPriority w:val="0"/>
    <w:rPr>
      <w:rFonts w:ascii="MingLiU" w:hAnsi="MingLiU" w:eastAsia="MingLiU"/>
      <w:color w:val="000000"/>
      <w:spacing w:val="140"/>
      <w:w w:val="100"/>
      <w:position w:val="0"/>
      <w:sz w:val="26"/>
      <w:szCs w:val="26"/>
      <w:lang w:val="zh-CN" w:eastAsia="zh-CN" w:bidi="ar-SA"/>
    </w:rPr>
  </w:style>
  <w:style w:type="character" w:customStyle="1" w:styleId="269">
    <w:name w:val="不明显参考2"/>
    <w:autoRedefine/>
    <w:qFormat/>
    <w:uiPriority w:val="31"/>
    <w:rPr>
      <w:smallCaps/>
      <w:color w:val="C0504D"/>
      <w:u w:val="single"/>
    </w:rPr>
  </w:style>
  <w:style w:type="character" w:customStyle="1" w:styleId="270">
    <w:name w:val="NormalCharacter"/>
    <w:autoRedefine/>
    <w:semiHidden/>
    <w:qFormat/>
    <w:uiPriority w:val="0"/>
  </w:style>
  <w:style w:type="character" w:customStyle="1" w:styleId="271">
    <w:name w:val="Char Char9"/>
    <w:autoRedefine/>
    <w:qFormat/>
    <w:uiPriority w:val="0"/>
    <w:rPr>
      <w:rFonts w:eastAsia="宋体"/>
      <w:b/>
      <w:bCs/>
      <w:kern w:val="44"/>
      <w:sz w:val="32"/>
      <w:szCs w:val="44"/>
      <w:lang w:val="en-US" w:eastAsia="zh-CN" w:bidi="ar-SA"/>
    </w:rPr>
  </w:style>
  <w:style w:type="character" w:customStyle="1" w:styleId="272">
    <w:name w:val="样式 Char"/>
    <w:autoRedefine/>
    <w:qFormat/>
    <w:uiPriority w:val="0"/>
    <w:rPr>
      <w:rFonts w:ascii="宋体" w:hAnsi="宋体" w:eastAsia="宋体" w:cs="宋体"/>
      <w:sz w:val="24"/>
      <w:szCs w:val="24"/>
      <w:lang w:val="en-US" w:eastAsia="zh-CN" w:bidi="ar-SA"/>
    </w:rPr>
  </w:style>
  <w:style w:type="character" w:customStyle="1" w:styleId="273">
    <w:name w:val="批注文字 Char1"/>
    <w:autoRedefine/>
    <w:qFormat/>
    <w:uiPriority w:val="0"/>
    <w:rPr>
      <w:rFonts w:ascii="Times New Roman" w:hAnsi="Times New Roman" w:eastAsia="宋体" w:cs="Times New Roman"/>
      <w:szCs w:val="24"/>
    </w:rPr>
  </w:style>
  <w:style w:type="character" w:customStyle="1" w:styleId="274">
    <w:name w:val="Heading 4 Char"/>
    <w:autoRedefine/>
    <w:qFormat/>
    <w:uiPriority w:val="0"/>
    <w:rPr>
      <w:rFonts w:ascii="Arial" w:hAnsi="Arial" w:eastAsia="宋体"/>
      <w:b/>
      <w:bCs/>
      <w:kern w:val="2"/>
      <w:sz w:val="21"/>
      <w:szCs w:val="28"/>
      <w:lang w:val="en-US" w:eastAsia="zh-CN" w:bidi="ar-SA"/>
    </w:rPr>
  </w:style>
  <w:style w:type="character" w:customStyle="1" w:styleId="275">
    <w:name w:val="Heading 5 Char"/>
    <w:autoRedefine/>
    <w:qFormat/>
    <w:uiPriority w:val="0"/>
    <w:rPr>
      <w:rFonts w:eastAsia="宋体"/>
      <w:b/>
      <w:bCs/>
      <w:kern w:val="2"/>
      <w:sz w:val="28"/>
      <w:szCs w:val="28"/>
      <w:lang w:val="en-US" w:eastAsia="zh-CN" w:bidi="ar-SA"/>
    </w:rPr>
  </w:style>
  <w:style w:type="character" w:customStyle="1" w:styleId="276">
    <w:name w:val="font161"/>
    <w:autoRedefine/>
    <w:qFormat/>
    <w:uiPriority w:val="0"/>
    <w:rPr>
      <w:rFonts w:ascii="Arial" w:hAnsi="Arial" w:eastAsia="黑体"/>
      <w:b/>
      <w:bCs/>
      <w:kern w:val="2"/>
      <w:sz w:val="32"/>
      <w:szCs w:val="32"/>
      <w:lang w:val="en-US" w:eastAsia="zh-CN" w:bidi="ar-SA"/>
    </w:rPr>
  </w:style>
  <w:style w:type="character" w:customStyle="1" w:styleId="277">
    <w:name w:val="不明显强调11"/>
    <w:autoRedefine/>
    <w:qFormat/>
    <w:uiPriority w:val="19"/>
    <w:rPr>
      <w:i/>
      <w:iCs/>
      <w:color w:val="808080"/>
    </w:rPr>
  </w:style>
  <w:style w:type="character" w:customStyle="1" w:styleId="278">
    <w:name w:val="样式 4 + 四号 Char Char"/>
    <w:link w:val="279"/>
    <w:autoRedefine/>
    <w:qFormat/>
    <w:uiPriority w:val="0"/>
    <w:rPr>
      <w:rFonts w:ascii="Cambria" w:hAnsi="Cambria" w:eastAsia="宋体" w:cs="Times New Roman"/>
      <w:b/>
      <w:bCs/>
      <w:sz w:val="28"/>
      <w:szCs w:val="28"/>
    </w:rPr>
  </w:style>
  <w:style w:type="paragraph" w:customStyle="1" w:styleId="279">
    <w:name w:val="样式 4 + 四号"/>
    <w:basedOn w:val="103"/>
    <w:next w:val="6"/>
    <w:link w:val="278"/>
    <w:autoRedefine/>
    <w:qFormat/>
    <w:uiPriority w:val="0"/>
    <w:rPr>
      <w:sz w:val="28"/>
    </w:rPr>
  </w:style>
  <w:style w:type="character" w:customStyle="1" w:styleId="280">
    <w:name w:val="标题 #7 (4)_"/>
    <w:link w:val="281"/>
    <w:autoRedefine/>
    <w:qFormat/>
    <w:locked/>
    <w:uiPriority w:val="0"/>
    <w:rPr>
      <w:rFonts w:ascii="MingLiU" w:hAnsi="MingLiU" w:eastAsia="MingLiU"/>
      <w:sz w:val="26"/>
      <w:szCs w:val="26"/>
      <w:shd w:val="clear" w:color="auto" w:fill="FFFFFF"/>
    </w:rPr>
  </w:style>
  <w:style w:type="paragraph" w:customStyle="1" w:styleId="281">
    <w:name w:val="标题 #7 (4)"/>
    <w:basedOn w:val="1"/>
    <w:link w:val="280"/>
    <w:autoRedefine/>
    <w:qFormat/>
    <w:uiPriority w:val="0"/>
    <w:pPr>
      <w:shd w:val="clear" w:color="auto" w:fill="FFFFFF"/>
      <w:spacing w:after="1020" w:line="240" w:lineRule="atLeast"/>
      <w:jc w:val="left"/>
      <w:outlineLvl w:val="6"/>
    </w:pPr>
    <w:rPr>
      <w:rFonts w:ascii="MingLiU" w:hAnsi="MingLiU" w:eastAsia="MingLiU"/>
      <w:sz w:val="26"/>
      <w:szCs w:val="26"/>
    </w:rPr>
  </w:style>
  <w:style w:type="character" w:customStyle="1" w:styleId="282">
    <w:name w:val="Balloon Text Char"/>
    <w:autoRedefine/>
    <w:qFormat/>
    <w:uiPriority w:val="0"/>
    <w:rPr>
      <w:sz w:val="18"/>
      <w:lang w:bidi="ar-SA"/>
    </w:rPr>
  </w:style>
  <w:style w:type="character" w:customStyle="1" w:styleId="283">
    <w:name w:val="脚注文本 Char2"/>
    <w:autoRedefine/>
    <w:qFormat/>
    <w:uiPriority w:val="99"/>
    <w:rPr>
      <w:kern w:val="2"/>
      <w:sz w:val="18"/>
      <w:szCs w:val="18"/>
    </w:rPr>
  </w:style>
  <w:style w:type="character" w:customStyle="1" w:styleId="284">
    <w:name w:val="引用 字符"/>
    <w:link w:val="285"/>
    <w:autoRedefine/>
    <w:qFormat/>
    <w:uiPriority w:val="0"/>
    <w:rPr>
      <w:i/>
      <w:iCs/>
      <w:color w:val="000000"/>
      <w:szCs w:val="24"/>
    </w:rPr>
  </w:style>
  <w:style w:type="paragraph" w:styleId="285">
    <w:name w:val="Quote"/>
    <w:basedOn w:val="1"/>
    <w:next w:val="1"/>
    <w:link w:val="284"/>
    <w:autoRedefine/>
    <w:qFormat/>
    <w:uiPriority w:val="0"/>
    <w:pPr>
      <w:spacing w:line="360" w:lineRule="exact"/>
      <w:ind w:firstLine="200" w:firstLineChars="200"/>
    </w:pPr>
    <w:rPr>
      <w:rFonts w:ascii="Calibri" w:hAnsi="Calibri"/>
      <w:i/>
      <w:iCs/>
      <w:color w:val="000000"/>
    </w:rPr>
  </w:style>
  <w:style w:type="character" w:customStyle="1" w:styleId="286">
    <w:name w:val="标题4 Char Char"/>
    <w:link w:val="287"/>
    <w:autoRedefine/>
    <w:qFormat/>
    <w:uiPriority w:val="0"/>
    <w:rPr>
      <w:rFonts w:ascii="Arial" w:hAnsi="Arial"/>
      <w:b/>
      <w:bCs/>
      <w:sz w:val="24"/>
      <w:szCs w:val="32"/>
    </w:rPr>
  </w:style>
  <w:style w:type="paragraph" w:customStyle="1" w:styleId="287">
    <w:name w:val="标题4"/>
    <w:basedOn w:val="4"/>
    <w:next w:val="25"/>
    <w:link w:val="286"/>
    <w:autoRedefine/>
    <w:qFormat/>
    <w:uiPriority w:val="0"/>
    <w:pPr>
      <w:spacing w:before="60" w:after="60" w:line="413" w:lineRule="auto"/>
      <w:jc w:val="center"/>
    </w:pPr>
    <w:rPr>
      <w:rFonts w:ascii="Arial" w:hAnsi="Arial"/>
      <w:kern w:val="0"/>
      <w:sz w:val="24"/>
    </w:rPr>
  </w:style>
  <w:style w:type="character" w:customStyle="1" w:styleId="288">
    <w:name w:val="正文文本 (31)_"/>
    <w:link w:val="289"/>
    <w:autoRedefine/>
    <w:qFormat/>
    <w:locked/>
    <w:uiPriority w:val="0"/>
    <w:rPr>
      <w:shd w:val="clear" w:color="auto" w:fill="FFFFFF"/>
      <w:lang w:eastAsia="en-US"/>
    </w:rPr>
  </w:style>
  <w:style w:type="paragraph" w:customStyle="1" w:styleId="289">
    <w:name w:val="正文文本 (31)"/>
    <w:basedOn w:val="1"/>
    <w:link w:val="288"/>
    <w:autoRedefine/>
    <w:qFormat/>
    <w:uiPriority w:val="0"/>
    <w:pPr>
      <w:shd w:val="clear" w:color="auto" w:fill="FFFFFF"/>
      <w:spacing w:line="401" w:lineRule="exact"/>
      <w:ind w:firstLine="500"/>
    </w:pPr>
    <w:rPr>
      <w:rFonts w:ascii="Calibri" w:hAnsi="Calibri"/>
      <w:szCs w:val="22"/>
      <w:lang w:eastAsia="en-US"/>
    </w:rPr>
  </w:style>
  <w:style w:type="character" w:customStyle="1" w:styleId="290">
    <w:name w:val="标题 #7 + 间距 0 pt2"/>
    <w:autoRedefine/>
    <w:qFormat/>
    <w:uiPriority w:val="0"/>
    <w:rPr>
      <w:rFonts w:ascii="MingLiU" w:hAnsi="MingLiU" w:eastAsia="MingLiU" w:cs="MingLiU"/>
      <w:color w:val="000000"/>
      <w:spacing w:val="10"/>
      <w:w w:val="100"/>
      <w:position w:val="0"/>
      <w:sz w:val="26"/>
      <w:szCs w:val="26"/>
      <w:u w:val="single"/>
      <w:shd w:val="clear" w:color="auto" w:fill="FFFFFF"/>
      <w:lang w:val="zh-CN" w:eastAsia="zh-CN"/>
    </w:rPr>
  </w:style>
  <w:style w:type="character" w:customStyle="1" w:styleId="291">
    <w:name w:val="正文文本 (2) + 间距 0 pt6"/>
    <w:autoRedefine/>
    <w:qFormat/>
    <w:uiPriority w:val="0"/>
    <w:rPr>
      <w:rFonts w:ascii="MingLiU" w:hAnsi="MingLiU" w:eastAsia="MingLiU" w:cs="MingLiU"/>
      <w:color w:val="000000"/>
      <w:spacing w:val="0"/>
      <w:w w:val="100"/>
      <w:position w:val="0"/>
      <w:sz w:val="22"/>
      <w:szCs w:val="22"/>
      <w:u w:val="single"/>
      <w:shd w:val="clear" w:color="auto" w:fill="FFFFFF"/>
      <w:lang w:val="zh-CN" w:eastAsia="zh-CN"/>
    </w:rPr>
  </w:style>
  <w:style w:type="character" w:customStyle="1" w:styleId="292">
    <w:name w:val="Char Char1"/>
    <w:autoRedefine/>
    <w:qFormat/>
    <w:uiPriority w:val="0"/>
    <w:rPr>
      <w:rFonts w:eastAsia="宋体"/>
      <w:kern w:val="2"/>
      <w:sz w:val="18"/>
      <w:szCs w:val="18"/>
      <w:lang w:val="en-US" w:eastAsia="zh-CN" w:bidi="ar-SA"/>
    </w:rPr>
  </w:style>
  <w:style w:type="character" w:customStyle="1" w:styleId="293">
    <w:name w:val="Char Char61"/>
    <w:autoRedefine/>
    <w:qFormat/>
    <w:uiPriority w:val="0"/>
    <w:rPr>
      <w:rFonts w:eastAsia="宋体"/>
      <w:b/>
      <w:bCs/>
      <w:kern w:val="44"/>
      <w:sz w:val="32"/>
      <w:szCs w:val="44"/>
      <w:lang w:val="en-US" w:eastAsia="zh-CN" w:bidi="ar-SA"/>
    </w:rPr>
  </w:style>
  <w:style w:type="character" w:customStyle="1" w:styleId="294">
    <w:name w:val="font5 Char"/>
    <w:autoRedefine/>
    <w:qFormat/>
    <w:uiPriority w:val="0"/>
    <w:rPr>
      <w:rFonts w:ascii="宋体" w:hAnsi="宋体" w:eastAsia="宋体"/>
      <w:sz w:val="24"/>
      <w:szCs w:val="24"/>
      <w:lang w:val="en-US" w:eastAsia="zh-CN" w:bidi="ar-SA"/>
    </w:rPr>
  </w:style>
  <w:style w:type="character" w:customStyle="1" w:styleId="295">
    <w:name w:val="正文文本 (42)"/>
    <w:autoRedefine/>
    <w:qFormat/>
    <w:uiPriority w:val="0"/>
    <w:rPr>
      <w:rFonts w:ascii="MingLiU" w:hAnsi="MingLiU" w:eastAsia="MingLiU"/>
      <w:b/>
      <w:bCs/>
      <w:color w:val="000000"/>
      <w:spacing w:val="0"/>
      <w:w w:val="100"/>
      <w:position w:val="0"/>
      <w:u w:val="single"/>
      <w:lang w:val="zh-CN" w:eastAsia="zh-CN" w:bidi="ar-SA"/>
    </w:rPr>
  </w:style>
  <w:style w:type="character" w:customStyle="1" w:styleId="296">
    <w:name w:val="样式6 Char Char"/>
    <w:link w:val="297"/>
    <w:autoRedefine/>
    <w:qFormat/>
    <w:uiPriority w:val="0"/>
    <w:rPr>
      <w:rFonts w:ascii="Times New Roman" w:hAnsi="Times New Roman" w:eastAsia="宋体" w:cs="Times New Roman"/>
      <w:sz w:val="18"/>
      <w:szCs w:val="18"/>
    </w:rPr>
  </w:style>
  <w:style w:type="paragraph" w:customStyle="1" w:styleId="297">
    <w:name w:val="样式6"/>
    <w:basedOn w:val="34"/>
    <w:next w:val="298"/>
    <w:link w:val="296"/>
    <w:autoRedefine/>
    <w:qFormat/>
    <w:uiPriority w:val="0"/>
    <w:pPr>
      <w:pBdr>
        <w:bottom w:val="none" w:color="auto" w:sz="0" w:space="0"/>
      </w:pBdr>
      <w:spacing w:line="360" w:lineRule="exact"/>
      <w:ind w:firstLine="200" w:firstLineChars="200"/>
    </w:pPr>
    <w:rPr>
      <w:rFonts w:ascii="Calibri" w:hAnsi="Calibri"/>
    </w:rPr>
  </w:style>
  <w:style w:type="paragraph" w:customStyle="1" w:styleId="298">
    <w:name w:val="样式1"/>
    <w:basedOn w:val="34"/>
    <w:next w:val="1"/>
    <w:link w:val="299"/>
    <w:autoRedefine/>
    <w:qFormat/>
    <w:uiPriority w:val="0"/>
    <w:pPr>
      <w:pBdr>
        <w:bottom w:val="none" w:color="auto" w:sz="0" w:space="0"/>
      </w:pBdr>
      <w:spacing w:line="360" w:lineRule="auto"/>
      <w:ind w:right="-876" w:rightChars="-417"/>
    </w:pPr>
    <w:rPr>
      <w:rFonts w:ascii="Calibri" w:hAnsi="Calibri" w:eastAsia="黑体"/>
      <w:b/>
      <w:sz w:val="44"/>
    </w:rPr>
  </w:style>
  <w:style w:type="character" w:customStyle="1" w:styleId="299">
    <w:name w:val="样式1 Char Char"/>
    <w:link w:val="298"/>
    <w:autoRedefine/>
    <w:qFormat/>
    <w:uiPriority w:val="0"/>
    <w:rPr>
      <w:rFonts w:eastAsia="黑体"/>
      <w:b/>
      <w:sz w:val="44"/>
      <w:szCs w:val="18"/>
    </w:rPr>
  </w:style>
  <w:style w:type="character" w:customStyle="1" w:styleId="300">
    <w:name w:val="1ji Char Char"/>
    <w:link w:val="301"/>
    <w:autoRedefine/>
    <w:qFormat/>
    <w:uiPriority w:val="0"/>
    <w:rPr>
      <w:rFonts w:ascii="宋体" w:hAnsi="宋体"/>
      <w:b/>
      <w:bCs/>
      <w:sz w:val="36"/>
    </w:rPr>
  </w:style>
  <w:style w:type="paragraph" w:customStyle="1" w:styleId="301">
    <w:name w:val="1ji"/>
    <w:basedOn w:val="3"/>
    <w:link w:val="300"/>
    <w:autoRedefine/>
    <w:qFormat/>
    <w:uiPriority w:val="0"/>
    <w:pPr>
      <w:keepLines w:val="0"/>
      <w:widowControl/>
      <w:spacing w:before="0" w:after="0" w:line="240" w:lineRule="auto"/>
      <w:jc w:val="center"/>
    </w:pPr>
    <w:rPr>
      <w:rFonts w:ascii="宋体" w:hAnsi="宋体"/>
      <w:kern w:val="0"/>
      <w:szCs w:val="20"/>
    </w:rPr>
  </w:style>
  <w:style w:type="character" w:customStyle="1" w:styleId="302">
    <w:name w:val="标题 #7 (5) + 间距 0 pt"/>
    <w:autoRedefine/>
    <w:qFormat/>
    <w:uiPriority w:val="0"/>
    <w:rPr>
      <w:rFonts w:ascii="MingLiU" w:hAnsi="MingLiU" w:eastAsia="MingLiU"/>
      <w:color w:val="000000"/>
      <w:spacing w:val="0"/>
      <w:w w:val="100"/>
      <w:position w:val="0"/>
      <w:sz w:val="30"/>
      <w:szCs w:val="30"/>
      <w:lang w:val="zh-CN" w:eastAsia="zh-CN" w:bidi="ar-SA"/>
    </w:rPr>
  </w:style>
  <w:style w:type="character" w:customStyle="1" w:styleId="303">
    <w:name w:val="正文文本 (30)_"/>
    <w:link w:val="304"/>
    <w:autoRedefine/>
    <w:qFormat/>
    <w:locked/>
    <w:uiPriority w:val="0"/>
    <w:rPr>
      <w:shd w:val="clear" w:color="auto" w:fill="FFFFFF"/>
      <w:lang w:eastAsia="en-US"/>
    </w:rPr>
  </w:style>
  <w:style w:type="paragraph" w:customStyle="1" w:styleId="304">
    <w:name w:val="正文文本 (30)"/>
    <w:basedOn w:val="1"/>
    <w:link w:val="303"/>
    <w:autoRedefine/>
    <w:qFormat/>
    <w:uiPriority w:val="0"/>
    <w:pPr>
      <w:shd w:val="clear" w:color="auto" w:fill="FFFFFF"/>
      <w:spacing w:before="420" w:line="401" w:lineRule="exact"/>
      <w:ind w:firstLine="500"/>
    </w:pPr>
    <w:rPr>
      <w:rFonts w:ascii="Calibri" w:hAnsi="Calibri"/>
      <w:szCs w:val="22"/>
      <w:lang w:eastAsia="en-US"/>
    </w:rPr>
  </w:style>
  <w:style w:type="character" w:customStyle="1" w:styleId="305">
    <w:name w:val="标题 3 Char Char Char"/>
    <w:autoRedefine/>
    <w:qFormat/>
    <w:uiPriority w:val="0"/>
    <w:rPr>
      <w:rFonts w:eastAsia="宋体"/>
      <w:b/>
      <w:bCs/>
      <w:kern w:val="2"/>
      <w:sz w:val="32"/>
      <w:szCs w:val="32"/>
      <w:lang w:val="en-US" w:eastAsia="zh-CN" w:bidi="ar-SA"/>
    </w:rPr>
  </w:style>
  <w:style w:type="character" w:customStyle="1" w:styleId="306">
    <w:name w:val="不明显强调2"/>
    <w:autoRedefine/>
    <w:qFormat/>
    <w:uiPriority w:val="19"/>
    <w:rPr>
      <w:i/>
      <w:iCs/>
      <w:color w:val="808080"/>
    </w:rPr>
  </w:style>
  <w:style w:type="character" w:customStyle="1" w:styleId="307">
    <w:name w:val="正文文本 2 Char1"/>
    <w:autoRedefine/>
    <w:qFormat/>
    <w:uiPriority w:val="0"/>
    <w:rPr>
      <w:rFonts w:ascii="Times New Roman" w:hAnsi="Times New Roman" w:eastAsia="宋体" w:cs="Times New Roman"/>
      <w:szCs w:val="24"/>
    </w:rPr>
  </w:style>
  <w:style w:type="character" w:customStyle="1" w:styleId="308">
    <w:name w:val="Document Map Char"/>
    <w:autoRedefine/>
    <w:qFormat/>
    <w:uiPriority w:val="0"/>
    <w:rPr>
      <w:rFonts w:eastAsia="宋体"/>
      <w:kern w:val="2"/>
      <w:sz w:val="21"/>
      <w:szCs w:val="24"/>
      <w:lang w:val="en-US" w:eastAsia="zh-CN" w:bidi="ar-SA"/>
    </w:rPr>
  </w:style>
  <w:style w:type="character" w:customStyle="1" w:styleId="309">
    <w:name w:val="Heading 1 Char"/>
    <w:autoRedefine/>
    <w:qFormat/>
    <w:uiPriority w:val="0"/>
    <w:rPr>
      <w:rFonts w:eastAsia="宋体"/>
      <w:b/>
      <w:bCs/>
      <w:kern w:val="44"/>
      <w:sz w:val="32"/>
      <w:szCs w:val="44"/>
      <w:lang w:val="en-US" w:eastAsia="zh-CN" w:bidi="ar-SA"/>
    </w:rPr>
  </w:style>
  <w:style w:type="character" w:customStyle="1" w:styleId="310">
    <w:name w:val="标题 #7 + 间距 0 pt1"/>
    <w:autoRedefine/>
    <w:qFormat/>
    <w:uiPriority w:val="0"/>
    <w:rPr>
      <w:rFonts w:ascii="MingLiU" w:hAnsi="MingLiU" w:eastAsia="MingLiU" w:cs="MingLiU"/>
      <w:color w:val="000000"/>
      <w:spacing w:val="10"/>
      <w:w w:val="100"/>
      <w:position w:val="0"/>
      <w:sz w:val="26"/>
      <w:szCs w:val="26"/>
      <w:u w:val="none"/>
      <w:shd w:val="clear" w:color="auto" w:fill="FFFFFF"/>
      <w:lang w:val="zh-CN" w:eastAsia="zh-CN"/>
    </w:rPr>
  </w:style>
  <w:style w:type="character" w:customStyle="1" w:styleId="311">
    <w:name w:val="textcontents"/>
    <w:autoRedefine/>
    <w:qFormat/>
    <w:uiPriority w:val="0"/>
    <w:rPr>
      <w:rFonts w:cs="Times New Roman"/>
    </w:rPr>
  </w:style>
  <w:style w:type="character" w:customStyle="1" w:styleId="312">
    <w:name w:val="Char Char18"/>
    <w:autoRedefine/>
    <w:qFormat/>
    <w:uiPriority w:val="0"/>
    <w:rPr>
      <w:rFonts w:ascii="Times New Roman" w:hAnsi="Times New Roman" w:eastAsia="宋体" w:cs="Times New Roman"/>
      <w:b/>
      <w:bCs/>
      <w:sz w:val="28"/>
      <w:szCs w:val="28"/>
    </w:rPr>
  </w:style>
  <w:style w:type="character" w:customStyle="1" w:styleId="313">
    <w:name w:val="正文文本缩进 3 Char1"/>
    <w:autoRedefine/>
    <w:semiHidden/>
    <w:qFormat/>
    <w:uiPriority w:val="99"/>
    <w:rPr>
      <w:sz w:val="16"/>
      <w:szCs w:val="16"/>
    </w:rPr>
  </w:style>
  <w:style w:type="character" w:customStyle="1" w:styleId="314">
    <w:name w:val="表格标题_"/>
    <w:link w:val="315"/>
    <w:autoRedefine/>
    <w:qFormat/>
    <w:locked/>
    <w:uiPriority w:val="0"/>
    <w:rPr>
      <w:rFonts w:ascii="MingLiU" w:hAnsi="MingLiU" w:eastAsia="MingLiU"/>
      <w:shd w:val="clear" w:color="auto" w:fill="FFFFFF"/>
    </w:rPr>
  </w:style>
  <w:style w:type="paragraph" w:customStyle="1" w:styleId="315">
    <w:name w:val="表格标题"/>
    <w:basedOn w:val="1"/>
    <w:link w:val="314"/>
    <w:autoRedefine/>
    <w:qFormat/>
    <w:uiPriority w:val="0"/>
    <w:pPr>
      <w:shd w:val="clear" w:color="auto" w:fill="FFFFFF"/>
      <w:spacing w:line="322" w:lineRule="exact"/>
      <w:jc w:val="distribute"/>
    </w:pPr>
    <w:rPr>
      <w:rFonts w:ascii="MingLiU" w:hAnsi="MingLiU" w:eastAsia="MingLiU"/>
      <w:szCs w:val="22"/>
    </w:rPr>
  </w:style>
  <w:style w:type="character" w:customStyle="1" w:styleId="316">
    <w:name w:val="copy1"/>
    <w:autoRedefine/>
    <w:qFormat/>
    <w:uiPriority w:val="0"/>
    <w:rPr>
      <w:rFonts w:hint="default" w:ascii="Arial" w:hAnsi="Arial" w:cs="Arial"/>
      <w:color w:val="525252"/>
      <w:sz w:val="15"/>
      <w:szCs w:val="15"/>
      <w:u w:val="none"/>
    </w:rPr>
  </w:style>
  <w:style w:type="character" w:customStyle="1" w:styleId="317">
    <w:name w:val="页眉 Char1"/>
    <w:autoRedefine/>
    <w:semiHidden/>
    <w:qFormat/>
    <w:uiPriority w:val="99"/>
    <w:rPr>
      <w:sz w:val="18"/>
      <w:szCs w:val="18"/>
    </w:rPr>
  </w:style>
  <w:style w:type="character" w:customStyle="1" w:styleId="318">
    <w:name w:val="明显引用 Char1"/>
    <w:autoRedefine/>
    <w:qFormat/>
    <w:uiPriority w:val="30"/>
    <w:rPr>
      <w:rFonts w:ascii="Times New Roman" w:hAnsi="Times New Roman" w:eastAsia="宋体" w:cs="Times New Roman"/>
      <w:b/>
      <w:bCs/>
      <w:i/>
      <w:iCs/>
      <w:color w:val="4F81BD"/>
      <w:szCs w:val="24"/>
    </w:rPr>
  </w:style>
  <w:style w:type="paragraph" w:styleId="319">
    <w:name w:val="List Paragraph"/>
    <w:basedOn w:val="1"/>
    <w:autoRedefine/>
    <w:qFormat/>
    <w:uiPriority w:val="0"/>
    <w:pPr>
      <w:ind w:firstLine="420" w:firstLineChars="200"/>
    </w:pPr>
  </w:style>
  <w:style w:type="paragraph" w:customStyle="1" w:styleId="320">
    <w:name w:val="p0"/>
    <w:basedOn w:val="1"/>
    <w:autoRedefine/>
    <w:qFormat/>
    <w:uiPriority w:val="0"/>
    <w:pPr>
      <w:widowControl/>
    </w:pPr>
    <w:rPr>
      <w:rFonts w:ascii="Calibri" w:hAnsi="Calibri" w:cs="宋体"/>
      <w:kern w:val="0"/>
      <w:szCs w:val="21"/>
    </w:rPr>
  </w:style>
  <w:style w:type="paragraph" w:customStyle="1" w:styleId="321">
    <w:name w:val="Char2 Char Char Char"/>
    <w:basedOn w:val="1"/>
    <w:autoRedefine/>
    <w:qFormat/>
    <w:uiPriority w:val="0"/>
  </w:style>
  <w:style w:type="paragraph" w:customStyle="1" w:styleId="322">
    <w:name w:val="Char Char10"/>
    <w:basedOn w:val="1"/>
    <w:autoRedefine/>
    <w:qFormat/>
    <w:uiPriority w:val="0"/>
    <w:rPr>
      <w:rFonts w:ascii="仿宋_GB2312" w:eastAsia="仿宋_GB2312"/>
      <w:b/>
      <w:sz w:val="32"/>
      <w:szCs w:val="32"/>
    </w:rPr>
  </w:style>
  <w:style w:type="paragraph" w:customStyle="1" w:styleId="323">
    <w:name w:val="_Style 5"/>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4">
    <w:name w:val="Table Paragraph"/>
    <w:basedOn w:val="1"/>
    <w:autoRedefine/>
    <w:qFormat/>
    <w:uiPriority w:val="1"/>
    <w:pPr>
      <w:autoSpaceDE w:val="0"/>
      <w:autoSpaceDN w:val="0"/>
      <w:jc w:val="left"/>
    </w:pPr>
    <w:rPr>
      <w:rFonts w:ascii="Noto Sans CJK JP Regular" w:hAnsi="Noto Sans CJK JP Regular" w:eastAsia="Noto Sans CJK JP Regular" w:cs="Noto Sans CJK JP Regular"/>
      <w:kern w:val="0"/>
      <w:sz w:val="22"/>
      <w:szCs w:val="22"/>
      <w:lang w:val="zh-CN" w:bidi="zh-CN"/>
    </w:rPr>
  </w:style>
  <w:style w:type="paragraph" w:customStyle="1" w:styleId="325">
    <w:name w:val="样式 样式 4 + 宋体 小三 黑色 + 居中 左侧:  2 字符 首行缩进:  2 字符"/>
    <w:basedOn w:val="326"/>
    <w:next w:val="6"/>
    <w:autoRedefine/>
    <w:qFormat/>
    <w:uiPriority w:val="0"/>
    <w:pPr>
      <w:ind w:left="420" w:firstLine="602"/>
      <w:jc w:val="center"/>
    </w:pPr>
    <w:rPr>
      <w:rFonts w:cs="宋体"/>
      <w:szCs w:val="20"/>
    </w:rPr>
  </w:style>
  <w:style w:type="paragraph" w:customStyle="1" w:styleId="326">
    <w:name w:val="样式 4 + 宋体 小三 黑色"/>
    <w:basedOn w:val="103"/>
    <w:next w:val="6"/>
    <w:autoRedefine/>
    <w:qFormat/>
    <w:uiPriority w:val="0"/>
    <w:rPr>
      <w:rFonts w:ascii="宋体" w:hAnsi="宋体"/>
      <w:color w:val="000000"/>
      <w:sz w:val="30"/>
    </w:rPr>
  </w:style>
  <w:style w:type="paragraph" w:customStyle="1" w:styleId="327">
    <w:name w:val="2-2ji"/>
    <w:basedOn w:val="4"/>
    <w:autoRedefine/>
    <w:qFormat/>
    <w:uiPriority w:val="0"/>
    <w:pPr>
      <w:adjustRightInd w:val="0"/>
      <w:spacing w:before="0" w:after="0" w:line="360" w:lineRule="auto"/>
      <w:jc w:val="center"/>
      <w:textAlignment w:val="baseline"/>
    </w:pPr>
    <w:rPr>
      <w:rFonts w:ascii="宋体" w:hAnsi="宋体"/>
      <w:bCs w:val="0"/>
      <w:kern w:val="0"/>
      <w:sz w:val="36"/>
    </w:rPr>
  </w:style>
  <w:style w:type="paragraph" w:customStyle="1" w:styleId="328">
    <w:name w:val="(1)"/>
    <w:basedOn w:val="329"/>
    <w:autoRedefine/>
    <w:qFormat/>
    <w:uiPriority w:val="0"/>
    <w:pPr>
      <w:spacing w:before="240"/>
      <w:ind w:left="431" w:hanging="431"/>
    </w:pPr>
    <w:rPr>
      <w:b w:val="0"/>
      <w:sz w:val="24"/>
    </w:rPr>
  </w:style>
  <w:style w:type="paragraph" w:customStyle="1" w:styleId="329">
    <w:name w:val="1.1"/>
    <w:basedOn w:val="1"/>
    <w:autoRedefine/>
    <w:qFormat/>
    <w:uiPriority w:val="0"/>
    <w:pPr>
      <w:widowControl/>
      <w:overflowPunct w:val="0"/>
      <w:autoSpaceDE w:val="0"/>
      <w:autoSpaceDN w:val="0"/>
      <w:adjustRightInd w:val="0"/>
      <w:jc w:val="left"/>
      <w:textAlignment w:val="baseline"/>
    </w:pPr>
    <w:rPr>
      <w:rFonts w:ascii="黑体" w:eastAsia="黑体"/>
      <w:b/>
      <w:spacing w:val="-20"/>
      <w:kern w:val="28"/>
      <w:position w:val="-6"/>
      <w:sz w:val="28"/>
      <w:szCs w:val="20"/>
    </w:rPr>
  </w:style>
  <w:style w:type="paragraph" w:customStyle="1" w:styleId="330">
    <w:name w:val="a 正文"/>
    <w:basedOn w:val="331"/>
    <w:autoRedefine/>
    <w:qFormat/>
    <w:uiPriority w:val="0"/>
    <w:pPr>
      <w:tabs>
        <w:tab w:val="left" w:pos="720"/>
        <w:tab w:val="left" w:pos="3240"/>
        <w:tab w:val="left" w:pos="3750"/>
      </w:tabs>
      <w:ind w:left="681" w:hanging="227"/>
    </w:pPr>
  </w:style>
  <w:style w:type="paragraph" w:customStyle="1" w:styleId="331">
    <w:name w:val="A.正文"/>
    <w:basedOn w:val="1"/>
    <w:autoRedefine/>
    <w:qFormat/>
    <w:uiPriority w:val="0"/>
    <w:pPr>
      <w:widowControl/>
      <w:tabs>
        <w:tab w:val="left" w:pos="720"/>
        <w:tab w:val="left" w:pos="3750"/>
      </w:tabs>
      <w:spacing w:before="40" w:after="40" w:line="300" w:lineRule="exact"/>
      <w:ind w:left="720" w:firstLine="510"/>
    </w:pPr>
    <w:rPr>
      <w:szCs w:val="20"/>
    </w:rPr>
  </w:style>
  <w:style w:type="paragraph" w:customStyle="1" w:styleId="332">
    <w:name w:val="样式 4 + 段前: 0 磅 段后: 0 磅 行距: 单倍行距"/>
    <w:basedOn w:val="103"/>
    <w:autoRedefine/>
    <w:qFormat/>
    <w:uiPriority w:val="0"/>
    <w:pPr>
      <w:spacing w:before="0" w:after="0" w:line="240" w:lineRule="auto"/>
    </w:pPr>
    <w:rPr>
      <w:rFonts w:cs="宋体"/>
      <w:b w:val="0"/>
      <w:szCs w:val="20"/>
    </w:rPr>
  </w:style>
  <w:style w:type="paragraph" w:customStyle="1" w:styleId="333">
    <w:name w:val="bb"/>
    <w:basedOn w:val="1"/>
    <w:autoRedefine/>
    <w:qFormat/>
    <w:uiPriority w:val="0"/>
    <w:pPr>
      <w:widowControl/>
      <w:spacing w:before="100" w:beforeAutospacing="1" w:after="100" w:afterAutospacing="1"/>
      <w:jc w:val="left"/>
    </w:pPr>
    <w:rPr>
      <w:rFonts w:ascii="宋体"/>
      <w:kern w:val="0"/>
      <w:sz w:val="24"/>
    </w:rPr>
  </w:style>
  <w:style w:type="paragraph" w:customStyle="1" w:styleId="334">
    <w:name w:val="TOC 标题1"/>
    <w:basedOn w:val="3"/>
    <w:next w:val="1"/>
    <w:autoRedefine/>
    <w:qFormat/>
    <w:uiPriority w:val="0"/>
    <w:pPr>
      <w:widowControl/>
      <w:tabs>
        <w:tab w:val="left" w:pos="4184"/>
        <w:tab w:val="left" w:pos="6406"/>
      </w:tabs>
      <w:spacing w:before="480" w:after="0" w:line="240" w:lineRule="auto"/>
      <w:jc w:val="left"/>
      <w:outlineLvl w:val="9"/>
    </w:pPr>
    <w:rPr>
      <w:rFonts w:ascii="Cambria" w:hAnsi="Cambria"/>
      <w:b w:val="0"/>
      <w:color w:val="365F91"/>
      <w:kern w:val="0"/>
      <w:sz w:val="28"/>
      <w:szCs w:val="28"/>
    </w:rPr>
  </w:style>
  <w:style w:type="paragraph" w:customStyle="1" w:styleId="335">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b/>
      <w:bCs/>
      <w:kern w:val="0"/>
      <w:sz w:val="24"/>
    </w:rPr>
  </w:style>
  <w:style w:type="paragraph" w:customStyle="1" w:styleId="336">
    <w:name w:val="列出段落1"/>
    <w:basedOn w:val="1"/>
    <w:autoRedefine/>
    <w:qFormat/>
    <w:uiPriority w:val="0"/>
    <w:pPr>
      <w:autoSpaceDE w:val="0"/>
      <w:autoSpaceDN w:val="0"/>
      <w:ind w:left="400" w:firstLine="420"/>
      <w:jc w:val="left"/>
    </w:pPr>
    <w:rPr>
      <w:rFonts w:ascii="宋体" w:hAnsi="宋体" w:cs="宋体"/>
      <w:kern w:val="0"/>
      <w:sz w:val="22"/>
      <w:szCs w:val="22"/>
      <w:lang w:val="zh-CN" w:bidi="zh-CN"/>
    </w:rPr>
  </w:style>
  <w:style w:type="paragraph" w:customStyle="1" w:styleId="337">
    <w:name w:val="样式 样式 样式 小四 加粗 居中 + 宋体 加粗 黑色 + 左侧:  0.74 厘米"/>
    <w:basedOn w:val="338"/>
    <w:autoRedefine/>
    <w:qFormat/>
    <w:uiPriority w:val="0"/>
    <w:pPr>
      <w:ind w:left="420" w:firstLine="422"/>
    </w:pPr>
  </w:style>
  <w:style w:type="paragraph" w:customStyle="1" w:styleId="338">
    <w:name w:val="样式 样式 小四 加粗 居中 + 宋体 加粗 黑色"/>
    <w:basedOn w:val="339"/>
    <w:next w:val="7"/>
    <w:autoRedefine/>
    <w:qFormat/>
    <w:uiPriority w:val="0"/>
    <w:rPr>
      <w:rFonts w:ascii="宋体" w:hAnsi="宋体"/>
      <w:b/>
      <w:bCs/>
      <w:color w:val="000000"/>
    </w:rPr>
  </w:style>
  <w:style w:type="paragraph" w:customStyle="1" w:styleId="339">
    <w:name w:val="样式 小四 加粗 居中"/>
    <w:basedOn w:val="7"/>
    <w:next w:val="7"/>
    <w:autoRedefine/>
    <w:qFormat/>
    <w:uiPriority w:val="0"/>
    <w:pPr>
      <w:spacing w:before="50" w:beforeLines="50" w:after="50" w:afterLines="50" w:line="240" w:lineRule="auto"/>
      <w:jc w:val="center"/>
    </w:pPr>
    <w:rPr>
      <w:rFonts w:cs="宋体"/>
      <w:b w:val="0"/>
      <w:bCs w:val="0"/>
      <w:sz w:val="24"/>
      <w:szCs w:val="20"/>
    </w:rPr>
  </w:style>
  <w:style w:type="paragraph" w:customStyle="1" w:styleId="340">
    <w:name w:val="BodyText"/>
    <w:basedOn w:val="1"/>
    <w:autoRedefine/>
    <w:qFormat/>
    <w:locked/>
    <w:uiPriority w:val="0"/>
    <w:pPr>
      <w:spacing w:after="60" w:line="360" w:lineRule="atLeast"/>
      <w:ind w:left="72" w:leftChars="30" w:right="30" w:rightChars="30"/>
      <w:jc w:val="center"/>
    </w:pPr>
    <w:rPr>
      <w:kern w:val="0"/>
      <w:sz w:val="20"/>
      <w:szCs w:val="20"/>
    </w:rPr>
  </w:style>
  <w:style w:type="paragraph" w:customStyle="1" w:styleId="341">
    <w:name w:val="µ1"/>
    <w:basedOn w:val="1"/>
    <w:autoRedefine/>
    <w:qFormat/>
    <w:uiPriority w:val="0"/>
    <w:pPr>
      <w:widowControl/>
      <w:overflowPunct w:val="0"/>
      <w:autoSpaceDE w:val="0"/>
      <w:autoSpaceDN w:val="0"/>
      <w:adjustRightInd w:val="0"/>
      <w:spacing w:before="120"/>
      <w:ind w:left="432" w:hanging="432"/>
      <w:textAlignment w:val="baseline"/>
    </w:pPr>
    <w:rPr>
      <w:rFonts w:ascii="楷体" w:eastAsia="楷体"/>
      <w:spacing w:val="-20"/>
      <w:kern w:val="28"/>
      <w:position w:val="-6"/>
      <w:sz w:val="24"/>
      <w:szCs w:val="20"/>
    </w:rPr>
  </w:style>
  <w:style w:type="paragraph" w:customStyle="1" w:styleId="342">
    <w:name w:val="样式 4 + 小三"/>
    <w:basedOn w:val="103"/>
    <w:next w:val="6"/>
    <w:autoRedefine/>
    <w:qFormat/>
    <w:uiPriority w:val="0"/>
    <w:rPr>
      <w:sz w:val="30"/>
    </w:rPr>
  </w:style>
  <w:style w:type="paragraph" w:customStyle="1" w:styleId="343">
    <w:name w:val="xl3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kern w:val="0"/>
      <w:sz w:val="28"/>
      <w:szCs w:val="28"/>
    </w:rPr>
  </w:style>
  <w:style w:type="paragraph" w:customStyle="1" w:styleId="344">
    <w:name w:val="标准正文"/>
    <w:basedOn w:val="1"/>
    <w:autoRedefine/>
    <w:qFormat/>
    <w:uiPriority w:val="99"/>
    <w:pPr>
      <w:spacing w:afterLines="50"/>
      <w:ind w:firstLine="200" w:firstLineChars="200"/>
      <w:jc w:val="left"/>
    </w:pPr>
    <w:rPr>
      <w:sz w:val="24"/>
      <w:szCs w:val="21"/>
    </w:rPr>
  </w:style>
  <w:style w:type="paragraph" w:customStyle="1" w:styleId="345">
    <w:name w:val="合同正文"/>
    <w:basedOn w:val="1"/>
    <w:autoRedefine/>
    <w:qFormat/>
    <w:uiPriority w:val="0"/>
    <w:pPr>
      <w:adjustRightInd w:val="0"/>
      <w:spacing w:line="580" w:lineRule="exact"/>
    </w:pPr>
    <w:rPr>
      <w:b/>
      <w:sz w:val="24"/>
      <w:szCs w:val="20"/>
    </w:rPr>
  </w:style>
  <w:style w:type="paragraph" w:customStyle="1" w:styleId="346">
    <w:name w:val="**"/>
    <w:basedOn w:val="329"/>
    <w:autoRedefine/>
    <w:qFormat/>
    <w:uiPriority w:val="0"/>
    <w:rPr>
      <w:rFonts w:ascii="楷体" w:eastAsia="楷体"/>
      <w:sz w:val="24"/>
    </w:rPr>
  </w:style>
  <w:style w:type="paragraph" w:customStyle="1" w:styleId="347">
    <w:name w:val="表格2"/>
    <w:basedOn w:val="1"/>
    <w:autoRedefine/>
    <w:qFormat/>
    <w:uiPriority w:val="0"/>
    <w:pPr>
      <w:adjustRightInd w:val="0"/>
      <w:spacing w:before="60" w:after="60"/>
      <w:jc w:val="center"/>
    </w:pPr>
    <w:rPr>
      <w:rFonts w:ascii="宋体"/>
      <w:color w:val="000000"/>
      <w:kern w:val="0"/>
      <w:sz w:val="24"/>
      <w:szCs w:val="20"/>
    </w:rPr>
  </w:style>
  <w:style w:type="paragraph" w:customStyle="1" w:styleId="348">
    <w:name w:val="p16"/>
    <w:basedOn w:val="1"/>
    <w:autoRedefine/>
    <w:qFormat/>
    <w:uiPriority w:val="0"/>
    <w:pPr>
      <w:widowControl/>
    </w:pPr>
    <w:rPr>
      <w:kern w:val="0"/>
      <w:szCs w:val="21"/>
    </w:rPr>
  </w:style>
  <w:style w:type="paragraph" w:customStyle="1" w:styleId="349">
    <w:name w:val="."/>
    <w:basedOn w:val="1"/>
    <w:autoRedefine/>
    <w:qFormat/>
    <w:uiPriority w:val="0"/>
    <w:pPr>
      <w:widowControl/>
      <w:overflowPunct w:val="0"/>
      <w:autoSpaceDE w:val="0"/>
      <w:autoSpaceDN w:val="0"/>
      <w:adjustRightInd w:val="0"/>
      <w:spacing w:before="60" w:line="264" w:lineRule="auto"/>
      <w:ind w:left="681" w:right="-57" w:hanging="227"/>
      <w:textAlignment w:val="baseline"/>
    </w:pPr>
    <w:rPr>
      <w:rFonts w:ascii="宋体"/>
      <w:kern w:val="0"/>
      <w:sz w:val="24"/>
      <w:szCs w:val="20"/>
    </w:rPr>
  </w:style>
  <w:style w:type="paragraph" w:customStyle="1" w:styleId="350">
    <w:name w:val="3"/>
    <w:basedOn w:val="5"/>
    <w:next w:val="5"/>
    <w:autoRedefine/>
    <w:qFormat/>
    <w:uiPriority w:val="0"/>
    <w:pPr>
      <w:widowControl w:val="0"/>
      <w:spacing w:before="0" w:after="0" w:line="415" w:lineRule="auto"/>
    </w:pPr>
    <w:rPr>
      <w:rFonts w:ascii="黑体" w:eastAsia="黑体"/>
      <w:sz w:val="28"/>
      <w:szCs w:val="28"/>
    </w:rPr>
  </w:style>
  <w:style w:type="paragraph" w:customStyle="1" w:styleId="351">
    <w:name w:val="TOC 标题3"/>
    <w:basedOn w:val="3"/>
    <w:next w:val="1"/>
    <w:autoRedefine/>
    <w:qFormat/>
    <w:uiPriority w:val="0"/>
    <w:pPr>
      <w:widowControl/>
      <w:tabs>
        <w:tab w:val="left" w:pos="4184"/>
        <w:tab w:val="left" w:pos="6406"/>
      </w:tabs>
      <w:spacing w:before="480" w:after="0" w:line="240" w:lineRule="auto"/>
      <w:jc w:val="left"/>
      <w:outlineLvl w:val="9"/>
    </w:pPr>
    <w:rPr>
      <w:rFonts w:ascii="Cambria" w:hAnsi="Cambria"/>
      <w:b w:val="0"/>
      <w:color w:val="365F91"/>
      <w:kern w:val="0"/>
      <w:sz w:val="28"/>
      <w:szCs w:val="28"/>
    </w:rPr>
  </w:style>
  <w:style w:type="paragraph" w:customStyle="1" w:styleId="352">
    <w:name w:val="font5"/>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353">
    <w:name w:val="Char Char Char Char Char Char Char Char Char Char"/>
    <w:basedOn w:val="1"/>
    <w:autoRedefine/>
    <w:qFormat/>
    <w:uiPriority w:val="0"/>
  </w:style>
  <w:style w:type="paragraph" w:customStyle="1" w:styleId="354">
    <w:name w:val="表格文字"/>
    <w:basedOn w:val="1"/>
    <w:autoRedefine/>
    <w:qFormat/>
    <w:uiPriority w:val="0"/>
    <w:pPr>
      <w:adjustRightInd w:val="0"/>
      <w:spacing w:line="420" w:lineRule="atLeast"/>
      <w:ind w:firstLine="200" w:firstLineChars="200"/>
      <w:jc w:val="left"/>
      <w:textAlignment w:val="baseline"/>
    </w:pPr>
    <w:rPr>
      <w:kern w:val="0"/>
      <w:szCs w:val="20"/>
    </w:rPr>
  </w:style>
  <w:style w:type="paragraph" w:customStyle="1" w:styleId="355">
    <w:name w:val="+正文"/>
    <w:basedOn w:val="1"/>
    <w:autoRedefine/>
    <w:qFormat/>
    <w:uiPriority w:val="0"/>
    <w:pPr>
      <w:spacing w:line="360" w:lineRule="auto"/>
      <w:ind w:firstLine="200" w:firstLineChars="200"/>
    </w:pPr>
    <w:rPr>
      <w:sz w:val="24"/>
      <w:szCs w:val="28"/>
    </w:rPr>
  </w:style>
  <w:style w:type="paragraph" w:customStyle="1" w:styleId="356">
    <w:name w:val="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357">
    <w:name w:val="纯文本2"/>
    <w:basedOn w:val="1"/>
    <w:autoRedefine/>
    <w:qFormat/>
    <w:uiPriority w:val="0"/>
    <w:rPr>
      <w:rFonts w:ascii="宋体" w:hAnsi="Courier New"/>
      <w:szCs w:val="20"/>
    </w:rPr>
  </w:style>
  <w:style w:type="paragraph" w:customStyle="1" w:styleId="358">
    <w:name w:val="font0"/>
    <w:basedOn w:val="1"/>
    <w:autoRedefine/>
    <w:qFormat/>
    <w:uiPriority w:val="0"/>
    <w:pPr>
      <w:widowControl/>
      <w:spacing w:before="100" w:beforeAutospacing="1" w:after="100" w:afterAutospacing="1"/>
      <w:jc w:val="left"/>
    </w:pPr>
    <w:rPr>
      <w:rFonts w:hint="eastAsia" w:ascii="宋体" w:hAnsi="宋体"/>
      <w:kern w:val="0"/>
      <w:sz w:val="24"/>
    </w:rPr>
  </w:style>
  <w:style w:type="paragraph" w:customStyle="1" w:styleId="359">
    <w:name w:val="无间隔1"/>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60">
    <w:name w:val="Index8"/>
    <w:basedOn w:val="1"/>
    <w:next w:val="1"/>
    <w:autoRedefine/>
    <w:qFormat/>
    <w:locked/>
    <w:uiPriority w:val="0"/>
    <w:pPr>
      <w:ind w:left="2940"/>
    </w:pPr>
  </w:style>
  <w:style w:type="paragraph" w:customStyle="1" w:styleId="361">
    <w:name w:val="2"/>
    <w:basedOn w:val="5"/>
    <w:autoRedefine/>
    <w:qFormat/>
    <w:uiPriority w:val="0"/>
    <w:pPr>
      <w:widowControl w:val="0"/>
      <w:spacing w:before="120" w:beforeLines="50" w:after="120" w:afterLines="50" w:line="240" w:lineRule="auto"/>
      <w:jc w:val="center"/>
    </w:pPr>
    <w:rPr>
      <w:rFonts w:ascii="黑体" w:eastAsia="黑体"/>
      <w:sz w:val="44"/>
      <w:szCs w:val="28"/>
    </w:rPr>
  </w:style>
  <w:style w:type="paragraph" w:customStyle="1" w:styleId="362">
    <w:name w:val="table"/>
    <w:basedOn w:val="1"/>
    <w:autoRedefine/>
    <w:qFormat/>
    <w:uiPriority w:val="0"/>
    <w:pPr>
      <w:keepNext/>
      <w:widowControl/>
      <w:overflowPunct w:val="0"/>
      <w:autoSpaceDE w:val="0"/>
      <w:autoSpaceDN w:val="0"/>
      <w:adjustRightInd w:val="0"/>
      <w:jc w:val="left"/>
      <w:textAlignment w:val="baseline"/>
    </w:pPr>
    <w:rPr>
      <w:rFonts w:ascii="楷体" w:eastAsia="楷体"/>
      <w:b/>
      <w:spacing w:val="2"/>
      <w:kern w:val="28"/>
      <w:position w:val="-6"/>
      <w:sz w:val="24"/>
      <w:szCs w:val="20"/>
    </w:rPr>
  </w:style>
  <w:style w:type="paragraph" w:customStyle="1" w:styleId="363">
    <w:name w:val="样式 4 + 小三 两端对齐 段前: 0 磅 段后: 0 磅 行距: 单倍行距"/>
    <w:basedOn w:val="103"/>
    <w:autoRedefine/>
    <w:qFormat/>
    <w:uiPriority w:val="0"/>
    <w:pPr>
      <w:spacing w:before="0" w:after="0" w:line="240" w:lineRule="auto"/>
      <w:jc w:val="both"/>
    </w:pPr>
    <w:rPr>
      <w:rFonts w:cs="宋体"/>
      <w:sz w:val="30"/>
      <w:szCs w:val="20"/>
    </w:rPr>
  </w:style>
  <w:style w:type="paragraph" w:customStyle="1" w:styleId="364">
    <w:name w:val="444"/>
    <w:basedOn w:val="1"/>
    <w:autoRedefine/>
    <w:qFormat/>
    <w:uiPriority w:val="0"/>
    <w:pPr>
      <w:adjustRightInd w:val="0"/>
      <w:spacing w:line="312" w:lineRule="atLeast"/>
      <w:jc w:val="center"/>
      <w:textAlignment w:val="baseline"/>
    </w:pPr>
    <w:rPr>
      <w:b/>
      <w:kern w:val="0"/>
      <w:sz w:val="36"/>
      <w:szCs w:val="36"/>
    </w:rPr>
  </w:style>
  <w:style w:type="paragraph" w:customStyle="1" w:styleId="365">
    <w:name w:val="Default"/>
    <w:autoRedefine/>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366">
    <w:name w:val="标题2"/>
    <w:basedOn w:val="4"/>
    <w:next w:val="1"/>
    <w:autoRedefine/>
    <w:qFormat/>
    <w:uiPriority w:val="0"/>
    <w:pPr>
      <w:snapToGrid w:val="0"/>
      <w:spacing w:before="120" w:after="120" w:line="240" w:lineRule="auto"/>
      <w:jc w:val="left"/>
    </w:pPr>
    <w:rPr>
      <w:rFonts w:ascii="Arial" w:hAnsi="Arial" w:eastAsia="黑体"/>
      <w:b w:val="0"/>
      <w:bCs w:val="0"/>
      <w:sz w:val="21"/>
      <w:szCs w:val="21"/>
    </w:rPr>
  </w:style>
  <w:style w:type="paragraph" w:customStyle="1" w:styleId="367">
    <w:name w:val="Char Char Char Char Char Char Char Char Char1 Char Char Char Char Char Char Char Char Char Char Char Char Char"/>
    <w:basedOn w:val="3"/>
    <w:autoRedefine/>
    <w:qFormat/>
    <w:uiPriority w:val="0"/>
    <w:pPr>
      <w:snapToGrid w:val="0"/>
      <w:spacing w:before="240" w:after="240" w:line="348" w:lineRule="auto"/>
    </w:pPr>
    <w:rPr>
      <w:sz w:val="44"/>
    </w:rPr>
  </w:style>
  <w:style w:type="paragraph" w:customStyle="1" w:styleId="368">
    <w:name w:val="head4"/>
    <w:basedOn w:val="1"/>
    <w:autoRedefine/>
    <w:qFormat/>
    <w:uiPriority w:val="0"/>
    <w:pPr>
      <w:widowControl/>
      <w:overflowPunct w:val="0"/>
      <w:autoSpaceDE w:val="0"/>
      <w:autoSpaceDN w:val="0"/>
      <w:adjustRightInd w:val="0"/>
      <w:spacing w:before="120" w:line="360" w:lineRule="auto"/>
      <w:textAlignment w:val="baseline"/>
    </w:pPr>
    <w:rPr>
      <w:rFonts w:ascii="¿¬Ìå" w:hAnsi="¿¬Ìå"/>
      <w:kern w:val="0"/>
      <w:sz w:val="24"/>
    </w:rPr>
  </w:style>
  <w:style w:type="paragraph" w:customStyle="1" w:styleId="369">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b/>
      <w:bCs/>
      <w:kern w:val="0"/>
      <w:sz w:val="24"/>
    </w:rPr>
  </w:style>
  <w:style w:type="paragraph" w:customStyle="1" w:styleId="370">
    <w:name w:val="tds100"/>
    <w:basedOn w:val="43"/>
    <w:autoRedefine/>
    <w:qFormat/>
    <w:uiPriority w:val="0"/>
    <w:pPr>
      <w:tabs>
        <w:tab w:val="right" w:leader="dot" w:pos="9628"/>
      </w:tabs>
      <w:ind w:left="200"/>
      <w:jc w:val="center"/>
    </w:pPr>
    <w:rPr>
      <w:b/>
      <w:sz w:val="44"/>
    </w:rPr>
  </w:style>
  <w:style w:type="paragraph" w:customStyle="1" w:styleId="371">
    <w:name w:val="Char Char Char Char Char Char Char"/>
    <w:basedOn w:val="1"/>
    <w:autoRedefine/>
    <w:qFormat/>
    <w:uiPriority w:val="0"/>
    <w:pPr>
      <w:widowControl/>
      <w:spacing w:after="160" w:line="240" w:lineRule="exact"/>
      <w:ind w:firstLine="200" w:firstLineChars="200"/>
      <w:jc w:val="left"/>
    </w:pPr>
    <w:rPr>
      <w:rFonts w:ascii="Arial" w:hAnsi="Arial" w:eastAsia="Times New Roman" w:cs="Verdana"/>
      <w:b/>
      <w:spacing w:val="2"/>
      <w:kern w:val="0"/>
      <w:sz w:val="24"/>
      <w:lang w:eastAsia="en-US"/>
    </w:rPr>
  </w:style>
  <w:style w:type="paragraph" w:customStyle="1" w:styleId="372">
    <w:name w:val="·"/>
    <w:basedOn w:val="1"/>
    <w:autoRedefine/>
    <w:qFormat/>
    <w:uiPriority w:val="0"/>
    <w:pPr>
      <w:widowControl/>
      <w:overflowPunct w:val="0"/>
      <w:autoSpaceDE w:val="0"/>
      <w:autoSpaceDN w:val="0"/>
      <w:adjustRightInd w:val="0"/>
      <w:spacing w:before="120"/>
      <w:ind w:left="432" w:hanging="432"/>
      <w:textAlignment w:val="baseline"/>
    </w:pPr>
    <w:rPr>
      <w:rFonts w:ascii="楷体" w:eastAsia="楷体"/>
      <w:spacing w:val="-20"/>
      <w:kern w:val="28"/>
      <w:position w:val="-6"/>
      <w:sz w:val="24"/>
      <w:szCs w:val="20"/>
    </w:rPr>
  </w:style>
  <w:style w:type="paragraph" w:customStyle="1" w:styleId="373">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374">
    <w:name w:val="PlainText"/>
    <w:basedOn w:val="1"/>
    <w:next w:val="360"/>
    <w:autoRedefine/>
    <w:qFormat/>
    <w:locked/>
    <w:uiPriority w:val="0"/>
    <w:rPr>
      <w:rFonts w:ascii="宋体" w:hAnsi="Courier New"/>
      <w:szCs w:val="20"/>
    </w:rPr>
  </w:style>
  <w:style w:type="paragraph" w:customStyle="1" w:styleId="375">
    <w:name w:val="head1"/>
    <w:basedOn w:val="1"/>
    <w:autoRedefine/>
    <w:qFormat/>
    <w:uiPriority w:val="0"/>
    <w:pPr>
      <w:widowControl/>
      <w:tabs>
        <w:tab w:val="left" w:pos="1680"/>
      </w:tabs>
      <w:overflowPunct w:val="0"/>
      <w:autoSpaceDE w:val="0"/>
      <w:autoSpaceDN w:val="0"/>
      <w:adjustRightInd w:val="0"/>
      <w:spacing w:before="60" w:after="60"/>
      <w:ind w:left="1680"/>
      <w:jc w:val="left"/>
      <w:textAlignment w:val="baseline"/>
      <w:outlineLvl w:val="0"/>
    </w:pPr>
    <w:rPr>
      <w:rFonts w:ascii="黑体" w:hAnsi="¿¬Ìå" w:eastAsia="黑体"/>
      <w:kern w:val="0"/>
      <w:sz w:val="30"/>
      <w:szCs w:val="30"/>
    </w:rPr>
  </w:style>
  <w:style w:type="paragraph" w:customStyle="1" w:styleId="376">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b/>
      <w:bCs/>
      <w:kern w:val="0"/>
      <w:sz w:val="24"/>
    </w:rPr>
  </w:style>
  <w:style w:type="paragraph" w:customStyle="1" w:styleId="377">
    <w:name w:val="Char"/>
    <w:basedOn w:val="1"/>
    <w:autoRedefine/>
    <w:qFormat/>
    <w:uiPriority w:val="0"/>
    <w:rPr>
      <w:rFonts w:ascii="Tahoma" w:hAnsi="Tahoma"/>
      <w:sz w:val="24"/>
      <w:szCs w:val="20"/>
    </w:rPr>
  </w:style>
  <w:style w:type="paragraph" w:customStyle="1" w:styleId="378">
    <w:name w:val="font6"/>
    <w:basedOn w:val="1"/>
    <w:autoRedefine/>
    <w:qFormat/>
    <w:uiPriority w:val="0"/>
    <w:pPr>
      <w:widowControl/>
      <w:spacing w:before="100" w:beforeAutospacing="1" w:after="100" w:afterAutospacing="1"/>
      <w:jc w:val="left"/>
    </w:pPr>
    <w:rPr>
      <w:kern w:val="0"/>
      <w:sz w:val="24"/>
    </w:rPr>
  </w:style>
  <w:style w:type="paragraph" w:customStyle="1" w:styleId="379">
    <w:name w:val="5 Char Char Char Char Char Char Char Char Char Char"/>
    <w:basedOn w:val="1"/>
    <w:autoRedefine/>
    <w:qFormat/>
    <w:uiPriority w:val="0"/>
  </w:style>
  <w:style w:type="paragraph" w:customStyle="1" w:styleId="380">
    <w:name w:val="xl31"/>
    <w:basedOn w:val="1"/>
    <w:autoRedefine/>
    <w:qFormat/>
    <w:uiPriority w:val="0"/>
    <w:pPr>
      <w:widowControl/>
      <w:pBdr>
        <w:bottom w:val="single" w:color="auto" w:sz="4" w:space="0"/>
      </w:pBdr>
      <w:spacing w:before="100" w:beforeAutospacing="1" w:after="100" w:afterAutospacing="1"/>
      <w:jc w:val="center"/>
    </w:pPr>
    <w:rPr>
      <w:rFonts w:ascii="宋体" w:hAnsi="宋体"/>
      <w:kern w:val="0"/>
      <w:sz w:val="24"/>
    </w:rPr>
  </w:style>
  <w:style w:type="paragraph" w:customStyle="1" w:styleId="381">
    <w:name w:val="2ji"/>
    <w:basedOn w:val="4"/>
    <w:autoRedefine/>
    <w:qFormat/>
    <w:uiPriority w:val="0"/>
    <w:pPr>
      <w:adjustRightInd w:val="0"/>
      <w:spacing w:before="0" w:after="0" w:line="360" w:lineRule="auto"/>
      <w:jc w:val="center"/>
      <w:textAlignment w:val="baseline"/>
    </w:pPr>
    <w:rPr>
      <w:rFonts w:ascii="宋体" w:hAnsi="宋体"/>
      <w:kern w:val="0"/>
      <w:sz w:val="21"/>
      <w:szCs w:val="21"/>
    </w:rPr>
  </w:style>
  <w:style w:type="paragraph" w:customStyle="1" w:styleId="382">
    <w:name w:val="样式 标题 3 + (中文) 黑体 小四 非加粗 段前: 7.8 磅 段后: 0 磅 行距: 固定值 20 磅"/>
    <w:basedOn w:val="5"/>
    <w:autoRedefine/>
    <w:qFormat/>
    <w:uiPriority w:val="0"/>
    <w:pPr>
      <w:widowControl w:val="0"/>
      <w:spacing w:before="0" w:after="0" w:line="400" w:lineRule="exact"/>
    </w:pPr>
    <w:rPr>
      <w:rFonts w:ascii="黑体" w:eastAsia="黑体" w:cs="宋体"/>
      <w:b w:val="0"/>
      <w:bCs w:val="0"/>
      <w:szCs w:val="20"/>
    </w:rPr>
  </w:style>
  <w:style w:type="paragraph" w:customStyle="1" w:styleId="383">
    <w:name w:val="段"/>
    <w:next w:val="1"/>
    <w:autoRedefine/>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384">
    <w:name w:val="样式 4 + 宋体 小三 黑色 两端对齐 段前: 0 磅 段后: 0 磅 行距: 单倍行距1"/>
    <w:basedOn w:val="103"/>
    <w:next w:val="6"/>
    <w:autoRedefine/>
    <w:qFormat/>
    <w:uiPriority w:val="0"/>
    <w:pPr>
      <w:spacing w:before="0" w:after="0" w:line="240" w:lineRule="auto"/>
      <w:ind w:firstLine="422"/>
      <w:jc w:val="both"/>
    </w:pPr>
    <w:rPr>
      <w:rFonts w:ascii="宋体" w:hAnsi="宋体" w:cs="宋体"/>
      <w:color w:val="000000"/>
      <w:sz w:val="30"/>
      <w:szCs w:val="20"/>
    </w:rPr>
  </w:style>
  <w:style w:type="paragraph" w:customStyle="1" w:styleId="385">
    <w:name w:val="修订1"/>
    <w:autoRedefine/>
    <w:qFormat/>
    <w:uiPriority w:val="0"/>
    <w:rPr>
      <w:rFonts w:ascii="Times New Roman" w:hAnsi="Times New Roman" w:eastAsia="宋体" w:cs="Times New Roman"/>
      <w:sz w:val="21"/>
      <w:lang w:val="en-US" w:eastAsia="zh-CN" w:bidi="ar-SA"/>
    </w:rPr>
  </w:style>
  <w:style w:type="paragraph" w:customStyle="1" w:styleId="386">
    <w:name w:val="F2"/>
    <w:basedOn w:val="1"/>
    <w:autoRedefine/>
    <w:qFormat/>
    <w:uiPriority w:val="0"/>
    <w:pPr>
      <w:autoSpaceDE w:val="0"/>
      <w:autoSpaceDN w:val="0"/>
      <w:adjustRightInd w:val="0"/>
      <w:ind w:firstLine="601"/>
      <w:textAlignment w:val="baseline"/>
    </w:pPr>
    <w:rPr>
      <w:kern w:val="0"/>
      <w:sz w:val="24"/>
      <w:szCs w:val="20"/>
    </w:rPr>
  </w:style>
  <w:style w:type="paragraph" w:customStyle="1" w:styleId="387">
    <w:name w:val="xl44"/>
    <w:basedOn w:val="1"/>
    <w:autoRedefine/>
    <w:qFormat/>
    <w:uiPriority w:val="0"/>
    <w:pPr>
      <w:widowControl/>
      <w:pBdr>
        <w:bottom w:val="single" w:color="auto" w:sz="4" w:space="0"/>
      </w:pBdr>
      <w:spacing w:before="100" w:beforeAutospacing="1" w:after="100" w:afterAutospacing="1"/>
      <w:jc w:val="center"/>
    </w:pPr>
    <w:rPr>
      <w:rFonts w:ascii="Arial Unicode MS" w:hAnsi="Arial Unicode MS"/>
      <w:kern w:val="0"/>
      <w:sz w:val="24"/>
    </w:rPr>
  </w:style>
  <w:style w:type="paragraph" w:customStyle="1" w:styleId="388">
    <w:name w:val="文件目录"/>
    <w:basedOn w:val="1"/>
    <w:autoRedefine/>
    <w:qFormat/>
    <w:uiPriority w:val="0"/>
    <w:pPr>
      <w:spacing w:line="600" w:lineRule="exact"/>
      <w:jc w:val="left"/>
    </w:pPr>
    <w:rPr>
      <w:b/>
      <w:sz w:val="30"/>
      <w:szCs w:val="20"/>
    </w:rPr>
  </w:style>
  <w:style w:type="paragraph" w:customStyle="1" w:styleId="389">
    <w:name w:val="xl4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b/>
      <w:bCs/>
      <w:kern w:val="0"/>
      <w:sz w:val="24"/>
    </w:rPr>
  </w:style>
  <w:style w:type="paragraph" w:customStyle="1" w:styleId="390">
    <w:name w:val="Char1 Char Char Char Char Char Char Char Char Char Char Char Char Char Char Char"/>
    <w:basedOn w:val="7"/>
    <w:autoRedefine/>
    <w:qFormat/>
    <w:uiPriority w:val="0"/>
    <w:pPr>
      <w:tabs>
        <w:tab w:val="left" w:pos="0"/>
        <w:tab w:val="left" w:pos="3660"/>
      </w:tabs>
      <w:adjustRightInd w:val="0"/>
      <w:spacing w:line="240" w:lineRule="auto"/>
      <w:ind w:left="3660" w:hanging="420"/>
      <w:textAlignment w:val="baseline"/>
    </w:pPr>
    <w:rPr>
      <w:rFonts w:ascii="黑体" w:eastAsia="黑体"/>
      <w:b w:val="0"/>
      <w:kern w:val="0"/>
    </w:rPr>
  </w:style>
  <w:style w:type="paragraph" w:customStyle="1" w:styleId="391">
    <w:name w:val="正文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2">
    <w:name w:val="样式 2 + 段前: 0 磅 段后: 0 磅 行距: 多倍行距 1.73 字行"/>
    <w:basedOn w:val="361"/>
    <w:next w:val="4"/>
    <w:autoRedefine/>
    <w:qFormat/>
    <w:uiPriority w:val="0"/>
    <w:pPr>
      <w:spacing w:before="0" w:beforeLines="0" w:after="0" w:afterLines="0" w:line="415" w:lineRule="auto"/>
    </w:pPr>
    <w:rPr>
      <w:rFonts w:cs="宋体"/>
      <w:szCs w:val="20"/>
    </w:rPr>
  </w:style>
  <w:style w:type="paragraph" w:customStyle="1" w:styleId="393">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394">
    <w:name w:val="1.正文"/>
    <w:basedOn w:val="1"/>
    <w:autoRedefine/>
    <w:qFormat/>
    <w:uiPriority w:val="0"/>
    <w:pPr>
      <w:widowControl/>
      <w:tabs>
        <w:tab w:val="left" w:pos="840"/>
        <w:tab w:val="left" w:pos="2820"/>
      </w:tabs>
      <w:spacing w:before="40" w:after="40" w:line="300" w:lineRule="exact"/>
      <w:ind w:left="840" w:hanging="420"/>
    </w:pPr>
    <w:rPr>
      <w:szCs w:val="20"/>
    </w:rPr>
  </w:style>
  <w:style w:type="paragraph" w:customStyle="1" w:styleId="395">
    <w:name w:val="xl47"/>
    <w:basedOn w:val="1"/>
    <w:autoRedefine/>
    <w:qFormat/>
    <w:uiPriority w:val="0"/>
    <w:pPr>
      <w:widowControl/>
      <w:spacing w:before="100" w:beforeAutospacing="1" w:after="100" w:afterAutospacing="1"/>
      <w:jc w:val="center"/>
    </w:pPr>
    <w:rPr>
      <w:rFonts w:ascii="宋体" w:hAnsi="宋体"/>
      <w:kern w:val="0"/>
      <w:sz w:val="28"/>
      <w:szCs w:val="28"/>
    </w:rPr>
  </w:style>
  <w:style w:type="paragraph" w:customStyle="1" w:styleId="396">
    <w:name w:val="Char Char Char Char Char Char Char2"/>
    <w:basedOn w:val="1"/>
    <w:autoRedefine/>
    <w:qFormat/>
    <w:uiPriority w:val="0"/>
  </w:style>
  <w:style w:type="paragraph" w:customStyle="1" w:styleId="397">
    <w:name w:val="Char Char Char Char Char Char Char Char Char Char1"/>
    <w:basedOn w:val="18"/>
    <w:autoRedefine/>
    <w:qFormat/>
    <w:uiPriority w:val="0"/>
    <w:pPr>
      <w:keepNext/>
      <w:spacing w:before="312" w:beforeLines="100" w:line="240" w:lineRule="auto"/>
      <w:ind w:firstLine="0" w:firstLineChars="0"/>
    </w:pPr>
    <w:rPr>
      <w:rFonts w:ascii="Tahoma" w:hAnsi="Tahoma"/>
      <w:sz w:val="24"/>
    </w:rPr>
  </w:style>
  <w:style w:type="paragraph" w:customStyle="1" w:styleId="398">
    <w:name w:val="批注框文本 Char Char"/>
    <w:basedOn w:val="1"/>
    <w:autoRedefine/>
    <w:qFormat/>
    <w:uiPriority w:val="0"/>
    <w:rPr>
      <w:sz w:val="18"/>
      <w:szCs w:val="20"/>
    </w:rPr>
  </w:style>
  <w:style w:type="paragraph" w:customStyle="1" w:styleId="399">
    <w:name w:val="样式 标题 2 + Times New Roman 四号 非加粗 段前: 5 磅 段后: 0 磅 行距: 固定值 20..."/>
    <w:basedOn w:val="4"/>
    <w:autoRedefine/>
    <w:qFormat/>
    <w:uiPriority w:val="0"/>
    <w:pPr>
      <w:spacing w:before="100" w:after="0" w:line="400" w:lineRule="exact"/>
      <w:jc w:val="center"/>
    </w:pPr>
    <w:rPr>
      <w:rFonts w:ascii="Times New Roman" w:hAnsi="Times New Roman" w:eastAsia="黑体" w:cs="宋体"/>
      <w:b w:val="0"/>
      <w:bCs w:val="0"/>
      <w:sz w:val="28"/>
      <w:szCs w:val="20"/>
    </w:rPr>
  </w:style>
  <w:style w:type="paragraph" w:customStyle="1" w:styleId="400">
    <w:name w:val="表格"/>
    <w:basedOn w:val="1"/>
    <w:autoRedefine/>
    <w:qFormat/>
    <w:uiPriority w:val="0"/>
    <w:pPr>
      <w:jc w:val="center"/>
      <w:textAlignment w:val="center"/>
    </w:pPr>
    <w:rPr>
      <w:rFonts w:ascii="华文细黑" w:hAnsi="华文细黑"/>
      <w:kern w:val="0"/>
      <w:szCs w:val="20"/>
    </w:rPr>
  </w:style>
  <w:style w:type="paragraph" w:customStyle="1" w:styleId="401">
    <w:name w:val="表中"/>
    <w:basedOn w:val="1"/>
    <w:autoRedefine/>
    <w:qFormat/>
    <w:uiPriority w:val="0"/>
    <w:pPr>
      <w:adjustRightInd w:val="0"/>
      <w:spacing w:line="420" w:lineRule="atLeast"/>
      <w:ind w:firstLine="200" w:firstLineChars="200"/>
      <w:jc w:val="center"/>
      <w:textAlignment w:val="baseline"/>
    </w:pPr>
    <w:rPr>
      <w:kern w:val="0"/>
      <w:szCs w:val="20"/>
    </w:rPr>
  </w:style>
  <w:style w:type="paragraph" w:customStyle="1" w:styleId="402">
    <w:name w:val="1.1编号"/>
    <w:basedOn w:val="1"/>
    <w:autoRedefine/>
    <w:qFormat/>
    <w:uiPriority w:val="0"/>
    <w:pPr>
      <w:widowControl/>
      <w:tabs>
        <w:tab w:val="left" w:pos="1559"/>
      </w:tabs>
      <w:spacing w:before="120" w:after="80" w:line="380" w:lineRule="exact"/>
      <w:ind w:left="1559" w:hanging="1559"/>
    </w:pPr>
    <w:rPr>
      <w:b/>
      <w:spacing w:val="20"/>
      <w:szCs w:val="20"/>
    </w:rPr>
  </w:style>
  <w:style w:type="paragraph" w:customStyle="1" w:styleId="403">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404">
    <w:name w:val="纯文本11"/>
    <w:basedOn w:val="1"/>
    <w:autoRedefine/>
    <w:qFormat/>
    <w:uiPriority w:val="0"/>
    <w:rPr>
      <w:rFonts w:ascii="宋体" w:hAnsi="Courier New"/>
      <w:szCs w:val="20"/>
    </w:rPr>
  </w:style>
  <w:style w:type="paragraph" w:customStyle="1" w:styleId="405">
    <w:name w:val="Char1 Char Char Char Char Char Char"/>
    <w:basedOn w:val="1"/>
    <w:autoRedefine/>
    <w:qFormat/>
    <w:uiPriority w:val="0"/>
    <w:rPr>
      <w:rFonts w:ascii="Tahoma" w:hAnsi="Tahoma"/>
      <w:sz w:val="24"/>
      <w:szCs w:val="20"/>
    </w:rPr>
  </w:style>
  <w:style w:type="paragraph" w:customStyle="1" w:styleId="406">
    <w:name w:val="默认段落字体 Para Char Char Char Char Char Char Char"/>
    <w:basedOn w:val="1"/>
    <w:autoRedefine/>
    <w:qFormat/>
    <w:uiPriority w:val="0"/>
    <w:pPr>
      <w:adjustRightInd w:val="0"/>
      <w:spacing w:line="360" w:lineRule="auto"/>
      <w:ind w:left="200" w:hanging="200" w:hangingChars="200"/>
    </w:pPr>
    <w:rPr>
      <w:kern w:val="0"/>
      <w:sz w:val="24"/>
      <w:szCs w:val="20"/>
    </w:rPr>
  </w:style>
  <w:style w:type="paragraph" w:customStyle="1" w:styleId="407">
    <w:name w:val="p15"/>
    <w:basedOn w:val="1"/>
    <w:autoRedefine/>
    <w:qFormat/>
    <w:uiPriority w:val="0"/>
    <w:pPr>
      <w:widowControl/>
      <w:jc w:val="left"/>
    </w:pPr>
    <w:rPr>
      <w:kern w:val="0"/>
      <w:szCs w:val="21"/>
    </w:rPr>
  </w:style>
  <w:style w:type="paragraph" w:customStyle="1" w:styleId="408">
    <w:name w:val="font9"/>
    <w:basedOn w:val="1"/>
    <w:autoRedefine/>
    <w:qFormat/>
    <w:uiPriority w:val="0"/>
    <w:pPr>
      <w:widowControl/>
      <w:spacing w:before="100" w:beforeAutospacing="1" w:after="100" w:afterAutospacing="1"/>
      <w:jc w:val="left"/>
    </w:pPr>
    <w:rPr>
      <w:kern w:val="0"/>
      <w:sz w:val="40"/>
      <w:szCs w:val="40"/>
    </w:rPr>
  </w:style>
  <w:style w:type="paragraph" w:customStyle="1" w:styleId="409">
    <w:name w:val="样式 样式 小四 加粗 居中 + 加粗"/>
    <w:basedOn w:val="21"/>
    <w:next w:val="1"/>
    <w:autoRedefine/>
    <w:qFormat/>
    <w:uiPriority w:val="0"/>
    <w:pPr>
      <w:spacing w:line="360" w:lineRule="exact"/>
      <w:ind w:firstLine="200" w:firstLineChars="200"/>
    </w:pPr>
    <w:rPr>
      <w:b/>
      <w:bCs/>
    </w:rPr>
  </w:style>
  <w:style w:type="paragraph" w:customStyle="1" w:styleId="410">
    <w:name w:val="xl3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24"/>
    </w:rPr>
  </w:style>
  <w:style w:type="paragraph" w:customStyle="1" w:styleId="411">
    <w:name w:val="样式 3 + 两端对齐 段前: 0 磅 段后: 0 磅 行距: 单倍行距"/>
    <w:basedOn w:val="350"/>
    <w:next w:val="5"/>
    <w:autoRedefine/>
    <w:qFormat/>
    <w:uiPriority w:val="0"/>
    <w:pPr>
      <w:spacing w:line="240" w:lineRule="auto"/>
    </w:pPr>
    <w:rPr>
      <w:rFonts w:eastAsia="宋体" w:cs="宋体"/>
      <w:sz w:val="32"/>
      <w:szCs w:val="20"/>
    </w:rPr>
  </w:style>
  <w:style w:type="paragraph" w:customStyle="1" w:styleId="412">
    <w:name w:val="µ"/>
    <w:basedOn w:val="1"/>
    <w:autoRedefine/>
    <w:qFormat/>
    <w:uiPriority w:val="0"/>
    <w:pPr>
      <w:widowControl/>
      <w:overflowPunct w:val="0"/>
      <w:autoSpaceDE w:val="0"/>
      <w:autoSpaceDN w:val="0"/>
      <w:adjustRightInd w:val="0"/>
      <w:ind w:left="360" w:hanging="360"/>
      <w:jc w:val="left"/>
      <w:textAlignment w:val="baseline"/>
    </w:pPr>
    <w:rPr>
      <w:rFonts w:ascii="宋体"/>
      <w:b/>
      <w:spacing w:val="2"/>
      <w:kern w:val="28"/>
      <w:position w:val="-6"/>
      <w:sz w:val="24"/>
      <w:szCs w:val="20"/>
    </w:rPr>
  </w:style>
  <w:style w:type="paragraph" w:customStyle="1" w:styleId="413">
    <w:name w:val="样式 3 + 首行缩进:  0.74 厘米"/>
    <w:basedOn w:val="350"/>
    <w:next w:val="5"/>
    <w:autoRedefine/>
    <w:qFormat/>
    <w:uiPriority w:val="0"/>
    <w:pPr>
      <w:ind w:firstLine="422"/>
    </w:pPr>
    <w:rPr>
      <w:rFonts w:cs="宋体"/>
      <w:szCs w:val="20"/>
    </w:rPr>
  </w:style>
  <w:style w:type="paragraph" w:customStyle="1" w:styleId="414">
    <w:name w:val="List Paragraph1"/>
    <w:basedOn w:val="1"/>
    <w:autoRedefine/>
    <w:qFormat/>
    <w:uiPriority w:val="0"/>
    <w:pPr>
      <w:ind w:left="424" w:firstLine="480"/>
    </w:pPr>
  </w:style>
  <w:style w:type="paragraph" w:customStyle="1" w:styleId="415">
    <w:name w:val="xl45"/>
    <w:basedOn w:val="1"/>
    <w:autoRedefine/>
    <w:qFormat/>
    <w:uiPriority w:val="0"/>
    <w:pPr>
      <w:widowControl/>
      <w:pBdr>
        <w:bottom w:val="single" w:color="auto" w:sz="4" w:space="0"/>
      </w:pBdr>
      <w:spacing w:before="100" w:beforeAutospacing="1" w:after="100" w:afterAutospacing="1"/>
      <w:jc w:val="center"/>
    </w:pPr>
    <w:rPr>
      <w:kern w:val="0"/>
      <w:sz w:val="40"/>
      <w:szCs w:val="40"/>
    </w:rPr>
  </w:style>
  <w:style w:type="paragraph" w:customStyle="1" w:styleId="416">
    <w:name w:val="样式 3 + 段前: 0 磅 段后: 0 磅 行距: 多倍行距 1.73 字行"/>
    <w:basedOn w:val="350"/>
    <w:next w:val="5"/>
    <w:autoRedefine/>
    <w:qFormat/>
    <w:uiPriority w:val="0"/>
    <w:rPr>
      <w:rFonts w:cs="宋体"/>
      <w:szCs w:val="20"/>
    </w:rPr>
  </w:style>
  <w:style w:type="paragraph" w:customStyle="1" w:styleId="417">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styleId="418">
    <w:name w:val="No Spacing"/>
    <w:autoRedefine/>
    <w:qFormat/>
    <w:uiPriority w:val="0"/>
    <w:pPr>
      <w:widowControl w:val="0"/>
      <w:ind w:left="200" w:leftChars="200" w:firstLine="200" w:firstLineChars="200"/>
      <w:jc w:val="both"/>
    </w:pPr>
    <w:rPr>
      <w:rFonts w:ascii="Times New Roman" w:hAnsi="Times New Roman" w:eastAsia="宋体" w:cs="Times New Roman"/>
      <w:kern w:val="2"/>
      <w:sz w:val="21"/>
      <w:szCs w:val="24"/>
      <w:lang w:val="en-US" w:eastAsia="zh-CN" w:bidi="ar-SA"/>
    </w:rPr>
  </w:style>
  <w:style w:type="paragraph" w:customStyle="1" w:styleId="419">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8"/>
      <w:szCs w:val="28"/>
    </w:rPr>
  </w:style>
  <w:style w:type="paragraph" w:customStyle="1" w:styleId="420">
    <w:name w:val="样式 4 + 居中"/>
    <w:basedOn w:val="103"/>
    <w:next w:val="21"/>
    <w:autoRedefine/>
    <w:qFormat/>
    <w:uiPriority w:val="0"/>
    <w:pPr>
      <w:jc w:val="center"/>
    </w:pPr>
    <w:rPr>
      <w:rFonts w:cs="宋体"/>
      <w:szCs w:val="20"/>
    </w:rPr>
  </w:style>
  <w:style w:type="paragraph" w:customStyle="1" w:styleId="421">
    <w:name w:val="样式 4 + 黑色 段前: 0 磅 段后: 0 磅 行距: 单倍行距"/>
    <w:basedOn w:val="103"/>
    <w:next w:val="6"/>
    <w:autoRedefine/>
    <w:qFormat/>
    <w:uiPriority w:val="0"/>
    <w:pPr>
      <w:spacing w:before="0" w:after="0" w:line="240" w:lineRule="auto"/>
    </w:pPr>
    <w:rPr>
      <w:rFonts w:cs="宋体"/>
      <w:color w:val="000000"/>
      <w:szCs w:val="20"/>
    </w:rPr>
  </w:style>
  <w:style w:type="paragraph" w:customStyle="1" w:styleId="422">
    <w:name w:val="text"/>
    <w:basedOn w:val="1"/>
    <w:autoRedefine/>
    <w:qFormat/>
    <w:uiPriority w:val="0"/>
    <w:pPr>
      <w:overflowPunct w:val="0"/>
      <w:autoSpaceDE w:val="0"/>
      <w:autoSpaceDN w:val="0"/>
      <w:adjustRightInd w:val="0"/>
      <w:spacing w:before="120" w:after="120"/>
      <w:ind w:left="864"/>
      <w:textAlignment w:val="baseline"/>
    </w:pPr>
    <w:rPr>
      <w:rFonts w:ascii="宋体"/>
      <w:spacing w:val="-14"/>
      <w:kern w:val="0"/>
      <w:sz w:val="24"/>
    </w:rPr>
  </w:style>
  <w:style w:type="paragraph" w:customStyle="1" w:styleId="423">
    <w:name w:val="Char Char Char Char"/>
    <w:basedOn w:val="1"/>
    <w:autoRedefine/>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424">
    <w:name w:val="Default Paragraph Font Para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425">
    <w:name w:val="xl4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4"/>
    </w:rPr>
  </w:style>
  <w:style w:type="paragraph" w:customStyle="1" w:styleId="426">
    <w:name w:val="TOC 标题2"/>
    <w:basedOn w:val="3"/>
    <w:next w:val="1"/>
    <w:autoRedefine/>
    <w:qFormat/>
    <w:uiPriority w:val="39"/>
    <w:pPr>
      <w:spacing w:before="120" w:beforeLines="50" w:after="120" w:afterLines="50" w:line="240" w:lineRule="auto"/>
      <w:jc w:val="center"/>
      <w:outlineLvl w:val="9"/>
    </w:pPr>
    <w:rPr>
      <w:rFonts w:eastAsia="黑体"/>
      <w:spacing w:val="200"/>
      <w:sz w:val="72"/>
    </w:rPr>
  </w:style>
  <w:style w:type="paragraph" w:customStyle="1" w:styleId="427">
    <w:name w:val="section编号"/>
    <w:basedOn w:val="1"/>
    <w:autoRedefine/>
    <w:qFormat/>
    <w:uiPriority w:val="0"/>
    <w:pPr>
      <w:widowControl/>
      <w:tabs>
        <w:tab w:val="left" w:pos="0"/>
        <w:tab w:val="left" w:pos="1260"/>
      </w:tabs>
      <w:spacing w:before="200" w:after="160" w:line="420" w:lineRule="exact"/>
      <w:jc w:val="center"/>
    </w:pPr>
    <w:rPr>
      <w:rFonts w:ascii="Arial" w:hAnsi="Arial" w:eastAsia="黑体"/>
      <w:spacing w:val="40"/>
      <w:sz w:val="28"/>
      <w:szCs w:val="20"/>
    </w:rPr>
  </w:style>
  <w:style w:type="paragraph" w:customStyle="1" w:styleId="428">
    <w:name w:val="(i)正文"/>
    <w:basedOn w:val="1"/>
    <w:autoRedefine/>
    <w:qFormat/>
    <w:uiPriority w:val="0"/>
    <w:pPr>
      <w:widowControl/>
      <w:tabs>
        <w:tab w:val="left" w:pos="0"/>
        <w:tab w:val="left" w:pos="2381"/>
      </w:tabs>
      <w:spacing w:line="360" w:lineRule="exact"/>
    </w:pPr>
    <w:rPr>
      <w:szCs w:val="20"/>
    </w:rPr>
  </w:style>
  <w:style w:type="paragraph" w:customStyle="1" w:styleId="429">
    <w:name w:val="1"/>
    <w:basedOn w:val="4"/>
    <w:next w:val="28"/>
    <w:autoRedefine/>
    <w:qFormat/>
    <w:uiPriority w:val="0"/>
    <w:pPr>
      <w:spacing w:before="360" w:after="360" w:line="360" w:lineRule="exact"/>
      <w:jc w:val="center"/>
    </w:pPr>
    <w:rPr>
      <w:rFonts w:eastAsia="黑体"/>
      <w:sz w:val="72"/>
    </w:rPr>
  </w:style>
  <w:style w:type="paragraph" w:customStyle="1" w:styleId="430">
    <w:name w:val="样式 宋体 小四 加粗 黑色 居中 左侧:  2 字符 首行缩进:  2 字符"/>
    <w:basedOn w:val="1"/>
    <w:next w:val="7"/>
    <w:autoRedefine/>
    <w:qFormat/>
    <w:uiPriority w:val="0"/>
    <w:pPr>
      <w:spacing w:line="360" w:lineRule="exact"/>
      <w:ind w:left="420" w:firstLine="482" w:firstLineChars="200"/>
      <w:jc w:val="center"/>
    </w:pPr>
    <w:rPr>
      <w:rFonts w:ascii="宋体" w:hAnsi="宋体" w:cs="宋体"/>
      <w:b/>
      <w:bCs/>
      <w:color w:val="000000"/>
      <w:sz w:val="24"/>
      <w:szCs w:val="20"/>
    </w:rPr>
  </w:style>
  <w:style w:type="paragraph" w:customStyle="1" w:styleId="431">
    <w:name w:val="修订2"/>
    <w:autoRedefine/>
    <w:qFormat/>
    <w:uiPriority w:val="0"/>
    <w:rPr>
      <w:rFonts w:ascii="Times New Roman" w:hAnsi="Times New Roman" w:eastAsia="宋体" w:cs="Times New Roman"/>
      <w:sz w:val="21"/>
      <w:lang w:val="en-US" w:eastAsia="zh-CN" w:bidi="ar-SA"/>
    </w:rPr>
  </w:style>
  <w:style w:type="paragraph" w:customStyle="1" w:styleId="432">
    <w:name w:val="font8"/>
    <w:basedOn w:val="1"/>
    <w:autoRedefine/>
    <w:qFormat/>
    <w:uiPriority w:val="0"/>
    <w:pPr>
      <w:widowControl/>
      <w:spacing w:before="100" w:beforeAutospacing="1" w:after="100" w:afterAutospacing="1"/>
      <w:jc w:val="left"/>
    </w:pPr>
    <w:rPr>
      <w:rFonts w:hint="eastAsia" w:ascii="宋体" w:hAnsi="宋体"/>
      <w:kern w:val="0"/>
      <w:sz w:val="40"/>
      <w:szCs w:val="40"/>
    </w:rPr>
  </w:style>
  <w:style w:type="paragraph" w:customStyle="1" w:styleId="433">
    <w:name w:val="Char Char Char Char Char Char Char1"/>
    <w:basedOn w:val="1"/>
    <w:autoRedefine/>
    <w:qFormat/>
    <w:uiPriority w:val="0"/>
    <w:pPr>
      <w:widowControl/>
      <w:spacing w:after="160" w:line="240" w:lineRule="exact"/>
      <w:ind w:firstLine="200" w:firstLineChars="200"/>
      <w:jc w:val="left"/>
    </w:pPr>
    <w:rPr>
      <w:rFonts w:ascii="Arial" w:hAnsi="Arial" w:eastAsia="Times New Roman" w:cs="Verdana"/>
      <w:b/>
      <w:spacing w:val="2"/>
      <w:kern w:val="0"/>
      <w:sz w:val="24"/>
      <w:lang w:eastAsia="en-US"/>
    </w:rPr>
  </w:style>
  <w:style w:type="paragraph" w:customStyle="1" w:styleId="434">
    <w:name w:val="xl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kern w:val="0"/>
      <w:sz w:val="24"/>
    </w:rPr>
  </w:style>
  <w:style w:type="paragraph" w:customStyle="1" w:styleId="435">
    <w:name w:val="样式 标题 1 + 黑体 三号 非加粗 居中 段前: 6 磅 段后: 6 磅 行距: 固定值 20 磅"/>
    <w:basedOn w:val="3"/>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436">
    <w:name w:val="_Style 21"/>
    <w:basedOn w:val="1"/>
    <w:next w:val="22"/>
    <w:autoRedefine/>
    <w:qFormat/>
    <w:uiPriority w:val="0"/>
    <w:pPr>
      <w:spacing w:line="200" w:lineRule="exact"/>
      <w:ind w:firstLine="301"/>
    </w:pPr>
    <w:rPr>
      <w:rFonts w:ascii="宋体" w:hAnsi="Courier New"/>
      <w:spacing w:val="-4"/>
      <w:sz w:val="18"/>
      <w:szCs w:val="20"/>
    </w:rPr>
  </w:style>
  <w:style w:type="paragraph" w:customStyle="1" w:styleId="437">
    <w:name w:val="样式 3 + 三号"/>
    <w:basedOn w:val="350"/>
    <w:next w:val="5"/>
    <w:autoRedefine/>
    <w:qFormat/>
    <w:uiPriority w:val="0"/>
    <w:rPr>
      <w:sz w:val="32"/>
    </w:rPr>
  </w:style>
  <w:style w:type="paragraph" w:customStyle="1" w:styleId="438">
    <w:name w:val="a"/>
    <w:basedOn w:val="329"/>
    <w:autoRedefine/>
    <w:qFormat/>
    <w:uiPriority w:val="0"/>
    <w:pPr>
      <w:ind w:left="360" w:hanging="360"/>
    </w:pPr>
    <w:rPr>
      <w:rFonts w:ascii="楷体" w:eastAsia="楷体"/>
      <w:sz w:val="24"/>
    </w:rPr>
  </w:style>
  <w:style w:type="paragraph" w:customStyle="1" w:styleId="439">
    <w:name w:val="样式 3 + 首行缩进:  0.31 厘米"/>
    <w:basedOn w:val="350"/>
    <w:next w:val="5"/>
    <w:autoRedefine/>
    <w:qFormat/>
    <w:uiPriority w:val="0"/>
    <w:pPr>
      <w:ind w:firstLine="175"/>
    </w:pPr>
    <w:rPr>
      <w:rFonts w:cs="宋体"/>
      <w:szCs w:val="20"/>
    </w:rPr>
  </w:style>
  <w:style w:type="paragraph" w:customStyle="1" w:styleId="440">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41">
    <w:name w:val="正文文本 21"/>
    <w:basedOn w:val="1"/>
    <w:autoRedefine/>
    <w:qFormat/>
    <w:uiPriority w:val="0"/>
    <w:pPr>
      <w:adjustRightInd w:val="0"/>
      <w:spacing w:line="460" w:lineRule="exact"/>
      <w:ind w:firstLine="635"/>
      <w:jc w:val="left"/>
      <w:textAlignment w:val="baseline"/>
    </w:pPr>
    <w:rPr>
      <w:sz w:val="28"/>
      <w:szCs w:val="20"/>
    </w:rPr>
  </w:style>
  <w:style w:type="paragraph" w:customStyle="1" w:styleId="442">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443">
    <w:name w:val="_Style 26"/>
    <w:basedOn w:val="3"/>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44">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45">
    <w:name w:val="样式 样式 4 + 宋体 小三 黑色 + 左侧:  2 字符 首行缩进:  2 字符"/>
    <w:basedOn w:val="326"/>
    <w:next w:val="6"/>
    <w:autoRedefine/>
    <w:qFormat/>
    <w:uiPriority w:val="0"/>
    <w:pPr>
      <w:ind w:left="420" w:firstLine="602"/>
    </w:pPr>
    <w:rPr>
      <w:rFonts w:cs="宋体"/>
      <w:szCs w:val="20"/>
    </w:rPr>
  </w:style>
  <w:style w:type="paragraph" w:customStyle="1" w:styleId="446">
    <w:name w:val="(a)正文"/>
    <w:basedOn w:val="1"/>
    <w:autoRedefine/>
    <w:qFormat/>
    <w:uiPriority w:val="0"/>
    <w:pPr>
      <w:widowControl/>
      <w:tabs>
        <w:tab w:val="left" w:pos="1871"/>
      </w:tabs>
      <w:spacing w:line="360" w:lineRule="exact"/>
    </w:pPr>
    <w:rPr>
      <w:szCs w:val="20"/>
    </w:rPr>
  </w:style>
  <w:style w:type="paragraph" w:customStyle="1" w:styleId="447">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48">
    <w:name w:val="font10"/>
    <w:basedOn w:val="1"/>
    <w:autoRedefine/>
    <w:qFormat/>
    <w:uiPriority w:val="0"/>
    <w:pPr>
      <w:widowControl/>
      <w:spacing w:before="100" w:beforeAutospacing="1" w:after="100" w:afterAutospacing="1"/>
      <w:jc w:val="left"/>
    </w:pPr>
    <w:rPr>
      <w:rFonts w:hint="eastAsia" w:ascii="宋体" w:hAnsi="宋体"/>
      <w:kern w:val="0"/>
      <w:sz w:val="24"/>
    </w:rPr>
  </w:style>
  <w:style w:type="paragraph" w:customStyle="1" w:styleId="449">
    <w:name w:val="部分编号"/>
    <w:basedOn w:val="1"/>
    <w:autoRedefine/>
    <w:qFormat/>
    <w:uiPriority w:val="0"/>
    <w:pPr>
      <w:widowControl/>
      <w:tabs>
        <w:tab w:val="left" w:pos="0"/>
        <w:tab w:val="left" w:pos="1418"/>
      </w:tabs>
      <w:spacing w:before="160" w:after="120" w:line="400" w:lineRule="exact"/>
      <w:ind w:left="1418" w:hanging="1418"/>
    </w:pPr>
    <w:rPr>
      <w:rFonts w:ascii="Arial" w:hAnsi="Arial" w:eastAsia="黑体"/>
      <w:spacing w:val="30"/>
      <w:sz w:val="24"/>
      <w:szCs w:val="20"/>
    </w:rPr>
  </w:style>
  <w:style w:type="paragraph" w:customStyle="1" w:styleId="450">
    <w:name w:val="Char Char Char Char Char Char Char Char Char Char Char Char Char Char Char Char"/>
    <w:basedOn w:val="1"/>
    <w:autoRedefine/>
    <w:qFormat/>
    <w:uiPriority w:val="0"/>
    <w:pPr>
      <w:tabs>
        <w:tab w:val="left" w:pos="360"/>
      </w:tabs>
      <w:spacing w:line="360" w:lineRule="auto"/>
      <w:ind w:left="482" w:firstLine="200" w:firstLineChars="200"/>
    </w:pPr>
    <w:rPr>
      <w:rFonts w:ascii="宋体"/>
      <w:sz w:val="24"/>
    </w:rPr>
  </w:style>
  <w:style w:type="paragraph" w:customStyle="1" w:styleId="451">
    <w:name w:val="样式 行距: 固定值 25 磅"/>
    <w:basedOn w:val="1"/>
    <w:autoRedefine/>
    <w:qFormat/>
    <w:uiPriority w:val="0"/>
    <w:pPr>
      <w:spacing w:line="500" w:lineRule="exact"/>
    </w:pPr>
    <w:rPr>
      <w:rFonts w:cs="宋体"/>
      <w:sz w:val="28"/>
      <w:szCs w:val="20"/>
    </w:rPr>
  </w:style>
  <w:style w:type="paragraph" w:customStyle="1" w:styleId="452">
    <w:name w:val="纯文本1"/>
    <w:basedOn w:val="1"/>
    <w:autoRedefine/>
    <w:qFormat/>
    <w:uiPriority w:val="0"/>
    <w:pPr>
      <w:adjustRightInd w:val="0"/>
      <w:jc w:val="left"/>
      <w:textAlignment w:val="baseline"/>
    </w:pPr>
    <w:rPr>
      <w:rFonts w:ascii="宋体" w:hAnsi="Courier New"/>
      <w:szCs w:val="20"/>
    </w:rPr>
  </w:style>
  <w:style w:type="paragraph" w:customStyle="1" w:styleId="453">
    <w:name w:val="样式 4 + 居中 段前: 0 磅 段后: 0 磅 行距: 单倍行距1"/>
    <w:basedOn w:val="103"/>
    <w:next w:val="6"/>
    <w:autoRedefine/>
    <w:qFormat/>
    <w:uiPriority w:val="0"/>
    <w:pPr>
      <w:spacing w:before="0" w:after="0" w:line="240" w:lineRule="auto"/>
      <w:jc w:val="center"/>
    </w:pPr>
    <w:rPr>
      <w:rFonts w:cs="宋体"/>
      <w:szCs w:val="20"/>
    </w:rPr>
  </w:style>
  <w:style w:type="paragraph" w:customStyle="1" w:styleId="454">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455">
    <w:name w:val="xl5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4"/>
    </w:rPr>
  </w:style>
  <w:style w:type="paragraph" w:customStyle="1" w:styleId="456">
    <w:name w:val="_Style 15"/>
    <w:basedOn w:val="1"/>
    <w:next w:val="28"/>
    <w:autoRedefine/>
    <w:qFormat/>
    <w:uiPriority w:val="0"/>
    <w:rPr>
      <w:rFonts w:ascii="宋体" w:hAnsi="Courier New"/>
      <w:szCs w:val="20"/>
    </w:rPr>
  </w:style>
  <w:style w:type="paragraph" w:customStyle="1" w:styleId="457">
    <w:name w:val="默认段落字体 Para Char Char Char Char Char Char Char Char Char Char"/>
    <w:basedOn w:val="1"/>
    <w:autoRedefine/>
    <w:qFormat/>
    <w:uiPriority w:val="0"/>
    <w:rPr>
      <w:rFonts w:ascii="Tahoma" w:hAnsi="Tahoma"/>
      <w:sz w:val="24"/>
      <w:u w:val="single"/>
    </w:rPr>
  </w:style>
  <w:style w:type="paragraph" w:customStyle="1" w:styleId="458">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459">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460">
    <w:name w:val="_Style 37"/>
    <w:basedOn w:val="1"/>
    <w:next w:val="1"/>
    <w:autoRedefine/>
    <w:qFormat/>
    <w:uiPriority w:val="0"/>
  </w:style>
  <w:style w:type="paragraph" w:customStyle="1" w:styleId="461">
    <w:name w:val="Char Char Char1"/>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462">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463">
    <w:name w:val="表头"/>
    <w:basedOn w:val="1"/>
    <w:autoRedefine/>
    <w:qFormat/>
    <w:uiPriority w:val="0"/>
    <w:pPr>
      <w:adjustRightInd w:val="0"/>
      <w:spacing w:line="420" w:lineRule="atLeast"/>
      <w:ind w:firstLine="200" w:firstLineChars="200"/>
      <w:jc w:val="center"/>
      <w:textAlignment w:val="baseline"/>
    </w:pPr>
    <w:rPr>
      <w:rFonts w:ascii="黑体" w:eastAsia="黑体"/>
      <w:kern w:val="0"/>
      <w:szCs w:val="20"/>
    </w:rPr>
  </w:style>
  <w:style w:type="paragraph" w:customStyle="1" w:styleId="464">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465">
    <w:name w:val="Char1 Char Char Char Char Char Char1"/>
    <w:basedOn w:val="1"/>
    <w:autoRedefine/>
    <w:qFormat/>
    <w:uiPriority w:val="0"/>
    <w:rPr>
      <w:rFonts w:ascii="Tahoma" w:hAnsi="Tahoma"/>
      <w:sz w:val="24"/>
      <w:szCs w:val="20"/>
    </w:rPr>
  </w:style>
  <w:style w:type="paragraph" w:customStyle="1" w:styleId="466">
    <w:name w:val="样式 标题 4 + 黑色 首行缩进:  2 字符"/>
    <w:basedOn w:val="7"/>
    <w:next w:val="7"/>
    <w:autoRedefine/>
    <w:qFormat/>
    <w:uiPriority w:val="0"/>
    <w:pPr>
      <w:spacing w:before="50" w:beforeLines="50" w:after="50" w:afterLines="50" w:line="240" w:lineRule="auto"/>
      <w:ind w:firstLine="562" w:firstLineChars="200"/>
    </w:pPr>
    <w:rPr>
      <w:rFonts w:cs="宋体"/>
      <w:color w:val="000000"/>
      <w:szCs w:val="20"/>
    </w:rPr>
  </w:style>
  <w:style w:type="paragraph" w:customStyle="1" w:styleId="467">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468">
    <w:name w:val="xl27"/>
    <w:basedOn w:val="1"/>
    <w:autoRedefine/>
    <w:qFormat/>
    <w:uiPriority w:val="0"/>
    <w:pPr>
      <w:widowControl/>
      <w:pBdr>
        <w:bottom w:val="single" w:color="auto" w:sz="4" w:space="0"/>
        <w:right w:val="single" w:color="auto" w:sz="4" w:space="0"/>
      </w:pBdr>
      <w:spacing w:before="100" w:beforeAutospacing="1" w:after="100" w:afterAutospacing="1"/>
      <w:jc w:val="center"/>
    </w:pPr>
    <w:rPr>
      <w:kern w:val="0"/>
      <w:sz w:val="24"/>
    </w:rPr>
  </w:style>
  <w:style w:type="paragraph" w:customStyle="1" w:styleId="469">
    <w:name w:val="Char1"/>
    <w:basedOn w:val="1"/>
    <w:autoRedefine/>
    <w:qFormat/>
    <w:uiPriority w:val="0"/>
    <w:rPr>
      <w:rFonts w:ascii="仿宋_GB2312" w:eastAsia="仿宋_GB2312"/>
      <w:b/>
      <w:sz w:val="32"/>
      <w:szCs w:val="32"/>
    </w:rPr>
  </w:style>
  <w:style w:type="paragraph" w:customStyle="1" w:styleId="470">
    <w:name w:val="样式 4 + 居中 段前: 0 磅 段后: 0 磅 行距: 单倍行距"/>
    <w:basedOn w:val="103"/>
    <w:next w:val="6"/>
    <w:autoRedefine/>
    <w:qFormat/>
    <w:uiPriority w:val="0"/>
    <w:pPr>
      <w:spacing w:before="0" w:after="0" w:line="240" w:lineRule="auto"/>
      <w:jc w:val="center"/>
    </w:pPr>
    <w:rPr>
      <w:rFonts w:cs="宋体"/>
      <w:szCs w:val="20"/>
    </w:rPr>
  </w:style>
  <w:style w:type="paragraph" w:customStyle="1" w:styleId="471">
    <w:name w:val="样式 4 + 宋体 小三 黑色 两端对齐 段前: 0 磅 段后: 0 磅 行距: 单倍行距"/>
    <w:basedOn w:val="103"/>
    <w:next w:val="6"/>
    <w:autoRedefine/>
    <w:qFormat/>
    <w:uiPriority w:val="0"/>
    <w:pPr>
      <w:spacing w:before="0" w:after="0" w:line="240" w:lineRule="auto"/>
      <w:jc w:val="both"/>
    </w:pPr>
    <w:rPr>
      <w:rFonts w:ascii="宋体" w:hAnsi="宋体" w:cs="宋体"/>
      <w:color w:val="000000"/>
      <w:sz w:val="30"/>
      <w:szCs w:val="20"/>
    </w:rPr>
  </w:style>
  <w:style w:type="paragraph" w:customStyle="1" w:styleId="472">
    <w:name w:val="xl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473">
    <w:name w:val="样式 样式 标题 3 + (中文) 黑体 小四 非加粗 段前: 7.8 磅 段后: 0 磅 行距: 固定值 20 磅 + 黑色..."/>
    <w:basedOn w:val="382"/>
    <w:next w:val="103"/>
    <w:autoRedefine/>
    <w:qFormat/>
    <w:uiPriority w:val="0"/>
    <w:pPr>
      <w:ind w:firstLine="480"/>
    </w:pPr>
    <w:rPr>
      <w:color w:val="000000"/>
    </w:rPr>
  </w:style>
  <w:style w:type="paragraph" w:customStyle="1" w:styleId="474">
    <w:name w:val="TOC 标题11"/>
    <w:basedOn w:val="3"/>
    <w:next w:val="1"/>
    <w:autoRedefine/>
    <w:unhideWhenUsed/>
    <w:qFormat/>
    <w:uiPriority w:val="39"/>
    <w:pPr>
      <w:widowControl/>
      <w:spacing w:before="480" w:after="0" w:line="276" w:lineRule="auto"/>
      <w:jc w:val="left"/>
      <w:outlineLvl w:val="9"/>
    </w:pPr>
    <w:rPr>
      <w:rFonts w:ascii="Cambria" w:hAnsi="Cambria"/>
      <w:color w:val="366091"/>
      <w:kern w:val="0"/>
      <w:sz w:val="28"/>
      <w:szCs w:val="28"/>
    </w:rPr>
  </w:style>
  <w:style w:type="paragraph" w:customStyle="1" w:styleId="475">
    <w:name w:val="简单回函地址"/>
    <w:basedOn w:val="1"/>
    <w:autoRedefine/>
    <w:qFormat/>
    <w:uiPriority w:val="0"/>
    <w:rPr>
      <w:rFonts w:ascii="仿宋_GB2312" w:hAnsi="宋体" w:eastAsia="仿宋_GB2312"/>
      <w:bCs/>
      <w:sz w:val="30"/>
      <w:szCs w:val="20"/>
    </w:rPr>
  </w:style>
  <w:style w:type="paragraph" w:customStyle="1" w:styleId="476">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4"/>
    </w:rPr>
  </w:style>
  <w:style w:type="paragraph" w:customStyle="1" w:styleId="477">
    <w:name w:val="样式 4 + 段前: 0 磅 段后: 0 磅 行距: 单倍行距1"/>
    <w:basedOn w:val="103"/>
    <w:next w:val="6"/>
    <w:autoRedefine/>
    <w:qFormat/>
    <w:uiPriority w:val="0"/>
    <w:pPr>
      <w:spacing w:before="0" w:after="0" w:line="240" w:lineRule="auto"/>
    </w:pPr>
    <w:rPr>
      <w:rFonts w:cs="宋体"/>
      <w:szCs w:val="20"/>
    </w:rPr>
  </w:style>
  <w:style w:type="paragraph" w:customStyle="1" w:styleId="478">
    <w:name w:val="文件标题"/>
    <w:basedOn w:val="1"/>
    <w:autoRedefine/>
    <w:qFormat/>
    <w:uiPriority w:val="0"/>
    <w:pPr>
      <w:jc w:val="center"/>
    </w:pPr>
    <w:rPr>
      <w:b/>
      <w:sz w:val="36"/>
      <w:szCs w:val="20"/>
    </w:rPr>
  </w:style>
  <w:style w:type="paragraph" w:customStyle="1" w:styleId="479">
    <w:name w:val="2 Char Char Char Char Char Char Char Char Char Char Char Char1 Char"/>
    <w:basedOn w:val="1"/>
    <w:autoRedefine/>
    <w:qFormat/>
    <w:uiPriority w:val="0"/>
    <w:pPr>
      <w:spacing w:line="360" w:lineRule="auto"/>
      <w:ind w:firstLine="200" w:firstLineChars="200"/>
    </w:pPr>
  </w:style>
  <w:style w:type="paragraph" w:customStyle="1" w:styleId="480">
    <w:name w:val="菲页(卷)"/>
    <w:basedOn w:val="3"/>
    <w:next w:val="481"/>
    <w:autoRedefine/>
    <w:qFormat/>
    <w:uiPriority w:val="0"/>
    <w:pPr>
      <w:keepLines w:val="0"/>
      <w:pageBreakBefore/>
      <w:widowControl/>
      <w:tabs>
        <w:tab w:val="left" w:pos="0"/>
      </w:tabs>
      <w:spacing w:before="0" w:after="0" w:line="240" w:lineRule="auto"/>
      <w:jc w:val="center"/>
      <w:outlineLvl w:val="1"/>
    </w:pPr>
    <w:rPr>
      <w:rFonts w:ascii="黑体" w:eastAsia="黑体"/>
      <w:bCs w:val="0"/>
      <w:kern w:val="0"/>
      <w:sz w:val="32"/>
      <w:szCs w:val="20"/>
    </w:rPr>
  </w:style>
  <w:style w:type="paragraph" w:customStyle="1" w:styleId="481">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82">
    <w:name w:val="font7"/>
    <w:basedOn w:val="1"/>
    <w:autoRedefine/>
    <w:qFormat/>
    <w:uiPriority w:val="0"/>
    <w:pPr>
      <w:widowControl/>
      <w:spacing w:before="100" w:beforeAutospacing="1" w:after="100" w:afterAutospacing="1"/>
      <w:jc w:val="left"/>
    </w:pPr>
    <w:rPr>
      <w:rFonts w:hint="eastAsia" w:ascii="宋体" w:hAnsi="宋体"/>
      <w:kern w:val="0"/>
      <w:sz w:val="28"/>
      <w:szCs w:val="28"/>
    </w:rPr>
  </w:style>
  <w:style w:type="paragraph" w:customStyle="1" w:styleId="483">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484">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485">
    <w:name w:val="xl34"/>
    <w:basedOn w:val="1"/>
    <w:autoRedefine/>
    <w:qFormat/>
    <w:uiPriority w:val="0"/>
    <w:pPr>
      <w:widowControl/>
      <w:pBdr>
        <w:left w:val="single" w:color="auto" w:sz="4" w:space="0"/>
        <w:right w:val="single" w:color="auto" w:sz="4" w:space="0"/>
      </w:pBdr>
      <w:spacing w:before="100" w:after="100"/>
      <w:jc w:val="center"/>
    </w:pPr>
    <w:rPr>
      <w:rFonts w:ascii="宋体" w:hAnsi="宋体"/>
      <w:kern w:val="0"/>
      <w:sz w:val="24"/>
      <w:szCs w:val="20"/>
    </w:rPr>
  </w:style>
  <w:style w:type="paragraph" w:customStyle="1" w:styleId="486">
    <w:name w:val="样式 标题 4 + 小四 首行缩进:  2 字符"/>
    <w:basedOn w:val="6"/>
    <w:next w:val="7"/>
    <w:autoRedefine/>
    <w:qFormat/>
    <w:uiPriority w:val="0"/>
    <w:pPr>
      <w:widowControl w:val="0"/>
      <w:spacing w:before="120" w:after="120" w:line="360" w:lineRule="exact"/>
      <w:ind w:firstLine="482"/>
    </w:pPr>
    <w:rPr>
      <w:rFonts w:ascii="Cambria" w:hAnsi="Cambria" w:eastAsia="黑体" w:cs="宋体"/>
      <w:iCs w:val="0"/>
      <w:sz w:val="24"/>
      <w:szCs w:val="20"/>
    </w:rPr>
  </w:style>
  <w:style w:type="paragraph" w:customStyle="1" w:styleId="487">
    <w:name w:val="表"/>
    <w:basedOn w:val="1"/>
    <w:autoRedefine/>
    <w:qFormat/>
    <w:uiPriority w:val="0"/>
    <w:pPr>
      <w:spacing w:line="300" w:lineRule="auto"/>
    </w:pPr>
    <w:rPr>
      <w:color w:val="000000"/>
      <w:szCs w:val="21"/>
    </w:rPr>
  </w:style>
  <w:style w:type="table" w:customStyle="1" w:styleId="488">
    <w:name w:val="Table Normal"/>
    <w:autoRedefine/>
    <w:unhideWhenUsed/>
    <w:qFormat/>
    <w:uiPriority w:val="2"/>
    <w:pPr>
      <w:widowControl w:val="0"/>
      <w:autoSpaceDE w:val="0"/>
      <w:autoSpaceDN w:val="0"/>
    </w:pPr>
    <w:rPr>
      <w:rFonts w:ascii="Calibri" w:hAnsi="Calibri"/>
      <w:sz w:val="22"/>
      <w:lang w:eastAsia="en-US"/>
    </w:rPr>
    <w:tblPr>
      <w:tblCellMar>
        <w:top w:w="0" w:type="dxa"/>
        <w:left w:w="0" w:type="dxa"/>
        <w:bottom w:w="0" w:type="dxa"/>
        <w:right w:w="0" w:type="dxa"/>
      </w:tblCellMar>
    </w:tblPr>
  </w:style>
  <w:style w:type="paragraph" w:customStyle="1" w:styleId="489">
    <w:name w:val="正文格式"/>
    <w:basedOn w:val="1"/>
    <w:autoRedefine/>
    <w:qFormat/>
    <w:uiPriority w:val="0"/>
    <w:pPr>
      <w:widowControl/>
      <w:adjustRightInd w:val="0"/>
      <w:snapToGrid w:val="0"/>
      <w:spacing w:line="400" w:lineRule="atLeast"/>
      <w:ind w:firstLine="482"/>
      <w:textAlignment w:val="baseline"/>
    </w:pPr>
    <w:rPr>
      <w:kern w:val="0"/>
      <w:sz w:val="24"/>
    </w:rPr>
  </w:style>
  <w:style w:type="paragraph" w:customStyle="1" w:styleId="490">
    <w:name w:val="WPSOffice手动目录 1"/>
    <w:autoRedefine/>
    <w:qFormat/>
    <w:uiPriority w:val="0"/>
    <w:rPr>
      <w:rFonts w:ascii="Times New Roman" w:hAnsi="Times New Roman" w:eastAsia="宋体" w:cs="Times New Roman"/>
      <w:lang w:val="en-US" w:eastAsia="zh-CN" w:bidi="ar-SA"/>
    </w:rPr>
  </w:style>
  <w:style w:type="paragraph" w:customStyle="1" w:styleId="491">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492">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493">
    <w:name w:val="Normal_1"/>
    <w:autoRedefine/>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zyz</Company>
  <Pages>84</Pages>
  <Words>20559</Words>
  <Characters>117187</Characters>
  <Lines>976</Lines>
  <Paragraphs>274</Paragraphs>
  <TotalTime>72</TotalTime>
  <ScaleCrop>false</ScaleCrop>
  <LinksUpToDate>false</LinksUpToDate>
  <CharactersWithSpaces>137472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2019-07-01T07:04:00Z</dcterms:created>
  <dc:creator>NTKO</dc:creator>
  <cp:lastModifiedBy>Administrator</cp:lastModifiedBy>
  <cp:lastPrinted>2023-09-22T02:25:00Z</cp:lastPrinted>
  <dcterms:modified xsi:type="dcterms:W3CDTF">2024-05-17T08:41:46Z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B4A2CB43322141CDBD2C97530C37CD04</vt:lpwstr>
  </property>
  <property fmtid="{D5CDD505-2E9C-101B-9397-08002B2CF9AE}" pid="4" name="commondata">
    <vt:lpwstr>eyJoZGlkIjoiNmI0ZWI0N2Y0ZjU5YzVjZThmOGM0OTdjZGU1NTliN2QifQ==</vt:lpwstr>
  </property>
</Properties>
</file>