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
        <w:jc w:val="center"/>
        <w:rPr>
          <w:rFonts w:ascii="宋体" w:hAnsi="宋体" w:eastAsia="宋体" w:cs="宋体"/>
          <w:b/>
          <w:kern w:val="0"/>
          <w:sz w:val="20"/>
          <w:szCs w:val="21"/>
        </w:rPr>
      </w:pPr>
      <w:r>
        <w:rPr>
          <w:rFonts w:hint="eastAsia" w:ascii="宋体" w:hAnsi="宋体" w:eastAsia="宋体" w:cs="宋体"/>
          <w:kern w:val="0"/>
          <w:sz w:val="20"/>
          <w:szCs w:val="21"/>
        </w:rPr>
        <w:drawing>
          <wp:inline distT="0" distB="0" distL="114300" distR="114300">
            <wp:extent cx="885825" cy="933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85825" cy="933450"/>
                    </a:xfrm>
                    <a:prstGeom prst="rect">
                      <a:avLst/>
                    </a:prstGeom>
                    <a:noFill/>
                    <a:ln>
                      <a:noFill/>
                    </a:ln>
                  </pic:spPr>
                </pic:pic>
              </a:graphicData>
            </a:graphic>
          </wp:inline>
        </w:drawing>
      </w:r>
    </w:p>
    <w:p>
      <w:pPr>
        <w:ind w:firstLine="5"/>
        <w:jc w:val="center"/>
        <w:rPr>
          <w:rFonts w:ascii="宋体" w:hAnsi="宋体" w:eastAsia="宋体" w:cs="宋体"/>
          <w:b/>
          <w:kern w:val="0"/>
          <w:sz w:val="20"/>
          <w:szCs w:val="21"/>
        </w:rPr>
      </w:pPr>
    </w:p>
    <w:p>
      <w:pPr>
        <w:jc w:val="center"/>
        <w:rPr>
          <w:rFonts w:ascii="宋体" w:hAnsi="宋体" w:eastAsia="宋体" w:cs="宋体"/>
          <w:b/>
          <w:bCs/>
          <w:kern w:val="0"/>
          <w:sz w:val="36"/>
          <w:szCs w:val="36"/>
        </w:rPr>
      </w:pPr>
      <w:r>
        <w:rPr>
          <w:rFonts w:hint="eastAsia" w:ascii="宋体" w:hAnsi="宋体" w:eastAsia="宋体" w:cs="宋体"/>
          <w:b/>
          <w:bCs/>
          <w:kern w:val="0"/>
          <w:sz w:val="52"/>
          <w:szCs w:val="21"/>
          <w:u w:val="single"/>
        </w:rPr>
        <w:t>广 西 科 文 招 标 有 限 公 司</w:t>
      </w:r>
    </w:p>
    <w:p>
      <w:pPr>
        <w:ind w:firstLine="5"/>
        <w:jc w:val="center"/>
        <w:rPr>
          <w:rFonts w:ascii="宋体" w:hAnsi="宋体" w:eastAsia="宋体" w:cs="宋体"/>
          <w:b/>
          <w:kern w:val="0"/>
          <w:sz w:val="20"/>
          <w:szCs w:val="21"/>
        </w:rPr>
      </w:pPr>
    </w:p>
    <w:p>
      <w:pPr>
        <w:rPr>
          <w:rFonts w:ascii="宋体" w:hAnsi="宋体" w:eastAsia="宋体" w:cs="宋体"/>
          <w:b/>
          <w:kern w:val="0"/>
          <w:sz w:val="20"/>
          <w:szCs w:val="21"/>
        </w:rPr>
      </w:pPr>
    </w:p>
    <w:p>
      <w:pPr>
        <w:jc w:val="center"/>
        <w:rPr>
          <w:rFonts w:ascii="宋体" w:hAnsi="宋体" w:eastAsia="宋体" w:cs="宋体"/>
          <w:b/>
          <w:bCs/>
          <w:kern w:val="0"/>
          <w:sz w:val="72"/>
          <w:szCs w:val="72"/>
        </w:rPr>
      </w:pPr>
    </w:p>
    <w:p>
      <w:pPr>
        <w:jc w:val="center"/>
        <w:rPr>
          <w:rFonts w:ascii="宋体" w:hAnsi="宋体" w:eastAsia="宋体" w:cs="宋体"/>
          <w:b/>
          <w:bCs/>
          <w:kern w:val="0"/>
          <w:sz w:val="72"/>
          <w:szCs w:val="72"/>
        </w:rPr>
      </w:pPr>
      <w:r>
        <w:rPr>
          <w:rFonts w:hint="eastAsia" w:ascii="宋体" w:hAnsi="宋体" w:eastAsia="宋体" w:cs="宋体"/>
          <w:b/>
          <w:bCs/>
          <w:kern w:val="0"/>
          <w:sz w:val="72"/>
          <w:szCs w:val="72"/>
        </w:rPr>
        <w:t>竞争性谈判采购文件</w:t>
      </w:r>
    </w:p>
    <w:p>
      <w:pPr>
        <w:snapToGrid w:val="0"/>
        <w:spacing w:line="360" w:lineRule="auto"/>
        <w:jc w:val="center"/>
        <w:rPr>
          <w:rFonts w:ascii="宋体" w:hAnsi="宋体" w:eastAsia="宋体" w:cs="宋体"/>
          <w:sz w:val="30"/>
          <w:szCs w:val="72"/>
        </w:rPr>
      </w:pPr>
      <w:r>
        <w:rPr>
          <w:rFonts w:hint="eastAsia" w:ascii="宋体" w:hAnsi="宋体" w:eastAsia="宋体" w:cs="宋体"/>
          <w:sz w:val="30"/>
          <w:szCs w:val="72"/>
        </w:rPr>
        <w:t>（全流程电子化评标）</w:t>
      </w:r>
    </w:p>
    <w:p>
      <w:pPr>
        <w:ind w:firstLine="640" w:firstLineChars="200"/>
        <w:rPr>
          <w:rFonts w:ascii="仿宋_GB2312" w:hAnsi="Times New Roman" w:eastAsia="仿宋_GB2312" w:cs="Times New Roman"/>
          <w:kern w:val="0"/>
          <w:sz w:val="32"/>
          <w:szCs w:val="24"/>
        </w:rPr>
      </w:pPr>
    </w:p>
    <w:p>
      <w:pPr>
        <w:jc w:val="center"/>
        <w:rPr>
          <w:rFonts w:ascii="宋体" w:hAnsi="宋体" w:eastAsia="宋体" w:cs="宋体"/>
          <w:b/>
          <w:kern w:val="0"/>
          <w:sz w:val="30"/>
          <w:szCs w:val="72"/>
        </w:rPr>
      </w:pPr>
      <w:r>
        <w:rPr>
          <w:rFonts w:hint="eastAsia" w:ascii="宋体" w:hAnsi="宋体" w:eastAsia="宋体" w:cs="宋体"/>
          <w:b/>
          <w:kern w:val="0"/>
          <w:sz w:val="30"/>
          <w:szCs w:val="72"/>
        </w:rPr>
        <w:t>项目名称：小型台式高速冷冻离心机等1</w:t>
      </w:r>
      <w:r>
        <w:rPr>
          <w:rFonts w:ascii="宋体" w:hAnsi="宋体" w:eastAsia="宋体" w:cs="宋体"/>
          <w:b/>
          <w:kern w:val="0"/>
          <w:sz w:val="30"/>
          <w:szCs w:val="72"/>
        </w:rPr>
        <w:t>1</w:t>
      </w:r>
      <w:r>
        <w:rPr>
          <w:rFonts w:hint="eastAsia" w:ascii="宋体" w:hAnsi="宋体" w:eastAsia="宋体" w:cs="宋体"/>
          <w:b/>
          <w:kern w:val="0"/>
          <w:sz w:val="30"/>
          <w:szCs w:val="72"/>
        </w:rPr>
        <w:t>种教学设备采购</w:t>
      </w:r>
    </w:p>
    <w:p>
      <w:pPr>
        <w:jc w:val="center"/>
        <w:rPr>
          <w:rFonts w:hint="eastAsia" w:ascii="宋体" w:hAnsi="宋体" w:eastAsia="宋体" w:cs="宋体"/>
          <w:b/>
          <w:kern w:val="0"/>
          <w:sz w:val="30"/>
          <w:szCs w:val="72"/>
          <w:lang w:eastAsia="zh-CN"/>
        </w:rPr>
      </w:pPr>
      <w:r>
        <w:rPr>
          <w:rFonts w:hint="eastAsia" w:ascii="宋体" w:hAnsi="宋体" w:eastAsia="宋体" w:cs="宋体"/>
          <w:b/>
          <w:kern w:val="0"/>
          <w:sz w:val="30"/>
          <w:szCs w:val="72"/>
        </w:rPr>
        <w:t>项目编号：</w:t>
      </w:r>
      <w:r>
        <w:rPr>
          <w:rFonts w:hint="eastAsia" w:ascii="宋体" w:hAnsi="宋体" w:eastAsia="宋体" w:cs="宋体"/>
          <w:b/>
          <w:kern w:val="0"/>
          <w:sz w:val="30"/>
          <w:szCs w:val="72"/>
          <w:lang w:eastAsia="zh-CN"/>
        </w:rPr>
        <w:t>GXZC2024-J1-003779-KWZB</w:t>
      </w:r>
    </w:p>
    <w:p>
      <w:pPr>
        <w:keepNext/>
        <w:keepLines/>
        <w:widowControl/>
        <w:spacing w:line="360" w:lineRule="auto"/>
        <w:jc w:val="center"/>
        <w:outlineLvl w:val="3"/>
        <w:rPr>
          <w:rFonts w:ascii="Arial" w:hAnsi="Arial" w:eastAsia="黑体" w:cs="Times New Roman"/>
          <w:kern w:val="0"/>
          <w:sz w:val="28"/>
          <w:szCs w:val="20"/>
        </w:rPr>
      </w:pPr>
    </w:p>
    <w:p>
      <w:pPr>
        <w:rPr>
          <w:rFonts w:ascii="Times New Roman" w:hAnsi="Times New Roman" w:eastAsia="宋体" w:cs="Times New Roman"/>
          <w:szCs w:val="24"/>
        </w:rPr>
      </w:pPr>
    </w:p>
    <w:p>
      <w:pPr>
        <w:jc w:val="center"/>
        <w:rPr>
          <w:rFonts w:ascii="宋体" w:hAnsi="宋体" w:eastAsia="宋体" w:cs="宋体"/>
          <w:b/>
          <w:kern w:val="0"/>
          <w:sz w:val="30"/>
          <w:szCs w:val="72"/>
        </w:rPr>
      </w:pPr>
      <w:r>
        <w:rPr>
          <w:rFonts w:hint="eastAsia" w:ascii="宋体" w:hAnsi="宋体" w:eastAsia="宋体" w:cs="宋体"/>
          <w:b/>
          <w:kern w:val="0"/>
          <w:sz w:val="30"/>
          <w:szCs w:val="72"/>
        </w:rPr>
        <w:t>采购单位：广西大学</w:t>
      </w:r>
    </w:p>
    <w:p>
      <w:pPr>
        <w:jc w:val="center"/>
        <w:rPr>
          <w:rFonts w:ascii="宋体" w:hAnsi="Courier New" w:eastAsia="宋体" w:cs="Times New Roman"/>
          <w:kern w:val="0"/>
          <w:sz w:val="20"/>
          <w:szCs w:val="21"/>
        </w:rPr>
      </w:pPr>
      <w:r>
        <w:rPr>
          <w:rFonts w:hint="eastAsia" w:ascii="宋体" w:hAnsi="宋体" w:eastAsia="宋体" w:cs="宋体"/>
          <w:b/>
          <w:kern w:val="0"/>
          <w:sz w:val="30"/>
          <w:szCs w:val="72"/>
        </w:rPr>
        <w:t>采购代理机构：广西科文招标有限公司</w:t>
      </w:r>
    </w:p>
    <w:p>
      <w:pPr>
        <w:keepNext/>
        <w:keepLines/>
        <w:widowControl/>
        <w:spacing w:before="120" w:after="120" w:line="360" w:lineRule="auto"/>
        <w:jc w:val="center"/>
        <w:outlineLvl w:val="3"/>
        <w:rPr>
          <w:rFonts w:ascii="Arial" w:hAnsi="Arial" w:eastAsia="黑体" w:cs="Times New Roman"/>
          <w:kern w:val="0"/>
          <w:sz w:val="28"/>
          <w:szCs w:val="20"/>
        </w:rPr>
      </w:pPr>
    </w:p>
    <w:p>
      <w:pPr>
        <w:jc w:val="center"/>
        <w:rPr>
          <w:rFonts w:hAnsi="宋体" w:cs="宋体"/>
        </w:rPr>
        <w:sectPr>
          <w:headerReference r:id="rId3" w:type="default"/>
          <w:footerReference r:id="rId4" w:type="default"/>
          <w:footerReference r:id="rId5" w:type="even"/>
          <w:pgSz w:w="11905" w:h="16838"/>
          <w:pgMar w:top="1417" w:right="1417" w:bottom="1417" w:left="1417" w:header="850" w:footer="992" w:gutter="0"/>
          <w:pgNumType w:start="0"/>
          <w:cols w:space="720" w:num="1"/>
          <w:titlePg/>
          <w:docGrid w:type="lines" w:linePitch="318" w:charSpace="0"/>
        </w:sectPr>
      </w:pPr>
      <w:r>
        <w:rPr>
          <w:rFonts w:hint="eastAsia" w:ascii="宋体" w:hAnsi="宋体" w:eastAsia="宋体" w:cs="宋体"/>
          <w:b/>
          <w:kern w:val="0"/>
          <w:sz w:val="30"/>
          <w:szCs w:val="72"/>
        </w:rPr>
        <w:t>2024年</w:t>
      </w:r>
      <w:r>
        <w:rPr>
          <w:rFonts w:hint="eastAsia" w:ascii="宋体" w:hAnsi="宋体" w:eastAsia="宋体" w:cs="宋体"/>
          <w:b/>
          <w:kern w:val="0"/>
          <w:sz w:val="30"/>
          <w:szCs w:val="72"/>
          <w:lang w:val="en-US" w:eastAsia="zh-CN"/>
        </w:rPr>
        <w:t>5</w:t>
      </w:r>
      <w:r>
        <w:rPr>
          <w:rFonts w:hint="eastAsia" w:ascii="宋体" w:hAnsi="宋体" w:eastAsia="宋体" w:cs="宋体"/>
          <w:b/>
          <w:kern w:val="0"/>
          <w:sz w:val="30"/>
          <w:szCs w:val="72"/>
        </w:rPr>
        <w:t>月</w:t>
      </w:r>
      <w:r>
        <w:rPr>
          <w:rFonts w:hint="eastAsia" w:ascii="宋体" w:hAnsi="宋体" w:eastAsia="宋体" w:cs="宋体"/>
          <w:b/>
          <w:kern w:val="0"/>
          <w:sz w:val="30"/>
          <w:szCs w:val="72"/>
          <w:lang w:val="en-US" w:eastAsia="zh-CN"/>
        </w:rPr>
        <w:t>28</w:t>
      </w:r>
      <w:r>
        <w:rPr>
          <w:rFonts w:hint="eastAsia" w:ascii="宋体" w:hAnsi="宋体" w:eastAsia="宋体" w:cs="宋体"/>
          <w:b/>
          <w:kern w:val="0"/>
          <w:sz w:val="30"/>
          <w:szCs w:val="72"/>
        </w:rPr>
        <w:t>日</w:t>
      </w:r>
      <w:r>
        <w:rPr>
          <w:rFonts w:ascii="宋体" w:hAnsi="宋体" w:eastAsia="宋体" w:cs="宋体"/>
          <w:b/>
          <w:kern w:val="0"/>
          <w:sz w:val="30"/>
          <w:szCs w:val="72"/>
        </w:rPr>
        <w:t xml:space="preserve">  </w:t>
      </w:r>
    </w:p>
    <w:p>
      <w:pPr>
        <w:spacing w:line="360" w:lineRule="auto"/>
        <w:rPr>
          <w:rFonts w:ascii="宋体" w:hAnsi="宋体" w:eastAsia="宋体" w:cs="宋体"/>
          <w:b/>
          <w:sz w:val="44"/>
          <w:szCs w:val="44"/>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目  录</w:t>
      </w:r>
    </w:p>
    <w:p>
      <w:pPr>
        <w:spacing w:line="400" w:lineRule="exact"/>
        <w:jc w:val="center"/>
        <w:rPr>
          <w:rFonts w:ascii="宋体" w:hAnsi="宋体" w:eastAsia="宋体" w:cs="宋体"/>
          <w:b/>
          <w:sz w:val="44"/>
          <w:szCs w:val="44"/>
        </w:rPr>
      </w:pPr>
    </w:p>
    <w:p>
      <w:pPr>
        <w:tabs>
          <w:tab w:val="right" w:leader="dot" w:pos="8730"/>
        </w:tabs>
        <w:spacing w:before="120" w:after="120"/>
        <w:ind w:firstLine="241" w:firstLineChars="100"/>
        <w:jc w:val="left"/>
        <w:rPr>
          <w:rFonts w:ascii="宋体" w:hAnsi="宋体" w:eastAsia="宋体" w:cs="Times New Roman"/>
          <w:b/>
          <w:bCs/>
          <w:cap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"1-3" \h \z \u </w:instrText>
      </w:r>
      <w:r>
        <w:rPr>
          <w:rFonts w:hint="eastAsia" w:ascii="宋体" w:hAnsi="宋体" w:eastAsia="宋体" w:cs="宋体"/>
          <w:b/>
          <w:sz w:val="24"/>
          <w:szCs w:val="24"/>
        </w:rPr>
        <w:fldChar w:fldCharType="separate"/>
      </w:r>
      <w:r>
        <w:rPr>
          <w:rFonts w:hint="eastAsia" w:ascii="宋体" w:hAnsi="宋体" w:eastAsia="宋体" w:cs="宋体"/>
          <w:b/>
          <w:sz w:val="24"/>
          <w:szCs w:val="24"/>
          <w:highlight w:val="yellow"/>
        </w:rPr>
        <w:fldChar w:fldCharType="begin"/>
      </w:r>
      <w:r>
        <w:rPr>
          <w:rFonts w:hint="eastAsia" w:ascii="宋体" w:hAnsi="宋体" w:eastAsia="宋体" w:cs="宋体"/>
          <w:b/>
          <w:sz w:val="24"/>
          <w:szCs w:val="24"/>
          <w:highlight w:val="yellow"/>
        </w:rPr>
        <w:instrText xml:space="preserve"> TOC \o "1-3" \h \z \u </w:instrText>
      </w:r>
      <w:r>
        <w:rPr>
          <w:rFonts w:hint="eastAsia" w:ascii="宋体" w:hAnsi="宋体" w:eastAsia="宋体" w:cs="宋体"/>
          <w:b/>
          <w:sz w:val="24"/>
          <w:szCs w:val="24"/>
          <w:highlight w:val="yellow"/>
        </w:rPr>
        <w:fldChar w:fldCharType="separate"/>
      </w:r>
      <w:r>
        <w:fldChar w:fldCharType="begin"/>
      </w:r>
      <w:r>
        <w:instrText xml:space="preserve"> HYPERLINK \l "_Toc74322008" </w:instrText>
      </w:r>
      <w:r>
        <w:fldChar w:fldCharType="separate"/>
      </w:r>
      <w:r>
        <w:rPr>
          <w:rFonts w:hint="eastAsia" w:ascii="宋体" w:hAnsi="宋体" w:eastAsia="宋体" w:cs="Times New Roman"/>
          <w:b/>
          <w:bCs/>
          <w:caps/>
          <w:sz w:val="24"/>
          <w:szCs w:val="24"/>
        </w:rPr>
        <w:t>第一章 竞争性谈判公告</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w:t>
      </w:r>
      <w:r>
        <w:rPr>
          <w:rFonts w:ascii="宋体" w:hAnsi="宋体" w:eastAsia="宋体" w:cs="Times New Roman"/>
          <w:b/>
          <w:bCs/>
          <w:caps/>
          <w:sz w:val="24"/>
          <w:szCs w:val="24"/>
        </w:rPr>
        <w:t>1</w:t>
      </w:r>
    </w:p>
    <w:p>
      <w:pPr>
        <w:tabs>
          <w:tab w:val="right" w:leader="dot" w:pos="8730"/>
        </w:tabs>
        <w:spacing w:before="120" w:after="120"/>
        <w:ind w:firstLine="210" w:firstLineChars="100"/>
        <w:jc w:val="left"/>
        <w:rPr>
          <w:rFonts w:ascii="宋体" w:hAnsi="宋体" w:eastAsia="宋体" w:cs="Times New Roman"/>
          <w:b/>
          <w:bCs/>
          <w:caps/>
          <w:sz w:val="24"/>
          <w:szCs w:val="24"/>
        </w:rPr>
      </w:pPr>
      <w:r>
        <w:fldChar w:fldCharType="begin"/>
      </w:r>
      <w:r>
        <w:instrText xml:space="preserve"> HYPERLINK \l "_Toc74322009" </w:instrText>
      </w:r>
      <w:r>
        <w:fldChar w:fldCharType="separate"/>
      </w:r>
      <w:r>
        <w:rPr>
          <w:rFonts w:hint="eastAsia" w:ascii="宋体" w:hAnsi="宋体" w:eastAsia="宋体" w:cs="Times New Roman"/>
          <w:b/>
          <w:bCs/>
          <w:caps/>
          <w:sz w:val="24"/>
          <w:szCs w:val="24"/>
        </w:rPr>
        <w:t>第二章 供应商须知</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…………………………………………………………6</w:t>
      </w:r>
    </w:p>
    <w:p>
      <w:pPr>
        <w:tabs>
          <w:tab w:val="right" w:leader="dot" w:pos="8730"/>
        </w:tabs>
        <w:spacing w:before="120" w:after="120"/>
        <w:ind w:firstLine="210" w:firstLineChars="100"/>
        <w:jc w:val="left"/>
        <w:rPr>
          <w:rFonts w:ascii="宋体" w:hAnsi="宋体" w:eastAsia="宋体" w:cs="Times New Roman"/>
          <w:b/>
          <w:bCs/>
          <w:caps/>
          <w:sz w:val="24"/>
          <w:szCs w:val="24"/>
        </w:rPr>
      </w:pPr>
      <w:r>
        <w:fldChar w:fldCharType="begin"/>
      </w:r>
      <w:r>
        <w:instrText xml:space="preserve"> HYPERLINK \l "_Toc74322010" </w:instrText>
      </w:r>
      <w:r>
        <w:fldChar w:fldCharType="separate"/>
      </w:r>
      <w:r>
        <w:rPr>
          <w:rFonts w:hint="eastAsia" w:ascii="宋体" w:hAnsi="宋体" w:eastAsia="宋体" w:cs="Times New Roman"/>
          <w:b/>
          <w:bCs/>
          <w:caps/>
          <w:sz w:val="24"/>
          <w:szCs w:val="24"/>
        </w:rPr>
        <w:t>第三章 采购需求</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w:t>
      </w:r>
      <w:r>
        <w:rPr>
          <w:rFonts w:ascii="宋体" w:hAnsi="宋体" w:eastAsia="宋体" w:cs="Times New Roman"/>
          <w:b/>
          <w:bCs/>
          <w:caps/>
          <w:sz w:val="24"/>
          <w:szCs w:val="24"/>
        </w:rPr>
        <w:t>2</w:t>
      </w:r>
      <w:r>
        <w:rPr>
          <w:rFonts w:hint="eastAsia" w:ascii="宋体" w:hAnsi="宋体" w:eastAsia="宋体" w:cs="Times New Roman"/>
          <w:b/>
          <w:bCs/>
          <w:caps/>
          <w:sz w:val="24"/>
          <w:szCs w:val="24"/>
        </w:rPr>
        <w:t>8</w:t>
      </w:r>
    </w:p>
    <w:p>
      <w:pPr>
        <w:tabs>
          <w:tab w:val="right" w:leader="dot" w:pos="8730"/>
        </w:tabs>
        <w:spacing w:before="120" w:after="120"/>
        <w:ind w:firstLine="210" w:firstLineChars="100"/>
        <w:jc w:val="left"/>
        <w:rPr>
          <w:rFonts w:ascii="宋体" w:hAnsi="宋体" w:eastAsia="宋体" w:cs="Times New Roman"/>
          <w:b/>
          <w:bCs/>
          <w:caps/>
          <w:sz w:val="24"/>
          <w:szCs w:val="24"/>
        </w:rPr>
      </w:pPr>
      <w:r>
        <w:fldChar w:fldCharType="begin"/>
      </w:r>
      <w:r>
        <w:instrText xml:space="preserve"> HYPERLINK \l "_Toc74322011" </w:instrText>
      </w:r>
      <w:r>
        <w:fldChar w:fldCharType="separate"/>
      </w:r>
      <w:r>
        <w:rPr>
          <w:rFonts w:hint="eastAsia" w:ascii="宋体" w:hAnsi="宋体" w:eastAsia="宋体" w:cs="Times New Roman"/>
          <w:b/>
          <w:bCs/>
          <w:caps/>
          <w:sz w:val="24"/>
          <w:szCs w:val="24"/>
        </w:rPr>
        <w:t>第四章 评审程序和评定成交的标准</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………………………………………40</w:t>
      </w:r>
    </w:p>
    <w:p>
      <w:pPr>
        <w:tabs>
          <w:tab w:val="right" w:leader="dot" w:pos="8730"/>
        </w:tabs>
        <w:spacing w:before="120" w:after="120"/>
        <w:ind w:firstLine="210" w:firstLineChars="100"/>
        <w:jc w:val="left"/>
        <w:rPr>
          <w:rFonts w:ascii="宋体" w:hAnsi="宋体" w:eastAsia="宋体" w:cs="Times New Roman"/>
          <w:b/>
          <w:bCs/>
          <w:caps/>
          <w:sz w:val="24"/>
          <w:szCs w:val="24"/>
        </w:rPr>
      </w:pPr>
      <w:r>
        <w:fldChar w:fldCharType="begin"/>
      </w:r>
      <w:r>
        <w:instrText xml:space="preserve"> HYPERLINK \l "_Toc74322012" </w:instrText>
      </w:r>
      <w:r>
        <w:fldChar w:fldCharType="separate"/>
      </w:r>
      <w:r>
        <w:rPr>
          <w:rFonts w:hint="eastAsia" w:ascii="宋体" w:hAnsi="宋体" w:eastAsia="宋体" w:cs="Times New Roman"/>
          <w:b/>
          <w:bCs/>
          <w:caps/>
          <w:sz w:val="24"/>
          <w:szCs w:val="24"/>
        </w:rPr>
        <w:t>第五章 响应文件格式</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w:t>
      </w:r>
      <w:r>
        <w:rPr>
          <w:rFonts w:ascii="宋体" w:hAnsi="宋体" w:eastAsia="宋体" w:cs="Times New Roman"/>
          <w:b/>
          <w:bCs/>
          <w:caps/>
          <w:sz w:val="24"/>
          <w:szCs w:val="24"/>
        </w:rPr>
        <w:t>4</w:t>
      </w:r>
      <w:r>
        <w:rPr>
          <w:rFonts w:hint="eastAsia" w:ascii="宋体" w:hAnsi="宋体" w:eastAsia="宋体" w:cs="Times New Roman"/>
          <w:b/>
          <w:bCs/>
          <w:caps/>
          <w:sz w:val="24"/>
          <w:szCs w:val="24"/>
        </w:rPr>
        <w:t>7</w:t>
      </w:r>
    </w:p>
    <w:p>
      <w:pPr>
        <w:tabs>
          <w:tab w:val="right" w:leader="dot" w:pos="8730"/>
        </w:tabs>
        <w:spacing w:before="120" w:after="120"/>
        <w:ind w:firstLine="210" w:firstLineChars="100"/>
        <w:jc w:val="left"/>
        <w:rPr>
          <w:rFonts w:ascii="宋体" w:hAnsi="宋体" w:eastAsia="宋体" w:cs="Times New Roman"/>
          <w:b/>
          <w:bCs/>
          <w:caps/>
          <w:sz w:val="24"/>
          <w:szCs w:val="24"/>
        </w:rPr>
      </w:pPr>
      <w:r>
        <w:fldChar w:fldCharType="begin"/>
      </w:r>
      <w:r>
        <w:instrText xml:space="preserve"> HYPERLINK \l "_Toc74322013" </w:instrText>
      </w:r>
      <w:r>
        <w:fldChar w:fldCharType="separate"/>
      </w:r>
      <w:r>
        <w:rPr>
          <w:rFonts w:hint="eastAsia" w:ascii="宋体" w:hAnsi="宋体" w:eastAsia="宋体" w:cs="Times New Roman"/>
          <w:b/>
          <w:bCs/>
          <w:caps/>
          <w:sz w:val="24"/>
          <w:szCs w:val="24"/>
        </w:rPr>
        <w:t>第六章 合同文本</w:t>
      </w:r>
      <w:r>
        <w:rPr>
          <w:rFonts w:hint="eastAsia" w:ascii="宋体" w:hAnsi="宋体" w:eastAsia="宋体" w:cs="Times New Roman"/>
          <w:b/>
          <w:bCs/>
          <w:caps/>
          <w:sz w:val="24"/>
          <w:szCs w:val="24"/>
        </w:rPr>
        <w:fldChar w:fldCharType="end"/>
      </w:r>
      <w:r>
        <w:rPr>
          <w:rFonts w:hint="eastAsia" w:ascii="宋体" w:hAnsi="宋体" w:eastAsia="宋体" w:cs="Times New Roman"/>
          <w:b/>
          <w:bCs/>
          <w:caps/>
          <w:sz w:val="24"/>
          <w:szCs w:val="24"/>
        </w:rPr>
        <w:t>……………………………………………………………71</w:t>
      </w:r>
    </w:p>
    <w:p>
      <w:pPr>
        <w:tabs>
          <w:tab w:val="right" w:leader="dot" w:pos="8869"/>
        </w:tabs>
        <w:snapToGrid w:val="0"/>
        <w:spacing w:line="500" w:lineRule="atLeast"/>
        <w:ind w:firstLine="1484" w:firstLineChars="616"/>
        <w:rPr>
          <w:rFonts w:ascii="宋体" w:hAnsi="宋体" w:eastAsia="宋体" w:cs="宋体"/>
          <w:b/>
          <w:sz w:val="24"/>
          <w:szCs w:val="24"/>
          <w:highlight w:val="yellow"/>
        </w:rPr>
      </w:pPr>
    </w:p>
    <w:p>
      <w:pPr>
        <w:tabs>
          <w:tab w:val="right" w:leader="dot" w:pos="8869"/>
        </w:tabs>
        <w:snapToGrid w:val="0"/>
        <w:spacing w:line="500" w:lineRule="atLeast"/>
        <w:ind w:firstLine="1484" w:firstLineChars="616"/>
        <w:rPr>
          <w:rFonts w:ascii="宋体" w:hAnsi="宋体" w:eastAsia="宋体" w:cs="宋体"/>
          <w:b/>
          <w:sz w:val="24"/>
          <w:szCs w:val="24"/>
        </w:rPr>
      </w:pPr>
      <w:r>
        <w:rPr>
          <w:rFonts w:hint="eastAsia" w:ascii="宋体" w:hAnsi="宋体" w:eastAsia="宋体" w:cs="宋体"/>
          <w:b/>
          <w:sz w:val="24"/>
          <w:szCs w:val="24"/>
          <w:highlight w:val="yellow"/>
        </w:rPr>
        <w:fldChar w:fldCharType="end"/>
      </w:r>
    </w:p>
    <w:p>
      <w:pPr>
        <w:tabs>
          <w:tab w:val="right" w:leader="dot" w:pos="8931"/>
        </w:tabs>
        <w:snapToGrid w:val="0"/>
        <w:spacing w:line="500" w:lineRule="atLeast"/>
        <w:rPr>
          <w:rFonts w:ascii="宋体" w:hAnsi="宋体" w:eastAsia="宋体" w:cs="宋体"/>
          <w:b/>
          <w:sz w:val="24"/>
          <w:szCs w:val="24"/>
        </w:rPr>
      </w:pPr>
      <w:r>
        <w:rPr>
          <w:rFonts w:hint="eastAsia" w:ascii="宋体" w:hAnsi="宋体" w:eastAsia="宋体" w:cs="宋体"/>
          <w:b/>
          <w:sz w:val="24"/>
          <w:szCs w:val="24"/>
        </w:rPr>
        <w:fldChar w:fldCharType="end"/>
      </w:r>
    </w:p>
    <w:p>
      <w:pPr>
        <w:spacing w:line="400" w:lineRule="exact"/>
        <w:jc w:val="left"/>
        <w:rPr>
          <w:rFonts w:ascii="宋体" w:hAnsi="宋体" w:eastAsia="宋体" w:cs="宋体"/>
          <w:b/>
          <w:sz w:val="32"/>
          <w:szCs w:val="32"/>
        </w:rPr>
      </w:pPr>
    </w:p>
    <w:p>
      <w:pPr>
        <w:spacing w:line="400" w:lineRule="exact"/>
        <w:jc w:val="center"/>
        <w:rPr>
          <w:rFonts w:ascii="宋体" w:hAnsi="宋体" w:eastAsia="宋体" w:cs="宋体"/>
          <w:b/>
          <w:sz w:val="32"/>
          <w:szCs w:val="32"/>
        </w:rPr>
      </w:pPr>
    </w:p>
    <w:p>
      <w:pPr>
        <w:spacing w:line="400" w:lineRule="exact"/>
        <w:jc w:val="center"/>
        <w:rPr>
          <w:rFonts w:ascii="宋体" w:hAnsi="宋体" w:eastAsia="宋体" w:cs="宋体"/>
          <w:b/>
          <w:sz w:val="32"/>
          <w:szCs w:val="32"/>
        </w:rPr>
      </w:pPr>
    </w:p>
    <w:p>
      <w:pPr>
        <w:spacing w:line="400" w:lineRule="exact"/>
        <w:jc w:val="center"/>
        <w:rPr>
          <w:rFonts w:ascii="宋体" w:hAnsi="宋体" w:eastAsia="宋体" w:cs="宋体"/>
          <w:b/>
          <w:sz w:val="32"/>
          <w:szCs w:val="32"/>
        </w:rPr>
      </w:pPr>
    </w:p>
    <w:p>
      <w:pPr>
        <w:spacing w:line="400" w:lineRule="exact"/>
        <w:jc w:val="center"/>
        <w:rPr>
          <w:rFonts w:ascii="宋体" w:hAnsi="宋体" w:eastAsia="宋体" w:cs="宋体"/>
          <w:b/>
          <w:sz w:val="32"/>
          <w:szCs w:val="32"/>
        </w:rPr>
      </w:pPr>
    </w:p>
    <w:p>
      <w:pPr>
        <w:spacing w:line="400" w:lineRule="exact"/>
        <w:rPr>
          <w:rFonts w:ascii="宋体" w:hAnsi="宋体" w:cs="宋体"/>
          <w:b/>
          <w:sz w:val="32"/>
          <w:szCs w:val="32"/>
        </w:rPr>
        <w:sectPr>
          <w:headerReference r:id="rId6" w:type="default"/>
          <w:footerReference r:id="rId7" w:type="default"/>
          <w:pgSz w:w="11905" w:h="16838"/>
          <w:pgMar w:top="1417" w:right="1417" w:bottom="1417" w:left="1417" w:header="850" w:footer="992" w:gutter="0"/>
          <w:pgNumType w:start="0"/>
          <w:cols w:space="720" w:num="1"/>
          <w:titlePg/>
          <w:docGrid w:type="lines" w:linePitch="318" w:charSpace="0"/>
        </w:sectPr>
      </w:pPr>
    </w:p>
    <w:p>
      <w:pPr>
        <w:keepNext/>
        <w:keepLines/>
        <w:numPr>
          <w:ilvl w:val="0"/>
          <w:numId w:val="2"/>
        </w:numPr>
        <w:jc w:val="center"/>
        <w:outlineLvl w:val="0"/>
        <w:rPr>
          <w:rFonts w:ascii="宋体" w:hAnsi="宋体" w:eastAsia="宋体" w:cs="宋体"/>
          <w:b/>
          <w:bCs/>
          <w:kern w:val="44"/>
          <w:sz w:val="44"/>
          <w:szCs w:val="44"/>
        </w:rPr>
      </w:pPr>
      <w:bookmarkStart w:id="0" w:name="_Toc74322008"/>
      <w:r>
        <w:rPr>
          <w:rFonts w:hint="eastAsia" w:ascii="宋体" w:hAnsi="宋体" w:eastAsia="宋体" w:cs="宋体"/>
          <w:b/>
          <w:bCs/>
          <w:kern w:val="44"/>
          <w:sz w:val="44"/>
          <w:szCs w:val="44"/>
        </w:rPr>
        <w:t>竞争性谈判公告</w:t>
      </w:r>
      <w:bookmarkEnd w:id="0"/>
    </w:p>
    <w:p>
      <w:pPr>
        <w:rPr>
          <w:rFonts w:ascii="Times New Roman" w:hAnsi="Times New Roman" w:eastAsia="宋体" w:cs="Times New Roman"/>
          <w:szCs w:val="24"/>
        </w:rPr>
      </w:pPr>
    </w:p>
    <w:p>
      <w:pPr>
        <w:jc w:val="center"/>
        <w:rPr>
          <w:rFonts w:ascii="宋体" w:hAnsi="宋体" w:eastAsia="宋体" w:cs="宋体"/>
          <w:b/>
          <w:kern w:val="0"/>
          <w:sz w:val="36"/>
          <w:szCs w:val="36"/>
        </w:rPr>
      </w:pPr>
      <w:r>
        <w:rPr>
          <w:rFonts w:hint="eastAsia" w:ascii="宋体" w:hAnsi="宋体" w:eastAsia="宋体" w:cs="宋体"/>
          <w:b/>
          <w:kern w:val="0"/>
          <w:sz w:val="36"/>
          <w:szCs w:val="36"/>
        </w:rPr>
        <w:t>广西科文招标有限公司</w:t>
      </w:r>
    </w:p>
    <w:p>
      <w:pPr>
        <w:jc w:val="center"/>
        <w:rPr>
          <w:rFonts w:ascii="宋体" w:hAnsi="宋体" w:eastAsia="宋体" w:cs="宋体"/>
          <w:b/>
          <w:kern w:val="0"/>
          <w:sz w:val="36"/>
          <w:szCs w:val="36"/>
        </w:rPr>
      </w:pPr>
      <w:r>
        <w:rPr>
          <w:rFonts w:hint="eastAsia" w:ascii="宋体" w:hAnsi="宋体" w:eastAsia="宋体" w:cs="宋体"/>
          <w:b/>
          <w:bCs/>
          <w:sz w:val="36"/>
          <w:szCs w:val="36"/>
        </w:rPr>
        <w:t>小型台式高速冷冻离心机等</w:t>
      </w:r>
      <w:r>
        <w:rPr>
          <w:rFonts w:ascii="宋体" w:hAnsi="宋体" w:eastAsia="宋体" w:cs="宋体"/>
          <w:b/>
          <w:bCs/>
          <w:sz w:val="36"/>
          <w:szCs w:val="36"/>
        </w:rPr>
        <w:t>11</w:t>
      </w:r>
      <w:r>
        <w:rPr>
          <w:rFonts w:hint="eastAsia" w:ascii="宋体" w:hAnsi="宋体" w:eastAsia="宋体" w:cs="宋体"/>
          <w:b/>
          <w:bCs/>
          <w:sz w:val="36"/>
          <w:szCs w:val="36"/>
        </w:rPr>
        <w:t>种教学设备采购（</w:t>
      </w:r>
      <w:r>
        <w:rPr>
          <w:rFonts w:hint="eastAsia" w:ascii="宋体" w:hAnsi="宋体" w:eastAsia="宋体" w:cs="宋体"/>
          <w:b/>
          <w:bCs/>
          <w:sz w:val="36"/>
          <w:szCs w:val="36"/>
          <w:lang w:eastAsia="zh-CN"/>
        </w:rPr>
        <w:t>GXZC2024-J1-003779-KWZB</w:t>
      </w:r>
      <w:r>
        <w:rPr>
          <w:rFonts w:hint="eastAsia" w:ascii="宋体" w:hAnsi="宋体" w:eastAsia="宋体" w:cs="宋体"/>
          <w:b/>
          <w:bCs/>
          <w:sz w:val="36"/>
          <w:szCs w:val="36"/>
        </w:rPr>
        <w:t>）</w:t>
      </w:r>
      <w:r>
        <w:rPr>
          <w:rFonts w:hint="eastAsia" w:ascii="宋体" w:hAnsi="宋体" w:eastAsia="宋体" w:cs="宋体"/>
          <w:b/>
          <w:kern w:val="0"/>
          <w:sz w:val="36"/>
          <w:szCs w:val="36"/>
        </w:rPr>
        <w:t>竞争性谈判公告</w:t>
      </w:r>
    </w:p>
    <w:p>
      <w:pPr>
        <w:rPr>
          <w:rFonts w:ascii="Times New Roman" w:hAnsi="Times New Roman" w:eastAsia="宋体" w:cs="Times New Roman"/>
        </w:rPr>
      </w:pPr>
    </w:p>
    <w:p>
      <w:pPr>
        <w:rPr>
          <w:rFonts w:ascii="Times New Roman" w:hAnsi="Times New Roman" w:eastAsia="宋体" w:cs="Times New Roman"/>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bookmarkStart w:id="1" w:name="_Hlk37430271"/>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Times New Roman"/>
          <w:sz w:val="24"/>
          <w:szCs w:val="24"/>
          <w:u w:val="single"/>
        </w:rPr>
        <w:t>小型台式高速冷冻离心机等</w:t>
      </w:r>
      <w:r>
        <w:rPr>
          <w:rFonts w:ascii="宋体" w:hAnsi="宋体" w:eastAsia="宋体" w:cs="Times New Roman"/>
          <w:sz w:val="24"/>
          <w:szCs w:val="24"/>
          <w:u w:val="single"/>
        </w:rPr>
        <w:t>11</w:t>
      </w:r>
      <w:r>
        <w:rPr>
          <w:rFonts w:hint="eastAsia" w:ascii="宋体" w:hAnsi="宋体" w:eastAsia="宋体" w:cs="Times New Roman"/>
          <w:sz w:val="24"/>
          <w:szCs w:val="24"/>
          <w:u w:val="single"/>
        </w:rPr>
        <w:t xml:space="preserve">种教学设备采购 </w:t>
      </w:r>
      <w:r>
        <w:rPr>
          <w:rFonts w:hint="eastAsia" w:ascii="宋体" w:hAnsi="宋体" w:eastAsia="宋体" w:cs="宋体"/>
          <w:sz w:val="24"/>
          <w:szCs w:val="24"/>
        </w:rPr>
        <w:t>项目的潜在供应商应在广西政府采购云平台（https://www.gcy.zfcg.gxzf.gov.cn/）获取（下载）竞争性谈判采购文件，并于</w:t>
      </w:r>
      <w:r>
        <w:rPr>
          <w:rFonts w:hint="eastAsia" w:ascii="宋体" w:hAnsi="宋体" w:eastAsia="宋体" w:cs="宋体"/>
          <w:sz w:val="24"/>
          <w:szCs w:val="24"/>
          <w:lang w:eastAsia="zh-CN"/>
        </w:rPr>
        <w:t>2024年6月3日9时0分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rPr>
          <w:rFonts w:ascii="宋体" w:hAnsi="宋体" w:eastAsia="宋体" w:cs="宋体"/>
          <w:b/>
          <w:bCs/>
          <w:sz w:val="24"/>
          <w:szCs w:val="24"/>
        </w:rPr>
      </w:pPr>
    </w:p>
    <w:p>
      <w:pPr>
        <w:spacing w:line="360" w:lineRule="auto"/>
        <w:ind w:firstLine="361" w:firstLineChars="150"/>
        <w:rPr>
          <w:rFonts w:ascii="宋体" w:hAnsi="宋体" w:eastAsia="宋体" w:cs="宋体"/>
          <w:b/>
          <w:bCs/>
          <w:sz w:val="24"/>
          <w:szCs w:val="24"/>
        </w:rPr>
      </w:pPr>
      <w:bookmarkStart w:id="2" w:name="_Toc28359018"/>
      <w:bookmarkStart w:id="3" w:name="_Toc35393636"/>
      <w:bookmarkStart w:id="4" w:name="_Toc71366047"/>
      <w:bookmarkStart w:id="5" w:name="_Toc35393805"/>
      <w:bookmarkStart w:id="6" w:name="_Toc28359095"/>
      <w:bookmarkStart w:id="7" w:name="_Toc71365369"/>
      <w:r>
        <w:rPr>
          <w:rFonts w:hint="eastAsia" w:ascii="宋体" w:hAnsi="宋体" w:eastAsia="宋体" w:cs="宋体"/>
          <w:b/>
          <w:bCs/>
          <w:sz w:val="24"/>
          <w:szCs w:val="24"/>
        </w:rPr>
        <w:t>一、项目基本情况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项目名称：小型台式高速冷冻离心机等</w:t>
      </w:r>
      <w:r>
        <w:rPr>
          <w:rFonts w:ascii="宋体" w:hAnsi="宋体" w:eastAsia="宋体" w:cs="宋体"/>
          <w:sz w:val="24"/>
          <w:szCs w:val="24"/>
        </w:rPr>
        <w:t>11</w:t>
      </w:r>
      <w:r>
        <w:rPr>
          <w:rFonts w:hint="eastAsia" w:ascii="宋体" w:hAnsi="宋体" w:eastAsia="宋体" w:cs="宋体"/>
          <w:sz w:val="24"/>
          <w:szCs w:val="24"/>
        </w:rPr>
        <w:t>种教学设备采购</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GXZC2024-J1-003779-KWZB</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采购计划编号：广西政采[2024]9065号-011</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广西政采[2024]9065号-010</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广西政采[2024]9065号-009</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广西政采[2024]9065号-008</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广西政采[2024]9065号-007</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广西政采[2024]9065号-006</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广西政采[2024]9065号-005</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广西政采[2024]9065号-004</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广西政采[2024]9065号-003</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广西政采[2024]9065号-002</w:t>
      </w:r>
      <w:r>
        <w:rPr>
          <w:rFonts w:hint="eastAsia" w:ascii="宋体" w:hAnsi="宋体" w:eastAsia="宋体" w:cs="宋体"/>
          <w:sz w:val="24"/>
          <w:szCs w:val="24"/>
          <w:lang w:eastAsia="zh-CN"/>
        </w:rPr>
        <w:t>，</w:t>
      </w:r>
      <w:r>
        <w:rPr>
          <w:rFonts w:hint="eastAsia" w:ascii="宋体" w:hAnsi="宋体" w:eastAsia="宋体" w:cs="宋体"/>
          <w:sz w:val="24"/>
          <w:szCs w:val="24"/>
        </w:rPr>
        <w:t>广西政采[2024]9065号-001</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预算金额（人民币）：贰佰壹拾叁万玖仟伍佰元整（¥2</w:t>
      </w:r>
      <w:r>
        <w:rPr>
          <w:rFonts w:ascii="宋体" w:hAnsi="宋体" w:eastAsia="宋体" w:cs="宋体"/>
          <w:sz w:val="24"/>
          <w:szCs w:val="24"/>
        </w:rPr>
        <w:t>1395</w:t>
      </w:r>
      <w:r>
        <w:rPr>
          <w:rFonts w:hint="eastAsia" w:ascii="宋体" w:hAnsi="宋体" w:eastAsia="宋体" w:cs="宋体"/>
          <w:sz w:val="24"/>
          <w:szCs w:val="24"/>
        </w:rPr>
        <w:t>00.00）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采购需求：</w:t>
      </w:r>
    </w:p>
    <w:tbl>
      <w:tblPr>
        <w:tblStyle w:val="22"/>
        <w:tblW w:w="9840" w:type="dxa"/>
        <w:jc w:val="center"/>
        <w:tblLayout w:type="fixed"/>
        <w:tblCellMar>
          <w:top w:w="0" w:type="dxa"/>
          <w:left w:w="108" w:type="dxa"/>
          <w:bottom w:w="0" w:type="dxa"/>
          <w:right w:w="108" w:type="dxa"/>
        </w:tblCellMar>
      </w:tblPr>
      <w:tblGrid>
        <w:gridCol w:w="573"/>
        <w:gridCol w:w="1489"/>
        <w:gridCol w:w="600"/>
        <w:gridCol w:w="600"/>
        <w:gridCol w:w="3744"/>
        <w:gridCol w:w="1417"/>
        <w:gridCol w:w="1417"/>
      </w:tblGrid>
      <w:tr>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货物名称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单位</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技术参数摘要</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预算单价（万元/人民币）</w:t>
            </w:r>
          </w:p>
        </w:tc>
        <w:tc>
          <w:tcPr>
            <w:tcW w:w="141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单项预算合计（万元/人民币）</w:t>
            </w:r>
          </w:p>
        </w:tc>
      </w:tr>
      <w:tr>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小型台式高速冷冻离心机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加速时间（零至最高转速）≤15 s。</w:t>
            </w:r>
          </w:p>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减速时间（最高转速至零）≤15 s。</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ascii="宋体" w:hAnsi="宋体" w:eastAsia="宋体" w:cs="宋体"/>
                <w:bCs/>
                <w:sz w:val="24"/>
                <w:szCs w:val="24"/>
              </w:rPr>
              <w:t>6</w:t>
            </w:r>
            <w:r>
              <w:rPr>
                <w:rFonts w:hint="eastAsia" w:ascii="宋体" w:hAnsi="宋体" w:eastAsia="宋体" w:cs="宋体"/>
                <w:bCs/>
                <w:sz w:val="24"/>
                <w:szCs w:val="24"/>
              </w:rPr>
              <w:t>.00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4"/>
                <w:szCs w:val="24"/>
              </w:rPr>
            </w:pPr>
            <w:r>
              <w:rPr>
                <w:rFonts w:ascii="宋体" w:hAnsi="宋体" w:eastAsia="宋体" w:cs="宋体"/>
                <w:bCs/>
                <w:sz w:val="24"/>
                <w:szCs w:val="24"/>
              </w:rPr>
              <w:t>36</w:t>
            </w:r>
            <w:r>
              <w:rPr>
                <w:rFonts w:hint="eastAsia" w:ascii="宋体" w:hAnsi="宋体" w:eastAsia="宋体" w:cs="宋体"/>
                <w:bCs/>
                <w:sz w:val="24"/>
                <w:szCs w:val="24"/>
              </w:rPr>
              <w:t>.00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振荡培养箱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最大容量（塑胶夹具）</w:t>
            </w:r>
            <w:r>
              <w:rPr>
                <w:rFonts w:hint="eastAsia" w:ascii="Times New Roman" w:hAnsi="Times New Roman" w:eastAsia="宋体" w:cs="Times New Roman"/>
                <w:szCs w:val="24"/>
              </w:rPr>
              <w:t>：</w:t>
            </w:r>
            <w:r>
              <w:rPr>
                <w:rFonts w:ascii="Times New Roman" w:hAnsi="Times New Roman" w:eastAsia="宋体" w:cs="Times New Roman"/>
                <w:szCs w:val="24"/>
              </w:rPr>
              <w:t>单层250mL×60或500mL×40或1000mL×23或2000mL×15，三角瓶夹具须为一次性成型塑胶夹具；试管夹具孔带有橡胶防护套。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15.00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酸度计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pH测量范围0～14</w:t>
            </w:r>
            <w:r>
              <w:rPr>
                <w:rFonts w:hint="eastAsia" w:ascii="Times New Roman" w:hAnsi="Times New Roman" w:eastAsia="宋体" w:cs="Times New Roman"/>
                <w:szCs w:val="24"/>
              </w:rPr>
              <w:t>.</w:t>
            </w:r>
            <w:r>
              <w:rPr>
                <w:rFonts w:ascii="Times New Roman" w:hAnsi="Times New Roman" w:eastAsia="宋体" w:cs="Times New Roman"/>
                <w:szCs w:val="24"/>
              </w:rPr>
              <w:t>00，pH测量精度</w:t>
            </w:r>
            <w:r>
              <w:rPr>
                <w:rFonts w:hint="eastAsia" w:ascii="Times New Roman" w:hAnsi="Times New Roman" w:eastAsia="宋体" w:cs="Times New Roman"/>
                <w:szCs w:val="24"/>
              </w:rPr>
              <w:t>≤</w:t>
            </w:r>
            <w:r>
              <w:rPr>
                <w:rFonts w:ascii="Times New Roman" w:hAnsi="Times New Roman" w:eastAsia="宋体" w:cs="Times New Roman"/>
                <w:szCs w:val="24"/>
              </w:rPr>
              <w:t>±0</w:t>
            </w:r>
            <w:r>
              <w:rPr>
                <w:rFonts w:hint="eastAsia" w:ascii="Times New Roman" w:hAnsi="Times New Roman" w:eastAsia="宋体" w:cs="Times New Roman"/>
                <w:szCs w:val="24"/>
              </w:rPr>
              <w:t>.</w:t>
            </w:r>
            <w:r>
              <w:rPr>
                <w:rFonts w:ascii="Times New Roman" w:hAnsi="Times New Roman" w:eastAsia="宋体" w:cs="Times New Roman"/>
                <w:szCs w:val="24"/>
              </w:rPr>
              <w:t>01，mV测量精度</w:t>
            </w:r>
            <w:r>
              <w:rPr>
                <w:rFonts w:hint="eastAsia" w:ascii="Times New Roman" w:hAnsi="Times New Roman" w:eastAsia="宋体" w:cs="Times New Roman"/>
                <w:szCs w:val="24"/>
              </w:rPr>
              <w:t>≤</w:t>
            </w:r>
            <w:r>
              <w:rPr>
                <w:rFonts w:ascii="Times New Roman" w:hAnsi="Times New Roman" w:eastAsia="宋体" w:cs="Times New Roman"/>
                <w:szCs w:val="24"/>
              </w:rPr>
              <w:t>±0</w:t>
            </w:r>
            <w:r>
              <w:rPr>
                <w:rFonts w:hint="eastAsia" w:ascii="Times New Roman" w:hAnsi="Times New Roman" w:eastAsia="宋体" w:cs="Times New Roman"/>
                <w:szCs w:val="24"/>
              </w:rPr>
              <w:t>.</w:t>
            </w:r>
            <w:r>
              <w:rPr>
                <w:rFonts w:ascii="Times New Roman" w:hAnsi="Times New Roman" w:eastAsia="宋体" w:cs="Times New Roman"/>
                <w:szCs w:val="24"/>
              </w:rPr>
              <w:t>2mV</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0.50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0.50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往复式脱色摇床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频率：往复运动40～240转/分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0.25</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涡旋混匀器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允许连续运转时间：100 %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0.50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小型水平电泳系统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电极夹迁移速度 ~4</w:t>
            </w:r>
            <w:r>
              <w:rPr>
                <w:rFonts w:hint="eastAsia" w:ascii="Times New Roman" w:hAnsi="Times New Roman" w:eastAsia="宋体" w:cs="Times New Roman"/>
                <w:szCs w:val="24"/>
              </w:rPr>
              <w:t>.</w:t>
            </w:r>
            <w:r>
              <w:rPr>
                <w:rFonts w:ascii="Times New Roman" w:hAnsi="Times New Roman" w:eastAsia="宋体" w:cs="Times New Roman"/>
                <w:szCs w:val="24"/>
              </w:rPr>
              <w:t>5cm/hr</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0.80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0.80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7</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冷冻干燥机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冻干仓和多歧管可独立分体设置，可使用试管和安培瓶进行冻干。</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9.20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9.20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多模式读板仪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台</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检测波长：范围 230-1000 nm，可选任意波长检测，步径精度1 nm，带宽2/5/10 nm可调。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39.00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39.00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纳米粒度仪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44"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4"/>
              </w:rPr>
            </w:pPr>
            <w:r>
              <w:rPr>
                <w:rFonts w:ascii="Times New Roman" w:hAnsi="Times New Roman" w:eastAsia="宋体" w:cs="Times New Roman"/>
                <w:szCs w:val="24"/>
              </w:rPr>
              <w:t>高稳定性He-Ne激光器</w:t>
            </w:r>
            <w:r>
              <w:rPr>
                <w:rFonts w:hint="eastAsia" w:ascii="Times New Roman" w:hAnsi="Times New Roman" w:eastAsia="宋体" w:cs="Times New Roman"/>
                <w:szCs w:val="24"/>
              </w:rPr>
              <w:t>，</w:t>
            </w:r>
            <w:r>
              <w:rPr>
                <w:rFonts w:ascii="Times New Roman" w:hAnsi="Times New Roman" w:eastAsia="宋体" w:cs="Times New Roman"/>
                <w:szCs w:val="24"/>
              </w:rPr>
              <w:t>输出能量</w:t>
            </w:r>
            <w:r>
              <w:rPr>
                <w:rFonts w:hint="eastAsia" w:ascii="Times New Roman" w:hAnsi="Times New Roman" w:eastAsia="宋体" w:cs="Times New Roman"/>
                <w:szCs w:val="24"/>
              </w:rPr>
              <w:t>≥</w:t>
            </w:r>
            <w:r>
              <w:rPr>
                <w:rFonts w:ascii="Times New Roman" w:hAnsi="Times New Roman" w:eastAsia="宋体" w:cs="Times New Roman"/>
                <w:szCs w:val="24"/>
              </w:rPr>
              <w:t>4mW</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35.00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35.00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r>
              <w:rPr>
                <w:rFonts w:ascii="宋体" w:hAnsi="宋体" w:eastAsia="宋体" w:cs="宋体"/>
                <w:bCs/>
                <w:kern w:val="0"/>
                <w:sz w:val="24"/>
                <w:szCs w:val="24"/>
                <w:lang w:bidi="ar"/>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植物茎流计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Cs w:val="24"/>
              </w:rPr>
            </w:pPr>
            <w:r>
              <w:rPr>
                <w:rFonts w:hint="eastAsia" w:ascii="宋体" w:hAnsi="宋体" w:eastAsia="宋体" w:cs="宋体"/>
                <w:bCs/>
                <w:kern w:val="0"/>
                <w:sz w:val="24"/>
                <w:szCs w:val="24"/>
                <w:lang w:bidi="ar"/>
              </w:rPr>
              <w:t>测量原理：能量平衡原理,热平衡法,热电偶直径0.5m；稳定性2K电阻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bCs/>
                <w:kern w:val="0"/>
                <w:sz w:val="24"/>
                <w:szCs w:val="24"/>
                <w:lang w:bidi="ar"/>
              </w:rPr>
              <w:t>21.20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bCs/>
                <w:kern w:val="0"/>
                <w:sz w:val="24"/>
                <w:szCs w:val="24"/>
                <w:lang w:bidi="ar"/>
              </w:rPr>
              <w:t>21.20</w:t>
            </w:r>
          </w:p>
        </w:tc>
      </w:tr>
      <w:tr>
        <w:tblPrEx>
          <w:tblCellMar>
            <w:top w:w="0" w:type="dxa"/>
            <w:left w:w="108" w:type="dxa"/>
            <w:bottom w:w="0" w:type="dxa"/>
            <w:right w:w="108" w:type="dxa"/>
          </w:tblCellMar>
        </w:tblPrEx>
        <w:trPr>
          <w:trHeight w:val="1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ascii="宋体" w:hAnsi="宋体" w:eastAsia="宋体" w:cs="宋体"/>
                <w:bCs/>
                <w:kern w:val="0"/>
                <w:sz w:val="24"/>
                <w:szCs w:val="24"/>
                <w:lang w:bidi="ar"/>
              </w:rPr>
              <w:t>11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全自动密度梯度制备与分离分析系统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套</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szCs w:val="24"/>
              </w:rPr>
            </w:pPr>
            <w:r>
              <w:rPr>
                <w:rFonts w:hint="eastAsia" w:ascii="宋体" w:hAnsi="宋体" w:eastAsia="宋体" w:cs="宋体"/>
                <w:bCs/>
                <w:kern w:val="0"/>
                <w:sz w:val="24"/>
                <w:szCs w:val="24"/>
                <w:lang w:bidi="ar"/>
              </w:rPr>
              <w:t>最快可在2min内同时完成≥6个离心管样品的线性梯度制备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ascii="宋体" w:hAnsi="宋体" w:eastAsia="宋体" w:cs="宋体"/>
                <w:bCs/>
                <w:sz w:val="24"/>
                <w:szCs w:val="24"/>
              </w:rPr>
              <w:t>56</w:t>
            </w:r>
            <w:r>
              <w:rPr>
                <w:rFonts w:hint="eastAsia" w:ascii="宋体" w:hAnsi="宋体" w:eastAsia="宋体" w:cs="宋体"/>
                <w:bCs/>
                <w:sz w:val="24"/>
                <w:szCs w:val="24"/>
              </w:rPr>
              <w:t>.00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ascii="宋体" w:hAnsi="宋体" w:eastAsia="宋体" w:cs="宋体"/>
                <w:bCs/>
                <w:sz w:val="24"/>
                <w:szCs w:val="24"/>
              </w:rPr>
              <w:t>56</w:t>
            </w:r>
            <w:r>
              <w:rPr>
                <w:rFonts w:hint="eastAsia" w:ascii="宋体" w:hAnsi="宋体" w:eastAsia="宋体" w:cs="宋体"/>
                <w:bCs/>
                <w:sz w:val="24"/>
                <w:szCs w:val="24"/>
              </w:rPr>
              <w:t>.00</w:t>
            </w:r>
          </w:p>
        </w:tc>
      </w:tr>
      <w:tr>
        <w:tblPrEx>
          <w:tblCellMar>
            <w:top w:w="0" w:type="dxa"/>
            <w:left w:w="108" w:type="dxa"/>
            <w:bottom w:w="0" w:type="dxa"/>
            <w:right w:w="108" w:type="dxa"/>
          </w:tblCellMar>
        </w:tblPrEx>
        <w:trPr>
          <w:trHeight w:val="781" w:hRule="atLeast"/>
          <w:jc w:val="center"/>
        </w:trPr>
        <w:tc>
          <w:tcPr>
            <w:tcW w:w="98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预算合计金额（人民币大写）</w:t>
            </w:r>
            <w:r>
              <w:rPr>
                <w:rFonts w:hint="eastAsia" w:ascii="宋体" w:hAnsi="宋体" w:eastAsia="宋体" w:cs="宋体"/>
                <w:sz w:val="24"/>
                <w:szCs w:val="24"/>
                <w:u w:val="single"/>
              </w:rPr>
              <w:t>贰佰壹拾叁万玖仟伍佰元整（小写）¥2</w:t>
            </w:r>
            <w:r>
              <w:rPr>
                <w:rFonts w:ascii="宋体" w:hAnsi="宋体" w:eastAsia="宋体" w:cs="宋体"/>
                <w:sz w:val="24"/>
                <w:szCs w:val="24"/>
                <w:u w:val="single"/>
              </w:rPr>
              <w:t>1395</w:t>
            </w:r>
            <w:r>
              <w:rPr>
                <w:rFonts w:hint="eastAsia" w:ascii="宋体" w:hAnsi="宋体" w:eastAsia="宋体" w:cs="宋体"/>
                <w:sz w:val="24"/>
                <w:szCs w:val="24"/>
                <w:u w:val="single"/>
              </w:rPr>
              <w:t>00.00</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详见采购需求表。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合同履行期限：详见采购文件。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本项目是否接受联合体：否。</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二、申请人的资格条件：</w:t>
      </w:r>
    </w:p>
    <w:p>
      <w:pPr>
        <w:spacing w:line="360" w:lineRule="auto"/>
        <w:ind w:firstLine="480" w:firstLineChars="200"/>
        <w:rPr>
          <w:rFonts w:ascii="宋体" w:hAnsi="宋体" w:eastAsia="宋体" w:cs="宋体"/>
          <w:sz w:val="24"/>
          <w:szCs w:val="24"/>
        </w:rPr>
      </w:pPr>
      <w:bookmarkStart w:id="8" w:name="_Hlk51746371"/>
      <w:r>
        <w:rPr>
          <w:rFonts w:hint="eastAsia" w:ascii="宋体" w:hAnsi="宋体" w:eastAsia="宋体" w:cs="宋体"/>
          <w:sz w:val="24"/>
          <w:szCs w:val="24"/>
        </w:rPr>
        <w:t>1.满足《中华人民共和国政府采购法》第二十二条规定；</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2.落实政府采购政策需满足的资格要求：</w:t>
      </w:r>
      <w:r>
        <w:rPr>
          <w:rFonts w:hint="eastAsia" w:ascii="宋体" w:hAnsi="宋体" w:eastAsia="宋体" w:cs="Times New Roman"/>
          <w:sz w:val="24"/>
          <w:szCs w:val="24"/>
        </w:rPr>
        <w:t>专门面向中小企业采购（</w:t>
      </w:r>
      <w:r>
        <w:rPr>
          <w:rFonts w:hint="eastAsia" w:ascii="宋体" w:hAnsi="宋体" w:eastAsia="宋体" w:cs="Times New Roman"/>
          <w:sz w:val="24"/>
          <w:szCs w:val="24"/>
        </w:rPr>
        <w:sym w:font="Wingdings" w:char="00A8"/>
      </w:r>
      <w:r>
        <w:rPr>
          <w:rFonts w:hint="eastAsia" w:ascii="宋体" w:hAnsi="宋体" w:eastAsia="宋体" w:cs="Times New Roman"/>
          <w:sz w:val="24"/>
          <w:szCs w:val="24"/>
        </w:rPr>
        <w:t>是</w:t>
      </w:r>
      <w:r>
        <w:rPr>
          <w:rFonts w:hint="eastAsia" w:ascii="宋体" w:hAnsi="宋体" w:eastAsia="宋体" w:cs="Times New Roman"/>
          <w:sz w:val="24"/>
          <w:szCs w:val="24"/>
        </w:rPr>
        <w:sym w:font="Wingdings" w:char="00FE"/>
      </w:r>
      <w:r>
        <w:rPr>
          <w:rFonts w:hint="eastAsia" w:ascii="宋体" w:hAnsi="宋体" w:eastAsia="宋体" w:cs="Times New Roman"/>
          <w:sz w:val="24"/>
          <w:szCs w:val="24"/>
        </w:rPr>
        <w:t>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w:t>
      </w:r>
      <w:bookmarkEnd w:id="8"/>
      <w:r>
        <w:rPr>
          <w:rFonts w:hint="eastAsia" w:ascii="宋体" w:hAnsi="宋体" w:eastAsia="宋体" w:cs="宋体"/>
          <w:sz w:val="24"/>
          <w:szCs w:val="24"/>
        </w:rPr>
        <w:t>无。</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三、获取竞争性谈判采购文件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日至2024年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日，每天上午00:00至12:00 ，下午12:00至23:59（北京时间，法定节假日除外）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地点：广西政府采购云平台（https://www.gcy.zfcg.gxzf.gov.cn/）。</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eastAsia="宋体" w:cs="宋体"/>
          <w:sz w:val="24"/>
          <w:szCs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pPr>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售价：0元。</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1.首次响应文件提交截止时间：</w:t>
      </w:r>
      <w:r>
        <w:rPr>
          <w:rFonts w:hint="eastAsia" w:ascii="宋体" w:hAnsi="宋体" w:eastAsia="宋体" w:cs="宋体"/>
          <w:sz w:val="24"/>
          <w:szCs w:val="24"/>
          <w:lang w:eastAsia="zh-CN"/>
        </w:rPr>
        <w:t>2024年6月3日9时0分</w:t>
      </w:r>
      <w:r>
        <w:rPr>
          <w:rFonts w:hint="eastAsia" w:ascii="宋体" w:hAnsi="宋体" w:eastAsia="宋体" w:cs="宋体"/>
          <w:sz w:val="24"/>
          <w:szCs w:val="24"/>
        </w:rPr>
        <w:t>前（北京时间）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2.地点：通过广西政府采购云平台在线提交。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为全流程电子化项目，没有现场递交响应文件及现场开标环节，通过广西政府采购云平台（https://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五、开启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1.首次响应文件开启时间：</w:t>
      </w:r>
      <w:r>
        <w:rPr>
          <w:rFonts w:hint="eastAsia" w:ascii="宋体" w:hAnsi="宋体" w:eastAsia="宋体" w:cs="宋体"/>
          <w:sz w:val="24"/>
          <w:szCs w:val="24"/>
          <w:lang w:eastAsia="zh-CN"/>
        </w:rPr>
        <w:t>2024年6月3日9时0分</w:t>
      </w:r>
      <w:r>
        <w:rPr>
          <w:rFonts w:hint="eastAsia" w:ascii="宋体" w:hAnsi="宋体" w:eastAsia="宋体" w:cs="宋体"/>
          <w:sz w:val="24"/>
          <w:szCs w:val="24"/>
        </w:rPr>
        <w:t>（北京时间）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2.地点：本项目将在广西政府采购云平台电子开标大厅解密、开启。</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六、公告期限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自本公告发布之日起3个工作日。</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七、其他补充事宜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3.网上查询地址：中国政府采购网（www.ccgp.gov.cn）、广西政府采购网（zfcg.gxzf.gov.cn）。</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4.本项目需要落实的政府采购政策：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（1）政府采购促进中小企业发展。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（2）政府采购支持采用本国产品的政策。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（3）强制采购节能产品；优先采购节能产品、环境标志产品。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（4）政府采购促进残疾人就业政策。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（5）政府采购支持监狱企业发展。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（6）扶持不发达地区和少数民族地区政策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5.谈判注意事项：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（2）供应商应及时熟悉掌握电子标系统操作指南（见广西政府采购云平台电子卖场首页右上角—服务中心—帮助文档—项目采购）：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eastAsia="宋体" w:cs="宋体"/>
          <w:sz w:val="24"/>
          <w:szCs w:val="24"/>
        </w:rPr>
        <w:t>https://service.zcygov.cn/#/knowledges/tree?tag=AG1DtGwBFdiHxlNdhY0r</w:t>
      </w:r>
      <w:r>
        <w:rPr>
          <w:rFonts w:hint="eastAsia" w:ascii="宋体" w:hAnsi="宋体" w:eastAsia="宋体" w:cs="宋体"/>
          <w:sz w:val="24"/>
          <w:szCs w:val="24"/>
        </w:rPr>
        <w:fldChar w:fldCharType="end"/>
      </w:r>
      <w:r>
        <w:rPr>
          <w:rFonts w:hint="eastAsia" w:ascii="宋体" w:hAnsi="宋体" w:eastAsia="宋体" w:cs="宋体"/>
          <w:sz w:val="24"/>
          <w:szCs w:val="24"/>
        </w:rPr>
        <w:t>；及时完成CA申领和绑定（见广西壮族自治区政府采购网—办事服务—下载专区-广西政府采购云平台CA证书办理操作指南）。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（4）为确保网上操作合法、有效和安全，请供应商确保在参与电子竞争性谈判过程中能够对相关数据电文进行加密和使用电子签章，妥善保管CA数字证书并使用有效的CA数字证书参与整个采购活动。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7.供应商需要在具备有摄像头及语音功能且互联网网络状况良好的电脑登录广西政府采购云平台远程开标大厅参与本次谈判，否则后果自负。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8.若对项目采购电子交易系统操作有疑问，可登录广西政府采购云平台（https://www.gcy.zfcg.gxzf.gov.cn/），点击右侧咨询小采，获取采小蜜智能服务管家帮助，或拨打广西政府采购云平台服务热线</w:t>
      </w:r>
      <w:r>
        <w:rPr>
          <w:rFonts w:ascii="宋体" w:hAnsi="宋体" w:eastAsia="宋体" w:cs="宋体"/>
          <w:sz w:val="24"/>
          <w:szCs w:val="24"/>
        </w:rPr>
        <w:t>95763</w:t>
      </w:r>
      <w:r>
        <w:rPr>
          <w:rFonts w:hint="eastAsia" w:ascii="宋体" w:hAnsi="宋体" w:eastAsia="宋体" w:cs="宋体"/>
          <w:sz w:val="24"/>
          <w:szCs w:val="24"/>
        </w:rPr>
        <w:t>获取热线服务帮助。</w:t>
      </w:r>
    </w:p>
    <w:p>
      <w:pPr>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2"/>
      <w:bookmarkEnd w:id="3"/>
      <w:bookmarkEnd w:id="4"/>
      <w:bookmarkEnd w:id="5"/>
      <w:bookmarkEnd w:id="6"/>
      <w:bookmarkEnd w:id="7"/>
    </w:p>
    <w:p>
      <w:pPr>
        <w:spacing w:line="360" w:lineRule="auto"/>
        <w:ind w:firstLine="482" w:firstLineChars="200"/>
        <w:rPr>
          <w:rFonts w:ascii="宋体" w:hAnsi="宋体" w:eastAsia="宋体" w:cs="宋体"/>
          <w:b/>
          <w:bCs/>
          <w:sz w:val="24"/>
          <w:szCs w:val="24"/>
        </w:rPr>
      </w:pPr>
      <w:bookmarkStart w:id="9" w:name="_Toc35393806"/>
      <w:bookmarkStart w:id="10" w:name="_Toc28359019"/>
      <w:bookmarkStart w:id="11" w:name="_Toc35393637"/>
      <w:bookmarkStart w:id="12" w:name="_Toc28359096"/>
      <w:r>
        <w:rPr>
          <w:rFonts w:hint="eastAsia" w:ascii="宋体" w:hAnsi="宋体" w:eastAsia="宋体" w:cs="宋体"/>
          <w:b/>
          <w:bCs/>
          <w:sz w:val="24"/>
          <w:szCs w:val="24"/>
        </w:rPr>
        <w:t>1.采购人信息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称：广西大学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地址：广西壮族自治区南宁市大学东路100号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联系人：张老师   联系电话：0771-3274121</w:t>
      </w:r>
      <w:r>
        <w:rPr>
          <w:rFonts w:ascii="宋体" w:hAnsi="宋体" w:eastAsia="宋体" w:cs="宋体"/>
          <w:sz w:val="24"/>
          <w:szCs w:val="24"/>
        </w:rPr>
        <w:t xml:space="preserve">  </w:t>
      </w:r>
      <w:r>
        <w:rPr>
          <w:rFonts w:hint="eastAsia" w:ascii="宋体" w:hAnsi="宋体" w:eastAsia="宋体" w:cs="宋体"/>
          <w:sz w:val="24"/>
          <w:szCs w:val="24"/>
        </w:rPr>
        <w:t xml:space="preserve">　　　　　　　 </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2.采购代理机构信息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名称：广西科文招标有限公司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地址：广西壮族自治区南宁市民族大道141号中鼎万象东方D区五层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联系人：梁伟贞   联系电话：0771-2023650，传真：0771-2023997 </w:t>
      </w:r>
      <w:r>
        <w:rPr>
          <w:rFonts w:ascii="宋体" w:hAnsi="宋体" w:eastAsia="宋体" w:cs="宋体"/>
          <w:sz w:val="24"/>
          <w:szCs w:val="24"/>
        </w:rPr>
        <w:t xml:space="preserve">  </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3.项目联系方式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项目联系人：梁伟贞   联系电话：0771-2023650，传真：0771-2023997</w:t>
      </w:r>
      <w:r>
        <w:rPr>
          <w:rFonts w:ascii="宋体" w:hAnsi="宋体" w:eastAsia="宋体" w:cs="宋体"/>
          <w:sz w:val="24"/>
          <w:szCs w:val="24"/>
        </w:rPr>
        <w:t xml:space="preserve">  </w:t>
      </w:r>
    </w:p>
    <w:p>
      <w:pPr>
        <w:spacing w:line="360" w:lineRule="auto"/>
        <w:ind w:firstLine="840" w:firstLineChars="350"/>
        <w:rPr>
          <w:rFonts w:ascii="宋体" w:hAnsi="宋体" w:eastAsia="宋体" w:cs="宋体"/>
          <w:sz w:val="24"/>
          <w:szCs w:val="24"/>
        </w:rPr>
      </w:pPr>
      <w:r>
        <w:rPr>
          <w:rFonts w:hint="eastAsia" w:ascii="宋体" w:hAnsi="宋体" w:eastAsia="宋体" w:cs="宋体"/>
          <w:sz w:val="24"/>
          <w:szCs w:val="24"/>
        </w:rPr>
        <w:t>　　　　　　　　　　　</w:t>
      </w:r>
      <w:bookmarkEnd w:id="9"/>
      <w:bookmarkEnd w:id="10"/>
      <w:bookmarkEnd w:id="11"/>
      <w:bookmarkEnd w:id="12"/>
      <w:r>
        <w:rPr>
          <w:rFonts w:hint="eastAsia" w:ascii="宋体" w:hAnsi="宋体" w:eastAsia="宋体" w:cs="宋体"/>
          <w:sz w:val="24"/>
          <w:szCs w:val="24"/>
        </w:rPr>
        <w:t xml:space="preserve"> </w:t>
      </w:r>
      <w:r>
        <w:rPr>
          <w:rFonts w:ascii="宋体" w:hAnsi="宋体" w:eastAsia="宋体" w:cs="宋体"/>
          <w:sz w:val="24"/>
          <w:szCs w:val="24"/>
        </w:rPr>
        <w:t xml:space="preserve">            </w:t>
      </w:r>
    </w:p>
    <w:p>
      <w:pPr>
        <w:spacing w:line="360" w:lineRule="auto"/>
        <w:ind w:firstLine="840" w:firstLineChars="350"/>
        <w:jc w:val="right"/>
        <w:rPr>
          <w:rFonts w:ascii="宋体" w:hAnsi="宋体" w:eastAsia="宋体" w:cs="宋体"/>
          <w:sz w:val="24"/>
          <w:szCs w:val="24"/>
        </w:rPr>
      </w:pPr>
      <w:r>
        <w:rPr>
          <w:rFonts w:hint="eastAsia" w:ascii="宋体" w:hAnsi="宋体" w:eastAsia="宋体" w:cs="宋体"/>
          <w:sz w:val="24"/>
          <w:szCs w:val="24"/>
        </w:rPr>
        <w:t>代理机构：广西科文招标有限公司</w:t>
      </w:r>
    </w:p>
    <w:bookmarkEnd w:id="1"/>
    <w:p>
      <w:pPr>
        <w:jc w:val="right"/>
        <w:rPr>
          <w:rFonts w:ascii="宋体" w:hAnsi="宋体" w:eastAsia="宋体" w:cs="宋体"/>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2024年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bookmarkStart w:id="13" w:name="_Toc74322009"/>
      <w:r>
        <w:rPr>
          <w:rFonts w:hint="eastAsia" w:ascii="宋体" w:hAnsi="宋体" w:eastAsia="宋体" w:cs="宋体"/>
          <w:szCs w:val="24"/>
        </w:rPr>
        <w:br w:type="page"/>
      </w:r>
    </w:p>
    <w:p>
      <w:pPr>
        <w:jc w:val="center"/>
        <w:rPr>
          <w:rFonts w:ascii="宋体" w:hAnsi="宋体" w:eastAsia="宋体" w:cs="宋体"/>
          <w:szCs w:val="24"/>
        </w:rPr>
      </w:pPr>
      <w:r>
        <w:rPr>
          <w:rFonts w:hint="eastAsia" w:ascii="宋体" w:hAnsi="宋体" w:eastAsia="宋体" w:cs="宋体"/>
          <w:sz w:val="44"/>
          <w:szCs w:val="44"/>
        </w:rPr>
        <w:t>第二章 供应商须知</w:t>
      </w:r>
      <w:bookmarkEnd w:id="13"/>
    </w:p>
    <w:p>
      <w:pPr>
        <w:spacing w:line="400" w:lineRule="exact"/>
        <w:jc w:val="center"/>
        <w:rPr>
          <w:rFonts w:ascii="宋体" w:hAnsi="宋体" w:eastAsia="宋体" w:cs="宋体"/>
          <w:b/>
          <w:sz w:val="32"/>
          <w:szCs w:val="32"/>
        </w:rPr>
      </w:pPr>
      <w:r>
        <w:rPr>
          <w:rFonts w:hint="eastAsia" w:ascii="宋体" w:hAnsi="宋体" w:eastAsia="宋体" w:cs="宋体"/>
          <w:b/>
          <w:sz w:val="32"/>
          <w:szCs w:val="32"/>
        </w:rPr>
        <w:t>供应商须知前附表</w:t>
      </w:r>
    </w:p>
    <w:p>
      <w:pPr>
        <w:spacing w:line="400" w:lineRule="exact"/>
        <w:jc w:val="center"/>
        <w:rPr>
          <w:rFonts w:ascii="宋体" w:hAnsi="宋体" w:eastAsia="宋体" w:cs="宋体"/>
          <w:b/>
          <w:sz w:val="32"/>
          <w:szCs w:val="32"/>
        </w:rPr>
      </w:pPr>
    </w:p>
    <w:tbl>
      <w:tblPr>
        <w:tblStyle w:val="22"/>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8181" w:type="dxa"/>
            <w:vAlign w:val="center"/>
          </w:tcPr>
          <w:p>
            <w:pPr>
              <w:spacing w:line="500" w:lineRule="exact"/>
              <w:jc w:val="center"/>
              <w:rPr>
                <w:rFonts w:ascii="宋体" w:hAnsi="宋体" w:eastAsia="宋体" w:cs="宋体"/>
                <w:b/>
                <w:sz w:val="24"/>
                <w:szCs w:val="24"/>
              </w:rPr>
            </w:pPr>
            <w:r>
              <w:rPr>
                <w:rFonts w:hint="eastAsia" w:ascii="宋体" w:hAnsi="宋体" w:eastAsia="宋体" w:cs="宋体"/>
                <w:b/>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5.1</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t>是否接受联合体参与: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5.2</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t>如接受联合体参与，要求如下：</w:t>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两个以上供应商可以组成一个联合体，以一个供应商的身份共同参与竞争性谈判，联合体供应商的名称应统一按“XXX 公司与 XXX 公司的联合体”的规则填写。</w:t>
            </w:r>
            <w:r>
              <w:rPr>
                <w:rFonts w:hint="eastAsia" w:ascii="宋体" w:hAnsi="宋体" w:eastAsia="宋体" w:cs="宋体"/>
                <w:sz w:val="24"/>
                <w:szCs w:val="24"/>
              </w:rPr>
              <w:tab/>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以联合体形式参与竞争性谈判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联合体参与竞争性谈判的，须提供《联合体参与竞争性谈判协议书》（格式后附），协议书必须明确主体方（或者牵头方）并明确约定联合体各方承担的工作和相应的责任（各方承担责任与义务的分工必须符合采购需求，否则，联合体响应无效），并将《联合体参与竞争性谈判协议书》放入响应文件。联合体各方必须共同与采购人签订采购合同，就采购合同约定的事项对采购人承担连带责任。</w:t>
            </w:r>
            <w:r>
              <w:rPr>
                <w:rFonts w:hint="eastAsia" w:ascii="宋体" w:hAnsi="宋体" w:eastAsia="宋体" w:cs="宋体"/>
                <w:sz w:val="24"/>
                <w:szCs w:val="24"/>
              </w:rPr>
              <w:tab/>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以联合体形式参加政府采购活动的，联合体各方不得再单独参加或者与其他供应商另外组成联合体参加同一合同项下的政府采购活动，否则与之相关的响应文件作废。</w:t>
            </w:r>
            <w:r>
              <w:rPr>
                <w:rFonts w:hint="eastAsia" w:ascii="宋体" w:hAnsi="宋体" w:eastAsia="宋体" w:cs="宋体"/>
                <w:sz w:val="24"/>
                <w:szCs w:val="24"/>
              </w:rPr>
              <w:tab/>
            </w:r>
            <w:r>
              <w:rPr>
                <w:rFonts w:hint="eastAsia" w:ascii="宋体" w:hAnsi="宋体" w:eastAsia="宋体" w:cs="宋体"/>
                <w:sz w:val="24"/>
                <w:szCs w:val="24"/>
              </w:rPr>
              <w:tab/>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联合体中有同类资质的供应商按照联合体分工承担相同工作的，应当按照资质等级较低的供应商确定资质等级。</w:t>
            </w:r>
            <w:r>
              <w:rPr>
                <w:rFonts w:hint="eastAsia" w:ascii="宋体" w:hAnsi="宋体" w:eastAsia="宋体" w:cs="宋体"/>
                <w:sz w:val="24"/>
                <w:szCs w:val="24"/>
              </w:rPr>
              <w:tab/>
            </w:r>
            <w:r>
              <w:rPr>
                <w:rFonts w:hint="eastAsia" w:ascii="宋体" w:hAnsi="宋体" w:eastAsia="宋体" w:cs="宋体"/>
                <w:sz w:val="24"/>
                <w:szCs w:val="24"/>
              </w:rPr>
              <w:tab/>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联合体参与竞争性谈判的业绩、履约能力按照联合体各方其中较高的一方认定并计算（竞争性谈判采购文件另有规定的除外）。</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spacing w:line="500" w:lineRule="exac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联合体各方均应按照竞争性谈判采购文件的规定提交资格证明文件。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6.2</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本项目不允许分包。</w:t>
            </w:r>
          </w:p>
          <w:p>
            <w:pPr>
              <w:spacing w:line="500" w:lineRule="exact"/>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本项目允许分包：</w:t>
            </w:r>
          </w:p>
          <w:p>
            <w:pPr>
              <w:spacing w:line="500" w:lineRule="exact"/>
              <w:rPr>
                <w:rFonts w:ascii="宋体" w:hAnsi="宋体" w:eastAsia="宋体" w:cs="宋体"/>
                <w:sz w:val="24"/>
                <w:szCs w:val="24"/>
                <w:u w:val="single"/>
              </w:rPr>
            </w:pPr>
            <w:r>
              <w:rPr>
                <w:rFonts w:hint="eastAsia" w:ascii="宋体" w:hAnsi="宋体" w:eastAsia="宋体" w:cs="宋体"/>
                <w:sz w:val="24"/>
                <w:szCs w:val="24"/>
              </w:rPr>
              <w:t>分包内容：</w:t>
            </w:r>
            <w:r>
              <w:rPr>
                <w:rFonts w:hint="eastAsia" w:ascii="宋体" w:hAnsi="宋体" w:eastAsia="宋体" w:cs="宋体"/>
                <w:sz w:val="24"/>
                <w:szCs w:val="24"/>
                <w:u w:val="single"/>
              </w:rPr>
              <w:t>/</w:t>
            </w:r>
          </w:p>
          <w:p>
            <w:pPr>
              <w:spacing w:line="500" w:lineRule="exact"/>
              <w:rPr>
                <w:rFonts w:ascii="宋体" w:hAnsi="宋体" w:eastAsia="宋体" w:cs="宋体"/>
                <w:sz w:val="24"/>
                <w:szCs w:val="24"/>
                <w:u w:val="single"/>
              </w:rPr>
            </w:pPr>
            <w:r>
              <w:rPr>
                <w:rFonts w:hint="eastAsia" w:ascii="宋体" w:hAnsi="宋体" w:eastAsia="宋体" w:cs="宋体"/>
                <w:sz w:val="24"/>
                <w:szCs w:val="24"/>
              </w:rPr>
              <w:t>分包金额或者比例：</w:t>
            </w:r>
            <w:r>
              <w:rPr>
                <w:rFonts w:hint="eastAsia" w:ascii="宋体" w:hAnsi="宋体" w:eastAsia="宋体" w:cs="宋体"/>
                <w:sz w:val="24"/>
                <w:szCs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12.1.1</w:t>
            </w:r>
          </w:p>
        </w:tc>
        <w:tc>
          <w:tcPr>
            <w:tcW w:w="8181" w:type="dxa"/>
            <w:vAlign w:val="center"/>
          </w:tcPr>
          <w:p>
            <w:pPr>
              <w:snapToGrid w:val="0"/>
              <w:spacing w:line="500" w:lineRule="exact"/>
              <w:rPr>
                <w:rFonts w:ascii="宋体" w:hAnsi="宋体" w:eastAsia="宋体" w:cs="宋体"/>
                <w:b/>
                <w:sz w:val="24"/>
                <w:szCs w:val="24"/>
              </w:rPr>
            </w:pPr>
            <w:r>
              <w:rPr>
                <w:rFonts w:hint="eastAsia" w:ascii="宋体" w:hAnsi="宋体" w:eastAsia="宋体" w:cs="宋体"/>
                <w:b/>
                <w:sz w:val="24"/>
                <w:szCs w:val="24"/>
              </w:rPr>
              <w:t>资格证明文件</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供应商依法缴纳税收的相关材料（首次响应文件提交截止之日前半年内连续三个月的依法缴纳税收的凭据复印件；依法免税的，必须提供相应文件证明。从成立之日起到首次响应文件提交截止时间为止不足要求月数的，只需提供从成立之日起的依法缴纳税收相应证明文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供应商依法缴纳社会保障资金的相关材料（首次响应文件提交截止之日前半年内连续三个月的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contextualSpacing/>
              <w:rPr>
                <w:rFonts w:ascii="宋体" w:hAnsi="宋体" w:eastAsia="宋体" w:cs="宋体"/>
                <w:b/>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供应商财务状况报告（提供2022或2023年财务状况报告复印件，或者银行出具的资信证明（资信证明应在有效期内，未注明有效期的，银行出具时间至首次响应文件提交截止时间不超过一年）；</w:t>
            </w:r>
            <w:r>
              <w:rPr>
                <w:rFonts w:hint="eastAsia" w:ascii="宋体" w:hAnsi="宋体" w:eastAsia="宋体" w:cs="Times New Roman"/>
                <w:sz w:val="24"/>
                <w:szCs w:val="24"/>
              </w:rPr>
              <w:t>供应商成立不满一年的应按提供首次响应文件提交截止时间上一个月的财务状况报告复印件</w:t>
            </w:r>
            <w:r>
              <w:rPr>
                <w:rFonts w:hint="eastAsia" w:ascii="宋体" w:hAnsi="宋体" w:eastAsia="宋体" w:cs="宋体"/>
                <w:sz w:val="24"/>
                <w:szCs w:val="24"/>
              </w:rPr>
              <w:t>）</w:t>
            </w:r>
            <w:r>
              <w:rPr>
                <w:rFonts w:hint="eastAsia" w:ascii="宋体" w:hAnsi="宋体" w:eastAsia="宋体" w:cs="宋体"/>
                <w:bCs/>
                <w:sz w:val="24"/>
                <w:szCs w:val="24"/>
              </w:rPr>
              <w:t>（</w:t>
            </w:r>
            <w:r>
              <w:rPr>
                <w:rFonts w:hint="eastAsia" w:ascii="宋体" w:hAnsi="宋体" w:eastAsia="宋体" w:cs="宋体"/>
                <w:b/>
                <w:sz w:val="24"/>
                <w:szCs w:val="24"/>
              </w:rPr>
              <w:t>除自然人外必须提供，否则响应文件按无效响应处理</w:t>
            </w:r>
            <w:r>
              <w:rPr>
                <w:rFonts w:hint="eastAsia" w:ascii="宋体" w:hAnsi="宋体" w:eastAsia="宋体" w:cs="宋体"/>
                <w:bCs/>
                <w:sz w:val="24"/>
                <w:szCs w:val="24"/>
              </w:rPr>
              <w:t>）</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供应商直接控股、管理关系信息表（格式后附）；（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参与竞争性谈判声明（格式后附）；（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联合体参与竞争性谈判协议书（格式后附）；（</w:t>
            </w:r>
            <w:r>
              <w:rPr>
                <w:rFonts w:hint="eastAsia" w:ascii="宋体" w:hAnsi="宋体" w:eastAsia="宋体" w:cs="宋体"/>
                <w:b/>
                <w:sz w:val="24"/>
                <w:szCs w:val="24"/>
              </w:rPr>
              <w:t>联合体</w:t>
            </w:r>
            <w:r>
              <w:rPr>
                <w:rFonts w:hint="eastAsia" w:ascii="宋体" w:hAnsi="宋体" w:eastAsia="宋体" w:cs="宋体"/>
                <w:sz w:val="24"/>
                <w:szCs w:val="24"/>
              </w:rPr>
              <w:t>参与竞争性谈判</w:t>
            </w:r>
            <w:r>
              <w:rPr>
                <w:rFonts w:hint="eastAsia" w:ascii="宋体" w:hAnsi="宋体" w:eastAsia="宋体" w:cs="宋体"/>
                <w:b/>
                <w:sz w:val="24"/>
                <w:szCs w:val="24"/>
              </w:rPr>
              <w:t>时必须提供，否则响应文件按无效响应处理</w:t>
            </w:r>
            <w:r>
              <w:rPr>
                <w:rFonts w:hint="eastAsia" w:ascii="宋体" w:hAnsi="宋体" w:eastAsia="宋体" w:cs="宋体"/>
                <w:sz w:val="24"/>
                <w:szCs w:val="24"/>
              </w:rPr>
              <w:t>）</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w:t>
            </w:r>
            <w:r>
              <w:rPr>
                <w:rFonts w:hint="eastAsia" w:ascii="宋体" w:hAnsi="宋体" w:eastAsia="宋体" w:cs="宋体"/>
                <w:sz w:val="24"/>
                <w:szCs w:val="24"/>
              </w:rPr>
              <w:t>竞争性谈判公告中特定资格要求的资格证明材料；（</w:t>
            </w:r>
            <w:r>
              <w:rPr>
                <w:rFonts w:hint="eastAsia" w:ascii="宋体" w:hAnsi="宋体" w:eastAsia="宋体" w:cs="宋体"/>
                <w:b/>
                <w:bCs/>
                <w:sz w:val="24"/>
                <w:szCs w:val="24"/>
              </w:rPr>
              <w:t>公告如有则必</w:t>
            </w:r>
            <w:r>
              <w:rPr>
                <w:rFonts w:hint="eastAsia" w:ascii="宋体" w:hAnsi="宋体" w:eastAsia="宋体" w:cs="宋体"/>
                <w:b/>
                <w:sz w:val="24"/>
                <w:szCs w:val="24"/>
              </w:rPr>
              <w:t>须提供，否则响应文件按无效响应处理</w:t>
            </w:r>
            <w:r>
              <w:rPr>
                <w:rFonts w:hint="eastAsia" w:ascii="宋体" w:hAnsi="宋体" w:eastAsia="宋体" w:cs="宋体"/>
                <w:sz w:val="24"/>
                <w:szCs w:val="24"/>
              </w:rPr>
              <w:t>）</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z w:val="24"/>
                <w:szCs w:val="24"/>
              </w:rPr>
              <w:t>.</w:t>
            </w:r>
            <w:r>
              <w:rPr>
                <w:rFonts w:hint="eastAsia" w:ascii="宋体" w:hAnsi="宋体" w:eastAsia="宋体" w:cs="宋体"/>
                <w:sz w:val="24"/>
                <w:szCs w:val="24"/>
              </w:rPr>
              <w:t>除谈判文件规定必须提供以外，供应商认为需要提供的其他证明材料。</w:t>
            </w:r>
          </w:p>
          <w:p>
            <w:pPr>
              <w:snapToGrid w:val="0"/>
              <w:spacing w:line="500" w:lineRule="exact"/>
              <w:rPr>
                <w:rFonts w:ascii="楷体" w:hAnsi="楷体" w:eastAsia="楷体" w:cs="宋体"/>
                <w:bCs/>
                <w:sz w:val="24"/>
                <w:szCs w:val="24"/>
              </w:rPr>
            </w:pPr>
            <w:r>
              <w:rPr>
                <w:rFonts w:hint="eastAsia" w:ascii="楷体" w:hAnsi="楷体" w:eastAsia="楷体" w:cs="宋体"/>
                <w:b/>
                <w:bCs/>
                <w:sz w:val="24"/>
                <w:szCs w:val="24"/>
              </w:rPr>
              <w:t>【注】</w:t>
            </w:r>
            <w:r>
              <w:rPr>
                <w:rFonts w:ascii="楷体" w:hAnsi="楷体" w:eastAsia="楷体" w:cs="宋体"/>
                <w:bCs/>
                <w:sz w:val="24"/>
                <w:szCs w:val="24"/>
              </w:rPr>
              <w:t>1.以上标明“必须提供”的材料属于复印件的，必须加盖供应商公章，否则响应文件按无效响应处理。</w:t>
            </w:r>
          </w:p>
          <w:p>
            <w:pPr>
              <w:snapToGrid w:val="0"/>
              <w:spacing w:line="500" w:lineRule="exact"/>
              <w:rPr>
                <w:rFonts w:ascii="楷体" w:hAnsi="楷体" w:eastAsia="楷体" w:cs="宋体"/>
                <w:bCs/>
                <w:sz w:val="24"/>
                <w:szCs w:val="24"/>
              </w:rPr>
            </w:pPr>
            <w:r>
              <w:rPr>
                <w:rFonts w:ascii="楷体" w:hAnsi="楷体" w:eastAsia="楷体" w:cs="宋体"/>
                <w:bCs/>
                <w:sz w:val="24"/>
                <w:szCs w:val="24"/>
              </w:rPr>
              <w:t>2.</w:t>
            </w:r>
            <w:r>
              <w:rPr>
                <w:rFonts w:hint="eastAsia" w:ascii="楷体" w:hAnsi="楷体" w:eastAsia="楷体" w:cs="宋体"/>
                <w:bCs/>
                <w:sz w:val="24"/>
                <w:szCs w:val="24"/>
              </w:rPr>
              <w:t>参与竞争性谈判</w:t>
            </w:r>
            <w:r>
              <w:rPr>
                <w:rFonts w:ascii="楷体" w:hAnsi="楷体" w:eastAsia="楷体" w:cs="宋体"/>
                <w:bCs/>
                <w:sz w:val="24"/>
                <w:szCs w:val="24"/>
              </w:rPr>
              <w:t>声明必须由法定代表人在规定签章处逐一签字并加盖供应商公章，否则响应文件按无效响应处理。</w:t>
            </w:r>
          </w:p>
          <w:p>
            <w:pPr>
              <w:snapToGrid w:val="0"/>
              <w:spacing w:line="500" w:lineRule="exact"/>
              <w:rPr>
                <w:rFonts w:ascii="楷体" w:hAnsi="楷体" w:eastAsia="楷体" w:cs="宋体"/>
                <w:bCs/>
                <w:sz w:val="24"/>
                <w:szCs w:val="24"/>
              </w:rPr>
            </w:pPr>
            <w:r>
              <w:rPr>
                <w:rFonts w:ascii="楷体" w:hAnsi="楷体" w:eastAsia="楷体" w:cs="宋体"/>
                <w:bCs/>
                <w:sz w:val="24"/>
                <w:szCs w:val="24"/>
              </w:rPr>
              <w:t>3.供应商直接控股、管理关系信息表必须由法定代表人或者委托代理人在规定签章处逐一签字并加盖供应商公章，否则响应文件按无效响应处理。</w:t>
            </w:r>
          </w:p>
          <w:p>
            <w:pPr>
              <w:snapToGrid w:val="0"/>
              <w:spacing w:line="500" w:lineRule="exact"/>
              <w:rPr>
                <w:rFonts w:ascii="楷体" w:hAnsi="楷体" w:eastAsia="楷体" w:cs="宋体"/>
                <w:bCs/>
                <w:sz w:val="24"/>
                <w:szCs w:val="24"/>
              </w:rPr>
            </w:pPr>
            <w:r>
              <w:rPr>
                <w:rFonts w:ascii="楷体" w:hAnsi="楷体" w:eastAsia="楷体" w:cs="宋体"/>
                <w:bCs/>
                <w:sz w:val="24"/>
                <w:szCs w:val="24"/>
              </w:rPr>
              <w:t>4.联合体</w:t>
            </w:r>
            <w:r>
              <w:rPr>
                <w:rFonts w:hint="eastAsia" w:ascii="楷体" w:hAnsi="楷体" w:eastAsia="楷体" w:cs="宋体"/>
                <w:bCs/>
                <w:sz w:val="24"/>
                <w:szCs w:val="24"/>
              </w:rPr>
              <w:t>参与竞争性谈判</w:t>
            </w:r>
            <w:r>
              <w:rPr>
                <w:rFonts w:ascii="楷体" w:hAnsi="楷体" w:eastAsia="楷体" w:cs="宋体"/>
                <w:bCs/>
                <w:sz w:val="24"/>
                <w:szCs w:val="24"/>
              </w:rPr>
              <w:t>时，</w:t>
            </w:r>
            <w:r>
              <w:rPr>
                <w:rFonts w:hint="eastAsia" w:ascii="楷体" w:hAnsi="楷体" w:eastAsia="楷体" w:cs="宋体"/>
                <w:bCs/>
                <w:sz w:val="24"/>
                <w:szCs w:val="24"/>
              </w:rPr>
              <w:t>以上第</w:t>
            </w:r>
            <w:r>
              <w:rPr>
                <w:rFonts w:ascii="楷体" w:hAnsi="楷体" w:eastAsia="楷体" w:cs="宋体"/>
                <w:bCs/>
                <w:sz w:val="24"/>
                <w:szCs w:val="24"/>
              </w:rPr>
              <w:t>1-5项资格证明文件联合体各方均必须分别提供，联合体各方分别按格式要求盖章或签字，否则响应文件按无效响应处理。</w:t>
            </w:r>
          </w:p>
          <w:p>
            <w:pPr>
              <w:snapToGrid w:val="0"/>
              <w:spacing w:line="500" w:lineRule="exact"/>
              <w:rPr>
                <w:rFonts w:ascii="宋体" w:hAnsi="宋体" w:eastAsia="宋体" w:cs="宋体"/>
                <w:b/>
                <w:sz w:val="24"/>
                <w:szCs w:val="24"/>
              </w:rPr>
            </w:pPr>
            <w:r>
              <w:rPr>
                <w:rFonts w:ascii="楷体" w:hAnsi="楷体" w:eastAsia="楷体" w:cs="宋体"/>
                <w:bCs/>
                <w:sz w:val="24"/>
                <w:szCs w:val="24"/>
              </w:rPr>
              <w:t>5.分公司参加</w:t>
            </w:r>
            <w:r>
              <w:rPr>
                <w:rFonts w:hint="eastAsia" w:ascii="楷体" w:hAnsi="楷体" w:eastAsia="楷体" w:cs="宋体"/>
                <w:bCs/>
                <w:sz w:val="24"/>
                <w:szCs w:val="24"/>
              </w:rPr>
              <w:t>参与竞争性谈判</w:t>
            </w:r>
            <w:r>
              <w:rPr>
                <w:rFonts w:ascii="楷体" w:hAnsi="楷体" w:eastAsia="楷体" w:cs="宋体"/>
                <w:bCs/>
                <w:sz w:val="24"/>
                <w:szCs w:val="24"/>
              </w:rPr>
              <w:t>的，应当取得总公司授权，否则响应文件按无效响应处理</w:t>
            </w:r>
            <w:r>
              <w:rPr>
                <w:rFonts w:hint="eastAsia" w:ascii="楷体" w:hAnsi="楷体" w:eastAsia="楷体" w:cs="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restar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12.1.2</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b/>
                <w:sz w:val="24"/>
                <w:szCs w:val="24"/>
              </w:rPr>
              <w:t>报价文件</w:t>
            </w:r>
          </w:p>
          <w:p>
            <w:pPr>
              <w:spacing w:line="50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无串通参与竞争性谈判行为的承诺函（格式后附）；（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竞争性谈判报价表（格式后附）；（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中小企业声明函（或残疾人福利性单位声明函或监狱企业声明函，残疾人福利性单位或监狱企业视同小微企业）（格式后附）；</w:t>
            </w:r>
          </w:p>
          <w:p>
            <w:pPr>
              <w:spacing w:line="500" w:lineRule="exact"/>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.供应商</w:t>
            </w:r>
            <w:r>
              <w:rPr>
                <w:rFonts w:hint="eastAsia" w:ascii="宋体" w:hAnsi="宋体" w:eastAsia="宋体" w:cs="宋体"/>
                <w:sz w:val="24"/>
                <w:szCs w:val="24"/>
              </w:rPr>
              <w:t>针对报价需要说明的其他文件和说明（格式自拟）。</w:t>
            </w:r>
          </w:p>
          <w:p>
            <w:pPr>
              <w:spacing w:line="500" w:lineRule="exact"/>
              <w:rPr>
                <w:rFonts w:ascii="楷体" w:hAnsi="楷体" w:eastAsia="楷体" w:cs="宋体"/>
                <w:bCs/>
                <w:sz w:val="24"/>
                <w:szCs w:val="24"/>
              </w:rPr>
            </w:pPr>
            <w:r>
              <w:rPr>
                <w:rFonts w:hint="eastAsia" w:ascii="楷体" w:hAnsi="楷体" w:eastAsia="楷体" w:cs="宋体"/>
                <w:b/>
                <w:sz w:val="24"/>
                <w:szCs w:val="24"/>
              </w:rPr>
              <w:t>注</w:t>
            </w:r>
            <w:r>
              <w:rPr>
                <w:rFonts w:hint="eastAsia" w:ascii="楷体" w:hAnsi="楷体" w:eastAsia="楷体" w:cs="宋体"/>
                <w:sz w:val="24"/>
                <w:szCs w:val="24"/>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pPr>
              <w:spacing w:line="500" w:lineRule="exact"/>
              <w:jc w:val="center"/>
              <w:rPr>
                <w:rFonts w:ascii="宋体" w:hAnsi="宋体" w:eastAsia="宋体" w:cs="宋体"/>
                <w:sz w:val="24"/>
                <w:szCs w:val="24"/>
              </w:rPr>
            </w:pP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b/>
                <w:sz w:val="24"/>
                <w:szCs w:val="24"/>
              </w:rPr>
              <w:t>商务技术文件</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法定代表人身份证明及法定代表人有效身份证正反面复印件（格式后附）；（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授权委托书及委托代理人有效身份证正反面复印件（格式后附）；（</w:t>
            </w:r>
            <w:r>
              <w:rPr>
                <w:rFonts w:hint="eastAsia" w:ascii="宋体" w:hAnsi="宋体" w:eastAsia="宋体" w:cs="宋体"/>
                <w:b/>
                <w:sz w:val="24"/>
                <w:szCs w:val="24"/>
              </w:rPr>
              <w:t>委托时必须提供，否则响应文件按无效响应处理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谈判保证金提交凭证；（</w:t>
            </w:r>
            <w:r>
              <w:rPr>
                <w:rFonts w:hint="eastAsia" w:ascii="宋体" w:hAnsi="宋体" w:eastAsia="宋体" w:cs="宋体"/>
                <w:b/>
                <w:bCs/>
                <w:sz w:val="24"/>
                <w:szCs w:val="24"/>
              </w:rPr>
              <w:t>如要求提交谈判保证金的则必须提供</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Cs/>
                <w:sz w:val="24"/>
                <w:szCs w:val="24"/>
              </w:rPr>
              <w:t>.</w:t>
            </w:r>
            <w:r>
              <w:rPr>
                <w:rFonts w:hint="eastAsia" w:ascii="宋体" w:hAnsi="宋体" w:eastAsia="宋体" w:cs="宋体"/>
                <w:sz w:val="24"/>
                <w:szCs w:val="24"/>
              </w:rPr>
              <w:t>商务要求偏离表（格式后附）；（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Cs/>
                <w:sz w:val="24"/>
                <w:szCs w:val="24"/>
              </w:rPr>
              <w:t>.</w:t>
            </w:r>
            <w:r>
              <w:rPr>
                <w:rFonts w:hint="eastAsia" w:ascii="宋体" w:hAnsi="宋体" w:eastAsia="宋体" w:cs="宋体"/>
                <w:sz w:val="24"/>
                <w:szCs w:val="24"/>
              </w:rPr>
              <w:t>售后服务承诺（格式自拟）；（</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Cs/>
                <w:sz w:val="24"/>
                <w:szCs w:val="24"/>
              </w:rPr>
              <w:t>.</w:t>
            </w:r>
            <w:r>
              <w:rPr>
                <w:rFonts w:hint="eastAsia" w:ascii="宋体" w:hAnsi="宋体" w:eastAsia="宋体" w:cs="宋体"/>
                <w:sz w:val="24"/>
                <w:szCs w:val="24"/>
              </w:rPr>
              <w:t>货物配置清单（均不含报价）（格式后附）；（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技术要求偏离表（格式后附）；（</w:t>
            </w:r>
            <w:r>
              <w:rPr>
                <w:rFonts w:hint="eastAsia" w:ascii="宋体" w:hAnsi="宋体" w:eastAsia="宋体" w:cs="宋体"/>
                <w:b/>
                <w:sz w:val="24"/>
                <w:szCs w:val="24"/>
              </w:rPr>
              <w:t>必须提供，否则响应文件按无效响应处理</w:t>
            </w:r>
            <w:r>
              <w:rPr>
                <w:rFonts w:hint="eastAsia" w:ascii="宋体" w:hAnsi="宋体" w:eastAsia="宋体" w:cs="宋体"/>
                <w:sz w:val="24"/>
                <w:szCs w:val="24"/>
              </w:rPr>
              <w:t>）</w:t>
            </w:r>
          </w:p>
          <w:p>
            <w:pPr>
              <w:spacing w:line="500" w:lineRule="exac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w:t>
            </w:r>
            <w:r>
              <w:rPr>
                <w:rFonts w:hint="eastAsia" w:ascii="宋体" w:hAnsi="宋体" w:eastAsia="宋体" w:cs="宋体"/>
                <w:sz w:val="24"/>
                <w:szCs w:val="24"/>
              </w:rPr>
              <w:t>对应采购需求的技术要求、商务要求提供的其他文件资料（格式自拟）；</w:t>
            </w:r>
          </w:p>
          <w:p>
            <w:pPr>
              <w:spacing w:line="500" w:lineRule="exact"/>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Cs/>
                <w:sz w:val="24"/>
                <w:szCs w:val="24"/>
              </w:rPr>
              <w:t>.</w:t>
            </w:r>
            <w:r>
              <w:rPr>
                <w:rFonts w:hint="eastAsia" w:ascii="宋体" w:hAnsi="宋体" w:eastAsia="宋体" w:cs="宋体"/>
                <w:sz w:val="24"/>
                <w:szCs w:val="24"/>
              </w:rPr>
              <w:t>供应商认为需要提供的其他有关资料。</w:t>
            </w:r>
          </w:p>
          <w:p>
            <w:pPr>
              <w:spacing w:line="500" w:lineRule="exact"/>
              <w:rPr>
                <w:rFonts w:ascii="楷体" w:hAnsi="楷体" w:eastAsia="楷体" w:cs="宋体"/>
                <w:sz w:val="24"/>
                <w:szCs w:val="24"/>
              </w:rPr>
            </w:pPr>
            <w:r>
              <w:rPr>
                <w:rFonts w:hint="eastAsia" w:ascii="楷体" w:hAnsi="楷体" w:eastAsia="楷体" w:cs="宋体"/>
                <w:b/>
                <w:bCs/>
                <w:sz w:val="24"/>
                <w:szCs w:val="24"/>
              </w:rPr>
              <w:t>【注】</w:t>
            </w:r>
            <w:r>
              <w:rPr>
                <w:rFonts w:ascii="楷体" w:hAnsi="楷体" w:eastAsia="楷体" w:cs="宋体"/>
                <w:sz w:val="24"/>
                <w:szCs w:val="24"/>
              </w:rPr>
              <w:t>1.法定代表人授权委托书必须由法定代表人及委托代理人签字，并加盖</w:t>
            </w:r>
            <w:r>
              <w:rPr>
                <w:rFonts w:hint="eastAsia" w:ascii="楷体" w:hAnsi="楷体" w:eastAsia="楷体" w:cs="宋体"/>
                <w:sz w:val="24"/>
                <w:szCs w:val="24"/>
              </w:rPr>
              <w:t>供应商公章，否则做无效响应处理。</w:t>
            </w:r>
          </w:p>
          <w:p>
            <w:pPr>
              <w:spacing w:line="500" w:lineRule="exact"/>
              <w:rPr>
                <w:rFonts w:ascii="宋体" w:hAnsi="宋体" w:eastAsia="宋体" w:cs="宋体"/>
                <w:b/>
                <w:sz w:val="24"/>
                <w:szCs w:val="24"/>
              </w:rPr>
            </w:pPr>
            <w:r>
              <w:rPr>
                <w:rFonts w:ascii="楷体" w:hAnsi="楷体" w:eastAsia="楷体" w:cs="宋体"/>
                <w:sz w:val="24"/>
                <w:szCs w:val="24"/>
              </w:rPr>
              <w:t>2.</w:t>
            </w:r>
            <w:r>
              <w:rPr>
                <w:rFonts w:hint="eastAsia" w:ascii="楷体" w:hAnsi="楷体" w:eastAsia="楷体" w:cs="宋体"/>
                <w:sz w:val="24"/>
                <w:szCs w:val="24"/>
              </w:rPr>
              <w:t>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15.2</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16.2</w:t>
            </w:r>
          </w:p>
        </w:tc>
        <w:tc>
          <w:tcPr>
            <w:tcW w:w="8181" w:type="dxa"/>
            <w:vAlign w:val="center"/>
          </w:tcPr>
          <w:p>
            <w:pPr>
              <w:tabs>
                <w:tab w:val="left" w:pos="720"/>
                <w:tab w:val="left" w:pos="840"/>
              </w:tabs>
              <w:snapToGrid w:val="0"/>
              <w:spacing w:line="500" w:lineRule="exact"/>
              <w:ind w:left="324" w:hanging="324" w:hangingChars="135"/>
              <w:rPr>
                <w:rFonts w:ascii="宋体" w:hAnsi="宋体" w:eastAsia="宋体" w:cs="宋体"/>
                <w:sz w:val="24"/>
                <w:szCs w:val="24"/>
              </w:rPr>
            </w:pPr>
            <w:r>
              <w:rPr>
                <w:rFonts w:hint="eastAsia" w:ascii="宋体" w:hAnsi="宋体" w:eastAsia="宋体" w:cs="宋体"/>
                <w:sz w:val="24"/>
                <w:szCs w:val="24"/>
              </w:rPr>
              <w:t xml:space="preserve">竞争性谈判有效期：首次响应文件提交截止之日起60天内。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17.1</w:t>
            </w:r>
          </w:p>
        </w:tc>
        <w:tc>
          <w:tcPr>
            <w:tcW w:w="8181" w:type="dxa"/>
            <w:vAlign w:val="center"/>
          </w:tcPr>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本项目不收取谈判保证金。</w:t>
            </w:r>
          </w:p>
          <w:p>
            <w:pPr>
              <w:spacing w:line="50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本项目收取谈判保证金。</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谈判保证金（人民币）：2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000.00元</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保证金专用银行账号：</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开户名称：广西科文招标有限公司</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开户银行：广西北部湾银行南宁分行</w:t>
            </w:r>
            <w:bookmarkStart w:id="37" w:name="_GoBack"/>
            <w:bookmarkEnd w:id="37"/>
            <w:r>
              <w:rPr>
                <w:rFonts w:hint="eastAsia" w:ascii="宋体" w:hAnsi="宋体" w:eastAsia="宋体" w:cs="宋体"/>
                <w:kern w:val="0"/>
                <w:sz w:val="24"/>
                <w:szCs w:val="24"/>
              </w:rPr>
              <w:t>营业部</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 xml:space="preserve">银行账号：0101012090615689 </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谈判保证金的交纳方式：银行转账或者银行出具的保函，禁止采用现钞方式。采用银行转账方式的，在响应文件提交截止时间前交至指定账户并且到账；采用保函方式的，在响应文件提交截止时间前，供应商必须提交保函原件。否则视为无效谈判保证金。</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相关要求：</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1.谈判保证金采用银行转账交纳方式的，在响应文件提交截止时间前交至指定账户并且到账，供应商应将银行转账底单的复印件作为谈判保证金提交凭证，放置于报价商务技术文件中，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p>
          <w:p>
            <w:pPr>
              <w:snapToGrid w:val="0"/>
              <w:spacing w:line="500" w:lineRule="exact"/>
              <w:rPr>
                <w:rFonts w:ascii="宋体" w:hAnsi="宋体" w:eastAsia="宋体" w:cs="宋体"/>
                <w:b/>
                <w:sz w:val="24"/>
                <w:szCs w:val="24"/>
              </w:rPr>
            </w:pPr>
            <w:r>
              <w:rPr>
                <w:rFonts w:hint="eastAsia" w:ascii="宋体" w:hAnsi="宋体" w:eastAsia="宋体" w:cs="宋体"/>
                <w:sz w:val="24"/>
                <w:szCs w:val="24"/>
              </w:rPr>
              <w:t>2.谈判保证金采用银行出具的保函交纳方式的，供应商应将保函的复印件作为谈判保证金提交凭证，放置于报价商务技术文件中，</w:t>
            </w:r>
            <w:r>
              <w:rPr>
                <w:rFonts w:hint="eastAsia" w:ascii="宋体" w:hAnsi="宋体" w:eastAsia="宋体" w:cs="宋体"/>
                <w:b/>
                <w:sz w:val="24"/>
                <w:szCs w:val="24"/>
              </w:rPr>
              <w:t>否则响应文件按无效响应处理</w:t>
            </w:r>
            <w:r>
              <w:rPr>
                <w:rFonts w:hint="eastAsia" w:ascii="宋体" w:hAnsi="宋体" w:eastAsia="宋体" w:cs="宋体"/>
                <w:sz w:val="24"/>
                <w:szCs w:val="24"/>
              </w:rPr>
              <w:t>。</w:t>
            </w:r>
            <w:r>
              <w:rPr>
                <w:rFonts w:hint="eastAsia" w:ascii="宋体" w:hAnsi="宋体" w:eastAsia="宋体" w:cs="宋体"/>
                <w:b/>
                <w:sz w:val="24"/>
                <w:szCs w:val="24"/>
              </w:rPr>
              <w:t>供应商必须在首次响应文件提交截止时间前将保函原件提交给采购代理机构，由采购代理机构向供应商出具回执，并妥善保管。</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3.供应商为联合体的，可以由联合体中的一方或者多方共同交纳谈判保证金，其交纳的保证金对联合体各方均具有约束力。</w:t>
            </w:r>
          </w:p>
          <w:p>
            <w:pPr>
              <w:snapToGrid w:val="0"/>
              <w:spacing w:line="500" w:lineRule="exact"/>
              <w:rPr>
                <w:rFonts w:ascii="楷体" w:hAnsi="楷体" w:eastAsia="楷体" w:cs="宋体"/>
                <w:sz w:val="24"/>
                <w:szCs w:val="24"/>
              </w:rPr>
            </w:pPr>
            <w:r>
              <w:rPr>
                <w:rFonts w:hint="eastAsia" w:ascii="楷体" w:hAnsi="楷体" w:eastAsia="楷体" w:cs="宋体"/>
                <w:b/>
                <w:sz w:val="24"/>
                <w:szCs w:val="24"/>
              </w:rPr>
              <w:t>【备注】</w:t>
            </w:r>
            <w:r>
              <w:rPr>
                <w:rFonts w:ascii="楷体" w:hAnsi="楷体" w:eastAsia="楷体" w:cs="宋体"/>
                <w:sz w:val="24"/>
                <w:szCs w:val="24"/>
              </w:rPr>
              <w:t>1.</w:t>
            </w:r>
            <w:r>
              <w:rPr>
                <w:rFonts w:hint="eastAsia" w:ascii="楷体" w:hAnsi="楷体" w:eastAsia="楷体" w:cs="宋体"/>
                <w:sz w:val="24"/>
                <w:szCs w:val="24"/>
              </w:rPr>
              <w:t>首次响应文件提交截止时间后提交的，或者未足额交纳的，或者保函额度不足的，视为无效谈判保证金。</w:t>
            </w:r>
          </w:p>
          <w:p>
            <w:pPr>
              <w:snapToGrid w:val="0"/>
              <w:spacing w:line="500" w:lineRule="exact"/>
              <w:rPr>
                <w:rFonts w:ascii="楷体" w:hAnsi="楷体" w:eastAsia="楷体" w:cs="宋体"/>
                <w:sz w:val="24"/>
                <w:szCs w:val="24"/>
              </w:rPr>
            </w:pPr>
            <w:r>
              <w:rPr>
                <w:rFonts w:ascii="楷体" w:hAnsi="楷体" w:eastAsia="楷体" w:cs="宋体"/>
                <w:sz w:val="24"/>
                <w:szCs w:val="24"/>
              </w:rPr>
              <w:t>2.供应商采用现钞方式或者从个人账户（自然人</w:t>
            </w:r>
            <w:r>
              <w:rPr>
                <w:rFonts w:hint="eastAsia" w:ascii="楷体" w:hAnsi="楷体" w:eastAsia="楷体" w:cs="宋体"/>
                <w:sz w:val="24"/>
                <w:szCs w:val="24"/>
              </w:rPr>
              <w:t>参与竞争性谈判</w:t>
            </w:r>
            <w:r>
              <w:rPr>
                <w:rFonts w:ascii="楷体" w:hAnsi="楷体" w:eastAsia="楷体" w:cs="宋体"/>
                <w:sz w:val="24"/>
                <w:szCs w:val="24"/>
              </w:rPr>
              <w:t>除外）转出的</w:t>
            </w:r>
            <w:r>
              <w:rPr>
                <w:rFonts w:hint="eastAsia" w:ascii="楷体" w:hAnsi="楷体" w:eastAsia="楷体" w:cs="宋体"/>
                <w:sz w:val="24"/>
                <w:szCs w:val="24"/>
              </w:rPr>
              <w:t>谈判</w:t>
            </w:r>
            <w:r>
              <w:rPr>
                <w:rFonts w:ascii="楷体" w:hAnsi="楷体" w:eastAsia="楷体" w:cs="宋体"/>
                <w:sz w:val="24"/>
                <w:szCs w:val="24"/>
              </w:rPr>
              <w:t>保证金，视为无效</w:t>
            </w:r>
            <w:r>
              <w:rPr>
                <w:rFonts w:hint="eastAsia" w:ascii="楷体" w:hAnsi="楷体" w:eastAsia="楷体" w:cs="宋体"/>
                <w:sz w:val="24"/>
                <w:szCs w:val="24"/>
              </w:rPr>
              <w:t>谈判</w:t>
            </w:r>
            <w:r>
              <w:rPr>
                <w:rFonts w:ascii="楷体" w:hAnsi="楷体" w:eastAsia="楷体" w:cs="宋体"/>
                <w:sz w:val="24"/>
                <w:szCs w:val="24"/>
              </w:rPr>
              <w:t>保证金。</w:t>
            </w:r>
          </w:p>
          <w:p>
            <w:pPr>
              <w:snapToGrid w:val="0"/>
              <w:spacing w:line="500" w:lineRule="exact"/>
              <w:rPr>
                <w:rFonts w:ascii="楷体" w:hAnsi="楷体" w:eastAsia="楷体" w:cs="宋体"/>
                <w:sz w:val="24"/>
                <w:szCs w:val="24"/>
              </w:rPr>
            </w:pPr>
            <w:r>
              <w:rPr>
                <w:rFonts w:ascii="楷体" w:hAnsi="楷体" w:eastAsia="楷体" w:cs="宋体"/>
                <w:sz w:val="24"/>
                <w:szCs w:val="24"/>
              </w:rPr>
              <w:t>3.保函有效期</w:t>
            </w:r>
            <w:r>
              <w:rPr>
                <w:rFonts w:hint="eastAsia" w:ascii="楷体" w:hAnsi="楷体" w:eastAsia="楷体" w:cs="宋体"/>
                <w:sz w:val="24"/>
                <w:szCs w:val="24"/>
              </w:rPr>
              <w:t>短</w:t>
            </w:r>
            <w:r>
              <w:rPr>
                <w:rFonts w:ascii="楷体" w:hAnsi="楷体" w:eastAsia="楷体" w:cs="宋体"/>
                <w:sz w:val="24"/>
                <w:szCs w:val="24"/>
              </w:rPr>
              <w:t>于</w:t>
            </w:r>
            <w:r>
              <w:rPr>
                <w:rFonts w:hint="eastAsia" w:ascii="楷体" w:hAnsi="楷体" w:eastAsia="楷体" w:cs="宋体"/>
                <w:sz w:val="24"/>
                <w:szCs w:val="24"/>
              </w:rPr>
              <w:t>竞争性谈判</w:t>
            </w:r>
            <w:r>
              <w:rPr>
                <w:rFonts w:ascii="楷体" w:hAnsi="楷体" w:eastAsia="楷体" w:cs="宋体"/>
                <w:sz w:val="24"/>
                <w:szCs w:val="24"/>
              </w:rPr>
              <w:t>有效期的，视为无效</w:t>
            </w:r>
            <w:r>
              <w:rPr>
                <w:rFonts w:hint="eastAsia" w:ascii="楷体" w:hAnsi="楷体" w:eastAsia="楷体" w:cs="宋体"/>
                <w:sz w:val="24"/>
                <w:szCs w:val="24"/>
              </w:rPr>
              <w:t>谈判</w:t>
            </w:r>
            <w:r>
              <w:rPr>
                <w:rFonts w:ascii="楷体" w:hAnsi="楷体" w:eastAsia="楷体" w:cs="宋体"/>
                <w:sz w:val="24"/>
                <w:szCs w:val="24"/>
              </w:rPr>
              <w:t>保证金。</w:t>
            </w:r>
          </w:p>
          <w:p>
            <w:pPr>
              <w:snapToGrid w:val="0"/>
              <w:spacing w:line="500" w:lineRule="exact"/>
              <w:rPr>
                <w:rFonts w:ascii="宋体" w:hAnsi="宋体" w:eastAsia="宋体" w:cs="宋体"/>
                <w:sz w:val="24"/>
                <w:szCs w:val="24"/>
              </w:rPr>
            </w:pPr>
            <w:r>
              <w:rPr>
                <w:rFonts w:ascii="楷体" w:hAnsi="楷体" w:eastAsia="楷体" w:cs="宋体"/>
                <w:sz w:val="24"/>
                <w:szCs w:val="24"/>
              </w:rPr>
              <w:t>4.</w:t>
            </w:r>
            <w:r>
              <w:rPr>
                <w:rFonts w:hint="eastAsia" w:ascii="楷体" w:hAnsi="楷体" w:eastAsia="楷体" w:cs="宋体"/>
                <w:sz w:val="24"/>
                <w:szCs w:val="24"/>
              </w:rPr>
              <w:t>谈判</w:t>
            </w:r>
            <w:r>
              <w:rPr>
                <w:rFonts w:ascii="楷体" w:hAnsi="楷体" w:eastAsia="楷体" w:cs="宋体"/>
                <w:sz w:val="24"/>
                <w:szCs w:val="24"/>
              </w:rPr>
              <w:t>保证金采用保函为有条件保函的，视为无效</w:t>
            </w:r>
            <w:r>
              <w:rPr>
                <w:rFonts w:hint="eastAsia" w:ascii="楷体" w:hAnsi="楷体" w:eastAsia="楷体" w:cs="宋体"/>
                <w:sz w:val="24"/>
                <w:szCs w:val="24"/>
              </w:rPr>
              <w:t>谈判</w:t>
            </w:r>
            <w:r>
              <w:rPr>
                <w:rFonts w:ascii="楷体" w:hAnsi="楷体" w:eastAsia="楷体" w:cs="宋体"/>
                <w:sz w:val="24"/>
                <w:szCs w:val="24"/>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18.2</w:t>
            </w:r>
          </w:p>
        </w:tc>
        <w:tc>
          <w:tcPr>
            <w:tcW w:w="8181" w:type="dxa"/>
            <w:vAlign w:val="center"/>
          </w:tcPr>
          <w:p>
            <w:pPr>
              <w:spacing w:line="500" w:lineRule="exact"/>
              <w:rPr>
                <w:rFonts w:ascii="宋体" w:hAnsi="宋体" w:eastAsia="宋体" w:cs="宋体"/>
                <w:sz w:val="24"/>
                <w:szCs w:val="24"/>
              </w:rPr>
            </w:pPr>
            <w:r>
              <w:rPr>
                <w:rFonts w:hint="eastAsia" w:ascii="宋体" w:hAnsi="宋体" w:eastAsia="宋体" w:cs="宋体"/>
                <w:sz w:val="24"/>
                <w:szCs w:val="24"/>
              </w:rPr>
              <w:t>响应文件应按资格证明文件、报价商务技术文件分别编制，</w:t>
            </w:r>
            <w:r>
              <w:rPr>
                <w:rFonts w:hint="eastAsia" w:ascii="宋体" w:hAnsi="宋体" w:eastAsia="宋体" w:cs="宋体"/>
                <w:sz w:val="24"/>
                <w:szCs w:val="24"/>
                <w:lang w:bidi="ar"/>
              </w:rPr>
              <w:t>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20.1</w:t>
            </w:r>
          </w:p>
        </w:tc>
        <w:tc>
          <w:tcPr>
            <w:tcW w:w="8181" w:type="dxa"/>
            <w:vAlign w:val="center"/>
          </w:tcPr>
          <w:p>
            <w:pPr>
              <w:spacing w:line="500" w:lineRule="exact"/>
              <w:contextualSpacing/>
              <w:rPr>
                <w:rFonts w:ascii="宋体" w:hAnsi="宋体" w:eastAsia="宋体" w:cs="宋体"/>
                <w:sz w:val="24"/>
                <w:szCs w:val="24"/>
                <w:u w:val="single"/>
              </w:rPr>
            </w:pPr>
            <w:r>
              <w:rPr>
                <w:rFonts w:hint="eastAsia" w:ascii="宋体" w:hAnsi="宋体" w:eastAsia="宋体" w:cs="宋体"/>
                <w:sz w:val="24"/>
                <w:szCs w:val="24"/>
              </w:rPr>
              <w:t>首次响应文件提交截止时间：详见竞争性谈判公告。</w:t>
            </w:r>
          </w:p>
          <w:p>
            <w:pPr>
              <w:spacing w:line="500" w:lineRule="exact"/>
              <w:contextualSpacing/>
              <w:rPr>
                <w:rFonts w:ascii="宋体" w:hAnsi="宋体" w:eastAsia="宋体" w:cs="宋体"/>
                <w:sz w:val="24"/>
                <w:szCs w:val="24"/>
              </w:rPr>
            </w:pPr>
            <w:r>
              <w:rPr>
                <w:rFonts w:hint="eastAsia" w:ascii="宋体" w:hAnsi="宋体" w:eastAsia="宋体" w:cs="宋体"/>
                <w:sz w:val="24"/>
                <w:szCs w:val="24"/>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24.1</w:t>
            </w:r>
          </w:p>
        </w:tc>
        <w:tc>
          <w:tcPr>
            <w:tcW w:w="8181" w:type="dxa"/>
            <w:vAlign w:val="center"/>
          </w:tcPr>
          <w:p>
            <w:pPr>
              <w:snapToGrid w:val="0"/>
              <w:spacing w:line="500" w:lineRule="exact"/>
              <w:rPr>
                <w:rFonts w:ascii="宋体" w:hAnsi="宋体" w:eastAsia="宋体" w:cs="宋体"/>
                <w:sz w:val="24"/>
                <w:szCs w:val="24"/>
                <w:u w:val="single"/>
              </w:rPr>
            </w:pPr>
            <w:r>
              <w:rPr>
                <w:rFonts w:hint="eastAsia" w:ascii="宋体" w:hAnsi="宋体" w:eastAsia="宋体" w:cs="宋体"/>
                <w:sz w:val="24"/>
                <w:szCs w:val="24"/>
              </w:rPr>
              <w:t>谈判小组的人数：3人。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25.2</w:t>
            </w:r>
          </w:p>
        </w:tc>
        <w:tc>
          <w:tcPr>
            <w:tcW w:w="8181" w:type="dxa"/>
            <w:vAlign w:val="center"/>
          </w:tcPr>
          <w:p>
            <w:pPr>
              <w:snapToGrid w:val="0"/>
              <w:spacing w:line="500" w:lineRule="exact"/>
              <w:rPr>
                <w:rFonts w:ascii="宋体" w:hAnsi="宋体" w:eastAsia="宋体" w:cs="宋体"/>
                <w:sz w:val="24"/>
                <w:szCs w:val="24"/>
              </w:rPr>
            </w:pPr>
            <w:r>
              <w:rPr>
                <w:rFonts w:hint="eastAsia" w:ascii="宋体" w:hAnsi="宋体" w:eastAsia="宋体" w:cs="宋体"/>
                <w:sz w:val="24"/>
                <w:szCs w:val="24"/>
              </w:rPr>
              <w:t>采购代理机构将依托电子交易平台发起开始解密指令，</w:t>
            </w:r>
            <w:r>
              <w:rPr>
                <w:rFonts w:hint="eastAsia" w:ascii="宋体" w:hAnsi="宋体" w:eastAsia="宋体" w:cs="宋体"/>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sz w:val="24"/>
                <w:szCs w:val="24"/>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restar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26</w:t>
            </w:r>
          </w:p>
        </w:tc>
        <w:tc>
          <w:tcPr>
            <w:tcW w:w="8181" w:type="dxa"/>
            <w:vAlign w:val="center"/>
          </w:tcPr>
          <w:p>
            <w:pPr>
              <w:snapToGrid w:val="0"/>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商务要求评审中允许负偏离的条款数为0项。</w:t>
            </w:r>
          </w:p>
          <w:p>
            <w:pPr>
              <w:snapToGrid w:val="0"/>
              <w:spacing w:line="5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技术要求评审中允许负偏离的条款数为</w:t>
            </w:r>
            <w:r>
              <w:rPr>
                <w:rFonts w:ascii="Times New Roman" w:hAnsi="Times New Roman" w:eastAsia="宋体" w:cs="Times New Roman"/>
                <w:sz w:val="24"/>
                <w:szCs w:val="24"/>
              </w:rPr>
              <w:t>2</w:t>
            </w:r>
            <w:r>
              <w:rPr>
                <w:rFonts w:hint="eastAsia" w:ascii="Times New Roman" w:hAnsi="Times New Roman" w:eastAsia="宋体" w:cs="Times New Roman"/>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pPr>
              <w:spacing w:line="500" w:lineRule="exact"/>
              <w:jc w:val="center"/>
              <w:rPr>
                <w:rFonts w:ascii="宋体" w:hAnsi="宋体" w:eastAsia="宋体" w:cs="宋体"/>
                <w:sz w:val="24"/>
                <w:szCs w:val="24"/>
              </w:rPr>
            </w:pPr>
          </w:p>
        </w:tc>
        <w:tc>
          <w:tcPr>
            <w:tcW w:w="8181" w:type="dxa"/>
            <w:vAlign w:val="center"/>
          </w:tcPr>
          <w:p>
            <w:pPr>
              <w:snapToGrid w:val="0"/>
              <w:spacing w:line="500" w:lineRule="exact"/>
              <w:rPr>
                <w:rFonts w:ascii="宋体" w:hAnsi="宋体" w:eastAsia="宋体" w:cs="宋体"/>
                <w:sz w:val="24"/>
                <w:szCs w:val="24"/>
              </w:rPr>
            </w:pPr>
            <w:r>
              <w:rPr>
                <w:rFonts w:hint="eastAsia" w:ascii="宋体" w:hAnsi="宋体" w:eastAsia="宋体" w:cs="宋体"/>
                <w:sz w:val="24"/>
                <w:szCs w:val="24"/>
              </w:rPr>
              <w:t>谈判的顺序：按“广西政府采购云平台”系统的编号顺序。</w:t>
            </w:r>
          </w:p>
          <w:p>
            <w:pPr>
              <w:snapToGrid w:val="0"/>
              <w:spacing w:line="500" w:lineRule="exact"/>
              <w:rPr>
                <w:rFonts w:ascii="宋体" w:hAnsi="宋体" w:eastAsia="宋体" w:cs="宋体"/>
                <w:b/>
                <w:sz w:val="24"/>
                <w:szCs w:val="24"/>
              </w:rPr>
            </w:pPr>
            <w:r>
              <w:rPr>
                <w:rFonts w:hint="eastAsia" w:ascii="宋体" w:hAnsi="宋体" w:eastAsia="宋体" w:cs="宋体"/>
                <w:b/>
                <w:sz w:val="24"/>
                <w:szCs w:val="24"/>
              </w:rPr>
              <w:t>符合谈判资格的供应商必须在接到谈判通知后规定时间内参加谈判，未在规定时间内参加谈判的视同放弃参加谈判权利，其响应文件按无效响应处理。</w:t>
            </w:r>
          </w:p>
          <w:p>
            <w:pPr>
              <w:snapToGrid w:val="0"/>
              <w:spacing w:line="500" w:lineRule="exact"/>
              <w:rPr>
                <w:rFonts w:ascii="宋体" w:hAnsi="宋体" w:eastAsia="宋体" w:cs="宋体"/>
                <w:sz w:val="24"/>
                <w:szCs w:val="24"/>
              </w:rPr>
            </w:pPr>
            <w:r>
              <w:rPr>
                <w:rFonts w:hint="eastAsia" w:ascii="宋体" w:hAnsi="宋体" w:eastAsia="宋体" w:cs="宋体"/>
                <w:b/>
                <w:sz w:val="24"/>
                <w:szCs w:val="24"/>
              </w:rPr>
              <w:t>参与谈判前，供应商法定代表人或者委托代理人必须向谈判小组出示本人有效证件原件[有效证件可以是身份证（含临时身份证明）或者护照的其中一项。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pPr>
              <w:spacing w:line="500" w:lineRule="exact"/>
              <w:jc w:val="center"/>
              <w:rPr>
                <w:rFonts w:ascii="宋体" w:hAnsi="宋体" w:eastAsia="宋体" w:cs="宋体"/>
                <w:sz w:val="24"/>
                <w:szCs w:val="24"/>
              </w:rPr>
            </w:pPr>
          </w:p>
        </w:tc>
        <w:tc>
          <w:tcPr>
            <w:tcW w:w="8181" w:type="dxa"/>
            <w:vAlign w:val="center"/>
          </w:tcPr>
          <w:p>
            <w:pPr>
              <w:spacing w:line="500" w:lineRule="exact"/>
              <w:contextualSpacing/>
              <w:rPr>
                <w:rFonts w:ascii="宋体" w:hAnsi="宋体" w:eastAsia="宋体" w:cs="宋体"/>
                <w:sz w:val="24"/>
                <w:szCs w:val="24"/>
              </w:rPr>
            </w:pPr>
            <w:r>
              <w:rPr>
                <w:rFonts w:hint="eastAsia" w:ascii="宋体" w:hAnsi="宋体" w:eastAsia="宋体" w:cs="宋体"/>
                <w:sz w:val="24"/>
                <w:szCs w:val="24"/>
              </w:rPr>
              <w:t>评审价相同时，按照最后报价由低到高顺序依次推荐；最后报价相同的，按以下原则确定成交候选人的顺序：</w:t>
            </w:r>
          </w:p>
          <w:p>
            <w:pPr>
              <w:spacing w:line="500" w:lineRule="exact"/>
              <w:contextualSpacing/>
              <w:rPr>
                <w:rFonts w:ascii="宋体" w:hAnsi="宋体" w:eastAsia="宋体" w:cs="宋体"/>
                <w:sz w:val="24"/>
                <w:szCs w:val="24"/>
              </w:rPr>
            </w:pPr>
            <w:r>
              <w:rPr>
                <w:rFonts w:ascii="Segoe UI Symbol" w:hAnsi="Segoe UI Symbol" w:eastAsia="宋体" w:cs="Segoe UI Symbol"/>
                <w:sz w:val="24"/>
                <w:szCs w:val="24"/>
              </w:rPr>
              <w:t>☑</w:t>
            </w:r>
            <w:r>
              <w:rPr>
                <w:rFonts w:hint="eastAsia" w:ascii="宋体" w:hAnsi="宋体" w:eastAsia="宋体" w:cs="宋体"/>
                <w:sz w:val="24"/>
                <w:szCs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p>
            <w:pPr>
              <w:spacing w:line="500" w:lineRule="exact"/>
              <w:contextualSpacing/>
              <w:rPr>
                <w:rFonts w:ascii="Times New Roman" w:hAnsi="Times New Roman" w:eastAsia="宋体" w:cs="Times New Roman"/>
                <w:szCs w:val="24"/>
              </w:rPr>
            </w:pPr>
            <w:r>
              <w:rPr>
                <w:rFonts w:hint="eastAsia" w:ascii="Segoe UI Symbol" w:hAnsi="Segoe UI Symbol" w:eastAsia="宋体" w:cs="Segoe UI Symbol"/>
                <w:sz w:val="24"/>
                <w:szCs w:val="24"/>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28.1</w:t>
            </w:r>
          </w:p>
        </w:tc>
        <w:tc>
          <w:tcPr>
            <w:tcW w:w="8181" w:type="dxa"/>
            <w:vAlign w:val="center"/>
          </w:tcPr>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本项目不收取履约保证金。</w:t>
            </w:r>
          </w:p>
          <w:p>
            <w:pPr>
              <w:spacing w:line="360" w:lineRule="auto"/>
              <w:jc w:val="lef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本项目收取履约保证金：详见商务条款。</w:t>
            </w:r>
          </w:p>
          <w:p>
            <w:pPr>
              <w:autoSpaceDE w:val="0"/>
              <w:autoSpaceDN w:val="0"/>
              <w:snapToGrid w:val="0"/>
              <w:spacing w:line="360" w:lineRule="auto"/>
              <w:textAlignment w:val="bottom"/>
              <w:rPr>
                <w:rFonts w:ascii="宋体" w:hAnsi="宋体" w:eastAsia="宋体" w:cs="宋体"/>
                <w:sz w:val="24"/>
                <w:szCs w:val="24"/>
              </w:rPr>
            </w:pPr>
            <w:r>
              <w:rPr>
                <w:rFonts w:hint="eastAsia" w:ascii="宋体" w:hAnsi="宋体" w:eastAsia="宋体" w:cs="宋体"/>
                <w:sz w:val="24"/>
                <w:szCs w:val="24"/>
              </w:rPr>
              <w:t>履约保证金递交方式：详见商务条款。</w:t>
            </w:r>
          </w:p>
          <w:p>
            <w:pPr>
              <w:autoSpaceDE w:val="0"/>
              <w:autoSpaceDN w:val="0"/>
              <w:snapToGrid w:val="0"/>
              <w:spacing w:line="360" w:lineRule="auto"/>
              <w:textAlignment w:val="bottom"/>
              <w:rPr>
                <w:rFonts w:ascii="宋体" w:hAnsi="宋体" w:eastAsia="宋体" w:cs="宋体"/>
                <w:sz w:val="24"/>
                <w:szCs w:val="24"/>
              </w:rPr>
            </w:pPr>
            <w:r>
              <w:rPr>
                <w:rFonts w:hint="eastAsia" w:ascii="宋体" w:hAnsi="宋体" w:eastAsia="宋体" w:cs="宋体"/>
                <w:sz w:val="24"/>
                <w:szCs w:val="24"/>
              </w:rPr>
              <w:t>履约保证金退付方式、时间及条件详见商务条款。</w:t>
            </w:r>
          </w:p>
          <w:p>
            <w:pPr>
              <w:autoSpaceDE w:val="0"/>
              <w:autoSpaceDN w:val="0"/>
              <w:snapToGrid w:val="0"/>
              <w:spacing w:line="360" w:lineRule="auto"/>
              <w:textAlignment w:val="bottom"/>
              <w:rPr>
                <w:rFonts w:ascii="楷体" w:hAnsi="楷体" w:eastAsia="楷体" w:cs="宋体"/>
                <w:b/>
                <w:sz w:val="24"/>
                <w:szCs w:val="24"/>
              </w:rPr>
            </w:pPr>
            <w:r>
              <w:rPr>
                <w:rFonts w:hint="eastAsia" w:ascii="楷体" w:hAnsi="楷体" w:eastAsia="楷体" w:cs="宋体"/>
                <w:b/>
                <w:sz w:val="24"/>
                <w:szCs w:val="24"/>
              </w:rPr>
              <w:t>【备注】</w:t>
            </w:r>
          </w:p>
          <w:p>
            <w:pPr>
              <w:autoSpaceDE w:val="0"/>
              <w:autoSpaceDN w:val="0"/>
              <w:snapToGrid w:val="0"/>
              <w:spacing w:line="360" w:lineRule="auto"/>
              <w:textAlignment w:val="bottom"/>
              <w:rPr>
                <w:rFonts w:ascii="楷体" w:hAnsi="楷体" w:eastAsia="楷体" w:cs="宋体"/>
                <w:b/>
                <w:sz w:val="24"/>
                <w:szCs w:val="24"/>
              </w:rPr>
            </w:pPr>
            <w:r>
              <w:rPr>
                <w:rFonts w:ascii="楷体" w:hAnsi="楷体" w:eastAsia="楷体" w:cs="宋体"/>
                <w:b/>
                <w:sz w:val="24"/>
                <w:szCs w:val="24"/>
              </w:rPr>
              <w:t>1.</w:t>
            </w:r>
            <w:r>
              <w:rPr>
                <w:rFonts w:hint="eastAsia" w:ascii="楷体" w:hAnsi="楷体" w:eastAsia="楷体" w:cs="宋体"/>
                <w:b/>
                <w:sz w:val="24"/>
                <w:szCs w:val="24"/>
              </w:rPr>
              <w:t>根据《桂财规〔2022〕8号 广西壮族自治区财政厅关于规范政府采购货物和服务项目保证金管理的通知》，采购人在采购文件中要求提交履约保证金的，履约保证金数额不得超过政府采购合同金额的5%；政府采购要加大对中小企业发展的扶持力度，对中小企业收取的履约保证金数额不得超过政府采购合同金额的2%。</w:t>
            </w:r>
          </w:p>
          <w:p>
            <w:pPr>
              <w:autoSpaceDE w:val="0"/>
              <w:autoSpaceDN w:val="0"/>
              <w:snapToGrid w:val="0"/>
              <w:spacing w:line="360" w:lineRule="auto"/>
              <w:textAlignment w:val="bottom"/>
              <w:rPr>
                <w:rFonts w:ascii="楷体" w:hAnsi="楷体" w:eastAsia="楷体" w:cs="宋体"/>
                <w:b/>
                <w:sz w:val="24"/>
                <w:szCs w:val="24"/>
              </w:rPr>
            </w:pPr>
            <w:r>
              <w:rPr>
                <w:rFonts w:ascii="楷体" w:hAnsi="楷体" w:eastAsia="楷体" w:cs="宋体"/>
                <w:b/>
                <w:sz w:val="24"/>
                <w:szCs w:val="24"/>
              </w:rPr>
              <w:t>2.履约保证金不足额缴纳的，或者银行出具的保函额度不足的或者保函有效期低于合同履行期限（即签订采购合同之日起至履行完合同约定的权利及义务之日止）的，不予签订合同。</w:t>
            </w:r>
          </w:p>
          <w:p>
            <w:pPr>
              <w:autoSpaceDE w:val="0"/>
              <w:autoSpaceDN w:val="0"/>
              <w:snapToGrid w:val="0"/>
              <w:spacing w:line="360" w:lineRule="auto"/>
              <w:textAlignment w:val="bottom"/>
              <w:rPr>
                <w:rFonts w:ascii="楷体" w:hAnsi="楷体" w:eastAsia="楷体" w:cs="宋体"/>
                <w:b/>
                <w:sz w:val="24"/>
                <w:szCs w:val="24"/>
              </w:rPr>
            </w:pPr>
            <w:r>
              <w:rPr>
                <w:rFonts w:ascii="楷体" w:hAnsi="楷体" w:eastAsia="楷体" w:cs="宋体"/>
                <w:b/>
                <w:sz w:val="24"/>
                <w:szCs w:val="24"/>
              </w:rPr>
              <w:t>3.采用银行出具的保函的，必须为无条件保函，否则不予签订合同。</w:t>
            </w:r>
          </w:p>
          <w:p>
            <w:pPr>
              <w:autoSpaceDE w:val="0"/>
              <w:autoSpaceDN w:val="0"/>
              <w:snapToGrid w:val="0"/>
              <w:spacing w:line="360" w:lineRule="auto"/>
              <w:textAlignment w:val="bottom"/>
              <w:rPr>
                <w:rFonts w:ascii="宋体" w:hAnsi="宋体" w:eastAsia="宋体" w:cs="宋体"/>
                <w:sz w:val="24"/>
                <w:szCs w:val="24"/>
              </w:rPr>
            </w:pPr>
            <w:r>
              <w:rPr>
                <w:rFonts w:ascii="楷体" w:hAnsi="楷体" w:eastAsia="楷体" w:cs="宋体"/>
                <w:b/>
                <w:sz w:val="24"/>
                <w:szCs w:val="24"/>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29.1</w:t>
            </w:r>
          </w:p>
        </w:tc>
        <w:tc>
          <w:tcPr>
            <w:tcW w:w="8181" w:type="dxa"/>
            <w:vAlign w:val="center"/>
          </w:tcPr>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 xml:space="preserve">签订合同携带的证明材料： </w:t>
            </w:r>
          </w:p>
          <w:p>
            <w:pPr>
              <w:autoSpaceDE w:val="0"/>
              <w:autoSpaceDN w:val="0"/>
              <w:snapToGrid w:val="0"/>
              <w:spacing w:line="500" w:lineRule="exact"/>
              <w:textAlignment w:val="bottom"/>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委托代理人负责签订合同的，须携带授权委托书及委托代理人身份证原件等其他资格证件。</w:t>
            </w:r>
          </w:p>
          <w:p>
            <w:pPr>
              <w:snapToGrid w:val="0"/>
              <w:spacing w:line="50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31.2</w:t>
            </w:r>
          </w:p>
        </w:tc>
        <w:tc>
          <w:tcPr>
            <w:tcW w:w="8181" w:type="dxa"/>
            <w:vAlign w:val="center"/>
          </w:tcPr>
          <w:p>
            <w:pPr>
              <w:snapToGrid w:val="0"/>
              <w:spacing w:line="500" w:lineRule="exact"/>
              <w:rPr>
                <w:rFonts w:ascii="宋体" w:hAnsi="宋体" w:eastAsia="宋体" w:cs="宋体"/>
                <w:sz w:val="24"/>
                <w:szCs w:val="24"/>
              </w:rPr>
            </w:pPr>
            <w:r>
              <w:rPr>
                <w:rFonts w:hint="eastAsia" w:ascii="宋体" w:hAnsi="宋体" w:eastAsia="宋体" w:cs="宋体"/>
                <w:sz w:val="24"/>
                <w:szCs w:val="24"/>
              </w:rPr>
              <w:t>接收质疑函方式：以纸质书面形式。</w:t>
            </w:r>
          </w:p>
          <w:p>
            <w:pPr>
              <w:snapToGrid w:val="0"/>
              <w:spacing w:line="500" w:lineRule="exact"/>
              <w:rPr>
                <w:rFonts w:ascii="宋体" w:hAnsi="宋体" w:eastAsia="宋体" w:cs="宋体"/>
                <w:kern w:val="0"/>
                <w:sz w:val="24"/>
                <w:szCs w:val="24"/>
              </w:rPr>
            </w:pPr>
            <w:r>
              <w:rPr>
                <w:rFonts w:hint="eastAsia" w:ascii="宋体" w:hAnsi="宋体" w:eastAsia="宋体" w:cs="宋体"/>
                <w:sz w:val="24"/>
                <w:szCs w:val="24"/>
              </w:rPr>
              <w:t>质疑联系部门及联系方式：广西科文招标有限公司招标部</w:t>
            </w:r>
            <w:r>
              <w:rPr>
                <w:rFonts w:hint="eastAsia" w:ascii="宋体" w:hAnsi="宋体" w:eastAsia="宋体" w:cs="宋体"/>
                <w:kern w:val="0"/>
                <w:sz w:val="24"/>
                <w:szCs w:val="24"/>
              </w:rPr>
              <w:t>，</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质疑联系人：梁伟贞   联系电话：0771-2023650</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通讯地址：广西壮族自治区南宁市民族大道141号中鼎万象东方D区五层</w:t>
            </w:r>
            <w:r>
              <w:rPr>
                <w:rFonts w:ascii="宋体" w:hAnsi="宋体" w:eastAsia="宋体" w:cs="宋体"/>
                <w:kern w:val="0"/>
                <w:sz w:val="24"/>
                <w:szCs w:val="24"/>
              </w:rPr>
              <w:t xml:space="preserve"> </w:t>
            </w:r>
          </w:p>
          <w:p>
            <w:pPr>
              <w:snapToGrid w:val="0"/>
              <w:spacing w:line="500" w:lineRule="exact"/>
              <w:rPr>
                <w:rFonts w:ascii="宋体" w:hAnsi="宋体" w:eastAsia="宋体" w:cs="宋体"/>
                <w:sz w:val="24"/>
                <w:szCs w:val="24"/>
              </w:rPr>
            </w:pPr>
            <w:r>
              <w:rPr>
                <w:rFonts w:hint="eastAsia" w:ascii="宋体" w:hAnsi="宋体" w:eastAsia="宋体" w:cs="宋体"/>
                <w:kern w:val="0"/>
                <w:sz w:val="24"/>
                <w:szCs w:val="24"/>
              </w:rPr>
              <w:t>业务时间：工作日（上午8:00-12:00；下午15:00-18:00）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32.1</w:t>
            </w:r>
          </w:p>
        </w:tc>
        <w:tc>
          <w:tcPr>
            <w:tcW w:w="8181" w:type="dxa"/>
            <w:vAlign w:val="center"/>
          </w:tcPr>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1.采购代理服务费支付方式：本项目的招标代理服务费按以下收费标准向成交供应商收取，领取成交通知书前，成交供应商应向采购代理机构一次付清招标代理服务费，否则采购代理机构有权不予以办理。</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bCs/>
                <w:kern w:val="0"/>
                <w:sz w:val="24"/>
                <w:szCs w:val="24"/>
              </w:rPr>
              <w:t>.</w:t>
            </w:r>
            <w:r>
              <w:rPr>
                <w:rFonts w:hint="eastAsia" w:ascii="宋体" w:hAnsi="宋体" w:eastAsia="宋体" w:cs="宋体"/>
                <w:kern w:val="0"/>
                <w:sz w:val="24"/>
                <w:szCs w:val="24"/>
              </w:rPr>
              <w:t>采购代理服务费收取标准：</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以分标成交金额为计费额，按本采购文件之供应商须知正文第32.2条规定的收费计算标准（货物类）采用差额定率累进法计算出收费基准价格，采购代理服务费收费以收费基准价格收取。</w:t>
            </w:r>
          </w:p>
          <w:p>
            <w:pPr>
              <w:snapToGrid w:val="0"/>
              <w:spacing w:line="500" w:lineRule="exact"/>
              <w:rPr>
                <w:rFonts w:ascii="宋体" w:hAnsi="宋体" w:eastAsia="宋体" w:cs="宋体"/>
                <w:b/>
                <w:bCs/>
                <w:kern w:val="0"/>
                <w:sz w:val="24"/>
                <w:szCs w:val="24"/>
              </w:rPr>
            </w:pPr>
            <w:r>
              <w:rPr>
                <w:rFonts w:hint="eastAsia" w:ascii="宋体" w:hAnsi="宋体" w:eastAsia="宋体" w:cs="宋体"/>
                <w:b/>
                <w:bCs/>
                <w:kern w:val="0"/>
                <w:sz w:val="24"/>
                <w:szCs w:val="24"/>
              </w:rPr>
              <w:t>3</w:t>
            </w:r>
            <w:r>
              <w:rPr>
                <w:rFonts w:hint="eastAsia" w:ascii="宋体" w:hAnsi="宋体" w:eastAsia="宋体" w:cs="宋体"/>
                <w:bCs/>
                <w:kern w:val="0"/>
                <w:sz w:val="24"/>
                <w:szCs w:val="24"/>
              </w:rPr>
              <w:t>.</w:t>
            </w:r>
            <w:r>
              <w:rPr>
                <w:rFonts w:hint="eastAsia" w:ascii="宋体" w:hAnsi="宋体" w:eastAsia="宋体" w:cs="宋体"/>
                <w:b/>
                <w:bCs/>
                <w:kern w:val="0"/>
                <w:sz w:val="24"/>
                <w:szCs w:val="24"/>
              </w:rPr>
              <w:t>采购代理服务费专用银行账号：</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开户名称：广西科文招标有限公司南宁咨询一分公司</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开户银行：广西北部湾银行股份有限公司南宁市云景支行</w:t>
            </w:r>
          </w:p>
          <w:p>
            <w:pPr>
              <w:snapToGrid w:val="0"/>
              <w:spacing w:line="500" w:lineRule="exact"/>
              <w:rPr>
                <w:rFonts w:ascii="宋体" w:hAnsi="宋体" w:eastAsia="宋体" w:cs="宋体"/>
                <w:kern w:val="0"/>
                <w:sz w:val="24"/>
                <w:szCs w:val="24"/>
                <w:u w:val="single"/>
              </w:rPr>
            </w:pPr>
            <w:r>
              <w:rPr>
                <w:rFonts w:hint="eastAsia" w:ascii="宋体" w:hAnsi="宋体" w:eastAsia="宋体" w:cs="宋体"/>
                <w:kern w:val="0"/>
                <w:sz w:val="24"/>
                <w:szCs w:val="24"/>
              </w:rPr>
              <w:t>银行账号：805030137000001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33.1</w:t>
            </w:r>
          </w:p>
        </w:tc>
        <w:tc>
          <w:tcPr>
            <w:tcW w:w="8181" w:type="dxa"/>
            <w:vAlign w:val="center"/>
          </w:tcPr>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991"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33.2</w:t>
            </w:r>
          </w:p>
        </w:tc>
        <w:tc>
          <w:tcPr>
            <w:tcW w:w="8181" w:type="dxa"/>
            <w:vAlign w:val="center"/>
          </w:tcPr>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2.供应商为其他组织或者自然人时，本谈判文件规定的法定代表人指负责人或者自然人。本谈判文件所称负责人是指参加竞争性谈判的其他组织</w:t>
            </w:r>
            <w:r>
              <w:rPr>
                <w:rFonts w:hint="eastAsia" w:ascii="宋体" w:hAnsi="宋体" w:eastAsia="宋体" w:cs="宋体"/>
                <w:bCs/>
                <w:kern w:val="0"/>
                <w:sz w:val="24"/>
                <w:szCs w:val="24"/>
              </w:rPr>
              <w:t>营业执照或者执业许可证等证照上</w:t>
            </w:r>
            <w:r>
              <w:rPr>
                <w:rFonts w:hint="eastAsia" w:ascii="宋体" w:hAnsi="宋体" w:eastAsia="宋体" w:cs="宋体"/>
                <w:kern w:val="0"/>
                <w:sz w:val="24"/>
                <w:szCs w:val="24"/>
              </w:rPr>
              <w:t>的负责人，本谈判文件所称自然人指参与竞争性谈判的自然人本人，</w:t>
            </w:r>
            <w:r>
              <w:rPr>
                <w:rFonts w:hint="eastAsia" w:ascii="宋体" w:hAnsi="宋体" w:eastAsia="宋体" w:cs="宋体"/>
                <w:bCs/>
                <w:kern w:val="0"/>
                <w:sz w:val="24"/>
                <w:szCs w:val="24"/>
              </w:rPr>
              <w:t>且应具备独立承担民事责任能力，自然人应当为年满18岁以上成年人（十六周岁以上的未成年人，以自己的劳动收入为主要生活来源的，视为完全民事行为能力人）。</w:t>
            </w:r>
          </w:p>
          <w:p>
            <w:pPr>
              <w:snapToGrid w:val="0"/>
              <w:spacing w:line="500" w:lineRule="exact"/>
              <w:rPr>
                <w:rFonts w:ascii="宋体" w:hAnsi="宋体" w:eastAsia="宋体" w:cs="宋体"/>
                <w:kern w:val="0"/>
                <w:sz w:val="24"/>
                <w:szCs w:val="24"/>
              </w:rPr>
            </w:pPr>
            <w:r>
              <w:rPr>
                <w:rFonts w:hint="eastAsia" w:ascii="宋体" w:hAnsi="宋体" w:eastAsia="宋体" w:cs="宋体"/>
                <w:kern w:val="0"/>
                <w:sz w:val="24"/>
                <w:szCs w:val="24"/>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pPr>
              <w:snapToGrid w:val="0"/>
              <w:spacing w:line="500" w:lineRule="exac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snapToGrid w:val="0"/>
              <w:spacing w:line="500" w:lineRule="exac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.自然人参与竞争性谈判的，谈判文件规定盖章的地方自然人可以加盖手指指印。</w:t>
            </w:r>
          </w:p>
          <w:p>
            <w:pPr>
              <w:snapToGrid w:val="0"/>
              <w:spacing w:line="500" w:lineRule="exac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.本谈判文件所称的“以上”“以下”“以内”“届满”，包括本数；所称的“不满”“超过”“以外”，不包括本数。</w:t>
            </w:r>
          </w:p>
        </w:tc>
      </w:tr>
    </w:tbl>
    <w:p>
      <w:pPr>
        <w:spacing w:line="360" w:lineRule="auto"/>
        <w:jc w:val="center"/>
        <w:rPr>
          <w:rFonts w:ascii="宋体" w:hAnsi="宋体" w:eastAsia="宋体" w:cs="宋体"/>
          <w:b/>
          <w:sz w:val="36"/>
          <w:szCs w:val="36"/>
        </w:rPr>
      </w:pPr>
      <w:r>
        <w:rPr>
          <w:rFonts w:hint="eastAsia" w:ascii="宋体" w:hAnsi="宋体" w:eastAsia="宋体" w:cs="宋体"/>
          <w:b/>
          <w:sz w:val="32"/>
          <w:szCs w:val="32"/>
        </w:rPr>
        <w:br w:type="page"/>
      </w:r>
      <w:r>
        <w:rPr>
          <w:rFonts w:hint="eastAsia" w:ascii="宋体" w:hAnsi="宋体" w:eastAsia="宋体" w:cs="宋体"/>
          <w:b/>
          <w:sz w:val="36"/>
          <w:szCs w:val="36"/>
        </w:rPr>
        <w:t>供应商须知正文</w:t>
      </w:r>
    </w:p>
    <w:p>
      <w:pPr>
        <w:spacing w:line="360" w:lineRule="auto"/>
        <w:jc w:val="center"/>
        <w:rPr>
          <w:rFonts w:ascii="宋体" w:hAnsi="宋体" w:eastAsia="宋体" w:cs="宋体"/>
          <w:b/>
          <w:sz w:val="36"/>
          <w:szCs w:val="36"/>
        </w:rPr>
      </w:pPr>
      <w:r>
        <w:rPr>
          <w:rFonts w:hint="eastAsia" w:ascii="宋体" w:hAnsi="宋体" w:eastAsia="宋体" w:cs="宋体"/>
          <w:b/>
          <w:sz w:val="36"/>
          <w:szCs w:val="36"/>
        </w:rPr>
        <w:t>一、总则</w:t>
      </w:r>
    </w:p>
    <w:p>
      <w:pPr>
        <w:spacing w:line="400" w:lineRule="exact"/>
        <w:rPr>
          <w:rFonts w:ascii="宋体" w:hAnsi="宋体" w:eastAsia="宋体" w:cs="宋体"/>
          <w:szCs w:val="21"/>
        </w:rPr>
      </w:pP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1.适用范围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6"/>
          <w:sz w:val="24"/>
          <w:szCs w:val="24"/>
        </w:rPr>
        <w:t>本竞争性谈判采购文件（以下简称谈判文件）适用于本项目的所有采购程序和环节（法律、法规另有规定的，从其规定）。</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2.定义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2.1“采购人”是指依法进行采购的国家机关、事业单位、团体组织。</w:t>
      </w:r>
    </w:p>
    <w:p>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2.2“采购代理机构”</w:t>
      </w:r>
      <w:r>
        <w:rPr>
          <w:rFonts w:hint="eastAsia" w:ascii="宋体" w:hAnsi="宋体" w:eastAsia="宋体" w:cs="宋体"/>
          <w:b/>
          <w:sz w:val="24"/>
          <w:szCs w:val="24"/>
        </w:rPr>
        <w:t>是指政府采购集中采购机构和集中采购机构以外的采购代理机构。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2.3“供应商”是指向采购人提供货物、工程或者服务的法人、其他组织或者自然人。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2.4“货物”是指各种形态和种类的物品，包括原材料、燃料、设备、产品等。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w:t>
      </w:r>
      <w:r>
        <w:rPr>
          <w:rFonts w:hint="eastAsia" w:ascii="Times New Roman" w:hAnsi="宋体" w:eastAsia="宋体" w:cs="宋体"/>
          <w:sz w:val="24"/>
          <w:szCs w:val="24"/>
        </w:rPr>
        <w:t>竞争性谈判</w:t>
      </w:r>
      <w:r>
        <w:rPr>
          <w:rFonts w:hint="eastAsia" w:ascii="宋体" w:hAnsi="宋体" w:eastAsia="宋体" w:cs="宋体"/>
          <w:sz w:val="24"/>
          <w:szCs w:val="24"/>
        </w:rPr>
        <w:t>”是指按照本项目竞争性谈判公告或者邀请函规定的方式供应商获取谈判文件、提交响应文件并希望获得标的的行为。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2.6“售后服务” 是指包含但不限于供应商须承担的备品备件、包装、运输、装卸、保险、货到就位以及安装、调试、培训、保修和其他类似的义务。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2.7“书面形式”是指合同书、信件和数据电文（包括电报、电传、传真、电子数据交换和电子邮件）等可以有形地表现所载内容的形式。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2.8“响应文件”</w:t>
      </w:r>
      <w:r>
        <w:rPr>
          <w:rFonts w:hint="eastAsia" w:ascii="宋体" w:hAnsi="宋体" w:eastAsia="宋体" w:cs="宋体"/>
          <w:spacing w:val="-6"/>
          <w:sz w:val="24"/>
          <w:szCs w:val="24"/>
        </w:rPr>
        <w:t>是指：供应商根据本谈判文件要求，编制包含报价、技术和服务等所有内容的文件。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2.9 “实质性要求”是指采购需求中带“▲”的条款或者不能负偏离的条款或者已经指明不满足按响应文件按无效响应处理的条款。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2.10“正偏离”，是指响应文件对谈判文件“采购需求”中有关条款作出优于条款要求并有利于采购人的响应情形；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2.11“负偏离”，是指响应文件对谈判文件“采购需求”中有关条款作出的响应不满足条款要求，导致采购人要求不能得到满足的情形。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2.12“允许负偏离的条款”是指采购需求中的不属于“实质性要求”的条款。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2.13“首次报价”是指供应商提交的首次响应文件中的</w:t>
      </w:r>
      <w:r>
        <w:rPr>
          <w:rFonts w:hint="eastAsia" w:ascii="Times New Roman" w:hAnsi="宋体" w:eastAsia="宋体" w:cs="宋体"/>
          <w:sz w:val="24"/>
          <w:szCs w:val="24"/>
        </w:rPr>
        <w:t>竞争性谈判</w:t>
      </w:r>
      <w:r>
        <w:rPr>
          <w:rFonts w:hint="eastAsia" w:ascii="宋体" w:hAnsi="宋体" w:eastAsia="宋体" w:cs="宋体"/>
          <w:sz w:val="24"/>
          <w:szCs w:val="24"/>
        </w:rPr>
        <w:t>报价。</w:t>
      </w:r>
    </w:p>
    <w:p>
      <w:pPr>
        <w:spacing w:line="360" w:lineRule="auto"/>
        <w:ind w:firstLine="643" w:firstLineChars="200"/>
        <w:contextualSpacing/>
        <w:rPr>
          <w:rFonts w:ascii="宋体" w:hAnsi="宋体" w:eastAsia="宋体" w:cs="宋体"/>
          <w:b/>
          <w:bCs/>
          <w:sz w:val="32"/>
          <w:szCs w:val="32"/>
        </w:rPr>
      </w:pPr>
      <w:r>
        <w:rPr>
          <w:rFonts w:hint="eastAsia" w:ascii="宋体" w:hAnsi="宋体" w:eastAsia="宋体" w:cs="宋体"/>
          <w:b/>
          <w:bCs/>
          <w:sz w:val="32"/>
          <w:szCs w:val="32"/>
        </w:rPr>
        <w:t>3.供应商的资格条件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供应商的资格条件详见“供应商须知前附表”。</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4.竞争性谈判费用</w:t>
      </w:r>
    </w:p>
    <w:p>
      <w:pPr>
        <w:spacing w:line="360" w:lineRule="auto"/>
        <w:ind w:firstLine="480" w:firstLineChars="200"/>
        <w:rPr>
          <w:rFonts w:ascii="宋体" w:hAnsi="宋体" w:eastAsia="宋体" w:cs="宋体"/>
          <w:sz w:val="24"/>
          <w:szCs w:val="24"/>
        </w:rPr>
      </w:pPr>
      <w:r>
        <w:rPr>
          <w:rFonts w:hint="eastAsia" w:ascii="Times New Roman" w:hAnsi="宋体" w:eastAsia="宋体" w:cs="宋体"/>
          <w:sz w:val="24"/>
          <w:szCs w:val="24"/>
        </w:rPr>
        <w:t>竞争性谈判</w:t>
      </w:r>
      <w:r>
        <w:rPr>
          <w:rFonts w:hint="eastAsia" w:ascii="宋体" w:hAnsi="宋体" w:eastAsia="宋体" w:cs="宋体"/>
          <w:sz w:val="24"/>
          <w:szCs w:val="24"/>
        </w:rPr>
        <w:t>费用：供应商应承担参与本次采购活动有关的所有费用，包括但不限于获取谈判文件、勘查现场、编制和提交响应文件、参加谈判与应答、签订合同等，不论</w:t>
      </w:r>
      <w:r>
        <w:rPr>
          <w:rFonts w:hint="eastAsia" w:ascii="Times New Roman" w:hAnsi="宋体" w:eastAsia="宋体" w:cs="宋体"/>
          <w:sz w:val="24"/>
          <w:szCs w:val="24"/>
        </w:rPr>
        <w:t>竞争性谈判</w:t>
      </w:r>
      <w:r>
        <w:rPr>
          <w:rFonts w:hint="eastAsia" w:ascii="宋体" w:hAnsi="宋体" w:eastAsia="宋体" w:cs="宋体"/>
          <w:sz w:val="24"/>
          <w:szCs w:val="24"/>
        </w:rPr>
        <w:t>结果如何，均应自行承担。</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5.联合体参与竞争性谈判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5.1本项目是否接受联合体参与</w:t>
      </w:r>
      <w:r>
        <w:rPr>
          <w:rFonts w:hint="eastAsia" w:ascii="Times New Roman" w:hAnsi="宋体" w:eastAsia="宋体" w:cs="宋体"/>
          <w:sz w:val="24"/>
          <w:szCs w:val="24"/>
        </w:rPr>
        <w:t>竞争性谈判</w:t>
      </w:r>
      <w:r>
        <w:rPr>
          <w:rFonts w:hint="eastAsia" w:ascii="宋体" w:hAnsi="宋体" w:eastAsia="宋体" w:cs="宋体"/>
          <w:sz w:val="24"/>
          <w:szCs w:val="24"/>
        </w:rPr>
        <w:t>，详见“供应商须知前附表”。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bCs/>
          <w:sz w:val="24"/>
          <w:szCs w:val="24"/>
        </w:rPr>
        <w:t>如接受联合体参与</w:t>
      </w:r>
      <w:r>
        <w:rPr>
          <w:rFonts w:hint="eastAsia" w:ascii="Times New Roman" w:hAnsi="宋体" w:eastAsia="宋体" w:cs="宋体"/>
          <w:sz w:val="24"/>
          <w:szCs w:val="24"/>
        </w:rPr>
        <w:t>竞争性谈判</w:t>
      </w:r>
      <w:r>
        <w:rPr>
          <w:rFonts w:hint="eastAsia" w:ascii="宋体" w:hAnsi="宋体" w:eastAsia="宋体" w:cs="宋体"/>
          <w:bCs/>
          <w:sz w:val="24"/>
          <w:szCs w:val="24"/>
        </w:rPr>
        <w:t>，</w:t>
      </w:r>
      <w:r>
        <w:rPr>
          <w:rFonts w:hint="eastAsia" w:ascii="宋体" w:hAnsi="宋体" w:eastAsia="宋体" w:cs="宋体"/>
          <w:sz w:val="24"/>
          <w:szCs w:val="24"/>
        </w:rPr>
        <w:t>具体要求详见“供应商须知前附表”。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w:t>
      </w:r>
      <w:bookmarkStart w:id="14" w:name="_Hlk65857072"/>
      <w:r>
        <w:rPr>
          <w:rFonts w:hint="eastAsia" w:ascii="宋体" w:hAnsi="宋体" w:eastAsia="宋体" w:cs="宋体"/>
          <w:sz w:val="24"/>
          <w:szCs w:val="24"/>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 xml:space="preserve">6.转包与分包             </w:t>
      </w:r>
    </w:p>
    <w:p>
      <w:pPr>
        <w:spacing w:line="360" w:lineRule="auto"/>
        <w:ind w:firstLine="480" w:firstLineChars="200"/>
        <w:outlineLvl w:val="4"/>
        <w:rPr>
          <w:rFonts w:ascii="宋体" w:hAnsi="宋体" w:eastAsia="宋体" w:cs="宋体"/>
          <w:bCs/>
          <w:sz w:val="24"/>
          <w:szCs w:val="24"/>
        </w:rPr>
      </w:pPr>
      <w:bookmarkStart w:id="15" w:name="_Toc254970532"/>
      <w:bookmarkStart w:id="16" w:name="_Toc254970673"/>
      <w:r>
        <w:rPr>
          <w:rFonts w:hint="eastAsia" w:ascii="宋体" w:hAnsi="宋体" w:eastAsia="宋体" w:cs="宋体"/>
          <w:bCs/>
          <w:sz w:val="24"/>
          <w:szCs w:val="24"/>
        </w:rPr>
        <w:t>6.1本项目不允许转包。</w:t>
      </w:r>
    </w:p>
    <w:p>
      <w:pPr>
        <w:spacing w:line="360" w:lineRule="auto"/>
        <w:ind w:firstLine="360" w:firstLineChars="150"/>
        <w:outlineLvl w:val="4"/>
        <w:rPr>
          <w:rFonts w:ascii="宋体" w:hAnsi="宋体" w:eastAsia="宋体" w:cs="宋体"/>
          <w:bCs/>
          <w:sz w:val="24"/>
          <w:szCs w:val="24"/>
        </w:rPr>
      </w:pPr>
      <w:r>
        <w:rPr>
          <w:rFonts w:hint="eastAsia" w:ascii="宋体" w:hAnsi="宋体" w:eastAsia="宋体" w:cs="宋体"/>
          <w:bCs/>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360" w:firstLineChars="150"/>
        <w:outlineLvl w:val="4"/>
        <w:rPr>
          <w:rFonts w:ascii="宋体" w:hAnsi="宋体" w:eastAsia="宋体" w:cs="宋体"/>
          <w:bCs/>
          <w:sz w:val="24"/>
          <w:szCs w:val="24"/>
        </w:rPr>
      </w:pPr>
      <w:r>
        <w:rPr>
          <w:rFonts w:hint="eastAsia" w:ascii="宋体" w:hAnsi="宋体" w:eastAsia="宋体" w:cs="宋体"/>
          <w:bCs/>
          <w:sz w:val="24"/>
          <w:szCs w:val="24"/>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643" w:firstLineChars="200"/>
        <w:rPr>
          <w:rFonts w:ascii="宋体" w:hAnsi="宋体" w:eastAsia="宋体" w:cs="宋体"/>
          <w:sz w:val="24"/>
          <w:szCs w:val="24"/>
        </w:rPr>
      </w:pPr>
      <w:r>
        <w:rPr>
          <w:rFonts w:hint="eastAsia" w:ascii="宋体" w:hAnsi="宋体" w:eastAsia="宋体" w:cs="宋体"/>
          <w:b/>
          <w:bCs/>
          <w:sz w:val="32"/>
          <w:szCs w:val="32"/>
        </w:rPr>
        <w:t>7.特别说明</w:t>
      </w:r>
      <w:bookmarkEnd w:id="15"/>
      <w:bookmarkEnd w:id="16"/>
      <w:bookmarkStart w:id="17" w:name="_8.1提供相同品牌产品且通过资格审查、符合性审查的不同投标人参加同一合"/>
      <w:bookmarkEnd w:id="17"/>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如果本谈判文件要求提供供应商或制造商的资格、信誉、荣誉、业绩与企业认证等材料的，资格、信誉、荣誉、业绩与企业认证等必须为供应商或者制造商所拥有或自身获得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cs="宋体"/>
          <w:sz w:val="24"/>
          <w:szCs w:val="24"/>
        </w:rPr>
        <w:t>供应商应仔细阅读谈判文件的所有内容，按照谈判文件的要求提交响应文件，并对所提供的全部资料的真实性承担法律责任。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3</w:t>
      </w:r>
      <w:r>
        <w:rPr>
          <w:rFonts w:hint="eastAsia" w:ascii="宋体" w:hAnsi="宋体" w:eastAsia="宋体" w:cs="宋体"/>
          <w:sz w:val="24"/>
          <w:szCs w:val="24"/>
        </w:rPr>
        <w:t>供应商在参与</w:t>
      </w:r>
      <w:r>
        <w:rPr>
          <w:rFonts w:hint="eastAsia" w:ascii="Times New Roman" w:hAnsi="宋体" w:eastAsia="宋体" w:cs="宋体"/>
          <w:sz w:val="24"/>
          <w:szCs w:val="24"/>
        </w:rPr>
        <w:t>竞争性谈判</w:t>
      </w:r>
      <w:r>
        <w:rPr>
          <w:rFonts w:hint="eastAsia" w:ascii="宋体" w:hAnsi="宋体" w:eastAsia="宋体" w:cs="宋体"/>
          <w:sz w:val="24"/>
          <w:szCs w:val="24"/>
        </w:rPr>
        <w:t>活动中提供任何虚假材料,其响应文件按无效响应处理，并报监管部门查处；签订合同后发现的,成交供应商须依法赔偿采购人，且民事赔偿并不免除违法供应商的行政与刑事责任。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4</w:t>
      </w:r>
      <w:r>
        <w:rPr>
          <w:rFonts w:hint="eastAsia" w:ascii="宋体" w:hAnsi="宋体" w:eastAsia="宋体" w:cs="宋体"/>
          <w:sz w:val="24"/>
          <w:szCs w:val="24"/>
        </w:rPr>
        <w:t>在政府采购活动中，采购人员及相关人员与供应商有下列利害关系之一的，应当回避：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（1）参加采购活动前3年内与供应商存在劳动关系；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（2）参加采购活动前3年内担任供应商的董事、监事；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5</w:t>
      </w:r>
      <w:r>
        <w:rPr>
          <w:rFonts w:hint="eastAsia" w:ascii="宋体" w:hAnsi="宋体" w:eastAsia="宋体" w:cs="宋体"/>
          <w:sz w:val="24"/>
          <w:szCs w:val="24"/>
        </w:rPr>
        <w:t>有下列情形之一的视为供应商相互串通参与</w:t>
      </w:r>
      <w:r>
        <w:rPr>
          <w:rFonts w:hint="eastAsia" w:ascii="Times New Roman" w:hAnsi="宋体" w:eastAsia="宋体" w:cs="宋体"/>
          <w:sz w:val="24"/>
          <w:szCs w:val="24"/>
        </w:rPr>
        <w:t>竞争性谈判</w:t>
      </w:r>
      <w:r>
        <w:rPr>
          <w:rFonts w:hint="eastAsia" w:ascii="宋体" w:hAnsi="宋体" w:eastAsia="宋体" w:cs="宋体"/>
          <w:sz w:val="24"/>
          <w:szCs w:val="24"/>
        </w:rPr>
        <w:t>，响应文件将被视为无效：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（1）不同供应商的响应文件由同一单位或者个人编制；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（2）不同供应商委托同一单位或者个人办理</w:t>
      </w:r>
      <w:r>
        <w:rPr>
          <w:rFonts w:hint="eastAsia" w:ascii="Times New Roman" w:hAnsi="宋体" w:eastAsia="宋体" w:cs="宋体"/>
          <w:sz w:val="24"/>
          <w:szCs w:val="24"/>
        </w:rPr>
        <w:t>竞争性谈判</w:t>
      </w:r>
      <w:r>
        <w:rPr>
          <w:rFonts w:hint="eastAsia" w:ascii="宋体" w:hAnsi="宋体" w:eastAsia="宋体" w:cs="宋体"/>
          <w:sz w:val="24"/>
          <w:szCs w:val="24"/>
        </w:rPr>
        <w:t>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（4）不同供应商的响应文件异常一致或者报价呈规律性差异；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（6）不同供应商的谈判保证金从同一单位或者个人账户转出；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（7）供应商之间协商报价等响应文件的实质性内容；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（8）供应商之间约定成交供应商；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（9）供应商之间约定部分供应商放弃参与竞争性谈判或者成交；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（10）属于同一集团、协会、商会等组织成员的供应商按照该组织要求协同参与竞争性谈判；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（11）供应商之间为谋取成交或者排斥特定供应商而采取的其他联合行动。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6</w:t>
      </w:r>
      <w:r>
        <w:rPr>
          <w:rFonts w:hint="eastAsia" w:ascii="宋体" w:hAnsi="宋体" w:eastAsia="宋体" w:cs="宋体"/>
          <w:sz w:val="24"/>
          <w:szCs w:val="24"/>
        </w:rPr>
        <w:t>供应商有下列情形之一的，属于恶意串通行为</w:t>
      </w:r>
      <w:bookmarkStart w:id="18" w:name="_Hlk54682620"/>
      <w:r>
        <w:rPr>
          <w:rFonts w:hint="eastAsia" w:ascii="宋体" w:hAnsi="宋体" w:eastAsia="宋体" w:cs="宋体"/>
          <w:sz w:val="24"/>
          <w:szCs w:val="24"/>
        </w:rPr>
        <w:t>，将报同级监督管理部门</w:t>
      </w:r>
      <w:bookmarkEnd w:id="18"/>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（3）供应商之间协商报价、技术方案等响应文件或者响应文件的实质性内容；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（5）供应商之间事先约定一致抬高或者压低报价,或者在政府采购活动中事先约定轮流以高价位或者低价位成交,或者事先约定由某一特定供应商成交,然后再参加</w:t>
      </w:r>
      <w:r>
        <w:rPr>
          <w:rFonts w:hint="eastAsia" w:ascii="Times New Roman" w:hAnsi="宋体" w:eastAsia="宋体" w:cs="宋体"/>
          <w:sz w:val="24"/>
          <w:szCs w:val="24"/>
        </w:rPr>
        <w:t>竞争性谈判</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7.7</w:t>
      </w:r>
      <w:r>
        <w:rPr>
          <w:rFonts w:hint="eastAsia" w:ascii="宋体" w:hAnsi="宋体" w:eastAsia="宋体" w:cs="宋体"/>
          <w:sz w:val="24"/>
          <w:szCs w:val="24"/>
        </w:rPr>
        <w:t>单一产品采购项目，提供相同品牌产品的不同供应商参加同一合同项下</w:t>
      </w:r>
      <w:r>
        <w:rPr>
          <w:rFonts w:hint="eastAsia" w:ascii="Times New Roman" w:hAnsi="宋体" w:eastAsia="宋体" w:cs="宋体"/>
          <w:sz w:val="24"/>
          <w:szCs w:val="24"/>
        </w:rPr>
        <w:t>竞争性谈判</w:t>
      </w:r>
      <w:r>
        <w:rPr>
          <w:rFonts w:hint="eastAsia" w:ascii="宋体" w:hAnsi="宋体" w:eastAsia="宋体" w:cs="宋体"/>
          <w:sz w:val="24"/>
          <w:szCs w:val="24"/>
        </w:rPr>
        <w:t>的，以其中通过资格审查、符合性审查、谈判且最后报价最低的参加报价评审；最后报价相同的，按照前附表第2</w:t>
      </w:r>
      <w:r>
        <w:rPr>
          <w:rFonts w:ascii="宋体" w:hAnsi="宋体" w:eastAsia="宋体" w:cs="宋体"/>
          <w:sz w:val="24"/>
          <w:szCs w:val="24"/>
        </w:rPr>
        <w:t>6</w:t>
      </w:r>
      <w:r>
        <w:rPr>
          <w:rFonts w:hint="eastAsia" w:ascii="宋体" w:hAnsi="宋体" w:eastAsia="宋体" w:cs="宋体"/>
          <w:sz w:val="24"/>
          <w:szCs w:val="24"/>
        </w:rPr>
        <w:t>条规定确定一个参加评审的供应商，其他响应文件作无效处理。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非单一产品采购项目，多家供应商提供的核心产品品牌相同的，按前款规定处理；多家供应商提供的所有产品品牌相同，按前款处理。</w:t>
      </w:r>
    </w:p>
    <w:p>
      <w:pPr>
        <w:spacing w:line="360" w:lineRule="auto"/>
        <w:ind w:firstLine="477" w:firstLineChars="199"/>
        <w:jc w:val="center"/>
        <w:rPr>
          <w:rFonts w:ascii="宋体" w:hAnsi="宋体" w:eastAsia="宋体" w:cs="宋体"/>
          <w:sz w:val="24"/>
          <w:szCs w:val="32"/>
        </w:rPr>
      </w:pPr>
      <w:bookmarkStart w:id="19" w:name="_Toc254970675"/>
      <w:bookmarkStart w:id="20" w:name="_Toc254970534"/>
    </w:p>
    <w:p>
      <w:pPr>
        <w:spacing w:line="360" w:lineRule="auto"/>
        <w:jc w:val="center"/>
        <w:rPr>
          <w:rFonts w:ascii="宋体" w:hAnsi="宋体" w:eastAsia="宋体" w:cs="宋体"/>
          <w:b/>
          <w:sz w:val="40"/>
          <w:szCs w:val="40"/>
        </w:rPr>
      </w:pPr>
      <w:r>
        <w:rPr>
          <w:rFonts w:hint="eastAsia" w:ascii="宋体" w:hAnsi="宋体" w:eastAsia="宋体" w:cs="宋体"/>
          <w:b/>
          <w:sz w:val="40"/>
          <w:szCs w:val="40"/>
        </w:rPr>
        <w:t>二、谈判文件</w:t>
      </w:r>
      <w:bookmarkEnd w:id="19"/>
      <w:bookmarkEnd w:id="20"/>
    </w:p>
    <w:p>
      <w:pPr>
        <w:spacing w:line="360" w:lineRule="auto"/>
        <w:jc w:val="center"/>
        <w:rPr>
          <w:rFonts w:ascii="宋体" w:hAnsi="宋体" w:eastAsia="宋体" w:cs="宋体"/>
          <w:sz w:val="24"/>
          <w:szCs w:val="24"/>
        </w:rPr>
      </w:pP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8.谈判文件的构成</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（1）竞争性谈判公告；</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（2）供应商须知；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（3）采购需求；</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（4）响应文件格式；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（5）合同文本；</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（6）评审程序和评定成交的标准。</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9.供应商的询问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10.谈判文件的澄清和修改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w:t>
      </w:r>
      <w:r>
        <w:rPr>
          <w:rFonts w:ascii="宋体" w:hAnsi="宋体" w:eastAsia="宋体" w:cs="宋体"/>
          <w:sz w:val="24"/>
          <w:szCs w:val="24"/>
        </w:rPr>
        <w:t>3个工作日前，在原公告发布媒体上发布更正公告</w:t>
      </w:r>
      <w:r>
        <w:rPr>
          <w:rFonts w:hint="eastAsia" w:ascii="宋体" w:hAnsi="宋体" w:eastAsia="宋体" w:cs="宋体"/>
          <w:sz w:val="24"/>
          <w:szCs w:val="24"/>
        </w:rPr>
        <w:t>；不足</w:t>
      </w:r>
      <w:r>
        <w:rPr>
          <w:rFonts w:ascii="宋体" w:hAnsi="宋体" w:eastAsia="宋体" w:cs="宋体"/>
          <w:sz w:val="24"/>
          <w:szCs w:val="24"/>
        </w:rPr>
        <w:t>3个工作日的，应当顺延提交首次响应文件截止</w:t>
      </w:r>
      <w:r>
        <w:rPr>
          <w:rFonts w:hint="eastAsia" w:ascii="宋体" w:hAnsi="宋体" w:eastAsia="宋体" w:cs="宋体"/>
          <w:sz w:val="24"/>
          <w:szCs w:val="24"/>
        </w:rPr>
        <w:t>时间。</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32"/>
        </w:rPr>
        <w:t>10.2采购人和采购代理机构可以视采购具体情况，变更</w:t>
      </w:r>
      <w:r>
        <w:rPr>
          <w:rFonts w:hint="eastAsia" w:ascii="宋体" w:hAnsi="宋体" w:eastAsia="宋体" w:cs="宋体"/>
          <w:sz w:val="24"/>
          <w:szCs w:val="24"/>
        </w:rPr>
        <w:t>首次响应文件提交截止时间</w:t>
      </w:r>
      <w:r>
        <w:rPr>
          <w:rFonts w:hint="eastAsia" w:ascii="宋体" w:hAnsi="宋体" w:eastAsia="宋体" w:cs="宋体"/>
          <w:sz w:val="24"/>
          <w:szCs w:val="32"/>
        </w:rPr>
        <w:t>，并</w:t>
      </w:r>
      <w:r>
        <w:rPr>
          <w:rFonts w:hint="eastAsia" w:ascii="宋体" w:hAnsi="宋体" w:eastAsia="宋体" w:cs="宋体"/>
          <w:sz w:val="24"/>
          <w:szCs w:val="24"/>
        </w:rPr>
        <w:t>在原公告发布媒体上发布更正公告。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10.3谈判文件澄清、答复、修改、补充的内容为谈判文件的组成部分。当谈判文件与谈判文件的澄清、答复、修改、补充通知就同一内容的表述不一致时，以最后发出的文件为准。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10.4响应文件未按谈判文件的澄清、修改后的内容编制的，其响应文件作无效响应处理。</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40"/>
          <w:szCs w:val="40"/>
        </w:rPr>
        <w:t>三、响应文件的编制</w:t>
      </w:r>
    </w:p>
    <w:p>
      <w:pPr>
        <w:spacing w:line="360" w:lineRule="auto"/>
        <w:rPr>
          <w:rFonts w:ascii="宋体" w:hAnsi="宋体" w:eastAsia="宋体" w:cs="宋体"/>
          <w:sz w:val="24"/>
          <w:szCs w:val="24"/>
        </w:rPr>
      </w:pP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11.响应文件的编制原则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供应商必须按照谈判文件的要求编制响应文件，并对其提交的响应文件的真实性、合法性承担法律责任。响应文件必须对谈判文件作出实质性响应。</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12.响应文件的组成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12.1响应文件由资格证明文件、报价商务技术文件两部分组成。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12.1.1资格证明文件：详见“供应商须知前附表”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12.1.2报价商务技术文件：详见“供应商须知前附表”</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13.计量单位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谈判文件已有明确规定的，使用谈判文件规定的计量单位；谈判文件没有规定的，应采用中华人民共和国法定计量单位，货币种类为人民币，否则视同未响应。</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14.竞争性谈判的风险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供应商没有按照谈判文件要求提供全部资料，或者供应商没有对谈判文件在各方面作出实质性响应可能导致其响应文件按无效响应处理，是供应商应当考虑的风险。</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15.竞争性谈判报价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w:t>
      </w:r>
      <w:r>
        <w:rPr>
          <w:rFonts w:hint="eastAsia" w:ascii="Times New Roman" w:hAnsi="宋体" w:eastAsia="宋体" w:cs="宋体"/>
          <w:sz w:val="24"/>
          <w:szCs w:val="24"/>
        </w:rPr>
        <w:t>竞争性谈判</w:t>
      </w:r>
      <w:r>
        <w:rPr>
          <w:rFonts w:hint="eastAsia" w:ascii="宋体" w:hAnsi="宋体" w:eastAsia="宋体" w:cs="宋体"/>
          <w:sz w:val="24"/>
          <w:szCs w:val="24"/>
        </w:rPr>
        <w:t>报价应按谈判文件中“</w:t>
      </w:r>
      <w:r>
        <w:rPr>
          <w:rFonts w:hint="eastAsia" w:ascii="Times New Roman" w:hAnsi="宋体" w:eastAsia="宋体" w:cs="宋体"/>
          <w:sz w:val="24"/>
          <w:szCs w:val="24"/>
        </w:rPr>
        <w:t>竞争性谈判</w:t>
      </w:r>
      <w:r>
        <w:rPr>
          <w:rFonts w:hint="eastAsia" w:ascii="宋体" w:hAnsi="宋体" w:eastAsia="宋体" w:cs="宋体"/>
          <w:sz w:val="24"/>
          <w:szCs w:val="24"/>
        </w:rPr>
        <w:t>报价表”格式填写。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w:t>
      </w:r>
      <w:r>
        <w:rPr>
          <w:rFonts w:hint="eastAsia" w:ascii="Times New Roman" w:hAnsi="宋体" w:eastAsia="宋体" w:cs="宋体"/>
          <w:sz w:val="24"/>
          <w:szCs w:val="24"/>
        </w:rPr>
        <w:t>竞争性谈判</w:t>
      </w:r>
      <w:r>
        <w:rPr>
          <w:rFonts w:hint="eastAsia" w:ascii="宋体" w:hAnsi="宋体" w:eastAsia="宋体" w:cs="宋体"/>
          <w:sz w:val="24"/>
          <w:szCs w:val="24"/>
        </w:rPr>
        <w:t>报价的内容详见“供应商须知前附表”。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w:t>
      </w:r>
      <w:r>
        <w:rPr>
          <w:rFonts w:hint="eastAsia" w:ascii="Times New Roman" w:hAnsi="宋体" w:eastAsia="宋体" w:cs="宋体"/>
          <w:sz w:val="24"/>
          <w:szCs w:val="24"/>
        </w:rPr>
        <w:t>竞争性谈判</w:t>
      </w:r>
      <w:r>
        <w:rPr>
          <w:rFonts w:hint="eastAsia" w:ascii="宋体" w:hAnsi="宋体" w:eastAsia="宋体" w:cs="宋体"/>
          <w:sz w:val="24"/>
          <w:szCs w:val="24"/>
        </w:rPr>
        <w:t>报价要求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15.3.1供应商的</w:t>
      </w:r>
      <w:r>
        <w:rPr>
          <w:rFonts w:hint="eastAsia" w:ascii="Times New Roman" w:hAnsi="宋体" w:eastAsia="宋体" w:cs="宋体"/>
          <w:sz w:val="24"/>
          <w:szCs w:val="24"/>
        </w:rPr>
        <w:t>竞争性谈判</w:t>
      </w:r>
      <w:r>
        <w:rPr>
          <w:rFonts w:hint="eastAsia" w:ascii="宋体" w:hAnsi="宋体" w:eastAsia="宋体" w:cs="宋体"/>
          <w:sz w:val="24"/>
          <w:szCs w:val="24"/>
        </w:rPr>
        <w:t>报价应符合以下要求，否则响应文件按无效响应处理：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（1）供应商必须就“采购需求”中所需</w:t>
      </w:r>
      <w:r>
        <w:rPr>
          <w:rFonts w:hint="eastAsia" w:ascii="Times New Roman" w:hAnsi="宋体" w:eastAsia="宋体" w:cs="宋体"/>
          <w:sz w:val="24"/>
          <w:szCs w:val="24"/>
        </w:rPr>
        <w:t>竞争性谈判</w:t>
      </w:r>
      <w:r>
        <w:rPr>
          <w:rFonts w:hint="eastAsia" w:ascii="宋体" w:hAnsi="宋体" w:eastAsia="宋体" w:cs="宋体"/>
          <w:sz w:val="24"/>
          <w:szCs w:val="24"/>
        </w:rPr>
        <w:t>的每个分标的全部内容分别作完整唯一总价报价，不得存在漏项报价；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（2）供应商必须就所需</w:t>
      </w:r>
      <w:r>
        <w:rPr>
          <w:rFonts w:hint="eastAsia" w:ascii="Times New Roman" w:hAnsi="宋体" w:eastAsia="宋体" w:cs="宋体"/>
          <w:sz w:val="24"/>
          <w:szCs w:val="24"/>
        </w:rPr>
        <w:t>竞争性谈判</w:t>
      </w:r>
      <w:r>
        <w:rPr>
          <w:rFonts w:hint="eastAsia" w:ascii="宋体" w:hAnsi="宋体" w:eastAsia="宋体" w:cs="宋体"/>
          <w:sz w:val="24"/>
          <w:szCs w:val="24"/>
        </w:rPr>
        <w:t>的分标的单项内容作唯一报价。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15.3.2</w:t>
      </w:r>
      <w:r>
        <w:rPr>
          <w:rFonts w:hint="eastAsia" w:ascii="Times New Roman" w:hAnsi="宋体" w:eastAsia="宋体" w:cs="宋体"/>
          <w:sz w:val="24"/>
          <w:szCs w:val="24"/>
        </w:rPr>
        <w:t>竞争性谈判</w:t>
      </w:r>
      <w:r>
        <w:rPr>
          <w:rFonts w:hint="eastAsia" w:ascii="宋体" w:hAnsi="宋体" w:eastAsia="宋体" w:cs="宋体"/>
          <w:sz w:val="24"/>
          <w:szCs w:val="24"/>
        </w:rPr>
        <w:t>报价（包含首次报价、最后报价）超过所参与</w:t>
      </w:r>
      <w:r>
        <w:rPr>
          <w:rFonts w:hint="eastAsia" w:ascii="Times New Roman" w:hAnsi="宋体" w:eastAsia="宋体" w:cs="宋体"/>
          <w:sz w:val="24"/>
          <w:szCs w:val="24"/>
        </w:rPr>
        <w:t>竞争性谈判</w:t>
      </w:r>
      <w:r>
        <w:rPr>
          <w:rFonts w:hint="eastAsia" w:ascii="宋体" w:hAnsi="宋体" w:eastAsia="宋体" w:cs="宋体"/>
          <w:sz w:val="24"/>
          <w:szCs w:val="24"/>
        </w:rPr>
        <w:t>分标规定的采购预算金额或者最高限价的，其响应文件将按无效响应处理。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15.3.3</w:t>
      </w:r>
      <w:r>
        <w:rPr>
          <w:rFonts w:hint="eastAsia" w:ascii="Times New Roman" w:hAnsi="宋体" w:eastAsia="宋体" w:cs="宋体"/>
          <w:sz w:val="24"/>
          <w:szCs w:val="24"/>
        </w:rPr>
        <w:t>竞争性谈判</w:t>
      </w:r>
      <w:r>
        <w:rPr>
          <w:rFonts w:hint="eastAsia" w:ascii="宋体" w:hAnsi="宋体" w:eastAsia="宋体" w:cs="宋体"/>
          <w:sz w:val="24"/>
          <w:szCs w:val="24"/>
        </w:rPr>
        <w:t>报价（包含首次报价、最后报价）超过分项采购预算金额或者最高限价的，其响应文件将作无效处理。</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16.竞争性谈判有效期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16.1</w:t>
      </w:r>
      <w:r>
        <w:rPr>
          <w:rFonts w:hint="eastAsia" w:ascii="Times New Roman" w:hAnsi="宋体" w:eastAsia="宋体" w:cs="宋体"/>
          <w:sz w:val="24"/>
          <w:szCs w:val="24"/>
        </w:rPr>
        <w:t>竞争性谈判</w:t>
      </w:r>
      <w:r>
        <w:rPr>
          <w:rFonts w:hint="eastAsia" w:ascii="宋体" w:hAnsi="宋体" w:eastAsia="宋体" w:cs="宋体"/>
          <w:sz w:val="24"/>
          <w:szCs w:val="24"/>
        </w:rPr>
        <w:t>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16.2</w:t>
      </w:r>
      <w:r>
        <w:rPr>
          <w:rFonts w:hint="eastAsia" w:ascii="Times New Roman" w:hAnsi="宋体" w:eastAsia="宋体" w:cs="宋体"/>
          <w:sz w:val="24"/>
          <w:szCs w:val="24"/>
        </w:rPr>
        <w:t>竞争性谈判</w:t>
      </w:r>
      <w:r>
        <w:rPr>
          <w:rFonts w:hint="eastAsia" w:ascii="宋体" w:hAnsi="宋体" w:eastAsia="宋体" w:cs="宋体"/>
          <w:sz w:val="24"/>
          <w:szCs w:val="24"/>
        </w:rPr>
        <w:t>有效期应由供应商按“供应商须知前附表”规定的期限作出响应。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16.3供应商的响应文件在</w:t>
      </w:r>
      <w:r>
        <w:rPr>
          <w:rFonts w:hint="eastAsia" w:ascii="Times New Roman" w:hAnsi="宋体" w:eastAsia="宋体" w:cs="宋体"/>
          <w:sz w:val="24"/>
          <w:szCs w:val="24"/>
        </w:rPr>
        <w:t>竞争性谈判</w:t>
      </w:r>
      <w:r>
        <w:rPr>
          <w:rFonts w:hint="eastAsia" w:ascii="宋体" w:hAnsi="宋体" w:eastAsia="宋体" w:cs="宋体"/>
          <w:sz w:val="24"/>
          <w:szCs w:val="24"/>
        </w:rPr>
        <w:t>有效期内均保持有效。</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17.谈判保证金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17.1供应商须按“供应商须知前附表”的规定提交谈判保证金。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17.2谈判保证金的退还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未</w:t>
      </w:r>
      <w:r>
        <w:rPr>
          <w:rFonts w:hint="eastAsia" w:ascii="宋体" w:hAnsi="宋体" w:eastAsia="宋体" w:cs="宋体"/>
          <w:spacing w:val="-6"/>
          <w:sz w:val="24"/>
          <w:szCs w:val="24"/>
        </w:rPr>
        <w:t>成交</w:t>
      </w:r>
      <w:r>
        <w:rPr>
          <w:rFonts w:hint="eastAsia" w:ascii="宋体" w:hAnsi="宋体" w:eastAsia="宋体" w:cs="宋体"/>
          <w:sz w:val="24"/>
          <w:szCs w:val="24"/>
        </w:rPr>
        <w:t xml:space="preserve">供应商的谈判保证金自成交通知书发出之日起4个工作日内退还；成交供应商的谈判保证金自签订合同之日起4个工作日内退还。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17.3谈判保证金不计息。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17.4供应商有下列情形之一的，谈判保证金将不予退还：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（1）供应商在提交首次响应文件截止时间后撤回响应文件的，但在提交最后报价之前退出谈判的情况除外；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（2）未按规定提交履约保证金的；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（3）供应商在响应文件中提供虚假材料的；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（4）除因不可抗力或者谈判文件认可的情形以外，成交供应商不与采购人签订合同的；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（5）供应商与采购人、其他供应商或者采购代理机构恶意串通的；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（6）法律法规规定的其他情形。</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18.响应文件编制的要求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18.1供应商应按本谈判文件规定的格式和顺序编制、装订响应文件并标注页码，响应文件内容</w:t>
      </w:r>
      <w:r>
        <w:rPr>
          <w:rFonts w:hint="eastAsia" w:ascii="宋体" w:hAnsi="宋体" w:eastAsia="宋体" w:cs="宋体"/>
          <w:spacing w:val="-6"/>
          <w:sz w:val="24"/>
          <w:szCs w:val="24"/>
        </w:rPr>
        <w:t>不完整、编排混乱导致响应文件被误读、漏读或者查找不到相关内容的，</w:t>
      </w:r>
      <w:r>
        <w:rPr>
          <w:rFonts w:hint="eastAsia" w:ascii="宋体" w:hAnsi="宋体" w:eastAsia="宋体" w:cs="宋体"/>
          <w:sz w:val="24"/>
          <w:szCs w:val="32"/>
        </w:rPr>
        <w:t>由此引发的</w:t>
      </w:r>
      <w:r>
        <w:rPr>
          <w:rFonts w:hint="eastAsia" w:ascii="宋体" w:hAnsi="宋体" w:eastAsia="宋体" w:cs="宋体"/>
          <w:spacing w:val="-6"/>
          <w:sz w:val="24"/>
          <w:szCs w:val="24"/>
        </w:rPr>
        <w:t>后果由供应商承担。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18.2响应文件应按资格证明文件、报价商务技术文件分别编制电子文件，</w:t>
      </w:r>
      <w:r>
        <w:rPr>
          <w:rFonts w:hint="eastAsia" w:ascii="宋体" w:hAnsi="宋体" w:eastAsia="宋体" w:cs="宋体"/>
          <w:sz w:val="24"/>
          <w:szCs w:val="24"/>
          <w:lang w:bidi="ar"/>
        </w:rPr>
        <w:t>并按广西政府采购云平台的要求编制、加密、上传。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w:t>
      </w:r>
      <w:bookmarkStart w:id="21" w:name="_Hlk65832699"/>
      <w:r>
        <w:rPr>
          <w:rFonts w:hint="eastAsia" w:ascii="宋体" w:hAnsi="宋体" w:eastAsia="宋体" w:cs="宋体"/>
          <w:sz w:val="24"/>
          <w:szCs w:val="24"/>
        </w:rPr>
        <w:t>3响应文件须由供应商在规定位置盖公章并签字</w:t>
      </w:r>
      <w:bookmarkStart w:id="22" w:name="_Hlk65832569"/>
      <w:r>
        <w:rPr>
          <w:rFonts w:hint="eastAsia" w:ascii="宋体" w:hAnsi="宋体" w:eastAsia="宋体" w:cs="宋体"/>
          <w:sz w:val="24"/>
          <w:szCs w:val="24"/>
        </w:rPr>
        <w:t>（具体以供应商须知前附表或响应文件格式规定为准）</w:t>
      </w:r>
      <w:bookmarkEnd w:id="21"/>
      <w:bookmarkEnd w:id="22"/>
      <w:r>
        <w:rPr>
          <w:rFonts w:hint="eastAsia" w:ascii="宋体" w:hAnsi="宋体" w:eastAsia="宋体" w:cs="宋体"/>
          <w:sz w:val="24"/>
          <w:szCs w:val="24"/>
        </w:rPr>
        <w:t>，否则其响应文件按无效响应处理。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18.4响应文件中标注的供应商名称应与营业执照（事业单位法人证书、执业许可证、自然人身份证）及公章一致，否则其响应文件按无效响应处理。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sz w:val="32"/>
          <w:szCs w:val="32"/>
        </w:rPr>
        <w:t>19.响应文件的加密、解密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19.1电子响应文件编制完成后，供应商应按广西政府采购云平台的要求进行加密，并在规定时间内解密，否则，由此产生的后果由供应商自行负责。</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20.响应文件的提交</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20.1供应商必须在“供应商须知前附表”规定的时间和地点提交响应文件。</w:t>
      </w:r>
    </w:p>
    <w:p>
      <w:pPr>
        <w:widowControl/>
        <w:spacing w:line="360" w:lineRule="auto"/>
        <w:ind w:firstLine="480" w:firstLineChars="200"/>
        <w:rPr>
          <w:rFonts w:ascii="宋体" w:hAnsi="宋体" w:eastAsia="宋体" w:cs="宋体"/>
          <w:b/>
          <w:sz w:val="24"/>
          <w:szCs w:val="24"/>
          <w:lang w:bidi="ar"/>
        </w:rPr>
      </w:pPr>
      <w:r>
        <w:rPr>
          <w:rFonts w:hint="eastAsia" w:ascii="宋体" w:hAnsi="宋体" w:eastAsia="宋体" w:cs="宋体"/>
          <w:sz w:val="24"/>
          <w:szCs w:val="24"/>
        </w:rPr>
        <w:t>20.</w:t>
      </w:r>
      <w:r>
        <w:rPr>
          <w:rFonts w:ascii="宋体" w:hAnsi="宋体" w:eastAsia="宋体" w:cs="宋体"/>
          <w:sz w:val="24"/>
          <w:szCs w:val="24"/>
        </w:rPr>
        <w:t>2</w:t>
      </w:r>
      <w:r>
        <w:rPr>
          <w:rFonts w:hint="eastAsia" w:ascii="宋体" w:hAnsi="宋体" w:eastAsia="宋体" w:cs="宋体"/>
          <w:sz w:val="24"/>
          <w:szCs w:val="24"/>
          <w:lang w:bidi="ar"/>
        </w:rPr>
        <w:t>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宋体" w:hAnsi="宋体" w:eastAsia="宋体" w:cs="宋体"/>
          <w:b/>
          <w:sz w:val="24"/>
          <w:szCs w:val="24"/>
          <w:lang w:bidi="ar"/>
        </w:rPr>
        <w:t>供应商在广西政府采购云平台提交电子版响应文件时，请填写参加远程开标活动经办人联系方式。</w:t>
      </w:r>
    </w:p>
    <w:p>
      <w:pPr>
        <w:spacing w:line="360" w:lineRule="auto"/>
        <w:ind w:firstLine="480" w:firstLineChars="200"/>
        <w:jc w:val="left"/>
        <w:outlineLvl w:val="4"/>
        <w:rPr>
          <w:rFonts w:ascii="宋体" w:hAnsi="宋体" w:eastAsia="宋体" w:cs="宋体"/>
          <w:bCs/>
          <w:sz w:val="24"/>
          <w:szCs w:val="24"/>
        </w:rPr>
      </w:pPr>
      <w:r>
        <w:rPr>
          <w:rFonts w:hint="eastAsia" w:ascii="宋体" w:hAnsi="宋体" w:eastAsia="宋体" w:cs="宋体"/>
          <w:bCs/>
          <w:sz w:val="24"/>
          <w:szCs w:val="24"/>
        </w:rPr>
        <w:t>20.</w:t>
      </w:r>
      <w:r>
        <w:rPr>
          <w:rFonts w:ascii="宋体" w:hAnsi="宋体" w:eastAsia="宋体" w:cs="宋体"/>
          <w:bCs/>
          <w:sz w:val="24"/>
          <w:szCs w:val="24"/>
        </w:rPr>
        <w:t>3</w:t>
      </w:r>
      <w:r>
        <w:rPr>
          <w:rFonts w:hint="eastAsia" w:ascii="宋体" w:hAnsi="宋体" w:eastAsia="宋体" w:cs="宋体"/>
          <w:bCs/>
          <w:sz w:val="24"/>
          <w:szCs w:val="24"/>
        </w:rPr>
        <w:t>未在规定时间内上传或者未按广西政府采购云平台的要求编制、加密的电子响应文件，广西政府采购云平台将拒收。</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4</w:t>
      </w:r>
      <w:r>
        <w:rPr>
          <w:rFonts w:hint="eastAsia" w:ascii="宋体" w:hAnsi="宋体" w:eastAsia="宋体" w:cs="宋体"/>
          <w:sz w:val="24"/>
          <w:szCs w:val="24"/>
        </w:rPr>
        <w:t>电子响应文件提交方式见“竞争性谈判公告”中“四、响应文件提交”。</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21.首次响应文件的补充、修改与撤回</w:t>
      </w:r>
    </w:p>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22.首次响应文件的退回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23.截止时间后的撤回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23.1供应商在首次响应文件提交截止时间后书面通知采购人、采购代理机构书面撤回响应文件的，将根据本须知正文17.4的规定不予退还其谈判保证金。</w:t>
      </w:r>
    </w:p>
    <w:p>
      <w:pPr>
        <w:spacing w:line="360" w:lineRule="auto"/>
        <w:ind w:firstLine="480" w:firstLineChars="200"/>
        <w:rPr>
          <w:rFonts w:ascii="宋体" w:hAnsi="宋体" w:eastAsia="宋体" w:cs="宋体"/>
          <w:sz w:val="24"/>
          <w:szCs w:val="24"/>
        </w:rPr>
      </w:pPr>
    </w:p>
    <w:p>
      <w:pPr>
        <w:spacing w:line="360" w:lineRule="auto"/>
        <w:jc w:val="center"/>
        <w:rPr>
          <w:rFonts w:ascii="宋体" w:hAnsi="宋体" w:eastAsia="宋体" w:cs="宋体"/>
          <w:b/>
          <w:sz w:val="40"/>
          <w:szCs w:val="40"/>
        </w:rPr>
      </w:pPr>
      <w:r>
        <w:rPr>
          <w:rFonts w:hint="eastAsia" w:ascii="宋体" w:hAnsi="宋体" w:eastAsia="宋体" w:cs="宋体"/>
          <w:b/>
          <w:sz w:val="40"/>
          <w:szCs w:val="40"/>
        </w:rPr>
        <w:t>四、评审及谈判</w:t>
      </w:r>
    </w:p>
    <w:p>
      <w:pPr>
        <w:spacing w:line="360" w:lineRule="auto"/>
        <w:ind w:firstLine="420"/>
        <w:rPr>
          <w:rFonts w:ascii="宋体" w:hAnsi="宋体" w:eastAsia="宋体" w:cs="宋体"/>
          <w:sz w:val="24"/>
          <w:szCs w:val="24"/>
        </w:rPr>
      </w:pP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24.谈判小组成立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25.首次响应文件的开启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25.1首次响应文件由谈判小组或者采购代理机构在“供应商须知前附表”规定的时间开启。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b/>
          <w:bCs/>
          <w:sz w:val="24"/>
          <w:szCs w:val="24"/>
        </w:rPr>
        <w:t>响应文件未按时解密的，视为响应文件无效。</w:t>
      </w:r>
      <w:r>
        <w:rPr>
          <w:rFonts w:hint="eastAsia" w:ascii="宋体" w:hAnsi="宋体" w:eastAsia="宋体" w:cs="宋体"/>
          <w:sz w:val="24"/>
          <w:szCs w:val="24"/>
        </w:rPr>
        <w:t>（解密异常情况处理：详见本章26.2电子交易活动的中止。）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25.3成功解密响应文件的供应商不足3家的，不得谈判。</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26.评审程序和评定成交的标准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26.1谈判小组按照“第四章  评审程序和评定成交的标准”规定的评审程序对响应文件进行评审，并按照评定成交的标准推荐成交候选供应商。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26.2电子交易活动的中止。采购过程中出现以下情形，导致电子交易平台无法正常运行，或者无法保证电子交易的公平、公正和安全时，采购机构可中止电子交易活动：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（1）电子交易平台发生故障而无法登录访问的；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（4）病毒发作导致不能进行正常操作的；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）其他无法保证电子交易的公平、公正和安全的情况。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27.确定成交供应商及结果公告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27.2采购代理机构应当在成交供应商确定后2个工作日内，在省级以上财政部门指定的媒体上公告成交结果，同时向成交供应商发出成交通知书。</w:t>
      </w:r>
      <w:r>
        <w:rPr>
          <w:rFonts w:hint="eastAsia" w:ascii="宋体" w:hAnsi="宋体" w:eastAsia="宋体" w:cs="宋体"/>
          <w:b/>
          <w:kern w:val="0"/>
          <w:sz w:val="24"/>
          <w:szCs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kern w:val="0"/>
          <w:sz w:val="24"/>
          <w:szCs w:val="24"/>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sz w:val="24"/>
          <w:szCs w:val="24"/>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27.3出现下列情形之一的，采购人或者采购代理机构应当终止竞争性谈判采购活动，发布项目终止公告并说明原因，重新开展采购活动：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（一）因情况变化，不再符合规定的竞争性谈判采购方式适用情形的；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（二）出现影响采购公正的违法、违规行为的；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（三）在采购过程中符合竞争要求的供应商或者报价未超过采购预算的供应商不足3家的，但“第四章 评审程序和评定成交的标准”第3.7条规定的情形除外。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27.4在采购活动中因重大变故，采购任务取消的，采购人或者采购代理机构应当终止采购活动，通知所有参加采购活动的供应商。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27.5</w:t>
      </w:r>
      <w:r>
        <w:rPr>
          <w:rFonts w:hint="eastAsia" w:ascii="宋体" w:hAnsi="宋体" w:eastAsia="宋体" w:cs="宋体"/>
          <w:sz w:val="24"/>
          <w:szCs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除因不可抗力外，成交供应商不与采购人签订合同的，除不予退还其谈判保证金外，若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28.履约保证金</w:t>
      </w:r>
    </w:p>
    <w:p>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24"/>
        </w:rPr>
        <w:t>28.1履约保证金的金额、提交方式、退付的时间和条件详见 “供应商须知前附表”。成交供应商未按规定提交履约保证金的，视为拒绝</w:t>
      </w:r>
      <w:r>
        <w:rPr>
          <w:rFonts w:hint="eastAsia" w:ascii="宋体" w:hAnsi="宋体" w:eastAsia="宋体" w:cs="宋体"/>
          <w:sz w:val="24"/>
          <w:szCs w:val="32"/>
        </w:rPr>
        <w:t>与采购人</w:t>
      </w:r>
      <w:r>
        <w:rPr>
          <w:rFonts w:hint="eastAsia" w:ascii="宋体" w:hAnsi="宋体" w:eastAsia="宋体" w:cs="宋体"/>
          <w:sz w:val="24"/>
          <w:szCs w:val="24"/>
        </w:rPr>
        <w:t>签订合同。</w:t>
      </w:r>
    </w:p>
    <w:p>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28.2在履约保证金退还日期前，若成交供应商的开户名称、开户银行、帐号有变动的，请以书面形式通知履约保证金收取单位，否则由此产生的后果由成交供应商自负。</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29.签订合同</w:t>
      </w:r>
    </w:p>
    <w:p>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29.2 签订合同时间：按成交通知书的规定与采购人签订政府采购合同（最长不能超过25日）。</w:t>
      </w:r>
    </w:p>
    <w:p>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29.3成交供应商拒绝与采购人签订合同的，按照本文件之《供应商须知正文》第27.5条的规定执行。</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30.政府采购合同公告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31.询问、质疑和投诉</w:t>
      </w:r>
    </w:p>
    <w:p>
      <w:pPr>
        <w:spacing w:line="360" w:lineRule="auto"/>
        <w:ind w:firstLine="420"/>
        <w:rPr>
          <w:rFonts w:ascii="宋体" w:hAnsi="宋体" w:eastAsia="宋体" w:cs="宋体"/>
          <w:sz w:val="24"/>
          <w:szCs w:val="24"/>
        </w:rPr>
      </w:pPr>
      <w:r>
        <w:rPr>
          <w:rFonts w:hint="eastAsia" w:ascii="宋体" w:hAnsi="宋体" w:eastAsia="宋体" w:cs="宋体"/>
          <w:sz w:val="24"/>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 w:val="24"/>
          <w:szCs w:val="24"/>
        </w:rPr>
        <w:t>但答复的内容不得涉及商业秘密。</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sz w:val="24"/>
          <w:szCs w:val="32"/>
          <w:shd w:val="clear" w:color="auto" w:fill="FFFFFF"/>
        </w:rPr>
        <w:t>接收质疑函的方式、联系部门、联系电话和通讯地址等信息</w:t>
      </w:r>
      <w:r>
        <w:rPr>
          <w:rFonts w:hint="eastAsia" w:ascii="宋体" w:hAnsi="宋体" w:eastAsia="宋体" w:cs="宋体"/>
          <w:sz w:val="24"/>
          <w:szCs w:val="24"/>
        </w:rPr>
        <w:t>详见“供应商须知前附表”</w:t>
      </w:r>
      <w:r>
        <w:rPr>
          <w:rFonts w:hint="eastAsia" w:ascii="宋体" w:hAnsi="宋体" w:eastAsia="宋体" w:cs="宋体"/>
          <w:sz w:val="24"/>
          <w:szCs w:val="32"/>
        </w:rPr>
        <w:t>。供应商应当在法定质疑期内一次性提出针对同一采购程序环节的质疑。具体质疑起算时间如下：</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（1）对可以质疑的谈判文件提出质疑的，为获取谈判文件之日；</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（2）对采购过程提出质疑的，为各采购程序环节结束之日；</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（3）对成交结果提出质疑的，为成交结果公告期限届满之日。</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sz w:val="24"/>
          <w:szCs w:val="32"/>
        </w:rPr>
        <w:t>（质疑函格式后附）</w:t>
      </w:r>
      <w:r>
        <w:rPr>
          <w:rFonts w:hint="eastAsia" w:ascii="宋体" w:hAnsi="宋体" w:eastAsia="宋体" w:cs="宋体"/>
          <w:sz w:val="24"/>
          <w:szCs w:val="32"/>
        </w:rPr>
        <w:t>：</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（1）供应商的姓名或者名称、地址、邮编、联系人及联系电话；</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（2）质疑项目的名称、编号；</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（3）具体、明确的质疑事项和与质疑事项相关的请求；</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（4）事实依据；</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（5）必要的法律依据；</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（6）提出质疑的日期。</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质疑答复导致成交结果改变的，采购人或者采购代理机构应当将有关情况书面报告本级财政部门。</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32"/>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rPr>
        <w:t>32.其他内容</w:t>
      </w:r>
    </w:p>
    <w:p>
      <w:pPr>
        <w:tabs>
          <w:tab w:val="left" w:pos="2835"/>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32.2代理服务费收费计算标准：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eastAsia="宋体" w:cs="宋体"/>
                <w:sz w:val="24"/>
                <w:szCs w:val="24"/>
              </w:rPr>
            </w:pPr>
            <w:r>
              <w:rPr>
                <w:rFonts w:hint="eastAsia" w:ascii="宋体" w:hAnsi="宋体" w:eastAsia="宋体" w:cs="宋体"/>
                <w:sz w:val="24"/>
                <w:szCs w:val="24"/>
              </w:rPr>
              <w:t xml:space="preserve">               费率</w:t>
            </w:r>
          </w:p>
          <w:p>
            <w:pPr>
              <w:spacing w:line="360" w:lineRule="auto"/>
              <w:rPr>
                <w:rFonts w:ascii="宋体" w:hAnsi="宋体" w:eastAsia="宋体" w:cs="宋体"/>
                <w:sz w:val="24"/>
                <w:szCs w:val="24"/>
              </w:rPr>
            </w:pPr>
            <w:r>
              <w:rPr>
                <w:rFonts w:hint="eastAsia" w:ascii="宋体" w:hAnsi="宋体" w:eastAsia="宋体" w:cs="宋体"/>
                <w:sz w:val="24"/>
                <w:szCs w:val="24"/>
              </w:rPr>
              <w:t>金额（人民币）</w:t>
            </w:r>
          </w:p>
        </w:tc>
        <w:tc>
          <w:tcPr>
            <w:tcW w:w="1659" w:type="dxa"/>
            <w:vAlign w:val="center"/>
          </w:tcPr>
          <w:p>
            <w:pPr>
              <w:spacing w:line="360" w:lineRule="auto"/>
              <w:ind w:firstLine="120" w:firstLineChars="50"/>
              <w:jc w:val="center"/>
              <w:rPr>
                <w:rFonts w:ascii="宋体" w:hAnsi="宋体" w:eastAsia="宋体" w:cs="宋体"/>
                <w:sz w:val="24"/>
                <w:szCs w:val="24"/>
              </w:rPr>
            </w:pPr>
            <w:r>
              <w:rPr>
                <w:rFonts w:hint="eastAsia" w:ascii="宋体" w:hAnsi="宋体" w:eastAsia="宋体" w:cs="宋体"/>
                <w:sz w:val="24"/>
                <w:szCs w:val="24"/>
              </w:rPr>
              <w:t>货物类</w:t>
            </w:r>
          </w:p>
        </w:tc>
        <w:tc>
          <w:tcPr>
            <w:tcW w:w="153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服务类</w:t>
            </w:r>
          </w:p>
        </w:tc>
        <w:tc>
          <w:tcPr>
            <w:tcW w:w="154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100万元以下</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100～500万元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500～1000万元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0.45%</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1000～5000万元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0.25%</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5000万元～1亿元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0.25%</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0.1%</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1～5亿元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0.05%</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0.05%</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sz w:val="24"/>
                <w:szCs w:val="24"/>
              </w:rPr>
            </w:pPr>
            <w:r>
              <w:rPr>
                <w:rFonts w:hint="eastAsia" w:ascii="宋体" w:hAnsi="宋体" w:eastAsia="宋体" w:cs="宋体"/>
                <w:sz w:val="24"/>
                <w:szCs w:val="24"/>
              </w:rPr>
              <w:t>5～10亿元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0.035%</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0.035%</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10～50亿元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0.008%</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0.008%</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50～100亿元</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0.006%</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0.006%</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100亿元以上</w:t>
            </w:r>
          </w:p>
        </w:tc>
        <w:tc>
          <w:tcPr>
            <w:tcW w:w="1659"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0.004%</w:t>
            </w:r>
          </w:p>
        </w:tc>
        <w:tc>
          <w:tcPr>
            <w:tcW w:w="1532"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0.004%</w:t>
            </w:r>
          </w:p>
        </w:tc>
        <w:tc>
          <w:tcPr>
            <w:tcW w:w="1546" w:type="dxa"/>
          </w:tcPr>
          <w:p>
            <w:pPr>
              <w:spacing w:line="460" w:lineRule="exact"/>
              <w:jc w:val="center"/>
              <w:rPr>
                <w:rFonts w:ascii="宋体" w:hAnsi="宋体" w:eastAsia="宋体" w:cs="宋体"/>
                <w:kern w:val="0"/>
                <w:sz w:val="24"/>
                <w:szCs w:val="24"/>
              </w:rPr>
            </w:pPr>
            <w:r>
              <w:rPr>
                <w:rFonts w:hint="eastAsia" w:ascii="宋体" w:hAnsi="宋体" w:eastAsia="宋体" w:cs="宋体"/>
                <w:kern w:val="0"/>
                <w:sz w:val="24"/>
                <w:szCs w:val="24"/>
              </w:rPr>
              <w:t>0.004%</w:t>
            </w:r>
          </w:p>
        </w:tc>
      </w:tr>
    </w:tbl>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注：</w:t>
      </w:r>
      <w:r>
        <w:rPr>
          <w:rFonts w:ascii="楷体" w:hAnsi="楷体" w:eastAsia="楷体" w:cs="宋体"/>
          <w:sz w:val="24"/>
          <w:szCs w:val="24"/>
        </w:rPr>
        <w:t xml:space="preserve"> </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w:t>
      </w:r>
      <w:r>
        <w:rPr>
          <w:rFonts w:ascii="楷体" w:hAnsi="楷体" w:eastAsia="楷体" w:cs="宋体"/>
          <w:sz w:val="24"/>
          <w:szCs w:val="24"/>
        </w:rPr>
        <w:t>1）按本表费率计算的收费为采购代理的收费基准价格；</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w:t>
      </w:r>
      <w:r>
        <w:rPr>
          <w:rFonts w:ascii="楷体" w:hAnsi="楷体" w:eastAsia="楷体" w:cs="宋体"/>
          <w:sz w:val="24"/>
          <w:szCs w:val="24"/>
        </w:rPr>
        <w:t>2）采购代理收费按差额定率累进法计算。</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例如：某货物采购代理业务成交金额或者暂定价为</w:t>
      </w:r>
      <w:r>
        <w:rPr>
          <w:rFonts w:ascii="楷体" w:hAnsi="楷体" w:eastAsia="楷体" w:cs="宋体"/>
          <w:sz w:val="24"/>
          <w:szCs w:val="24"/>
        </w:rPr>
        <w:t>150万元，计算采购代理收费额如下：</w:t>
      </w:r>
    </w:p>
    <w:p>
      <w:pPr>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 xml:space="preserve">100 </w:t>
      </w:r>
      <w:r>
        <w:rPr>
          <w:rFonts w:hint="eastAsia" w:ascii="楷体" w:hAnsi="楷体" w:eastAsia="楷体" w:cs="宋体"/>
          <w:sz w:val="24"/>
          <w:szCs w:val="24"/>
        </w:rPr>
        <w:t>万元</w:t>
      </w:r>
      <w:r>
        <w:rPr>
          <w:rFonts w:ascii="楷体" w:hAnsi="楷体" w:eastAsia="楷体" w:cs="宋体"/>
          <w:sz w:val="24"/>
          <w:szCs w:val="24"/>
        </w:rPr>
        <w:t xml:space="preserve"> </w:t>
      </w:r>
      <w:r>
        <w:rPr>
          <w:rFonts w:hint="eastAsia" w:ascii="楷体" w:hAnsi="楷体" w:eastAsia="楷体" w:cs="宋体"/>
          <w:sz w:val="24"/>
          <w:szCs w:val="24"/>
        </w:rPr>
        <w:t>×</w:t>
      </w:r>
      <w:r>
        <w:rPr>
          <w:rFonts w:ascii="楷体" w:hAnsi="楷体" w:eastAsia="楷体" w:cs="宋体"/>
          <w:sz w:val="24"/>
          <w:szCs w:val="24"/>
        </w:rPr>
        <w:t xml:space="preserve">l.5 %＝ 1.5 </w:t>
      </w:r>
      <w:r>
        <w:rPr>
          <w:rFonts w:hint="eastAsia" w:ascii="楷体" w:hAnsi="楷体" w:eastAsia="楷体" w:cs="宋体"/>
          <w:sz w:val="24"/>
          <w:szCs w:val="24"/>
        </w:rPr>
        <w:t>万元</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w:t>
      </w:r>
      <w:r>
        <w:rPr>
          <w:rFonts w:ascii="楷体" w:hAnsi="楷体" w:eastAsia="楷体" w:cs="宋体"/>
          <w:sz w:val="24"/>
          <w:szCs w:val="24"/>
        </w:rPr>
        <w:t xml:space="preserve"> 150 </w:t>
      </w:r>
      <w:r>
        <w:rPr>
          <w:rFonts w:hint="eastAsia" w:ascii="楷体" w:hAnsi="楷体" w:eastAsia="楷体" w:cs="宋体"/>
          <w:sz w:val="24"/>
          <w:szCs w:val="24"/>
        </w:rPr>
        <w:t>－</w:t>
      </w:r>
      <w:r>
        <w:rPr>
          <w:rFonts w:ascii="楷体" w:hAnsi="楷体" w:eastAsia="楷体" w:cs="宋体"/>
          <w:sz w:val="24"/>
          <w:szCs w:val="24"/>
        </w:rPr>
        <w:t xml:space="preserve"> 100 </w:t>
      </w:r>
      <w:r>
        <w:rPr>
          <w:rFonts w:hint="eastAsia" w:ascii="楷体" w:hAnsi="楷体" w:eastAsia="楷体" w:cs="宋体"/>
          <w:sz w:val="24"/>
          <w:szCs w:val="24"/>
        </w:rPr>
        <w:t>）万元</w:t>
      </w:r>
      <w:r>
        <w:rPr>
          <w:rFonts w:ascii="楷体" w:hAnsi="楷体" w:eastAsia="楷体" w:cs="宋体"/>
          <w:sz w:val="24"/>
          <w:szCs w:val="24"/>
        </w:rPr>
        <w:t xml:space="preserve"> </w:t>
      </w:r>
      <w:r>
        <w:rPr>
          <w:rFonts w:hint="eastAsia" w:ascii="楷体" w:hAnsi="楷体" w:eastAsia="楷体" w:cs="宋体"/>
          <w:sz w:val="24"/>
          <w:szCs w:val="24"/>
        </w:rPr>
        <w:t>×</w:t>
      </w:r>
      <w:r>
        <w:rPr>
          <w:rFonts w:ascii="楷体" w:hAnsi="楷体" w:eastAsia="楷体" w:cs="宋体"/>
          <w:sz w:val="24"/>
          <w:szCs w:val="24"/>
        </w:rPr>
        <w:t xml:space="preserve">1.1%＝ 0.55 </w:t>
      </w:r>
      <w:r>
        <w:rPr>
          <w:rFonts w:hint="eastAsia" w:ascii="楷体" w:hAnsi="楷体" w:eastAsia="楷体" w:cs="宋体"/>
          <w:sz w:val="24"/>
          <w:szCs w:val="24"/>
        </w:rPr>
        <w:t>万元</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合计收费＝</w:t>
      </w:r>
      <w:r>
        <w:rPr>
          <w:rFonts w:ascii="楷体" w:hAnsi="楷体" w:eastAsia="楷体" w:cs="宋体"/>
          <w:sz w:val="24"/>
          <w:szCs w:val="24"/>
        </w:rPr>
        <w:t xml:space="preserve"> 1.5 </w:t>
      </w:r>
      <w:r>
        <w:rPr>
          <w:rFonts w:hint="eastAsia" w:ascii="楷体" w:hAnsi="楷体" w:eastAsia="楷体" w:cs="宋体"/>
          <w:sz w:val="24"/>
          <w:szCs w:val="24"/>
        </w:rPr>
        <w:t>＋</w:t>
      </w:r>
      <w:r>
        <w:rPr>
          <w:rFonts w:ascii="楷体" w:hAnsi="楷体" w:eastAsia="楷体" w:cs="宋体"/>
          <w:sz w:val="24"/>
          <w:szCs w:val="24"/>
        </w:rPr>
        <w:t xml:space="preserve"> 0.55＝ 2.05 </w:t>
      </w:r>
      <w:r>
        <w:rPr>
          <w:rFonts w:hint="eastAsia" w:ascii="楷体" w:hAnsi="楷体" w:eastAsia="楷体" w:cs="宋体"/>
          <w:sz w:val="24"/>
          <w:szCs w:val="24"/>
        </w:rPr>
        <w:t>（万元）</w:t>
      </w:r>
    </w:p>
    <w:p>
      <w:pPr>
        <w:spacing w:line="360" w:lineRule="auto"/>
        <w:ind w:firstLine="482" w:firstLineChars="200"/>
        <w:contextualSpacing/>
        <w:rPr>
          <w:rFonts w:ascii="宋体" w:hAnsi="宋体" w:eastAsia="宋体" w:cs="宋体"/>
          <w:b/>
          <w:bCs/>
          <w:sz w:val="24"/>
          <w:szCs w:val="24"/>
        </w:rPr>
      </w:pPr>
      <w:r>
        <w:rPr>
          <w:rFonts w:hint="eastAsia" w:ascii="宋体" w:hAnsi="宋体" w:eastAsia="宋体" w:cs="宋体"/>
          <w:b/>
          <w:bCs/>
          <w:sz w:val="24"/>
          <w:szCs w:val="24"/>
        </w:rPr>
        <w:t>33.需要补充的其他内容</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33.1本谈判文件解释规则详见“供应商须知前附表”。</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kern w:val="0"/>
          <w:sz w:val="24"/>
          <w:szCs w:val="24"/>
        </w:rPr>
        <w:t>33.2 其他事</w:t>
      </w:r>
      <w:r>
        <w:rPr>
          <w:rFonts w:hint="eastAsia" w:ascii="宋体" w:hAnsi="宋体" w:eastAsia="宋体" w:cs="宋体"/>
          <w:sz w:val="24"/>
          <w:szCs w:val="24"/>
        </w:rPr>
        <w:t>项详见“供应商须知前附表”。</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33.3</w:t>
      </w:r>
      <w:bookmarkStart w:id="23" w:name="_Hlk65857140"/>
      <w:r>
        <w:rPr>
          <w:rFonts w:hint="eastAsia" w:ascii="宋体" w:hAnsi="宋体" w:eastAsia="宋体" w:cs="宋体"/>
          <w:kern w:val="0"/>
          <w:sz w:val="24"/>
          <w:szCs w:val="24"/>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（1）在货物采购项目中，货物由中小企业制造，即货物由中小企业生产且使用该中小企业商号或者注册商标，不对其中涉及的工程承建商和服务的承接商作出要求；</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（2）在工程采购项目中，工程由中小企业承建，即工程施工单位为中小企业，不对其中涉及的货物的制造商和服务的承接商作出要求；</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依据本谈判文件规定享受扶持政策获得政府采购合同的，小微企业不得将合同分包给大中型企业，中型企业不得将合同分包给大型企业。</w:t>
      </w:r>
      <w:bookmarkEnd w:id="23"/>
    </w:p>
    <w:p>
      <w:pPr>
        <w:rPr>
          <w:rFonts w:ascii="宋体" w:hAnsi="宋体" w:eastAsia="宋体" w:cs="宋体"/>
          <w:b/>
          <w:bCs/>
          <w:kern w:val="44"/>
          <w:sz w:val="44"/>
          <w:szCs w:val="44"/>
        </w:rPr>
      </w:pPr>
      <w:r>
        <w:rPr>
          <w:rFonts w:hint="eastAsia" w:ascii="宋体" w:hAnsi="宋体" w:eastAsia="宋体" w:cs="宋体"/>
          <w:b/>
          <w:bCs/>
          <w:kern w:val="44"/>
          <w:sz w:val="44"/>
          <w:szCs w:val="44"/>
        </w:rPr>
        <w:br w:type="page"/>
      </w:r>
    </w:p>
    <w:p>
      <w:pPr>
        <w:keepNext/>
        <w:keepLines/>
        <w:spacing w:line="360" w:lineRule="auto"/>
        <w:jc w:val="center"/>
        <w:outlineLvl w:val="0"/>
        <w:rPr>
          <w:rFonts w:ascii="宋体" w:hAnsi="宋体" w:eastAsia="宋体" w:cs="宋体"/>
          <w:b/>
          <w:bCs/>
          <w:kern w:val="44"/>
          <w:sz w:val="32"/>
          <w:szCs w:val="32"/>
        </w:rPr>
      </w:pPr>
      <w:bookmarkStart w:id="24" w:name="_Toc74322010"/>
      <w:r>
        <w:rPr>
          <w:rFonts w:hint="eastAsia" w:ascii="宋体" w:hAnsi="宋体" w:eastAsia="宋体" w:cs="宋体"/>
          <w:b/>
          <w:bCs/>
          <w:kern w:val="44"/>
          <w:sz w:val="44"/>
          <w:szCs w:val="44"/>
        </w:rPr>
        <w:t>第三章 采购需求</w:t>
      </w:r>
      <w:bookmarkEnd w:id="24"/>
    </w:p>
    <w:p>
      <w:pPr>
        <w:spacing w:line="360" w:lineRule="auto"/>
        <w:jc w:val="left"/>
        <w:rPr>
          <w:rFonts w:ascii="宋体" w:hAnsi="宋体" w:eastAsia="宋体" w:cs="宋体"/>
          <w:bCs/>
          <w:sz w:val="24"/>
          <w:szCs w:val="24"/>
        </w:rPr>
      </w:pPr>
      <w:r>
        <w:rPr>
          <w:rFonts w:hint="eastAsia" w:ascii="宋体" w:hAnsi="宋体" w:eastAsia="宋体" w:cs="宋体"/>
          <w:bCs/>
          <w:sz w:val="24"/>
          <w:szCs w:val="24"/>
        </w:rPr>
        <w:t>说明：</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hint="eastAsia" w:ascii="宋体" w:hAnsi="宋体" w:eastAsia="宋体" w:cs="宋体"/>
          <w:sz w:val="24"/>
          <w:szCs w:val="24"/>
        </w:rPr>
        <w:t>.</w:t>
      </w:r>
      <w:r>
        <w:rPr>
          <w:rFonts w:ascii="Times New Roman" w:hAnsi="Times New Roman" w:eastAsia="宋体" w:cs="Times New Roman"/>
          <w:bCs/>
          <w:sz w:val="24"/>
          <w:szCs w:val="24"/>
        </w:rPr>
        <w:t>采购需求中如出现品牌、型号或者生产厂家等均仅起参考作用，不属于指定品牌、型号或者生产厂家的情形，</w:t>
      </w:r>
      <w:r>
        <w:rPr>
          <w:rFonts w:hint="eastAsia" w:ascii="Times New Roman" w:hAnsi="Times New Roman" w:eastAsia="宋体" w:cs="Times New Roman"/>
          <w:bCs/>
          <w:sz w:val="24"/>
          <w:szCs w:val="24"/>
        </w:rPr>
        <w:t>供应商</w:t>
      </w:r>
      <w:r>
        <w:rPr>
          <w:rFonts w:ascii="Times New Roman" w:hAnsi="Times New Roman" w:eastAsia="宋体" w:cs="Times New Roman"/>
          <w:bCs/>
          <w:sz w:val="24"/>
          <w:szCs w:val="24"/>
        </w:rPr>
        <w:t>可参照或者选用其他相当的品牌、型号或者生产供应商替代。但</w:t>
      </w:r>
      <w:r>
        <w:rPr>
          <w:rFonts w:hint="eastAsia" w:ascii="Times New Roman" w:hAnsi="Times New Roman" w:eastAsia="宋体" w:cs="Times New Roman"/>
          <w:bCs/>
          <w:sz w:val="24"/>
          <w:szCs w:val="24"/>
        </w:rPr>
        <w:t>供应商提供</w:t>
      </w:r>
      <w:r>
        <w:rPr>
          <w:rFonts w:ascii="Times New Roman" w:hAnsi="Times New Roman" w:eastAsia="宋体" w:cs="Times New Roman"/>
          <w:bCs/>
          <w:sz w:val="24"/>
          <w:szCs w:val="24"/>
        </w:rPr>
        <w:t>的产品实质上应相当于或优于本</w:t>
      </w:r>
      <w:r>
        <w:rPr>
          <w:rFonts w:hint="eastAsia" w:ascii="Times New Roman" w:hAnsi="Times New Roman" w:eastAsia="宋体" w:cs="Times New Roman"/>
          <w:bCs/>
          <w:sz w:val="24"/>
          <w:szCs w:val="24"/>
        </w:rPr>
        <w:t>《采购</w:t>
      </w:r>
      <w:r>
        <w:rPr>
          <w:rFonts w:ascii="Times New Roman" w:hAnsi="Times New Roman" w:eastAsia="宋体" w:cs="Times New Roman"/>
          <w:bCs/>
          <w:sz w:val="24"/>
          <w:szCs w:val="24"/>
        </w:rPr>
        <w:t>需求</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中的技术要求。</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hint="eastAsia" w:ascii="宋体" w:hAnsi="宋体" w:eastAsia="宋体" w:cs="宋体"/>
          <w:sz w:val="24"/>
          <w:szCs w:val="24"/>
        </w:rPr>
        <w:t>.</w:t>
      </w:r>
      <w:r>
        <w:rPr>
          <w:rFonts w:ascii="Times New Roman" w:hAnsi="Times New Roman" w:eastAsia="宋体" w:cs="Times New Roman"/>
          <w:bCs/>
          <w:sz w:val="24"/>
          <w:szCs w:val="24"/>
        </w:rPr>
        <w:t>凡在“技术要求”中表述为“标配”或“标准配置”的设备，</w:t>
      </w:r>
      <w:r>
        <w:rPr>
          <w:rFonts w:hint="eastAsia" w:ascii="Times New Roman" w:hAnsi="Times New Roman" w:eastAsia="宋体" w:cs="Times New Roman"/>
          <w:bCs/>
          <w:sz w:val="24"/>
          <w:szCs w:val="24"/>
        </w:rPr>
        <w:t>供应商</w:t>
      </w:r>
      <w:r>
        <w:rPr>
          <w:rFonts w:ascii="Times New Roman" w:hAnsi="Times New Roman" w:eastAsia="宋体" w:cs="Times New Roman"/>
          <w:bCs/>
          <w:sz w:val="24"/>
          <w:szCs w:val="24"/>
        </w:rPr>
        <w:t>应在</w:t>
      </w:r>
      <w:r>
        <w:rPr>
          <w:rFonts w:hint="eastAsia" w:ascii="宋体" w:hAnsi="宋体" w:eastAsia="宋体" w:cs="宋体"/>
          <w:sz w:val="24"/>
          <w:szCs w:val="24"/>
          <w:lang w:bidi="ar"/>
        </w:rPr>
        <w:t>竞争性谈判</w:t>
      </w:r>
      <w:r>
        <w:rPr>
          <w:rFonts w:ascii="Times New Roman" w:hAnsi="Times New Roman" w:eastAsia="宋体" w:cs="Times New Roman"/>
          <w:bCs/>
          <w:sz w:val="24"/>
          <w:szCs w:val="24"/>
        </w:rPr>
        <w:t>设备性能配置清单中将其标配参数详细列明。</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w:t>
      </w:r>
      <w:r>
        <w:rPr>
          <w:rFonts w:hint="eastAsia" w:ascii="宋体" w:hAnsi="宋体" w:eastAsia="宋体" w:cs="宋体"/>
          <w:sz w:val="24"/>
          <w:szCs w:val="24"/>
        </w:rPr>
        <w:t>.</w:t>
      </w:r>
      <w:r>
        <w:rPr>
          <w:rFonts w:ascii="Times New Roman" w:hAnsi="Times New Roman" w:eastAsia="宋体" w:cs="Times New Roman"/>
          <w:bCs/>
          <w:sz w:val="24"/>
          <w:szCs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eastAsia="宋体" w:cs="Segoe UI Symbol"/>
          <w:bCs/>
          <w:sz w:val="24"/>
          <w:szCs w:val="24"/>
        </w:rPr>
        <w:t>★</w:t>
      </w:r>
      <w:r>
        <w:rPr>
          <w:rFonts w:ascii="Times New Roman" w:hAnsi="Times New Roman" w:eastAsia="宋体" w:cs="Times New Roman"/>
          <w:bCs/>
          <w:sz w:val="24"/>
          <w:szCs w:val="24"/>
        </w:rPr>
        <w:t>”的（详见本章后附的节能产品政府采购品目清单），</w:t>
      </w:r>
      <w:r>
        <w:rPr>
          <w:rFonts w:hint="eastAsia" w:ascii="Times New Roman" w:hAnsi="Times New Roman" w:eastAsia="宋体" w:cs="Times New Roman"/>
          <w:bCs/>
          <w:sz w:val="24"/>
          <w:szCs w:val="24"/>
        </w:rPr>
        <w:t>供应商参与</w:t>
      </w:r>
      <w:r>
        <w:rPr>
          <w:rFonts w:hint="eastAsia" w:ascii="宋体" w:hAnsi="宋体" w:eastAsia="宋体" w:cs="宋体"/>
          <w:sz w:val="24"/>
          <w:szCs w:val="24"/>
          <w:lang w:bidi="ar"/>
        </w:rPr>
        <w:t>竞争性谈判</w:t>
      </w:r>
      <w:r>
        <w:rPr>
          <w:rFonts w:hint="eastAsia" w:ascii="Times New Roman" w:hAnsi="Times New Roman" w:eastAsia="宋体" w:cs="Times New Roman"/>
          <w:bCs/>
          <w:sz w:val="24"/>
          <w:szCs w:val="24"/>
        </w:rPr>
        <w:t>提供的</w:t>
      </w:r>
      <w:r>
        <w:rPr>
          <w:rFonts w:ascii="Times New Roman" w:hAnsi="Times New Roman" w:eastAsia="宋体" w:cs="Times New Roman"/>
          <w:bCs/>
          <w:sz w:val="24"/>
          <w:szCs w:val="24"/>
        </w:rPr>
        <w:t>货物必须使用政府强制采购的节能产品，否则</w:t>
      </w:r>
      <w:r>
        <w:rPr>
          <w:rFonts w:hint="eastAsia" w:ascii="Times New Roman" w:hAnsi="Times New Roman" w:eastAsia="宋体" w:cs="Times New Roman"/>
          <w:bCs/>
          <w:sz w:val="24"/>
          <w:szCs w:val="24"/>
        </w:rPr>
        <w:t>响应</w:t>
      </w:r>
      <w:r>
        <w:rPr>
          <w:rFonts w:ascii="Times New Roman" w:hAnsi="Times New Roman" w:eastAsia="宋体" w:cs="Times New Roman"/>
          <w:bCs/>
          <w:sz w:val="24"/>
          <w:szCs w:val="24"/>
        </w:rPr>
        <w:t>文件作无效处理。</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4</w:t>
      </w:r>
      <w:r>
        <w:rPr>
          <w:rFonts w:hint="eastAsia" w:ascii="宋体" w:hAnsi="宋体" w:eastAsia="宋体" w:cs="宋体"/>
          <w:sz w:val="24"/>
          <w:szCs w:val="24"/>
        </w:rPr>
        <w:t>.</w:t>
      </w:r>
      <w:r>
        <w:rPr>
          <w:rFonts w:ascii="Times New Roman" w:hAnsi="Times New Roman" w:eastAsia="宋体" w:cs="Times New Roman"/>
          <w:bCs/>
          <w:sz w:val="24"/>
          <w:szCs w:val="24"/>
        </w:rPr>
        <w:t>如</w:t>
      </w:r>
      <w:r>
        <w:rPr>
          <w:rFonts w:hint="eastAsia" w:ascii="Times New Roman" w:hAnsi="Times New Roman" w:eastAsia="宋体" w:cs="Times New Roman"/>
          <w:bCs/>
          <w:sz w:val="24"/>
          <w:szCs w:val="24"/>
        </w:rPr>
        <w:t>供应商参与</w:t>
      </w:r>
      <w:r>
        <w:rPr>
          <w:rFonts w:hint="eastAsia" w:ascii="宋体" w:hAnsi="宋体" w:eastAsia="宋体" w:cs="宋体"/>
          <w:sz w:val="24"/>
          <w:szCs w:val="24"/>
          <w:lang w:bidi="ar"/>
        </w:rPr>
        <w:t>竞争性谈判提供的</w:t>
      </w:r>
      <w:r>
        <w:rPr>
          <w:rFonts w:ascii="Times New Roman" w:hAnsi="Times New Roman" w:eastAsia="宋体" w:cs="Times New Roman"/>
          <w:bCs/>
          <w:sz w:val="24"/>
          <w:szCs w:val="24"/>
        </w:rPr>
        <w:t>产品存在侵犯他人的知识产权或者专利成果行为的，由</w:t>
      </w:r>
      <w:r>
        <w:rPr>
          <w:rFonts w:hint="eastAsia" w:ascii="Times New Roman" w:hAnsi="Times New Roman" w:eastAsia="宋体" w:cs="Times New Roman"/>
          <w:bCs/>
          <w:sz w:val="24"/>
          <w:szCs w:val="24"/>
        </w:rPr>
        <w:t>供应商</w:t>
      </w:r>
      <w:r>
        <w:rPr>
          <w:rFonts w:ascii="Times New Roman" w:hAnsi="Times New Roman" w:eastAsia="宋体" w:cs="Times New Roman"/>
          <w:bCs/>
          <w:sz w:val="24"/>
          <w:szCs w:val="24"/>
        </w:rPr>
        <w:t>自行承担相应法律责任。</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5</w:t>
      </w:r>
      <w:r>
        <w:rPr>
          <w:rFonts w:hint="eastAsia" w:ascii="宋体" w:hAnsi="宋体" w:eastAsia="宋体" w:cs="宋体"/>
          <w:sz w:val="24"/>
          <w:szCs w:val="24"/>
        </w:rPr>
        <w:t>.“</w:t>
      </w:r>
      <w:r>
        <w:rPr>
          <w:rFonts w:ascii="Times New Roman" w:hAnsi="Times New Roman" w:eastAsia="宋体" w:cs="Times New Roman"/>
          <w:bCs/>
          <w:sz w:val="24"/>
          <w:szCs w:val="24"/>
        </w:rPr>
        <w:t>实质性要求</w:t>
      </w:r>
      <w:r>
        <w:rPr>
          <w:rFonts w:hint="eastAsia" w:ascii="宋体" w:hAnsi="宋体" w:eastAsia="宋体" w:cs="宋体"/>
          <w:sz w:val="24"/>
          <w:szCs w:val="24"/>
        </w:rPr>
        <w:t>”</w:t>
      </w:r>
      <w:r>
        <w:rPr>
          <w:rFonts w:ascii="Times New Roman" w:hAnsi="Times New Roman" w:eastAsia="宋体" w:cs="Times New Roman"/>
          <w:bCs/>
          <w:sz w:val="24"/>
          <w:szCs w:val="24"/>
        </w:rPr>
        <w:t>是指</w:t>
      </w:r>
      <w:r>
        <w:rPr>
          <w:rFonts w:hint="eastAsia" w:ascii="Times New Roman" w:hAnsi="Times New Roman" w:eastAsia="宋体" w:cs="Times New Roman"/>
          <w:bCs/>
          <w:sz w:val="24"/>
          <w:szCs w:val="24"/>
        </w:rPr>
        <w:t>采购文件</w:t>
      </w:r>
      <w:r>
        <w:rPr>
          <w:rFonts w:ascii="Times New Roman" w:hAnsi="Times New Roman" w:eastAsia="宋体" w:cs="Times New Roman"/>
          <w:bCs/>
          <w:sz w:val="24"/>
          <w:szCs w:val="24"/>
        </w:rPr>
        <w:t>中已经指明不满足则</w:t>
      </w:r>
      <w:r>
        <w:rPr>
          <w:rFonts w:hint="eastAsia" w:ascii="宋体" w:hAnsi="宋体" w:eastAsia="宋体" w:cs="宋体"/>
          <w:sz w:val="24"/>
          <w:szCs w:val="24"/>
          <w:lang w:bidi="ar"/>
        </w:rPr>
        <w:t>竞争性谈判</w:t>
      </w:r>
      <w:r>
        <w:rPr>
          <w:rFonts w:ascii="Times New Roman" w:hAnsi="Times New Roman" w:eastAsia="宋体" w:cs="Times New Roman"/>
          <w:bCs/>
          <w:sz w:val="24"/>
          <w:szCs w:val="24"/>
        </w:rPr>
        <w:t>无效的条款，或者不</w:t>
      </w:r>
      <w:r>
        <w:rPr>
          <w:rFonts w:hint="eastAsia" w:ascii="Times New Roman" w:hAnsi="Times New Roman" w:eastAsia="宋体" w:cs="Times New Roman"/>
          <w:bCs/>
          <w:sz w:val="24"/>
          <w:szCs w:val="24"/>
        </w:rPr>
        <w:t>容许</w:t>
      </w:r>
      <w:r>
        <w:rPr>
          <w:rFonts w:ascii="Times New Roman" w:hAnsi="Times New Roman" w:eastAsia="宋体" w:cs="Times New Roman"/>
          <w:bCs/>
          <w:sz w:val="24"/>
          <w:szCs w:val="24"/>
        </w:rPr>
        <w:t>负偏离的条款，或者采购需求中带</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的条款。</w:t>
      </w:r>
      <w:r>
        <w:rPr>
          <w:rFonts w:hint="eastAsia" w:ascii="Times New Roman" w:hAnsi="Times New Roman" w:eastAsia="宋体" w:cs="Times New Roman"/>
          <w:bCs/>
          <w:sz w:val="24"/>
          <w:szCs w:val="24"/>
        </w:rPr>
        <w:t>未标注“</w:t>
      </w:r>
      <w:r>
        <w:rPr>
          <w:rFonts w:hint="eastAsia" w:ascii="Segoe UI Symbol" w:hAnsi="Segoe UI Symbol" w:eastAsia="宋体" w:cs="Segoe UI Symbol"/>
          <w:bCs/>
          <w:sz w:val="24"/>
          <w:szCs w:val="24"/>
        </w:rPr>
        <w:t>▲</w:t>
      </w:r>
      <w:r>
        <w:rPr>
          <w:rFonts w:hint="eastAsia" w:ascii="Times New Roman" w:hAnsi="Times New Roman" w:eastAsia="宋体" w:cs="Times New Roman"/>
          <w:bCs/>
          <w:sz w:val="24"/>
          <w:szCs w:val="24"/>
        </w:rPr>
        <w:t>”号的非实质性条款要求可允许</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项负偏离，</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项以上（含</w:t>
      </w: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项）负偏离的</w:t>
      </w:r>
      <w:r>
        <w:rPr>
          <w:rFonts w:hint="eastAsia" w:ascii="宋体" w:hAnsi="宋体" w:eastAsia="宋体" w:cs="宋体"/>
          <w:sz w:val="24"/>
          <w:szCs w:val="24"/>
          <w:lang w:bidi="ar"/>
        </w:rPr>
        <w:t>竞争性谈判</w:t>
      </w:r>
      <w:r>
        <w:rPr>
          <w:rFonts w:hint="eastAsia" w:ascii="Times New Roman" w:hAnsi="Times New Roman" w:eastAsia="宋体" w:cs="Times New Roman"/>
          <w:bCs/>
          <w:sz w:val="24"/>
          <w:szCs w:val="24"/>
        </w:rPr>
        <w:t>无效。</w:t>
      </w:r>
    </w:p>
    <w:p>
      <w:pPr>
        <w:spacing w:line="360" w:lineRule="auto"/>
        <w:ind w:left="-10" w:leftChars="-5" w:right="2" w:rightChars="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项目所属行业：工业</w:t>
      </w:r>
    </w:p>
    <w:p>
      <w:pPr>
        <w:spacing w:line="360" w:lineRule="auto"/>
        <w:jc w:val="center"/>
        <w:rPr>
          <w:rFonts w:ascii="Times New Roman" w:hAnsi="Times New Roman" w:eastAsia="宋体" w:cs="Times New Roman"/>
          <w:sz w:val="24"/>
          <w:szCs w:val="24"/>
        </w:rPr>
      </w:pPr>
    </w:p>
    <w:tbl>
      <w:tblPr>
        <w:tblStyle w:val="23"/>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3"/>
        <w:gridCol w:w="429"/>
        <w:gridCol w:w="429"/>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项号</w:t>
            </w:r>
          </w:p>
        </w:tc>
        <w:tc>
          <w:tcPr>
            <w:tcW w:w="1083"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货物</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6881"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1</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小型台式高速冷冻离心机</w:t>
            </w:r>
          </w:p>
        </w:tc>
        <w:tc>
          <w:tcPr>
            <w:tcW w:w="429"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6</w:t>
            </w:r>
          </w:p>
        </w:tc>
        <w:tc>
          <w:tcPr>
            <w:tcW w:w="429"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台</w:t>
            </w:r>
          </w:p>
        </w:tc>
        <w:tc>
          <w:tcPr>
            <w:tcW w:w="6881" w:type="dxa"/>
          </w:tcPr>
          <w:p>
            <w:pPr>
              <w:spacing w:line="360" w:lineRule="auto"/>
              <w:rPr>
                <w:rFonts w:ascii="宋体" w:hAnsi="宋体" w:eastAsia="宋体" w:cs="宋体"/>
                <w:sz w:val="24"/>
                <w:szCs w:val="24"/>
              </w:rPr>
            </w:pPr>
            <w:r>
              <w:rPr>
                <w:rFonts w:hint="eastAsia" w:ascii="宋体" w:hAnsi="宋体" w:eastAsia="宋体" w:cs="宋体"/>
                <w:sz w:val="24"/>
                <w:szCs w:val="24"/>
              </w:rPr>
              <w:t>1、最大相对离心力（rcf）</w:t>
            </w:r>
            <w:bookmarkStart w:id="25" w:name="_Hlk164866257"/>
            <w:r>
              <w:rPr>
                <w:rFonts w:hint="eastAsia"/>
              </w:rPr>
              <w:t>≥</w:t>
            </w:r>
            <w:bookmarkEnd w:id="25"/>
            <w:r>
              <w:rPr>
                <w:rFonts w:hint="eastAsia" w:ascii="宋体" w:hAnsi="宋体" w:eastAsia="宋体" w:cs="宋体"/>
                <w:sz w:val="24"/>
                <w:szCs w:val="24"/>
              </w:rPr>
              <w:t>21300 × g（15060 rpm）；最大容量</w:t>
            </w:r>
            <w:r>
              <w:rPr>
                <w:rFonts w:hint="eastAsia"/>
              </w:rPr>
              <w:t>≥</w:t>
            </w:r>
            <w:r>
              <w:rPr>
                <w:rFonts w:hint="eastAsia" w:ascii="宋体" w:hAnsi="宋体" w:eastAsia="宋体" w:cs="宋体"/>
                <w:sz w:val="24"/>
                <w:szCs w:val="24"/>
              </w:rPr>
              <w:t>24 × 1.5/2.0 mL离心管，10 × 5 mL 离心管，96 × 0.2 mL 单管/12 × 8 排管。</w:t>
            </w:r>
          </w:p>
          <w:p>
            <w:pPr>
              <w:spacing w:line="360" w:lineRule="auto"/>
              <w:rPr>
                <w:rFonts w:ascii="宋体" w:hAnsi="宋体" w:eastAsia="宋体" w:cs="宋体"/>
                <w:sz w:val="24"/>
                <w:szCs w:val="24"/>
              </w:rPr>
            </w:pPr>
            <w:r>
              <w:rPr>
                <w:rFonts w:hint="eastAsia" w:ascii="宋体" w:hAnsi="宋体" w:eastAsia="宋体" w:cs="宋体"/>
                <w:sz w:val="24"/>
                <w:szCs w:val="24"/>
              </w:rPr>
              <w:t>2、转速：100 ‐ 15060 rpm；100-2000 rpm，可以以10rpm为幅度进行调整；200-5000 rpm，可以以50rpm为幅度进行调整；5000-15060 rpm，可以以100rpm为幅度进行调整。</w:t>
            </w:r>
          </w:p>
          <w:p>
            <w:pPr>
              <w:spacing w:line="360" w:lineRule="auto"/>
              <w:rPr>
                <w:rFonts w:ascii="宋体" w:hAnsi="宋体" w:eastAsia="宋体" w:cs="宋体"/>
                <w:sz w:val="24"/>
                <w:szCs w:val="24"/>
              </w:rPr>
            </w:pPr>
            <w:r>
              <w:rPr>
                <w:rFonts w:hint="eastAsia" w:ascii="宋体" w:hAnsi="宋体" w:eastAsia="宋体" w:cs="宋体"/>
                <w:sz w:val="24"/>
                <w:szCs w:val="24"/>
              </w:rPr>
              <w:t>3、离心力：1 ‐ 21300 x g；1-2000 x g，可以以10 x g为幅度进行调整；200-5000 x g，可以以50 x g为幅度进行调整；5000-21300 x g，可以以100 x g为幅度进行调整。</w:t>
            </w:r>
          </w:p>
          <w:p>
            <w:pPr>
              <w:spacing w:line="360" w:lineRule="auto"/>
              <w:rPr>
                <w:rFonts w:ascii="宋体" w:hAnsi="宋体" w:eastAsia="宋体" w:cs="宋体"/>
                <w:sz w:val="24"/>
                <w:szCs w:val="24"/>
              </w:rPr>
            </w:pPr>
            <w:r>
              <w:rPr>
                <w:rFonts w:hint="eastAsia" w:ascii="宋体" w:hAnsi="宋体" w:eastAsia="宋体" w:cs="宋体"/>
                <w:sz w:val="24"/>
                <w:szCs w:val="24"/>
              </w:rPr>
              <w:t>4、离心时间：10 s-9 h 59 min；连续离心；10 s‐2 min，可以以10 s 为幅度进行调整；2 min-10 min，可以以 30 s 为幅度进行调整；10 min‐9 h 59 min，可以以1 min 为幅度进行调整。</w:t>
            </w:r>
          </w:p>
          <w:p>
            <w:pPr>
              <w:spacing w:line="360" w:lineRule="auto"/>
              <w:rPr>
                <w:rFonts w:ascii="宋体" w:hAnsi="宋体" w:eastAsia="宋体" w:cs="宋体"/>
                <w:sz w:val="24"/>
                <w:szCs w:val="24"/>
              </w:rPr>
            </w:pPr>
            <w:r>
              <w:rPr>
                <w:rFonts w:hint="eastAsia" w:ascii="宋体" w:hAnsi="宋体" w:eastAsia="宋体" w:cs="宋体"/>
                <w:sz w:val="24"/>
                <w:szCs w:val="24"/>
              </w:rPr>
              <w:t>5、单独的 rpm（转速）/ rcf（相对离心力）转换按键。</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6、加速时间（零至最高转速）≤15 s。</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7、减速时间（最高转速至零）≤15 s。</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8、噪音≤54分贝，可以无转子盖的情况下离心。</w:t>
            </w:r>
          </w:p>
          <w:p>
            <w:pPr>
              <w:spacing w:line="360" w:lineRule="auto"/>
              <w:rPr>
                <w:rFonts w:ascii="宋体" w:hAnsi="宋体" w:eastAsia="宋体" w:cs="宋体"/>
                <w:sz w:val="24"/>
                <w:szCs w:val="24"/>
              </w:rPr>
            </w:pPr>
            <w:r>
              <w:rPr>
                <w:rFonts w:hint="eastAsia" w:ascii="宋体" w:hAnsi="宋体" w:eastAsia="宋体" w:cs="宋体"/>
                <w:sz w:val="24"/>
                <w:szCs w:val="24"/>
              </w:rPr>
              <w:t>9、离心机具备快速制冷功能，从21°C降温至4°C</w:t>
            </w:r>
            <w:bookmarkStart w:id="26" w:name="_Hlk164866212"/>
            <w:r>
              <w:rPr>
                <w:rFonts w:hint="eastAsia" w:ascii="宋体" w:hAnsi="宋体" w:eastAsia="宋体" w:cs="宋体"/>
                <w:sz w:val="24"/>
                <w:szCs w:val="24"/>
              </w:rPr>
              <w:t>≤</w:t>
            </w:r>
            <w:bookmarkEnd w:id="26"/>
            <w:r>
              <w:rPr>
                <w:rFonts w:hint="eastAsia" w:ascii="宋体" w:hAnsi="宋体" w:eastAsia="宋体" w:cs="宋体"/>
                <w:sz w:val="24"/>
                <w:szCs w:val="24"/>
              </w:rPr>
              <w:t>8分钟。温控范围：-10°C至+40°C，并可在离心机运行期间设置。</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10、材质转子，坚固耐用，导热性好。</w:t>
            </w:r>
          </w:p>
          <w:p>
            <w:pPr>
              <w:spacing w:line="360" w:lineRule="auto"/>
              <w:rPr>
                <w:rFonts w:ascii="宋体" w:hAnsi="宋体" w:eastAsia="宋体" w:cs="宋体"/>
                <w:sz w:val="24"/>
                <w:szCs w:val="24"/>
              </w:rPr>
            </w:pPr>
            <w:r>
              <w:rPr>
                <w:rFonts w:hint="eastAsia" w:ascii="宋体" w:hAnsi="宋体" w:eastAsia="宋体" w:cs="宋体"/>
                <w:sz w:val="24"/>
                <w:szCs w:val="24"/>
              </w:rPr>
              <w:t>11、气密性固定角转，提供安全的操作环境。</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12、具有气密性转子盖，</w:t>
            </w:r>
            <w:r>
              <w:rPr>
                <w:rFonts w:ascii="宋体" w:hAnsi="宋体" w:eastAsia="宋体" w:cs="宋体"/>
                <w:sz w:val="24"/>
                <w:szCs w:val="24"/>
              </w:rPr>
              <w:t>符合</w:t>
            </w:r>
            <w:r>
              <w:rPr>
                <w:rFonts w:hint="eastAsia" w:ascii="宋体" w:hAnsi="宋体" w:eastAsia="宋体" w:cs="宋体"/>
                <w:sz w:val="24"/>
                <w:szCs w:val="24"/>
              </w:rPr>
              <w:t>相关行业标准要求，如</w:t>
            </w:r>
            <w:r>
              <w:rPr>
                <w:rFonts w:ascii="宋体" w:hAnsi="宋体" w:eastAsia="宋体" w:cs="宋体"/>
                <w:sz w:val="24"/>
                <w:szCs w:val="24"/>
              </w:rPr>
              <w:t>IEC 1010-2-020 annex AA 标准</w:t>
            </w:r>
            <w:r>
              <w:rPr>
                <w:rFonts w:hint="eastAsia" w:ascii="宋体" w:hAnsi="宋体" w:eastAsia="宋体" w:cs="宋体"/>
                <w:sz w:val="24"/>
                <w:szCs w:val="24"/>
              </w:rPr>
              <w:t>等，离心危险样品更安全。</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13、快速锁定转子盖，旋转≤1/4圈即可锁紧或打开转子盖。</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14、显示运行结束时间，了解离心后的样本在离心机内停留的时间。</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15、3个快速程序键，方便快速调取。</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16、瞬时功能，一按即可启动。</w:t>
            </w:r>
          </w:p>
          <w:p>
            <w:pPr>
              <w:spacing w:line="360" w:lineRule="auto"/>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17、转子自动识别。</w:t>
            </w:r>
          </w:p>
          <w:p>
            <w:pPr>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18、具有紧急开盖功能，适用断电等突发实验事故。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振</w:t>
            </w:r>
            <w:r>
              <w:rPr>
                <w:rFonts w:ascii="Times New Roman" w:hAnsi="Times New Roman" w:eastAsia="宋体" w:cs="Times New Roman"/>
                <w:sz w:val="24"/>
                <w:szCs w:val="24"/>
              </w:rPr>
              <w:t>荡培养箱</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881" w:type="dxa"/>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1、三层叠加组合</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占地面积</w:t>
            </w:r>
            <w:r>
              <w:rPr>
                <w:rFonts w:hint="eastAsia" w:ascii="Times New Roman" w:hAnsi="Times New Roman" w:eastAsia="宋体" w:cs="Times New Roman"/>
                <w:sz w:val="24"/>
                <w:szCs w:val="24"/>
              </w:rPr>
              <w:t>小，</w:t>
            </w:r>
            <w:r>
              <w:rPr>
                <w:rFonts w:ascii="Times New Roman" w:hAnsi="Times New Roman" w:eastAsia="宋体" w:cs="Times New Roman"/>
                <w:sz w:val="24"/>
                <w:szCs w:val="24"/>
              </w:rPr>
              <w:t>使用空间</w:t>
            </w:r>
            <w:r>
              <w:rPr>
                <w:rFonts w:hint="eastAsia" w:ascii="Times New Roman" w:hAnsi="Times New Roman" w:eastAsia="宋体" w:cs="Times New Roman"/>
                <w:sz w:val="24"/>
                <w:szCs w:val="24"/>
              </w:rPr>
              <w:t>大。</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2、配备伺服电机，三维一体的偏三轮驱动。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3、具有异常情况自动断电以及断电恢复功能，避免因停电、死机而造成的数据丢失问题</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4、开门即停功能和超温报警功能</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5、内衬采用圆弧角（R角）镜面不锈钢，便于清洁，不容易滋生细菌、防腐蚀；外壳采用静电喷塑</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6、中空钢化玻璃门，随时在不开门情况下在各个角度观察箱体内部情况</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7、下两层为下翻式开门，第三层为上翻式开门，摇板可自由抽出，方便装卸摇瓶，每层可独立控制，各层可在不同温度转速下同时运转或根据需要运行一层、两层或三层</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8、压缩机</w:t>
            </w:r>
            <w:r>
              <w:rPr>
                <w:rFonts w:hint="eastAsia" w:ascii="Times New Roman" w:hAnsi="Times New Roman" w:eastAsia="宋体" w:cs="Times New Roman"/>
                <w:sz w:val="24"/>
                <w:szCs w:val="24"/>
              </w:rPr>
              <w:t>运行稳定，采用</w:t>
            </w:r>
            <w:r>
              <w:rPr>
                <w:rFonts w:ascii="Times New Roman" w:hAnsi="Times New Roman" w:eastAsia="宋体" w:cs="Times New Roman"/>
                <w:sz w:val="24"/>
                <w:szCs w:val="24"/>
              </w:rPr>
              <w:t>无氟环保制冷剂，确保设备在低温状态下长时间稳定运行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制冷量可调节，温度控制精准</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9、配备滤波器磁环，减少外界和自身对机器稳定性的干扰</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10、具有紫外线灭菌功能</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11、定时除霜功能，1~89分钟可自由设定，除霜间隔30~600分钟可调，能确保长时间在低温状态下运行时蒸发器不结冰</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12、LCD触摸屏，设定温度、转速、时间和实测温度、转速、剩余时间在同一界面显示，不用相互切换界面，观察更直观；操作界面加密锁定功能，杜绝重复操作和人为误操作；可自由设定摇板正转或反转；强制对流的风扇常开或自动</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13、拥有数据记录功能，每分钟记录一次数据，可记录近三个月的数据，并且可显示温度、速度曲线，方便数据的分析；有USB接口，可将上述数据导出并保存</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14、侧面透气孔，满足样品对氧气的需求</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15、夹具为一次成型塑胶夹具，方便单手取放样品瓶</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16、空载振荡频率10-300rpm</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17、振荡频率精度</w:t>
            </w:r>
            <w:r>
              <w:rPr>
                <w:rFonts w:hint="eastAsia"/>
              </w:rPr>
              <w:t>≤</w:t>
            </w:r>
            <w:r>
              <w:rPr>
                <w:rFonts w:ascii="Times New Roman" w:hAnsi="Times New Roman" w:eastAsia="宋体" w:cs="Times New Roman"/>
                <w:sz w:val="24"/>
                <w:szCs w:val="24"/>
              </w:rPr>
              <w:t>±1rpm</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18、摇板振幅Ф26mm（标配）</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19、温控范围4～60℃（在室温23℃-25℃）</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20、温度调</w:t>
            </w:r>
            <w:r>
              <w:rPr>
                <w:rFonts w:hint="eastAsia" w:ascii="Times New Roman" w:hAnsi="Times New Roman" w:eastAsia="宋体" w:cs="Times New Roman"/>
                <w:sz w:val="24"/>
                <w:szCs w:val="24"/>
              </w:rPr>
              <w:t>节</w:t>
            </w:r>
            <w:r>
              <w:rPr>
                <w:rFonts w:ascii="Times New Roman" w:hAnsi="Times New Roman" w:eastAsia="宋体" w:cs="Times New Roman"/>
                <w:sz w:val="24"/>
                <w:szCs w:val="24"/>
              </w:rPr>
              <w:t>精度</w:t>
            </w:r>
            <w:r>
              <w:rPr>
                <w:rFonts w:hint="eastAsia"/>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21温度均匀度±0</w:t>
            </w:r>
            <w:r>
              <w:rPr>
                <w:rFonts w:hint="eastAsia" w:ascii="Times New Roman" w:hAnsi="Times New Roman" w:eastAsia="宋体" w:cs="Times New Roman"/>
                <w:sz w:val="24"/>
                <w:szCs w:val="24"/>
              </w:rPr>
              <w:t>.</w:t>
            </w:r>
            <w:r>
              <w:rPr>
                <w:rFonts w:ascii="Times New Roman" w:hAnsi="Times New Roman" w:eastAsia="宋体" w:cs="Times New Roman"/>
                <w:sz w:val="24"/>
                <w:szCs w:val="24"/>
              </w:rPr>
              <w:t>8℃ （at 37℃）</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22、最大容量（不锈钢夹具）</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单层250ml×66或500ml×45或1000ml×28或2000ml×15</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23、最大容量（塑胶夹具）</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单层250ml×60或500ml×40或1000ml×23或2000ml×15，三角瓶夹具须为一次性成型塑胶夹具；试管夹具孔带有橡胶防护套。</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24、摇板尺寸(长×宽）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单层约 928mm×530mm</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 mm</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25、噪音低于55dB</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酸度</w:t>
            </w:r>
            <w:r>
              <w:rPr>
                <w:rFonts w:ascii="Times New Roman" w:hAnsi="Times New Roman" w:eastAsia="宋体" w:cs="Times New Roman"/>
                <w:sz w:val="24"/>
                <w:szCs w:val="24"/>
              </w:rPr>
              <w:t>计</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881" w:type="dxa"/>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自动温度补偿。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最多3点校准存储。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全自动显示电极斜率及使用状态。</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自动识别3组16种缓冲液。</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、一键校准</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pH测量范围0～14</w:t>
            </w:r>
            <w:r>
              <w:rPr>
                <w:rFonts w:hint="eastAsia" w:ascii="Times New Roman" w:hAnsi="Times New Roman" w:eastAsia="宋体" w:cs="Times New Roman"/>
                <w:sz w:val="24"/>
                <w:szCs w:val="24"/>
              </w:rPr>
              <w:t>.</w:t>
            </w:r>
            <w:r>
              <w:rPr>
                <w:rFonts w:ascii="Times New Roman" w:hAnsi="Times New Roman" w:eastAsia="宋体" w:cs="Times New Roman"/>
                <w:sz w:val="24"/>
                <w:szCs w:val="24"/>
              </w:rPr>
              <w:t>00，pH测量精度</w:t>
            </w:r>
            <w:r>
              <w:rPr>
                <w:rFonts w:hint="eastAsia"/>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01，mV测量精度</w:t>
            </w:r>
            <w:r>
              <w:rPr>
                <w:rFonts w:hint="eastAsia"/>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2mV。</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稳定符号表示读数已达稳定。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同步显示pH、温度和缓冲液。</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直接以mV或pH方式读取测量值。</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三合一电极。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往复式</w:t>
            </w:r>
            <w:r>
              <w:rPr>
                <w:rFonts w:ascii="Times New Roman" w:hAnsi="Times New Roman" w:eastAsia="宋体" w:cs="Times New Roman"/>
                <w:sz w:val="24"/>
                <w:szCs w:val="24"/>
              </w:rPr>
              <w:t>脱色摇床</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881" w:type="dxa"/>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电源：220V</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功率：40W</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频率：往复运动40～240转/分</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速度控制：无极调速</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振幅：30mm</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外观尺寸</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：370 mm×335 mm×150mm</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 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083"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涡旋混匀</w:t>
            </w:r>
            <w:r>
              <w:rPr>
                <w:rFonts w:hint="eastAsia" w:ascii="Times New Roman" w:hAnsi="Times New Roman" w:eastAsia="宋体" w:cs="Times New Roman"/>
                <w:sz w:val="24"/>
                <w:szCs w:val="24"/>
              </w:rPr>
              <w:t>器</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881" w:type="dxa"/>
          </w:tcPr>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运行方式：圆周。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周转直径：4 mm。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允许震荡承重量(含夹具)</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4 kg。</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电机输入功率：39 W。</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电机输出功率：9 W。</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允许连续运转时间：100 %。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最小转速 (可调节)：500 rpm。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最大转速：2500 rpm。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w:t>
            </w:r>
            <w:r>
              <w:rPr>
                <w:rFonts w:ascii="Times New Roman" w:hAnsi="Times New Roman" w:eastAsia="宋体" w:cs="Times New Roman"/>
                <w:sz w:val="24"/>
                <w:szCs w:val="24"/>
              </w:rPr>
              <w:t>转速显示：刻度。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w:t>
            </w:r>
            <w:r>
              <w:rPr>
                <w:rFonts w:ascii="Times New Roman" w:hAnsi="Times New Roman" w:eastAsia="宋体" w:cs="Times New Roman"/>
                <w:sz w:val="24"/>
                <w:szCs w:val="24"/>
              </w:rPr>
              <w:t>转速控制：刻度 0 – 6。</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运行方式：连续运转。</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点动功能。</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外形尺寸</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：120 x 140 x 138 mm</w:t>
            </w:r>
            <w:r>
              <w:rPr>
                <w:rFonts w:hint="eastAsia" w:ascii="Times New Roman" w:hAnsi="Times New Roman" w:eastAsia="宋体" w:cs="Times New Roman"/>
                <w:sz w:val="24"/>
                <w:szCs w:val="24"/>
              </w:rPr>
              <w:t>（±1</w:t>
            </w:r>
            <w:r>
              <w:rPr>
                <w:rFonts w:ascii="Times New Roman" w:hAnsi="Times New Roman" w:eastAsia="宋体" w:cs="Times New Roman"/>
                <w:sz w:val="24"/>
                <w:szCs w:val="24"/>
              </w:rPr>
              <w:t>0 mm</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14</w:t>
            </w:r>
            <w:r>
              <w:rPr>
                <w:rFonts w:hint="eastAsia" w:ascii="Times New Roman" w:hAnsi="Times New Roman" w:eastAsia="宋体" w:cs="Times New Roman"/>
                <w:sz w:val="24"/>
                <w:szCs w:val="24"/>
              </w:rPr>
              <w:t>、</w:t>
            </w:r>
            <w:r>
              <w:rPr>
                <w:rFonts w:ascii="Times New Roman" w:hAnsi="Times New Roman" w:eastAsia="宋体" w:cs="Times New Roman"/>
                <w:sz w:val="24"/>
                <w:szCs w:val="24"/>
              </w:rPr>
              <w:t>重量</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9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83"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小型水平电泳系统</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套</w:t>
            </w:r>
          </w:p>
        </w:tc>
        <w:tc>
          <w:tcPr>
            <w:tcW w:w="6881" w:type="dxa"/>
          </w:tcPr>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一</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配置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水平槽槽和盖1个。</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紫外透射槽1个。</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梳子（15-和20-孔）。</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制胶架1个。</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二</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性能</w:t>
            </w:r>
            <w:r>
              <w:rPr>
                <w:rFonts w:hint="eastAsia" w:ascii="Times New Roman" w:hAnsi="Times New Roman" w:eastAsia="宋体" w:cs="Times New Roman"/>
                <w:b/>
                <w:sz w:val="24"/>
                <w:szCs w:val="24"/>
              </w:rPr>
              <w:t>要求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带有荧光尺的紫外透明凝胶盘。</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凝胶盘大小15x7cm。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多种不同大小的手铺胶选择。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适合所有需要的电泳—多通道移液器兼容电泳梳。</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电极夹迁移速度 ~4</w:t>
            </w:r>
            <w:r>
              <w:rPr>
                <w:rFonts w:hint="eastAsia" w:ascii="Times New Roman" w:hAnsi="Times New Roman" w:eastAsia="宋体" w:cs="Times New Roman"/>
                <w:sz w:val="24"/>
                <w:szCs w:val="24"/>
              </w:rPr>
              <w:t>.</w:t>
            </w:r>
            <w:r>
              <w:rPr>
                <w:rFonts w:ascii="Times New Roman" w:hAnsi="Times New Roman" w:eastAsia="宋体" w:cs="Times New Roman"/>
                <w:sz w:val="24"/>
                <w:szCs w:val="24"/>
              </w:rPr>
              <w:t>5cm/hr。</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样品通量10-60。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r>
              <w:rPr>
                <w:rFonts w:ascii="Times New Roman" w:hAnsi="Times New Roman" w:eastAsia="宋体" w:cs="Times New Roman"/>
                <w:sz w:val="24"/>
                <w:szCs w:val="24"/>
              </w:rPr>
              <w:t>尺寸</w:t>
            </w:r>
            <w:r>
              <w:rPr>
                <w:rFonts w:hint="eastAsia" w:ascii="Times New Roman" w:hAnsi="Times New Roman" w:eastAsia="宋体" w:cs="Times New Roman"/>
                <w:sz w:val="24"/>
                <w:szCs w:val="24"/>
              </w:rPr>
              <w:t>约</w:t>
            </w:r>
            <w:r>
              <w:rPr>
                <w:rFonts w:ascii="Times New Roman" w:hAnsi="Times New Roman" w:eastAsia="宋体" w:cs="Times New Roman"/>
                <w:sz w:val="24"/>
                <w:szCs w:val="24"/>
              </w:rPr>
              <w:t>20 cm x26 cm x7</w:t>
            </w:r>
            <w:r>
              <w:rPr>
                <w:rFonts w:hint="eastAsia" w:ascii="Times New Roman" w:hAnsi="Times New Roman" w:eastAsia="宋体" w:cs="Times New Roman"/>
                <w:sz w:val="24"/>
                <w:szCs w:val="24"/>
              </w:rPr>
              <w:t>.</w:t>
            </w:r>
            <w:r>
              <w:rPr>
                <w:rFonts w:ascii="Times New Roman" w:hAnsi="Times New Roman" w:eastAsia="宋体" w:cs="Times New Roman"/>
                <w:sz w:val="24"/>
                <w:szCs w:val="24"/>
              </w:rPr>
              <w:t>5cm</w:t>
            </w:r>
            <w:r>
              <w:rPr>
                <w:rFonts w:hint="eastAsia" w:ascii="Times New Roman" w:hAnsi="Times New Roman" w:eastAsia="宋体" w:cs="Times New Roman"/>
                <w:sz w:val="24"/>
                <w:szCs w:val="24"/>
              </w:rPr>
              <w:t>（±</w:t>
            </w:r>
            <w:r>
              <w:rPr>
                <w:rFonts w:ascii="Times New Roman" w:hAnsi="Times New Roman" w:eastAsia="宋体" w:cs="Times New Roman"/>
                <w:sz w:val="24"/>
                <w:szCs w:val="24"/>
              </w:rPr>
              <w:t>2 cm</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r>
              <w:rPr>
                <w:rFonts w:ascii="Times New Roman" w:hAnsi="Times New Roman" w:eastAsia="宋体" w:cs="Times New Roman"/>
                <w:sz w:val="24"/>
                <w:szCs w:val="24"/>
              </w:rPr>
              <w:t>基座缓冲液容量~650mL。</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透明的材料结构，可随时观察实验动态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冷冻干燥机</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套</w:t>
            </w:r>
          </w:p>
        </w:tc>
        <w:tc>
          <w:tcPr>
            <w:tcW w:w="6881" w:type="dxa"/>
          </w:tcPr>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1、冷阱冷却温度：-45℃。</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2、除湿量：1L/回（约24小时）。</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3、具有真空泵累计计时功能和单次冻干时间计时功能。</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4、冻干仓和多歧管可独立分体设置，可使用试管和安培瓶进行冻干。</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5、气路和水路独立分开，保护真空泵。</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6、设定和显示方式：薄膜按键输入设定，数字显示。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7、真空解除方式：通过自动放气阀解除真空并具有空气过滤功能。</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8、冷阱解冻方式：热气体解冻。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9、安全机能：漏电和电流过载保护、压缩机保护回路、服务插座用保险丝、控制面板自我诊断功能，真空泵自动运转功能、真空度和冷阱温度监视功能、冷阱解冻功能。</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10、制冷方式：压缩机制冷方式。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Times New Roman"/>
                <w:sz w:val="24"/>
                <w:szCs w:val="24"/>
              </w:rPr>
              <w:t>真空计显示范围及方式：皮拉尼真空计，数字显示，</w:t>
            </w:r>
            <w:r>
              <w:rPr>
                <w:rFonts w:ascii="Times New Roman" w:hAnsi="Times New Roman" w:eastAsia="宋体" w:cs="Times New Roman"/>
                <w:sz w:val="24"/>
                <w:szCs w:val="24"/>
              </w:rPr>
              <w:t>0.0~533Pa。</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12、冷阱容量及材料：ø200×175H，材质为不锈钢SUS 304，配备冷阱温度和真空度输出接口。</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13、0</w:t>
            </w:r>
            <w:r>
              <w:rPr>
                <w:rFonts w:hint="eastAsia" w:ascii="Times New Roman" w:hAnsi="Times New Roman" w:eastAsia="宋体" w:cs="Times New Roman"/>
                <w:sz w:val="24"/>
                <w:szCs w:val="24"/>
              </w:rPr>
              <w:t>.</w:t>
            </w:r>
            <w:r>
              <w:rPr>
                <w:rFonts w:ascii="Times New Roman" w:hAnsi="Times New Roman" w:eastAsia="宋体" w:cs="Times New Roman"/>
                <w:sz w:val="24"/>
                <w:szCs w:val="24"/>
              </w:rPr>
              <w:t>2μm的过滤膜，释放真空时不会受到空气的污染。</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14、带有计时功能，可以显示真空泵的累积运行时间，便于确认真空泵油的更换时间。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083"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多</w:t>
            </w:r>
            <w:r>
              <w:rPr>
                <w:rFonts w:hint="eastAsia" w:ascii="Times New Roman" w:hAnsi="Times New Roman" w:eastAsia="宋体" w:cs="Times New Roman"/>
                <w:sz w:val="24"/>
                <w:szCs w:val="24"/>
              </w:rPr>
              <w:t>模式读板</w:t>
            </w:r>
            <w:r>
              <w:rPr>
                <w:rFonts w:ascii="Times New Roman" w:hAnsi="Times New Roman" w:eastAsia="宋体" w:cs="Times New Roman"/>
                <w:sz w:val="24"/>
                <w:szCs w:val="24"/>
              </w:rPr>
              <w:t>仪</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881" w:type="dxa"/>
          </w:tcPr>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1、系统性能</w:t>
            </w:r>
            <w:r>
              <w:rPr>
                <w:rFonts w:hint="eastAsia" w:ascii="Times New Roman" w:hAnsi="Times New Roman" w:eastAsia="宋体" w:cs="Times New Roman"/>
                <w:b/>
                <w:sz w:val="24"/>
                <w:szCs w:val="24"/>
              </w:rPr>
              <w:t>要求：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1连续波长光栅系统</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高灵敏度滤光片</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优化二向色镜光路设计。</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2五种检测模块：可见/紫外光吸收、荧光强度、化学发光检测、时间分辨荧光和荧光偏振。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3除光吸收外所有模式兼具顶读</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底读功能（光吸收无需底读）。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4适用于各种类型1-1536孔板。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5配置高强度氙灯光源及专用红敏</w:t>
            </w:r>
            <w:r>
              <w:rPr>
                <w:rFonts w:hint="eastAsia" w:ascii="Times New Roman" w:hAnsi="Times New Roman" w:eastAsia="宋体" w:cs="Times New Roman"/>
                <w:sz w:val="24"/>
                <w:szCs w:val="24"/>
              </w:rPr>
              <w:t>光电倍增管</w:t>
            </w:r>
            <w:r>
              <w:rPr>
                <w:rFonts w:ascii="Times New Roman" w:hAnsi="Times New Roman" w:eastAsia="宋体" w:cs="Times New Roman"/>
                <w:sz w:val="24"/>
                <w:szCs w:val="24"/>
              </w:rPr>
              <w:t>(PMT)。</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2、主要技术参数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1可见/紫外光吸收</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1检测波长：范围 230-1000 nm，可选任意波长检测，步径精度1 nm，带宽2/5/10 nm可调。</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2光吸收检测范围0-4OD，精度@ 2 OD&lt; 2%。</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2荧光强度</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1主机内置32位激发/发射滤光片转轮，可配置高通透性激发/发射滤光片，</w:t>
            </w:r>
            <w:r>
              <w:rPr>
                <w:rFonts w:hint="eastAsia" w:ascii="Times New Roman" w:hAnsi="Times New Roman" w:eastAsia="宋体" w:cs="Times New Roman"/>
                <w:sz w:val="24"/>
                <w:szCs w:val="24"/>
              </w:rPr>
              <w:t>要求所配的激发</w:t>
            </w:r>
            <w:r>
              <w:rPr>
                <w:rFonts w:ascii="Times New Roman" w:hAnsi="Times New Roman" w:eastAsia="宋体" w:cs="Times New Roman"/>
                <w:sz w:val="24"/>
                <w:szCs w:val="24"/>
              </w:rPr>
              <w:t>/发射滤光片能同时装到滤光片转轮上，避免使用过程中人为填装滤光片，且激发/发射滤光片可通过软件系统自由切换选择。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2具有5个专用二向色镜转化条，可根据特定荧光染料选择优化二向色镜组合，并可通过软件系统自由切换。</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3具有荧光顶读、底读和双发射检测模式，具有孔内多点扫描（1-400 点/孔）功能，针对不同均相或贴壁样品，选择最佳的读板方式。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4荧光检测灵敏度： 顶读&lt; 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01 f mol/well (384 孔板)，底读 &lt; 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06 f mol/well (384 孔板)。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3化学发光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1可进行化学发光及高通透滤光片型双发射化学发光（BRET）检测等。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2化学发光检测灵敏度：&lt; 50 amol (96 孔板)。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4时间分辨荧光</w:t>
            </w:r>
            <w:r>
              <w:rPr>
                <w:rFonts w:hint="eastAsia" w:ascii="Times New Roman" w:hAnsi="Times New Roman" w:eastAsia="宋体" w:cs="Times New Roman"/>
                <w:sz w:val="24"/>
                <w:szCs w:val="24"/>
              </w:rPr>
              <w:t>（</w:t>
            </w:r>
            <w:r>
              <w:rPr>
                <w:rFonts w:ascii="Times New Roman" w:hAnsi="Times New Roman" w:eastAsia="宋体" w:cs="Times New Roman"/>
                <w:sz w:val="24"/>
                <w:szCs w:val="24"/>
              </w:rPr>
              <w:t>TRF</w:t>
            </w:r>
            <w:r>
              <w:rPr>
                <w:rFonts w:hint="eastAsia" w:ascii="Times New Roman" w:hAnsi="Times New Roman" w:eastAsia="宋体" w:cs="Times New Roman"/>
                <w:sz w:val="24"/>
                <w:szCs w:val="24"/>
              </w:rPr>
              <w:t>）和时间分辨荧光共振能量转移（</w:t>
            </w:r>
            <w:r>
              <w:rPr>
                <w:rFonts w:ascii="Times New Roman" w:hAnsi="Times New Roman" w:eastAsia="宋体" w:cs="Times New Roman"/>
                <w:sz w:val="24"/>
                <w:szCs w:val="24"/>
              </w:rPr>
              <w:t>TR-FRET</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1采用高通透滤光片</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二向色镜优化光路，可兼容市面上所有的基于时间分辨荧光</w:t>
            </w:r>
            <w:r>
              <w:rPr>
                <w:rFonts w:hint="eastAsia" w:ascii="Times New Roman" w:hAnsi="Times New Roman" w:eastAsia="宋体" w:cs="Times New Roman"/>
                <w:sz w:val="24"/>
                <w:szCs w:val="24"/>
              </w:rPr>
              <w:t>（</w:t>
            </w:r>
            <w:r>
              <w:rPr>
                <w:rFonts w:ascii="Times New Roman" w:hAnsi="Times New Roman" w:eastAsia="宋体" w:cs="Times New Roman"/>
                <w:sz w:val="24"/>
                <w:szCs w:val="24"/>
              </w:rPr>
              <w:t>TRF</w:t>
            </w:r>
            <w:r>
              <w:rPr>
                <w:rFonts w:hint="eastAsia" w:ascii="Times New Roman" w:hAnsi="Times New Roman" w:eastAsia="宋体" w:cs="Times New Roman"/>
                <w:sz w:val="24"/>
                <w:szCs w:val="24"/>
              </w:rPr>
              <w:t>）</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时间分辨荧光共振能量转移（</w:t>
            </w:r>
            <w:r>
              <w:rPr>
                <w:rFonts w:ascii="Times New Roman" w:hAnsi="Times New Roman" w:eastAsia="宋体" w:cs="Times New Roman"/>
                <w:sz w:val="24"/>
                <w:szCs w:val="24"/>
              </w:rPr>
              <w:t>TR-FRET</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的试剂盒，包括DELFIA/LANCE/HTRF/LanthaScreen等。</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2时间分辨荧光灵敏度：&lt; 0</w:t>
            </w:r>
            <w:r>
              <w:rPr>
                <w:rFonts w:hint="eastAsia" w:ascii="Times New Roman" w:hAnsi="Times New Roman" w:eastAsia="宋体" w:cs="Times New Roman"/>
                <w:sz w:val="24"/>
                <w:szCs w:val="24"/>
              </w:rPr>
              <w:t>.</w:t>
            </w:r>
            <w:r>
              <w:rPr>
                <w:rFonts w:ascii="Times New Roman" w:hAnsi="Times New Roman" w:eastAsia="宋体" w:cs="Times New Roman"/>
                <w:sz w:val="24"/>
                <w:szCs w:val="24"/>
              </w:rPr>
              <w:t>5 amol / well （384孔板）。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5荧光偏振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1荧光偏振采用高通透性滤光片光路，保证光透过率和灵敏度，且可自由更换激发/发射滤光片。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2 荧光偏振灵敏度：&lt; 3 mP SD / well （96 孔板）。</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6温度控制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保证样品检测温度稳定到室温+3至65摄氏度，步径精度</w:t>
            </w:r>
            <w:r>
              <w:rPr>
                <w:rFonts w:hint="eastAsia"/>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1摄氏度，以适用于各种温度条件下的实验需求。</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3、软件控制系统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1自动化控制，可实现无线远程控制。结果可以Excel及文本等多种格式输出。</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2检测高度Z轴自动优化可调，以保证检测灵敏度及防止孔间串扰。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3具有三种振荡模式：线形、圆形、8字形，可设定震荡速度、振幅及振荡时间。</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4、配置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1多功能</w:t>
            </w:r>
            <w:r>
              <w:rPr>
                <w:rFonts w:hint="eastAsia" w:ascii="Times New Roman" w:hAnsi="Times New Roman" w:eastAsia="宋体" w:cs="Times New Roman"/>
                <w:sz w:val="24"/>
                <w:szCs w:val="24"/>
              </w:rPr>
              <w:t>读板</w:t>
            </w:r>
            <w:r>
              <w:rPr>
                <w:rFonts w:ascii="Times New Roman" w:hAnsi="Times New Roman" w:eastAsia="宋体" w:cs="Times New Roman"/>
                <w:sz w:val="24"/>
                <w:szCs w:val="24"/>
              </w:rPr>
              <w:t>仪主机1台。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2控制软件系统1套。</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3光吸收光栅系统：范围 230-1000 nm，可选任意波长检测，步径精度1 nm，带宽2/5/10 nm可调。</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4滤光片系统</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1化学发光截止滤光片 700nm。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2光吸收常用滤光片 405/10nm。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3荧光强度</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荧光偏振检测二向色镜(Dichroic Beamsplitters)50/50。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4荧光强度&amp;荧光偏振检测滤光片，355/40 nm、435/20 nm、460/30 nm、480/30nm 、495/20 nm、530/30nm 、540/30 nm、560/10nm、580/20 nm、625/30 nm、640/30 nm、685/30 nm。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5时间分辨荧光</w:t>
            </w:r>
            <w:r>
              <w:rPr>
                <w:rFonts w:hint="eastAsia" w:ascii="Times New Roman" w:hAnsi="Times New Roman" w:eastAsia="宋体" w:cs="Times New Roman"/>
                <w:sz w:val="24"/>
                <w:szCs w:val="24"/>
              </w:rPr>
              <w:t>（</w:t>
            </w:r>
            <w:r>
              <w:rPr>
                <w:rFonts w:ascii="Times New Roman" w:hAnsi="Times New Roman" w:eastAsia="宋体" w:cs="Times New Roman"/>
                <w:sz w:val="24"/>
                <w:szCs w:val="24"/>
              </w:rPr>
              <w:t>TRF</w:t>
            </w:r>
            <w:r>
              <w:rPr>
                <w:rFonts w:hint="eastAsia" w:ascii="Times New Roman" w:hAnsi="Times New Roman" w:eastAsia="宋体" w:cs="Times New Roman"/>
                <w:sz w:val="24"/>
                <w:szCs w:val="24"/>
              </w:rPr>
              <w:t>）</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时间分辨荧光共振能量转移（</w:t>
            </w:r>
            <w:r>
              <w:rPr>
                <w:rFonts w:ascii="Times New Roman" w:hAnsi="Times New Roman" w:eastAsia="宋体" w:cs="Times New Roman"/>
                <w:sz w:val="24"/>
                <w:szCs w:val="24"/>
              </w:rPr>
              <w:t>TR-FRET</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二向色镜(Dichroic Beamsplitters) D400 。</w:t>
            </w:r>
          </w:p>
          <w:p>
            <w:pPr>
              <w:pStyle w:val="2"/>
              <w:rPr>
                <w:sz w:val="24"/>
                <w:szCs w:val="24"/>
              </w:rPr>
            </w:pPr>
            <w:r>
              <w:rPr>
                <w:sz w:val="24"/>
                <w:szCs w:val="24"/>
              </w:rPr>
              <w:t>4</w:t>
            </w:r>
            <w:r>
              <w:rPr>
                <w:rFonts w:hint="eastAsia"/>
                <w:sz w:val="24"/>
                <w:szCs w:val="24"/>
              </w:rPr>
              <w:t>.</w:t>
            </w:r>
            <w:r>
              <w:rPr>
                <w:sz w:val="24"/>
                <w:szCs w:val="24"/>
              </w:rPr>
              <w:t>4</w:t>
            </w:r>
            <w:r>
              <w:rPr>
                <w:rFonts w:hint="eastAsia"/>
                <w:sz w:val="24"/>
                <w:szCs w:val="24"/>
              </w:rPr>
              <w:t>.</w:t>
            </w:r>
            <w:r>
              <w:rPr>
                <w:sz w:val="24"/>
                <w:szCs w:val="24"/>
              </w:rPr>
              <w:t>6时间分辨荧光</w:t>
            </w:r>
            <w:r>
              <w:rPr>
                <w:rFonts w:hint="eastAsia"/>
                <w:sz w:val="24"/>
                <w:szCs w:val="24"/>
              </w:rPr>
              <w:t>（</w:t>
            </w:r>
            <w:r>
              <w:rPr>
                <w:sz w:val="24"/>
                <w:szCs w:val="24"/>
              </w:rPr>
              <w:t>TRF</w:t>
            </w:r>
            <w:r>
              <w:rPr>
                <w:rFonts w:hint="eastAsia"/>
                <w:sz w:val="24"/>
                <w:szCs w:val="24"/>
              </w:rPr>
              <w:t>）</w:t>
            </w:r>
            <w:r>
              <w:rPr>
                <w:sz w:val="24"/>
                <w:szCs w:val="24"/>
              </w:rPr>
              <w:t>和</w:t>
            </w:r>
            <w:r>
              <w:rPr>
                <w:rFonts w:hint="eastAsia"/>
                <w:sz w:val="24"/>
                <w:szCs w:val="24"/>
              </w:rPr>
              <w:t>时间分辨荧光共振能量转移（</w:t>
            </w:r>
            <w:r>
              <w:rPr>
                <w:sz w:val="24"/>
                <w:szCs w:val="24"/>
              </w:rPr>
              <w:t>TR-FRET</w:t>
            </w:r>
            <w:r>
              <w:rPr>
                <w:rFonts w:hint="eastAsia"/>
                <w:sz w:val="24"/>
                <w:szCs w:val="24"/>
              </w:rPr>
              <w:t>）</w:t>
            </w:r>
            <w:r>
              <w:rPr>
                <w:sz w:val="24"/>
                <w:szCs w:val="24"/>
              </w:rPr>
              <w:t>激发光滤光片，320/75nm 、620/10nm 、665/8nm。</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b/>
                <w:sz w:val="24"/>
                <w:szCs w:val="24"/>
              </w:rPr>
              <w:t>5、</w:t>
            </w:r>
            <w:r>
              <w:rPr>
                <w:rFonts w:hint="eastAsia" w:ascii="Segoe UI Symbol" w:hAnsi="Segoe UI Symbol" w:eastAsia="宋体" w:cs="Segoe UI Symbol"/>
                <w:sz w:val="24"/>
                <w:szCs w:val="24"/>
              </w:rPr>
              <w:t>若供应商参与竞争性谈判提供的产品为进口产品，参与竞争性谈判时必须提供生产厂家或厂家驻国内办事处或中国总代理商或厂家一级代理出具的授权书和售后服务承诺书原件扫描件；在供货时须提供原件。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4"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083"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纳米粒度仪</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套</w:t>
            </w:r>
          </w:p>
        </w:tc>
        <w:tc>
          <w:tcPr>
            <w:tcW w:w="6881" w:type="dxa"/>
          </w:tcPr>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1、系统</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1高稳定性He-Ne激光器</w:t>
            </w:r>
            <w:r>
              <w:rPr>
                <w:rFonts w:hint="eastAsia" w:ascii="Times New Roman" w:hAnsi="Times New Roman" w:eastAsia="宋体" w:cs="Times New Roman"/>
                <w:sz w:val="24"/>
                <w:szCs w:val="24"/>
              </w:rPr>
              <w:t>，</w:t>
            </w:r>
            <w:r>
              <w:rPr>
                <w:rFonts w:ascii="Times New Roman" w:hAnsi="Times New Roman" w:eastAsia="宋体" w:cs="Times New Roman"/>
                <w:sz w:val="24"/>
                <w:szCs w:val="24"/>
              </w:rPr>
              <w:t>输出能量</w:t>
            </w:r>
            <w:r>
              <w:rPr>
                <w:rFonts w:hint="eastAsia" w:ascii="Times New Roman" w:hAnsi="Times New Roman" w:eastAsia="宋体" w:cs="Times New Roman"/>
                <w:sz w:val="24"/>
                <w:szCs w:val="24"/>
              </w:rPr>
              <w:t>≥</w:t>
            </w:r>
            <w:r>
              <w:rPr>
                <w:rFonts w:ascii="Times New Roman" w:hAnsi="Times New Roman" w:eastAsia="宋体" w:cs="Times New Roman"/>
                <w:sz w:val="24"/>
                <w:szCs w:val="24"/>
              </w:rPr>
              <w:t>4mW。</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2激光器发热不影响控温精度。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3激光能量调整：自动，调节范围：100%-0</w:t>
            </w:r>
            <w:r>
              <w:rPr>
                <w:rFonts w:hint="eastAsia" w:ascii="Times New Roman" w:hAnsi="Times New Roman" w:eastAsia="宋体" w:cs="Times New Roman"/>
                <w:sz w:val="24"/>
                <w:szCs w:val="24"/>
              </w:rPr>
              <w:t>.</w:t>
            </w:r>
            <w:r>
              <w:rPr>
                <w:rFonts w:ascii="Times New Roman" w:hAnsi="Times New Roman" w:eastAsia="宋体" w:cs="Times New Roman"/>
                <w:sz w:val="24"/>
                <w:szCs w:val="24"/>
              </w:rPr>
              <w:t>0003%。</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4采用APD检测器，高灵敏度。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5温度控制范围：0-120度，精度+/-0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1度。</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6标配荧光过滤装置。</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7主机具有气体接入端口，可以通过连接压缩空气或者压缩氮气控制冷凝。</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8自适应相关器技术，通常样品检测时间24S。</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2、粒度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1检测角度：173°+13°。</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2检测范围：0</w:t>
            </w:r>
            <w:r>
              <w:rPr>
                <w:rFonts w:hint="eastAsia" w:ascii="Times New Roman" w:hAnsi="Times New Roman" w:eastAsia="宋体" w:cs="Times New Roman"/>
                <w:sz w:val="24"/>
                <w:szCs w:val="24"/>
              </w:rPr>
              <w:t>.</w:t>
            </w:r>
            <w:r>
              <w:rPr>
                <w:rFonts w:ascii="Times New Roman" w:hAnsi="Times New Roman" w:eastAsia="宋体" w:cs="Times New Roman"/>
                <w:sz w:val="24"/>
                <w:szCs w:val="24"/>
              </w:rPr>
              <w:t>3－10000nm。</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3检测位置可自动连续移动。</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4单角度测量浓度：0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1ppm-40%w/v。</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5完全符合</w:t>
            </w:r>
            <w:r>
              <w:rPr>
                <w:rFonts w:hint="eastAsia" w:ascii="Times New Roman" w:hAnsi="Times New Roman" w:eastAsia="宋体" w:cs="Times New Roman"/>
                <w:sz w:val="24"/>
                <w:szCs w:val="24"/>
              </w:rPr>
              <w:t>国标或</w:t>
            </w:r>
            <w:r>
              <w:rPr>
                <w:rFonts w:ascii="Times New Roman" w:hAnsi="Times New Roman" w:eastAsia="宋体" w:cs="Times New Roman"/>
                <w:sz w:val="24"/>
                <w:szCs w:val="24"/>
              </w:rPr>
              <w:t>国际标准ISO22412和ISO13321，有效消除多重光散射。</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6具有三种以上粒径分布计算模式。</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3、ZETA电位</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1zeta适合检测粒度范围：3</w:t>
            </w:r>
            <w:r>
              <w:rPr>
                <w:rFonts w:hint="eastAsia" w:ascii="Times New Roman" w:hAnsi="Times New Roman" w:eastAsia="宋体" w:cs="Times New Roman"/>
                <w:sz w:val="24"/>
                <w:szCs w:val="24"/>
              </w:rPr>
              <w:t>.</w:t>
            </w:r>
            <w:r>
              <w:rPr>
                <w:rFonts w:ascii="Times New Roman" w:hAnsi="Times New Roman" w:eastAsia="宋体" w:cs="Times New Roman"/>
                <w:sz w:val="24"/>
                <w:szCs w:val="24"/>
              </w:rPr>
              <w:t>8nm-100um。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2zeta电位范围：无实际限制。</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3迁移率：＞±20μ</w:t>
            </w:r>
            <w:r>
              <w:rPr>
                <w:rFonts w:hint="eastAsia" w:ascii="Times New Roman" w:hAnsi="Times New Roman" w:eastAsia="宋体" w:cs="Times New Roman"/>
                <w:sz w:val="24"/>
                <w:szCs w:val="24"/>
              </w:rPr>
              <w:t>.</w:t>
            </w:r>
            <w:r>
              <w:rPr>
                <w:rFonts w:ascii="Times New Roman" w:hAnsi="Times New Roman" w:eastAsia="宋体" w:cs="Times New Roman"/>
                <w:sz w:val="24"/>
                <w:szCs w:val="24"/>
              </w:rPr>
              <w:t>cm/V</w:t>
            </w:r>
            <w:r>
              <w:rPr>
                <w:rFonts w:hint="eastAsia" w:ascii="Times New Roman" w:hAnsi="Times New Roman" w:eastAsia="宋体" w:cs="Times New Roman"/>
                <w:sz w:val="24"/>
                <w:szCs w:val="24"/>
              </w:rPr>
              <w:t>.</w:t>
            </w:r>
            <w:r>
              <w:rPr>
                <w:rFonts w:ascii="Times New Roman" w:hAnsi="Times New Roman" w:eastAsia="宋体" w:cs="Times New Roman"/>
                <w:sz w:val="24"/>
                <w:szCs w:val="24"/>
              </w:rPr>
              <w:t>s。</w:t>
            </w:r>
          </w:p>
          <w:p>
            <w:pPr>
              <w:spacing w:line="360" w:lineRule="auto"/>
              <w:rPr>
                <w:rFonts w:ascii="Times New Roman" w:hAnsi="Times New Roman" w:eastAsia="宋体" w:cs="Times New Roman"/>
                <w:sz w:val="24"/>
                <w:szCs w:val="24"/>
              </w:rPr>
            </w:pPr>
            <w:r>
              <w:rPr>
                <w:rFonts w:hint="eastAsia" w:ascii="Segoe UI Symbol" w:hAnsi="Segoe UI Symbol" w:eastAsia="宋体" w:cs="Segoe UI Symbol"/>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4采用高频快场+低频慢场测量技术，无需校准样品池，完全克服电渗影响。</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5采用PALS相位分析技术，可检测高盐低盐浓度。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6采用弯曲式毛细管流动池，避免交叉污染。</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7最小样品量20μL。</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8电导率范围：0-260mS/cm。</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9最高浓度范围40%w/v。</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4、软件功能</w:t>
            </w:r>
            <w:r>
              <w:rPr>
                <w:rFonts w:hint="eastAsia" w:ascii="Times New Roman" w:hAnsi="Times New Roman" w:eastAsia="宋体" w:cs="Times New Roman"/>
                <w:b/>
                <w:sz w:val="24"/>
                <w:szCs w:val="24"/>
              </w:rPr>
              <w:t>要求：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1提供专家诊断程序，判断测试质量。</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2平均结果，标准偏差自动计算。</w:t>
            </w:r>
          </w:p>
          <w:p>
            <w:pPr>
              <w:spacing w:line="360" w:lineRule="auto"/>
              <w:rPr>
                <w:rFonts w:hint="eastAsia"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3稳态瞬态数据减少灰尘影响。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94" w:type="dxa"/>
            <w:vAlign w:val="center"/>
          </w:tcPr>
          <w:p>
            <w:pPr>
              <w:spacing w:line="360" w:lineRule="auto"/>
              <w:jc w:val="center"/>
              <w:rPr>
                <w:rFonts w:ascii="Times New Roman" w:hAnsi="Times New Roman" w:eastAsia="宋体" w:cs="Times New Roman"/>
                <w:sz w:val="24"/>
                <w:szCs w:val="24"/>
              </w:rPr>
            </w:pPr>
            <w:r>
              <w:rPr>
                <w:rFonts w:ascii="宋体" w:hAnsi="宋体" w:eastAsia="宋体" w:cs="宋体"/>
                <w:sz w:val="24"/>
                <w:szCs w:val="24"/>
              </w:rPr>
              <w:t>10</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植物茎流计</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套</w:t>
            </w:r>
          </w:p>
        </w:tc>
        <w:tc>
          <w:tcPr>
            <w:tcW w:w="6881"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1、数据采集器：标准≥32个模拟通道；可扩展；18位分辨率；采样频率：可达100Hz；包括SDI-12传感器输入通道；内存：不低于128MB；可进行数学、三角函数、比例及相关曲线、逻辑来计算模拟、数字通道的传感器的值；RS232接口，有PC进行数据通讯；U盘下载数据功能。</w:t>
            </w:r>
          </w:p>
          <w:p>
            <w:pPr>
              <w:spacing w:line="360" w:lineRule="auto"/>
              <w:jc w:val="left"/>
              <w:rPr>
                <w:rFonts w:ascii="宋体" w:hAnsi="宋体" w:eastAsia="宋体" w:cs="宋体"/>
                <w:sz w:val="24"/>
                <w:szCs w:val="24"/>
              </w:rPr>
            </w:pPr>
            <w:r>
              <w:rPr>
                <w:rFonts w:hint="eastAsia" w:ascii="宋体" w:hAnsi="宋体" w:eastAsia="宋体" w:cs="宋体"/>
                <w:sz w:val="24"/>
                <w:szCs w:val="24"/>
              </w:rPr>
              <w:t>▲2、测量原理：能量平衡原理,热平衡法,热电偶直径0.5m；稳定性2K电阻。</w:t>
            </w:r>
          </w:p>
          <w:p>
            <w:pPr>
              <w:spacing w:line="360" w:lineRule="auto"/>
              <w:jc w:val="left"/>
              <w:rPr>
                <w:rFonts w:ascii="宋体" w:hAnsi="宋体" w:eastAsia="宋体" w:cs="宋体"/>
                <w:sz w:val="24"/>
                <w:szCs w:val="24"/>
              </w:rPr>
            </w:pPr>
            <w:r>
              <w:rPr>
                <w:rFonts w:hint="eastAsia" w:ascii="宋体" w:hAnsi="宋体" w:eastAsia="宋体" w:cs="宋体"/>
                <w:sz w:val="24"/>
                <w:szCs w:val="24"/>
              </w:rPr>
              <w:t>3、测量参数：绝对茎流值、每小时蒸腾速率、每天蒸腾速率、整个作物蒸腾量。</w:t>
            </w:r>
          </w:p>
          <w:p>
            <w:pPr>
              <w:spacing w:line="360" w:lineRule="auto"/>
              <w:jc w:val="left"/>
              <w:rPr>
                <w:rFonts w:ascii="宋体" w:hAnsi="宋体" w:eastAsia="宋体" w:cs="宋体"/>
                <w:sz w:val="24"/>
                <w:szCs w:val="24"/>
              </w:rPr>
            </w:pPr>
            <w:r>
              <w:rPr>
                <w:rFonts w:hint="eastAsia" w:ascii="宋体" w:hAnsi="宋体" w:eastAsia="宋体" w:cs="宋体"/>
                <w:sz w:val="24"/>
                <w:szCs w:val="24"/>
              </w:rPr>
              <w:t>4、探头类型及适用植株直径适应范围：</w:t>
            </w:r>
          </w:p>
          <w:p>
            <w:pPr>
              <w:spacing w:line="360" w:lineRule="auto"/>
              <w:jc w:val="left"/>
              <w:rPr>
                <w:rFonts w:ascii="宋体" w:hAnsi="宋体" w:eastAsia="宋体" w:cs="宋体"/>
                <w:sz w:val="24"/>
                <w:szCs w:val="24"/>
              </w:rPr>
            </w:pPr>
            <w:r>
              <w:rPr>
                <w:rFonts w:hint="eastAsia" w:ascii="宋体" w:hAnsi="宋体" w:eastAsia="宋体" w:cs="宋体"/>
                <w:sz w:val="24"/>
                <w:szCs w:val="24"/>
              </w:rPr>
              <w:t>4.1 5mm传感器适配茎秆：5～7 mm。</w:t>
            </w:r>
          </w:p>
          <w:p>
            <w:pPr>
              <w:spacing w:line="360" w:lineRule="auto"/>
              <w:jc w:val="left"/>
              <w:rPr>
                <w:rFonts w:ascii="宋体" w:hAnsi="宋体" w:eastAsia="宋体" w:cs="宋体"/>
                <w:sz w:val="24"/>
                <w:szCs w:val="24"/>
              </w:rPr>
            </w:pPr>
            <w:r>
              <w:rPr>
                <w:rFonts w:hint="eastAsia" w:ascii="宋体" w:hAnsi="宋体" w:eastAsia="宋体" w:cs="宋体"/>
                <w:sz w:val="24"/>
                <w:szCs w:val="24"/>
              </w:rPr>
              <w:t>4.2 9mm传感器适配茎杆：8～12 mm。</w:t>
            </w:r>
          </w:p>
          <w:p>
            <w:pPr>
              <w:spacing w:line="360" w:lineRule="auto"/>
              <w:jc w:val="left"/>
              <w:rPr>
                <w:rFonts w:ascii="宋体" w:hAnsi="宋体" w:eastAsia="宋体" w:cs="宋体"/>
                <w:sz w:val="24"/>
                <w:szCs w:val="24"/>
              </w:rPr>
            </w:pPr>
            <w:r>
              <w:rPr>
                <w:rFonts w:hint="eastAsia" w:ascii="宋体" w:hAnsi="宋体" w:eastAsia="宋体" w:cs="宋体"/>
                <w:sz w:val="24"/>
                <w:szCs w:val="24"/>
              </w:rPr>
              <w:t>5、配置太阳能供电系统：＞40W太阳能板、充电控制器、12V 48Ah密封铅酸蓄电池、电池地埋箱及配套安装支架等。</w:t>
            </w:r>
          </w:p>
          <w:p>
            <w:pPr>
              <w:spacing w:line="360" w:lineRule="auto"/>
              <w:jc w:val="left"/>
              <w:rPr>
                <w:rFonts w:ascii="宋体" w:hAnsi="宋体" w:eastAsia="宋体" w:cs="宋体"/>
                <w:sz w:val="24"/>
                <w:szCs w:val="24"/>
              </w:rPr>
            </w:pPr>
            <w:r>
              <w:rPr>
                <w:rFonts w:hint="eastAsia" w:ascii="宋体" w:hAnsi="宋体" w:eastAsia="宋体" w:cs="宋体"/>
                <w:sz w:val="24"/>
                <w:szCs w:val="24"/>
              </w:rPr>
              <w:t>6、后期可升级扩展监测植物茎秆及果实的动态生长、叶温、冠层红外温度、土壤剖面水分温度、空气温湿度、有效辐射、净辐射等，同时监测植物叶片或果实的荧光参数。</w:t>
            </w:r>
          </w:p>
          <w:p>
            <w:pPr>
              <w:spacing w:line="360" w:lineRule="auto"/>
              <w:jc w:val="left"/>
              <w:rPr>
                <w:rFonts w:ascii="宋体" w:hAnsi="宋体" w:eastAsia="宋体" w:cs="宋体"/>
                <w:sz w:val="24"/>
                <w:szCs w:val="24"/>
              </w:rPr>
            </w:pPr>
            <w:r>
              <w:rPr>
                <w:rFonts w:hint="eastAsia" w:ascii="宋体" w:hAnsi="宋体" w:eastAsia="宋体" w:cs="宋体"/>
                <w:sz w:val="24"/>
                <w:szCs w:val="24"/>
              </w:rPr>
              <w:t>▲7、为保证系统运行平稳顺畅，要求主机与传感器为同一厂家原装生产，不允许组装。供货后由原厂家指派工程师进行安装。</w:t>
            </w:r>
          </w:p>
          <w:p>
            <w:pPr>
              <w:spacing w:line="360" w:lineRule="auto"/>
              <w:jc w:val="left"/>
              <w:rPr>
                <w:rFonts w:ascii="宋体" w:hAnsi="宋体" w:eastAsia="宋体" w:cs="宋体"/>
                <w:sz w:val="24"/>
                <w:szCs w:val="24"/>
              </w:rPr>
            </w:pPr>
            <w:r>
              <w:rPr>
                <w:rFonts w:hint="eastAsia" w:ascii="宋体" w:hAnsi="宋体" w:eastAsia="宋体" w:cs="宋体"/>
                <w:sz w:val="24"/>
                <w:szCs w:val="24"/>
              </w:rPr>
              <w:t>8、配置要求</w:t>
            </w:r>
          </w:p>
          <w:p>
            <w:pPr>
              <w:spacing w:line="360" w:lineRule="auto"/>
              <w:jc w:val="left"/>
              <w:rPr>
                <w:rFonts w:ascii="宋体" w:hAnsi="宋体" w:eastAsia="宋体" w:cs="宋体"/>
                <w:sz w:val="24"/>
                <w:szCs w:val="24"/>
              </w:rPr>
            </w:pPr>
            <w:r>
              <w:rPr>
                <w:rFonts w:hint="eastAsia" w:ascii="宋体" w:hAnsi="宋体" w:eastAsia="宋体" w:cs="宋体"/>
                <w:sz w:val="24"/>
                <w:szCs w:val="24"/>
              </w:rPr>
              <w:t>8.1数据采集器1台（含扩展板1个）。</w:t>
            </w:r>
          </w:p>
          <w:p>
            <w:pPr>
              <w:spacing w:line="360" w:lineRule="auto"/>
              <w:jc w:val="left"/>
              <w:rPr>
                <w:rFonts w:ascii="宋体" w:hAnsi="宋体" w:eastAsia="宋体" w:cs="宋体"/>
                <w:sz w:val="24"/>
                <w:szCs w:val="24"/>
              </w:rPr>
            </w:pPr>
            <w:r>
              <w:rPr>
                <w:rFonts w:hint="eastAsia" w:ascii="宋体" w:hAnsi="宋体" w:eastAsia="宋体" w:cs="宋体"/>
                <w:sz w:val="24"/>
                <w:szCs w:val="24"/>
              </w:rPr>
              <w:t>8.2 传感器：</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包裹式茎流探头：微探头（Micro-Sensor），茎秆直径5-7 mm。 (1个) </w:t>
            </w:r>
          </w:p>
          <w:p>
            <w:pPr>
              <w:spacing w:line="360" w:lineRule="auto"/>
              <w:jc w:val="left"/>
              <w:rPr>
                <w:rFonts w:ascii="宋体" w:hAnsi="宋体" w:eastAsia="宋体" w:cs="宋体"/>
                <w:sz w:val="24"/>
                <w:szCs w:val="24"/>
              </w:rPr>
            </w:pPr>
            <w:r>
              <w:rPr>
                <w:rFonts w:hint="eastAsia" w:ascii="宋体" w:hAnsi="宋体" w:eastAsia="宋体" w:cs="宋体"/>
                <w:sz w:val="24"/>
                <w:szCs w:val="24"/>
              </w:rPr>
              <w:t>包裹式茎流探头：茎秆探头（Stem Gage），茎秆直径8-12mm。（1个）</w:t>
            </w:r>
          </w:p>
          <w:p>
            <w:pPr>
              <w:spacing w:line="360" w:lineRule="auto"/>
              <w:jc w:val="left"/>
              <w:rPr>
                <w:rFonts w:ascii="宋体" w:hAnsi="宋体" w:eastAsia="宋体" w:cs="宋体"/>
                <w:sz w:val="24"/>
                <w:szCs w:val="24"/>
              </w:rPr>
            </w:pPr>
            <w:r>
              <w:rPr>
                <w:rFonts w:hint="eastAsia" w:ascii="宋体" w:hAnsi="宋体" w:eastAsia="宋体" w:cs="宋体"/>
                <w:sz w:val="24"/>
                <w:szCs w:val="24"/>
              </w:rPr>
              <w:t>8.3 GPRS无线传输模块1个。</w:t>
            </w:r>
          </w:p>
          <w:p>
            <w:pPr>
              <w:spacing w:line="360" w:lineRule="auto"/>
              <w:rPr>
                <w:rFonts w:ascii="Times New Roman" w:hAnsi="Times New Roman" w:eastAsia="宋体" w:cs="Times New Roman"/>
                <w:b/>
                <w:sz w:val="24"/>
                <w:szCs w:val="24"/>
              </w:rPr>
            </w:pPr>
            <w:r>
              <w:rPr>
                <w:rFonts w:hint="eastAsia" w:ascii="宋体" w:hAnsi="宋体" w:eastAsia="宋体" w:cs="宋体"/>
                <w:sz w:val="24"/>
                <w:szCs w:val="24"/>
              </w:rPr>
              <w:t>8.4防水机箱及100W太阳能供电系统及传感器延长缆线1套。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94" w:type="dxa"/>
            <w:vAlign w:val="center"/>
          </w:tcPr>
          <w:p>
            <w:pPr>
              <w:spacing w:line="360" w:lineRule="auto"/>
              <w:jc w:val="center"/>
              <w:rPr>
                <w:rFonts w:ascii="Times New Roman" w:hAnsi="Times New Roman" w:eastAsia="宋体" w:cs="Times New Roman"/>
                <w:sz w:val="24"/>
                <w:szCs w:val="24"/>
              </w:rPr>
            </w:pPr>
            <w:r>
              <w:rPr>
                <w:rFonts w:ascii="宋体" w:hAnsi="宋体" w:eastAsia="宋体" w:cs="宋体"/>
                <w:sz w:val="24"/>
                <w:szCs w:val="24"/>
              </w:rPr>
              <w:t>11</w:t>
            </w:r>
          </w:p>
        </w:tc>
        <w:tc>
          <w:tcPr>
            <w:tcW w:w="1083"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全自动密度梯度制备与分离分析系统</w:t>
            </w:r>
          </w:p>
        </w:tc>
        <w:tc>
          <w:tcPr>
            <w:tcW w:w="429" w:type="dxa"/>
            <w:vAlign w:val="center"/>
          </w:tcPr>
          <w:p>
            <w:pPr>
              <w:spacing w:line="360" w:lineRule="auto"/>
              <w:ind w:firstLine="120" w:firstLineChars="50"/>
              <w:jc w:val="center"/>
              <w:rPr>
                <w:rFonts w:ascii="Times New Roman" w:hAnsi="Times New Roman" w:eastAsia="宋体" w:cs="Times New Roman"/>
                <w:sz w:val="24"/>
                <w:szCs w:val="24"/>
              </w:rPr>
            </w:pPr>
            <w:r>
              <w:rPr>
                <w:rFonts w:hint="eastAsia" w:ascii="宋体" w:hAnsi="宋体" w:eastAsia="宋体" w:cs="宋体"/>
                <w:sz w:val="24"/>
                <w:szCs w:val="24"/>
              </w:rPr>
              <w:t>1</w:t>
            </w:r>
          </w:p>
        </w:tc>
        <w:tc>
          <w:tcPr>
            <w:tcW w:w="429" w:type="dxa"/>
            <w:vAlign w:val="center"/>
          </w:tcPr>
          <w:p>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rPr>
              <w:t>套</w:t>
            </w:r>
          </w:p>
        </w:tc>
        <w:tc>
          <w:tcPr>
            <w:tcW w:w="6881" w:type="dxa"/>
          </w:tcPr>
          <w:p>
            <w:pPr>
              <w:spacing w:line="360" w:lineRule="auto"/>
              <w:ind w:firstLine="482"/>
              <w:rPr>
                <w:rFonts w:ascii="宋体" w:hAnsi="宋体" w:eastAsia="宋体" w:cs="宋体"/>
                <w:b/>
                <w:sz w:val="24"/>
                <w:szCs w:val="24"/>
              </w:rPr>
            </w:pPr>
            <w:r>
              <w:rPr>
                <w:rFonts w:hint="eastAsia" w:ascii="宋体" w:hAnsi="宋体" w:eastAsia="宋体" w:cs="宋体"/>
                <w:b/>
                <w:sz w:val="24"/>
                <w:szCs w:val="24"/>
              </w:rPr>
              <w:t>1、工作条件</w:t>
            </w:r>
          </w:p>
          <w:p>
            <w:pPr>
              <w:spacing w:line="360" w:lineRule="auto"/>
              <w:rPr>
                <w:rFonts w:ascii="宋体" w:hAnsi="宋体" w:eastAsia="宋体" w:cs="宋体"/>
                <w:sz w:val="24"/>
                <w:szCs w:val="24"/>
              </w:rPr>
            </w:pPr>
            <w:r>
              <w:rPr>
                <w:rFonts w:hint="eastAsia" w:ascii="宋体" w:hAnsi="宋体" w:eastAsia="宋体" w:cs="宋体"/>
                <w:sz w:val="24"/>
                <w:szCs w:val="24"/>
              </w:rPr>
              <w:t>1.1 环境温度：室温。</w:t>
            </w:r>
          </w:p>
          <w:p>
            <w:pPr>
              <w:spacing w:line="360" w:lineRule="auto"/>
              <w:rPr>
                <w:rFonts w:ascii="宋体" w:hAnsi="宋体" w:eastAsia="宋体" w:cs="宋体"/>
                <w:sz w:val="24"/>
                <w:szCs w:val="24"/>
              </w:rPr>
            </w:pPr>
            <w:r>
              <w:rPr>
                <w:rFonts w:hint="eastAsia" w:ascii="宋体" w:hAnsi="宋体" w:eastAsia="宋体" w:cs="宋体"/>
                <w:sz w:val="24"/>
                <w:szCs w:val="24"/>
              </w:rPr>
              <w:t>1.2 湿度要求：相对湿度40%-60%。</w:t>
            </w:r>
          </w:p>
          <w:p>
            <w:pPr>
              <w:spacing w:line="360" w:lineRule="auto"/>
              <w:rPr>
                <w:rFonts w:ascii="宋体" w:hAnsi="宋体" w:eastAsia="宋体" w:cs="宋体"/>
                <w:sz w:val="24"/>
                <w:szCs w:val="24"/>
              </w:rPr>
            </w:pPr>
            <w:r>
              <w:rPr>
                <w:rFonts w:hint="eastAsia" w:ascii="宋体" w:hAnsi="宋体" w:eastAsia="宋体" w:cs="宋体"/>
                <w:sz w:val="24"/>
                <w:szCs w:val="24"/>
              </w:rPr>
              <w:t>1.3. 电源电压：220V/50Hz。</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2、设备功能要求</w:t>
            </w:r>
          </w:p>
          <w:p>
            <w:pPr>
              <w:spacing w:line="360" w:lineRule="auto"/>
              <w:rPr>
                <w:rFonts w:ascii="宋体" w:hAnsi="宋体" w:eastAsia="宋体" w:cs="宋体"/>
                <w:sz w:val="24"/>
                <w:szCs w:val="24"/>
              </w:rPr>
            </w:pPr>
            <w:r>
              <w:rPr>
                <w:rFonts w:hint="eastAsia" w:ascii="宋体" w:hAnsi="宋体" w:eastAsia="宋体" w:cs="宋体"/>
                <w:sz w:val="24"/>
                <w:szCs w:val="24"/>
              </w:rPr>
              <w:t xml:space="preserve"> 可用于制备多种介质的线性密度梯度，继而分离病毒、蛋白质、亚细胞器以及核酸等样品。</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3、详细要求</w:t>
            </w:r>
          </w:p>
          <w:p>
            <w:pPr>
              <w:spacing w:line="360" w:lineRule="auto"/>
              <w:rPr>
                <w:rFonts w:ascii="宋体" w:hAnsi="宋体" w:eastAsia="宋体" w:cs="宋体"/>
                <w:sz w:val="24"/>
                <w:szCs w:val="24"/>
              </w:rPr>
            </w:pPr>
            <w:r>
              <w:rPr>
                <w:rFonts w:hint="eastAsia" w:ascii="宋体" w:hAnsi="宋体" w:eastAsia="宋体" w:cs="宋体"/>
                <w:sz w:val="24"/>
                <w:szCs w:val="24"/>
              </w:rPr>
              <w:t>▲3.1通过多角度混旋原理制备线性密度梯度溶液，该溶液可用于等密度法离心或速度区带法离心。操作简便，只需预配两种浓度的溶液，即可生成线性梯度。无多次混合、冻融、层铺等特殊处理。</w:t>
            </w:r>
          </w:p>
          <w:p>
            <w:pPr>
              <w:spacing w:line="360" w:lineRule="auto"/>
              <w:rPr>
                <w:rFonts w:ascii="宋体" w:hAnsi="宋体" w:eastAsia="宋体" w:cs="宋体"/>
                <w:sz w:val="24"/>
                <w:szCs w:val="24"/>
              </w:rPr>
            </w:pPr>
            <w:r>
              <w:rPr>
                <w:rFonts w:hint="eastAsia" w:ascii="宋体" w:hAnsi="宋体" w:eastAsia="宋体" w:cs="宋体"/>
                <w:sz w:val="24"/>
                <w:szCs w:val="24"/>
              </w:rPr>
              <w:t>3.2适用广泛，可用于十种以上的介质的梯度制备，包括sucrose, glycerol, Optiprep®, Nycodenz®, Ficoll®, Percoll®,Metrizamide, Renografin®, NaCl, CsCl, NaAc 及KCl等介质。</w:t>
            </w:r>
          </w:p>
          <w:p>
            <w:pPr>
              <w:spacing w:line="360" w:lineRule="auto"/>
              <w:rPr>
                <w:rFonts w:ascii="宋体" w:hAnsi="宋体" w:eastAsia="宋体" w:cs="宋体"/>
                <w:sz w:val="24"/>
                <w:szCs w:val="24"/>
              </w:rPr>
            </w:pPr>
            <w:r>
              <w:rPr>
                <w:rFonts w:hint="eastAsia" w:ascii="宋体" w:hAnsi="宋体" w:eastAsia="宋体" w:cs="宋体"/>
                <w:sz w:val="24"/>
                <w:szCs w:val="24"/>
              </w:rPr>
              <w:t>▲3.3针对特殊应用的梯度介质溶液的密度梯度范围，可进行定制。</w:t>
            </w:r>
          </w:p>
          <w:p>
            <w:pPr>
              <w:spacing w:line="360" w:lineRule="auto"/>
              <w:rPr>
                <w:rFonts w:ascii="宋体" w:hAnsi="宋体" w:eastAsia="宋体" w:cs="宋体"/>
                <w:sz w:val="24"/>
                <w:szCs w:val="24"/>
              </w:rPr>
            </w:pPr>
            <w:r>
              <w:rPr>
                <w:rFonts w:hint="eastAsia" w:ascii="宋体" w:hAnsi="宋体" w:eastAsia="宋体" w:cs="宋体"/>
                <w:sz w:val="24"/>
                <w:szCs w:val="24"/>
              </w:rPr>
              <w:t>▲3.4快速高效，最快可在2min内同时完成≥6个离心管样品的线性梯度制备。</w:t>
            </w:r>
          </w:p>
          <w:p>
            <w:pPr>
              <w:spacing w:line="360" w:lineRule="auto"/>
              <w:rPr>
                <w:rFonts w:ascii="宋体" w:hAnsi="宋体" w:eastAsia="宋体" w:cs="宋体"/>
                <w:sz w:val="24"/>
                <w:szCs w:val="24"/>
              </w:rPr>
            </w:pPr>
            <w:r>
              <w:rPr>
                <w:rFonts w:hint="eastAsia" w:ascii="宋体" w:hAnsi="宋体" w:eastAsia="宋体" w:cs="宋体"/>
                <w:sz w:val="24"/>
                <w:szCs w:val="24"/>
              </w:rPr>
              <w:t>3.5 LCD显示屏，按键式操作，稳定耐用。带有SD卡读取口，可通过电脑下载梯度制备程序，实现程序更新和升级。</w:t>
            </w:r>
          </w:p>
          <w:p>
            <w:pPr>
              <w:spacing w:line="360" w:lineRule="auto"/>
              <w:rPr>
                <w:rFonts w:ascii="宋体" w:hAnsi="宋体" w:eastAsia="宋体" w:cs="宋体"/>
                <w:sz w:val="24"/>
                <w:szCs w:val="24"/>
              </w:rPr>
            </w:pPr>
            <w:r>
              <w:rPr>
                <w:rFonts w:hint="eastAsia" w:ascii="宋体" w:hAnsi="宋体" w:eastAsia="宋体" w:cs="宋体"/>
                <w:sz w:val="24"/>
                <w:szCs w:val="24"/>
              </w:rPr>
              <w:t>3.6预设内置程序，自动设定梯度制备转速、时间、角度，每个转头至少10个以上内置梯度程序可选。也可手动编程，输入、编辑各种梯度制备程序，储存备用。</w:t>
            </w:r>
          </w:p>
          <w:p>
            <w:pPr>
              <w:spacing w:line="360" w:lineRule="auto"/>
              <w:rPr>
                <w:rFonts w:ascii="宋体" w:hAnsi="宋体" w:eastAsia="宋体" w:cs="宋体"/>
                <w:sz w:val="24"/>
                <w:szCs w:val="24"/>
              </w:rPr>
            </w:pPr>
            <w:r>
              <w:rPr>
                <w:rFonts w:hint="eastAsia" w:ascii="宋体" w:hAnsi="宋体" w:eastAsia="宋体" w:cs="宋体"/>
                <w:sz w:val="24"/>
                <w:szCs w:val="24"/>
              </w:rPr>
              <w:t>3.7记忆功能，自动记忆最近使用的10种梯度制备程序，直接进入，避免参数的重复设置。</w:t>
            </w:r>
          </w:p>
          <w:p>
            <w:pPr>
              <w:spacing w:line="360" w:lineRule="auto"/>
              <w:rPr>
                <w:rFonts w:ascii="宋体" w:hAnsi="宋体" w:eastAsia="宋体" w:cs="宋体"/>
                <w:sz w:val="24"/>
                <w:szCs w:val="24"/>
              </w:rPr>
            </w:pPr>
            <w:r>
              <w:rPr>
                <w:rFonts w:hint="eastAsia" w:ascii="宋体" w:hAnsi="宋体" w:eastAsia="宋体" w:cs="宋体"/>
                <w:sz w:val="24"/>
                <w:szCs w:val="24"/>
              </w:rPr>
              <w:t>▲3.8磁性转盘设计，主机带有平衡系统，轻松调水平，并配有体积标记器。</w:t>
            </w:r>
          </w:p>
          <w:p>
            <w:pPr>
              <w:spacing w:line="360" w:lineRule="auto"/>
              <w:rPr>
                <w:rFonts w:ascii="宋体" w:hAnsi="宋体" w:eastAsia="宋体" w:cs="宋体"/>
                <w:sz w:val="24"/>
                <w:szCs w:val="24"/>
              </w:rPr>
            </w:pPr>
            <w:r>
              <w:rPr>
                <w:rFonts w:hint="eastAsia" w:ascii="宋体" w:hAnsi="宋体" w:eastAsia="宋体" w:cs="宋体"/>
                <w:sz w:val="24"/>
                <w:szCs w:val="24"/>
              </w:rPr>
              <w:t>3.9转盘旋转角度：0.0-90.0°（从垂直位开始）转速范围0-60rpm。</w:t>
            </w:r>
          </w:p>
          <w:p>
            <w:pPr>
              <w:spacing w:line="360" w:lineRule="auto"/>
              <w:rPr>
                <w:rFonts w:ascii="宋体" w:hAnsi="宋体" w:eastAsia="宋体" w:cs="宋体"/>
                <w:sz w:val="24"/>
                <w:szCs w:val="24"/>
              </w:rPr>
            </w:pPr>
            <w:r>
              <w:rPr>
                <w:rFonts w:hint="eastAsia" w:ascii="宋体" w:hAnsi="宋体" w:eastAsia="宋体" w:cs="宋体"/>
                <w:sz w:val="24"/>
                <w:szCs w:val="24"/>
              </w:rPr>
              <w:t>▲3.10梯度分离系统无样品扰动和条带混淆，无分散层流和拖尾现象。无需穿刺，节省耗材。</w:t>
            </w:r>
          </w:p>
          <w:p>
            <w:pPr>
              <w:spacing w:line="360" w:lineRule="auto"/>
              <w:rPr>
                <w:rFonts w:ascii="宋体" w:hAnsi="宋体" w:eastAsia="宋体" w:cs="宋体"/>
                <w:sz w:val="24"/>
                <w:szCs w:val="24"/>
              </w:rPr>
            </w:pPr>
            <w:r>
              <w:rPr>
                <w:rFonts w:hint="eastAsia" w:ascii="宋体" w:hAnsi="宋体" w:eastAsia="宋体" w:cs="宋体"/>
                <w:sz w:val="24"/>
                <w:szCs w:val="24"/>
              </w:rPr>
              <w:t>3.11步进马达推动吸头，精确控制步进速度0.2-6.5mm/sec。马达速度：0.1-6.5mm/sec向下可调，6.5mm/sec向上。</w:t>
            </w:r>
          </w:p>
          <w:p>
            <w:pPr>
              <w:spacing w:line="360" w:lineRule="auto"/>
              <w:rPr>
                <w:rFonts w:ascii="宋体" w:hAnsi="宋体" w:eastAsia="宋体" w:cs="宋体"/>
                <w:sz w:val="24"/>
                <w:szCs w:val="24"/>
              </w:rPr>
            </w:pPr>
            <w:r>
              <w:rPr>
                <w:rFonts w:hint="eastAsia" w:ascii="宋体" w:hAnsi="宋体" w:eastAsia="宋体" w:cs="宋体"/>
                <w:sz w:val="24"/>
                <w:szCs w:val="24"/>
              </w:rPr>
              <w:t>3.12可编辑收集程序自动收集样品条带，分别设有活塞速度、组分长度、组分个数、清洗等参数。</w:t>
            </w:r>
          </w:p>
          <w:p>
            <w:pPr>
              <w:spacing w:line="360" w:lineRule="auto"/>
              <w:rPr>
                <w:rFonts w:ascii="宋体" w:hAnsi="宋体" w:eastAsia="宋体" w:cs="宋体"/>
                <w:sz w:val="24"/>
                <w:szCs w:val="24"/>
              </w:rPr>
            </w:pPr>
            <w:r>
              <w:rPr>
                <w:rFonts w:hint="eastAsia" w:ascii="宋体" w:hAnsi="宋体" w:eastAsia="宋体" w:cs="宋体"/>
                <w:sz w:val="24"/>
                <w:szCs w:val="24"/>
              </w:rPr>
              <w:t>3.13机器通过软件进行自动清洗、吹干功能，无需手动操作。</w:t>
            </w:r>
          </w:p>
          <w:p>
            <w:pPr>
              <w:spacing w:line="360" w:lineRule="auto"/>
              <w:rPr>
                <w:rFonts w:ascii="宋体" w:hAnsi="宋体" w:eastAsia="宋体" w:cs="宋体"/>
                <w:sz w:val="24"/>
                <w:szCs w:val="24"/>
              </w:rPr>
            </w:pPr>
            <w:r>
              <w:rPr>
                <w:rFonts w:hint="eastAsia" w:ascii="宋体" w:hAnsi="宋体" w:eastAsia="宋体" w:cs="宋体"/>
                <w:sz w:val="24"/>
                <w:szCs w:val="24"/>
              </w:rPr>
              <w:t>3.14主机含可见光观测系统：标配20W卤素灯，在进行条带分离时，实时观测。</w:t>
            </w:r>
          </w:p>
          <w:p>
            <w:pPr>
              <w:spacing w:line="360" w:lineRule="auto"/>
              <w:rPr>
                <w:rFonts w:ascii="宋体" w:hAnsi="宋体" w:eastAsia="宋体" w:cs="宋体"/>
                <w:sz w:val="24"/>
                <w:szCs w:val="24"/>
              </w:rPr>
            </w:pPr>
            <w:r>
              <w:rPr>
                <w:rFonts w:hint="eastAsia" w:ascii="宋体" w:hAnsi="宋体" w:eastAsia="宋体" w:cs="宋体"/>
                <w:sz w:val="24"/>
                <w:szCs w:val="24"/>
              </w:rPr>
              <w:t>▲3.15配有双通道紫外组分检测器，可对组分条带进行260nm或者280nm紫外检测及图谱绘制。</w:t>
            </w:r>
          </w:p>
          <w:p>
            <w:pPr>
              <w:spacing w:line="360" w:lineRule="auto"/>
              <w:rPr>
                <w:rFonts w:ascii="宋体" w:hAnsi="宋体" w:eastAsia="宋体" w:cs="宋体"/>
                <w:sz w:val="24"/>
                <w:szCs w:val="24"/>
              </w:rPr>
            </w:pPr>
            <w:r>
              <w:rPr>
                <w:rFonts w:hint="eastAsia" w:ascii="宋体" w:hAnsi="宋体" w:eastAsia="宋体" w:cs="宋体"/>
                <w:sz w:val="24"/>
                <w:szCs w:val="24"/>
              </w:rPr>
              <w:t>3.16光源类型：LED灯，长寿命，无需预热使用。</w:t>
            </w:r>
          </w:p>
          <w:p>
            <w:pPr>
              <w:spacing w:line="360" w:lineRule="auto"/>
              <w:rPr>
                <w:rFonts w:ascii="宋体" w:hAnsi="宋体" w:eastAsia="宋体" w:cs="宋体"/>
                <w:sz w:val="24"/>
                <w:szCs w:val="24"/>
              </w:rPr>
            </w:pPr>
            <w:r>
              <w:rPr>
                <w:rFonts w:hint="eastAsia" w:ascii="宋体" w:hAnsi="宋体" w:eastAsia="宋体" w:cs="宋体"/>
                <w:sz w:val="24"/>
                <w:szCs w:val="24"/>
              </w:rPr>
              <w:t>3.17配有条带取样单元，自动化获取样品条带。</w:t>
            </w:r>
          </w:p>
          <w:p>
            <w:pPr>
              <w:spacing w:line="360" w:lineRule="auto"/>
              <w:rPr>
                <w:rFonts w:ascii="宋体" w:hAnsi="宋体" w:eastAsia="宋体" w:cs="宋体"/>
                <w:sz w:val="24"/>
                <w:szCs w:val="24"/>
              </w:rPr>
            </w:pPr>
            <w:r>
              <w:rPr>
                <w:rFonts w:hint="eastAsia" w:ascii="宋体" w:hAnsi="宋体" w:eastAsia="宋体" w:cs="宋体"/>
                <w:sz w:val="24"/>
                <w:szCs w:val="24"/>
              </w:rPr>
              <w:t>▲3.18制备系统和分离系统一体机结构，节省工作空间。</w:t>
            </w:r>
          </w:p>
          <w:p>
            <w:pPr>
              <w:spacing w:line="360" w:lineRule="auto"/>
              <w:rPr>
                <w:rFonts w:ascii="宋体" w:hAnsi="宋体" w:eastAsia="宋体" w:cs="宋体"/>
                <w:sz w:val="24"/>
                <w:szCs w:val="24"/>
              </w:rPr>
            </w:pPr>
            <w:r>
              <w:rPr>
                <w:rFonts w:hint="eastAsia" w:ascii="宋体" w:hAnsi="宋体" w:eastAsia="宋体" w:cs="宋体"/>
                <w:sz w:val="24"/>
                <w:szCs w:val="24"/>
              </w:rPr>
              <w:t>标配软件系统，连接电脑后可对分离清洗全过程进行全程控制，实时显示信号的采集过程、数据叠加、处理等功能，并以图片及excel格式导出数据。</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4、产品配置要求</w:t>
            </w:r>
          </w:p>
          <w:p>
            <w:pPr>
              <w:spacing w:line="360" w:lineRule="auto"/>
              <w:rPr>
                <w:rFonts w:ascii="宋体" w:hAnsi="宋体" w:eastAsia="宋体" w:cs="宋体"/>
                <w:sz w:val="24"/>
                <w:szCs w:val="24"/>
              </w:rPr>
            </w:pPr>
            <w:r>
              <w:rPr>
                <w:rFonts w:hint="eastAsia" w:ascii="宋体" w:hAnsi="宋体" w:eastAsia="宋体" w:cs="宋体"/>
                <w:sz w:val="24"/>
                <w:szCs w:val="24"/>
              </w:rPr>
              <w:t>4.1全自动密度梯度制备与分离分析系统主机1台。</w:t>
            </w:r>
          </w:p>
          <w:p>
            <w:pPr>
              <w:spacing w:line="360" w:lineRule="auto"/>
              <w:rPr>
                <w:rFonts w:ascii="宋体" w:hAnsi="宋体" w:eastAsia="宋体" w:cs="宋体"/>
                <w:sz w:val="24"/>
                <w:szCs w:val="24"/>
              </w:rPr>
            </w:pPr>
            <w:r>
              <w:rPr>
                <w:rFonts w:hint="eastAsia" w:ascii="宋体" w:hAnsi="宋体" w:eastAsia="宋体" w:cs="宋体"/>
                <w:sz w:val="24"/>
                <w:szCs w:val="24"/>
              </w:rPr>
              <w:t>4.2 制备适配器1套。</w:t>
            </w:r>
          </w:p>
          <w:p>
            <w:pPr>
              <w:spacing w:line="360" w:lineRule="auto"/>
              <w:rPr>
                <w:rFonts w:ascii="宋体" w:hAnsi="宋体" w:eastAsia="宋体" w:cs="宋体"/>
                <w:sz w:val="24"/>
                <w:szCs w:val="24"/>
              </w:rPr>
            </w:pPr>
            <w:r>
              <w:rPr>
                <w:rFonts w:hint="eastAsia" w:ascii="宋体" w:hAnsi="宋体" w:eastAsia="宋体" w:cs="宋体"/>
                <w:sz w:val="24"/>
                <w:szCs w:val="24"/>
              </w:rPr>
              <w:t>4.3 分离适配器1套。</w:t>
            </w:r>
          </w:p>
          <w:p>
            <w:pPr>
              <w:spacing w:line="360" w:lineRule="auto"/>
              <w:rPr>
                <w:rFonts w:ascii="宋体" w:hAnsi="宋体" w:eastAsia="宋体" w:cs="宋体"/>
                <w:sz w:val="24"/>
                <w:szCs w:val="24"/>
              </w:rPr>
            </w:pPr>
            <w:r>
              <w:rPr>
                <w:rFonts w:hint="eastAsia" w:ascii="宋体" w:hAnsi="宋体" w:eastAsia="宋体" w:cs="宋体"/>
                <w:sz w:val="24"/>
                <w:szCs w:val="24"/>
              </w:rPr>
              <w:t>4.4 双通道紫外检测器1个。</w:t>
            </w:r>
          </w:p>
          <w:p>
            <w:pPr>
              <w:spacing w:line="360" w:lineRule="auto"/>
              <w:rPr>
                <w:rFonts w:ascii="宋体" w:hAnsi="宋体" w:eastAsia="宋体" w:cs="宋体"/>
                <w:sz w:val="24"/>
                <w:szCs w:val="24"/>
              </w:rPr>
            </w:pPr>
            <w:r>
              <w:rPr>
                <w:rFonts w:hint="eastAsia" w:ascii="宋体" w:hAnsi="宋体" w:eastAsia="宋体" w:cs="宋体"/>
                <w:sz w:val="24"/>
                <w:szCs w:val="24"/>
              </w:rPr>
              <w:t>4.5 取样单元1套。</w:t>
            </w:r>
          </w:p>
          <w:p>
            <w:pPr>
              <w:spacing w:line="360" w:lineRule="auto"/>
              <w:rPr>
                <w:rFonts w:ascii="Times New Roman" w:hAnsi="Times New Roman" w:eastAsia="宋体" w:cs="Times New Roman"/>
                <w:b/>
                <w:sz w:val="24"/>
                <w:szCs w:val="24"/>
              </w:rPr>
            </w:pPr>
            <w:r>
              <w:rPr>
                <w:rFonts w:hint="eastAsia" w:ascii="宋体" w:hAnsi="宋体" w:eastAsia="宋体" w:cs="宋体"/>
                <w:sz w:val="24"/>
                <w:szCs w:val="24"/>
              </w:rPr>
              <w:t>4.6 1.5mL支架1个。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316" w:type="dxa"/>
            <w:gridSpan w:val="5"/>
            <w:vAlign w:val="center"/>
          </w:tcPr>
          <w:p>
            <w:pPr>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77" w:type="dxa"/>
            <w:gridSpan w:val="2"/>
            <w:vAlign w:val="center"/>
          </w:tcPr>
          <w:p>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合同</w:t>
            </w:r>
          </w:p>
          <w:p>
            <w:pPr>
              <w:widowControl/>
              <w:spacing w:line="360" w:lineRule="auto"/>
              <w:jc w:val="center"/>
              <w:rPr>
                <w:rFonts w:ascii="宋体" w:hAnsi="宋体" w:eastAsia="宋体" w:cs="宋体"/>
                <w:b/>
                <w:bCs/>
                <w:kern w:val="1"/>
                <w:sz w:val="24"/>
                <w:szCs w:val="24"/>
              </w:rPr>
            </w:pPr>
            <w:r>
              <w:rPr>
                <w:rFonts w:hint="eastAsia" w:ascii="宋体" w:hAnsi="宋体" w:eastAsia="宋体" w:cs="宋体"/>
                <w:b/>
                <w:bCs/>
                <w:sz w:val="24"/>
                <w:szCs w:val="24"/>
              </w:rPr>
              <w:t>签订时间</w:t>
            </w:r>
          </w:p>
        </w:tc>
        <w:tc>
          <w:tcPr>
            <w:tcW w:w="7739" w:type="dxa"/>
            <w:gridSpan w:val="3"/>
            <w:vAlign w:val="center"/>
          </w:tcPr>
          <w:p>
            <w:pPr>
              <w:widowControl/>
              <w:spacing w:line="360" w:lineRule="auto"/>
              <w:rPr>
                <w:rFonts w:ascii="宋体" w:hAnsi="宋体" w:eastAsia="宋体" w:cs="宋体"/>
                <w:sz w:val="24"/>
                <w:szCs w:val="24"/>
              </w:rPr>
            </w:pPr>
            <w:r>
              <w:rPr>
                <w:rFonts w:hint="eastAsia" w:ascii="宋体" w:hAnsi="宋体" w:eastAsia="宋体" w:cs="宋体"/>
                <w:sz w:val="24"/>
                <w:szCs w:val="24"/>
              </w:rPr>
              <w:t>自成交通知书发出之日起25日内。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577" w:type="dxa"/>
            <w:gridSpan w:val="2"/>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交货时间</w:t>
            </w:r>
          </w:p>
          <w:p>
            <w:pPr>
              <w:spacing w:line="360" w:lineRule="auto"/>
              <w:jc w:val="center"/>
              <w:rPr>
                <w:rFonts w:ascii="宋体" w:hAnsi="宋体" w:eastAsia="宋体" w:cs="宋体"/>
                <w:kern w:val="1"/>
                <w:sz w:val="24"/>
                <w:szCs w:val="24"/>
              </w:rPr>
            </w:pPr>
            <w:r>
              <w:rPr>
                <w:rFonts w:hint="eastAsia" w:ascii="宋体" w:hAnsi="宋体" w:eastAsia="宋体" w:cs="宋体"/>
                <w:b/>
                <w:sz w:val="24"/>
                <w:szCs w:val="24"/>
              </w:rPr>
              <w:t>及地点</w:t>
            </w:r>
          </w:p>
        </w:tc>
        <w:tc>
          <w:tcPr>
            <w:tcW w:w="7739" w:type="dxa"/>
            <w:gridSpan w:val="3"/>
            <w:vAlign w:val="center"/>
          </w:tcPr>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交货时间：国产设备自签订合同之日起</w:t>
            </w:r>
            <w:r>
              <w:rPr>
                <w:rFonts w:ascii="宋体" w:hAnsi="宋体" w:eastAsia="宋体" w:cs="宋体"/>
                <w:sz w:val="24"/>
                <w:szCs w:val="24"/>
              </w:rPr>
              <w:t>60</w:t>
            </w:r>
            <w:r>
              <w:rPr>
                <w:rFonts w:hint="eastAsia" w:ascii="宋体" w:hAnsi="宋体" w:eastAsia="宋体" w:cs="宋体"/>
                <w:sz w:val="24"/>
                <w:szCs w:val="24"/>
              </w:rPr>
              <w:t>日历天内到货安装调试完成并通过验收。进口设备自签订合同之日起</w:t>
            </w:r>
            <w:r>
              <w:rPr>
                <w:rFonts w:ascii="宋体" w:hAnsi="宋体" w:eastAsia="宋体" w:cs="宋体"/>
                <w:sz w:val="24"/>
                <w:szCs w:val="24"/>
              </w:rPr>
              <w:t>150</w:t>
            </w:r>
            <w:r>
              <w:rPr>
                <w:rFonts w:hint="eastAsia" w:ascii="宋体" w:hAnsi="宋体" w:eastAsia="宋体" w:cs="宋体"/>
                <w:sz w:val="24"/>
                <w:szCs w:val="24"/>
              </w:rPr>
              <w:t>日历天内到货安装调试完成并通过验收。</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交货地点：广西大学用户指定地点。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7" w:type="dxa"/>
            <w:gridSpan w:val="2"/>
            <w:vAlign w:val="center"/>
          </w:tcPr>
          <w:p>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货物验收</w:t>
            </w:r>
          </w:p>
        </w:tc>
        <w:tc>
          <w:tcPr>
            <w:tcW w:w="7739" w:type="dxa"/>
            <w:gridSpan w:val="3"/>
            <w:vAlign w:val="center"/>
          </w:tcPr>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2.货物经过双方检验认可后，签署验收报告。由成交供应商提供产品保修文件。</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3.当满足以下条件时，采购人才向成交供应商签发货物验收报告：</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（1）成交供应商已按照合同规定提供了全部产品及完整的技术资料。</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（2）货物各项参数完全符合《技术参数及性能（配置）要求》的要求，性能满足要求。</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（3）成交供应商需负责安装、调试（测试），并完成采购人的使用操作培训。</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4.验收过程中所产生的一切费用均包含在响应报价中，由成交供应商承担，。</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5.成交产品不能涉及任何法律纠纷。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质量保证要求</w:t>
            </w:r>
          </w:p>
        </w:tc>
        <w:tc>
          <w:tcPr>
            <w:tcW w:w="7739" w:type="dxa"/>
            <w:gridSpan w:val="3"/>
          </w:tcPr>
          <w:p>
            <w:pPr>
              <w:tabs>
                <w:tab w:val="left" w:pos="420"/>
              </w:tabs>
              <w:spacing w:line="360" w:lineRule="auto"/>
              <w:rPr>
                <w:rFonts w:ascii="宋体" w:hAnsi="宋体" w:eastAsia="宋体" w:cs="宋体"/>
                <w:color w:val="auto"/>
                <w:kern w:val="0"/>
                <w:sz w:val="24"/>
                <w:szCs w:val="24"/>
              </w:rPr>
            </w:pPr>
            <w:r>
              <w:rPr>
                <w:rFonts w:hint="eastAsia" w:ascii="宋体" w:hAnsi="宋体" w:eastAsia="宋体" w:cs="宋体"/>
                <w:color w:val="auto"/>
                <w:sz w:val="24"/>
                <w:szCs w:val="24"/>
              </w:rPr>
              <w:t>1.按国家有关产品“三包”规定执行“三包”政策，质量保证期不少于1年（分项货物或配置有明确要求的按分项要求；生产厂家承诺的质量保证期更长的按生产厂家的承诺），交货验收合格之日起计。</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在质量保证期内出现的</w:t>
            </w:r>
            <w:r>
              <w:rPr>
                <w:rFonts w:hint="eastAsia" w:ascii="宋体" w:hAnsi="宋体" w:eastAsia="宋体" w:cs="宋体"/>
                <w:color w:val="auto"/>
                <w:sz w:val="24"/>
                <w:szCs w:val="24"/>
              </w:rPr>
              <w:t>任何故障及损失，成交供应商负责维修、更换配件，并负责软件更新升级、系统维护和远程服务。</w:t>
            </w:r>
          </w:p>
          <w:p>
            <w:pPr>
              <w:tabs>
                <w:tab w:val="left" w:pos="42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3.质量保证期满后，终身维护，且以市场最优惠价格提供维修和备件更换、软件更新升级，且承诺为用户提供终身技术咨询服务。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7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售后服务要求</w:t>
            </w:r>
          </w:p>
        </w:tc>
        <w:tc>
          <w:tcPr>
            <w:tcW w:w="7739" w:type="dxa"/>
            <w:gridSpan w:val="3"/>
          </w:tcPr>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1.负责送货上门、提供产品原厂工程师现场安装、安装调试服务、技术培训和12个月远程服务。</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2.维修响应：售后服务要求7天×8小时工作制，成交供应商在接到用户维修电话后1小时内响应，3小时内到达现场处理，一般情况下24小时内恢复正常使用。若不能修复须有合理应对方案。</w:t>
            </w:r>
          </w:p>
          <w:p>
            <w:pPr>
              <w:pStyle w:val="2"/>
              <w:spacing w:line="360" w:lineRule="auto"/>
              <w:rPr>
                <w:rFonts w:ascii="宋体" w:hAnsi="宋体" w:cs="宋体"/>
                <w:sz w:val="24"/>
                <w:szCs w:val="24"/>
              </w:rPr>
            </w:pPr>
            <w:r>
              <w:rPr>
                <w:rFonts w:hint="eastAsia" w:ascii="宋体" w:hAnsi="宋体" w:cs="宋体"/>
                <w:sz w:val="24"/>
                <w:szCs w:val="24"/>
              </w:rPr>
              <w:t>3.</w:t>
            </w:r>
            <w:r>
              <w:rPr>
                <w:rFonts w:hint="eastAsia" w:ascii="宋体" w:hAnsi="宋体" w:cs="宋体"/>
                <w:bCs/>
                <w:kern w:val="0"/>
                <w:sz w:val="24"/>
                <w:szCs w:val="24"/>
              </w:rPr>
              <w:t>质量保证期</w:t>
            </w:r>
            <w:r>
              <w:rPr>
                <w:rFonts w:hint="eastAsia" w:ascii="宋体" w:hAnsi="宋体" w:cs="宋体"/>
                <w:sz w:val="24"/>
                <w:szCs w:val="24"/>
              </w:rPr>
              <w:t>内因设备性能故障检修三次仍不能正常使用的，供应商无条件更换新设备。在超出</w:t>
            </w:r>
            <w:r>
              <w:rPr>
                <w:rFonts w:hint="eastAsia" w:ascii="宋体" w:hAnsi="宋体" w:cs="宋体"/>
                <w:bCs/>
                <w:kern w:val="0"/>
                <w:sz w:val="24"/>
                <w:szCs w:val="24"/>
              </w:rPr>
              <w:t>质量保证期</w:t>
            </w:r>
            <w:r>
              <w:rPr>
                <w:rFonts w:hint="eastAsia" w:ascii="宋体" w:hAnsi="宋体" w:cs="宋体"/>
                <w:sz w:val="24"/>
                <w:szCs w:val="24"/>
              </w:rPr>
              <w:t>后，如产品发生故障，可派技术员上门服务；如需更换配件，配件均按市场最优惠价格供应。</w:t>
            </w:r>
          </w:p>
          <w:p>
            <w:pPr>
              <w:spacing w:line="360" w:lineRule="auto"/>
              <w:rPr>
                <w:rFonts w:ascii="宋体" w:hAnsi="宋体" w:eastAsia="宋体" w:cs="宋体"/>
                <w:sz w:val="24"/>
                <w:szCs w:val="24"/>
              </w:rPr>
            </w:pPr>
            <w:r>
              <w:rPr>
                <w:rFonts w:hint="eastAsia" w:ascii="宋体" w:hAnsi="宋体" w:eastAsia="宋体" w:cs="宋体"/>
                <w:sz w:val="24"/>
                <w:szCs w:val="24"/>
              </w:rPr>
              <w:t>4.终身提供技术协助服务。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77" w:type="dxa"/>
            <w:gridSpan w:val="2"/>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rPr>
              <w:t>履约保证金收取及退付</w:t>
            </w:r>
          </w:p>
        </w:tc>
        <w:tc>
          <w:tcPr>
            <w:tcW w:w="7739" w:type="dxa"/>
            <w:gridSpan w:val="3"/>
          </w:tcPr>
          <w:p>
            <w:pPr>
              <w:pStyle w:val="2"/>
              <w:spacing w:line="360" w:lineRule="auto"/>
              <w:rPr>
                <w:rFonts w:ascii="宋体" w:hAnsi="宋体" w:cs="宋体"/>
                <w:b/>
                <w:sz w:val="24"/>
                <w:szCs w:val="24"/>
              </w:rPr>
            </w:pPr>
            <w:r>
              <w:rPr>
                <w:rFonts w:hint="eastAsia" w:ascii="宋体" w:hAnsi="宋体" w:cs="宋体"/>
                <w:sz w:val="24"/>
                <w:szCs w:val="24"/>
              </w:rPr>
              <w:t>1.履约保证金金额：成交供应商为中小微企业的，履约保证金为合同金额的2%，大型企业的履约保证金为合同金额的5%（以响应文件中提交的中小企业声明函为依据）；</w:t>
            </w:r>
            <w:r>
              <w:rPr>
                <w:rFonts w:hint="eastAsia" w:ascii="宋体" w:hAnsi="宋体" w:cs="宋体"/>
                <w:bCs/>
                <w:sz w:val="24"/>
                <w:szCs w:val="24"/>
              </w:rPr>
              <w:t>签订合同前须交至指定账户，否则不予签订合同</w:t>
            </w:r>
            <w:r>
              <w:rPr>
                <w:rFonts w:hint="eastAsia" w:ascii="宋体" w:hAnsi="宋体" w:cs="宋体"/>
                <w:b/>
                <w:sz w:val="24"/>
                <w:szCs w:val="24"/>
              </w:rPr>
              <w:t>。</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2.履约保证金递交方式：银行转账、电汇或者银行出具的保函等非现金方式。由成交供应商在签订合同前按规定的金额直接缴入以下采购人账户。凭履约保证金缴纳凭证签订合同。</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统一社会信用代码：124500004985009929</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 xml:space="preserve">户名：广西大学   </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开户行：中国银行广西南宁市西大支行（行号：104611010324）</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 xml:space="preserve">账号：618 457 484 938 </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地址：广西壮族自治区南宁市大学东路100号  电话：0771-3232888</w:t>
            </w:r>
          </w:p>
          <w:p>
            <w:pPr>
              <w:tabs>
                <w:tab w:val="left" w:pos="420"/>
              </w:tabs>
              <w:spacing w:line="360" w:lineRule="auto"/>
              <w:rPr>
                <w:rFonts w:ascii="宋体" w:hAnsi="宋体" w:eastAsia="宋体" w:cs="宋体"/>
                <w:b/>
                <w:sz w:val="24"/>
                <w:szCs w:val="24"/>
              </w:rPr>
            </w:pPr>
            <w:r>
              <w:rPr>
                <w:rFonts w:hint="eastAsia" w:ascii="宋体" w:hAnsi="宋体" w:eastAsia="宋体" w:cs="宋体"/>
                <w:b/>
                <w:sz w:val="24"/>
                <w:szCs w:val="24"/>
              </w:rPr>
              <w:t>缴纳履约保证金注明：“项目名称+项目编号”履约保证金。</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3.履约保证金退付方式、时间及条件：成交供应商若不能完全履行合同，履约保证金不予退还；成交供应商若完全履行合同，货物验收合格后，成交供应商凭履约保证金财务凭证到采购人财务部门办理无息退还手续。</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4.备注：</w:t>
            </w:r>
          </w:p>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（1）履约保证金不足额缴纳的，或银行出具的保函额度不足的或者银行保函有效期低于合同履行期限（即签订采购合同之日起至履行完合同约定的权利及义务之日止）的，不予签订合同。</w:t>
            </w:r>
          </w:p>
          <w:p>
            <w:pPr>
              <w:pStyle w:val="2"/>
              <w:spacing w:line="360" w:lineRule="auto"/>
              <w:rPr>
                <w:rFonts w:ascii="宋体" w:hAnsi="宋体" w:cs="宋体"/>
                <w:sz w:val="24"/>
                <w:szCs w:val="24"/>
              </w:rPr>
            </w:pPr>
            <w:r>
              <w:rPr>
                <w:rFonts w:hint="eastAsia" w:ascii="宋体" w:hAnsi="宋体" w:cs="宋体"/>
                <w:sz w:val="24"/>
                <w:szCs w:val="24"/>
              </w:rPr>
              <w:t>（2）采用银行出具的保函的，必须为无条件的银行保函，否则不予签订合同。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7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付款方式</w:t>
            </w:r>
          </w:p>
        </w:tc>
        <w:tc>
          <w:tcPr>
            <w:tcW w:w="7739" w:type="dxa"/>
            <w:gridSpan w:val="3"/>
            <w:vAlign w:val="center"/>
          </w:tcPr>
          <w:p>
            <w:pPr>
              <w:tabs>
                <w:tab w:val="left" w:pos="420"/>
              </w:tabs>
              <w:spacing w:line="360" w:lineRule="auto"/>
              <w:rPr>
                <w:rFonts w:ascii="宋体" w:hAnsi="宋体" w:eastAsia="宋体" w:cs="宋体"/>
                <w:sz w:val="24"/>
                <w:szCs w:val="24"/>
              </w:rPr>
            </w:pPr>
            <w:r>
              <w:rPr>
                <w:rFonts w:hint="eastAsia" w:ascii="宋体" w:hAnsi="宋体" w:eastAsia="宋体" w:cs="宋体"/>
                <w:sz w:val="24"/>
                <w:szCs w:val="24"/>
              </w:rPr>
              <w:t>1.国产设备付款：本项目无预付款，全部货物安装调试完毕并经验收合格后，采购人一次性向成交供应商支付全部合同款（无息）；付款前，成交供应商开具等额增值税专用发票给采购人。</w:t>
            </w:r>
          </w:p>
          <w:p>
            <w:pPr>
              <w:spacing w:line="360" w:lineRule="auto"/>
              <w:rPr>
                <w:rFonts w:ascii="宋体" w:hAnsi="宋体" w:eastAsia="宋体" w:cs="宋体"/>
                <w:sz w:val="24"/>
                <w:szCs w:val="24"/>
              </w:rPr>
            </w:pPr>
            <w:r>
              <w:rPr>
                <w:rFonts w:hint="eastAsia" w:ascii="宋体" w:hAnsi="宋体" w:eastAsia="宋体" w:cs="宋体"/>
                <w:sz w:val="24"/>
                <w:szCs w:val="24"/>
              </w:rPr>
              <w:t>2.进口设备付款：本项目外贸进口代理业务由采购人指定外贸代理承担，并按下述方式支付合同款：合同生效后，采购人支付100%合同款给指定外贸代理商，指定外贸代理商与成交供应商按以下方式结算：（1）指定外贸代理商向成交产品国外生产商开出设备款100%的即期不可撤销信用证；（2）设备到货并经采购人验收合格后，指定外贸代理商与成交供应商结算合同款。（注：双方以人民币结算）采购人、成交供应商及指定外贸代理商三方另行签订《外贸进口代理协议书（三方协议）》，约定外贸进口业务有关事宜。</w:t>
            </w:r>
          </w:p>
          <w:p>
            <w:pPr>
              <w:pStyle w:val="2"/>
              <w:spacing w:line="360" w:lineRule="auto"/>
              <w:rPr>
                <w:rFonts w:ascii="宋体" w:hAnsi="宋体" w:cs="宋体"/>
                <w:sz w:val="24"/>
                <w:szCs w:val="24"/>
              </w:rPr>
            </w:pPr>
            <w:r>
              <w:rPr>
                <w:rFonts w:hint="eastAsia" w:ascii="宋体" w:hAnsi="宋体" w:cs="宋体"/>
                <w:sz w:val="24"/>
                <w:szCs w:val="24"/>
              </w:rPr>
              <w:t>3.依法不能办理免税的进口设备按国产设备付款方式支付。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77" w:type="dxa"/>
            <w:gridSpan w:val="2"/>
            <w:vAlign w:val="center"/>
          </w:tcPr>
          <w:p>
            <w:pPr>
              <w:spacing w:line="360" w:lineRule="auto"/>
              <w:jc w:val="center"/>
              <w:rPr>
                <w:rFonts w:ascii="宋体" w:hAnsi="宋体" w:eastAsia="宋体" w:cs="宋体"/>
                <w:b/>
                <w:kern w:val="1"/>
                <w:sz w:val="24"/>
                <w:szCs w:val="24"/>
              </w:rPr>
            </w:pPr>
            <w:r>
              <w:rPr>
                <w:rFonts w:hint="eastAsia" w:ascii="宋体" w:hAnsi="宋体" w:eastAsia="宋体" w:cs="宋体"/>
                <w:b/>
                <w:sz w:val="24"/>
                <w:szCs w:val="24"/>
              </w:rPr>
              <w:t>其他要求</w:t>
            </w:r>
          </w:p>
        </w:tc>
        <w:tc>
          <w:tcPr>
            <w:tcW w:w="7739" w:type="dxa"/>
            <w:gridSpan w:val="3"/>
            <w:vAlign w:val="center"/>
          </w:tcPr>
          <w:p>
            <w:pPr>
              <w:spacing w:line="360" w:lineRule="auto"/>
              <w:rPr>
                <w:rFonts w:ascii="宋体" w:hAnsi="宋体" w:eastAsia="宋体" w:cs="宋体"/>
                <w:sz w:val="24"/>
                <w:szCs w:val="24"/>
              </w:rPr>
            </w:pPr>
            <w:r>
              <w:rPr>
                <w:rFonts w:hint="eastAsia" w:ascii="宋体" w:hAnsi="宋体" w:eastAsia="宋体" w:cs="宋体"/>
                <w:sz w:val="24"/>
                <w:szCs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pPr>
              <w:spacing w:line="360" w:lineRule="auto"/>
              <w:rPr>
                <w:rFonts w:ascii="宋体" w:hAnsi="宋体" w:eastAsia="宋体" w:cs="宋体"/>
                <w:sz w:val="24"/>
                <w:szCs w:val="24"/>
              </w:rPr>
            </w:pPr>
            <w:r>
              <w:rPr>
                <w:rFonts w:hint="eastAsia" w:ascii="宋体" w:hAnsi="宋体" w:eastAsia="宋体" w:cs="宋体"/>
                <w:sz w:val="24"/>
                <w:szCs w:val="24"/>
              </w:rPr>
              <w:t>2.本项目实行总价包干制，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p>
            <w:pPr>
              <w:spacing w:line="360" w:lineRule="auto"/>
              <w:rPr>
                <w:rFonts w:ascii="宋体" w:hAnsi="宋体" w:eastAsia="宋体" w:cs="宋体"/>
                <w:sz w:val="24"/>
                <w:szCs w:val="24"/>
              </w:rPr>
            </w:pPr>
            <w:r>
              <w:rPr>
                <w:rFonts w:hint="eastAsia" w:ascii="宋体" w:hAnsi="宋体" w:eastAsia="宋体" w:cs="宋体"/>
                <w:sz w:val="24"/>
                <w:szCs w:val="24"/>
              </w:rPr>
              <w:t>3.成交供应商承担货物交付验收前的运输、安装等作业工人人身、设备安全责任。验收前，如果设备丢失、因供应商自身原因及第三方原因导致损坏，成交供应商应自行负责并承担不能交付货物的责任。</w:t>
            </w:r>
          </w:p>
          <w:p>
            <w:pPr>
              <w:spacing w:line="360" w:lineRule="auto"/>
              <w:rPr>
                <w:rFonts w:ascii="宋体" w:hAnsi="宋体" w:eastAsia="宋体" w:cs="宋体"/>
                <w:sz w:val="24"/>
                <w:szCs w:val="24"/>
              </w:rPr>
            </w:pPr>
            <w:r>
              <w:rPr>
                <w:rFonts w:hint="eastAsia" w:ascii="宋体" w:hAnsi="宋体" w:eastAsia="宋体" w:cs="宋体"/>
                <w:sz w:val="24"/>
                <w:szCs w:val="24"/>
              </w:rPr>
              <w:t>4.本项目第1小型台式冷冻离心机、第8 多模式读板仪、第</w:t>
            </w:r>
            <w:r>
              <w:rPr>
                <w:rFonts w:ascii="宋体" w:hAnsi="宋体" w:eastAsia="宋体" w:cs="宋体"/>
                <w:sz w:val="24"/>
                <w:szCs w:val="24"/>
              </w:rPr>
              <w:t>9</w:t>
            </w:r>
            <w:r>
              <w:rPr>
                <w:rFonts w:hint="eastAsia" w:ascii="宋体" w:hAnsi="宋体" w:eastAsia="宋体" w:cs="宋体"/>
                <w:sz w:val="24"/>
                <w:szCs w:val="24"/>
              </w:rPr>
              <w:t xml:space="preserve"> 纳米粒度仪、第1</w:t>
            </w:r>
            <w:r>
              <w:rPr>
                <w:rFonts w:ascii="宋体" w:hAnsi="宋体" w:eastAsia="宋体" w:cs="宋体"/>
                <w:sz w:val="24"/>
                <w:szCs w:val="24"/>
              </w:rPr>
              <w:t>0</w:t>
            </w:r>
            <w:r>
              <w:rPr>
                <w:rFonts w:hint="eastAsia" w:ascii="宋体" w:hAnsi="宋体" w:eastAsia="宋体" w:cs="宋体"/>
                <w:sz w:val="24"/>
                <w:szCs w:val="24"/>
              </w:rPr>
              <w:t>植物茎流计、第1</w:t>
            </w:r>
            <w:r>
              <w:rPr>
                <w:rFonts w:ascii="宋体" w:hAnsi="宋体" w:eastAsia="宋体" w:cs="宋体"/>
                <w:sz w:val="24"/>
                <w:szCs w:val="24"/>
              </w:rPr>
              <w:t>1</w:t>
            </w:r>
            <w:r>
              <w:rPr>
                <w:rFonts w:hint="eastAsia" w:ascii="宋体" w:hAnsi="宋体" w:eastAsia="宋体" w:cs="宋体"/>
                <w:sz w:val="24"/>
                <w:szCs w:val="24"/>
              </w:rPr>
              <w:t>全自动密度梯度制备与分离分析系统共5项货物已按规定办妥进口产品采购审核手续，供应商参与</w:t>
            </w:r>
            <w:r>
              <w:rPr>
                <w:rFonts w:hint="eastAsia" w:ascii="宋体" w:hAnsi="宋体" w:eastAsia="宋体" w:cs="宋体"/>
                <w:sz w:val="24"/>
                <w:szCs w:val="24"/>
                <w:lang w:bidi="ar"/>
              </w:rPr>
              <w:t>竞争性谈判提供的</w:t>
            </w:r>
            <w:r>
              <w:rPr>
                <w:rFonts w:hint="eastAsia" w:ascii="宋体" w:hAnsi="宋体" w:eastAsia="宋体" w:cs="宋体"/>
                <w:sz w:val="24"/>
                <w:szCs w:val="24"/>
              </w:rPr>
              <w:t>产品可选用进口产品（即通过中国海关报关验放进入中国境内且产自关境外的产品）；选用进口产品时必须为全套原装进口产品。免税进口设备必须由采购人指定的外贸代理机构办理进口产品的相关手续，成交供应商不得自行选择外贸代理机构。成交供应商在成交后负责与指定外贸代理机构办理进口产品的相关手续，承担相关的所有费用（含办理免税证的费用），采购人负责协助成交供应商办理免税手续。依法不能办理免税的进口设备由成交供应商办理进口产品的相关手续，供货时成交供应商需提供进口设备报关单。</w:t>
            </w:r>
          </w:p>
          <w:p>
            <w:pPr>
              <w:pStyle w:val="8"/>
              <w:spacing w:line="360" w:lineRule="auto"/>
              <w:rPr>
                <w:rFonts w:ascii="宋体" w:hAnsi="宋体" w:eastAsia="宋体" w:cs="宋体"/>
                <w:sz w:val="24"/>
                <w:szCs w:val="24"/>
              </w:rPr>
            </w:pPr>
            <w:r>
              <w:rPr>
                <w:rFonts w:hint="eastAsia" w:ascii="宋体" w:hAnsi="宋体" w:eastAsia="宋体" w:cs="宋体"/>
                <w:sz w:val="24"/>
                <w:szCs w:val="24"/>
              </w:rPr>
              <w:t>5.本项目其余货物不接受进口产品（即通过中国海关报关验放进入中国境内且产自关境外的产品）参与</w:t>
            </w:r>
            <w:r>
              <w:rPr>
                <w:rFonts w:hint="eastAsia" w:ascii="宋体" w:hAnsi="宋体" w:eastAsia="宋体" w:cs="宋体"/>
                <w:sz w:val="24"/>
                <w:szCs w:val="24"/>
                <w:lang w:bidi="ar"/>
              </w:rPr>
              <w:t>竞争性谈判</w:t>
            </w:r>
            <w:r>
              <w:rPr>
                <w:rFonts w:hint="eastAsia" w:ascii="宋体" w:hAnsi="宋体" w:eastAsia="宋体" w:cs="宋体"/>
                <w:sz w:val="24"/>
                <w:szCs w:val="24"/>
              </w:rPr>
              <w:t>，如有此类产品参与</w:t>
            </w:r>
            <w:r>
              <w:rPr>
                <w:rFonts w:hint="eastAsia" w:ascii="宋体" w:hAnsi="宋体" w:eastAsia="宋体" w:cs="宋体"/>
                <w:sz w:val="24"/>
                <w:szCs w:val="24"/>
                <w:lang w:bidi="ar"/>
              </w:rPr>
              <w:t>竞争性谈判</w:t>
            </w:r>
            <w:r>
              <w:rPr>
                <w:rFonts w:hint="eastAsia" w:ascii="宋体" w:hAnsi="宋体" w:eastAsia="宋体" w:cs="宋体"/>
                <w:sz w:val="24"/>
                <w:szCs w:val="24"/>
              </w:rPr>
              <w:t>的做无效响应处理。</w:t>
            </w:r>
          </w:p>
          <w:p>
            <w:pPr>
              <w:spacing w:line="360" w:lineRule="auto"/>
              <w:rPr>
                <w:rFonts w:ascii="宋体" w:hAnsi="宋体" w:eastAsia="宋体" w:cs="宋体"/>
                <w:sz w:val="24"/>
                <w:szCs w:val="24"/>
              </w:rPr>
            </w:pPr>
            <w:r>
              <w:rPr>
                <w:rFonts w:hint="eastAsia" w:ascii="宋体" w:hAnsi="宋体" w:eastAsia="宋体" w:cs="宋体"/>
                <w:sz w:val="24"/>
                <w:szCs w:val="24"/>
              </w:rPr>
              <w:t>6.进口代理费费率基准如下：</w:t>
            </w:r>
          </w:p>
          <w:p>
            <w:pPr>
              <w:spacing w:line="360" w:lineRule="auto"/>
              <w:rPr>
                <w:rFonts w:ascii="宋体" w:hAnsi="宋体" w:eastAsia="宋体" w:cs="宋体"/>
                <w:sz w:val="24"/>
                <w:szCs w:val="24"/>
              </w:rPr>
            </w:pPr>
            <w:r>
              <w:rPr>
                <w:rFonts w:hint="eastAsia" w:ascii="宋体" w:hAnsi="宋体" w:eastAsia="宋体" w:cs="宋体"/>
                <w:sz w:val="24"/>
                <w:szCs w:val="24"/>
              </w:rPr>
              <w:t>成交金额80万元（不含）以下，进口代理服务费收取比例为1.5%;</w:t>
            </w:r>
          </w:p>
          <w:p>
            <w:pPr>
              <w:spacing w:line="360" w:lineRule="auto"/>
              <w:rPr>
                <w:rFonts w:ascii="宋体" w:hAnsi="宋体" w:eastAsia="宋体" w:cs="宋体"/>
                <w:sz w:val="24"/>
                <w:szCs w:val="24"/>
              </w:rPr>
            </w:pPr>
            <w:r>
              <w:rPr>
                <w:rFonts w:hint="eastAsia" w:ascii="宋体" w:hAnsi="宋体" w:eastAsia="宋体" w:cs="宋体"/>
                <w:sz w:val="24"/>
                <w:szCs w:val="24"/>
              </w:rPr>
              <w:t>成交金额80--200万元（不含）,进口代理服务费收取比例为1.2%;</w:t>
            </w:r>
          </w:p>
          <w:p>
            <w:pPr>
              <w:spacing w:line="360" w:lineRule="auto"/>
              <w:rPr>
                <w:rFonts w:ascii="宋体" w:hAnsi="宋体" w:eastAsia="宋体" w:cs="宋体"/>
                <w:sz w:val="24"/>
                <w:szCs w:val="24"/>
              </w:rPr>
            </w:pPr>
            <w:r>
              <w:rPr>
                <w:rFonts w:hint="eastAsia" w:ascii="宋体" w:hAnsi="宋体" w:eastAsia="宋体" w:cs="宋体"/>
                <w:sz w:val="24"/>
                <w:szCs w:val="24"/>
              </w:rPr>
              <w:t>成交金额200—500万元（不含）,进口代理服务费收取比例为1%;</w:t>
            </w:r>
          </w:p>
          <w:p>
            <w:pPr>
              <w:spacing w:line="360" w:lineRule="auto"/>
              <w:rPr>
                <w:rFonts w:ascii="宋体" w:hAnsi="宋体" w:eastAsia="宋体" w:cs="宋体"/>
                <w:sz w:val="24"/>
                <w:szCs w:val="24"/>
              </w:rPr>
            </w:pPr>
            <w:r>
              <w:rPr>
                <w:rFonts w:hint="eastAsia" w:ascii="宋体" w:hAnsi="宋体" w:eastAsia="宋体" w:cs="宋体"/>
                <w:sz w:val="24"/>
                <w:szCs w:val="24"/>
              </w:rPr>
              <w:t>成交金额500万元以上,进口代理服务费收取比例为0.8% 。</w:t>
            </w:r>
          </w:p>
          <w:p>
            <w:pPr>
              <w:spacing w:line="360" w:lineRule="auto"/>
              <w:rPr>
                <w:rFonts w:ascii="宋体" w:hAnsi="宋体" w:eastAsia="宋体" w:cs="宋体"/>
                <w:sz w:val="24"/>
                <w:szCs w:val="24"/>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spacing w:line="428" w:lineRule="exact"/>
        <w:ind w:left="119"/>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before="7"/>
        <w:rPr>
          <w:rFonts w:ascii="Arial Unicode MS" w:hAnsi="Arial Unicode MS" w:eastAsia="Arial Unicode MS" w:cs="Arial Unicode MS"/>
          <w:sz w:val="17"/>
          <w:szCs w:val="17"/>
        </w:rPr>
      </w:pPr>
    </w:p>
    <w:p>
      <w:pPr>
        <w:spacing w:line="528" w:lineRule="exact"/>
        <w:ind w:left="220"/>
        <w:jc w:val="center"/>
        <w:rPr>
          <w:rFonts w:ascii="宋体" w:hAnsi="宋体" w:eastAsia="宋体" w:cs="宋体"/>
          <w:b/>
          <w:bCs/>
          <w:sz w:val="36"/>
          <w:szCs w:val="36"/>
        </w:rPr>
      </w:pPr>
      <w:r>
        <w:rPr>
          <w:rFonts w:hint="eastAsia" w:ascii="宋体" w:hAnsi="宋体" w:eastAsia="宋体" w:cs="宋体"/>
          <w:b/>
          <w:bCs/>
          <w:sz w:val="36"/>
          <w:szCs w:val="36"/>
        </w:rPr>
        <w:t>节能产品政府采购品目清单</w:t>
      </w:r>
    </w:p>
    <w:tbl>
      <w:tblPr>
        <w:tblStyle w:val="22"/>
        <w:tblW w:w="9299" w:type="dxa"/>
        <w:tblInd w:w="93" w:type="dxa"/>
        <w:tblLayout w:type="autofit"/>
        <w:tblCellMar>
          <w:top w:w="0" w:type="dxa"/>
          <w:left w:w="108" w:type="dxa"/>
          <w:bottom w:w="0" w:type="dxa"/>
          <w:right w:w="108" w:type="dxa"/>
        </w:tblCellMar>
      </w:tblPr>
      <w:tblGrid>
        <w:gridCol w:w="594"/>
        <w:gridCol w:w="1307"/>
        <w:gridCol w:w="1791"/>
        <w:gridCol w:w="1792"/>
        <w:gridCol w:w="3815"/>
      </w:tblGrid>
      <w:tr>
        <w:tblPrEx>
          <w:tblCellMar>
            <w:top w:w="0" w:type="dxa"/>
            <w:left w:w="108" w:type="dxa"/>
            <w:bottom w:w="0" w:type="dxa"/>
            <w:right w:w="108" w:type="dxa"/>
          </w:tblCellMar>
        </w:tblPrEx>
        <w:trPr>
          <w:trHeight w:val="1191" w:hRule="atLeast"/>
        </w:trPr>
        <w:tc>
          <w:tcPr>
            <w:tcW w:w="594" w:type="dxa"/>
            <w:tcBorders>
              <w:top w:val="single" w:color="000000" w:sz="8" w:space="0"/>
              <w:left w:val="single" w:color="000000" w:sz="8" w:space="0"/>
              <w:bottom w:val="nil"/>
              <w:right w:val="single" w:color="000000" w:sz="8"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品目序号</w:t>
            </w:r>
          </w:p>
        </w:tc>
        <w:tc>
          <w:tcPr>
            <w:tcW w:w="489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3815" w:type="dxa"/>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依据的标准</w:t>
            </w:r>
          </w:p>
        </w:tc>
      </w:tr>
      <w:tr>
        <w:tblPrEx>
          <w:tblCellMar>
            <w:top w:w="0" w:type="dxa"/>
            <w:left w:w="108" w:type="dxa"/>
            <w:bottom w:w="0" w:type="dxa"/>
            <w:right w:w="108" w:type="dxa"/>
          </w:tblCellMar>
        </w:tblPrEx>
        <w:trPr>
          <w:trHeight w:val="604" w:hRule="atLeast"/>
        </w:trPr>
        <w:tc>
          <w:tcPr>
            <w:tcW w:w="594"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07"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A020101计算机设备</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★A02010104台式计算机</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★A02010105便携式计算机</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897"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★A02010107平板式微型计算机</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《微型计算机能效限定值及能效等级》（GB28380）</w:t>
            </w:r>
          </w:p>
        </w:tc>
      </w:tr>
      <w:tr>
        <w:tblPrEx>
          <w:tblCellMar>
            <w:top w:w="0" w:type="dxa"/>
            <w:left w:w="108" w:type="dxa"/>
            <w:bottom w:w="0" w:type="dxa"/>
            <w:right w:w="108" w:type="dxa"/>
          </w:tblCellMar>
        </w:tblPrEx>
        <w:trPr>
          <w:trHeight w:val="604" w:hRule="atLeast"/>
        </w:trPr>
        <w:tc>
          <w:tcPr>
            <w:tcW w:w="594"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07"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A020106输入输出设备</w:t>
            </w:r>
          </w:p>
        </w:tc>
        <w:tc>
          <w:tcPr>
            <w:tcW w:w="1791"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A02010601打印设备</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A0201060101喷墨打印机</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★A0201060102激光打印机</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★A0201060104针式打印机</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A02010604显示设备</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★A0201060401液晶显示器</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《计算机显示器能效限定值及能效等级》（GB21520）</w:t>
            </w:r>
          </w:p>
        </w:tc>
      </w:tr>
      <w:tr>
        <w:tblPrEx>
          <w:tblCellMar>
            <w:top w:w="0" w:type="dxa"/>
            <w:left w:w="108" w:type="dxa"/>
            <w:bottom w:w="0" w:type="dxa"/>
            <w:right w:w="108" w:type="dxa"/>
          </w:tblCellMar>
        </w:tblPrEx>
        <w:trPr>
          <w:trHeight w:val="1484"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A02010609图形图像输入设备</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A0201060901扫描仪</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A020202投影仪</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《投影机能效限定值及能效等级》（GB32028）</w:t>
            </w:r>
          </w:p>
        </w:tc>
      </w:tr>
      <w:tr>
        <w:tblPrEx>
          <w:tblCellMar>
            <w:top w:w="0" w:type="dxa"/>
            <w:left w:w="108" w:type="dxa"/>
            <w:bottom w:w="0" w:type="dxa"/>
            <w:right w:w="108" w:type="dxa"/>
          </w:tblCellMar>
        </w:tblPrEx>
        <w:trPr>
          <w:trHeight w:val="897"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A020204多功能一体机</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《复印机、打印机和传真机能效限定值及能效等级》（GB21521）</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07"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A020519泵</w:t>
            </w:r>
          </w:p>
        </w:tc>
        <w:tc>
          <w:tcPr>
            <w:tcW w:w="1791"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A02051901离心泵</w:t>
            </w:r>
          </w:p>
        </w:tc>
        <w:tc>
          <w:tcPr>
            <w:tcW w:w="1792"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4"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《清水离心泵能效限定值及节能评价值》（GB19762）</w:t>
            </w:r>
          </w:p>
        </w:tc>
      </w:tr>
      <w:tr>
        <w:tblPrEx>
          <w:tblCellMar>
            <w:top w:w="0" w:type="dxa"/>
            <w:left w:w="108" w:type="dxa"/>
            <w:bottom w:w="0" w:type="dxa"/>
            <w:right w:w="108" w:type="dxa"/>
          </w:tblCellMar>
        </w:tblPrEx>
        <w:trPr>
          <w:trHeight w:val="1182"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A020523制冷空调设备</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★A02052301制冷压缩机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冷水机组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水源热泵机组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《水（地）源热泵机组能效限定值及能效等级》（GB30721）</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溴化锂吸收式冷水机组</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《溴化锂吸收式冷水机组能效限定值及能效等级》（GB29540）</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★A02052305空调机组</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多联式空调（热泵）机组(制冷量&gt;14000W)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《多联式空调（热泵）机组能效限定值及能源效率等级》（GB21454）</w:t>
            </w:r>
          </w:p>
        </w:tc>
      </w:tr>
      <w:tr>
        <w:tblPrEx>
          <w:tblCellMar>
            <w:top w:w="0" w:type="dxa"/>
            <w:left w:w="108" w:type="dxa"/>
            <w:bottom w:w="0" w:type="dxa"/>
            <w:right w:w="108" w:type="dxa"/>
          </w:tblCellMar>
        </w:tblPrEx>
        <w:trPr>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单元式空气调节机(制冷量&gt;14000W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single" w:color="auto" w:sz="4" w:space="0"/>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★A02052309专用制冷、空调设备</w:t>
            </w:r>
          </w:p>
        </w:tc>
        <w:tc>
          <w:tcPr>
            <w:tcW w:w="1792" w:type="dxa"/>
            <w:tcBorders>
              <w:top w:val="single" w:color="auto" w:sz="4" w:space="0"/>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机房空调</w:t>
            </w:r>
          </w:p>
        </w:tc>
        <w:tc>
          <w:tcPr>
            <w:tcW w:w="3815" w:type="dxa"/>
            <w:tcBorders>
              <w:top w:val="single" w:color="auto" w:sz="4" w:space="0"/>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《单元式空气调节机能效限定值及能效等级》（GB19576）</w:t>
            </w:r>
          </w:p>
        </w:tc>
      </w:tr>
      <w:tr>
        <w:tblPrEx>
          <w:tblCellMar>
            <w:top w:w="0" w:type="dxa"/>
            <w:left w:w="108" w:type="dxa"/>
            <w:bottom w:w="0" w:type="dxa"/>
            <w:right w:w="108" w:type="dxa"/>
          </w:tblCellMar>
        </w:tblPrEx>
        <w:trPr>
          <w:trHeight w:val="1191" w:hRule="atLeast"/>
        </w:trPr>
        <w:tc>
          <w:tcPr>
            <w:tcW w:w="0" w:type="auto"/>
            <w:vMerge w:val="continue"/>
            <w:tcBorders>
              <w:top w:val="nil"/>
              <w:left w:val="single" w:color="auto" w:sz="4"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A02052399其他制冷空调设备</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冷却塔</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A020601电机</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《中小型三相异步电动机能效限定值及能效等级》（GB18613）</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A020602变压器</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配电变压器</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《三相配电变压器能效限定值及能效等级》（GB20052）</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07"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★A020609镇流器</w:t>
            </w:r>
          </w:p>
        </w:tc>
        <w:tc>
          <w:tcPr>
            <w:tcW w:w="1791"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管型荧光灯镇流器</w:t>
            </w:r>
          </w:p>
        </w:tc>
        <w:tc>
          <w:tcPr>
            <w:tcW w:w="1792" w:type="dxa"/>
            <w:tcBorders>
              <w:top w:val="nil"/>
              <w:left w:val="nil"/>
              <w:bottom w:val="single" w:color="auto" w:sz="4"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4"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《管形荧光灯镇流器能效限定值及能效等级》（GB17896）</w:t>
            </w:r>
          </w:p>
        </w:tc>
      </w:tr>
      <w:tr>
        <w:tblPrEx>
          <w:tblCellMar>
            <w:top w:w="0" w:type="dxa"/>
            <w:left w:w="108" w:type="dxa"/>
            <w:bottom w:w="0" w:type="dxa"/>
            <w:right w:w="108" w:type="dxa"/>
          </w:tblCellMar>
        </w:tblPrEx>
        <w:trPr>
          <w:trHeight w:val="596"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A020618生活用电器</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A0206180101电冰箱</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《家用电冰箱耗电量限定值及能效等级》（GB 12021.2）</w:t>
            </w:r>
          </w:p>
        </w:tc>
      </w:tr>
      <w:tr>
        <w:tblPrEx>
          <w:tblCellMar>
            <w:top w:w="0" w:type="dxa"/>
            <w:left w:w="108" w:type="dxa"/>
            <w:bottom w:w="0" w:type="dxa"/>
            <w:right w:w="108" w:type="dxa"/>
          </w:tblCellMar>
        </w:tblPrEx>
        <w:trPr>
          <w:trHeight w:val="17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★A0206180203空调机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房间空气调节器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多联式空调（热泵）机组（制冷量≤ 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《多联式空调（热泵）机组能效限定值及能源效率等级》（GB21454）</w:t>
            </w:r>
          </w:p>
        </w:tc>
      </w:tr>
      <w:tr>
        <w:tblPrEx>
          <w:tblCellMar>
            <w:top w:w="0" w:type="dxa"/>
            <w:left w:w="108" w:type="dxa"/>
            <w:bottom w:w="0" w:type="dxa"/>
            <w:right w:w="108" w:type="dxa"/>
          </w:tblCellMar>
        </w:tblPrEx>
        <w:trPr>
          <w:trHeight w:val="11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单元式空气调节机(制冷量≤14000W)</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A0206180301洗衣机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《电动洗衣机能效水效限定值及等级》（GB12021.4）</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A02061808热水器</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《储水式电热水器能效限定值及能效等级》（GB21519）</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燃气热水器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《家用燃气快速热水器和燃气采暖热水炉能效限定值及能效等级》（GB20665）</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热泵热水器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《热泵热水机（器）能效限定值及能效等级》（GB29541）</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太阳能热水系统</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《家用太阳能热水系统能效限定值及能效等级》（GB26969）</w:t>
            </w:r>
          </w:p>
        </w:tc>
      </w:tr>
      <w:tr>
        <w:tblPrEx>
          <w:tblCellMar>
            <w:top w:w="0" w:type="dxa"/>
            <w:left w:w="108" w:type="dxa"/>
            <w:bottom w:w="0" w:type="dxa"/>
            <w:right w:w="108" w:type="dxa"/>
          </w:tblCellMar>
        </w:tblPrEx>
        <w:trPr>
          <w:trHeight w:val="596" w:hRule="atLeas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A020619照明设备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★普通照明用双端荧光灯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《普通照明用双端荧光灯能效限定值及能效等级》（GB19043）</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LED道路/隧道照明产品</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《道路和隧道照明用LED灯具能效限定值及能效等级》（GB37478）</w:t>
            </w:r>
          </w:p>
        </w:tc>
      </w:tr>
      <w:tr>
        <w:tblPrEx>
          <w:tblCellMar>
            <w:top w:w="0" w:type="dxa"/>
            <w:left w:w="108" w:type="dxa"/>
            <w:bottom w:w="0" w:type="dxa"/>
            <w:right w:w="108" w:type="dxa"/>
          </w:tblCellMar>
        </w:tblPrEx>
        <w:trPr>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LED筒灯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《室内照明用LED产品能效限定值及能效等级》（GB30255）</w:t>
            </w:r>
          </w:p>
        </w:tc>
      </w:tr>
      <w:tr>
        <w:tblPrEx>
          <w:tblCellMar>
            <w:top w:w="0" w:type="dxa"/>
            <w:left w:w="108" w:type="dxa"/>
            <w:bottom w:w="0" w:type="dxa"/>
            <w:right w:w="108" w:type="dxa"/>
          </w:tblCellMar>
        </w:tblPrEx>
        <w:trPr>
          <w:trHeight w:val="8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普通照明用非定向自镇流LED灯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《室内照明用LED产品能效限定值及能效等级》（GB30255）</w:t>
            </w:r>
          </w:p>
        </w:tc>
      </w:tr>
      <w:tr>
        <w:tblPrEx>
          <w:tblCellMar>
            <w:top w:w="0" w:type="dxa"/>
            <w:left w:w="108" w:type="dxa"/>
            <w:bottom w:w="0" w:type="dxa"/>
            <w:right w:w="108" w:type="dxa"/>
          </w:tblCellMar>
        </w:tblPrEx>
        <w:trPr>
          <w:trHeight w:val="889" w:hRule="atLeast"/>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★A020910电视设备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A02091001普通电视设备（电视机）</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《平板电视能效限定值及能效等级》（GB24850）</w:t>
            </w:r>
          </w:p>
        </w:tc>
      </w:tr>
      <w:tr>
        <w:tblPrEx>
          <w:tblCellMar>
            <w:top w:w="0" w:type="dxa"/>
            <w:left w:w="108" w:type="dxa"/>
            <w:bottom w:w="0" w:type="dxa"/>
            <w:right w:w="108" w:type="dxa"/>
          </w:tblCellMar>
        </w:tblPrEx>
        <w:trPr>
          <w:trHeight w:val="1768" w:hRule="atLeast"/>
        </w:trPr>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★A020911视频设备</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A02091107视频监控设备</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监视器</w:t>
            </w:r>
          </w:p>
        </w:tc>
        <w:tc>
          <w:tcPr>
            <w:tcW w:w="3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889" w:hRule="atLeast"/>
        </w:trPr>
        <w:tc>
          <w:tcPr>
            <w:tcW w:w="594"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307" w:type="dxa"/>
            <w:tcBorders>
              <w:top w:val="single" w:color="auto" w:sz="4"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A031210饮食炊事机械</w:t>
            </w:r>
          </w:p>
        </w:tc>
        <w:tc>
          <w:tcPr>
            <w:tcW w:w="1791" w:type="dxa"/>
            <w:tcBorders>
              <w:top w:val="single" w:color="auto" w:sz="4"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商用燃气灶具</w:t>
            </w:r>
          </w:p>
        </w:tc>
        <w:tc>
          <w:tcPr>
            <w:tcW w:w="1792" w:type="dxa"/>
            <w:tcBorders>
              <w:top w:val="single" w:color="auto" w:sz="4"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single" w:color="auto" w:sz="4"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《商用燃气灶具能效限定值及能效等级》（GB30531）</w:t>
            </w:r>
          </w:p>
        </w:tc>
      </w:tr>
      <w:tr>
        <w:tblPrEx>
          <w:tblCellMar>
            <w:top w:w="0" w:type="dxa"/>
            <w:left w:w="108" w:type="dxa"/>
            <w:bottom w:w="0" w:type="dxa"/>
            <w:right w:w="108" w:type="dxa"/>
          </w:tblCellMar>
        </w:tblPrEx>
        <w:trPr>
          <w:trHeight w:val="604" w:hRule="atLeast"/>
        </w:trPr>
        <w:tc>
          <w:tcPr>
            <w:tcW w:w="594"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30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★A060805便器</w:t>
            </w:r>
          </w:p>
        </w:tc>
        <w:tc>
          <w:tcPr>
            <w:tcW w:w="1791"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坐便器</w:t>
            </w:r>
          </w:p>
        </w:tc>
        <w:tc>
          <w:tcPr>
            <w:tcW w:w="1792"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《坐便器水效限定值及水效等级》（GB25502）</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蹲便器</w:t>
            </w:r>
          </w:p>
        </w:tc>
        <w:tc>
          <w:tcPr>
            <w:tcW w:w="1792"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《蹲便器用水效率限定值及用水效率等级》（GB30717）</w:t>
            </w:r>
          </w:p>
        </w:tc>
      </w:tr>
      <w:tr>
        <w:tblPrEx>
          <w:tblCellMar>
            <w:top w:w="0" w:type="dxa"/>
            <w:left w:w="108" w:type="dxa"/>
            <w:bottom w:w="0" w:type="dxa"/>
            <w:right w:w="108" w:type="dxa"/>
          </w:tblCellMar>
        </w:tblPrEx>
        <w:trPr>
          <w:trHeight w:val="60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4"/>
                <w:szCs w:val="24"/>
              </w:rPr>
            </w:pPr>
          </w:p>
        </w:tc>
        <w:tc>
          <w:tcPr>
            <w:tcW w:w="1791"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小便器</w:t>
            </w:r>
          </w:p>
        </w:tc>
        <w:tc>
          <w:tcPr>
            <w:tcW w:w="1792" w:type="dxa"/>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《小便器用水效率限定值及用水效率等级》（GB28377）</w:t>
            </w:r>
          </w:p>
        </w:tc>
      </w:tr>
      <w:tr>
        <w:tblPrEx>
          <w:tblCellMar>
            <w:top w:w="0" w:type="dxa"/>
            <w:left w:w="108" w:type="dxa"/>
            <w:bottom w:w="0" w:type="dxa"/>
            <w:right w:w="108" w:type="dxa"/>
          </w:tblCellMar>
        </w:tblPrEx>
        <w:trPr>
          <w:trHeight w:val="604"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★A060806水嘴</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《水嘴用水效率限定值及用水效率等级》（GB 25501）</w:t>
            </w:r>
          </w:p>
        </w:tc>
      </w:tr>
      <w:tr>
        <w:tblPrEx>
          <w:tblCellMar>
            <w:top w:w="0" w:type="dxa"/>
            <w:left w:w="108" w:type="dxa"/>
            <w:bottom w:w="0" w:type="dxa"/>
            <w:right w:w="108" w:type="dxa"/>
          </w:tblCellMar>
        </w:tblPrEx>
        <w:trPr>
          <w:trHeight w:val="897"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A060807便器冲洗阀</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《便器冲洗阀用水效率限定值及用水效率等级》（GB28379）</w:t>
            </w:r>
          </w:p>
        </w:tc>
      </w:tr>
      <w:tr>
        <w:tblPrEx>
          <w:tblCellMar>
            <w:top w:w="0" w:type="dxa"/>
            <w:left w:w="108" w:type="dxa"/>
            <w:bottom w:w="0" w:type="dxa"/>
            <w:right w:w="108" w:type="dxa"/>
          </w:tblCellMar>
        </w:tblPrEx>
        <w:trPr>
          <w:trHeight w:val="622" w:hRule="atLeast"/>
        </w:trPr>
        <w:tc>
          <w:tcPr>
            <w:tcW w:w="59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307"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A060810淋浴器</w:t>
            </w:r>
          </w:p>
        </w:tc>
        <w:tc>
          <w:tcPr>
            <w:tcW w:w="179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92"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15" w:type="dxa"/>
            <w:tcBorders>
              <w:top w:val="nil"/>
              <w:left w:val="nil"/>
              <w:bottom w:val="single" w:color="000000" w:sz="8" w:space="0"/>
              <w:right w:val="single" w:color="000000" w:sz="8"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《淋浴器用水效率限定值及用水效率等级》（GB28378）</w:t>
            </w:r>
          </w:p>
        </w:tc>
      </w:tr>
    </w:tbl>
    <w:p>
      <w:pPr>
        <w:widowControl/>
        <w:rPr>
          <w:rFonts w:ascii="宋体" w:hAnsi="宋体" w:eastAsia="宋体" w:cs="宋体"/>
          <w:sz w:val="24"/>
          <w:szCs w:val="24"/>
        </w:rPr>
      </w:pPr>
    </w:p>
    <w:p>
      <w:pPr>
        <w:spacing w:after="120"/>
        <w:rPr>
          <w:rFonts w:ascii="楷体" w:hAnsi="楷体" w:eastAsia="楷体" w:cs="宋体"/>
          <w:b/>
          <w:spacing w:val="-3"/>
          <w:szCs w:val="24"/>
        </w:rPr>
      </w:pPr>
      <w:r>
        <w:rPr>
          <w:rFonts w:hint="eastAsia" w:ascii="楷体" w:hAnsi="楷体" w:eastAsia="楷体" w:cs="宋体"/>
          <w:b/>
          <w:spacing w:val="-3"/>
          <w:szCs w:val="24"/>
        </w:rPr>
        <w:t>注：</w:t>
      </w:r>
    </w:p>
    <w:p>
      <w:pPr>
        <w:spacing w:after="120"/>
        <w:ind w:firstLine="408" w:firstLineChars="200"/>
        <w:rPr>
          <w:rFonts w:ascii="楷体" w:hAnsi="楷体" w:eastAsia="楷体" w:cs="宋体"/>
          <w:szCs w:val="24"/>
        </w:rPr>
      </w:pPr>
      <w:r>
        <w:rPr>
          <w:rFonts w:hint="eastAsia" w:ascii="楷体" w:hAnsi="楷体" w:eastAsia="楷体" w:cs="宋体"/>
          <w:spacing w:val="-3"/>
          <w:szCs w:val="24"/>
        </w:rPr>
        <w:t>1.节能产品认证应依据相关国家标准的最新版本，依据国家标准中二级能效（水效）</w:t>
      </w:r>
      <w:r>
        <w:rPr>
          <w:rFonts w:hint="eastAsia" w:ascii="楷体" w:hAnsi="楷体" w:eastAsia="楷体" w:cs="宋体"/>
          <w:szCs w:val="24"/>
        </w:rPr>
        <w:t>指标。</w:t>
      </w:r>
    </w:p>
    <w:p>
      <w:pPr>
        <w:spacing w:after="120" w:line="360" w:lineRule="auto"/>
        <w:ind w:firstLine="420" w:firstLineChars="200"/>
        <w:rPr>
          <w:rFonts w:ascii="楷体" w:hAnsi="楷体" w:eastAsia="楷体" w:cs="宋体"/>
          <w:b/>
          <w:bCs/>
          <w:szCs w:val="24"/>
        </w:rPr>
      </w:pPr>
      <w:r>
        <w:rPr>
          <w:rFonts w:hint="eastAsia" w:ascii="楷体" w:hAnsi="楷体" w:eastAsia="楷体" w:cs="宋体"/>
          <w:szCs w:val="24"/>
        </w:rPr>
        <w:t>2</w:t>
      </w:r>
      <w:r>
        <w:rPr>
          <w:rFonts w:hint="eastAsia" w:ascii="楷体" w:hAnsi="楷体" w:eastAsia="楷体" w:cs="宋体"/>
          <w:b/>
          <w:bCs/>
          <w:szCs w:val="24"/>
        </w:rPr>
        <w:t>.以“★”标注的为政府强制采购产品。</w:t>
      </w:r>
    </w:p>
    <w:p>
      <w:pPr>
        <w:jc w:val="left"/>
        <w:rPr>
          <w:rFonts w:ascii="宋体" w:hAnsi="宋体" w:eastAsia="宋体" w:cs="宋体"/>
          <w:kern w:val="0"/>
          <w:sz w:val="24"/>
          <w:szCs w:val="24"/>
        </w:rPr>
      </w:pPr>
      <w:r>
        <w:rPr>
          <w:rFonts w:hint="eastAsia" w:ascii="宋体" w:hAnsi="宋体" w:eastAsia="宋体" w:cs="宋体"/>
          <w:kern w:val="0"/>
          <w:sz w:val="24"/>
          <w:szCs w:val="24"/>
        </w:rPr>
        <w:t>附件2：</w:t>
      </w:r>
    </w:p>
    <w:p>
      <w:pPr>
        <w:spacing w:line="528" w:lineRule="exact"/>
        <w:ind w:left="220"/>
        <w:jc w:val="center"/>
        <w:rPr>
          <w:rFonts w:ascii="宋体" w:hAnsi="宋体" w:eastAsia="宋体" w:cs="宋体"/>
          <w:b/>
          <w:bCs/>
          <w:sz w:val="36"/>
          <w:szCs w:val="36"/>
        </w:rPr>
      </w:pPr>
      <w:r>
        <w:rPr>
          <w:rFonts w:hint="eastAsia" w:ascii="宋体" w:hAnsi="宋体" w:eastAsia="宋体" w:cs="宋体"/>
          <w:b/>
          <w:bCs/>
          <w:sz w:val="36"/>
          <w:szCs w:val="36"/>
        </w:rPr>
        <w:t>中小微企业划型标准</w:t>
      </w:r>
    </w:p>
    <w:tbl>
      <w:tblPr>
        <w:tblStyle w:val="22"/>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微型</w:t>
            </w:r>
          </w:p>
        </w:tc>
      </w:tr>
      <w:tr>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6000≤Y＜80000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300≤Y＜6000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Y＜300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5000≤Z＜80000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300≤Z＜5000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Z＜300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5≤X＜20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X＜5</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5000≤Y＜40000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10≤X＜50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500≤Y＜20000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100≤Y＜500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200≤Y＜3000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Y＜200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100≤X＜200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X＜20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2000≤Y＜30000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100≤Y＜2000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100≤X＜2000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1000≤Y＜100000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Y＜50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1000≤Y＜200000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5000≤Z＜10000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2000≤Y＜5000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Y＜2000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300≤X＜1000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1000≤Y＜5000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500≤Y＜1000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Y＜500</w:t>
            </w:r>
          </w:p>
        </w:tc>
      </w:tr>
      <w:tr>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r>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万元</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8000≤Z＜120000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100≤Z＜8000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Y＜100</w:t>
            </w:r>
          </w:p>
        </w:tc>
      </w:tr>
      <w:tr>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w:t>
            </w:r>
          </w:p>
        </w:tc>
        <w:tc>
          <w:tcPr>
            <w:tcW w:w="191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100≤X＜300</w:t>
            </w:r>
          </w:p>
        </w:tc>
        <w:tc>
          <w:tcPr>
            <w:tcW w:w="1699"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10≤X＜100</w:t>
            </w:r>
          </w:p>
        </w:tc>
        <w:tc>
          <w:tcPr>
            <w:tcW w:w="109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X＜10</w:t>
            </w:r>
          </w:p>
        </w:tc>
      </w:tr>
    </w:tbl>
    <w:p>
      <w:pPr>
        <w:ind w:firstLine="602" w:firstLineChars="250"/>
        <w:rPr>
          <w:rFonts w:ascii="楷体" w:hAnsi="楷体" w:eastAsia="楷体" w:cs="宋体"/>
          <w:b/>
          <w:sz w:val="24"/>
          <w:szCs w:val="24"/>
        </w:rPr>
      </w:pPr>
      <w:r>
        <w:rPr>
          <w:rFonts w:hint="eastAsia" w:ascii="楷体" w:hAnsi="楷体" w:eastAsia="楷体" w:cs="宋体"/>
          <w:b/>
          <w:sz w:val="24"/>
          <w:szCs w:val="24"/>
        </w:rPr>
        <w:t>说明：</w:t>
      </w:r>
    </w:p>
    <w:p>
      <w:pPr>
        <w:ind w:firstLine="600" w:firstLineChars="250"/>
        <w:rPr>
          <w:rFonts w:ascii="楷体" w:hAnsi="楷体" w:eastAsia="楷体" w:cs="宋体"/>
          <w:sz w:val="24"/>
          <w:szCs w:val="24"/>
        </w:rPr>
      </w:pPr>
      <w:r>
        <w:rPr>
          <w:rFonts w:hint="eastAsia" w:ascii="楷体" w:hAnsi="楷体" w:eastAsia="楷体" w:cs="宋体"/>
          <w:sz w:val="24"/>
          <w:szCs w:val="24"/>
        </w:rPr>
        <w:t>上述标准参照《关于印发中小企业划型标准规定的通知》（工信部联企业</w:t>
      </w:r>
      <w:r>
        <w:rPr>
          <w:rFonts w:ascii="楷体" w:hAnsi="楷体" w:eastAsia="楷体" w:cs="宋体"/>
          <w:sz w:val="24"/>
          <w:szCs w:val="24"/>
        </w:rPr>
        <w:t>[2011]300号），大型、中型和小型企业须同时满足所列指标的下限，否则下划一档；微型企业只须满足所列指标中的一项即可。</w:t>
      </w:r>
    </w:p>
    <w:p>
      <w:pPr>
        <w:widowControl/>
        <w:jc w:val="left"/>
        <w:rPr>
          <w:rFonts w:ascii="宋体" w:hAnsi="宋体" w:cs="宋体"/>
          <w:sz w:val="24"/>
        </w:rPr>
        <w:sectPr>
          <w:footerReference r:id="rId8" w:type="default"/>
          <w:pgSz w:w="11906" w:h="16838"/>
          <w:pgMar w:top="1134" w:right="1134" w:bottom="1134" w:left="1134" w:header="720" w:footer="720" w:gutter="0"/>
          <w:pgNumType w:start="1"/>
          <w:cols w:space="720" w:num="1"/>
          <w:docGrid w:type="lines" w:linePitch="331" w:charSpace="0"/>
        </w:sectPr>
      </w:pPr>
    </w:p>
    <w:p>
      <w:pPr>
        <w:keepNext/>
        <w:keepLines/>
        <w:spacing w:line="360" w:lineRule="auto"/>
        <w:ind w:firstLine="883" w:firstLineChars="200"/>
        <w:jc w:val="left"/>
        <w:outlineLvl w:val="0"/>
        <w:rPr>
          <w:rFonts w:ascii="宋体" w:hAnsi="宋体" w:eastAsia="宋体" w:cs="宋体"/>
          <w:b/>
          <w:bCs/>
          <w:kern w:val="44"/>
          <w:sz w:val="44"/>
          <w:szCs w:val="44"/>
        </w:rPr>
      </w:pPr>
      <w:r>
        <w:rPr>
          <w:rFonts w:hint="eastAsia" w:ascii="宋体" w:hAnsi="宋体" w:eastAsia="宋体" w:cs="宋体"/>
          <w:b/>
          <w:bCs/>
          <w:kern w:val="44"/>
          <w:sz w:val="44"/>
          <w:szCs w:val="44"/>
        </w:rPr>
        <w:t>第四章</w:t>
      </w:r>
      <w:bookmarkStart w:id="27" w:name="_Hlk68601507"/>
      <w:r>
        <w:rPr>
          <w:rFonts w:hint="eastAsia" w:ascii="宋体" w:hAnsi="宋体" w:eastAsia="宋体" w:cs="宋体"/>
          <w:b/>
          <w:bCs/>
          <w:kern w:val="44"/>
          <w:sz w:val="44"/>
          <w:szCs w:val="44"/>
        </w:rPr>
        <w:t xml:space="preserve"> 评审程序和评定成交的标准</w:t>
      </w:r>
      <w:bookmarkEnd w:id="27"/>
    </w:p>
    <w:p>
      <w:pPr>
        <w:spacing w:line="360" w:lineRule="auto"/>
        <w:jc w:val="center"/>
        <w:rPr>
          <w:rFonts w:ascii="宋体" w:hAnsi="宋体" w:eastAsia="宋体" w:cs="宋体"/>
          <w:b/>
          <w:sz w:val="32"/>
          <w:szCs w:val="32"/>
        </w:rPr>
      </w:pPr>
    </w:p>
    <w:p>
      <w:pPr>
        <w:jc w:val="center"/>
        <w:rPr>
          <w:rFonts w:ascii="宋体" w:hAnsi="宋体" w:eastAsia="宋体" w:cs="宋体"/>
          <w:b/>
          <w:sz w:val="32"/>
          <w:szCs w:val="32"/>
        </w:rPr>
      </w:pPr>
      <w:r>
        <w:rPr>
          <w:rFonts w:hint="eastAsia" w:ascii="宋体" w:hAnsi="宋体" w:eastAsia="宋体" w:cs="宋体"/>
          <w:b/>
          <w:sz w:val="32"/>
          <w:szCs w:val="32"/>
        </w:rPr>
        <w:t>一、评审程序</w:t>
      </w:r>
    </w:p>
    <w:p>
      <w:pPr>
        <w:spacing w:line="360" w:lineRule="auto"/>
        <w:ind w:firstLine="482" w:firstLineChars="200"/>
        <w:rPr>
          <w:rFonts w:ascii="宋体" w:hAnsi="宋体" w:eastAsia="宋体" w:cs="宋体"/>
          <w:b/>
          <w:bCs/>
          <w:sz w:val="24"/>
          <w:szCs w:val="24"/>
        </w:rPr>
      </w:pP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1.确认谈判文件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由谈判小组确认谈判文件。</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2.资格审查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2.1响应文件开启后，谈判小组依法对供应商的资格证明文件进行审查。</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（2）信用查询截止时点：资格审查结束前</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（3）查询记录和证据留存方式：将查询网站中的查询记录截图并作为评审资料保存。</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2.2资格审查标准为本谈判文件中载明对供应商资格要求的条件。本项目资格审查采用合格制，凡符合谈判文件规定的供应商资格要求的供应商均通过资格审查。</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2.3 供应商有下列情形之一的，资格审查不通过，其响应文件按无效响应处理：</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（1）不具备谈判文件中规定的资格要求的；</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（2）响应文件中的资格证明文件缺少任一项“供应商须知前附表”资格证明文件规定的“必须提供”的文件资料的；</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（3）响应文件中的资格证明文件出现任一项不符合“供应商须知前附表”资格证明文件规定的“必须提供”的文件资料要求或者无效的；</w:t>
      </w:r>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2.4通过资格审查的合格供应商不足3家（本章3.7条规定除外）的，不得进入符合性审查环节，应当重新开展采购活动。</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3.符合性审查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3.1由谈判小组对资格审查的合格的供应商的响应文件进行</w:t>
      </w:r>
      <w:r>
        <w:rPr>
          <w:rFonts w:hint="eastAsia" w:ascii="宋体" w:hAnsi="宋体" w:eastAsia="宋体" w:cs="宋体"/>
          <w:sz w:val="24"/>
          <w:szCs w:val="24"/>
          <w:lang w:bidi="ar"/>
        </w:rPr>
        <w:t>竞争性谈判</w:t>
      </w:r>
      <w:r>
        <w:rPr>
          <w:rFonts w:hint="eastAsia" w:ascii="宋体" w:hAnsi="宋体" w:eastAsia="宋体" w:cs="宋体"/>
          <w:sz w:val="24"/>
          <w:szCs w:val="24"/>
        </w:rPr>
        <w:t>报价、商务、技术等实质性要求符合性审查，以确定其是否满足谈判文件的实质性要求。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eastAsia="宋体" w:cs="宋体"/>
          <w:spacing w:val="-6"/>
          <w:sz w:val="24"/>
          <w:szCs w:val="24"/>
        </w:rPr>
      </w:pPr>
      <w:r>
        <w:rPr>
          <w:rFonts w:hint="eastAsia" w:ascii="宋体" w:hAnsi="宋体" w:eastAsia="宋体" w:cs="宋体"/>
          <w:sz w:val="24"/>
          <w:szCs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pPr>
        <w:spacing w:line="360" w:lineRule="auto"/>
        <w:ind w:firstLine="456" w:firstLineChars="200"/>
        <w:rPr>
          <w:rFonts w:ascii="宋体" w:hAnsi="宋体" w:eastAsia="宋体" w:cs="宋体"/>
          <w:sz w:val="24"/>
          <w:szCs w:val="24"/>
        </w:rPr>
      </w:pPr>
      <w:r>
        <w:rPr>
          <w:rFonts w:hint="eastAsia" w:ascii="宋体" w:hAnsi="宋体" w:eastAsia="宋体" w:cs="宋体"/>
          <w:spacing w:val="-6"/>
          <w:sz w:val="24"/>
          <w:szCs w:val="24"/>
        </w:rPr>
        <w:t>3.4</w:t>
      </w:r>
      <w:r>
        <w:rPr>
          <w:rFonts w:hint="eastAsia" w:ascii="宋体" w:hAnsi="宋体" w:eastAsia="宋体" w:cs="宋体"/>
          <w:sz w:val="24"/>
          <w:szCs w:val="24"/>
        </w:rPr>
        <w:t xml:space="preserve">首次响应文件报价出现前后不一致的，按照下列规定修正：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（1）响应文件中报价表内容与响应文件中相应内容不一致的，以报价表为准；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（3）单价金额小数点或者百分比有明显错位的，以报价表的总价为准，并修改单价；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3.5商务技术报价评审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在评审时，如发现下列情形之一的，将被视为响应文件无效响应处理：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（1）商务技术评审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1）响应文件未按谈判文件要求签署、盖章的；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2）委托代理人未能出具有效身份证或者出具的身份证与授权委托书中的信息不符的；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3）提交的谈判保证金无效的或者未按照谈判文件的规定提交谈判保证金；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4）响应文件中的报价商务技术文件出现任一项不符合“供应商须知前附表”中“必须提供”或者“委托时必须提供”文件资料要求的规定或者提供的报价商务技术文件无效。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5）商务条款中标“▲”的条款发生负偏离或者允许负偏离的条款数超过“供应商须知前附表”规定项数的；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6）未对</w:t>
      </w:r>
      <w:r>
        <w:rPr>
          <w:rFonts w:hint="eastAsia" w:ascii="宋体" w:hAnsi="宋体" w:eastAsia="宋体" w:cs="宋体"/>
          <w:sz w:val="24"/>
          <w:szCs w:val="24"/>
          <w:lang w:bidi="ar"/>
        </w:rPr>
        <w:t>竞争性谈判</w:t>
      </w:r>
      <w:r>
        <w:rPr>
          <w:rFonts w:hint="eastAsia" w:ascii="宋体" w:hAnsi="宋体" w:eastAsia="宋体" w:cs="宋体"/>
          <w:sz w:val="24"/>
          <w:szCs w:val="24"/>
        </w:rPr>
        <w:t>有效期作出响应或者响应文件承诺的</w:t>
      </w:r>
      <w:r>
        <w:rPr>
          <w:rFonts w:hint="eastAsia" w:ascii="宋体" w:hAnsi="宋体" w:eastAsia="宋体" w:cs="宋体"/>
          <w:sz w:val="24"/>
          <w:szCs w:val="24"/>
          <w:lang w:bidi="ar"/>
        </w:rPr>
        <w:t>竞争性谈判</w:t>
      </w:r>
      <w:r>
        <w:rPr>
          <w:rFonts w:hint="eastAsia" w:ascii="宋体" w:hAnsi="宋体" w:eastAsia="宋体" w:cs="宋体"/>
          <w:sz w:val="24"/>
          <w:szCs w:val="24"/>
        </w:rPr>
        <w:t>有效期不满足谈判文件要求；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7）响应文件的实质性内容未使用中文表述、使用计量单位不符合谈判文件要求的；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8）响应文件中的文件资料因填写不齐全或者内容虚假或者出现其他情形而导致被谈判小组认定无效的；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9）响应文件含有采购人不能接受的附加条件的；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10）属于“供应商须知正文”第7.</w:t>
      </w:r>
      <w:r>
        <w:rPr>
          <w:rFonts w:ascii="宋体" w:hAnsi="宋体" w:eastAsia="宋体" w:cs="宋体"/>
          <w:sz w:val="24"/>
          <w:szCs w:val="24"/>
        </w:rPr>
        <w:t>4</w:t>
      </w:r>
      <w:r>
        <w:rPr>
          <w:rFonts w:hint="eastAsia" w:ascii="宋体" w:hAnsi="宋体" w:eastAsia="宋体" w:cs="宋体"/>
          <w:sz w:val="24"/>
          <w:szCs w:val="24"/>
        </w:rPr>
        <w:t>条的情形的；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11）技术要求中标“▲”的条款发生负偏离或允许负偏离的条款数超过“供应商须知前附表”规定项数的；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12）虚假响应，或者出现其他情形而导致被谈判小组认定无效的；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w:t>
      </w:r>
      <w:bookmarkStart w:id="28" w:name="_Hlk71704147"/>
      <w:r>
        <w:rPr>
          <w:rFonts w:hint="eastAsia" w:ascii="宋体" w:hAnsi="宋体" w:eastAsia="宋体" w:cs="宋体"/>
          <w:sz w:val="24"/>
          <w:szCs w:val="24"/>
        </w:rPr>
        <w:t>谈判文件未载明允许提供备选（替代）响应方案或明确不允许提供备选（替代）响应方案时，供应商提供了备选（替代）响应方案的；</w:t>
      </w:r>
      <w:bookmarkEnd w:id="2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14）响应文件标注的项目名称或者项目编号与谈判文件标注的项目名称或者项目编号不一致的；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b/>
          <w:sz w:val="24"/>
          <w:szCs w:val="24"/>
        </w:rPr>
        <w:t>谈判文件明确不允许分包，响应文件拟分包的；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16）未响应谈判文件实质性要求；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17）法律、法规和谈判文件规定的其他无效情形。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（2）报价评审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1）响应文件未提供“供应商须知前附表” 报价商务技术文件中规定的“</w:t>
      </w:r>
      <w:r>
        <w:rPr>
          <w:rFonts w:hint="eastAsia" w:ascii="宋体" w:hAnsi="宋体" w:eastAsia="宋体" w:cs="宋体"/>
          <w:sz w:val="24"/>
          <w:szCs w:val="24"/>
          <w:lang w:bidi="ar"/>
        </w:rPr>
        <w:t>竞争性谈判</w:t>
      </w:r>
      <w:r>
        <w:rPr>
          <w:rFonts w:hint="eastAsia" w:ascii="宋体" w:hAnsi="宋体" w:eastAsia="宋体" w:cs="宋体"/>
          <w:sz w:val="24"/>
          <w:szCs w:val="24"/>
        </w:rPr>
        <w:t>报价表”的；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2）未采用人民币报价或者未按照谈判文件标明的币种报价的；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分标进行报价或者存在漏项报价的；供应商未就所参与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分标的单项内容作唯一报价的；供应商未就所参与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分标的全部内容作完整唯一总价报价的；供应商响应文件中存在有选择、有条件报价的（谈判文件允许有备选方案或者其他约定的除外）；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bidi="ar"/>
        </w:rPr>
        <w:t>竞争性谈判</w:t>
      </w:r>
      <w:r>
        <w:rPr>
          <w:rFonts w:hint="eastAsia" w:ascii="宋体" w:hAnsi="宋体" w:eastAsia="宋体" w:cs="宋体"/>
          <w:sz w:val="24"/>
          <w:szCs w:val="24"/>
        </w:rPr>
        <w:t>报价（包含首次报价、最后报价）超过所参与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分标规定的采购预算金额或者最高限价的；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bidi="ar"/>
        </w:rPr>
        <w:t>竞争性谈判</w:t>
      </w:r>
      <w:r>
        <w:rPr>
          <w:rFonts w:hint="eastAsia" w:ascii="宋体" w:hAnsi="宋体" w:eastAsia="宋体" w:cs="宋体"/>
          <w:sz w:val="24"/>
          <w:szCs w:val="24"/>
        </w:rPr>
        <w:t>报价（包含首次报价、最后报价）超过分项采购预算金额或者最高限价的，其响应文件将作无效处理；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）修正后的报价，供应商不确认的；或者经供应商确认修正后的最后报价超过所参与</w:t>
      </w:r>
      <w:r>
        <w:rPr>
          <w:rFonts w:hint="eastAsia" w:ascii="宋体" w:hAnsi="宋体" w:eastAsia="宋体" w:cs="宋体"/>
          <w:sz w:val="24"/>
          <w:szCs w:val="24"/>
          <w:lang w:bidi="ar"/>
        </w:rPr>
        <w:t>竞争性谈判</w:t>
      </w:r>
      <w:r>
        <w:rPr>
          <w:rFonts w:hint="eastAsia" w:ascii="宋体" w:hAnsi="宋体" w:eastAsia="宋体" w:cs="宋体"/>
          <w:sz w:val="24"/>
          <w:szCs w:val="24"/>
        </w:rPr>
        <w:t>分标规定的采购预算金额或者最高限价（如本项目公布了最高限价）；</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）响应文件响应的标的数量及单位与竞争性谈判采购文件要求实质性不一致的。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w:t>
      </w:r>
      <w:r>
        <w:rPr>
          <w:rFonts w:hint="eastAsia" w:ascii="宋体" w:hAnsi="宋体" w:eastAsia="宋体" w:cs="宋体"/>
          <w:sz w:val="24"/>
          <w:szCs w:val="24"/>
          <w:lang w:bidi="ar"/>
        </w:rPr>
        <w:t>竞争性谈判</w:t>
      </w:r>
      <w:r>
        <w:rPr>
          <w:rFonts w:hint="eastAsia" w:ascii="宋体" w:hAnsi="宋体" w:eastAsia="宋体" w:cs="宋体"/>
          <w:sz w:val="24"/>
          <w:szCs w:val="24"/>
        </w:rPr>
        <w:t>文件中的采购需求编制谈判文件，成立谈判小组，由谈判小组对谈判文件进行确认。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3.8通过符合性审查的合格供应商不足3家的，不得进入谈判环节，应当重新开展采购活动。</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4.谈判程序</w:t>
      </w:r>
    </w:p>
    <w:p>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4.1谈判小组按照“供应商须知前附表”第26条确定的</w:t>
      </w:r>
      <w:r>
        <w:rPr>
          <w:rFonts w:hint="eastAsia" w:ascii="宋体" w:hAnsi="宋体" w:eastAsia="宋体" w:cs="宋体"/>
          <w:sz w:val="24"/>
          <w:szCs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4.3对谈判文件作出的实质性变动是谈判文件的有效组成部分，谈判小组应当及时以电子谈判记录形式同时通知所有参加谈判的供应商。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eastAsia="宋体" w:cs="宋体"/>
          <w:bCs/>
          <w:sz w:val="24"/>
          <w:szCs w:val="24"/>
        </w:rPr>
        <w:t>若委托代理人不是响应文件中授权的委托代理人时，必须同时出示有效的授权委托书原件</w:t>
      </w:r>
      <w:r>
        <w:rPr>
          <w:rFonts w:hint="eastAsia" w:ascii="宋体" w:hAnsi="宋体" w:eastAsia="宋体" w:cs="宋体"/>
          <w:sz w:val="24"/>
          <w:szCs w:val="24"/>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4.5谈判中，谈判的任何一方不得透露与谈判有关的其他供应商的技术资料、价格和其他信息。</w:t>
      </w:r>
    </w:p>
    <w:p>
      <w:pPr>
        <w:tabs>
          <w:tab w:val="left" w:pos="2835"/>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4.6对谈判过程提交的响应文件进行有效性、完整性和响应程度审查，通过审查的合格供应商不足3家的，采购人或者采购代理机构应当重新开展采购活动。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5.最后报价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5.3最后报价是供应商响应文件的有效组成部分。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5.4已经提交响应文件的供应商，在提交最后报价之前，可以根据谈判情况退出谈判。采购人、采购代理机构将退还退出谈判的供应商的保证金。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5.5供应商未在规定时间内提交最后报价的，视为退出谈判，其响应文件按无效响应处理。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5.6谈判小组收齐某一分标最后报价后或达到规定时间后统一开启，谈判小组对最后报价进行有效性、完整性和响应程度的审查。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5.7响应文件首次及最后报价出现前后不一致的，按照本章第3.4条的规定修正。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5.8经供应商确认修正后的最后报价作为评审及签订合同的依据。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5.9供应商出现最后报价按无效响应处理或者响应文件按无效响应处理时，谈判小组应当告知有关供应商。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5.10最后报价结束后，谈判小组不得再与供应商进行任何形式的商谈。</w:t>
      </w:r>
    </w:p>
    <w:p>
      <w:pPr>
        <w:spacing w:line="360" w:lineRule="auto"/>
        <w:ind w:firstLine="472" w:firstLineChars="196"/>
        <w:rPr>
          <w:rFonts w:ascii="宋体" w:hAnsi="宋体" w:eastAsia="宋体" w:cs="宋体"/>
          <w:b/>
          <w:bCs/>
          <w:sz w:val="24"/>
          <w:szCs w:val="24"/>
        </w:rPr>
      </w:pPr>
      <w:r>
        <w:rPr>
          <w:rFonts w:hint="eastAsia" w:ascii="宋体" w:hAnsi="宋体" w:eastAsia="宋体" w:cs="宋体"/>
          <w:b/>
          <w:bCs/>
          <w:sz w:val="24"/>
          <w:szCs w:val="24"/>
        </w:rPr>
        <w:t>6.最后报价政府采购政策性扣除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6.1评标价为供应商的最后报价进行政策性扣除后的价格，评标价只是作为评审时使用。最终成交供应商的成交金额等于最后报价（如有修正，以确认修正后的最后报价为准）。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6.2政策性扣除计算方法。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根据《政府采购促进中小企业发展管理办法》（财库〔2020〕46号）及《广西壮族自治区财政厅关于贯彻落实政府采购支持中小企业发展政策的通知》（桂财采〔2022〕31号）的规定，</w:t>
      </w:r>
      <w:r>
        <w:rPr>
          <w:rFonts w:hint="eastAsia" w:ascii="Times New Roman" w:hAnsi="宋体" w:eastAsia="宋体" w:cs="宋体"/>
          <w:bCs/>
          <w:sz w:val="24"/>
          <w:szCs w:val="24"/>
        </w:rPr>
        <w:t>调整对小微企业的价格评审优惠幅度</w:t>
      </w:r>
      <w:r>
        <w:rPr>
          <w:rFonts w:hint="eastAsia" w:ascii="宋体" w:hAnsi="宋体" w:eastAsia="宋体" w:cs="宋体"/>
          <w:sz w:val="24"/>
          <w:szCs w:val="24"/>
        </w:rPr>
        <w:t>，供应商属于《政府采购促进中小企业发展管理办法》规定的小微企业的，对</w:t>
      </w:r>
      <w:r>
        <w:rPr>
          <w:rFonts w:hint="eastAsia" w:ascii="宋体" w:hAnsi="宋体" w:eastAsia="宋体" w:cs="宋体"/>
          <w:sz w:val="24"/>
          <w:szCs w:val="24"/>
          <w:lang w:bidi="ar"/>
        </w:rPr>
        <w:t>竞争性谈判</w:t>
      </w:r>
      <w:r>
        <w:rPr>
          <w:rFonts w:hint="eastAsia" w:ascii="宋体" w:hAnsi="宋体" w:eastAsia="宋体" w:cs="宋体"/>
          <w:sz w:val="24"/>
          <w:szCs w:val="24"/>
        </w:rPr>
        <w:t>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6.5除上述情况外，评标价＝最后报价。</w:t>
      </w:r>
    </w:p>
    <w:p>
      <w:pPr>
        <w:spacing w:line="360" w:lineRule="auto"/>
        <w:ind w:firstLine="480" w:firstLineChars="200"/>
        <w:rPr>
          <w:rFonts w:ascii="宋体" w:hAnsi="宋体" w:eastAsia="宋体" w:cs="宋体"/>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二、评定成交的标准</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7.成交候选人推荐原则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pPr>
        <w:keepNext/>
        <w:keepLines/>
        <w:spacing w:line="360" w:lineRule="auto"/>
        <w:jc w:val="center"/>
        <w:outlineLvl w:val="0"/>
        <w:rPr>
          <w:rFonts w:ascii="宋体" w:hAnsi="宋体" w:eastAsia="宋体" w:cs="宋体"/>
          <w:b/>
          <w:bCs/>
          <w:kern w:val="44"/>
          <w:sz w:val="44"/>
          <w:szCs w:val="44"/>
        </w:rPr>
      </w:pPr>
      <w:r>
        <w:rPr>
          <w:rFonts w:hint="eastAsia" w:ascii="宋体" w:hAnsi="宋体" w:eastAsia="宋体" w:cs="宋体"/>
          <w:b/>
          <w:bCs/>
          <w:kern w:val="44"/>
          <w:sz w:val="24"/>
          <w:szCs w:val="24"/>
        </w:rPr>
        <w:br w:type="page"/>
      </w:r>
    </w:p>
    <w:p>
      <w:pPr>
        <w:rPr>
          <w:rFonts w:ascii="宋体" w:hAnsi="宋体" w:eastAsia="宋体" w:cs="宋体"/>
          <w:szCs w:val="24"/>
        </w:rPr>
      </w:pPr>
    </w:p>
    <w:p>
      <w:pPr>
        <w:keepNext/>
        <w:keepLines/>
        <w:spacing w:line="578" w:lineRule="auto"/>
        <w:jc w:val="center"/>
        <w:outlineLvl w:val="0"/>
        <w:rPr>
          <w:rFonts w:ascii="宋体" w:hAnsi="宋体" w:eastAsia="宋体" w:cs="宋体"/>
          <w:b/>
          <w:bCs/>
          <w:kern w:val="44"/>
          <w:sz w:val="44"/>
          <w:szCs w:val="44"/>
        </w:rPr>
      </w:pPr>
      <w:bookmarkStart w:id="29" w:name="_Toc74322012"/>
      <w:r>
        <w:rPr>
          <w:rFonts w:hint="eastAsia" w:ascii="宋体" w:hAnsi="宋体" w:eastAsia="宋体" w:cs="宋体"/>
          <w:b/>
          <w:bCs/>
          <w:kern w:val="44"/>
          <w:sz w:val="44"/>
          <w:szCs w:val="44"/>
        </w:rPr>
        <w:t>第五章 响应文件格式</w:t>
      </w:r>
      <w:bookmarkEnd w:id="29"/>
    </w:p>
    <w:p>
      <w:pPr>
        <w:spacing w:line="240" w:lineRule="atLeast"/>
        <w:rPr>
          <w:rFonts w:ascii="宋体" w:hAnsi="宋体" w:eastAsia="宋体" w:cs="宋体"/>
          <w:b/>
          <w:sz w:val="32"/>
          <w:szCs w:val="32"/>
        </w:rPr>
      </w:pPr>
    </w:p>
    <w:p>
      <w:pPr>
        <w:spacing w:line="240" w:lineRule="atLeast"/>
        <w:rPr>
          <w:rFonts w:ascii="宋体" w:hAnsi="宋体" w:eastAsia="宋体" w:cs="宋体"/>
          <w:b/>
          <w:sz w:val="32"/>
          <w:szCs w:val="32"/>
        </w:rPr>
      </w:pPr>
    </w:p>
    <w:p>
      <w:pPr>
        <w:spacing w:line="360" w:lineRule="auto"/>
        <w:rPr>
          <w:rFonts w:ascii="宋体" w:hAnsi="宋体" w:eastAsia="宋体" w:cs="宋体"/>
          <w:b/>
          <w:sz w:val="32"/>
          <w:szCs w:val="32"/>
        </w:rPr>
      </w:pPr>
      <w:bookmarkStart w:id="30" w:name="_Toc71366060"/>
      <w:bookmarkStart w:id="31" w:name="_Toc71365382"/>
      <w:r>
        <w:rPr>
          <w:rFonts w:hint="eastAsia" w:ascii="宋体" w:hAnsi="宋体" w:eastAsia="宋体" w:cs="宋体"/>
          <w:b/>
          <w:sz w:val="32"/>
          <w:szCs w:val="32"/>
        </w:rPr>
        <w:t>一、资格证明文件格式</w:t>
      </w:r>
      <w:bookmarkEnd w:id="30"/>
      <w:bookmarkEnd w:id="31"/>
    </w:p>
    <w:p>
      <w:pPr>
        <w:snapToGrid w:val="0"/>
        <w:spacing w:line="360" w:lineRule="auto"/>
        <w:jc w:val="left"/>
        <w:rPr>
          <w:rFonts w:ascii="宋体" w:hAnsi="宋体" w:eastAsia="宋体" w:cs="宋体"/>
          <w:b/>
          <w:sz w:val="24"/>
          <w:szCs w:val="24"/>
        </w:rPr>
      </w:pPr>
      <w:r>
        <w:rPr>
          <w:rFonts w:hint="eastAsia" w:ascii="宋体" w:hAnsi="宋体" w:eastAsia="宋体" w:cs="宋体"/>
          <w:b/>
          <w:sz w:val="32"/>
          <w:szCs w:val="32"/>
        </w:rPr>
        <w:t>1.资格证明文件封面格式：</w:t>
      </w:r>
      <w:r>
        <w:rPr>
          <w:rFonts w:hint="eastAsia" w:ascii="宋体" w:hAnsi="宋体" w:eastAsia="宋体" w:cs="宋体"/>
          <w:b/>
          <w:sz w:val="24"/>
          <w:szCs w:val="24"/>
        </w:rPr>
        <w:t xml:space="preserve"> </w:t>
      </w:r>
    </w:p>
    <w:p>
      <w:pPr>
        <w:snapToGrid w:val="0"/>
        <w:spacing w:line="360" w:lineRule="auto"/>
        <w:rPr>
          <w:rFonts w:ascii="宋体" w:hAnsi="宋体" w:eastAsia="宋体" w:cs="宋体"/>
          <w:bCs/>
          <w:sz w:val="32"/>
          <w:szCs w:val="20"/>
        </w:rPr>
      </w:pPr>
      <w:r>
        <w:rPr>
          <w:rFonts w:hint="eastAsia" w:ascii="宋体" w:hAnsi="宋体" w:eastAsia="宋体" w:cs="宋体"/>
          <w:sz w:val="24"/>
          <w:szCs w:val="24"/>
        </w:rPr>
        <w:t xml:space="preserve">                                                  </w:t>
      </w:r>
    </w:p>
    <w:p>
      <w:pPr>
        <w:snapToGrid w:val="0"/>
        <w:spacing w:line="360" w:lineRule="auto"/>
        <w:jc w:val="center"/>
        <w:rPr>
          <w:rFonts w:ascii="宋体" w:hAnsi="宋体" w:eastAsia="宋体" w:cs="宋体"/>
          <w:bCs/>
          <w:sz w:val="44"/>
          <w:szCs w:val="44"/>
        </w:rPr>
      </w:pPr>
    </w:p>
    <w:p>
      <w:pPr>
        <w:snapToGrid w:val="0"/>
        <w:spacing w:line="360" w:lineRule="auto"/>
        <w:jc w:val="center"/>
        <w:rPr>
          <w:rFonts w:ascii="宋体" w:hAnsi="宋体" w:eastAsia="宋体" w:cs="宋体"/>
          <w:bCs/>
          <w:sz w:val="84"/>
          <w:szCs w:val="84"/>
        </w:rPr>
      </w:pPr>
      <w:r>
        <w:rPr>
          <w:rFonts w:hint="eastAsia" w:ascii="宋体" w:hAnsi="宋体" w:eastAsia="宋体" w:cs="宋体"/>
          <w:bCs/>
          <w:sz w:val="84"/>
          <w:szCs w:val="84"/>
        </w:rPr>
        <w:t>响  应  文  件</w:t>
      </w:r>
    </w:p>
    <w:p>
      <w:pPr>
        <w:snapToGrid w:val="0"/>
        <w:spacing w:line="360" w:lineRule="auto"/>
        <w:rPr>
          <w:rFonts w:ascii="宋体" w:hAnsi="宋体" w:eastAsia="宋体" w:cs="宋体"/>
          <w:sz w:val="24"/>
          <w:szCs w:val="20"/>
        </w:rPr>
      </w:pPr>
    </w:p>
    <w:p>
      <w:pPr>
        <w:snapToGrid w:val="0"/>
        <w:spacing w:line="360" w:lineRule="auto"/>
        <w:jc w:val="center"/>
        <w:rPr>
          <w:rFonts w:ascii="宋体" w:hAnsi="宋体" w:eastAsia="宋体" w:cs="宋体"/>
          <w:bCs/>
          <w:sz w:val="32"/>
          <w:szCs w:val="32"/>
        </w:rPr>
      </w:pPr>
      <w:r>
        <w:rPr>
          <w:rFonts w:hint="eastAsia" w:ascii="宋体" w:hAnsi="宋体" w:eastAsia="宋体" w:cs="宋体"/>
          <w:bCs/>
          <w:sz w:val="32"/>
          <w:szCs w:val="32"/>
        </w:rPr>
        <w:t>资  格  证  明  文  件</w:t>
      </w:r>
    </w:p>
    <w:p>
      <w:pPr>
        <w:snapToGrid w:val="0"/>
        <w:spacing w:line="360" w:lineRule="auto"/>
        <w:rPr>
          <w:rFonts w:ascii="宋体" w:hAnsi="宋体" w:eastAsia="宋体" w:cs="宋体"/>
          <w:bCs/>
          <w:sz w:val="24"/>
          <w:szCs w:val="20"/>
        </w:rPr>
      </w:pPr>
    </w:p>
    <w:p>
      <w:pPr>
        <w:snapToGrid w:val="0"/>
        <w:spacing w:line="360" w:lineRule="auto"/>
        <w:rPr>
          <w:rFonts w:ascii="宋体" w:hAnsi="宋体" w:eastAsia="宋体" w:cs="宋体"/>
          <w:bCs/>
          <w:sz w:val="24"/>
          <w:szCs w:val="20"/>
        </w:rPr>
      </w:pPr>
    </w:p>
    <w:p>
      <w:pPr>
        <w:snapToGrid w:val="0"/>
        <w:spacing w:line="360" w:lineRule="auto"/>
        <w:ind w:firstLine="2739" w:firstLineChars="856"/>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line="360" w:lineRule="auto"/>
        <w:ind w:firstLine="2739" w:firstLineChars="856"/>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line="360" w:lineRule="auto"/>
        <w:ind w:firstLine="2739" w:firstLineChars="856"/>
        <w:rPr>
          <w:rFonts w:ascii="宋体" w:hAnsi="宋体" w:eastAsia="宋体" w:cs="宋体"/>
          <w:bCs/>
          <w:sz w:val="32"/>
          <w:szCs w:val="32"/>
        </w:rPr>
      </w:pPr>
      <w:r>
        <w:rPr>
          <w:rFonts w:hint="eastAsia" w:ascii="宋体" w:hAnsi="宋体" w:eastAsia="宋体" w:cs="宋体"/>
          <w:bCs/>
          <w:sz w:val="32"/>
          <w:szCs w:val="32"/>
        </w:rPr>
        <w:t>所竞分标（如有）：</w:t>
      </w:r>
    </w:p>
    <w:p>
      <w:pPr>
        <w:snapToGrid w:val="0"/>
        <w:spacing w:line="360" w:lineRule="auto"/>
        <w:ind w:firstLine="2739" w:firstLineChars="856"/>
        <w:rPr>
          <w:rFonts w:ascii="宋体" w:hAnsi="宋体" w:eastAsia="宋体" w:cs="宋体"/>
          <w:bCs/>
          <w:sz w:val="32"/>
          <w:szCs w:val="32"/>
        </w:rPr>
      </w:pPr>
      <w:r>
        <w:rPr>
          <w:rFonts w:hint="eastAsia" w:ascii="宋体" w:hAnsi="宋体" w:eastAsia="宋体" w:cs="宋体"/>
          <w:bCs/>
          <w:sz w:val="32"/>
          <w:szCs w:val="32"/>
        </w:rPr>
        <w:t>供应商名称：</w:t>
      </w:r>
    </w:p>
    <w:p>
      <w:pPr>
        <w:snapToGrid w:val="0"/>
        <w:spacing w:line="360" w:lineRule="auto"/>
        <w:rPr>
          <w:rFonts w:ascii="宋体" w:hAnsi="宋体" w:eastAsia="宋体" w:cs="宋体"/>
          <w:bCs/>
          <w:sz w:val="32"/>
          <w:szCs w:val="32"/>
        </w:rPr>
      </w:pPr>
    </w:p>
    <w:p>
      <w:pPr>
        <w:snapToGrid w:val="0"/>
        <w:spacing w:line="360" w:lineRule="auto"/>
        <w:ind w:firstLine="1280" w:firstLineChars="400"/>
        <w:rPr>
          <w:rFonts w:ascii="宋体" w:hAnsi="宋体" w:eastAsia="宋体" w:cs="宋体"/>
          <w:bCs/>
          <w:sz w:val="32"/>
          <w:szCs w:val="32"/>
        </w:rPr>
      </w:pPr>
    </w:p>
    <w:p>
      <w:pPr>
        <w:snapToGrid w:val="0"/>
        <w:spacing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snapToGrid w:val="0"/>
        <w:spacing w:line="360" w:lineRule="auto"/>
        <w:jc w:val="left"/>
        <w:rPr>
          <w:rFonts w:ascii="宋体" w:hAnsi="宋体" w:eastAsia="宋体" w:cs="宋体"/>
          <w:b/>
          <w:bCs/>
          <w:sz w:val="32"/>
          <w:szCs w:val="32"/>
        </w:rPr>
      </w:pPr>
      <w:r>
        <w:rPr>
          <w:rFonts w:hint="eastAsia" w:ascii="宋体" w:hAnsi="宋体" w:eastAsia="宋体" w:cs="宋体"/>
          <w:sz w:val="24"/>
          <w:szCs w:val="24"/>
        </w:rPr>
        <w:br w:type="page"/>
      </w:r>
      <w:r>
        <w:rPr>
          <w:rFonts w:hint="eastAsia" w:ascii="宋体" w:hAnsi="宋体" w:eastAsia="宋体" w:cs="宋体"/>
          <w:b/>
          <w:bCs/>
          <w:sz w:val="32"/>
          <w:szCs w:val="32"/>
        </w:rPr>
        <w:t>2.资格证明文件目录</w:t>
      </w:r>
    </w:p>
    <w:p>
      <w:pPr>
        <w:snapToGrid w:val="0"/>
        <w:spacing w:line="360" w:lineRule="auto"/>
        <w:ind w:firstLine="645"/>
        <w:rPr>
          <w:rFonts w:ascii="宋体" w:hAnsi="宋体" w:eastAsia="宋体" w:cs="宋体"/>
          <w:sz w:val="32"/>
          <w:szCs w:val="32"/>
        </w:rPr>
      </w:pPr>
      <w:r>
        <w:rPr>
          <w:rFonts w:hint="eastAsia" w:ascii="宋体" w:hAnsi="宋体" w:eastAsia="宋体" w:cs="宋体"/>
          <w:sz w:val="32"/>
          <w:szCs w:val="32"/>
        </w:rPr>
        <w:t>根据谈判文件规定及供应商提供的材料自行编写目录（部分格式后附）。</w:t>
      </w:r>
    </w:p>
    <w:p>
      <w:pPr>
        <w:snapToGrid w:val="0"/>
        <w:spacing w:line="360" w:lineRule="auto"/>
        <w:rPr>
          <w:rFonts w:ascii="宋体" w:hAnsi="宋体" w:eastAsia="宋体" w:cs="宋体"/>
          <w:sz w:val="24"/>
          <w:szCs w:val="20"/>
        </w:rPr>
      </w:pPr>
      <w:r>
        <w:rPr>
          <w:rFonts w:hint="eastAsia" w:ascii="宋体" w:hAnsi="宋体" w:eastAsia="宋体" w:cs="宋体"/>
          <w:sz w:val="24"/>
          <w:szCs w:val="20"/>
        </w:rPr>
        <w:t xml:space="preserve"> </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left"/>
        <w:rPr>
          <w:rFonts w:ascii="宋体" w:hAnsi="宋体" w:eastAsia="宋体" w:cs="宋体"/>
          <w:szCs w:val="21"/>
        </w:rPr>
      </w:pPr>
    </w:p>
    <w:p>
      <w:pPr>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3.供应商直接控股、管理关系信息表</w:t>
      </w:r>
    </w:p>
    <w:p>
      <w:pPr>
        <w:snapToGrid w:val="0"/>
        <w:spacing w:line="360" w:lineRule="auto"/>
        <w:jc w:val="center"/>
        <w:rPr>
          <w:rFonts w:ascii="宋体" w:hAnsi="宋体" w:eastAsia="宋体" w:cs="宋体"/>
          <w:b/>
          <w:sz w:val="32"/>
          <w:szCs w:val="32"/>
        </w:rPr>
      </w:pPr>
    </w:p>
    <w:p>
      <w:pPr>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供应商直接控股股东信息表</w:t>
      </w:r>
    </w:p>
    <w:p>
      <w:pPr>
        <w:snapToGrid w:val="0"/>
        <w:spacing w:line="360" w:lineRule="auto"/>
        <w:jc w:val="center"/>
        <w:rPr>
          <w:rFonts w:ascii="宋体" w:hAnsi="宋体" w:eastAsia="宋体" w:cs="宋体"/>
          <w:b/>
          <w:sz w:val="32"/>
          <w:szCs w:val="32"/>
        </w:rPr>
      </w:pPr>
    </w:p>
    <w:tbl>
      <w:tblPr>
        <w:tblStyle w:val="22"/>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 w:val="28"/>
                <w:szCs w:val="28"/>
              </w:rPr>
            </w:pPr>
          </w:p>
        </w:tc>
      </w:tr>
    </w:tbl>
    <w:p>
      <w:pPr>
        <w:spacing w:line="360" w:lineRule="auto"/>
        <w:contextualSpacing/>
        <w:jc w:val="left"/>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3.供应商不存在直接控股股东的，则填“无”。</w:t>
      </w:r>
    </w:p>
    <w:p>
      <w:pPr>
        <w:spacing w:line="360" w:lineRule="auto"/>
        <w:ind w:firstLine="420" w:firstLineChars="200"/>
        <w:contextualSpacing/>
        <w:jc w:val="left"/>
        <w:rPr>
          <w:rFonts w:ascii="宋体" w:hAnsi="宋体" w:eastAsia="宋体" w:cs="宋体"/>
          <w:szCs w:val="21"/>
        </w:rPr>
      </w:pPr>
    </w:p>
    <w:p>
      <w:pPr>
        <w:spacing w:line="360" w:lineRule="auto"/>
        <w:ind w:firstLine="560" w:firstLineChars="200"/>
        <w:contextualSpacing/>
        <w:jc w:val="left"/>
        <w:rPr>
          <w:rFonts w:ascii="宋体" w:hAnsi="宋体" w:eastAsia="宋体" w:cs="宋体"/>
          <w:sz w:val="28"/>
          <w:szCs w:val="28"/>
        </w:rPr>
      </w:pPr>
    </w:p>
    <w:p>
      <w:pPr>
        <w:spacing w:line="360" w:lineRule="auto"/>
        <w:contextualSpacing/>
        <w:jc w:val="center"/>
        <w:rPr>
          <w:rFonts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3120" w:firstLineChars="1300"/>
        <w:contextualSpacing/>
        <w:rPr>
          <w:rFonts w:ascii="宋体" w:hAnsi="宋体" w:eastAsia="宋体" w:cs="宋体"/>
          <w:sz w:val="24"/>
          <w:szCs w:val="24"/>
          <w:u w:val="single"/>
        </w:rPr>
      </w:pPr>
      <w:r>
        <w:rPr>
          <w:rFonts w:hint="eastAsia" w:ascii="宋体" w:hAnsi="宋体" w:eastAsia="宋体" w:cs="宋体"/>
          <w:sz w:val="24"/>
          <w:szCs w:val="24"/>
        </w:rPr>
        <w:t xml:space="preserve">供应商（公章 ）： </w:t>
      </w:r>
      <w:r>
        <w:rPr>
          <w:rFonts w:hint="eastAsia" w:ascii="宋体" w:hAnsi="宋体" w:eastAsia="宋体" w:cs="宋体"/>
          <w:sz w:val="24"/>
          <w:szCs w:val="24"/>
          <w:u w:val="single"/>
        </w:rPr>
        <w:t xml:space="preserve">                              </w:t>
      </w:r>
    </w:p>
    <w:p>
      <w:pPr>
        <w:spacing w:line="360" w:lineRule="auto"/>
        <w:ind w:firstLine="3120" w:firstLineChars="1300"/>
        <w:contextualSpacing/>
        <w:rPr>
          <w:rFonts w:ascii="宋体" w:hAnsi="宋体" w:eastAsia="宋体" w:cs="宋体"/>
          <w:b/>
          <w:sz w:val="28"/>
          <w:szCs w:val="28"/>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b/>
          <w:sz w:val="28"/>
          <w:szCs w:val="28"/>
        </w:rPr>
        <w:br w:type="page"/>
      </w:r>
    </w:p>
    <w:p>
      <w:pPr>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供应商直接管理关系信息表</w:t>
      </w:r>
    </w:p>
    <w:p>
      <w:pPr>
        <w:snapToGrid w:val="0"/>
        <w:spacing w:line="360" w:lineRule="auto"/>
        <w:jc w:val="center"/>
        <w:rPr>
          <w:rFonts w:ascii="宋体" w:hAnsi="宋体" w:eastAsia="宋体" w:cs="宋体"/>
          <w:b/>
          <w:sz w:val="32"/>
          <w:szCs w:val="32"/>
        </w:rPr>
      </w:pPr>
    </w:p>
    <w:tbl>
      <w:tblPr>
        <w:tblStyle w:val="22"/>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宋体" w:hAnsi="宋体" w:eastAsia="宋体" w:cs="宋体"/>
                <w:kern w:val="0"/>
                <w:sz w:val="28"/>
                <w:szCs w:val="28"/>
              </w:rPr>
            </w:pPr>
          </w:p>
        </w:tc>
      </w:tr>
    </w:tbl>
    <w:p>
      <w:pPr>
        <w:spacing w:line="360" w:lineRule="auto"/>
        <w:contextualSpacing/>
        <w:jc w:val="left"/>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2.</w:t>
      </w:r>
      <w:r>
        <w:rPr>
          <w:rFonts w:hint="eastAsia" w:ascii="楷体" w:hAnsi="楷体" w:eastAsia="楷体" w:cs="宋体"/>
          <w:spacing w:val="-6"/>
          <w:sz w:val="24"/>
          <w:szCs w:val="24"/>
        </w:rPr>
        <w:t>本表所指的管理关系仅限于直接管理关系，不包括间接的管理关系。</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3.供应商不存在直接管理关系的，则填“无”。</w:t>
      </w:r>
    </w:p>
    <w:p>
      <w:pPr>
        <w:spacing w:line="360" w:lineRule="auto"/>
        <w:contextualSpacing/>
        <w:jc w:val="left"/>
        <w:rPr>
          <w:rFonts w:ascii="宋体" w:hAnsi="宋体" w:eastAsia="宋体" w:cs="宋体"/>
          <w:sz w:val="28"/>
          <w:szCs w:val="28"/>
        </w:rPr>
      </w:pPr>
    </w:p>
    <w:p>
      <w:pPr>
        <w:spacing w:line="360" w:lineRule="auto"/>
        <w:contextualSpacing/>
        <w:jc w:val="left"/>
        <w:rPr>
          <w:rFonts w:ascii="宋体" w:hAnsi="宋体" w:eastAsia="宋体" w:cs="宋体"/>
          <w:sz w:val="28"/>
          <w:szCs w:val="28"/>
        </w:rPr>
      </w:pPr>
    </w:p>
    <w:p>
      <w:pPr>
        <w:spacing w:line="360" w:lineRule="auto"/>
        <w:contextualSpacing/>
        <w:jc w:val="left"/>
        <w:rPr>
          <w:rFonts w:ascii="宋体" w:hAnsi="宋体" w:eastAsia="宋体" w:cs="宋体"/>
          <w:sz w:val="28"/>
          <w:szCs w:val="28"/>
        </w:rPr>
      </w:pPr>
    </w:p>
    <w:p>
      <w:pPr>
        <w:spacing w:line="360" w:lineRule="auto"/>
        <w:contextualSpacing/>
        <w:jc w:val="left"/>
        <w:rPr>
          <w:rFonts w:ascii="宋体" w:hAnsi="宋体" w:eastAsia="宋体" w:cs="宋体"/>
          <w:sz w:val="28"/>
          <w:szCs w:val="28"/>
        </w:rPr>
      </w:pPr>
    </w:p>
    <w:p>
      <w:pPr>
        <w:spacing w:line="360" w:lineRule="auto"/>
        <w:contextualSpacing/>
        <w:jc w:val="left"/>
        <w:rPr>
          <w:rFonts w:ascii="宋体" w:hAnsi="宋体" w:eastAsia="宋体" w:cs="宋体"/>
          <w:sz w:val="28"/>
          <w:szCs w:val="28"/>
        </w:rPr>
      </w:pPr>
    </w:p>
    <w:p>
      <w:pPr>
        <w:spacing w:line="360" w:lineRule="auto"/>
        <w:contextualSpacing/>
        <w:jc w:val="left"/>
        <w:rPr>
          <w:rFonts w:ascii="宋体" w:hAnsi="宋体" w:eastAsia="宋体" w:cs="宋体"/>
          <w:sz w:val="28"/>
          <w:szCs w:val="28"/>
        </w:rPr>
      </w:pPr>
    </w:p>
    <w:p>
      <w:pPr>
        <w:spacing w:line="360" w:lineRule="auto"/>
        <w:contextualSpacing/>
        <w:jc w:val="center"/>
        <w:rPr>
          <w:rFonts w:ascii="宋体" w:hAnsi="宋体" w:eastAsia="宋体" w:cs="宋体"/>
          <w:sz w:val="24"/>
          <w:szCs w:val="24"/>
          <w:u w:val="single"/>
        </w:rPr>
      </w:pPr>
      <w:r>
        <w:rPr>
          <w:rFonts w:hint="eastAsia" w:ascii="宋体" w:hAnsi="宋体" w:eastAsia="宋体" w:cs="宋体"/>
          <w:sz w:val="24"/>
          <w:szCs w:val="24"/>
        </w:rPr>
        <w:t xml:space="preserve">              法定代表人或者委托代理人签字：</w:t>
      </w:r>
      <w:r>
        <w:rPr>
          <w:rFonts w:hint="eastAsia" w:ascii="宋体" w:hAnsi="宋体" w:eastAsia="宋体" w:cs="宋体"/>
          <w:sz w:val="24"/>
          <w:szCs w:val="24"/>
          <w:u w:val="single"/>
        </w:rPr>
        <w:t xml:space="preserve">                   </w:t>
      </w:r>
    </w:p>
    <w:p>
      <w:pPr>
        <w:spacing w:line="360" w:lineRule="auto"/>
        <w:ind w:firstLine="3600" w:firstLineChars="150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240" w:firstLineChars="100"/>
        <w:contextualSpacing/>
        <w:jc w:val="center"/>
        <w:rPr>
          <w:rFonts w:ascii="宋体" w:hAnsi="宋体" w:eastAsia="宋体" w:cs="宋体"/>
          <w:sz w:val="28"/>
          <w:szCs w:val="28"/>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jc w:val="center"/>
        <w:rPr>
          <w:rFonts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参与竞争性谈判声明</w:t>
      </w:r>
    </w:p>
    <w:p>
      <w:pPr>
        <w:spacing w:line="360" w:lineRule="auto"/>
        <w:jc w:val="center"/>
        <w:rPr>
          <w:rFonts w:ascii="宋体" w:hAnsi="宋体" w:eastAsia="宋体" w:cs="宋体"/>
          <w:sz w:val="24"/>
          <w:szCs w:val="20"/>
        </w:rPr>
      </w:pPr>
    </w:p>
    <w:p>
      <w:pPr>
        <w:spacing w:line="360" w:lineRule="auto"/>
        <w:contextualSpacing/>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我方愿意参加贵方组织的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w:t>
      </w:r>
      <w:r>
        <w:rPr>
          <w:rFonts w:hint="eastAsia" w:ascii="宋体" w:hAnsi="宋体" w:eastAsia="宋体" w:cs="宋体"/>
          <w:sz w:val="24"/>
          <w:szCs w:val="24"/>
          <w:lang w:bidi="ar"/>
        </w:rPr>
        <w:t>竞争性谈判</w:t>
      </w:r>
      <w:r>
        <w:rPr>
          <w:rFonts w:hint="eastAsia" w:ascii="宋体" w:hAnsi="宋体" w:eastAsia="宋体" w:cs="宋体"/>
          <w:sz w:val="24"/>
          <w:szCs w:val="24"/>
        </w:rPr>
        <w:t>，为便于贵方公正、择优地确定成交供应商及其参与</w:t>
      </w:r>
      <w:r>
        <w:rPr>
          <w:rFonts w:hint="eastAsia" w:ascii="宋体" w:hAnsi="宋体" w:eastAsia="宋体" w:cs="宋体"/>
          <w:sz w:val="24"/>
          <w:szCs w:val="24"/>
          <w:lang w:bidi="ar"/>
        </w:rPr>
        <w:t>竞争性谈判的</w:t>
      </w:r>
      <w:r>
        <w:rPr>
          <w:rFonts w:hint="eastAsia" w:ascii="宋体" w:hAnsi="宋体" w:eastAsia="宋体" w:cs="宋体"/>
          <w:sz w:val="24"/>
          <w:szCs w:val="24"/>
        </w:rPr>
        <w:t>产品和服务，我方就本次参与</w:t>
      </w:r>
      <w:r>
        <w:rPr>
          <w:rFonts w:hint="eastAsia" w:ascii="宋体" w:hAnsi="宋体" w:eastAsia="宋体" w:cs="宋体"/>
          <w:sz w:val="24"/>
          <w:szCs w:val="24"/>
          <w:lang w:bidi="ar"/>
        </w:rPr>
        <w:t>竞争性谈判</w:t>
      </w:r>
      <w:r>
        <w:rPr>
          <w:rFonts w:hint="eastAsia" w:ascii="宋体" w:hAnsi="宋体" w:eastAsia="宋体" w:cs="宋体"/>
          <w:sz w:val="24"/>
          <w:szCs w:val="24"/>
        </w:rPr>
        <w:t>有关事项郑重声明如下：</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2.我方不是为本次采购项目提供整体设计、规范编制或者项目管理、监理、检测等服务的供应商。</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3.在此，我方宣布同意如下：</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（1）将按谈判文件的约定履行合同责任和义务；</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（2）已详细审查全部谈判文件，包括补遗文件（如有）；</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（4）响应谈判文件规定的</w:t>
      </w:r>
      <w:r>
        <w:rPr>
          <w:rFonts w:hint="eastAsia" w:ascii="宋体" w:hAnsi="宋体" w:eastAsia="宋体" w:cs="宋体"/>
          <w:sz w:val="24"/>
          <w:szCs w:val="24"/>
          <w:lang w:bidi="ar"/>
        </w:rPr>
        <w:t>竞争性谈判</w:t>
      </w:r>
      <w:r>
        <w:rPr>
          <w:rFonts w:hint="eastAsia" w:ascii="宋体" w:hAnsi="宋体" w:eastAsia="宋体" w:cs="宋体"/>
          <w:sz w:val="24"/>
          <w:szCs w:val="24"/>
        </w:rPr>
        <w:t>有效期。</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tabs>
          <w:tab w:val="left" w:pos="939"/>
        </w:tabs>
        <w:spacing w:line="360" w:lineRule="auto"/>
        <w:ind w:firstLine="600" w:firstLineChars="250"/>
        <w:contextualSpacing/>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w:t>
      </w:r>
      <w:r>
        <w:rPr>
          <w:rFonts w:ascii="宋体" w:hAnsi="宋体" w:eastAsia="宋体" w:cs="宋体"/>
          <w:sz w:val="24"/>
          <w:szCs w:val="24"/>
        </w:rPr>
        <w:t>我方若</w:t>
      </w:r>
      <w:r>
        <w:rPr>
          <w:rFonts w:hint="eastAsia" w:ascii="宋体" w:hAnsi="宋体" w:eastAsia="宋体" w:cs="宋体"/>
          <w:sz w:val="24"/>
          <w:szCs w:val="24"/>
        </w:rPr>
        <w:t>参与</w:t>
      </w:r>
      <w:r>
        <w:rPr>
          <w:rFonts w:hint="eastAsia" w:ascii="宋体" w:hAnsi="宋体" w:eastAsia="宋体" w:cs="宋体"/>
          <w:sz w:val="24"/>
          <w:szCs w:val="24"/>
          <w:lang w:bidi="ar"/>
        </w:rPr>
        <w:t>竞争性谈判</w:t>
      </w:r>
      <w:r>
        <w:rPr>
          <w:rFonts w:hint="eastAsia" w:ascii="宋体" w:hAnsi="宋体" w:eastAsia="宋体" w:cs="宋体"/>
          <w:sz w:val="24"/>
          <w:szCs w:val="24"/>
        </w:rPr>
        <w:t>成功</w:t>
      </w:r>
      <w:r>
        <w:rPr>
          <w:rFonts w:ascii="宋体" w:hAnsi="宋体" w:eastAsia="宋体" w:cs="宋体"/>
          <w:sz w:val="24"/>
          <w:szCs w:val="24"/>
        </w:rPr>
        <w:t>，将采取</w:t>
      </w:r>
      <w:r>
        <w:rPr>
          <w:rFonts w:ascii="宋体" w:hAnsi="宋体" w:eastAsia="宋体" w:cs="宋体"/>
          <w:sz w:val="24"/>
          <w:szCs w:val="24"/>
          <w:u w:val="single"/>
        </w:rPr>
        <w:t>      </w:t>
      </w:r>
      <w:r>
        <w:rPr>
          <w:rFonts w:ascii="宋体" w:hAnsi="宋体" w:eastAsia="宋体" w:cs="宋体"/>
          <w:sz w:val="24"/>
          <w:szCs w:val="24"/>
        </w:rPr>
        <w:t>（</w:t>
      </w:r>
      <w:r>
        <w:rPr>
          <w:rFonts w:hint="eastAsia" w:ascii="宋体" w:hAnsi="宋体" w:eastAsia="宋体" w:cs="宋体"/>
          <w:sz w:val="24"/>
          <w:szCs w:val="24"/>
        </w:rPr>
        <w:t>汽车、火车、飞机等</w:t>
      </w:r>
      <w:r>
        <w:rPr>
          <w:rFonts w:ascii="宋体" w:hAnsi="宋体" w:eastAsia="宋体" w:cs="宋体"/>
          <w:sz w:val="24"/>
          <w:szCs w:val="24"/>
        </w:rPr>
        <w:t>）方式运输货物。</w:t>
      </w:r>
    </w:p>
    <w:p>
      <w:pPr>
        <w:tabs>
          <w:tab w:val="left" w:pos="939"/>
        </w:tabs>
        <w:spacing w:line="360" w:lineRule="auto"/>
        <w:ind w:firstLine="600" w:firstLineChars="250"/>
        <w:contextualSpacing/>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我方若参与</w:t>
      </w:r>
      <w:r>
        <w:rPr>
          <w:rFonts w:hint="eastAsia" w:ascii="宋体" w:hAnsi="宋体" w:eastAsia="宋体" w:cs="宋体"/>
          <w:sz w:val="24"/>
          <w:szCs w:val="24"/>
          <w:lang w:bidi="ar"/>
        </w:rPr>
        <w:t>竞争性谈判</w:t>
      </w:r>
      <w:r>
        <w:rPr>
          <w:rFonts w:hint="eastAsia" w:ascii="宋体" w:hAnsi="宋体" w:eastAsia="宋体" w:cs="宋体"/>
          <w:sz w:val="24"/>
          <w:szCs w:val="24"/>
        </w:rPr>
        <w:t>成功，除非发生不可抗力，承诺与采购人及时签订《合同书》。如果放弃，自愿按照本文件之《供应商须知正文》第2</w:t>
      </w:r>
      <w:r>
        <w:rPr>
          <w:rFonts w:ascii="宋体" w:hAnsi="宋体" w:eastAsia="宋体" w:cs="宋体"/>
          <w:sz w:val="24"/>
          <w:szCs w:val="24"/>
        </w:rPr>
        <w:t>7.5</w:t>
      </w:r>
      <w:r>
        <w:rPr>
          <w:rFonts w:hint="eastAsia" w:ascii="宋体" w:hAnsi="宋体" w:eastAsia="宋体" w:cs="宋体"/>
          <w:sz w:val="24"/>
          <w:szCs w:val="24"/>
        </w:rPr>
        <w:t>条的要求承担法律责任和失信惩戒。</w:t>
      </w:r>
    </w:p>
    <w:p>
      <w:pPr>
        <w:spacing w:line="360" w:lineRule="auto"/>
        <w:ind w:firstLine="480" w:firstLineChars="200"/>
        <w:contextualSpacing/>
        <w:rPr>
          <w:rFonts w:ascii="宋体" w:hAnsi="宋体" w:eastAsia="宋体" w:cs="宋体"/>
          <w:kern w:val="0"/>
          <w:sz w:val="24"/>
          <w:szCs w:val="24"/>
          <w:u w:val="single"/>
        </w:rPr>
      </w:pPr>
      <w:r>
        <w:rPr>
          <w:rFonts w:ascii="宋体" w:hAnsi="宋体" w:eastAsia="宋体" w:cs="宋体"/>
          <w:kern w:val="0"/>
          <w:sz w:val="24"/>
          <w:szCs w:val="24"/>
        </w:rPr>
        <w:t>9</w:t>
      </w:r>
      <w:r>
        <w:rPr>
          <w:rFonts w:hint="eastAsia" w:ascii="宋体" w:hAnsi="宋体" w:eastAsia="宋体" w:cs="宋体"/>
          <w:kern w:val="0"/>
          <w:sz w:val="24"/>
          <w:szCs w:val="24"/>
        </w:rPr>
        <w:t>.与本谈判有关的一切正式往来信函请寄：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 xml:space="preserve">    </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电话/传真：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电子函件：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tabs>
          <w:tab w:val="left" w:pos="939"/>
        </w:tabs>
        <w:spacing w:line="360" w:lineRule="auto"/>
        <w:ind w:firstLine="360" w:firstLineChars="150"/>
        <w:contextualSpacing/>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p>
    <w:p>
      <w:pPr>
        <w:tabs>
          <w:tab w:val="left" w:pos="939"/>
        </w:tabs>
        <w:spacing w:line="360" w:lineRule="auto"/>
        <w:ind w:firstLine="360" w:firstLineChars="150"/>
        <w:contextualSpacing/>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.以上事项如有虚假或者隐瞒，我方愿意承担一切后果，并不再寻求任何旨在减轻或者免除法律责任的辩解。</w:t>
      </w:r>
    </w:p>
    <w:p>
      <w:pPr>
        <w:tabs>
          <w:tab w:val="left" w:pos="939"/>
        </w:tabs>
        <w:spacing w:line="360" w:lineRule="auto"/>
        <w:ind w:firstLine="360" w:firstLineChars="150"/>
        <w:contextualSpacing/>
        <w:rPr>
          <w:rFonts w:ascii="宋体" w:hAnsi="宋体" w:eastAsia="宋体" w:cs="宋体"/>
          <w:szCs w:val="21"/>
        </w:rPr>
      </w:pPr>
      <w:r>
        <w:rPr>
          <w:rFonts w:hint="eastAsia" w:ascii="宋体" w:hAnsi="宋体" w:eastAsia="宋体" w:cs="宋体"/>
          <w:sz w:val="24"/>
          <w:szCs w:val="24"/>
        </w:rPr>
        <w:t>特此承诺。</w:t>
      </w:r>
    </w:p>
    <w:p>
      <w:pPr>
        <w:spacing w:line="360" w:lineRule="auto"/>
        <w:contextualSpacing/>
        <w:jc w:val="left"/>
        <w:rPr>
          <w:rFonts w:ascii="楷体" w:hAnsi="楷体" w:eastAsia="楷体" w:cs="宋体"/>
          <w:b/>
          <w:sz w:val="24"/>
          <w:szCs w:val="24"/>
        </w:rPr>
      </w:pPr>
      <w:r>
        <w:rPr>
          <w:rFonts w:hint="eastAsia" w:ascii="宋体" w:hAnsi="宋体" w:eastAsia="宋体" w:cs="宋体"/>
          <w:b/>
          <w:sz w:val="24"/>
          <w:szCs w:val="24"/>
        </w:rPr>
        <w:t xml:space="preserve">   </w:t>
      </w:r>
      <w:r>
        <w:rPr>
          <w:rFonts w:hint="eastAsia" w:ascii="楷体" w:hAnsi="楷体" w:eastAsia="楷体" w:cs="宋体"/>
          <w:b/>
          <w:sz w:val="24"/>
          <w:szCs w:val="24"/>
        </w:rPr>
        <w:t xml:space="preserve"> 注：如为联合体参与</w:t>
      </w:r>
      <w:r>
        <w:rPr>
          <w:rFonts w:hint="eastAsia" w:ascii="楷体" w:hAnsi="楷体" w:eastAsia="楷体" w:cs="宋体"/>
          <w:b/>
          <w:sz w:val="24"/>
          <w:szCs w:val="24"/>
          <w:lang w:bidi="ar"/>
        </w:rPr>
        <w:t>竞争性谈判</w:t>
      </w:r>
      <w:r>
        <w:rPr>
          <w:rFonts w:hint="eastAsia" w:ascii="楷体" w:hAnsi="楷体" w:eastAsia="楷体" w:cs="宋体"/>
          <w:b/>
          <w:sz w:val="24"/>
          <w:szCs w:val="24"/>
        </w:rPr>
        <w:t>，盖章处须加盖联合体各方公章并由联合体各方法定代表人分别签署，否则响应文件按无效响应处理。</w:t>
      </w:r>
    </w:p>
    <w:p>
      <w:pPr>
        <w:spacing w:line="360" w:lineRule="auto"/>
        <w:contextualSpacing/>
        <w:jc w:val="left"/>
        <w:rPr>
          <w:rFonts w:ascii="宋体" w:hAnsi="宋体" w:eastAsia="宋体" w:cs="宋体"/>
          <w:szCs w:val="21"/>
        </w:rPr>
      </w:pPr>
    </w:p>
    <w:p>
      <w:pPr>
        <w:spacing w:line="360" w:lineRule="auto"/>
        <w:ind w:firstLine="4320" w:firstLineChars="1800"/>
        <w:contextualSpacing/>
        <w:rPr>
          <w:rFonts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320" w:firstLineChars="1800"/>
        <w:contextualSpacing/>
        <w:rPr>
          <w:rFonts w:ascii="宋体" w:hAnsi="宋体" w:eastAsia="宋体" w:cs="宋体"/>
          <w:sz w:val="24"/>
          <w:szCs w:val="24"/>
          <w:u w:val="single"/>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40" w:firstLineChars="100"/>
        <w:contextualSpacing/>
        <w:jc w:val="center"/>
        <w:rPr>
          <w:rFonts w:ascii="宋体" w:hAnsi="宋体" w:eastAsia="宋体" w:cs="宋体"/>
          <w:b/>
          <w:sz w:val="32"/>
          <w:szCs w:val="32"/>
        </w:rPr>
      </w:pPr>
      <w:r>
        <w:rPr>
          <w:rFonts w:hint="eastAsia" w:ascii="宋体" w:hAnsi="宋体" w:eastAsia="宋体" w:cs="宋体"/>
          <w:sz w:val="24"/>
          <w:szCs w:val="24"/>
        </w:rPr>
        <w:t xml:space="preserve">                      日期： </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sz w:val="32"/>
          <w:szCs w:val="32"/>
        </w:rPr>
        <w:br w:type="page"/>
      </w:r>
      <w:r>
        <w:rPr>
          <w:rFonts w:hint="eastAsia" w:ascii="宋体" w:hAnsi="宋体" w:eastAsia="宋体" w:cs="宋体"/>
          <w:b/>
          <w:sz w:val="32"/>
          <w:szCs w:val="32"/>
        </w:rPr>
        <w:t>联合体参与竞争性谈判协议书</w:t>
      </w:r>
    </w:p>
    <w:p>
      <w:pPr>
        <w:overflowPunct w:val="0"/>
        <w:spacing w:line="360" w:lineRule="auto"/>
        <w:contextualSpacing/>
        <w:rPr>
          <w:rFonts w:ascii="宋体" w:hAnsi="宋体" w:eastAsia="宋体" w:cs="宋体"/>
          <w:sz w:val="24"/>
          <w:szCs w:val="24"/>
        </w:rPr>
      </w:pP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（所有成员单位名称）自愿组成</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（联合体名称）联合体，共同参加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（项目名称）采购项目</w:t>
      </w:r>
      <w:r>
        <w:rPr>
          <w:rFonts w:hint="eastAsia" w:ascii="宋体" w:hAnsi="宋体" w:eastAsia="宋体" w:cs="宋体"/>
          <w:sz w:val="24"/>
          <w:szCs w:val="20"/>
          <w:lang w:bidi="ar"/>
        </w:rPr>
        <w:t>竞争性谈判</w:t>
      </w:r>
      <w:r>
        <w:rPr>
          <w:rFonts w:hint="eastAsia" w:ascii="宋体" w:hAnsi="宋体" w:eastAsia="宋体" w:cs="宋体"/>
          <w:sz w:val="24"/>
          <w:szCs w:val="24"/>
        </w:rPr>
        <w:t>。现就联合体参与</w:t>
      </w:r>
      <w:r>
        <w:rPr>
          <w:rFonts w:hint="eastAsia" w:ascii="宋体" w:hAnsi="宋体" w:eastAsia="宋体" w:cs="宋体"/>
          <w:sz w:val="24"/>
          <w:szCs w:val="20"/>
          <w:lang w:bidi="ar"/>
        </w:rPr>
        <w:t>竞争性谈判</w:t>
      </w:r>
      <w:r>
        <w:rPr>
          <w:rFonts w:hint="eastAsia" w:ascii="宋体" w:hAnsi="宋体" w:eastAsia="宋体" w:cs="宋体"/>
          <w:sz w:val="24"/>
          <w:szCs w:val="24"/>
        </w:rPr>
        <w:t>事宜订立如下协议。</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（联合体名称）牵头人。</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2.联合体各成员授权牵头人代表联合体参加</w:t>
      </w:r>
      <w:r>
        <w:rPr>
          <w:rFonts w:hint="eastAsia" w:ascii="宋体" w:hAnsi="宋体" w:eastAsia="宋体" w:cs="宋体"/>
          <w:sz w:val="24"/>
          <w:szCs w:val="20"/>
          <w:lang w:bidi="ar"/>
        </w:rPr>
        <w:t>竞争性谈判</w:t>
      </w:r>
      <w:r>
        <w:rPr>
          <w:rFonts w:hint="eastAsia" w:ascii="宋体" w:hAnsi="宋体" w:eastAsia="宋体" w:cs="宋体"/>
          <w:sz w:val="24"/>
          <w:szCs w:val="24"/>
        </w:rPr>
        <w:t>活动，签署文件及对文件的盖章，提交和接收相关的资料、信息及指示，进行合同谈判活动，负责合同实施阶段的组织和协调工作，以及处理与本</w:t>
      </w:r>
      <w:r>
        <w:rPr>
          <w:rFonts w:hint="eastAsia" w:ascii="宋体" w:hAnsi="宋体" w:eastAsia="宋体" w:cs="宋体"/>
          <w:sz w:val="24"/>
          <w:szCs w:val="20"/>
          <w:lang w:bidi="ar"/>
        </w:rPr>
        <w:t>竞争性谈判</w:t>
      </w:r>
      <w:r>
        <w:rPr>
          <w:rFonts w:hint="eastAsia" w:ascii="宋体" w:hAnsi="宋体" w:eastAsia="宋体" w:cs="宋体"/>
          <w:sz w:val="24"/>
          <w:szCs w:val="24"/>
        </w:rPr>
        <w:t>项目有关的一切事宜。</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5.本</w:t>
      </w:r>
      <w:r>
        <w:rPr>
          <w:rFonts w:hint="eastAsia" w:ascii="宋体" w:hAnsi="宋体" w:eastAsia="宋体" w:cs="宋体"/>
          <w:spacing w:val="-6"/>
          <w:sz w:val="24"/>
          <w:szCs w:val="24"/>
        </w:rPr>
        <w:t>协议书自所有成员单位法定代表人或者其委托代理人签字或者盖单位章之日起生效，合同履行完毕后自动失效。</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份，联合体成员和采购人各执壹份。</w:t>
      </w:r>
    </w:p>
    <w:p>
      <w:pPr>
        <w:overflowPunct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注：本协议书由法定代表人签字的，应附法定代表人身份证明；由委托代理人签字的，应附联合体协议签订授权委托书（格式自拟）。</w:t>
      </w:r>
    </w:p>
    <w:p>
      <w:pPr>
        <w:overflowPunct w:val="0"/>
        <w:spacing w:line="360" w:lineRule="auto"/>
        <w:ind w:firstLine="420" w:firstLineChars="175"/>
        <w:contextualSpacing/>
        <w:rPr>
          <w:rFonts w:ascii="宋体" w:hAnsi="宋体" w:eastAsia="宋体" w:cs="宋体"/>
          <w:sz w:val="24"/>
          <w:szCs w:val="24"/>
        </w:rPr>
      </w:pP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联合体牵头人名称（公章）：</w:t>
      </w: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ascii="宋体" w:hAnsi="宋体" w:eastAsia="宋体" w:cs="宋体"/>
          <w:sz w:val="24"/>
          <w:szCs w:val="24"/>
        </w:rPr>
      </w:pP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联合体成员名称（公章）：</w:t>
      </w: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ascii="宋体" w:hAnsi="宋体" w:eastAsia="宋体" w:cs="宋体"/>
          <w:sz w:val="24"/>
          <w:szCs w:val="24"/>
        </w:rPr>
      </w:pP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联合体成员名称（公章）：</w:t>
      </w: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法定代表人或者其委托代理人（签字）：</w:t>
      </w:r>
    </w:p>
    <w:p>
      <w:pPr>
        <w:overflowPunct w:val="0"/>
        <w:spacing w:line="360" w:lineRule="auto"/>
        <w:contextualSpacing/>
        <w:rPr>
          <w:rFonts w:ascii="宋体" w:hAnsi="宋体" w:eastAsia="宋体" w:cs="宋体"/>
          <w:sz w:val="24"/>
          <w:szCs w:val="24"/>
        </w:rPr>
      </w:pPr>
      <w:r>
        <w:rPr>
          <w:rFonts w:hint="eastAsia" w:ascii="宋体" w:hAnsi="宋体" w:eastAsia="宋体" w:cs="宋体"/>
          <w:sz w:val="24"/>
          <w:szCs w:val="24"/>
        </w:rPr>
        <w:t>……</w:t>
      </w:r>
    </w:p>
    <w:p>
      <w:pPr>
        <w:spacing w:line="360" w:lineRule="auto"/>
        <w:contextualSpacing/>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r>
        <w:rPr>
          <w:rFonts w:hint="eastAsia" w:ascii="宋体" w:hAnsi="宋体" w:eastAsia="宋体" w:cs="宋体"/>
          <w:sz w:val="32"/>
          <w:szCs w:val="32"/>
        </w:rPr>
        <w:t xml:space="preserve"> </w:t>
      </w:r>
    </w:p>
    <w:p>
      <w:pPr>
        <w:spacing w:line="360" w:lineRule="auto"/>
        <w:contextualSpacing/>
        <w:jc w:val="left"/>
        <w:rPr>
          <w:rFonts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bCs/>
          <w:sz w:val="32"/>
          <w:szCs w:val="32"/>
        </w:rPr>
        <w:t>二、</w:t>
      </w:r>
      <w:r>
        <w:rPr>
          <w:rFonts w:hint="eastAsia" w:ascii="宋体" w:hAnsi="宋体" w:eastAsia="宋体" w:cs="宋体"/>
          <w:b/>
          <w:sz w:val="32"/>
          <w:szCs w:val="32"/>
        </w:rPr>
        <w:t xml:space="preserve">报价商务技术文件格式 </w:t>
      </w:r>
    </w:p>
    <w:p>
      <w:pPr>
        <w:snapToGrid w:val="0"/>
        <w:spacing w:line="360" w:lineRule="auto"/>
        <w:jc w:val="left"/>
        <w:rPr>
          <w:rFonts w:ascii="宋体" w:hAnsi="宋体" w:eastAsia="宋体" w:cs="宋体"/>
          <w:b/>
          <w:sz w:val="32"/>
          <w:szCs w:val="32"/>
        </w:rPr>
      </w:pPr>
      <w:r>
        <w:rPr>
          <w:rFonts w:hint="eastAsia" w:ascii="宋体" w:hAnsi="宋体" w:eastAsia="宋体" w:cs="宋体"/>
          <w:b/>
          <w:sz w:val="32"/>
          <w:szCs w:val="32"/>
        </w:rPr>
        <w:t>1.报价商务技术文件封面格式</w:t>
      </w:r>
    </w:p>
    <w:p>
      <w:p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0"/>
        </w:rPr>
      </w:pPr>
    </w:p>
    <w:p>
      <w:pPr>
        <w:snapToGrid w:val="0"/>
        <w:spacing w:line="360" w:lineRule="auto"/>
        <w:jc w:val="center"/>
        <w:rPr>
          <w:rFonts w:ascii="宋体" w:hAnsi="宋体" w:eastAsia="宋体" w:cs="宋体"/>
          <w:bCs/>
          <w:sz w:val="84"/>
          <w:szCs w:val="84"/>
        </w:rPr>
      </w:pPr>
      <w:r>
        <w:rPr>
          <w:rFonts w:hint="eastAsia" w:ascii="宋体" w:hAnsi="宋体" w:eastAsia="宋体" w:cs="宋体"/>
          <w:b/>
          <w:sz w:val="84"/>
          <w:szCs w:val="84"/>
        </w:rPr>
        <w:t>响  应  文  件</w:t>
      </w:r>
    </w:p>
    <w:p>
      <w:pPr>
        <w:snapToGrid w:val="0"/>
        <w:spacing w:line="360" w:lineRule="auto"/>
        <w:rPr>
          <w:rFonts w:ascii="宋体" w:hAnsi="宋体" w:eastAsia="宋体" w:cs="宋体"/>
          <w:sz w:val="24"/>
          <w:szCs w:val="20"/>
        </w:rPr>
      </w:pPr>
    </w:p>
    <w:p>
      <w:pPr>
        <w:snapToGrid w:val="0"/>
        <w:spacing w:line="360" w:lineRule="auto"/>
        <w:jc w:val="center"/>
        <w:rPr>
          <w:rFonts w:ascii="宋体" w:hAnsi="宋体" w:eastAsia="宋体" w:cs="宋体"/>
          <w:bCs/>
          <w:sz w:val="32"/>
          <w:szCs w:val="32"/>
        </w:rPr>
      </w:pPr>
      <w:r>
        <w:rPr>
          <w:rFonts w:hint="eastAsia" w:ascii="宋体" w:hAnsi="宋体" w:eastAsia="宋体" w:cs="宋体"/>
          <w:bCs/>
          <w:sz w:val="32"/>
          <w:szCs w:val="32"/>
        </w:rPr>
        <w:t>报价商务技术文件</w:t>
      </w:r>
    </w:p>
    <w:p>
      <w:pPr>
        <w:snapToGrid w:val="0"/>
        <w:spacing w:line="360" w:lineRule="auto"/>
        <w:rPr>
          <w:rFonts w:ascii="宋体" w:hAnsi="宋体" w:eastAsia="宋体" w:cs="宋体"/>
          <w:bCs/>
          <w:sz w:val="28"/>
          <w:szCs w:val="28"/>
        </w:rPr>
      </w:pPr>
    </w:p>
    <w:p>
      <w:pPr>
        <w:snapToGrid w:val="0"/>
        <w:spacing w:line="360" w:lineRule="auto"/>
        <w:rPr>
          <w:rFonts w:ascii="宋体" w:hAnsi="宋体" w:eastAsia="宋体" w:cs="宋体"/>
          <w:bCs/>
          <w:sz w:val="28"/>
          <w:szCs w:val="28"/>
        </w:rPr>
      </w:pPr>
    </w:p>
    <w:p>
      <w:pPr>
        <w:snapToGrid w:val="0"/>
        <w:spacing w:line="360" w:lineRule="auto"/>
        <w:ind w:firstLine="1680" w:firstLineChars="600"/>
        <w:rPr>
          <w:rFonts w:ascii="宋体" w:hAnsi="宋体" w:eastAsia="宋体" w:cs="宋体"/>
          <w:bCs/>
          <w:sz w:val="28"/>
          <w:szCs w:val="28"/>
        </w:rPr>
      </w:pPr>
      <w:r>
        <w:rPr>
          <w:rFonts w:hint="eastAsia" w:ascii="宋体" w:hAnsi="宋体" w:eastAsia="宋体" w:cs="宋体"/>
          <w:bCs/>
          <w:sz w:val="28"/>
          <w:szCs w:val="28"/>
        </w:rPr>
        <w:t>项目名称：</w:t>
      </w:r>
    </w:p>
    <w:p>
      <w:pPr>
        <w:snapToGrid w:val="0"/>
        <w:spacing w:line="360" w:lineRule="auto"/>
        <w:ind w:firstLine="1680" w:firstLineChars="600"/>
        <w:rPr>
          <w:rFonts w:ascii="宋体" w:hAnsi="宋体" w:eastAsia="宋体" w:cs="宋体"/>
          <w:bCs/>
          <w:sz w:val="28"/>
          <w:szCs w:val="28"/>
        </w:rPr>
      </w:pPr>
      <w:r>
        <w:rPr>
          <w:rFonts w:hint="eastAsia" w:ascii="宋体" w:hAnsi="宋体" w:eastAsia="宋体" w:cs="宋体"/>
          <w:bCs/>
          <w:sz w:val="28"/>
          <w:szCs w:val="28"/>
        </w:rPr>
        <w:t xml:space="preserve">项目编号： </w:t>
      </w:r>
    </w:p>
    <w:p>
      <w:pPr>
        <w:snapToGrid w:val="0"/>
        <w:spacing w:line="360" w:lineRule="auto"/>
        <w:ind w:firstLine="1680" w:firstLineChars="600"/>
        <w:rPr>
          <w:rFonts w:ascii="宋体" w:hAnsi="宋体" w:eastAsia="宋体" w:cs="宋体"/>
          <w:bCs/>
          <w:sz w:val="28"/>
          <w:szCs w:val="28"/>
        </w:rPr>
      </w:pPr>
      <w:r>
        <w:rPr>
          <w:rFonts w:hint="eastAsia" w:ascii="宋体" w:hAnsi="宋体" w:eastAsia="宋体" w:cs="宋体"/>
          <w:bCs/>
          <w:sz w:val="28"/>
          <w:szCs w:val="28"/>
        </w:rPr>
        <w:t>所竞分标（如有）：</w:t>
      </w:r>
    </w:p>
    <w:p>
      <w:pPr>
        <w:snapToGrid w:val="0"/>
        <w:spacing w:line="360" w:lineRule="auto"/>
        <w:ind w:firstLine="1680" w:firstLineChars="600"/>
        <w:rPr>
          <w:rFonts w:ascii="宋体" w:hAnsi="宋体" w:eastAsia="宋体" w:cs="宋体"/>
          <w:bCs/>
          <w:sz w:val="28"/>
          <w:szCs w:val="28"/>
        </w:rPr>
      </w:pPr>
      <w:r>
        <w:rPr>
          <w:rFonts w:hint="eastAsia" w:ascii="宋体" w:hAnsi="宋体" w:eastAsia="宋体" w:cs="宋体"/>
          <w:bCs/>
          <w:sz w:val="28"/>
          <w:szCs w:val="28"/>
        </w:rPr>
        <w:t>供应商名称：</w:t>
      </w:r>
    </w:p>
    <w:p>
      <w:pPr>
        <w:snapToGrid w:val="0"/>
        <w:spacing w:line="360" w:lineRule="auto"/>
        <w:ind w:firstLine="1680" w:firstLineChars="600"/>
        <w:rPr>
          <w:rFonts w:ascii="宋体" w:hAnsi="宋体" w:eastAsia="宋体" w:cs="宋体"/>
          <w:bCs/>
          <w:sz w:val="28"/>
          <w:szCs w:val="28"/>
        </w:rPr>
      </w:pPr>
    </w:p>
    <w:p>
      <w:pPr>
        <w:snapToGrid w:val="0"/>
        <w:spacing w:line="360" w:lineRule="auto"/>
        <w:jc w:val="center"/>
        <w:rPr>
          <w:rFonts w:ascii="宋体" w:hAnsi="宋体" w:eastAsia="宋体" w:cs="宋体"/>
          <w:sz w:val="28"/>
          <w:szCs w:val="28"/>
        </w:rPr>
      </w:pPr>
      <w:r>
        <w:rPr>
          <w:rFonts w:hint="eastAsia" w:ascii="宋体" w:hAnsi="宋体" w:eastAsia="宋体" w:cs="宋体"/>
          <w:sz w:val="28"/>
          <w:szCs w:val="28"/>
        </w:rPr>
        <w:t>年    月    日</w:t>
      </w:r>
    </w:p>
    <w:p>
      <w:pPr>
        <w:snapToGrid w:val="0"/>
        <w:spacing w:line="360" w:lineRule="auto"/>
        <w:jc w:val="left"/>
        <w:rPr>
          <w:rFonts w:ascii="宋体" w:hAnsi="宋体" w:eastAsia="宋体" w:cs="宋体"/>
          <w:b/>
          <w:bCs/>
          <w:sz w:val="24"/>
          <w:szCs w:val="24"/>
        </w:rPr>
      </w:pPr>
      <w:r>
        <w:rPr>
          <w:rFonts w:hint="eastAsia" w:ascii="宋体" w:hAnsi="宋体" w:eastAsia="宋体" w:cs="宋体"/>
          <w:sz w:val="28"/>
          <w:szCs w:val="28"/>
        </w:rPr>
        <w:br w:type="page"/>
      </w:r>
      <w:r>
        <w:rPr>
          <w:rFonts w:hint="eastAsia" w:ascii="宋体" w:hAnsi="宋体" w:eastAsia="宋体" w:cs="宋体"/>
          <w:b/>
          <w:bCs/>
          <w:sz w:val="32"/>
          <w:szCs w:val="32"/>
        </w:rPr>
        <w:t>2.报价商务技术文件目录</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根据谈判文件规定及供应商提供的材料自行编写目录（部分格式后附）。</w:t>
      </w:r>
    </w:p>
    <w:p>
      <w:pPr>
        <w:spacing w:line="360" w:lineRule="auto"/>
        <w:rPr>
          <w:rFonts w:ascii="宋体" w:hAnsi="宋体" w:eastAsia="宋体" w:cs="宋体"/>
          <w:sz w:val="32"/>
          <w:szCs w:val="32"/>
        </w:rPr>
      </w:pPr>
    </w:p>
    <w:p>
      <w:pPr>
        <w:spacing w:line="360" w:lineRule="auto"/>
        <w:jc w:val="center"/>
        <w:rPr>
          <w:rFonts w:ascii="宋体" w:hAnsi="宋体" w:eastAsia="宋体" w:cs="宋体"/>
          <w:b/>
          <w:sz w:val="32"/>
          <w:szCs w:val="32"/>
        </w:rPr>
      </w:pPr>
      <w:r>
        <w:rPr>
          <w:rFonts w:hint="eastAsia" w:ascii="宋体" w:hAnsi="宋体" w:eastAsia="宋体" w:cs="宋体"/>
          <w:sz w:val="44"/>
          <w:szCs w:val="44"/>
        </w:rPr>
        <w:br w:type="page"/>
      </w:r>
      <w:r>
        <w:rPr>
          <w:rFonts w:hint="eastAsia" w:ascii="宋体" w:hAnsi="宋体" w:eastAsia="宋体" w:cs="宋体"/>
          <w:b/>
          <w:sz w:val="44"/>
          <w:szCs w:val="44"/>
        </w:rPr>
        <w:t>无串通参与竞争性谈判行为的承诺函</w:t>
      </w:r>
    </w:p>
    <w:p>
      <w:pPr>
        <w:spacing w:line="360" w:lineRule="auto"/>
        <w:ind w:firstLine="640" w:firstLineChars="200"/>
        <w:contextualSpacing/>
        <w:rPr>
          <w:rFonts w:ascii="宋体" w:hAnsi="宋体" w:eastAsia="宋体" w:cs="宋体"/>
          <w:sz w:val="32"/>
          <w:szCs w:val="32"/>
        </w:rPr>
      </w:pPr>
    </w:p>
    <w:p>
      <w:pPr>
        <w:spacing w:line="360" w:lineRule="auto"/>
        <w:ind w:firstLine="482" w:firstLineChars="200"/>
        <w:contextualSpacing/>
        <w:rPr>
          <w:rFonts w:ascii="宋体" w:hAnsi="宋体" w:eastAsia="宋体" w:cs="宋体"/>
          <w:b/>
          <w:bCs/>
          <w:sz w:val="24"/>
          <w:szCs w:val="24"/>
        </w:rPr>
      </w:pPr>
      <w:r>
        <w:rPr>
          <w:rFonts w:hint="eastAsia" w:ascii="宋体" w:hAnsi="宋体" w:eastAsia="宋体" w:cs="宋体"/>
          <w:b/>
          <w:bCs/>
          <w:sz w:val="24"/>
          <w:szCs w:val="24"/>
        </w:rPr>
        <w:t>一、我方承诺无下列相互串通参与</w:t>
      </w:r>
      <w:r>
        <w:rPr>
          <w:rFonts w:hint="eastAsia" w:ascii="宋体" w:hAnsi="宋体" w:eastAsia="宋体" w:cs="宋体"/>
          <w:b/>
          <w:sz w:val="24"/>
          <w:szCs w:val="24"/>
          <w:lang w:bidi="ar"/>
        </w:rPr>
        <w:t>竞争性谈判</w:t>
      </w:r>
      <w:r>
        <w:rPr>
          <w:rFonts w:hint="eastAsia" w:ascii="宋体" w:hAnsi="宋体" w:eastAsia="宋体" w:cs="宋体"/>
          <w:b/>
          <w:bCs/>
          <w:sz w:val="24"/>
          <w:szCs w:val="24"/>
        </w:rPr>
        <w:t>的情形：</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1.不同供应商的响应文件由同一单位或者个人编制；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2.不同供应商委托同一单位或者个人办理参与</w:t>
      </w:r>
      <w:r>
        <w:rPr>
          <w:rFonts w:hint="eastAsia" w:ascii="宋体" w:hAnsi="宋体" w:eastAsia="宋体" w:cs="宋体"/>
          <w:sz w:val="24"/>
          <w:szCs w:val="24"/>
          <w:lang w:bidi="ar"/>
        </w:rPr>
        <w:t>竞争性谈判</w:t>
      </w:r>
      <w:r>
        <w:rPr>
          <w:rFonts w:hint="eastAsia" w:ascii="宋体" w:hAnsi="宋体" w:eastAsia="宋体" w:cs="宋体"/>
          <w:sz w:val="24"/>
          <w:szCs w:val="24"/>
        </w:rPr>
        <w:t>事宜；</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4.不</w:t>
      </w:r>
      <w:r>
        <w:rPr>
          <w:rFonts w:hint="eastAsia" w:ascii="宋体" w:hAnsi="宋体" w:eastAsia="宋体" w:cs="宋体"/>
          <w:spacing w:val="-6"/>
          <w:sz w:val="24"/>
          <w:szCs w:val="24"/>
        </w:rPr>
        <w:t>同供应商的响应文件异常一致或者参与</w:t>
      </w:r>
      <w:r>
        <w:rPr>
          <w:rFonts w:hint="eastAsia" w:ascii="宋体" w:hAnsi="宋体" w:eastAsia="宋体" w:cs="宋体"/>
          <w:sz w:val="24"/>
          <w:szCs w:val="24"/>
          <w:lang w:bidi="ar"/>
        </w:rPr>
        <w:t>竞争性谈判的</w:t>
      </w:r>
      <w:r>
        <w:rPr>
          <w:rFonts w:hint="eastAsia" w:ascii="宋体" w:hAnsi="宋体" w:eastAsia="宋体" w:cs="宋体"/>
          <w:spacing w:val="-6"/>
          <w:sz w:val="24"/>
          <w:szCs w:val="24"/>
        </w:rPr>
        <w:t>报价呈规律性差异；</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6.不同供应商的谈判保证金从同一单位或者个人账户转出。</w:t>
      </w:r>
    </w:p>
    <w:p>
      <w:pPr>
        <w:spacing w:line="360" w:lineRule="auto"/>
        <w:ind w:firstLine="482" w:firstLineChars="200"/>
        <w:contextualSpacing/>
        <w:rPr>
          <w:rFonts w:ascii="宋体" w:hAnsi="宋体" w:eastAsia="宋体" w:cs="宋体"/>
          <w:b/>
          <w:bCs/>
          <w:sz w:val="24"/>
          <w:szCs w:val="24"/>
        </w:rPr>
      </w:pPr>
      <w:r>
        <w:rPr>
          <w:rFonts w:hint="eastAsia" w:ascii="宋体" w:hAnsi="宋体" w:eastAsia="宋体" w:cs="宋体"/>
          <w:b/>
          <w:bCs/>
          <w:sz w:val="24"/>
          <w:szCs w:val="24"/>
        </w:rPr>
        <w:t>二、我方承诺无下列恶意串通的情形：</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3.供</w:t>
      </w:r>
      <w:r>
        <w:rPr>
          <w:rFonts w:hint="eastAsia" w:ascii="宋体" w:hAnsi="宋体" w:eastAsia="宋体" w:cs="宋体"/>
          <w:spacing w:val="-6"/>
          <w:sz w:val="24"/>
          <w:szCs w:val="24"/>
        </w:rPr>
        <w:t>应商之间协商报价、技术方案等响应文件的实质性内容；</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5.供应商之间事先约定一致抬高或者压低</w:t>
      </w:r>
      <w:r>
        <w:rPr>
          <w:rFonts w:hint="eastAsia" w:ascii="宋体" w:hAnsi="宋体" w:eastAsia="宋体" w:cs="宋体"/>
          <w:sz w:val="24"/>
          <w:szCs w:val="24"/>
          <w:lang w:bidi="ar"/>
        </w:rPr>
        <w:t>竞争性谈判</w:t>
      </w:r>
      <w:r>
        <w:rPr>
          <w:rFonts w:hint="eastAsia" w:ascii="宋体" w:hAnsi="宋体" w:eastAsia="宋体" w:cs="宋体"/>
          <w:sz w:val="24"/>
          <w:szCs w:val="24"/>
        </w:rPr>
        <w:t>报价,或者在竞争性谈判项目中事先约定轮流以高价位或者低价位成交,或者事先约定由某一特定供应商成交,然后再参加</w:t>
      </w:r>
      <w:r>
        <w:rPr>
          <w:rFonts w:hint="eastAsia" w:ascii="宋体" w:hAnsi="宋体" w:eastAsia="宋体" w:cs="宋体"/>
          <w:sz w:val="24"/>
          <w:szCs w:val="24"/>
          <w:lang w:bidi="ar"/>
        </w:rPr>
        <w:t>竞争性谈判</w:t>
      </w:r>
      <w:r>
        <w:rPr>
          <w:rFonts w:hint="eastAsia" w:ascii="宋体" w:hAnsi="宋体" w:eastAsia="宋体" w:cs="宋体"/>
          <w:sz w:val="24"/>
          <w:szCs w:val="24"/>
        </w:rPr>
        <w:t>；</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7.供应商与采购人或者采购代理机构之间、供应商相互之间，为</w:t>
      </w:r>
      <w:r>
        <w:rPr>
          <w:rFonts w:hint="eastAsia" w:ascii="宋体" w:hAnsi="宋体" w:eastAsia="宋体" w:cs="宋体"/>
          <w:spacing w:val="-6"/>
          <w:sz w:val="24"/>
          <w:szCs w:val="24"/>
        </w:rPr>
        <w:t>谋求特定供应商成交或者排斥其他供应商的其他串通行为。</w:t>
      </w:r>
    </w:p>
    <w:p>
      <w:pPr>
        <w:spacing w:line="360" w:lineRule="auto"/>
        <w:ind w:firstLine="480" w:firstLineChars="200"/>
        <w:contextualSpacing/>
        <w:rPr>
          <w:rFonts w:ascii="宋体" w:hAnsi="宋体" w:eastAsia="宋体" w:cs="宋体"/>
          <w:sz w:val="24"/>
          <w:szCs w:val="24"/>
        </w:rPr>
      </w:pPr>
    </w:p>
    <w:p>
      <w:pPr>
        <w:spacing w:line="360" w:lineRule="auto"/>
        <w:ind w:firstLine="482" w:firstLineChars="200"/>
        <w:contextualSpacing/>
        <w:rPr>
          <w:rFonts w:ascii="宋体" w:hAnsi="宋体" w:eastAsia="宋体" w:cs="宋体"/>
          <w:b/>
          <w:bCs/>
          <w:sz w:val="24"/>
          <w:szCs w:val="24"/>
        </w:rPr>
      </w:pPr>
      <w:r>
        <w:rPr>
          <w:rFonts w:hint="eastAsia" w:ascii="宋体" w:hAnsi="宋体" w:eastAsia="宋体" w:cs="宋体"/>
          <w:b/>
          <w:bCs/>
          <w:sz w:val="24"/>
          <w:szCs w:val="24"/>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eastAsia="宋体" w:cs="宋体"/>
          <w:sz w:val="24"/>
          <w:szCs w:val="24"/>
        </w:rPr>
      </w:pPr>
    </w:p>
    <w:p>
      <w:pPr>
        <w:spacing w:line="360" w:lineRule="auto"/>
        <w:ind w:firstLine="4320" w:firstLineChars="1800"/>
        <w:contextualSpacing/>
        <w:rPr>
          <w:rFonts w:ascii="宋体" w:hAnsi="宋体" w:eastAsia="宋体" w:cs="宋体"/>
          <w:sz w:val="24"/>
          <w:szCs w:val="24"/>
          <w:u w:val="single"/>
        </w:rPr>
      </w:pPr>
      <w:r>
        <w:rPr>
          <w:rFonts w:hint="eastAsia" w:ascii="宋体" w:hAnsi="宋体" w:eastAsia="宋体" w:cs="宋体"/>
          <w:sz w:val="24"/>
          <w:szCs w:val="24"/>
        </w:rPr>
        <w:t>供应商（公章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480" w:firstLineChars="200"/>
        <w:contextualSpacing/>
        <w:jc w:val="center"/>
        <w:rPr>
          <w:rFonts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tabs>
          <w:tab w:val="left" w:pos="3479"/>
        </w:tabs>
        <w:spacing w:line="360" w:lineRule="auto"/>
        <w:jc w:val="center"/>
        <w:rPr>
          <w:rFonts w:ascii="宋体" w:hAnsi="宋体" w:eastAsia="宋体" w:cs="宋体"/>
          <w:b/>
          <w:bCs/>
          <w:sz w:val="32"/>
          <w:szCs w:val="32"/>
        </w:rPr>
      </w:pPr>
      <w:r>
        <w:rPr>
          <w:rFonts w:hint="eastAsia" w:ascii="宋体" w:hAnsi="宋体" w:eastAsia="宋体" w:cs="宋体"/>
          <w:b/>
          <w:bCs/>
          <w:sz w:val="44"/>
          <w:szCs w:val="44"/>
        </w:rPr>
        <w:t>竞争性谈判报价表</w:t>
      </w:r>
    </w:p>
    <w:p>
      <w:pPr>
        <w:spacing w:line="360" w:lineRule="auto"/>
        <w:jc w:val="center"/>
        <w:rPr>
          <w:rFonts w:ascii="宋体" w:hAnsi="宋体" w:eastAsia="宋体" w:cs="宋体"/>
          <w:bCs/>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分标（如有）：</w:t>
      </w:r>
      <w:r>
        <w:rPr>
          <w:rFonts w:hint="eastAsia" w:ascii="宋体" w:hAnsi="宋体" w:eastAsia="宋体" w:cs="宋体"/>
          <w:sz w:val="24"/>
          <w:szCs w:val="24"/>
          <w:u w:val="single"/>
        </w:rPr>
        <w:t xml:space="preserve">            </w:t>
      </w:r>
    </w:p>
    <w:p>
      <w:pPr>
        <w:snapToGrid w:val="0"/>
        <w:spacing w:line="360" w:lineRule="auto"/>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货币单位：人民币元</w:t>
      </w:r>
    </w:p>
    <w:tbl>
      <w:tblPr>
        <w:tblStyle w:val="22"/>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034"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货物名称</w:t>
            </w:r>
          </w:p>
        </w:tc>
        <w:tc>
          <w:tcPr>
            <w:tcW w:w="1134"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品牌</w:t>
            </w:r>
          </w:p>
        </w:tc>
        <w:tc>
          <w:tcPr>
            <w:tcW w:w="1276"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型号（与铭牌一致）</w:t>
            </w:r>
          </w:p>
        </w:tc>
        <w:tc>
          <w:tcPr>
            <w:tcW w:w="113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生产厂家</w:t>
            </w:r>
          </w:p>
        </w:tc>
        <w:tc>
          <w:tcPr>
            <w:tcW w:w="99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产地</w:t>
            </w:r>
          </w:p>
        </w:tc>
        <w:tc>
          <w:tcPr>
            <w:tcW w:w="70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数  量①</w:t>
            </w:r>
          </w:p>
        </w:tc>
        <w:tc>
          <w:tcPr>
            <w:tcW w:w="83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单位</w:t>
            </w:r>
          </w:p>
        </w:tc>
        <w:tc>
          <w:tcPr>
            <w:tcW w:w="17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单  价</w:t>
            </w:r>
          </w:p>
          <w:p>
            <w:pPr>
              <w:snapToGrid w:val="0"/>
              <w:jc w:val="center"/>
              <w:rPr>
                <w:rFonts w:ascii="宋体" w:hAnsi="宋体" w:eastAsia="宋体" w:cs="宋体"/>
                <w:sz w:val="24"/>
                <w:szCs w:val="24"/>
              </w:rPr>
            </w:pPr>
            <w:r>
              <w:rPr>
                <w:rFonts w:hint="eastAsia" w:ascii="宋体" w:hAnsi="宋体" w:eastAsia="宋体" w:cs="宋体"/>
                <w:sz w:val="24"/>
                <w:szCs w:val="24"/>
              </w:rPr>
              <w:t>②</w:t>
            </w:r>
          </w:p>
        </w:tc>
        <w:tc>
          <w:tcPr>
            <w:tcW w:w="1276" w:type="dxa"/>
            <w:vAlign w:val="center"/>
          </w:tcPr>
          <w:p>
            <w:pPr>
              <w:snapToGrid w:val="0"/>
              <w:spacing w:before="50" w:after="50" w:line="360" w:lineRule="auto"/>
              <w:jc w:val="center"/>
              <w:rPr>
                <w:rFonts w:ascii="宋体" w:hAnsi="宋体" w:eastAsia="宋体" w:cs="宋体"/>
                <w:sz w:val="24"/>
                <w:szCs w:val="24"/>
              </w:rPr>
            </w:pPr>
            <w:r>
              <w:rPr>
                <w:rFonts w:hint="eastAsia" w:ascii="宋体" w:hAnsi="宋体" w:eastAsia="宋体" w:cs="宋体"/>
                <w:sz w:val="24"/>
                <w:szCs w:val="24"/>
                <w:lang w:bidi="ar"/>
              </w:rPr>
              <w:t>竞争性谈判</w:t>
            </w:r>
            <w:r>
              <w:rPr>
                <w:rFonts w:hint="eastAsia" w:ascii="宋体" w:hAnsi="宋体" w:eastAsia="宋体" w:cs="宋体"/>
                <w:sz w:val="24"/>
                <w:szCs w:val="24"/>
              </w:rPr>
              <w:t>报价</w:t>
            </w:r>
          </w:p>
          <w:p>
            <w:pPr>
              <w:snapToGrid w:val="0"/>
              <w:jc w:val="center"/>
              <w:rPr>
                <w:rFonts w:ascii="宋体" w:hAnsi="宋体" w:eastAsia="宋体" w:cs="宋体"/>
                <w:sz w:val="24"/>
                <w:szCs w:val="24"/>
              </w:rPr>
            </w:pPr>
            <w:r>
              <w:rPr>
                <w:rFonts w:hint="eastAsia" w:ascii="宋体" w:hAnsi="宋体" w:eastAsia="宋体" w:cs="宋体"/>
                <w:sz w:val="24"/>
                <w:szCs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1</w:t>
            </w:r>
          </w:p>
        </w:tc>
        <w:tc>
          <w:tcPr>
            <w:tcW w:w="1034" w:type="dxa"/>
            <w:vAlign w:val="center"/>
          </w:tcPr>
          <w:p>
            <w:pPr>
              <w:snapToGrid w:val="0"/>
              <w:spacing w:line="460" w:lineRule="exact"/>
              <w:jc w:val="center"/>
              <w:rPr>
                <w:rFonts w:ascii="宋体" w:hAnsi="宋体" w:eastAsia="宋体" w:cs="宋体"/>
                <w:sz w:val="24"/>
                <w:szCs w:val="24"/>
              </w:rPr>
            </w:pPr>
          </w:p>
        </w:tc>
        <w:tc>
          <w:tcPr>
            <w:tcW w:w="1134" w:type="dxa"/>
            <w:vAlign w:val="center"/>
          </w:tcPr>
          <w:p>
            <w:pPr>
              <w:snapToGrid w:val="0"/>
              <w:spacing w:line="460" w:lineRule="exact"/>
              <w:jc w:val="center"/>
              <w:rPr>
                <w:rFonts w:ascii="宋体" w:hAnsi="宋体" w:eastAsia="宋体" w:cs="宋体"/>
                <w:sz w:val="24"/>
                <w:szCs w:val="24"/>
              </w:rPr>
            </w:pPr>
          </w:p>
        </w:tc>
        <w:tc>
          <w:tcPr>
            <w:tcW w:w="1276" w:type="dxa"/>
            <w:vAlign w:val="center"/>
          </w:tcPr>
          <w:p>
            <w:pPr>
              <w:snapToGrid w:val="0"/>
              <w:spacing w:line="460" w:lineRule="exact"/>
              <w:jc w:val="center"/>
              <w:rPr>
                <w:rFonts w:ascii="宋体" w:hAnsi="宋体" w:eastAsia="宋体" w:cs="宋体"/>
                <w:sz w:val="24"/>
                <w:szCs w:val="24"/>
              </w:rPr>
            </w:pPr>
          </w:p>
        </w:tc>
        <w:tc>
          <w:tcPr>
            <w:tcW w:w="1134" w:type="dxa"/>
          </w:tcPr>
          <w:p>
            <w:pPr>
              <w:snapToGrid w:val="0"/>
              <w:spacing w:line="460" w:lineRule="exact"/>
              <w:jc w:val="center"/>
              <w:rPr>
                <w:rFonts w:ascii="宋体" w:hAnsi="宋体" w:eastAsia="宋体" w:cs="宋体"/>
                <w:sz w:val="24"/>
                <w:szCs w:val="24"/>
              </w:rPr>
            </w:pPr>
          </w:p>
        </w:tc>
        <w:tc>
          <w:tcPr>
            <w:tcW w:w="992" w:type="dxa"/>
            <w:vAlign w:val="center"/>
          </w:tcPr>
          <w:p>
            <w:pPr>
              <w:snapToGrid w:val="0"/>
              <w:spacing w:line="460" w:lineRule="exact"/>
              <w:jc w:val="center"/>
              <w:rPr>
                <w:rFonts w:ascii="宋体" w:hAnsi="宋体" w:eastAsia="宋体" w:cs="宋体"/>
                <w:sz w:val="24"/>
                <w:szCs w:val="24"/>
              </w:rPr>
            </w:pPr>
          </w:p>
        </w:tc>
        <w:tc>
          <w:tcPr>
            <w:tcW w:w="709" w:type="dxa"/>
            <w:vAlign w:val="center"/>
          </w:tcPr>
          <w:p>
            <w:pPr>
              <w:snapToGrid w:val="0"/>
              <w:spacing w:line="460" w:lineRule="exact"/>
              <w:ind w:left="360"/>
              <w:rPr>
                <w:rFonts w:ascii="宋体" w:hAnsi="宋体" w:eastAsia="宋体" w:cs="宋体"/>
                <w:sz w:val="24"/>
                <w:szCs w:val="24"/>
              </w:rPr>
            </w:pPr>
          </w:p>
        </w:tc>
        <w:tc>
          <w:tcPr>
            <w:tcW w:w="830" w:type="dxa"/>
          </w:tcPr>
          <w:p>
            <w:pPr>
              <w:snapToGrid w:val="0"/>
              <w:spacing w:line="460" w:lineRule="exact"/>
              <w:jc w:val="center"/>
              <w:rPr>
                <w:rFonts w:ascii="宋体" w:hAnsi="宋体" w:eastAsia="宋体" w:cs="宋体"/>
                <w:sz w:val="24"/>
                <w:szCs w:val="24"/>
              </w:rPr>
            </w:pPr>
          </w:p>
        </w:tc>
        <w:tc>
          <w:tcPr>
            <w:tcW w:w="1722" w:type="dxa"/>
            <w:vAlign w:val="center"/>
          </w:tcPr>
          <w:p>
            <w:pPr>
              <w:snapToGrid w:val="0"/>
              <w:spacing w:line="460" w:lineRule="exact"/>
              <w:ind w:left="360"/>
              <w:rPr>
                <w:rFonts w:ascii="宋体" w:hAnsi="宋体" w:eastAsia="宋体" w:cs="宋体"/>
                <w:sz w:val="24"/>
                <w:szCs w:val="24"/>
              </w:rPr>
            </w:pPr>
          </w:p>
        </w:tc>
        <w:tc>
          <w:tcPr>
            <w:tcW w:w="1276" w:type="dxa"/>
          </w:tcPr>
          <w:p>
            <w:pPr>
              <w:snapToGrid w:val="0"/>
              <w:spacing w:line="4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N</w:t>
            </w:r>
          </w:p>
        </w:tc>
        <w:tc>
          <w:tcPr>
            <w:tcW w:w="1034" w:type="dxa"/>
            <w:vAlign w:val="center"/>
          </w:tcPr>
          <w:p>
            <w:pPr>
              <w:snapToGrid w:val="0"/>
              <w:spacing w:line="460" w:lineRule="exact"/>
              <w:jc w:val="center"/>
              <w:rPr>
                <w:rFonts w:ascii="宋体" w:hAnsi="宋体" w:eastAsia="宋体" w:cs="宋体"/>
                <w:sz w:val="24"/>
                <w:szCs w:val="24"/>
              </w:rPr>
            </w:pPr>
          </w:p>
        </w:tc>
        <w:tc>
          <w:tcPr>
            <w:tcW w:w="1134" w:type="dxa"/>
            <w:vAlign w:val="center"/>
          </w:tcPr>
          <w:p>
            <w:pPr>
              <w:snapToGrid w:val="0"/>
              <w:spacing w:line="460" w:lineRule="exact"/>
              <w:jc w:val="center"/>
              <w:rPr>
                <w:rFonts w:ascii="宋体" w:hAnsi="宋体" w:eastAsia="宋体" w:cs="宋体"/>
                <w:sz w:val="24"/>
                <w:szCs w:val="24"/>
              </w:rPr>
            </w:pPr>
          </w:p>
        </w:tc>
        <w:tc>
          <w:tcPr>
            <w:tcW w:w="1276" w:type="dxa"/>
            <w:vAlign w:val="center"/>
          </w:tcPr>
          <w:p>
            <w:pPr>
              <w:snapToGrid w:val="0"/>
              <w:spacing w:line="460" w:lineRule="exact"/>
              <w:jc w:val="center"/>
              <w:rPr>
                <w:rFonts w:ascii="宋体" w:hAnsi="宋体" w:eastAsia="宋体" w:cs="宋体"/>
                <w:sz w:val="24"/>
                <w:szCs w:val="24"/>
              </w:rPr>
            </w:pPr>
          </w:p>
        </w:tc>
        <w:tc>
          <w:tcPr>
            <w:tcW w:w="1134" w:type="dxa"/>
          </w:tcPr>
          <w:p>
            <w:pPr>
              <w:snapToGrid w:val="0"/>
              <w:spacing w:line="460" w:lineRule="exact"/>
              <w:jc w:val="center"/>
              <w:rPr>
                <w:rFonts w:ascii="宋体" w:hAnsi="宋体" w:eastAsia="宋体" w:cs="宋体"/>
                <w:sz w:val="24"/>
                <w:szCs w:val="24"/>
              </w:rPr>
            </w:pPr>
          </w:p>
        </w:tc>
        <w:tc>
          <w:tcPr>
            <w:tcW w:w="992" w:type="dxa"/>
            <w:vAlign w:val="center"/>
          </w:tcPr>
          <w:p>
            <w:pPr>
              <w:snapToGrid w:val="0"/>
              <w:spacing w:line="460" w:lineRule="exact"/>
              <w:jc w:val="center"/>
              <w:rPr>
                <w:rFonts w:ascii="宋体" w:hAnsi="宋体" w:eastAsia="宋体" w:cs="宋体"/>
                <w:sz w:val="24"/>
                <w:szCs w:val="24"/>
              </w:rPr>
            </w:pPr>
          </w:p>
        </w:tc>
        <w:tc>
          <w:tcPr>
            <w:tcW w:w="709" w:type="dxa"/>
            <w:vAlign w:val="center"/>
          </w:tcPr>
          <w:p>
            <w:pPr>
              <w:snapToGrid w:val="0"/>
              <w:spacing w:line="460" w:lineRule="exact"/>
              <w:ind w:left="360"/>
              <w:rPr>
                <w:rFonts w:ascii="宋体" w:hAnsi="宋体" w:eastAsia="宋体" w:cs="宋体"/>
                <w:sz w:val="24"/>
                <w:szCs w:val="24"/>
              </w:rPr>
            </w:pPr>
          </w:p>
        </w:tc>
        <w:tc>
          <w:tcPr>
            <w:tcW w:w="830" w:type="dxa"/>
          </w:tcPr>
          <w:p>
            <w:pPr>
              <w:snapToGrid w:val="0"/>
              <w:spacing w:line="460" w:lineRule="exact"/>
              <w:jc w:val="center"/>
              <w:rPr>
                <w:rFonts w:ascii="宋体" w:hAnsi="宋体" w:eastAsia="宋体" w:cs="宋体"/>
                <w:sz w:val="24"/>
                <w:szCs w:val="24"/>
              </w:rPr>
            </w:pPr>
          </w:p>
        </w:tc>
        <w:tc>
          <w:tcPr>
            <w:tcW w:w="1722" w:type="dxa"/>
            <w:vAlign w:val="center"/>
          </w:tcPr>
          <w:p>
            <w:pPr>
              <w:snapToGrid w:val="0"/>
              <w:spacing w:line="460" w:lineRule="exact"/>
              <w:ind w:left="360"/>
              <w:rPr>
                <w:rFonts w:ascii="宋体" w:hAnsi="宋体" w:eastAsia="宋体" w:cs="宋体"/>
                <w:sz w:val="24"/>
                <w:szCs w:val="24"/>
              </w:rPr>
            </w:pPr>
          </w:p>
        </w:tc>
        <w:tc>
          <w:tcPr>
            <w:tcW w:w="1276" w:type="dxa"/>
          </w:tcPr>
          <w:p>
            <w:pPr>
              <w:snapToGrid w:val="0"/>
              <w:spacing w:line="4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ascii="Times New Roman" w:hAnsi="Times New Roman" w:eastAsia="宋体" w:cs="Times New Roman"/>
                <w:szCs w:val="24"/>
              </w:rPr>
            </w:pPr>
            <w:r>
              <w:rPr>
                <w:rFonts w:hint="eastAsia" w:ascii="宋体" w:hAnsi="宋体" w:eastAsia="宋体" w:cs="宋体"/>
                <w:sz w:val="24"/>
                <w:szCs w:val="24"/>
              </w:rPr>
              <w:t>合计金额（人民币大写</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hint="eastAsia" w:ascii="宋体" w:hAnsi="宋体" w:eastAsia="宋体" w:cs="宋体"/>
                <w:bCs/>
                <w:sz w:val="24"/>
                <w:szCs w:val="24"/>
                <w:u w:val="single"/>
              </w:rPr>
              <w:t>元整</w:t>
            </w: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pPr>
              <w:snapToGrid w:val="0"/>
              <w:spacing w:line="460" w:lineRule="exact"/>
              <w:jc w:val="left"/>
              <w:rPr>
                <w:rFonts w:ascii="宋体" w:hAnsi="宋体" w:eastAsia="宋体" w:cs="宋体"/>
                <w:sz w:val="24"/>
                <w:szCs w:val="24"/>
              </w:rPr>
            </w:pPr>
            <w:r>
              <w:rPr>
                <w:rFonts w:hint="eastAsia" w:ascii="宋体" w:hAnsi="宋体" w:eastAsia="宋体" w:cs="宋体"/>
                <w:sz w:val="24"/>
                <w:szCs w:val="24"/>
              </w:rPr>
              <w:t>交付时间：国产设备自签订合同之日起60日历天内到货安装调试完成并通过验收。进口设备自签订合同之日起150日历天内到货安装调试完成并通过验收。</w:t>
            </w:r>
          </w:p>
        </w:tc>
      </w:tr>
    </w:tbl>
    <w:p>
      <w:pPr>
        <w:rPr>
          <w:rFonts w:ascii="Times New Roman" w:hAnsi="Times New Roman" w:eastAsia="宋体" w:cs="Times New Roman"/>
        </w:rPr>
      </w:pPr>
    </w:p>
    <w:p>
      <w:pPr>
        <w:contextualSpacing/>
        <w:jc w:val="left"/>
        <w:rPr>
          <w:rFonts w:ascii="楷体" w:hAnsi="楷体" w:eastAsia="楷体" w:cs="宋体"/>
          <w:b/>
          <w:sz w:val="24"/>
          <w:szCs w:val="24"/>
        </w:rPr>
      </w:pPr>
      <w:r>
        <w:rPr>
          <w:rFonts w:hint="eastAsia" w:ascii="楷体" w:hAnsi="楷体" w:eastAsia="楷体" w:cs="宋体"/>
          <w:b/>
          <w:sz w:val="24"/>
          <w:szCs w:val="24"/>
        </w:rPr>
        <w:t>注</w:t>
      </w:r>
      <w:r>
        <w:rPr>
          <w:rFonts w:ascii="楷体" w:hAnsi="楷体" w:eastAsia="楷体" w:cs="宋体"/>
          <w:b/>
          <w:sz w:val="24"/>
          <w:szCs w:val="24"/>
        </w:rPr>
        <w:t xml:space="preserve">: </w:t>
      </w:r>
    </w:p>
    <w:p>
      <w:pPr>
        <w:ind w:firstLine="480" w:firstLineChars="200"/>
        <w:contextualSpacing/>
        <w:jc w:val="left"/>
        <w:rPr>
          <w:rFonts w:ascii="楷体" w:hAnsi="楷体" w:eastAsia="楷体" w:cs="宋体"/>
          <w:b/>
          <w:sz w:val="24"/>
          <w:szCs w:val="24"/>
        </w:rPr>
      </w:pPr>
      <w:r>
        <w:rPr>
          <w:rFonts w:ascii="楷体" w:hAnsi="楷体" w:eastAsia="楷体" w:cs="宋体"/>
          <w:sz w:val="24"/>
          <w:szCs w:val="24"/>
        </w:rPr>
        <w:t>1.</w:t>
      </w:r>
      <w:r>
        <w:rPr>
          <w:rFonts w:hint="eastAsia" w:ascii="楷体" w:hAnsi="楷体" w:eastAsia="楷体" w:cs="宋体"/>
          <w:sz w:val="24"/>
          <w:szCs w:val="24"/>
        </w:rPr>
        <w:t>竞争性谈判报价表中“货物名称、数量、单位、品牌、型号、生产厂家、产地”必须如实填写完整，定制产品在型号栏中填写“定制”。</w:t>
      </w:r>
      <w:r>
        <w:rPr>
          <w:rFonts w:hint="eastAsia" w:ascii="楷体" w:hAnsi="楷体" w:eastAsia="楷体" w:cs="宋体"/>
          <w:b/>
          <w:sz w:val="24"/>
          <w:szCs w:val="24"/>
        </w:rPr>
        <w:t>填写有缺漏</w:t>
      </w:r>
      <w:r>
        <w:rPr>
          <w:rFonts w:hint="eastAsia" w:ascii="楷体" w:hAnsi="楷体" w:eastAsia="楷体" w:cs="宋体"/>
          <w:b/>
          <w:bCs/>
          <w:sz w:val="24"/>
          <w:szCs w:val="24"/>
        </w:rPr>
        <w:t>的，</w:t>
      </w:r>
      <w:r>
        <w:rPr>
          <w:rFonts w:hint="eastAsia" w:ascii="楷体" w:hAnsi="楷体" w:eastAsia="楷体" w:cs="宋体"/>
          <w:b/>
          <w:sz w:val="24"/>
          <w:szCs w:val="24"/>
        </w:rPr>
        <w:t>其响应文件按无效响应处理。</w:t>
      </w:r>
    </w:p>
    <w:p>
      <w:pPr>
        <w:snapToGrid w:val="0"/>
        <w:spacing w:before="50" w:after="50"/>
        <w:ind w:firstLine="482" w:firstLineChars="200"/>
        <w:jc w:val="left"/>
        <w:rPr>
          <w:rFonts w:ascii="楷体" w:hAnsi="楷体" w:eastAsia="楷体" w:cs="Times New Roman"/>
          <w:szCs w:val="24"/>
        </w:rPr>
      </w:pPr>
      <w:r>
        <w:rPr>
          <w:rFonts w:ascii="楷体" w:hAnsi="楷体" w:eastAsia="楷体" w:cs="宋体"/>
          <w:b/>
          <w:sz w:val="24"/>
          <w:szCs w:val="24"/>
        </w:rPr>
        <w:t>2.所填写的型号与货物铭牌一致。</w:t>
      </w:r>
    </w:p>
    <w:p>
      <w:pPr>
        <w:ind w:firstLine="480" w:firstLineChars="200"/>
        <w:contextualSpacing/>
        <w:jc w:val="left"/>
        <w:rPr>
          <w:rFonts w:ascii="楷体" w:hAnsi="楷体" w:eastAsia="楷体" w:cs="宋体"/>
          <w:sz w:val="24"/>
          <w:szCs w:val="24"/>
        </w:rPr>
      </w:pPr>
      <w:r>
        <w:rPr>
          <w:rFonts w:ascii="楷体" w:hAnsi="楷体" w:eastAsia="楷体" w:cs="宋体"/>
          <w:sz w:val="24"/>
          <w:szCs w:val="24"/>
        </w:rPr>
        <w:t>3.供应商的报价表必须加盖供应商公章并由法定代表人或者委托代理人签字，</w:t>
      </w:r>
      <w:r>
        <w:rPr>
          <w:rFonts w:hint="eastAsia" w:ascii="楷体" w:hAnsi="楷体" w:eastAsia="楷体" w:cs="宋体"/>
          <w:b/>
          <w:sz w:val="24"/>
          <w:szCs w:val="24"/>
        </w:rPr>
        <w:t>否则其响应文件按无效响应处理</w:t>
      </w:r>
      <w:r>
        <w:rPr>
          <w:rFonts w:hint="eastAsia" w:ascii="楷体" w:hAnsi="楷体" w:eastAsia="楷体" w:cs="宋体"/>
          <w:sz w:val="24"/>
          <w:szCs w:val="24"/>
        </w:rPr>
        <w:t>。</w:t>
      </w:r>
    </w:p>
    <w:p>
      <w:pPr>
        <w:ind w:firstLine="480" w:firstLineChars="200"/>
        <w:contextualSpacing/>
        <w:jc w:val="left"/>
        <w:rPr>
          <w:rFonts w:ascii="楷体" w:hAnsi="楷体" w:eastAsia="楷体" w:cs="宋体"/>
          <w:b/>
          <w:sz w:val="24"/>
          <w:szCs w:val="24"/>
        </w:rPr>
      </w:pPr>
      <w:r>
        <w:rPr>
          <w:rFonts w:ascii="楷体" w:hAnsi="楷体" w:eastAsia="楷体" w:cs="宋体"/>
          <w:bCs/>
          <w:sz w:val="24"/>
          <w:szCs w:val="24"/>
        </w:rPr>
        <w:t>4.</w:t>
      </w:r>
      <w:r>
        <w:rPr>
          <w:rFonts w:hint="eastAsia" w:ascii="楷体" w:hAnsi="楷体" w:eastAsia="楷体" w:cs="宋体"/>
          <w:sz w:val="24"/>
          <w:szCs w:val="24"/>
        </w:rPr>
        <w:t>报价一经涂改，应在涂改处加盖供应商公章或者由法定代表人或者授权委托人签字或者盖章</w:t>
      </w:r>
      <w:r>
        <w:rPr>
          <w:rFonts w:hint="eastAsia" w:ascii="楷体" w:hAnsi="楷体" w:eastAsia="楷体" w:cs="宋体"/>
          <w:b/>
          <w:sz w:val="24"/>
          <w:szCs w:val="24"/>
        </w:rPr>
        <w:t>，否则其响应文件按无效响应处理。</w:t>
      </w:r>
    </w:p>
    <w:p>
      <w:pPr>
        <w:ind w:firstLine="480" w:firstLineChars="200"/>
        <w:contextualSpacing/>
        <w:jc w:val="left"/>
        <w:rPr>
          <w:rFonts w:ascii="楷体" w:hAnsi="楷体" w:eastAsia="楷体" w:cs="宋体"/>
          <w:sz w:val="24"/>
          <w:szCs w:val="24"/>
        </w:rPr>
      </w:pPr>
      <w:r>
        <w:rPr>
          <w:rFonts w:ascii="楷体" w:hAnsi="楷体" w:eastAsia="楷体" w:cs="宋体"/>
          <w:sz w:val="24"/>
          <w:szCs w:val="24"/>
        </w:rPr>
        <w:t>5.谈判文件中列明采购专用耗材的，应按谈判文件规定的耗材量或者按耗材的常规</w:t>
      </w:r>
      <w:r>
        <w:rPr>
          <w:rFonts w:hint="eastAsia" w:ascii="楷体" w:hAnsi="楷体" w:eastAsia="楷体" w:cs="宋体"/>
          <w:sz w:val="24"/>
          <w:szCs w:val="24"/>
        </w:rPr>
        <w:t>使用量提供报价。</w:t>
      </w:r>
    </w:p>
    <w:p>
      <w:pPr>
        <w:ind w:firstLine="480" w:firstLineChars="200"/>
        <w:contextualSpacing/>
        <w:jc w:val="left"/>
        <w:rPr>
          <w:rFonts w:ascii="楷体" w:hAnsi="楷体" w:eastAsia="楷体" w:cs="宋体"/>
          <w:sz w:val="24"/>
          <w:szCs w:val="24"/>
        </w:rPr>
      </w:pPr>
      <w:r>
        <w:rPr>
          <w:rFonts w:ascii="楷体" w:hAnsi="楷体" w:eastAsia="楷体" w:cs="宋体"/>
          <w:sz w:val="24"/>
          <w:szCs w:val="24"/>
        </w:rPr>
        <w:t>6.如为联合体</w:t>
      </w:r>
      <w:r>
        <w:rPr>
          <w:rFonts w:hint="eastAsia" w:ascii="楷体" w:hAnsi="楷体" w:eastAsia="楷体" w:cs="宋体"/>
          <w:sz w:val="24"/>
          <w:szCs w:val="24"/>
        </w:rPr>
        <w:t>参与竞争性谈判</w:t>
      </w:r>
      <w:r>
        <w:rPr>
          <w:rFonts w:ascii="楷体" w:hAnsi="楷体" w:eastAsia="楷体" w:cs="宋体"/>
          <w:sz w:val="24"/>
          <w:szCs w:val="24"/>
        </w:rPr>
        <w:t>,“供应商名称”处必须列明联合体各方名称，标注联合体牵头人名称，</w:t>
      </w:r>
      <w:r>
        <w:rPr>
          <w:rFonts w:hint="eastAsia" w:ascii="楷体" w:hAnsi="楷体" w:eastAsia="楷体" w:cs="宋体"/>
          <w:b/>
          <w:sz w:val="24"/>
          <w:szCs w:val="24"/>
        </w:rPr>
        <w:t>否则其响应文件按无效响应处理。（采购人可根据项目情况自行修改是否需要联合体各方签字盖章）</w:t>
      </w:r>
    </w:p>
    <w:p>
      <w:pPr>
        <w:ind w:firstLine="480" w:firstLineChars="200"/>
        <w:contextualSpacing/>
        <w:jc w:val="left"/>
        <w:rPr>
          <w:rFonts w:ascii="楷体" w:hAnsi="楷体" w:eastAsia="楷体" w:cs="宋体"/>
          <w:sz w:val="24"/>
          <w:szCs w:val="24"/>
        </w:rPr>
      </w:pPr>
      <w:r>
        <w:rPr>
          <w:rFonts w:ascii="楷体" w:hAnsi="楷体" w:eastAsia="楷体" w:cs="宋体"/>
          <w:sz w:val="24"/>
          <w:szCs w:val="24"/>
        </w:rPr>
        <w:t>7.如为联合体</w:t>
      </w:r>
      <w:r>
        <w:rPr>
          <w:rFonts w:hint="eastAsia" w:ascii="楷体" w:hAnsi="楷体" w:eastAsia="楷体" w:cs="宋体"/>
          <w:sz w:val="24"/>
          <w:szCs w:val="24"/>
        </w:rPr>
        <w:t>参与竞争性谈判</w:t>
      </w:r>
      <w:r>
        <w:rPr>
          <w:rFonts w:ascii="楷体" w:hAnsi="楷体" w:eastAsia="楷体" w:cs="宋体"/>
          <w:sz w:val="24"/>
          <w:szCs w:val="24"/>
        </w:rPr>
        <w:t>,盖章处须加盖联合体各方公章，</w:t>
      </w:r>
      <w:r>
        <w:rPr>
          <w:rFonts w:hint="eastAsia" w:ascii="楷体" w:hAnsi="楷体" w:eastAsia="楷体" w:cs="宋体"/>
          <w:b/>
          <w:sz w:val="24"/>
          <w:szCs w:val="24"/>
        </w:rPr>
        <w:t>否则其响应文件按无效响应处理。</w:t>
      </w:r>
    </w:p>
    <w:p>
      <w:pPr>
        <w:ind w:firstLine="480" w:firstLineChars="200"/>
        <w:contextualSpacing/>
        <w:rPr>
          <w:rFonts w:ascii="楷体" w:hAnsi="楷体" w:eastAsia="楷体" w:cs="宋体"/>
          <w:b/>
          <w:sz w:val="24"/>
          <w:szCs w:val="24"/>
        </w:rPr>
      </w:pPr>
      <w:r>
        <w:rPr>
          <w:rFonts w:ascii="楷体" w:hAnsi="楷体" w:eastAsia="楷体" w:cs="宋体"/>
          <w:sz w:val="24"/>
          <w:szCs w:val="24"/>
        </w:rPr>
        <w:t>8.</w:t>
      </w:r>
      <w:r>
        <w:rPr>
          <w:rFonts w:hint="eastAsia" w:ascii="楷体" w:hAnsi="楷体" w:eastAsia="楷体" w:cs="宋体"/>
          <w:spacing w:val="-6"/>
          <w:sz w:val="24"/>
          <w:szCs w:val="24"/>
        </w:rPr>
        <w:t>如有多分标，分别列明各分标的报价表，</w:t>
      </w:r>
      <w:r>
        <w:rPr>
          <w:rFonts w:hint="eastAsia" w:ascii="楷体" w:hAnsi="楷体" w:eastAsia="楷体" w:cs="宋体"/>
          <w:b/>
          <w:spacing w:val="-6"/>
          <w:sz w:val="24"/>
          <w:szCs w:val="24"/>
        </w:rPr>
        <w:t>否则其响应文件按无效响应处理。</w:t>
      </w:r>
      <w:r>
        <w:rPr>
          <w:rFonts w:hint="eastAsia" w:ascii="楷体" w:hAnsi="楷体" w:eastAsia="楷体" w:cs="宋体"/>
          <w:b/>
          <w:sz w:val="24"/>
          <w:szCs w:val="24"/>
        </w:rPr>
        <w:t>（采购人可根据项目情况自行修改是否需要联合体各方签字盖章）</w:t>
      </w:r>
    </w:p>
    <w:p>
      <w:pPr>
        <w:spacing w:line="360" w:lineRule="auto"/>
        <w:ind w:firstLine="2640" w:firstLineChars="1100"/>
        <w:contextualSpacing/>
        <w:rPr>
          <w:rFonts w:ascii="宋体" w:hAnsi="宋体" w:eastAsia="宋体" w:cs="宋体"/>
          <w:sz w:val="24"/>
          <w:szCs w:val="24"/>
        </w:rPr>
      </w:pPr>
    </w:p>
    <w:p>
      <w:pPr>
        <w:rPr>
          <w:rFonts w:ascii="Times New Roman" w:hAnsi="Times New Roman" w:eastAsia="宋体" w:cs="Times New Roman"/>
        </w:rPr>
      </w:pPr>
    </w:p>
    <w:p>
      <w:pPr>
        <w:rPr>
          <w:rFonts w:ascii="Times New Roman" w:hAnsi="Times New Roman" w:eastAsia="宋体" w:cs="Times New Roman"/>
        </w:rPr>
      </w:pPr>
    </w:p>
    <w:p>
      <w:pPr>
        <w:spacing w:line="360" w:lineRule="auto"/>
        <w:ind w:firstLine="2640" w:firstLineChars="1100"/>
        <w:contextualSpacing/>
        <w:rPr>
          <w:rFonts w:ascii="宋体" w:hAnsi="宋体" w:eastAsia="宋体" w:cs="宋体"/>
          <w:sz w:val="24"/>
          <w:szCs w:val="24"/>
        </w:rPr>
      </w:pP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640" w:firstLineChars="110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640" w:firstLineChars="1100"/>
        <w:contextualSpacing/>
        <w:rPr>
          <w:rFonts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jc w:val="center"/>
        <w:rPr>
          <w:rFonts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bCs/>
          <w:sz w:val="44"/>
          <w:szCs w:val="44"/>
        </w:rPr>
        <w:t>法定代表人身份证明</w:t>
      </w:r>
    </w:p>
    <w:p>
      <w:pPr>
        <w:spacing w:line="360" w:lineRule="auto"/>
        <w:contextualSpacing/>
        <w:rPr>
          <w:rFonts w:ascii="宋体" w:hAnsi="宋体" w:eastAsia="宋体" w:cs="宋体"/>
          <w:sz w:val="32"/>
          <w:szCs w:val="32"/>
        </w:rPr>
      </w:pPr>
    </w:p>
    <w:p>
      <w:pPr>
        <w:spacing w:line="360" w:lineRule="auto"/>
        <w:contextualSpacing/>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360" w:lineRule="auto"/>
        <w:contextualSpacing/>
        <w:rPr>
          <w:rFonts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的法定代表人。</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特此证明。</w:t>
      </w: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r>
        <w:rPr>
          <w:rFonts w:hint="eastAsia" w:ascii="宋体" w:hAnsi="宋体" w:eastAsia="宋体" w:cs="宋体"/>
          <w:sz w:val="24"/>
          <w:szCs w:val="24"/>
        </w:rPr>
        <w:t>附件：法定代表人有效身份证正反面复印件</w:t>
      </w:r>
    </w:p>
    <w:p>
      <w:pPr>
        <w:spacing w:line="360" w:lineRule="auto"/>
        <w:contextualSpacing/>
        <w:rPr>
          <w:rFonts w:ascii="宋体" w:hAnsi="宋体" w:eastAsia="宋体" w:cs="宋体"/>
          <w:sz w:val="24"/>
          <w:szCs w:val="24"/>
        </w:rPr>
      </w:pPr>
    </w:p>
    <w:p>
      <w:pPr>
        <w:spacing w:line="360" w:lineRule="auto"/>
        <w:ind w:right="960" w:firstLine="5040" w:firstLineChars="210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5040" w:firstLineChars="2100"/>
        <w:contextualSpacing/>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contextualSpacing/>
        <w:jc w:val="center"/>
        <w:rPr>
          <w:rFonts w:ascii="宋体" w:hAnsi="宋体" w:eastAsia="宋体" w:cs="宋体"/>
          <w:b/>
          <w:sz w:val="24"/>
          <w:szCs w:val="24"/>
        </w:rPr>
      </w:pPr>
    </w:p>
    <w:p>
      <w:pPr>
        <w:spacing w:line="360" w:lineRule="auto"/>
        <w:contextualSpacing/>
        <w:jc w:val="left"/>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jc w:val="left"/>
        <w:rPr>
          <w:rFonts w:ascii="楷体" w:hAnsi="楷体" w:eastAsia="楷体" w:cs="宋体"/>
          <w:sz w:val="24"/>
          <w:szCs w:val="24"/>
        </w:rPr>
      </w:pPr>
      <w:r>
        <w:rPr>
          <w:rFonts w:hint="eastAsia" w:ascii="楷体" w:hAnsi="楷体" w:eastAsia="楷体" w:cs="宋体"/>
          <w:sz w:val="24"/>
          <w:szCs w:val="24"/>
        </w:rPr>
        <w:t>自然人参与</w:t>
      </w:r>
      <w:r>
        <w:rPr>
          <w:rFonts w:hint="eastAsia" w:ascii="楷体" w:hAnsi="楷体" w:eastAsia="楷体" w:cs="宋体"/>
          <w:sz w:val="24"/>
          <w:szCs w:val="24"/>
          <w:lang w:bidi="ar"/>
        </w:rPr>
        <w:t>竞争性谈判</w:t>
      </w:r>
      <w:r>
        <w:rPr>
          <w:rFonts w:hint="eastAsia" w:ascii="楷体" w:hAnsi="楷体" w:eastAsia="楷体" w:cs="宋体"/>
          <w:sz w:val="24"/>
          <w:szCs w:val="24"/>
        </w:rPr>
        <w:t>的无需提供，联合体参与</w:t>
      </w:r>
      <w:r>
        <w:rPr>
          <w:rFonts w:hint="eastAsia" w:ascii="楷体" w:hAnsi="楷体" w:eastAsia="楷体" w:cs="宋体"/>
          <w:sz w:val="24"/>
          <w:szCs w:val="24"/>
          <w:lang w:bidi="ar"/>
        </w:rPr>
        <w:t>竞争性谈判</w:t>
      </w:r>
      <w:r>
        <w:rPr>
          <w:rFonts w:hint="eastAsia" w:ascii="楷体" w:hAnsi="楷体" w:eastAsia="楷体" w:cs="宋体"/>
          <w:sz w:val="24"/>
          <w:szCs w:val="24"/>
        </w:rPr>
        <w:t>的只需牵头人出具。</w:t>
      </w:r>
    </w:p>
    <w:p>
      <w:pPr>
        <w:adjustRightInd w:val="0"/>
        <w:snapToGrid w:val="0"/>
        <w:spacing w:line="360" w:lineRule="auto"/>
        <w:jc w:val="left"/>
        <w:rPr>
          <w:rFonts w:ascii="楷体" w:hAnsi="楷体" w:eastAsia="楷体" w:cs="宋体"/>
          <w:b/>
          <w:szCs w:val="21"/>
        </w:rPr>
      </w:pPr>
    </w:p>
    <w:p>
      <w:pPr>
        <w:spacing w:line="360" w:lineRule="auto"/>
        <w:jc w:val="center"/>
        <w:rPr>
          <w:rFonts w:ascii="宋体" w:hAnsi="宋体" w:eastAsia="宋体" w:cs="宋体"/>
          <w:b/>
          <w:sz w:val="44"/>
          <w:szCs w:val="44"/>
        </w:rPr>
      </w:pPr>
      <w:r>
        <w:rPr>
          <w:rFonts w:hint="eastAsia" w:ascii="宋体" w:hAnsi="宋体" w:eastAsia="宋体" w:cs="宋体"/>
          <w:sz w:val="44"/>
          <w:szCs w:val="44"/>
        </w:rPr>
        <w:br w:type="page"/>
      </w:r>
      <w:r>
        <w:rPr>
          <w:rFonts w:hint="eastAsia" w:ascii="宋体" w:hAnsi="宋体" w:eastAsia="宋体" w:cs="宋体"/>
          <w:b/>
          <w:sz w:val="44"/>
          <w:szCs w:val="44"/>
        </w:rPr>
        <w:t>授权委托书</w:t>
      </w:r>
    </w:p>
    <w:p>
      <w:pPr>
        <w:spacing w:line="360" w:lineRule="auto"/>
        <w:jc w:val="center"/>
        <w:rPr>
          <w:rFonts w:ascii="宋体" w:hAnsi="宋体" w:eastAsia="宋体" w:cs="宋体"/>
          <w:sz w:val="28"/>
          <w:szCs w:val="28"/>
        </w:rPr>
      </w:pPr>
      <w:r>
        <w:rPr>
          <w:rFonts w:hint="eastAsia" w:ascii="宋体" w:hAnsi="宋体" w:eastAsia="宋体" w:cs="宋体"/>
          <w:sz w:val="28"/>
          <w:szCs w:val="28"/>
        </w:rPr>
        <w:t>（非联合体参与竞争性谈判格式）</w:t>
      </w:r>
    </w:p>
    <w:p>
      <w:pPr>
        <w:spacing w:line="360" w:lineRule="auto"/>
        <w:jc w:val="center"/>
        <w:rPr>
          <w:rFonts w:ascii="宋体" w:hAnsi="宋体" w:eastAsia="宋体" w:cs="宋体"/>
          <w:sz w:val="28"/>
          <w:szCs w:val="28"/>
        </w:rPr>
      </w:pPr>
      <w:r>
        <w:rPr>
          <w:rFonts w:hint="eastAsia" w:ascii="宋体" w:hAnsi="宋体" w:eastAsia="宋体" w:cs="宋体"/>
          <w:sz w:val="28"/>
          <w:szCs w:val="28"/>
        </w:rPr>
        <w:t>（如有委托时）</w:t>
      </w:r>
    </w:p>
    <w:p>
      <w:pPr>
        <w:spacing w:line="360" w:lineRule="auto"/>
        <w:contextualSpacing/>
        <w:rPr>
          <w:rFonts w:ascii="宋体" w:hAnsi="宋体" w:eastAsia="宋体" w:cs="宋体"/>
          <w:sz w:val="32"/>
          <w:szCs w:val="32"/>
        </w:rPr>
      </w:pPr>
    </w:p>
    <w:p>
      <w:pPr>
        <w:spacing w:line="360" w:lineRule="auto"/>
        <w:contextualSpacing/>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项目的</w:t>
      </w:r>
      <w:r>
        <w:rPr>
          <w:rFonts w:hint="eastAsia" w:ascii="宋体" w:hAnsi="宋体" w:eastAsia="宋体" w:cs="宋体"/>
          <w:sz w:val="24"/>
          <w:szCs w:val="24"/>
          <w:lang w:bidi="ar"/>
        </w:rPr>
        <w:t>竞争性谈判</w:t>
      </w:r>
      <w:r>
        <w:rPr>
          <w:rFonts w:hint="eastAsia" w:ascii="宋体" w:hAnsi="宋体" w:eastAsia="宋体" w:cs="宋体"/>
          <w:sz w:val="24"/>
          <w:szCs w:val="24"/>
        </w:rPr>
        <w:t>活动，并代表我方全权办理针对上述项目的所有采购程序和环节的具体事务和签署相关文件。</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附：法定代表人身份证明及委托代理人有效身份证正反面复印件</w:t>
      </w: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委托代理人身份证号码：</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供应商（公章）：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ascii="宋体" w:hAnsi="宋体" w:eastAsia="宋体" w:cs="宋体"/>
          <w:sz w:val="24"/>
          <w:szCs w:val="24"/>
        </w:rPr>
      </w:pPr>
    </w:p>
    <w:p>
      <w:pPr>
        <w:spacing w:line="360" w:lineRule="auto"/>
        <w:contextualSpacing/>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法定代表人必须在授权委托书上亲笔签字或者盖章，委托代理人必须在授权委托书上亲笔签字，</w:t>
      </w:r>
      <w:r>
        <w:rPr>
          <w:rFonts w:hint="eastAsia" w:ascii="楷体" w:hAnsi="楷体" w:eastAsia="楷体" w:cs="宋体"/>
          <w:b/>
          <w:sz w:val="24"/>
          <w:szCs w:val="24"/>
        </w:rPr>
        <w:t>否则其响应文件按无效响应处理。</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2.法人、其他组织</w:t>
      </w:r>
      <w:r>
        <w:rPr>
          <w:rFonts w:hint="eastAsia" w:ascii="楷体" w:hAnsi="楷体" w:eastAsia="楷体" w:cs="宋体"/>
          <w:sz w:val="24"/>
          <w:szCs w:val="24"/>
        </w:rPr>
        <w:t>参与</w:t>
      </w:r>
      <w:r>
        <w:rPr>
          <w:rFonts w:hint="eastAsia" w:ascii="楷体" w:hAnsi="楷体" w:eastAsia="楷体" w:cs="宋体"/>
          <w:sz w:val="24"/>
          <w:szCs w:val="24"/>
          <w:lang w:bidi="ar"/>
        </w:rPr>
        <w:t>竞争性谈判</w:t>
      </w:r>
      <w:r>
        <w:rPr>
          <w:rFonts w:hint="eastAsia" w:ascii="楷体" w:hAnsi="楷体" w:eastAsia="楷体" w:cs="宋体"/>
          <w:sz w:val="24"/>
          <w:szCs w:val="24"/>
        </w:rPr>
        <w:t>时“我方”是指“我单位”，自然人参与</w:t>
      </w:r>
      <w:r>
        <w:rPr>
          <w:rFonts w:hint="eastAsia" w:ascii="楷体" w:hAnsi="楷体" w:eastAsia="楷体" w:cs="宋体"/>
          <w:sz w:val="24"/>
          <w:szCs w:val="24"/>
          <w:lang w:bidi="ar"/>
        </w:rPr>
        <w:t>竞争性谈判</w:t>
      </w:r>
      <w:r>
        <w:rPr>
          <w:rFonts w:hint="eastAsia" w:ascii="楷体" w:hAnsi="楷体" w:eastAsia="楷体" w:cs="宋体"/>
          <w:sz w:val="24"/>
          <w:szCs w:val="24"/>
        </w:rPr>
        <w:t>时“我方”是指“本人”。</w:t>
      </w:r>
    </w:p>
    <w:p>
      <w:pPr>
        <w:spacing w:line="360" w:lineRule="auto"/>
        <w:ind w:firstLine="420" w:firstLineChars="200"/>
        <w:contextualSpacing/>
        <w:jc w:val="left"/>
        <w:rPr>
          <w:rFonts w:ascii="宋体" w:hAnsi="宋体" w:eastAsia="宋体" w:cs="宋体"/>
          <w:szCs w:val="21"/>
        </w:rPr>
      </w:pPr>
    </w:p>
    <w:p>
      <w:pPr>
        <w:spacing w:line="360" w:lineRule="auto"/>
        <w:contextualSpacing/>
        <w:jc w:val="center"/>
        <w:rPr>
          <w:rFonts w:ascii="宋体" w:hAnsi="宋体" w:eastAsia="宋体" w:cs="宋体"/>
          <w:b/>
          <w:sz w:val="44"/>
          <w:szCs w:val="44"/>
        </w:rPr>
      </w:pPr>
      <w:r>
        <w:rPr>
          <w:rFonts w:hint="eastAsia" w:ascii="宋体" w:hAnsi="宋体" w:eastAsia="宋体" w:cs="宋体"/>
          <w:szCs w:val="21"/>
        </w:rPr>
        <w:br w:type="page"/>
      </w:r>
      <w:r>
        <w:rPr>
          <w:rFonts w:hint="eastAsia" w:ascii="宋体" w:hAnsi="宋体" w:eastAsia="宋体" w:cs="宋体"/>
          <w:b/>
          <w:sz w:val="44"/>
          <w:szCs w:val="44"/>
        </w:rPr>
        <w:t>授权委托书</w:t>
      </w:r>
    </w:p>
    <w:p>
      <w:pPr>
        <w:spacing w:line="360" w:lineRule="auto"/>
        <w:contextualSpacing/>
        <w:jc w:val="center"/>
        <w:rPr>
          <w:rFonts w:ascii="宋体" w:hAnsi="宋体" w:eastAsia="宋体" w:cs="宋体"/>
          <w:sz w:val="28"/>
          <w:szCs w:val="28"/>
        </w:rPr>
      </w:pPr>
      <w:r>
        <w:rPr>
          <w:rFonts w:hint="eastAsia" w:ascii="宋体" w:hAnsi="宋体" w:eastAsia="宋体" w:cs="宋体"/>
          <w:sz w:val="28"/>
          <w:szCs w:val="28"/>
        </w:rPr>
        <w:t>（联合体参与竞争性谈判格式）</w:t>
      </w:r>
    </w:p>
    <w:p>
      <w:pPr>
        <w:spacing w:line="360" w:lineRule="auto"/>
        <w:contextualSpacing/>
        <w:jc w:val="center"/>
        <w:rPr>
          <w:rFonts w:ascii="宋体" w:hAnsi="宋体" w:eastAsia="宋体" w:cs="宋体"/>
          <w:sz w:val="28"/>
          <w:szCs w:val="28"/>
        </w:rPr>
      </w:pPr>
      <w:r>
        <w:rPr>
          <w:rFonts w:hint="eastAsia" w:ascii="宋体" w:hAnsi="宋体" w:eastAsia="宋体" w:cs="宋体"/>
          <w:sz w:val="28"/>
          <w:szCs w:val="28"/>
        </w:rPr>
        <w:t>（如有委托时）</w:t>
      </w:r>
    </w:p>
    <w:p>
      <w:pPr>
        <w:spacing w:line="360" w:lineRule="auto"/>
        <w:contextualSpacing/>
        <w:rPr>
          <w:rFonts w:ascii="宋体" w:hAnsi="宋体" w:eastAsia="宋体" w:cs="宋体"/>
          <w:sz w:val="32"/>
          <w:szCs w:val="32"/>
        </w:rPr>
      </w:pPr>
    </w:p>
    <w:p>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本授权委托书声明：根据</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（牵头人名称）与</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（联合体其他成员名称）签订的《联合体参与竞争性谈判协议书》的内容，</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（牵头人名称）的法定代表人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（姓名）现授权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我方对委托代理人的签字事项负全部责任。</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委托代理人无转委托权，特此委托。</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附：法定代表人身份证明及委托代理人有效身份证正反面复印件</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牵头人法定代表人（签字）：</w:t>
      </w:r>
    </w:p>
    <w:p>
      <w:pPr>
        <w:spacing w:line="360" w:lineRule="auto"/>
        <w:ind w:firstLine="3120" w:firstLineChars="1300"/>
        <w:contextualSpacing/>
        <w:rPr>
          <w:rFonts w:ascii="宋体" w:hAnsi="宋体" w:eastAsia="宋体" w:cs="宋体"/>
          <w:sz w:val="24"/>
          <w:szCs w:val="24"/>
          <w:u w:val="single"/>
        </w:rPr>
      </w:pPr>
      <w:r>
        <w:rPr>
          <w:rFonts w:hint="eastAsia" w:ascii="宋体" w:hAnsi="宋体" w:eastAsia="宋体" w:cs="宋体"/>
          <w:sz w:val="24"/>
          <w:szCs w:val="24"/>
        </w:rPr>
        <w:t>牵头人（公章）：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3840" w:firstLineChars="1600"/>
        <w:contextualSpacing/>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ascii="宋体" w:hAnsi="宋体" w:eastAsia="宋体" w:cs="宋体"/>
          <w:sz w:val="24"/>
          <w:szCs w:val="24"/>
        </w:rPr>
      </w:pPr>
    </w:p>
    <w:p>
      <w:pPr>
        <w:spacing w:line="360" w:lineRule="auto"/>
        <w:ind w:firstLine="3120" w:firstLineChars="1300"/>
        <w:contextualSpacing/>
        <w:rPr>
          <w:rFonts w:ascii="宋体" w:hAnsi="宋体" w:eastAsia="宋体" w:cs="宋体"/>
          <w:sz w:val="24"/>
          <w:szCs w:val="24"/>
          <w:u w:val="single"/>
        </w:rPr>
      </w:pPr>
      <w:r>
        <w:rPr>
          <w:rFonts w:hint="eastAsia" w:ascii="宋体" w:hAnsi="宋体" w:eastAsia="宋体" w:cs="宋体"/>
          <w:sz w:val="24"/>
          <w:szCs w:val="24"/>
        </w:rPr>
        <w:t>被授权人（签字）：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3840" w:firstLineChars="1600"/>
        <w:contextualSpacing/>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ascii="宋体" w:hAnsi="宋体" w:eastAsia="宋体" w:cs="宋体"/>
          <w:sz w:val="24"/>
          <w:szCs w:val="24"/>
        </w:rPr>
      </w:pPr>
    </w:p>
    <w:p>
      <w:pPr>
        <w:spacing w:line="360" w:lineRule="auto"/>
        <w:contextualSpacing/>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rPr>
          <w:rFonts w:ascii="楷体" w:hAnsi="楷体" w:eastAsia="楷体" w:cs="宋体"/>
          <w:sz w:val="24"/>
          <w:szCs w:val="24"/>
        </w:rPr>
      </w:pPr>
      <w:r>
        <w:rPr>
          <w:rFonts w:ascii="楷体" w:hAnsi="楷体" w:eastAsia="楷体" w:cs="宋体"/>
          <w:sz w:val="24"/>
          <w:szCs w:val="24"/>
        </w:rPr>
        <w:t>1.</w:t>
      </w:r>
      <w:r>
        <w:rPr>
          <w:rFonts w:hint="eastAsia" w:ascii="楷体" w:hAnsi="楷体" w:eastAsia="楷体" w:cs="宋体"/>
          <w:sz w:val="24"/>
          <w:szCs w:val="24"/>
        </w:rPr>
        <w:t>法定代表人必须在授权委托书上亲笔签字或者盖章，委托代理人必须在授权委托书上亲笔签字，</w:t>
      </w:r>
      <w:r>
        <w:rPr>
          <w:rFonts w:hint="eastAsia" w:ascii="楷体" w:hAnsi="楷体" w:eastAsia="楷体" w:cs="宋体"/>
          <w:b/>
          <w:bCs/>
          <w:sz w:val="24"/>
          <w:szCs w:val="24"/>
        </w:rPr>
        <w:t>否</w:t>
      </w:r>
      <w:r>
        <w:rPr>
          <w:rFonts w:hint="eastAsia" w:ascii="楷体" w:hAnsi="楷体" w:eastAsia="楷体" w:cs="宋体"/>
          <w:b/>
          <w:sz w:val="24"/>
          <w:szCs w:val="24"/>
        </w:rPr>
        <w:t>则其响应文件按无效响应处理。</w:t>
      </w:r>
    </w:p>
    <w:p>
      <w:pPr>
        <w:spacing w:line="360" w:lineRule="auto"/>
        <w:ind w:firstLine="480" w:firstLineChars="200"/>
        <w:contextualSpacing/>
        <w:jc w:val="left"/>
        <w:rPr>
          <w:rFonts w:ascii="楷体" w:hAnsi="楷体" w:eastAsia="楷体" w:cs="宋体"/>
          <w:sz w:val="24"/>
          <w:szCs w:val="24"/>
        </w:rPr>
      </w:pPr>
      <w:r>
        <w:rPr>
          <w:rFonts w:ascii="楷体" w:hAnsi="楷体" w:eastAsia="楷体" w:cs="宋体"/>
          <w:sz w:val="24"/>
          <w:szCs w:val="24"/>
        </w:rPr>
        <w:t>2.本授权委托书应由联合体牵头人的法定代表人按上述规定签署。</w:t>
      </w:r>
    </w:p>
    <w:p>
      <w:pPr>
        <w:spacing w:line="360" w:lineRule="auto"/>
        <w:ind w:firstLine="480" w:firstLineChars="200"/>
        <w:contextualSpacing/>
        <w:jc w:val="left"/>
        <w:rPr>
          <w:rFonts w:ascii="楷体" w:hAnsi="楷体" w:eastAsia="楷体" w:cs="宋体"/>
          <w:szCs w:val="21"/>
        </w:rPr>
      </w:pPr>
      <w:r>
        <w:rPr>
          <w:rFonts w:ascii="楷体" w:hAnsi="楷体" w:eastAsia="楷体" w:cs="宋体"/>
          <w:sz w:val="24"/>
          <w:szCs w:val="24"/>
        </w:rPr>
        <w:t>3.法人、其他组织</w:t>
      </w:r>
      <w:r>
        <w:rPr>
          <w:rFonts w:hint="eastAsia" w:ascii="楷体" w:hAnsi="楷体" w:eastAsia="楷体" w:cs="宋体"/>
          <w:sz w:val="24"/>
          <w:szCs w:val="24"/>
        </w:rPr>
        <w:t>参与竞争性谈判时“我方”是指“我单位”，自然人参与竞争性谈判时“我方”是指“本人”。</w:t>
      </w:r>
    </w:p>
    <w:p>
      <w:pPr>
        <w:spacing w:line="360" w:lineRule="auto"/>
        <w:jc w:val="center"/>
        <w:rPr>
          <w:rFonts w:ascii="宋体" w:hAnsi="宋体" w:eastAsia="宋体" w:cs="宋体"/>
          <w:b/>
          <w:bCs/>
          <w:sz w:val="44"/>
          <w:szCs w:val="44"/>
        </w:rPr>
      </w:pPr>
      <w:r>
        <w:rPr>
          <w:rFonts w:hint="eastAsia" w:ascii="宋体" w:hAnsi="宋体" w:eastAsia="宋体" w:cs="宋体"/>
          <w:sz w:val="32"/>
          <w:szCs w:val="32"/>
        </w:rPr>
        <w:br w:type="page"/>
      </w:r>
      <w:r>
        <w:rPr>
          <w:rFonts w:hint="eastAsia" w:ascii="宋体" w:hAnsi="宋体" w:eastAsia="宋体" w:cs="宋体"/>
          <w:b/>
          <w:bCs/>
          <w:sz w:val="44"/>
          <w:szCs w:val="44"/>
        </w:rPr>
        <w:t>商务要求偏离表格式</w:t>
      </w:r>
    </w:p>
    <w:p>
      <w:pPr>
        <w:spacing w:line="360" w:lineRule="auto"/>
        <w:jc w:val="center"/>
        <w:rPr>
          <w:rFonts w:ascii="宋体" w:hAnsi="宋体" w:eastAsia="宋体" w:cs="宋体"/>
          <w:b/>
          <w:sz w:val="28"/>
          <w:szCs w:val="28"/>
        </w:rPr>
      </w:pPr>
      <w:r>
        <w:rPr>
          <w:rFonts w:hint="eastAsia" w:ascii="宋体" w:hAnsi="宋体" w:eastAsia="宋体" w:cs="宋体"/>
          <w:bCs/>
          <w:sz w:val="28"/>
          <w:szCs w:val="28"/>
        </w:rPr>
        <w:t>（注：按采购需求具体条款修改）</w:t>
      </w:r>
    </w:p>
    <w:p>
      <w:pPr>
        <w:snapToGrid w:val="0"/>
        <w:spacing w:line="360" w:lineRule="auto"/>
        <w:jc w:val="left"/>
        <w:rPr>
          <w:rFonts w:ascii="宋体" w:hAnsi="宋体" w:eastAsia="宋体" w:cs="宋体"/>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分标号：</w:t>
      </w:r>
      <w:r>
        <w:rPr>
          <w:rFonts w:hint="eastAsia" w:ascii="宋体" w:hAnsi="宋体" w:eastAsia="宋体" w:cs="宋体"/>
          <w:sz w:val="24"/>
          <w:szCs w:val="24"/>
          <w:u w:val="single"/>
        </w:rPr>
        <w:t xml:space="preserve">                       </w:t>
      </w:r>
    </w:p>
    <w:tbl>
      <w:tblPr>
        <w:tblStyle w:val="22"/>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r>
              <w:rPr>
                <w:rFonts w:hint="eastAsia" w:ascii="宋体" w:hAnsi="宋体" w:eastAsia="宋体" w:cs="宋体"/>
                <w:sz w:val="24"/>
                <w:szCs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r>
              <w:rPr>
                <w:rFonts w:hint="eastAsia" w:ascii="宋体" w:hAnsi="宋体" w:eastAsia="宋体" w:cs="宋体"/>
                <w:sz w:val="24"/>
                <w:szCs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宋体"/>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宋体"/>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r>
              <w:rPr>
                <w:rFonts w:hint="eastAsia" w:ascii="宋体" w:hAnsi="宋体" w:eastAsia="宋体" w:cs="宋体"/>
                <w:sz w:val="24"/>
                <w:szCs w:val="24"/>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eastAsia="宋体" w:cs="宋体"/>
                <w:sz w:val="24"/>
                <w:szCs w:val="24"/>
              </w:rPr>
            </w:pPr>
          </w:p>
        </w:tc>
      </w:tr>
    </w:tbl>
    <w:p>
      <w:pPr>
        <w:spacing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 xml:space="preserve">1.说明：应对照谈判文件“第三章 </w:t>
      </w:r>
      <w:r>
        <w:rPr>
          <w:rFonts w:hint="eastAsia" w:ascii="楷体" w:hAnsi="楷体" w:eastAsia="楷体" w:cs="宋体"/>
          <w:kern w:val="0"/>
          <w:sz w:val="24"/>
          <w:szCs w:val="24"/>
        </w:rPr>
        <w:t>采购需求”中的商务要求逐条明确响应，并作出偏离说明。</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eastAsia="宋体" w:cs="宋体"/>
          <w:sz w:val="24"/>
          <w:szCs w:val="24"/>
          <w:u w:val="single"/>
        </w:rPr>
      </w:pPr>
    </w:p>
    <w:p>
      <w:pPr>
        <w:spacing w:line="360" w:lineRule="auto"/>
        <w:contextualSpacing/>
        <w:jc w:val="left"/>
        <w:rPr>
          <w:rFonts w:ascii="宋体" w:hAnsi="宋体" w:eastAsia="宋体" w:cs="宋体"/>
          <w:sz w:val="24"/>
          <w:szCs w:val="24"/>
          <w:u w:val="single"/>
        </w:rPr>
      </w:pPr>
    </w:p>
    <w:p>
      <w:pPr>
        <w:spacing w:line="360" w:lineRule="auto"/>
        <w:contextualSpacing/>
        <w:rPr>
          <w:rFonts w:ascii="宋体" w:hAnsi="宋体" w:eastAsia="宋体" w:cs="宋体"/>
          <w:sz w:val="24"/>
          <w:szCs w:val="24"/>
        </w:rPr>
      </w:pPr>
    </w:p>
    <w:p>
      <w:pPr>
        <w:spacing w:line="360" w:lineRule="auto"/>
        <w:contextualSpacing/>
        <w:jc w:val="center"/>
        <w:rPr>
          <w:rFonts w:ascii="宋体" w:hAnsi="宋体" w:eastAsia="宋体" w:cs="宋体"/>
          <w:sz w:val="24"/>
          <w:szCs w:val="24"/>
          <w:u w:val="single"/>
        </w:rPr>
      </w:pP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3240" w:firstLineChars="135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3240" w:firstLineChars="1350"/>
        <w:contextualSpacing/>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adjustRightInd w:val="0"/>
        <w:snapToGrid w:val="0"/>
        <w:spacing w:line="360" w:lineRule="auto"/>
        <w:ind w:firstLine="7040" w:firstLineChars="1600"/>
        <w:jc w:val="center"/>
        <w:rPr>
          <w:rFonts w:ascii="宋体" w:hAnsi="宋体" w:eastAsia="宋体" w:cs="宋体"/>
          <w:bCs/>
          <w:sz w:val="44"/>
          <w:szCs w:val="44"/>
        </w:rPr>
      </w:pPr>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Cs/>
          <w:sz w:val="44"/>
          <w:szCs w:val="44"/>
        </w:rPr>
        <w:br w:type="page"/>
      </w:r>
      <w:r>
        <w:rPr>
          <w:rFonts w:hint="eastAsia" w:ascii="宋体" w:hAnsi="宋体" w:eastAsia="宋体" w:cs="宋体"/>
          <w:b/>
          <w:bCs/>
          <w:sz w:val="44"/>
          <w:szCs w:val="44"/>
        </w:rPr>
        <w:t>货物配置清单</w:t>
      </w:r>
    </w:p>
    <w:p>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所竞分标（如有）：</w:t>
      </w:r>
      <w:r>
        <w:rPr>
          <w:rFonts w:hint="eastAsia" w:ascii="宋体" w:hAnsi="宋体" w:eastAsia="宋体" w:cs="宋体"/>
          <w:sz w:val="24"/>
          <w:szCs w:val="24"/>
          <w:u w:val="single"/>
        </w:rPr>
        <w:t xml:space="preserve">                 </w:t>
      </w:r>
    </w:p>
    <w:tbl>
      <w:tblPr>
        <w:tblStyle w:val="22"/>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货物名称</w:t>
            </w: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r>
              <w:rPr>
                <w:rFonts w:hint="eastAsia" w:ascii="宋体" w:hAnsi="宋体" w:eastAsia="宋体" w:cs="宋体"/>
                <w:sz w:val="24"/>
                <w:szCs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1854"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c>
          <w:tcPr>
            <w:tcW w:w="79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sz w:val="24"/>
                <w:szCs w:val="24"/>
              </w:rPr>
            </w:pPr>
          </w:p>
        </w:tc>
      </w:tr>
    </w:tbl>
    <w:p>
      <w:pPr>
        <w:spacing w:line="360" w:lineRule="auto"/>
        <w:contextualSpacing/>
        <w:rPr>
          <w:rFonts w:ascii="楷体" w:hAnsi="楷体" w:eastAsia="楷体" w:cs="宋体"/>
          <w:b/>
          <w:sz w:val="24"/>
          <w:szCs w:val="24"/>
        </w:rPr>
      </w:pPr>
      <w:r>
        <w:rPr>
          <w:rFonts w:hint="eastAsia" w:ascii="楷体" w:hAnsi="楷体" w:eastAsia="楷体" w:cs="宋体"/>
          <w:b/>
          <w:sz w:val="24"/>
          <w:szCs w:val="24"/>
        </w:rPr>
        <w:t>备注：</w:t>
      </w:r>
    </w:p>
    <w:p>
      <w:pPr>
        <w:tabs>
          <w:tab w:val="left" w:pos="1065"/>
        </w:tabs>
        <w:adjustRightInd w:val="0"/>
        <w:spacing w:line="360" w:lineRule="auto"/>
        <w:ind w:firstLine="482" w:firstLineChars="200"/>
        <w:contextualSpacing/>
        <w:rPr>
          <w:rFonts w:ascii="楷体" w:hAnsi="楷体" w:eastAsia="楷体" w:cs="宋体"/>
          <w:sz w:val="24"/>
          <w:szCs w:val="24"/>
        </w:rPr>
      </w:pPr>
      <w:r>
        <w:rPr>
          <w:rFonts w:hint="eastAsia" w:ascii="楷体" w:hAnsi="楷体" w:eastAsia="楷体" w:cs="宋体"/>
          <w:b/>
          <w:bCs/>
          <w:sz w:val="24"/>
          <w:szCs w:val="24"/>
        </w:rPr>
        <w:t>以上货物配置清单中“货物名称、数量、单位、品牌、型号、生产厂家、产地、参数性能、指标及配置”必须如实填写完整，定制产品在型号栏中填写“定制”。填写有缺漏的，响应文件按无效响应处理</w:t>
      </w:r>
      <w:r>
        <w:rPr>
          <w:rFonts w:hint="eastAsia" w:ascii="楷体" w:hAnsi="楷体" w:eastAsia="楷体" w:cs="宋体"/>
          <w:b/>
          <w:sz w:val="24"/>
          <w:szCs w:val="24"/>
        </w:rPr>
        <w:t>。</w:t>
      </w:r>
      <w:r>
        <w:rPr>
          <w:rFonts w:hint="eastAsia" w:ascii="楷体" w:hAnsi="楷体" w:eastAsia="楷体" w:cs="宋体"/>
          <w:sz w:val="24"/>
          <w:szCs w:val="24"/>
        </w:rPr>
        <w:t>货物名称、数量、单位、品牌等必须与“</w:t>
      </w:r>
      <w:r>
        <w:rPr>
          <w:rFonts w:hint="eastAsia" w:ascii="楷体" w:hAnsi="楷体" w:eastAsia="楷体" w:cs="宋体"/>
          <w:sz w:val="24"/>
          <w:szCs w:val="24"/>
          <w:lang w:bidi="ar"/>
        </w:rPr>
        <w:t>竞争性谈判</w:t>
      </w:r>
      <w:r>
        <w:rPr>
          <w:rFonts w:hint="eastAsia" w:ascii="楷体" w:hAnsi="楷体" w:eastAsia="楷体" w:cs="宋体"/>
          <w:sz w:val="24"/>
          <w:szCs w:val="24"/>
        </w:rPr>
        <w:t>报价表”一致，</w:t>
      </w:r>
      <w:r>
        <w:rPr>
          <w:rFonts w:hint="eastAsia" w:ascii="楷体" w:hAnsi="楷体" w:eastAsia="楷体" w:cs="宋体"/>
          <w:bCs/>
          <w:sz w:val="24"/>
          <w:szCs w:val="24"/>
        </w:rPr>
        <w:t>否则响应文件按无效响应处理</w:t>
      </w:r>
      <w:r>
        <w:rPr>
          <w:rFonts w:hint="eastAsia" w:ascii="楷体" w:hAnsi="楷体" w:eastAsia="楷体" w:cs="宋体"/>
          <w:b/>
          <w:sz w:val="24"/>
          <w:szCs w:val="24"/>
        </w:rPr>
        <w:t>。</w:t>
      </w:r>
      <w:r>
        <w:rPr>
          <w:rFonts w:ascii="楷体" w:hAnsi="楷体" w:eastAsia="楷体" w:cs="宋体"/>
          <w:sz w:val="24"/>
          <w:szCs w:val="24"/>
        </w:rPr>
        <w:tab/>
      </w:r>
    </w:p>
    <w:p>
      <w:pPr>
        <w:adjustRightInd w:val="0"/>
        <w:spacing w:line="360" w:lineRule="auto"/>
        <w:contextualSpacing/>
        <w:jc w:val="left"/>
        <w:rPr>
          <w:rFonts w:ascii="宋体" w:hAnsi="宋体" w:eastAsia="宋体" w:cs="宋体"/>
          <w:sz w:val="24"/>
          <w:szCs w:val="24"/>
        </w:rPr>
      </w:pPr>
    </w:p>
    <w:p>
      <w:pPr>
        <w:adjustRightInd w:val="0"/>
        <w:spacing w:line="360" w:lineRule="auto"/>
        <w:contextualSpacing/>
        <w:jc w:val="left"/>
        <w:rPr>
          <w:rFonts w:ascii="宋体" w:hAnsi="宋体" w:eastAsia="宋体" w:cs="宋体"/>
          <w:sz w:val="24"/>
          <w:szCs w:val="24"/>
        </w:rPr>
      </w:pPr>
    </w:p>
    <w:p>
      <w:pPr>
        <w:adjustRightInd w:val="0"/>
        <w:spacing w:line="360" w:lineRule="auto"/>
        <w:contextualSpacing/>
        <w:jc w:val="left"/>
        <w:rPr>
          <w:rFonts w:ascii="宋体" w:hAnsi="宋体" w:eastAsia="宋体" w:cs="宋体"/>
          <w:sz w:val="24"/>
          <w:szCs w:val="24"/>
        </w:rPr>
      </w:pPr>
    </w:p>
    <w:p>
      <w:pPr>
        <w:spacing w:line="360" w:lineRule="auto"/>
        <w:contextualSpacing/>
        <w:jc w:val="center"/>
        <w:rPr>
          <w:rFonts w:ascii="宋体" w:hAnsi="宋体" w:eastAsia="宋体" w:cs="宋体"/>
          <w:sz w:val="24"/>
          <w:szCs w:val="24"/>
          <w:u w:val="single"/>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3240" w:firstLineChars="135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3240" w:firstLineChars="1350"/>
        <w:contextualSpacing/>
        <w:rPr>
          <w:rFonts w:ascii="宋体" w:hAnsi="宋体" w:eastAsia="宋体" w:cs="宋体"/>
          <w:szCs w:val="21"/>
          <w:u w:val="single"/>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jc w:val="center"/>
        <w:rPr>
          <w:rFonts w:ascii="宋体" w:hAnsi="宋体" w:eastAsia="宋体" w:cs="宋体"/>
          <w:b/>
          <w:bCs/>
          <w:sz w:val="44"/>
          <w:szCs w:val="44"/>
        </w:rPr>
      </w:pPr>
      <w:r>
        <w:rPr>
          <w:rFonts w:hint="eastAsia" w:ascii="宋体" w:hAnsi="宋体" w:eastAsia="宋体" w:cs="宋体"/>
          <w:bCs/>
          <w:sz w:val="44"/>
          <w:szCs w:val="44"/>
        </w:rPr>
        <w:br w:type="page"/>
      </w:r>
      <w:r>
        <w:rPr>
          <w:rFonts w:hint="eastAsia" w:ascii="宋体" w:hAnsi="宋体" w:eastAsia="宋体" w:cs="宋体"/>
          <w:b/>
          <w:bCs/>
          <w:sz w:val="44"/>
          <w:szCs w:val="44"/>
        </w:rPr>
        <w:t>技术要求偏离表</w:t>
      </w:r>
    </w:p>
    <w:p>
      <w:pPr>
        <w:spacing w:line="360" w:lineRule="auto"/>
        <w:rPr>
          <w:rFonts w:ascii="宋体" w:hAnsi="宋体" w:eastAsia="宋体" w:cs="宋体"/>
          <w:sz w:val="32"/>
          <w:szCs w:val="32"/>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分标号：</w:t>
      </w:r>
      <w:r>
        <w:rPr>
          <w:rFonts w:hint="eastAsia" w:ascii="宋体" w:hAnsi="宋体" w:eastAsia="宋体" w:cs="宋体"/>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4"/>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502" w:type="pct"/>
            <w:tcBorders>
              <w:right w:val="single" w:color="auto" w:sz="4" w:space="0"/>
            </w:tcBorders>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货物名称</w:t>
            </w:r>
          </w:p>
        </w:tc>
        <w:tc>
          <w:tcPr>
            <w:tcW w:w="1670" w:type="pct"/>
            <w:tcBorders>
              <w:left w:val="single" w:color="auto" w:sz="4" w:space="0"/>
            </w:tcBorders>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技术要求</w:t>
            </w:r>
          </w:p>
        </w:tc>
        <w:tc>
          <w:tcPr>
            <w:tcW w:w="1503"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竞争性谈判响应</w:t>
            </w:r>
          </w:p>
        </w:tc>
        <w:tc>
          <w:tcPr>
            <w:tcW w:w="820"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1</w:t>
            </w:r>
          </w:p>
        </w:tc>
        <w:tc>
          <w:tcPr>
            <w:tcW w:w="502" w:type="pct"/>
            <w:tcBorders>
              <w:right w:val="single" w:color="auto" w:sz="4" w:space="0"/>
            </w:tcBorders>
            <w:vAlign w:val="center"/>
          </w:tcPr>
          <w:p>
            <w:pPr>
              <w:spacing w:line="500" w:lineRule="exact"/>
              <w:jc w:val="center"/>
              <w:rPr>
                <w:rFonts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ascii="宋体" w:hAnsi="宋体" w:eastAsia="宋体" w:cs="宋体"/>
                <w:sz w:val="24"/>
                <w:szCs w:val="24"/>
              </w:rPr>
            </w:pPr>
          </w:p>
        </w:tc>
        <w:tc>
          <w:tcPr>
            <w:tcW w:w="1503" w:type="pct"/>
            <w:vAlign w:val="center"/>
          </w:tcPr>
          <w:p>
            <w:pPr>
              <w:spacing w:line="500" w:lineRule="exact"/>
              <w:jc w:val="center"/>
              <w:rPr>
                <w:rFonts w:ascii="宋体" w:hAnsi="宋体" w:eastAsia="宋体" w:cs="宋体"/>
                <w:sz w:val="24"/>
                <w:szCs w:val="24"/>
              </w:rPr>
            </w:pPr>
          </w:p>
        </w:tc>
        <w:tc>
          <w:tcPr>
            <w:tcW w:w="820" w:type="pct"/>
            <w:vAlign w:val="center"/>
          </w:tcPr>
          <w:p>
            <w:pPr>
              <w:spacing w:line="5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2</w:t>
            </w:r>
          </w:p>
        </w:tc>
        <w:tc>
          <w:tcPr>
            <w:tcW w:w="502" w:type="pct"/>
            <w:tcBorders>
              <w:right w:val="single" w:color="auto" w:sz="4" w:space="0"/>
            </w:tcBorders>
            <w:vAlign w:val="center"/>
          </w:tcPr>
          <w:p>
            <w:pPr>
              <w:spacing w:line="500" w:lineRule="exact"/>
              <w:jc w:val="center"/>
              <w:rPr>
                <w:rFonts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ascii="宋体" w:hAnsi="宋体" w:eastAsia="宋体" w:cs="宋体"/>
                <w:sz w:val="24"/>
                <w:szCs w:val="24"/>
              </w:rPr>
            </w:pPr>
          </w:p>
        </w:tc>
        <w:tc>
          <w:tcPr>
            <w:tcW w:w="1503" w:type="pct"/>
            <w:vAlign w:val="center"/>
          </w:tcPr>
          <w:p>
            <w:pPr>
              <w:spacing w:line="500" w:lineRule="exact"/>
              <w:jc w:val="center"/>
              <w:rPr>
                <w:rFonts w:ascii="宋体" w:hAnsi="宋体" w:eastAsia="宋体" w:cs="宋体"/>
                <w:sz w:val="24"/>
                <w:szCs w:val="24"/>
              </w:rPr>
            </w:pPr>
          </w:p>
        </w:tc>
        <w:tc>
          <w:tcPr>
            <w:tcW w:w="820" w:type="pct"/>
            <w:vAlign w:val="center"/>
          </w:tcPr>
          <w:p>
            <w:pPr>
              <w:spacing w:line="5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3</w:t>
            </w:r>
          </w:p>
        </w:tc>
        <w:tc>
          <w:tcPr>
            <w:tcW w:w="502" w:type="pct"/>
            <w:tcBorders>
              <w:right w:val="single" w:color="auto" w:sz="4" w:space="0"/>
            </w:tcBorders>
            <w:vAlign w:val="center"/>
          </w:tcPr>
          <w:p>
            <w:pPr>
              <w:spacing w:line="500" w:lineRule="exact"/>
              <w:jc w:val="center"/>
              <w:rPr>
                <w:rFonts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ascii="宋体" w:hAnsi="宋体" w:eastAsia="宋体" w:cs="宋体"/>
                <w:sz w:val="24"/>
                <w:szCs w:val="24"/>
              </w:rPr>
            </w:pPr>
          </w:p>
        </w:tc>
        <w:tc>
          <w:tcPr>
            <w:tcW w:w="1503" w:type="pct"/>
            <w:vAlign w:val="center"/>
          </w:tcPr>
          <w:p>
            <w:pPr>
              <w:spacing w:line="500" w:lineRule="exact"/>
              <w:jc w:val="center"/>
              <w:rPr>
                <w:rFonts w:ascii="宋体" w:hAnsi="宋体" w:eastAsia="宋体" w:cs="宋体"/>
                <w:sz w:val="24"/>
                <w:szCs w:val="24"/>
              </w:rPr>
            </w:pPr>
          </w:p>
        </w:tc>
        <w:tc>
          <w:tcPr>
            <w:tcW w:w="820" w:type="pct"/>
            <w:vAlign w:val="center"/>
          </w:tcPr>
          <w:p>
            <w:pPr>
              <w:spacing w:line="5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w:t>
            </w:r>
          </w:p>
        </w:tc>
        <w:tc>
          <w:tcPr>
            <w:tcW w:w="502" w:type="pct"/>
            <w:tcBorders>
              <w:right w:val="single" w:color="auto" w:sz="4" w:space="0"/>
            </w:tcBorders>
            <w:vAlign w:val="center"/>
          </w:tcPr>
          <w:p>
            <w:pPr>
              <w:spacing w:line="500" w:lineRule="exact"/>
              <w:jc w:val="center"/>
              <w:rPr>
                <w:rFonts w:ascii="宋体" w:hAnsi="宋体" w:eastAsia="宋体" w:cs="宋体"/>
                <w:sz w:val="24"/>
                <w:szCs w:val="24"/>
              </w:rPr>
            </w:pPr>
          </w:p>
        </w:tc>
        <w:tc>
          <w:tcPr>
            <w:tcW w:w="1670" w:type="pct"/>
            <w:tcBorders>
              <w:left w:val="single" w:color="auto" w:sz="4" w:space="0"/>
            </w:tcBorders>
            <w:vAlign w:val="center"/>
          </w:tcPr>
          <w:p>
            <w:pPr>
              <w:spacing w:line="500" w:lineRule="exact"/>
              <w:jc w:val="center"/>
              <w:rPr>
                <w:rFonts w:ascii="宋体" w:hAnsi="宋体" w:eastAsia="宋体" w:cs="宋体"/>
                <w:sz w:val="24"/>
                <w:szCs w:val="24"/>
              </w:rPr>
            </w:pPr>
          </w:p>
        </w:tc>
        <w:tc>
          <w:tcPr>
            <w:tcW w:w="1503" w:type="pct"/>
            <w:vAlign w:val="center"/>
          </w:tcPr>
          <w:p>
            <w:pPr>
              <w:spacing w:line="500" w:lineRule="exact"/>
              <w:jc w:val="center"/>
              <w:rPr>
                <w:rFonts w:ascii="宋体" w:hAnsi="宋体" w:eastAsia="宋体" w:cs="宋体"/>
                <w:sz w:val="24"/>
                <w:szCs w:val="24"/>
              </w:rPr>
            </w:pPr>
          </w:p>
        </w:tc>
        <w:tc>
          <w:tcPr>
            <w:tcW w:w="820" w:type="pct"/>
            <w:tcBorders>
              <w:right w:val="single" w:color="auto" w:sz="4" w:space="0"/>
            </w:tcBorders>
            <w:vAlign w:val="center"/>
          </w:tcPr>
          <w:p>
            <w:pPr>
              <w:spacing w:line="500" w:lineRule="exact"/>
              <w:jc w:val="center"/>
              <w:rPr>
                <w:rFonts w:ascii="宋体" w:hAnsi="宋体" w:eastAsia="宋体" w:cs="宋体"/>
                <w:sz w:val="24"/>
                <w:szCs w:val="24"/>
              </w:rPr>
            </w:pPr>
          </w:p>
        </w:tc>
      </w:tr>
    </w:tbl>
    <w:p>
      <w:pPr>
        <w:spacing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1.</w:t>
      </w:r>
      <w:r>
        <w:rPr>
          <w:rFonts w:hint="eastAsia" w:ascii="楷体" w:hAnsi="楷体" w:eastAsia="楷体" w:cs="宋体"/>
          <w:kern w:val="0"/>
          <w:sz w:val="24"/>
          <w:szCs w:val="24"/>
        </w:rPr>
        <w:t>说明：应对照谈判文件“第三章</w:t>
      </w:r>
      <w:r>
        <w:rPr>
          <w:rFonts w:ascii="楷体" w:hAnsi="楷体" w:eastAsia="楷体" w:cs="宋体"/>
          <w:kern w:val="0"/>
          <w:sz w:val="24"/>
          <w:szCs w:val="24"/>
        </w:rPr>
        <w:t xml:space="preserve"> </w:t>
      </w:r>
      <w:r>
        <w:rPr>
          <w:rFonts w:hint="eastAsia" w:ascii="楷体" w:hAnsi="楷体" w:eastAsia="楷体" w:cs="宋体"/>
          <w:kern w:val="0"/>
          <w:sz w:val="24"/>
          <w:szCs w:val="24"/>
        </w:rPr>
        <w:t>采购需求”中的技术要求逐条实质性响应，并作出偏离说明。</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2.供应商应根据</w:t>
      </w:r>
      <w:r>
        <w:rPr>
          <w:rFonts w:hint="eastAsia" w:ascii="楷体" w:hAnsi="楷体" w:eastAsia="楷体" w:cs="宋体"/>
          <w:kern w:val="0"/>
          <w:sz w:val="24"/>
          <w:szCs w:val="24"/>
        </w:rPr>
        <w:t>其参与</w:t>
      </w:r>
      <w:r>
        <w:rPr>
          <w:rFonts w:hint="eastAsia" w:ascii="楷体" w:hAnsi="楷体" w:eastAsia="楷体" w:cs="宋体"/>
          <w:kern w:val="0"/>
          <w:sz w:val="24"/>
          <w:szCs w:val="20"/>
          <w:lang w:bidi="ar"/>
        </w:rPr>
        <w:t>竞争性谈判</w:t>
      </w:r>
      <w:r>
        <w:rPr>
          <w:rFonts w:hint="eastAsia" w:ascii="楷体" w:hAnsi="楷体" w:eastAsia="楷体" w:cs="宋体"/>
          <w:kern w:val="0"/>
          <w:sz w:val="24"/>
          <w:szCs w:val="24"/>
        </w:rPr>
        <w:t>设备的性能指标，对照谈判文件要求，在“偏离说明”中注明“正偏离”、“负偏离”或者“无偏离”。既不属于“正偏离”也不属于“负偏离”即为“无偏离”。</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3.供应商认为其</w:t>
      </w:r>
      <w:r>
        <w:rPr>
          <w:rFonts w:hint="eastAsia" w:ascii="楷体" w:hAnsi="楷体" w:eastAsia="楷体" w:cs="宋体"/>
          <w:kern w:val="0"/>
          <w:sz w:val="24"/>
          <w:szCs w:val="20"/>
          <w:lang w:bidi="ar"/>
        </w:rPr>
        <w:t>竞争性谈判</w:t>
      </w:r>
      <w:r>
        <w:rPr>
          <w:rFonts w:hint="eastAsia" w:ascii="楷体" w:hAnsi="楷体" w:eastAsia="楷体" w:cs="宋体"/>
          <w:kern w:val="0"/>
          <w:sz w:val="24"/>
          <w:szCs w:val="24"/>
        </w:rPr>
        <w:t>响应有正偏离的，请在技术要求偏离表中列明，且在响应文件中提供参与</w:t>
      </w:r>
      <w:r>
        <w:rPr>
          <w:rFonts w:hint="eastAsia" w:ascii="楷体" w:hAnsi="楷体" w:eastAsia="楷体" w:cs="宋体"/>
          <w:kern w:val="0"/>
          <w:sz w:val="24"/>
          <w:szCs w:val="20"/>
          <w:lang w:bidi="ar"/>
        </w:rPr>
        <w:t>竞争性谈判</w:t>
      </w:r>
      <w:r>
        <w:rPr>
          <w:rFonts w:hint="eastAsia" w:ascii="楷体" w:hAnsi="楷体" w:eastAsia="楷体" w:cs="宋体"/>
          <w:kern w:val="0"/>
          <w:sz w:val="24"/>
          <w:szCs w:val="24"/>
        </w:rPr>
        <w:t>产品的彩页或国家认可有资质的第三方检测机构出具的检测报告复印件或产品生产厂家出具的技术参数说明证明作为佐证，以上佐证材料均需加盖生产厂家或代理商（附生产厂家授权资料）公章。</w:t>
      </w:r>
    </w:p>
    <w:p>
      <w:pPr>
        <w:spacing w:line="360" w:lineRule="auto"/>
        <w:ind w:firstLine="480" w:firstLineChars="200"/>
        <w:contextualSpacing/>
        <w:rPr>
          <w:rFonts w:ascii="楷体" w:hAnsi="楷体" w:eastAsia="楷体" w:cs="宋体"/>
          <w:kern w:val="0"/>
          <w:sz w:val="24"/>
          <w:szCs w:val="24"/>
        </w:rPr>
      </w:pPr>
      <w:r>
        <w:rPr>
          <w:rFonts w:ascii="楷体" w:hAnsi="楷体" w:eastAsia="楷体" w:cs="宋体"/>
          <w:kern w:val="0"/>
          <w:sz w:val="24"/>
          <w:szCs w:val="24"/>
        </w:rPr>
        <w:t>4.</w:t>
      </w:r>
      <w:r>
        <w:rPr>
          <w:rFonts w:hint="eastAsia" w:ascii="楷体" w:hAnsi="楷体" w:eastAsia="楷体" w:cs="宋体"/>
          <w:kern w:val="0"/>
          <w:sz w:val="24"/>
          <w:szCs w:val="24"/>
        </w:rPr>
        <w:t>如技术要求偏离表中的</w:t>
      </w:r>
      <w:r>
        <w:rPr>
          <w:rFonts w:hint="eastAsia" w:ascii="楷体" w:hAnsi="楷体" w:eastAsia="楷体" w:cs="宋体"/>
          <w:kern w:val="0"/>
          <w:sz w:val="24"/>
          <w:szCs w:val="20"/>
          <w:lang w:bidi="ar"/>
        </w:rPr>
        <w:t>竞争性谈判</w:t>
      </w:r>
      <w:r>
        <w:rPr>
          <w:rFonts w:hint="eastAsia" w:ascii="楷体" w:hAnsi="楷体" w:eastAsia="楷体" w:cs="宋体"/>
          <w:kern w:val="0"/>
          <w:sz w:val="24"/>
          <w:szCs w:val="24"/>
        </w:rPr>
        <w:t>响应与佐证材料不一致的，以佐证材料为准。</w:t>
      </w:r>
    </w:p>
    <w:p>
      <w:pPr>
        <w:spacing w:line="360" w:lineRule="auto"/>
        <w:contextualSpacing/>
        <w:rPr>
          <w:rFonts w:ascii="宋体" w:hAnsi="宋体" w:eastAsia="宋体" w:cs="宋体"/>
          <w:kern w:val="0"/>
          <w:sz w:val="24"/>
          <w:szCs w:val="24"/>
        </w:rPr>
      </w:pPr>
    </w:p>
    <w:p>
      <w:pPr>
        <w:spacing w:line="360" w:lineRule="auto"/>
        <w:contextualSpacing/>
        <w:rPr>
          <w:rFonts w:ascii="宋体" w:hAnsi="宋体" w:eastAsia="宋体" w:cs="宋体"/>
          <w:sz w:val="24"/>
          <w:szCs w:val="24"/>
        </w:rPr>
      </w:pPr>
    </w:p>
    <w:p>
      <w:pPr>
        <w:spacing w:line="360" w:lineRule="auto"/>
        <w:contextualSpacing/>
        <w:jc w:val="center"/>
        <w:rPr>
          <w:rFonts w:ascii="宋体" w:hAnsi="宋体" w:eastAsia="宋体" w:cs="宋体"/>
          <w:sz w:val="24"/>
          <w:szCs w:val="24"/>
          <w:u w:val="single"/>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法定代表人或者委托代理人（签字）：</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2880" w:firstLineChars="1200"/>
        <w:contextualSpacing/>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2880" w:firstLineChars="1200"/>
        <w:contextualSpacing/>
        <w:rPr>
          <w:rFonts w:ascii="宋体" w:hAnsi="宋体" w:eastAsia="宋体" w:cs="宋体"/>
          <w:sz w:val="32"/>
          <w:szCs w:val="32"/>
        </w:rPr>
      </w:pPr>
      <w:r>
        <w:rPr>
          <w:rFonts w:hint="eastAsia" w:ascii="宋体" w:hAnsi="宋体" w:eastAsia="宋体" w:cs="宋体"/>
          <w:sz w:val="24"/>
          <w:szCs w:val="24"/>
        </w:rPr>
        <w:t>日期：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rPr>
          <w:rFonts w:ascii="宋体" w:hAnsi="宋体" w:eastAsia="宋体" w:cs="宋体"/>
          <w:szCs w:val="21"/>
        </w:rPr>
      </w:pPr>
      <w:r>
        <w:rPr>
          <w:rFonts w:hint="eastAsia" w:ascii="宋体" w:hAnsi="宋体" w:eastAsia="宋体" w:cs="宋体"/>
          <w:b/>
          <w:bCs/>
          <w:sz w:val="24"/>
          <w:szCs w:val="24"/>
        </w:rPr>
        <w:br w:type="page"/>
      </w:r>
      <w:r>
        <w:rPr>
          <w:rFonts w:hint="eastAsia" w:ascii="宋体" w:hAnsi="宋体" w:eastAsia="宋体" w:cs="宋体"/>
          <w:b/>
          <w:bCs/>
          <w:sz w:val="24"/>
          <w:szCs w:val="24"/>
        </w:rPr>
        <w:t>其他文书、文件格式</w:t>
      </w:r>
    </w:p>
    <w:p>
      <w:pPr>
        <w:adjustRightInd w:val="0"/>
        <w:snapToGrid w:val="0"/>
        <w:spacing w:line="360" w:lineRule="auto"/>
        <w:jc w:val="center"/>
        <w:rPr>
          <w:rFonts w:ascii="宋体" w:hAnsi="宋体" w:eastAsia="宋体" w:cs="宋体"/>
          <w:b/>
          <w:bCs/>
          <w:sz w:val="44"/>
          <w:szCs w:val="44"/>
        </w:rPr>
      </w:pPr>
      <w:bookmarkStart w:id="32" w:name="_Toc71365383"/>
      <w:bookmarkStart w:id="33" w:name="_Toc71366061"/>
      <w:r>
        <w:rPr>
          <w:rFonts w:hint="eastAsia" w:ascii="宋体" w:hAnsi="宋体" w:eastAsia="宋体" w:cs="宋体"/>
          <w:b/>
          <w:bCs/>
          <w:sz w:val="44"/>
          <w:szCs w:val="44"/>
        </w:rPr>
        <w:t>中小企业声明函（货物）</w:t>
      </w:r>
      <w:bookmarkEnd w:id="32"/>
      <w:bookmarkEnd w:id="33"/>
    </w:p>
    <w:p>
      <w:pPr>
        <w:spacing w:line="360" w:lineRule="auto"/>
        <w:rPr>
          <w:rFonts w:ascii="宋体" w:hAnsi="宋体" w:eastAsia="宋体" w:cs="宋体"/>
          <w:szCs w:val="24"/>
        </w:rPr>
      </w:pPr>
    </w:p>
    <w:p>
      <w:pPr>
        <w:spacing w:line="360" w:lineRule="auto"/>
        <w:ind w:firstLine="640"/>
        <w:contextualSpacing/>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firstLine="655"/>
        <w:contextualSpacing/>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tabs>
          <w:tab w:val="left" w:pos="1065"/>
          <w:tab w:val="left" w:pos="6477"/>
        </w:tabs>
        <w:spacing w:line="360" w:lineRule="auto"/>
        <w:ind w:firstLine="655"/>
        <w:contextualSpacing/>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53" w:firstLineChars="189"/>
        <w:contextualSpacing/>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567"/>
        <w:contextualSpacing/>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contextualSpacing/>
        <w:rPr>
          <w:rFonts w:ascii="宋体" w:hAnsi="宋体" w:eastAsia="宋体" w:cs="宋体"/>
          <w:sz w:val="24"/>
          <w:szCs w:val="24"/>
        </w:rPr>
      </w:pPr>
    </w:p>
    <w:p>
      <w:pPr>
        <w:spacing w:line="360" w:lineRule="auto"/>
        <w:ind w:firstLine="3360" w:firstLineChars="1400"/>
        <w:contextualSpacing/>
        <w:rPr>
          <w:rFonts w:ascii="宋体" w:hAnsi="宋体" w:eastAsia="宋体" w:cs="宋体"/>
          <w:sz w:val="24"/>
          <w:szCs w:val="24"/>
        </w:rPr>
      </w:pPr>
      <w:r>
        <w:rPr>
          <w:rFonts w:hint="eastAsia" w:ascii="宋体" w:hAnsi="宋体" w:eastAsia="宋体" w:cs="宋体"/>
          <w:sz w:val="24"/>
          <w:szCs w:val="24"/>
        </w:rPr>
        <w:t>企业名称（公章）：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3360" w:firstLineChars="1400"/>
        <w:contextualSpacing/>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ascii="宋体" w:hAnsi="宋体" w:eastAsia="宋体" w:cs="宋体"/>
          <w:szCs w:val="24"/>
        </w:rPr>
      </w:pPr>
    </w:p>
    <w:p>
      <w:pPr>
        <w:spacing w:line="360" w:lineRule="auto"/>
        <w:contextualSpacing/>
        <w:jc w:val="left"/>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jc w:val="left"/>
        <w:rPr>
          <w:rFonts w:ascii="楷体" w:hAnsi="楷体" w:eastAsia="楷体" w:cs="宋体"/>
          <w:sz w:val="24"/>
          <w:szCs w:val="24"/>
        </w:rPr>
      </w:pPr>
      <w:r>
        <w:rPr>
          <w:rFonts w:hint="eastAsia" w:ascii="楷体" w:hAnsi="楷体" w:eastAsia="楷体" w:cs="宋体"/>
          <w:sz w:val="24"/>
          <w:szCs w:val="24"/>
        </w:rPr>
        <w:t>享受《政府采购促进中小企业发展管理办法》（财库〔</w:t>
      </w:r>
      <w:r>
        <w:rPr>
          <w:rFonts w:ascii="楷体" w:hAnsi="楷体" w:eastAsia="楷体" w:cs="宋体"/>
          <w:sz w:val="24"/>
          <w:szCs w:val="24"/>
        </w:rPr>
        <w:t>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宋体" w:hAnsi="宋体" w:eastAsia="宋体" w:cs="宋体"/>
          <w:sz w:val="24"/>
          <w:szCs w:val="24"/>
        </w:rPr>
      </w:pPr>
    </w:p>
    <w:p>
      <w:pPr>
        <w:spacing w:line="360" w:lineRule="auto"/>
        <w:contextualSpacing/>
        <w:jc w:val="center"/>
        <w:rPr>
          <w:rFonts w:ascii="宋体" w:hAnsi="宋体" w:eastAsia="宋体" w:cs="宋体"/>
          <w:sz w:val="24"/>
          <w:szCs w:val="24"/>
        </w:rPr>
      </w:pPr>
    </w:p>
    <w:p>
      <w:pPr>
        <w:spacing w:line="360" w:lineRule="auto"/>
        <w:ind w:firstLine="800" w:firstLineChars="250"/>
        <w:jc w:val="center"/>
        <w:rPr>
          <w:rFonts w:ascii="宋体" w:hAnsi="宋体" w:eastAsia="宋体" w:cs="宋体"/>
          <w:b/>
          <w:sz w:val="32"/>
          <w:szCs w:val="32"/>
        </w:rPr>
      </w:pPr>
      <w:r>
        <w:rPr>
          <w:rFonts w:hint="eastAsia" w:ascii="Times New Roman" w:hAnsi="宋体" w:eastAsia="宋体" w:cs="宋体"/>
          <w:sz w:val="32"/>
          <w:szCs w:val="32"/>
        </w:rPr>
        <w:br w:type="page"/>
      </w:r>
      <w:r>
        <w:rPr>
          <w:rFonts w:hint="eastAsia" w:ascii="宋体" w:hAnsi="宋体" w:eastAsia="宋体" w:cs="宋体"/>
          <w:b/>
          <w:sz w:val="44"/>
          <w:szCs w:val="44"/>
        </w:rPr>
        <w:t>残疾人福利性单位声明函</w:t>
      </w:r>
    </w:p>
    <w:p>
      <w:pPr>
        <w:spacing w:line="360" w:lineRule="auto"/>
        <w:rPr>
          <w:rFonts w:ascii="宋体" w:hAnsi="宋体" w:eastAsia="宋体" w:cs="宋体"/>
          <w:sz w:val="32"/>
          <w:szCs w:val="32"/>
        </w:rPr>
      </w:pP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ind w:firstLine="3600" w:firstLineChars="1500"/>
        <w:contextualSpacing/>
        <w:rPr>
          <w:rFonts w:ascii="宋体" w:hAnsi="宋体" w:eastAsia="宋体" w:cs="宋体"/>
          <w:sz w:val="24"/>
          <w:szCs w:val="24"/>
          <w:u w:val="single"/>
        </w:rPr>
      </w:pPr>
      <w:r>
        <w:rPr>
          <w:rFonts w:hint="eastAsia" w:ascii="宋体" w:hAnsi="宋体" w:eastAsia="宋体" w:cs="宋体"/>
          <w:sz w:val="24"/>
          <w:szCs w:val="24"/>
        </w:rPr>
        <w:t>单位名称（公章）：</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line="360" w:lineRule="auto"/>
        <w:ind w:firstLine="3600" w:firstLineChars="1500"/>
        <w:contextualSpacing/>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pacing w:val="20"/>
          <w:sz w:val="24"/>
          <w:szCs w:val="24"/>
          <w:u w:val="single"/>
        </w:rPr>
        <w:t xml:space="preserve"> </w:t>
      </w:r>
      <w:r>
        <w:rPr>
          <w:rFonts w:ascii="宋体" w:hAnsi="宋体" w:eastAsia="宋体" w:cs="宋体"/>
          <w:spacing w:val="20"/>
          <w:sz w:val="24"/>
          <w:szCs w:val="24"/>
          <w:u w:val="single"/>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日</w:t>
      </w: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contextualSpacing/>
        <w:rPr>
          <w:rFonts w:ascii="宋体" w:hAnsi="宋体" w:eastAsia="宋体" w:cs="宋体"/>
          <w:sz w:val="24"/>
          <w:szCs w:val="24"/>
        </w:rPr>
      </w:pPr>
    </w:p>
    <w:p>
      <w:pPr>
        <w:spacing w:line="360" w:lineRule="auto"/>
        <w:contextualSpacing/>
        <w:rPr>
          <w:rFonts w:ascii="楷体" w:hAnsi="楷体" w:eastAsia="楷体" w:cs="宋体"/>
          <w:b/>
          <w:sz w:val="24"/>
          <w:szCs w:val="24"/>
        </w:rPr>
      </w:pPr>
      <w:r>
        <w:rPr>
          <w:rFonts w:hint="eastAsia" w:ascii="楷体" w:hAnsi="楷体" w:eastAsia="楷体" w:cs="宋体"/>
          <w:b/>
          <w:sz w:val="24"/>
          <w:szCs w:val="24"/>
        </w:rPr>
        <w:t>注：</w:t>
      </w:r>
    </w:p>
    <w:p>
      <w:pPr>
        <w:spacing w:line="360" w:lineRule="auto"/>
        <w:ind w:firstLine="480" w:firstLineChars="200"/>
        <w:contextualSpacing/>
        <w:rPr>
          <w:rFonts w:ascii="楷体" w:hAnsi="楷体" w:eastAsia="楷体" w:cs="宋体"/>
          <w:sz w:val="24"/>
          <w:szCs w:val="24"/>
        </w:rPr>
      </w:pPr>
      <w:r>
        <w:rPr>
          <w:rFonts w:hint="eastAsia" w:ascii="楷体" w:hAnsi="楷体" w:eastAsia="楷体" w:cs="宋体"/>
          <w:sz w:val="24"/>
          <w:szCs w:val="24"/>
        </w:rPr>
        <w:t>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eastAsia="宋体" w:cs="宋体"/>
          <w:b/>
          <w:bCs/>
          <w:sz w:val="32"/>
          <w:szCs w:val="32"/>
        </w:rPr>
      </w:pPr>
      <w:r>
        <w:rPr>
          <w:rFonts w:hint="eastAsia" w:ascii="宋体" w:hAnsi="宋体" w:eastAsia="宋体" w:cs="宋体"/>
          <w:sz w:val="24"/>
          <w:szCs w:val="24"/>
        </w:rPr>
        <w:br w:type="page"/>
      </w:r>
      <w:r>
        <w:rPr>
          <w:rFonts w:hint="eastAsia" w:ascii="宋体" w:hAnsi="宋体" w:eastAsia="宋体" w:cs="宋体"/>
          <w:b/>
          <w:sz w:val="44"/>
          <w:szCs w:val="44"/>
        </w:rPr>
        <w:t>质疑函</w:t>
      </w:r>
      <w:r>
        <w:rPr>
          <w:rFonts w:hint="eastAsia" w:ascii="宋体" w:hAnsi="宋体" w:eastAsia="宋体" w:cs="宋体"/>
          <w:sz w:val="28"/>
          <w:szCs w:val="28"/>
        </w:rPr>
        <w:t>（格式）</w:t>
      </w:r>
    </w:p>
    <w:p>
      <w:pPr>
        <w:spacing w:line="360" w:lineRule="auto"/>
        <w:jc w:val="center"/>
        <w:rPr>
          <w:rFonts w:ascii="宋体" w:hAnsi="宋体" w:eastAsia="宋体" w:cs="宋体"/>
          <w:b/>
          <w:bCs/>
          <w:sz w:val="32"/>
          <w:szCs w:val="32"/>
        </w:rPr>
      </w:pPr>
    </w:p>
    <w:p>
      <w:pPr>
        <w:spacing w:line="360" w:lineRule="auto"/>
        <w:ind w:firstLine="482" w:firstLineChars="200"/>
        <w:contextualSpacing/>
        <w:rPr>
          <w:rFonts w:ascii="宋体" w:hAnsi="宋体" w:eastAsia="宋体" w:cs="宋体"/>
          <w:b/>
          <w:bCs/>
          <w:kern w:val="0"/>
          <w:sz w:val="24"/>
          <w:szCs w:val="24"/>
        </w:rPr>
      </w:pPr>
      <w:r>
        <w:rPr>
          <w:rFonts w:hint="eastAsia" w:ascii="宋体" w:hAnsi="宋体" w:eastAsia="宋体" w:cs="宋体"/>
          <w:b/>
          <w:bCs/>
          <w:kern w:val="0"/>
          <w:sz w:val="24"/>
          <w:szCs w:val="24"/>
        </w:rPr>
        <w:t>一、质疑供应商基本信息：</w:t>
      </w:r>
    </w:p>
    <w:p>
      <w:pPr>
        <w:spacing w:line="360" w:lineRule="auto"/>
        <w:ind w:firstLine="480" w:firstLineChars="200"/>
        <w:contextualSpacing/>
        <w:rPr>
          <w:rFonts w:ascii="宋体" w:hAnsi="宋体" w:eastAsia="宋体" w:cs="宋体"/>
          <w:bCs/>
          <w:kern w:val="0"/>
          <w:sz w:val="24"/>
          <w:szCs w:val="24"/>
          <w:u w:val="single"/>
        </w:rPr>
      </w:pPr>
      <w:r>
        <w:rPr>
          <w:rFonts w:hint="eastAsia" w:ascii="宋体" w:hAnsi="宋体" w:eastAsia="宋体" w:cs="宋体"/>
          <w:bCs/>
          <w:kern w:val="0"/>
          <w:sz w:val="24"/>
          <w:szCs w:val="24"/>
        </w:rPr>
        <w:t>质疑供应商：</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授权代表：</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ascii="宋体" w:hAnsi="宋体" w:eastAsia="宋体" w:cs="宋体"/>
          <w:bCs/>
          <w:kern w:val="0"/>
          <w:sz w:val="24"/>
          <w:szCs w:val="24"/>
          <w:u w:val="single"/>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pacing w:line="360" w:lineRule="auto"/>
        <w:ind w:firstLine="482" w:firstLineChars="200"/>
        <w:contextualSpacing/>
        <w:rPr>
          <w:rFonts w:ascii="宋体" w:hAnsi="宋体" w:eastAsia="宋体" w:cs="宋体"/>
          <w:b/>
          <w:bCs/>
          <w:kern w:val="0"/>
          <w:sz w:val="24"/>
          <w:szCs w:val="24"/>
        </w:rPr>
      </w:pPr>
      <w:r>
        <w:rPr>
          <w:rFonts w:hint="eastAsia" w:ascii="宋体" w:hAnsi="宋体" w:eastAsia="宋体" w:cs="宋体"/>
          <w:b/>
          <w:bCs/>
          <w:kern w:val="0"/>
          <w:sz w:val="24"/>
          <w:szCs w:val="24"/>
        </w:rPr>
        <w:t>二、质疑项目基本情况：</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bCs/>
          <w:kern w:val="0"/>
          <w:sz w:val="24"/>
          <w:szCs w:val="24"/>
        </w:rPr>
        <w:t>质疑</w:t>
      </w:r>
      <w:r>
        <w:rPr>
          <w:rFonts w:hint="eastAsia" w:ascii="宋体" w:hAnsi="宋体" w:eastAsia="宋体" w:cs="宋体"/>
          <w:kern w:val="0"/>
          <w:sz w:val="24"/>
          <w:szCs w:val="24"/>
        </w:rPr>
        <w:t>项目的名称：</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bCs/>
          <w:kern w:val="0"/>
          <w:sz w:val="24"/>
          <w:szCs w:val="24"/>
        </w:rPr>
        <w:t>质疑</w:t>
      </w:r>
      <w:r>
        <w:rPr>
          <w:rFonts w:hint="eastAsia" w:ascii="宋体" w:hAnsi="宋体" w:eastAsia="宋体" w:cs="宋体"/>
          <w:kern w:val="0"/>
          <w:sz w:val="24"/>
          <w:szCs w:val="24"/>
        </w:rPr>
        <w:t>项目的编号：</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采购人名称：</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质疑事项：</w:t>
      </w:r>
    </w:p>
    <w:p>
      <w:pPr>
        <w:spacing w:line="360" w:lineRule="auto"/>
        <w:ind w:firstLine="352" w:firstLineChars="147"/>
        <w:contextualSpacing/>
        <w:rPr>
          <w:rFonts w:ascii="宋体" w:hAnsi="宋体" w:eastAsia="宋体" w:cs="宋体"/>
          <w:kern w:val="0"/>
          <w:sz w:val="24"/>
          <w:szCs w:val="24"/>
        </w:rPr>
      </w:pPr>
      <w:r>
        <w:rPr>
          <w:rFonts w:hint="eastAsia" w:ascii="宋体" w:hAnsi="宋体" w:eastAsia="宋体" w:cs="宋体"/>
          <w:kern w:val="0"/>
          <w:sz w:val="24"/>
          <w:szCs w:val="24"/>
        </w:rPr>
        <w:t>□采购文件   采购文件获取日期：</w:t>
      </w:r>
      <w:r>
        <w:rPr>
          <w:rFonts w:hint="eastAsia" w:ascii="宋体" w:hAnsi="宋体" w:eastAsia="宋体" w:cs="宋体"/>
          <w:bCs/>
          <w:kern w:val="0"/>
          <w:sz w:val="24"/>
          <w:szCs w:val="24"/>
          <w:u w:val="single"/>
        </w:rPr>
        <w:t xml:space="preserve">                                   </w:t>
      </w:r>
    </w:p>
    <w:p>
      <w:pPr>
        <w:spacing w:line="360" w:lineRule="auto"/>
        <w:ind w:firstLine="352" w:firstLineChars="147"/>
        <w:contextualSpacing/>
        <w:rPr>
          <w:rFonts w:ascii="宋体" w:hAnsi="宋体" w:eastAsia="宋体" w:cs="宋体"/>
          <w:kern w:val="0"/>
          <w:sz w:val="24"/>
          <w:szCs w:val="24"/>
        </w:rPr>
      </w:pPr>
      <w:r>
        <w:rPr>
          <w:rFonts w:hint="eastAsia" w:ascii="宋体" w:hAnsi="宋体" w:eastAsia="宋体" w:cs="宋体"/>
          <w:kern w:val="0"/>
          <w:sz w:val="24"/>
          <w:szCs w:val="24"/>
        </w:rPr>
        <w:t xml:space="preserve">□采购过程   </w:t>
      </w:r>
    </w:p>
    <w:p>
      <w:pPr>
        <w:spacing w:line="360" w:lineRule="auto"/>
        <w:ind w:firstLine="352" w:firstLineChars="147"/>
        <w:contextualSpacing/>
        <w:rPr>
          <w:rFonts w:ascii="宋体" w:hAnsi="宋体" w:eastAsia="宋体" w:cs="宋体"/>
          <w:bCs/>
          <w:kern w:val="0"/>
          <w:sz w:val="24"/>
          <w:szCs w:val="24"/>
          <w:u w:val="single"/>
        </w:rPr>
      </w:pPr>
      <w:r>
        <w:rPr>
          <w:rFonts w:hint="eastAsia" w:ascii="宋体" w:hAnsi="宋体" w:eastAsia="宋体" w:cs="宋体"/>
          <w:kern w:val="0"/>
          <w:sz w:val="24"/>
          <w:szCs w:val="24"/>
        </w:rPr>
        <w:t xml:space="preserve">□成交结果   </w:t>
      </w:r>
    </w:p>
    <w:p>
      <w:pPr>
        <w:spacing w:line="360" w:lineRule="auto"/>
        <w:ind w:firstLine="472" w:firstLineChars="196"/>
        <w:contextualSpacing/>
        <w:rPr>
          <w:rFonts w:ascii="宋体" w:hAnsi="宋体" w:eastAsia="宋体" w:cs="宋体"/>
          <w:b/>
          <w:kern w:val="0"/>
          <w:sz w:val="24"/>
          <w:szCs w:val="24"/>
        </w:rPr>
      </w:pPr>
      <w:r>
        <w:rPr>
          <w:rFonts w:hint="eastAsia" w:ascii="宋体" w:hAnsi="宋体" w:eastAsia="宋体" w:cs="宋体"/>
          <w:b/>
          <w:kern w:val="0"/>
          <w:sz w:val="24"/>
          <w:szCs w:val="24"/>
        </w:rPr>
        <w:t>三、质疑事项具体内容</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质疑事项1：</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事实依据：</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法律依据：</w:t>
      </w:r>
      <w:r>
        <w:rPr>
          <w:rFonts w:hint="eastAsia" w:ascii="宋体" w:hAnsi="宋体" w:eastAsia="宋体" w:cs="宋体"/>
          <w:kern w:val="0"/>
          <w:sz w:val="24"/>
          <w:szCs w:val="24"/>
          <w:u w:val="single"/>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质疑事项2</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四、与质疑事项相关的质疑请求：</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请求：</w:t>
      </w:r>
      <w:r>
        <w:rPr>
          <w:rFonts w:hint="eastAsia" w:ascii="宋体" w:hAnsi="宋体" w:eastAsia="宋体" w:cs="宋体"/>
          <w:bCs/>
          <w:kern w:val="0"/>
          <w:sz w:val="24"/>
          <w:szCs w:val="24"/>
          <w:u w:val="single"/>
        </w:rPr>
        <w:t xml:space="preserve">                                                                </w:t>
      </w:r>
    </w:p>
    <w:p>
      <w:pPr>
        <w:spacing w:line="360" w:lineRule="auto"/>
        <w:ind w:firstLine="352" w:firstLineChars="147"/>
        <w:contextualSpacing/>
        <w:rPr>
          <w:rFonts w:ascii="宋体" w:hAnsi="宋体" w:eastAsia="宋体" w:cs="宋体"/>
          <w:kern w:val="0"/>
          <w:sz w:val="24"/>
          <w:szCs w:val="24"/>
        </w:rPr>
      </w:pPr>
    </w:p>
    <w:p>
      <w:pPr>
        <w:spacing w:line="360" w:lineRule="auto"/>
        <w:ind w:firstLine="472" w:firstLineChars="197"/>
        <w:contextualSpacing/>
        <w:rPr>
          <w:rFonts w:ascii="宋体" w:hAnsi="宋体" w:eastAsia="宋体" w:cs="宋体"/>
          <w:kern w:val="0"/>
          <w:sz w:val="24"/>
          <w:szCs w:val="24"/>
          <w:u w:val="single"/>
        </w:rPr>
      </w:pPr>
      <w:r>
        <w:rPr>
          <w:rFonts w:hint="eastAsia" w:ascii="宋体" w:hAnsi="宋体" w:eastAsia="宋体" w:cs="宋体"/>
          <w:kern w:val="0"/>
          <w:sz w:val="24"/>
          <w:szCs w:val="24"/>
        </w:rPr>
        <w:t>签字（签章）：</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 xml:space="preserve">                公章：</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pPr>
        <w:spacing w:line="360" w:lineRule="auto"/>
        <w:ind w:firstLine="472" w:firstLineChars="197"/>
        <w:contextualSpacing/>
        <w:rPr>
          <w:rFonts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spacing w:val="20"/>
          <w:kern w:val="0"/>
          <w:sz w:val="24"/>
          <w:szCs w:val="21"/>
          <w:u w:val="single"/>
        </w:rPr>
        <w:t xml:space="preserve"> </w:t>
      </w:r>
      <w:r>
        <w:rPr>
          <w:rFonts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年</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月</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日</w:t>
      </w:r>
    </w:p>
    <w:p>
      <w:pPr>
        <w:spacing w:line="360" w:lineRule="auto"/>
        <w:contextualSpacing/>
        <w:rPr>
          <w:rFonts w:ascii="宋体" w:hAnsi="宋体" w:eastAsia="宋体" w:cs="宋体"/>
          <w:b/>
          <w:kern w:val="0"/>
          <w:sz w:val="24"/>
          <w:szCs w:val="24"/>
        </w:rPr>
      </w:pPr>
    </w:p>
    <w:p>
      <w:pPr>
        <w:spacing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说明：</w:t>
      </w:r>
    </w:p>
    <w:p>
      <w:pPr>
        <w:spacing w:line="360" w:lineRule="auto"/>
        <w:ind w:firstLine="354" w:firstLineChars="147"/>
        <w:contextualSpacing/>
        <w:rPr>
          <w:rFonts w:ascii="楷体" w:hAnsi="楷体" w:eastAsia="楷体" w:cs="宋体"/>
          <w:b/>
          <w:bCs/>
          <w:kern w:val="0"/>
          <w:sz w:val="24"/>
          <w:szCs w:val="24"/>
        </w:rPr>
      </w:pPr>
      <w:r>
        <w:rPr>
          <w:rFonts w:ascii="楷体" w:hAnsi="楷体" w:eastAsia="楷体" w:cs="宋体"/>
          <w:b/>
          <w:kern w:val="0"/>
          <w:sz w:val="24"/>
          <w:szCs w:val="24"/>
        </w:rPr>
        <w:t>1.供应商提出质疑时，应提交质疑函和必要的证明材料</w:t>
      </w:r>
      <w:r>
        <w:rPr>
          <w:rFonts w:hint="eastAsia" w:ascii="楷体" w:hAnsi="楷体" w:eastAsia="楷体" w:cs="宋体"/>
          <w:b/>
          <w:bCs/>
          <w:kern w:val="0"/>
          <w:sz w:val="24"/>
          <w:szCs w:val="24"/>
        </w:rPr>
        <w:t>。</w:t>
      </w:r>
    </w:p>
    <w:p>
      <w:pPr>
        <w:spacing w:line="360" w:lineRule="auto"/>
        <w:ind w:firstLine="354" w:firstLineChars="147"/>
        <w:contextualSpacing/>
        <w:rPr>
          <w:rFonts w:ascii="楷体" w:hAnsi="楷体" w:eastAsia="楷体" w:cs="宋体"/>
          <w:b/>
          <w:kern w:val="0"/>
          <w:sz w:val="24"/>
          <w:szCs w:val="24"/>
        </w:rPr>
      </w:pPr>
      <w:r>
        <w:rPr>
          <w:rFonts w:ascii="楷体" w:hAnsi="楷体" w:eastAsia="楷体" w:cs="宋体"/>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354" w:firstLineChars="147"/>
        <w:contextualSpacing/>
        <w:rPr>
          <w:rFonts w:ascii="楷体" w:hAnsi="楷体" w:eastAsia="楷体" w:cs="宋体"/>
          <w:b/>
          <w:kern w:val="0"/>
          <w:sz w:val="24"/>
          <w:szCs w:val="24"/>
        </w:rPr>
      </w:pPr>
      <w:r>
        <w:rPr>
          <w:rFonts w:ascii="楷体" w:hAnsi="楷体" w:eastAsia="楷体" w:cs="宋体"/>
          <w:b/>
          <w:kern w:val="0"/>
          <w:sz w:val="24"/>
          <w:szCs w:val="24"/>
        </w:rPr>
        <w:t>3.质疑函的质疑事项应具体、明确，并有必要的事实依据和法律依据。</w:t>
      </w:r>
    </w:p>
    <w:p>
      <w:pPr>
        <w:spacing w:line="360" w:lineRule="auto"/>
        <w:ind w:firstLine="354" w:firstLineChars="147"/>
        <w:contextualSpacing/>
        <w:rPr>
          <w:rFonts w:ascii="楷体" w:hAnsi="楷体" w:eastAsia="楷体" w:cs="宋体"/>
          <w:b/>
          <w:kern w:val="0"/>
          <w:sz w:val="24"/>
          <w:szCs w:val="24"/>
        </w:rPr>
      </w:pPr>
      <w:r>
        <w:rPr>
          <w:rFonts w:ascii="楷体" w:hAnsi="楷体" w:eastAsia="楷体" w:cs="宋体"/>
          <w:b/>
          <w:kern w:val="0"/>
          <w:sz w:val="24"/>
          <w:szCs w:val="24"/>
        </w:rPr>
        <w:t>4.质疑函的质疑请求应与质疑事项相关。</w:t>
      </w:r>
    </w:p>
    <w:p>
      <w:pPr>
        <w:spacing w:line="360" w:lineRule="auto"/>
        <w:ind w:firstLine="354" w:firstLineChars="147"/>
        <w:contextualSpacing/>
        <w:rPr>
          <w:rFonts w:ascii="楷体" w:hAnsi="楷体" w:eastAsia="楷体" w:cs="宋体"/>
          <w:b/>
          <w:kern w:val="0"/>
          <w:sz w:val="20"/>
          <w:szCs w:val="21"/>
        </w:rPr>
      </w:pPr>
      <w:r>
        <w:rPr>
          <w:rFonts w:ascii="楷体" w:hAnsi="楷体" w:eastAsia="楷体" w:cs="宋体"/>
          <w:b/>
          <w:kern w:val="0"/>
          <w:sz w:val="24"/>
          <w:szCs w:val="24"/>
        </w:rPr>
        <w:t>5.质疑供应商为法人或者其他组织的，质疑函应由法定代表人、主要负责人，或者其授权代表签字或者盖章，并加盖公章。</w:t>
      </w:r>
    </w:p>
    <w:p>
      <w:pPr>
        <w:snapToGrid w:val="0"/>
        <w:spacing w:line="360" w:lineRule="auto"/>
        <w:rPr>
          <w:rFonts w:ascii="宋体" w:hAnsi="宋体" w:eastAsia="宋体" w:cs="宋体"/>
          <w:b/>
          <w:kern w:val="0"/>
          <w:sz w:val="24"/>
          <w:szCs w:val="24"/>
        </w:rPr>
      </w:pPr>
    </w:p>
    <w:p>
      <w:pPr>
        <w:spacing w:line="360" w:lineRule="auto"/>
        <w:rPr>
          <w:rFonts w:ascii="宋体" w:hAnsi="宋体" w:eastAsia="宋体" w:cs="宋体"/>
          <w:szCs w:val="24"/>
        </w:rPr>
      </w:pPr>
      <w:r>
        <w:rPr>
          <w:rFonts w:hint="eastAsia" w:ascii="宋体" w:hAnsi="宋体" w:eastAsia="宋体" w:cs="宋体"/>
          <w:szCs w:val="24"/>
        </w:rPr>
        <w:br w:type="page"/>
      </w:r>
    </w:p>
    <w:p>
      <w:pPr>
        <w:spacing w:line="360" w:lineRule="auto"/>
        <w:jc w:val="center"/>
        <w:rPr>
          <w:rFonts w:ascii="宋体" w:hAnsi="宋体" w:eastAsia="宋体" w:cs="宋体"/>
          <w:sz w:val="44"/>
          <w:szCs w:val="44"/>
        </w:rPr>
      </w:pPr>
      <w:r>
        <w:rPr>
          <w:rFonts w:hint="eastAsia" w:ascii="宋体" w:hAnsi="宋体" w:eastAsia="宋体" w:cs="宋体"/>
          <w:b/>
          <w:sz w:val="44"/>
          <w:szCs w:val="44"/>
        </w:rPr>
        <w:t>投诉书</w:t>
      </w:r>
      <w:r>
        <w:rPr>
          <w:rFonts w:hint="eastAsia" w:ascii="宋体" w:hAnsi="宋体" w:eastAsia="宋体" w:cs="宋体"/>
          <w:sz w:val="28"/>
          <w:szCs w:val="28"/>
        </w:rPr>
        <w:t>（格式）</w:t>
      </w:r>
    </w:p>
    <w:p>
      <w:pPr>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一、投诉相关主体基本情况：</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供应商：</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法定代表人/主要负责人：</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授权代表：</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被投诉人1：</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被投诉人2：</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相关供应商：</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地址：</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邮编：</w:t>
      </w:r>
      <w:r>
        <w:rPr>
          <w:rFonts w:hint="eastAsia" w:ascii="宋体" w:hAnsi="宋体" w:eastAsia="宋体" w:cs="宋体"/>
          <w:bCs/>
          <w:kern w:val="0"/>
          <w:sz w:val="24"/>
          <w:szCs w:val="24"/>
          <w:u w:val="single"/>
        </w:rPr>
        <w:t xml:space="preserve">                         </w:t>
      </w:r>
    </w:p>
    <w:p>
      <w:pPr>
        <w:snapToGri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联系电话：</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w:t>
      </w:r>
    </w:p>
    <w:p>
      <w:pPr>
        <w:snapToGrid w:val="0"/>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二、投诉项目基本情况：</w:t>
      </w:r>
    </w:p>
    <w:p>
      <w:pPr>
        <w:spacing w:line="360" w:lineRule="auto"/>
        <w:ind w:firstLine="472" w:firstLineChars="197"/>
        <w:rPr>
          <w:rFonts w:ascii="宋体" w:hAnsi="宋体" w:eastAsia="宋体" w:cs="宋体"/>
          <w:kern w:val="0"/>
          <w:sz w:val="24"/>
          <w:szCs w:val="24"/>
        </w:rPr>
      </w:pPr>
      <w:r>
        <w:rPr>
          <w:rFonts w:hint="eastAsia" w:ascii="宋体" w:hAnsi="宋体" w:eastAsia="宋体" w:cs="宋体"/>
          <w:bCs/>
          <w:kern w:val="0"/>
          <w:sz w:val="24"/>
          <w:szCs w:val="24"/>
        </w:rPr>
        <w:t>采购</w:t>
      </w:r>
      <w:r>
        <w:rPr>
          <w:rFonts w:hint="eastAsia" w:ascii="宋体" w:hAnsi="宋体" w:eastAsia="宋体" w:cs="宋体"/>
          <w:kern w:val="0"/>
          <w:sz w:val="24"/>
          <w:szCs w:val="24"/>
        </w:rPr>
        <w:t>项目的名称：</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kern w:val="0"/>
          <w:sz w:val="24"/>
          <w:szCs w:val="24"/>
        </w:rPr>
      </w:pPr>
      <w:r>
        <w:rPr>
          <w:rFonts w:hint="eastAsia" w:ascii="宋体" w:hAnsi="宋体" w:eastAsia="宋体" w:cs="宋体"/>
          <w:bCs/>
          <w:kern w:val="0"/>
          <w:sz w:val="24"/>
          <w:szCs w:val="24"/>
        </w:rPr>
        <w:t>采购</w:t>
      </w:r>
      <w:r>
        <w:rPr>
          <w:rFonts w:hint="eastAsia" w:ascii="宋体" w:hAnsi="宋体" w:eastAsia="宋体" w:cs="宋体"/>
          <w:kern w:val="0"/>
          <w:sz w:val="24"/>
          <w:szCs w:val="24"/>
        </w:rPr>
        <w:t>项目的编号：</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bCs/>
          <w:kern w:val="0"/>
          <w:sz w:val="24"/>
          <w:szCs w:val="24"/>
          <w:u w:val="single"/>
        </w:rPr>
      </w:pPr>
      <w:r>
        <w:rPr>
          <w:rFonts w:hint="eastAsia" w:ascii="宋体" w:hAnsi="宋体" w:eastAsia="宋体" w:cs="宋体"/>
          <w:kern w:val="0"/>
          <w:sz w:val="24"/>
          <w:szCs w:val="24"/>
        </w:rPr>
        <w:t>采购人名称：</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bCs/>
          <w:kern w:val="0"/>
          <w:sz w:val="24"/>
          <w:szCs w:val="24"/>
          <w:u w:val="single"/>
        </w:rPr>
      </w:pPr>
      <w:r>
        <w:rPr>
          <w:rFonts w:hint="eastAsia" w:ascii="宋体" w:hAnsi="宋体" w:eastAsia="宋体" w:cs="宋体"/>
          <w:kern w:val="0"/>
          <w:sz w:val="24"/>
          <w:szCs w:val="24"/>
        </w:rPr>
        <w:t>代理机构名称：</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bCs/>
          <w:kern w:val="0"/>
          <w:sz w:val="24"/>
          <w:szCs w:val="24"/>
          <w:u w:val="single"/>
        </w:rPr>
      </w:pPr>
      <w:r>
        <w:rPr>
          <w:rFonts w:hint="eastAsia" w:ascii="宋体" w:hAnsi="宋体" w:eastAsia="宋体" w:cs="宋体"/>
          <w:bCs/>
          <w:kern w:val="0"/>
          <w:sz w:val="24"/>
          <w:szCs w:val="24"/>
        </w:rPr>
        <w:t>采购文件公告：</w:t>
      </w:r>
      <w:r>
        <w:rPr>
          <w:rFonts w:hint="eastAsia" w:ascii="宋体" w:hAnsi="宋体" w:eastAsia="宋体" w:cs="宋体"/>
          <w:bCs/>
          <w:kern w:val="0"/>
          <w:sz w:val="24"/>
          <w:szCs w:val="24"/>
          <w:u w:val="single"/>
        </w:rPr>
        <w:t>是/否</w:t>
      </w:r>
      <w:r>
        <w:rPr>
          <w:rFonts w:hint="eastAsia" w:ascii="宋体" w:hAnsi="宋体" w:eastAsia="宋体" w:cs="宋体"/>
          <w:bCs/>
          <w:kern w:val="0"/>
          <w:sz w:val="24"/>
          <w:szCs w:val="24"/>
        </w:rPr>
        <w:t>公告期限：</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b/>
          <w:kern w:val="0"/>
          <w:sz w:val="24"/>
          <w:szCs w:val="24"/>
        </w:rPr>
      </w:pPr>
      <w:r>
        <w:rPr>
          <w:rFonts w:hint="eastAsia" w:ascii="宋体" w:hAnsi="宋体" w:eastAsia="宋体" w:cs="宋体"/>
          <w:bCs/>
          <w:kern w:val="0"/>
          <w:sz w:val="24"/>
          <w:szCs w:val="24"/>
        </w:rPr>
        <w:t>采购结果公告：</w:t>
      </w:r>
      <w:r>
        <w:rPr>
          <w:rFonts w:hint="eastAsia" w:ascii="宋体" w:hAnsi="宋体" w:eastAsia="宋体" w:cs="宋体"/>
          <w:bCs/>
          <w:kern w:val="0"/>
          <w:sz w:val="24"/>
          <w:szCs w:val="24"/>
          <w:u w:val="single"/>
        </w:rPr>
        <w:t>是/否</w:t>
      </w:r>
      <w:r>
        <w:rPr>
          <w:rFonts w:hint="eastAsia" w:ascii="宋体" w:hAnsi="宋体" w:eastAsia="宋体" w:cs="宋体"/>
          <w:bCs/>
          <w:kern w:val="0"/>
          <w:sz w:val="24"/>
          <w:szCs w:val="24"/>
        </w:rPr>
        <w:t>公告期限：</w:t>
      </w:r>
      <w:r>
        <w:rPr>
          <w:rFonts w:hint="eastAsia" w:ascii="宋体" w:hAnsi="宋体" w:eastAsia="宋体" w:cs="宋体"/>
          <w:bCs/>
          <w:kern w:val="0"/>
          <w:sz w:val="24"/>
          <w:szCs w:val="24"/>
          <w:u w:val="single"/>
        </w:rPr>
        <w:t xml:space="preserve">                                                       </w:t>
      </w:r>
    </w:p>
    <w:p>
      <w:pPr>
        <w:spacing w:line="360" w:lineRule="auto"/>
        <w:ind w:firstLine="472" w:firstLineChars="196"/>
        <w:rPr>
          <w:rFonts w:ascii="宋体" w:hAnsi="宋体" w:eastAsia="宋体" w:cs="宋体"/>
          <w:b/>
          <w:kern w:val="0"/>
          <w:sz w:val="24"/>
          <w:szCs w:val="24"/>
        </w:rPr>
      </w:pPr>
      <w:r>
        <w:rPr>
          <w:rFonts w:hint="eastAsia" w:ascii="宋体" w:hAnsi="宋体" w:eastAsia="宋体" w:cs="宋体"/>
          <w:b/>
          <w:kern w:val="0"/>
          <w:sz w:val="24"/>
          <w:szCs w:val="24"/>
        </w:rPr>
        <w:t>三、质疑基本情况</w:t>
      </w:r>
    </w:p>
    <w:p>
      <w:pPr>
        <w:spacing w:line="360" w:lineRule="auto"/>
        <w:ind w:left="479" w:leftChars="228" w:firstLine="60" w:firstLineChars="25"/>
        <w:rPr>
          <w:rFonts w:ascii="宋体" w:hAnsi="宋体" w:eastAsia="宋体" w:cs="宋体"/>
          <w:kern w:val="0"/>
          <w:sz w:val="24"/>
          <w:szCs w:val="24"/>
        </w:rPr>
      </w:pPr>
      <w:r>
        <w:rPr>
          <w:rFonts w:hint="eastAsia" w:ascii="宋体" w:hAnsi="宋体" w:eastAsia="宋体" w:cs="宋体"/>
          <w:kern w:val="0"/>
          <w:sz w:val="24"/>
          <w:szCs w:val="24"/>
        </w:rPr>
        <w:t>投诉人于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提出质疑，质疑事项为：</w:t>
      </w:r>
    </w:p>
    <w:p>
      <w:pPr>
        <w:spacing w:line="360" w:lineRule="auto"/>
        <w:ind w:firstLine="540" w:firstLineChars="225"/>
        <w:rPr>
          <w:rFonts w:ascii="宋体" w:hAnsi="宋体" w:eastAsia="宋体" w:cs="宋体"/>
          <w:bCs/>
          <w:kern w:val="0"/>
          <w:sz w:val="24"/>
          <w:szCs w:val="24"/>
          <w:u w:val="single"/>
        </w:rPr>
      </w:pP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540" w:firstLineChars="225"/>
        <w:rPr>
          <w:rFonts w:ascii="宋体" w:hAnsi="宋体" w:eastAsia="宋体" w:cs="宋体"/>
          <w:bCs/>
          <w:kern w:val="0"/>
          <w:sz w:val="24"/>
          <w:szCs w:val="24"/>
          <w:u w:val="single"/>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540" w:firstLineChars="225"/>
        <w:rPr>
          <w:rFonts w:ascii="宋体" w:hAnsi="宋体" w:eastAsia="宋体" w:cs="宋体"/>
          <w:kern w:val="0"/>
          <w:sz w:val="24"/>
          <w:szCs w:val="24"/>
        </w:rPr>
      </w:pPr>
      <w:r>
        <w:rPr>
          <w:rFonts w:hint="eastAsia" w:ascii="宋体" w:hAnsi="宋体" w:eastAsia="宋体" w:cs="宋体"/>
          <w:bCs/>
          <w:kern w:val="0"/>
          <w:sz w:val="24"/>
          <w:szCs w:val="24"/>
          <w:u w:val="single"/>
        </w:rPr>
        <w:t>采购人/代理机构</w:t>
      </w:r>
      <w:r>
        <w:rPr>
          <w:rFonts w:hint="eastAsia" w:ascii="宋体" w:hAnsi="宋体" w:eastAsia="宋体" w:cs="宋体"/>
          <w:bCs/>
          <w:kern w:val="0"/>
          <w:sz w:val="24"/>
          <w:szCs w:val="24"/>
        </w:rPr>
        <w:t>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bCs/>
          <w:kern w:val="0"/>
          <w:sz w:val="24"/>
          <w:szCs w:val="24"/>
        </w:rPr>
        <w:t xml:space="preserve">就质疑事项作出了答复/没有在法定期限内作出答复。                                                                                             </w:t>
      </w:r>
    </w:p>
    <w:p>
      <w:pPr>
        <w:spacing w:line="360" w:lineRule="auto"/>
        <w:ind w:firstLine="472" w:firstLineChars="196"/>
        <w:rPr>
          <w:rFonts w:ascii="宋体" w:hAnsi="宋体" w:eastAsia="宋体" w:cs="宋体"/>
          <w:b/>
          <w:kern w:val="0"/>
          <w:sz w:val="24"/>
          <w:szCs w:val="24"/>
        </w:rPr>
      </w:pPr>
      <w:r>
        <w:rPr>
          <w:rFonts w:hint="eastAsia" w:ascii="宋体" w:hAnsi="宋体" w:eastAsia="宋体" w:cs="宋体"/>
          <w:b/>
          <w:kern w:val="0"/>
          <w:sz w:val="24"/>
          <w:szCs w:val="24"/>
        </w:rPr>
        <w:t>四、投诉事项具体内容</w:t>
      </w:r>
    </w:p>
    <w:p>
      <w:pPr>
        <w:spacing w:line="360" w:lineRule="auto"/>
        <w:ind w:firstLine="472" w:firstLineChars="197"/>
        <w:rPr>
          <w:rFonts w:ascii="宋体" w:hAnsi="宋体" w:eastAsia="宋体" w:cs="宋体"/>
          <w:bCs/>
          <w:kern w:val="0"/>
          <w:sz w:val="24"/>
          <w:szCs w:val="24"/>
          <w:u w:val="single"/>
        </w:rPr>
      </w:pPr>
      <w:r>
        <w:rPr>
          <w:rFonts w:hint="eastAsia" w:ascii="宋体" w:hAnsi="宋体" w:eastAsia="宋体" w:cs="宋体"/>
          <w:kern w:val="0"/>
          <w:sz w:val="24"/>
          <w:szCs w:val="24"/>
        </w:rPr>
        <w:t>投诉事项1：</w:t>
      </w:r>
      <w:r>
        <w:rPr>
          <w:rFonts w:hint="eastAsia" w:ascii="宋体" w:hAnsi="宋体" w:eastAsia="宋体" w:cs="宋体"/>
          <w:bCs/>
          <w:kern w:val="0"/>
          <w:sz w:val="24"/>
          <w:szCs w:val="24"/>
          <w:u w:val="single"/>
        </w:rPr>
        <w:t xml:space="preserve">                                                                           </w:t>
      </w:r>
    </w:p>
    <w:p>
      <w:pPr>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事实依据：</w:t>
      </w: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kern w:val="0"/>
          <w:sz w:val="24"/>
          <w:szCs w:val="24"/>
        </w:rPr>
      </w:pPr>
      <w:r>
        <w:rPr>
          <w:rFonts w:hint="eastAsia" w:ascii="宋体" w:hAnsi="宋体" w:eastAsia="宋体" w:cs="宋体"/>
          <w:bCs/>
          <w:kern w:val="0"/>
          <w:sz w:val="24"/>
          <w:szCs w:val="24"/>
          <w:u w:val="single"/>
        </w:rPr>
        <w:t xml:space="preserve">                                                                                        </w:t>
      </w:r>
    </w:p>
    <w:p>
      <w:pPr>
        <w:spacing w:line="360" w:lineRule="auto"/>
        <w:ind w:firstLine="480" w:firstLineChars="200"/>
        <w:rPr>
          <w:rFonts w:ascii="宋体" w:hAnsi="宋体" w:eastAsia="宋体" w:cs="宋体"/>
          <w:bCs/>
          <w:kern w:val="0"/>
          <w:sz w:val="24"/>
          <w:szCs w:val="24"/>
          <w:u w:val="single"/>
        </w:rPr>
      </w:pPr>
      <w:r>
        <w:rPr>
          <w:rFonts w:hint="eastAsia" w:ascii="宋体" w:hAnsi="宋体" w:eastAsia="宋体" w:cs="宋体"/>
          <w:bCs/>
          <w:kern w:val="0"/>
          <w:sz w:val="24"/>
          <w:szCs w:val="24"/>
        </w:rPr>
        <w:t>法律依据：</w:t>
      </w:r>
      <w:r>
        <w:rPr>
          <w:rFonts w:hint="eastAsia" w:ascii="宋体" w:hAnsi="宋体" w:eastAsia="宋体" w:cs="宋体"/>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352" w:firstLineChars="147"/>
        <w:rPr>
          <w:rFonts w:ascii="宋体" w:hAnsi="宋体" w:eastAsia="宋体" w:cs="宋体"/>
          <w:bCs/>
          <w:kern w:val="0"/>
          <w:sz w:val="24"/>
          <w:szCs w:val="24"/>
          <w:u w:val="single"/>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 xml:space="preserve">                                                                                        </w:t>
      </w:r>
    </w:p>
    <w:p>
      <w:pPr>
        <w:spacing w:line="360" w:lineRule="auto"/>
        <w:ind w:firstLine="472" w:firstLineChars="197"/>
        <w:rPr>
          <w:rFonts w:ascii="宋体" w:hAnsi="宋体" w:eastAsia="宋体" w:cs="宋体"/>
          <w:bCs/>
          <w:kern w:val="0"/>
          <w:sz w:val="24"/>
          <w:szCs w:val="24"/>
        </w:rPr>
      </w:pPr>
      <w:r>
        <w:rPr>
          <w:rFonts w:hint="eastAsia" w:ascii="宋体" w:hAnsi="宋体" w:eastAsia="宋体" w:cs="宋体"/>
          <w:kern w:val="0"/>
          <w:sz w:val="24"/>
          <w:szCs w:val="24"/>
        </w:rPr>
        <w:t xml:space="preserve">投诉事项2  </w:t>
      </w:r>
      <w:r>
        <w:rPr>
          <w:rFonts w:hint="eastAsia" w:ascii="宋体" w:hAnsi="宋体" w:eastAsia="宋体" w:cs="宋体"/>
          <w:bCs/>
          <w:kern w:val="0"/>
          <w:sz w:val="24"/>
          <w:szCs w:val="24"/>
        </w:rPr>
        <w:t xml:space="preserve">   </w:t>
      </w:r>
    </w:p>
    <w:p>
      <w:pPr>
        <w:spacing w:line="360" w:lineRule="auto"/>
        <w:ind w:firstLine="472" w:firstLineChars="197"/>
        <w:rPr>
          <w:rFonts w:ascii="宋体" w:hAnsi="宋体" w:eastAsia="宋体" w:cs="宋体"/>
          <w:bCs/>
          <w:kern w:val="0"/>
          <w:sz w:val="24"/>
          <w:szCs w:val="24"/>
        </w:rPr>
      </w:pPr>
      <w:r>
        <w:rPr>
          <w:rFonts w:hint="eastAsia" w:ascii="宋体" w:hAnsi="宋体" w:eastAsia="宋体" w:cs="宋体"/>
          <w:bCs/>
          <w:kern w:val="0"/>
          <w:sz w:val="24"/>
          <w:szCs w:val="24"/>
        </w:rPr>
        <w:t>……</w:t>
      </w:r>
    </w:p>
    <w:p>
      <w:pPr>
        <w:spacing w:line="360" w:lineRule="auto"/>
        <w:ind w:firstLine="472" w:firstLineChars="196"/>
        <w:rPr>
          <w:rFonts w:ascii="宋体" w:hAnsi="宋体" w:eastAsia="宋体" w:cs="宋体"/>
          <w:b/>
          <w:kern w:val="0"/>
          <w:sz w:val="24"/>
          <w:szCs w:val="24"/>
        </w:rPr>
      </w:pPr>
      <w:r>
        <w:rPr>
          <w:rFonts w:hint="eastAsia" w:ascii="宋体" w:hAnsi="宋体" w:eastAsia="宋体" w:cs="宋体"/>
          <w:b/>
          <w:kern w:val="0"/>
          <w:sz w:val="24"/>
          <w:szCs w:val="24"/>
        </w:rPr>
        <w:t>五、与投诉事项相关的投诉请求：</w:t>
      </w:r>
    </w:p>
    <w:p>
      <w:pPr>
        <w:spacing w:line="360" w:lineRule="auto"/>
        <w:ind w:firstLine="472" w:firstLineChars="197"/>
        <w:rPr>
          <w:rFonts w:ascii="宋体" w:hAnsi="宋体" w:eastAsia="宋体" w:cs="宋体"/>
          <w:kern w:val="0"/>
          <w:sz w:val="24"/>
          <w:szCs w:val="24"/>
        </w:rPr>
      </w:pPr>
      <w:r>
        <w:rPr>
          <w:rFonts w:hint="eastAsia" w:ascii="宋体" w:hAnsi="宋体" w:eastAsia="宋体" w:cs="宋体"/>
          <w:kern w:val="0"/>
          <w:sz w:val="24"/>
          <w:szCs w:val="24"/>
        </w:rPr>
        <w:t>请求：</w:t>
      </w:r>
      <w:r>
        <w:rPr>
          <w:rFonts w:hint="eastAsia" w:ascii="宋体" w:hAnsi="宋体" w:eastAsia="宋体" w:cs="宋体"/>
          <w:bCs/>
          <w:kern w:val="0"/>
          <w:sz w:val="24"/>
          <w:szCs w:val="24"/>
          <w:u w:val="single"/>
        </w:rPr>
        <w:t xml:space="preserve">                                                                                 </w:t>
      </w:r>
    </w:p>
    <w:p>
      <w:pPr>
        <w:spacing w:line="360" w:lineRule="auto"/>
        <w:ind w:firstLine="352" w:firstLineChars="147"/>
        <w:rPr>
          <w:rFonts w:ascii="宋体" w:hAnsi="宋体" w:eastAsia="宋体" w:cs="宋体"/>
          <w:kern w:val="0"/>
          <w:sz w:val="24"/>
          <w:szCs w:val="24"/>
        </w:rPr>
      </w:pPr>
    </w:p>
    <w:p>
      <w:pPr>
        <w:spacing w:line="360" w:lineRule="auto"/>
        <w:ind w:firstLine="472" w:firstLineChars="197"/>
        <w:rPr>
          <w:rFonts w:ascii="宋体" w:hAnsi="宋体" w:eastAsia="宋体" w:cs="宋体"/>
          <w:kern w:val="0"/>
          <w:sz w:val="24"/>
          <w:szCs w:val="24"/>
          <w:u w:val="single"/>
        </w:rPr>
      </w:pPr>
      <w:r>
        <w:rPr>
          <w:rFonts w:hint="eastAsia" w:ascii="宋体" w:hAnsi="宋体" w:eastAsia="宋体" w:cs="宋体"/>
          <w:kern w:val="0"/>
          <w:sz w:val="24"/>
          <w:szCs w:val="24"/>
        </w:rPr>
        <w:t>签字（签章）：</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 xml:space="preserve">                      公章：</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pPr>
        <w:spacing w:line="360" w:lineRule="auto"/>
        <w:ind w:firstLine="352" w:firstLineChars="147"/>
        <w:rPr>
          <w:rFonts w:ascii="宋体" w:hAnsi="宋体" w:eastAsia="宋体" w:cs="宋体"/>
          <w:kern w:val="0"/>
          <w:sz w:val="24"/>
          <w:szCs w:val="24"/>
        </w:rPr>
      </w:pPr>
    </w:p>
    <w:p>
      <w:pPr>
        <w:spacing w:line="360" w:lineRule="auto"/>
        <w:ind w:firstLine="472" w:firstLineChars="197"/>
        <w:rPr>
          <w:rFonts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bCs/>
          <w:kern w:val="0"/>
          <w:sz w:val="24"/>
          <w:szCs w:val="24"/>
        </w:rPr>
        <w:t xml:space="preserve">    </w:t>
      </w:r>
      <w:r>
        <w:rPr>
          <w:rFonts w:hint="eastAsia" w:ascii="宋体" w:hAnsi="宋体" w:eastAsia="宋体" w:cs="宋体"/>
          <w:spacing w:val="20"/>
          <w:kern w:val="0"/>
          <w:sz w:val="24"/>
          <w:szCs w:val="21"/>
          <w:u w:val="single"/>
        </w:rPr>
        <w:t xml:space="preserve"> </w:t>
      </w:r>
      <w:r>
        <w:rPr>
          <w:rFonts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年</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月</w:t>
      </w:r>
      <w:r>
        <w:rPr>
          <w:rFonts w:hint="eastAsia" w:ascii="宋体" w:hAnsi="宋体" w:eastAsia="宋体" w:cs="宋体"/>
          <w:spacing w:val="20"/>
          <w:kern w:val="0"/>
          <w:sz w:val="24"/>
          <w:szCs w:val="21"/>
          <w:u w:val="single"/>
        </w:rPr>
        <w:t xml:space="preserve">  </w:t>
      </w:r>
      <w:r>
        <w:rPr>
          <w:rFonts w:hint="eastAsia" w:ascii="宋体" w:hAnsi="宋体" w:eastAsia="宋体" w:cs="宋体"/>
          <w:spacing w:val="20"/>
          <w:kern w:val="0"/>
          <w:sz w:val="24"/>
          <w:szCs w:val="21"/>
        </w:rPr>
        <w:t>日</w:t>
      </w:r>
      <w:r>
        <w:rPr>
          <w:rFonts w:hint="eastAsia" w:ascii="宋体" w:hAnsi="宋体" w:eastAsia="宋体" w:cs="宋体"/>
          <w:bCs/>
          <w:kern w:val="0"/>
          <w:sz w:val="24"/>
          <w:szCs w:val="24"/>
        </w:rPr>
        <w:t xml:space="preserve">                                                         </w:t>
      </w:r>
    </w:p>
    <w:p>
      <w:pPr>
        <w:snapToGrid w:val="0"/>
        <w:spacing w:line="360" w:lineRule="auto"/>
        <w:rPr>
          <w:rFonts w:ascii="宋体" w:hAnsi="宋体" w:eastAsia="宋体" w:cs="宋体"/>
          <w:b/>
          <w:kern w:val="0"/>
          <w:sz w:val="24"/>
          <w:szCs w:val="24"/>
        </w:rPr>
      </w:pPr>
    </w:p>
    <w:p>
      <w:pPr>
        <w:snapToGrid w:val="0"/>
        <w:spacing w:line="360" w:lineRule="auto"/>
        <w:rPr>
          <w:rFonts w:ascii="楷体" w:hAnsi="楷体" w:eastAsia="楷体" w:cs="宋体"/>
          <w:b/>
          <w:kern w:val="0"/>
          <w:sz w:val="24"/>
          <w:szCs w:val="24"/>
        </w:rPr>
      </w:pPr>
      <w:r>
        <w:rPr>
          <w:rFonts w:hint="eastAsia" w:ascii="楷体" w:hAnsi="楷体" w:eastAsia="楷体" w:cs="宋体"/>
          <w:b/>
          <w:kern w:val="0"/>
          <w:sz w:val="24"/>
          <w:szCs w:val="24"/>
        </w:rPr>
        <w:t>说明：</w:t>
      </w:r>
    </w:p>
    <w:p>
      <w:pPr>
        <w:spacing w:line="360" w:lineRule="auto"/>
        <w:ind w:firstLine="354" w:firstLineChars="147"/>
        <w:rPr>
          <w:rFonts w:ascii="楷体" w:hAnsi="楷体" w:eastAsia="楷体" w:cs="宋体"/>
          <w:b/>
          <w:bCs/>
          <w:kern w:val="0"/>
          <w:sz w:val="24"/>
          <w:szCs w:val="24"/>
        </w:rPr>
      </w:pPr>
      <w:r>
        <w:rPr>
          <w:rFonts w:ascii="楷体" w:hAnsi="楷体" w:eastAsia="楷体" w:cs="宋体"/>
          <w:b/>
          <w:kern w:val="0"/>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kern w:val="0"/>
          <w:sz w:val="24"/>
          <w:szCs w:val="24"/>
        </w:rPr>
        <w:t>。</w:t>
      </w:r>
    </w:p>
    <w:p>
      <w:pPr>
        <w:spacing w:line="360" w:lineRule="auto"/>
        <w:ind w:firstLine="354" w:firstLineChars="147"/>
        <w:rPr>
          <w:rFonts w:ascii="楷体" w:hAnsi="楷体" w:eastAsia="楷体" w:cs="宋体"/>
          <w:b/>
          <w:kern w:val="0"/>
          <w:sz w:val="24"/>
          <w:szCs w:val="24"/>
        </w:rPr>
      </w:pPr>
      <w:r>
        <w:rPr>
          <w:rFonts w:ascii="楷体" w:hAnsi="楷体" w:eastAsia="楷体" w:cs="宋体"/>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firstLine="354" w:firstLineChars="147"/>
        <w:rPr>
          <w:rFonts w:ascii="楷体" w:hAnsi="楷体" w:eastAsia="楷体" w:cs="宋体"/>
          <w:b/>
          <w:kern w:val="0"/>
          <w:sz w:val="24"/>
          <w:szCs w:val="24"/>
        </w:rPr>
      </w:pPr>
      <w:r>
        <w:rPr>
          <w:rFonts w:ascii="楷体" w:hAnsi="楷体" w:eastAsia="楷体" w:cs="宋体"/>
          <w:b/>
          <w:kern w:val="0"/>
          <w:sz w:val="24"/>
          <w:szCs w:val="24"/>
        </w:rPr>
        <w:t>3.投诉书应简要列明质疑事项，质疑函、质疑答复等作为附件材料提供。</w:t>
      </w:r>
    </w:p>
    <w:p>
      <w:pPr>
        <w:spacing w:line="360" w:lineRule="auto"/>
        <w:ind w:firstLine="354" w:firstLineChars="147"/>
        <w:rPr>
          <w:rFonts w:ascii="楷体" w:hAnsi="楷体" w:eastAsia="楷体" w:cs="宋体"/>
          <w:b/>
          <w:kern w:val="0"/>
          <w:sz w:val="24"/>
          <w:szCs w:val="24"/>
        </w:rPr>
      </w:pPr>
      <w:r>
        <w:rPr>
          <w:rFonts w:ascii="楷体" w:hAnsi="楷体" w:eastAsia="楷体" w:cs="宋体"/>
          <w:b/>
          <w:kern w:val="0"/>
          <w:sz w:val="24"/>
          <w:szCs w:val="24"/>
        </w:rPr>
        <w:t>4.投诉书的投诉事项应具体、明确，并有必要的事实依据和法律依据。</w:t>
      </w:r>
    </w:p>
    <w:p>
      <w:pPr>
        <w:spacing w:line="360" w:lineRule="auto"/>
        <w:ind w:firstLine="354" w:firstLineChars="147"/>
        <w:rPr>
          <w:rFonts w:ascii="楷体" w:hAnsi="楷体" w:eastAsia="楷体" w:cs="宋体"/>
          <w:b/>
          <w:kern w:val="0"/>
          <w:sz w:val="24"/>
          <w:szCs w:val="24"/>
        </w:rPr>
      </w:pPr>
      <w:r>
        <w:rPr>
          <w:rFonts w:ascii="楷体" w:hAnsi="楷体" w:eastAsia="楷体" w:cs="宋体"/>
          <w:b/>
          <w:kern w:val="0"/>
          <w:sz w:val="24"/>
          <w:szCs w:val="24"/>
        </w:rPr>
        <w:t>5.投诉书的投诉请求应与投诉事项相关。</w:t>
      </w:r>
    </w:p>
    <w:p>
      <w:pPr>
        <w:spacing w:line="360" w:lineRule="auto"/>
        <w:ind w:firstLine="354" w:firstLineChars="147"/>
        <w:rPr>
          <w:rFonts w:ascii="楷体" w:hAnsi="楷体" w:eastAsia="楷体" w:cs="宋体"/>
          <w:b/>
          <w:kern w:val="0"/>
          <w:sz w:val="24"/>
          <w:szCs w:val="24"/>
        </w:rPr>
      </w:pPr>
      <w:r>
        <w:rPr>
          <w:rFonts w:ascii="楷体" w:hAnsi="楷体" w:eastAsia="楷体" w:cs="宋体"/>
          <w:b/>
          <w:kern w:val="0"/>
          <w:sz w:val="24"/>
          <w:szCs w:val="24"/>
        </w:rPr>
        <w:t>6.投诉人为法人或者其他组织的，投诉书应由法定代表人、主要负责人，或者其授权代表签字或者盖章，并加盖公章。</w:t>
      </w:r>
    </w:p>
    <w:p>
      <w:pPr>
        <w:keepNext/>
        <w:keepLines/>
        <w:spacing w:line="360" w:lineRule="auto"/>
        <w:jc w:val="center"/>
        <w:outlineLvl w:val="0"/>
        <w:rPr>
          <w:rFonts w:ascii="宋体" w:hAnsi="宋体" w:eastAsia="宋体" w:cs="宋体"/>
          <w:b/>
          <w:bCs/>
          <w:kern w:val="44"/>
          <w:sz w:val="44"/>
          <w:szCs w:val="44"/>
        </w:rPr>
      </w:pPr>
      <w:bookmarkStart w:id="34" w:name="_Toc74322013"/>
      <w:r>
        <w:rPr>
          <w:rFonts w:hint="eastAsia" w:ascii="宋体" w:hAnsi="宋体" w:eastAsia="宋体" w:cs="宋体"/>
          <w:b/>
          <w:bCs/>
          <w:kern w:val="44"/>
          <w:sz w:val="44"/>
          <w:szCs w:val="44"/>
        </w:rPr>
        <w:t>第六章 合同文本</w:t>
      </w:r>
      <w:bookmarkEnd w:id="34"/>
    </w:p>
    <w:p>
      <w:pPr>
        <w:adjustRightInd w:val="0"/>
        <w:snapToGrid w:val="0"/>
        <w:spacing w:line="360" w:lineRule="auto"/>
        <w:ind w:firstLine="420" w:firstLineChars="200"/>
        <w:rPr>
          <w:rFonts w:ascii="宋体" w:hAnsi="宋体" w:eastAsia="宋体" w:cs="宋体"/>
          <w:szCs w:val="21"/>
        </w:rPr>
      </w:pPr>
    </w:p>
    <w:p>
      <w:pPr>
        <w:spacing w:line="360" w:lineRule="auto"/>
        <w:rPr>
          <w:rFonts w:ascii="宋体" w:hAnsi="宋体" w:eastAsia="宋体" w:cs="宋体"/>
          <w:b/>
          <w:sz w:val="32"/>
          <w:szCs w:val="32"/>
        </w:rPr>
      </w:pPr>
      <w:r>
        <w:rPr>
          <w:rFonts w:hint="eastAsia" w:ascii="宋体" w:hAnsi="宋体" w:eastAsia="宋体" w:cs="宋体"/>
          <w:b/>
          <w:sz w:val="32"/>
          <w:szCs w:val="32"/>
        </w:rPr>
        <w:t>一般货物类</w:t>
      </w:r>
    </w:p>
    <w:p>
      <w:pPr>
        <w:spacing w:line="440" w:lineRule="exact"/>
        <w:rPr>
          <w:rFonts w:ascii="宋体" w:hAnsi="宋体" w:eastAsia="宋体" w:cs="宋体"/>
          <w:sz w:val="24"/>
          <w:szCs w:val="24"/>
        </w:rPr>
      </w:pPr>
      <w:r>
        <w:rPr>
          <w:rFonts w:hint="eastAsia" w:ascii="宋体" w:hAnsi="宋体" w:eastAsia="宋体" w:cs="宋体"/>
          <w:sz w:val="24"/>
          <w:szCs w:val="24"/>
        </w:rPr>
        <w:t>项目名称：荧光定量PCR仪等15种教学设备采购</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合同编号：</w:t>
      </w:r>
      <w:r>
        <w:rPr>
          <w:rFonts w:hint="eastAsia" w:ascii="宋体" w:hAnsi="宋体" w:eastAsia="宋体" w:cs="宋体"/>
          <w:sz w:val="24"/>
          <w:szCs w:val="24"/>
          <w:lang w:eastAsia="zh-CN"/>
        </w:rPr>
        <w:t>GXZC2024-J1-003779-KWZB</w:t>
      </w: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采购人（甲方）：广西大学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供应商（乙方）：   </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eastAsia="zh-CN"/>
        </w:rPr>
        <w:t>GXZC2024-J1-003779-KWZB</w:t>
      </w:r>
    </w:p>
    <w:p>
      <w:pPr>
        <w:spacing w:line="440" w:lineRule="exact"/>
        <w:rPr>
          <w:rFonts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广西壮族自治区南宁市西乡塘区</w:t>
      </w:r>
      <w:r>
        <w:rPr>
          <w:rFonts w:hint="eastAsia" w:ascii="宋体" w:hAnsi="宋体" w:eastAsia="宋体" w:cs="宋体"/>
          <w:sz w:val="24"/>
          <w:szCs w:val="24"/>
        </w:rPr>
        <w:t xml:space="preserve">  </w:t>
      </w:r>
    </w:p>
    <w:p>
      <w:pPr>
        <w:snapToGrid w:val="0"/>
        <w:spacing w:line="460" w:lineRule="exact"/>
        <w:rPr>
          <w:rFonts w:ascii="宋体" w:hAnsi="宋体" w:eastAsia="宋体" w:cs="宋体"/>
          <w:sz w:val="24"/>
          <w:szCs w:val="24"/>
        </w:rPr>
      </w:pPr>
      <w:r>
        <w:rPr>
          <w:rFonts w:hint="eastAsia" w:ascii="宋体" w:hAnsi="宋体" w:eastAsia="宋体" w:cs="宋体"/>
          <w:sz w:val="24"/>
          <w:szCs w:val="24"/>
        </w:rPr>
        <w:t>本合同为中小企业预留合同：（是</w:t>
      </w:r>
      <w:r>
        <w:rPr>
          <w:rFonts w:hint="eastAsia" w:ascii="黑体" w:hAnsi="黑体" w:eastAsia="黑体" w:cs="宋体"/>
          <w:b/>
          <w:sz w:val="24"/>
          <w:szCs w:val="24"/>
        </w:rPr>
        <w:t>□</w:t>
      </w:r>
      <w:r>
        <w:rPr>
          <w:rFonts w:hint="eastAsia" w:ascii="宋体" w:hAnsi="宋体" w:eastAsia="宋体" w:cs="宋体"/>
          <w:sz w:val="24"/>
          <w:szCs w:val="24"/>
        </w:rPr>
        <w:t>/否</w:t>
      </w:r>
      <w:r>
        <w:rPr>
          <w:rFonts w:hint="eastAsia" w:ascii="黑体" w:hAnsi="黑体" w:eastAsia="黑体" w:cs="宋体"/>
          <w:b/>
          <w:sz w:val="24"/>
          <w:szCs w:val="24"/>
        </w:rPr>
        <w:t>☑</w:t>
      </w:r>
      <w:r>
        <w:rPr>
          <w:rFonts w:hint="eastAsia" w:ascii="宋体" w:hAnsi="宋体" w:eastAsia="宋体" w:cs="宋体"/>
          <w:sz w:val="24"/>
          <w:szCs w:val="24"/>
        </w:rPr>
        <w:t>）</w:t>
      </w:r>
    </w:p>
    <w:p>
      <w:pPr>
        <w:rPr>
          <w:rFonts w:ascii="Times New Roman" w:hAnsi="Times New Roman" w:eastAsia="宋体" w:cs="Times New Roman"/>
        </w:rPr>
      </w:pPr>
    </w:p>
    <w:p>
      <w:pPr>
        <w:snapToGrid w:val="0"/>
        <w:spacing w:line="360" w:lineRule="auto"/>
        <w:ind w:firstLine="480" w:firstLineChars="200"/>
        <w:rPr>
          <w:rFonts w:ascii="宋体" w:hAnsi="宋体" w:eastAsia="宋体" w:cs="宋体"/>
          <w:sz w:val="24"/>
          <w:szCs w:val="24"/>
        </w:rPr>
      </w:pPr>
      <w:bookmarkStart w:id="35" w:name="_Hlk55381736"/>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根据《中华人民共和国政府采购法》《中华人民共和国民法典》等法律、法规规定，按照竞争性谈判采购文件规定条款和成交供应商承诺，甲乙双方签订本合同。</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第一条　合同标的</w:t>
      </w:r>
    </w:p>
    <w:p>
      <w:pPr>
        <w:snapToGrid w:val="0"/>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供货一览表</w:t>
      </w:r>
    </w:p>
    <w:tbl>
      <w:tblPr>
        <w:tblStyle w:val="22"/>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034"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货物名称</w:t>
            </w:r>
          </w:p>
        </w:tc>
        <w:tc>
          <w:tcPr>
            <w:tcW w:w="1134"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商标品牌</w:t>
            </w:r>
          </w:p>
        </w:tc>
        <w:tc>
          <w:tcPr>
            <w:tcW w:w="1276"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规格型号</w:t>
            </w:r>
          </w:p>
        </w:tc>
        <w:tc>
          <w:tcPr>
            <w:tcW w:w="113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生产厂家</w:t>
            </w:r>
          </w:p>
        </w:tc>
        <w:tc>
          <w:tcPr>
            <w:tcW w:w="99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产地</w:t>
            </w:r>
          </w:p>
        </w:tc>
        <w:tc>
          <w:tcPr>
            <w:tcW w:w="70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数  量</w:t>
            </w:r>
          </w:p>
        </w:tc>
        <w:tc>
          <w:tcPr>
            <w:tcW w:w="83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单位</w:t>
            </w:r>
          </w:p>
        </w:tc>
        <w:tc>
          <w:tcPr>
            <w:tcW w:w="172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单  价</w:t>
            </w:r>
          </w:p>
          <w:p>
            <w:pPr>
              <w:snapToGrid w:val="0"/>
              <w:jc w:val="center"/>
              <w:rPr>
                <w:rFonts w:ascii="宋体" w:hAnsi="宋体" w:eastAsia="宋体" w:cs="宋体"/>
                <w:sz w:val="24"/>
                <w:szCs w:val="24"/>
              </w:rPr>
            </w:pPr>
            <w:r>
              <w:rPr>
                <w:rFonts w:hint="eastAsia" w:ascii="宋体" w:hAnsi="宋体" w:eastAsia="宋体" w:cs="宋体"/>
                <w:sz w:val="24"/>
                <w:szCs w:val="24"/>
              </w:rPr>
              <w:t>（元/人民币）</w:t>
            </w:r>
          </w:p>
        </w:tc>
        <w:tc>
          <w:tcPr>
            <w:tcW w:w="1276"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单项合计</w:t>
            </w:r>
            <w:r>
              <w:rPr>
                <w:rFonts w:hint="eastAsia" w:ascii="宋体" w:hAnsi="宋体" w:eastAsia="宋体" w:cs="宋体"/>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1</w:t>
            </w:r>
          </w:p>
        </w:tc>
        <w:tc>
          <w:tcPr>
            <w:tcW w:w="1034" w:type="dxa"/>
            <w:vAlign w:val="center"/>
          </w:tcPr>
          <w:p>
            <w:pPr>
              <w:snapToGrid w:val="0"/>
              <w:spacing w:line="460" w:lineRule="exact"/>
              <w:jc w:val="center"/>
              <w:rPr>
                <w:rFonts w:ascii="宋体" w:hAnsi="宋体" w:eastAsia="宋体" w:cs="宋体"/>
                <w:sz w:val="24"/>
                <w:szCs w:val="24"/>
              </w:rPr>
            </w:pPr>
          </w:p>
        </w:tc>
        <w:tc>
          <w:tcPr>
            <w:tcW w:w="1134" w:type="dxa"/>
            <w:vAlign w:val="center"/>
          </w:tcPr>
          <w:p>
            <w:pPr>
              <w:snapToGrid w:val="0"/>
              <w:spacing w:line="460" w:lineRule="exact"/>
              <w:jc w:val="center"/>
              <w:rPr>
                <w:rFonts w:ascii="宋体" w:hAnsi="宋体" w:eastAsia="宋体" w:cs="宋体"/>
                <w:sz w:val="24"/>
                <w:szCs w:val="24"/>
              </w:rPr>
            </w:pPr>
          </w:p>
        </w:tc>
        <w:tc>
          <w:tcPr>
            <w:tcW w:w="1276" w:type="dxa"/>
            <w:vAlign w:val="center"/>
          </w:tcPr>
          <w:p>
            <w:pPr>
              <w:snapToGrid w:val="0"/>
              <w:spacing w:line="460" w:lineRule="exact"/>
              <w:jc w:val="center"/>
              <w:rPr>
                <w:rFonts w:ascii="宋体" w:hAnsi="宋体" w:eastAsia="宋体" w:cs="宋体"/>
                <w:sz w:val="24"/>
                <w:szCs w:val="24"/>
              </w:rPr>
            </w:pPr>
          </w:p>
        </w:tc>
        <w:tc>
          <w:tcPr>
            <w:tcW w:w="1134" w:type="dxa"/>
          </w:tcPr>
          <w:p>
            <w:pPr>
              <w:snapToGrid w:val="0"/>
              <w:spacing w:line="460" w:lineRule="exact"/>
              <w:jc w:val="center"/>
              <w:rPr>
                <w:rFonts w:ascii="宋体" w:hAnsi="宋体" w:eastAsia="宋体" w:cs="宋体"/>
                <w:sz w:val="24"/>
                <w:szCs w:val="24"/>
              </w:rPr>
            </w:pPr>
          </w:p>
        </w:tc>
        <w:tc>
          <w:tcPr>
            <w:tcW w:w="992" w:type="dxa"/>
            <w:vAlign w:val="center"/>
          </w:tcPr>
          <w:p>
            <w:pPr>
              <w:snapToGrid w:val="0"/>
              <w:spacing w:line="460" w:lineRule="exact"/>
              <w:jc w:val="center"/>
              <w:rPr>
                <w:rFonts w:ascii="宋体" w:hAnsi="宋体" w:eastAsia="宋体" w:cs="宋体"/>
                <w:sz w:val="24"/>
                <w:szCs w:val="24"/>
              </w:rPr>
            </w:pPr>
          </w:p>
        </w:tc>
        <w:tc>
          <w:tcPr>
            <w:tcW w:w="709" w:type="dxa"/>
            <w:vAlign w:val="center"/>
          </w:tcPr>
          <w:p>
            <w:pPr>
              <w:snapToGrid w:val="0"/>
              <w:spacing w:line="460" w:lineRule="exact"/>
              <w:jc w:val="center"/>
              <w:rPr>
                <w:rFonts w:ascii="宋体" w:hAnsi="宋体" w:eastAsia="宋体" w:cs="宋体"/>
                <w:sz w:val="24"/>
                <w:szCs w:val="24"/>
              </w:rPr>
            </w:pPr>
          </w:p>
        </w:tc>
        <w:tc>
          <w:tcPr>
            <w:tcW w:w="830" w:type="dxa"/>
          </w:tcPr>
          <w:p>
            <w:pPr>
              <w:snapToGrid w:val="0"/>
              <w:spacing w:line="460" w:lineRule="exact"/>
              <w:jc w:val="center"/>
              <w:rPr>
                <w:rFonts w:ascii="宋体" w:hAnsi="宋体" w:eastAsia="宋体" w:cs="宋体"/>
                <w:sz w:val="24"/>
                <w:szCs w:val="24"/>
              </w:rPr>
            </w:pPr>
          </w:p>
        </w:tc>
        <w:tc>
          <w:tcPr>
            <w:tcW w:w="1722" w:type="dxa"/>
            <w:vAlign w:val="center"/>
          </w:tcPr>
          <w:p>
            <w:pPr>
              <w:snapToGrid w:val="0"/>
              <w:spacing w:line="460" w:lineRule="exact"/>
              <w:jc w:val="center"/>
              <w:rPr>
                <w:rFonts w:ascii="宋体" w:hAnsi="宋体" w:eastAsia="宋体" w:cs="宋体"/>
                <w:sz w:val="24"/>
                <w:szCs w:val="24"/>
              </w:rPr>
            </w:pPr>
          </w:p>
        </w:tc>
        <w:tc>
          <w:tcPr>
            <w:tcW w:w="1276" w:type="dxa"/>
          </w:tcPr>
          <w:p>
            <w:pPr>
              <w:snapToGrid w:val="0"/>
              <w:spacing w:line="4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60" w:lineRule="exact"/>
              <w:jc w:val="center"/>
              <w:rPr>
                <w:rFonts w:ascii="宋体" w:hAnsi="宋体" w:eastAsia="宋体" w:cs="宋体"/>
                <w:sz w:val="24"/>
                <w:szCs w:val="24"/>
              </w:rPr>
            </w:pPr>
          </w:p>
        </w:tc>
        <w:tc>
          <w:tcPr>
            <w:tcW w:w="1034" w:type="dxa"/>
            <w:vAlign w:val="center"/>
          </w:tcPr>
          <w:p>
            <w:pPr>
              <w:snapToGrid w:val="0"/>
              <w:spacing w:line="460" w:lineRule="exact"/>
              <w:jc w:val="center"/>
              <w:rPr>
                <w:rFonts w:ascii="宋体" w:hAnsi="宋体" w:eastAsia="宋体" w:cs="宋体"/>
                <w:sz w:val="24"/>
                <w:szCs w:val="24"/>
              </w:rPr>
            </w:pPr>
          </w:p>
        </w:tc>
        <w:tc>
          <w:tcPr>
            <w:tcW w:w="1134" w:type="dxa"/>
            <w:vAlign w:val="center"/>
          </w:tcPr>
          <w:p>
            <w:pPr>
              <w:snapToGrid w:val="0"/>
              <w:spacing w:line="460" w:lineRule="exact"/>
              <w:jc w:val="center"/>
              <w:rPr>
                <w:rFonts w:ascii="宋体" w:hAnsi="宋体" w:eastAsia="宋体" w:cs="宋体"/>
                <w:sz w:val="24"/>
                <w:szCs w:val="24"/>
              </w:rPr>
            </w:pPr>
          </w:p>
        </w:tc>
        <w:tc>
          <w:tcPr>
            <w:tcW w:w="1276" w:type="dxa"/>
            <w:vAlign w:val="center"/>
          </w:tcPr>
          <w:p>
            <w:pPr>
              <w:snapToGrid w:val="0"/>
              <w:spacing w:line="460" w:lineRule="exact"/>
              <w:jc w:val="center"/>
              <w:rPr>
                <w:rFonts w:ascii="宋体" w:hAnsi="宋体" w:eastAsia="宋体" w:cs="宋体"/>
                <w:sz w:val="24"/>
                <w:szCs w:val="24"/>
              </w:rPr>
            </w:pPr>
          </w:p>
        </w:tc>
        <w:tc>
          <w:tcPr>
            <w:tcW w:w="1134" w:type="dxa"/>
          </w:tcPr>
          <w:p>
            <w:pPr>
              <w:snapToGrid w:val="0"/>
              <w:spacing w:line="460" w:lineRule="exact"/>
              <w:jc w:val="center"/>
              <w:rPr>
                <w:rFonts w:ascii="宋体" w:hAnsi="宋体" w:eastAsia="宋体" w:cs="宋体"/>
                <w:sz w:val="24"/>
                <w:szCs w:val="24"/>
              </w:rPr>
            </w:pPr>
          </w:p>
        </w:tc>
        <w:tc>
          <w:tcPr>
            <w:tcW w:w="992" w:type="dxa"/>
            <w:vAlign w:val="center"/>
          </w:tcPr>
          <w:p>
            <w:pPr>
              <w:snapToGrid w:val="0"/>
              <w:spacing w:line="460" w:lineRule="exact"/>
              <w:jc w:val="center"/>
              <w:rPr>
                <w:rFonts w:ascii="宋体" w:hAnsi="宋体" w:eastAsia="宋体" w:cs="宋体"/>
                <w:sz w:val="24"/>
                <w:szCs w:val="24"/>
              </w:rPr>
            </w:pPr>
          </w:p>
        </w:tc>
        <w:tc>
          <w:tcPr>
            <w:tcW w:w="709" w:type="dxa"/>
            <w:vAlign w:val="center"/>
          </w:tcPr>
          <w:p>
            <w:pPr>
              <w:snapToGrid w:val="0"/>
              <w:spacing w:line="460" w:lineRule="exact"/>
              <w:jc w:val="center"/>
              <w:rPr>
                <w:rFonts w:ascii="宋体" w:hAnsi="宋体" w:eastAsia="宋体" w:cs="宋体"/>
                <w:sz w:val="24"/>
                <w:szCs w:val="24"/>
              </w:rPr>
            </w:pPr>
          </w:p>
        </w:tc>
        <w:tc>
          <w:tcPr>
            <w:tcW w:w="830" w:type="dxa"/>
          </w:tcPr>
          <w:p>
            <w:pPr>
              <w:snapToGrid w:val="0"/>
              <w:spacing w:line="460" w:lineRule="exact"/>
              <w:jc w:val="center"/>
              <w:rPr>
                <w:rFonts w:ascii="宋体" w:hAnsi="宋体" w:eastAsia="宋体" w:cs="宋体"/>
                <w:sz w:val="24"/>
                <w:szCs w:val="24"/>
              </w:rPr>
            </w:pPr>
          </w:p>
        </w:tc>
        <w:tc>
          <w:tcPr>
            <w:tcW w:w="1722" w:type="dxa"/>
            <w:vAlign w:val="center"/>
          </w:tcPr>
          <w:p>
            <w:pPr>
              <w:snapToGrid w:val="0"/>
              <w:spacing w:line="460" w:lineRule="exact"/>
              <w:jc w:val="center"/>
              <w:rPr>
                <w:rFonts w:ascii="宋体" w:hAnsi="宋体" w:eastAsia="宋体" w:cs="宋体"/>
                <w:sz w:val="24"/>
                <w:szCs w:val="24"/>
              </w:rPr>
            </w:pPr>
          </w:p>
        </w:tc>
        <w:tc>
          <w:tcPr>
            <w:tcW w:w="1276" w:type="dxa"/>
          </w:tcPr>
          <w:p>
            <w:pPr>
              <w:snapToGrid w:val="0"/>
              <w:spacing w:line="4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pPr>
              <w:snapToGrid w:val="0"/>
              <w:spacing w:line="460" w:lineRule="exact"/>
              <w:jc w:val="left"/>
              <w:rPr>
                <w:rFonts w:ascii="宋体" w:hAnsi="宋体" w:eastAsia="宋体" w:cs="宋体"/>
                <w:sz w:val="24"/>
                <w:szCs w:val="24"/>
              </w:rPr>
            </w:pPr>
            <w:r>
              <w:rPr>
                <w:rFonts w:hint="eastAsia" w:ascii="宋体" w:hAnsi="宋体" w:eastAsia="宋体" w:cs="宋体"/>
                <w:sz w:val="24"/>
                <w:szCs w:val="24"/>
              </w:rPr>
              <w:t>合计金额（人民币大写</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.00</w:t>
            </w:r>
          </w:p>
        </w:tc>
      </w:tr>
    </w:tbl>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pPr>
        <w:snapToGrid w:val="0"/>
        <w:spacing w:line="460" w:lineRule="exact"/>
        <w:ind w:firstLine="482" w:firstLineChars="200"/>
        <w:rPr>
          <w:rFonts w:ascii="宋体" w:hAnsi="宋体" w:eastAsia="宋体" w:cs="宋体"/>
          <w:sz w:val="24"/>
          <w:szCs w:val="24"/>
        </w:rPr>
      </w:pPr>
      <w:r>
        <w:rPr>
          <w:rFonts w:hint="eastAsia" w:ascii="宋体" w:hAnsi="宋体" w:eastAsia="宋体" w:cs="宋体"/>
          <w:b/>
          <w:sz w:val="24"/>
          <w:szCs w:val="24"/>
        </w:rPr>
        <w:t>第二条　质量要求</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1.乙方所提供的产品名称、商标品牌、生产厂家、规格型号、技术参数等质量必须与采购文件规定及响应文件承诺相一致。乙方提供的节能和环保产品必须是列入政府采购品目清单的产品。</w:t>
      </w:r>
    </w:p>
    <w:p>
      <w:pPr>
        <w:snapToGrid w:val="0"/>
        <w:spacing w:line="4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2.乙方所提供的货物必须是全新、未使用的原装产品，且在正常安装、使用和保养条件下，其使用寿命期内各项指标均达到采购文件规定或者响应文件承诺的质量要求。</w:t>
      </w:r>
    </w:p>
    <w:p>
      <w:pPr>
        <w:snapToGrid w:val="0"/>
        <w:spacing w:line="460" w:lineRule="exact"/>
        <w:ind w:firstLine="482" w:firstLineChars="200"/>
        <w:rPr>
          <w:rFonts w:ascii="宋体" w:hAnsi="宋体" w:eastAsia="宋体" w:cs="宋体"/>
          <w:sz w:val="24"/>
          <w:szCs w:val="24"/>
        </w:rPr>
      </w:pPr>
      <w:r>
        <w:rPr>
          <w:rFonts w:hint="eastAsia" w:ascii="宋体" w:hAnsi="宋体" w:eastAsia="宋体" w:cs="宋体"/>
          <w:b/>
          <w:sz w:val="24"/>
          <w:szCs w:val="24"/>
        </w:rPr>
        <w:t>第三条　权利保证</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1.乙方应保证所提供货物在使用时不会侵犯任何第三方的专利权、商标权、工业设计权或者其他权利。</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2.乙方应按采购文件规定或者响应文件承诺的时间向甲方提供使用货物的有关技术资料。</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4.乙方保证将要交付的货物的所有权完全属于乙方且无任何抵押、质押、查封等产权瑕疵。</w:t>
      </w:r>
    </w:p>
    <w:p>
      <w:pPr>
        <w:snapToGrid w:val="0"/>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第四条　包装、运输和签收</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1.乙方提供的货物均应包装完整，每一包装单元内应附详细的装箱单和质量合格证。</w:t>
      </w:r>
    </w:p>
    <w:p>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2.货物的运输：</w:t>
      </w:r>
      <w:r>
        <w:rPr>
          <w:rFonts w:ascii="宋体" w:hAnsi="宋体" w:eastAsia="宋体" w:cs="宋体"/>
          <w:kern w:val="0"/>
          <w:sz w:val="24"/>
          <w:szCs w:val="24"/>
          <w:u w:val="single"/>
        </w:rPr>
        <w:t xml:space="preserve"> 。</w:t>
      </w:r>
    </w:p>
    <w:p>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 乙方负责货物运输，货物运输合理损耗及计算方法：</w:t>
      </w:r>
      <w:r>
        <w:rPr>
          <w:rFonts w:hint="eastAsia" w:ascii="宋体" w:hAnsi="宋体" w:eastAsia="宋体" w:cs="宋体"/>
          <w:kern w:val="0"/>
          <w:sz w:val="24"/>
          <w:szCs w:val="24"/>
          <w:u w:val="single"/>
        </w:rPr>
        <w:t>甲方不接受损耗。</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乙方应在货物发运前对其进行满足运输距离、防潮、防震、防锈和防破损装卸等要求包装，以保证货物安全运达甲方指定地点。</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 xml:space="preserve"> 使用说明书（货物属于进口产品的，供货时应同时附上中文使用说明书）、质量检验证明书、随配附件和工具以及清单一并附于货物内。</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.乙方在货物发运手续办理完毕后2</w:t>
      </w:r>
      <w:r>
        <w:rPr>
          <w:rFonts w:ascii="宋体" w:hAnsi="宋体" w:eastAsia="宋体" w:cs="宋体"/>
          <w:kern w:val="0"/>
          <w:sz w:val="24"/>
          <w:szCs w:val="24"/>
        </w:rPr>
        <w:t>4</w:t>
      </w:r>
      <w:r>
        <w:rPr>
          <w:rFonts w:hint="eastAsia" w:ascii="宋体" w:hAnsi="宋体" w:eastAsia="宋体" w:cs="宋体"/>
          <w:kern w:val="0"/>
          <w:sz w:val="24"/>
          <w:szCs w:val="24"/>
        </w:rPr>
        <w:t>小时内或者货到甲方4</w:t>
      </w:r>
      <w:r>
        <w:rPr>
          <w:rFonts w:ascii="宋体" w:hAnsi="宋体" w:eastAsia="宋体" w:cs="宋体"/>
          <w:kern w:val="0"/>
          <w:sz w:val="24"/>
          <w:szCs w:val="24"/>
        </w:rPr>
        <w:t>8</w:t>
      </w:r>
      <w:r>
        <w:rPr>
          <w:rFonts w:hint="eastAsia" w:ascii="宋体" w:hAnsi="宋体" w:eastAsia="宋体" w:cs="宋体"/>
          <w:kern w:val="0"/>
          <w:sz w:val="24"/>
          <w:szCs w:val="24"/>
        </w:rPr>
        <w:t>小时前通知甲方，以准备接货。</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7</w:t>
      </w:r>
      <w:r>
        <w:rPr>
          <w:rFonts w:hint="eastAsia" w:ascii="宋体" w:hAnsi="宋体" w:eastAsia="宋体" w:cs="宋体"/>
          <w:kern w:val="0"/>
          <w:sz w:val="24"/>
          <w:szCs w:val="24"/>
        </w:rPr>
        <w:t>.货物在规定的交付期限内由乙方送达甲方指定的地点，乙方同时需通知甲方货物已送达，甲方清点货物后签收，货物签收不作为最终验收合格的依据。</w:t>
      </w:r>
    </w:p>
    <w:p>
      <w:pPr>
        <w:snapToGrid w:val="0"/>
        <w:spacing w:line="460" w:lineRule="exact"/>
        <w:ind w:firstLine="482" w:firstLineChars="200"/>
        <w:rPr>
          <w:rFonts w:ascii="Times New Roman" w:hAnsi="宋体" w:eastAsia="宋体" w:cs="宋体"/>
          <w:b/>
          <w:sz w:val="24"/>
          <w:szCs w:val="24"/>
        </w:rPr>
      </w:pPr>
      <w:r>
        <w:rPr>
          <w:rFonts w:hint="eastAsia" w:ascii="宋体" w:hAnsi="宋体" w:eastAsia="宋体" w:cs="宋体"/>
          <w:b/>
          <w:sz w:val="24"/>
          <w:szCs w:val="24"/>
        </w:rPr>
        <w:t>第五条　</w:t>
      </w:r>
      <w:r>
        <w:rPr>
          <w:rFonts w:hint="eastAsia" w:ascii="Times New Roman" w:hAnsi="宋体" w:eastAsia="宋体" w:cs="宋体"/>
          <w:b/>
          <w:sz w:val="24"/>
          <w:szCs w:val="24"/>
        </w:rPr>
        <w:t>安装和培训</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1.甲方应提供必要安装条件（如场地、电源、水源等）。</w:t>
      </w:r>
    </w:p>
    <w:p>
      <w:pPr>
        <w:snapToGrid w:val="0"/>
        <w:spacing w:line="4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2.乙方响应文件承诺负责甲方有关人员的培训：</w:t>
      </w:r>
      <w:r>
        <w:rPr>
          <w:rFonts w:hint="eastAsia" w:ascii="宋体" w:hAnsi="宋体" w:eastAsia="宋体" w:cs="宋体"/>
          <w:sz w:val="24"/>
          <w:szCs w:val="24"/>
          <w:u w:val="single"/>
        </w:rPr>
        <w:t>根据甲方要求开展。</w:t>
      </w:r>
    </w:p>
    <w:p>
      <w:pPr>
        <w:snapToGrid w:val="0"/>
        <w:spacing w:line="460" w:lineRule="exact"/>
        <w:ind w:firstLine="480" w:firstLineChars="200"/>
        <w:rPr>
          <w:rFonts w:ascii="Times New Roman" w:hAnsi="Times New Roman" w:eastAsia="宋体" w:cs="Times New Roman"/>
          <w:szCs w:val="24"/>
        </w:rPr>
      </w:pPr>
      <w:r>
        <w:rPr>
          <w:rFonts w:hint="eastAsia" w:ascii="宋体" w:hAnsi="宋体" w:eastAsia="宋体" w:cs="宋体"/>
          <w:sz w:val="24"/>
          <w:szCs w:val="24"/>
        </w:rPr>
        <w:t>3.培训时间、地点：</w:t>
      </w:r>
      <w:r>
        <w:rPr>
          <w:rFonts w:hint="eastAsia" w:ascii="宋体" w:hAnsi="宋体" w:eastAsia="宋体" w:cs="宋体"/>
          <w:sz w:val="24"/>
          <w:szCs w:val="24"/>
          <w:u w:val="single"/>
        </w:rPr>
        <w:t>甲方指定。</w:t>
      </w:r>
    </w:p>
    <w:p>
      <w:pPr>
        <w:snapToGrid w:val="0"/>
        <w:spacing w:line="460" w:lineRule="exact"/>
        <w:ind w:firstLine="482" w:firstLineChars="200"/>
        <w:rPr>
          <w:rFonts w:ascii="宋体" w:hAnsi="宋体" w:eastAsia="宋体" w:cs="宋体"/>
          <w:sz w:val="24"/>
          <w:szCs w:val="24"/>
        </w:rPr>
      </w:pPr>
      <w:r>
        <w:rPr>
          <w:rFonts w:hint="eastAsia" w:ascii="宋体" w:hAnsi="宋体" w:eastAsia="宋体" w:cs="宋体"/>
          <w:b/>
          <w:sz w:val="24"/>
          <w:szCs w:val="24"/>
        </w:rPr>
        <w:t>第六条　调试、交付和验收</w:t>
      </w:r>
    </w:p>
    <w:p>
      <w:pPr>
        <w:snapToGrid w:val="0"/>
        <w:spacing w:line="4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1.交付时间：</w:t>
      </w:r>
      <w:r>
        <w:rPr>
          <w:rFonts w:hint="eastAsia" w:ascii="宋体" w:hAnsi="宋体" w:eastAsia="宋体" w:cs="宋体"/>
          <w:sz w:val="24"/>
          <w:szCs w:val="24"/>
          <w:u w:val="single"/>
        </w:rPr>
        <w:t>国产设备自签订合同之日起60日历天内到货安装调试完成并通过验收。进口设备自签订合同之日起150日历天内到货安装调试完成并通过验收。</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2.乙方提供不符合采购文件规定或者响应文件承诺的和本合同规定的货物，甲方有权拒绝接受。</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ascii="宋体" w:hAnsi="宋体" w:eastAsia="宋体" w:cs="宋体"/>
          <w:sz w:val="24"/>
          <w:szCs w:val="24"/>
        </w:rPr>
      </w:pPr>
      <w:r>
        <w:rPr>
          <w:rFonts w:ascii="宋体" w:hAnsi="宋体" w:eastAsia="宋体" w:cs="Times New Roman"/>
          <w:sz w:val="24"/>
          <w:szCs w:val="24"/>
        </w:rPr>
        <w:t>4.</w:t>
      </w:r>
      <w:r>
        <w:rPr>
          <w:rFonts w:hint="eastAsia" w:ascii="宋体" w:hAnsi="宋体" w:eastAsia="宋体" w:cs="宋体"/>
          <w:sz w:val="24"/>
          <w:szCs w:val="24"/>
        </w:rPr>
        <w:t>乙方应对产品作出全面检查和对验收文件进行整理，并列出清单，作为甲方验收和使用的技术条件依据，检验的结果应随货物交甲方。</w:t>
      </w:r>
    </w:p>
    <w:p>
      <w:pPr>
        <w:snapToGrid w:val="0"/>
        <w:spacing w:line="360" w:lineRule="auto"/>
        <w:ind w:firstLine="480" w:firstLineChars="200"/>
        <w:rPr>
          <w:rFonts w:ascii="宋体" w:hAnsi="宋体" w:eastAsia="宋体" w:cs="宋体"/>
          <w:kern w:val="0"/>
          <w:sz w:val="24"/>
          <w:szCs w:val="24"/>
        </w:rPr>
      </w:pPr>
      <w:r>
        <w:rPr>
          <w:rFonts w:ascii="宋体" w:hAnsi="宋体" w:eastAsia="宋体" w:cs="Times New Roman"/>
          <w:kern w:val="0"/>
          <w:sz w:val="24"/>
          <w:szCs w:val="24"/>
        </w:rPr>
        <w:t>5.</w:t>
      </w:r>
      <w:r>
        <w:rPr>
          <w:rFonts w:hint="eastAsia" w:ascii="宋体" w:hAnsi="宋体" w:eastAsia="宋体" w:cs="宋体"/>
          <w:kern w:val="0"/>
          <w:sz w:val="24"/>
          <w:szCs w:val="24"/>
        </w:rPr>
        <w:t>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乙方应当在到货并安装、调试完毕后，达到验收条件时以书面形式提请甲方进行验收，甲方应在收到验收请求后</w:t>
      </w:r>
      <w:r>
        <w:rPr>
          <w:rFonts w:ascii="宋体" w:hAnsi="宋体" w:eastAsia="宋体" w:cs="宋体"/>
          <w:sz w:val="24"/>
          <w:szCs w:val="24"/>
        </w:rPr>
        <w:t>5</w:t>
      </w:r>
      <w:r>
        <w:rPr>
          <w:rFonts w:hint="eastAsia" w:ascii="宋体" w:hAnsi="宋体" w:eastAsia="宋体" w:cs="宋体"/>
          <w:sz w:val="24"/>
          <w:szCs w:val="24"/>
        </w:rPr>
        <w:t>个工作日内组织开展履约验收。验收合格后由甲乙双方签署货物验收单并加盖甲方公章，甲乙双方各执壹份。</w:t>
      </w:r>
    </w:p>
    <w:p>
      <w:pPr>
        <w:snapToGrid w:val="0"/>
        <w:spacing w:line="360" w:lineRule="auto"/>
        <w:ind w:firstLine="480" w:firstLineChars="200"/>
        <w:rPr>
          <w:rFonts w:ascii="宋体" w:hAnsi="宋体" w:eastAsia="宋体" w:cs="宋体"/>
          <w:kern w:val="0"/>
          <w:sz w:val="24"/>
          <w:szCs w:val="24"/>
        </w:rPr>
      </w:pPr>
      <w:r>
        <w:rPr>
          <w:rFonts w:ascii="宋体" w:hAnsi="宋体" w:eastAsia="宋体" w:cs="Times New Roman"/>
          <w:kern w:val="0"/>
          <w:sz w:val="24"/>
          <w:szCs w:val="24"/>
        </w:rPr>
        <w:t>7.</w:t>
      </w:r>
      <w:r>
        <w:rPr>
          <w:rFonts w:hint="eastAsia" w:ascii="宋体" w:hAnsi="宋体" w:eastAsia="宋体" w:cs="宋体"/>
          <w:kern w:val="0"/>
          <w:sz w:val="24"/>
          <w:szCs w:val="24"/>
        </w:rPr>
        <w:t>对技术复杂的货物，甲方可请国家认可的专业检测机构参与初步验收及最终验收，并由其出具质量检测报告。</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ascii="宋体" w:hAnsi="宋体" w:eastAsia="宋体" w:cs="宋体"/>
          <w:sz w:val="24"/>
          <w:szCs w:val="24"/>
          <w:u w:val="single"/>
        </w:rPr>
      </w:pPr>
      <w:r>
        <w:rPr>
          <w:rFonts w:ascii="宋体" w:hAnsi="宋体" w:eastAsia="宋体" w:cs="宋体"/>
          <w:sz w:val="24"/>
          <w:szCs w:val="24"/>
        </w:rPr>
        <w:t>9.</w:t>
      </w:r>
      <w:r>
        <w:rPr>
          <w:rFonts w:hint="eastAsia" w:ascii="宋体" w:hAnsi="宋体" w:eastAsia="宋体" w:cs="宋体"/>
          <w:sz w:val="24"/>
          <w:szCs w:val="24"/>
        </w:rPr>
        <w:t>甲方对验收有异议的，在验收后</w:t>
      </w:r>
      <w:r>
        <w:rPr>
          <w:rFonts w:ascii="宋体" w:hAnsi="宋体" w:eastAsia="宋体" w:cs="宋体"/>
          <w:sz w:val="24"/>
          <w:szCs w:val="24"/>
        </w:rPr>
        <w:t>5</w:t>
      </w:r>
      <w:r>
        <w:rPr>
          <w:rFonts w:hint="eastAsia" w:ascii="宋体" w:hAnsi="宋体" w:eastAsia="宋体" w:cs="宋体"/>
          <w:sz w:val="24"/>
          <w:szCs w:val="24"/>
        </w:rPr>
        <w:t>个工作日内以书面形式向乙方提出，乙方应自收到甲方书面异议后</w:t>
      </w:r>
      <w:r>
        <w:rPr>
          <w:rFonts w:ascii="宋体" w:hAnsi="宋体" w:eastAsia="宋体" w:cs="宋体"/>
          <w:sz w:val="24"/>
          <w:szCs w:val="24"/>
        </w:rPr>
        <w:t>7</w:t>
      </w:r>
      <w:r>
        <w:rPr>
          <w:rFonts w:hint="eastAsia" w:ascii="宋体" w:hAnsi="宋体" w:eastAsia="宋体" w:cs="宋体"/>
          <w:sz w:val="24"/>
          <w:szCs w:val="24"/>
        </w:rPr>
        <w:t>日内及时予以解决。</w:t>
      </w:r>
    </w:p>
    <w:p>
      <w:pPr>
        <w:snapToGrid w:val="0"/>
        <w:spacing w:line="360" w:lineRule="auto"/>
        <w:ind w:left="-61" w:firstLine="514"/>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验收时乙方必须在现场，验收完毕后作出验收结果报告；验收过程所产生的一切费用均由乙方承担。</w:t>
      </w:r>
    </w:p>
    <w:p>
      <w:pPr>
        <w:snapToGrid w:val="0"/>
        <w:spacing w:line="360" w:lineRule="auto"/>
        <w:ind w:left="-61" w:firstLine="514"/>
        <w:rPr>
          <w:rFonts w:ascii="Times New Roman"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货物在交付甲方前发生的风险均由乙方负责。</w:t>
      </w:r>
    </w:p>
    <w:p>
      <w:pPr>
        <w:spacing w:after="120"/>
        <w:ind w:firstLine="480" w:firstLineChars="200"/>
        <w:rPr>
          <w:rFonts w:ascii="Times New Roman" w:hAnsi="Times New Roman" w:eastAsia="宋体" w:cs="Times New Roman"/>
          <w:szCs w:val="24"/>
        </w:rPr>
      </w:pPr>
      <w:r>
        <w:rPr>
          <w:rFonts w:ascii="宋体" w:hAnsi="宋体" w:eastAsia="宋体" w:cs="宋体"/>
          <w:sz w:val="24"/>
          <w:szCs w:val="24"/>
        </w:rPr>
        <w:t>12.</w:t>
      </w:r>
      <w:r>
        <w:rPr>
          <w:rFonts w:hint="eastAsia" w:ascii="宋体" w:hAnsi="宋体" w:eastAsia="宋体" w:cs="宋体"/>
          <w:sz w:val="24"/>
          <w:szCs w:val="24"/>
        </w:rPr>
        <w:t>本合同的验收条款与采购需求商务条款中的货物验收条款互为补充。</w:t>
      </w:r>
    </w:p>
    <w:p>
      <w:pPr>
        <w:snapToGrid w:val="0"/>
        <w:spacing w:line="360" w:lineRule="auto"/>
        <w:ind w:left="-61" w:firstLine="514"/>
        <w:rPr>
          <w:rFonts w:ascii="宋体" w:hAnsi="宋体" w:eastAsia="宋体" w:cs="宋体"/>
          <w:b/>
          <w:sz w:val="24"/>
          <w:szCs w:val="24"/>
        </w:rPr>
      </w:pPr>
      <w:r>
        <w:rPr>
          <w:rFonts w:hint="eastAsia" w:ascii="宋体" w:hAnsi="宋体" w:eastAsia="宋体" w:cs="宋体"/>
          <w:b/>
          <w:sz w:val="24"/>
          <w:szCs w:val="24"/>
        </w:rPr>
        <w:t>第七条　付款方式</w:t>
      </w:r>
    </w:p>
    <w:p>
      <w:pPr>
        <w:snapToGrid w:val="0"/>
        <w:spacing w:line="360" w:lineRule="auto"/>
        <w:ind w:left="-61" w:firstLine="514"/>
        <w:rPr>
          <w:rFonts w:ascii="宋体" w:hAnsi="宋体" w:eastAsia="宋体" w:cs="宋体"/>
          <w:sz w:val="24"/>
          <w:szCs w:val="24"/>
          <w:u w:val="single"/>
        </w:rPr>
      </w:pPr>
      <w:r>
        <w:rPr>
          <w:rFonts w:hint="eastAsia" w:ascii="宋体" w:hAnsi="宋体" w:eastAsia="宋体" w:cs="宋体"/>
          <w:sz w:val="24"/>
          <w:szCs w:val="24"/>
          <w:u w:val="single"/>
        </w:rPr>
        <w:t>1.国产设备付款：本项目无预付款</w:t>
      </w:r>
      <w:r>
        <w:rPr>
          <w:rFonts w:ascii="宋体" w:hAnsi="宋体" w:eastAsia="宋体" w:cs="宋体"/>
          <w:sz w:val="24"/>
          <w:szCs w:val="24"/>
          <w:u w:val="single"/>
        </w:rPr>
        <w:t>,全部货物安装调试完毕并经验收合格后,甲方一次性向乙方支付全部合同款（无息）；付款前，乙方开具等额增值税专用发票给</w:t>
      </w:r>
      <w:r>
        <w:rPr>
          <w:rFonts w:hint="eastAsia" w:ascii="宋体" w:hAnsi="宋体" w:eastAsia="宋体" w:cs="宋体"/>
          <w:sz w:val="24"/>
          <w:szCs w:val="24"/>
          <w:u w:val="single"/>
        </w:rPr>
        <w:t>甲方</w:t>
      </w:r>
      <w:r>
        <w:rPr>
          <w:rFonts w:ascii="宋体" w:hAnsi="宋体" w:eastAsia="宋体" w:cs="宋体"/>
          <w:sz w:val="24"/>
          <w:szCs w:val="24"/>
          <w:u w:val="single"/>
        </w:rPr>
        <w:t>。</w:t>
      </w:r>
    </w:p>
    <w:p>
      <w:pPr>
        <w:snapToGrid w:val="0"/>
        <w:spacing w:line="360" w:lineRule="auto"/>
        <w:ind w:left="-61" w:firstLine="514"/>
        <w:rPr>
          <w:rFonts w:ascii="宋体" w:hAnsi="宋体" w:eastAsia="宋体" w:cs="宋体"/>
          <w:sz w:val="24"/>
          <w:szCs w:val="24"/>
          <w:u w:val="single"/>
        </w:rPr>
      </w:pPr>
      <w:r>
        <w:rPr>
          <w:rFonts w:hint="eastAsia" w:ascii="宋体" w:hAnsi="宋体" w:eastAsia="宋体" w:cs="宋体"/>
          <w:sz w:val="24"/>
          <w:szCs w:val="24"/>
          <w:u w:val="single"/>
        </w:rPr>
        <w:t>2.进口设备付款：本项目外贸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pPr>
        <w:snapToGrid w:val="0"/>
        <w:spacing w:line="360" w:lineRule="auto"/>
        <w:ind w:left="-61" w:firstLine="514"/>
        <w:rPr>
          <w:rFonts w:ascii="宋体" w:hAnsi="宋体" w:eastAsia="宋体" w:cs="宋体"/>
          <w:sz w:val="24"/>
          <w:szCs w:val="24"/>
        </w:rPr>
      </w:pPr>
      <w:r>
        <w:rPr>
          <w:rFonts w:hint="eastAsia" w:ascii="宋体" w:hAnsi="宋体" w:eastAsia="宋体" w:cs="宋体"/>
          <w:sz w:val="24"/>
          <w:szCs w:val="24"/>
          <w:u w:val="single"/>
        </w:rPr>
        <w:t>3.依法不能办理免税的进口设备按国产设备付款方式支付</w:t>
      </w:r>
      <w:r>
        <w:rPr>
          <w:rFonts w:hint="eastAsia" w:ascii="宋体" w:hAnsi="宋体" w:eastAsia="宋体" w:cs="宋体"/>
          <w:sz w:val="24"/>
          <w:szCs w:val="24"/>
        </w:rPr>
        <w:t>。</w:t>
      </w:r>
    </w:p>
    <w:p>
      <w:pPr>
        <w:snapToGrid w:val="0"/>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第八条　履约保证金</w:t>
      </w:r>
    </w:p>
    <w:p>
      <w:pPr>
        <w:snapToGrid w:val="0"/>
        <w:spacing w:line="460" w:lineRule="exact"/>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1.履约保证金金额：</w:t>
      </w:r>
      <w:r>
        <w:rPr>
          <w:rFonts w:hint="eastAsia" w:ascii="宋体" w:hAnsi="宋体" w:eastAsia="宋体" w:cs="宋体"/>
          <w:sz w:val="24"/>
          <w:szCs w:val="24"/>
          <w:u w:val="single"/>
          <w:lang w:eastAsia="zh-Hans"/>
        </w:rPr>
        <w:t>合同金额的</w:t>
      </w:r>
      <w:r>
        <w:rPr>
          <w:rFonts w:hint="eastAsia" w:ascii="宋体" w:hAnsi="宋体" w:eastAsia="宋体" w:cs="宋体"/>
          <w:sz w:val="24"/>
          <w:szCs w:val="24"/>
          <w:u w:val="single"/>
        </w:rPr>
        <w:t xml:space="preserve">  %（</w:t>
      </w:r>
      <w:r>
        <w:rPr>
          <w:rFonts w:ascii="宋体" w:hAnsi="宋体" w:eastAsia="宋体" w:cs="宋体"/>
          <w:sz w:val="24"/>
          <w:szCs w:val="24"/>
          <w:u w:val="single"/>
        </w:rPr>
        <w:t>¥</w:t>
      </w:r>
      <w:r>
        <w:rPr>
          <w:rFonts w:hint="eastAsia" w:ascii="宋体" w:hAnsi="宋体" w:eastAsia="宋体" w:cs="宋体"/>
          <w:sz w:val="24"/>
          <w:szCs w:val="24"/>
          <w:u w:val="single"/>
        </w:rPr>
        <w:t xml:space="preserve">   </w:t>
      </w:r>
      <w:r>
        <w:rPr>
          <w:rFonts w:ascii="宋体" w:hAnsi="宋体" w:eastAsia="宋体" w:cs="宋体"/>
          <w:sz w:val="24"/>
          <w:szCs w:val="24"/>
          <w:u w:val="single"/>
        </w:rPr>
        <w:t>.**</w:t>
      </w:r>
      <w:r>
        <w:rPr>
          <w:rFonts w:hint="eastAsia" w:ascii="宋体" w:hAnsi="宋体" w:eastAsia="宋体" w:cs="宋体"/>
          <w:sz w:val="24"/>
          <w:szCs w:val="24"/>
          <w:u w:val="single"/>
        </w:rPr>
        <w:t>）</w:t>
      </w:r>
      <w:r>
        <w:rPr>
          <w:rFonts w:hint="eastAsia" w:ascii="宋体" w:hAnsi="宋体" w:eastAsia="宋体" w:cs="宋体"/>
          <w:sz w:val="24"/>
          <w:szCs w:val="24"/>
        </w:rPr>
        <w:t>，</w:t>
      </w:r>
      <w:r>
        <w:rPr>
          <w:rFonts w:hint="eastAsia" w:ascii="宋体" w:hAnsi="宋体" w:eastAsia="宋体" w:cs="宋体"/>
          <w:sz w:val="24"/>
          <w:szCs w:val="24"/>
          <w:u w:val="single"/>
        </w:rPr>
        <w:t xml:space="preserve">即人民币（大写）   </w:t>
      </w:r>
      <w:r>
        <w:rPr>
          <w:rFonts w:ascii="宋体" w:hAnsi="宋体" w:eastAsia="宋体" w:cs="宋体"/>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乙方在签订合同前交至指定账户，否则不予签订合同【履约保证金缴纳时须备注项目编号及项目名称：</w:t>
      </w:r>
      <w:r>
        <w:rPr>
          <w:rFonts w:hint="eastAsia" w:ascii="宋体" w:hAnsi="宋体" w:eastAsia="宋体" w:cs="宋体"/>
          <w:sz w:val="24"/>
          <w:szCs w:val="24"/>
          <w:u w:val="single"/>
          <w:lang w:eastAsia="zh-CN"/>
        </w:rPr>
        <w:t>GXZC2024-J1-003779-KWZB</w:t>
      </w:r>
      <w:r>
        <w:rPr>
          <w:rFonts w:hint="eastAsia" w:ascii="宋体" w:hAnsi="宋体" w:eastAsia="宋体" w:cs="宋体"/>
          <w:sz w:val="24"/>
          <w:szCs w:val="24"/>
          <w:u w:val="single"/>
        </w:rPr>
        <w:t>（荧光定量PCR仪等15种教学设备采购）</w:t>
      </w:r>
      <w:r>
        <w:rPr>
          <w:rFonts w:hint="eastAsia" w:ascii="宋体" w:hAnsi="宋体" w:eastAsia="宋体" w:cs="宋体"/>
          <w:sz w:val="24"/>
          <w:szCs w:val="24"/>
        </w:rPr>
        <w:t>履约保证金。</w:t>
      </w:r>
      <w:r>
        <w:rPr>
          <w:rFonts w:hint="eastAsia" w:ascii="宋体" w:hAnsi="宋体" w:eastAsia="宋体" w:cs="宋体"/>
          <w:sz w:val="24"/>
          <w:szCs w:val="24"/>
          <w:u w:val="single"/>
        </w:rPr>
        <w:t>】</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2.履约保证金递交方式：银行转账、电汇或者银行出具的保函等非现金方式。由乙方在签订合同前按规定的金额直接缴入以下甲方账户。凭履约保证金缴纳凭证签订合同。</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履约保证金退付方式、时间及条件：乙方若不能完全履行合同，履约保证金不予退还；乙方若完全履行合同，货物验收合格后，乙方凭履约保证金缴款凭证、退付意见书到甲方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4.备注：</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（1）履约保证金不足额缴纳的，或银行出具的保函额度不足的或者银行保函有效期低于合同履行期限（即签订采购合同之日起至履行完合同约定的权利及义务之日止）的，不予签订合同。</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（2）采用银行出具的保函的，必须为无条件的银行保函，否则不予签订合同。</w:t>
      </w:r>
    </w:p>
    <w:p>
      <w:pPr>
        <w:snapToGrid w:val="0"/>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履约保证金缴纳时须明确备注</w:t>
      </w:r>
      <w:r>
        <w:rPr>
          <w:rFonts w:hint="eastAsia" w:ascii="宋体" w:hAnsi="宋体" w:eastAsia="宋体" w:cs="宋体"/>
          <w:b/>
          <w:sz w:val="24"/>
          <w:szCs w:val="24"/>
        </w:rPr>
        <w:t>：</w:t>
      </w:r>
      <w:r>
        <w:rPr>
          <w:rFonts w:hint="eastAsia" w:ascii="宋体" w:hAnsi="宋体" w:eastAsia="宋体" w:cs="宋体"/>
          <w:b/>
          <w:sz w:val="24"/>
          <w:szCs w:val="24"/>
          <w:u w:val="single"/>
          <w:lang w:eastAsia="zh-CN"/>
        </w:rPr>
        <w:t>GXZC2024-J1-003779-KWZB</w:t>
      </w:r>
      <w:r>
        <w:rPr>
          <w:rFonts w:hint="eastAsia" w:ascii="宋体" w:hAnsi="宋体" w:eastAsia="宋体" w:cs="宋体"/>
          <w:b/>
          <w:sz w:val="24"/>
          <w:szCs w:val="24"/>
          <w:u w:val="single"/>
        </w:rPr>
        <w:t>（荧光定量PCR仪等15种教学设备采购）</w:t>
      </w:r>
      <w:r>
        <w:rPr>
          <w:rFonts w:hint="eastAsia" w:ascii="宋体" w:hAnsi="宋体" w:eastAsia="宋体" w:cs="宋体"/>
          <w:b/>
          <w:sz w:val="24"/>
          <w:szCs w:val="24"/>
        </w:rPr>
        <w:t>履约保证金。</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（4）甲方账户信息如下：</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统一社会信用代码：124500004985009929</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户名： 广西大学</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开户行：中国银行广西南宁市西大支行（行号：104611010324）</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账号： 618 457 484 938</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地址：广西壮族自治区南宁市大学东路100号  联系电话：3232888</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签订合同后，如乙方不按双方签订的合同规定履约，则其全部履约保证金甲方不予退还；履约保证金不足以赔偿甲方损失的，按实际损失赔偿。</w:t>
      </w:r>
    </w:p>
    <w:p>
      <w:pPr>
        <w:snapToGrid w:val="0"/>
        <w:spacing w:line="460" w:lineRule="exact"/>
        <w:ind w:firstLine="514"/>
        <w:rPr>
          <w:rFonts w:ascii="宋体" w:hAnsi="宋体" w:eastAsia="宋体" w:cs="宋体"/>
          <w:b/>
          <w:sz w:val="24"/>
          <w:szCs w:val="24"/>
        </w:rPr>
      </w:pPr>
      <w:r>
        <w:rPr>
          <w:rFonts w:hint="eastAsia" w:ascii="宋体" w:hAnsi="宋体" w:eastAsia="宋体" w:cs="宋体"/>
          <w:b/>
          <w:sz w:val="24"/>
          <w:szCs w:val="24"/>
        </w:rPr>
        <w:t>第九条  税费</w:t>
      </w:r>
    </w:p>
    <w:p>
      <w:pPr>
        <w:snapToGrid w:val="0"/>
        <w:spacing w:line="460" w:lineRule="exact"/>
        <w:ind w:firstLine="514"/>
        <w:rPr>
          <w:rFonts w:ascii="宋体" w:hAnsi="宋体" w:eastAsia="宋体" w:cs="宋体"/>
          <w:sz w:val="24"/>
          <w:szCs w:val="24"/>
        </w:rPr>
      </w:pPr>
      <w:r>
        <w:rPr>
          <w:rFonts w:hint="eastAsia" w:ascii="宋体" w:hAnsi="宋体" w:eastAsia="宋体" w:cs="宋体"/>
          <w:sz w:val="24"/>
          <w:szCs w:val="24"/>
        </w:rPr>
        <w:t>本合同执行中相关的一切税费均由乙方负担，合同另有约定的除外。</w:t>
      </w:r>
    </w:p>
    <w:p>
      <w:pPr>
        <w:snapToGrid w:val="0"/>
        <w:spacing w:line="460" w:lineRule="exact"/>
        <w:ind w:firstLine="514"/>
        <w:rPr>
          <w:rFonts w:ascii="宋体" w:hAnsi="宋体" w:eastAsia="宋体" w:cs="宋体"/>
          <w:sz w:val="24"/>
          <w:szCs w:val="24"/>
        </w:rPr>
      </w:pPr>
      <w:r>
        <w:rPr>
          <w:rFonts w:hint="eastAsia" w:ascii="宋体" w:hAnsi="宋体" w:eastAsia="宋体" w:cs="宋体"/>
          <w:b/>
          <w:sz w:val="24"/>
          <w:szCs w:val="24"/>
        </w:rPr>
        <w:t>第十条  质量保证、售后服务</w:t>
      </w:r>
    </w:p>
    <w:p>
      <w:pPr>
        <w:snapToGrid w:val="0"/>
        <w:spacing w:line="460" w:lineRule="exact"/>
        <w:ind w:firstLine="480" w:firstLineChars="200"/>
        <w:rPr>
          <w:rFonts w:ascii="宋体" w:hAnsi="宋体" w:eastAsia="宋体" w:cs="宋体"/>
          <w:bCs/>
          <w:kern w:val="0"/>
          <w:sz w:val="24"/>
          <w:szCs w:val="24"/>
        </w:rPr>
      </w:pPr>
      <w:r>
        <w:rPr>
          <w:rFonts w:hint="eastAsia" w:ascii="Times New Roman" w:hAnsi="宋体" w:eastAsia="宋体" w:cs="宋体"/>
          <w:sz w:val="24"/>
          <w:szCs w:val="24"/>
        </w:rPr>
        <w:t>1</w:t>
      </w:r>
      <w:r>
        <w:rPr>
          <w:rFonts w:hint="eastAsia" w:ascii="宋体" w:hAnsi="宋体" w:eastAsia="宋体" w:cs="宋体"/>
          <w:bCs/>
          <w:kern w:val="0"/>
          <w:sz w:val="24"/>
          <w:szCs w:val="24"/>
        </w:rPr>
        <w:t>.乙方应按照国家有关法律法规和“三包”规定以及采购文件要求、响应文件承诺和本合同所附的《售后服务承诺》，为甲方提供售后服务。</w:t>
      </w:r>
    </w:p>
    <w:p>
      <w:pPr>
        <w:snapToGrid w:val="0"/>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2.乙方应按采购文件规定的设备和软件性能、技术要求、质量标准向甲方提供未经使用的全新产品。对达不到要求者，根据实际情况，经双方协商，可按以下办法处理：</w:t>
      </w:r>
    </w:p>
    <w:p>
      <w:pPr>
        <w:snapToGrid w:val="0"/>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（1）更换：由乙方承担所发生的全部费用。</w:t>
      </w:r>
    </w:p>
    <w:p>
      <w:pPr>
        <w:snapToGrid w:val="0"/>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（2）贬值处理：由甲乙双方合议定价。</w:t>
      </w:r>
    </w:p>
    <w:p>
      <w:pPr>
        <w:snapToGrid w:val="0"/>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（3）退货处理：乙方应退还甲方支付的合同款，同时应承担该货物的直接费用（运输、保险、检验、货款利息及银行手续费等）。</w:t>
      </w:r>
    </w:p>
    <w:p>
      <w:pPr>
        <w:snapToGrid w:val="0"/>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如果双方不能就上述第（1）、（2）项达成协议，则甲方有权单方选择第（3）项方式。</w:t>
      </w:r>
    </w:p>
    <w:p>
      <w:pPr>
        <w:snapToGrid w:val="0"/>
        <w:spacing w:line="460" w:lineRule="exact"/>
        <w:ind w:firstLine="480" w:firstLineChars="200"/>
        <w:rPr>
          <w:rFonts w:ascii="宋体" w:hAnsi="宋体" w:eastAsia="宋体" w:cs="宋体"/>
          <w:bCs/>
          <w:kern w:val="0"/>
          <w:sz w:val="24"/>
          <w:szCs w:val="24"/>
        </w:rPr>
      </w:pPr>
      <w:r>
        <w:rPr>
          <w:rFonts w:ascii="宋体" w:hAnsi="宋体" w:eastAsia="宋体" w:cs="宋体"/>
          <w:bCs/>
          <w:kern w:val="0"/>
          <w:sz w:val="24"/>
          <w:szCs w:val="24"/>
        </w:rPr>
        <w:t>3</w:t>
      </w:r>
      <w:r>
        <w:rPr>
          <w:rFonts w:hint="eastAsia" w:ascii="宋体" w:hAnsi="宋体" w:eastAsia="宋体" w:cs="宋体"/>
          <w:bCs/>
          <w:kern w:val="0"/>
          <w:sz w:val="24"/>
          <w:szCs w:val="24"/>
        </w:rPr>
        <w:t>.乙方提供的服务承诺和售后服务及质量保证期责任等其他具体约定事项（见合同附件）。</w:t>
      </w:r>
    </w:p>
    <w:p>
      <w:pPr>
        <w:snapToGrid w:val="0"/>
        <w:spacing w:line="460" w:lineRule="exact"/>
        <w:ind w:firstLine="480" w:firstLineChars="200"/>
        <w:rPr>
          <w:rFonts w:ascii="宋体" w:hAnsi="宋体" w:eastAsia="宋体" w:cs="宋体"/>
          <w:bCs/>
          <w:kern w:val="0"/>
          <w:sz w:val="24"/>
          <w:szCs w:val="24"/>
        </w:rPr>
      </w:pPr>
      <w:r>
        <w:rPr>
          <w:rFonts w:ascii="Times New Roman" w:hAnsi="宋体" w:eastAsia="宋体" w:cs="宋体"/>
          <w:sz w:val="24"/>
          <w:szCs w:val="24"/>
        </w:rPr>
        <w:t>4</w:t>
      </w:r>
      <w:r>
        <w:rPr>
          <w:rFonts w:hint="eastAsia" w:ascii="宋体" w:hAnsi="宋体" w:eastAsia="宋体" w:cs="宋体"/>
          <w:bCs/>
          <w:kern w:val="0"/>
          <w:sz w:val="24"/>
          <w:szCs w:val="24"/>
        </w:rPr>
        <w:t>.乙方除承担运输、安装、调试、验收与培训等义务外，还将为甲方提供技术支持，包括质量保证期外的技术指导。</w:t>
      </w:r>
    </w:p>
    <w:p>
      <w:pPr>
        <w:snapToGrid w:val="0"/>
        <w:spacing w:line="460" w:lineRule="exact"/>
        <w:ind w:firstLine="480" w:firstLineChars="200"/>
        <w:rPr>
          <w:rFonts w:ascii="宋体" w:hAnsi="宋体" w:eastAsia="宋体" w:cs="宋体"/>
          <w:bCs/>
          <w:kern w:val="0"/>
          <w:sz w:val="24"/>
          <w:szCs w:val="24"/>
        </w:rPr>
      </w:pPr>
      <w:r>
        <w:rPr>
          <w:rFonts w:ascii="Times New Roman" w:hAnsi="宋体" w:eastAsia="宋体" w:cs="宋体"/>
          <w:sz w:val="24"/>
          <w:szCs w:val="24"/>
        </w:rPr>
        <w:t>5</w:t>
      </w:r>
      <w:r>
        <w:rPr>
          <w:rFonts w:hint="eastAsia" w:ascii="宋体" w:hAnsi="宋体" w:eastAsia="宋体" w:cs="宋体"/>
          <w:bCs/>
          <w:kern w:val="0"/>
          <w:sz w:val="24"/>
          <w:szCs w:val="24"/>
        </w:rPr>
        <w:t>.在质保期内，乙方应对货物出现的质量及安全问题负责处理解决并承担一切费用。</w:t>
      </w:r>
    </w:p>
    <w:p>
      <w:pPr>
        <w:snapToGrid w:val="0"/>
        <w:spacing w:line="460" w:lineRule="exact"/>
        <w:ind w:firstLine="480" w:firstLineChars="200"/>
        <w:rPr>
          <w:rFonts w:ascii="宋体" w:hAnsi="宋体" w:eastAsia="宋体" w:cs="宋体"/>
          <w:bCs/>
          <w:kern w:val="0"/>
          <w:sz w:val="24"/>
          <w:szCs w:val="24"/>
        </w:rPr>
      </w:pPr>
      <w:r>
        <w:rPr>
          <w:rFonts w:ascii="Times New Roman" w:hAnsi="宋体" w:eastAsia="宋体" w:cs="宋体"/>
          <w:sz w:val="24"/>
          <w:szCs w:val="24"/>
        </w:rPr>
        <w:t>6</w:t>
      </w:r>
      <w:r>
        <w:rPr>
          <w:rFonts w:hint="eastAsia" w:ascii="宋体" w:hAnsi="宋体" w:eastAsia="宋体" w:cs="宋体"/>
          <w:bCs/>
          <w:kern w:val="0"/>
          <w:sz w:val="24"/>
          <w:szCs w:val="24"/>
        </w:rPr>
        <w:t>.超过质量保证期的机器设备，终身维修，维修时只收部件成本费。</w:t>
      </w:r>
    </w:p>
    <w:p>
      <w:pPr>
        <w:snapToGrid w:val="0"/>
        <w:spacing w:line="460" w:lineRule="exact"/>
        <w:ind w:firstLine="480" w:firstLineChars="200"/>
        <w:rPr>
          <w:rFonts w:ascii="宋体" w:hAnsi="宋体" w:eastAsia="宋体" w:cs="宋体"/>
          <w:sz w:val="24"/>
          <w:szCs w:val="24"/>
        </w:rPr>
      </w:pPr>
      <w:r>
        <w:rPr>
          <w:rFonts w:ascii="Times New Roman" w:hAnsi="宋体" w:eastAsia="宋体" w:cs="宋体"/>
          <w:sz w:val="24"/>
          <w:szCs w:val="24"/>
        </w:rPr>
        <w:t>7</w:t>
      </w:r>
      <w:r>
        <w:rPr>
          <w:rFonts w:hint="eastAsia" w:ascii="宋体" w:hAnsi="宋体" w:eastAsia="宋体" w:cs="宋体"/>
          <w:bCs/>
          <w:kern w:val="0"/>
          <w:sz w:val="24"/>
          <w:szCs w:val="24"/>
        </w:rPr>
        <w:t>.货物质量保证期：</w:t>
      </w:r>
      <w:r>
        <w:rPr>
          <w:rFonts w:hint="eastAsia" w:ascii="宋体" w:hAnsi="宋体" w:eastAsia="宋体" w:cs="宋体"/>
          <w:sz w:val="24"/>
          <w:szCs w:val="24"/>
          <w:u w:val="single"/>
        </w:rPr>
        <w:t>按国家有关产品“三包”规定执行“三包”，质量保证期不少于1年（质量保证期自货物验收合格之日起计。分项货物或配置有明确要求的按分项要求；生产厂家承诺的</w:t>
      </w:r>
      <w:r>
        <w:rPr>
          <w:rFonts w:hint="eastAsia" w:ascii="宋体" w:hAnsi="宋体" w:eastAsia="宋体" w:cs="宋体"/>
          <w:bCs/>
          <w:kern w:val="0"/>
          <w:sz w:val="24"/>
          <w:szCs w:val="24"/>
          <w:u w:val="single"/>
        </w:rPr>
        <w:t>质量保证期</w:t>
      </w:r>
      <w:r>
        <w:rPr>
          <w:rFonts w:hint="eastAsia" w:ascii="宋体" w:hAnsi="宋体" w:eastAsia="宋体" w:cs="宋体"/>
          <w:sz w:val="24"/>
          <w:szCs w:val="24"/>
          <w:u w:val="single"/>
        </w:rPr>
        <w:t>更长的按生产厂家的承诺；</w:t>
      </w:r>
      <w:r>
        <w:rPr>
          <w:rFonts w:hint="eastAsia" w:ascii="宋体" w:hAnsi="宋体" w:eastAsia="宋体" w:cs="宋体"/>
          <w:bCs/>
          <w:kern w:val="0"/>
          <w:sz w:val="24"/>
          <w:szCs w:val="24"/>
          <w:u w:val="single"/>
        </w:rPr>
        <w:t>乙方响应文件承诺更优的，以乙方响应文件承诺为准</w:t>
      </w:r>
      <w:r>
        <w:rPr>
          <w:rFonts w:hint="eastAsia" w:ascii="宋体" w:hAnsi="宋体" w:eastAsia="宋体" w:cs="宋体"/>
          <w:sz w:val="24"/>
          <w:szCs w:val="24"/>
          <w:u w:val="single"/>
        </w:rPr>
        <w:t>）</w:t>
      </w:r>
      <w:r>
        <w:rPr>
          <w:rFonts w:hint="eastAsia" w:ascii="宋体" w:hAnsi="宋体" w:eastAsia="宋体" w:cs="宋体"/>
          <w:bCs/>
          <w:kern w:val="0"/>
          <w:sz w:val="24"/>
          <w:szCs w:val="24"/>
          <w:u w:val="single"/>
        </w:rPr>
        <w:t>。</w:t>
      </w:r>
    </w:p>
    <w:p>
      <w:pPr>
        <w:snapToGrid w:val="0"/>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第十一条　违约责任</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向甲方支付违约货款额 5%违约金并赔偿甲方经济损失。                                       </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2.乙方提供的货物如侵犯了第三方合法权益而引发的任何纠纷或者诉讼，均由乙方负责交涉并承担全部责任。</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3.因包装、运输引起的货物损坏，按质量不合格处理。</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4.合同一方不履行合同义务、履行合同义务不符合约定或者违反合同项下所作保证的，应向对方承担继续履行、采取修理、更换、退货等补救措施或者赔偿损失等违约责任。</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5.乙方未能按时交付货物的，应向甲方支付迟延交付违约金。迟延交付违约金的计算方法如下：</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（1）从迟交的第1日到第3</w:t>
      </w:r>
      <w:r>
        <w:rPr>
          <w:rFonts w:ascii="宋体" w:hAnsi="宋体" w:eastAsia="宋体" w:cs="宋体"/>
          <w:kern w:val="0"/>
          <w:sz w:val="24"/>
          <w:szCs w:val="24"/>
        </w:rPr>
        <w:t>0</w:t>
      </w:r>
      <w:r>
        <w:rPr>
          <w:rFonts w:hint="eastAsia" w:ascii="宋体" w:hAnsi="宋体" w:eastAsia="宋体" w:cs="宋体"/>
          <w:kern w:val="0"/>
          <w:sz w:val="24"/>
          <w:szCs w:val="24"/>
        </w:rPr>
        <w:t>日，每日迟延交付违约金为合同总价的 1.5‰；</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（2）从迟交的第3</w:t>
      </w:r>
      <w:r>
        <w:rPr>
          <w:rFonts w:ascii="宋体" w:hAnsi="宋体" w:eastAsia="宋体" w:cs="宋体"/>
          <w:kern w:val="0"/>
          <w:sz w:val="24"/>
          <w:szCs w:val="24"/>
        </w:rPr>
        <w:t>1</w:t>
      </w:r>
      <w:r>
        <w:rPr>
          <w:rFonts w:hint="eastAsia" w:ascii="宋体" w:hAnsi="宋体" w:eastAsia="宋体" w:cs="宋体"/>
          <w:kern w:val="0"/>
          <w:sz w:val="24"/>
          <w:szCs w:val="24"/>
        </w:rPr>
        <w:t>到第6</w:t>
      </w:r>
      <w:r>
        <w:rPr>
          <w:rFonts w:ascii="宋体" w:hAnsi="宋体" w:eastAsia="宋体" w:cs="宋体"/>
          <w:kern w:val="0"/>
          <w:sz w:val="24"/>
          <w:szCs w:val="24"/>
        </w:rPr>
        <w:t>0</w:t>
      </w:r>
      <w:r>
        <w:rPr>
          <w:rFonts w:hint="eastAsia" w:ascii="宋体" w:hAnsi="宋体" w:eastAsia="宋体" w:cs="宋体"/>
          <w:kern w:val="0"/>
          <w:sz w:val="24"/>
          <w:szCs w:val="24"/>
        </w:rPr>
        <w:t>日，每日迟延交付违约金为合同总价的 3‰；</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（3）从迟交的第6</w:t>
      </w:r>
      <w:r>
        <w:rPr>
          <w:rFonts w:ascii="宋体" w:hAnsi="宋体" w:eastAsia="宋体" w:cs="宋体"/>
          <w:kern w:val="0"/>
          <w:sz w:val="24"/>
          <w:szCs w:val="24"/>
        </w:rPr>
        <w:t>1</w:t>
      </w:r>
      <w:r>
        <w:rPr>
          <w:rFonts w:hint="eastAsia" w:ascii="宋体" w:hAnsi="宋体" w:eastAsia="宋体" w:cs="宋体"/>
          <w:kern w:val="0"/>
          <w:sz w:val="24"/>
          <w:szCs w:val="24"/>
        </w:rPr>
        <w:t>日起，每日迟延交付违约金为合同总价的5‰。</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（4）迟延交付违约金的总额不得超过合同总价的30%。迟延交付违约金的支付不能免除乙方继续交付相关合同货物的义务，但如迟延交付必然导致合同货物安装、调试、验收等工作推迟的，相关工作应相应顺延。</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6.甲方未能按合同约定支付合同价款的，应向乙方支付延迟付款违约金。迟延付款违约金的计算方法如下：</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（1）从迟交的第1日到第3</w:t>
      </w:r>
      <w:r>
        <w:rPr>
          <w:rFonts w:ascii="宋体" w:hAnsi="宋体" w:eastAsia="宋体" w:cs="宋体"/>
          <w:kern w:val="0"/>
          <w:sz w:val="24"/>
          <w:szCs w:val="24"/>
        </w:rPr>
        <w:t>0</w:t>
      </w:r>
      <w:r>
        <w:rPr>
          <w:rFonts w:hint="eastAsia" w:ascii="宋体" w:hAnsi="宋体" w:eastAsia="宋体" w:cs="宋体"/>
          <w:kern w:val="0"/>
          <w:sz w:val="24"/>
          <w:szCs w:val="24"/>
        </w:rPr>
        <w:t>日，每日迟延付款违约金为迟延付款金额的1.5‰；</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（2）从迟交的第3</w:t>
      </w:r>
      <w:r>
        <w:rPr>
          <w:rFonts w:ascii="宋体" w:hAnsi="宋体" w:eastAsia="宋体" w:cs="宋体"/>
          <w:kern w:val="0"/>
          <w:sz w:val="24"/>
          <w:szCs w:val="24"/>
        </w:rPr>
        <w:t>1</w:t>
      </w:r>
      <w:r>
        <w:rPr>
          <w:rFonts w:hint="eastAsia" w:ascii="宋体" w:hAnsi="宋体" w:eastAsia="宋体" w:cs="宋体"/>
          <w:kern w:val="0"/>
          <w:sz w:val="24"/>
          <w:szCs w:val="24"/>
        </w:rPr>
        <w:t>日到第60日，每日迟延付款违约金为迟延付款金额的3‰；</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（3）从迟交的第6</w:t>
      </w:r>
      <w:r>
        <w:rPr>
          <w:rFonts w:ascii="宋体" w:hAnsi="宋体" w:eastAsia="宋体" w:cs="宋体"/>
          <w:kern w:val="0"/>
          <w:sz w:val="24"/>
          <w:szCs w:val="24"/>
        </w:rPr>
        <w:t>1</w:t>
      </w:r>
      <w:r>
        <w:rPr>
          <w:rFonts w:hint="eastAsia" w:ascii="宋体" w:hAnsi="宋体" w:eastAsia="宋体" w:cs="宋体"/>
          <w:kern w:val="0"/>
          <w:sz w:val="24"/>
          <w:szCs w:val="24"/>
        </w:rPr>
        <w:t>日起，每日迟延付款违约金为迟延付款金额的 5‰。迟延付款违约金的总额不得超过迟延付款金额的30% 。</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7.乙方未按本合同和响应文件承诺提供售后服务的，乙方应按本合同总价的5%向甲方支付违约金。</w:t>
      </w:r>
    </w:p>
    <w:p>
      <w:pPr>
        <w:snapToGrid w:val="0"/>
        <w:spacing w:line="440" w:lineRule="exact"/>
        <w:ind w:firstLine="480" w:firstLineChars="200"/>
        <w:rPr>
          <w:rFonts w:ascii="宋体" w:hAnsi="宋体" w:eastAsia="宋体" w:cs="宋体"/>
          <w:kern w:val="0"/>
          <w:sz w:val="24"/>
          <w:szCs w:val="24"/>
        </w:rPr>
      </w:pPr>
      <w:r>
        <w:rPr>
          <w:rFonts w:ascii="宋体" w:hAnsi="宋体" w:eastAsia="宋体" w:cs="Times New Roman"/>
          <w:kern w:val="0"/>
          <w:sz w:val="24"/>
          <w:szCs w:val="24"/>
        </w:rPr>
        <w:t>8.</w:t>
      </w:r>
      <w:r>
        <w:rPr>
          <w:rFonts w:hint="eastAsia" w:ascii="宋体" w:hAnsi="宋体" w:eastAsia="宋体" w:cs="Times New Roman"/>
          <w:kern w:val="0"/>
          <w:sz w:val="24"/>
          <w:szCs w:val="24"/>
        </w:rPr>
        <w:t>乙方违约，甲方对本合同享有单方解除权。</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.因某一方</w:t>
      </w:r>
      <w:r>
        <w:rPr>
          <w:rFonts w:hint="eastAsia" w:ascii="宋体" w:hAnsi="宋体" w:eastAsia="宋体" w:cs="Times New Roman"/>
          <w:bCs/>
          <w:kern w:val="0"/>
          <w:sz w:val="24"/>
          <w:szCs w:val="21"/>
          <w:shd w:val="clear" w:color="auto" w:fill="FFFFFF"/>
        </w:rPr>
        <w:t>单方面</w:t>
      </w:r>
      <w:r>
        <w:rPr>
          <w:rFonts w:hint="eastAsia" w:ascii="宋体" w:hAnsi="宋体" w:eastAsia="宋体" w:cs="宋体"/>
          <w:kern w:val="0"/>
          <w:sz w:val="24"/>
          <w:szCs w:val="24"/>
        </w:rPr>
        <w:t>原因导致变更、中止或者终止</w:t>
      </w:r>
      <w:bookmarkStart w:id="36" w:name="_Hlk123747227"/>
      <w:r>
        <w:rPr>
          <w:rFonts w:hint="eastAsia" w:ascii="宋体" w:hAnsi="宋体" w:eastAsia="宋体" w:cs="Times New Roman"/>
          <w:bCs/>
          <w:kern w:val="0"/>
          <w:sz w:val="24"/>
          <w:szCs w:val="21"/>
          <w:shd w:val="clear" w:color="auto" w:fill="FFFFFF"/>
        </w:rPr>
        <w:t>本</w:t>
      </w:r>
      <w:bookmarkEnd w:id="36"/>
      <w:r>
        <w:rPr>
          <w:rFonts w:hint="eastAsia" w:ascii="宋体" w:hAnsi="宋体" w:eastAsia="宋体" w:cs="宋体"/>
          <w:kern w:val="0"/>
          <w:sz w:val="24"/>
          <w:szCs w:val="24"/>
        </w:rPr>
        <w:t>合同的，该方应当对另一方</w:t>
      </w:r>
      <w:r>
        <w:rPr>
          <w:rFonts w:hint="eastAsia" w:ascii="宋体" w:hAnsi="宋体" w:eastAsia="宋体" w:cs="Times New Roman"/>
          <w:bCs/>
          <w:kern w:val="0"/>
          <w:sz w:val="24"/>
          <w:szCs w:val="21"/>
          <w:shd w:val="clear" w:color="auto" w:fill="FFFFFF"/>
        </w:rPr>
        <w:t>因此</w:t>
      </w:r>
      <w:r>
        <w:rPr>
          <w:rFonts w:hint="eastAsia" w:ascii="宋体" w:hAnsi="宋体" w:eastAsia="宋体" w:cs="宋体"/>
          <w:kern w:val="0"/>
          <w:sz w:val="24"/>
          <w:szCs w:val="24"/>
        </w:rPr>
        <w:t>受到的损失予以赔偿或者补偿。</w:t>
      </w:r>
    </w:p>
    <w:p>
      <w:pPr>
        <w:snapToGrid w:val="0"/>
        <w:spacing w:line="440" w:lineRule="exact"/>
        <w:ind w:firstLine="480" w:firstLineChars="200"/>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.乙方提供的货物在质量保证期内，因设计、工艺或者材料的缺陷和其它质量原因造成的问题，由乙方负责，费用从余款或者履约保证金中扣除，不足另补。</w:t>
      </w:r>
    </w:p>
    <w:p>
      <w:pPr>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.甲乙双方有其他违约行为的，由违约方向对方支付违约货款额的5%，违约货款额的5%不足以赔偿经济损失的按实际损失赔偿。</w:t>
      </w:r>
    </w:p>
    <w:p>
      <w:pPr>
        <w:snapToGrid w:val="0"/>
        <w:spacing w:line="44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.其他违约责任按《中华人民共和国民法典》处理。</w:t>
      </w:r>
    </w:p>
    <w:p>
      <w:pPr>
        <w:snapToGrid w:val="0"/>
        <w:spacing w:line="460" w:lineRule="exact"/>
        <w:ind w:firstLine="472" w:firstLineChars="196"/>
        <w:rPr>
          <w:rFonts w:ascii="宋体" w:hAnsi="宋体" w:eastAsia="宋体" w:cs="宋体"/>
          <w:b/>
          <w:bCs/>
          <w:kern w:val="0"/>
          <w:sz w:val="24"/>
          <w:szCs w:val="24"/>
        </w:rPr>
      </w:pPr>
      <w:r>
        <w:rPr>
          <w:rFonts w:hint="eastAsia" w:ascii="宋体" w:hAnsi="宋体" w:eastAsia="宋体" w:cs="宋体"/>
          <w:b/>
          <w:bCs/>
          <w:kern w:val="0"/>
          <w:sz w:val="24"/>
          <w:szCs w:val="24"/>
        </w:rPr>
        <w:t>第十二条  不可抗力事件处理</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1.在合同有效期内，任何一方因不可抗力事件导致不能履行合同，则合同履行期可延长，其延长期与不可抗力影响期相同。</w:t>
      </w:r>
    </w:p>
    <w:p>
      <w:pPr>
        <w:snapToGrid w:val="0"/>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2.不可抗力事件发生后，应立即通知对方，并寄送有关权威机构出具的证明。</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3.不可抗力事件延续</w:t>
      </w:r>
      <w:r>
        <w:rPr>
          <w:rFonts w:ascii="宋体" w:hAnsi="宋体" w:eastAsia="宋体" w:cs="宋体"/>
          <w:sz w:val="24"/>
          <w:szCs w:val="24"/>
        </w:rPr>
        <w:t>60</w:t>
      </w:r>
      <w:r>
        <w:rPr>
          <w:rFonts w:hint="eastAsia" w:ascii="宋体" w:hAnsi="宋体" w:eastAsia="宋体" w:cs="宋体"/>
          <w:sz w:val="24"/>
          <w:szCs w:val="24"/>
        </w:rPr>
        <w:t>天以上，双方应通过友好协商，确定是否继续履行合同。</w:t>
      </w:r>
    </w:p>
    <w:p>
      <w:pPr>
        <w:snapToGrid w:val="0"/>
        <w:spacing w:line="460" w:lineRule="exact"/>
        <w:ind w:firstLine="482" w:firstLineChars="200"/>
        <w:rPr>
          <w:rFonts w:ascii="宋体" w:hAnsi="宋体" w:eastAsia="宋体" w:cs="宋体"/>
          <w:sz w:val="24"/>
          <w:szCs w:val="24"/>
        </w:rPr>
      </w:pPr>
      <w:r>
        <w:rPr>
          <w:rFonts w:hint="eastAsia" w:ascii="宋体" w:hAnsi="宋体" w:eastAsia="宋体" w:cs="宋体"/>
          <w:b/>
          <w:sz w:val="24"/>
          <w:szCs w:val="24"/>
        </w:rPr>
        <w:t>第十三条  合同争议解决</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2.因履行本合同引起的或者与本合同有关的争议，甲乙双方应首先通过友好协商解决，如果协商不能解决，任何一方可向甲方所在地有管辖权的人民法院提起诉讼。</w:t>
      </w:r>
    </w:p>
    <w:p>
      <w:pPr>
        <w:snapToGrid w:val="0"/>
        <w:spacing w:line="460" w:lineRule="exact"/>
        <w:ind w:firstLine="514"/>
        <w:rPr>
          <w:rFonts w:ascii="宋体" w:hAnsi="宋体" w:eastAsia="宋体" w:cs="宋体"/>
          <w:sz w:val="24"/>
          <w:szCs w:val="24"/>
        </w:rPr>
      </w:pPr>
      <w:r>
        <w:rPr>
          <w:rFonts w:hint="eastAsia" w:ascii="宋体" w:hAnsi="宋体" w:eastAsia="宋体" w:cs="宋体"/>
          <w:sz w:val="24"/>
          <w:szCs w:val="24"/>
        </w:rPr>
        <w:t>3.诉讼期间，本合同无争议部分须继续履行。</w:t>
      </w:r>
    </w:p>
    <w:p>
      <w:pPr>
        <w:snapToGrid w:val="0"/>
        <w:spacing w:line="460" w:lineRule="exact"/>
        <w:ind w:firstLine="472" w:firstLineChars="196"/>
        <w:rPr>
          <w:rFonts w:ascii="宋体" w:hAnsi="宋体" w:eastAsia="宋体" w:cs="宋体"/>
          <w:b/>
          <w:kern w:val="0"/>
          <w:sz w:val="24"/>
          <w:szCs w:val="24"/>
        </w:rPr>
      </w:pPr>
      <w:r>
        <w:rPr>
          <w:rFonts w:hint="eastAsia" w:ascii="宋体" w:hAnsi="宋体" w:eastAsia="宋体" w:cs="宋体"/>
          <w:b/>
          <w:kern w:val="0"/>
          <w:sz w:val="24"/>
          <w:szCs w:val="24"/>
        </w:rPr>
        <w:t>第十四条  合同生效及其他</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1.合同经双方法定代表人或者委托代理人签字并加盖单位公章后生效（委托代理人签字的需后附授权委托书，格式自拟）。</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2.本合同未尽事宜，遵照《中华人民共和国民法典》有关条文执行。</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napToGrid w:val="0"/>
        <w:spacing w:line="460" w:lineRule="exact"/>
        <w:ind w:firstLine="482" w:firstLineChars="200"/>
        <w:rPr>
          <w:rFonts w:ascii="宋体" w:hAnsi="宋体" w:eastAsia="宋体" w:cs="宋体"/>
          <w:b/>
          <w:sz w:val="24"/>
          <w:szCs w:val="24"/>
        </w:rPr>
      </w:pPr>
      <w:r>
        <w:rPr>
          <w:rFonts w:hint="eastAsia" w:ascii="宋体" w:hAnsi="宋体" w:eastAsia="宋体" w:cs="宋体"/>
          <w:b/>
          <w:sz w:val="24"/>
          <w:szCs w:val="24"/>
        </w:rPr>
        <w:t>第十五条　合同的变更、终止与转让</w:t>
      </w:r>
    </w:p>
    <w:p>
      <w:pPr>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1.除《中华人民共和国政府采购法》第五十条规定的情形外，本合同一经签订，甲乙双方不得擅自变更、中止或者终止。</w:t>
      </w:r>
    </w:p>
    <w:p>
      <w:pPr>
        <w:snapToGrid w:val="0"/>
        <w:spacing w:line="460" w:lineRule="exact"/>
        <w:ind w:firstLine="514"/>
        <w:rPr>
          <w:rFonts w:ascii="宋体" w:hAnsi="宋体" w:eastAsia="宋体" w:cs="宋体"/>
          <w:sz w:val="24"/>
          <w:szCs w:val="24"/>
        </w:rPr>
      </w:pPr>
      <w:r>
        <w:rPr>
          <w:rFonts w:hint="eastAsia" w:ascii="宋体" w:hAnsi="宋体" w:eastAsia="宋体" w:cs="宋体"/>
          <w:sz w:val="24"/>
          <w:szCs w:val="24"/>
        </w:rPr>
        <w:t>2.乙方不得擅自转让其应履行的合同义务。</w:t>
      </w:r>
    </w:p>
    <w:p>
      <w:pPr>
        <w:snapToGrid w:val="0"/>
        <w:spacing w:line="460" w:lineRule="exact"/>
        <w:ind w:firstLine="472" w:firstLineChars="196"/>
        <w:rPr>
          <w:rFonts w:ascii="宋体" w:hAnsi="宋体" w:eastAsia="宋体" w:cs="宋体"/>
          <w:kern w:val="0"/>
          <w:sz w:val="24"/>
          <w:szCs w:val="24"/>
        </w:rPr>
      </w:pPr>
      <w:r>
        <w:rPr>
          <w:rFonts w:hint="eastAsia" w:ascii="宋体" w:hAnsi="宋体" w:eastAsia="宋体" w:cs="宋体"/>
          <w:b/>
          <w:kern w:val="0"/>
          <w:sz w:val="24"/>
          <w:szCs w:val="24"/>
        </w:rPr>
        <w:t>第十六条　</w:t>
      </w:r>
      <w:r>
        <w:rPr>
          <w:rFonts w:hint="eastAsia" w:ascii="宋体" w:hAnsi="宋体" w:eastAsia="宋体" w:cs="宋体"/>
          <w:spacing w:val="-2"/>
          <w:kern w:val="0"/>
          <w:sz w:val="24"/>
          <w:szCs w:val="24"/>
        </w:rPr>
        <w:t>本</w:t>
      </w:r>
      <w:r>
        <w:rPr>
          <w:rFonts w:hint="eastAsia" w:ascii="宋体" w:hAnsi="宋体" w:eastAsia="宋体" w:cs="宋体"/>
          <w:kern w:val="0"/>
          <w:sz w:val="24"/>
          <w:szCs w:val="24"/>
        </w:rPr>
        <w:t>合同书</w:t>
      </w:r>
      <w:r>
        <w:rPr>
          <w:rFonts w:hint="eastAsia" w:ascii="宋体" w:hAnsi="宋体" w:eastAsia="宋体" w:cs="宋体"/>
          <w:spacing w:val="-2"/>
          <w:kern w:val="0"/>
          <w:sz w:val="24"/>
          <w:szCs w:val="24"/>
        </w:rPr>
        <w:t>与</w:t>
      </w:r>
      <w:r>
        <w:rPr>
          <w:rFonts w:hint="eastAsia" w:ascii="宋体" w:hAnsi="宋体" w:eastAsia="宋体" w:cs="宋体"/>
          <w:kern w:val="0"/>
          <w:sz w:val="24"/>
          <w:szCs w:val="24"/>
        </w:rPr>
        <w:t>下</w:t>
      </w:r>
      <w:r>
        <w:rPr>
          <w:rFonts w:hint="eastAsia" w:ascii="宋体" w:hAnsi="宋体" w:eastAsia="宋体" w:cs="宋体"/>
          <w:spacing w:val="-2"/>
          <w:kern w:val="0"/>
          <w:sz w:val="24"/>
          <w:szCs w:val="24"/>
        </w:rPr>
        <w:t>列</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件一</w:t>
      </w:r>
      <w:r>
        <w:rPr>
          <w:rFonts w:hint="eastAsia" w:ascii="宋体" w:hAnsi="宋体" w:eastAsia="宋体" w:cs="宋体"/>
          <w:kern w:val="0"/>
          <w:sz w:val="24"/>
          <w:szCs w:val="24"/>
        </w:rPr>
        <w:t>起构</w:t>
      </w:r>
      <w:r>
        <w:rPr>
          <w:rFonts w:hint="eastAsia" w:ascii="宋体" w:hAnsi="宋体" w:eastAsia="宋体" w:cs="宋体"/>
          <w:spacing w:val="-2"/>
          <w:kern w:val="0"/>
          <w:sz w:val="24"/>
          <w:szCs w:val="24"/>
        </w:rPr>
        <w:t>成</w:t>
      </w:r>
      <w:r>
        <w:rPr>
          <w:rFonts w:hint="eastAsia" w:ascii="宋体" w:hAnsi="宋体" w:eastAsia="宋体" w:cs="宋体"/>
          <w:kern w:val="0"/>
          <w:sz w:val="24"/>
          <w:szCs w:val="24"/>
        </w:rPr>
        <w:t>合</w:t>
      </w:r>
      <w:r>
        <w:rPr>
          <w:rFonts w:hint="eastAsia" w:ascii="宋体" w:hAnsi="宋体" w:eastAsia="宋体" w:cs="宋体"/>
          <w:spacing w:val="-2"/>
          <w:kern w:val="0"/>
          <w:sz w:val="24"/>
          <w:szCs w:val="24"/>
        </w:rPr>
        <w:t>同</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1.成交通知书</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2.采购需求</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1"/>
        </w:rPr>
        <w:t>参与竞争性谈判</w:t>
      </w:r>
      <w:r>
        <w:rPr>
          <w:rFonts w:hint="eastAsia" w:ascii="宋体" w:hAnsi="宋体" w:eastAsia="宋体" w:cs="宋体"/>
          <w:kern w:val="0"/>
          <w:sz w:val="24"/>
          <w:szCs w:val="24"/>
        </w:rPr>
        <w:t>声明函</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1"/>
        </w:rPr>
        <w:t>竞争性谈判</w:t>
      </w:r>
      <w:r>
        <w:rPr>
          <w:rFonts w:hint="eastAsia" w:ascii="宋体" w:hAnsi="宋体" w:eastAsia="宋体" w:cs="宋体"/>
          <w:kern w:val="0"/>
          <w:sz w:val="24"/>
          <w:szCs w:val="24"/>
        </w:rPr>
        <w:t>报价表及货物配置清单</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5.商务要求偏离表和技术要求偏离表</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6.售后服务承诺</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7.其他合同文件</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上述合同文件互相补充和解释。如果合同文件之间存在矛盾或者不一致之处，以上述文件的排列顺序在先者为准。</w:t>
      </w:r>
    </w:p>
    <w:p>
      <w:pPr>
        <w:snapToGrid w:val="0"/>
        <w:spacing w:line="460" w:lineRule="exact"/>
        <w:ind w:firstLine="472" w:firstLineChars="196"/>
        <w:rPr>
          <w:rFonts w:ascii="宋体" w:hAnsi="宋体" w:eastAsia="宋体" w:cs="宋体"/>
          <w:kern w:val="0"/>
          <w:sz w:val="24"/>
          <w:szCs w:val="21"/>
        </w:rPr>
      </w:pPr>
      <w:r>
        <w:rPr>
          <w:rFonts w:hint="eastAsia" w:ascii="宋体" w:hAnsi="宋体" w:eastAsia="宋体" w:cs="宋体"/>
          <w:b/>
          <w:kern w:val="0"/>
          <w:sz w:val="24"/>
          <w:szCs w:val="21"/>
        </w:rPr>
        <w:t>第十七条　</w:t>
      </w:r>
      <w:r>
        <w:rPr>
          <w:rFonts w:hint="eastAsia" w:ascii="宋体" w:hAnsi="宋体" w:eastAsia="宋体" w:cs="宋体"/>
          <w:kern w:val="0"/>
          <w:sz w:val="24"/>
          <w:szCs w:val="24"/>
        </w:rPr>
        <w:t>本合同一式柒份，具有同等法律效力，甲方伍份，乙方壹份，采购代理机构壹份。</w:t>
      </w:r>
    </w:p>
    <w:p>
      <w:pPr>
        <w:snapToGrid w:val="0"/>
        <w:spacing w:line="46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（以下无正文）</w:t>
      </w:r>
    </w:p>
    <w:p>
      <w:pPr>
        <w:snapToGrid w:val="0"/>
        <w:spacing w:line="460" w:lineRule="exact"/>
        <w:ind w:firstLine="470" w:firstLineChars="196"/>
        <w:rPr>
          <w:rFonts w:ascii="宋体" w:hAnsi="宋体" w:eastAsia="宋体" w:cs="宋体"/>
          <w:kern w:val="0"/>
          <w:sz w:val="24"/>
          <w:szCs w:val="21"/>
        </w:rPr>
      </w:pPr>
    </w:p>
    <w:bookmarkEnd w:id="35"/>
    <w:tbl>
      <w:tblPr>
        <w:tblStyle w:val="2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 xml:space="preserve">甲方（章）           </w:t>
            </w:r>
          </w:p>
          <w:p>
            <w:pPr>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广西大学</w:t>
            </w:r>
          </w:p>
          <w:p>
            <w:pPr>
              <w:snapToGrid w:val="0"/>
              <w:spacing w:line="460" w:lineRule="exact"/>
              <w:ind w:firstLine="1080" w:firstLineChars="450"/>
              <w:jc w:val="right"/>
              <w:rPr>
                <w:rFonts w:ascii="宋体" w:hAnsi="宋体" w:eastAsia="宋体" w:cs="宋体"/>
                <w:sz w:val="24"/>
                <w:szCs w:val="24"/>
              </w:rPr>
            </w:pPr>
            <w:r>
              <w:rPr>
                <w:rFonts w:hint="eastAsia" w:ascii="宋体" w:hAnsi="宋体" w:eastAsia="宋体" w:cs="宋体"/>
                <w:sz w:val="24"/>
                <w:szCs w:val="24"/>
              </w:rPr>
              <w:t>年   月   日</w:t>
            </w:r>
          </w:p>
        </w:tc>
        <w:tc>
          <w:tcPr>
            <w:tcW w:w="4360"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 xml:space="preserve">乙方（章）              </w:t>
            </w:r>
          </w:p>
          <w:p>
            <w:pPr>
              <w:snapToGrid w:val="0"/>
              <w:spacing w:line="46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单位地址：广西壮族自治区南宁市大学东路100号</w:t>
            </w:r>
          </w:p>
        </w:tc>
        <w:tc>
          <w:tcPr>
            <w:tcW w:w="4360" w:type="dxa"/>
            <w:vAlign w:val="center"/>
          </w:tcPr>
          <w:p>
            <w:pPr>
              <w:widowControl/>
              <w:spacing w:line="460" w:lineRule="exact"/>
              <w:rPr>
                <w:rFonts w:ascii="宋体" w:hAnsi="宋体" w:eastAsia="宋体" w:cs="宋体"/>
                <w:kern w:val="0"/>
                <w:sz w:val="24"/>
                <w:szCs w:val="24"/>
              </w:rPr>
            </w:pPr>
            <w:r>
              <w:rPr>
                <w:rFonts w:hint="eastAsia" w:ascii="宋体" w:hAnsi="宋体" w:eastAsia="宋体" w:cs="宋体"/>
                <w:kern w:val="0"/>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法定代表人（签字）：</w:t>
            </w:r>
          </w:p>
        </w:tc>
        <w:tc>
          <w:tcPr>
            <w:tcW w:w="4360"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委托代理人（签字）：</w:t>
            </w:r>
          </w:p>
        </w:tc>
        <w:tc>
          <w:tcPr>
            <w:tcW w:w="4360"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eastAsia="宋体" w:cs="宋体"/>
                <w:sz w:val="24"/>
                <w:szCs w:val="24"/>
              </w:rPr>
            </w:pPr>
            <w:r>
              <w:rPr>
                <w:rFonts w:hint="eastAsia" w:ascii="宋体" w:hAnsi="宋体" w:eastAsia="宋体" w:cs="宋体"/>
                <w:sz w:val="24"/>
                <w:szCs w:val="24"/>
              </w:rPr>
              <w:t>电话：</w:t>
            </w:r>
            <w:r>
              <w:rPr>
                <w:rFonts w:ascii="宋体" w:hAnsi="宋体" w:eastAsia="宋体" w:cs="宋体"/>
                <w:sz w:val="24"/>
                <w:szCs w:val="24"/>
              </w:rPr>
              <w:t>0771-</w:t>
            </w:r>
            <w:r>
              <w:rPr>
                <w:rFonts w:hint="eastAsia" w:ascii="宋体" w:hAnsi="宋体" w:eastAsia="宋体" w:cs="宋体"/>
                <w:sz w:val="24"/>
                <w:szCs w:val="24"/>
              </w:rPr>
              <w:t>3274121</w:t>
            </w:r>
          </w:p>
        </w:tc>
        <w:tc>
          <w:tcPr>
            <w:tcW w:w="4360" w:type="dxa"/>
            <w:vAlign w:val="center"/>
          </w:tcPr>
          <w:p>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eastAsia="宋体" w:cs="宋体"/>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snapToGrid w:val="0"/>
              <w:spacing w:line="460" w:lineRule="exact"/>
              <w:rPr>
                <w:rFonts w:ascii="宋体" w:hAnsi="宋体" w:eastAsia="宋体" w:cs="宋体"/>
                <w:kern w:val="0"/>
                <w:sz w:val="24"/>
                <w:szCs w:val="24"/>
              </w:rPr>
            </w:pPr>
            <w:r>
              <w:rPr>
                <w:rFonts w:hint="eastAsia" w:ascii="宋体" w:hAnsi="宋体" w:eastAsia="宋体" w:cs="宋体"/>
                <w:kern w:val="0"/>
                <w:sz w:val="24"/>
                <w:szCs w:val="24"/>
              </w:rPr>
              <w:t>电子邮箱：gxdxsbk@163.com</w:t>
            </w:r>
          </w:p>
        </w:tc>
        <w:tc>
          <w:tcPr>
            <w:tcW w:w="4360" w:type="dxa"/>
            <w:vAlign w:val="center"/>
          </w:tcPr>
          <w:p>
            <w:pPr>
              <w:snapToGrid w:val="0"/>
              <w:spacing w:line="460" w:lineRule="exact"/>
              <w:rPr>
                <w:rFonts w:ascii="宋体" w:hAnsi="宋体" w:eastAsia="宋体" w:cs="宋体"/>
                <w:kern w:val="0"/>
                <w:sz w:val="24"/>
                <w:szCs w:val="24"/>
              </w:rPr>
            </w:pPr>
            <w:r>
              <w:rPr>
                <w:rFonts w:hint="eastAsia" w:ascii="宋体" w:hAnsi="宋体" w:eastAsia="宋体" w:cs="宋体"/>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pPr>
              <w:snapToGrid w:val="0"/>
              <w:spacing w:line="460" w:lineRule="exact"/>
              <w:rPr>
                <w:rFonts w:ascii="宋体" w:hAnsi="宋体" w:eastAsia="宋体" w:cs="宋体"/>
                <w:kern w:val="0"/>
                <w:sz w:val="24"/>
                <w:szCs w:val="24"/>
              </w:rPr>
            </w:pPr>
            <w:r>
              <w:rPr>
                <w:rFonts w:hint="eastAsia" w:ascii="宋体" w:hAnsi="宋体" w:eastAsia="宋体" w:cs="宋体"/>
                <w:kern w:val="0"/>
                <w:sz w:val="24"/>
                <w:szCs w:val="24"/>
              </w:rPr>
              <w:t>开户银行：中国银行广西南宁市西大支行</w:t>
            </w:r>
          </w:p>
        </w:tc>
        <w:tc>
          <w:tcPr>
            <w:tcW w:w="436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账号：6184 5748 4938</w:t>
            </w:r>
          </w:p>
        </w:tc>
        <w:tc>
          <w:tcPr>
            <w:tcW w:w="436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邮政编码：530004</w:t>
            </w:r>
          </w:p>
        </w:tc>
        <w:tc>
          <w:tcPr>
            <w:tcW w:w="4360" w:type="dxa"/>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邮政编码：</w:t>
            </w:r>
          </w:p>
        </w:tc>
      </w:tr>
    </w:tbl>
    <w:p>
      <w:pPr>
        <w:spacing w:line="460" w:lineRule="exact"/>
        <w:rPr>
          <w:rFonts w:ascii="宋体" w:hAnsi="宋体" w:eastAsia="宋体" w:cs="宋体"/>
          <w:b/>
          <w:bCs/>
          <w:kern w:val="0"/>
          <w:sz w:val="24"/>
          <w:szCs w:val="24"/>
        </w:rPr>
      </w:pPr>
      <w:r>
        <w:rPr>
          <w:rFonts w:hint="eastAsia" w:ascii="宋体" w:hAnsi="宋体" w:eastAsia="宋体" w:cs="宋体"/>
          <w:b/>
          <w:bCs/>
          <w:kern w:val="0"/>
          <w:sz w:val="24"/>
          <w:szCs w:val="24"/>
        </w:rPr>
        <w:br w:type="page"/>
      </w:r>
    </w:p>
    <w:p>
      <w:pPr>
        <w:jc w:val="center"/>
        <w:rPr>
          <w:rFonts w:ascii="宋体" w:hAnsi="宋体" w:eastAsia="宋体" w:cs="宋体"/>
          <w:sz w:val="32"/>
          <w:szCs w:val="32"/>
        </w:rPr>
      </w:pPr>
      <w:r>
        <w:rPr>
          <w:rFonts w:hint="eastAsia" w:ascii="宋体" w:hAnsi="宋体" w:eastAsia="宋体" w:cs="宋体"/>
          <w:b/>
          <w:bCs/>
          <w:kern w:val="0"/>
          <w:sz w:val="32"/>
          <w:szCs w:val="32"/>
        </w:rPr>
        <w:t>广西大学采购项目履约保证金退付意见书</w:t>
      </w:r>
    </w:p>
    <w:p>
      <w:pPr>
        <w:snapToGrid w:val="0"/>
        <w:spacing w:line="400" w:lineRule="exact"/>
        <w:jc w:val="center"/>
        <w:rPr>
          <w:rFonts w:ascii="宋体" w:hAnsi="宋体" w:eastAsia="宋体" w:cs="宋体"/>
          <w:b/>
          <w:sz w:val="24"/>
          <w:szCs w:val="24"/>
        </w:rPr>
      </w:pPr>
    </w:p>
    <w:tbl>
      <w:tblPr>
        <w:tblStyle w:val="22"/>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9" w:type="dxa"/>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供应商申请</w:t>
            </w:r>
          </w:p>
        </w:tc>
        <w:tc>
          <w:tcPr>
            <w:tcW w:w="7170" w:type="dxa"/>
            <w:vAlign w:val="center"/>
          </w:tcPr>
          <w:p>
            <w:pPr>
              <w:rPr>
                <w:rFonts w:ascii="宋体" w:hAnsi="宋体" w:eastAsia="宋体" w:cs="Times New Roman"/>
                <w:sz w:val="24"/>
                <w:szCs w:val="24"/>
              </w:rPr>
            </w:pPr>
            <w:r>
              <w:rPr>
                <w:rFonts w:hint="eastAsia" w:ascii="宋体" w:hAnsi="宋体" w:eastAsia="宋体" w:cs="Times New Roman"/>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9" w:type="dxa"/>
            <w:vMerge w:val="continue"/>
          </w:tcPr>
          <w:p>
            <w:pPr>
              <w:rPr>
                <w:rFonts w:ascii="宋体" w:hAnsi="宋体" w:eastAsia="宋体" w:cs="Times New Roman"/>
                <w:sz w:val="24"/>
                <w:szCs w:val="24"/>
              </w:rPr>
            </w:pPr>
          </w:p>
        </w:tc>
        <w:tc>
          <w:tcPr>
            <w:tcW w:w="7170" w:type="dxa"/>
            <w:vAlign w:val="center"/>
          </w:tcPr>
          <w:p>
            <w:pPr>
              <w:rPr>
                <w:rFonts w:ascii="宋体" w:hAnsi="宋体" w:eastAsia="宋体" w:cs="Times New Roman"/>
                <w:sz w:val="24"/>
                <w:szCs w:val="24"/>
              </w:rPr>
            </w:pPr>
            <w:r>
              <w:rPr>
                <w:rFonts w:hint="eastAsia" w:ascii="宋体" w:hAnsi="宋体" w:eastAsia="宋体" w:cs="Times New Roman"/>
                <w:sz w:val="24"/>
                <w:szCs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trPr>
        <w:tc>
          <w:tcPr>
            <w:tcW w:w="1729" w:type="dxa"/>
            <w:vMerge w:val="continue"/>
          </w:tcPr>
          <w:p>
            <w:pPr>
              <w:rPr>
                <w:rFonts w:ascii="宋体" w:hAnsi="宋体" w:eastAsia="宋体" w:cs="Times New Roman"/>
                <w:sz w:val="24"/>
                <w:szCs w:val="24"/>
              </w:rPr>
            </w:pPr>
          </w:p>
        </w:tc>
        <w:tc>
          <w:tcPr>
            <w:tcW w:w="7170" w:type="dxa"/>
          </w:tcPr>
          <w:p>
            <w:pPr>
              <w:rPr>
                <w:rFonts w:ascii="宋体" w:hAnsi="宋体" w:eastAsia="宋体" w:cs="Times New Roman"/>
                <w:sz w:val="24"/>
                <w:szCs w:val="24"/>
              </w:rPr>
            </w:pPr>
          </w:p>
          <w:p>
            <w:pPr>
              <w:ind w:firstLine="600" w:firstLineChars="250"/>
              <w:rPr>
                <w:rFonts w:ascii="宋体" w:hAnsi="宋体" w:eastAsia="宋体" w:cs="Times New Roman"/>
                <w:sz w:val="24"/>
                <w:szCs w:val="24"/>
              </w:rPr>
            </w:pPr>
            <w:r>
              <w:rPr>
                <w:rFonts w:hint="eastAsia" w:ascii="宋体" w:hAnsi="宋体" w:eastAsia="宋体" w:cs="Times New Roman"/>
                <w:sz w:val="24"/>
                <w:szCs w:val="24"/>
              </w:rPr>
              <w:t>该项目已于   年    月   日按合同要求履约完成。根据合同规定，可将履约保证金（大写）人民币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（小写）￥</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.00</w:t>
            </w:r>
            <w:r>
              <w:rPr>
                <w:rFonts w:hint="eastAsia" w:ascii="宋体" w:hAnsi="宋体" w:eastAsia="宋体" w:cs="Times New Roman"/>
                <w:sz w:val="24"/>
                <w:szCs w:val="24"/>
              </w:rPr>
              <w:t>退付到达以下帐户：</w:t>
            </w:r>
          </w:p>
          <w:p>
            <w:pPr>
              <w:rPr>
                <w:rFonts w:ascii="宋体" w:hAnsi="宋体" w:eastAsia="宋体" w:cs="Times New Roman"/>
                <w:sz w:val="24"/>
                <w:szCs w:val="24"/>
              </w:rPr>
            </w:pPr>
          </w:p>
          <w:p>
            <w:pPr>
              <w:spacing w:line="420" w:lineRule="exact"/>
              <w:rPr>
                <w:rFonts w:ascii="宋体" w:hAnsi="宋体" w:eastAsia="宋体" w:cs="Times New Roman"/>
                <w:sz w:val="24"/>
                <w:szCs w:val="24"/>
              </w:rPr>
            </w:pPr>
            <w:r>
              <w:rPr>
                <w:rFonts w:hint="eastAsia" w:ascii="宋体" w:hAnsi="宋体" w:eastAsia="宋体" w:cs="Times New Roman"/>
                <w:sz w:val="24"/>
                <w:szCs w:val="24"/>
              </w:rPr>
              <w:t>单位名称：</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开户银行：</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银行帐号：</w:t>
            </w:r>
          </w:p>
          <w:p>
            <w:pPr>
              <w:rPr>
                <w:rFonts w:ascii="宋体" w:hAnsi="宋体" w:eastAsia="宋体" w:cs="Times New Roman"/>
                <w:sz w:val="24"/>
                <w:szCs w:val="24"/>
              </w:rPr>
            </w:pPr>
          </w:p>
          <w:p>
            <w:pPr>
              <w:spacing w:line="420" w:lineRule="exact"/>
              <w:rPr>
                <w:rFonts w:ascii="宋体" w:hAnsi="宋体" w:eastAsia="宋体" w:cs="Times New Roman"/>
                <w:sz w:val="24"/>
                <w:szCs w:val="24"/>
              </w:rPr>
            </w:pPr>
            <w:r>
              <w:rPr>
                <w:rFonts w:hint="eastAsia" w:ascii="宋体" w:hAnsi="宋体" w:eastAsia="宋体" w:cs="Times New Roman"/>
                <w:sz w:val="24"/>
                <w:szCs w:val="24"/>
              </w:rPr>
              <w:t>联系人：</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联系电话：</w:t>
            </w:r>
          </w:p>
          <w:p>
            <w:pPr>
              <w:rPr>
                <w:rFonts w:ascii="宋体" w:hAnsi="宋体" w:eastAsia="宋体" w:cs="Times New Roman"/>
                <w:sz w:val="24"/>
                <w:szCs w:val="24"/>
              </w:rPr>
            </w:pPr>
          </w:p>
          <w:p>
            <w:pPr>
              <w:spacing w:line="420" w:lineRule="exact"/>
              <w:rPr>
                <w:rFonts w:ascii="宋体" w:hAnsi="宋体" w:eastAsia="宋体" w:cs="Times New Roman"/>
                <w:sz w:val="24"/>
                <w:szCs w:val="24"/>
                <w:u w:val="single"/>
              </w:rPr>
            </w:pPr>
            <w:r>
              <w:rPr>
                <w:rFonts w:hint="eastAsia" w:ascii="宋体" w:hAnsi="宋体" w:eastAsia="宋体" w:cs="Times New Roman"/>
                <w:sz w:val="24"/>
                <w:szCs w:val="24"/>
              </w:rPr>
              <w:t xml:space="preserve">                                供应商（签章）：</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172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使用单位</w:t>
            </w:r>
          </w:p>
          <w:p>
            <w:pPr>
              <w:jc w:val="center"/>
              <w:rPr>
                <w:rFonts w:ascii="宋体" w:hAnsi="宋体" w:eastAsia="宋体" w:cs="Times New Roman"/>
                <w:sz w:val="24"/>
                <w:szCs w:val="24"/>
              </w:rPr>
            </w:pPr>
            <w:r>
              <w:rPr>
                <w:rFonts w:hint="eastAsia" w:ascii="宋体" w:hAnsi="宋体" w:eastAsia="宋体" w:cs="Times New Roman"/>
                <w:sz w:val="24"/>
                <w:szCs w:val="24"/>
              </w:rPr>
              <w:t>意见</w:t>
            </w:r>
          </w:p>
        </w:tc>
        <w:tc>
          <w:tcPr>
            <w:tcW w:w="7170" w:type="dxa"/>
          </w:tcPr>
          <w:p>
            <w:pPr>
              <w:rPr>
                <w:rFonts w:ascii="宋体" w:hAnsi="宋体" w:eastAsia="宋体" w:cs="Times New Roman"/>
                <w:sz w:val="24"/>
                <w:szCs w:val="24"/>
              </w:rPr>
            </w:pPr>
            <w:r>
              <w:rPr>
                <w:rFonts w:hint="eastAsia" w:ascii="宋体" w:hAnsi="宋体" w:eastAsia="宋体" w:cs="Times New Roman"/>
                <w:sz w:val="24"/>
                <w:szCs w:val="24"/>
              </w:rPr>
              <w:t>（退付意见：是否同意退付履约保证金）</w:t>
            </w:r>
          </w:p>
          <w:p>
            <w:pPr>
              <w:spacing w:line="420" w:lineRule="exact"/>
              <w:rPr>
                <w:rFonts w:ascii="宋体" w:hAnsi="宋体" w:eastAsia="宋体" w:cs="Times New Roman"/>
                <w:sz w:val="24"/>
                <w:szCs w:val="24"/>
              </w:rPr>
            </w:pPr>
          </w:p>
          <w:p>
            <w:pPr>
              <w:spacing w:line="420" w:lineRule="exact"/>
              <w:rPr>
                <w:rFonts w:ascii="宋体" w:hAnsi="宋体" w:eastAsia="宋体" w:cs="Times New Roman"/>
                <w:sz w:val="24"/>
                <w:szCs w:val="24"/>
              </w:rPr>
            </w:pPr>
            <w:r>
              <w:rPr>
                <w:rFonts w:hint="eastAsia" w:ascii="宋体" w:hAnsi="宋体" w:eastAsia="宋体" w:cs="Times New Roman"/>
                <w:sz w:val="24"/>
                <w:szCs w:val="24"/>
              </w:rPr>
              <w:t>项目负责人意见：</w:t>
            </w:r>
          </w:p>
          <w:p>
            <w:pPr>
              <w:spacing w:line="420" w:lineRule="exact"/>
              <w:rPr>
                <w:rFonts w:ascii="宋体" w:hAnsi="宋体" w:eastAsia="宋体" w:cs="Times New Roman"/>
                <w:sz w:val="24"/>
                <w:szCs w:val="24"/>
              </w:rPr>
            </w:pPr>
          </w:p>
          <w:p>
            <w:pPr>
              <w:spacing w:line="420" w:lineRule="exact"/>
              <w:rPr>
                <w:rFonts w:ascii="宋体" w:hAnsi="宋体" w:eastAsia="宋体" w:cs="Times New Roman"/>
                <w:sz w:val="24"/>
                <w:szCs w:val="24"/>
              </w:rPr>
            </w:pPr>
            <w:r>
              <w:rPr>
                <w:rFonts w:hint="eastAsia" w:ascii="宋体" w:hAnsi="宋体" w:eastAsia="宋体" w:cs="Times New Roman"/>
                <w:sz w:val="24"/>
                <w:szCs w:val="24"/>
              </w:rPr>
              <w:t>联系人：</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联系电话：</w:t>
            </w:r>
          </w:p>
          <w:p>
            <w:pPr>
              <w:rPr>
                <w:rFonts w:ascii="宋体" w:hAnsi="宋体" w:eastAsia="宋体" w:cs="Times New Roman"/>
                <w:sz w:val="24"/>
                <w:szCs w:val="24"/>
              </w:rPr>
            </w:pPr>
          </w:p>
          <w:p>
            <w:pPr>
              <w:rPr>
                <w:rFonts w:ascii="宋体" w:hAnsi="宋体" w:eastAsia="宋体" w:cs="Times New Roman"/>
                <w:sz w:val="24"/>
                <w:szCs w:val="24"/>
                <w:u w:val="single"/>
              </w:rPr>
            </w:pPr>
            <w:r>
              <w:rPr>
                <w:rFonts w:hint="eastAsia" w:ascii="宋体" w:hAnsi="宋体" w:eastAsia="宋体" w:cs="Times New Roman"/>
                <w:sz w:val="24"/>
                <w:szCs w:val="24"/>
              </w:rPr>
              <w:t xml:space="preserve">                                单位（签章）：</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72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国有资产与实验室管理处（招标与采购管理中心）意见</w:t>
            </w:r>
          </w:p>
        </w:tc>
        <w:tc>
          <w:tcPr>
            <w:tcW w:w="7170" w:type="dxa"/>
          </w:tcPr>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ind w:firstLine="3840" w:firstLineChars="1600"/>
              <w:rPr>
                <w:rFonts w:ascii="宋体" w:hAnsi="宋体" w:eastAsia="宋体" w:cs="Times New Roman"/>
                <w:sz w:val="24"/>
                <w:szCs w:val="24"/>
                <w:u w:val="single"/>
              </w:rPr>
            </w:pPr>
            <w:r>
              <w:rPr>
                <w:rFonts w:hint="eastAsia" w:ascii="宋体" w:hAnsi="宋体" w:eastAsia="宋体" w:cs="Times New Roman"/>
                <w:sz w:val="24"/>
                <w:szCs w:val="24"/>
              </w:rPr>
              <w:t>单位（签章）：</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tc>
      </w:tr>
    </w:tbl>
    <w:p>
      <w:pPr>
        <w:pStyle w:val="2"/>
      </w:pPr>
    </w:p>
    <w:sectPr>
      <w:headerReference r:id="rId9" w:type="default"/>
      <w:footerReference r:id="rId10"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27</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1</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lang w:val="zh-CN"/>
      </w:rPr>
      <w:t>28</w:t>
    </w:r>
    <w:r>
      <w:rPr>
        <w:rFonts w:ascii="Times New Roman" w:hAnsi="Times New Roman" w:eastAsia="宋体" w:cs="Times New Roman"/>
        <w:kern w:val="0"/>
        <w:sz w:val="18"/>
        <w:szCs w:val="18"/>
      </w:rPr>
      <w:fldChar w:fldCharType="end"/>
    </w:r>
  </w:p>
  <w:p>
    <w:pPr>
      <w:tabs>
        <w:tab w:val="center" w:pos="4153"/>
        <w:tab w:val="right" w:pos="8306"/>
      </w:tabs>
      <w:snapToGrid w:val="0"/>
      <w:jc w:val="left"/>
      <w:rPr>
        <w:rFonts w:ascii="Times New Roman" w:hAnsi="Times New Roman" w:eastAsia="宋体" w:cs="Times New Roman"/>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48</w:t>
                          </w:r>
                          <w:r>
                            <w:rPr>
                              <w:rFonts w:ascii="Times New Roman" w:hAnsi="Times New Roman" w:eastAsia="宋体" w:cs="Times New Roman"/>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PAGE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48</w:t>
                    </w:r>
                    <w:r>
                      <w:rPr>
                        <w:rFonts w:ascii="Times New Roman" w:hAnsi="Times New Roman" w:eastAsia="宋体" w:cs="Times New Roman"/>
                        <w:ker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52</w:t>
    </w:r>
    <w:r>
      <w:fldChar w:fldCharType="end"/>
    </w:r>
  </w:p>
  <w:p>
    <w:pPr>
      <w:pStyle w:val="1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Times New Roman" w:hAnsi="Times New Roman" w:eastAsia="宋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91D86"/>
    <w:multiLevelType w:val="singleLevel"/>
    <w:tmpl w:val="C7891D86"/>
    <w:lvl w:ilvl="0" w:tentative="0">
      <w:start w:val="1"/>
      <w:numFmt w:val="decimal"/>
      <w:pStyle w:val="7"/>
      <w:lvlText w:val="%1."/>
      <w:lvlJc w:val="left"/>
      <w:pPr>
        <w:tabs>
          <w:tab w:val="left" w:pos="360"/>
        </w:tabs>
        <w:ind w:left="360" w:hanging="360"/>
      </w:pPr>
    </w:lvl>
  </w:abstractNum>
  <w:abstractNum w:abstractNumId="1">
    <w:nsid w:val="61BF1AE8"/>
    <w:multiLevelType w:val="multilevel"/>
    <w:tmpl w:val="61BF1AE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YmNhODQxOWNkODc0ZjYxNTI4MThkY2UxMGM3NzYifQ=="/>
  </w:docVars>
  <w:rsids>
    <w:rsidRoot w:val="00731C17"/>
    <w:rsid w:val="00006FED"/>
    <w:rsid w:val="00046407"/>
    <w:rsid w:val="000465C0"/>
    <w:rsid w:val="00047578"/>
    <w:rsid w:val="000547AA"/>
    <w:rsid w:val="00057922"/>
    <w:rsid w:val="00057AD1"/>
    <w:rsid w:val="000706CD"/>
    <w:rsid w:val="00073715"/>
    <w:rsid w:val="00077DF6"/>
    <w:rsid w:val="00080E65"/>
    <w:rsid w:val="00083C49"/>
    <w:rsid w:val="000A089D"/>
    <w:rsid w:val="000B2059"/>
    <w:rsid w:val="000C0140"/>
    <w:rsid w:val="000C7B73"/>
    <w:rsid w:val="000D2E58"/>
    <w:rsid w:val="000E1D3D"/>
    <w:rsid w:val="000F47D8"/>
    <w:rsid w:val="000F77A5"/>
    <w:rsid w:val="00112874"/>
    <w:rsid w:val="0011680A"/>
    <w:rsid w:val="00116CDE"/>
    <w:rsid w:val="00120297"/>
    <w:rsid w:val="0013142C"/>
    <w:rsid w:val="00137E0A"/>
    <w:rsid w:val="001516EE"/>
    <w:rsid w:val="001518FD"/>
    <w:rsid w:val="0016248E"/>
    <w:rsid w:val="00166D81"/>
    <w:rsid w:val="00176CF7"/>
    <w:rsid w:val="00182732"/>
    <w:rsid w:val="001854D5"/>
    <w:rsid w:val="001866D8"/>
    <w:rsid w:val="00191584"/>
    <w:rsid w:val="00193BF2"/>
    <w:rsid w:val="001C378D"/>
    <w:rsid w:val="001C71FD"/>
    <w:rsid w:val="001C7BD1"/>
    <w:rsid w:val="001D2137"/>
    <w:rsid w:val="001D361F"/>
    <w:rsid w:val="001E1C6E"/>
    <w:rsid w:val="001E6F75"/>
    <w:rsid w:val="001F0914"/>
    <w:rsid w:val="001F2DDA"/>
    <w:rsid w:val="001F7D19"/>
    <w:rsid w:val="001F7F06"/>
    <w:rsid w:val="00205C0B"/>
    <w:rsid w:val="00205D95"/>
    <w:rsid w:val="00211D24"/>
    <w:rsid w:val="00222C1D"/>
    <w:rsid w:val="00224840"/>
    <w:rsid w:val="00257DF7"/>
    <w:rsid w:val="0026071A"/>
    <w:rsid w:val="002639C3"/>
    <w:rsid w:val="002715DD"/>
    <w:rsid w:val="00273EBB"/>
    <w:rsid w:val="00286952"/>
    <w:rsid w:val="002A2AC4"/>
    <w:rsid w:val="002B37A5"/>
    <w:rsid w:val="002C6E9C"/>
    <w:rsid w:val="002C7394"/>
    <w:rsid w:val="002D0635"/>
    <w:rsid w:val="002D3C43"/>
    <w:rsid w:val="002E1092"/>
    <w:rsid w:val="002E1705"/>
    <w:rsid w:val="00324ACE"/>
    <w:rsid w:val="00330F72"/>
    <w:rsid w:val="0034232A"/>
    <w:rsid w:val="00342FB7"/>
    <w:rsid w:val="0034420A"/>
    <w:rsid w:val="003502D4"/>
    <w:rsid w:val="0035388F"/>
    <w:rsid w:val="00360600"/>
    <w:rsid w:val="003937EF"/>
    <w:rsid w:val="003A10AD"/>
    <w:rsid w:val="003C18A3"/>
    <w:rsid w:val="003C24E2"/>
    <w:rsid w:val="003E0013"/>
    <w:rsid w:val="003E0DAC"/>
    <w:rsid w:val="003E5A6C"/>
    <w:rsid w:val="003E602B"/>
    <w:rsid w:val="003E71EF"/>
    <w:rsid w:val="003F1EEC"/>
    <w:rsid w:val="00406BDB"/>
    <w:rsid w:val="0041056A"/>
    <w:rsid w:val="00410617"/>
    <w:rsid w:val="00422320"/>
    <w:rsid w:val="00423A90"/>
    <w:rsid w:val="00455663"/>
    <w:rsid w:val="004573BE"/>
    <w:rsid w:val="00475734"/>
    <w:rsid w:val="00482B87"/>
    <w:rsid w:val="00497315"/>
    <w:rsid w:val="004A3DF5"/>
    <w:rsid w:val="004B4322"/>
    <w:rsid w:val="004C7B85"/>
    <w:rsid w:val="004D4162"/>
    <w:rsid w:val="004D6E7B"/>
    <w:rsid w:val="004D6FC0"/>
    <w:rsid w:val="004F2C79"/>
    <w:rsid w:val="00504C5E"/>
    <w:rsid w:val="0050581F"/>
    <w:rsid w:val="00515868"/>
    <w:rsid w:val="00516AB8"/>
    <w:rsid w:val="00521C67"/>
    <w:rsid w:val="00540D97"/>
    <w:rsid w:val="005550A1"/>
    <w:rsid w:val="00561623"/>
    <w:rsid w:val="00562627"/>
    <w:rsid w:val="005631B9"/>
    <w:rsid w:val="005641AC"/>
    <w:rsid w:val="0057178A"/>
    <w:rsid w:val="0057761E"/>
    <w:rsid w:val="0058504F"/>
    <w:rsid w:val="00591C44"/>
    <w:rsid w:val="00597D35"/>
    <w:rsid w:val="005A3B0F"/>
    <w:rsid w:val="005B6284"/>
    <w:rsid w:val="005C0147"/>
    <w:rsid w:val="005C0612"/>
    <w:rsid w:val="005C467B"/>
    <w:rsid w:val="005C5FDA"/>
    <w:rsid w:val="005D0DDF"/>
    <w:rsid w:val="005E1377"/>
    <w:rsid w:val="005E790D"/>
    <w:rsid w:val="006075A8"/>
    <w:rsid w:val="00614644"/>
    <w:rsid w:val="00623B9F"/>
    <w:rsid w:val="0063257C"/>
    <w:rsid w:val="00636CA2"/>
    <w:rsid w:val="00646590"/>
    <w:rsid w:val="00650899"/>
    <w:rsid w:val="00652F1C"/>
    <w:rsid w:val="00655AD7"/>
    <w:rsid w:val="00663166"/>
    <w:rsid w:val="006B1096"/>
    <w:rsid w:val="006B1B97"/>
    <w:rsid w:val="006B5ACA"/>
    <w:rsid w:val="006C0701"/>
    <w:rsid w:val="006C4BE6"/>
    <w:rsid w:val="006D74E5"/>
    <w:rsid w:val="006E32E3"/>
    <w:rsid w:val="006E7636"/>
    <w:rsid w:val="006F0C71"/>
    <w:rsid w:val="007217E9"/>
    <w:rsid w:val="00723756"/>
    <w:rsid w:val="00725621"/>
    <w:rsid w:val="00731C17"/>
    <w:rsid w:val="00732D6C"/>
    <w:rsid w:val="00734820"/>
    <w:rsid w:val="00743261"/>
    <w:rsid w:val="00746B4A"/>
    <w:rsid w:val="007757D7"/>
    <w:rsid w:val="0079001C"/>
    <w:rsid w:val="007909A1"/>
    <w:rsid w:val="007B02B7"/>
    <w:rsid w:val="007B1A4D"/>
    <w:rsid w:val="007B2C40"/>
    <w:rsid w:val="007B5DF3"/>
    <w:rsid w:val="007B5F6B"/>
    <w:rsid w:val="007C7876"/>
    <w:rsid w:val="007C7B9A"/>
    <w:rsid w:val="007D0F48"/>
    <w:rsid w:val="007D3199"/>
    <w:rsid w:val="007D7054"/>
    <w:rsid w:val="007E6675"/>
    <w:rsid w:val="007E71EE"/>
    <w:rsid w:val="007F7C18"/>
    <w:rsid w:val="00800CE2"/>
    <w:rsid w:val="008046E1"/>
    <w:rsid w:val="00813FF3"/>
    <w:rsid w:val="00820B20"/>
    <w:rsid w:val="00831369"/>
    <w:rsid w:val="0083474E"/>
    <w:rsid w:val="00836D59"/>
    <w:rsid w:val="00847C85"/>
    <w:rsid w:val="008569F6"/>
    <w:rsid w:val="00867560"/>
    <w:rsid w:val="00884752"/>
    <w:rsid w:val="008A03CE"/>
    <w:rsid w:val="008A34DC"/>
    <w:rsid w:val="008A366E"/>
    <w:rsid w:val="008A64F9"/>
    <w:rsid w:val="008B1FB2"/>
    <w:rsid w:val="008B3896"/>
    <w:rsid w:val="008B4C6B"/>
    <w:rsid w:val="008C50A0"/>
    <w:rsid w:val="008C69D5"/>
    <w:rsid w:val="008D2930"/>
    <w:rsid w:val="008D5412"/>
    <w:rsid w:val="008E49BA"/>
    <w:rsid w:val="00901275"/>
    <w:rsid w:val="00930E01"/>
    <w:rsid w:val="00944334"/>
    <w:rsid w:val="009463FF"/>
    <w:rsid w:val="00950D0E"/>
    <w:rsid w:val="009518EE"/>
    <w:rsid w:val="00952386"/>
    <w:rsid w:val="00955A78"/>
    <w:rsid w:val="00956E65"/>
    <w:rsid w:val="00962DF8"/>
    <w:rsid w:val="0097161E"/>
    <w:rsid w:val="00983615"/>
    <w:rsid w:val="009878CA"/>
    <w:rsid w:val="009A6B93"/>
    <w:rsid w:val="009D14B2"/>
    <w:rsid w:val="009E0690"/>
    <w:rsid w:val="009F0541"/>
    <w:rsid w:val="00A02233"/>
    <w:rsid w:val="00A145D1"/>
    <w:rsid w:val="00A14AB8"/>
    <w:rsid w:val="00A46E0F"/>
    <w:rsid w:val="00A54811"/>
    <w:rsid w:val="00A7330E"/>
    <w:rsid w:val="00A73C97"/>
    <w:rsid w:val="00A948B7"/>
    <w:rsid w:val="00AA597B"/>
    <w:rsid w:val="00AA6566"/>
    <w:rsid w:val="00AA6F9D"/>
    <w:rsid w:val="00AB490F"/>
    <w:rsid w:val="00AB6D21"/>
    <w:rsid w:val="00AD0396"/>
    <w:rsid w:val="00AF63D3"/>
    <w:rsid w:val="00B00BAB"/>
    <w:rsid w:val="00B1664D"/>
    <w:rsid w:val="00B20F19"/>
    <w:rsid w:val="00B21061"/>
    <w:rsid w:val="00B97049"/>
    <w:rsid w:val="00BA650E"/>
    <w:rsid w:val="00BA78C8"/>
    <w:rsid w:val="00BB1C04"/>
    <w:rsid w:val="00BB4BE4"/>
    <w:rsid w:val="00BB6D01"/>
    <w:rsid w:val="00BC40CD"/>
    <w:rsid w:val="00BC4A25"/>
    <w:rsid w:val="00BC5B5C"/>
    <w:rsid w:val="00BD0D1E"/>
    <w:rsid w:val="00BE19B6"/>
    <w:rsid w:val="00BF0FED"/>
    <w:rsid w:val="00BF3486"/>
    <w:rsid w:val="00C03697"/>
    <w:rsid w:val="00C06143"/>
    <w:rsid w:val="00C10695"/>
    <w:rsid w:val="00C16920"/>
    <w:rsid w:val="00C24075"/>
    <w:rsid w:val="00C271F0"/>
    <w:rsid w:val="00C6710D"/>
    <w:rsid w:val="00C7277C"/>
    <w:rsid w:val="00C76907"/>
    <w:rsid w:val="00C810A7"/>
    <w:rsid w:val="00C82322"/>
    <w:rsid w:val="00C95898"/>
    <w:rsid w:val="00CA01F4"/>
    <w:rsid w:val="00CC154F"/>
    <w:rsid w:val="00CD3DE6"/>
    <w:rsid w:val="00CD74D6"/>
    <w:rsid w:val="00CE29A2"/>
    <w:rsid w:val="00D0587A"/>
    <w:rsid w:val="00D05C8A"/>
    <w:rsid w:val="00D13A33"/>
    <w:rsid w:val="00D1556A"/>
    <w:rsid w:val="00D2776D"/>
    <w:rsid w:val="00D41B7D"/>
    <w:rsid w:val="00D424F6"/>
    <w:rsid w:val="00D42527"/>
    <w:rsid w:val="00D438A6"/>
    <w:rsid w:val="00D46B44"/>
    <w:rsid w:val="00D571B1"/>
    <w:rsid w:val="00D730ED"/>
    <w:rsid w:val="00D9456E"/>
    <w:rsid w:val="00DB5E72"/>
    <w:rsid w:val="00DC1A07"/>
    <w:rsid w:val="00DC6844"/>
    <w:rsid w:val="00DD1E79"/>
    <w:rsid w:val="00DD3A91"/>
    <w:rsid w:val="00DD72C6"/>
    <w:rsid w:val="00DD738C"/>
    <w:rsid w:val="00DE0251"/>
    <w:rsid w:val="00DE587D"/>
    <w:rsid w:val="00E022F8"/>
    <w:rsid w:val="00E1040A"/>
    <w:rsid w:val="00E1128D"/>
    <w:rsid w:val="00E201D5"/>
    <w:rsid w:val="00E20B79"/>
    <w:rsid w:val="00E2500C"/>
    <w:rsid w:val="00E3024B"/>
    <w:rsid w:val="00E31EEF"/>
    <w:rsid w:val="00E32135"/>
    <w:rsid w:val="00E33499"/>
    <w:rsid w:val="00E3765C"/>
    <w:rsid w:val="00E424EC"/>
    <w:rsid w:val="00E51991"/>
    <w:rsid w:val="00E6172E"/>
    <w:rsid w:val="00E64213"/>
    <w:rsid w:val="00E66D05"/>
    <w:rsid w:val="00E80DE1"/>
    <w:rsid w:val="00E83C22"/>
    <w:rsid w:val="00E91502"/>
    <w:rsid w:val="00E96D47"/>
    <w:rsid w:val="00EA04DD"/>
    <w:rsid w:val="00EA4CE3"/>
    <w:rsid w:val="00EB698E"/>
    <w:rsid w:val="00EC7159"/>
    <w:rsid w:val="00ED677D"/>
    <w:rsid w:val="00EE424C"/>
    <w:rsid w:val="00F03635"/>
    <w:rsid w:val="00F0714E"/>
    <w:rsid w:val="00F112E3"/>
    <w:rsid w:val="00F11E7E"/>
    <w:rsid w:val="00F417B8"/>
    <w:rsid w:val="00F44BEE"/>
    <w:rsid w:val="00F4524F"/>
    <w:rsid w:val="00F47C85"/>
    <w:rsid w:val="00F671F7"/>
    <w:rsid w:val="00F70B7D"/>
    <w:rsid w:val="00F81045"/>
    <w:rsid w:val="00F87257"/>
    <w:rsid w:val="00F91A5B"/>
    <w:rsid w:val="00F949C0"/>
    <w:rsid w:val="00F96EAB"/>
    <w:rsid w:val="00FB675B"/>
    <w:rsid w:val="00FC3FBA"/>
    <w:rsid w:val="00FD126A"/>
    <w:rsid w:val="00FD1DAF"/>
    <w:rsid w:val="00FD318F"/>
    <w:rsid w:val="02DB694C"/>
    <w:rsid w:val="0E5017FD"/>
    <w:rsid w:val="17DF0A39"/>
    <w:rsid w:val="1FD42330"/>
    <w:rsid w:val="260D263D"/>
    <w:rsid w:val="26A66F74"/>
    <w:rsid w:val="29852351"/>
    <w:rsid w:val="2B62110C"/>
    <w:rsid w:val="3A523C75"/>
    <w:rsid w:val="3ABD232E"/>
    <w:rsid w:val="41693003"/>
    <w:rsid w:val="43E87076"/>
    <w:rsid w:val="48F409BD"/>
    <w:rsid w:val="4E884B66"/>
    <w:rsid w:val="55360B79"/>
    <w:rsid w:val="5C706F8D"/>
    <w:rsid w:val="601479AF"/>
    <w:rsid w:val="61C62E4D"/>
    <w:rsid w:val="72771BDA"/>
    <w:rsid w:val="735E4F61"/>
    <w:rsid w:val="78FC5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5"/>
    <w:basedOn w:val="1"/>
    <w:next w:val="6"/>
    <w:autoRedefine/>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autoRedefine/>
    <w:qFormat/>
    <w:uiPriority w:val="0"/>
    <w:pPr>
      <w:ind w:firstLine="420"/>
    </w:pPr>
    <w:rPr>
      <w:szCs w:val="20"/>
    </w:rPr>
  </w:style>
  <w:style w:type="paragraph" w:styleId="7">
    <w:name w:val="List Number"/>
    <w:basedOn w:val="1"/>
    <w:autoRedefine/>
    <w:semiHidden/>
    <w:unhideWhenUsed/>
    <w:qFormat/>
    <w:uiPriority w:val="99"/>
    <w:pPr>
      <w:numPr>
        <w:ilvl w:val="0"/>
        <w:numId w:val="1"/>
      </w:numPr>
    </w:pPr>
  </w:style>
  <w:style w:type="paragraph" w:styleId="8">
    <w:name w:val="annotation text"/>
    <w:basedOn w:val="1"/>
    <w:link w:val="31"/>
    <w:autoRedefine/>
    <w:semiHidden/>
    <w:unhideWhenUsed/>
    <w:qFormat/>
    <w:uiPriority w:val="99"/>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1"/>
    <w:autoRedefine/>
    <w:unhideWhenUsed/>
    <w:qFormat/>
    <w:uiPriority w:val="0"/>
    <w:pPr>
      <w:spacing w:after="120"/>
    </w:pPr>
  </w:style>
  <w:style w:type="paragraph" w:styleId="11">
    <w:name w:val="Body Text First Indent"/>
    <w:basedOn w:val="10"/>
    <w:next w:val="1"/>
    <w:autoRedefine/>
    <w:qFormat/>
    <w:uiPriority w:val="0"/>
    <w:pPr>
      <w:ind w:firstLine="420" w:firstLineChars="10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4"/>
    <w:autoRedefine/>
    <w:qFormat/>
    <w:uiPriority w:val="0"/>
    <w:rPr>
      <w:rFonts w:ascii="宋体" w:hAnsi="Courier New"/>
      <w:kern w:val="0"/>
      <w:sz w:val="20"/>
      <w:szCs w:val="21"/>
    </w:rPr>
  </w:style>
  <w:style w:type="paragraph" w:styleId="15">
    <w:name w:val="Balloon Text"/>
    <w:basedOn w:val="1"/>
    <w:link w:val="30"/>
    <w:autoRedefine/>
    <w:semiHidden/>
    <w:unhideWhenUsed/>
    <w:qFormat/>
    <w:uiPriority w:val="99"/>
    <w:rPr>
      <w:sz w:val="18"/>
      <w:szCs w:val="18"/>
    </w:rPr>
  </w:style>
  <w:style w:type="paragraph" w:styleId="16">
    <w:name w:val="footer"/>
    <w:basedOn w:val="1"/>
    <w:link w:val="29"/>
    <w:autoRedefine/>
    <w:unhideWhenUsed/>
    <w:qFormat/>
    <w:uiPriority w:val="99"/>
    <w:pPr>
      <w:tabs>
        <w:tab w:val="center" w:pos="4153"/>
        <w:tab w:val="right" w:pos="8306"/>
      </w:tabs>
      <w:snapToGrid w:val="0"/>
      <w:jc w:val="left"/>
    </w:pPr>
    <w:rPr>
      <w:sz w:val="18"/>
      <w:szCs w:val="18"/>
    </w:rPr>
  </w:style>
  <w:style w:type="paragraph" w:styleId="17">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toc 2"/>
    <w:basedOn w:val="1"/>
    <w:next w:val="1"/>
    <w:autoRedefine/>
    <w:unhideWhenUsed/>
    <w:qFormat/>
    <w:uiPriority w:val="39"/>
    <w:pPr>
      <w:tabs>
        <w:tab w:val="right" w:leader="dot" w:pos="8296"/>
      </w:tabs>
      <w:ind w:left="420" w:leftChars="200"/>
    </w:pPr>
  </w:style>
  <w:style w:type="paragraph" w:styleId="20">
    <w:name w:val="Normal (Web)"/>
    <w:basedOn w:val="1"/>
    <w:autoRedefine/>
    <w:unhideWhenUsed/>
    <w:qFormat/>
    <w:uiPriority w:val="99"/>
    <w:rPr>
      <w:rFonts w:ascii="Calibri" w:hAnsi="Calibri"/>
      <w:kern w:val="0"/>
      <w:sz w:val="24"/>
    </w:rPr>
  </w:style>
  <w:style w:type="paragraph" w:styleId="21">
    <w:name w:val="annotation subject"/>
    <w:basedOn w:val="8"/>
    <w:next w:val="8"/>
    <w:link w:val="32"/>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annotation reference"/>
    <w:basedOn w:val="24"/>
    <w:autoRedefine/>
    <w:semiHidden/>
    <w:unhideWhenUsed/>
    <w:qFormat/>
    <w:uiPriority w:val="99"/>
    <w:rPr>
      <w:sz w:val="21"/>
      <w:szCs w:val="21"/>
    </w:rPr>
  </w:style>
  <w:style w:type="paragraph" w:styleId="27">
    <w:name w:val="List Paragraph"/>
    <w:basedOn w:val="1"/>
    <w:autoRedefine/>
    <w:qFormat/>
    <w:uiPriority w:val="34"/>
    <w:pPr>
      <w:ind w:firstLine="420" w:firstLineChars="200"/>
    </w:pPr>
  </w:style>
  <w:style w:type="character" w:customStyle="1" w:styleId="28">
    <w:name w:val="页眉 字符"/>
    <w:basedOn w:val="24"/>
    <w:link w:val="17"/>
    <w:autoRedefine/>
    <w:qFormat/>
    <w:uiPriority w:val="99"/>
    <w:rPr>
      <w:sz w:val="18"/>
      <w:szCs w:val="18"/>
    </w:rPr>
  </w:style>
  <w:style w:type="character" w:customStyle="1" w:styleId="29">
    <w:name w:val="页脚 字符"/>
    <w:basedOn w:val="24"/>
    <w:link w:val="16"/>
    <w:autoRedefine/>
    <w:qFormat/>
    <w:uiPriority w:val="99"/>
    <w:rPr>
      <w:sz w:val="18"/>
      <w:szCs w:val="18"/>
    </w:rPr>
  </w:style>
  <w:style w:type="character" w:customStyle="1" w:styleId="30">
    <w:name w:val="批注框文本 字符"/>
    <w:basedOn w:val="24"/>
    <w:link w:val="15"/>
    <w:autoRedefine/>
    <w:semiHidden/>
    <w:qFormat/>
    <w:uiPriority w:val="99"/>
    <w:rPr>
      <w:kern w:val="2"/>
      <w:sz w:val="18"/>
      <w:szCs w:val="18"/>
    </w:rPr>
  </w:style>
  <w:style w:type="character" w:customStyle="1" w:styleId="31">
    <w:name w:val="批注文字 字符"/>
    <w:basedOn w:val="24"/>
    <w:link w:val="8"/>
    <w:autoRedefine/>
    <w:semiHidden/>
    <w:qFormat/>
    <w:uiPriority w:val="99"/>
    <w:rPr>
      <w:kern w:val="2"/>
      <w:sz w:val="21"/>
      <w:szCs w:val="22"/>
    </w:rPr>
  </w:style>
  <w:style w:type="character" w:customStyle="1" w:styleId="32">
    <w:name w:val="批注主题 字符"/>
    <w:basedOn w:val="31"/>
    <w:link w:val="21"/>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48019</Words>
  <Characters>52639</Characters>
  <Lines>434</Lines>
  <Paragraphs>122</Paragraphs>
  <TotalTime>6</TotalTime>
  <ScaleCrop>false</ScaleCrop>
  <LinksUpToDate>false</LinksUpToDate>
  <CharactersWithSpaces>58473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2024-05-27T07:16:00Z</dcterms:created>
  <dc:creator>Lenovo</dc:creator>
  <cp:lastModifiedBy>FROM</cp:lastModifiedBy>
  <dcterms:modified xsi:type="dcterms:W3CDTF">2024-05-28T00:55:01Z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5182EACE79E046E081BCBE7C7BA4E878_13</vt:lpwstr>
  </property>
</Properties>
</file>