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jc w:val="center"/>
        <w:rPr>
          <w:rFonts w:ascii="黑体" w:hAnsi="黑体" w:eastAsia="黑体"/>
          <w:color w:val="000000" w:themeColor="text1"/>
          <w:spacing w:val="30"/>
          <w:kern w:val="52"/>
          <w:sz w:val="64"/>
          <w:szCs w:val="64"/>
          <w14:textFill>
            <w14:solidFill>
              <w14:schemeClr w14:val="tx1"/>
            </w14:solidFill>
          </w14:textFill>
        </w:rPr>
      </w:pPr>
      <w:r>
        <w:rPr>
          <w:rFonts w:ascii="黑体" w:hAnsi="黑体" w:eastAsia="黑体"/>
          <w:color w:val="000000" w:themeColor="text1"/>
          <w:spacing w:val="30"/>
          <w:kern w:val="52"/>
          <w:sz w:val="64"/>
          <w:szCs w:val="64"/>
          <w14:textFill>
            <w14:solidFill>
              <w14:schemeClr w14:val="tx1"/>
            </w14:solidFill>
          </w14:textFill>
        </w:rPr>
        <w:t>广西科文招标有限公司</w:t>
      </w:r>
    </w:p>
    <w:p>
      <w:pPr>
        <w:pStyle w:val="12"/>
        <w:jc w:val="center"/>
        <w:rPr>
          <w:rFonts w:ascii="黑体" w:hAnsi="黑体" w:eastAsia="黑体" w:cs="方正小标宋简体"/>
          <w:b/>
          <w:color w:val="000000" w:themeColor="text1"/>
          <w:sz w:val="44"/>
          <w:szCs w:val="44"/>
          <w14:textFill>
            <w14:solidFill>
              <w14:schemeClr w14:val="tx1"/>
            </w14:solidFill>
          </w14:textFill>
        </w:rPr>
      </w:pPr>
      <w:r>
        <w:rPr>
          <w:rFonts w:ascii="黑体" w:hAnsi="黑体" w:eastAsia="黑体"/>
          <w:b/>
          <w:color w:val="000000" w:themeColor="text1"/>
          <w:spacing w:val="-18"/>
          <w:sz w:val="64"/>
          <w:szCs w:val="6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99060</wp:posOffset>
                </wp:positionV>
                <wp:extent cx="54864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48640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7.8pt;height:0pt;width:432pt;z-index:251659264;mso-width-relative:page;mso-height-relative:page;" filled="f" stroked="t" coordsize="21600,21600" o:gfxdata="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9rBQzU&#10;AAAACAEAAA8AAAAAAAAAAQAgAAAAIgAAAGRycy9kb3ducmV2LnhtbFBLAQIUABQAAAAIAIdO4kAY&#10;TiCN6wEAANkDAAAOAAAAAAAAAAEAIAAAACMBAABkcnMvZTJvRG9jLnhtbFBLBQYAAAAABgAGAFkB&#10;AACABQAAAAA=&#10;">
                <v:fill on="f" focussize="0,0"/>
                <v:stroke weight="1pt" color="#000000" joinstyle="round"/>
                <v:imagedata o:title=""/>
                <o:lock v:ext="edit" aspectratio="f"/>
              </v:line>
            </w:pict>
          </mc:Fallback>
        </mc:AlternateContent>
      </w:r>
    </w:p>
    <w:p>
      <w:pPr>
        <w:snapToGrid w:val="0"/>
        <w:spacing w:before="156" w:beforeLines="50" w:line="360" w:lineRule="auto"/>
        <w:jc w:val="center"/>
        <w:rPr>
          <w:rFonts w:ascii="黑体" w:hAnsi="黑体" w:eastAsia="黑体"/>
          <w:color w:val="000000" w:themeColor="text1"/>
          <w:sz w:val="84"/>
          <w:szCs w:val="84"/>
          <w14:textFill>
            <w14:solidFill>
              <w14:schemeClr w14:val="tx1"/>
            </w14:solidFill>
          </w14:textFill>
        </w:rPr>
      </w:pPr>
      <w:r>
        <w:rPr>
          <w:rFonts w:hint="eastAsia" w:ascii="黑体" w:hAnsi="黑体" w:eastAsia="黑体"/>
          <w:color w:val="000000" w:themeColor="text1"/>
          <w:sz w:val="84"/>
          <w:szCs w:val="84"/>
          <w14:textFill>
            <w14:solidFill>
              <w14:schemeClr w14:val="tx1"/>
            </w14:solidFill>
          </w14:textFill>
        </w:rPr>
        <w:t>竞争性磋商文件</w:t>
      </w:r>
    </w:p>
    <w:p>
      <w:pPr>
        <w:snapToGrid w:val="0"/>
        <w:spacing w:line="360" w:lineRule="auto"/>
        <w:rPr>
          <w:rFonts w:ascii="仿宋_GB2312" w:hAnsi="宋体" w:eastAsia="仿宋_GB2312"/>
          <w:b/>
          <w:color w:val="000000" w:themeColor="text1"/>
          <w:sz w:val="48"/>
          <w:szCs w:val="48"/>
          <w14:textFill>
            <w14:solidFill>
              <w14:schemeClr w14:val="tx1"/>
            </w14:solidFill>
          </w14:textFill>
        </w:rPr>
      </w:pPr>
    </w:p>
    <w:p>
      <w:pPr>
        <w:pStyle w:val="12"/>
        <w:snapToGrid w:val="0"/>
        <w:spacing w:line="360" w:lineRule="auto"/>
        <w:ind w:firstLine="1506" w:firstLineChars="500"/>
        <w:rPr>
          <w:rFonts w:hint="eastAsia" w:ascii="仿宋_GB2312" w:hAnsi="宋体" w:eastAsia="仿宋_GB2312" w:cs="Courier New"/>
          <w:b/>
          <w:bCs/>
          <w:color w:val="000000" w:themeColor="text1"/>
          <w:w w:val="95"/>
          <w:sz w:val="30"/>
          <w:szCs w:val="30"/>
          <w:lang w:eastAsia="zh-CN"/>
          <w14:textFill>
            <w14:solidFill>
              <w14:schemeClr w14:val="tx1"/>
            </w14:solidFill>
          </w14:textFill>
        </w:rPr>
      </w:pPr>
      <w:r>
        <w:rPr>
          <w:rFonts w:hint="eastAsia" w:ascii="仿宋_GB2312" w:hAnsi="宋体" w:eastAsia="仿宋_GB2312"/>
          <w:b/>
          <w:bCs/>
          <w:color w:val="000000" w:themeColor="text1"/>
          <w:sz w:val="30"/>
          <w:szCs w:val="30"/>
          <w14:textFill>
            <w14:solidFill>
              <w14:schemeClr w14:val="tx1"/>
            </w14:solidFill>
          </w14:textFill>
        </w:rPr>
        <w:t>项目</w:t>
      </w:r>
      <w:r>
        <w:rPr>
          <w:rFonts w:hint="eastAsia" w:ascii="仿宋_GB2312" w:hAnsi="宋体" w:eastAsia="仿宋_GB2312" w:cs="Courier New"/>
          <w:b/>
          <w:bCs/>
          <w:color w:val="000000" w:themeColor="text1"/>
          <w:w w:val="95"/>
          <w:sz w:val="30"/>
          <w:szCs w:val="30"/>
          <w14:textFill>
            <w14:solidFill>
              <w14:schemeClr w14:val="tx1"/>
            </w14:solidFill>
          </w14:textFill>
        </w:rPr>
        <w:t>名称</w:t>
      </w:r>
      <w:r>
        <w:rPr>
          <w:rFonts w:hint="eastAsia" w:ascii="仿宋_GB2312" w:hAnsi="宋体" w:eastAsia="仿宋_GB2312"/>
          <w:b/>
          <w:bCs/>
          <w:color w:val="000000" w:themeColor="text1"/>
          <w:sz w:val="30"/>
          <w:szCs w:val="30"/>
          <w14:textFill>
            <w14:solidFill>
              <w14:schemeClr w14:val="tx1"/>
            </w14:solidFill>
          </w14:textFill>
        </w:rPr>
        <w:t>：</w:t>
      </w:r>
      <w:r>
        <w:rPr>
          <w:rFonts w:hint="eastAsia" w:ascii="仿宋_GB2312" w:hAnsi="宋体" w:eastAsia="仿宋_GB2312" w:cs="Courier New"/>
          <w:b/>
          <w:bCs/>
          <w:color w:val="000000" w:themeColor="text1"/>
          <w:w w:val="95"/>
          <w:sz w:val="30"/>
          <w:szCs w:val="30"/>
          <w:lang w:eastAsia="zh-CN"/>
          <w14:textFill>
            <w14:solidFill>
              <w14:schemeClr w14:val="tx1"/>
            </w14:solidFill>
          </w14:textFill>
        </w:rPr>
        <w:t>2024年自动监测站点运维服务项目（重）</w:t>
      </w:r>
    </w:p>
    <w:p>
      <w:pPr>
        <w:pStyle w:val="12"/>
        <w:snapToGrid w:val="0"/>
        <w:spacing w:line="360" w:lineRule="auto"/>
        <w:ind w:firstLine="1431" w:firstLineChars="500"/>
        <w:rPr>
          <w:rFonts w:hint="eastAsia" w:ascii="仿宋_GB2312" w:hAnsi="宋体" w:eastAsia="仿宋_GB2312" w:cs="Courier New"/>
          <w:b/>
          <w:bCs/>
          <w:color w:val="000000" w:themeColor="text1"/>
          <w:w w:val="95"/>
          <w:sz w:val="30"/>
          <w:szCs w:val="30"/>
          <w:lang w:eastAsia="zh-CN"/>
          <w14:textFill>
            <w14:solidFill>
              <w14:schemeClr w14:val="tx1"/>
            </w14:solidFill>
          </w14:textFill>
        </w:rPr>
      </w:pPr>
      <w:r>
        <w:rPr>
          <w:rFonts w:hint="eastAsia" w:ascii="仿宋_GB2312" w:hAnsi="宋体" w:eastAsia="仿宋_GB2312" w:cs="Courier New"/>
          <w:b/>
          <w:bCs/>
          <w:color w:val="000000" w:themeColor="text1"/>
          <w:w w:val="95"/>
          <w:sz w:val="30"/>
          <w:szCs w:val="30"/>
          <w14:textFill>
            <w14:solidFill>
              <w14:schemeClr w14:val="tx1"/>
            </w14:solidFill>
          </w14:textFill>
        </w:rPr>
        <w:t>项目编号：</w:t>
      </w:r>
      <w:r>
        <w:rPr>
          <w:rFonts w:hint="eastAsia" w:ascii="仿宋_GB2312" w:hAnsi="宋体" w:eastAsia="仿宋_GB2312" w:cs="Courier New"/>
          <w:b/>
          <w:bCs/>
          <w:color w:val="000000" w:themeColor="text1"/>
          <w:w w:val="95"/>
          <w:sz w:val="30"/>
          <w:szCs w:val="30"/>
          <w:lang w:eastAsia="zh-CN"/>
          <w14:textFill>
            <w14:solidFill>
              <w14:schemeClr w14:val="tx1"/>
            </w14:solidFill>
          </w14:textFill>
        </w:rPr>
        <w:t>GXZC2024-C3-003137-KWZB</w:t>
      </w:r>
    </w:p>
    <w:p>
      <w:pPr>
        <w:pStyle w:val="12"/>
        <w:snapToGrid w:val="0"/>
        <w:spacing w:line="360" w:lineRule="auto"/>
        <w:ind w:firstLine="1205" w:firstLineChars="400"/>
        <w:rPr>
          <w:rFonts w:ascii="仿宋_GB2312" w:hAnsi="宋体" w:eastAsia="仿宋_GB2312"/>
          <w:b/>
          <w:bCs/>
          <w:color w:val="000000" w:themeColor="text1"/>
          <w:sz w:val="30"/>
          <w:szCs w:val="30"/>
          <w14:textFill>
            <w14:solidFill>
              <w14:schemeClr w14:val="tx1"/>
            </w14:solidFill>
          </w14:textFill>
        </w:rPr>
      </w:pPr>
    </w:p>
    <w:p>
      <w:pPr>
        <w:snapToGrid w:val="0"/>
        <w:spacing w:line="360" w:lineRule="auto"/>
        <w:ind w:firstLine="1145" w:firstLineChars="400"/>
        <w:rPr>
          <w:rFonts w:ascii="仿宋_GB2312" w:hAnsi="宋体" w:eastAsia="仿宋_GB2312" w:cs="Courier New"/>
          <w:b/>
          <w:bCs/>
          <w:color w:val="000000" w:themeColor="text1"/>
          <w:w w:val="95"/>
          <w:sz w:val="30"/>
          <w:szCs w:val="30"/>
          <w14:textFill>
            <w14:solidFill>
              <w14:schemeClr w14:val="tx1"/>
            </w14:solidFill>
          </w14:textFill>
        </w:rPr>
      </w:pPr>
    </w:p>
    <w:p>
      <w:pPr>
        <w:snapToGrid w:val="0"/>
        <w:spacing w:line="360" w:lineRule="auto"/>
        <w:ind w:firstLine="1145" w:firstLineChars="400"/>
        <w:rPr>
          <w:rFonts w:ascii="仿宋_GB2312" w:hAnsi="宋体" w:eastAsia="仿宋_GB2312" w:cs="Courier New"/>
          <w:b/>
          <w:bCs/>
          <w:color w:val="000000" w:themeColor="text1"/>
          <w:w w:val="95"/>
          <w:sz w:val="30"/>
          <w:szCs w:val="30"/>
          <w14:textFill>
            <w14:solidFill>
              <w14:schemeClr w14:val="tx1"/>
            </w14:solidFill>
          </w14:textFill>
        </w:rPr>
      </w:pPr>
    </w:p>
    <w:p>
      <w:pPr>
        <w:snapToGrid w:val="0"/>
        <w:spacing w:line="360" w:lineRule="auto"/>
        <w:ind w:firstLine="1205" w:firstLineChars="400"/>
        <w:rPr>
          <w:rFonts w:ascii="仿宋_GB2312" w:hAnsi="宋体" w:eastAsia="仿宋_GB2312"/>
          <w:color w:val="000000" w:themeColor="text1"/>
          <w:sz w:val="30"/>
          <w:szCs w:val="72"/>
          <w14:textFill>
            <w14:solidFill>
              <w14:schemeClr w14:val="tx1"/>
            </w14:solidFill>
          </w14:textFill>
        </w:rPr>
      </w:pPr>
      <w:r>
        <w:rPr>
          <w:rFonts w:hint="eastAsia" w:ascii="仿宋_GB2312" w:hAnsi="宋体" w:eastAsia="仿宋_GB2312"/>
          <w:b/>
          <w:color w:val="000000" w:themeColor="text1"/>
          <w:sz w:val="30"/>
          <w:szCs w:val="48"/>
          <w14:textFill>
            <w14:solidFill>
              <w14:schemeClr w14:val="tx1"/>
            </w14:solidFill>
          </w14:textFill>
        </w:rPr>
        <w:t xml:space="preserve"> </w:t>
      </w:r>
    </w:p>
    <w:p>
      <w:pPr>
        <w:pStyle w:val="12"/>
        <w:snapToGrid w:val="0"/>
        <w:spacing w:line="360" w:lineRule="auto"/>
        <w:ind w:firstLine="1125" w:firstLineChars="393"/>
        <w:rPr>
          <w:rFonts w:ascii="仿宋_GB2312" w:hAnsi="宋体" w:eastAsia="仿宋_GB2312"/>
          <w:b/>
          <w:bCs/>
          <w:color w:val="000000" w:themeColor="text1"/>
          <w:w w:val="95"/>
          <w:sz w:val="30"/>
          <w:szCs w:val="30"/>
          <w14:textFill>
            <w14:solidFill>
              <w14:schemeClr w14:val="tx1"/>
            </w14:solidFill>
          </w14:textFill>
        </w:rPr>
      </w:pPr>
      <w:r>
        <w:rPr>
          <w:rFonts w:hint="eastAsia" w:ascii="仿宋_GB2312" w:hAnsi="宋体" w:eastAsia="仿宋_GB2312"/>
          <w:b/>
          <w:bCs/>
          <w:color w:val="000000" w:themeColor="text1"/>
          <w:w w:val="95"/>
          <w:sz w:val="30"/>
          <w:szCs w:val="30"/>
          <w14:textFill>
            <w14:solidFill>
              <w14:schemeClr w14:val="tx1"/>
            </w14:solidFill>
          </w14:textFill>
        </w:rPr>
        <w:t>采 购 人：</w:t>
      </w:r>
      <w:r>
        <w:rPr>
          <w:rFonts w:hint="eastAsia" w:ascii="仿宋_GB2312" w:hAnsi="宋体" w:eastAsia="仿宋_GB2312"/>
          <w:b/>
          <w:color w:val="000000" w:themeColor="text1"/>
          <w:sz w:val="32"/>
          <w:szCs w:val="32"/>
          <w14:textFill>
            <w14:solidFill>
              <w14:schemeClr w14:val="tx1"/>
            </w14:solidFill>
          </w14:textFill>
        </w:rPr>
        <w:t>广西壮族自治区南宁生态环境监测中心</w:t>
      </w:r>
    </w:p>
    <w:p>
      <w:pPr>
        <w:pStyle w:val="12"/>
        <w:snapToGrid w:val="0"/>
        <w:spacing w:line="360" w:lineRule="auto"/>
        <w:ind w:firstLine="1125" w:firstLineChars="393"/>
        <w:rPr>
          <w:rFonts w:ascii="仿宋_GB2312" w:hAnsi="宋体" w:eastAsia="仿宋_GB2312"/>
          <w:b/>
          <w:bCs/>
          <w:color w:val="000000" w:themeColor="text1"/>
          <w:w w:val="95"/>
          <w:sz w:val="30"/>
          <w:szCs w:val="30"/>
          <w14:textFill>
            <w14:solidFill>
              <w14:schemeClr w14:val="tx1"/>
            </w14:solidFill>
          </w14:textFill>
        </w:rPr>
      </w:pPr>
      <w:r>
        <w:rPr>
          <w:rFonts w:hint="eastAsia" w:ascii="仿宋_GB2312" w:hAnsi="宋体" w:eastAsia="仿宋_GB2312"/>
          <w:b/>
          <w:bCs/>
          <w:color w:val="000000" w:themeColor="text1"/>
          <w:w w:val="95"/>
          <w:sz w:val="30"/>
          <w:szCs w:val="30"/>
          <w14:textFill>
            <w14:solidFill>
              <w14:schemeClr w14:val="tx1"/>
            </w14:solidFill>
          </w14:textFill>
        </w:rPr>
        <w:t>采购代理机构：</w:t>
      </w:r>
      <w:r>
        <w:rPr>
          <w:rFonts w:hint="eastAsia" w:ascii="仿宋_GB2312" w:hAnsi="宋体" w:eastAsia="仿宋_GB2312"/>
          <w:b/>
          <w:color w:val="000000" w:themeColor="text1"/>
          <w:sz w:val="32"/>
          <w:szCs w:val="32"/>
          <w14:textFill>
            <w14:solidFill>
              <w14:schemeClr w14:val="tx1"/>
            </w14:solidFill>
          </w14:textFill>
        </w:rPr>
        <w:t>广西科文招标有限公司</w:t>
      </w:r>
    </w:p>
    <w:p>
      <w:pPr>
        <w:pStyle w:val="12"/>
        <w:snapToGrid w:val="0"/>
        <w:spacing w:line="360" w:lineRule="auto"/>
        <w:ind w:firstLine="1125" w:firstLineChars="393"/>
        <w:rPr>
          <w:rFonts w:ascii="仿宋_GB2312" w:hAnsi="宋体" w:eastAsia="仿宋_GB2312"/>
          <w:b/>
          <w:bCs/>
          <w:color w:val="000000" w:themeColor="text1"/>
          <w:w w:val="95"/>
          <w:sz w:val="30"/>
          <w:szCs w:val="30"/>
          <w14:textFill>
            <w14:solidFill>
              <w14:schemeClr w14:val="tx1"/>
            </w14:solidFill>
          </w14:textFill>
        </w:rPr>
      </w:pPr>
    </w:p>
    <w:p>
      <w:pPr>
        <w:pStyle w:val="12"/>
        <w:snapToGrid w:val="0"/>
        <w:spacing w:line="360" w:lineRule="auto"/>
        <w:ind w:left="420" w:firstLine="841" w:firstLineChars="294"/>
        <w:rPr>
          <w:rFonts w:hint="eastAsia" w:ascii="仿宋_GB2312" w:hAnsi="宋体" w:eastAsia="仿宋_GB2312"/>
          <w:b/>
          <w:bCs/>
          <w:color w:val="000000" w:themeColor="text1"/>
          <w:w w:val="95"/>
          <w:sz w:val="30"/>
          <w:szCs w:val="30"/>
          <w:lang w:eastAsia="zh-CN"/>
          <w14:textFill>
            <w14:solidFill>
              <w14:schemeClr w14:val="tx1"/>
            </w14:solidFill>
          </w14:textFill>
        </w:rPr>
      </w:pPr>
      <w:r>
        <w:rPr>
          <w:rFonts w:hint="eastAsia" w:ascii="仿宋_GB2312" w:hAnsi="宋体" w:eastAsia="仿宋_GB2312"/>
          <w:b/>
          <w:bCs/>
          <w:color w:val="000000" w:themeColor="text1"/>
          <w:w w:val="95"/>
          <w:sz w:val="30"/>
          <w:szCs w:val="30"/>
          <w14:textFill>
            <w14:solidFill>
              <w14:schemeClr w14:val="tx1"/>
            </w14:solidFill>
          </w14:textFill>
        </w:rPr>
        <w:t xml:space="preserve">            </w:t>
      </w:r>
      <w:r>
        <w:rPr>
          <w:rFonts w:hint="eastAsia" w:ascii="仿宋_GB2312" w:hAnsi="宋体" w:eastAsia="仿宋_GB2312"/>
          <w:b/>
          <w:bCs/>
          <w:color w:val="000000" w:themeColor="text1"/>
          <w:w w:val="95"/>
          <w:sz w:val="30"/>
          <w:szCs w:val="30"/>
          <w:lang w:eastAsia="zh-CN"/>
          <w14:textFill>
            <w14:solidFill>
              <w14:schemeClr w14:val="tx1"/>
            </w14:solidFill>
          </w14:textFill>
        </w:rPr>
        <w:t>2024年</w:t>
      </w:r>
      <w:r>
        <w:rPr>
          <w:rFonts w:hint="eastAsia" w:ascii="仿宋_GB2312" w:hAnsi="宋体" w:eastAsia="仿宋_GB2312"/>
          <w:b/>
          <w:bCs/>
          <w:color w:val="000000" w:themeColor="text1"/>
          <w:w w:val="95"/>
          <w:sz w:val="30"/>
          <w:szCs w:val="30"/>
          <w:lang w:val="en-US" w:eastAsia="zh-CN"/>
          <w14:textFill>
            <w14:solidFill>
              <w14:schemeClr w14:val="tx1"/>
            </w14:solidFill>
          </w14:textFill>
        </w:rPr>
        <w:t>4</w:t>
      </w:r>
      <w:r>
        <w:rPr>
          <w:rFonts w:hint="eastAsia" w:ascii="仿宋_GB2312" w:hAnsi="宋体" w:eastAsia="仿宋_GB2312"/>
          <w:b/>
          <w:bCs/>
          <w:color w:val="000000" w:themeColor="text1"/>
          <w:w w:val="95"/>
          <w:sz w:val="30"/>
          <w:szCs w:val="30"/>
          <w:lang w:eastAsia="zh-CN"/>
          <w14:textFill>
            <w14:solidFill>
              <w14:schemeClr w14:val="tx1"/>
            </w14:solidFill>
          </w14:textFill>
        </w:rPr>
        <w:t>月</w:t>
      </w:r>
    </w:p>
    <w:p>
      <w:pPr>
        <w:pStyle w:val="4"/>
        <w:ind w:left="0" w:firstLine="0"/>
        <w:rPr>
          <w:color w:val="000000" w:themeColor="text1"/>
          <w14:textFill>
            <w14:solidFill>
              <w14:schemeClr w14:val="tx1"/>
            </w14:solidFill>
          </w14:textFill>
        </w:rPr>
      </w:pPr>
    </w:p>
    <w:p>
      <w:pPr>
        <w:spacing w:line="360" w:lineRule="auto"/>
        <w:jc w:val="center"/>
        <w:rPr>
          <w:rFonts w:ascii="宋体" w:hAnsi="宋体" w:cs="宋体"/>
          <w:b/>
          <w:bCs/>
          <w:color w:val="000000" w:themeColor="text1"/>
          <w:kern w:val="0"/>
          <w:sz w:val="32"/>
          <w:szCs w:val="32"/>
          <w14:textFill>
            <w14:solidFill>
              <w14:schemeClr w14:val="tx1"/>
            </w14:solidFill>
          </w14:textFill>
        </w:rPr>
      </w:pPr>
    </w:p>
    <w:p>
      <w:pPr>
        <w:spacing w:line="360" w:lineRule="auto"/>
        <w:jc w:val="center"/>
        <w:rPr>
          <w:rFonts w:hint="eastAsia" w:ascii="宋体" w:hAnsi="宋体"/>
          <w:b/>
          <w:color w:val="000000" w:themeColor="text1"/>
          <w:sz w:val="44"/>
          <w:szCs w:val="44"/>
          <w14:textFill>
            <w14:solidFill>
              <w14:schemeClr w14:val="tx1"/>
            </w14:solidFill>
          </w14:textFill>
        </w:rPr>
        <w:sectPr>
          <w:headerReference r:id="rId4" w:type="first"/>
          <w:footerReference r:id="rId6" w:type="first"/>
          <w:headerReference r:id="rId3" w:type="default"/>
          <w:footerReference r:id="rId5" w:type="default"/>
          <w:pgSz w:w="11906" w:h="16838"/>
          <w:pgMar w:top="1440" w:right="1440" w:bottom="1440" w:left="1587" w:header="851" w:footer="992" w:gutter="0"/>
          <w:pgNumType w:start="0"/>
          <w:cols w:space="720" w:num="1"/>
          <w:titlePg/>
          <w:docGrid w:type="lines" w:linePitch="312" w:charSpace="0"/>
        </w:sectPr>
      </w:pPr>
    </w:p>
    <w:p>
      <w:pPr>
        <w:spacing w:line="360" w:lineRule="auto"/>
        <w:jc w:val="center"/>
        <w:rPr>
          <w:rFonts w:ascii="宋体" w:hAnsi="宋体"/>
          <w:b/>
          <w:color w:val="000000" w:themeColor="text1"/>
          <w:sz w:val="44"/>
          <w:szCs w:val="44"/>
          <w14:textFill>
            <w14:solidFill>
              <w14:schemeClr w14:val="tx1"/>
            </w14:solidFill>
          </w14:textFill>
        </w:rPr>
      </w:pPr>
      <w:r>
        <w:rPr>
          <w:rFonts w:hint="eastAsia" w:ascii="宋体" w:hAnsi="宋体"/>
          <w:b/>
          <w:color w:val="000000" w:themeColor="text1"/>
          <w:sz w:val="44"/>
          <w:szCs w:val="44"/>
          <w14:textFill>
            <w14:solidFill>
              <w14:schemeClr w14:val="tx1"/>
            </w14:solidFill>
          </w14:textFill>
        </w:rPr>
        <w:t>目  录</w:t>
      </w:r>
    </w:p>
    <w:p>
      <w:pPr>
        <w:spacing w:line="400" w:lineRule="exact"/>
        <w:jc w:val="center"/>
        <w:rPr>
          <w:rFonts w:ascii="宋体" w:hAnsi="宋体"/>
          <w:b/>
          <w:color w:val="000000" w:themeColor="text1"/>
          <w:sz w:val="44"/>
          <w:szCs w:val="44"/>
          <w14:textFill>
            <w14:solidFill>
              <w14:schemeClr w14:val="tx1"/>
            </w14:solidFill>
          </w14:textFill>
        </w:rPr>
      </w:pPr>
    </w:p>
    <w:p>
      <w:pPr>
        <w:pStyle w:val="15"/>
        <w:tabs>
          <w:tab w:val="right" w:leader="dot" w:pos="8869"/>
        </w:tabs>
        <w:snapToGrid w:val="0"/>
        <w:spacing w:line="500" w:lineRule="atLeast"/>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fldChar w:fldCharType="begin"/>
      </w:r>
      <w:r>
        <w:rPr>
          <w:rFonts w:ascii="宋体" w:hAnsi="宋体"/>
          <w:b/>
          <w:color w:val="000000" w:themeColor="text1"/>
          <w:sz w:val="24"/>
          <w14:textFill>
            <w14:solidFill>
              <w14:schemeClr w14:val="tx1"/>
            </w14:solidFill>
          </w14:textFill>
        </w:rPr>
        <w:instrText xml:space="preserve"> </w:instrText>
      </w:r>
      <w:r>
        <w:rPr>
          <w:rFonts w:hint="eastAsia" w:ascii="宋体" w:hAnsi="宋体"/>
          <w:b/>
          <w:color w:val="000000" w:themeColor="text1"/>
          <w:sz w:val="24"/>
          <w14:textFill>
            <w14:solidFill>
              <w14:schemeClr w14:val="tx1"/>
            </w14:solidFill>
          </w14:textFill>
        </w:rPr>
        <w:instrText xml:space="preserve">TOC \o "1-3" \h \z \u</w:instrText>
      </w:r>
      <w:r>
        <w:rPr>
          <w:rFonts w:ascii="宋体" w:hAnsi="宋体"/>
          <w:b/>
          <w:color w:val="000000" w:themeColor="text1"/>
          <w:sz w:val="24"/>
          <w14:textFill>
            <w14:solidFill>
              <w14:schemeClr w14:val="tx1"/>
            </w14:solidFill>
          </w14:textFill>
        </w:rPr>
        <w:instrText xml:space="preserve"> </w:instrText>
      </w:r>
      <w:r>
        <w:rPr>
          <w:rFonts w:ascii="宋体" w:hAnsi="宋体"/>
          <w:b/>
          <w:color w:val="000000" w:themeColor="text1"/>
          <w:sz w:val="24"/>
          <w14:textFill>
            <w14:solidFill>
              <w14:schemeClr w14:val="tx1"/>
            </w14:solidFill>
          </w14:textFill>
        </w:rPr>
        <w:fldChar w:fldCharType="separate"/>
      </w:r>
      <w:r>
        <w:fldChar w:fldCharType="begin"/>
      </w:r>
      <w:r>
        <w:instrText xml:space="preserve"> HYPERLINK \l "_Toc74323456" </w:instrText>
      </w:r>
      <w:r>
        <w:fldChar w:fldCharType="separate"/>
      </w:r>
      <w:r>
        <w:rPr>
          <w:rStyle w:val="21"/>
          <w:rFonts w:hint="eastAsia" w:ascii="宋体" w:hAnsi="宋体"/>
          <w:b/>
          <w:color w:val="000000" w:themeColor="text1"/>
          <w:sz w:val="24"/>
          <w14:textFill>
            <w14:solidFill>
              <w14:schemeClr w14:val="tx1"/>
            </w14:solidFill>
          </w14:textFill>
        </w:rPr>
        <w:t>第一章</w:t>
      </w:r>
      <w:r>
        <w:rPr>
          <w:rStyle w:val="21"/>
          <w:rFonts w:ascii="宋体" w:hAnsi="宋体"/>
          <w:b/>
          <w:color w:val="000000" w:themeColor="text1"/>
          <w:sz w:val="24"/>
          <w14:textFill>
            <w14:solidFill>
              <w14:schemeClr w14:val="tx1"/>
            </w14:solidFill>
          </w14:textFill>
        </w:rPr>
        <w:t xml:space="preserve"> </w:t>
      </w:r>
      <w:r>
        <w:rPr>
          <w:rStyle w:val="21"/>
          <w:rFonts w:hint="eastAsia" w:ascii="宋体" w:hAnsi="宋体"/>
          <w:b/>
          <w:color w:val="000000" w:themeColor="text1"/>
          <w:sz w:val="24"/>
          <w14:textFill>
            <w14:solidFill>
              <w14:schemeClr w14:val="tx1"/>
            </w14:solidFill>
          </w14:textFill>
        </w:rPr>
        <w:t>竞争性磋商公告</w:t>
      </w:r>
      <w:r>
        <w:rPr>
          <w:rFonts w:ascii="宋体" w:hAnsi="宋体"/>
          <w:b/>
          <w:color w:val="000000" w:themeColor="text1"/>
          <w:sz w:val="24"/>
          <w14:textFill>
            <w14:solidFill>
              <w14:schemeClr w14:val="tx1"/>
            </w14:solidFill>
          </w14:textFill>
        </w:rPr>
        <w:tab/>
      </w:r>
      <w:r>
        <w:rPr>
          <w:rFonts w:hint="eastAsia" w:ascii="宋体" w:hAnsi="宋体"/>
          <w:b/>
          <w:color w:val="000000" w:themeColor="text1"/>
          <w:sz w:val="24"/>
          <w14:textFill>
            <w14:solidFill>
              <w14:schemeClr w14:val="tx1"/>
            </w14:solidFill>
          </w14:textFill>
        </w:rPr>
        <w:t>2</w:t>
      </w:r>
      <w:r>
        <w:rPr>
          <w:rFonts w:hint="eastAsia" w:ascii="宋体" w:hAnsi="宋体"/>
          <w:b/>
          <w:color w:val="000000" w:themeColor="text1"/>
          <w:sz w:val="24"/>
          <w14:textFill>
            <w14:solidFill>
              <w14:schemeClr w14:val="tx1"/>
            </w14:solidFill>
          </w14:textFill>
        </w:rPr>
        <w:fldChar w:fldCharType="end"/>
      </w:r>
    </w:p>
    <w:p>
      <w:pPr>
        <w:pStyle w:val="15"/>
        <w:tabs>
          <w:tab w:val="right" w:leader="dot" w:pos="8869"/>
        </w:tabs>
        <w:snapToGrid w:val="0"/>
        <w:spacing w:line="500" w:lineRule="atLeast"/>
        <w:rPr>
          <w:rFonts w:ascii="宋体" w:hAnsi="宋体"/>
          <w:b/>
          <w:color w:val="000000" w:themeColor="text1"/>
          <w:sz w:val="24"/>
          <w14:textFill>
            <w14:solidFill>
              <w14:schemeClr w14:val="tx1"/>
            </w14:solidFill>
          </w14:textFill>
        </w:rPr>
      </w:pPr>
      <w:r>
        <w:fldChar w:fldCharType="begin"/>
      </w:r>
      <w:r>
        <w:instrText xml:space="preserve"> HYPERLINK \l "_Toc74323457" </w:instrText>
      </w:r>
      <w:r>
        <w:fldChar w:fldCharType="separate"/>
      </w:r>
      <w:r>
        <w:rPr>
          <w:rStyle w:val="21"/>
          <w:rFonts w:hint="eastAsia" w:ascii="宋体" w:hAnsi="宋体"/>
          <w:b/>
          <w:color w:val="000000" w:themeColor="text1"/>
          <w:sz w:val="24"/>
          <w14:textFill>
            <w14:solidFill>
              <w14:schemeClr w14:val="tx1"/>
            </w14:solidFill>
          </w14:textFill>
        </w:rPr>
        <w:t>第二章</w:t>
      </w:r>
      <w:r>
        <w:rPr>
          <w:rStyle w:val="21"/>
          <w:rFonts w:ascii="宋体" w:hAnsi="宋体"/>
          <w:b/>
          <w:color w:val="000000" w:themeColor="text1"/>
          <w:sz w:val="24"/>
          <w14:textFill>
            <w14:solidFill>
              <w14:schemeClr w14:val="tx1"/>
            </w14:solidFill>
          </w14:textFill>
        </w:rPr>
        <w:t xml:space="preserve"> </w:t>
      </w:r>
      <w:r>
        <w:rPr>
          <w:rStyle w:val="21"/>
          <w:rFonts w:hint="eastAsia" w:ascii="宋体" w:hAnsi="宋体"/>
          <w:b/>
          <w:color w:val="000000" w:themeColor="text1"/>
          <w:sz w:val="24"/>
          <w14:textFill>
            <w14:solidFill>
              <w14:schemeClr w14:val="tx1"/>
            </w14:solidFill>
          </w14:textFill>
        </w:rPr>
        <w:t>供应</w:t>
      </w:r>
      <w:bookmarkStart w:id="0" w:name="_Hlt82161237"/>
      <w:r>
        <w:rPr>
          <w:rStyle w:val="21"/>
          <w:rFonts w:hint="eastAsia" w:ascii="宋体" w:hAnsi="宋体"/>
          <w:b/>
          <w:color w:val="000000" w:themeColor="text1"/>
          <w:sz w:val="24"/>
          <w14:textFill>
            <w14:solidFill>
              <w14:schemeClr w14:val="tx1"/>
            </w14:solidFill>
          </w14:textFill>
        </w:rPr>
        <w:t>商</w:t>
      </w:r>
      <w:bookmarkEnd w:id="0"/>
      <w:r>
        <w:rPr>
          <w:rStyle w:val="21"/>
          <w:rFonts w:hint="eastAsia" w:ascii="宋体" w:hAnsi="宋体"/>
          <w:b/>
          <w:color w:val="000000" w:themeColor="text1"/>
          <w:sz w:val="24"/>
          <w14:textFill>
            <w14:solidFill>
              <w14:schemeClr w14:val="tx1"/>
            </w14:solidFill>
          </w14:textFill>
        </w:rPr>
        <w:t>须知</w:t>
      </w:r>
      <w:r>
        <w:rPr>
          <w:rFonts w:ascii="宋体" w:hAnsi="宋体"/>
          <w:b/>
          <w:color w:val="000000" w:themeColor="text1"/>
          <w:sz w:val="24"/>
          <w14:textFill>
            <w14:solidFill>
              <w14:schemeClr w14:val="tx1"/>
            </w14:solidFill>
          </w14:textFill>
        </w:rPr>
        <w:tab/>
      </w:r>
      <w:r>
        <w:rPr>
          <w:rFonts w:hint="eastAsia" w:ascii="宋体" w:hAnsi="宋体"/>
          <w:b/>
          <w:color w:val="000000" w:themeColor="text1"/>
          <w:sz w:val="24"/>
          <w:lang w:val="en-US" w:eastAsia="zh-CN"/>
          <w14:textFill>
            <w14:solidFill>
              <w14:schemeClr w14:val="tx1"/>
            </w14:solidFill>
          </w14:textFill>
        </w:rPr>
        <w:t>7</w:t>
      </w:r>
      <w:r>
        <w:rPr>
          <w:rFonts w:hint="eastAsia" w:ascii="宋体" w:hAnsi="宋体"/>
          <w:b/>
          <w:color w:val="000000" w:themeColor="text1"/>
          <w:sz w:val="24"/>
          <w14:textFill>
            <w14:solidFill>
              <w14:schemeClr w14:val="tx1"/>
            </w14:solidFill>
          </w14:textFill>
        </w:rPr>
        <w:fldChar w:fldCharType="end"/>
      </w:r>
    </w:p>
    <w:p>
      <w:pPr>
        <w:pStyle w:val="15"/>
        <w:tabs>
          <w:tab w:val="right" w:leader="dot" w:pos="8869"/>
        </w:tabs>
        <w:snapToGrid w:val="0"/>
        <w:spacing w:line="500" w:lineRule="atLeast"/>
        <w:rPr>
          <w:rFonts w:hint="eastAsia" w:ascii="宋体" w:hAnsi="宋体" w:eastAsia="宋体"/>
          <w:b/>
          <w:color w:val="000000" w:themeColor="text1"/>
          <w:sz w:val="24"/>
          <w:lang w:eastAsia="zh-CN"/>
          <w14:textFill>
            <w14:solidFill>
              <w14:schemeClr w14:val="tx1"/>
            </w14:solidFill>
          </w14:textFill>
        </w:rPr>
      </w:pPr>
      <w:r>
        <w:fldChar w:fldCharType="begin"/>
      </w:r>
      <w:r>
        <w:instrText xml:space="preserve"> HYPERLINK \l "_Toc74323458" </w:instrText>
      </w:r>
      <w:r>
        <w:fldChar w:fldCharType="separate"/>
      </w:r>
      <w:r>
        <w:rPr>
          <w:rStyle w:val="21"/>
          <w:rFonts w:hint="eastAsia" w:ascii="宋体" w:hAnsi="宋体"/>
          <w:b/>
          <w:color w:val="000000" w:themeColor="text1"/>
          <w:sz w:val="24"/>
          <w14:textFill>
            <w14:solidFill>
              <w14:schemeClr w14:val="tx1"/>
            </w14:solidFill>
          </w14:textFill>
        </w:rPr>
        <w:t>第三章</w:t>
      </w:r>
      <w:r>
        <w:rPr>
          <w:rStyle w:val="21"/>
          <w:rFonts w:ascii="宋体" w:hAnsi="宋体"/>
          <w:b/>
          <w:color w:val="000000" w:themeColor="text1"/>
          <w:sz w:val="24"/>
          <w14:textFill>
            <w14:solidFill>
              <w14:schemeClr w14:val="tx1"/>
            </w14:solidFill>
          </w14:textFill>
        </w:rPr>
        <w:t xml:space="preserve"> </w:t>
      </w:r>
      <w:r>
        <w:rPr>
          <w:rStyle w:val="21"/>
          <w:rFonts w:hint="eastAsia" w:ascii="宋体" w:hAnsi="宋体"/>
          <w:b/>
          <w:color w:val="000000" w:themeColor="text1"/>
          <w:sz w:val="24"/>
          <w14:textFill>
            <w14:solidFill>
              <w14:schemeClr w14:val="tx1"/>
            </w14:solidFill>
          </w14:textFill>
        </w:rPr>
        <w:t>采购需</w:t>
      </w:r>
      <w:bookmarkStart w:id="1" w:name="_Hlt82166940"/>
      <w:r>
        <w:rPr>
          <w:rStyle w:val="21"/>
          <w:rFonts w:hint="eastAsia" w:ascii="宋体" w:hAnsi="宋体"/>
          <w:b/>
          <w:color w:val="000000" w:themeColor="text1"/>
          <w:sz w:val="24"/>
          <w14:textFill>
            <w14:solidFill>
              <w14:schemeClr w14:val="tx1"/>
            </w14:solidFill>
          </w14:textFill>
        </w:rPr>
        <w:t>求</w:t>
      </w:r>
      <w:bookmarkEnd w:id="1"/>
      <w:r>
        <w:rPr>
          <w:rFonts w:ascii="宋体" w:hAnsi="宋体"/>
          <w:b/>
          <w:color w:val="000000" w:themeColor="text1"/>
          <w:sz w:val="24"/>
          <w14:textFill>
            <w14:solidFill>
              <w14:schemeClr w14:val="tx1"/>
            </w14:solidFill>
          </w14:textFill>
        </w:rPr>
        <w:tab/>
      </w:r>
      <w:r>
        <w:rPr>
          <w:rFonts w:hint="eastAsia" w:ascii="宋体" w:hAnsi="宋体"/>
          <w:b/>
          <w:color w:val="000000" w:themeColor="text1"/>
          <w:sz w:val="24"/>
          <w14:textFill>
            <w14:solidFill>
              <w14:schemeClr w14:val="tx1"/>
            </w14:solidFill>
          </w14:textFill>
        </w:rPr>
        <w:t>2</w:t>
      </w:r>
      <w:r>
        <w:rPr>
          <w:rFonts w:hint="eastAsia" w:ascii="宋体" w:hAnsi="宋体"/>
          <w:b/>
          <w:color w:val="000000" w:themeColor="text1"/>
          <w:sz w:val="24"/>
          <w14:textFill>
            <w14:solidFill>
              <w14:schemeClr w14:val="tx1"/>
            </w14:solidFill>
          </w14:textFill>
        </w:rPr>
        <w:fldChar w:fldCharType="end"/>
      </w:r>
      <w:r>
        <w:rPr>
          <w:rFonts w:hint="eastAsia" w:ascii="宋体" w:hAnsi="宋体"/>
          <w:b/>
          <w:color w:val="000000" w:themeColor="text1"/>
          <w:sz w:val="24"/>
          <w:lang w:val="en-US" w:eastAsia="zh-CN"/>
          <w14:textFill>
            <w14:solidFill>
              <w14:schemeClr w14:val="tx1"/>
            </w14:solidFill>
          </w14:textFill>
        </w:rPr>
        <w:t>5</w:t>
      </w:r>
    </w:p>
    <w:p>
      <w:pPr>
        <w:pStyle w:val="15"/>
        <w:tabs>
          <w:tab w:val="right" w:leader="dot" w:pos="8869"/>
        </w:tabs>
        <w:snapToGrid w:val="0"/>
        <w:spacing w:line="500" w:lineRule="atLeast"/>
        <w:rPr>
          <w:rFonts w:ascii="宋体" w:hAnsi="宋体"/>
          <w:b/>
          <w:color w:val="000000" w:themeColor="text1"/>
          <w:sz w:val="24"/>
          <w14:textFill>
            <w14:solidFill>
              <w14:schemeClr w14:val="tx1"/>
            </w14:solidFill>
          </w14:textFill>
        </w:rPr>
      </w:pPr>
      <w:r>
        <w:fldChar w:fldCharType="begin"/>
      </w:r>
      <w:r>
        <w:instrText xml:space="preserve"> HYPERLINK \l "_Toc74323459" </w:instrText>
      </w:r>
      <w:r>
        <w:fldChar w:fldCharType="separate"/>
      </w:r>
      <w:r>
        <w:rPr>
          <w:rStyle w:val="21"/>
          <w:rFonts w:hint="eastAsia" w:ascii="宋体" w:hAnsi="宋体"/>
          <w:b/>
          <w:color w:val="000000" w:themeColor="text1"/>
          <w:sz w:val="24"/>
          <w14:textFill>
            <w14:solidFill>
              <w14:schemeClr w14:val="tx1"/>
            </w14:solidFill>
          </w14:textFill>
        </w:rPr>
        <w:t>第四章</w:t>
      </w:r>
      <w:r>
        <w:rPr>
          <w:rStyle w:val="21"/>
          <w:rFonts w:ascii="宋体" w:hAnsi="宋体"/>
          <w:b/>
          <w:color w:val="000000" w:themeColor="text1"/>
          <w:sz w:val="24"/>
          <w14:textFill>
            <w14:solidFill>
              <w14:schemeClr w14:val="tx1"/>
            </w14:solidFill>
          </w14:textFill>
        </w:rPr>
        <w:t xml:space="preserve"> </w:t>
      </w:r>
      <w:r>
        <w:rPr>
          <w:rStyle w:val="21"/>
          <w:rFonts w:hint="eastAsia" w:ascii="宋体" w:hAnsi="宋体"/>
          <w:b/>
          <w:color w:val="000000" w:themeColor="text1"/>
          <w:sz w:val="24"/>
          <w14:textFill>
            <w14:solidFill>
              <w14:schemeClr w14:val="tx1"/>
            </w14:solidFill>
          </w14:textFill>
        </w:rPr>
        <w:t>评审程序、</w:t>
      </w:r>
      <w:bookmarkStart w:id="2" w:name="_Hlt82166000"/>
      <w:r>
        <w:rPr>
          <w:rStyle w:val="21"/>
          <w:rFonts w:hint="eastAsia" w:ascii="宋体" w:hAnsi="宋体"/>
          <w:b/>
          <w:color w:val="000000" w:themeColor="text1"/>
          <w:sz w:val="24"/>
          <w14:textFill>
            <w14:solidFill>
              <w14:schemeClr w14:val="tx1"/>
            </w14:solidFill>
          </w14:textFill>
        </w:rPr>
        <w:t>评</w:t>
      </w:r>
      <w:bookmarkEnd w:id="2"/>
      <w:r>
        <w:rPr>
          <w:rStyle w:val="21"/>
          <w:rFonts w:hint="eastAsia" w:ascii="宋体" w:hAnsi="宋体"/>
          <w:b/>
          <w:color w:val="000000" w:themeColor="text1"/>
          <w:sz w:val="24"/>
          <w14:textFill>
            <w14:solidFill>
              <w14:schemeClr w14:val="tx1"/>
            </w14:solidFill>
          </w14:textFill>
        </w:rPr>
        <w:t>审方法和评审标准</w:t>
      </w:r>
      <w:r>
        <w:rPr>
          <w:rFonts w:ascii="宋体" w:hAnsi="宋体"/>
          <w:b/>
          <w:color w:val="000000" w:themeColor="text1"/>
          <w:sz w:val="24"/>
          <w14:textFill>
            <w14:solidFill>
              <w14:schemeClr w14:val="tx1"/>
            </w14:solidFill>
          </w14:textFill>
        </w:rPr>
        <w:tab/>
      </w:r>
      <w:r>
        <w:rPr>
          <w:rFonts w:hint="eastAsia" w:ascii="宋体" w:hAnsi="宋体"/>
          <w:b/>
          <w:color w:val="000000" w:themeColor="text1"/>
          <w:sz w:val="24"/>
          <w:lang w:val="en-US" w:eastAsia="zh-CN"/>
          <w14:textFill>
            <w14:solidFill>
              <w14:schemeClr w14:val="tx1"/>
            </w14:solidFill>
          </w14:textFill>
        </w:rPr>
        <w:t>102</w:t>
      </w:r>
      <w:r>
        <w:rPr>
          <w:rFonts w:ascii="宋体" w:hAnsi="宋体"/>
          <w:b/>
          <w:color w:val="000000" w:themeColor="text1"/>
          <w:sz w:val="24"/>
          <w14:textFill>
            <w14:solidFill>
              <w14:schemeClr w14:val="tx1"/>
            </w14:solidFill>
          </w14:textFill>
        </w:rPr>
        <w:fldChar w:fldCharType="end"/>
      </w:r>
    </w:p>
    <w:p>
      <w:pPr>
        <w:pStyle w:val="15"/>
        <w:tabs>
          <w:tab w:val="right" w:leader="dot" w:pos="8869"/>
        </w:tabs>
        <w:snapToGrid w:val="0"/>
        <w:spacing w:line="500" w:lineRule="atLeast"/>
        <w:rPr>
          <w:rFonts w:ascii="宋体" w:hAnsi="宋体"/>
          <w:b/>
          <w:color w:val="000000" w:themeColor="text1"/>
          <w:sz w:val="24"/>
          <w14:textFill>
            <w14:solidFill>
              <w14:schemeClr w14:val="tx1"/>
            </w14:solidFill>
          </w14:textFill>
        </w:rPr>
      </w:pPr>
      <w:r>
        <w:fldChar w:fldCharType="begin"/>
      </w:r>
      <w:r>
        <w:instrText xml:space="preserve"> HYPERLINK \l "_Toc74323460" </w:instrText>
      </w:r>
      <w:r>
        <w:fldChar w:fldCharType="separate"/>
      </w:r>
      <w:r>
        <w:rPr>
          <w:rStyle w:val="21"/>
          <w:rFonts w:hint="eastAsia" w:ascii="宋体" w:hAnsi="宋体"/>
          <w:b/>
          <w:color w:val="000000" w:themeColor="text1"/>
          <w:sz w:val="24"/>
          <w14:textFill>
            <w14:solidFill>
              <w14:schemeClr w14:val="tx1"/>
            </w14:solidFill>
          </w14:textFill>
        </w:rPr>
        <w:t>第五章</w:t>
      </w:r>
      <w:r>
        <w:rPr>
          <w:rStyle w:val="21"/>
          <w:rFonts w:ascii="宋体" w:hAnsi="宋体"/>
          <w:b/>
          <w:color w:val="000000" w:themeColor="text1"/>
          <w:sz w:val="24"/>
          <w14:textFill>
            <w14:solidFill>
              <w14:schemeClr w14:val="tx1"/>
            </w14:solidFill>
          </w14:textFill>
        </w:rPr>
        <w:t xml:space="preserve"> </w:t>
      </w:r>
      <w:r>
        <w:rPr>
          <w:rStyle w:val="21"/>
          <w:rFonts w:hint="eastAsia" w:ascii="宋体" w:hAnsi="宋体"/>
          <w:b/>
          <w:color w:val="000000" w:themeColor="text1"/>
          <w:sz w:val="24"/>
          <w14:textFill>
            <w14:solidFill>
              <w14:schemeClr w14:val="tx1"/>
            </w14:solidFill>
          </w14:textFill>
        </w:rPr>
        <w:t>响应文件格式</w:t>
      </w:r>
      <w:r>
        <w:rPr>
          <w:rFonts w:ascii="宋体" w:hAnsi="宋体"/>
          <w:b/>
          <w:color w:val="000000" w:themeColor="text1"/>
          <w:sz w:val="24"/>
          <w14:textFill>
            <w14:solidFill>
              <w14:schemeClr w14:val="tx1"/>
            </w14:solidFill>
          </w14:textFill>
        </w:rPr>
        <w:tab/>
      </w:r>
      <w:r>
        <w:rPr>
          <w:rFonts w:hint="eastAsia" w:ascii="宋体" w:hAnsi="宋体"/>
          <w:b/>
          <w:color w:val="000000" w:themeColor="text1"/>
          <w:sz w:val="24"/>
          <w:lang w:val="en-US" w:eastAsia="zh-CN"/>
          <w14:textFill>
            <w14:solidFill>
              <w14:schemeClr w14:val="tx1"/>
            </w14:solidFill>
          </w14:textFill>
        </w:rPr>
        <w:t>11</w:t>
      </w:r>
      <w:r>
        <w:rPr>
          <w:rFonts w:hint="eastAsia" w:ascii="宋体" w:hAnsi="宋体"/>
          <w:b/>
          <w:color w:val="000000" w:themeColor="text1"/>
          <w:sz w:val="24"/>
          <w14:textFill>
            <w14:solidFill>
              <w14:schemeClr w14:val="tx1"/>
            </w14:solidFill>
          </w14:textFill>
        </w:rPr>
        <w:t>3</w:t>
      </w:r>
      <w:r>
        <w:rPr>
          <w:rFonts w:hint="eastAsia" w:ascii="宋体" w:hAnsi="宋体"/>
          <w:b/>
          <w:color w:val="000000" w:themeColor="text1"/>
          <w:sz w:val="24"/>
          <w14:textFill>
            <w14:solidFill>
              <w14:schemeClr w14:val="tx1"/>
            </w14:solidFill>
          </w14:textFill>
        </w:rPr>
        <w:fldChar w:fldCharType="end"/>
      </w:r>
    </w:p>
    <w:p>
      <w:pPr>
        <w:pStyle w:val="15"/>
        <w:tabs>
          <w:tab w:val="right" w:leader="dot" w:pos="8869"/>
        </w:tabs>
        <w:snapToGrid w:val="0"/>
        <w:spacing w:line="500" w:lineRule="atLeast"/>
        <w:rPr>
          <w:rFonts w:ascii="宋体" w:hAnsi="宋体"/>
          <w:color w:val="000000" w:themeColor="text1"/>
          <w:sz w:val="24"/>
          <w14:textFill>
            <w14:solidFill>
              <w14:schemeClr w14:val="tx1"/>
            </w14:solidFill>
          </w14:textFill>
        </w:rPr>
      </w:pPr>
      <w:r>
        <w:fldChar w:fldCharType="begin"/>
      </w:r>
      <w:r>
        <w:instrText xml:space="preserve"> HYPERLINK \l "_Toc74323461" </w:instrText>
      </w:r>
      <w:r>
        <w:fldChar w:fldCharType="separate"/>
      </w:r>
      <w:r>
        <w:rPr>
          <w:rStyle w:val="21"/>
          <w:rFonts w:hint="eastAsia" w:ascii="宋体" w:hAnsi="宋体"/>
          <w:b/>
          <w:color w:val="000000" w:themeColor="text1"/>
          <w:sz w:val="24"/>
          <w14:textFill>
            <w14:solidFill>
              <w14:schemeClr w14:val="tx1"/>
            </w14:solidFill>
          </w14:textFill>
        </w:rPr>
        <w:t>第六章</w:t>
      </w:r>
      <w:r>
        <w:rPr>
          <w:rStyle w:val="21"/>
          <w:rFonts w:ascii="宋体" w:hAnsi="宋体"/>
          <w:b/>
          <w:color w:val="000000" w:themeColor="text1"/>
          <w:sz w:val="24"/>
          <w14:textFill>
            <w14:solidFill>
              <w14:schemeClr w14:val="tx1"/>
            </w14:solidFill>
          </w14:textFill>
        </w:rPr>
        <w:t xml:space="preserve"> </w:t>
      </w:r>
      <w:r>
        <w:rPr>
          <w:rStyle w:val="21"/>
          <w:rFonts w:hint="eastAsia" w:ascii="宋体" w:hAnsi="宋体"/>
          <w:b/>
          <w:color w:val="000000" w:themeColor="text1"/>
          <w:sz w:val="24"/>
          <w14:textFill>
            <w14:solidFill>
              <w14:schemeClr w14:val="tx1"/>
            </w14:solidFill>
          </w14:textFill>
        </w:rPr>
        <w:t>合同文本</w:t>
      </w:r>
      <w:r>
        <w:rPr>
          <w:rFonts w:ascii="宋体" w:hAnsi="宋体"/>
          <w:b/>
          <w:color w:val="000000" w:themeColor="text1"/>
          <w:sz w:val="24"/>
          <w14:textFill>
            <w14:solidFill>
              <w14:schemeClr w14:val="tx1"/>
            </w14:solidFill>
          </w14:textFill>
        </w:rPr>
        <w:tab/>
      </w:r>
      <w:r>
        <w:rPr>
          <w:rFonts w:hint="eastAsia" w:ascii="宋体" w:hAnsi="宋体"/>
          <w:b/>
          <w:color w:val="000000" w:themeColor="text1"/>
          <w:sz w:val="24"/>
          <w:lang w:val="en-US" w:eastAsia="zh-CN"/>
          <w14:textFill>
            <w14:solidFill>
              <w14:schemeClr w14:val="tx1"/>
            </w14:solidFill>
          </w14:textFill>
        </w:rPr>
        <w:t>13</w:t>
      </w:r>
      <w:r>
        <w:rPr>
          <w:rFonts w:hint="eastAsia" w:ascii="宋体" w:hAnsi="宋体"/>
          <w:b/>
          <w:color w:val="000000" w:themeColor="text1"/>
          <w:sz w:val="24"/>
          <w14:textFill>
            <w14:solidFill>
              <w14:schemeClr w14:val="tx1"/>
            </w14:solidFill>
          </w14:textFill>
        </w:rPr>
        <w:fldChar w:fldCharType="end"/>
      </w:r>
      <w:r>
        <w:rPr>
          <w:rFonts w:hint="eastAsia" w:ascii="宋体" w:hAnsi="宋体"/>
          <w:b/>
          <w:color w:val="000000" w:themeColor="text1"/>
          <w:sz w:val="24"/>
          <w14:textFill>
            <w14:solidFill>
              <w14:schemeClr w14:val="tx1"/>
            </w14:solidFill>
          </w14:textFill>
        </w:rPr>
        <w:t>6</w:t>
      </w:r>
    </w:p>
    <w:p>
      <w:pPr>
        <w:pStyle w:val="16"/>
        <w:tabs>
          <w:tab w:val="right" w:leader="dot" w:pos="8931"/>
          <w:tab w:val="clear" w:pos="8296"/>
        </w:tabs>
        <w:snapToGrid w:val="0"/>
        <w:spacing w:line="500" w:lineRule="atLeast"/>
        <w:ind w:left="0" w:leftChars="0"/>
        <w:rPr>
          <w:rFonts w:ascii="宋体" w:hAnsi="宋体"/>
          <w:b/>
          <w:color w:val="000000" w:themeColor="text1"/>
          <w:sz w:val="24"/>
          <w14:textFill>
            <w14:solidFill>
              <w14:schemeClr w14:val="tx1"/>
            </w14:solidFill>
          </w14:textFill>
        </w:rPr>
      </w:pPr>
      <w:r>
        <w:rPr>
          <w:rFonts w:ascii="宋体" w:hAnsi="宋体"/>
          <w:b/>
          <w:color w:val="000000" w:themeColor="text1"/>
          <w:sz w:val="24"/>
          <w14:textFill>
            <w14:solidFill>
              <w14:schemeClr w14:val="tx1"/>
            </w14:solidFill>
          </w14:textFill>
        </w:rPr>
        <w:fldChar w:fldCharType="end"/>
      </w:r>
    </w:p>
    <w:p>
      <w:pPr>
        <w:spacing w:line="400" w:lineRule="exact"/>
        <w:jc w:val="left"/>
        <w:rPr>
          <w:rFonts w:ascii="宋体" w:hAnsi="宋体"/>
          <w:b/>
          <w:color w:val="000000" w:themeColor="text1"/>
          <w:sz w:val="32"/>
          <w:szCs w:val="32"/>
          <w14:textFill>
            <w14:solidFill>
              <w14:schemeClr w14:val="tx1"/>
            </w14:solidFill>
          </w14:textFill>
        </w:rPr>
      </w:pPr>
    </w:p>
    <w:p>
      <w:pPr>
        <w:spacing w:line="400" w:lineRule="exact"/>
        <w:jc w:val="center"/>
        <w:rPr>
          <w:rFonts w:ascii="宋体" w:hAnsi="宋体"/>
          <w:b/>
          <w:color w:val="000000" w:themeColor="text1"/>
          <w:sz w:val="32"/>
          <w:szCs w:val="32"/>
          <w14:textFill>
            <w14:solidFill>
              <w14:schemeClr w14:val="tx1"/>
            </w14:solidFill>
          </w14:textFill>
        </w:rPr>
      </w:pPr>
    </w:p>
    <w:p>
      <w:pPr>
        <w:spacing w:line="400" w:lineRule="exact"/>
        <w:jc w:val="center"/>
        <w:rPr>
          <w:rFonts w:ascii="宋体" w:hAnsi="宋体"/>
          <w:b/>
          <w:color w:val="000000" w:themeColor="text1"/>
          <w:sz w:val="32"/>
          <w:szCs w:val="32"/>
          <w14:textFill>
            <w14:solidFill>
              <w14:schemeClr w14:val="tx1"/>
            </w14:solidFill>
          </w14:textFill>
        </w:rPr>
      </w:pPr>
    </w:p>
    <w:p>
      <w:pPr>
        <w:spacing w:line="400" w:lineRule="exact"/>
        <w:jc w:val="center"/>
        <w:rPr>
          <w:rFonts w:ascii="宋体" w:hAnsi="宋体"/>
          <w:b/>
          <w:color w:val="000000" w:themeColor="text1"/>
          <w:sz w:val="32"/>
          <w:szCs w:val="32"/>
          <w14:textFill>
            <w14:solidFill>
              <w14:schemeClr w14:val="tx1"/>
            </w14:solidFill>
          </w14:textFill>
        </w:rPr>
      </w:pPr>
    </w:p>
    <w:p>
      <w:pPr>
        <w:spacing w:line="400" w:lineRule="exact"/>
        <w:jc w:val="center"/>
        <w:rPr>
          <w:rFonts w:ascii="宋体" w:hAnsi="宋体"/>
          <w:b/>
          <w:color w:val="000000" w:themeColor="text1"/>
          <w:sz w:val="32"/>
          <w:szCs w:val="32"/>
          <w14:textFill>
            <w14:solidFill>
              <w14:schemeClr w14:val="tx1"/>
            </w14:solidFill>
          </w14:textFill>
        </w:rPr>
      </w:pPr>
    </w:p>
    <w:p>
      <w:pPr>
        <w:spacing w:line="400" w:lineRule="exact"/>
        <w:rPr>
          <w:rFonts w:ascii="宋体" w:hAnsi="宋体"/>
          <w:b/>
          <w:color w:val="000000" w:themeColor="text1"/>
          <w:sz w:val="32"/>
          <w:szCs w:val="32"/>
          <w14:textFill>
            <w14:solidFill>
              <w14:schemeClr w14:val="tx1"/>
            </w14:solidFill>
          </w14:textFill>
        </w:rPr>
        <w:sectPr>
          <w:footerReference r:id="rId8" w:type="first"/>
          <w:footerReference r:id="rId7" w:type="default"/>
          <w:pgSz w:w="11906" w:h="16838"/>
          <w:pgMar w:top="1440" w:right="1440" w:bottom="1440" w:left="1587" w:header="851" w:footer="992" w:gutter="0"/>
          <w:pgNumType w:fmt="decimal" w:start="1"/>
          <w:cols w:space="720" w:num="1"/>
          <w:titlePg/>
          <w:docGrid w:type="lines" w:linePitch="312" w:charSpace="0"/>
        </w:sectPr>
      </w:pPr>
    </w:p>
    <w:p>
      <w:pPr>
        <w:pStyle w:val="3"/>
        <w:spacing w:line="400" w:lineRule="exact"/>
        <w:jc w:val="center"/>
        <w:rPr>
          <w:rFonts w:ascii="宋体" w:hAnsi="宋体"/>
          <w:b w:val="0"/>
          <w:bCs w:val="0"/>
          <w:color w:val="000000" w:themeColor="text1"/>
          <w:sz w:val="32"/>
          <w:szCs w:val="32"/>
          <w14:textFill>
            <w14:solidFill>
              <w14:schemeClr w14:val="tx1"/>
            </w14:solidFill>
          </w14:textFill>
        </w:rPr>
      </w:pPr>
      <w:bookmarkStart w:id="3" w:name="_Toc74323456"/>
      <w:r>
        <w:rPr>
          <w:rFonts w:hint="eastAsia"/>
          <w:color w:val="000000" w:themeColor="text1"/>
          <w14:textFill>
            <w14:solidFill>
              <w14:schemeClr w14:val="tx1"/>
            </w14:solidFill>
          </w14:textFill>
        </w:rPr>
        <w:t>第一章 竞争性磋商公告</w:t>
      </w:r>
      <w:bookmarkEnd w:id="3"/>
    </w:p>
    <w:p>
      <w:pPr>
        <w:pStyle w:val="12"/>
        <w:spacing w:line="400" w:lineRule="exact"/>
        <w:jc w:val="center"/>
        <w:rPr>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广西科文招标有限公司</w:t>
      </w:r>
    </w:p>
    <w:p>
      <w:pPr>
        <w:spacing w:line="400" w:lineRule="exact"/>
        <w:jc w:val="center"/>
        <w:rPr>
          <w:rFonts w:ascii="宋体" w:hAnsi="Courier New"/>
          <w:b/>
          <w:color w:val="000000" w:themeColor="text1"/>
          <w:kern w:val="0"/>
          <w:sz w:val="36"/>
          <w:szCs w:val="36"/>
          <w14:textFill>
            <w14:solidFill>
              <w14:schemeClr w14:val="tx1"/>
            </w14:solidFill>
          </w14:textFill>
        </w:rPr>
      </w:pPr>
      <w:r>
        <w:rPr>
          <w:rFonts w:hint="eastAsia" w:ascii="宋体" w:hAnsi="Courier New"/>
          <w:b/>
          <w:color w:val="000000" w:themeColor="text1"/>
          <w:sz w:val="36"/>
          <w:szCs w:val="36"/>
          <w:lang w:eastAsia="zh-CN"/>
          <w14:textFill>
            <w14:solidFill>
              <w14:schemeClr w14:val="tx1"/>
            </w14:solidFill>
          </w14:textFill>
        </w:rPr>
        <w:t>2024年自动监测站点运维服务项目（重）</w:t>
      </w:r>
      <w:r>
        <w:rPr>
          <w:rFonts w:hint="eastAsia" w:ascii="宋体" w:hAnsi="Courier New"/>
          <w:b/>
          <w:color w:val="000000" w:themeColor="text1"/>
          <w:sz w:val="36"/>
          <w:szCs w:val="36"/>
          <w14:textFill>
            <w14:solidFill>
              <w14:schemeClr w14:val="tx1"/>
            </w14:solidFill>
          </w14:textFill>
        </w:rPr>
        <w:t>（</w:t>
      </w:r>
      <w:r>
        <w:rPr>
          <w:rFonts w:hint="eastAsia" w:ascii="宋体" w:hAnsi="Courier New"/>
          <w:b/>
          <w:color w:val="000000" w:themeColor="text1"/>
          <w:sz w:val="36"/>
          <w:szCs w:val="36"/>
          <w:lang w:eastAsia="zh-CN"/>
          <w14:textFill>
            <w14:solidFill>
              <w14:schemeClr w14:val="tx1"/>
            </w14:solidFill>
          </w14:textFill>
        </w:rPr>
        <w:t>GXZC2024-C3-003137-KWZB</w:t>
      </w:r>
      <w:r>
        <w:rPr>
          <w:rFonts w:hint="eastAsia" w:ascii="宋体" w:hAnsi="Courier New"/>
          <w:b/>
          <w:color w:val="000000" w:themeColor="text1"/>
          <w:sz w:val="36"/>
          <w:szCs w:val="36"/>
          <w14:textFill>
            <w14:solidFill>
              <w14:schemeClr w14:val="tx1"/>
            </w14:solidFill>
          </w14:textFill>
        </w:rPr>
        <w:t>）</w:t>
      </w:r>
      <w:r>
        <w:rPr>
          <w:rFonts w:hint="eastAsia" w:ascii="宋体" w:hAnsi="Courier New"/>
          <w:b/>
          <w:color w:val="000000" w:themeColor="text1"/>
          <w:kern w:val="0"/>
          <w:sz w:val="36"/>
          <w:szCs w:val="36"/>
          <w14:textFill>
            <w14:solidFill>
              <w14:schemeClr w14:val="tx1"/>
            </w14:solidFill>
          </w14:textFill>
        </w:rPr>
        <w:t>竞争性磋商公告</w:t>
      </w:r>
    </w:p>
    <w:p>
      <w:pPr>
        <w:spacing w:line="400" w:lineRule="exact"/>
        <w:jc w:val="center"/>
        <w:rPr>
          <w:rFonts w:ascii="宋体" w:hAnsi="宋体"/>
          <w:color w:val="000000" w:themeColor="text1"/>
          <w:szCs w:val="21"/>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themeColor="text1"/>
          <w:szCs w:val="21"/>
          <w14:textFill>
            <w14:solidFill>
              <w14:schemeClr w14:val="tx1"/>
            </w14:solidFill>
          </w14:textFill>
        </w:rPr>
      </w:pPr>
      <w:bookmarkStart w:id="4" w:name="_Hlk37430271"/>
      <w:r>
        <w:rPr>
          <w:rFonts w:hint="eastAsia" w:ascii="宋体" w:hAnsi="宋体"/>
          <w:color w:val="000000" w:themeColor="text1"/>
          <w:szCs w:val="21"/>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lang w:eastAsia="zh-CN"/>
          <w14:textFill>
            <w14:solidFill>
              <w14:schemeClr w14:val="tx1"/>
            </w14:solidFill>
          </w14:textFill>
        </w:rPr>
        <w:t>2024年自动监测站点运维服务项目（重）</w:t>
      </w:r>
      <w:r>
        <w:rPr>
          <w:rFonts w:hint="eastAsia" w:ascii="宋体" w:hAnsi="宋体"/>
          <w:color w:val="000000" w:themeColor="text1"/>
          <w:szCs w:val="21"/>
          <w14:textFill>
            <w14:solidFill>
              <w14:schemeClr w14:val="tx1"/>
            </w14:solidFill>
          </w14:textFill>
        </w:rPr>
        <w:t>的潜在供应商应在</w:t>
      </w:r>
      <w:r>
        <w:rPr>
          <w:rFonts w:hint="eastAsia" w:ascii="宋体" w:hAnsi="宋体"/>
          <w:color w:val="000000" w:themeColor="text1"/>
          <w:szCs w:val="21"/>
          <w:lang w:eastAsia="zh-CN"/>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w:t>
      </w:r>
      <w:r>
        <w:fldChar w:fldCharType="begin"/>
      </w:r>
      <w:r>
        <w:instrText xml:space="preserve"> HYPERLINK "https://www.zcygov.cn/）获取（下载）竞争性磋商文件，并于2023年" </w:instrText>
      </w:r>
      <w:r>
        <w:fldChar w:fldCharType="separate"/>
      </w:r>
      <w:r>
        <w:rPr>
          <w:rStyle w:val="21"/>
          <w:rFonts w:hint="eastAsia" w:ascii="宋体" w:hAnsi="宋体"/>
          <w:color w:val="000000" w:themeColor="text1"/>
          <w:szCs w:val="21"/>
          <w:lang w:eastAsia="zh-CN"/>
          <w14:textFill>
            <w14:solidFill>
              <w14:schemeClr w14:val="tx1"/>
            </w14:solidFill>
          </w14:textFill>
        </w:rPr>
        <w:t>https://www.gcy.zfcg.gxzf.gov.cn/</w:t>
      </w:r>
      <w:r>
        <w:rPr>
          <w:rStyle w:val="21"/>
          <w:rFonts w:hint="eastAsia" w:ascii="宋体" w:hAnsi="宋体"/>
          <w:color w:val="000000" w:themeColor="text1"/>
          <w:szCs w:val="21"/>
          <w14:textFill>
            <w14:solidFill>
              <w14:schemeClr w14:val="tx1"/>
            </w14:solidFill>
          </w14:textFill>
        </w:rPr>
        <w:t>）获取（下载）竞争性磋商文件，并于202</w:t>
      </w:r>
      <w:r>
        <w:rPr>
          <w:rStyle w:val="21"/>
          <w:rFonts w:hint="eastAsia" w:ascii="宋体" w:hAnsi="宋体"/>
          <w:color w:val="000000" w:themeColor="text1"/>
          <w:szCs w:val="21"/>
          <w:lang w:val="en-US" w:eastAsia="zh-CN"/>
          <w14:textFill>
            <w14:solidFill>
              <w14:schemeClr w14:val="tx1"/>
            </w14:solidFill>
          </w14:textFill>
        </w:rPr>
        <w:t>4</w:t>
      </w:r>
      <w:r>
        <w:rPr>
          <w:rStyle w:val="21"/>
          <w:rFonts w:hint="eastAsia" w:ascii="宋体" w:hAnsi="宋体"/>
          <w:color w:val="000000" w:themeColor="text1"/>
          <w:szCs w:val="21"/>
          <w14:textFill>
            <w14:solidFill>
              <w14:schemeClr w14:val="tx1"/>
            </w14:solidFill>
          </w14:textFill>
        </w:rPr>
        <w:t>年</w:t>
      </w:r>
      <w:r>
        <w:rPr>
          <w:rStyle w:val="21"/>
          <w:rFonts w:hint="eastAsia" w:ascii="宋体" w:hAnsi="宋体"/>
          <w:color w:val="000000" w:themeColor="text1"/>
          <w:szCs w:val="21"/>
          <w14:textFill>
            <w14:solidFill>
              <w14:schemeClr w14:val="tx1"/>
            </w14:solidFill>
          </w14:textFill>
        </w:rPr>
        <w:fldChar w:fldCharType="end"/>
      </w:r>
      <w:r>
        <w:rPr>
          <w:rFonts w:hint="eastAsia" w:ascii="宋体" w:hAnsi="宋体"/>
          <w:color w:val="000000" w:themeColor="text1"/>
          <w:szCs w:val="21"/>
          <w:lang w:val="en-US" w:eastAsia="zh-CN"/>
          <w14:textFill>
            <w14:solidFill>
              <w14:schemeClr w14:val="tx1"/>
            </w14:solidFill>
          </w14:textFill>
        </w:rPr>
        <w:t>4</w:t>
      </w:r>
      <w:r>
        <w:rPr>
          <w:rFonts w:hint="eastAsia" w:ascii="宋体" w:hAnsi="宋体"/>
          <w:color w:val="000000" w:themeColor="text1"/>
          <w:szCs w:val="21"/>
          <w14:textFill>
            <w14:solidFill>
              <w14:schemeClr w14:val="tx1"/>
            </w14:solidFill>
          </w14:textFill>
        </w:rPr>
        <w:t>月</w:t>
      </w:r>
      <w:r>
        <w:rPr>
          <w:rFonts w:hint="eastAsia" w:ascii="宋体" w:hAnsi="宋体"/>
          <w:color w:val="000000" w:themeColor="text1"/>
          <w:szCs w:val="21"/>
          <w:lang w:val="en-US" w:eastAsia="zh-CN"/>
          <w14:textFill>
            <w14:solidFill>
              <w14:schemeClr w14:val="tx1"/>
            </w14:solidFill>
          </w14:textFill>
        </w:rPr>
        <w:t>22</w:t>
      </w:r>
      <w:r>
        <w:rPr>
          <w:rFonts w:hint="eastAsia" w:ascii="宋体" w:hAnsi="宋体"/>
          <w:color w:val="000000" w:themeColor="text1"/>
          <w:szCs w:val="21"/>
          <w14:textFill>
            <w14:solidFill>
              <w14:schemeClr w14:val="tx1"/>
            </w14:solidFill>
          </w14:textFill>
        </w:rPr>
        <w:t>日</w:t>
      </w:r>
      <w:r>
        <w:rPr>
          <w:rFonts w:hint="eastAsia" w:ascii="宋体" w:hAnsi="宋体"/>
          <w:color w:val="000000" w:themeColor="text1"/>
          <w:szCs w:val="21"/>
          <w:lang w:val="en-US" w:eastAsia="zh-CN"/>
          <w14:textFill>
            <w14:solidFill>
              <w14:schemeClr w14:val="tx1"/>
            </w14:solidFill>
          </w14:textFill>
        </w:rPr>
        <w:t>9</w:t>
      </w:r>
      <w:r>
        <w:rPr>
          <w:rFonts w:hint="eastAsia" w:ascii="宋体" w:hAnsi="宋体"/>
          <w:color w:val="000000" w:themeColor="text1"/>
          <w:szCs w:val="21"/>
          <w14:textFill>
            <w14:solidFill>
              <w14:schemeClr w14:val="tx1"/>
            </w14:solidFill>
          </w14:textFill>
        </w:rPr>
        <w:t>时00分</w:t>
      </w:r>
      <w:r>
        <w:rPr>
          <w:rFonts w:hint="eastAsia" w:ascii="宋体" w:hAnsi="宋体"/>
          <w:bCs/>
          <w:color w:val="000000" w:themeColor="text1"/>
          <w:szCs w:val="21"/>
          <w14:textFill>
            <w14:solidFill>
              <w14:schemeClr w14:val="tx1"/>
            </w14:solidFill>
          </w14:textFill>
        </w:rPr>
        <w:t>（北京时间）前提交响应</w:t>
      </w:r>
      <w:r>
        <w:rPr>
          <w:rFonts w:ascii="宋体" w:hAnsi="宋体"/>
          <w:bCs/>
          <w:color w:val="000000" w:themeColor="text1"/>
          <w:szCs w:val="21"/>
          <w14:textFill>
            <w14:solidFill>
              <w14:schemeClr w14:val="tx1"/>
            </w14:solidFill>
          </w14:textFill>
        </w:rPr>
        <w:t>文件</w:t>
      </w:r>
      <w:r>
        <w:rPr>
          <w:rFonts w:hint="eastAsia" w:ascii="宋体" w:hAnsi="宋体"/>
          <w:color w:val="000000" w:themeColor="text1"/>
          <w:szCs w:val="21"/>
          <w14:textFill>
            <w14:solidFill>
              <w14:schemeClr w14:val="tx1"/>
            </w14:solidFill>
          </w14:textFill>
        </w:rPr>
        <w:t>。</w:t>
      </w:r>
    </w:p>
    <w:p>
      <w:pPr>
        <w:spacing w:line="360" w:lineRule="auto"/>
        <w:ind w:firstLine="354" w:firstLineChars="147"/>
        <w:rPr>
          <w:rFonts w:ascii="黑体" w:hAnsi="黑体" w:eastAsia="黑体"/>
          <w:b/>
          <w:color w:val="000000" w:themeColor="text1"/>
          <w:sz w:val="24"/>
          <w14:textFill>
            <w14:solidFill>
              <w14:schemeClr w14:val="tx1"/>
            </w14:solidFill>
          </w14:textFill>
        </w:rPr>
      </w:pPr>
      <w:bookmarkStart w:id="5" w:name="_Toc44229878"/>
      <w:bookmarkStart w:id="6" w:name="_Toc35393798"/>
      <w:bookmarkStart w:id="7" w:name="_Toc35393629"/>
      <w:bookmarkStart w:id="8" w:name="_Toc28359089"/>
      <w:bookmarkStart w:id="9" w:name="_Toc71365905"/>
      <w:bookmarkStart w:id="10" w:name="_Toc28359012"/>
    </w:p>
    <w:bookmarkEnd w:id="5"/>
    <w:bookmarkEnd w:id="6"/>
    <w:bookmarkEnd w:id="7"/>
    <w:bookmarkEnd w:id="8"/>
    <w:bookmarkEnd w:id="9"/>
    <w:bookmarkEnd w:id="10"/>
    <w:p>
      <w:pPr>
        <w:spacing w:line="360" w:lineRule="auto"/>
        <w:ind w:firstLine="354" w:firstLineChars="147"/>
        <w:rPr>
          <w:rFonts w:ascii="黑体" w:hAnsi="黑体" w:eastAsia="黑体"/>
          <w:b/>
          <w:color w:val="000000" w:themeColor="text1"/>
          <w:sz w:val="24"/>
          <w14:textFill>
            <w14:solidFill>
              <w14:schemeClr w14:val="tx1"/>
            </w14:solidFill>
          </w14:textFill>
        </w:rPr>
      </w:pPr>
      <w:bookmarkStart w:id="11" w:name="_Hlk37429674"/>
      <w:bookmarkStart w:id="12" w:name="_Toc28359018"/>
      <w:bookmarkStart w:id="13" w:name="_Toc35393805"/>
      <w:bookmarkStart w:id="14" w:name="_Toc44229885"/>
      <w:bookmarkStart w:id="15" w:name="_Toc28359095"/>
      <w:bookmarkStart w:id="16" w:name="_Toc35393636"/>
      <w:r>
        <w:rPr>
          <w:rFonts w:hint="eastAsia" w:ascii="黑体" w:hAnsi="黑体" w:eastAsia="黑体"/>
          <w:b/>
          <w:color w:val="000000" w:themeColor="text1"/>
          <w:sz w:val="24"/>
          <w14:textFill>
            <w14:solidFill>
              <w14:schemeClr w14:val="tx1"/>
            </w14:solidFill>
          </w14:textFill>
        </w:rPr>
        <w:t>一、项目基本情况</w:t>
      </w:r>
    </w:p>
    <w:p>
      <w:pPr>
        <w:spacing w:line="360" w:lineRule="auto"/>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项目编号：</w:t>
      </w:r>
      <w:r>
        <w:rPr>
          <w:rFonts w:hint="eastAsia" w:ascii="宋体" w:hAnsi="宋体"/>
          <w:color w:val="000000" w:themeColor="text1"/>
          <w:szCs w:val="21"/>
          <w:lang w:eastAsia="zh-CN"/>
          <w14:textFill>
            <w14:solidFill>
              <w14:schemeClr w14:val="tx1"/>
            </w14:solidFill>
          </w14:textFill>
        </w:rPr>
        <w:t>GXZC2024-C3-003137-KWZB</w:t>
      </w:r>
    </w:p>
    <w:p>
      <w:pPr>
        <w:spacing w:line="360" w:lineRule="auto"/>
        <w:ind w:firstLine="420" w:firstLineChars="200"/>
        <w:rPr>
          <w:rFonts w:hint="eastAsia" w:ascii="宋体" w:hAnsi="宋体" w:eastAsia="宋体"/>
          <w:color w:val="000000" w:themeColor="text1"/>
          <w:szCs w:val="21"/>
          <w:u w:val="single"/>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项目名称：</w:t>
      </w:r>
      <w:r>
        <w:rPr>
          <w:rFonts w:hint="eastAsia" w:ascii="宋体" w:hAnsi="宋体"/>
          <w:color w:val="000000" w:themeColor="text1"/>
          <w:szCs w:val="21"/>
          <w:lang w:eastAsia="zh-CN"/>
          <w14:textFill>
            <w14:solidFill>
              <w14:schemeClr w14:val="tx1"/>
            </w14:solidFill>
          </w14:textFill>
        </w:rPr>
        <w:t>2024年自动监测站点运维服务项目（重）</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采购方式：竞争性磋商</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14:textFill>
            <w14:solidFill>
              <w14:schemeClr w14:val="tx1"/>
            </w14:solidFill>
          </w14:textFill>
        </w:rPr>
        <w:t>预算总金额：</w:t>
      </w:r>
      <w:r>
        <w:rPr>
          <w:rFonts w:hint="eastAsia" w:ascii="宋体" w:hAnsi="宋体"/>
          <w:color w:val="000000" w:themeColor="text1"/>
          <w:lang w:eastAsia="zh-CN"/>
          <w14:textFill>
            <w14:solidFill>
              <w14:schemeClr w14:val="tx1"/>
            </w14:solidFill>
          </w14:textFill>
        </w:rPr>
        <w:t>20.0</w:t>
      </w:r>
      <w:r>
        <w:rPr>
          <w:rFonts w:hint="eastAsia" w:ascii="宋体" w:hAnsi="宋体"/>
          <w:color w:val="000000" w:themeColor="text1"/>
          <w:lang w:val="en-US" w:eastAsia="zh-CN"/>
          <w14:textFill>
            <w14:solidFill>
              <w14:schemeClr w14:val="tx1"/>
            </w14:solidFill>
          </w14:textFill>
        </w:rPr>
        <w:t>0</w:t>
      </w:r>
      <w:r>
        <w:rPr>
          <w:rFonts w:hint="eastAsia" w:ascii="宋体" w:hAnsi="宋体"/>
          <w:color w:val="000000" w:themeColor="text1"/>
          <w:lang w:eastAsia="zh-CN"/>
          <w14:textFill>
            <w14:solidFill>
              <w14:schemeClr w14:val="tx1"/>
            </w14:solidFill>
          </w14:textFill>
        </w:rPr>
        <w:t>万元</w:t>
      </w:r>
      <w:r>
        <w:rPr>
          <w:rFonts w:hint="eastAsia" w:ascii="宋体" w:hAnsi="宋体"/>
          <w:color w:val="000000" w:themeColor="text1"/>
          <w:szCs w:val="21"/>
          <w14:textFill>
            <w14:solidFill>
              <w14:schemeClr w14:val="tx1"/>
            </w14:solidFill>
          </w14:textFill>
        </w:rPr>
        <w:t>。</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最高限价：</w:t>
      </w:r>
      <w:r>
        <w:rPr>
          <w:rFonts w:hint="eastAsia" w:ascii="宋体" w:hAnsi="宋体"/>
          <w:color w:val="000000" w:themeColor="text1"/>
          <w14:textFill>
            <w14:solidFill>
              <w14:schemeClr w14:val="tx1"/>
            </w14:solidFill>
          </w14:textFill>
        </w:rPr>
        <w:t>与预算金额一致</w:t>
      </w:r>
      <w:r>
        <w:rPr>
          <w:rFonts w:hint="eastAsia" w:ascii="宋体" w:hAnsi="宋体"/>
          <w:color w:val="000000" w:themeColor="text1"/>
          <w:szCs w:val="21"/>
          <w14:textFill>
            <w14:solidFill>
              <w14:schemeClr w14:val="tx1"/>
            </w14:solidFill>
          </w14:textFill>
        </w:rPr>
        <w:t>。</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采购需求：</w:t>
      </w:r>
      <w:r>
        <w:rPr>
          <w:rFonts w:hint="eastAsia" w:ascii="宋体" w:hAnsi="宋体"/>
          <w:color w:val="000000" w:themeColor="text1"/>
          <w:szCs w:val="21"/>
          <w:lang w:val="en-US" w:eastAsia="zh-CN"/>
          <w14:textFill>
            <w14:solidFill>
              <w14:schemeClr w14:val="tx1"/>
            </w14:solidFill>
          </w14:textFill>
        </w:rPr>
        <w:t>降雨自动监测点运行维护</w:t>
      </w:r>
      <w:r>
        <w:rPr>
          <w:rFonts w:hint="eastAsia" w:ascii="宋体" w:hAnsi="宋体"/>
          <w:color w:val="000000" w:themeColor="text1"/>
          <w:szCs w:val="21"/>
          <w14:textFill>
            <w14:solidFill>
              <w14:schemeClr w14:val="tx1"/>
            </w14:solidFill>
          </w14:textFill>
        </w:rPr>
        <w:t>。</w:t>
      </w:r>
    </w:p>
    <w:p>
      <w:pPr>
        <w:spacing w:line="360" w:lineRule="auto"/>
        <w:ind w:firstLine="420" w:firstLineChars="200"/>
        <w:rPr>
          <w:rFonts w:hint="eastAsia" w:ascii="宋体" w:hAnsi="宋体" w:eastAsia="宋体"/>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合同履行期限：</w:t>
      </w:r>
      <w:r>
        <w:rPr>
          <w:rFonts w:hint="eastAsia" w:ascii="宋体" w:hAnsi="宋体"/>
          <w:color w:val="000000" w:themeColor="text1"/>
          <w:szCs w:val="21"/>
          <w:highlight w:val="none"/>
          <w14:textFill>
            <w14:solidFill>
              <w14:schemeClr w14:val="tx1"/>
            </w14:solidFill>
          </w14:textFill>
        </w:rPr>
        <w:t>合同签订之日起一年</w:t>
      </w:r>
      <w:r>
        <w:rPr>
          <w:rFonts w:hint="eastAsia" w:ascii="宋体" w:hAnsi="宋体"/>
          <w:color w:val="000000" w:themeColor="text1"/>
          <w:szCs w:val="21"/>
          <w:highlight w:val="none"/>
          <w:lang w:eastAsia="zh-CN"/>
          <w14:textFill>
            <w14:solidFill>
              <w14:schemeClr w14:val="tx1"/>
            </w14:solidFill>
          </w14:textFill>
        </w:rPr>
        <w:t>，详见采购文件。</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本项目（是</w:t>
      </w:r>
      <w:r>
        <w:rPr>
          <w:rFonts w:ascii="宋体" w:hAnsi="宋体"/>
          <w:color w:val="000000" w:themeColor="text1"/>
          <w:szCs w:val="21"/>
          <w14:textFill>
            <w14:solidFill>
              <w14:schemeClr w14:val="tx1"/>
            </w14:solidFill>
          </w14:textFill>
        </w:rPr>
        <w:t>/否</w:t>
      </w:r>
      <w:r>
        <w:rPr>
          <w:rFonts w:hint="eastAsia" w:ascii="宋体" w:hAnsi="宋体"/>
          <w:color w:val="000000" w:themeColor="text1"/>
          <w:szCs w:val="21"/>
          <w14:textFill>
            <w14:solidFill>
              <w14:schemeClr w14:val="tx1"/>
            </w14:solidFill>
          </w14:textFill>
        </w:rPr>
        <w:t>）接受联合体：不接受</w:t>
      </w:r>
    </w:p>
    <w:p>
      <w:pPr>
        <w:spacing w:line="360" w:lineRule="auto"/>
        <w:ind w:firstLine="354" w:firstLineChars="147"/>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二、申请人的资格条件：</w:t>
      </w:r>
    </w:p>
    <w:p>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1、满足《中华人民共和国政府采</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法》第二十二条规定；</w:t>
      </w:r>
    </w:p>
    <w:p>
      <w:pPr>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、落实政府采购政策需满足的资格要求：</w:t>
      </w:r>
    </w:p>
    <w:p>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☑专门面向中小企业采购的项目（供应商应为中小微企业或监狱企业或残疾人福利性单位)</w:t>
      </w:r>
    </w:p>
    <w:p>
      <w:pPr>
        <w:spacing w:line="360" w:lineRule="auto"/>
        <w:ind w:firstLine="420" w:firstLineChars="200"/>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□非专门面向中小企业采购的项目</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3、本项目的特定资格要求：无</w:t>
      </w:r>
    </w:p>
    <w:p>
      <w:pPr>
        <w:spacing w:line="360" w:lineRule="auto"/>
        <w:ind w:firstLine="354" w:firstLineChars="147"/>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三、获取竞争性磋商文件</w:t>
      </w:r>
    </w:p>
    <w:p>
      <w:pPr>
        <w:spacing w:line="360" w:lineRule="auto"/>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时间：</w:t>
      </w:r>
      <w:r>
        <w:rPr>
          <w:rFonts w:hint="eastAsia" w:ascii="宋体" w:hAnsi="宋体" w:cs="Arial"/>
          <w:color w:val="000000" w:themeColor="text1"/>
          <w:lang w:eastAsia="zh-CN"/>
          <w14:textFill>
            <w14:solidFill>
              <w14:schemeClr w14:val="tx1"/>
            </w14:solidFill>
          </w14:textFill>
        </w:rPr>
        <w:t>2024年</w:t>
      </w:r>
      <w:r>
        <w:rPr>
          <w:rFonts w:hint="eastAsia" w:ascii="宋体" w:hAnsi="宋体" w:cs="Arial"/>
          <w:color w:val="000000" w:themeColor="text1"/>
          <w:lang w:val="en-US" w:eastAsia="zh-CN"/>
          <w14:textFill>
            <w14:solidFill>
              <w14:schemeClr w14:val="tx1"/>
            </w14:solidFill>
          </w14:textFill>
        </w:rPr>
        <w:t>4</w:t>
      </w:r>
      <w:r>
        <w:rPr>
          <w:rFonts w:hint="eastAsia" w:ascii="宋体" w:hAnsi="宋体" w:cs="Arial"/>
          <w:color w:val="000000" w:themeColor="text1"/>
          <w:lang w:eastAsia="zh-CN"/>
          <w14:textFill>
            <w14:solidFill>
              <w14:schemeClr w14:val="tx1"/>
            </w14:solidFill>
          </w14:textFill>
        </w:rPr>
        <w:t>月</w:t>
      </w:r>
      <w:r>
        <w:rPr>
          <w:rFonts w:hint="eastAsia" w:ascii="宋体" w:hAnsi="宋体" w:cs="Arial"/>
          <w:color w:val="000000" w:themeColor="text1"/>
          <w:lang w:val="en-US" w:eastAsia="zh-CN"/>
          <w14:textFill>
            <w14:solidFill>
              <w14:schemeClr w14:val="tx1"/>
            </w14:solidFill>
          </w14:textFill>
        </w:rPr>
        <w:t>10</w:t>
      </w:r>
      <w:r>
        <w:rPr>
          <w:rFonts w:hint="eastAsia" w:ascii="宋体" w:hAnsi="宋体" w:cs="Arial"/>
          <w:color w:val="000000" w:themeColor="text1"/>
          <w14:textFill>
            <w14:solidFill>
              <w14:schemeClr w14:val="tx1"/>
            </w14:solidFill>
          </w14:textFill>
        </w:rPr>
        <w:t>日</w:t>
      </w:r>
      <w:r>
        <w:rPr>
          <w:rFonts w:hint="eastAsia" w:ascii="宋体" w:hAnsi="宋体" w:cs="Arial"/>
          <w:color w:val="000000" w:themeColor="text1"/>
          <w:szCs w:val="21"/>
          <w14:textFill>
            <w14:solidFill>
              <w14:schemeClr w14:val="tx1"/>
            </w14:solidFill>
          </w14:textFill>
        </w:rPr>
        <w:t>至</w:t>
      </w:r>
      <w:r>
        <w:rPr>
          <w:rFonts w:hint="eastAsia" w:ascii="宋体" w:hAnsi="宋体" w:cs="Arial"/>
          <w:color w:val="000000" w:themeColor="text1"/>
          <w14:textFill>
            <w14:solidFill>
              <w14:schemeClr w14:val="tx1"/>
            </w14:solidFill>
          </w14:textFill>
        </w:rPr>
        <w:t>2023年</w:t>
      </w:r>
      <w:r>
        <w:rPr>
          <w:rFonts w:hint="eastAsia" w:ascii="宋体" w:hAnsi="宋体" w:cs="Arial"/>
          <w:color w:val="000000" w:themeColor="text1"/>
          <w:lang w:val="en-US" w:eastAsia="zh-CN"/>
          <w14:textFill>
            <w14:solidFill>
              <w14:schemeClr w14:val="tx1"/>
            </w14:solidFill>
          </w14:textFill>
        </w:rPr>
        <w:t>4</w:t>
      </w:r>
      <w:r>
        <w:rPr>
          <w:rFonts w:hint="eastAsia" w:ascii="宋体" w:hAnsi="宋体" w:cs="Arial"/>
          <w:color w:val="000000" w:themeColor="text1"/>
          <w14:textFill>
            <w14:solidFill>
              <w14:schemeClr w14:val="tx1"/>
            </w14:solidFill>
          </w14:textFill>
        </w:rPr>
        <w:t>月</w:t>
      </w:r>
      <w:r>
        <w:rPr>
          <w:rFonts w:hint="eastAsia" w:ascii="宋体" w:hAnsi="宋体" w:cs="Arial"/>
          <w:color w:val="000000" w:themeColor="text1"/>
          <w:lang w:val="en-US" w:eastAsia="zh-CN"/>
          <w14:textFill>
            <w14:solidFill>
              <w14:schemeClr w14:val="tx1"/>
            </w14:solidFill>
          </w14:textFill>
        </w:rPr>
        <w:t>19</w:t>
      </w:r>
      <w:r>
        <w:rPr>
          <w:rFonts w:hint="eastAsia" w:ascii="宋体" w:hAnsi="宋体" w:cs="Arial"/>
          <w:color w:val="000000" w:themeColor="text1"/>
          <w14:textFill>
            <w14:solidFill>
              <w14:schemeClr w14:val="tx1"/>
            </w14:solidFill>
          </w14:textFill>
        </w:rPr>
        <w:t>日</w:t>
      </w:r>
      <w:r>
        <w:rPr>
          <w:rFonts w:hint="eastAsia" w:ascii="宋体" w:hAnsi="宋体" w:cs="Arial"/>
          <w:color w:val="000000" w:themeColor="text1"/>
          <w:szCs w:val="21"/>
          <w14:textFill>
            <w14:solidFill>
              <w14:schemeClr w14:val="tx1"/>
            </w14:solidFill>
          </w14:textFill>
        </w:rPr>
        <w:t>，每天上午00:00-12:00；下午1</w:t>
      </w:r>
      <w:r>
        <w:rPr>
          <w:rFonts w:hint="eastAsia" w:ascii="宋体" w:hAnsi="宋体" w:cs="Arial"/>
          <w:color w:val="000000" w:themeColor="text1"/>
          <w14:textFill>
            <w14:solidFill>
              <w14:schemeClr w14:val="tx1"/>
            </w14:solidFill>
          </w14:textFill>
        </w:rPr>
        <w:t>2</w:t>
      </w:r>
      <w:r>
        <w:rPr>
          <w:rFonts w:hint="eastAsia" w:ascii="宋体" w:hAnsi="宋体" w:cs="Arial"/>
          <w:color w:val="000000" w:themeColor="text1"/>
          <w:szCs w:val="21"/>
          <w14:textFill>
            <w14:solidFill>
              <w14:schemeClr w14:val="tx1"/>
            </w14:solidFill>
          </w14:textFill>
        </w:rPr>
        <w:t>:</w:t>
      </w:r>
      <w:r>
        <w:rPr>
          <w:rFonts w:hint="eastAsia" w:ascii="宋体" w:hAnsi="宋体" w:cs="Arial"/>
          <w:color w:val="000000" w:themeColor="text1"/>
          <w14:textFill>
            <w14:solidFill>
              <w14:schemeClr w14:val="tx1"/>
            </w14:solidFill>
          </w14:textFill>
        </w:rPr>
        <w:t>00</w:t>
      </w:r>
      <w:r>
        <w:rPr>
          <w:rFonts w:hint="eastAsia" w:ascii="宋体" w:hAnsi="宋体" w:cs="Arial"/>
          <w:color w:val="000000" w:themeColor="text1"/>
          <w:szCs w:val="21"/>
          <w14:textFill>
            <w14:solidFill>
              <w14:schemeClr w14:val="tx1"/>
            </w14:solidFill>
          </w14:textFill>
        </w:rPr>
        <w:t>-23:</w:t>
      </w:r>
      <w:r>
        <w:rPr>
          <w:rFonts w:hint="eastAsia" w:ascii="宋体" w:hAnsi="宋体" w:cs="Arial"/>
          <w:color w:val="000000" w:themeColor="text1"/>
          <w14:textFill>
            <w14:solidFill>
              <w14:schemeClr w14:val="tx1"/>
            </w14:solidFill>
          </w14:textFill>
        </w:rPr>
        <w:t>59</w:t>
      </w:r>
      <w:r>
        <w:rPr>
          <w:rFonts w:hint="eastAsia" w:ascii="宋体" w:hAnsi="宋体" w:cs="Arial"/>
          <w:color w:val="000000" w:themeColor="text1"/>
          <w:szCs w:val="21"/>
          <w14:textFill>
            <w14:solidFill>
              <w14:schemeClr w14:val="tx1"/>
            </w14:solidFill>
          </w14:textFill>
        </w:rPr>
        <w:t>（北京时间，</w:t>
      </w:r>
      <w:r>
        <w:rPr>
          <w:rFonts w:ascii="宋体" w:hAnsi="宋体" w:cs="Arial"/>
          <w:color w:val="000000" w:themeColor="text1"/>
          <w:szCs w:val="21"/>
          <w14:textFill>
            <w14:solidFill>
              <w14:schemeClr w14:val="tx1"/>
            </w14:solidFill>
          </w14:textFill>
        </w:rPr>
        <w:t>法定节假日</w:t>
      </w:r>
      <w:r>
        <w:rPr>
          <w:rFonts w:hint="eastAsia" w:ascii="宋体" w:hAnsi="宋体" w:cs="Arial"/>
          <w:color w:val="000000" w:themeColor="text1"/>
          <w:szCs w:val="21"/>
          <w14:textFill>
            <w14:solidFill>
              <w14:schemeClr w14:val="tx1"/>
            </w14:solidFill>
          </w14:textFill>
        </w:rPr>
        <w:t>除外）</w:t>
      </w:r>
      <w:r>
        <w:rPr>
          <w:rFonts w:hint="eastAsia" w:ascii="宋体" w:hAnsi="宋体" w:cs="宋体"/>
          <w:bCs/>
          <w:color w:val="000000" w:themeColor="text1"/>
          <w:kern w:val="0"/>
          <w:szCs w:val="21"/>
          <w14:textFill>
            <w14:solidFill>
              <w14:schemeClr w14:val="tx1"/>
            </w14:solidFill>
          </w14:textFill>
        </w:rPr>
        <w:t>。</w:t>
      </w:r>
    </w:p>
    <w:p>
      <w:pPr>
        <w:spacing w:line="360" w:lineRule="auto"/>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地点：“</w:t>
      </w:r>
      <w:r>
        <w:rPr>
          <w:rFonts w:hint="eastAsia" w:ascii="宋体" w:hAnsi="宋体" w:cs="宋体"/>
          <w:bCs/>
          <w:color w:val="000000" w:themeColor="text1"/>
          <w:kern w:val="0"/>
          <w:szCs w:val="21"/>
          <w:lang w:eastAsia="zh-CN"/>
          <w14:textFill>
            <w14:solidFill>
              <w14:schemeClr w14:val="tx1"/>
            </w14:solidFill>
          </w14:textFill>
        </w:rPr>
        <w:t>广西政府采购云平台</w:t>
      </w:r>
      <w:r>
        <w:rPr>
          <w:rFonts w:hint="eastAsia" w:ascii="宋体" w:hAnsi="宋体" w:cs="宋体"/>
          <w:bCs/>
          <w:color w:val="000000" w:themeColor="text1"/>
          <w:kern w:val="0"/>
          <w:szCs w:val="21"/>
          <w14:textFill>
            <w14:solidFill>
              <w14:schemeClr w14:val="tx1"/>
            </w14:solidFill>
          </w14:textFill>
        </w:rPr>
        <w:t>”平台（https://www.gcy.zfcg.gxzf.gov.cn/）</w:t>
      </w:r>
    </w:p>
    <w:p>
      <w:pPr>
        <w:spacing w:line="360" w:lineRule="auto"/>
        <w:ind w:firstLine="420" w:firstLineChars="200"/>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方式：网上下载。本项目不发放纸质文件，供应商应自行在</w:t>
      </w:r>
      <w:r>
        <w:fldChar w:fldCharType="begin"/>
      </w:r>
      <w:r>
        <w:instrText xml:space="preserve"> HYPERLINK </w:instrText>
      </w:r>
      <w:r>
        <w:fldChar w:fldCharType="separate"/>
      </w:r>
      <w:r>
        <w:fldChar w:fldCharType="end"/>
      </w:r>
      <w:r>
        <w:rPr>
          <w:rFonts w:hint="eastAsia" w:ascii="宋体" w:hAnsi="宋体" w:cs="宋体"/>
          <w:bCs/>
          <w:color w:val="000000" w:themeColor="text1"/>
          <w:kern w:val="0"/>
          <w:szCs w:val="21"/>
          <w14:textFill>
            <w14:solidFill>
              <w14:schemeClr w14:val="tx1"/>
            </w14:solidFill>
          </w14:textFill>
        </w:rPr>
        <w:t>“</w:t>
      </w:r>
      <w:r>
        <w:rPr>
          <w:rFonts w:hint="eastAsia" w:ascii="宋体" w:hAnsi="宋体" w:cs="宋体"/>
          <w:bCs/>
          <w:color w:val="000000" w:themeColor="text1"/>
          <w:kern w:val="0"/>
          <w:szCs w:val="21"/>
          <w:lang w:eastAsia="zh-CN"/>
          <w14:textFill>
            <w14:solidFill>
              <w14:schemeClr w14:val="tx1"/>
            </w14:solidFill>
          </w14:textFill>
        </w:rPr>
        <w:t>广西政府采购云平台</w:t>
      </w:r>
      <w:r>
        <w:rPr>
          <w:rFonts w:hint="eastAsia" w:ascii="宋体" w:hAnsi="宋体" w:cs="宋体"/>
          <w:bCs/>
          <w:color w:val="000000" w:themeColor="text1"/>
          <w:kern w:val="0"/>
          <w:szCs w:val="21"/>
          <w14:textFill>
            <w14:solidFill>
              <w14:schemeClr w14:val="tx1"/>
            </w14:solidFill>
          </w14:textFill>
        </w:rPr>
        <w:t>”平台（https://www.gcy.zfcg.gxzf.gov.cn/）下载竞争性磋商文件（操作路径：登录“</w:t>
      </w:r>
      <w:r>
        <w:rPr>
          <w:rFonts w:hint="eastAsia" w:ascii="宋体" w:hAnsi="宋体" w:cs="宋体"/>
          <w:bCs/>
          <w:color w:val="000000" w:themeColor="text1"/>
          <w:kern w:val="0"/>
          <w:szCs w:val="21"/>
          <w:lang w:eastAsia="zh-CN"/>
          <w14:textFill>
            <w14:solidFill>
              <w14:schemeClr w14:val="tx1"/>
            </w14:solidFill>
          </w14:textFill>
        </w:rPr>
        <w:t>广西政府采购云平台</w:t>
      </w:r>
      <w:r>
        <w:rPr>
          <w:rFonts w:hint="eastAsia" w:ascii="宋体" w:hAnsi="宋体" w:cs="宋体"/>
          <w:bCs/>
          <w:color w:val="000000" w:themeColor="text1"/>
          <w:kern w:val="0"/>
          <w:szCs w:val="21"/>
          <w14:textFill>
            <w14:solidFill>
              <w14:schemeClr w14:val="tx1"/>
            </w14:solidFill>
          </w14:textFill>
        </w:rPr>
        <w:t>”平台-项目采购-获取采购文件-找到本项目-点击“申请获取采购文件”），电子响应文件制作需要基于“</w:t>
      </w:r>
      <w:r>
        <w:rPr>
          <w:rFonts w:hint="eastAsia" w:ascii="宋体" w:hAnsi="宋体" w:cs="宋体"/>
          <w:bCs/>
          <w:color w:val="000000" w:themeColor="text1"/>
          <w:kern w:val="0"/>
          <w:szCs w:val="21"/>
          <w:lang w:eastAsia="zh-CN"/>
          <w14:textFill>
            <w14:solidFill>
              <w14:schemeClr w14:val="tx1"/>
            </w14:solidFill>
          </w14:textFill>
        </w:rPr>
        <w:t>广西政府采购云平台</w:t>
      </w:r>
      <w:r>
        <w:rPr>
          <w:rFonts w:hint="eastAsia" w:ascii="宋体" w:hAnsi="宋体" w:cs="宋体"/>
          <w:bCs/>
          <w:color w:val="000000" w:themeColor="text1"/>
          <w:kern w:val="0"/>
          <w:szCs w:val="21"/>
          <w14:textFill>
            <w14:solidFill>
              <w14:schemeClr w14:val="tx1"/>
            </w14:solidFill>
          </w14:textFill>
        </w:rPr>
        <w:t>”平台获取的竞争性磋商文件编制。</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售价：0元。</w:t>
      </w:r>
    </w:p>
    <w:p>
      <w:pPr>
        <w:spacing w:line="360" w:lineRule="auto"/>
        <w:ind w:firstLine="354" w:firstLineChars="147"/>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四、响应文件提交</w:t>
      </w:r>
    </w:p>
    <w:p>
      <w:pPr>
        <w:spacing w:line="360" w:lineRule="auto"/>
        <w:ind w:firstLine="420" w:firstLineChars="200"/>
        <w:rPr>
          <w:rFonts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1、首次响应文件提交截止时间</w:t>
      </w:r>
      <w:r>
        <w:rPr>
          <w:rFonts w:hint="eastAsia" w:ascii="宋体" w:hAnsi="宋体"/>
          <w:color w:val="000000" w:themeColor="text1"/>
          <w:szCs w:val="21"/>
          <w14:textFill>
            <w14:solidFill>
              <w14:schemeClr w14:val="tx1"/>
            </w14:solidFill>
          </w14:textFill>
        </w:rPr>
        <w:t>：</w:t>
      </w:r>
      <w:r>
        <w:rPr>
          <w:rFonts w:hint="eastAsia" w:ascii="宋体" w:hAnsi="宋体" w:cs="宋体"/>
          <w:bCs/>
          <w:color w:val="000000" w:themeColor="text1"/>
          <w:kern w:val="0"/>
          <w:szCs w:val="21"/>
          <w14:textFill>
            <w14:solidFill>
              <w14:schemeClr w14:val="tx1"/>
            </w14:solidFill>
          </w14:textFill>
        </w:rPr>
        <w:t>202</w:t>
      </w:r>
      <w:r>
        <w:rPr>
          <w:rFonts w:hint="eastAsia" w:ascii="宋体" w:hAnsi="宋体" w:cs="宋体"/>
          <w:bCs/>
          <w:color w:val="000000" w:themeColor="text1"/>
          <w:kern w:val="0"/>
          <w:szCs w:val="21"/>
          <w:lang w:val="en-US" w:eastAsia="zh-CN"/>
          <w14:textFill>
            <w14:solidFill>
              <w14:schemeClr w14:val="tx1"/>
            </w14:solidFill>
          </w14:textFill>
        </w:rPr>
        <w:t>4</w:t>
      </w:r>
      <w:r>
        <w:rPr>
          <w:rFonts w:hint="eastAsia" w:ascii="宋体" w:hAnsi="宋体" w:cs="宋体"/>
          <w:bCs/>
          <w:color w:val="000000" w:themeColor="text1"/>
          <w:kern w:val="0"/>
          <w:szCs w:val="21"/>
          <w14:textFill>
            <w14:solidFill>
              <w14:schemeClr w14:val="tx1"/>
            </w14:solidFill>
          </w14:textFill>
        </w:rPr>
        <w:t>年</w:t>
      </w:r>
      <w:r>
        <w:rPr>
          <w:rFonts w:hint="eastAsia" w:ascii="宋体" w:hAnsi="宋体" w:cs="宋体"/>
          <w:bCs/>
          <w:color w:val="000000" w:themeColor="text1"/>
          <w:kern w:val="0"/>
          <w:szCs w:val="21"/>
          <w:lang w:val="en-US" w:eastAsia="zh-CN"/>
          <w14:textFill>
            <w14:solidFill>
              <w14:schemeClr w14:val="tx1"/>
            </w14:solidFill>
          </w14:textFill>
        </w:rPr>
        <w:t>4</w:t>
      </w:r>
      <w:r>
        <w:rPr>
          <w:rFonts w:hint="eastAsia" w:ascii="宋体" w:hAnsi="宋体" w:cs="宋体"/>
          <w:bCs/>
          <w:color w:val="000000" w:themeColor="text1"/>
          <w:kern w:val="0"/>
          <w:szCs w:val="21"/>
          <w14:textFill>
            <w14:solidFill>
              <w14:schemeClr w14:val="tx1"/>
            </w14:solidFill>
          </w14:textFill>
        </w:rPr>
        <w:t>月</w:t>
      </w:r>
      <w:r>
        <w:rPr>
          <w:rFonts w:hint="eastAsia" w:ascii="宋体" w:hAnsi="宋体" w:cs="宋体"/>
          <w:bCs/>
          <w:color w:val="000000" w:themeColor="text1"/>
          <w:kern w:val="0"/>
          <w:szCs w:val="21"/>
          <w:lang w:val="en-US" w:eastAsia="zh-CN"/>
          <w14:textFill>
            <w14:solidFill>
              <w14:schemeClr w14:val="tx1"/>
            </w14:solidFill>
          </w14:textFill>
        </w:rPr>
        <w:t>22</w:t>
      </w:r>
      <w:r>
        <w:rPr>
          <w:rFonts w:hint="eastAsia" w:ascii="宋体" w:hAnsi="宋体" w:cs="宋体"/>
          <w:bCs/>
          <w:color w:val="000000" w:themeColor="text1"/>
          <w:kern w:val="0"/>
          <w:szCs w:val="21"/>
          <w14:textFill>
            <w14:solidFill>
              <w14:schemeClr w14:val="tx1"/>
            </w14:solidFill>
          </w14:textFill>
        </w:rPr>
        <w:t>日</w:t>
      </w:r>
      <w:r>
        <w:rPr>
          <w:rFonts w:hint="eastAsia" w:ascii="宋体" w:hAnsi="宋体" w:cs="宋体"/>
          <w:bCs/>
          <w:color w:val="000000" w:themeColor="text1"/>
          <w:kern w:val="0"/>
          <w:szCs w:val="21"/>
          <w:lang w:val="en-US" w:eastAsia="zh-CN"/>
          <w14:textFill>
            <w14:solidFill>
              <w14:schemeClr w14:val="tx1"/>
            </w14:solidFill>
          </w14:textFill>
        </w:rPr>
        <w:t>9</w:t>
      </w:r>
      <w:r>
        <w:rPr>
          <w:rFonts w:hint="eastAsia" w:ascii="宋体" w:hAnsi="宋体" w:cs="宋体"/>
          <w:bCs/>
          <w:color w:val="000000" w:themeColor="text1"/>
          <w:kern w:val="0"/>
          <w:szCs w:val="21"/>
          <w14:textFill>
            <w14:solidFill>
              <w14:schemeClr w14:val="tx1"/>
            </w14:solidFill>
          </w14:textFill>
        </w:rPr>
        <w:t>时00分（北京时间）</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2、地点：</w:t>
      </w:r>
      <w:r>
        <w:rPr>
          <w:rFonts w:hint="eastAsia" w:ascii="宋体" w:hAnsi="宋体" w:cs="宋体"/>
          <w:color w:val="000000" w:themeColor="text1"/>
          <w:szCs w:val="21"/>
          <w:lang w:bidi="ar"/>
          <w14:textFill>
            <w14:solidFill>
              <w14:schemeClr w14:val="tx1"/>
            </w14:solidFill>
          </w14:textFill>
        </w:rPr>
        <w:t>通过“</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”平台在线提交。</w:t>
      </w:r>
    </w:p>
    <w:p>
      <w:pPr>
        <w:spacing w:line="360" w:lineRule="auto"/>
        <w:ind w:firstLine="354" w:firstLineChars="147"/>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五、开启</w:t>
      </w:r>
    </w:p>
    <w:p>
      <w:pPr>
        <w:spacing w:line="360" w:lineRule="auto"/>
        <w:ind w:firstLine="420" w:firstLineChars="200"/>
        <w:rPr>
          <w:rFonts w:ascii="宋体" w:hAnsi="宋体"/>
          <w:bCs/>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1、首次响应文件开启时间：</w:t>
      </w:r>
      <w:r>
        <w:rPr>
          <w:rFonts w:hint="eastAsia" w:ascii="宋体" w:hAnsi="宋体" w:cs="宋体"/>
          <w:bCs/>
          <w:color w:val="000000" w:themeColor="text1"/>
          <w:kern w:val="0"/>
          <w:szCs w:val="21"/>
          <w14:textFill>
            <w14:solidFill>
              <w14:schemeClr w14:val="tx1"/>
            </w14:solidFill>
          </w14:textFill>
        </w:rPr>
        <w:t>202</w:t>
      </w:r>
      <w:r>
        <w:rPr>
          <w:rFonts w:hint="eastAsia" w:ascii="宋体" w:hAnsi="宋体" w:cs="宋体"/>
          <w:bCs/>
          <w:color w:val="000000" w:themeColor="text1"/>
          <w:kern w:val="0"/>
          <w:szCs w:val="21"/>
          <w:lang w:val="en-US" w:eastAsia="zh-CN"/>
          <w14:textFill>
            <w14:solidFill>
              <w14:schemeClr w14:val="tx1"/>
            </w14:solidFill>
          </w14:textFill>
        </w:rPr>
        <w:t>4</w:t>
      </w:r>
      <w:r>
        <w:rPr>
          <w:rFonts w:hint="eastAsia" w:ascii="宋体" w:hAnsi="宋体" w:cs="宋体"/>
          <w:bCs/>
          <w:color w:val="000000" w:themeColor="text1"/>
          <w:kern w:val="0"/>
          <w:szCs w:val="21"/>
          <w14:textFill>
            <w14:solidFill>
              <w14:schemeClr w14:val="tx1"/>
            </w14:solidFill>
          </w14:textFill>
        </w:rPr>
        <w:t>年</w:t>
      </w:r>
      <w:r>
        <w:rPr>
          <w:rFonts w:hint="eastAsia" w:ascii="宋体" w:hAnsi="宋体" w:cs="宋体"/>
          <w:bCs/>
          <w:color w:val="000000" w:themeColor="text1"/>
          <w:kern w:val="0"/>
          <w:szCs w:val="21"/>
          <w:lang w:val="en-US" w:eastAsia="zh-CN"/>
          <w14:textFill>
            <w14:solidFill>
              <w14:schemeClr w14:val="tx1"/>
            </w14:solidFill>
          </w14:textFill>
        </w:rPr>
        <w:t>4月22日9时</w:t>
      </w:r>
      <w:r>
        <w:rPr>
          <w:rFonts w:hint="eastAsia" w:ascii="宋体" w:hAnsi="宋体" w:cs="宋体"/>
          <w:bCs/>
          <w:color w:val="000000" w:themeColor="text1"/>
          <w:kern w:val="0"/>
          <w:szCs w:val="21"/>
          <w14:textFill>
            <w14:solidFill>
              <w14:schemeClr w14:val="tx1"/>
            </w14:solidFill>
          </w14:textFill>
        </w:rPr>
        <w:t>00分（北京时间）</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2、地点：</w:t>
      </w:r>
      <w:r>
        <w:rPr>
          <w:rFonts w:hint="eastAsia" w:ascii="宋体" w:hAnsi="宋体" w:cs="宋体"/>
          <w:color w:val="000000" w:themeColor="text1"/>
          <w:szCs w:val="21"/>
          <w:lang w:bidi="ar"/>
          <w14:textFill>
            <w14:solidFill>
              <w14:schemeClr w14:val="tx1"/>
            </w14:solidFill>
          </w14:textFill>
        </w:rPr>
        <w:t>本项目将在“</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”平台电子开标大厅解密、开启。</w:t>
      </w:r>
    </w:p>
    <w:p>
      <w:pPr>
        <w:spacing w:line="360" w:lineRule="auto"/>
        <w:ind w:firstLine="354" w:firstLineChars="147"/>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六、公告期限</w:t>
      </w:r>
    </w:p>
    <w:p>
      <w:pPr>
        <w:spacing w:line="360" w:lineRule="auto"/>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自本公告发布之日起3个工作日。</w:t>
      </w:r>
    </w:p>
    <w:p>
      <w:pPr>
        <w:spacing w:line="360" w:lineRule="auto"/>
        <w:ind w:firstLine="354" w:firstLineChars="147"/>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七、其他补充事宜</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1、磋商保证金（人民币）：</w:t>
      </w:r>
      <w:r>
        <w:rPr>
          <w:rFonts w:hint="eastAsia" w:ascii="宋体" w:hAnsi="宋体" w:cs="宋体"/>
          <w:b/>
          <w:bCs/>
          <w:color w:val="000000" w:themeColor="text1"/>
          <w:szCs w:val="21"/>
          <w:lang w:eastAsia="zh-CN" w:bidi="ar"/>
          <w14:textFill>
            <w14:solidFill>
              <w14:schemeClr w14:val="tx1"/>
            </w14:solidFill>
          </w14:textFill>
        </w:rPr>
        <w:t>0.</w:t>
      </w:r>
      <w:r>
        <w:rPr>
          <w:rFonts w:hint="eastAsia" w:ascii="宋体" w:hAnsi="宋体" w:cs="宋体"/>
          <w:b/>
          <w:bCs/>
          <w:color w:val="000000" w:themeColor="text1"/>
          <w:szCs w:val="21"/>
          <w:lang w:val="en-US" w:eastAsia="zh-CN" w:bidi="ar"/>
          <w14:textFill>
            <w14:solidFill>
              <w14:schemeClr w14:val="tx1"/>
            </w14:solidFill>
          </w14:textFill>
        </w:rPr>
        <w:t>2</w:t>
      </w:r>
      <w:r>
        <w:rPr>
          <w:rFonts w:hint="eastAsia" w:ascii="宋体" w:hAnsi="宋体" w:cs="宋体"/>
          <w:b/>
          <w:bCs/>
          <w:color w:val="000000" w:themeColor="text1"/>
          <w:szCs w:val="21"/>
          <w:lang w:eastAsia="zh-CN" w:bidi="ar"/>
          <w14:textFill>
            <w14:solidFill>
              <w14:schemeClr w14:val="tx1"/>
            </w14:solidFill>
          </w14:textFill>
        </w:rPr>
        <w:t>万元整</w:t>
      </w:r>
      <w:r>
        <w:rPr>
          <w:rFonts w:hint="eastAsia" w:ascii="宋体" w:hAnsi="宋体" w:cs="宋体"/>
          <w:color w:val="000000" w:themeColor="text1"/>
          <w:szCs w:val="21"/>
          <w:lang w:bidi="ar"/>
          <w14:textFill>
            <w14:solidFill>
              <w14:schemeClr w14:val="tx1"/>
            </w14:solidFill>
          </w14:textFill>
        </w:rPr>
        <w:t>。</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4、网上查询地址：中国政府采购网（www.ccgp.gov.cn）、广西政府采购网（zfcg.gxzf.gov.cn）。</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5、本项目需要落实的政府采购政策：</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（1）政府采购促进中小企业发展。</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（2）政府采购支持采用本国产品的政策。</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（3）强制采购节能产品；优先采购节能产品、环境标志产品。</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（4）政府采购促进残疾人就业政策。</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（5）政府采购支持监狱企业发展。</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（6）扶持不发达地区和少数民族地区政策</w:t>
      </w:r>
    </w:p>
    <w:p>
      <w:pPr>
        <w:widowControl/>
        <w:spacing w:line="360" w:lineRule="auto"/>
        <w:ind w:firstLine="420" w:firstLineChars="200"/>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6、磋商注意事项：</w:t>
      </w:r>
    </w:p>
    <w:p>
      <w:pPr>
        <w:widowControl/>
        <w:spacing w:line="360" w:lineRule="auto"/>
        <w:ind w:firstLine="420" w:firstLineChars="200"/>
        <w:rPr>
          <w:rFonts w:ascii="宋体" w:hAnsi="宋体" w:cs="宋体"/>
          <w:bCs/>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响应文件</w:t>
      </w:r>
      <w:r>
        <w:rPr>
          <w:rFonts w:hint="eastAsia" w:ascii="宋体" w:hAnsi="宋体" w:cs="宋体"/>
          <w:color w:val="000000" w:themeColor="text1"/>
          <w:szCs w:val="21"/>
          <w:lang w:bidi="ar"/>
          <w14:textFill>
            <w14:solidFill>
              <w14:schemeClr w14:val="tx1"/>
            </w14:solidFill>
          </w14:textFill>
        </w:rPr>
        <w:t>提交方式：本项目为全流程电子化政府采购项目，通过“</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”平台（https://www.gcy.zfcg.gxzf.gov.cn/）实行在线电子磋商采购，供应商应先安装“</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电子交易客户端”（请自行前往“</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”平台进行下载），并按照本项目竞争性磋商文件和“</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”平台的要求编制、加密后在</w:t>
      </w:r>
      <w:r>
        <w:rPr>
          <w:rFonts w:hint="eastAsia" w:ascii="宋体" w:hAnsi="宋体" w:cs="宋体"/>
          <w:color w:val="000000" w:themeColor="text1"/>
          <w:szCs w:val="21"/>
          <w14:textFill>
            <w14:solidFill>
              <w14:schemeClr w14:val="tx1"/>
            </w14:solidFill>
          </w14:textFill>
        </w:rPr>
        <w:t>首次响应文件提交截止时间</w:t>
      </w:r>
      <w:r>
        <w:rPr>
          <w:rFonts w:hint="eastAsia" w:ascii="宋体" w:hAnsi="宋体" w:cs="宋体"/>
          <w:color w:val="000000" w:themeColor="text1"/>
          <w:szCs w:val="21"/>
          <w:lang w:bidi="ar"/>
          <w14:textFill>
            <w14:solidFill>
              <w14:schemeClr w14:val="tx1"/>
            </w14:solidFill>
          </w14:textFill>
        </w:rPr>
        <w:t>前通过网络上传至“</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w:t>
      </w:r>
      <w:r>
        <w:rPr>
          <w:rFonts w:hint="eastAsia" w:ascii="宋体" w:hAnsi="宋体" w:cs="宋体"/>
          <w:b/>
          <w:color w:val="000000" w:themeColor="text1"/>
          <w:szCs w:val="21"/>
          <w:lang w:bidi="ar"/>
          <w14:textFill>
            <w14:solidFill>
              <w14:schemeClr w14:val="tx1"/>
            </w14:solidFill>
          </w14:textFill>
        </w:rPr>
        <w:t>供应商在“</w:t>
      </w:r>
      <w:r>
        <w:rPr>
          <w:rFonts w:hint="eastAsia" w:ascii="宋体" w:hAnsi="宋体" w:cs="宋体"/>
          <w:b/>
          <w:color w:val="000000" w:themeColor="text1"/>
          <w:szCs w:val="21"/>
          <w:lang w:eastAsia="zh-CN" w:bidi="ar"/>
          <w14:textFill>
            <w14:solidFill>
              <w14:schemeClr w14:val="tx1"/>
            </w14:solidFill>
          </w14:textFill>
        </w:rPr>
        <w:t>广西政府采购云平台</w:t>
      </w:r>
      <w:r>
        <w:rPr>
          <w:rFonts w:hint="eastAsia" w:ascii="宋体" w:hAnsi="宋体" w:cs="宋体"/>
          <w:b/>
          <w:color w:val="000000" w:themeColor="text1"/>
          <w:szCs w:val="21"/>
          <w:lang w:bidi="ar"/>
          <w14:textFill>
            <w14:solidFill>
              <w14:schemeClr w14:val="tx1"/>
            </w14:solidFill>
          </w14:textFill>
        </w:rPr>
        <w:t>”平台提交电子版响应文件时，请填写参加远程开标活动经办人联系方式。</w:t>
      </w:r>
    </w:p>
    <w:p>
      <w:pPr>
        <w:widowControl/>
        <w:spacing w:line="360" w:lineRule="auto"/>
        <w:ind w:firstLine="420" w:firstLineChars="200"/>
        <w:jc w:val="left"/>
        <w:rPr>
          <w:rFonts w:ascii="宋体" w:hAnsi="宋体" w:cs="宋体"/>
          <w:color w:val="000000" w:themeColor="text1"/>
          <w:szCs w:val="21"/>
          <w:lang w:bidi="ar"/>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（2）</w:t>
      </w:r>
      <w:r>
        <w:rPr>
          <w:rFonts w:ascii="宋体" w:hAnsi="宋体" w:cs="宋体"/>
          <w:color w:val="000000" w:themeColor="text1"/>
          <w:szCs w:val="21"/>
          <w:lang w:bidi="ar"/>
          <w14:textFill>
            <w14:solidFill>
              <w14:schemeClr w14:val="tx1"/>
            </w14:solidFill>
          </w14:textFill>
        </w:rPr>
        <w:t>供应商应及时熟悉掌握电子</w:t>
      </w:r>
      <w:r>
        <w:rPr>
          <w:rFonts w:hint="eastAsia" w:ascii="宋体" w:hAnsi="宋体" w:cs="宋体"/>
          <w:color w:val="000000" w:themeColor="text1"/>
          <w:szCs w:val="21"/>
          <w:lang w:bidi="ar"/>
          <w14:textFill>
            <w14:solidFill>
              <w14:schemeClr w14:val="tx1"/>
            </w14:solidFill>
          </w14:textFill>
        </w:rPr>
        <w:t>竞</w:t>
      </w:r>
      <w:r>
        <w:rPr>
          <w:rFonts w:ascii="宋体" w:hAnsi="宋体" w:cs="宋体"/>
          <w:color w:val="000000" w:themeColor="text1"/>
          <w:szCs w:val="21"/>
          <w:lang w:bidi="ar"/>
          <w14:textFill>
            <w14:solidFill>
              <w14:schemeClr w14:val="tx1"/>
            </w14:solidFill>
          </w14:textFill>
        </w:rPr>
        <w:t>标系统操作指南（见</w:t>
      </w:r>
      <w:r>
        <w:rPr>
          <w:rFonts w:hint="eastAsia" w:ascii="宋体" w:hAnsi="宋体" w:cs="宋体"/>
          <w:color w:val="000000" w:themeColor="text1"/>
          <w:szCs w:val="21"/>
          <w:lang w:eastAsia="zh-CN" w:bidi="ar"/>
          <w14:textFill>
            <w14:solidFill>
              <w14:schemeClr w14:val="tx1"/>
            </w14:solidFill>
          </w14:textFill>
        </w:rPr>
        <w:t>广西政府采购云平台</w:t>
      </w:r>
      <w:r>
        <w:rPr>
          <w:rFonts w:ascii="宋体" w:hAnsi="宋体" w:cs="宋体"/>
          <w:color w:val="000000" w:themeColor="text1"/>
          <w:szCs w:val="21"/>
          <w:lang w:bidi="ar"/>
          <w14:textFill>
            <w14:solidFill>
              <w14:schemeClr w14:val="tx1"/>
            </w14:solidFill>
          </w14:textFill>
        </w:rPr>
        <w:t>电子卖场首页右上角—服务中心—帮助文档—项目采购）</w:t>
      </w:r>
      <w:r>
        <w:rPr>
          <w:rFonts w:hint="eastAsia" w:ascii="宋体" w:hAnsi="宋体" w:cs="宋体"/>
          <w:color w:val="000000" w:themeColor="text1"/>
          <w:szCs w:val="21"/>
          <w:lang w:bidi="ar"/>
          <w14:textFill>
            <w14:solidFill>
              <w14:schemeClr w14:val="tx1"/>
            </w14:solidFill>
          </w14:textFill>
        </w:rPr>
        <w:t>；</w:t>
      </w:r>
      <w:r>
        <w:rPr>
          <w:rFonts w:ascii="宋体" w:hAnsi="宋体" w:cs="宋体"/>
          <w:color w:val="000000" w:themeColor="text1"/>
          <w:szCs w:val="21"/>
          <w:lang w:bidi="ar"/>
          <w14:textFill>
            <w14:solidFill>
              <w14:schemeClr w14:val="tx1"/>
            </w14:solidFill>
          </w14:textFill>
        </w:rPr>
        <w:t>及时完成CA申领和绑定（见广西壮族自治区政府采购网—办事服务—下载专区-</w:t>
      </w:r>
      <w:r>
        <w:rPr>
          <w:rFonts w:hint="eastAsia" w:ascii="宋体" w:hAnsi="宋体" w:cs="宋体"/>
          <w:color w:val="000000" w:themeColor="text1"/>
          <w:szCs w:val="21"/>
          <w:lang w:eastAsia="zh-CN" w:bidi="ar"/>
          <w14:textFill>
            <w14:solidFill>
              <w14:schemeClr w14:val="tx1"/>
            </w14:solidFill>
          </w14:textFill>
        </w:rPr>
        <w:t>广西政府采购云平台</w:t>
      </w:r>
      <w:r>
        <w:rPr>
          <w:rFonts w:ascii="宋体" w:hAnsi="宋体" w:cs="宋体"/>
          <w:color w:val="000000" w:themeColor="text1"/>
          <w:szCs w:val="21"/>
          <w:lang w:bidi="ar"/>
          <w14:textFill>
            <w14:solidFill>
              <w14:schemeClr w14:val="tx1"/>
            </w14:solidFill>
          </w14:textFill>
        </w:rPr>
        <w:t>CA证书办理操作指南）。</w:t>
      </w:r>
    </w:p>
    <w:p>
      <w:pPr>
        <w:widowControl/>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（3）未进行网上注册并办理数字证书（CA认证）的供应商将无法参与本项目政府采购活动，潜在供应商应当在</w:t>
      </w:r>
      <w:r>
        <w:rPr>
          <w:rFonts w:hint="eastAsia" w:ascii="宋体" w:hAnsi="宋体" w:cs="宋体"/>
          <w:color w:val="000000" w:themeColor="text1"/>
          <w:szCs w:val="21"/>
          <w14:textFill>
            <w14:solidFill>
              <w14:schemeClr w14:val="tx1"/>
            </w14:solidFill>
          </w14:textFill>
        </w:rPr>
        <w:t>首次响应文件提交截止时间</w:t>
      </w:r>
      <w:r>
        <w:rPr>
          <w:rFonts w:hint="eastAsia" w:ascii="宋体" w:hAnsi="宋体" w:cs="宋体"/>
          <w:color w:val="000000" w:themeColor="text1"/>
          <w:szCs w:val="21"/>
          <w:lang w:bidi="ar"/>
          <w14:textFill>
            <w14:solidFill>
              <w14:schemeClr w14:val="tx1"/>
            </w14:solidFill>
          </w14:textFill>
        </w:rPr>
        <w:t>前，完成电子交易平台上的CA数字证书办理及响应文件的提交。完成CA数字证书办理预计7日左右，供应商只需办理其中一家CA数字证书及签章，建议各供应商抓紧时间办理。</w:t>
      </w:r>
    </w:p>
    <w:p>
      <w:pPr>
        <w:widowControl/>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（4）为确保网上操作合法、有效和安全，请供应商确保在电子竞标过程中能够对相关数据电文进行加密和使用电子签章，妥善保管CA数字证书并使用有效的CA数字证书参与整个采购活动。</w:t>
      </w:r>
    </w:p>
    <w:p>
      <w:pPr>
        <w:spacing w:line="360" w:lineRule="auto"/>
        <w:ind w:firstLine="422" w:firstLineChars="20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lang w:bidi="ar"/>
          <w14:textFill>
            <w14:solidFill>
              <w14:schemeClr w14:val="tx1"/>
            </w14:solidFill>
          </w14:textFill>
        </w:rPr>
        <w:t>注：供应商应当在首次响应文件提交截止时间前完成电子响应文件的上传、递交，</w:t>
      </w:r>
      <w:r>
        <w:rPr>
          <w:rFonts w:hint="eastAsia" w:ascii="宋体" w:hAnsi="宋体" w:cs="宋体"/>
          <w:b/>
          <w:color w:val="000000" w:themeColor="text1"/>
          <w:szCs w:val="21"/>
          <w14:textFill>
            <w14:solidFill>
              <w14:schemeClr w14:val="tx1"/>
            </w14:solidFill>
          </w14:textFill>
        </w:rPr>
        <w:t>首次响应文件提交截止时间</w:t>
      </w:r>
      <w:r>
        <w:rPr>
          <w:rFonts w:hint="eastAsia" w:ascii="宋体" w:hAnsi="宋体" w:cs="宋体"/>
          <w:b/>
          <w:bCs/>
          <w:color w:val="000000" w:themeColor="text1"/>
          <w:szCs w:val="21"/>
          <w:lang w:bidi="ar"/>
          <w14:textFill>
            <w14:solidFill>
              <w14:schemeClr w14:val="tx1"/>
            </w14:solidFill>
          </w14:textFill>
        </w:rPr>
        <w:t>前可以补充、修改或者撤回响应文件。补充或者修改响应文件的，应当先行撤回原文件，补充、修改后重新上传、递交。</w:t>
      </w:r>
      <w:r>
        <w:rPr>
          <w:rFonts w:hint="eastAsia" w:ascii="宋体" w:hAnsi="宋体" w:cs="宋体"/>
          <w:b/>
          <w:color w:val="000000" w:themeColor="text1"/>
          <w:szCs w:val="21"/>
          <w14:textFill>
            <w14:solidFill>
              <w14:schemeClr w14:val="tx1"/>
            </w14:solidFill>
          </w14:textFill>
        </w:rPr>
        <w:t>首次响应文件提交截止时间</w:t>
      </w:r>
      <w:r>
        <w:rPr>
          <w:rFonts w:hint="eastAsia" w:ascii="宋体" w:hAnsi="宋体" w:cs="宋体"/>
          <w:b/>
          <w:bCs/>
          <w:color w:val="000000" w:themeColor="text1"/>
          <w:szCs w:val="21"/>
          <w:lang w:bidi="ar"/>
          <w14:textFill>
            <w14:solidFill>
              <w14:schemeClr w14:val="tx1"/>
            </w14:solidFill>
          </w14:textFill>
        </w:rPr>
        <w:t>前未完成上传、递交的，视为撤回响应文件。</w:t>
      </w:r>
      <w:r>
        <w:rPr>
          <w:rFonts w:hint="eastAsia" w:ascii="宋体" w:hAnsi="宋体" w:cs="宋体"/>
          <w:b/>
          <w:color w:val="000000" w:themeColor="text1"/>
          <w:szCs w:val="21"/>
          <w14:textFill>
            <w14:solidFill>
              <w14:schemeClr w14:val="tx1"/>
            </w14:solidFill>
          </w14:textFill>
        </w:rPr>
        <w:t>首次响应文件提交截止时间</w:t>
      </w:r>
      <w:r>
        <w:rPr>
          <w:rFonts w:hint="eastAsia" w:ascii="宋体" w:hAnsi="宋体" w:cs="宋体"/>
          <w:b/>
          <w:bCs/>
          <w:color w:val="000000" w:themeColor="text1"/>
          <w:szCs w:val="21"/>
          <w:lang w:bidi="ar"/>
          <w14:textFill>
            <w14:solidFill>
              <w14:schemeClr w14:val="tx1"/>
            </w14:solidFill>
          </w14:textFill>
        </w:rPr>
        <w:t>以后上传递交的响应文件，“</w:t>
      </w:r>
      <w:r>
        <w:rPr>
          <w:rFonts w:hint="eastAsia" w:ascii="宋体" w:hAnsi="宋体" w:cs="宋体"/>
          <w:b/>
          <w:bCs/>
          <w:color w:val="000000" w:themeColor="text1"/>
          <w:szCs w:val="21"/>
          <w:lang w:eastAsia="zh-CN" w:bidi="ar"/>
          <w14:textFill>
            <w14:solidFill>
              <w14:schemeClr w14:val="tx1"/>
            </w14:solidFill>
          </w14:textFill>
        </w:rPr>
        <w:t>广西政府采购云平台</w:t>
      </w:r>
      <w:r>
        <w:rPr>
          <w:rFonts w:hint="eastAsia" w:ascii="宋体" w:hAnsi="宋体" w:cs="宋体"/>
          <w:b/>
          <w:bCs/>
          <w:color w:val="000000" w:themeColor="text1"/>
          <w:szCs w:val="21"/>
          <w:lang w:bidi="ar"/>
          <w14:textFill>
            <w14:solidFill>
              <w14:schemeClr w14:val="tx1"/>
            </w14:solidFill>
          </w14:textFill>
        </w:rPr>
        <w:t>”平台将予以拒收。</w:t>
      </w:r>
    </w:p>
    <w:p>
      <w:pPr>
        <w:widowControl/>
        <w:spacing w:line="360" w:lineRule="auto"/>
        <w:ind w:firstLine="420" w:firstLineChars="200"/>
        <w:rPr>
          <w:rFonts w:ascii="宋体" w:hAnsi="宋体" w:cs="宋体"/>
          <w:b/>
          <w:bCs/>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7、</w:t>
      </w:r>
      <w:r>
        <w:rPr>
          <w:rFonts w:hint="eastAsia" w:ascii="宋体" w:hAnsi="宋体" w:cs="宋体"/>
          <w:color w:val="000000" w:themeColor="text1"/>
          <w:szCs w:val="21"/>
          <w:lang w:bidi="ar"/>
          <w14:textFill>
            <w14:solidFill>
              <w14:schemeClr w14:val="tx1"/>
            </w14:solidFill>
          </w14:textFill>
        </w:rPr>
        <w:t>CA证书在线解密：首次响应文件开启时，须要供应商携带制作响应文件时用来加密的有效数字证书（CA认证）登录“</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”平台电子开标大厅现场按规定时间对加密的响应文件进行解密，否则后果自负。</w:t>
      </w:r>
    </w:p>
    <w:p>
      <w:pPr>
        <w:widowControl/>
        <w:spacing w:line="360" w:lineRule="auto"/>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8、供应商需要在具备有摄像头及语音功能且互联网网络状况良好的电脑登录“</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”平台远程开标大厅参与本次磋商，否则后果自负。</w:t>
      </w:r>
    </w:p>
    <w:p>
      <w:pPr>
        <w:widowControl/>
        <w:spacing w:line="360" w:lineRule="auto"/>
        <w:ind w:firstLine="420" w:firstLineChars="200"/>
        <w:rPr>
          <w:rFonts w:ascii="宋体" w:hAnsi="宋体" w:cs="宋体"/>
          <w:color w:val="000000" w:themeColor="text1"/>
          <w:kern w:val="0"/>
          <w:szCs w:val="21"/>
          <w14:textFill>
            <w14:solidFill>
              <w14:schemeClr w14:val="tx1"/>
            </w14:solidFill>
          </w14:textFill>
        </w:rPr>
      </w:pPr>
      <w:r>
        <w:rPr>
          <w:rFonts w:hint="eastAsia" w:ascii="宋体" w:hAnsi="宋体" w:cs="宋体"/>
          <w:color w:val="000000" w:themeColor="text1"/>
          <w:szCs w:val="21"/>
          <w:lang w:bidi="ar"/>
          <w14:textFill>
            <w14:solidFill>
              <w14:schemeClr w14:val="tx1"/>
            </w14:solidFill>
          </w14:textFill>
        </w:rPr>
        <w:t>9、若对项目采购电子交易系统操作有疑问，可登录“</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w:t>
      </w:r>
      <w:r>
        <w:rPr>
          <w:rFonts w:hint="eastAsia" w:ascii="宋体" w:hAnsi="宋体" w:cs="宋体"/>
          <w:color w:val="000000" w:themeColor="text1"/>
          <w:szCs w:val="21"/>
          <w:lang w:eastAsia="zh-CN" w:bidi="ar"/>
          <w14:textFill>
            <w14:solidFill>
              <w14:schemeClr w14:val="tx1"/>
            </w14:solidFill>
          </w14:textFill>
        </w:rPr>
        <w:t>https://www.gcy.zfcg.gxzf.gov.cn/</w:t>
      </w:r>
      <w:r>
        <w:rPr>
          <w:rFonts w:hint="eastAsia" w:ascii="宋体" w:hAnsi="宋体" w:cs="宋体"/>
          <w:color w:val="000000" w:themeColor="text1"/>
          <w:szCs w:val="21"/>
          <w:lang w:bidi="ar"/>
          <w14:textFill>
            <w14:solidFill>
              <w14:schemeClr w14:val="tx1"/>
            </w14:solidFill>
          </w14:textFill>
        </w:rPr>
        <w:t>），点击右侧咨询小采，获取采小蜜智能服务管家帮助，或拨打</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服务热线400-881-7190获取热线服务帮助。</w:t>
      </w:r>
    </w:p>
    <w:bookmarkEnd w:id="11"/>
    <w:p>
      <w:pPr>
        <w:spacing w:line="360" w:lineRule="auto"/>
        <w:ind w:firstLine="354" w:firstLineChars="147"/>
        <w:rPr>
          <w:rFonts w:ascii="黑体" w:hAnsi="黑体" w:eastAsia="黑体"/>
          <w:b/>
          <w:color w:val="000000" w:themeColor="text1"/>
          <w:sz w:val="24"/>
          <w14:textFill>
            <w14:solidFill>
              <w14:schemeClr w14:val="tx1"/>
            </w14:solidFill>
          </w14:textFill>
        </w:rPr>
      </w:pPr>
      <w:r>
        <w:rPr>
          <w:rFonts w:hint="eastAsia" w:ascii="黑体" w:hAnsi="黑体" w:eastAsia="黑体"/>
          <w:b/>
          <w:color w:val="000000" w:themeColor="text1"/>
          <w:sz w:val="24"/>
          <w14:textFill>
            <w14:solidFill>
              <w14:schemeClr w14:val="tx1"/>
            </w14:solidFill>
          </w14:textFill>
        </w:rPr>
        <w:t>八、凡对本次采购提出询问，请按</w:t>
      </w:r>
      <w:r>
        <w:rPr>
          <w:rFonts w:ascii="黑体" w:hAnsi="黑体" w:eastAsia="黑体"/>
          <w:b/>
          <w:color w:val="000000" w:themeColor="text1"/>
          <w:sz w:val="24"/>
          <w14:textFill>
            <w14:solidFill>
              <w14:schemeClr w14:val="tx1"/>
            </w14:solidFill>
          </w14:textFill>
        </w:rPr>
        <w:t>以下方式</w:t>
      </w:r>
      <w:r>
        <w:rPr>
          <w:rFonts w:hint="eastAsia" w:ascii="黑体" w:hAnsi="黑体" w:eastAsia="黑体"/>
          <w:b/>
          <w:color w:val="000000" w:themeColor="text1"/>
          <w:sz w:val="24"/>
          <w14:textFill>
            <w14:solidFill>
              <w14:schemeClr w14:val="tx1"/>
            </w14:solidFill>
          </w14:textFill>
        </w:rPr>
        <w:t>联系。</w:t>
      </w:r>
      <w:bookmarkEnd w:id="12"/>
      <w:bookmarkEnd w:id="13"/>
      <w:bookmarkEnd w:id="14"/>
      <w:bookmarkEnd w:id="15"/>
      <w:bookmarkEnd w:id="16"/>
    </w:p>
    <w:p>
      <w:pPr>
        <w:spacing w:line="360" w:lineRule="auto"/>
        <w:ind w:firstLine="567" w:firstLineChars="270"/>
        <w:jc w:val="left"/>
        <w:rPr>
          <w:rFonts w:ascii="宋体" w:hAnsi="宋体" w:cs="宋体"/>
          <w:color w:val="000000" w:themeColor="text1"/>
          <w:szCs w:val="21"/>
          <w14:textFill>
            <w14:solidFill>
              <w14:schemeClr w14:val="tx1"/>
            </w14:solidFill>
          </w14:textFill>
        </w:rPr>
      </w:pPr>
      <w:bookmarkStart w:id="17" w:name="_Toc28359019"/>
      <w:bookmarkStart w:id="18" w:name="_Toc35393637"/>
      <w:bookmarkStart w:id="19" w:name="_Toc28359096"/>
      <w:bookmarkStart w:id="20" w:name="_Toc35393806"/>
      <w:r>
        <w:rPr>
          <w:rFonts w:hint="eastAsia" w:ascii="宋体" w:hAnsi="宋体" w:cs="宋体"/>
          <w:color w:val="000000" w:themeColor="text1"/>
          <w:szCs w:val="21"/>
          <w14:textFill>
            <w14:solidFill>
              <w14:schemeClr w14:val="tx1"/>
            </w14:solidFill>
          </w14:textFill>
        </w:rPr>
        <w:t>1.采购人信息</w:t>
      </w:r>
    </w:p>
    <w:p>
      <w:pPr>
        <w:spacing w:line="360" w:lineRule="auto"/>
        <w:ind w:firstLine="567" w:firstLineChars="27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名 称：</w:t>
      </w:r>
      <w:r>
        <w:rPr>
          <w:rFonts w:hint="eastAsia" w:ascii="宋体" w:hAnsi="宋体" w:cs="Arial"/>
          <w:color w:val="000000" w:themeColor="text1"/>
          <w14:textFill>
            <w14:solidFill>
              <w14:schemeClr w14:val="tx1"/>
            </w14:solidFill>
          </w14:textFill>
        </w:rPr>
        <w:t>广西壮族自治区南宁生态环境监测中心</w:t>
      </w:r>
    </w:p>
    <w:p>
      <w:pPr>
        <w:spacing w:line="360" w:lineRule="auto"/>
        <w:ind w:firstLine="567" w:firstLineChars="27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地址：南宁市民主路45号</w:t>
      </w:r>
    </w:p>
    <w:p>
      <w:pPr>
        <w:spacing w:line="360" w:lineRule="auto"/>
        <w:ind w:firstLine="567" w:firstLineChars="27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联系方式：0771-2828826　</w:t>
      </w:r>
      <w:bookmarkStart w:id="21" w:name="_Toc28359086"/>
      <w:bookmarkStart w:id="22" w:name="_Toc28359009"/>
    </w:p>
    <w:p>
      <w:pPr>
        <w:spacing w:line="360" w:lineRule="auto"/>
        <w:ind w:firstLine="567" w:firstLineChars="27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项目采购联系人：韦秀丽</w:t>
      </w:r>
    </w:p>
    <w:p>
      <w:pPr>
        <w:spacing w:line="360" w:lineRule="auto"/>
        <w:ind w:firstLine="567" w:firstLineChars="27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2.采购代理机构信息</w:t>
      </w:r>
      <w:bookmarkEnd w:id="21"/>
      <w:bookmarkEnd w:id="22"/>
    </w:p>
    <w:p>
      <w:pPr>
        <w:spacing w:line="360" w:lineRule="auto"/>
        <w:ind w:firstLine="567" w:firstLineChars="27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名 称：</w:t>
      </w:r>
      <w:r>
        <w:rPr>
          <w:rFonts w:hint="eastAsia" w:ascii="宋体" w:hAnsi="宋体" w:cs="Arial"/>
          <w:color w:val="000000" w:themeColor="text1"/>
          <w:szCs w:val="21"/>
          <w14:textFill>
            <w14:solidFill>
              <w14:schemeClr w14:val="tx1"/>
            </w14:solidFill>
          </w14:textFill>
        </w:rPr>
        <w:t>广西科文招标有限公司</w:t>
      </w:r>
    </w:p>
    <w:p>
      <w:pPr>
        <w:spacing w:line="360" w:lineRule="auto"/>
        <w:ind w:firstLine="567" w:firstLineChars="27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地　址：</w:t>
      </w:r>
      <w:r>
        <w:rPr>
          <w:rFonts w:hint="eastAsia" w:ascii="宋体" w:hAnsi="宋体" w:cs="Arial"/>
          <w:color w:val="000000" w:themeColor="text1"/>
          <w:szCs w:val="21"/>
          <w14:textFill>
            <w14:solidFill>
              <w14:schemeClr w14:val="tx1"/>
            </w14:solidFill>
          </w14:textFill>
        </w:rPr>
        <w:t>广西南宁市民族大道141号中鼎万象东方D区五层</w:t>
      </w:r>
    </w:p>
    <w:p>
      <w:pPr>
        <w:spacing w:line="360" w:lineRule="auto"/>
        <w:ind w:firstLine="567" w:firstLineChars="27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联系方式：</w:t>
      </w:r>
      <w:bookmarkStart w:id="23" w:name="_Toc28359087"/>
      <w:bookmarkStart w:id="24" w:name="_Toc28359010"/>
      <w:r>
        <w:rPr>
          <w:rFonts w:hint="eastAsia" w:ascii="宋体" w:hAnsi="宋体"/>
          <w:color w:val="000000" w:themeColor="text1"/>
          <w:szCs w:val="21"/>
          <w:u w:val="single"/>
          <w14:textFill>
            <w14:solidFill>
              <w14:schemeClr w14:val="tx1"/>
            </w14:solidFill>
          </w14:textFill>
        </w:rPr>
        <w:t>0771-2023873</w:t>
      </w:r>
    </w:p>
    <w:p>
      <w:pPr>
        <w:spacing w:line="360" w:lineRule="auto"/>
        <w:ind w:firstLine="567" w:firstLineChars="270"/>
        <w:rPr>
          <w:rFonts w:ascii="宋体" w:hAnsi="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3.项目</w:t>
      </w:r>
      <w:r>
        <w:rPr>
          <w:rFonts w:ascii="宋体" w:hAnsi="宋体" w:cs="宋体"/>
          <w:color w:val="000000" w:themeColor="text1"/>
          <w:szCs w:val="21"/>
          <w14:textFill>
            <w14:solidFill>
              <w14:schemeClr w14:val="tx1"/>
            </w14:solidFill>
          </w14:textFill>
        </w:rPr>
        <w:t>联系方式</w:t>
      </w:r>
      <w:bookmarkEnd w:id="23"/>
      <w:bookmarkEnd w:id="24"/>
    </w:p>
    <w:p>
      <w:pPr>
        <w:pStyle w:val="12"/>
        <w:spacing w:line="360" w:lineRule="auto"/>
        <w:ind w:firstLine="567" w:firstLineChars="270"/>
        <w:rPr>
          <w:rFonts w:hAnsi="宋体"/>
          <w:color w:val="000000" w:themeColor="text1"/>
          <w:sz w:val="21"/>
          <w14:textFill>
            <w14:solidFill>
              <w14:schemeClr w14:val="tx1"/>
            </w14:solidFill>
          </w14:textFill>
        </w:rPr>
      </w:pPr>
      <w:r>
        <w:rPr>
          <w:rFonts w:hint="eastAsia" w:hAnsi="宋体"/>
          <w:color w:val="000000" w:themeColor="text1"/>
          <w:sz w:val="21"/>
          <w14:textFill>
            <w14:solidFill>
              <w14:schemeClr w14:val="tx1"/>
            </w14:solidFill>
          </w14:textFill>
        </w:rPr>
        <w:t>项目联系人：</w:t>
      </w:r>
      <w:r>
        <w:rPr>
          <w:rFonts w:hint="eastAsia" w:hAnsi="宋体"/>
          <w:color w:val="000000" w:themeColor="text1"/>
          <w:sz w:val="21"/>
          <w:u w:val="single"/>
          <w14:textFill>
            <w14:solidFill>
              <w14:schemeClr w14:val="tx1"/>
            </w14:solidFill>
          </w14:textFill>
        </w:rPr>
        <w:t>银晓云、银睿</w:t>
      </w:r>
      <w:r>
        <w:rPr>
          <w:rFonts w:hAnsi="宋体"/>
          <w:color w:val="000000" w:themeColor="text1"/>
          <w:sz w:val="21"/>
          <w:u w:val="single"/>
          <w14:textFill>
            <w14:solidFill>
              <w14:schemeClr w14:val="tx1"/>
            </w14:solidFill>
          </w14:textFill>
        </w:rPr>
        <w:t xml:space="preserve"> </w:t>
      </w:r>
    </w:p>
    <w:p>
      <w:pPr>
        <w:spacing w:line="360" w:lineRule="auto"/>
        <w:ind w:firstLine="567" w:firstLineChars="270"/>
        <w:rPr>
          <w:rFonts w:ascii="宋体" w:hAnsi="宋体"/>
          <w:color w:val="000000" w:themeColor="text1"/>
          <w:szCs w:val="21"/>
          <w:u w:val="single"/>
          <w14:textFill>
            <w14:solidFill>
              <w14:schemeClr w14:val="tx1"/>
            </w14:solidFill>
          </w14:textFill>
        </w:rPr>
      </w:pPr>
      <w:r>
        <w:rPr>
          <w:rFonts w:hint="eastAsia" w:ascii="宋体" w:hAnsi="宋体"/>
          <w:color w:val="000000" w:themeColor="text1"/>
          <w:szCs w:val="21"/>
          <w14:textFill>
            <w14:solidFill>
              <w14:schemeClr w14:val="tx1"/>
            </w14:solidFill>
          </w14:textFill>
        </w:rPr>
        <w:t>电　话：</w:t>
      </w:r>
      <w:r>
        <w:rPr>
          <w:rFonts w:hint="eastAsia" w:ascii="宋体" w:hAnsi="宋体"/>
          <w:color w:val="000000" w:themeColor="text1"/>
          <w:szCs w:val="21"/>
          <w:u w:val="single"/>
          <w14:textFill>
            <w14:solidFill>
              <w14:schemeClr w14:val="tx1"/>
            </w14:solidFill>
          </w14:textFill>
        </w:rPr>
        <w:t>0771-2023873</w:t>
      </w:r>
    </w:p>
    <w:p>
      <w:pPr>
        <w:spacing w:line="380" w:lineRule="exact"/>
        <w:ind w:firstLine="6195" w:firstLineChars="2950"/>
        <w:rPr>
          <w:rFonts w:ascii="宋体" w:hAnsi="宋体" w:cs="Arial"/>
          <w:color w:val="000000" w:themeColor="text1"/>
          <w:szCs w:val="21"/>
          <w14:textFill>
            <w14:solidFill>
              <w14:schemeClr w14:val="tx1"/>
            </w14:solidFill>
          </w14:textFill>
        </w:rPr>
      </w:pPr>
    </w:p>
    <w:p>
      <w:pPr>
        <w:spacing w:line="380" w:lineRule="exact"/>
        <w:ind w:firstLine="6405" w:firstLineChars="3050"/>
        <w:rPr>
          <w:rFonts w:ascii="宋体" w:hAnsi="宋体"/>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广西科文招标有限公司</w:t>
      </w:r>
    </w:p>
    <w:p>
      <w:pPr>
        <w:snapToGrid w:val="0"/>
        <w:spacing w:line="380" w:lineRule="exact"/>
        <w:ind w:left="238"/>
        <w:jc w:val="center"/>
        <w:rPr>
          <w:rFonts w:ascii="宋体" w:hAnsi="宋体"/>
          <w:b/>
          <w:bCs/>
          <w:color w:val="000000" w:themeColor="text1"/>
          <w:sz w:val="32"/>
          <w:szCs w:val="32"/>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r>
        <w:rPr>
          <w:rFonts w:hint="eastAsia" w:ascii="宋体" w:hAnsi="宋体"/>
          <w:color w:val="000000" w:themeColor="text1"/>
          <w:lang w:eastAsia="zh-CN"/>
          <w14:textFill>
            <w14:solidFill>
              <w14:schemeClr w14:val="tx1"/>
            </w14:solidFill>
          </w14:textFill>
        </w:rPr>
        <w:t>2024年</w:t>
      </w:r>
      <w:r>
        <w:rPr>
          <w:rFonts w:hint="eastAsia" w:ascii="宋体" w:hAnsi="宋体"/>
          <w:color w:val="000000" w:themeColor="text1"/>
          <w:lang w:val="en-US" w:eastAsia="zh-CN"/>
          <w14:textFill>
            <w14:solidFill>
              <w14:schemeClr w14:val="tx1"/>
            </w14:solidFill>
          </w14:textFill>
        </w:rPr>
        <w:t>4</w:t>
      </w:r>
      <w:r>
        <w:rPr>
          <w:rFonts w:hint="eastAsia" w:ascii="宋体" w:hAnsi="宋体"/>
          <w:color w:val="000000" w:themeColor="text1"/>
          <w:lang w:eastAsia="zh-CN"/>
          <w14:textFill>
            <w14:solidFill>
              <w14:schemeClr w14:val="tx1"/>
            </w14:solidFill>
          </w14:textFill>
        </w:rPr>
        <w:t>月</w:t>
      </w:r>
      <w:r>
        <w:rPr>
          <w:rFonts w:hint="eastAsia" w:ascii="宋体" w:hAnsi="宋体"/>
          <w:color w:val="000000" w:themeColor="text1"/>
          <w:lang w:val="en-US" w:eastAsia="zh-CN"/>
          <w14:textFill>
            <w14:solidFill>
              <w14:schemeClr w14:val="tx1"/>
            </w14:solidFill>
          </w14:textFill>
        </w:rPr>
        <w:t>10</w:t>
      </w:r>
      <w:r>
        <w:rPr>
          <w:rFonts w:hint="eastAsia" w:ascii="宋体" w:hAnsi="宋体"/>
          <w:color w:val="000000" w:themeColor="text1"/>
          <w14:textFill>
            <w14:solidFill>
              <w14:schemeClr w14:val="tx1"/>
            </w14:solidFill>
          </w14:textFill>
        </w:rPr>
        <w:t>日</w:t>
      </w:r>
      <w:bookmarkEnd w:id="4"/>
      <w:bookmarkEnd w:id="17"/>
      <w:bookmarkEnd w:id="18"/>
      <w:bookmarkEnd w:id="19"/>
      <w:bookmarkEnd w:id="20"/>
      <w:r>
        <w:rPr>
          <w:rFonts w:ascii="宋体" w:hAnsi="宋体"/>
          <w:b/>
          <w:bCs/>
          <w:color w:val="000000" w:themeColor="text1"/>
          <w:sz w:val="32"/>
          <w:szCs w:val="32"/>
          <w14:textFill>
            <w14:solidFill>
              <w14:schemeClr w14:val="tx1"/>
            </w14:solidFill>
          </w14:textFill>
        </w:rPr>
        <w:br w:type="page"/>
      </w:r>
    </w:p>
    <w:p>
      <w:pPr>
        <w:pStyle w:val="3"/>
        <w:jc w:val="center"/>
        <w:rPr>
          <w:color w:val="000000" w:themeColor="text1"/>
          <w14:textFill>
            <w14:solidFill>
              <w14:schemeClr w14:val="tx1"/>
            </w14:solidFill>
          </w14:textFill>
        </w:rPr>
      </w:pPr>
      <w:bookmarkStart w:id="25" w:name="_Toc74323457"/>
      <w:r>
        <w:rPr>
          <w:rFonts w:hint="eastAsia"/>
          <w:color w:val="000000" w:themeColor="text1"/>
          <w14:textFill>
            <w14:solidFill>
              <w14:schemeClr w14:val="tx1"/>
            </w14:solidFill>
          </w14:textFill>
        </w:rPr>
        <w:t>第二章 供应商须知</w:t>
      </w:r>
      <w:bookmarkEnd w:id="25"/>
    </w:p>
    <w:p>
      <w:pPr>
        <w:spacing w:line="400" w:lineRule="exac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供应商须知前附表</w:t>
      </w:r>
    </w:p>
    <w:p>
      <w:pPr>
        <w:spacing w:line="400" w:lineRule="exact"/>
        <w:jc w:val="center"/>
        <w:rPr>
          <w:rFonts w:ascii="宋体" w:hAnsi="宋体"/>
          <w:b/>
          <w:color w:val="000000" w:themeColor="text1"/>
          <w:sz w:val="32"/>
          <w:szCs w:val="32"/>
          <w14:textFill>
            <w14:solidFill>
              <w14:schemeClr w14:val="tx1"/>
            </w14:solidFill>
          </w14:textFill>
        </w:rPr>
      </w:pPr>
    </w:p>
    <w:tbl>
      <w:tblPr>
        <w:tblStyle w:val="18"/>
        <w:tblW w:w="96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86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pPr>
              <w:spacing w:line="360" w:lineRule="auto"/>
              <w:jc w:val="center"/>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条款号</w:t>
            </w:r>
          </w:p>
        </w:tc>
        <w:tc>
          <w:tcPr>
            <w:tcW w:w="8627" w:type="dxa"/>
          </w:tcPr>
          <w:p>
            <w:pPr>
              <w:spacing w:line="360" w:lineRule="auto"/>
              <w:jc w:val="center"/>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w:t>
            </w:r>
          </w:p>
        </w:tc>
        <w:tc>
          <w:tcPr>
            <w:tcW w:w="8627" w:type="dxa"/>
            <w:vAlign w:val="center"/>
          </w:tcPr>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Cs/>
                <w:color w:val="000000" w:themeColor="text1"/>
                <w:szCs w:val="21"/>
                <w14:textFill>
                  <w14:solidFill>
                    <w14:schemeClr w14:val="tx1"/>
                  </w14:solidFill>
                </w14:textFill>
              </w:rPr>
              <w:t>供应商的资格条件</w:t>
            </w:r>
            <w:r>
              <w:rPr>
                <w:rFonts w:hint="eastAsia" w:asciiTheme="minorEastAsia" w:hAnsiTheme="minorEastAsia" w:eastAsiaTheme="minorEastAsia" w:cstheme="minorEastAsia"/>
                <w:color w:val="000000" w:themeColor="text1"/>
                <w:szCs w:val="21"/>
                <w14:textFill>
                  <w14:solidFill>
                    <w14:schemeClr w14:val="tx1"/>
                  </w14:solidFill>
                </w14:textFill>
              </w:rPr>
              <w:t>：详见竞争性磋商公告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5.1</w:t>
            </w:r>
          </w:p>
        </w:tc>
        <w:tc>
          <w:tcPr>
            <w:tcW w:w="8627" w:type="dxa"/>
            <w:vAlign w:val="center"/>
          </w:tcPr>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是否接受联合体竞标：详见竞争性磋商公告（不接受）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6.2</w:t>
            </w:r>
          </w:p>
        </w:tc>
        <w:tc>
          <w:tcPr>
            <w:tcW w:w="8627" w:type="dxa"/>
            <w:vAlign w:val="center"/>
          </w:tcPr>
          <w:p>
            <w:pPr>
              <w:pStyle w:val="7"/>
              <w:spacing w:line="400" w:lineRule="exact"/>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本项目不允许分包。</w:t>
            </w:r>
          </w:p>
          <w:p>
            <w:pPr>
              <w:pStyle w:val="7"/>
              <w:spacing w:line="400" w:lineRule="exact"/>
              <w:rPr>
                <w:rFonts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分包内容：</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p>
            <w:pPr>
              <w:pStyle w:val="7"/>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分包金额或者比例：</w:t>
            </w:r>
            <w:r>
              <w:rPr>
                <w:rFonts w:hint="eastAsia" w:asciiTheme="minorEastAsia" w:hAnsiTheme="minorEastAsia" w:eastAsiaTheme="minorEastAsia" w:cstheme="minorEastAsia"/>
                <w:color w:val="000000" w:themeColor="text1"/>
                <w:szCs w:val="21"/>
                <w:u w:val="single"/>
                <w14:textFill>
                  <w14:solidFill>
                    <w14:schemeClr w14:val="tx1"/>
                  </w14:solidFill>
                </w14:textFill>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12.1.1</w:t>
            </w:r>
          </w:p>
        </w:tc>
        <w:tc>
          <w:tcPr>
            <w:tcW w:w="8627" w:type="dxa"/>
            <w:vAlign w:val="center"/>
          </w:tcPr>
          <w:p>
            <w:pPr>
              <w:snapToGrid w:val="0"/>
              <w:spacing w:line="360" w:lineRule="auto"/>
              <w:jc w:val="left"/>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资格证明文件</w:t>
            </w:r>
          </w:p>
          <w:p>
            <w:pPr>
              <w:pStyle w:val="7"/>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1、供应商为法人或者其他组织的，证明文件为其营业执照复印件（如营业执照或者事业单位法人证书或者执业许可证等）；供应商为自然人的，证明文件为其身份证复印件；（</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contextualSpacing/>
              <w:jc w:val="left"/>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2、供应商依法缴纳税收的相关材料（</w:t>
            </w:r>
            <w:r>
              <w:rPr>
                <w:rFonts w:hint="eastAsia" w:asciiTheme="minorEastAsia" w:hAnsiTheme="minorEastAsia" w:eastAsiaTheme="minorEastAsia" w:cstheme="minorEastAsia"/>
                <w:color w:val="000000" w:themeColor="text1"/>
                <w:szCs w:val="21"/>
                <w:u w:val="single"/>
                <w14:textFill>
                  <w14:solidFill>
                    <w14:schemeClr w14:val="tx1"/>
                  </w14:solidFill>
                </w14:textFill>
              </w:rPr>
              <w:t>202</w:t>
            </w:r>
            <w:r>
              <w:rPr>
                <w:rFonts w:hint="eastAsia" w:asciiTheme="minorEastAsia" w:hAnsiTheme="minorEastAsia" w:eastAsiaTheme="minorEastAsia" w:cstheme="minorEastAsia"/>
                <w:color w:val="000000" w:themeColor="text1"/>
                <w:szCs w:val="21"/>
                <w:u w:val="singl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年</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Cs w:val="21"/>
                <w14:textFill>
                  <w14:solidFill>
                    <w14:schemeClr w14:val="tx1"/>
                  </w14:solidFill>
                </w14:textFill>
              </w:rPr>
              <w:t>月以来任意1个月依法缴纳税收的凭据复印件；依法免税的，必须提供相应文件证明其依法免税。从成立之日起到响应文件提交截止时间止不足要求月数的，只需提供从成立之日起的依法缴纳税收相应证明文件）；（</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contextualSpacing/>
              <w:jc w:val="left"/>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3、供应商依法缴纳社会保障资金的相关材料[</w:t>
            </w:r>
            <w:r>
              <w:rPr>
                <w:rFonts w:hint="eastAsia" w:asciiTheme="minorEastAsia" w:hAnsiTheme="minorEastAsia" w:eastAsiaTheme="minorEastAsia" w:cstheme="minorEastAsia"/>
                <w:color w:val="000000" w:themeColor="text1"/>
                <w:szCs w:val="21"/>
                <w:u w:val="single"/>
                <w14:textFill>
                  <w14:solidFill>
                    <w14:schemeClr w14:val="tx1"/>
                  </w14:solidFill>
                </w14:textFill>
              </w:rPr>
              <w:t>202</w:t>
            </w:r>
            <w:r>
              <w:rPr>
                <w:rFonts w:hint="eastAsia" w:asciiTheme="minorEastAsia" w:hAnsiTheme="minorEastAsia" w:eastAsiaTheme="minorEastAsia" w:cstheme="minorEastAsia"/>
                <w:color w:val="000000" w:themeColor="text1"/>
                <w:szCs w:val="21"/>
                <w:u w:val="singl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年</w:t>
            </w:r>
            <w:r>
              <w:rPr>
                <w:rFonts w:hint="eastAsia" w:asciiTheme="minorEastAsia" w:hAnsiTheme="minorEastAsia" w:eastAsiaTheme="minorEastAsia" w:cstheme="minorEastAsia"/>
                <w:color w:val="000000" w:themeColor="text1"/>
                <w:szCs w:val="21"/>
                <w:u w:val="singl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Cs w:val="21"/>
                <w14:textFill>
                  <w14:solidFill>
                    <w14:schemeClr w14:val="tx1"/>
                  </w14:solidFill>
                </w14:textFill>
              </w:rPr>
              <w:t>月以来任意1个月依法缴纳社会保障资金的缴费凭证（专用收据或者社会保险缴纳清单）复印件；依法不需要缴纳社会保障资金的，必须提供相应文件证明不需要缴纳社会保障资金。从成立之日起到响应文件提交截止时间止不足要求月数的只需提供从成立之日起的依法缴纳社会保障资金的相应证明文件]；（</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contextualSpacing/>
              <w:jc w:val="left"/>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4、供应商财务状况报告（</w:t>
            </w:r>
            <w:r>
              <w:rPr>
                <w:rFonts w:hint="eastAsia" w:asciiTheme="minorEastAsia" w:hAnsiTheme="minorEastAsia" w:eastAsiaTheme="minorEastAsia" w:cstheme="minorEastAsia"/>
                <w:color w:val="000000" w:themeColor="text1"/>
                <w:szCs w:val="21"/>
                <w:u w:val="single"/>
                <w14:textFill>
                  <w14:solidFill>
                    <w14:schemeClr w14:val="tx1"/>
                  </w14:solidFill>
                </w14:textFill>
              </w:rPr>
              <w:t xml:space="preserve"> 202</w:t>
            </w:r>
            <w:r>
              <w:rPr>
                <w:rFonts w:hint="eastAsia" w:asciiTheme="minorEastAsia" w:hAnsiTheme="minorEastAsia" w:eastAsiaTheme="minorEastAsia" w:cstheme="minorEastAsia"/>
                <w:color w:val="000000" w:themeColor="text1"/>
                <w:szCs w:val="21"/>
                <w:u w:val="singl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Cs w:val="21"/>
                <w:u w:val="single"/>
                <w14:textFill>
                  <w14:solidFill>
                    <w14:schemeClr w14:val="tx1"/>
                  </w14:solidFill>
                </w14:textFill>
              </w:rPr>
              <w:t>或202</w:t>
            </w:r>
            <w:r>
              <w:rPr>
                <w:rFonts w:hint="eastAsia" w:asciiTheme="minorEastAsia" w:hAnsiTheme="minorEastAsia" w:eastAsiaTheme="minorEastAsia" w:cstheme="minorEastAsia"/>
                <w:color w:val="000000" w:themeColor="text1"/>
                <w:szCs w:val="21"/>
                <w:u w:val="singl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Cs w:val="21"/>
                <w14:textFill>
                  <w14:solidFill>
                    <w14:schemeClr w14:val="tx1"/>
                  </w14:solidFill>
                </w14:textFill>
              </w:rPr>
              <w:t>年度财务报表复印件或者银行出具的资信证明；供应商属于成立时间</w:t>
            </w:r>
            <w:r>
              <w:rPr>
                <w:rFonts w:hint="eastAsia" w:asciiTheme="minorEastAsia" w:hAnsiTheme="minorEastAsia" w:eastAsiaTheme="minorEastAsia" w:cstheme="minorEastAsia"/>
                <w:color w:val="000000" w:themeColor="text1"/>
                <w:kern w:val="0"/>
                <w:szCs w:val="21"/>
                <w14:textFill>
                  <w14:solidFill>
                    <w14:schemeClr w14:val="tx1"/>
                  </w14:solidFill>
                </w14:textFill>
              </w:rPr>
              <w:t>在规定年度之后</w:t>
            </w:r>
            <w:r>
              <w:rPr>
                <w:rFonts w:hint="eastAsia" w:asciiTheme="minorEastAsia" w:hAnsiTheme="minorEastAsia" w:eastAsiaTheme="minorEastAsia" w:cstheme="minorEastAsia"/>
                <w:color w:val="000000" w:themeColor="text1"/>
                <w:szCs w:val="21"/>
                <w14:textFill>
                  <w14:solidFill>
                    <w14:schemeClr w14:val="tx1"/>
                  </w14:solidFill>
                </w14:textFill>
              </w:rPr>
              <w:t>的法人或其他组织，需提供成立之日起至响应文件提交截止时间前的月报表或银行出具的资信证明；资信证明应在有效期内，未注明有效期的，银行出具时间至响应文件提交截止时间不超过一年）；</w:t>
            </w:r>
            <w:r>
              <w:rPr>
                <w:rFonts w:hint="eastAsia" w:asciiTheme="minorEastAsia" w:hAnsiTheme="minorEastAsia" w:eastAsiaTheme="minorEastAsia" w:cstheme="minorEastAsia"/>
                <w:bCs/>
                <w:color w:val="000000" w:themeColor="text1"/>
                <w:szCs w:val="21"/>
                <w14:textFill>
                  <w14:solidFill>
                    <w14:schemeClr w14:val="tx1"/>
                  </w14:solidFill>
                </w14:textFill>
              </w:rPr>
              <w:t>（</w:t>
            </w:r>
            <w:r>
              <w:rPr>
                <w:rFonts w:hint="eastAsia" w:asciiTheme="minorEastAsia" w:hAnsiTheme="minorEastAsia" w:eastAsiaTheme="minorEastAsia" w:cstheme="minorEastAsia"/>
                <w:b/>
                <w:color w:val="000000" w:themeColor="text1"/>
                <w:szCs w:val="21"/>
                <w14:textFill>
                  <w14:solidFill>
                    <w14:schemeClr w14:val="tx1"/>
                  </w14:solidFill>
                </w14:textFill>
              </w:rPr>
              <w:t>除自然人外必须提供，否则响应文件按无效响应处理</w:t>
            </w:r>
            <w:r>
              <w:rPr>
                <w:rFonts w:hint="eastAsia" w:asciiTheme="minorEastAsia" w:hAnsiTheme="minorEastAsia" w:eastAsiaTheme="minorEastAsia" w:cstheme="minorEastAsia"/>
                <w:bCs/>
                <w:color w:val="000000" w:themeColor="text1"/>
                <w:szCs w:val="21"/>
                <w14:textFill>
                  <w14:solidFill>
                    <w14:schemeClr w14:val="tx1"/>
                  </w14:solidFill>
                </w14:textFill>
              </w:rPr>
              <w:t>）</w:t>
            </w:r>
          </w:p>
          <w:p>
            <w:pPr>
              <w:snapToGrid w:val="0"/>
              <w:spacing w:line="360" w:lineRule="auto"/>
              <w:jc w:val="left"/>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5、供应商直接控股、管理关系信息表（格式后附）；（</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napToGrid w:val="0"/>
              <w:spacing w:line="360" w:lineRule="auto"/>
              <w:jc w:val="left"/>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6、竞标声明（格式后附）；（</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napToGrid w:val="0"/>
              <w:spacing w:line="360" w:lineRule="auto"/>
              <w:jc w:val="left"/>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7、中小企业声明函（服务）或残疾人福利性单位声明函或监狱企业证明文件；（</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napToGrid w:val="0"/>
              <w:spacing w:line="360" w:lineRule="auto"/>
              <w:jc w:val="left"/>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8、除磋商文件规定必须提供以外，供应商认为需要提供的其他证明材料；</w:t>
            </w:r>
          </w:p>
          <w:p>
            <w:pPr>
              <w:snapToGrid w:val="0"/>
              <w:spacing w:line="360" w:lineRule="auto"/>
              <w:ind w:firstLine="422" w:firstLineChars="200"/>
              <w:jc w:val="left"/>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注：</w:t>
            </w:r>
          </w:p>
          <w:p>
            <w:pPr>
              <w:snapToGrid w:val="0"/>
              <w:spacing w:line="360" w:lineRule="auto"/>
              <w:ind w:firstLine="413" w:firstLineChars="196"/>
              <w:jc w:val="left"/>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1、以上标明“必须提供”的材料属于复印件的，必须加盖供应商公章，否则响应文件按无效响应处理。</w:t>
            </w:r>
          </w:p>
          <w:p>
            <w:pPr>
              <w:snapToGrid w:val="0"/>
              <w:spacing w:line="360" w:lineRule="auto"/>
              <w:ind w:firstLine="422" w:firstLineChars="200"/>
              <w:jc w:val="left"/>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2、竞标声明必须由法定代表人在规定签章处签字并加盖供应商公章，否则响应文件按无效响应处理。</w:t>
            </w:r>
          </w:p>
          <w:p>
            <w:pPr>
              <w:snapToGrid w:val="0"/>
              <w:spacing w:line="360" w:lineRule="auto"/>
              <w:ind w:firstLine="422" w:firstLineChars="200"/>
              <w:jc w:val="left"/>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3、供应商直接控股、管理关系信息表必须由法定代表人或者委托代理人在规定签章处签字并加盖供应商公章，否则响应文件按无效响应处理。</w:t>
            </w:r>
          </w:p>
          <w:p>
            <w:pPr>
              <w:pStyle w:val="7"/>
              <w:spacing w:line="360" w:lineRule="auto"/>
              <w:ind w:firstLine="422" w:firstLineChars="200"/>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4、分公司参加竞标的，应当取得总公司授权</w:t>
            </w:r>
            <w:r>
              <w:rPr>
                <w:rFonts w:hint="eastAsia" w:asciiTheme="minorEastAsia" w:hAnsiTheme="minorEastAsia" w:eastAsiaTheme="minorEastAsia" w:cstheme="minorEastAsia"/>
                <w:b/>
                <w:color w:val="000000" w:themeColor="text1"/>
                <w:szCs w:val="21"/>
                <w14:textFill>
                  <w14:solidFill>
                    <w14:schemeClr w14:val="tx1"/>
                  </w14:solidFill>
                </w14:textFill>
              </w:rPr>
              <w:t>，否则响应文件按无效响应处理。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12.1.2</w:t>
            </w:r>
          </w:p>
        </w:tc>
        <w:tc>
          <w:tcPr>
            <w:tcW w:w="8627" w:type="dxa"/>
            <w:vAlign w:val="center"/>
          </w:tcPr>
          <w:p>
            <w:pPr>
              <w:spacing w:line="360" w:lineRule="auto"/>
              <w:rPr>
                <w:rFonts w:asciiTheme="minorEastAsia" w:hAnsiTheme="minorEastAsia" w:eastAsiaTheme="minorEastAsia" w:cstheme="minorEastAsia"/>
                <w:b/>
                <w:bCs/>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报价商务技术文件</w:t>
            </w:r>
          </w:p>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1、无串通竞标行为的承诺函（格式后附）；（</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2、竞标报价表（格式后附）；（</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napToGrid w:val="0"/>
              <w:spacing w:line="360" w:lineRule="auto"/>
              <w:jc w:val="left"/>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3、法定代表人身份证明及法定代表人有效身份证正反面复印件（格式后附）；（</w:t>
            </w:r>
            <w:r>
              <w:rPr>
                <w:rFonts w:hint="eastAsia" w:asciiTheme="minorEastAsia" w:hAnsiTheme="minorEastAsia" w:eastAsiaTheme="minorEastAsia" w:cstheme="minorEastAsia"/>
                <w:b/>
                <w:bCs/>
                <w:color w:val="000000" w:themeColor="text1"/>
                <w:szCs w:val="21"/>
                <w14:textFill>
                  <w14:solidFill>
                    <w14:schemeClr w14:val="tx1"/>
                  </w14:solidFill>
                </w14:textFill>
              </w:rPr>
              <w:t>除自然人竞标外</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4、授权委托书及委托代理人有效身份证正反面复印件，委托代理时，被授权人提供在供应商本单位所缴纳社保证明文件（格式后附）；（</w:t>
            </w:r>
            <w:r>
              <w:rPr>
                <w:rFonts w:hint="eastAsia" w:asciiTheme="minorEastAsia" w:hAnsiTheme="minorEastAsia" w:eastAsiaTheme="minorEastAsia" w:cstheme="minorEastAsia"/>
                <w:b/>
                <w:color w:val="000000" w:themeColor="text1"/>
                <w:szCs w:val="21"/>
                <w14:textFill>
                  <w14:solidFill>
                    <w14:schemeClr w14:val="tx1"/>
                  </w14:solidFill>
                </w14:textFill>
              </w:rPr>
              <w:t>委托时必须提供，否则响应文件按无效响应处理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5、磋商保证金提交凭证；（</w:t>
            </w:r>
            <w:r>
              <w:rPr>
                <w:rFonts w:hint="eastAsia" w:asciiTheme="minorEastAsia" w:hAnsiTheme="minorEastAsia" w:eastAsiaTheme="minorEastAsia" w:cstheme="minorEastAsia"/>
                <w:b/>
                <w:bCs/>
                <w:color w:val="000000" w:themeColor="text1"/>
                <w:szCs w:val="21"/>
                <w14:textFill>
                  <w14:solidFill>
                    <w14:schemeClr w14:val="tx1"/>
                  </w14:solidFill>
                </w14:textFill>
              </w:rPr>
              <w:t>如要求提交磋商保证金的则必须提供</w:t>
            </w:r>
            <w:r>
              <w:rPr>
                <w:rFonts w:hint="eastAsia" w:asciiTheme="minorEastAsia" w:hAnsiTheme="minorEastAsia" w:eastAsiaTheme="minorEastAsia" w:cstheme="minorEastAsia"/>
                <w:b/>
                <w:color w:val="000000" w:themeColor="text1"/>
                <w:szCs w:val="21"/>
                <w14:textFill>
                  <w14:solidFill>
                    <w14:schemeClr w14:val="tx1"/>
                  </w14:solidFill>
                </w14:textFill>
              </w:rPr>
              <w:t>，否则响应文件按无效响应处理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6、商务要求偏离表（格式后附）；（</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7、服务方案（格式自拟）；（</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8、技术要求偏离表（格式后附）；（</w:t>
            </w:r>
            <w:r>
              <w:rPr>
                <w:rFonts w:hint="eastAsia" w:asciiTheme="minorEastAsia" w:hAnsiTheme="minorEastAsia" w:eastAsiaTheme="minorEastAsia" w:cstheme="minorEastAsia"/>
                <w:b/>
                <w:color w:val="000000" w:themeColor="text1"/>
                <w:szCs w:val="21"/>
                <w14:textFill>
                  <w14:solidFill>
                    <w14:schemeClr w14:val="tx1"/>
                  </w14:solidFill>
                </w14:textFill>
              </w:rPr>
              <w:t>必须提供，否则响应文件按无效响应处理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zCs w:val="21"/>
                <w14:textFill>
                  <w14:solidFill>
                    <w14:schemeClr w14:val="tx1"/>
                  </w14:solidFill>
                </w14:textFill>
              </w:rPr>
              <w:t>、对应采购需求的技术要求、商务要求提供的其他文件资料（格式自拟）；</w:t>
            </w:r>
          </w:p>
          <w:p>
            <w:pPr>
              <w:spacing w:line="360" w:lineRule="auto"/>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w:t>
            </w:r>
            <w:r>
              <w:rPr>
                <w:rFonts w:hint="eastAsia" w:asciiTheme="minorEastAsia" w:hAnsiTheme="minorEastAsia" w:eastAsiaTheme="minorEastAsia" w:cstheme="minorEastAsia"/>
                <w:color w:val="000000" w:themeColor="text1"/>
                <w:szCs w:val="21"/>
                <w:lang w:val="en-US" w:eastAsia="zh-CN"/>
                <w14:textFill>
                  <w14:solidFill>
                    <w14:schemeClr w14:val="tx1"/>
                  </w14:solidFill>
                </w14:textFill>
              </w:rPr>
              <w:t>0</w:t>
            </w:r>
            <w:r>
              <w:rPr>
                <w:rFonts w:hint="eastAsia" w:asciiTheme="minorEastAsia" w:hAnsiTheme="minorEastAsia" w:eastAsiaTheme="minorEastAsia" w:cstheme="minorEastAsia"/>
                <w:color w:val="000000" w:themeColor="text1"/>
                <w:szCs w:val="21"/>
                <w14:textFill>
                  <w14:solidFill>
                    <w14:schemeClr w14:val="tx1"/>
                  </w14:solidFill>
                </w14:textFill>
              </w:rPr>
              <w:t>、供应商认为需要提供的其他有关资料。</w:t>
            </w:r>
          </w:p>
          <w:p>
            <w:pPr>
              <w:snapToGrid w:val="0"/>
              <w:spacing w:line="360" w:lineRule="auto"/>
              <w:ind w:firstLine="422" w:firstLineChars="200"/>
              <w:jc w:val="left"/>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注：以上标明“必须提供”的材料属于复印件的，必须加盖供应商公章，否则响应文件按无效响应处理。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15.2</w:t>
            </w:r>
          </w:p>
        </w:tc>
        <w:tc>
          <w:tcPr>
            <w:tcW w:w="8627" w:type="dxa"/>
            <w:vAlign w:val="center"/>
          </w:tcPr>
          <w:p>
            <w:pPr>
              <w:snapToGrid w:val="0"/>
              <w:spacing w:line="360" w:lineRule="auto"/>
              <w:jc w:val="left"/>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竞标报价是履行合同的最终价格，即满足全部采购需求所应提供的服务的价格；包括竞标服务的成本、运输（含保险）（如有）、技术服务、培训、税费等所有费用。</w:t>
            </w:r>
            <w:r>
              <w:rPr>
                <w:rFonts w:hint="eastAsia" w:asciiTheme="minorEastAsia" w:hAnsiTheme="minorEastAsia" w:eastAsiaTheme="minorEastAsia" w:cstheme="minorEastAsia"/>
                <w:b/>
                <w:color w:val="000000" w:themeColor="text1"/>
                <w:szCs w:val="21"/>
                <w14:textFill>
                  <w14:solidFill>
                    <w14:schemeClr w14:val="tx1"/>
                  </w14:solidFill>
                </w14:textFill>
              </w:rPr>
              <w:t>（采购需求另有约定的，从其约定。）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16.2</w:t>
            </w:r>
          </w:p>
        </w:tc>
        <w:tc>
          <w:tcPr>
            <w:tcW w:w="8627" w:type="dxa"/>
            <w:vAlign w:val="center"/>
          </w:tcPr>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竞标有效期：首次响应文件提交截止之日起60天内。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17.1</w:t>
            </w:r>
          </w:p>
        </w:tc>
        <w:tc>
          <w:tcPr>
            <w:tcW w:w="8627" w:type="dxa"/>
            <w:vAlign w:val="center"/>
          </w:tcPr>
          <w:p>
            <w:pPr>
              <w:snapToGrid w:val="0"/>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本项目收取磋商保证金，具体规定如下：</w:t>
            </w:r>
          </w:p>
          <w:p>
            <w:pPr>
              <w:spacing w:line="360" w:lineRule="auto"/>
              <w:rPr>
                <w:rFonts w:asciiTheme="minorEastAsia" w:hAnsiTheme="minorEastAsia" w:eastAsiaTheme="minorEastAsia" w:cstheme="minorEastAsia"/>
                <w:color w:val="000000" w:themeColor="text1"/>
                <w:kern w:val="0"/>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14:textFill>
                  <w14:solidFill>
                    <w14:schemeClr w14:val="tx1"/>
                  </w14:solidFill>
                </w14:textFill>
              </w:rPr>
              <w:t>磋商保证金：</w:t>
            </w:r>
          </w:p>
          <w:p>
            <w:pPr>
              <w:spacing w:line="360" w:lineRule="auto"/>
              <w:rPr>
                <w:rFonts w:asciiTheme="minorEastAsia" w:hAnsiTheme="minorEastAsia" w:eastAsiaTheme="minorEastAsia" w:cstheme="minorEastAsia"/>
                <w:color w:val="000000" w:themeColor="text1"/>
                <w:kern w:val="0"/>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磋商保证金人民币0.</w:t>
            </w:r>
            <w:r>
              <w:rPr>
                <w:rFonts w:hint="eastAsia" w:asciiTheme="minorEastAsia" w:hAnsiTheme="minorEastAsia" w:eastAsiaTheme="minorEastAsia" w:cstheme="minorEastAsia"/>
                <w:color w:val="000000" w:themeColor="text1"/>
                <w:kern w:val="0"/>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kern w:val="0"/>
                <w:szCs w:val="21"/>
                <w:highlight w:val="none"/>
                <w:lang w:eastAsia="zh-CN"/>
                <w14:textFill>
                  <w14:solidFill>
                    <w14:schemeClr w14:val="tx1"/>
                  </w14:solidFill>
                </w14:textFill>
              </w:rPr>
              <w:t>万元整</w:t>
            </w:r>
            <w:r>
              <w:rPr>
                <w:rFonts w:hint="eastAsia" w:asciiTheme="minorEastAsia" w:hAnsiTheme="minorEastAsia" w:eastAsiaTheme="minorEastAsia" w:cstheme="minorEastAsia"/>
                <w:color w:val="000000" w:themeColor="text1"/>
                <w:kern w:val="0"/>
                <w:szCs w:val="21"/>
                <w:highlight w:val="none"/>
                <w14:textFill>
                  <w14:solidFill>
                    <w14:schemeClr w14:val="tx1"/>
                  </w14:solidFill>
                </w14:textFill>
              </w:rPr>
              <w:t>；</w:t>
            </w:r>
          </w:p>
          <w:p>
            <w:pPr>
              <w:snapToGrid w:val="0"/>
              <w:spacing w:line="360" w:lineRule="auto"/>
              <w:rPr>
                <w:rFonts w:asciiTheme="minorEastAsia" w:hAnsiTheme="minorEastAsia" w:eastAsiaTheme="minorEastAsia" w:cstheme="minorEastAsia"/>
                <w:color w:val="000000" w:themeColor="text1"/>
                <w:kern w:val="0"/>
                <w:szCs w:val="21"/>
                <w14:textFill>
                  <w14:solidFill>
                    <w14:schemeClr w14:val="tx1"/>
                  </w14:solidFill>
                </w14:textFill>
              </w:rPr>
            </w:pPr>
            <w:r>
              <w:rPr>
                <w:rFonts w:hint="eastAsia" w:asciiTheme="minorEastAsia" w:hAnsiTheme="minorEastAsia" w:eastAsiaTheme="minorEastAsia" w:cstheme="minorEastAsia"/>
                <w:color w:val="000000" w:themeColor="text1"/>
                <w:kern w:val="0"/>
                <w:szCs w:val="21"/>
                <w14:textFill>
                  <w14:solidFill>
                    <w14:schemeClr w14:val="tx1"/>
                  </w14:solidFill>
                </w14:textFill>
              </w:rPr>
              <w:t>磋商保证金的交纳方式：银行转账、支票、汇票、本票或者金融、担保金融、担保机构出具的保函，禁止采用现钞方式。采用银行转账方式的，在响应文件提交截止时间前交至指定账户并且到账（</w:t>
            </w:r>
            <w:r>
              <w:rPr>
                <w:rFonts w:hint="eastAsia" w:asciiTheme="minorEastAsia" w:hAnsiTheme="minorEastAsia" w:eastAsiaTheme="minorEastAsia" w:cstheme="minorEastAsia"/>
                <w:color w:val="000000" w:themeColor="text1"/>
                <w:szCs w:val="21"/>
                <w14:textFill>
                  <w14:solidFill>
                    <w14:schemeClr w14:val="tx1"/>
                  </w14:solidFill>
                </w14:textFill>
              </w:rPr>
              <w:t>开户名称：广西科文招标有限公司，开户银行：广西北部湾银行南宁分行营业部，银行账号：0101012090615689</w:t>
            </w:r>
            <w:r>
              <w:rPr>
                <w:rFonts w:hint="eastAsia" w:asciiTheme="minorEastAsia" w:hAnsiTheme="minorEastAsia" w:eastAsiaTheme="minorEastAsia" w:cstheme="minorEastAsia"/>
                <w:color w:val="000000" w:themeColor="text1"/>
                <w:kern w:val="0"/>
                <w:szCs w:val="21"/>
                <w14:textFill>
                  <w14:solidFill>
                    <w14:schemeClr w14:val="tx1"/>
                  </w14:solidFill>
                </w14:textFill>
              </w:rPr>
              <w:t>）；采用支票、汇票、本票或者保函等方式的，在响应文件提交截止时间前，供应商必须提交支票、汇票、本票或者保函原件。否则视为无效磋商保证金。</w:t>
            </w:r>
          </w:p>
          <w:p>
            <w:pPr>
              <w:snapToGrid w:val="0"/>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相关要求：</w:t>
            </w:r>
          </w:p>
          <w:p>
            <w:pPr>
              <w:snapToGrid w:val="0"/>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1、磋商保证金采用银行转账交纳方式的，在响应文件提交截止时间前交至指定账户并且到账，供应商应将银行转账底单的复印件作为磋商保证金提交凭证，放置于报价商务技术文件中，</w:t>
            </w:r>
            <w:r>
              <w:rPr>
                <w:rFonts w:hint="eastAsia" w:asciiTheme="minorEastAsia" w:hAnsiTheme="minorEastAsia" w:eastAsiaTheme="minorEastAsia" w:cstheme="minorEastAsia"/>
                <w:b/>
                <w:color w:val="000000" w:themeColor="text1"/>
                <w:szCs w:val="21"/>
                <w14:textFill>
                  <w14:solidFill>
                    <w14:schemeClr w14:val="tx1"/>
                  </w14:solidFill>
                </w14:textFill>
              </w:rPr>
              <w:t>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snapToGrid w:val="0"/>
              <w:spacing w:line="360" w:lineRule="auto"/>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2、磋商保证金采用支票、汇票、本票或者金融、担保机构出具的保函交纳方式的，供应商应将支票、汇票、本票或者金融、担保机构出具的保函的复印件作为磋商保证金提交凭证，放置于报价商务技术文件中，</w:t>
            </w:r>
            <w:r>
              <w:rPr>
                <w:rFonts w:hint="eastAsia" w:asciiTheme="minorEastAsia" w:hAnsiTheme="minorEastAsia" w:eastAsiaTheme="minorEastAsia" w:cstheme="minorEastAsia"/>
                <w:b/>
                <w:color w:val="000000" w:themeColor="text1"/>
                <w:szCs w:val="21"/>
                <w14:textFill>
                  <w14:solidFill>
                    <w14:schemeClr w14:val="tx1"/>
                  </w14:solidFill>
                </w14:textFill>
              </w:rPr>
              <w:t>否则响应文件按无效响应处理</w:t>
            </w:r>
            <w:r>
              <w:rPr>
                <w:rFonts w:hint="eastAsia" w:asciiTheme="minorEastAsia" w:hAnsiTheme="minorEastAsia" w:eastAsiaTheme="minorEastAsia" w:cstheme="minorEastAsia"/>
                <w:color w:val="000000" w:themeColor="text1"/>
                <w:szCs w:val="21"/>
                <w14:textFill>
                  <w14:solidFill>
                    <w14:schemeClr w14:val="tx1"/>
                  </w14:solidFill>
                </w14:textFill>
              </w:rPr>
              <w:t>。</w:t>
            </w:r>
            <w:r>
              <w:rPr>
                <w:rFonts w:hint="eastAsia" w:asciiTheme="minorEastAsia" w:hAnsiTheme="minorEastAsia" w:eastAsiaTheme="minorEastAsia" w:cstheme="minorEastAsia"/>
                <w:b/>
                <w:color w:val="000000" w:themeColor="text1"/>
                <w:szCs w:val="21"/>
                <w14:textFill>
                  <w14:solidFill>
                    <w14:schemeClr w14:val="tx1"/>
                  </w14:solidFill>
                </w14:textFill>
              </w:rPr>
              <w:t>供应商必须在首次响应文件提交截止时间前将支票、汇票、本票或者金融、担保机构出具的保函原件提交给采购代理机构，由采购代理机构向供应商出具回执，并妥善保管。</w:t>
            </w:r>
          </w:p>
          <w:p>
            <w:pPr>
              <w:rPr>
                <w:rFonts w:asciiTheme="minorEastAsia" w:hAnsiTheme="minorEastAsia" w:eastAsiaTheme="minorEastAsia" w:cstheme="minorEastAsia"/>
                <w:color w:val="000000" w:themeColor="text1"/>
                <w:szCs w:val="21"/>
                <w14:textFill>
                  <w14:solidFill>
                    <w14:schemeClr w14:val="tx1"/>
                  </w14:solidFill>
                </w14:textFill>
              </w:rPr>
            </w:pPr>
          </w:p>
          <w:p>
            <w:pPr>
              <w:snapToGrid w:val="0"/>
              <w:spacing w:line="360" w:lineRule="auto"/>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 xml:space="preserve">备注： </w:t>
            </w:r>
          </w:p>
          <w:p>
            <w:pPr>
              <w:snapToGrid w:val="0"/>
              <w:spacing w:line="360" w:lineRule="auto"/>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1、磋商保证金在响应文件提交截止时间后提交的，或者不按规定交纳方式交纳的，或者未足额交纳的（包含保函额度不足的），视为无效磋商保证金。</w:t>
            </w:r>
          </w:p>
          <w:p>
            <w:pPr>
              <w:snapToGrid w:val="0"/>
              <w:spacing w:line="360" w:lineRule="auto"/>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2、供应商采用现钞方式或者从个人账户（自然人竞标除外）转出的磋商保证金，视为无效磋商保证金。</w:t>
            </w:r>
          </w:p>
          <w:p>
            <w:pPr>
              <w:snapToGrid w:val="0"/>
              <w:spacing w:line="360" w:lineRule="auto"/>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3、支票、汇票或者本票出现无效或者背书情形的，视为无效磋商保证金。</w:t>
            </w:r>
          </w:p>
          <w:p>
            <w:pPr>
              <w:snapToGrid w:val="0"/>
              <w:spacing w:line="360" w:lineRule="auto"/>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4、保函有效期低于竞标有效期的，视为无效磋商保证金。</w:t>
            </w:r>
          </w:p>
          <w:p>
            <w:pPr>
              <w:snapToGrid w:val="0"/>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5、采用金融、担保机构出具保函的，必须为无条件保函，否则视为无效磋商保证金。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18.2</w:t>
            </w:r>
          </w:p>
        </w:tc>
        <w:tc>
          <w:tcPr>
            <w:tcW w:w="8627" w:type="dxa"/>
            <w:vAlign w:val="center"/>
          </w:tcPr>
          <w:p>
            <w:pPr>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响应文件应按资格证明文件、报价商务技术文件分别编制，</w:t>
            </w:r>
            <w:r>
              <w:rPr>
                <w:rFonts w:hint="eastAsia" w:asciiTheme="minorEastAsia" w:hAnsiTheme="minorEastAsia" w:eastAsiaTheme="minorEastAsia" w:cstheme="minorEastAsia"/>
                <w:color w:val="000000" w:themeColor="text1"/>
                <w:szCs w:val="21"/>
                <w:lang w:bidi="ar"/>
                <w14:textFill>
                  <w14:solidFill>
                    <w14:schemeClr w14:val="tx1"/>
                  </w14:solidFill>
                </w14:textFill>
              </w:rPr>
              <w:t>并按“</w:t>
            </w:r>
            <w:r>
              <w:rPr>
                <w:rFonts w:hint="eastAsia" w:asciiTheme="minorEastAsia" w:hAnsiTheme="minorEastAsia" w:eastAsiaTheme="minorEastAsia" w:cstheme="minorEastAsia"/>
                <w:color w:val="000000" w:themeColor="text1"/>
                <w:szCs w:val="21"/>
                <w:lang w:eastAsia="zh-CN" w:bidi="ar"/>
                <w14:textFill>
                  <w14:solidFill>
                    <w14:schemeClr w14:val="tx1"/>
                  </w14:solidFill>
                </w14:textFill>
              </w:rPr>
              <w:t>广西政府采购云平台</w:t>
            </w:r>
            <w:r>
              <w:rPr>
                <w:rFonts w:hint="eastAsia" w:asciiTheme="minorEastAsia" w:hAnsiTheme="minorEastAsia" w:eastAsiaTheme="minorEastAsia" w:cstheme="minorEastAsia"/>
                <w:color w:val="000000" w:themeColor="text1"/>
                <w:szCs w:val="21"/>
                <w:lang w:bidi="ar"/>
                <w14:textFill>
                  <w14:solidFill>
                    <w14:schemeClr w14:val="tx1"/>
                  </w14:solidFill>
                </w14:textFill>
              </w:rPr>
              <w:t>”平台的要求编制、加密、上传。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20.1</w:t>
            </w:r>
          </w:p>
        </w:tc>
        <w:tc>
          <w:tcPr>
            <w:tcW w:w="8627" w:type="dxa"/>
            <w:vAlign w:val="center"/>
          </w:tcPr>
          <w:p>
            <w:pPr>
              <w:spacing w:line="360" w:lineRule="auto"/>
              <w:contextualSpacing/>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首次响应文件提交截止时间：详见竞争性磋商公告。</w:t>
            </w:r>
          </w:p>
          <w:p>
            <w:pPr>
              <w:spacing w:line="360" w:lineRule="auto"/>
              <w:contextualSpacing/>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首次响应文件提交地点：详见竞争性磋商公告。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24.1</w:t>
            </w:r>
          </w:p>
        </w:tc>
        <w:tc>
          <w:tcPr>
            <w:tcW w:w="8627" w:type="dxa"/>
            <w:vAlign w:val="center"/>
          </w:tcPr>
          <w:p>
            <w:pPr>
              <w:snapToGrid w:val="0"/>
              <w:spacing w:line="360" w:lineRule="auto"/>
              <w:rPr>
                <w:rFonts w:asciiTheme="minorEastAsia" w:hAnsiTheme="minorEastAsia" w:eastAsiaTheme="minorEastAsia" w:cstheme="minorEastAsia"/>
                <w:color w:val="000000" w:themeColor="text1"/>
                <w:szCs w:val="21"/>
                <w:u w:val="single"/>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磋商小组的人数：3人。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25.2</w:t>
            </w:r>
          </w:p>
        </w:tc>
        <w:tc>
          <w:tcPr>
            <w:tcW w:w="8627" w:type="dxa"/>
            <w:vAlign w:val="center"/>
          </w:tcPr>
          <w:p>
            <w:pPr>
              <w:snapToGrid w:val="0"/>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采购代理机构将依托电子交易平台发起开始解密指令，</w:t>
            </w:r>
            <w:r>
              <w:rPr>
                <w:rFonts w:hint="eastAsia" w:asciiTheme="minorEastAsia" w:hAnsiTheme="minorEastAsia" w:eastAsiaTheme="minorEastAsia" w:cstheme="minorEastAsia"/>
                <w:b/>
                <w:color w:val="000000" w:themeColor="text1"/>
                <w:szCs w:val="21"/>
                <w14:textFill>
                  <w14:solidFill>
                    <w14:schemeClr w14:val="tx1"/>
                  </w14:solidFill>
                </w14:textFill>
              </w:rPr>
              <w:t>供应商的法定代表人或其委托代理人须携带加密时所用的CA锁按平台提示和采购文件的规定登录到“</w:t>
            </w:r>
            <w:r>
              <w:rPr>
                <w:rFonts w:hint="eastAsia" w:asciiTheme="minorEastAsia" w:hAnsiTheme="minorEastAsia" w:eastAsiaTheme="minorEastAsia" w:cstheme="minorEastAsia"/>
                <w:b/>
                <w:color w:val="000000" w:themeColor="text1"/>
                <w:szCs w:val="21"/>
                <w:lang w:eastAsia="zh-CN"/>
                <w14:textFill>
                  <w14:solidFill>
                    <w14:schemeClr w14:val="tx1"/>
                  </w14:solidFill>
                </w14:textFill>
              </w:rPr>
              <w:t>广西政府采购云平台</w:t>
            </w:r>
            <w:r>
              <w:rPr>
                <w:rFonts w:hint="eastAsia" w:asciiTheme="minorEastAsia" w:hAnsiTheme="minorEastAsia" w:eastAsiaTheme="minorEastAsia" w:cstheme="minorEastAsia"/>
                <w:b/>
                <w:color w:val="000000" w:themeColor="text1"/>
                <w:szCs w:val="21"/>
                <w14:textFill>
                  <w14:solidFill>
                    <w14:schemeClr w14:val="tx1"/>
                  </w14:solidFill>
                </w14:textFill>
              </w:rPr>
              <w:t>”平台电子开标大厅签到并在发起解密指令之时起30分钟内完成对电子响应文件在线解密。</w:t>
            </w:r>
            <w:r>
              <w:rPr>
                <w:rFonts w:hint="eastAsia" w:asciiTheme="minorEastAsia" w:hAnsiTheme="minorEastAsia" w:eastAsiaTheme="minorEastAsia" w:cstheme="minorEastAsia"/>
                <w:b/>
                <w:bCs/>
                <w:color w:val="000000" w:themeColor="text1"/>
                <w:szCs w:val="21"/>
                <w14:textFill>
                  <w14:solidFill>
                    <w14:schemeClr w14:val="tx1"/>
                  </w14:solidFill>
                </w14:textFill>
              </w:rPr>
              <w:t>响应文件未按时解密的，</w:t>
            </w:r>
            <w:r>
              <w:rPr>
                <w:rFonts w:hint="eastAsia" w:asciiTheme="minorEastAsia" w:hAnsiTheme="minorEastAsia" w:eastAsiaTheme="minorEastAsia" w:cstheme="minorEastAsia"/>
                <w:b/>
                <w:color w:val="000000" w:themeColor="text1"/>
                <w:szCs w:val="21"/>
                <w14:textFill>
                  <w14:solidFill>
                    <w14:schemeClr w14:val="tx1"/>
                  </w14:solidFill>
                </w14:textFill>
              </w:rPr>
              <w:t>视为响应</w:t>
            </w:r>
            <w:r>
              <w:rPr>
                <w:rFonts w:hint="eastAsia" w:asciiTheme="minorEastAsia" w:hAnsiTheme="minorEastAsia" w:eastAsiaTheme="minorEastAsia" w:cstheme="minorEastAsia"/>
                <w:b/>
                <w:bCs/>
                <w:color w:val="000000" w:themeColor="text1"/>
                <w:szCs w:val="21"/>
                <w14:textFill>
                  <w14:solidFill>
                    <w14:schemeClr w14:val="tx1"/>
                  </w14:solidFill>
                </w14:textFill>
              </w:rPr>
              <w:t>文件无效。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26</w:t>
            </w:r>
          </w:p>
        </w:tc>
        <w:tc>
          <w:tcPr>
            <w:tcW w:w="8627" w:type="dxa"/>
            <w:vAlign w:val="center"/>
          </w:tcPr>
          <w:p>
            <w:pPr>
              <w:snapToGrid w:val="0"/>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商务要求评审中允许负偏离的条款数为</w:t>
            </w:r>
            <w:r>
              <w:rPr>
                <w:rFonts w:hint="eastAsia" w:asciiTheme="minorEastAsia" w:hAnsiTheme="minorEastAsia" w:eastAsiaTheme="minorEastAsia" w:cstheme="minorEastAsia"/>
                <w:color w:val="000000" w:themeColor="text1"/>
                <w:szCs w:val="21"/>
                <w:u w:val="single"/>
                <w14:textFill>
                  <w14:solidFill>
                    <w14:schemeClr w14:val="tx1"/>
                  </w14:solidFill>
                </w14:textFill>
              </w:rPr>
              <w:t xml:space="preserve"> 1 </w:t>
            </w:r>
            <w:r>
              <w:rPr>
                <w:rFonts w:hint="eastAsia" w:asciiTheme="minorEastAsia" w:hAnsiTheme="minorEastAsia" w:eastAsiaTheme="minorEastAsia" w:cstheme="minorEastAsia"/>
                <w:color w:val="000000" w:themeColor="text1"/>
                <w:szCs w:val="21"/>
                <w14:textFill>
                  <w14:solidFill>
                    <w14:schemeClr w14:val="tx1"/>
                  </w14:solidFill>
                </w14:textFill>
              </w:rPr>
              <w:t>项。</w:t>
            </w:r>
          </w:p>
          <w:p>
            <w:pPr>
              <w:snapToGrid w:val="0"/>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技术要求评审中允许负偏离的条款数为</w:t>
            </w:r>
            <w:r>
              <w:rPr>
                <w:rFonts w:hint="eastAsia" w:asciiTheme="minorEastAsia" w:hAnsiTheme="minorEastAsia" w:eastAsiaTheme="minorEastAsia" w:cstheme="minorEastAsia"/>
                <w:color w:val="000000" w:themeColor="text1"/>
                <w:szCs w:val="21"/>
                <w:u w:val="single"/>
                <w14:textFill>
                  <w14:solidFill>
                    <w14:schemeClr w14:val="tx1"/>
                  </w14:solidFill>
                </w14:textFill>
              </w:rPr>
              <w:t xml:space="preserve"> 1 </w:t>
            </w:r>
            <w:r>
              <w:rPr>
                <w:rFonts w:hint="eastAsia" w:asciiTheme="minorEastAsia" w:hAnsiTheme="minorEastAsia" w:eastAsiaTheme="minorEastAsia" w:cstheme="minorEastAsia"/>
                <w:color w:val="000000" w:themeColor="text1"/>
                <w:szCs w:val="21"/>
                <w14:textFill>
                  <w14:solidFill>
                    <w14:schemeClr w14:val="tx1"/>
                  </w14:solidFill>
                </w14:textFill>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1" w:hRule="atLeast"/>
          <w:jc w:val="center"/>
        </w:trPr>
        <w:tc>
          <w:tcPr>
            <w:tcW w:w="992" w:type="dxa"/>
            <w:vMerge w:val="continue"/>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p>
        </w:tc>
        <w:tc>
          <w:tcPr>
            <w:tcW w:w="8627" w:type="dxa"/>
            <w:vAlign w:val="center"/>
          </w:tcPr>
          <w:p>
            <w:pPr>
              <w:pStyle w:val="7"/>
              <w:spacing w:line="320" w:lineRule="exact"/>
              <w:jc w:val="both"/>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磋商的顺序：按“</w:t>
            </w:r>
            <w:r>
              <w:rPr>
                <w:rFonts w:hint="eastAsia" w:asciiTheme="minorEastAsia" w:hAnsiTheme="minorEastAsia" w:eastAsiaTheme="minorEastAsia" w:cstheme="minorEastAsia"/>
                <w:color w:val="000000" w:themeColor="text1"/>
                <w:szCs w:val="21"/>
                <w:lang w:eastAsia="zh-CN"/>
                <w14:textFill>
                  <w14:solidFill>
                    <w14:schemeClr w14:val="tx1"/>
                  </w14:solidFill>
                </w14:textFill>
              </w:rPr>
              <w:t>广西政府采购云平台</w:t>
            </w:r>
            <w:r>
              <w:rPr>
                <w:rFonts w:hint="eastAsia" w:asciiTheme="minorEastAsia" w:hAnsiTheme="minorEastAsia" w:eastAsiaTheme="minorEastAsia" w:cstheme="minorEastAsia"/>
                <w:color w:val="000000" w:themeColor="text1"/>
                <w:szCs w:val="21"/>
                <w14:textFill>
                  <w14:solidFill>
                    <w14:schemeClr w14:val="tx1"/>
                  </w14:solidFill>
                </w14:textFill>
              </w:rPr>
              <w:t>”系统的编号顺序。</w:t>
            </w:r>
          </w:p>
          <w:p>
            <w:pPr>
              <w:pStyle w:val="7"/>
              <w:spacing w:line="360" w:lineRule="auto"/>
              <w:jc w:val="both"/>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符合磋商资格的供应商必须在接到磋商通知后规定时间内参加磋商，未在规定时间内参加磋商的视同放弃参加磋商权利，其响应文件按无效响应处理。</w:t>
            </w:r>
          </w:p>
          <w:p>
            <w:pPr>
              <w:pStyle w:val="7"/>
              <w:spacing w:line="360" w:lineRule="auto"/>
              <w:jc w:val="both"/>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注：参与磋商前，供应商法定代表人或者委托代理人向磋商小组出示本人有效证件原件[有效证件可以是身份证（含临时身份证明）或者护照的其中一项]。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28.1</w:t>
            </w:r>
          </w:p>
        </w:tc>
        <w:tc>
          <w:tcPr>
            <w:tcW w:w="8627" w:type="dxa"/>
            <w:vAlign w:val="center"/>
          </w:tcPr>
          <w:p>
            <w:pPr>
              <w:autoSpaceDE w:val="0"/>
              <w:autoSpaceDN w:val="0"/>
              <w:snapToGrid w:val="0"/>
              <w:spacing w:line="360" w:lineRule="auto"/>
              <w:textAlignment w:val="bottom"/>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bCs/>
                <w:color w:val="000000" w:themeColor="text1"/>
                <w:szCs w:val="21"/>
                <w14:textFill>
                  <w14:solidFill>
                    <w14:schemeClr w14:val="tx1"/>
                  </w14:solidFill>
                </w14:textFill>
              </w:rPr>
              <w:t>本项目不收取履约保证金</w:t>
            </w:r>
            <w:r>
              <w:rPr>
                <w:rFonts w:hint="eastAsia" w:asciiTheme="minorEastAsia" w:hAnsiTheme="minorEastAsia" w:eastAsiaTheme="minorEastAsia" w:cstheme="minorEastAsia"/>
                <w:color w:val="000000" w:themeColor="text1"/>
                <w:szCs w:val="21"/>
                <w14:textFill>
                  <w14:solidFill>
                    <w14:schemeClr w14:val="tx1"/>
                  </w14:solidFill>
                </w14:textFill>
              </w:rPr>
              <w:t>。</w:t>
            </w:r>
          </w:p>
          <w:p>
            <w:pPr>
              <w:autoSpaceDE w:val="0"/>
              <w:autoSpaceDN w:val="0"/>
              <w:snapToGrid w:val="0"/>
              <w:spacing w:line="360" w:lineRule="auto"/>
              <w:textAlignment w:val="bottom"/>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履约保证金如需缴纳，具体规定如下：</w:t>
            </w:r>
          </w:p>
          <w:p>
            <w:pPr>
              <w:autoSpaceDE w:val="0"/>
              <w:autoSpaceDN w:val="0"/>
              <w:snapToGrid w:val="0"/>
              <w:spacing w:line="360" w:lineRule="auto"/>
              <w:textAlignment w:val="bottom"/>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包1履约保证金金额：不收取</w:t>
            </w:r>
          </w:p>
          <w:p>
            <w:pPr>
              <w:autoSpaceDE w:val="0"/>
              <w:autoSpaceDN w:val="0"/>
              <w:snapToGrid w:val="0"/>
              <w:spacing w:line="360" w:lineRule="auto"/>
              <w:textAlignment w:val="bottom"/>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包2履约保证金金额：不收取。</w:t>
            </w:r>
          </w:p>
          <w:p>
            <w:pPr>
              <w:autoSpaceDE w:val="0"/>
              <w:autoSpaceDN w:val="0"/>
              <w:snapToGrid w:val="0"/>
              <w:spacing w:line="360" w:lineRule="auto"/>
              <w:textAlignment w:val="bottom"/>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履约保证金提交方式：银行转账、支票、汇票、本票或者金融、担保机构出具的保函等非现金方式（参照磋商保证金）。</w:t>
            </w:r>
          </w:p>
          <w:p>
            <w:pPr>
              <w:spacing w:line="360" w:lineRule="auto"/>
              <w:contextualSpacing/>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履约保证金退付方式、时间及条件：</w:t>
            </w:r>
            <w:r>
              <w:rPr>
                <w:rFonts w:hint="eastAsia"/>
                <w:color w:val="000000" w:themeColor="text1"/>
                <w:u w:val="single"/>
                <w14:textFill>
                  <w14:solidFill>
                    <w14:schemeClr w14:val="tx1"/>
                  </w14:solidFill>
                </w14:textFill>
              </w:rPr>
              <w:t>/</w:t>
            </w:r>
          </w:p>
          <w:p>
            <w:pPr>
              <w:spacing w:line="360" w:lineRule="auto"/>
              <w:contextualSpacing/>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履约保证金指定账户：/</w:t>
            </w:r>
          </w:p>
          <w:p>
            <w:pPr>
              <w:spacing w:line="360" w:lineRule="auto"/>
              <w:contextualSpacing/>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开户名称：</w:t>
            </w:r>
          </w:p>
          <w:p>
            <w:pPr>
              <w:spacing w:line="360" w:lineRule="auto"/>
              <w:contextualSpacing/>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开户银行：</w:t>
            </w:r>
          </w:p>
          <w:p>
            <w:pPr>
              <w:spacing w:line="360" w:lineRule="auto"/>
              <w:contextualSpacing/>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银行账号：</w:t>
            </w:r>
          </w:p>
          <w:p>
            <w:pPr>
              <w:spacing w:line="360" w:lineRule="auto"/>
              <w:contextualSpacing/>
              <w:rPr>
                <w:rFonts w:asciiTheme="minorEastAsia" w:hAnsiTheme="minorEastAsia" w:eastAsiaTheme="minorEastAsia" w:cstheme="minorEastAsia"/>
                <w:b/>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备注：</w:t>
            </w:r>
            <w:r>
              <w:rPr>
                <w:rFonts w:hint="eastAsia" w:asciiTheme="minorEastAsia" w:hAnsiTheme="minorEastAsia" w:eastAsiaTheme="minorEastAsia" w:cstheme="minorEastAsia"/>
                <w:color w:val="000000" w:themeColor="text1"/>
                <w:szCs w:val="21"/>
                <w14:textFill>
                  <w14:solidFill>
                    <w14:schemeClr w14:val="tx1"/>
                  </w14:solidFill>
                </w14:textFill>
              </w:rPr>
              <w:br w:type="textWrapping"/>
            </w:r>
            <w:r>
              <w:rPr>
                <w:rFonts w:hint="eastAsia" w:asciiTheme="minorEastAsia" w:hAnsiTheme="minorEastAsia" w:eastAsiaTheme="minorEastAsia" w:cstheme="minorEastAsia"/>
                <w:b/>
                <w:color w:val="000000" w:themeColor="text1"/>
                <w:szCs w:val="21"/>
                <w14:textFill>
                  <w14:solidFill>
                    <w14:schemeClr w14:val="tx1"/>
                  </w14:solidFill>
                </w14:textFill>
              </w:rPr>
              <w:t>1</w:t>
            </w:r>
            <w:bookmarkStart w:id="26" w:name="_Hlk54170335"/>
            <w:r>
              <w:rPr>
                <w:rFonts w:hint="eastAsia" w:asciiTheme="minorEastAsia" w:hAnsiTheme="minorEastAsia" w:eastAsiaTheme="minorEastAsia" w:cstheme="minorEastAsia"/>
                <w:b/>
                <w:color w:val="000000" w:themeColor="text1"/>
                <w:szCs w:val="21"/>
                <w14:textFill>
                  <w14:solidFill>
                    <w14:schemeClr w14:val="tx1"/>
                  </w14:solidFill>
                </w14:textFill>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bookmarkEnd w:id="26"/>
            <w:r>
              <w:rPr>
                <w:rFonts w:hint="eastAsia" w:asciiTheme="minorEastAsia" w:hAnsiTheme="minorEastAsia" w:eastAsiaTheme="minorEastAsia" w:cstheme="minorEastAsia"/>
                <w:b/>
                <w:color w:val="000000" w:themeColor="text1"/>
                <w:szCs w:val="21"/>
                <w14:textFill>
                  <w14:solidFill>
                    <w14:schemeClr w14:val="tx1"/>
                  </w14:solidFill>
                </w14:textFill>
              </w:rPr>
              <w:br w:type="textWrapping"/>
            </w:r>
            <w:r>
              <w:rPr>
                <w:rFonts w:hint="eastAsia" w:asciiTheme="minorEastAsia" w:hAnsiTheme="minorEastAsia" w:eastAsiaTheme="minorEastAsia" w:cstheme="minorEastAsia"/>
                <w:b/>
                <w:color w:val="000000" w:themeColor="text1"/>
                <w:szCs w:val="21"/>
                <w14:textFill>
                  <w14:solidFill>
                    <w14:schemeClr w14:val="tx1"/>
                  </w14:solidFill>
                </w14:textFill>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hint="eastAsia" w:asciiTheme="minorEastAsia" w:hAnsiTheme="minorEastAsia" w:eastAsiaTheme="minorEastAsia" w:cstheme="minorEastAsia"/>
                <w:b/>
                <w:color w:val="000000" w:themeColor="text1"/>
                <w:szCs w:val="21"/>
                <w14:textFill>
                  <w14:solidFill>
                    <w14:schemeClr w14:val="tx1"/>
                  </w14:solidFill>
                </w14:textFill>
              </w:rPr>
              <w:br w:type="textWrapping"/>
            </w:r>
            <w:r>
              <w:rPr>
                <w:rFonts w:hint="eastAsia" w:asciiTheme="minorEastAsia" w:hAnsiTheme="minorEastAsia" w:eastAsiaTheme="minorEastAsia" w:cstheme="minorEastAsia"/>
                <w:b/>
                <w:color w:val="000000" w:themeColor="text1"/>
                <w:szCs w:val="21"/>
                <w14:textFill>
                  <w14:solidFill>
                    <w14:schemeClr w14:val="tx1"/>
                  </w14:solidFill>
                </w14:textFill>
              </w:rPr>
              <w:t>3、采用金融、担保机构出具的保函的，必须为无条件保函，否则不予签订合同。</w:t>
            </w:r>
          </w:p>
          <w:p>
            <w:pPr>
              <w:spacing w:line="360" w:lineRule="auto"/>
              <w:contextualSpacing/>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b/>
                <w:color w:val="000000" w:themeColor="text1"/>
                <w:szCs w:val="21"/>
                <w14:textFill>
                  <w14:solidFill>
                    <w14:schemeClr w14:val="tx1"/>
                  </w14:solidFill>
                </w14:textFill>
              </w:rPr>
              <w:t>4、投标人为联合体的，由联合体其中一方按规定提交的履约保证金，视为有效履约保证金。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29.1</w:t>
            </w:r>
          </w:p>
        </w:tc>
        <w:tc>
          <w:tcPr>
            <w:tcW w:w="8627" w:type="dxa"/>
            <w:vAlign w:val="center"/>
          </w:tcPr>
          <w:p>
            <w:pPr>
              <w:autoSpaceDE w:val="0"/>
              <w:autoSpaceDN w:val="0"/>
              <w:snapToGrid w:val="0"/>
              <w:spacing w:line="360" w:lineRule="auto"/>
              <w:textAlignment w:val="bottom"/>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 xml:space="preserve">签订合同携带的证明材料： </w:t>
            </w:r>
          </w:p>
          <w:p>
            <w:pPr>
              <w:autoSpaceDE w:val="0"/>
              <w:autoSpaceDN w:val="0"/>
              <w:snapToGrid w:val="0"/>
              <w:spacing w:line="360" w:lineRule="auto"/>
              <w:textAlignment w:val="bottom"/>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1、委托代理人负责签订合同的，须携带授权委托书及委托代理人身份证原件等其他资格证件。</w:t>
            </w:r>
          </w:p>
          <w:p>
            <w:pPr>
              <w:snapToGrid w:val="0"/>
              <w:spacing w:line="360" w:lineRule="auto"/>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2、法定代表人负责签订合同的，须携带法定代表人身份证明原件及身份证原件等其他证明材料。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31.2</w:t>
            </w:r>
          </w:p>
        </w:tc>
        <w:tc>
          <w:tcPr>
            <w:tcW w:w="8627" w:type="dxa"/>
            <w:vAlign w:val="center"/>
          </w:tcPr>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接收质疑函方式：以纸质书面形式。</w:t>
            </w:r>
          </w:p>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质疑联系部门及联系方式：广西科文招标有限公司，质疑联系人：梁壮贤     负责人：银晓云、银睿     联系电话：0771-2023873，通讯地址：广西南宁市民族大道141号中鼎万象东方D区五层</w:t>
            </w:r>
          </w:p>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现场提交质疑办理业务时间：工作日，上午8:00-12:00；下午15:00-18:00（北京时间）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8" w:hRule="atLeast"/>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32.1</w:t>
            </w:r>
          </w:p>
        </w:tc>
        <w:tc>
          <w:tcPr>
            <w:tcW w:w="8627" w:type="dxa"/>
            <w:vAlign w:val="center"/>
          </w:tcPr>
          <w:p>
            <w:pPr>
              <w:pStyle w:val="12"/>
              <w:snapToGrid w:val="0"/>
              <w:spacing w:line="400" w:lineRule="exact"/>
              <w:rPr>
                <w:rFonts w:asciiTheme="minorEastAsia" w:hAnsiTheme="minorEastAsia" w:eastAsiaTheme="minorEastAsia" w:cstheme="minorEastAsia"/>
                <w:color w:val="000000" w:themeColor="text1"/>
                <w:sz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1、采购代理服务费支付方式：本项目的招标代理服务费按以下收费标准向成交供应商收取，领取成交通知书前，成交供应商应向采购代理机构一次付清招标代理服务费，否则采购代理机构有权不予以办理后续相</w:t>
            </w:r>
            <w:bookmarkStart w:id="144" w:name="_GoBack"/>
            <w:r>
              <w:rPr>
                <w:rFonts w:hint="eastAsia" w:asciiTheme="minorEastAsia" w:hAnsiTheme="minorEastAsia" w:eastAsiaTheme="minorEastAsia" w:cstheme="minorEastAsia"/>
                <w:color w:val="000000" w:themeColor="text1"/>
                <w:sz w:val="21"/>
                <w:highlight w:val="none"/>
                <w14:textFill>
                  <w14:solidFill>
                    <w14:schemeClr w14:val="tx1"/>
                  </w14:solidFill>
                </w14:textFill>
              </w:rPr>
              <w:t>关手续。</w:t>
            </w:r>
          </w:p>
          <w:p>
            <w:pPr>
              <w:pStyle w:val="12"/>
              <w:snapToGrid w:val="0"/>
              <w:spacing w:line="400" w:lineRule="exact"/>
              <w:rPr>
                <w:rFonts w:asciiTheme="minorEastAsia" w:hAnsiTheme="minorEastAsia" w:eastAsiaTheme="minorEastAsia" w:cstheme="minorEastAsia"/>
                <w:color w:val="000000" w:themeColor="text1"/>
                <w:sz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highlight w:val="none"/>
                <w14:textFill>
                  <w14:solidFill>
                    <w14:schemeClr w14:val="tx1"/>
                  </w14:solidFill>
                </w14:textFill>
              </w:rPr>
              <w:t>2、采购代理服务费收取标准：</w:t>
            </w:r>
          </w:p>
          <w:p>
            <w:pPr>
              <w:pStyle w:val="12"/>
              <w:snapToGrid w:val="0"/>
              <w:spacing w:line="400" w:lineRule="exact"/>
              <w:rPr>
                <w:rFonts w:asciiTheme="minorEastAsia" w:hAnsiTheme="minorEastAsia" w:eastAsiaTheme="minorEastAsia" w:cstheme="minorEastAsia"/>
                <w:color w:val="000000" w:themeColor="text1"/>
                <w:sz w:val="21"/>
                <w:highlight w:val="none"/>
                <w:u w:val="single"/>
                <w14:textFill>
                  <w14:solidFill>
                    <w14:schemeClr w14:val="tx1"/>
                  </w14:solidFill>
                </w14:textFill>
              </w:rPr>
            </w:pPr>
            <w:r>
              <w:rPr>
                <w:rFonts w:hint="eastAsia" w:asciiTheme="minorEastAsia" w:hAnsiTheme="minorEastAsia" w:eastAsiaTheme="minorEastAsia" w:cstheme="minorEastAsia"/>
                <w:color w:val="000000" w:themeColor="text1"/>
                <w:sz w:val="21"/>
                <w:highlight w:val="none"/>
                <w14:textFill>
                  <w14:solidFill>
                    <w14:schemeClr w14:val="tx1"/>
                  </w14:solidFill>
                </w14:textFill>
              </w:rPr>
              <w:t>按固定金额收取，为伍仟元整。</w:t>
            </w:r>
          </w:p>
          <w:bookmarkEnd w:id="144"/>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广西科文招标有限公司服务费银行账户：</w:t>
            </w:r>
          </w:p>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开户名称：广西科文招标有限公司南宁六分公司</w:t>
            </w:r>
          </w:p>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开户银行：广西北部湾银行股份有限公司南宁市云景支行</w:t>
            </w:r>
          </w:p>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银行</w:t>
            </w:r>
            <w:r>
              <w:rPr>
                <w:rFonts w:hint="eastAsia" w:asciiTheme="minorEastAsia" w:hAnsiTheme="minorEastAsia" w:eastAsiaTheme="minorEastAsia" w:cstheme="minorEastAsia"/>
                <w:color w:val="000000" w:themeColor="text1"/>
                <w:sz w:val="21"/>
                <w:lang w:eastAsia="zh-Hans"/>
                <w14:textFill>
                  <w14:solidFill>
                    <w14:schemeClr w14:val="tx1"/>
                  </w14:solidFill>
                </w14:textFill>
              </w:rPr>
              <w:t>账</w:t>
            </w:r>
            <w:r>
              <w:rPr>
                <w:rFonts w:hint="eastAsia" w:asciiTheme="minorEastAsia" w:hAnsiTheme="minorEastAsia" w:eastAsiaTheme="minorEastAsia" w:cstheme="minorEastAsia"/>
                <w:color w:val="000000" w:themeColor="text1"/>
                <w:sz w:val="21"/>
                <w14:textFill>
                  <w14:solidFill>
                    <w14:schemeClr w14:val="tx1"/>
                  </w14:solidFill>
                </w14:textFill>
              </w:rPr>
              <w:t>号：8050 3274 93 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33.1</w:t>
            </w:r>
          </w:p>
        </w:tc>
        <w:tc>
          <w:tcPr>
            <w:tcW w:w="8627" w:type="dxa"/>
            <w:vAlign w:val="center"/>
          </w:tcPr>
          <w:p>
            <w:pPr>
              <w:pStyle w:val="12"/>
              <w:snapToGrid w:val="0"/>
              <w:spacing w:line="360" w:lineRule="auto"/>
              <w:rPr>
                <w:rFonts w:asciiTheme="minorEastAsia" w:hAnsiTheme="minorEastAsia" w:eastAsiaTheme="minorEastAsia" w:cstheme="minorEastAsia"/>
                <w:color w:val="000000" w:themeColor="text1"/>
                <w:kern w:val="2"/>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解释：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pPr>
              <w:spacing w:line="360" w:lineRule="auto"/>
              <w:jc w:val="center"/>
              <w:rPr>
                <w:rFonts w:asciiTheme="minorEastAsia" w:hAnsiTheme="minorEastAsia" w:eastAsiaTheme="minorEastAsia" w:cstheme="minorEastAsia"/>
                <w:color w:val="000000" w:themeColor="text1"/>
                <w:szCs w:val="21"/>
                <w14:textFill>
                  <w14:solidFill>
                    <w14:schemeClr w14:val="tx1"/>
                  </w14:solidFill>
                </w14:textFill>
              </w:rPr>
            </w:pPr>
            <w:r>
              <w:rPr>
                <w:rFonts w:hint="eastAsia" w:asciiTheme="minorEastAsia" w:hAnsiTheme="minorEastAsia" w:eastAsiaTheme="minorEastAsia" w:cstheme="minorEastAsia"/>
                <w:color w:val="000000" w:themeColor="text1"/>
                <w:szCs w:val="21"/>
                <w14:textFill>
                  <w14:solidFill>
                    <w14:schemeClr w14:val="tx1"/>
                  </w14:solidFill>
                </w14:textFill>
              </w:rPr>
              <w:t>33.2</w:t>
            </w:r>
          </w:p>
        </w:tc>
        <w:tc>
          <w:tcPr>
            <w:tcW w:w="8627" w:type="dxa"/>
            <w:vAlign w:val="center"/>
          </w:tcPr>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1、本磋商文件中描述供应商的“公章”是指根据我国对公章的管理规定，用供应商法定主体行为名称制作的印章（含电子印章），除本磋商文件有特殊规定外，供应商的财务章、部门章、分公司章、工会章、合同章、竞标/投标专用章、业务专用章及银行的转账章、现金收讫章、现金付讫章等其他形式印章均不能代替公章。</w:t>
            </w:r>
          </w:p>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2、供应商为其他组织或者自然人时，本磋商文件规定的法定代表人指负责人或者自然人。本磋商文件所称负责人是指参加竞标的其他组织</w:t>
            </w:r>
            <w:r>
              <w:rPr>
                <w:rFonts w:hint="eastAsia" w:asciiTheme="minorEastAsia" w:hAnsiTheme="minorEastAsia" w:eastAsiaTheme="minorEastAsia" w:cstheme="minorEastAsia"/>
                <w:bCs/>
                <w:color w:val="000000" w:themeColor="text1"/>
                <w:sz w:val="21"/>
                <w14:textFill>
                  <w14:solidFill>
                    <w14:schemeClr w14:val="tx1"/>
                  </w14:solidFill>
                </w14:textFill>
              </w:rPr>
              <w:t>营业执照或者执业许可证等证照上的</w:t>
            </w:r>
            <w:r>
              <w:rPr>
                <w:rFonts w:hint="eastAsia" w:asciiTheme="minorEastAsia" w:hAnsiTheme="minorEastAsia" w:eastAsiaTheme="minorEastAsia" w:cstheme="minorEastAsia"/>
                <w:color w:val="000000" w:themeColor="text1"/>
                <w:sz w:val="21"/>
                <w14:textFill>
                  <w14:solidFill>
                    <w14:schemeClr w14:val="tx1"/>
                  </w14:solidFill>
                </w14:textFill>
              </w:rPr>
              <w:t>负责人，本磋商文件所称自然人指参与竞标的自然人本人，</w:t>
            </w:r>
            <w:r>
              <w:rPr>
                <w:rFonts w:hint="eastAsia" w:asciiTheme="minorEastAsia" w:hAnsiTheme="minorEastAsia" w:eastAsiaTheme="minorEastAsia" w:cstheme="minorEastAsia"/>
                <w:bCs/>
                <w:color w:val="000000" w:themeColor="text1"/>
                <w:sz w:val="21"/>
                <w14:textFill>
                  <w14:solidFill>
                    <w14:schemeClr w14:val="tx1"/>
                  </w14:solidFill>
                </w14:textFill>
              </w:rPr>
              <w:t>且应具备独立承担民事责任能力，自然人应当为年满18岁以上成年人（十六周岁以上的未成年人，以自己的劳动收入为主要生活来源的，视为完全民事行为能力人）。</w:t>
            </w:r>
          </w:p>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3、本磋商文件中描述供应商的“签字”是指供应商的法定代表人或者委托代理人在文件规定签署处签名（含电子签名）的行为，私章、印鉴等其他形式均不能代替签字。</w:t>
            </w:r>
          </w:p>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4、自然人竞标的，磋商文件规定盖公章处由自然人摁手指指印。</w:t>
            </w:r>
          </w:p>
          <w:p>
            <w:pPr>
              <w:pStyle w:val="12"/>
              <w:snapToGrid w:val="0"/>
              <w:spacing w:line="360" w:lineRule="auto"/>
              <w:rPr>
                <w:rFonts w:asciiTheme="minorEastAsia" w:hAnsiTheme="minorEastAsia" w:eastAsiaTheme="minorEastAsia" w:cstheme="minorEastAsia"/>
                <w:color w:val="000000" w:themeColor="text1"/>
                <w:sz w:val="21"/>
                <w14:textFill>
                  <w14:solidFill>
                    <w14:schemeClr w14:val="tx1"/>
                  </w14:solidFill>
                </w14:textFill>
              </w:rPr>
            </w:pPr>
            <w:r>
              <w:rPr>
                <w:rFonts w:hint="eastAsia" w:asciiTheme="minorEastAsia" w:hAnsiTheme="minorEastAsia" w:eastAsiaTheme="minorEastAsia" w:cstheme="minorEastAsia"/>
                <w:color w:val="000000" w:themeColor="text1"/>
                <w:sz w:val="21"/>
                <w14:textFill>
                  <w14:solidFill>
                    <w14:schemeClr w14:val="tx1"/>
                  </w14:solidFill>
                </w14:textFill>
              </w:rPr>
              <w:t>5、本磋商文件所称的“以上”“以下”“以内”“届满”，包括本数；所称的“不满”“超过”“以外”，不包括本数。</w:t>
            </w:r>
          </w:p>
        </w:tc>
      </w:tr>
    </w:tbl>
    <w:p>
      <w:pPr>
        <w:spacing w:line="400" w:lineRule="exact"/>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供应商须知正文</w:t>
      </w:r>
    </w:p>
    <w:p>
      <w:pPr>
        <w:spacing w:line="400" w:lineRule="exact"/>
        <w:jc w:val="center"/>
        <w:rPr>
          <w:rFonts w:ascii="宋体" w:hAnsi="宋体"/>
          <w:b/>
          <w:color w:val="000000" w:themeColor="text1"/>
          <w:sz w:val="32"/>
          <w:szCs w:val="32"/>
          <w14:textFill>
            <w14:solidFill>
              <w14:schemeClr w14:val="tx1"/>
            </w14:solidFill>
          </w14:textFill>
        </w:rPr>
      </w:pPr>
    </w:p>
    <w:p>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一、总则</w:t>
      </w:r>
    </w:p>
    <w:p>
      <w:pPr>
        <w:spacing w:line="400" w:lineRule="exact"/>
        <w:rPr>
          <w:rFonts w:ascii="宋体" w:hAnsi="宋体"/>
          <w:color w:val="000000" w:themeColor="text1"/>
          <w:szCs w:val="21"/>
          <w14:textFill>
            <w14:solidFill>
              <w14:schemeClr w14:val="tx1"/>
            </w14:solidFill>
          </w14:textFill>
        </w:rPr>
      </w:pP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1.适用范围</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1.1本项目采购人、采购代理机构、供应商、磋商小组的相关行为均受《中华人民共和国政府采购法》《中华人民共和国政府采购法实施条例》</w:t>
      </w:r>
      <w:r>
        <w:rPr>
          <w:rFonts w:hint="eastAsia" w:ascii="宋体" w:hAnsi="宋体"/>
          <w:color w:val="000000" w:themeColor="text1"/>
          <w:szCs w:val="21"/>
          <w14:textFill>
            <w14:solidFill>
              <w14:schemeClr w14:val="tx1"/>
            </w14:solidFill>
          </w14:textFill>
        </w:rPr>
        <w:t>《政府采购竞争性磋商采购方式管理暂行办法》《财政部关于政府采购竞争性磋商采购方式管理暂行办法有关问题的补充通知》</w:t>
      </w:r>
      <w:r>
        <w:rPr>
          <w:rFonts w:hint="eastAsia" w:ascii="宋体" w:hAnsi="宋体" w:cs="宋体"/>
          <w:color w:val="000000" w:themeColor="text1"/>
          <w:szCs w:val="21"/>
          <w14:textFill>
            <w14:solidFill>
              <w14:schemeClr w14:val="tx1"/>
            </w14:solidFill>
          </w14:textFill>
        </w:rPr>
        <w:t>及本项目本级和上级财政部门政府采购有关规定的约束和保护。</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1.2</w:t>
      </w:r>
      <w:r>
        <w:rPr>
          <w:rFonts w:hint="eastAsia" w:ascii="宋体" w:hAnsi="宋体" w:cs="宋体"/>
          <w:color w:val="000000" w:themeColor="text1"/>
          <w:spacing w:val="-6"/>
          <w:szCs w:val="21"/>
          <w14:textFill>
            <w14:solidFill>
              <w14:schemeClr w14:val="tx1"/>
            </w14:solidFill>
          </w14:textFill>
        </w:rPr>
        <w:t>本竞争性磋商文件（以下简称磋商文件）适用于本项目的所有采购程序和环节（法律、法规另有规定的，从其规定）。</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2.定义</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2.1“采购人”是指依法进行政府采购的国家机关、事业单位、团体组织。</w:t>
      </w:r>
    </w:p>
    <w:p>
      <w:pPr>
        <w:spacing w:line="360" w:lineRule="auto"/>
        <w:ind w:firstLine="420" w:firstLineChars="200"/>
        <w:rPr>
          <w:rFonts w:ascii="宋体" w:hAnsi="宋体" w:cs="宋体"/>
          <w:color w:val="000000" w:themeColor="text1"/>
          <w:szCs w:val="21"/>
          <w:u w:val="single"/>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2.2“采购代理机构”是指政府采购集中采购机构和集中采购机构以外的采购代理机构。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2.3“供应商”是指向采购人提供货物、工程或者服务的法人、其他组织或者自然人。</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2.4“服务”是指除货物和工程以外的其他政府采购对象。</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“竞标”是指供应商按照本项目竞争性磋商公告或者邀请函规定的方式获取磋商文件、提交响应文件并希望获得标的的行为。</w:t>
      </w:r>
    </w:p>
    <w:p>
      <w:pPr>
        <w:spacing w:line="360" w:lineRule="auto"/>
        <w:ind w:firstLine="420" w:firstLineChars="200"/>
        <w:contextualSpacing/>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2.6“书面形式”是指合同书、信件和数据电文（包括电报、电传、传真、电子数据交换和电子邮件）等可以有形地表现所载内容的形式。</w:t>
      </w:r>
    </w:p>
    <w:p>
      <w:pPr>
        <w:spacing w:line="360" w:lineRule="auto"/>
        <w:ind w:firstLine="420" w:firstLineChars="200"/>
        <w:contextualSpacing/>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2.7“响应文件”</w:t>
      </w:r>
      <w:r>
        <w:rPr>
          <w:rFonts w:hint="eastAsia" w:ascii="宋体" w:hAnsi="宋体" w:cs="宋体"/>
          <w:color w:val="000000" w:themeColor="text1"/>
          <w:spacing w:val="-6"/>
          <w:szCs w:val="21"/>
          <w14:textFill>
            <w14:solidFill>
              <w14:schemeClr w14:val="tx1"/>
            </w14:solidFill>
          </w14:textFill>
        </w:rPr>
        <w:t>是指：供应商根据本磋商文件要求，编制包含资格证明、报价商务技术等所有内容的文件。</w:t>
      </w:r>
    </w:p>
    <w:p>
      <w:pPr>
        <w:spacing w:line="360" w:lineRule="auto"/>
        <w:ind w:firstLine="420" w:firstLineChars="200"/>
        <w:contextualSpacing/>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2.8“实质性要求”是指磋商文件中已经指明不满足则响应文件按无效响应处理的条款，或者不能负偏离的条款，或者采购需求中带“▲”的条款。</w:t>
      </w:r>
    </w:p>
    <w:p>
      <w:pPr>
        <w:spacing w:line="360" w:lineRule="auto"/>
        <w:ind w:firstLine="420" w:firstLineChars="200"/>
        <w:contextualSpacing/>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2.9“正偏离”，是指响应文件对磋商文件“采购需求”中有关条款作出的响应优于条款要求并有利于采购人的情形。</w:t>
      </w:r>
    </w:p>
    <w:p>
      <w:pPr>
        <w:spacing w:line="360" w:lineRule="auto"/>
        <w:ind w:firstLine="420" w:firstLineChars="200"/>
        <w:contextualSpacing/>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10“负偏离”，是指响应文件对磋商文件“采购需求”中有关条款作出的响应不满足条款要求，导致采购人要求不能得到满足的情形。</w:t>
      </w:r>
    </w:p>
    <w:p>
      <w:pPr>
        <w:spacing w:line="360" w:lineRule="auto"/>
        <w:ind w:firstLine="420" w:firstLineChars="200"/>
        <w:contextualSpacing/>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2.11“允许负偏离的条款”是指采购需求中的不属于“实质性要求”的条款。</w:t>
      </w:r>
    </w:p>
    <w:p>
      <w:pPr>
        <w:spacing w:line="360" w:lineRule="auto"/>
        <w:ind w:firstLine="420" w:firstLineChars="200"/>
        <w:contextualSpacing/>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w:t>
      </w: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2“首次报价”是指供应商提交的首次响应文件中的报价。</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3.供应商的资格条件</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供应商的资格条件详见“供应商须知前附表”。</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4.竞标费用</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供应商应承担参与本次采购活动有关的所有费用，包括但不限于获取磋商文件、勘查现场、编制和提交响应文件、参加磋商与应答、签订合同等，不论竞标结果如何，均应自行承担。</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 xml:space="preserve">5.转包与分包             </w:t>
      </w:r>
    </w:p>
    <w:p>
      <w:pPr>
        <w:pStyle w:val="5"/>
        <w:keepNext w:val="0"/>
        <w:keepLines w:val="0"/>
        <w:spacing w:before="0" w:after="0" w:line="360" w:lineRule="auto"/>
        <w:ind w:left="420" w:leftChars="200"/>
        <w:rPr>
          <w:rFonts w:ascii="宋体" w:hAnsi="宋体"/>
          <w:b w:val="0"/>
          <w:color w:val="000000" w:themeColor="text1"/>
          <w:sz w:val="21"/>
          <w:szCs w:val="21"/>
          <w14:textFill>
            <w14:solidFill>
              <w14:schemeClr w14:val="tx1"/>
            </w14:solidFill>
          </w14:textFill>
        </w:rPr>
      </w:pPr>
      <w:bookmarkStart w:id="27" w:name="_Toc254970673"/>
      <w:bookmarkStart w:id="28" w:name="_Toc254970532"/>
      <w:r>
        <w:rPr>
          <w:rFonts w:hint="eastAsia" w:ascii="宋体" w:hAnsi="宋体"/>
          <w:b w:val="0"/>
          <w:color w:val="000000" w:themeColor="text1"/>
          <w:sz w:val="21"/>
          <w:szCs w:val="21"/>
          <w14:textFill>
            <w14:solidFill>
              <w14:schemeClr w14:val="tx1"/>
            </w14:solidFill>
          </w14:textFill>
        </w:rPr>
        <w:t>5.1本项目不允许转包。</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6.特别说明</w:t>
      </w:r>
      <w:bookmarkEnd w:id="27"/>
      <w:bookmarkEnd w:id="28"/>
    </w:p>
    <w:p>
      <w:pPr>
        <w:spacing w:line="360" w:lineRule="auto"/>
        <w:ind w:firstLine="420" w:firstLineChars="200"/>
        <w:rPr>
          <w:rFonts w:ascii="宋体" w:hAnsi="宋体" w:cs="宋体"/>
          <w:color w:val="000000" w:themeColor="text1"/>
          <w:szCs w:val="21"/>
          <w14:textFill>
            <w14:solidFill>
              <w14:schemeClr w14:val="tx1"/>
            </w14:solidFill>
          </w14:textFill>
        </w:rPr>
      </w:pPr>
      <w:bookmarkStart w:id="29" w:name="_8.1提供相同品牌产品且通过资格审查、符合性审查的不同投标人参加同一合"/>
      <w:bookmarkEnd w:id="29"/>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1</w:t>
      </w:r>
      <w:bookmarkStart w:id="30" w:name="_Hlk65832145"/>
      <w:r>
        <w:rPr>
          <w:rFonts w:hint="eastAsia" w:ascii="宋体" w:hAnsi="宋体"/>
          <w:color w:val="000000" w:themeColor="text1"/>
          <w:szCs w:val="21"/>
          <w14:textFill>
            <w14:solidFill>
              <w14:schemeClr w14:val="tx1"/>
            </w14:solidFill>
          </w14:textFill>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000000" w:themeColor="text1"/>
          <w:szCs w:val="21"/>
          <w14:textFill>
            <w14:solidFill>
              <w14:schemeClr w14:val="tx1"/>
            </w14:solidFill>
          </w14:textFill>
        </w:rPr>
        <w:t>。</w:t>
      </w:r>
    </w:p>
    <w:bookmarkEnd w:id="30"/>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供应商应仔细阅读磋商文件的所有内容，按照磋商文件的要求提交响应文件，并对所提供的全部资料的真实性承担法律责任。</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供应商在竞标活动中提供任何疑似虚假材料，将报监管部门查处；签订合同后发现的，成交供应商须依法赔偿采购人，且民事赔偿并不免除违法供应商的行政与刑事责任。</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4</w:t>
      </w:r>
      <w:r>
        <w:rPr>
          <w:rFonts w:hint="eastAsia" w:ascii="宋体" w:hAnsi="宋体" w:cs="宋体"/>
          <w:color w:val="000000" w:themeColor="text1"/>
          <w:szCs w:val="21"/>
          <w14:textFill>
            <w14:solidFill>
              <w14:schemeClr w14:val="tx1"/>
            </w14:solidFill>
          </w14:textFill>
        </w:rPr>
        <w:t>在政府采购活动中，采购人员及相关人员与供应商有下列利害关系之一的，应当回避：</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（1）参加采购活动前3年内与供应商存在劳动关系；</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（2）参加采购活动前3年内担任供应商的董事、监事；</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（3）参加采购活动前3年内是供应商的控股股东或者实际控制人；</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（4）与供应商的法定代表人或者负责人有夫妻、直系血亲、三代以内旁系血亲或者近姻亲关系；</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（5）与供应商有其他可能影响政府采购活动公平、公正进行的关系。</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有下列情形之一的视为供应商相互串通竞标，响应文件将被视为无效：</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（1）不同供应商的响应文件由同一单位或者个人编制； </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（2）不同供应商委托同一单位或者个人办理竞标事宜；</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（3）不同的供应商的响应文件载明的项目管理员为同一个人；</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（4）不同供应商的响应文件异常一致或者报价呈规律性差异；</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（5）不同供应商的响应文件相互混装；</w:t>
      </w:r>
    </w:p>
    <w:p>
      <w:pPr>
        <w:tabs>
          <w:tab w:val="left" w:pos="6931"/>
        </w:tabs>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（6）不同供应商的磋商保证金从同一单位或者个人账户转出。</w:t>
      </w:r>
      <w:r>
        <w:rPr>
          <w:rFonts w:ascii="宋体" w:hAnsi="宋体" w:cs="宋体"/>
          <w:color w:val="000000" w:themeColor="text1"/>
          <w:szCs w:val="21"/>
          <w14:textFill>
            <w14:solidFill>
              <w14:schemeClr w14:val="tx1"/>
            </w14:solidFill>
          </w14:textFill>
        </w:rPr>
        <w:tab/>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ascii="宋体" w:hAnsi="宋体" w:cs="宋体"/>
          <w:color w:val="000000" w:themeColor="text1"/>
          <w:szCs w:val="21"/>
          <w14:textFill>
            <w14:solidFill>
              <w14:schemeClr w14:val="tx1"/>
            </w14:solidFill>
          </w14:textFill>
        </w:rPr>
        <w:t>6</w:t>
      </w:r>
      <w:r>
        <w:rPr>
          <w:rFonts w:hint="eastAsia" w:ascii="宋体" w:hAnsi="宋体" w:cs="宋体"/>
          <w:color w:val="000000" w:themeColor="text1"/>
          <w:szCs w:val="21"/>
          <w14:textFill>
            <w14:solidFill>
              <w14:schemeClr w14:val="tx1"/>
            </w14:solidFill>
          </w14:textFill>
        </w:rPr>
        <w:t>供应商有下列情形之一的，属于恶意串通行为，将报同级监督管理部门：</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（1）供应商直接或者间接从采购人或者采购代理机构处获得其他供应商的相关信息并修改其响应文件；</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（2）供应商按照采购人或者采购代理机构的授意撤换、修改响应文件；</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（3）供应商之间协商报价、技术方案等响应文件或者响应文件的实质性内容；</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（4）属于同一集团、协会、商会等组织成员的供应商按照该组织要求协同参加政府采购活动；</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（5）供应商之间事先约定一致抬高或者压低报价，或者在政府采购活动中事先约定轮流以高价位或者低价位成交，或者事先约定由某一特定供应商成交，然后再参加竞标；</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（6）供应商之间商定部分供应商放弃参加政府采购活动或者放弃成交；</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（7）供应商与采购人或者采购代理机构之间、供应商相互之间，为谋求特定供应商成交或者排斥其他供应商的其他串通行为。</w:t>
      </w:r>
    </w:p>
    <w:p>
      <w:pPr>
        <w:spacing w:line="360" w:lineRule="auto"/>
        <w:ind w:firstLine="420" w:firstLineChars="200"/>
        <w:rPr>
          <w:rFonts w:ascii="宋体" w:hAnsi="宋体" w:cs="宋体"/>
          <w:color w:val="000000" w:themeColor="text1"/>
          <w:szCs w:val="21"/>
          <w14:textFill>
            <w14:solidFill>
              <w14:schemeClr w14:val="tx1"/>
            </w14:solidFill>
          </w14:textFill>
        </w:rPr>
      </w:pPr>
    </w:p>
    <w:p>
      <w:pPr>
        <w:spacing w:line="360" w:lineRule="auto"/>
        <w:ind w:left="1" w:firstLine="417" w:firstLineChars="199"/>
        <w:jc w:val="center"/>
        <w:rPr>
          <w:rFonts w:ascii="宋体" w:hAnsi="宋体"/>
          <w:color w:val="000000" w:themeColor="text1"/>
          <w14:textFill>
            <w14:solidFill>
              <w14:schemeClr w14:val="tx1"/>
            </w14:solidFill>
          </w14:textFill>
        </w:rPr>
      </w:pPr>
      <w:bookmarkStart w:id="31" w:name="_Toc254970675"/>
      <w:bookmarkStart w:id="32" w:name="_Toc254970534"/>
    </w:p>
    <w:p>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二、磋商文件</w:t>
      </w:r>
      <w:bookmarkEnd w:id="31"/>
      <w:bookmarkEnd w:id="32"/>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7.磋商文件的构成</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（1）竞争性磋商公告；</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（2）供应商须知； </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（3）采购需求；</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（4）评审程序、评审方法和评审标准；</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（5）响应文件格式；</w:t>
      </w:r>
    </w:p>
    <w:p>
      <w:pPr>
        <w:spacing w:line="360" w:lineRule="auto"/>
        <w:ind w:firstLine="420" w:firstLineChars="200"/>
        <w:jc w:val="lef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（6）合同文本。</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8.供应商的询问</w:t>
      </w:r>
    </w:p>
    <w:p>
      <w:pPr>
        <w:spacing w:line="360" w:lineRule="auto"/>
        <w:ind w:firstLine="420" w:firstLineChars="20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供应商应认真阅读磋商文件的采购需求，如供应商对磋商文件有疑问的，如要求采购人作出澄清或者修改的，供应商尽可能在</w:t>
      </w:r>
      <w:r>
        <w:rPr>
          <w:rFonts w:ascii="宋体" w:hAnsi="宋体"/>
          <w:color w:val="000000" w:themeColor="text1"/>
          <w:szCs w:val="21"/>
          <w14:textFill>
            <w14:solidFill>
              <w14:schemeClr w14:val="tx1"/>
            </w14:solidFill>
          </w14:textFill>
        </w:rPr>
        <w:t>提交首次响应文件截止之日前</w:t>
      </w:r>
      <w:r>
        <w:rPr>
          <w:rFonts w:hint="eastAsia" w:ascii="宋体" w:hAnsi="宋体"/>
          <w:color w:val="000000" w:themeColor="text1"/>
          <w:szCs w:val="21"/>
          <w14:textFill>
            <w14:solidFill>
              <w14:schemeClr w14:val="tx1"/>
            </w14:solidFill>
          </w14:textFill>
        </w:rPr>
        <w:t>，以纸质书面形式向</w:t>
      </w:r>
      <w:r>
        <w:rPr>
          <w:rFonts w:ascii="宋体" w:hAnsi="宋体"/>
          <w:color w:val="000000" w:themeColor="text1"/>
          <w:szCs w:val="21"/>
          <w14:textFill>
            <w14:solidFill>
              <w14:schemeClr w14:val="tx1"/>
            </w14:solidFill>
          </w14:textFill>
        </w:rPr>
        <w:t>采购人、采购代理机构</w:t>
      </w:r>
      <w:r>
        <w:rPr>
          <w:rFonts w:hint="eastAsia" w:ascii="宋体" w:hAnsi="宋体"/>
          <w:color w:val="000000" w:themeColor="text1"/>
          <w:szCs w:val="21"/>
          <w14:textFill>
            <w14:solidFill>
              <w14:schemeClr w14:val="tx1"/>
            </w14:solidFill>
          </w14:textFill>
        </w:rPr>
        <w:t>提出</w:t>
      </w:r>
      <w:r>
        <w:rPr>
          <w:rFonts w:hint="eastAsia" w:ascii="宋体" w:hAnsi="宋体" w:cs="宋体"/>
          <w:color w:val="000000" w:themeColor="text1"/>
          <w:szCs w:val="21"/>
          <w14:textFill>
            <w14:solidFill>
              <w14:schemeClr w14:val="tx1"/>
            </w14:solidFill>
          </w14:textFill>
        </w:rPr>
        <w:t>，否则，由此产生的后果由供应商自行负责。</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9.磋商文件的澄清和修改</w:t>
      </w:r>
    </w:p>
    <w:p>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9.1提交首次响应文件截止之日前，采购人、采购代理机构或者磋商小组可以对已发出的磋商文件进行必要的澄清或者修改，澄清或者修改的内容作为磋商文件的组成部分。澄清或者修改将在原公告发布媒体上发布更正公告。澄清或者修改的内容可能影响响应文件编制的，采购人、采购代理机构应当在提交首次响应文件截止时间至少</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日前，在原公告发布媒体上发布更正公告；不足</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日的，采购人、采购代理机构应当顺延提交首次响应文件截止时间。</w:t>
      </w:r>
    </w:p>
    <w:p>
      <w:pPr>
        <w:spacing w:line="400" w:lineRule="exact"/>
        <w:ind w:firstLine="420" w:firstLineChars="200"/>
        <w:rPr>
          <w:rFonts w:ascii="宋体" w:hAnsi="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9.2采购人和采购代理机构可以视采购具体情况，变更</w:t>
      </w:r>
      <w:r>
        <w:rPr>
          <w:rFonts w:hint="eastAsia" w:ascii="宋体" w:hAnsi="宋体" w:cs="宋体"/>
          <w:color w:val="000000" w:themeColor="text1"/>
          <w:szCs w:val="21"/>
          <w14:textFill>
            <w14:solidFill>
              <w14:schemeClr w14:val="tx1"/>
            </w14:solidFill>
          </w14:textFill>
        </w:rPr>
        <w:t>首次响应文件提交截止时间和开启时间</w:t>
      </w:r>
      <w:r>
        <w:rPr>
          <w:rFonts w:hint="eastAsia" w:ascii="宋体" w:hAnsi="宋体" w:cs="宋体"/>
          <w:color w:val="000000" w:themeColor="text1"/>
          <w14:textFill>
            <w14:solidFill>
              <w14:schemeClr w14:val="tx1"/>
            </w14:solidFill>
          </w14:textFill>
        </w:rPr>
        <w:t>，</w:t>
      </w:r>
      <w:r>
        <w:rPr>
          <w:rFonts w:hint="eastAsia" w:ascii="宋体" w:hAnsi="宋体"/>
          <w:color w:val="000000" w:themeColor="text1"/>
          <w14:textFill>
            <w14:solidFill>
              <w14:schemeClr w14:val="tx1"/>
            </w14:solidFill>
          </w14:textFill>
        </w:rPr>
        <w:t>并</w:t>
      </w:r>
      <w:r>
        <w:rPr>
          <w:rFonts w:hint="eastAsia" w:ascii="宋体" w:hAnsi="宋体"/>
          <w:color w:val="000000" w:themeColor="text1"/>
          <w:szCs w:val="21"/>
          <w14:textFill>
            <w14:solidFill>
              <w14:schemeClr w14:val="tx1"/>
            </w14:solidFill>
          </w14:textFill>
        </w:rPr>
        <w:t>在原公告发布媒体上发布更正公告。</w:t>
      </w:r>
    </w:p>
    <w:p>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9.3</w:t>
      </w:r>
      <w:r>
        <w:rPr>
          <w:rFonts w:hint="eastAsia" w:ascii="宋体" w:hAns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澄清、答复、修改、补充的内容为</w:t>
      </w:r>
      <w:r>
        <w:rPr>
          <w:rFonts w:hint="eastAsia" w:ascii="宋体" w:hAnsi="宋体" w:cs="宋体"/>
          <w:color w:val="000000" w:themeColor="text1"/>
          <w:szCs w:val="21"/>
          <w14:textFill>
            <w14:solidFill>
              <w14:schemeClr w14:val="tx1"/>
            </w14:solidFill>
          </w14:textFill>
        </w:rPr>
        <w:t>磋商文件</w:t>
      </w:r>
      <w:r>
        <w:rPr>
          <w:rFonts w:hint="eastAsia" w:ascii="宋体" w:hAnsi="宋体"/>
          <w:color w:val="000000" w:themeColor="text1"/>
          <w:szCs w:val="21"/>
          <w14:textFill>
            <w14:solidFill>
              <w14:schemeClr w14:val="tx1"/>
            </w14:solidFill>
          </w14:textFill>
        </w:rPr>
        <w:t>的组成部分。</w:t>
      </w:r>
      <w:r>
        <w:rPr>
          <w:rFonts w:hint="eastAsia" w:ascii="宋体" w:hAnsi="宋体"/>
          <w:b/>
          <w:color w:val="000000" w:themeColor="text1"/>
          <w:szCs w:val="21"/>
          <w14:textFill>
            <w14:solidFill>
              <w14:schemeClr w14:val="tx1"/>
            </w14:solidFill>
          </w14:textFill>
        </w:rPr>
        <w:t>当</w:t>
      </w:r>
      <w:r>
        <w:rPr>
          <w:rFonts w:hint="eastAsia" w:ascii="宋体" w:hAnsi="宋体" w:cs="宋体"/>
          <w:b/>
          <w:color w:val="000000" w:themeColor="text1"/>
          <w:szCs w:val="21"/>
          <w14:textFill>
            <w14:solidFill>
              <w14:schemeClr w14:val="tx1"/>
            </w14:solidFill>
          </w14:textFill>
        </w:rPr>
        <w:t>磋商文件</w:t>
      </w:r>
      <w:r>
        <w:rPr>
          <w:rFonts w:hint="eastAsia" w:ascii="宋体" w:hAnsi="宋体"/>
          <w:b/>
          <w:color w:val="000000" w:themeColor="text1"/>
          <w:szCs w:val="21"/>
          <w14:textFill>
            <w14:solidFill>
              <w14:schemeClr w14:val="tx1"/>
            </w14:solidFill>
          </w14:textFill>
        </w:rPr>
        <w:t>与</w:t>
      </w:r>
      <w:r>
        <w:rPr>
          <w:rFonts w:hint="eastAsia" w:ascii="宋体" w:hAnsi="宋体" w:cs="宋体"/>
          <w:b/>
          <w:color w:val="000000" w:themeColor="text1"/>
          <w:szCs w:val="21"/>
          <w14:textFill>
            <w14:solidFill>
              <w14:schemeClr w14:val="tx1"/>
            </w14:solidFill>
          </w14:textFill>
        </w:rPr>
        <w:t>磋商文件</w:t>
      </w:r>
      <w:r>
        <w:rPr>
          <w:rFonts w:hint="eastAsia" w:ascii="宋体" w:hAnsi="宋体"/>
          <w:b/>
          <w:color w:val="000000" w:themeColor="text1"/>
          <w:szCs w:val="21"/>
          <w14:textFill>
            <w14:solidFill>
              <w14:schemeClr w14:val="tx1"/>
            </w14:solidFill>
          </w14:textFill>
        </w:rPr>
        <w:t>的澄清、答复、修改、补充通知就同一内容的表述不一致时，以最后发出的文件为准。</w:t>
      </w:r>
    </w:p>
    <w:p>
      <w:pPr>
        <w:spacing w:line="400" w:lineRule="exact"/>
        <w:ind w:firstLine="422" w:firstLineChars="200"/>
        <w:rPr>
          <w:rFonts w:ascii="宋体" w:hAnsi="宋体"/>
          <w:b/>
          <w:color w:val="000000" w:themeColor="text1"/>
          <w:szCs w:val="21"/>
          <w14:textFill>
            <w14:solidFill>
              <w14:schemeClr w14:val="tx1"/>
            </w14:solidFill>
          </w14:textFill>
        </w:rPr>
      </w:pPr>
      <w:r>
        <w:rPr>
          <w:rFonts w:hint="eastAsia" w:ascii="宋体" w:hAnsi="宋体" w:cs="宋体"/>
          <w:b/>
          <w:color w:val="000000" w:themeColor="text1"/>
          <w14:textFill>
            <w14:solidFill>
              <w14:schemeClr w14:val="tx1"/>
            </w14:solidFill>
          </w14:textFill>
        </w:rPr>
        <w:t>9.4</w:t>
      </w:r>
      <w:r>
        <w:rPr>
          <w:rFonts w:hint="eastAsia" w:ascii="宋体" w:hAnsi="宋体"/>
          <w:b/>
          <w:color w:val="000000" w:themeColor="text1"/>
          <w:szCs w:val="21"/>
          <w14:textFill>
            <w14:solidFill>
              <w14:schemeClr w14:val="tx1"/>
            </w14:solidFill>
          </w14:textFill>
        </w:rPr>
        <w:t>响应文件未按磋商文件的澄清、修改后的内容编制的，其响应文件作无效响应处理。</w:t>
      </w:r>
    </w:p>
    <w:p>
      <w:pPr>
        <w:spacing w:line="400" w:lineRule="exact"/>
        <w:ind w:firstLine="422" w:firstLineChars="200"/>
        <w:rPr>
          <w:rFonts w:ascii="宋体" w:hAnsi="宋体"/>
          <w:b/>
          <w:color w:val="000000" w:themeColor="text1"/>
          <w:szCs w:val="21"/>
          <w14:textFill>
            <w14:solidFill>
              <w14:schemeClr w14:val="tx1"/>
            </w14:solidFill>
          </w14:textFill>
        </w:rPr>
      </w:pPr>
    </w:p>
    <w:p>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三、响应文件的编制</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10.响应文件的编制原则</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供应商必须按照磋商文件的要求编制响应文件，并对其提交的响应文件的真实性、合法性承担法律责任。响应文件必须对磋商文件作出实质性响应。</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11.响应文件的组成</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11.1响应文件由资格证明文件、报价商务技术文件两部分组成。</w:t>
      </w:r>
    </w:p>
    <w:p>
      <w:pPr>
        <w:spacing w:line="360" w:lineRule="auto"/>
        <w:ind w:left="840" w:leftChars="200" w:hanging="420" w:hanging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w:t>
      </w:r>
      <w:r>
        <w:rPr>
          <w:rFonts w:ascii="宋体" w:hAnsi="宋体" w:cs="宋体"/>
          <w:color w:val="000000" w:themeColor="text1"/>
          <w:szCs w:val="21"/>
          <w14:textFill>
            <w14:solidFill>
              <w14:schemeClr w14:val="tx1"/>
            </w14:solidFill>
          </w14:textFill>
        </w:rPr>
        <w:t>.1.1</w:t>
      </w:r>
      <w:r>
        <w:rPr>
          <w:rFonts w:hint="eastAsia" w:ascii="宋体" w:hAnsi="宋体" w:cs="宋体"/>
          <w:color w:val="000000" w:themeColor="text1"/>
          <w:szCs w:val="21"/>
          <w14:textFill>
            <w14:solidFill>
              <w14:schemeClr w14:val="tx1"/>
            </w14:solidFill>
          </w14:textFill>
        </w:rPr>
        <w:t>资格证明文件：详见须知前附表</w:t>
      </w:r>
    </w:p>
    <w:p>
      <w:pPr>
        <w:spacing w:line="360" w:lineRule="auto"/>
        <w:ind w:left="840" w:leftChars="200" w:hanging="420" w:hanging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11</w:t>
      </w:r>
      <w:r>
        <w:rPr>
          <w:rFonts w:ascii="宋体" w:hAnsi="宋体" w:cs="宋体"/>
          <w:color w:val="000000" w:themeColor="text1"/>
          <w:szCs w:val="21"/>
          <w14:textFill>
            <w14:solidFill>
              <w14:schemeClr w14:val="tx1"/>
            </w14:solidFill>
          </w14:textFill>
        </w:rPr>
        <w:t>.1.2</w:t>
      </w:r>
      <w:r>
        <w:rPr>
          <w:rFonts w:hint="eastAsia" w:ascii="宋体" w:hAnsi="宋体" w:cs="宋体"/>
          <w:color w:val="000000" w:themeColor="text1"/>
          <w:szCs w:val="21"/>
          <w14:textFill>
            <w14:solidFill>
              <w14:schemeClr w14:val="tx1"/>
            </w14:solidFill>
          </w14:textFill>
        </w:rPr>
        <w:t>报价商务技术文件：详见须知前附表</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12.计量单位</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磋商文件已有明确规定的，使用磋商文件规定的计量单位；磋商文件没有规定的，应采用中华人民共和国法定计量单位，货币种类为人民币，否则视同未响应。</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13.竞标的风险</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供应商没有按照磋商文件要求提供全部资料，或者供应商没有对磋商文件在各方面作出实质性响应可能导致其响应无效，是供应商应当考虑的风险。</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14.竞标报价</w:t>
      </w:r>
    </w:p>
    <w:p>
      <w:pPr>
        <w:tabs>
          <w:tab w:val="left" w:pos="2492"/>
        </w:tabs>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14.1竞标报价应按磋商文件中“竞标报价表”格式填写。</w:t>
      </w:r>
    </w:p>
    <w:p>
      <w:pPr>
        <w:tabs>
          <w:tab w:val="left" w:pos="2492"/>
        </w:tabs>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14.2竞标报价的内容见“供应商须知前附表”。</w:t>
      </w:r>
    </w:p>
    <w:p>
      <w:pPr>
        <w:spacing w:line="360" w:lineRule="auto"/>
        <w:ind w:left="426" w:leftChars="203"/>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14.3竞标报价要求</w:t>
      </w:r>
    </w:p>
    <w:p>
      <w:pPr>
        <w:spacing w:line="360" w:lineRule="auto"/>
        <w:ind w:firstLine="422" w:firstLineChars="200"/>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14</w:t>
      </w:r>
      <w:r>
        <w:rPr>
          <w:rFonts w:ascii="宋体" w:hAnsi="宋体" w:cs="宋体"/>
          <w:b/>
          <w:color w:val="000000" w:themeColor="text1"/>
          <w:szCs w:val="21"/>
          <w14:textFill>
            <w14:solidFill>
              <w14:schemeClr w14:val="tx1"/>
            </w14:solidFill>
          </w14:textFill>
        </w:rPr>
        <w:t>.3.1</w:t>
      </w:r>
      <w:r>
        <w:rPr>
          <w:rFonts w:hint="eastAsia" w:ascii="宋体" w:hAnsi="宋体" w:cs="宋体"/>
          <w:b/>
          <w:color w:val="000000" w:themeColor="text1"/>
          <w:szCs w:val="21"/>
          <w14:textFill>
            <w14:solidFill>
              <w14:schemeClr w14:val="tx1"/>
            </w14:solidFill>
          </w14:textFill>
        </w:rPr>
        <w:t>供应商的竞标报价应符合以下要求，否则响应文件按无效响应处理：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（1）供应商必须就“采购需求”中所竞标的每个分标的全部内容分别作完整唯一总价报价，不得存在漏项报价；</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）供应商必须就所竞标的分标的单项内容作唯一报价。</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14.3.</w:t>
      </w: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最后报价超过所竞标分标规定的采购预算金额或者最高限价的，其响应文件将按无效响应处理。</w:t>
      </w:r>
      <w:bookmarkStart w:id="33" w:name="_Hlk42592874"/>
    </w:p>
    <w:bookmarkEnd w:id="33"/>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15.竞标有效期</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15.1竞标有效期是指为保证采购人有足够的时间在提交响应文件后完成评审、确定成交供应商、合同签订等工作而要求供应商提交的响应文件在一定时间内保持有效的期限。</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15.2 竞标有效期应由供应商按“供应商须知前附表”规定的期限作出响应。</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15.3供应商的响应文件在竞标有效期内均保持有效。</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16.磋商保证金</w:t>
      </w:r>
    </w:p>
    <w:p>
      <w:pPr>
        <w:spacing w:line="360" w:lineRule="auto"/>
        <w:ind w:left="420" w:left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16.1供应商须按“供应商须知前附表”的规定提交磋商保证金。</w:t>
      </w:r>
    </w:p>
    <w:p>
      <w:pPr>
        <w:spacing w:line="360" w:lineRule="auto"/>
        <w:ind w:left="420" w:left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16.2磋商保证金的退还</w:t>
      </w:r>
    </w:p>
    <w:p>
      <w:pPr>
        <w:spacing w:line="360" w:lineRule="auto"/>
        <w:ind w:firstLine="420" w:firstLineChars="200"/>
        <w:rPr>
          <w:rFonts w:ascii="宋体" w:hAnsi="宋体" w:cs="宋体"/>
          <w:color w:val="000000" w:themeColor="text1"/>
          <w:szCs w:val="21"/>
          <w14:textFill>
            <w14:solidFill>
              <w14:schemeClr w14:val="tx1"/>
            </w14:solidFill>
          </w14:textFill>
        </w:rPr>
      </w:pPr>
      <w:bookmarkStart w:id="34" w:name="_Hlk66782243"/>
      <w:r>
        <w:rPr>
          <w:rFonts w:hint="eastAsia" w:ascii="宋体" w:hAnsi="宋体" w:cs="宋体"/>
          <w:color w:val="000000" w:themeColor="text1"/>
          <w:szCs w:val="21"/>
          <w14:textFill>
            <w14:solidFill>
              <w14:schemeClr w14:val="tx1"/>
            </w14:solidFill>
          </w14:textFill>
        </w:rPr>
        <w:t>未</w:t>
      </w:r>
      <w:r>
        <w:rPr>
          <w:rFonts w:hint="eastAsia" w:ascii="宋体" w:hAnsi="宋体" w:cs="宋体"/>
          <w:color w:val="000000" w:themeColor="text1"/>
          <w:spacing w:val="-6"/>
          <w:szCs w:val="21"/>
          <w14:textFill>
            <w14:solidFill>
              <w14:schemeClr w14:val="tx1"/>
            </w14:solidFill>
          </w14:textFill>
        </w:rPr>
        <w:t>成交供应商的磋商保证金自成交通知书发出之日起5个工作日内退还；</w:t>
      </w:r>
      <w:r>
        <w:rPr>
          <w:rFonts w:hint="eastAsia" w:ascii="宋体" w:hAnsi="宋体" w:cs="宋体"/>
          <w:color w:val="000000" w:themeColor="text1"/>
          <w:szCs w:val="21"/>
          <w14:textFill>
            <w14:solidFill>
              <w14:schemeClr w14:val="tx1"/>
            </w14:solidFill>
          </w14:textFill>
        </w:rPr>
        <w:t>成交供应商的磋商保证金自签订合同之日起5个工作日内退还。</w:t>
      </w:r>
      <w:bookmarkEnd w:id="34"/>
      <w:r>
        <w:rPr>
          <w:rFonts w:hint="eastAsia" w:ascii="宋体" w:hAnsi="宋体" w:cs="宋体"/>
          <w:color w:val="000000" w:themeColor="text1"/>
          <w:szCs w:val="21"/>
          <w14:textFill>
            <w14:solidFill>
              <w14:schemeClr w14:val="tx1"/>
            </w14:solidFill>
          </w14:textFill>
        </w:rPr>
        <w:t xml:space="preserve"> </w:t>
      </w:r>
    </w:p>
    <w:p>
      <w:pPr>
        <w:spacing w:line="360" w:lineRule="auto"/>
        <w:ind w:left="420" w:left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16.3磋商保证金不计息。</w:t>
      </w:r>
    </w:p>
    <w:p>
      <w:pPr>
        <w:spacing w:line="360" w:lineRule="auto"/>
        <w:ind w:left="420" w:left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16.4供应商有下列情形之一的，磋商保证金将不予退还： </w:t>
      </w:r>
    </w:p>
    <w:p>
      <w:pPr>
        <w:spacing w:line="360" w:lineRule="auto"/>
        <w:ind w:left="420" w:left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（1）供应商在提交首次响应文件截止时间后撤回响应文件的；</w:t>
      </w:r>
    </w:p>
    <w:p>
      <w:pPr>
        <w:spacing w:line="360" w:lineRule="auto"/>
        <w:ind w:left="420" w:left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（2）供应商在响应文件中提供虚假材料的；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（3）除因不可抗力或者磋商文件认可的情形以外，成交供应商不与采购人签订合同的；</w:t>
      </w:r>
    </w:p>
    <w:p>
      <w:pPr>
        <w:spacing w:line="360" w:lineRule="auto"/>
        <w:ind w:left="420" w:left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（4）供应商与采购人、其他供应商或者采购代理机构恶意串通的；</w:t>
      </w:r>
    </w:p>
    <w:p>
      <w:pPr>
        <w:spacing w:line="360" w:lineRule="auto"/>
        <w:ind w:left="420" w:left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（5）法律法规规定的其他情形。</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17.响应文件编制的要求</w:t>
      </w:r>
    </w:p>
    <w:p>
      <w:pPr>
        <w:spacing w:line="360" w:lineRule="auto"/>
        <w:ind w:firstLine="420" w:firstLineChars="200"/>
        <w:rPr>
          <w:rFonts w:ascii="宋体" w:hAnsi="宋体" w:cs="宋体"/>
          <w:color w:val="000000" w:themeColor="text1"/>
          <w:spacing w:val="-6"/>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17.1供应商应按本磋商文件规定的格式和顺序编制响应文件并标注页码，响应文件内容</w:t>
      </w:r>
      <w:r>
        <w:rPr>
          <w:rFonts w:hint="eastAsia" w:ascii="宋体" w:hAnsi="宋体" w:cs="宋体"/>
          <w:color w:val="000000" w:themeColor="text1"/>
          <w:spacing w:val="-6"/>
          <w:szCs w:val="21"/>
          <w14:textFill>
            <w14:solidFill>
              <w14:schemeClr w14:val="tx1"/>
            </w14:solidFill>
          </w14:textFill>
        </w:rPr>
        <w:t>不完整、编排混乱导致响应文件被误读、漏读或者查找不到相关内容的，</w:t>
      </w:r>
      <w:r>
        <w:rPr>
          <w:rFonts w:hint="eastAsia" w:ascii="宋体" w:hAnsi="宋体"/>
          <w:color w:val="000000" w:themeColor="text1"/>
          <w14:textFill>
            <w14:solidFill>
              <w14:schemeClr w14:val="tx1"/>
            </w14:solidFill>
          </w14:textFill>
        </w:rPr>
        <w:t>由此引发的</w:t>
      </w:r>
      <w:r>
        <w:rPr>
          <w:rFonts w:hint="eastAsia" w:ascii="宋体" w:hAnsi="宋体" w:cs="宋体"/>
          <w:color w:val="000000" w:themeColor="text1"/>
          <w:spacing w:val="-6"/>
          <w:szCs w:val="21"/>
          <w14:textFill>
            <w14:solidFill>
              <w14:schemeClr w14:val="tx1"/>
            </w14:solidFill>
          </w14:textFill>
        </w:rPr>
        <w:t>后果由供应商承担。</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17.2响应文件应按资格证明文件、报价商务技术文件分别编制电子文件，</w:t>
      </w:r>
      <w:r>
        <w:rPr>
          <w:rFonts w:hint="eastAsia" w:ascii="宋体" w:hAnsi="宋体" w:cs="宋体"/>
          <w:color w:val="000000" w:themeColor="text1"/>
          <w:szCs w:val="21"/>
          <w:lang w:bidi="ar"/>
          <w14:textFill>
            <w14:solidFill>
              <w14:schemeClr w14:val="tx1"/>
            </w14:solidFill>
          </w14:textFill>
        </w:rPr>
        <w:t>并按“</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”平台的要求编制、加密、上传。</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w:t>
      </w:r>
      <w:bookmarkStart w:id="35" w:name="_Hlk65832699"/>
      <w:r>
        <w:rPr>
          <w:rFonts w:hint="eastAsia" w:ascii="宋体" w:hAnsi="宋体" w:cs="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响应文件须由供应商在规定位置盖公章并签字</w:t>
      </w:r>
      <w:bookmarkStart w:id="36" w:name="_Hlk65832569"/>
      <w:r>
        <w:rPr>
          <w:rFonts w:hint="eastAsia" w:ascii="宋体" w:hAnsi="宋体"/>
          <w:color w:val="000000" w:themeColor="text1"/>
          <w:szCs w:val="21"/>
          <w14:textFill>
            <w14:solidFill>
              <w14:schemeClr w14:val="tx1"/>
            </w14:solidFill>
          </w14:textFill>
        </w:rPr>
        <w:t>（具体以供应商须知前附表或响应文件格式规定为准）</w:t>
      </w:r>
      <w:bookmarkEnd w:id="35"/>
      <w:bookmarkEnd w:id="36"/>
      <w:r>
        <w:rPr>
          <w:rFonts w:hint="eastAsia" w:ascii="宋体" w:hAnsi="宋体" w:cs="宋体"/>
          <w:color w:val="000000" w:themeColor="text1"/>
          <w:szCs w:val="21"/>
          <w14:textFill>
            <w14:solidFill>
              <w14:schemeClr w14:val="tx1"/>
            </w14:solidFill>
          </w14:textFill>
        </w:rPr>
        <w:t>，否则其响应文件按无效响应处理。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17.4响应文件中标注的供应商名称应与营业执照（事业单位法人证书、执业许可证、自然人身份证）及公章一致，否则其响应文件按无效响应处理。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18.响应文件的加密、解密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18.1电子</w:t>
      </w:r>
      <w:r>
        <w:rPr>
          <w:rFonts w:hint="eastAsia" w:ascii="宋体" w:hAnsi="宋体" w:cs="宋体"/>
          <w:color w:val="000000" w:themeColor="text1"/>
          <w:szCs w:val="21"/>
          <w14:textFill>
            <w14:solidFill>
              <w14:schemeClr w14:val="tx1"/>
            </w14:solidFill>
          </w14:textFill>
        </w:rPr>
        <w:t>响应文件</w:t>
      </w:r>
      <w:r>
        <w:rPr>
          <w:rFonts w:hint="eastAsia" w:ascii="宋体" w:hAnsi="宋体"/>
          <w:color w:val="000000" w:themeColor="text1"/>
          <w:szCs w:val="21"/>
          <w14:textFill>
            <w14:solidFill>
              <w14:schemeClr w14:val="tx1"/>
            </w14:solidFill>
          </w14:textFill>
        </w:rPr>
        <w:t>编制完成后，供应商应按“</w:t>
      </w:r>
      <w:r>
        <w:rPr>
          <w:rFonts w:hint="eastAsia" w:ascii="宋体" w:hAnsi="宋体"/>
          <w:color w:val="000000" w:themeColor="text1"/>
          <w:szCs w:val="21"/>
          <w:lang w:eastAsia="zh-CN"/>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”平台的要求进行加密，并在规定时间内解密，否则，由此产生的后果由供应商自行负责。</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19.响应文件的提交</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19.1供应商必须在“供应商须知前附表”规定的时间和地点提交响应文件。</w:t>
      </w:r>
    </w:p>
    <w:p>
      <w:pPr>
        <w:widowControl/>
        <w:spacing w:line="360" w:lineRule="auto"/>
        <w:ind w:firstLine="420" w:firstLineChars="200"/>
        <w:rPr>
          <w:rFonts w:ascii="宋体" w:hAnsi="宋体" w:cs="宋体"/>
          <w:b/>
          <w:color w:val="000000" w:themeColor="text1"/>
          <w:szCs w:val="21"/>
          <w:lang w:bidi="ar"/>
          <w14:textFill>
            <w14:solidFill>
              <w14:schemeClr w14:val="tx1"/>
            </w14:solidFill>
          </w14:textFill>
        </w:rPr>
      </w:pPr>
      <w:r>
        <w:rPr>
          <w:rFonts w:hint="eastAsia" w:ascii="宋体" w:hAnsi="宋体" w:cs="宋体"/>
          <w:color w:val="000000" w:themeColor="text1"/>
          <w:szCs w:val="21"/>
          <w14:textFill>
            <w14:solidFill>
              <w14:schemeClr w14:val="tx1"/>
            </w14:solidFill>
          </w14:textFill>
        </w:rPr>
        <w:t>19.2</w:t>
      </w:r>
      <w:r>
        <w:rPr>
          <w:rFonts w:hint="eastAsia" w:ascii="宋体" w:hAnsi="宋体" w:cs="宋体"/>
          <w:color w:val="000000" w:themeColor="text1"/>
          <w:szCs w:val="21"/>
          <w:lang w:bidi="ar"/>
          <w14:textFill>
            <w14:solidFill>
              <w14:schemeClr w14:val="tx1"/>
            </w14:solidFill>
          </w14:textFill>
        </w:rPr>
        <w:t>本项目为全流程电子化政府采购项目，通过“</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”平台（http：//www.zcygov.cn）实行在线电子竞标，供应商应先安装“</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电子交易客户端”（请自行前往“</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”平台进行下载），并按照本项目竞争性磋商文件和“</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”平台的要求编制、加密后在首次响应文件提交截止时间前通过网络上传至“</w:t>
      </w:r>
      <w:r>
        <w:rPr>
          <w:rFonts w:hint="eastAsia" w:ascii="宋体" w:hAnsi="宋体" w:cs="宋体"/>
          <w:color w:val="000000" w:themeColor="text1"/>
          <w:szCs w:val="21"/>
          <w:lang w:eastAsia="zh-CN" w:bidi="ar"/>
          <w14:textFill>
            <w14:solidFill>
              <w14:schemeClr w14:val="tx1"/>
            </w14:solidFill>
          </w14:textFill>
        </w:rPr>
        <w:t>广西政府采购云平台</w:t>
      </w:r>
      <w:r>
        <w:rPr>
          <w:rFonts w:hint="eastAsia" w:ascii="宋体" w:hAnsi="宋体" w:cs="宋体"/>
          <w:color w:val="000000" w:themeColor="text1"/>
          <w:szCs w:val="21"/>
          <w:lang w:bidi="ar"/>
          <w14:textFill>
            <w14:solidFill>
              <w14:schemeClr w14:val="tx1"/>
            </w14:solidFill>
          </w14:textFill>
        </w:rPr>
        <w:t>”平台，</w:t>
      </w:r>
      <w:r>
        <w:rPr>
          <w:rFonts w:hint="eastAsia" w:ascii="宋体" w:hAnsi="宋体" w:cs="宋体"/>
          <w:b/>
          <w:color w:val="000000" w:themeColor="text1"/>
          <w:szCs w:val="21"/>
          <w:lang w:bidi="ar"/>
          <w14:textFill>
            <w14:solidFill>
              <w14:schemeClr w14:val="tx1"/>
            </w14:solidFill>
          </w14:textFill>
        </w:rPr>
        <w:t>供应商在“</w:t>
      </w:r>
      <w:r>
        <w:rPr>
          <w:rFonts w:hint="eastAsia" w:ascii="宋体" w:hAnsi="宋体" w:cs="宋体"/>
          <w:b/>
          <w:color w:val="000000" w:themeColor="text1"/>
          <w:szCs w:val="21"/>
          <w:lang w:eastAsia="zh-CN" w:bidi="ar"/>
          <w14:textFill>
            <w14:solidFill>
              <w14:schemeClr w14:val="tx1"/>
            </w14:solidFill>
          </w14:textFill>
        </w:rPr>
        <w:t>广西政府采购云平台</w:t>
      </w:r>
      <w:r>
        <w:rPr>
          <w:rFonts w:hint="eastAsia" w:ascii="宋体" w:hAnsi="宋体" w:cs="宋体"/>
          <w:b/>
          <w:color w:val="000000" w:themeColor="text1"/>
          <w:szCs w:val="21"/>
          <w:lang w:bidi="ar"/>
          <w14:textFill>
            <w14:solidFill>
              <w14:schemeClr w14:val="tx1"/>
            </w14:solidFill>
          </w14:textFill>
        </w:rPr>
        <w:t>”平台提交电子版响应文件时，请填写参加远程开标活动经办人联系方式。</w:t>
      </w:r>
    </w:p>
    <w:p>
      <w:pPr>
        <w:pStyle w:val="5"/>
        <w:keepNext w:val="0"/>
        <w:keepLines w:val="0"/>
        <w:spacing w:before="0" w:after="0" w:line="360" w:lineRule="auto"/>
        <w:ind w:firstLine="420" w:firstLineChars="200"/>
        <w:jc w:val="left"/>
        <w:rPr>
          <w:rFonts w:ascii="宋体" w:hAnsi="宋体"/>
          <w:b w:val="0"/>
          <w:color w:val="000000" w:themeColor="text1"/>
          <w:sz w:val="21"/>
          <w:szCs w:val="21"/>
          <w14:textFill>
            <w14:solidFill>
              <w14:schemeClr w14:val="tx1"/>
            </w14:solidFill>
          </w14:textFill>
        </w:rPr>
      </w:pPr>
      <w:r>
        <w:rPr>
          <w:rFonts w:hint="eastAsia" w:ascii="宋体" w:hAnsi="宋体"/>
          <w:b w:val="0"/>
          <w:color w:val="000000" w:themeColor="text1"/>
          <w:sz w:val="21"/>
          <w:szCs w:val="21"/>
          <w14:textFill>
            <w14:solidFill>
              <w14:schemeClr w14:val="tx1"/>
            </w14:solidFill>
          </w14:textFill>
        </w:rPr>
        <w:t>19.3未在规定时间内上传或者未按“</w:t>
      </w:r>
      <w:r>
        <w:rPr>
          <w:rFonts w:hint="eastAsia" w:ascii="宋体" w:hAnsi="宋体"/>
          <w:b w:val="0"/>
          <w:color w:val="000000" w:themeColor="text1"/>
          <w:sz w:val="21"/>
          <w:szCs w:val="21"/>
          <w:lang w:eastAsia="zh-CN"/>
          <w14:textFill>
            <w14:solidFill>
              <w14:schemeClr w14:val="tx1"/>
            </w14:solidFill>
          </w14:textFill>
        </w:rPr>
        <w:t>广西政府采购云平台</w:t>
      </w:r>
      <w:r>
        <w:rPr>
          <w:rFonts w:hint="eastAsia" w:ascii="宋体" w:hAnsi="宋体"/>
          <w:b w:val="0"/>
          <w:color w:val="000000" w:themeColor="text1"/>
          <w:sz w:val="21"/>
          <w:szCs w:val="21"/>
          <w14:textFill>
            <w14:solidFill>
              <w14:schemeClr w14:val="tx1"/>
            </w14:solidFill>
          </w14:textFill>
        </w:rPr>
        <w:t>”平台的要求编制、加密的电子响应文件，“</w:t>
      </w:r>
      <w:r>
        <w:rPr>
          <w:rFonts w:hint="eastAsia" w:ascii="宋体" w:hAnsi="宋体"/>
          <w:b w:val="0"/>
          <w:color w:val="000000" w:themeColor="text1"/>
          <w:sz w:val="21"/>
          <w:szCs w:val="21"/>
          <w:lang w:eastAsia="zh-CN"/>
          <w14:textFill>
            <w14:solidFill>
              <w14:schemeClr w14:val="tx1"/>
            </w14:solidFill>
          </w14:textFill>
        </w:rPr>
        <w:t>广西政府采购云平台</w:t>
      </w:r>
      <w:r>
        <w:rPr>
          <w:rFonts w:hint="eastAsia" w:ascii="宋体" w:hAnsi="宋体"/>
          <w:b w:val="0"/>
          <w:color w:val="000000" w:themeColor="text1"/>
          <w:sz w:val="21"/>
          <w:szCs w:val="21"/>
          <w14:textFill>
            <w14:solidFill>
              <w14:schemeClr w14:val="tx1"/>
            </w14:solidFill>
          </w14:textFill>
        </w:rPr>
        <w:t>”平台将拒收。</w:t>
      </w:r>
    </w:p>
    <w:p>
      <w:pPr>
        <w:pStyle w:val="6"/>
        <w:rPr>
          <w:rFonts w:ascii="宋体" w:hAnsi="宋体" w:cs="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19.4电子</w:t>
      </w:r>
      <w:r>
        <w:rPr>
          <w:rFonts w:hint="eastAsia" w:ascii="宋体" w:hAnsi="宋体" w:cs="宋体"/>
          <w:color w:val="000000" w:themeColor="text1"/>
          <w:szCs w:val="21"/>
          <w14:textFill>
            <w14:solidFill>
              <w14:schemeClr w14:val="tx1"/>
            </w14:solidFill>
          </w14:textFill>
        </w:rPr>
        <w:t>响应文件</w:t>
      </w:r>
      <w:r>
        <w:rPr>
          <w:rFonts w:hint="eastAsia" w:ascii="宋体" w:hAnsi="宋体"/>
          <w:color w:val="000000" w:themeColor="text1"/>
          <w:szCs w:val="21"/>
          <w14:textFill>
            <w14:solidFill>
              <w14:schemeClr w14:val="tx1"/>
            </w14:solidFill>
          </w14:textFill>
        </w:rPr>
        <w:t>提交方</w:t>
      </w:r>
      <w:r>
        <w:rPr>
          <w:rFonts w:hint="eastAsia" w:ascii="宋体" w:hAnsi="宋体"/>
          <w:bCs/>
          <w:color w:val="000000" w:themeColor="text1"/>
          <w:szCs w:val="21"/>
          <w14:textFill>
            <w14:solidFill>
              <w14:schemeClr w14:val="tx1"/>
            </w14:solidFill>
          </w14:textFill>
        </w:rPr>
        <w:t>式见“竞争性磋商公告”</w:t>
      </w:r>
      <w:r>
        <w:rPr>
          <w:rFonts w:hint="eastAsia" w:ascii="宋体" w:hAnsi="宋体"/>
          <w:color w:val="000000" w:themeColor="text1"/>
          <w:szCs w:val="21"/>
          <w14:textFill>
            <w14:solidFill>
              <w14:schemeClr w14:val="tx1"/>
            </w14:solidFill>
          </w14:textFill>
        </w:rPr>
        <w:t>中“四、响应文件提交”。</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20.首次响应文件的补充、修改与撤回</w:t>
      </w:r>
    </w:p>
    <w:p>
      <w:pPr>
        <w:spacing w:line="360" w:lineRule="auto"/>
        <w:ind w:firstLine="420" w:firstLineChars="200"/>
        <w:rPr>
          <w:rFonts w:ascii="宋体" w:hAnsi="宋体" w:cs="宋体"/>
          <w:bCs/>
          <w:color w:val="000000" w:themeColor="text1"/>
          <w:szCs w:val="21"/>
          <w:lang w:bidi="ar"/>
          <w14:textFill>
            <w14:solidFill>
              <w14:schemeClr w14:val="tx1"/>
            </w14:solidFill>
          </w14:textFill>
        </w:rPr>
      </w:pPr>
      <w:r>
        <w:rPr>
          <w:rFonts w:hint="eastAsia" w:ascii="宋体" w:hAnsi="宋体" w:cs="宋体"/>
          <w:bCs/>
          <w:color w:val="000000" w:themeColor="text1"/>
          <w:szCs w:val="21"/>
          <w:lang w:bidi="ar"/>
          <w14:textFill>
            <w14:solidFill>
              <w14:schemeClr w14:val="tx1"/>
            </w14:solidFill>
          </w14:textFill>
        </w:rPr>
        <w:t>20.1供应商应当在首次响应文件提交截止时间前完成电子响应文件的上传、递交，首次响应文件提交截止时间前可以补充、修改或者撤回响应文件。补充或者修改响应文件的，应当先行撤回原文件，补充、修改后重新上传、递交。首次响应文件提交截止时间前未完成上传、递交的，视为撤回响应文件。首次响应文件提交截止时间以后上传递交的响应文件，“</w:t>
      </w:r>
      <w:r>
        <w:rPr>
          <w:rFonts w:hint="eastAsia" w:ascii="宋体" w:hAnsi="宋体" w:cs="宋体"/>
          <w:bCs/>
          <w:color w:val="000000" w:themeColor="text1"/>
          <w:szCs w:val="21"/>
          <w:lang w:eastAsia="zh-CN" w:bidi="ar"/>
          <w14:textFill>
            <w14:solidFill>
              <w14:schemeClr w14:val="tx1"/>
            </w14:solidFill>
          </w14:textFill>
        </w:rPr>
        <w:t>广西政府采购云平台</w:t>
      </w:r>
      <w:r>
        <w:rPr>
          <w:rFonts w:hint="eastAsia" w:ascii="宋体" w:hAnsi="宋体" w:cs="宋体"/>
          <w:bCs/>
          <w:color w:val="000000" w:themeColor="text1"/>
          <w:szCs w:val="21"/>
          <w:lang w:bidi="ar"/>
          <w14:textFill>
            <w14:solidFill>
              <w14:schemeClr w14:val="tx1"/>
            </w14:solidFill>
          </w14:textFill>
        </w:rPr>
        <w:t>”平台将予以拒收。</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bookmarkStart w:id="37" w:name="_Hlk45702405"/>
      <w:r>
        <w:rPr>
          <w:rFonts w:hint="eastAsia" w:ascii="黑体" w:hAnsi="黑体" w:eastAsia="黑体" w:cs="宋体"/>
          <w:b/>
          <w:bCs/>
          <w:color w:val="000000" w:themeColor="text1"/>
          <w:sz w:val="24"/>
          <w14:textFill>
            <w14:solidFill>
              <w14:schemeClr w14:val="tx1"/>
            </w14:solidFill>
          </w14:textFill>
        </w:rPr>
        <w:t>21. 首次响应文件的退回</w:t>
      </w:r>
    </w:p>
    <w:p>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21.1在首次响应文件提交截止时间提交响应文件的供应商不足3家时，</w:t>
      </w:r>
      <w:r>
        <w:rPr>
          <w:rFonts w:hint="eastAsia" w:ascii="宋体" w:hAnsi="宋体"/>
          <w:color w:val="000000" w:themeColor="text1"/>
          <w:szCs w:val="21"/>
          <w14:textFill>
            <w14:solidFill>
              <w14:schemeClr w14:val="tx1"/>
            </w14:solidFill>
          </w14:textFill>
        </w:rPr>
        <w:t>采购代理机构将根据“</w:t>
      </w:r>
      <w:r>
        <w:rPr>
          <w:rFonts w:hint="eastAsia" w:ascii="宋体" w:hAnsi="宋体"/>
          <w:color w:val="000000" w:themeColor="text1"/>
          <w:szCs w:val="21"/>
          <w:lang w:eastAsia="zh-CN"/>
          <w14:textFill>
            <w14:solidFill>
              <w14:schemeClr w14:val="tx1"/>
            </w14:solidFill>
          </w14:textFill>
        </w:rPr>
        <w:t>广西政府采购云平台</w:t>
      </w:r>
      <w:r>
        <w:rPr>
          <w:rFonts w:hint="eastAsia" w:ascii="宋体" w:hAnsi="宋体"/>
          <w:color w:val="000000" w:themeColor="text1"/>
          <w:szCs w:val="21"/>
          <w14:textFill>
            <w14:solidFill>
              <w14:schemeClr w14:val="tx1"/>
            </w14:solidFill>
          </w14:textFill>
        </w:rPr>
        <w:t>”平台的操作将电子版响应文件退回，</w:t>
      </w:r>
      <w:r>
        <w:rPr>
          <w:rFonts w:hint="eastAsia" w:ascii="宋体" w:hAnsi="宋体" w:cs="宋体"/>
          <w:color w:val="000000" w:themeColor="text1"/>
          <w:szCs w:val="21"/>
          <w14:textFill>
            <w14:solidFill>
              <w14:schemeClr w14:val="tx1"/>
            </w14:solidFill>
          </w14:textFill>
        </w:rPr>
        <w:t>除此之外采购人和采购代理机构对已提交的电子响应文件概不退回。</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22. 截止时间后的撤回</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22.1供应商在首次响应文件提交截止时间后书面通知采购人、采购代理机构书面撤回响应文件的，将根据本须知正文16.4的规定不予退还其磋商保证金。</w:t>
      </w:r>
    </w:p>
    <w:bookmarkEnd w:id="37"/>
    <w:p>
      <w:pPr>
        <w:spacing w:line="360" w:lineRule="auto"/>
        <w:rPr>
          <w:rFonts w:ascii="宋体" w:hAnsi="宋体"/>
          <w:color w:val="000000" w:themeColor="text1"/>
          <w:szCs w:val="21"/>
          <w14:textFill>
            <w14:solidFill>
              <w14:schemeClr w14:val="tx1"/>
            </w14:solidFill>
          </w14:textFill>
        </w:rPr>
      </w:pPr>
    </w:p>
    <w:p>
      <w:pPr>
        <w:spacing w:line="360" w:lineRule="auto"/>
        <w:jc w:val="center"/>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四、评审及磋商</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23.磋商小组成立</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23.1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23.2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ascii="黑体" w:hAnsi="黑体" w:eastAsia="黑体" w:cs="宋体"/>
          <w:b/>
          <w:bCs/>
          <w:color w:val="000000" w:themeColor="text1"/>
          <w:sz w:val="24"/>
          <w14:textFill>
            <w14:solidFill>
              <w14:schemeClr w14:val="tx1"/>
            </w14:solidFill>
          </w14:textFill>
        </w:rPr>
        <w:t>2</w:t>
      </w:r>
      <w:r>
        <w:rPr>
          <w:rFonts w:hint="eastAsia" w:ascii="黑体" w:hAnsi="黑体" w:eastAsia="黑体" w:cs="宋体"/>
          <w:b/>
          <w:bCs/>
          <w:color w:val="000000" w:themeColor="text1"/>
          <w:sz w:val="24"/>
          <w14:textFill>
            <w14:solidFill>
              <w14:schemeClr w14:val="tx1"/>
            </w14:solidFill>
          </w14:textFill>
        </w:rPr>
        <w:t>4</w:t>
      </w:r>
      <w:r>
        <w:rPr>
          <w:rFonts w:ascii="黑体" w:hAnsi="黑体" w:eastAsia="黑体" w:cs="宋体"/>
          <w:b/>
          <w:bCs/>
          <w:color w:val="000000" w:themeColor="text1"/>
          <w:sz w:val="24"/>
          <w14:textFill>
            <w14:solidFill>
              <w14:schemeClr w14:val="tx1"/>
            </w14:solidFill>
          </w14:textFill>
        </w:rPr>
        <w:t>.</w:t>
      </w:r>
      <w:r>
        <w:rPr>
          <w:rFonts w:hint="eastAsia" w:ascii="黑体" w:hAnsi="黑体" w:eastAsia="黑体" w:cs="宋体"/>
          <w:b/>
          <w:bCs/>
          <w:color w:val="000000" w:themeColor="text1"/>
          <w:sz w:val="24"/>
          <w14:textFill>
            <w14:solidFill>
              <w14:schemeClr w14:val="tx1"/>
            </w14:solidFill>
          </w14:textFill>
        </w:rPr>
        <w:t>首次响应文件的开启</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24.1首次响应文件由磋商小组或者采购代理机构在“供应商须知前附表”规定的时间开启。</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24.2 响应文件解密：采购代理机构将在“供应商须知前附表”规定的时间通过电子交易平台组织响应文件开启，采购代理机构将依托电子交易平台发起开始解密指令，</w:t>
      </w:r>
      <w:r>
        <w:rPr>
          <w:rFonts w:hint="eastAsia" w:ascii="宋体" w:hAnsi="宋体" w:cs="宋体"/>
          <w:b/>
          <w:color w:val="000000" w:themeColor="text1"/>
          <w:szCs w:val="21"/>
          <w14:textFill>
            <w14:solidFill>
              <w14:schemeClr w14:val="tx1"/>
            </w14:solidFill>
          </w14:textFill>
        </w:rPr>
        <w:t>供应商的法定代表人或其委托代理人须携带加密时所用的CA锁按平台提示和采购文件的规定登录到“</w:t>
      </w:r>
      <w:r>
        <w:rPr>
          <w:rFonts w:hint="eastAsia" w:ascii="宋体" w:hAnsi="宋体" w:cs="宋体"/>
          <w:b/>
          <w:color w:val="000000" w:themeColor="text1"/>
          <w:szCs w:val="21"/>
          <w:lang w:eastAsia="zh-CN"/>
          <w14:textFill>
            <w14:solidFill>
              <w14:schemeClr w14:val="tx1"/>
            </w14:solidFill>
          </w14:textFill>
        </w:rPr>
        <w:t>广西政府采购云平台</w:t>
      </w:r>
      <w:r>
        <w:rPr>
          <w:rFonts w:hint="eastAsia" w:ascii="宋体" w:hAnsi="宋体" w:cs="宋体"/>
          <w:b/>
          <w:color w:val="000000" w:themeColor="text1"/>
          <w:szCs w:val="21"/>
          <w14:textFill>
            <w14:solidFill>
              <w14:schemeClr w14:val="tx1"/>
            </w14:solidFill>
          </w14:textFill>
        </w:rPr>
        <w:t>”平台电子开标大厅签到并在发起解密指令之时起30分钟内完成对电子响应文件在线解密。</w:t>
      </w:r>
      <w:r>
        <w:rPr>
          <w:rFonts w:hint="eastAsia" w:ascii="宋体" w:hAnsi="宋体"/>
          <w:b/>
          <w:bCs/>
          <w:color w:val="000000" w:themeColor="text1"/>
          <w:szCs w:val="21"/>
          <w14:textFill>
            <w14:solidFill>
              <w14:schemeClr w14:val="tx1"/>
            </w14:solidFill>
          </w14:textFill>
        </w:rPr>
        <w:t>响应文件未按时解密的，</w:t>
      </w:r>
      <w:r>
        <w:rPr>
          <w:rFonts w:hint="eastAsia" w:ascii="宋体" w:hAnsi="宋体" w:cs="宋体"/>
          <w:b/>
          <w:color w:val="000000" w:themeColor="text1"/>
          <w:szCs w:val="21"/>
          <w14:textFill>
            <w14:solidFill>
              <w14:schemeClr w14:val="tx1"/>
            </w14:solidFill>
          </w14:textFill>
        </w:rPr>
        <w:t>视为响应</w:t>
      </w:r>
      <w:r>
        <w:rPr>
          <w:rFonts w:hint="eastAsia" w:ascii="宋体" w:hAnsi="宋体"/>
          <w:b/>
          <w:bCs/>
          <w:color w:val="000000" w:themeColor="text1"/>
          <w:szCs w:val="21"/>
          <w14:textFill>
            <w14:solidFill>
              <w14:schemeClr w14:val="tx1"/>
            </w14:solidFill>
          </w14:textFill>
        </w:rPr>
        <w:t>文件无效。</w:t>
      </w:r>
      <w:r>
        <w:rPr>
          <w:rFonts w:hint="eastAsia" w:ascii="宋体" w:hAnsi="宋体" w:cs="宋体"/>
          <w:color w:val="000000" w:themeColor="text1"/>
          <w:szCs w:val="21"/>
          <w14:textFill>
            <w14:solidFill>
              <w14:schemeClr w14:val="tx1"/>
            </w14:solidFill>
          </w14:textFill>
        </w:rPr>
        <w:t>（解密异常情况处理：详见本章25.2电子交易活动的中止。）</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24.3成功解密响应文件的供应商不足3家的，不得磋商。</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ascii="黑体" w:hAnsi="黑体" w:eastAsia="黑体" w:cs="宋体"/>
          <w:b/>
          <w:bCs/>
          <w:color w:val="000000" w:themeColor="text1"/>
          <w:sz w:val="24"/>
          <w14:textFill>
            <w14:solidFill>
              <w14:schemeClr w14:val="tx1"/>
            </w14:solidFill>
          </w14:textFill>
        </w:rPr>
        <w:t>2</w:t>
      </w:r>
      <w:r>
        <w:rPr>
          <w:rFonts w:hint="eastAsia" w:ascii="黑体" w:hAnsi="黑体" w:eastAsia="黑体" w:cs="宋体"/>
          <w:b/>
          <w:bCs/>
          <w:color w:val="000000" w:themeColor="text1"/>
          <w:sz w:val="24"/>
          <w14:textFill>
            <w14:solidFill>
              <w14:schemeClr w14:val="tx1"/>
            </w14:solidFill>
          </w14:textFill>
        </w:rPr>
        <w:t>5.评审程序、评审方法和评审标准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5</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1磋商小组</w:t>
      </w:r>
      <w:r>
        <w:rPr>
          <w:rFonts w:ascii="宋体" w:hAnsi="宋体" w:cs="宋体"/>
          <w:color w:val="000000" w:themeColor="text1"/>
          <w:szCs w:val="21"/>
          <w14:textFill>
            <w14:solidFill>
              <w14:schemeClr w14:val="tx1"/>
            </w14:solidFill>
          </w14:textFill>
        </w:rPr>
        <w:t>按照</w:t>
      </w:r>
      <w:r>
        <w:rPr>
          <w:rFonts w:hint="eastAsia" w:ascii="宋体" w:hAnsi="宋体" w:cs="宋体"/>
          <w:color w:val="000000" w:themeColor="text1"/>
          <w:szCs w:val="21"/>
          <w14:textFill>
            <w14:solidFill>
              <w14:schemeClr w14:val="tx1"/>
            </w14:solidFill>
          </w14:textFill>
        </w:rPr>
        <w:t>“第四章 评审程序、评审方法和评审标准”</w:t>
      </w:r>
      <w:r>
        <w:rPr>
          <w:rFonts w:ascii="宋体" w:hAnsi="宋体" w:cs="宋体"/>
          <w:color w:val="000000" w:themeColor="text1"/>
          <w:szCs w:val="21"/>
          <w14:textFill>
            <w14:solidFill>
              <w14:schemeClr w14:val="tx1"/>
            </w14:solidFill>
          </w14:textFill>
        </w:rPr>
        <w:t>规定的方法、评审因素、标准和程序对</w:t>
      </w:r>
      <w:r>
        <w:rPr>
          <w:rFonts w:hint="eastAsia" w:ascii="宋体" w:hAnsi="宋体" w:cs="宋体"/>
          <w:color w:val="000000" w:themeColor="text1"/>
          <w:szCs w:val="21"/>
          <w14:textFill>
            <w14:solidFill>
              <w14:schemeClr w14:val="tx1"/>
            </w14:solidFill>
          </w14:textFill>
        </w:rPr>
        <w:t>响应</w:t>
      </w:r>
      <w:r>
        <w:rPr>
          <w:rFonts w:ascii="宋体" w:hAnsi="宋体" w:cs="宋体"/>
          <w:color w:val="000000" w:themeColor="text1"/>
          <w:szCs w:val="21"/>
          <w14:textFill>
            <w14:solidFill>
              <w14:schemeClr w14:val="tx1"/>
            </w14:solidFill>
          </w14:textFill>
        </w:rPr>
        <w:t>文件进行评审。</w:t>
      </w:r>
    </w:p>
    <w:p>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25.2电子交易活动的中止。采购过程中出现以下情形，导致电子交易平台无法正常运行，或者无法保证电子交易的公平、公正和安全时，采购机构可中止电子交易活动：</w:t>
      </w:r>
    </w:p>
    <w:p>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（1）电子交易平台发生故障而无法登录访问的； </w:t>
      </w:r>
    </w:p>
    <w:p>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（2）电子交易平台应用或数据库出现错误，不能进行正常操作的；</w:t>
      </w:r>
    </w:p>
    <w:p>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（3）电子交易平台发现严重安全漏洞，有潜在泄密危险的；</w:t>
      </w:r>
    </w:p>
    <w:p>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 xml:space="preserve">（4）病毒发作导致不能进行正常操作的； </w:t>
      </w:r>
    </w:p>
    <w:p>
      <w:pPr>
        <w:spacing w:line="4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（4）其他无法保证电子交易的公平、公正和安全的情况。</w:t>
      </w:r>
    </w:p>
    <w:p>
      <w:pPr>
        <w:spacing w:line="400" w:lineRule="exact"/>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25.3出现以上情形，不影响采购公平、公正性的，采购代理机构可以待上述情形消除后继续组织电子交易活动；影响或可能影响采购公平、公正性的，经采购代理机构确认后，应当重新采购。</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ascii="黑体" w:hAnsi="黑体" w:eastAsia="黑体" w:cs="宋体"/>
          <w:b/>
          <w:bCs/>
          <w:color w:val="000000" w:themeColor="text1"/>
          <w:sz w:val="24"/>
          <w14:textFill>
            <w14:solidFill>
              <w14:schemeClr w14:val="tx1"/>
            </w14:solidFill>
          </w14:textFill>
        </w:rPr>
        <w:t>2</w:t>
      </w:r>
      <w:r>
        <w:rPr>
          <w:rFonts w:hint="eastAsia" w:ascii="黑体" w:hAnsi="黑体" w:eastAsia="黑体" w:cs="宋体"/>
          <w:b/>
          <w:bCs/>
          <w:color w:val="000000" w:themeColor="text1"/>
          <w:sz w:val="24"/>
          <w14:textFill>
            <w14:solidFill>
              <w14:schemeClr w14:val="tx1"/>
            </w14:solidFill>
          </w14:textFill>
        </w:rPr>
        <w:t>6.确定成交供应商及结果公告</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6.1</w:t>
      </w:r>
      <w:r>
        <w:rPr>
          <w:rFonts w:hint="eastAsia" w:ascii="宋体" w:hAnsi="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6.2采购代理机构应当在</w:t>
      </w:r>
      <w:r>
        <w:rPr>
          <w:rFonts w:hint="eastAsia" w:ascii="宋体" w:hAnsi="宋体" w:cs="宋体"/>
          <w:color w:val="000000" w:themeColor="text1"/>
          <w:kern w:val="0"/>
          <w:szCs w:val="21"/>
          <w14:textFill>
            <w14:solidFill>
              <w14:schemeClr w14:val="tx1"/>
            </w14:solidFill>
          </w14:textFill>
        </w:rPr>
        <w:t>成交</w:t>
      </w:r>
      <w:r>
        <w:rPr>
          <w:rFonts w:hint="eastAsia" w:ascii="宋体" w:hAnsi="宋体" w:cs="宋体"/>
          <w:color w:val="000000" w:themeColor="text1"/>
          <w:szCs w:val="21"/>
          <w14:textFill>
            <w14:solidFill>
              <w14:schemeClr w14:val="tx1"/>
            </w14:solidFill>
          </w14:textFill>
        </w:rPr>
        <w:t>供应商确定后2个工作日内，在省级以上财政部门指定的媒体上公告成交结果，同时向成交供应商发出成交通知书。</w:t>
      </w:r>
      <w:r>
        <w:rPr>
          <w:rFonts w:hint="eastAsia" w:ascii="宋体" w:hAnsi="宋体" w:cs="宋体"/>
          <w:b/>
          <w:color w:val="000000" w:themeColor="text1"/>
          <w:szCs w:val="21"/>
          <w14:textFill>
            <w14:solidFill>
              <w14:schemeClr w14:val="tx1"/>
            </w14:solidFill>
          </w14:textFill>
        </w:rPr>
        <w:t>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w:t>
      </w:r>
      <w:r>
        <w:rPr>
          <w:rFonts w:hint="eastAsia" w:ascii="宋体" w:hAnsi="宋体" w:cs="宋体"/>
          <w:color w:val="000000" w:themeColor="text1"/>
          <w:szCs w:val="21"/>
          <w14:textFill>
            <w14:solidFill>
              <w14:schemeClr w14:val="tx1"/>
            </w14:solidFill>
          </w14:textFill>
        </w:rPr>
        <w:t>排名第二的成交候选人因上述规定的同样原因被取消成交资格的，采购人可以确定排名第三的成交候选人为成交供应商，以此类推。以上信息查询记录及相关证据与磋商文件一并保存。</w:t>
      </w:r>
      <w:bookmarkStart w:id="38" w:name="_Hlk66782294"/>
      <w:r>
        <w:rPr>
          <w:rFonts w:hint="eastAsia" w:ascii="宋体" w:hAnsi="宋体" w:cs="Courier New"/>
          <w:color w:val="000000" w:themeColor="text1"/>
          <w:szCs w:val="21"/>
          <w14:textFill>
            <w14:solidFill>
              <w14:schemeClr w14:val="tx1"/>
            </w14:solidFill>
          </w14:textFill>
        </w:rPr>
        <w:t>成交供应商享受</w:t>
      </w:r>
      <w:r>
        <w:rPr>
          <w:rFonts w:hint="eastAsia" w:ascii="宋体" w:hAnsi="宋体"/>
          <w:color w:val="000000" w:themeColor="text1"/>
          <w:szCs w:val="21"/>
          <w14:textFill>
            <w14:solidFill>
              <w14:schemeClr w14:val="tx1"/>
            </w14:solidFill>
          </w14:textFill>
        </w:rPr>
        <w:t>《政府采购促进中小企业发展管理办法》（财库〔2020〕46号）规定的中小企业扶持</w:t>
      </w:r>
      <w:r>
        <w:rPr>
          <w:rFonts w:hint="eastAsia" w:ascii="宋体" w:hAnsi="宋体" w:cs="Courier New"/>
          <w:color w:val="000000" w:themeColor="text1"/>
          <w:szCs w:val="21"/>
          <w14:textFill>
            <w14:solidFill>
              <w14:schemeClr w14:val="tx1"/>
            </w14:solidFill>
          </w14:textFill>
        </w:rPr>
        <w:t>政策的，采购人、采购代理机构应当随成交结果公开成交供应商的《中小企业声明函》。</w:t>
      </w:r>
      <w:bookmarkEnd w:id="38"/>
    </w:p>
    <w:p>
      <w:pPr>
        <w:spacing w:line="360" w:lineRule="auto"/>
        <w:ind w:firstLine="420" w:firstLineChars="200"/>
        <w:rPr>
          <w:rFonts w:ascii="宋体" w:hAnsi="宋体" w:cs="Courier New"/>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26</w:t>
      </w:r>
      <w:r>
        <w:rPr>
          <w:rFonts w:ascii="宋体" w:hAnsi="宋体" w:cs="宋体"/>
          <w:color w:val="000000" w:themeColor="text1"/>
          <w:szCs w:val="21"/>
          <w14:textFill>
            <w14:solidFill>
              <w14:schemeClr w14:val="tx1"/>
            </w14:solidFill>
          </w14:textFill>
        </w:rPr>
        <w:t>.3</w:t>
      </w:r>
      <w:r>
        <w:rPr>
          <w:rFonts w:hint="eastAsia" w:ascii="宋体" w:hAnsi="宋体" w:cs="Courier New"/>
          <w:color w:val="000000" w:themeColor="text1"/>
          <w:szCs w:val="21"/>
          <w14:textFill>
            <w14:solidFill>
              <w14:schemeClr w14:val="tx1"/>
            </w14:solidFill>
          </w14:textFill>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w:t>
      </w:r>
      <w:r>
        <w:rPr>
          <w:rFonts w:ascii="宋体" w:hAnsi="宋体" w:cs="Courier New"/>
          <w:color w:val="000000" w:themeColor="text1"/>
          <w:szCs w:val="21"/>
          <w14:textFill>
            <w14:solidFill>
              <w14:schemeClr w14:val="tx1"/>
            </w14:solidFill>
          </w14:textFill>
        </w:rPr>
        <w:t>拒绝签订政府采购合同的成交供应商不得参加对该项目重新开展的采购活动。</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ascii="黑体" w:hAnsi="黑体" w:eastAsia="黑体" w:cs="宋体"/>
          <w:b/>
          <w:bCs/>
          <w:color w:val="000000" w:themeColor="text1"/>
          <w:sz w:val="24"/>
          <w14:textFill>
            <w14:solidFill>
              <w14:schemeClr w14:val="tx1"/>
            </w14:solidFill>
          </w14:textFill>
        </w:rPr>
        <w:t>2</w:t>
      </w:r>
      <w:r>
        <w:rPr>
          <w:rFonts w:hint="eastAsia" w:ascii="黑体" w:hAnsi="黑体" w:eastAsia="黑体" w:cs="宋体"/>
          <w:b/>
          <w:bCs/>
          <w:color w:val="000000" w:themeColor="text1"/>
          <w:sz w:val="24"/>
          <w14:textFill>
            <w14:solidFill>
              <w14:schemeClr w14:val="tx1"/>
            </w14:solidFill>
          </w14:textFill>
        </w:rPr>
        <w:t>7.签订合同</w:t>
      </w:r>
    </w:p>
    <w:p>
      <w:pPr>
        <w:spacing w:line="360" w:lineRule="auto"/>
        <w:ind w:firstLine="424" w:firstLineChars="202"/>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7</w:t>
      </w: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成交供应商在收到成交通知书</w:t>
      </w:r>
      <w:r>
        <w:rPr>
          <w:rFonts w:hint="eastAsia" w:ascii="宋体" w:hAnsi="宋体"/>
          <w:color w:val="000000" w:themeColor="text1"/>
          <w:szCs w:val="21"/>
          <w14:textFill>
            <w14:solidFill>
              <w14:schemeClr w14:val="tx1"/>
            </w14:solidFill>
          </w14:textFill>
        </w:rPr>
        <w:t>（书面或电子）</w:t>
      </w:r>
      <w:r>
        <w:rPr>
          <w:rFonts w:hint="eastAsia" w:ascii="宋体" w:hAnsi="宋体" w:cs="宋体"/>
          <w:color w:val="000000" w:themeColor="text1"/>
          <w:szCs w:val="21"/>
          <w14:textFill>
            <w14:solidFill>
              <w14:schemeClr w14:val="tx1"/>
            </w14:solidFill>
          </w14:textFill>
        </w:rPr>
        <w:t>后，应当在签订合同时向采购人出示相关证明材料，具体内容详见 “供应商须知前附表”，经采购人核验合格后方可签订合同</w:t>
      </w:r>
      <w:r>
        <w:rPr>
          <w:rFonts w:hint="eastAsia" w:ascii="宋体" w:hAnsi="宋体"/>
          <w:color w:val="000000" w:themeColor="text1"/>
          <w:szCs w:val="21"/>
          <w14:textFill>
            <w14:solidFill>
              <w14:schemeClr w14:val="tx1"/>
            </w14:solidFill>
          </w14:textFill>
        </w:rPr>
        <w:t>（书面或电子）</w:t>
      </w:r>
      <w:r>
        <w:rPr>
          <w:rFonts w:hint="eastAsia" w:ascii="宋体" w:hAnsi="宋体" w:cs="宋体"/>
          <w:color w:val="000000" w:themeColor="text1"/>
          <w:szCs w:val="21"/>
          <w14:textFill>
            <w14:solidFill>
              <w14:schemeClr w14:val="tx1"/>
            </w14:solidFill>
          </w14:textFill>
        </w:rPr>
        <w:t>。</w:t>
      </w:r>
    </w:p>
    <w:p>
      <w:pPr>
        <w:spacing w:line="360" w:lineRule="auto"/>
        <w:ind w:firstLine="424" w:firstLineChars="202"/>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7.2 签订合同时间：按成交通知书规定的时间与采购人签订政府采购合同</w:t>
      </w:r>
      <w:r>
        <w:rPr>
          <w:rFonts w:hint="eastAsia" w:ascii="宋体" w:hAnsi="宋体"/>
          <w:color w:val="000000" w:themeColor="text1"/>
          <w:szCs w:val="21"/>
          <w14:textFill>
            <w14:solidFill>
              <w14:schemeClr w14:val="tx1"/>
            </w14:solidFill>
          </w14:textFill>
        </w:rPr>
        <w:t>（最长不能超过25自然日）</w:t>
      </w:r>
      <w:r>
        <w:rPr>
          <w:rFonts w:hint="eastAsia" w:ascii="宋体" w:hAnsi="宋体" w:cs="宋体"/>
          <w:color w:val="000000" w:themeColor="text1"/>
          <w:szCs w:val="21"/>
          <w14:textFill>
            <w14:solidFill>
              <w14:schemeClr w14:val="tx1"/>
            </w14:solidFill>
          </w14:textFill>
        </w:rPr>
        <w:t>。</w:t>
      </w:r>
    </w:p>
    <w:p>
      <w:pPr>
        <w:spacing w:line="360" w:lineRule="auto"/>
        <w:ind w:firstLine="424" w:firstLineChars="202"/>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7.3</w:t>
      </w:r>
      <w:r>
        <w:rPr>
          <w:rFonts w:hint="eastAsia" w:ascii="宋体" w:hAnsi="宋体"/>
          <w:color w:val="000000" w:themeColor="text1"/>
          <w:szCs w:val="21"/>
          <w14:textFill>
            <w14:solidFill>
              <w14:schemeClr w14:val="tx1"/>
            </w14:solidFill>
          </w14:textFill>
        </w:rPr>
        <w:t>成交供应商拒绝与采购人签订合同的，按照本须知正文第</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6</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3</w:t>
      </w:r>
      <w:r>
        <w:rPr>
          <w:rFonts w:ascii="宋体" w:hAnsi="宋体"/>
          <w:color w:val="000000" w:themeColor="text1"/>
          <w:szCs w:val="21"/>
          <w14:textFill>
            <w14:solidFill>
              <w14:schemeClr w14:val="tx1"/>
            </w14:solidFill>
          </w14:textFill>
        </w:rPr>
        <w:t>条的规定</w:t>
      </w:r>
      <w:r>
        <w:rPr>
          <w:rFonts w:hint="eastAsia" w:ascii="宋体" w:hAnsi="宋体"/>
          <w:color w:val="000000" w:themeColor="text1"/>
          <w:szCs w:val="21"/>
          <w14:textFill>
            <w14:solidFill>
              <w14:schemeClr w14:val="tx1"/>
            </w14:solidFill>
          </w14:textFill>
        </w:rPr>
        <w:t>执行</w:t>
      </w:r>
      <w:r>
        <w:rPr>
          <w:rFonts w:hint="eastAsia" w:ascii="宋体" w:hAnsi="宋体" w:cs="宋体"/>
          <w:color w:val="000000" w:themeColor="text1"/>
          <w:szCs w:val="21"/>
          <w14:textFill>
            <w14:solidFill>
              <w14:schemeClr w14:val="tx1"/>
            </w14:solidFill>
          </w14:textFill>
        </w:rPr>
        <w:t>。</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28.政府采购合同公告</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29. 询问、质疑和投诉</w:t>
      </w:r>
    </w:p>
    <w:p>
      <w:pPr>
        <w:pStyle w:val="6"/>
        <w:spacing w:line="360" w:lineRule="auto"/>
        <w:rPr>
          <w:rFonts w:ascii="宋体" w:hAnsi="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29.1供应商对政府采购活动事项有疑问的，可以向采购人、采购代理机构提出询问，采购人或者采购代理机构应当在3个工作日内对供应商依法提出的询问作出答复，</w:t>
      </w:r>
      <w:r>
        <w:rPr>
          <w:rFonts w:hint="eastAsia" w:ascii="宋体" w:hAnsi="宋体"/>
          <w:color w:val="000000" w:themeColor="text1"/>
          <w:szCs w:val="21"/>
          <w14:textFill>
            <w14:solidFill>
              <w14:schemeClr w14:val="tx1"/>
            </w14:solidFill>
          </w14:textFill>
        </w:rPr>
        <w:t>但答复的内容不得涉及商业秘密</w:t>
      </w:r>
      <w:r>
        <w:rPr>
          <w:rFonts w:hint="eastAsia" w:ascii="宋体" w:hAnsi="宋体" w:cs="宋体"/>
          <w:color w:val="000000" w:themeColor="text1"/>
          <w14:textFill>
            <w14:solidFill>
              <w14:schemeClr w14:val="tx1"/>
            </w14:solidFill>
          </w14:textFill>
        </w:rPr>
        <w:t>。</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29.2供应商认为磋商文件、采购过程或者成交结果使自己的合法权益受到损害的，应当在知道或者应知其权益受到损害之日起7个工作日内，以纸质书面形式向采购人、采购代理机构提出质疑，</w:t>
      </w:r>
      <w:r>
        <w:rPr>
          <w:rFonts w:ascii="宋体" w:hAnsi="宋体" w:cs="Arial"/>
          <w:color w:val="000000" w:themeColor="text1"/>
          <w:shd w:val="clear" w:color="auto" w:fill="FFFFFF"/>
          <w14:textFill>
            <w14:solidFill>
              <w14:schemeClr w14:val="tx1"/>
            </w14:solidFill>
          </w14:textFill>
        </w:rPr>
        <w:t>接收质疑函的方式、联系部门、联系电话和通讯地址等信息</w:t>
      </w:r>
      <w:r>
        <w:rPr>
          <w:rFonts w:hint="eastAsia" w:ascii="宋体" w:hAnsi="宋体" w:cs="Arial"/>
          <w:color w:val="000000" w:themeColor="text1"/>
          <w:shd w:val="clear" w:color="auto" w:fill="FFFFFF"/>
          <w14:textFill>
            <w14:solidFill>
              <w14:schemeClr w14:val="tx1"/>
            </w14:solidFill>
          </w14:textFill>
        </w:rPr>
        <w:t>详见</w:t>
      </w:r>
      <w:r>
        <w:rPr>
          <w:rFonts w:hint="eastAsia" w:ascii="宋体" w:hAnsi="宋体" w:cs="宋体"/>
          <w:color w:val="000000" w:themeColor="text1"/>
          <w:szCs w:val="21"/>
          <w14:textFill>
            <w14:solidFill>
              <w14:schemeClr w14:val="tx1"/>
            </w14:solidFill>
          </w14:textFill>
        </w:rPr>
        <w:t>“供应商须知前附表”</w:t>
      </w:r>
      <w:r>
        <w:rPr>
          <w:rFonts w:hint="eastAsia" w:ascii="宋体" w:hAnsi="宋体" w:cs="宋体"/>
          <w:color w:val="000000" w:themeColor="text1"/>
          <w14:textFill>
            <w14:solidFill>
              <w14:schemeClr w14:val="tx1"/>
            </w14:solidFill>
          </w14:textFill>
        </w:rPr>
        <w:t>。具体质疑起算时间如下：</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（1）对可以质疑的磋商文件提出质疑的，为收到磋商文件之日或者</w:t>
      </w:r>
      <w:r>
        <w:rPr>
          <w:rFonts w:hint="eastAsia" w:ascii="宋体" w:hAnsi="宋体"/>
          <w:color w:val="000000" w:themeColor="text1"/>
          <w14:textFill>
            <w14:solidFill>
              <w14:schemeClr w14:val="tx1"/>
            </w14:solidFill>
          </w14:textFill>
        </w:rPr>
        <w:t>竞争性磋商公告期限届满之日</w:t>
      </w:r>
      <w:r>
        <w:rPr>
          <w:rFonts w:hint="eastAsia" w:ascii="宋体" w:hAnsi="宋体" w:cs="宋体"/>
          <w:color w:val="000000" w:themeColor="text1"/>
          <w14:textFill>
            <w14:solidFill>
              <w14:schemeClr w14:val="tx1"/>
            </w14:solidFill>
          </w14:textFill>
        </w:rPr>
        <w:t>；</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（2）对采购过程提出质疑的，为各采购程序环节结束之日；</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（3）对成交结果提出质疑的，为成交结果公告期限届满之日。</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29.3供应商提出的询问或者质疑超出采购人对采购代理机构委托授权范围的，采购代理机构应当告知供应商向采购人提出。政府采购评审专家应当配合采购人或者采购代理机构答复供应商的询问和质疑。</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29.4 供应商提出质疑应当提交质疑函和必要的证明材料，针对同一采购程序环节的质疑必须在法定质疑期内一次性提出。质疑函应当包括下列内容</w:t>
      </w:r>
      <w:r>
        <w:rPr>
          <w:rFonts w:hint="eastAsia" w:hAnsi="宋体"/>
          <w:bCs/>
          <w:color w:val="000000" w:themeColor="text1"/>
          <w14:textFill>
            <w14:solidFill>
              <w14:schemeClr w14:val="tx1"/>
            </w14:solidFill>
          </w14:textFill>
        </w:rPr>
        <w:t>（质疑函格式后附）</w:t>
      </w:r>
      <w:r>
        <w:rPr>
          <w:rFonts w:hint="eastAsia" w:ascii="宋体" w:hAnsi="宋体" w:cs="宋体"/>
          <w:color w:val="000000" w:themeColor="text1"/>
          <w14:textFill>
            <w14:solidFill>
              <w14:schemeClr w14:val="tx1"/>
            </w14:solidFill>
          </w14:textFill>
        </w:rPr>
        <w:t>：</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（1）供应商的姓名或者名称、地址、邮编、联系人及联系电话；</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（2）质疑项目的名称、编号；</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（3）具体、明确的质疑事项和与质疑事项相关的请求；</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（4）事实依据；</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（5）必要的法律依据；</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（6）提出质疑的日期。</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供应商为自然人的，应当由本人签字；供应商为法人或者其他组织的，应当由法定代表人、主要负责人，或者其委托代理人签字或者盖章，并加盖公章。</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29</w:t>
      </w:r>
      <w:r>
        <w:rPr>
          <w:rFonts w:ascii="宋体" w:hAnsi="宋体" w:cs="宋体"/>
          <w:color w:val="000000" w:themeColor="text1"/>
          <w14:textFill>
            <w14:solidFill>
              <w14:schemeClr w14:val="tx1"/>
            </w14:solidFill>
          </w14:textFill>
        </w:rPr>
        <w:t>.5</w:t>
      </w:r>
      <w:r>
        <w:rPr>
          <w:rFonts w:hint="eastAsia" w:ascii="宋体" w:hAnsi="宋体" w:cs="宋体"/>
          <w:color w:val="000000" w:themeColor="text1"/>
          <w14:textFill>
            <w14:solidFill>
              <w14:schemeClr w14:val="tx1"/>
            </w14:solidFill>
          </w14:textFill>
        </w:rPr>
        <w:t>采购人、采购代理机构认为供应商质疑不成立，或者成立但未对成交结果构成影响的，继续开展采购活动；认为供应商质疑成立且影响或者可能影响成交结果的，按照下列情况处理：</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（1）对采购文件提出的质疑，依法通过澄清或者修改可以继续开展采购活动的，澄清或者修改采购文件后继续开展采购活动；否则应当修改采购文件后重新开展采购活动。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（2）对采购过程或者成交结果提出的质疑，合格供应商符合法定数量时，可以从合格的成交候选人中另行确定成交供应商的，应当依法另行确定成交供应商；否则应当重新开展采购活动。</w:t>
      </w:r>
    </w:p>
    <w:p>
      <w:pPr>
        <w:spacing w:line="360" w:lineRule="auto"/>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质疑答复导致成交结果改变的，采购人或者采购代理机构应当将有关情况书面报告本级财政部门。</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14:textFill>
            <w14:solidFill>
              <w14:schemeClr w14:val="tx1"/>
            </w14:solidFill>
          </w14:textFill>
        </w:rPr>
        <w:t>29.</w:t>
      </w:r>
      <w:r>
        <w:rPr>
          <w:rFonts w:ascii="宋体" w:hAnsi="宋体" w:cs="宋体"/>
          <w:color w:val="000000" w:themeColor="text1"/>
          <w14:textFill>
            <w14:solidFill>
              <w14:schemeClr w14:val="tx1"/>
            </w14:solidFill>
          </w14:textFill>
        </w:rPr>
        <w:t>6</w:t>
      </w:r>
      <w:r>
        <w:rPr>
          <w:rFonts w:hint="eastAsia" w:ascii="宋体" w:hAnsi="宋体" w:cs="宋体"/>
          <w:color w:val="000000" w:themeColor="text1"/>
          <w14:textFill>
            <w14:solidFill>
              <w14:schemeClr w14:val="tx1"/>
            </w14:solidFill>
          </w14:textFill>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ascii="黑体" w:hAnsi="黑体" w:eastAsia="黑体" w:cs="宋体"/>
          <w:b/>
          <w:bCs/>
          <w:color w:val="000000" w:themeColor="text1"/>
          <w:sz w:val="24"/>
          <w14:textFill>
            <w14:solidFill>
              <w14:schemeClr w14:val="tx1"/>
            </w14:solidFill>
          </w14:textFill>
        </w:rPr>
        <w:t>3</w:t>
      </w:r>
      <w:r>
        <w:rPr>
          <w:rFonts w:hint="eastAsia" w:ascii="黑体" w:hAnsi="黑体" w:eastAsia="黑体" w:cs="宋体"/>
          <w:b/>
          <w:bCs/>
          <w:color w:val="000000" w:themeColor="text1"/>
          <w:sz w:val="24"/>
          <w14:textFill>
            <w14:solidFill>
              <w14:schemeClr w14:val="tx1"/>
            </w14:solidFill>
          </w14:textFill>
        </w:rPr>
        <w:t>0.其他内容</w:t>
      </w:r>
    </w:p>
    <w:p>
      <w:pPr>
        <w:tabs>
          <w:tab w:val="left" w:pos="2835"/>
        </w:tabs>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0.1代理服务费：代理服务收取标准及缴费账户详见“供应商须知前附表”。</w:t>
      </w:r>
    </w:p>
    <w:p>
      <w:pPr>
        <w:tabs>
          <w:tab w:val="left" w:pos="2835"/>
        </w:tabs>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0</w:t>
      </w: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代理服务费收费计算标准：</w:t>
      </w:r>
    </w:p>
    <w:tbl>
      <w:tblPr>
        <w:tblStyle w:val="18"/>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费率</w:t>
            </w:r>
          </w:p>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金额</w:t>
            </w:r>
          </w:p>
        </w:tc>
        <w:tc>
          <w:tcPr>
            <w:tcW w:w="1659" w:type="dxa"/>
            <w:vAlign w:val="center"/>
          </w:tcPr>
          <w:p>
            <w:pPr>
              <w:spacing w:line="360" w:lineRule="auto"/>
              <w:ind w:firstLine="105" w:firstLineChars="5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货物类</w:t>
            </w:r>
          </w:p>
        </w:tc>
        <w:tc>
          <w:tcPr>
            <w:tcW w:w="1532" w:type="dxa"/>
            <w:vAlign w:val="center"/>
          </w:tcPr>
          <w:p>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服务类</w:t>
            </w:r>
          </w:p>
        </w:tc>
        <w:tc>
          <w:tcPr>
            <w:tcW w:w="1546" w:type="dxa"/>
            <w:vAlign w:val="center"/>
          </w:tcPr>
          <w:p>
            <w:pPr>
              <w:spacing w:line="360" w:lineRule="auto"/>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100万元以下</w:t>
            </w:r>
          </w:p>
        </w:tc>
        <w:tc>
          <w:tcPr>
            <w:tcW w:w="1659"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1.5%                </w:t>
            </w:r>
          </w:p>
        </w:tc>
        <w:tc>
          <w:tcPr>
            <w:tcW w:w="1532"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1.5%</w:t>
            </w:r>
          </w:p>
        </w:tc>
        <w:tc>
          <w:tcPr>
            <w:tcW w:w="1546"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100～500万元</w:t>
            </w:r>
          </w:p>
        </w:tc>
        <w:tc>
          <w:tcPr>
            <w:tcW w:w="1659"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1.1%                 </w:t>
            </w:r>
          </w:p>
        </w:tc>
        <w:tc>
          <w:tcPr>
            <w:tcW w:w="1532"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0.8%</w:t>
            </w:r>
          </w:p>
        </w:tc>
        <w:tc>
          <w:tcPr>
            <w:tcW w:w="1546"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500～1000万元</w:t>
            </w:r>
          </w:p>
        </w:tc>
        <w:tc>
          <w:tcPr>
            <w:tcW w:w="1659"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  0.8%                </w:t>
            </w:r>
          </w:p>
        </w:tc>
        <w:tc>
          <w:tcPr>
            <w:tcW w:w="1532"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0.45%</w:t>
            </w:r>
          </w:p>
        </w:tc>
        <w:tc>
          <w:tcPr>
            <w:tcW w:w="1546"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1000～5000万元</w:t>
            </w:r>
          </w:p>
        </w:tc>
        <w:tc>
          <w:tcPr>
            <w:tcW w:w="1659"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0.5%                </w:t>
            </w:r>
          </w:p>
        </w:tc>
        <w:tc>
          <w:tcPr>
            <w:tcW w:w="1532"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0.25%</w:t>
            </w:r>
          </w:p>
        </w:tc>
        <w:tc>
          <w:tcPr>
            <w:tcW w:w="1546"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0.35%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5000万元～1亿元</w:t>
            </w:r>
          </w:p>
        </w:tc>
        <w:tc>
          <w:tcPr>
            <w:tcW w:w="1659"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 xml:space="preserve">0.25%                 </w:t>
            </w:r>
          </w:p>
        </w:tc>
        <w:tc>
          <w:tcPr>
            <w:tcW w:w="1532"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0.1%</w:t>
            </w:r>
          </w:p>
        </w:tc>
        <w:tc>
          <w:tcPr>
            <w:tcW w:w="1546"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1～5亿元</w:t>
            </w:r>
          </w:p>
        </w:tc>
        <w:tc>
          <w:tcPr>
            <w:tcW w:w="1659"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0.05%</w:t>
            </w:r>
          </w:p>
        </w:tc>
        <w:tc>
          <w:tcPr>
            <w:tcW w:w="153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0.05%</w:t>
            </w:r>
          </w:p>
        </w:tc>
        <w:tc>
          <w:tcPr>
            <w:tcW w:w="1546"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5～10亿元</w:t>
            </w:r>
          </w:p>
        </w:tc>
        <w:tc>
          <w:tcPr>
            <w:tcW w:w="1659" w:type="dxa"/>
          </w:tcPr>
          <w:p>
            <w:pPr>
              <w:spacing w:line="360" w:lineRule="auto"/>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0.035%</w:t>
            </w:r>
          </w:p>
        </w:tc>
        <w:tc>
          <w:tcPr>
            <w:tcW w:w="153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0.035%</w:t>
            </w:r>
          </w:p>
        </w:tc>
        <w:tc>
          <w:tcPr>
            <w:tcW w:w="1546" w:type="dxa"/>
          </w:tcPr>
          <w:p>
            <w:pPr>
              <w:spacing w:line="360" w:lineRule="auto"/>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10～50亿元</w:t>
            </w:r>
          </w:p>
        </w:tc>
        <w:tc>
          <w:tcPr>
            <w:tcW w:w="1659" w:type="dxa"/>
          </w:tcPr>
          <w:p>
            <w:pPr>
              <w:spacing w:line="360" w:lineRule="auto"/>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0.008%</w:t>
            </w:r>
          </w:p>
        </w:tc>
        <w:tc>
          <w:tcPr>
            <w:tcW w:w="1532"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0.008%</w:t>
            </w:r>
          </w:p>
        </w:tc>
        <w:tc>
          <w:tcPr>
            <w:tcW w:w="1546" w:type="dxa"/>
          </w:tcPr>
          <w:p>
            <w:pPr>
              <w:spacing w:line="360" w:lineRule="auto"/>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50～100亿元</w:t>
            </w:r>
          </w:p>
        </w:tc>
        <w:tc>
          <w:tcPr>
            <w:tcW w:w="1659"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0.006%</w:t>
            </w:r>
          </w:p>
        </w:tc>
        <w:tc>
          <w:tcPr>
            <w:tcW w:w="1532"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0.006%</w:t>
            </w:r>
          </w:p>
        </w:tc>
        <w:tc>
          <w:tcPr>
            <w:tcW w:w="1546" w:type="dxa"/>
          </w:tcPr>
          <w:p>
            <w:pPr>
              <w:spacing w:line="360" w:lineRule="auto"/>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100亿以上</w:t>
            </w:r>
          </w:p>
        </w:tc>
        <w:tc>
          <w:tcPr>
            <w:tcW w:w="1659"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0.004%</w:t>
            </w:r>
          </w:p>
        </w:tc>
        <w:tc>
          <w:tcPr>
            <w:tcW w:w="1532" w:type="dxa"/>
          </w:tcPr>
          <w:p>
            <w:pPr>
              <w:spacing w:line="360" w:lineRule="auto"/>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0.004%</w:t>
            </w:r>
          </w:p>
        </w:tc>
        <w:tc>
          <w:tcPr>
            <w:tcW w:w="1546" w:type="dxa"/>
          </w:tcPr>
          <w:p>
            <w:pPr>
              <w:spacing w:line="360" w:lineRule="auto"/>
              <w:ind w:firstLine="105" w:firstLineChars="5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0.004%</w:t>
            </w:r>
          </w:p>
        </w:tc>
      </w:tr>
    </w:tbl>
    <w:p>
      <w:pPr>
        <w:spacing w:line="360" w:lineRule="auto"/>
        <w:ind w:firstLine="420" w:firstLineChars="20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注：</w:t>
      </w:r>
    </w:p>
    <w:p>
      <w:pPr>
        <w:keepNext w:val="0"/>
        <w:keepLines w:val="0"/>
        <w:pageBreakBefore w:val="0"/>
        <w:widowControl w:val="0"/>
        <w:kinsoku/>
        <w:wordWrap/>
        <w:overflowPunct/>
        <w:topLinePunct w:val="0"/>
        <w:autoSpaceDE/>
        <w:autoSpaceDN/>
        <w:bidi w:val="0"/>
        <w:adjustRightInd/>
        <w:spacing w:line="5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ascii="宋体" w:hAnsi="宋体" w:cs="宋体"/>
          <w:color w:val="000000" w:themeColor="text1"/>
          <w14:textFill>
            <w14:solidFill>
              <w14:schemeClr w14:val="tx1"/>
            </w14:solidFill>
          </w14:textFill>
        </w:rPr>
        <w:t>按本表费率计算的收费为</w:t>
      </w:r>
      <w:r>
        <w:rPr>
          <w:rFonts w:hint="eastAsia" w:ascii="宋体" w:hAnsi="宋体" w:cs="宋体"/>
          <w:color w:val="000000" w:themeColor="text1"/>
          <w14:textFill>
            <w14:solidFill>
              <w14:schemeClr w14:val="tx1"/>
            </w14:solidFill>
          </w14:textFill>
        </w:rPr>
        <w:t>采购</w:t>
      </w:r>
      <w:r>
        <w:rPr>
          <w:rFonts w:ascii="宋体" w:hAnsi="宋体" w:cs="宋体"/>
          <w:color w:val="000000" w:themeColor="text1"/>
          <w14:textFill>
            <w14:solidFill>
              <w14:schemeClr w14:val="tx1"/>
            </w14:solidFill>
          </w14:textFill>
        </w:rPr>
        <w:t>代理的收费基准价格</w:t>
      </w:r>
      <w:r>
        <w:rPr>
          <w:rFonts w:hint="eastAsia" w:ascii="宋体" w:hAnsi="宋体" w:cs="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line="500" w:lineRule="exact"/>
        <w:ind w:firstLine="420" w:firstLineChars="200"/>
        <w:rPr>
          <w:rFonts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（2）采购</w:t>
      </w:r>
      <w:r>
        <w:rPr>
          <w:rFonts w:ascii="宋体" w:hAnsi="宋体" w:cs="宋体"/>
          <w:color w:val="000000" w:themeColor="text1"/>
          <w14:textFill>
            <w14:solidFill>
              <w14:schemeClr w14:val="tx1"/>
            </w14:solidFill>
          </w14:textFill>
        </w:rPr>
        <w:t>代理收费按差额定率累进法计算。</w:t>
      </w:r>
    </w:p>
    <w:p>
      <w:pPr>
        <w:keepNext w:val="0"/>
        <w:keepLines w:val="0"/>
        <w:pageBreakBefore w:val="0"/>
        <w:widowControl w:val="0"/>
        <w:kinsoku/>
        <w:wordWrap/>
        <w:overflowPunct/>
        <w:topLinePunct w:val="0"/>
        <w:autoSpaceDE/>
        <w:autoSpaceDN/>
        <w:bidi w:val="0"/>
        <w:adjustRightInd/>
        <w:spacing w:line="500" w:lineRule="exact"/>
        <w:ind w:firstLine="420" w:firstLineChars="20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例如：某</w:t>
      </w:r>
      <w:r>
        <w:rPr>
          <w:rFonts w:hint="eastAsia" w:ascii="宋体" w:hAnsi="宋体" w:cs="宋体"/>
          <w:color w:val="000000" w:themeColor="text1"/>
          <w14:textFill>
            <w14:solidFill>
              <w14:schemeClr w14:val="tx1"/>
            </w14:solidFill>
          </w14:textFill>
        </w:rPr>
        <w:t>服务采购</w:t>
      </w:r>
      <w:r>
        <w:rPr>
          <w:rFonts w:ascii="宋体" w:hAnsi="宋体" w:cs="宋体"/>
          <w:color w:val="000000" w:themeColor="text1"/>
          <w14:textFill>
            <w14:solidFill>
              <w14:schemeClr w14:val="tx1"/>
            </w14:solidFill>
          </w14:textFill>
        </w:rPr>
        <w:t>代理业务</w:t>
      </w:r>
      <w:r>
        <w:rPr>
          <w:rFonts w:hint="eastAsia" w:ascii="宋体" w:hAnsi="宋体" w:cs="宋体"/>
          <w:color w:val="000000" w:themeColor="text1"/>
          <w14:textFill>
            <w14:solidFill>
              <w14:schemeClr w14:val="tx1"/>
            </w14:solidFill>
          </w14:textFill>
        </w:rPr>
        <w:t>成交</w:t>
      </w:r>
      <w:r>
        <w:rPr>
          <w:rFonts w:ascii="宋体" w:hAnsi="宋体" w:cs="宋体"/>
          <w:color w:val="000000" w:themeColor="text1"/>
          <w14:textFill>
            <w14:solidFill>
              <w14:schemeClr w14:val="tx1"/>
            </w14:solidFill>
          </w14:textFill>
        </w:rPr>
        <w:t>金额</w:t>
      </w:r>
      <w:r>
        <w:rPr>
          <w:rFonts w:hint="eastAsia" w:ascii="宋体" w:hAnsi="宋体" w:cs="宋体"/>
          <w:color w:val="000000" w:themeColor="text1"/>
          <w14:textFill>
            <w14:solidFill>
              <w14:schemeClr w14:val="tx1"/>
            </w14:solidFill>
          </w14:textFill>
        </w:rPr>
        <w:t>或者暂定价</w:t>
      </w:r>
      <w:r>
        <w:rPr>
          <w:rFonts w:ascii="宋体" w:hAnsi="宋体" w:cs="宋体"/>
          <w:color w:val="000000" w:themeColor="text1"/>
          <w14:textFill>
            <w14:solidFill>
              <w14:schemeClr w14:val="tx1"/>
            </w14:solidFill>
          </w14:textFill>
        </w:rPr>
        <w:t>为150万元，计算</w:t>
      </w:r>
      <w:r>
        <w:rPr>
          <w:rFonts w:hint="eastAsia" w:ascii="宋体" w:hAnsi="宋体" w:cs="宋体"/>
          <w:color w:val="000000" w:themeColor="text1"/>
          <w14:textFill>
            <w14:solidFill>
              <w14:schemeClr w14:val="tx1"/>
            </w14:solidFill>
          </w14:textFill>
        </w:rPr>
        <w:t>采购</w:t>
      </w:r>
      <w:r>
        <w:rPr>
          <w:rFonts w:ascii="宋体" w:hAnsi="宋体" w:cs="宋体"/>
          <w:color w:val="000000" w:themeColor="text1"/>
          <w14:textFill>
            <w14:solidFill>
              <w14:schemeClr w14:val="tx1"/>
            </w14:solidFill>
          </w14:textFill>
        </w:rPr>
        <w:t>代理收费额如下：</w:t>
      </w:r>
    </w:p>
    <w:p>
      <w:pPr>
        <w:keepNext w:val="0"/>
        <w:keepLines w:val="0"/>
        <w:pageBreakBefore w:val="0"/>
        <w:widowControl w:val="0"/>
        <w:kinsoku/>
        <w:wordWrap/>
        <w:overflowPunct/>
        <w:topLinePunct w:val="0"/>
        <w:autoSpaceDE/>
        <w:autoSpaceDN/>
        <w:bidi w:val="0"/>
        <w:adjustRightInd/>
        <w:spacing w:line="500" w:lineRule="exact"/>
        <w:ind w:firstLine="420" w:firstLineChars="20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100 万元 ×l.5 %＝ 1.5 万元</w:t>
      </w:r>
    </w:p>
    <w:p>
      <w:pPr>
        <w:keepNext w:val="0"/>
        <w:keepLines w:val="0"/>
        <w:pageBreakBefore w:val="0"/>
        <w:widowControl w:val="0"/>
        <w:kinsoku/>
        <w:wordWrap/>
        <w:overflowPunct/>
        <w:topLinePunct w:val="0"/>
        <w:autoSpaceDE/>
        <w:autoSpaceDN/>
        <w:bidi w:val="0"/>
        <w:adjustRightInd/>
        <w:spacing w:line="500" w:lineRule="exact"/>
        <w:ind w:firstLine="420" w:firstLineChars="20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 150 － 100 ）万元 ×0.8%＝ 0.4万元</w:t>
      </w:r>
    </w:p>
    <w:p>
      <w:pPr>
        <w:keepNext w:val="0"/>
        <w:keepLines w:val="0"/>
        <w:pageBreakBefore w:val="0"/>
        <w:widowControl w:val="0"/>
        <w:kinsoku/>
        <w:wordWrap/>
        <w:overflowPunct/>
        <w:topLinePunct w:val="0"/>
        <w:autoSpaceDE/>
        <w:autoSpaceDN/>
        <w:bidi w:val="0"/>
        <w:adjustRightInd/>
        <w:spacing w:line="500" w:lineRule="exact"/>
        <w:ind w:firstLine="420" w:firstLineChars="200"/>
        <w:rPr>
          <w:rFonts w:ascii="宋体" w:hAnsi="宋体" w:cs="宋体"/>
          <w:color w:val="000000" w:themeColor="text1"/>
          <w14:textFill>
            <w14:solidFill>
              <w14:schemeClr w14:val="tx1"/>
            </w14:solidFill>
          </w14:textFill>
        </w:rPr>
      </w:pPr>
      <w:r>
        <w:rPr>
          <w:rFonts w:ascii="宋体" w:hAnsi="宋体" w:cs="宋体"/>
          <w:color w:val="000000" w:themeColor="text1"/>
          <w14:textFill>
            <w14:solidFill>
              <w14:schemeClr w14:val="tx1"/>
            </w14:solidFill>
          </w14:textFill>
        </w:rPr>
        <w:t>合计收费＝ 1.5 ＋ 0.4＝ 1.9 万元</w:t>
      </w:r>
    </w:p>
    <w:p>
      <w:pPr>
        <w:keepNext w:val="0"/>
        <w:keepLines w:val="0"/>
        <w:pageBreakBefore w:val="0"/>
        <w:widowControl w:val="0"/>
        <w:kinsoku/>
        <w:wordWrap/>
        <w:overflowPunct/>
        <w:topLinePunct w:val="0"/>
        <w:autoSpaceDE/>
        <w:autoSpaceDN/>
        <w:bidi w:val="0"/>
        <w:adjustRightInd/>
        <w:spacing w:line="500" w:lineRule="exact"/>
        <w:ind w:firstLine="420" w:firstLineChars="200"/>
        <w:rPr>
          <w:rFonts w:ascii="宋体" w:hAnsi="宋体" w:cs="宋体"/>
          <w:color w:val="000000" w:themeColor="text1"/>
          <w:kern w:val="0"/>
          <w:szCs w:val="21"/>
          <w14:textFill>
            <w14:solidFill>
              <w14:schemeClr w14:val="tx1"/>
            </w14:solidFill>
          </w14:textFill>
        </w:rPr>
      </w:pPr>
      <w:r>
        <w:rPr>
          <w:rFonts w:ascii="宋体" w:hAnsi="宋体" w:cs="宋体"/>
          <w:color w:val="000000" w:themeColor="text1"/>
          <w:kern w:val="0"/>
          <w:szCs w:val="21"/>
          <w14:textFill>
            <w14:solidFill>
              <w14:schemeClr w14:val="tx1"/>
            </w14:solidFill>
          </w14:textFill>
        </w:rPr>
        <w:t>3</w:t>
      </w:r>
      <w:r>
        <w:rPr>
          <w:rFonts w:hint="eastAsia" w:ascii="宋体" w:hAnsi="宋体" w:cs="宋体"/>
          <w:color w:val="000000" w:themeColor="text1"/>
          <w:kern w:val="0"/>
          <w:szCs w:val="21"/>
          <w14:textFill>
            <w14:solidFill>
              <w14:schemeClr w14:val="tx1"/>
            </w14:solidFill>
          </w14:textFill>
        </w:rPr>
        <w:t>0</w:t>
      </w:r>
      <w:r>
        <w:rPr>
          <w:rFonts w:ascii="宋体" w:hAnsi="宋体" w:cs="宋体"/>
          <w:color w:val="000000" w:themeColor="text1"/>
          <w:kern w:val="0"/>
          <w:szCs w:val="21"/>
          <w14:textFill>
            <w14:solidFill>
              <w14:schemeClr w14:val="tx1"/>
            </w14:solidFill>
          </w14:textFill>
        </w:rPr>
        <w:t xml:space="preserve">.3 </w:t>
      </w:r>
      <w:r>
        <w:rPr>
          <w:rFonts w:hint="eastAsia" w:ascii="宋体" w:hAnsi="宋体" w:cs="宋体"/>
          <w:color w:val="000000" w:themeColor="text1"/>
          <w:kern w:val="0"/>
          <w:szCs w:val="21"/>
          <w14:textFill>
            <w14:solidFill>
              <w14:schemeClr w14:val="tx1"/>
            </w14:solidFill>
          </w14:textFill>
        </w:rPr>
        <w:t>代理服务费交纳</w:t>
      </w:r>
      <w:r>
        <w:rPr>
          <w:rFonts w:ascii="宋体" w:hAnsi="宋体" w:cs="宋体"/>
          <w:color w:val="000000" w:themeColor="text1"/>
          <w:kern w:val="0"/>
          <w:szCs w:val="21"/>
          <w14:textFill>
            <w14:solidFill>
              <w14:schemeClr w14:val="tx1"/>
            </w14:solidFill>
          </w14:textFill>
        </w:rPr>
        <w:t>银行帐号信息</w:t>
      </w:r>
    </w:p>
    <w:p>
      <w:pPr>
        <w:pStyle w:val="12"/>
        <w:keepNext w:val="0"/>
        <w:keepLines w:val="0"/>
        <w:pageBreakBefore w:val="0"/>
        <w:widowControl w:val="0"/>
        <w:kinsoku/>
        <w:wordWrap/>
        <w:overflowPunct/>
        <w:topLinePunct w:val="0"/>
        <w:autoSpaceDE/>
        <w:autoSpaceDN/>
        <w:bidi w:val="0"/>
        <w:adjustRightInd/>
        <w:snapToGrid w:val="0"/>
        <w:spacing w:line="500" w:lineRule="exact"/>
        <w:ind w:firstLine="800" w:firstLineChars="4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开户名称：广西科文招标有限公司南宁六分公司</w:t>
      </w:r>
    </w:p>
    <w:p>
      <w:pPr>
        <w:pStyle w:val="12"/>
        <w:keepNext w:val="0"/>
        <w:keepLines w:val="0"/>
        <w:pageBreakBefore w:val="0"/>
        <w:widowControl w:val="0"/>
        <w:kinsoku/>
        <w:wordWrap/>
        <w:overflowPunct/>
        <w:topLinePunct w:val="0"/>
        <w:autoSpaceDE/>
        <w:autoSpaceDN/>
        <w:bidi w:val="0"/>
        <w:adjustRightInd/>
        <w:snapToGrid w:val="0"/>
        <w:spacing w:line="500" w:lineRule="exact"/>
        <w:ind w:firstLine="800" w:firstLineChars="4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开户银行：广西北部湾银行股份有限公司南宁市云景支行</w:t>
      </w:r>
    </w:p>
    <w:p>
      <w:pPr>
        <w:keepNext w:val="0"/>
        <w:keepLines w:val="0"/>
        <w:pageBreakBefore w:val="0"/>
        <w:widowControl w:val="0"/>
        <w:kinsoku/>
        <w:wordWrap/>
        <w:overflowPunct/>
        <w:topLinePunct w:val="0"/>
        <w:autoSpaceDE/>
        <w:autoSpaceDN/>
        <w:bidi w:val="0"/>
        <w:adjustRightInd/>
        <w:spacing w:line="500" w:lineRule="exact"/>
        <w:ind w:firstLine="840" w:firstLineChars="40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银行</w:t>
      </w:r>
      <w:r>
        <w:rPr>
          <w:rFonts w:hint="eastAsia" w:hAnsi="宋体"/>
          <w:color w:val="000000" w:themeColor="text1"/>
          <w:lang w:eastAsia="zh-Hans"/>
          <w14:textFill>
            <w14:solidFill>
              <w14:schemeClr w14:val="tx1"/>
            </w14:solidFill>
          </w14:textFill>
        </w:rPr>
        <w:t>账</w:t>
      </w:r>
      <w:r>
        <w:rPr>
          <w:rFonts w:hint="eastAsia" w:hAnsi="宋体"/>
          <w:color w:val="000000" w:themeColor="text1"/>
          <w14:textFill>
            <w14:solidFill>
              <w14:schemeClr w14:val="tx1"/>
            </w14:solidFill>
          </w14:textFill>
        </w:rPr>
        <w:t>号：8050 3274 93 00001</w:t>
      </w:r>
    </w:p>
    <w:p>
      <w:pPr>
        <w:keepNext w:val="0"/>
        <w:keepLines w:val="0"/>
        <w:pageBreakBefore w:val="0"/>
        <w:widowControl w:val="0"/>
        <w:kinsoku/>
        <w:wordWrap/>
        <w:overflowPunct/>
        <w:topLinePunct w:val="0"/>
        <w:autoSpaceDE/>
        <w:autoSpaceDN/>
        <w:bidi w:val="0"/>
        <w:adjustRightInd/>
        <w:spacing w:line="500" w:lineRule="exact"/>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31</w:t>
      </w:r>
      <w:r>
        <w:rPr>
          <w:rFonts w:ascii="黑体" w:hAnsi="黑体" w:eastAsia="黑体" w:cs="宋体"/>
          <w:b/>
          <w:bCs/>
          <w:color w:val="000000" w:themeColor="text1"/>
          <w:sz w:val="24"/>
          <w14:textFill>
            <w14:solidFill>
              <w14:schemeClr w14:val="tx1"/>
            </w14:solidFill>
          </w14:textFill>
        </w:rPr>
        <w:t>.需要补充的其他内容</w:t>
      </w:r>
    </w:p>
    <w:p>
      <w:pPr>
        <w:pStyle w:val="12"/>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center"/>
        <w:rPr>
          <w:rFonts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31</w:t>
      </w:r>
      <w:r>
        <w:rPr>
          <w:rFonts w:hAnsi="宋体" w:cs="宋体"/>
          <w:color w:val="000000" w:themeColor="text1"/>
          <w:kern w:val="2"/>
          <w:sz w:val="21"/>
          <w14:textFill>
            <w14:solidFill>
              <w14:schemeClr w14:val="tx1"/>
            </w14:solidFill>
          </w14:textFill>
        </w:rPr>
        <w:t>.1</w:t>
      </w:r>
      <w:r>
        <w:rPr>
          <w:rFonts w:hint="eastAsia" w:hAnsi="宋体" w:cs="宋体"/>
          <w:color w:val="000000" w:themeColor="text1"/>
          <w:kern w:val="2"/>
          <w:sz w:val="21"/>
          <w14:textFill>
            <w14:solidFill>
              <w14:schemeClr w14:val="tx1"/>
            </w14:solidFill>
          </w14:textFill>
        </w:rPr>
        <w:t>本磋商文件解释规则详见“供应商须知前附表”。</w:t>
      </w:r>
    </w:p>
    <w:p>
      <w:pPr>
        <w:pStyle w:val="12"/>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center"/>
        <w:rPr>
          <w:rFonts w:hAnsi="宋体" w:cs="宋体"/>
          <w:color w:val="000000" w:themeColor="text1"/>
          <w:kern w:val="2"/>
          <w:sz w:val="21"/>
          <w14:textFill>
            <w14:solidFill>
              <w14:schemeClr w14:val="tx1"/>
            </w14:solidFill>
          </w14:textFill>
        </w:rPr>
      </w:pPr>
      <w:r>
        <w:rPr>
          <w:rFonts w:hAnsi="宋体" w:cs="宋体"/>
          <w:color w:val="000000" w:themeColor="text1"/>
          <w:kern w:val="2"/>
          <w:sz w:val="21"/>
          <w14:textFill>
            <w14:solidFill>
              <w14:schemeClr w14:val="tx1"/>
            </w14:solidFill>
          </w14:textFill>
        </w:rPr>
        <w:t>3</w:t>
      </w:r>
      <w:r>
        <w:rPr>
          <w:rFonts w:hint="eastAsia" w:hAnsi="宋体" w:cs="宋体"/>
          <w:color w:val="000000" w:themeColor="text1"/>
          <w:kern w:val="2"/>
          <w:sz w:val="21"/>
          <w14:textFill>
            <w14:solidFill>
              <w14:schemeClr w14:val="tx1"/>
            </w14:solidFill>
          </w14:textFill>
        </w:rPr>
        <w:t>1</w:t>
      </w:r>
      <w:r>
        <w:rPr>
          <w:rFonts w:hAnsi="宋体" w:cs="宋体"/>
          <w:color w:val="000000" w:themeColor="text1"/>
          <w:kern w:val="2"/>
          <w:sz w:val="21"/>
          <w14:textFill>
            <w14:solidFill>
              <w14:schemeClr w14:val="tx1"/>
            </w14:solidFill>
          </w14:textFill>
        </w:rPr>
        <w:t>.2</w:t>
      </w:r>
      <w:r>
        <w:rPr>
          <w:rFonts w:hint="eastAsia" w:hAnsi="宋体" w:cs="宋体"/>
          <w:color w:val="000000" w:themeColor="text1"/>
          <w:kern w:val="2"/>
          <w:sz w:val="21"/>
          <w14:textFill>
            <w14:solidFill>
              <w14:schemeClr w14:val="tx1"/>
            </w14:solidFill>
          </w14:textFill>
        </w:rPr>
        <w:t xml:space="preserve"> 其他事项详见“供应商须知前附表”。</w:t>
      </w:r>
    </w:p>
    <w:p>
      <w:pPr>
        <w:pStyle w:val="12"/>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center"/>
        <w:rPr>
          <w:rFonts w:hAnsi="宋体" w:cs="宋体"/>
          <w:color w:val="000000" w:themeColor="text1"/>
          <w:kern w:val="2"/>
          <w:sz w:val="21"/>
          <w14:textFill>
            <w14:solidFill>
              <w14:schemeClr w14:val="tx1"/>
            </w14:solidFill>
          </w14:textFill>
        </w:rPr>
      </w:pPr>
      <w:r>
        <w:rPr>
          <w:rFonts w:hint="eastAsia" w:hAnsi="宋体" w:cs="宋体"/>
          <w:color w:val="000000" w:themeColor="text1"/>
          <w:kern w:val="2"/>
          <w:sz w:val="21"/>
          <w14:textFill>
            <w14:solidFill>
              <w14:schemeClr w14:val="tx1"/>
            </w14:solidFill>
          </w14:textFill>
        </w:rPr>
        <w:t>31</w:t>
      </w:r>
      <w:r>
        <w:rPr>
          <w:rFonts w:hAnsi="宋体" w:cs="宋体"/>
          <w:color w:val="000000" w:themeColor="text1"/>
          <w:kern w:val="2"/>
          <w:sz w:val="21"/>
          <w14:textFill>
            <w14:solidFill>
              <w14:schemeClr w14:val="tx1"/>
            </w14:solidFill>
          </w14:textFill>
        </w:rPr>
        <w:t>.3</w:t>
      </w:r>
      <w:r>
        <w:rPr>
          <w:rFonts w:hint="eastAsia" w:hAnsi="宋体" w:cs="宋体"/>
          <w:color w:val="000000" w:themeColor="text1"/>
          <w:kern w:val="2"/>
          <w:sz w:val="21"/>
          <w14:textFill>
            <w14:solidFill>
              <w14:schemeClr w14:val="tx1"/>
            </w14:solidFill>
          </w14:textFill>
        </w:rPr>
        <w:t>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pPr>
        <w:pStyle w:val="12"/>
        <w:keepNext w:val="0"/>
        <w:keepLines w:val="0"/>
        <w:pageBreakBefore w:val="0"/>
        <w:widowControl w:val="0"/>
        <w:kinsoku/>
        <w:wordWrap/>
        <w:overflowPunct/>
        <w:topLinePunct w:val="0"/>
        <w:autoSpaceDE/>
        <w:autoSpaceDN/>
        <w:bidi w:val="0"/>
        <w:adjustRightInd/>
        <w:snapToGrid/>
        <w:spacing w:line="500" w:lineRule="exact"/>
        <w:ind w:firstLine="420" w:firstLineChars="200"/>
        <w:contextualSpacing/>
        <w:rPr>
          <w:rFonts w:hAnsi="宋体"/>
          <w:color w:val="000000" w:themeColor="text1"/>
          <w:sz w:val="21"/>
          <w14:textFill>
            <w14:solidFill>
              <w14:schemeClr w14:val="tx1"/>
            </w14:solidFill>
          </w14:textFill>
        </w:rPr>
      </w:pPr>
      <w:r>
        <w:rPr>
          <w:rFonts w:hint="eastAsia" w:hAnsi="宋体"/>
          <w:color w:val="000000" w:themeColor="text1"/>
          <w:sz w:val="21"/>
          <w14:textFill>
            <w14:solidFill>
              <w14:schemeClr w14:val="tx1"/>
            </w14:solidFill>
          </w14:textFill>
        </w:rPr>
        <w:t>（1）在货物采购项目中，货物由中小企业制造，即货物由中小企业生产且使用该中小企业商号或者注册商标，不对其中涉及的工程承建商和服务的承接商作出要求；</w:t>
      </w:r>
    </w:p>
    <w:p>
      <w:pPr>
        <w:pStyle w:val="12"/>
        <w:keepNext w:val="0"/>
        <w:keepLines w:val="0"/>
        <w:pageBreakBefore w:val="0"/>
        <w:widowControl w:val="0"/>
        <w:kinsoku/>
        <w:wordWrap/>
        <w:overflowPunct/>
        <w:topLinePunct w:val="0"/>
        <w:autoSpaceDE/>
        <w:autoSpaceDN/>
        <w:bidi w:val="0"/>
        <w:adjustRightInd/>
        <w:snapToGrid/>
        <w:spacing w:line="500" w:lineRule="exact"/>
        <w:ind w:firstLine="420" w:firstLineChars="200"/>
        <w:contextualSpacing/>
        <w:rPr>
          <w:rFonts w:hAnsi="宋体"/>
          <w:color w:val="000000" w:themeColor="text1"/>
          <w:sz w:val="21"/>
          <w14:textFill>
            <w14:solidFill>
              <w14:schemeClr w14:val="tx1"/>
            </w14:solidFill>
          </w14:textFill>
        </w:rPr>
      </w:pPr>
      <w:r>
        <w:rPr>
          <w:rFonts w:hint="eastAsia" w:hAnsi="宋体"/>
          <w:color w:val="000000" w:themeColor="text1"/>
          <w:sz w:val="21"/>
          <w14:textFill>
            <w14:solidFill>
              <w14:schemeClr w14:val="tx1"/>
            </w14:solidFill>
          </w14:textFill>
        </w:rPr>
        <w:t>（2）在工程采购项目中，工程由中小企业承建，即工程施工单位为中小企业，不对其中涉及的货物的制造商和服务的承接商作出要求；</w:t>
      </w:r>
    </w:p>
    <w:p>
      <w:pPr>
        <w:pStyle w:val="12"/>
        <w:keepNext w:val="0"/>
        <w:keepLines w:val="0"/>
        <w:pageBreakBefore w:val="0"/>
        <w:widowControl w:val="0"/>
        <w:kinsoku/>
        <w:wordWrap/>
        <w:overflowPunct/>
        <w:topLinePunct w:val="0"/>
        <w:autoSpaceDE/>
        <w:autoSpaceDN/>
        <w:bidi w:val="0"/>
        <w:adjustRightInd/>
        <w:snapToGrid/>
        <w:spacing w:line="500" w:lineRule="exact"/>
        <w:ind w:firstLine="420" w:firstLineChars="200"/>
        <w:contextualSpacing/>
        <w:rPr>
          <w:rFonts w:hAnsi="宋体"/>
          <w:color w:val="000000" w:themeColor="text1"/>
          <w:sz w:val="21"/>
          <w14:textFill>
            <w14:solidFill>
              <w14:schemeClr w14:val="tx1"/>
            </w14:solidFill>
          </w14:textFill>
        </w:rPr>
      </w:pPr>
      <w:r>
        <w:rPr>
          <w:rFonts w:hint="eastAsia" w:hAnsi="宋体"/>
          <w:color w:val="000000" w:themeColor="text1"/>
          <w:sz w:val="21"/>
          <w14:textFill>
            <w14:solidFill>
              <w14:schemeClr w14:val="tx1"/>
            </w14:solidFill>
          </w14:textFill>
        </w:rPr>
        <w:t>（3）在服务采购项目中，服务由中小企业承接，即提供服务的人员为中小企业依照《中华人民共和国劳动合同法》订立劳动合同的从业人员，不对其中涉及的货物的制造商和工程承建商作出要求。</w:t>
      </w:r>
    </w:p>
    <w:p>
      <w:pPr>
        <w:pStyle w:val="12"/>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center"/>
        <w:rPr>
          <w:rFonts w:hAnsi="宋体"/>
          <w:b/>
          <w:color w:val="000000" w:themeColor="text1"/>
          <w:sz w:val="32"/>
          <w:szCs w:val="32"/>
          <w14:textFill>
            <w14:solidFill>
              <w14:schemeClr w14:val="tx1"/>
            </w14:solidFill>
          </w14:textFill>
        </w:rPr>
      </w:pPr>
      <w:r>
        <w:rPr>
          <w:rFonts w:hint="eastAsia" w:hAnsi="宋体" w:cs="宋体"/>
          <w:color w:val="000000" w:themeColor="text1"/>
          <w:kern w:val="2"/>
          <w:sz w:val="21"/>
          <w14:textFill>
            <w14:solidFill>
              <w14:schemeClr w14:val="tx1"/>
            </w14:solidFill>
          </w14:textFill>
        </w:rPr>
        <w:t>在货物采购项目中，供应商提供的货物既有中小企业制造货物，也有大型企业制造货物的，不享受本磋商文件规定的中小企业扶持政策。</w:t>
      </w:r>
    </w:p>
    <w:p>
      <w:pPr>
        <w:pStyle w:val="3"/>
        <w:spacing w:line="360" w:lineRule="auto"/>
        <w:jc w:val="center"/>
        <w:rPr>
          <w:rFonts w:ascii="宋体" w:hAnsi="宋体"/>
          <w:color w:val="000000" w:themeColor="text1"/>
          <w:sz w:val="32"/>
          <w:szCs w:val="32"/>
          <w14:textFill>
            <w14:solidFill>
              <w14:schemeClr w14:val="tx1"/>
            </w14:solidFill>
          </w14:textFill>
        </w:rPr>
      </w:pPr>
      <w:r>
        <w:rPr>
          <w:color w:val="000000" w:themeColor="text1"/>
          <w14:textFill>
            <w14:solidFill>
              <w14:schemeClr w14:val="tx1"/>
            </w14:solidFill>
          </w14:textFill>
        </w:rPr>
        <w:br w:type="page"/>
      </w:r>
      <w:r>
        <w:rPr>
          <w:rFonts w:hint="eastAsia"/>
          <w:color w:val="000000" w:themeColor="text1"/>
          <w14:textFill>
            <w14:solidFill>
              <w14:schemeClr w14:val="tx1"/>
            </w14:solidFill>
          </w14:textFill>
        </w:rPr>
        <w:t>第三章 采购需求</w:t>
      </w:r>
    </w:p>
    <w:p>
      <w:pPr>
        <w:spacing w:line="360" w:lineRule="auto"/>
        <w:jc w:val="left"/>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说明：</w:t>
      </w:r>
    </w:p>
    <w:p>
      <w:pPr>
        <w:spacing w:line="360" w:lineRule="exact"/>
        <w:ind w:left="-10" w:leftChars="-5" w:right="2" w:rightChars="1" w:firstLine="422" w:firstLineChars="200"/>
        <w:rPr>
          <w:rFonts w:hAnsi="宋体"/>
          <w:b/>
          <w:bCs/>
          <w:color w:val="000000" w:themeColor="text1"/>
          <w14:textFill>
            <w14:solidFill>
              <w14:schemeClr w14:val="tx1"/>
            </w14:solidFill>
          </w14:textFill>
        </w:rPr>
      </w:pPr>
      <w:r>
        <w:rPr>
          <w:rFonts w:hint="eastAsia" w:hAnsi="宋体"/>
          <w:b/>
          <w:bCs/>
          <w:color w:val="000000" w:themeColor="text1"/>
          <w14:textFill>
            <w14:solidFill>
              <w14:schemeClr w14:val="tx1"/>
            </w14:solidFill>
          </w14:textFill>
        </w:rPr>
        <w:t>1、采购需求中如出现品牌、型号或者生产厂家等均仅起参考作用，不属于指定品牌、型号或者生产厂家的情形，供应商可参照或者选用其他相当的品牌、型号或者生产供应商替代。但供应商的产品实质上应相当于或优于本需求</w:t>
      </w:r>
      <w:r>
        <w:rPr>
          <w:rFonts w:hAnsi="宋体"/>
          <w:b/>
          <w:bCs/>
          <w:color w:val="000000" w:themeColor="text1"/>
          <w14:textFill>
            <w14:solidFill>
              <w14:schemeClr w14:val="tx1"/>
            </w14:solidFill>
          </w14:textFill>
        </w:rPr>
        <w:t>中</w:t>
      </w:r>
      <w:r>
        <w:rPr>
          <w:rFonts w:hint="eastAsia" w:hAnsi="宋体"/>
          <w:b/>
          <w:bCs/>
          <w:color w:val="000000" w:themeColor="text1"/>
          <w14:textFill>
            <w14:solidFill>
              <w14:schemeClr w14:val="tx1"/>
            </w14:solidFill>
          </w14:textFill>
        </w:rPr>
        <w:t>的技术要求。</w:t>
      </w:r>
    </w:p>
    <w:p>
      <w:pPr>
        <w:spacing w:line="360" w:lineRule="exact"/>
        <w:ind w:left="-10" w:leftChars="-5" w:right="2" w:rightChars="1" w:firstLine="422" w:firstLineChars="200"/>
        <w:rPr>
          <w:rFonts w:hAnsi="宋体"/>
          <w:b/>
          <w:bCs/>
          <w:color w:val="000000" w:themeColor="text1"/>
          <w14:textFill>
            <w14:solidFill>
              <w14:schemeClr w14:val="tx1"/>
            </w14:solidFill>
          </w14:textFill>
        </w:rPr>
      </w:pPr>
      <w:r>
        <w:rPr>
          <w:rFonts w:hint="eastAsia" w:hAnsi="宋体"/>
          <w:b/>
          <w:bCs/>
          <w:color w:val="000000" w:themeColor="text1"/>
          <w14:textFill>
            <w14:solidFill>
              <w14:schemeClr w14:val="tx1"/>
            </w14:solidFill>
          </w14:textFill>
        </w:rPr>
        <w:t>2、</w:t>
      </w:r>
      <w:r>
        <w:rPr>
          <w:rFonts w:hAnsi="宋体"/>
          <w:b/>
          <w:bCs/>
          <w:color w:val="000000" w:themeColor="text1"/>
          <w14:textFill>
            <w14:solidFill>
              <w14:schemeClr w14:val="tx1"/>
            </w14:solidFill>
          </w14:textFill>
        </w:rPr>
        <w:t>根据《财政部 发展改革委 生态环境部 市场监管总局关于调整优化节能产品、环境标志产品政府采购执行机制的通知》（财库〔2019〕9 号）和《关于印发节能产品政府采购品目清单的通知》（财库〔2019〕19 号）的规定，采购需求</w:t>
      </w:r>
      <w:r>
        <w:rPr>
          <w:rFonts w:hint="eastAsia" w:hAnsi="宋体"/>
          <w:b/>
          <w:bCs/>
          <w:color w:val="000000" w:themeColor="text1"/>
          <w14:textFill>
            <w14:solidFill>
              <w14:schemeClr w14:val="tx1"/>
            </w14:solidFill>
          </w14:textFill>
        </w:rPr>
        <w:t>中如有货物产品，且货物</w:t>
      </w:r>
      <w:r>
        <w:rPr>
          <w:rFonts w:hAnsi="宋体"/>
          <w:b/>
          <w:bCs/>
          <w:color w:val="000000" w:themeColor="text1"/>
          <w14:textFill>
            <w14:solidFill>
              <w14:schemeClr w14:val="tx1"/>
            </w14:solidFill>
          </w14:textFill>
        </w:rPr>
        <w:t>产品属于节能产品政府采购品目清单内标注“★”的（详见本章后附的节能产品政府采购品目清单），供应商的竞标货物必须使用政府强制采购的节能产品，否则响应文件作无效响应处理。</w:t>
      </w:r>
    </w:p>
    <w:p>
      <w:pPr>
        <w:spacing w:line="360" w:lineRule="exact"/>
        <w:ind w:left="-10" w:leftChars="-5" w:right="2" w:rightChars="1" w:firstLine="422" w:firstLineChars="200"/>
        <w:rPr>
          <w:rFonts w:hAnsi="宋体"/>
          <w:b/>
          <w:bCs/>
          <w:color w:val="000000" w:themeColor="text1"/>
          <w14:textFill>
            <w14:solidFill>
              <w14:schemeClr w14:val="tx1"/>
            </w14:solidFill>
          </w14:textFill>
        </w:rPr>
      </w:pPr>
      <w:r>
        <w:rPr>
          <w:rFonts w:hint="eastAsia" w:hAnsi="宋体"/>
          <w:b/>
          <w:bCs/>
          <w:color w:val="000000" w:themeColor="text1"/>
          <w14:textFill>
            <w14:solidFill>
              <w14:schemeClr w14:val="tx1"/>
            </w14:solidFill>
          </w14:textFill>
        </w:rPr>
        <w:t>3、如供应商竞标产品存在侵犯他人的知识产权或者专利成果行为的，由供应商自行承担相应法律责任。</w:t>
      </w:r>
    </w:p>
    <w:p>
      <w:pPr>
        <w:spacing w:line="360" w:lineRule="exact"/>
        <w:ind w:left="-10" w:leftChars="-5" w:right="2" w:rightChars="1" w:firstLine="422" w:firstLineChars="200"/>
        <w:rPr>
          <w:rFonts w:hAnsi="宋体"/>
          <w:b/>
          <w:bCs/>
          <w:color w:val="000000" w:themeColor="text1"/>
          <w14:textFill>
            <w14:solidFill>
              <w14:schemeClr w14:val="tx1"/>
            </w14:solidFill>
          </w14:textFill>
        </w:rPr>
      </w:pPr>
      <w:r>
        <w:rPr>
          <w:rFonts w:hint="eastAsia" w:hAnsi="宋体"/>
          <w:b/>
          <w:bCs/>
          <w:color w:val="000000" w:themeColor="text1"/>
          <w14:textFill>
            <w14:solidFill>
              <w14:schemeClr w14:val="tx1"/>
            </w14:solidFill>
          </w14:textFill>
        </w:rPr>
        <w:t>4、“实质性要求”是指竞争性磋商文件中已经指明不满足则响应无效的条款，或者不能负偏离的条款，或者采购需求中带“▲”的条款。</w:t>
      </w:r>
    </w:p>
    <w:p>
      <w:pPr>
        <w:spacing w:line="360" w:lineRule="exact"/>
        <w:ind w:left="-10" w:leftChars="-5" w:right="2" w:rightChars="1" w:firstLine="422" w:firstLineChars="200"/>
        <w:rPr>
          <w:rFonts w:ascii="宋体" w:hAnsi="宋体" w:cs="Arial"/>
          <w:bCs/>
          <w:color w:val="000000" w:themeColor="text1"/>
          <w:szCs w:val="21"/>
          <w:u w:val="single"/>
          <w14:textFill>
            <w14:solidFill>
              <w14:schemeClr w14:val="tx1"/>
            </w14:solidFill>
          </w14:textFill>
        </w:rPr>
      </w:pPr>
      <w:r>
        <w:rPr>
          <w:rFonts w:hint="eastAsia" w:hAnsi="宋体"/>
          <w:b/>
          <w:bCs/>
          <w:color w:val="000000" w:themeColor="text1"/>
          <w14:textFill>
            <w14:solidFill>
              <w14:schemeClr w14:val="tx1"/>
            </w14:solidFill>
          </w14:textFill>
        </w:rPr>
        <w:t>5、供应商应根据自身实际情况如实响应竞争性磋商文件，不得仅将竞争性磋商文件内容简单复制粘贴作为竞标响应，否则将作无效响应处理（定制采购不适用本条款）。</w:t>
      </w:r>
    </w:p>
    <w:p>
      <w:pPr>
        <w:snapToGrid w:val="0"/>
        <w:spacing w:line="360" w:lineRule="auto"/>
        <w:rPr>
          <w:b/>
          <w:color w:val="000000" w:themeColor="text1"/>
          <w14:textFill>
            <w14:solidFill>
              <w14:schemeClr w14:val="tx1"/>
            </w14:solidFill>
          </w14:textFill>
        </w:rPr>
      </w:pPr>
      <w:bookmarkStart w:id="39" w:name="_Toc74323459"/>
    </w:p>
    <w:p>
      <w:pPr>
        <w:spacing w:line="360" w:lineRule="auto"/>
        <w:ind w:firstLine="310" w:firstLineChars="147"/>
        <w:jc w:val="left"/>
        <w:rPr>
          <w:rFonts w:ascii="宋体" w:hAnsi="宋体" w:cs="Arial"/>
          <w:bCs/>
          <w:color w:val="000000" w:themeColor="text1"/>
          <w:szCs w:val="21"/>
          <w:u w:val="single"/>
          <w14:textFill>
            <w14:solidFill>
              <w14:schemeClr w14:val="tx1"/>
            </w14:solidFill>
          </w14:textFill>
        </w:rPr>
      </w:pPr>
      <w:r>
        <w:rPr>
          <w:rFonts w:hint="eastAsia" w:ascii="宋体" w:hAnsi="宋体"/>
          <w:b/>
          <w:color w:val="000000" w:themeColor="text1"/>
          <w:szCs w:val="21"/>
          <w14:textFill>
            <w14:solidFill>
              <w14:schemeClr w14:val="tx1"/>
            </w14:solidFill>
          </w14:textFill>
        </w:rPr>
        <w:t>采购预算：</w:t>
      </w:r>
      <w:r>
        <w:rPr>
          <w:rFonts w:hint="eastAsia" w:ascii="宋体" w:hAnsi="宋体"/>
          <w:b/>
          <w:color w:val="000000" w:themeColor="text1"/>
          <w:szCs w:val="21"/>
          <w:lang w:val="en-US" w:eastAsia="zh-CN"/>
          <w14:textFill>
            <w14:solidFill>
              <w14:schemeClr w14:val="tx1"/>
            </w14:solidFill>
          </w14:textFill>
        </w:rPr>
        <w:t>20</w:t>
      </w:r>
      <w:r>
        <w:rPr>
          <w:rFonts w:hint="eastAsia" w:ascii="宋体" w:hAnsi="宋体"/>
          <w:b/>
          <w:color w:val="000000" w:themeColor="text1"/>
          <w:szCs w:val="21"/>
          <w14:textFill>
            <w14:solidFill>
              <w14:schemeClr w14:val="tx1"/>
            </w14:solidFill>
          </w14:textFill>
        </w:rPr>
        <w:t>万元</w:t>
      </w:r>
    </w:p>
    <w:tbl>
      <w:tblPr>
        <w:tblStyle w:val="18"/>
        <w:tblW w:w="98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5"/>
        <w:gridCol w:w="1499"/>
        <w:gridCol w:w="900"/>
        <w:gridCol w:w="750"/>
        <w:gridCol w:w="6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7" w:hRule="atLeast"/>
          <w:jc w:val="center"/>
        </w:trPr>
        <w:tc>
          <w:tcPr>
            <w:tcW w:w="655" w:type="dxa"/>
            <w:vAlign w:val="center"/>
          </w:tcPr>
          <w:p>
            <w:pPr>
              <w:tabs>
                <w:tab w:val="left" w:pos="180"/>
                <w:tab w:val="left" w:pos="1620"/>
              </w:tabs>
              <w:spacing w:line="3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序号</w:t>
            </w:r>
          </w:p>
        </w:tc>
        <w:tc>
          <w:tcPr>
            <w:tcW w:w="1499" w:type="dxa"/>
            <w:vAlign w:val="center"/>
          </w:tcPr>
          <w:p>
            <w:pPr>
              <w:tabs>
                <w:tab w:val="left" w:pos="180"/>
                <w:tab w:val="left" w:pos="1620"/>
              </w:tabs>
              <w:spacing w:line="3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标的名称</w:t>
            </w:r>
          </w:p>
        </w:tc>
        <w:tc>
          <w:tcPr>
            <w:tcW w:w="900" w:type="dxa"/>
            <w:vAlign w:val="center"/>
          </w:tcPr>
          <w:p>
            <w:pPr>
              <w:tabs>
                <w:tab w:val="left" w:pos="180"/>
                <w:tab w:val="left" w:pos="1620"/>
              </w:tabs>
              <w:spacing w:line="3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数量及单位</w:t>
            </w:r>
          </w:p>
        </w:tc>
        <w:tc>
          <w:tcPr>
            <w:tcW w:w="750" w:type="dxa"/>
            <w:vAlign w:val="center"/>
          </w:tcPr>
          <w:p>
            <w:pPr>
              <w:tabs>
                <w:tab w:val="left" w:pos="180"/>
                <w:tab w:val="left" w:pos="1620"/>
              </w:tabs>
              <w:spacing w:line="3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所属</w:t>
            </w:r>
          </w:p>
          <w:p>
            <w:pPr>
              <w:tabs>
                <w:tab w:val="left" w:pos="180"/>
                <w:tab w:val="left" w:pos="1620"/>
              </w:tabs>
              <w:spacing w:line="3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行业</w:t>
            </w:r>
          </w:p>
        </w:tc>
        <w:tc>
          <w:tcPr>
            <w:tcW w:w="6025" w:type="dxa"/>
            <w:vAlign w:val="center"/>
          </w:tcPr>
          <w:p>
            <w:pPr>
              <w:tabs>
                <w:tab w:val="left" w:pos="180"/>
                <w:tab w:val="left" w:pos="1620"/>
              </w:tabs>
              <w:spacing w:line="320" w:lineRule="exact"/>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655" w:type="dxa"/>
            <w:vAlign w:val="center"/>
          </w:tcPr>
          <w:p>
            <w:pPr>
              <w:tabs>
                <w:tab w:val="left" w:pos="180"/>
                <w:tab w:val="left" w:pos="1620"/>
              </w:tabs>
              <w:spacing w:line="360" w:lineRule="auto"/>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499" w:type="dxa"/>
            <w:vAlign w:val="center"/>
          </w:tcPr>
          <w:p>
            <w:pPr>
              <w:spacing w:line="34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szCs w:val="21"/>
                <w:highlight w:val="none"/>
              </w:rPr>
              <w:t>南宁市降雨自动监测点运维服务项目</w:t>
            </w:r>
          </w:p>
        </w:tc>
        <w:tc>
          <w:tcPr>
            <w:tcW w:w="900" w:type="dxa"/>
            <w:vAlign w:val="center"/>
          </w:tcPr>
          <w:p>
            <w:pPr>
              <w:spacing w:line="340" w:lineRule="exact"/>
              <w:jc w:val="center"/>
              <w:rPr>
                <w:rFonts w:ascii="宋体" w:hAnsi="宋体" w:cs="宋体"/>
                <w:color w:val="000000" w:themeColor="text1"/>
                <w:szCs w:val="21"/>
                <w:highlight w:val="none"/>
                <w14:textFill>
                  <w14:solidFill>
                    <w14:schemeClr w14:val="tx1"/>
                  </w14:solidFill>
                </w14:textFill>
              </w:rPr>
            </w:pPr>
            <w:r>
              <w:rPr>
                <w:rFonts w:hint="eastAsia" w:ascii="宋体" w:hAnsi="宋体" w:cs="宋体"/>
                <w:szCs w:val="21"/>
                <w:highlight w:val="none"/>
              </w:rPr>
              <w:t>1项</w:t>
            </w:r>
          </w:p>
        </w:tc>
        <w:tc>
          <w:tcPr>
            <w:tcW w:w="750" w:type="dxa"/>
            <w:vAlign w:val="center"/>
          </w:tcPr>
          <w:p>
            <w:pPr>
              <w:spacing w:line="260" w:lineRule="exact"/>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其他未列明行业</w:t>
            </w:r>
          </w:p>
        </w:tc>
        <w:tc>
          <w:tcPr>
            <w:tcW w:w="6025" w:type="dxa"/>
            <w:vAlign w:val="center"/>
          </w:tcPr>
          <w:p>
            <w:pPr>
              <w:adjustRightInd w:val="0"/>
              <w:snapToGrid w:val="0"/>
              <w:spacing w:line="340" w:lineRule="exact"/>
              <w:ind w:firstLine="422" w:firstLineChars="200"/>
              <w:rPr>
                <w:rFonts w:ascii="宋体" w:hAnsi="宋体" w:cs="宋体"/>
                <w:b/>
                <w:szCs w:val="21"/>
                <w:highlight w:val="none"/>
              </w:rPr>
            </w:pPr>
            <w:r>
              <w:rPr>
                <w:rFonts w:hint="eastAsia" w:ascii="宋体" w:hAnsi="宋体" w:cs="宋体"/>
                <w:b/>
                <w:szCs w:val="21"/>
                <w:highlight w:val="none"/>
              </w:rPr>
              <w:t>1.项目概述</w:t>
            </w:r>
          </w:p>
          <w:p>
            <w:pPr>
              <w:adjustRightIn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本项目主要对南宁市4个降雨监测站点，其中国控站点2个：市监测站（位于南宁市民主路45号南宁生态环境监测中心院内）、新江镇（位于南宁市邕宁区新江镇人民政府院内）；区控站点2个：青山（南宁市竹溪大道33号南宁市生态环境局院内）、罗文（位于南宁市西乡塘区老口水站院内（大学西路161号万科悦湾附近））的运行维护，维护对象包括降雨监测站点内所有监测仪器、辅助设备、站点设施、监测数据的传输等，负责南宁市4个降雨监测站点降雨样品的采送样工作。</w:t>
            </w:r>
          </w:p>
          <w:p>
            <w:pPr>
              <w:adjustRightInd w:val="0"/>
              <w:snapToGrid w:val="0"/>
              <w:spacing w:line="340" w:lineRule="exact"/>
              <w:ind w:firstLine="422" w:firstLineChars="200"/>
              <w:rPr>
                <w:rFonts w:ascii="宋体" w:hAnsi="宋体" w:cs="宋体"/>
                <w:b/>
                <w:szCs w:val="21"/>
                <w:highlight w:val="none"/>
              </w:rPr>
            </w:pPr>
            <w:r>
              <w:rPr>
                <w:rFonts w:hint="eastAsia" w:ascii="宋体" w:hAnsi="宋体" w:cs="宋体"/>
                <w:b/>
                <w:szCs w:val="21"/>
                <w:highlight w:val="none"/>
              </w:rPr>
              <w:t>2.方法依据</w:t>
            </w:r>
          </w:p>
          <w:p>
            <w:pPr>
              <w:adjustRightInd w:val="0"/>
              <w:snapToGrid w:val="0"/>
              <w:spacing w:line="340" w:lineRule="exact"/>
              <w:ind w:firstLine="420" w:firstLineChars="200"/>
              <w:jc w:val="left"/>
              <w:rPr>
                <w:rFonts w:ascii="宋体" w:hAnsi="宋体" w:cs="宋体"/>
                <w:bCs/>
                <w:szCs w:val="21"/>
                <w:highlight w:val="none"/>
              </w:rPr>
            </w:pPr>
            <w:r>
              <w:rPr>
                <w:rFonts w:hint="eastAsia" w:ascii="宋体" w:hAnsi="宋体" w:cs="宋体"/>
                <w:bCs/>
                <w:szCs w:val="21"/>
                <w:highlight w:val="none"/>
              </w:rPr>
              <w:t>2.1《酸沉降监测技术规范》（HJ/T 165-2004）；</w:t>
            </w:r>
          </w:p>
          <w:p>
            <w:pPr>
              <w:adjustRightInd w:val="0"/>
              <w:snapToGrid w:val="0"/>
              <w:spacing w:line="340" w:lineRule="exact"/>
              <w:ind w:firstLine="420" w:firstLineChars="200"/>
              <w:jc w:val="left"/>
              <w:rPr>
                <w:rFonts w:ascii="宋体" w:hAnsi="宋体" w:cs="宋体"/>
                <w:bCs/>
                <w:szCs w:val="21"/>
                <w:highlight w:val="none"/>
              </w:rPr>
            </w:pPr>
            <w:r>
              <w:rPr>
                <w:rFonts w:hint="eastAsia" w:ascii="宋体" w:hAnsi="宋体" w:cs="宋体"/>
                <w:bCs/>
                <w:szCs w:val="21"/>
                <w:highlight w:val="none"/>
              </w:rPr>
              <w:t>2.2《大气降水采样和分析方法总则》（GB/T 13580.1-1992）；</w:t>
            </w:r>
          </w:p>
          <w:p>
            <w:pPr>
              <w:adjustRightInd w:val="0"/>
              <w:snapToGrid w:val="0"/>
              <w:spacing w:line="340" w:lineRule="exact"/>
              <w:ind w:firstLine="420" w:firstLineChars="200"/>
              <w:jc w:val="left"/>
              <w:rPr>
                <w:rFonts w:ascii="宋体" w:hAnsi="宋体" w:cs="宋体"/>
                <w:bCs/>
                <w:szCs w:val="21"/>
                <w:highlight w:val="none"/>
              </w:rPr>
            </w:pPr>
            <w:r>
              <w:rPr>
                <w:rFonts w:hint="eastAsia" w:ascii="宋体" w:hAnsi="宋体" w:cs="宋体"/>
                <w:bCs/>
                <w:szCs w:val="21"/>
                <w:highlight w:val="none"/>
              </w:rPr>
              <w:t>2.3《大气降水样品采集与保存》（GB/T 13580.2-1992）；</w:t>
            </w:r>
          </w:p>
          <w:p>
            <w:pPr>
              <w:adjustRightInd w:val="0"/>
              <w:snapToGrid w:val="0"/>
              <w:spacing w:line="340" w:lineRule="exact"/>
              <w:ind w:firstLine="420" w:firstLineChars="200"/>
              <w:jc w:val="left"/>
              <w:rPr>
                <w:rFonts w:ascii="宋体" w:hAnsi="宋体" w:cs="宋体"/>
                <w:bCs/>
                <w:szCs w:val="21"/>
                <w:highlight w:val="none"/>
              </w:rPr>
            </w:pPr>
            <w:r>
              <w:rPr>
                <w:rFonts w:hint="eastAsia" w:ascii="宋体" w:hAnsi="宋体" w:cs="宋体"/>
                <w:bCs/>
                <w:szCs w:val="21"/>
                <w:highlight w:val="none"/>
              </w:rPr>
              <w:t>2.4《大气降水电导率的测定方法》（GB/T 13580.3-1992）；</w:t>
            </w:r>
          </w:p>
          <w:p>
            <w:pPr>
              <w:adjustRightInd w:val="0"/>
              <w:snapToGrid w:val="0"/>
              <w:spacing w:line="340" w:lineRule="exact"/>
              <w:ind w:firstLine="420" w:firstLineChars="200"/>
              <w:jc w:val="left"/>
              <w:rPr>
                <w:rFonts w:ascii="宋体" w:hAnsi="宋体" w:cs="宋体"/>
                <w:bCs/>
                <w:szCs w:val="21"/>
                <w:highlight w:val="none"/>
              </w:rPr>
            </w:pPr>
            <w:r>
              <w:rPr>
                <w:rFonts w:hint="eastAsia" w:ascii="宋体" w:hAnsi="宋体" w:cs="宋体"/>
                <w:bCs/>
                <w:szCs w:val="21"/>
                <w:highlight w:val="none"/>
              </w:rPr>
              <w:t>2.5《大气降水pH值的测定电极法》（GB/T 13580.4-1992）；</w:t>
            </w:r>
          </w:p>
          <w:p>
            <w:pPr>
              <w:adjustRightInd w:val="0"/>
              <w:snapToGrid w:val="0"/>
              <w:spacing w:line="340" w:lineRule="exact"/>
              <w:ind w:firstLine="420" w:firstLineChars="200"/>
              <w:jc w:val="left"/>
              <w:rPr>
                <w:rFonts w:ascii="宋体" w:hAnsi="宋体" w:cs="宋体"/>
                <w:bCs/>
                <w:szCs w:val="21"/>
                <w:highlight w:val="none"/>
              </w:rPr>
            </w:pPr>
            <w:r>
              <w:rPr>
                <w:rFonts w:hint="eastAsia" w:ascii="宋体" w:hAnsi="宋体" w:cs="宋体"/>
                <w:bCs/>
                <w:szCs w:val="21"/>
                <w:highlight w:val="none"/>
              </w:rPr>
              <w:t>2.6《降雨自动监测仪技术要求及检测方法》（HJ/T 175-2005）。</w:t>
            </w:r>
          </w:p>
          <w:p>
            <w:pPr>
              <w:adjustRightInd w:val="0"/>
              <w:snapToGrid w:val="0"/>
              <w:spacing w:line="340" w:lineRule="exact"/>
              <w:ind w:firstLine="420" w:firstLineChars="200"/>
              <w:jc w:val="left"/>
              <w:rPr>
                <w:rFonts w:ascii="宋体" w:hAnsi="宋体" w:cs="宋体"/>
                <w:bCs/>
                <w:szCs w:val="21"/>
                <w:highlight w:val="none"/>
              </w:rPr>
            </w:pPr>
            <w:r>
              <w:rPr>
                <w:rFonts w:hint="eastAsia" w:ascii="宋体" w:hAnsi="宋体" w:cs="宋体"/>
                <w:bCs/>
                <w:szCs w:val="21"/>
                <w:highlight w:val="none"/>
              </w:rPr>
              <w:t>2.7《广西壮族自治区大气降水自动监测技术方案》（详见附件1）；</w:t>
            </w:r>
          </w:p>
          <w:p>
            <w:pPr>
              <w:adjustRightInd w:val="0"/>
              <w:snapToGrid w:val="0"/>
              <w:spacing w:line="340" w:lineRule="exact"/>
              <w:ind w:firstLine="422" w:firstLineChars="200"/>
              <w:rPr>
                <w:rFonts w:ascii="宋体" w:hAnsi="宋体" w:cs="宋体"/>
                <w:b/>
                <w:szCs w:val="21"/>
                <w:highlight w:val="none"/>
              </w:rPr>
            </w:pPr>
            <w:r>
              <w:rPr>
                <w:rFonts w:hint="eastAsia" w:ascii="宋体" w:hAnsi="宋体" w:cs="宋体"/>
                <w:b/>
                <w:szCs w:val="21"/>
                <w:highlight w:val="none"/>
              </w:rPr>
              <w:t>3.具体工作内容</w:t>
            </w:r>
          </w:p>
          <w:p>
            <w:pPr>
              <w:adjustRightIn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3.1按照方法依据的要求清洗采样瓶（仪器自带），晾干备用；准备冷藏箱（供应商自备）、样品标签（采购方提供）、采样交接记录、维护记录、维修记录、仪器校准记录、质控记录、巡查记录等（采购方提供电子模板）。</w:t>
            </w:r>
          </w:p>
          <w:p>
            <w:pPr>
              <w:adjustRightIn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3.2按规范收集大气降水样品，填写样品标签、采样/送样交接记录表；查看仪器状态，根据《广西壮族自治区大气降水自动监测技术方案》（详见附件1）确定pH值、电导率、降雨量是否需要实验室分析；观察周围环境，是否存在变化和明显污染源；将采集的样品、采样仪器现场拍照，照片须有经纬度及采样时间的水印。</w:t>
            </w:r>
          </w:p>
          <w:p>
            <w:pPr>
              <w:adjustRightIn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3.3每天登录广西壮族自治区酸雨监测质量控制系统查看4个降雨监测站点的pH值、电导率、降雨量等数据。</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3.4每个站点至少每两周进行1次在线设备pH值和电导率校准（校准要求详见附件1）。完成校准工作后，将校准原始记录表格及校准现场照片发采购方备案。</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3.5每个站点每月至少采集一次样品空白（做法要求详见附件1）。</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3.6每个站点每月至少进行一次实验室与在线设备pH值比对（比对要求详见附件1）。</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3.7在每月初(第一场雨之前)尽快分析采购方下发的质控考核样并及时向采购方报告结果。并在每月pH值自动监测与实验室监测比对未通过时，及时分析补发的质控考核样。若质控样考核未通过应及时排查原因，校准仪器后再次监测质控样，直到合格为止。</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3.8每个站点每季度至少清洗一次仪器自带的集雨桶和雨量桶。</w:t>
            </w:r>
          </w:p>
          <w:p>
            <w:pPr>
              <w:adjustRightInd w:val="0"/>
              <w:snapToGrid w:val="0"/>
              <w:spacing w:line="340" w:lineRule="exact"/>
              <w:ind w:firstLine="420" w:firstLineChars="200"/>
              <w:rPr>
                <w:rFonts w:ascii="宋体" w:hAnsi="宋体" w:cs="宋体"/>
                <w:bCs/>
                <w:color w:val="C00000"/>
                <w:szCs w:val="21"/>
                <w:highlight w:val="none"/>
              </w:rPr>
            </w:pPr>
            <w:r>
              <w:rPr>
                <w:rFonts w:hint="eastAsia" w:ascii="宋体" w:hAnsi="宋体" w:cs="宋体"/>
                <w:bCs/>
                <w:szCs w:val="21"/>
                <w:highlight w:val="none"/>
              </w:rPr>
              <w:t>3.9每个站点每季度至少采集一个全程序空白样品（要求见附件1）。</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3.10因停电造成仪器无法采集样品，若该点位有备用手工采样器采集的样品，该样品是否由供应商采集送样，由采购方确定，供应商需备注样品性状为“手工采样样品”。</w:t>
            </w:r>
          </w:p>
          <w:p>
            <w:pPr>
              <w:adjustRightInd w:val="0"/>
              <w:snapToGrid w:val="0"/>
              <w:spacing w:line="340" w:lineRule="exact"/>
              <w:ind w:firstLine="422" w:firstLineChars="200"/>
              <w:rPr>
                <w:rFonts w:ascii="宋体" w:hAnsi="宋体" w:cs="宋体"/>
                <w:b/>
                <w:szCs w:val="21"/>
                <w:highlight w:val="none"/>
              </w:rPr>
            </w:pPr>
            <w:r>
              <w:rPr>
                <w:rFonts w:hint="eastAsia" w:ascii="宋体" w:hAnsi="宋体" w:cs="宋体"/>
                <w:b/>
                <w:szCs w:val="21"/>
                <w:highlight w:val="none"/>
              </w:rPr>
              <w:t>4.工作要求</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4.1每天登录广西壮族自治区酸雨监测质量控制系统查看仪器状态信息、监测数据等信息，拍照或截图上传并填写相关记录。</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4.2逢雨必采，逢雨必送，每天上午9:00至次日上午9:00的降雨视为一个样品，须在次日15时前送到采购方指定实验室并完成样品交接。因不可抗拒原因造成的样品采集延迟，该次样品仍需送样，并在送样记录单备注延迟原因。</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4.3运维人员必须按照采购方的要求规范填写样品标签、采样交接记录、维护记录、维修记录、巡查记录等。采样交接记录、仪器校准记录、质控记录及维修记录等应按次提交采购方存档备案；维护记录及巡查记录等按月提交采购方存档备案。</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4.4广西壮族自治区酸雨监测质量控制系统上降雨监测站点有降雨量数据时，必须到现场。样品不足50mL时，须核实在线数据是否有pH值、电导率、降雨量数据，如数据有效，当次可不送样，仍须拍照给采购方备查。</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4.5采样人员在采样现场须拍水印照，样品交接时给接样人员出示手机拍摄的证明照片，证明样品采集的位置，样品的性状。照片水印信息应包括：点位经纬度、点位所在地名称、时间信息。照片内容包括：样品量、样品与仪器的合影、仪器与其周边环境。</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4.6放置洗涤干净的仪器采样瓶，恢复原始瓶数量。</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4.7瑞士DIGITEL仪器自动换瓶后，无论是否收集到样品，都需要清洗采样瓶。</w:t>
            </w:r>
          </w:p>
          <w:p>
            <w:pPr>
              <w:adjustRightInd w:val="0"/>
              <w:snapToGri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4.8做好4个降雨监测站点的安全保障，并确保仪器设备正常运行。</w:t>
            </w:r>
          </w:p>
          <w:p>
            <w:pPr>
              <w:adjustRightInd w:val="0"/>
              <w:snapToGrid w:val="0"/>
              <w:spacing w:line="340" w:lineRule="exact"/>
              <w:ind w:firstLine="420" w:firstLineChars="200"/>
              <w:rPr>
                <w:rFonts w:ascii="宋体" w:hAnsi="宋体" w:cs="宋体"/>
                <w:bCs/>
                <w:color w:val="FF0000"/>
                <w:szCs w:val="21"/>
                <w:highlight w:val="none"/>
              </w:rPr>
            </w:pPr>
            <w:r>
              <w:rPr>
                <w:rFonts w:hint="eastAsia" w:ascii="宋体" w:hAnsi="宋体" w:cs="宋体"/>
                <w:bCs/>
                <w:szCs w:val="21"/>
                <w:highlight w:val="none"/>
              </w:rPr>
              <w:t>4.9故障响应时间：当设备出现故障，接到故障通知后，1小时内作出响应，在24小时内到达用户现场，48小时内按国家及行业标准排除故障，并提供7×24小时电话咨询服务。仪器设备故障停机时间应控制在15个自然日内，如遇特殊情况，须同采购人商议解决。</w:t>
            </w:r>
          </w:p>
          <w:p>
            <w:pPr>
              <w:adjustRightIn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4.10 定期保养内容包括但不限于系统诊断、添加pH及电导率电极保护液、标定pH及电导率电极、添加清洗液、清洗管路等，该部分耗材、设备清洗用水、实验用水等支出由供应商负责。</w:t>
            </w:r>
          </w:p>
          <w:p>
            <w:pPr>
              <w:adjustRightInd w:val="0"/>
              <w:spacing w:line="340" w:lineRule="exact"/>
              <w:ind w:firstLine="420" w:firstLineChars="200"/>
              <w:rPr>
                <w:rFonts w:ascii="宋体" w:hAnsi="宋体" w:cs="宋体"/>
                <w:bCs/>
                <w:szCs w:val="21"/>
                <w:highlight w:val="none"/>
              </w:rPr>
            </w:pPr>
            <w:r>
              <w:rPr>
                <w:rFonts w:hint="eastAsia" w:ascii="宋体" w:hAnsi="宋体" w:cs="宋体"/>
                <w:bCs/>
                <w:szCs w:val="21"/>
                <w:highlight w:val="none"/>
              </w:rPr>
              <w:t>4.11合同期内由供应商负责仪器设备故障的维修，维修内容需经采购人审核确认，产生的维修费用采取由供应商总包方式，全年3万元封顶，超出部分由采购方承担。</w:t>
            </w:r>
          </w:p>
          <w:p>
            <w:pPr>
              <w:adjustRightInd w:val="0"/>
              <w:snapToGrid w:val="0"/>
              <w:spacing w:line="340" w:lineRule="exact"/>
              <w:ind w:firstLine="422" w:firstLineChars="200"/>
              <w:rPr>
                <w:rFonts w:ascii="宋体" w:hAnsi="宋体" w:cs="宋体"/>
                <w:b/>
                <w:szCs w:val="21"/>
                <w:highlight w:val="none"/>
              </w:rPr>
            </w:pPr>
            <w:r>
              <w:rPr>
                <w:rFonts w:hint="eastAsia" w:ascii="宋体" w:hAnsi="宋体" w:cs="宋体"/>
                <w:b/>
                <w:szCs w:val="21"/>
                <w:highlight w:val="none"/>
              </w:rPr>
              <w:t>5.人员配备</w:t>
            </w:r>
          </w:p>
          <w:p>
            <w:pPr>
              <w:adjustRightInd w:val="0"/>
              <w:snapToGrid w:val="0"/>
              <w:spacing w:line="340" w:lineRule="exact"/>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bCs/>
                <w:szCs w:val="21"/>
                <w:highlight w:val="none"/>
              </w:rPr>
              <w:t>项目运维人员至少2名。运维期间，运维人员离职须提前10日报告采购人，新补充的运维人员应具备同等资质。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829" w:type="dxa"/>
            <w:gridSpan w:val="5"/>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hint="eastAsia" w:ascii="宋体" w:hAnsi="宋体" w:eastAsia="宋体" w:cs="宋体"/>
                <w:szCs w:val="21"/>
                <w:highlight w:val="none"/>
                <w:lang w:eastAsia="zh-CN"/>
              </w:rPr>
            </w:pPr>
            <w:r>
              <w:rPr>
                <w:rFonts w:hint="eastAsia" w:ascii="宋体" w:hAnsi="宋体" w:cs="宋体"/>
                <w:b/>
                <w:bCs/>
                <w:szCs w:val="21"/>
                <w:highlight w:val="none"/>
                <w:lang w:eastAsia="zh-CN"/>
              </w:rPr>
              <w:t>商务条例：</w:t>
            </w:r>
          </w:p>
          <w:p>
            <w:pPr>
              <w:snapToGrid w:val="0"/>
              <w:spacing w:line="360" w:lineRule="exact"/>
              <w:jc w:val="left"/>
              <w:rPr>
                <w:rFonts w:ascii="宋体" w:hAnsi="宋体" w:cs="宋体"/>
                <w:szCs w:val="21"/>
                <w:highlight w:val="none"/>
              </w:rPr>
            </w:pPr>
            <w:r>
              <w:rPr>
                <w:rFonts w:hint="eastAsia" w:ascii="宋体" w:hAnsi="宋体" w:cs="宋体"/>
                <w:szCs w:val="21"/>
                <w:highlight w:val="none"/>
              </w:rPr>
              <w:t>1.合同签订期：自成交通知书发出之日起10个自然日内签订。</w:t>
            </w:r>
          </w:p>
          <w:p>
            <w:pPr>
              <w:snapToGrid w:val="0"/>
              <w:spacing w:line="360" w:lineRule="exact"/>
              <w:jc w:val="left"/>
              <w:rPr>
                <w:rFonts w:ascii="宋体" w:hAnsi="宋体" w:cs="宋体"/>
                <w:szCs w:val="21"/>
                <w:highlight w:val="none"/>
              </w:rPr>
            </w:pPr>
            <w:r>
              <w:rPr>
                <w:rFonts w:hint="eastAsia" w:ascii="宋体" w:hAnsi="宋体" w:cs="宋体"/>
                <w:szCs w:val="21"/>
                <w:highlight w:val="none"/>
              </w:rPr>
              <w:t>2.运维期限：双方签订合同之日起一年。</w:t>
            </w:r>
          </w:p>
          <w:p>
            <w:pPr>
              <w:snapToGrid w:val="0"/>
              <w:spacing w:line="360" w:lineRule="exact"/>
              <w:jc w:val="left"/>
              <w:rPr>
                <w:rFonts w:ascii="宋体" w:hAnsi="宋体" w:cs="宋体"/>
                <w:szCs w:val="21"/>
                <w:highlight w:val="none"/>
              </w:rPr>
            </w:pPr>
            <w:r>
              <w:rPr>
                <w:rFonts w:hint="eastAsia" w:ascii="宋体" w:hAnsi="宋体" w:cs="宋体"/>
                <w:szCs w:val="21"/>
                <w:highlight w:val="none"/>
              </w:rPr>
              <w:t>3.提交服务成果时间：根据考核结果定。</w:t>
            </w:r>
          </w:p>
          <w:p>
            <w:pPr>
              <w:snapToGrid w:val="0"/>
              <w:spacing w:line="360" w:lineRule="exact"/>
              <w:jc w:val="left"/>
              <w:rPr>
                <w:rFonts w:ascii="宋体" w:hAnsi="宋体" w:cs="宋体"/>
                <w:szCs w:val="21"/>
                <w:highlight w:val="none"/>
              </w:rPr>
            </w:pPr>
            <w:r>
              <w:rPr>
                <w:rFonts w:hint="eastAsia" w:ascii="宋体" w:hAnsi="宋体" w:cs="宋体"/>
                <w:szCs w:val="21"/>
                <w:highlight w:val="none"/>
              </w:rPr>
              <w:t>4.交货地点：南宁市（采购人指定地点）</w:t>
            </w:r>
          </w:p>
          <w:p>
            <w:pPr>
              <w:snapToGrid w:val="0"/>
              <w:spacing w:line="360" w:lineRule="exact"/>
              <w:jc w:val="left"/>
              <w:rPr>
                <w:rFonts w:ascii="宋体" w:hAnsi="宋体" w:cs="宋体"/>
                <w:szCs w:val="21"/>
                <w:highlight w:val="none"/>
              </w:rPr>
            </w:pPr>
            <w:r>
              <w:rPr>
                <w:rFonts w:hint="eastAsia" w:ascii="宋体" w:hAnsi="宋体" w:cs="宋体"/>
                <w:szCs w:val="21"/>
                <w:highlight w:val="none"/>
              </w:rPr>
              <w:t>5.售后服务要求：</w:t>
            </w:r>
          </w:p>
          <w:p>
            <w:pPr>
              <w:snapToGrid w:val="0"/>
              <w:spacing w:line="360" w:lineRule="exact"/>
              <w:ind w:firstLine="210" w:firstLineChars="100"/>
              <w:jc w:val="left"/>
              <w:rPr>
                <w:rFonts w:ascii="宋体" w:hAnsi="宋体" w:cs="宋体"/>
                <w:szCs w:val="21"/>
                <w:highlight w:val="none"/>
              </w:rPr>
            </w:pPr>
            <w:r>
              <w:rPr>
                <w:rFonts w:hint="eastAsia" w:ascii="宋体" w:hAnsi="宋体" w:cs="宋体"/>
                <w:szCs w:val="21"/>
                <w:highlight w:val="none"/>
              </w:rPr>
              <w:t>采购人按附件2进行考核。</w:t>
            </w:r>
          </w:p>
          <w:p>
            <w:pPr>
              <w:snapToGrid w:val="0"/>
              <w:spacing w:line="360" w:lineRule="exact"/>
              <w:jc w:val="left"/>
              <w:rPr>
                <w:rFonts w:ascii="宋体" w:hAnsi="宋体" w:cs="宋体"/>
                <w:szCs w:val="21"/>
                <w:highlight w:val="none"/>
              </w:rPr>
            </w:pPr>
            <w:r>
              <w:rPr>
                <w:rFonts w:hint="eastAsia" w:ascii="宋体" w:hAnsi="宋体" w:cs="宋体"/>
                <w:szCs w:val="21"/>
                <w:highlight w:val="none"/>
              </w:rPr>
              <w:t>6.报价必须含以下部分，包括：</w:t>
            </w:r>
          </w:p>
          <w:p>
            <w:pPr>
              <w:snapToGrid w:val="0"/>
              <w:spacing w:line="360" w:lineRule="exact"/>
              <w:jc w:val="left"/>
              <w:rPr>
                <w:rFonts w:ascii="宋体" w:hAnsi="宋体" w:cs="宋体"/>
                <w:szCs w:val="21"/>
                <w:highlight w:val="none"/>
              </w:rPr>
            </w:pPr>
            <w:r>
              <w:rPr>
                <w:rFonts w:hint="eastAsia" w:ascii="宋体" w:hAnsi="宋体" w:cs="宋体"/>
                <w:szCs w:val="21"/>
                <w:highlight w:val="none"/>
              </w:rPr>
              <w:t>（1）服务的价格（其中人员工资不能低于南宁市最低标准）；</w:t>
            </w:r>
          </w:p>
          <w:p>
            <w:pPr>
              <w:snapToGrid w:val="0"/>
              <w:spacing w:line="360" w:lineRule="exact"/>
              <w:jc w:val="left"/>
              <w:rPr>
                <w:rFonts w:ascii="宋体" w:hAnsi="宋体" w:cs="宋体"/>
                <w:szCs w:val="21"/>
                <w:highlight w:val="none"/>
              </w:rPr>
            </w:pPr>
            <w:r>
              <w:rPr>
                <w:rFonts w:hint="eastAsia" w:ascii="宋体" w:hAnsi="宋体" w:cs="宋体"/>
                <w:szCs w:val="21"/>
                <w:highlight w:val="none"/>
              </w:rPr>
              <w:t>（2）必要的保险费用和各项税金；</w:t>
            </w:r>
          </w:p>
          <w:p>
            <w:pPr>
              <w:snapToGrid w:val="0"/>
              <w:spacing w:line="360" w:lineRule="exact"/>
              <w:jc w:val="left"/>
              <w:rPr>
                <w:rFonts w:ascii="宋体" w:hAnsi="宋体" w:cs="宋体"/>
                <w:szCs w:val="21"/>
                <w:highlight w:val="none"/>
              </w:rPr>
            </w:pPr>
            <w:r>
              <w:rPr>
                <w:rFonts w:hint="eastAsia" w:ascii="宋体" w:hAnsi="宋体" w:cs="宋体"/>
                <w:szCs w:val="21"/>
                <w:highlight w:val="none"/>
              </w:rPr>
              <w:t>（3）服务内容涉及的所有开支</w:t>
            </w:r>
          </w:p>
          <w:p>
            <w:pPr>
              <w:snapToGrid w:val="0"/>
              <w:spacing w:line="360" w:lineRule="exact"/>
              <w:jc w:val="left"/>
              <w:rPr>
                <w:rFonts w:ascii="宋体" w:hAnsi="宋体" w:cs="宋体"/>
                <w:szCs w:val="21"/>
                <w:highlight w:val="none"/>
              </w:rPr>
            </w:pPr>
            <w:r>
              <w:rPr>
                <w:rFonts w:hint="eastAsia" w:ascii="宋体" w:hAnsi="宋体" w:cs="宋体"/>
                <w:szCs w:val="21"/>
                <w:highlight w:val="none"/>
              </w:rPr>
              <w:t>7.付款条件：</w:t>
            </w:r>
          </w:p>
          <w:p>
            <w:pPr>
              <w:spacing w:line="360" w:lineRule="exact"/>
              <w:ind w:firstLine="420" w:firstLineChars="200"/>
              <w:rPr>
                <w:rFonts w:ascii="宋体" w:hAnsi="宋体" w:cs="宋体"/>
                <w:color w:val="FF0000"/>
                <w:szCs w:val="21"/>
                <w:highlight w:val="none"/>
              </w:rPr>
            </w:pPr>
            <w:r>
              <w:rPr>
                <w:rFonts w:hint="eastAsia" w:ascii="宋体" w:hAnsi="宋体" w:cs="宋体"/>
                <w:szCs w:val="21"/>
                <w:highlight w:val="none"/>
              </w:rPr>
              <w:t>（1）支付时间：合同签订后，30日内支付合同总额30%预付款，剩余70%合同款分四次支付：2024年6月、9月、12月以及2025年4月各支付一次。</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（2）付款条件</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a.支付预付款后，剩余合同款支付前采购方会对合同约定的服务内容进行不少于1次考核（考核内容详见附件2），考核得分≥90分的不扣款；90分＞考核得分≥60分的，每低1分扣除当期合同款的1%；＜60分的不支付当期合同款，解除合同关系并要求中标供应商退回预付款。</w:t>
            </w:r>
          </w:p>
          <w:p>
            <w:pPr>
              <w:ind w:firstLine="420" w:firstLineChars="200"/>
              <w:rPr>
                <w:highlight w:val="none"/>
              </w:rPr>
            </w:pPr>
            <w:r>
              <w:rPr>
                <w:rFonts w:hint="eastAsia" w:ascii="宋体" w:hAnsi="宋体" w:cs="宋体"/>
                <w:szCs w:val="21"/>
                <w:highlight w:val="none"/>
              </w:rPr>
              <w:t>b.中标供应商</w:t>
            </w:r>
            <w:r>
              <w:rPr>
                <w:rFonts w:hint="eastAsia"/>
                <w:highlight w:val="none"/>
              </w:rPr>
              <w:t>提供当次付款金额的发票和</w:t>
            </w:r>
            <w:r>
              <w:rPr>
                <w:highlight w:val="none"/>
              </w:rPr>
              <w:t>请款函</w:t>
            </w:r>
            <w:r>
              <w:rPr>
                <w:rFonts w:hint="eastAsia"/>
                <w:highlight w:val="none"/>
              </w:rPr>
              <w:t>后1</w:t>
            </w:r>
            <w:r>
              <w:rPr>
                <w:highlight w:val="none"/>
              </w:rPr>
              <w:t>0</w:t>
            </w:r>
            <w:r>
              <w:rPr>
                <w:rFonts w:hint="eastAsia"/>
                <w:highlight w:val="none"/>
              </w:rPr>
              <w:t>个工作日内支付，考核得分</w:t>
            </w:r>
            <w:r>
              <w:rPr>
                <w:rFonts w:hint="eastAsia" w:ascii="宋体" w:hAnsi="宋体" w:cs="宋体"/>
                <w:szCs w:val="21"/>
                <w:highlight w:val="none"/>
              </w:rPr>
              <w:t>≥</w:t>
            </w:r>
            <w:r>
              <w:rPr>
                <w:rFonts w:hint="eastAsia"/>
                <w:highlight w:val="none"/>
              </w:rPr>
              <w:t>90</w:t>
            </w:r>
            <w:r>
              <w:rPr>
                <w:highlight w:val="none"/>
              </w:rPr>
              <w:t>分的不扣款，低于</w:t>
            </w:r>
            <w:r>
              <w:rPr>
                <w:rFonts w:hint="eastAsia"/>
                <w:highlight w:val="none"/>
              </w:rPr>
              <w:t>90</w:t>
            </w:r>
            <w:r>
              <w:rPr>
                <w:highlight w:val="none"/>
              </w:rPr>
              <w:t>分的，</w:t>
            </w:r>
            <w:r>
              <w:rPr>
                <w:rFonts w:ascii="Times New Roman" w:hAnsi="Times New Roman"/>
                <w:highlight w:val="none"/>
              </w:rPr>
              <w:t>每低1分扣除</w:t>
            </w:r>
            <w:r>
              <w:rPr>
                <w:rFonts w:hint="eastAsia" w:ascii="宋体" w:hAnsi="宋体" w:cs="宋体"/>
                <w:szCs w:val="21"/>
                <w:highlight w:val="none"/>
              </w:rPr>
              <w:t>当期</w:t>
            </w:r>
            <w:r>
              <w:rPr>
                <w:rFonts w:ascii="Times New Roman" w:hAnsi="Times New Roman"/>
                <w:highlight w:val="none"/>
              </w:rPr>
              <w:t>合同款的1%，每</w:t>
            </w:r>
            <w:r>
              <w:rPr>
                <w:rFonts w:hint="eastAsia" w:ascii="Times New Roman" w:hAnsi="Times New Roman"/>
                <w:highlight w:val="none"/>
              </w:rPr>
              <w:t>次</w:t>
            </w:r>
            <w:r>
              <w:rPr>
                <w:rFonts w:ascii="Times New Roman" w:hAnsi="Times New Roman"/>
                <w:highlight w:val="none"/>
              </w:rPr>
              <w:t>扣款最高不超过总合同款的10%，</w:t>
            </w:r>
            <w:r>
              <w:rPr>
                <w:rFonts w:hint="eastAsia" w:ascii="Times New Roman" w:hAnsi="Times New Roman"/>
                <w:highlight w:val="none"/>
              </w:rPr>
              <w:t>实际</w:t>
            </w:r>
            <w:r>
              <w:rPr>
                <w:rFonts w:ascii="Times New Roman" w:hAnsi="Times New Roman"/>
                <w:highlight w:val="none"/>
              </w:rPr>
              <w:t>扣款</w:t>
            </w:r>
            <w:r>
              <w:rPr>
                <w:rFonts w:hint="eastAsia" w:ascii="Times New Roman" w:hAnsi="Times New Roman"/>
                <w:highlight w:val="none"/>
              </w:rPr>
              <w:t>在当</w:t>
            </w:r>
            <w:r>
              <w:rPr>
                <w:rFonts w:ascii="Times New Roman" w:hAnsi="Times New Roman"/>
                <w:highlight w:val="none"/>
              </w:rPr>
              <w:t>次结算时</w:t>
            </w:r>
            <w:r>
              <w:rPr>
                <w:rFonts w:hint="eastAsia" w:ascii="Times New Roman" w:hAnsi="Times New Roman"/>
                <w:highlight w:val="none"/>
              </w:rPr>
              <w:t>予以</w:t>
            </w:r>
            <w:r>
              <w:rPr>
                <w:rFonts w:ascii="Times New Roman" w:hAnsi="Times New Roman"/>
                <w:highlight w:val="none"/>
              </w:rPr>
              <w:t>扣除</w:t>
            </w:r>
            <w:r>
              <w:rPr>
                <w:rFonts w:hint="eastAsia" w:ascii="Times New Roman" w:hAnsi="Times New Roman"/>
                <w:highlight w:val="none"/>
              </w:rPr>
              <w:t>。</w:t>
            </w:r>
          </w:p>
          <w:p>
            <w:pPr>
              <w:snapToGrid w:val="0"/>
              <w:spacing w:line="360" w:lineRule="exact"/>
              <w:jc w:val="left"/>
              <w:rPr>
                <w:rFonts w:ascii="宋体" w:hAnsi="宋体" w:cs="宋体"/>
                <w:szCs w:val="21"/>
                <w:highlight w:val="none"/>
              </w:rPr>
            </w:pPr>
            <w:r>
              <w:rPr>
                <w:rFonts w:hint="eastAsia" w:ascii="宋体" w:hAnsi="宋体" w:cs="宋体"/>
                <w:szCs w:val="21"/>
                <w:highlight w:val="none"/>
              </w:rPr>
              <w:t>8.投标人如需实地勘察，请自行前往，勘察费用自理。</w:t>
            </w:r>
          </w:p>
          <w:p>
            <w:pPr>
              <w:snapToGrid w:val="0"/>
              <w:spacing w:line="360" w:lineRule="exact"/>
              <w:jc w:val="left"/>
              <w:rPr>
                <w:rFonts w:ascii="宋体" w:hAnsi="宋体" w:cs="宋体"/>
                <w:szCs w:val="21"/>
                <w:highlight w:val="none"/>
              </w:rPr>
            </w:pPr>
            <w:r>
              <w:rPr>
                <w:rFonts w:hint="eastAsia" w:ascii="宋体" w:hAnsi="宋体" w:cs="宋体"/>
                <w:szCs w:val="21"/>
                <w:highlight w:val="none"/>
              </w:rPr>
              <w:t>9.本项目不接受投标人联合体投标、不得转包、不得挂靠。</w:t>
            </w:r>
          </w:p>
          <w:p>
            <w:pPr>
              <w:snapToGrid w:val="0"/>
              <w:spacing w:line="360" w:lineRule="exact"/>
              <w:jc w:val="left"/>
              <w:rPr>
                <w:rFonts w:ascii="宋体" w:hAnsi="宋体" w:cs="宋体"/>
                <w:szCs w:val="21"/>
                <w:highlight w:val="none"/>
              </w:rPr>
            </w:pPr>
            <w:r>
              <w:rPr>
                <w:rFonts w:hint="eastAsia" w:ascii="宋体" w:hAnsi="宋体" w:cs="宋体"/>
                <w:szCs w:val="21"/>
                <w:highlight w:val="none"/>
              </w:rPr>
              <w:t>10.后续服务：供应商提交经验收后完善的成果文件，据采购方需要继续配合对成果进行必要补充。</w:t>
            </w:r>
          </w:p>
          <w:p>
            <w:pPr>
              <w:snapToGrid w:val="0"/>
              <w:spacing w:line="360" w:lineRule="exact"/>
              <w:jc w:val="left"/>
              <w:rPr>
                <w:rFonts w:ascii="宋体" w:hAnsi="宋体" w:cs="宋体"/>
                <w:szCs w:val="21"/>
                <w:highlight w:val="none"/>
              </w:rPr>
            </w:pPr>
            <w:r>
              <w:rPr>
                <w:rFonts w:hint="eastAsia" w:ascii="宋体" w:hAnsi="宋体" w:cs="宋体"/>
                <w:szCs w:val="21"/>
                <w:highlight w:val="none"/>
              </w:rPr>
              <w:t>11.合同履行：投标人投标文件中必须就合同履行要求作出承诺，并提供合同履约承诺函。否则视投标文件无效。</w:t>
            </w:r>
          </w:p>
          <w:p>
            <w:pPr>
              <w:snapToGrid w:val="0"/>
              <w:spacing w:line="360" w:lineRule="exact"/>
              <w:jc w:val="left"/>
              <w:rPr>
                <w:rFonts w:ascii="宋体" w:hAnsi="宋体" w:cs="宋体"/>
                <w:szCs w:val="21"/>
                <w:highlight w:val="none"/>
              </w:rPr>
            </w:pPr>
            <w:r>
              <w:rPr>
                <w:rFonts w:hint="eastAsia" w:ascii="宋体" w:hAnsi="宋体" w:cs="宋体"/>
                <w:szCs w:val="21"/>
                <w:highlight w:val="none"/>
              </w:rPr>
              <w:t>12.其他说明：投标人须在投标文件中提供详细的服务技术方案，中标之后须严格按照方案及承诺提供服务。服务技术方案包含但不限于以下内容：</w:t>
            </w:r>
          </w:p>
          <w:p>
            <w:pPr>
              <w:snapToGrid w:val="0"/>
              <w:spacing w:line="360" w:lineRule="exact"/>
              <w:jc w:val="left"/>
              <w:rPr>
                <w:rFonts w:ascii="宋体" w:hAnsi="宋体" w:cs="宋体"/>
                <w:szCs w:val="21"/>
                <w:highlight w:val="none"/>
              </w:rPr>
            </w:pPr>
            <w:r>
              <w:rPr>
                <w:rFonts w:hint="eastAsia" w:ascii="宋体" w:hAnsi="宋体" w:cs="宋体"/>
                <w:szCs w:val="21"/>
                <w:highlight w:val="none"/>
              </w:rPr>
              <w:t>（1）服务实施计划方案。</w:t>
            </w:r>
          </w:p>
          <w:p>
            <w:pPr>
              <w:snapToGrid w:val="0"/>
              <w:spacing w:line="360" w:lineRule="exact"/>
              <w:ind w:firstLine="210" w:firstLineChars="100"/>
              <w:jc w:val="left"/>
              <w:rPr>
                <w:rFonts w:ascii="宋体" w:hAnsi="宋体" w:cs="宋体"/>
                <w:szCs w:val="21"/>
                <w:highlight w:val="none"/>
              </w:rPr>
            </w:pPr>
            <w:r>
              <w:rPr>
                <w:rFonts w:hint="eastAsia" w:ascii="宋体" w:hAnsi="宋体" w:cs="宋体"/>
                <w:szCs w:val="21"/>
                <w:highlight w:val="none"/>
              </w:rPr>
              <w:t>a.提出针对本项目要求和实际情况的项目执行方案；</w:t>
            </w:r>
          </w:p>
          <w:p>
            <w:pPr>
              <w:snapToGrid w:val="0"/>
              <w:spacing w:line="360" w:lineRule="exact"/>
              <w:ind w:firstLine="210" w:firstLineChars="100"/>
              <w:jc w:val="left"/>
              <w:rPr>
                <w:rFonts w:ascii="宋体" w:hAnsi="宋体" w:cs="宋体"/>
                <w:szCs w:val="21"/>
                <w:highlight w:val="none"/>
              </w:rPr>
            </w:pPr>
            <w:r>
              <w:rPr>
                <w:rFonts w:hint="eastAsia" w:ascii="宋体" w:hAnsi="宋体" w:cs="宋体"/>
                <w:szCs w:val="21"/>
                <w:highlight w:val="none"/>
              </w:rPr>
              <w:t>b.列明承诺参与本项目的主要专业人员情况；</w:t>
            </w:r>
          </w:p>
          <w:p>
            <w:pPr>
              <w:snapToGrid w:val="0"/>
              <w:spacing w:line="360" w:lineRule="exact"/>
              <w:ind w:firstLine="210" w:firstLineChars="100"/>
              <w:jc w:val="left"/>
              <w:rPr>
                <w:rFonts w:ascii="宋体" w:hAnsi="宋体" w:cs="宋体"/>
                <w:szCs w:val="21"/>
                <w:highlight w:val="none"/>
              </w:rPr>
            </w:pPr>
            <w:r>
              <w:rPr>
                <w:rFonts w:hint="eastAsia" w:ascii="宋体" w:hAnsi="宋体" w:cs="宋体"/>
                <w:szCs w:val="21"/>
                <w:highlight w:val="none"/>
              </w:rPr>
              <w:t>c.对各项工作内容明确针对性解决方案；</w:t>
            </w:r>
          </w:p>
          <w:p>
            <w:pPr>
              <w:snapToGrid w:val="0"/>
              <w:spacing w:line="360" w:lineRule="exact"/>
              <w:ind w:firstLine="210" w:firstLineChars="100"/>
              <w:jc w:val="left"/>
              <w:rPr>
                <w:rFonts w:ascii="宋体" w:hAnsi="宋体" w:cs="宋体"/>
                <w:szCs w:val="21"/>
                <w:highlight w:val="none"/>
              </w:rPr>
            </w:pPr>
            <w:r>
              <w:rPr>
                <w:rFonts w:hint="eastAsia" w:ascii="宋体" w:hAnsi="宋体" w:cs="宋体"/>
                <w:szCs w:val="21"/>
                <w:highlight w:val="none"/>
              </w:rPr>
              <w:t>d.整体服务质量承诺书。</w:t>
            </w:r>
          </w:p>
          <w:p>
            <w:pPr>
              <w:snapToGrid w:val="0"/>
              <w:spacing w:line="360" w:lineRule="exact"/>
              <w:jc w:val="left"/>
              <w:rPr>
                <w:rFonts w:ascii="宋体" w:hAnsi="宋体" w:cs="宋体"/>
                <w:szCs w:val="21"/>
                <w:highlight w:val="none"/>
              </w:rPr>
            </w:pPr>
            <w:r>
              <w:rPr>
                <w:rFonts w:hint="eastAsia" w:ascii="宋体" w:hAnsi="宋体" w:cs="宋体"/>
                <w:szCs w:val="21"/>
                <w:highlight w:val="none"/>
              </w:rPr>
              <w:t>（2）服务质量保证措施。应包括主要技术方法、技术路线、技术规范，机构内部质量控制办法、业务管理制度等。</w:t>
            </w:r>
          </w:p>
          <w:p>
            <w:pPr>
              <w:snapToGrid w:val="0"/>
              <w:spacing w:line="360" w:lineRule="exact"/>
              <w:jc w:val="left"/>
              <w:rPr>
                <w:rFonts w:ascii="宋体" w:hAnsi="宋体" w:cs="宋体"/>
                <w:szCs w:val="21"/>
                <w:highlight w:val="none"/>
              </w:rPr>
            </w:pPr>
            <w:r>
              <w:rPr>
                <w:rFonts w:hint="eastAsia" w:ascii="宋体" w:hAnsi="宋体" w:cs="宋体"/>
                <w:szCs w:val="21"/>
                <w:highlight w:val="none"/>
              </w:rPr>
              <w:t>（3）服务进度保证措施。应包括资金及时间安排、各项工作进度计划、业务管理及内部服务等。</w:t>
            </w:r>
          </w:p>
          <w:p>
            <w:pPr>
              <w:snapToGrid w:val="0"/>
              <w:spacing w:line="360" w:lineRule="exact"/>
              <w:jc w:val="left"/>
              <w:rPr>
                <w:rFonts w:ascii="宋体" w:hAnsi="宋体" w:eastAsia="宋体" w:cs="宋体"/>
                <w:kern w:val="2"/>
                <w:sz w:val="21"/>
                <w:szCs w:val="21"/>
                <w:highlight w:val="none"/>
                <w:lang w:val="en-US" w:eastAsia="zh-CN" w:bidi="ar-SA"/>
              </w:rPr>
            </w:pPr>
            <w:r>
              <w:rPr>
                <w:rFonts w:hint="eastAsia" w:ascii="宋体" w:hAnsi="宋体" w:cs="宋体"/>
                <w:szCs w:val="21"/>
                <w:highlight w:val="none"/>
              </w:rPr>
              <w:t>（4）投入项目实施人员配置方案、设备配置方案。</w:t>
            </w:r>
          </w:p>
        </w:tc>
      </w:tr>
    </w:tbl>
    <w:p>
      <w:pPr>
        <w:jc w:val="center"/>
        <w:rPr>
          <w:color w:val="000000" w:themeColor="text1"/>
          <w14:textFill>
            <w14:solidFill>
              <w14:schemeClr w14:val="tx1"/>
            </w14:solidFill>
          </w14:textFill>
        </w:rPr>
      </w:pPr>
    </w:p>
    <w:p>
      <w:pPr>
        <w:pStyle w:val="3"/>
        <w:rPr>
          <w:color w:val="000000" w:themeColor="text1"/>
          <w14:textFill>
            <w14:solidFill>
              <w14:schemeClr w14:val="tx1"/>
            </w14:solidFill>
          </w14:textFill>
        </w:rPr>
      </w:pPr>
    </w:p>
    <w:p>
      <w:pPr>
        <w:rPr>
          <w:color w:val="000000" w:themeColor="text1"/>
          <w14:textFill>
            <w14:solidFill>
              <w14:schemeClr w14:val="tx1"/>
            </w14:solidFill>
          </w14:textFill>
        </w:rPr>
      </w:pPr>
    </w:p>
    <w:p>
      <w:pPr>
        <w:widowControl/>
        <w:rPr>
          <w:rFonts w:ascii="等线" w:hAnsi="等线" w:eastAsia="等线" w:cs="Times New Roman"/>
          <w:kern w:val="2"/>
          <w:sz w:val="18"/>
          <w:szCs w:val="18"/>
          <w:lang w:val="en-US" w:eastAsia="zh-CN" w:bidi="ar-SA"/>
        </w:rPr>
      </w:pPr>
      <w:r>
        <w:rPr>
          <w:rFonts w:hint="eastAsia" w:ascii="Calibri" w:hAnsi="Calibri"/>
          <w:szCs w:val="20"/>
        </w:rPr>
        <w:drawing>
          <wp:inline distT="0" distB="0" distL="114300" distR="114300">
            <wp:extent cx="5758815" cy="8138160"/>
            <wp:effectExtent l="0" t="0" r="13335" b="15240"/>
            <wp:docPr id="20" name="图片 20" descr="桂环测气字[2020]66号自治区生态环境监测中心印发《广西壮族自治区大气降水自动监测技术方案》的通知(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桂环测气字[2020]66号自治区生态环境监测中心印发《广西壮族自治区大气降水自动监测技术方案》的通知(1)_00"/>
                    <pic:cNvPicPr>
                      <a:picLocks noChangeAspect="1"/>
                    </pic:cNvPicPr>
                  </pic:nvPicPr>
                  <pic:blipFill>
                    <a:blip r:embed="rId12"/>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9" name="图片 19" descr="桂环测气字[2020]66号自治区生态环境监测中心印发《广西壮族自治区大气降水自动监测技术方案》的通知(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桂环测气字[2020]66号自治区生态环境监测中心印发《广西壮族自治区大气降水自动监测技术方案》的通知(1)_01"/>
                    <pic:cNvPicPr>
                      <a:picLocks noChangeAspect="1"/>
                    </pic:cNvPicPr>
                  </pic:nvPicPr>
                  <pic:blipFill>
                    <a:blip r:embed="rId13"/>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8" name="图片 18" descr="桂环测气字[2020]66号自治区生态环境监测中心印发《广西壮族自治区大气降水自动监测技术方案》的通知(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桂环测气字[2020]66号自治区生态环境监测中心印发《广西壮族自治区大气降水自动监测技术方案》的通知(1)_02"/>
                    <pic:cNvPicPr>
                      <a:picLocks noChangeAspect="1"/>
                    </pic:cNvPicPr>
                  </pic:nvPicPr>
                  <pic:blipFill>
                    <a:blip r:embed="rId14"/>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7" name="图片 17" descr="桂环测气字[2020]66号自治区生态环境监测中心印发《广西壮族自治区大气降水自动监测技术方案》的通知(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桂环测气字[2020]66号自治区生态环境监测中心印发《广西壮族自治区大气降水自动监测技术方案》的通知(1)_03"/>
                    <pic:cNvPicPr>
                      <a:picLocks noChangeAspect="1"/>
                    </pic:cNvPicPr>
                  </pic:nvPicPr>
                  <pic:blipFill>
                    <a:blip r:embed="rId15"/>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6" name="图片 16" descr="桂环测气字[2020]66号自治区生态环境监测中心印发《广西壮族自治区大气降水自动监测技术方案》的通知(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桂环测气字[2020]66号自治区生态环境监测中心印发《广西壮族自治区大气降水自动监测技术方案》的通知(1)_04"/>
                    <pic:cNvPicPr>
                      <a:picLocks noChangeAspect="1"/>
                    </pic:cNvPicPr>
                  </pic:nvPicPr>
                  <pic:blipFill>
                    <a:blip r:embed="rId16"/>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5" name="图片 15" descr="桂环测气字[2020]66号自治区生态环境监测中心印发《广西壮族自治区大气降水自动监测技术方案》的通知(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桂环测气字[2020]66号自治区生态环境监测中心印发《广西壮族自治区大气降水自动监测技术方案》的通知(1)_05"/>
                    <pic:cNvPicPr>
                      <a:picLocks noChangeAspect="1"/>
                    </pic:cNvPicPr>
                  </pic:nvPicPr>
                  <pic:blipFill>
                    <a:blip r:embed="rId17"/>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4" name="图片 14" descr="桂环测气字[2020]66号自治区生态环境监测中心印发《广西壮族自治区大气降水自动监测技术方案》的通知(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桂环测气字[2020]66号自治区生态环境监测中心印发《广西壮族自治区大气降水自动监测技术方案》的通知(1)_06"/>
                    <pic:cNvPicPr>
                      <a:picLocks noChangeAspect="1"/>
                    </pic:cNvPicPr>
                  </pic:nvPicPr>
                  <pic:blipFill>
                    <a:blip r:embed="rId18"/>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3" name="图片 13" descr="桂环测气字[2020]66号自治区生态环境监测中心印发《广西壮族自治区大气降水自动监测技术方案》的通知(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桂环测气字[2020]66号自治区生态环境监测中心印发《广西壮族自治区大气降水自动监测技术方案》的通知(1)_07"/>
                    <pic:cNvPicPr>
                      <a:picLocks noChangeAspect="1"/>
                    </pic:cNvPicPr>
                  </pic:nvPicPr>
                  <pic:blipFill>
                    <a:blip r:embed="rId19"/>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2" name="图片 12" descr="桂环测气字[2020]66号自治区生态环境监测中心印发《广西壮族自治区大气降水自动监测技术方案》的通知(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桂环测气字[2020]66号自治区生态环境监测中心印发《广西壮族自治区大气降水自动监测技术方案》的通知(1)_08"/>
                    <pic:cNvPicPr>
                      <a:picLocks noChangeAspect="1"/>
                    </pic:cNvPicPr>
                  </pic:nvPicPr>
                  <pic:blipFill>
                    <a:blip r:embed="rId20"/>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1" name="图片 11" descr="桂环测气字[2020]66号自治区生态环境监测中心印发《广西壮族自治区大气降水自动监测技术方案》的通知(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桂环测气字[2020]66号自治区生态环境监测中心印发《广西壮族自治区大气降水自动监测技术方案》的通知(1)_09"/>
                    <pic:cNvPicPr>
                      <a:picLocks noChangeAspect="1"/>
                    </pic:cNvPicPr>
                  </pic:nvPicPr>
                  <pic:blipFill>
                    <a:blip r:embed="rId21"/>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10" name="图片 10" descr="桂环测气字[2020]66号自治区生态环境监测中心印发《广西壮族自治区大气降水自动监测技术方案》的通知(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桂环测气字[2020]66号自治区生态环境监测中心印发《广西壮族自治区大气降水自动监测技术方案》的通知(1)_10"/>
                    <pic:cNvPicPr>
                      <a:picLocks noChangeAspect="1"/>
                    </pic:cNvPicPr>
                  </pic:nvPicPr>
                  <pic:blipFill>
                    <a:blip r:embed="rId22"/>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9" name="图片 9" descr="桂环测气字[2020]66号自治区生态环境监测中心印发《广西壮族自治区大气降水自动监测技术方案》的通知(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桂环测气字[2020]66号自治区生态环境监测中心印发《广西壮族自治区大气降水自动监测技术方案》的通知(1)_11"/>
                    <pic:cNvPicPr>
                      <a:picLocks noChangeAspect="1"/>
                    </pic:cNvPicPr>
                  </pic:nvPicPr>
                  <pic:blipFill>
                    <a:blip r:embed="rId23"/>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8" name="图片 8" descr="桂环测气字[2020]66号自治区生态环境监测中心印发《广西壮族自治区大气降水自动监测技术方案》的通知(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桂环测气字[2020]66号自治区生态环境监测中心印发《广西壮族自治区大气降水自动监测技术方案》的通知(1)_12"/>
                    <pic:cNvPicPr>
                      <a:picLocks noChangeAspect="1"/>
                    </pic:cNvPicPr>
                  </pic:nvPicPr>
                  <pic:blipFill>
                    <a:blip r:embed="rId24"/>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7" name="图片 7" descr="桂环测气字[2020]66号自治区生态环境监测中心印发《广西壮族自治区大气降水自动监测技术方案》的通知(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桂环测气字[2020]66号自治区生态环境监测中心印发《广西壮族自治区大气降水自动监测技术方案》的通知(1)_13"/>
                    <pic:cNvPicPr>
                      <a:picLocks noChangeAspect="1"/>
                    </pic:cNvPicPr>
                  </pic:nvPicPr>
                  <pic:blipFill>
                    <a:blip r:embed="rId25"/>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6" name="图片 6" descr="桂环测气字[2020]66号自治区生态环境监测中心印发《广西壮族自治区大气降水自动监测技术方案》的通知(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桂环测气字[2020]66号自治区生态环境监测中心印发《广西壮族自治区大气降水自动监测技术方案》的通知(1)_14"/>
                    <pic:cNvPicPr>
                      <a:picLocks noChangeAspect="1"/>
                    </pic:cNvPicPr>
                  </pic:nvPicPr>
                  <pic:blipFill>
                    <a:blip r:embed="rId26"/>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5" name="图片 5" descr="桂环测气字[2020]66号自治区生态环境监测中心印发《广西壮族自治区大气降水自动监测技术方案》的通知(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桂环测气字[2020]66号自治区生态环境监测中心印发《广西壮族自治区大气降水自动监测技术方案》的通知(1)_15"/>
                    <pic:cNvPicPr>
                      <a:picLocks noChangeAspect="1"/>
                    </pic:cNvPicPr>
                  </pic:nvPicPr>
                  <pic:blipFill>
                    <a:blip r:embed="rId27"/>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4" name="图片 4" descr="桂环测气字[2020]66号自治区生态环境监测中心印发《广西壮族自治区大气降水自动监测技术方案》的通知(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桂环测气字[2020]66号自治区生态环境监测中心印发《广西壮族自治区大气降水自动监测技术方案》的通知(1)_16"/>
                    <pic:cNvPicPr>
                      <a:picLocks noChangeAspect="1"/>
                    </pic:cNvPicPr>
                  </pic:nvPicPr>
                  <pic:blipFill>
                    <a:blip r:embed="rId28"/>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21" name="图片 21" descr="桂环测气字[2020]66号自治区生态环境监测中心印发《广西壮族自治区大气降水自动监测技术方案》的通知(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桂环测气字[2020]66号自治区生态环境监测中心印发《广西壮族自治区大气降水自动监测技术方案》的通知(1)_17"/>
                    <pic:cNvPicPr>
                      <a:picLocks noChangeAspect="1"/>
                    </pic:cNvPicPr>
                  </pic:nvPicPr>
                  <pic:blipFill>
                    <a:blip r:embed="rId29"/>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22" name="图片 22" descr="桂环测气字[2020]66号自治区生态环境监测中心印发《广西壮族自治区大气降水自动监测技术方案》的通知(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桂环测气字[2020]66号自治区生态环境监测中心印发《广西壮族自治区大气降水自动监测技术方案》的通知(1)_18"/>
                    <pic:cNvPicPr>
                      <a:picLocks noChangeAspect="1"/>
                    </pic:cNvPicPr>
                  </pic:nvPicPr>
                  <pic:blipFill>
                    <a:blip r:embed="rId30"/>
                    <a:stretch>
                      <a:fillRect/>
                    </a:stretch>
                  </pic:blipFill>
                  <pic:spPr>
                    <a:xfrm>
                      <a:off x="0" y="0"/>
                      <a:ext cx="5758815" cy="8138160"/>
                    </a:xfrm>
                    <a:prstGeom prst="rect">
                      <a:avLst/>
                    </a:prstGeom>
                  </pic:spPr>
                </pic:pic>
              </a:graphicData>
            </a:graphic>
          </wp:inline>
        </w:drawing>
      </w:r>
      <w:r>
        <w:rPr>
          <w:rFonts w:hint="eastAsia" w:ascii="Calibri" w:hAnsi="Calibri"/>
          <w:szCs w:val="20"/>
        </w:rPr>
        <w:drawing>
          <wp:inline distT="0" distB="0" distL="114300" distR="114300">
            <wp:extent cx="5758815" cy="8138160"/>
            <wp:effectExtent l="0" t="0" r="13335" b="15240"/>
            <wp:docPr id="23" name="图片 23" descr="桂环测气字[2020]66号自治区生态环境监测中心印发《广西壮族自治区大气降水自动监测技术方案》的通知(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桂环测气字[2020]66号自治区生态环境监测中心印发《广西壮族自治区大气降水自动监测技术方案》的通知(1)_19"/>
                    <pic:cNvPicPr>
                      <a:picLocks noChangeAspect="1"/>
                    </pic:cNvPicPr>
                  </pic:nvPicPr>
                  <pic:blipFill>
                    <a:blip r:embed="rId31"/>
                    <a:stretch>
                      <a:fillRect/>
                    </a:stretch>
                  </pic:blipFill>
                  <pic:spPr>
                    <a:xfrm>
                      <a:off x="0" y="0"/>
                      <a:ext cx="5758815" cy="8138160"/>
                    </a:xfrm>
                    <a:prstGeom prst="rect">
                      <a:avLst/>
                    </a:prstGeom>
                  </pic:spPr>
                </pic:pic>
              </a:graphicData>
            </a:graphic>
          </wp:inline>
        </w:drawing>
      </w:r>
    </w:p>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p>
    <w:p>
      <w:pPr>
        <w:tabs>
          <w:tab w:val="center" w:pos="4153"/>
          <w:tab w:val="right" w:pos="8306"/>
        </w:tabs>
        <w:rPr>
          <w:b/>
          <w:bCs/>
        </w:rPr>
        <w:sectPr>
          <w:headerReference r:id="rId9" w:type="default"/>
          <w:footerReference r:id="rId10" w:type="default"/>
          <w:pgSz w:w="11906" w:h="16838"/>
          <w:pgMar w:top="1440" w:right="1361" w:bottom="1701" w:left="1474" w:header="851" w:footer="992" w:gutter="0"/>
          <w:pgNumType w:fmt="decimal"/>
          <w:cols w:space="0" w:num="1"/>
          <w:docGrid w:type="lines" w:linePitch="312" w:charSpace="0"/>
        </w:sectPr>
      </w:pPr>
    </w:p>
    <w:p>
      <w:pPr>
        <w:widowControl w:val="0"/>
        <w:spacing w:line="600" w:lineRule="exact"/>
        <w:jc w:val="left"/>
        <w:outlineLvl w:val="0"/>
        <w:rPr>
          <w:rFonts w:ascii="宋体" w:hAnsi="宋体" w:cs="宋体"/>
          <w:sz w:val="32"/>
          <w:szCs w:val="32"/>
        </w:rPr>
      </w:pPr>
      <w:r>
        <w:rPr>
          <w:rFonts w:hint="eastAsia" w:ascii="宋体" w:hAnsi="宋体" w:cs="宋体"/>
          <w:sz w:val="32"/>
          <w:szCs w:val="32"/>
        </w:rPr>
        <w:t>附件2</w:t>
      </w:r>
    </w:p>
    <w:p>
      <w:pPr>
        <w:widowControl w:val="0"/>
        <w:spacing w:line="600" w:lineRule="exact"/>
        <w:jc w:val="center"/>
        <w:outlineLvl w:val="0"/>
        <w:rPr>
          <w:rFonts w:ascii="方正小标宋_GBK" w:hAnsi="Calibri" w:eastAsia="方正小标宋_GBK"/>
          <w:sz w:val="44"/>
          <w:szCs w:val="44"/>
        </w:rPr>
      </w:pPr>
      <w:r>
        <w:rPr>
          <w:rFonts w:hint="eastAsia" w:ascii="宋体" w:hAnsi="宋体" w:cs="宋体"/>
          <w:sz w:val="44"/>
          <w:szCs w:val="44"/>
        </w:rPr>
        <w:t>降雨自动监测点运维服务考核表</w:t>
      </w:r>
    </w:p>
    <w:p>
      <w:pPr>
        <w:widowControl w:val="0"/>
        <w:spacing w:line="600" w:lineRule="exact"/>
        <w:ind w:firstLine="210" w:firstLineChars="100"/>
        <w:rPr>
          <w:rFonts w:ascii="宋体" w:hAnsi="宋体" w:cs="方正小标宋_GBK"/>
          <w:szCs w:val="20"/>
        </w:rPr>
      </w:pPr>
      <w:r>
        <w:rPr>
          <w:rFonts w:hint="eastAsia" w:ascii="宋体" w:hAnsi="宋体" w:cs="方正小标宋_GBK"/>
          <w:szCs w:val="20"/>
        </w:rPr>
        <w:t>考核时间：    月     日</w:t>
      </w:r>
    </w:p>
    <w:tbl>
      <w:tblPr>
        <w:tblStyle w:val="18"/>
        <w:tblW w:w="13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960"/>
        <w:gridCol w:w="3585"/>
        <w:gridCol w:w="3703"/>
        <w:gridCol w:w="798"/>
        <w:gridCol w:w="929"/>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760" w:type="dxa"/>
            <w:vAlign w:val="center"/>
          </w:tcPr>
          <w:p>
            <w:pPr>
              <w:widowControl w:val="0"/>
              <w:snapToGrid w:val="0"/>
              <w:spacing w:line="340" w:lineRule="exact"/>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序号</w:t>
            </w:r>
          </w:p>
        </w:tc>
        <w:tc>
          <w:tcPr>
            <w:tcW w:w="960" w:type="dxa"/>
            <w:vAlign w:val="center"/>
          </w:tcPr>
          <w:p>
            <w:pPr>
              <w:widowControl w:val="0"/>
              <w:snapToGrid w:val="0"/>
              <w:spacing w:line="340" w:lineRule="exact"/>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考核 指标</w:t>
            </w:r>
          </w:p>
        </w:tc>
        <w:tc>
          <w:tcPr>
            <w:tcW w:w="3585" w:type="dxa"/>
            <w:vAlign w:val="center"/>
          </w:tcPr>
          <w:p>
            <w:pPr>
              <w:widowControl w:val="0"/>
              <w:snapToGrid w:val="0"/>
              <w:spacing w:line="340" w:lineRule="exact"/>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考核内容</w:t>
            </w:r>
          </w:p>
        </w:tc>
        <w:tc>
          <w:tcPr>
            <w:tcW w:w="3703" w:type="dxa"/>
            <w:vAlign w:val="center"/>
          </w:tcPr>
          <w:p>
            <w:pPr>
              <w:widowControl w:val="0"/>
              <w:snapToGrid w:val="0"/>
              <w:spacing w:line="340" w:lineRule="exact"/>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考核要求</w:t>
            </w:r>
          </w:p>
        </w:tc>
        <w:tc>
          <w:tcPr>
            <w:tcW w:w="798" w:type="dxa"/>
            <w:vAlign w:val="center"/>
          </w:tcPr>
          <w:p>
            <w:pPr>
              <w:widowControl w:val="0"/>
              <w:snapToGrid w:val="0"/>
              <w:spacing w:line="340" w:lineRule="exact"/>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分值</w:t>
            </w:r>
          </w:p>
        </w:tc>
        <w:tc>
          <w:tcPr>
            <w:tcW w:w="929" w:type="dxa"/>
            <w:vAlign w:val="center"/>
          </w:tcPr>
          <w:p>
            <w:pPr>
              <w:widowControl w:val="0"/>
              <w:snapToGrid w:val="0"/>
              <w:spacing w:line="340" w:lineRule="exact"/>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评分 结果</w:t>
            </w:r>
          </w:p>
        </w:tc>
        <w:tc>
          <w:tcPr>
            <w:tcW w:w="2608" w:type="dxa"/>
            <w:vAlign w:val="center"/>
          </w:tcPr>
          <w:p>
            <w:pPr>
              <w:widowControl w:val="0"/>
              <w:snapToGrid w:val="0"/>
              <w:spacing w:line="340" w:lineRule="exact"/>
              <w:ind w:firstLine="0" w:firstLineChars="0"/>
              <w:jc w:val="center"/>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备注（说明扣分原因或其他事项）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760" w:type="dxa"/>
            <w:vAlign w:val="center"/>
          </w:tcPr>
          <w:p>
            <w:pPr>
              <w:widowControl w:val="0"/>
              <w:jc w:val="center"/>
              <w:rPr>
                <w:rFonts w:ascii="Times New Roman" w:hAnsi="Times New Roman"/>
                <w:szCs w:val="20"/>
                <w:highlight w:val="none"/>
              </w:rPr>
            </w:pPr>
            <w:r>
              <w:rPr>
                <w:rFonts w:ascii="Times New Roman" w:hAnsi="Times New Roman"/>
                <w:szCs w:val="20"/>
                <w:highlight w:val="none"/>
              </w:rPr>
              <w:t>一</w:t>
            </w:r>
          </w:p>
        </w:tc>
        <w:tc>
          <w:tcPr>
            <w:tcW w:w="960" w:type="dxa"/>
            <w:vAlign w:val="center"/>
          </w:tcPr>
          <w:p>
            <w:pPr>
              <w:widowControl w:val="0"/>
              <w:jc w:val="center"/>
              <w:rPr>
                <w:rFonts w:ascii="Times New Roman" w:hAnsi="Times New Roman"/>
                <w:szCs w:val="20"/>
                <w:highlight w:val="none"/>
              </w:rPr>
            </w:pPr>
            <w:r>
              <w:rPr>
                <w:rFonts w:ascii="Times New Roman" w:hAnsi="Times New Roman"/>
                <w:szCs w:val="20"/>
                <w:highlight w:val="none"/>
              </w:rPr>
              <w:t>降雨样品采送</w:t>
            </w:r>
          </w:p>
        </w:tc>
        <w:tc>
          <w:tcPr>
            <w:tcW w:w="3585" w:type="dxa"/>
            <w:vAlign w:val="center"/>
          </w:tcPr>
          <w:p>
            <w:pPr>
              <w:widowControl w:val="0"/>
              <w:jc w:val="left"/>
              <w:rPr>
                <w:rFonts w:ascii="Times New Roman" w:hAnsi="Times New Roman"/>
                <w:szCs w:val="20"/>
                <w:highlight w:val="none"/>
              </w:rPr>
            </w:pPr>
            <w:r>
              <w:rPr>
                <w:rFonts w:ascii="Times New Roman" w:hAnsi="Times New Roman"/>
                <w:szCs w:val="20"/>
                <w:highlight w:val="none"/>
              </w:rPr>
              <w:t>（一）每天登录广西壮族自治区酸雨监测质量控制系统查看仪器状态信息、监测数据信息，并拍照或截图上传。</w:t>
            </w:r>
          </w:p>
          <w:p>
            <w:pPr>
              <w:widowControl w:val="0"/>
              <w:jc w:val="left"/>
              <w:rPr>
                <w:rFonts w:ascii="Times New Roman" w:hAnsi="Times New Roman"/>
                <w:szCs w:val="20"/>
                <w:highlight w:val="none"/>
              </w:rPr>
            </w:pPr>
            <w:r>
              <w:rPr>
                <w:rFonts w:ascii="Times New Roman" w:hAnsi="Times New Roman"/>
                <w:szCs w:val="20"/>
                <w:highlight w:val="none"/>
              </w:rPr>
              <w:t>（二）逢雨必采，逢雨必送，降雨按时送到指定实验室</w:t>
            </w:r>
            <w:r>
              <w:rPr>
                <w:rFonts w:hint="eastAsia" w:ascii="Times New Roman" w:hAnsi="Times New Roman"/>
                <w:szCs w:val="20"/>
                <w:highlight w:val="none"/>
              </w:rPr>
              <w:t>并提交采样交接记录</w:t>
            </w:r>
            <w:r>
              <w:rPr>
                <w:rFonts w:ascii="Times New Roman" w:hAnsi="Times New Roman"/>
                <w:szCs w:val="20"/>
                <w:highlight w:val="none"/>
              </w:rPr>
              <w:t>。</w:t>
            </w:r>
          </w:p>
        </w:tc>
        <w:tc>
          <w:tcPr>
            <w:tcW w:w="3703" w:type="dxa"/>
            <w:vAlign w:val="center"/>
          </w:tcPr>
          <w:p>
            <w:pPr>
              <w:widowControl w:val="0"/>
              <w:jc w:val="left"/>
              <w:rPr>
                <w:rFonts w:ascii="Times New Roman" w:hAnsi="Times New Roman"/>
                <w:szCs w:val="20"/>
                <w:highlight w:val="none"/>
              </w:rPr>
            </w:pPr>
            <w:r>
              <w:rPr>
                <w:rFonts w:ascii="Times New Roman" w:hAnsi="Times New Roman"/>
                <w:szCs w:val="20"/>
                <w:highlight w:val="none"/>
              </w:rPr>
              <w:t>（一）每天登录广西壮族自治区酸雨监测质量控制系统查看仪器状态信息、监测数据信息，并拍照或截图上传指定微信群。缺少一天扣0.5分，扣完为止。</w:t>
            </w:r>
          </w:p>
          <w:p>
            <w:pPr>
              <w:widowControl w:val="0"/>
              <w:jc w:val="left"/>
              <w:rPr>
                <w:rFonts w:ascii="Times New Roman" w:hAnsi="Times New Roman"/>
                <w:szCs w:val="20"/>
                <w:highlight w:val="none"/>
              </w:rPr>
            </w:pPr>
            <w:r>
              <w:rPr>
                <w:rFonts w:ascii="Times New Roman" w:hAnsi="Times New Roman"/>
                <w:szCs w:val="20"/>
                <w:highlight w:val="none"/>
              </w:rPr>
              <w:t>（二）降雨未按时送到指定实验室</w:t>
            </w:r>
            <w:r>
              <w:rPr>
                <w:rFonts w:hint="eastAsia" w:ascii="Times New Roman" w:hAnsi="Times New Roman"/>
                <w:szCs w:val="20"/>
                <w:highlight w:val="none"/>
              </w:rPr>
              <w:t>或未按要求提交采样交接记录。每</w:t>
            </w:r>
            <w:r>
              <w:rPr>
                <w:rFonts w:ascii="Times New Roman" w:hAnsi="Times New Roman"/>
                <w:szCs w:val="20"/>
                <w:highlight w:val="none"/>
              </w:rPr>
              <w:t>次扣0.5分，扣完为止。</w:t>
            </w:r>
          </w:p>
        </w:tc>
        <w:tc>
          <w:tcPr>
            <w:tcW w:w="798" w:type="dxa"/>
            <w:vAlign w:val="center"/>
          </w:tcPr>
          <w:p>
            <w:pPr>
              <w:widowControl w:val="0"/>
              <w:jc w:val="center"/>
              <w:rPr>
                <w:rFonts w:ascii="Times New Roman" w:hAnsi="Times New Roman"/>
                <w:szCs w:val="20"/>
                <w:highlight w:val="none"/>
              </w:rPr>
            </w:pPr>
            <w:r>
              <w:rPr>
                <w:rFonts w:hint="eastAsia" w:ascii="Times New Roman" w:hAnsi="Times New Roman"/>
                <w:szCs w:val="20"/>
                <w:highlight w:val="none"/>
              </w:rPr>
              <w:t>25</w:t>
            </w:r>
          </w:p>
        </w:tc>
        <w:tc>
          <w:tcPr>
            <w:tcW w:w="929"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2608" w:type="dxa"/>
            <w:vAlign w:val="center"/>
          </w:tcPr>
          <w:p>
            <w:pPr>
              <w:widowControl w:val="0"/>
              <w:ind w:firstLine="0" w:firstLineChars="0"/>
              <w:jc w:val="left"/>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1"/>
                <w:szCs w:val="24"/>
                <w:highlight w:val="none"/>
                <w:lang w:val="en-US" w:eastAsia="zh-CN" w:bidi="ar-SA"/>
              </w:rPr>
              <w:t>逢雨必采，逢雨必送，每天上午9：00至次日上午9：00的降雨视为一个样品，须在次日15时前送到</w:t>
            </w:r>
            <w:r>
              <w:rPr>
                <w:rFonts w:hint="eastAsia" w:ascii="Times New Roman" w:hAnsi="Times New Roman" w:eastAsia="宋体" w:cs="Times New Roman"/>
                <w:kern w:val="2"/>
                <w:sz w:val="21"/>
                <w:szCs w:val="24"/>
                <w:highlight w:val="none"/>
                <w:lang w:val="en-US" w:eastAsia="zh-CN" w:bidi="ar-SA"/>
              </w:rPr>
              <w:t>采购人</w:t>
            </w:r>
            <w:r>
              <w:rPr>
                <w:rFonts w:ascii="Times New Roman" w:hAnsi="Times New Roman" w:eastAsia="宋体" w:cs="Times New Roman"/>
                <w:kern w:val="2"/>
                <w:sz w:val="21"/>
                <w:szCs w:val="24"/>
                <w:highlight w:val="none"/>
                <w:lang w:val="en-US" w:eastAsia="zh-CN" w:bidi="ar-SA"/>
              </w:rPr>
              <w:t>指定实验室。因不可抗拒原因造成的样品采集延迟，该次样品仍需送样，并在</w:t>
            </w:r>
            <w:r>
              <w:rPr>
                <w:rFonts w:hint="eastAsia" w:ascii="Times New Roman" w:hAnsi="Times New Roman" w:eastAsia="宋体" w:cs="Times New Roman"/>
                <w:kern w:val="2"/>
                <w:sz w:val="21"/>
                <w:szCs w:val="24"/>
                <w:highlight w:val="none"/>
                <w:lang w:val="en-US" w:eastAsia="zh-CN" w:bidi="ar-SA"/>
              </w:rPr>
              <w:t>采</w:t>
            </w:r>
            <w:r>
              <w:rPr>
                <w:rFonts w:ascii="Times New Roman" w:hAnsi="Times New Roman" w:eastAsia="宋体" w:cs="Times New Roman"/>
                <w:kern w:val="2"/>
                <w:sz w:val="21"/>
                <w:szCs w:val="24"/>
                <w:highlight w:val="none"/>
                <w:lang w:val="en-US" w:eastAsia="zh-CN" w:bidi="ar-SA"/>
              </w:rPr>
              <w:t>样记录单备注延迟原因。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jc w:val="center"/>
        </w:trPr>
        <w:tc>
          <w:tcPr>
            <w:tcW w:w="760" w:type="dxa"/>
            <w:vAlign w:val="center"/>
          </w:tcPr>
          <w:p>
            <w:pPr>
              <w:widowControl w:val="0"/>
              <w:jc w:val="center"/>
              <w:rPr>
                <w:rFonts w:ascii="Times New Roman" w:hAnsi="Times New Roman"/>
                <w:szCs w:val="20"/>
                <w:highlight w:val="none"/>
              </w:rPr>
            </w:pPr>
            <w:r>
              <w:rPr>
                <w:rFonts w:hint="eastAsia" w:ascii="Times New Roman" w:hAnsi="Times New Roman"/>
                <w:szCs w:val="20"/>
                <w:highlight w:val="none"/>
              </w:rPr>
              <w:t>二</w:t>
            </w:r>
          </w:p>
        </w:tc>
        <w:tc>
          <w:tcPr>
            <w:tcW w:w="960" w:type="dxa"/>
            <w:vAlign w:val="center"/>
          </w:tcPr>
          <w:p>
            <w:pPr>
              <w:widowControl w:val="0"/>
              <w:jc w:val="center"/>
              <w:rPr>
                <w:rFonts w:ascii="Times New Roman" w:hAnsi="Times New Roman"/>
                <w:szCs w:val="20"/>
                <w:highlight w:val="none"/>
              </w:rPr>
            </w:pPr>
            <w:r>
              <w:rPr>
                <w:rFonts w:hint="eastAsia" w:ascii="Times New Roman" w:hAnsi="Times New Roman"/>
                <w:szCs w:val="20"/>
                <w:highlight w:val="none"/>
              </w:rPr>
              <w:t>质量控制</w:t>
            </w:r>
          </w:p>
        </w:tc>
        <w:tc>
          <w:tcPr>
            <w:tcW w:w="3585" w:type="dxa"/>
            <w:vAlign w:val="center"/>
          </w:tcPr>
          <w:p>
            <w:pPr>
              <w:widowControl w:val="0"/>
              <w:jc w:val="left"/>
              <w:rPr>
                <w:rFonts w:ascii="Times New Roman" w:hAnsi="Times New Roman"/>
                <w:szCs w:val="20"/>
                <w:highlight w:val="none"/>
              </w:rPr>
            </w:pPr>
            <w:r>
              <w:rPr>
                <w:rFonts w:hint="eastAsia" w:ascii="Times New Roman" w:hAnsi="Times New Roman"/>
                <w:szCs w:val="20"/>
                <w:highlight w:val="none"/>
              </w:rPr>
              <w:t>（一）</w:t>
            </w:r>
            <w:r>
              <w:rPr>
                <w:rFonts w:hint="eastAsia" w:ascii="宋体" w:hAnsi="宋体" w:cs="宋体"/>
                <w:bCs/>
                <w:szCs w:val="21"/>
                <w:highlight w:val="none"/>
              </w:rPr>
              <w:t>在每月初(第一场雨之前)尽快分析采购方下发的质控考核样并及时向采购方报告结果。并在每月pH值自动监测与实验室监测比对未通过时，及时分析补发的质控考核样。若质控样考核未通过应及时排查原因，校准仪器后再次监测质控样，直到合格为止。</w:t>
            </w:r>
          </w:p>
        </w:tc>
        <w:tc>
          <w:tcPr>
            <w:tcW w:w="3703" w:type="dxa"/>
            <w:vAlign w:val="center"/>
          </w:tcPr>
          <w:p>
            <w:pPr>
              <w:widowControl w:val="0"/>
              <w:jc w:val="left"/>
              <w:rPr>
                <w:rFonts w:ascii="Times New Roman" w:hAnsi="Times New Roman"/>
                <w:szCs w:val="20"/>
                <w:highlight w:val="none"/>
              </w:rPr>
            </w:pPr>
            <w:r>
              <w:rPr>
                <w:rFonts w:hint="eastAsia" w:ascii="宋体" w:hAnsi="宋体" w:cs="宋体"/>
                <w:bCs/>
                <w:szCs w:val="21"/>
                <w:highlight w:val="none"/>
              </w:rPr>
              <w:t>每月初(第一场雨之前)尽快分析采购方下发的质控考核样并及时向采购方报告结果。如补发一次质控样后仍考核不合格的，扣20分。</w:t>
            </w:r>
          </w:p>
        </w:tc>
        <w:tc>
          <w:tcPr>
            <w:tcW w:w="798" w:type="dxa"/>
            <w:vAlign w:val="center"/>
          </w:tcPr>
          <w:p>
            <w:pPr>
              <w:widowControl w:val="0"/>
              <w:tabs>
                <w:tab w:val="left" w:pos="222"/>
                <w:tab w:val="center" w:pos="359"/>
              </w:tabs>
              <w:jc w:val="left"/>
              <w:rPr>
                <w:rFonts w:ascii="Times New Roman" w:hAnsi="Times New Roman"/>
                <w:szCs w:val="20"/>
                <w:highlight w:val="none"/>
              </w:rPr>
            </w:pPr>
            <w:r>
              <w:rPr>
                <w:rFonts w:hint="eastAsia" w:ascii="Times New Roman" w:hAnsi="Times New Roman"/>
                <w:szCs w:val="20"/>
                <w:highlight w:val="none"/>
              </w:rPr>
              <w:tab/>
            </w:r>
            <w:r>
              <w:rPr>
                <w:rFonts w:hint="eastAsia" w:ascii="Times New Roman" w:hAnsi="Times New Roman"/>
                <w:szCs w:val="20"/>
                <w:highlight w:val="none"/>
              </w:rPr>
              <w:t>20</w:t>
            </w:r>
          </w:p>
        </w:tc>
        <w:tc>
          <w:tcPr>
            <w:tcW w:w="929"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2608" w:type="dxa"/>
            <w:vAlign w:val="center"/>
          </w:tcPr>
          <w:p>
            <w:pPr>
              <w:widowControl w:val="0"/>
              <w:ind w:firstLine="0" w:firstLineChars="0"/>
              <w:jc w:val="left"/>
              <w:rPr>
                <w:rFonts w:ascii="Times New Roman" w:hAnsi="Times New Roman" w:eastAsia="宋体" w:cs="Times New Roman"/>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60" w:type="dxa"/>
            <w:vAlign w:val="center"/>
          </w:tcPr>
          <w:p>
            <w:pPr>
              <w:widowControl/>
              <w:jc w:val="center"/>
              <w:rPr>
                <w:rFonts w:ascii="Times New Roman" w:hAnsi="Times New Roman"/>
                <w:szCs w:val="20"/>
                <w:highlight w:val="none"/>
              </w:rPr>
            </w:pPr>
            <w:r>
              <w:rPr>
                <w:rFonts w:hint="eastAsia" w:ascii="Times New Roman" w:hAnsi="Times New Roman"/>
                <w:szCs w:val="20"/>
                <w:highlight w:val="none"/>
              </w:rPr>
              <w:t>三</w:t>
            </w:r>
          </w:p>
        </w:tc>
        <w:tc>
          <w:tcPr>
            <w:tcW w:w="960" w:type="dxa"/>
            <w:vAlign w:val="center"/>
          </w:tcPr>
          <w:p>
            <w:pPr>
              <w:widowControl w:val="0"/>
              <w:jc w:val="center"/>
              <w:rPr>
                <w:rFonts w:ascii="Calibri" w:hAnsi="Calibri"/>
                <w:szCs w:val="20"/>
                <w:highlight w:val="none"/>
              </w:rPr>
            </w:pPr>
            <w:r>
              <w:rPr>
                <w:rFonts w:hint="eastAsia" w:ascii="Calibri" w:hAnsi="Calibri"/>
                <w:szCs w:val="20"/>
                <w:highlight w:val="none"/>
              </w:rPr>
              <w:t>日常运维工作</w:t>
            </w:r>
          </w:p>
        </w:tc>
        <w:tc>
          <w:tcPr>
            <w:tcW w:w="3585" w:type="dxa"/>
            <w:vAlign w:val="center"/>
          </w:tcPr>
          <w:p>
            <w:pPr>
              <w:widowControl w:val="0"/>
              <w:numPr>
                <w:ilvl w:val="0"/>
                <w:numId w:val="1"/>
              </w:numPr>
              <w:jc w:val="left"/>
              <w:rPr>
                <w:rFonts w:ascii="Calibri" w:hAnsi="Calibri"/>
                <w:szCs w:val="20"/>
                <w:highlight w:val="none"/>
              </w:rPr>
            </w:pPr>
            <w:r>
              <w:rPr>
                <w:rFonts w:ascii="Calibri" w:hAnsi="Calibri"/>
                <w:szCs w:val="20"/>
                <w:highlight w:val="none"/>
              </w:rPr>
              <w:t>至少每两周进行1次在线设备pH</w:t>
            </w:r>
            <w:r>
              <w:rPr>
                <w:rFonts w:hint="eastAsia" w:ascii="Calibri" w:hAnsi="Calibri"/>
                <w:szCs w:val="20"/>
                <w:highlight w:val="none"/>
              </w:rPr>
              <w:t>值</w:t>
            </w:r>
            <w:r>
              <w:rPr>
                <w:rFonts w:ascii="Calibri" w:hAnsi="Calibri"/>
                <w:szCs w:val="20"/>
                <w:highlight w:val="none"/>
              </w:rPr>
              <w:t>和</w:t>
            </w:r>
            <w:r>
              <w:rPr>
                <w:rFonts w:hint="eastAsia" w:ascii="Calibri" w:hAnsi="Calibri"/>
                <w:szCs w:val="20"/>
                <w:highlight w:val="none"/>
              </w:rPr>
              <w:t>电导率</w:t>
            </w:r>
            <w:r>
              <w:rPr>
                <w:rFonts w:ascii="Calibri" w:hAnsi="Calibri"/>
                <w:szCs w:val="20"/>
                <w:highlight w:val="none"/>
              </w:rPr>
              <w:t>校准。</w:t>
            </w:r>
          </w:p>
          <w:p>
            <w:pPr>
              <w:widowControl w:val="0"/>
              <w:numPr>
                <w:ilvl w:val="0"/>
                <w:numId w:val="1"/>
              </w:numPr>
              <w:jc w:val="left"/>
              <w:rPr>
                <w:rFonts w:ascii="Calibri" w:hAnsi="Calibri"/>
                <w:szCs w:val="20"/>
                <w:highlight w:val="none"/>
              </w:rPr>
            </w:pPr>
            <w:r>
              <w:rPr>
                <w:rFonts w:ascii="Calibri" w:hAnsi="Calibri"/>
                <w:szCs w:val="20"/>
                <w:highlight w:val="none"/>
              </w:rPr>
              <w:t>每个月至少采集一次样品空白。</w:t>
            </w:r>
          </w:p>
          <w:p>
            <w:pPr>
              <w:widowControl w:val="0"/>
              <w:numPr>
                <w:ilvl w:val="0"/>
                <w:numId w:val="1"/>
              </w:numPr>
              <w:jc w:val="left"/>
              <w:rPr>
                <w:rFonts w:ascii="Calibri" w:hAnsi="Calibri"/>
                <w:szCs w:val="20"/>
                <w:highlight w:val="none"/>
              </w:rPr>
            </w:pPr>
            <w:r>
              <w:rPr>
                <w:rFonts w:ascii="Calibri" w:hAnsi="Calibri"/>
                <w:szCs w:val="20"/>
                <w:highlight w:val="none"/>
              </w:rPr>
              <w:t>每季度至少清洗一次仪器的集雨桶和雨量桶</w:t>
            </w:r>
            <w:r>
              <w:rPr>
                <w:rFonts w:hint="eastAsia" w:ascii="Calibri" w:hAnsi="Calibri"/>
                <w:szCs w:val="20"/>
                <w:highlight w:val="none"/>
              </w:rPr>
              <w:t>，并采集一个全程序空白样品</w:t>
            </w:r>
            <w:r>
              <w:rPr>
                <w:rFonts w:ascii="Calibri" w:hAnsi="Calibri"/>
                <w:szCs w:val="20"/>
                <w:highlight w:val="none"/>
              </w:rPr>
              <w:t>。</w:t>
            </w:r>
          </w:p>
          <w:p>
            <w:pPr>
              <w:widowControl w:val="0"/>
              <w:numPr>
                <w:ilvl w:val="0"/>
                <w:numId w:val="1"/>
              </w:numPr>
              <w:jc w:val="left"/>
              <w:rPr>
                <w:rFonts w:ascii="Calibri" w:hAnsi="Calibri"/>
                <w:szCs w:val="20"/>
                <w:highlight w:val="none"/>
              </w:rPr>
            </w:pPr>
            <w:r>
              <w:rPr>
                <w:rFonts w:ascii="Calibri" w:hAnsi="Calibri"/>
                <w:szCs w:val="20"/>
                <w:highlight w:val="none"/>
              </w:rPr>
              <w:t>每个站点每月至少进行一次实验室与在线设备pH值比对。</w:t>
            </w:r>
          </w:p>
          <w:p>
            <w:pPr>
              <w:widowControl w:val="0"/>
              <w:jc w:val="left"/>
              <w:rPr>
                <w:rFonts w:ascii="Calibri" w:hAnsi="Calibri"/>
                <w:szCs w:val="20"/>
                <w:highlight w:val="none"/>
              </w:rPr>
            </w:pPr>
            <w:r>
              <w:rPr>
                <w:rFonts w:ascii="Calibri" w:hAnsi="Calibri"/>
                <w:szCs w:val="20"/>
                <w:highlight w:val="none"/>
              </w:rPr>
              <w:t>（五）</w:t>
            </w:r>
            <w:r>
              <w:rPr>
                <w:rFonts w:hint="eastAsia" w:ascii="Calibri" w:hAnsi="Calibri"/>
                <w:szCs w:val="20"/>
                <w:highlight w:val="none"/>
              </w:rPr>
              <w:t>日常运维工作完成后应按要求及时填写</w:t>
            </w:r>
            <w:r>
              <w:rPr>
                <w:rFonts w:hint="eastAsia" w:ascii="宋体" w:hAnsi="宋体" w:cs="宋体"/>
                <w:szCs w:val="20"/>
                <w:highlight w:val="none"/>
              </w:rPr>
              <w:t>维护记录、仪器校准记录、质控记录、巡查记录等相关记录。所有表格应在要求时限内提交给采购人存档备案。</w:t>
            </w:r>
          </w:p>
          <w:p>
            <w:pPr>
              <w:widowControl w:val="0"/>
              <w:jc w:val="left"/>
              <w:rPr>
                <w:rFonts w:ascii="Calibri" w:hAnsi="Calibri"/>
                <w:szCs w:val="20"/>
                <w:highlight w:val="none"/>
              </w:rPr>
            </w:pPr>
            <w:r>
              <w:rPr>
                <w:rFonts w:ascii="Calibri" w:hAnsi="Calibri"/>
                <w:szCs w:val="20"/>
                <w:highlight w:val="none"/>
              </w:rPr>
              <w:t>（六）无论是否有降水</w:t>
            </w:r>
            <w:r>
              <w:rPr>
                <w:rFonts w:hint="eastAsia" w:ascii="Calibri" w:hAnsi="Calibri"/>
                <w:szCs w:val="20"/>
                <w:highlight w:val="none"/>
              </w:rPr>
              <w:t>，</w:t>
            </w:r>
            <w:r>
              <w:rPr>
                <w:rFonts w:ascii="Calibri" w:hAnsi="Calibri"/>
                <w:szCs w:val="20"/>
                <w:highlight w:val="none"/>
              </w:rPr>
              <w:t>每天登录广西壮族自治区酸雨监测质量控制系统查看仪器状态信息、监测数据信息，并拍照或截图上传。</w:t>
            </w:r>
          </w:p>
          <w:p>
            <w:pPr>
              <w:widowControl w:val="0"/>
              <w:jc w:val="left"/>
              <w:rPr>
                <w:rFonts w:ascii="Calibri" w:hAnsi="Calibri"/>
                <w:szCs w:val="20"/>
                <w:highlight w:val="none"/>
              </w:rPr>
            </w:pPr>
            <w:r>
              <w:rPr>
                <w:rFonts w:hint="eastAsia" w:ascii="Calibri" w:hAnsi="Calibri"/>
                <w:szCs w:val="20"/>
                <w:highlight w:val="none"/>
              </w:rPr>
              <w:t>（七）</w:t>
            </w:r>
            <w:r>
              <w:rPr>
                <w:rFonts w:ascii="Calibri" w:hAnsi="Calibri"/>
                <w:szCs w:val="20"/>
                <w:highlight w:val="none"/>
              </w:rPr>
              <w:t>其他</w:t>
            </w:r>
            <w:r>
              <w:rPr>
                <w:rFonts w:ascii="Times New Roman" w:hAnsi="Times New Roman"/>
                <w:szCs w:val="20"/>
                <w:highlight w:val="none"/>
              </w:rPr>
              <w:t>配套装置维护管理</w:t>
            </w:r>
            <w:r>
              <w:rPr>
                <w:rFonts w:hint="eastAsia" w:ascii="Times New Roman" w:hAnsi="Times New Roman"/>
                <w:szCs w:val="20"/>
                <w:highlight w:val="none"/>
              </w:rPr>
              <w:t>等</w:t>
            </w:r>
            <w:r>
              <w:rPr>
                <w:rFonts w:ascii="Calibri" w:hAnsi="Calibri"/>
                <w:szCs w:val="20"/>
                <w:highlight w:val="none"/>
              </w:rPr>
              <w:t>要求。</w:t>
            </w:r>
          </w:p>
          <w:p>
            <w:pPr>
              <w:widowControl/>
              <w:rPr>
                <w:rFonts w:ascii="Calibri" w:hAnsi="Calibri"/>
                <w:szCs w:val="20"/>
                <w:highlight w:val="none"/>
              </w:rPr>
            </w:pPr>
          </w:p>
        </w:tc>
        <w:tc>
          <w:tcPr>
            <w:tcW w:w="3703" w:type="dxa"/>
            <w:vAlign w:val="center"/>
          </w:tcPr>
          <w:p>
            <w:pPr>
              <w:widowControl w:val="0"/>
              <w:jc w:val="left"/>
              <w:rPr>
                <w:rFonts w:ascii="Calibri" w:hAnsi="Calibri"/>
                <w:szCs w:val="20"/>
                <w:highlight w:val="none"/>
              </w:rPr>
            </w:pPr>
            <w:r>
              <w:rPr>
                <w:rFonts w:ascii="Calibri" w:hAnsi="Calibri"/>
                <w:szCs w:val="20"/>
                <w:highlight w:val="none"/>
              </w:rPr>
              <w:t>（一）至少每两周进行1次在线设备pH</w:t>
            </w:r>
            <w:r>
              <w:rPr>
                <w:rFonts w:hint="eastAsia" w:ascii="Calibri" w:hAnsi="Calibri"/>
                <w:szCs w:val="20"/>
                <w:highlight w:val="none"/>
              </w:rPr>
              <w:t>值</w:t>
            </w:r>
            <w:r>
              <w:rPr>
                <w:rFonts w:ascii="Calibri" w:hAnsi="Calibri"/>
                <w:szCs w:val="20"/>
                <w:highlight w:val="none"/>
              </w:rPr>
              <w:t>和</w:t>
            </w:r>
            <w:r>
              <w:rPr>
                <w:rFonts w:hint="eastAsia" w:ascii="Calibri" w:hAnsi="Calibri"/>
                <w:szCs w:val="20"/>
                <w:highlight w:val="none"/>
              </w:rPr>
              <w:t>电导率</w:t>
            </w:r>
            <w:r>
              <w:rPr>
                <w:rFonts w:ascii="Calibri" w:hAnsi="Calibri"/>
                <w:szCs w:val="20"/>
                <w:highlight w:val="none"/>
              </w:rPr>
              <w:t>校准</w:t>
            </w:r>
            <w:r>
              <w:rPr>
                <w:rFonts w:hint="eastAsia" w:ascii="Calibri" w:hAnsi="Calibri"/>
                <w:szCs w:val="20"/>
                <w:highlight w:val="none"/>
              </w:rPr>
              <w:t>，缺少一次扣2分</w:t>
            </w:r>
            <w:r>
              <w:rPr>
                <w:rFonts w:ascii="Calibri" w:hAnsi="Calibri"/>
                <w:szCs w:val="20"/>
                <w:highlight w:val="none"/>
              </w:rPr>
              <w:t>。</w:t>
            </w:r>
          </w:p>
          <w:p>
            <w:pPr>
              <w:widowControl w:val="0"/>
              <w:jc w:val="left"/>
              <w:rPr>
                <w:rFonts w:ascii="Calibri" w:hAnsi="Calibri"/>
                <w:szCs w:val="20"/>
                <w:highlight w:val="none"/>
              </w:rPr>
            </w:pPr>
            <w:r>
              <w:rPr>
                <w:rFonts w:ascii="Calibri" w:hAnsi="Calibri"/>
                <w:szCs w:val="20"/>
                <w:highlight w:val="none"/>
              </w:rPr>
              <w:t>（二）每个月至少采集一次样品空白</w:t>
            </w:r>
            <w:r>
              <w:rPr>
                <w:rFonts w:hint="eastAsia" w:ascii="Calibri" w:hAnsi="Calibri"/>
                <w:szCs w:val="20"/>
                <w:highlight w:val="none"/>
              </w:rPr>
              <w:t>，缺少一次扣2分</w:t>
            </w:r>
            <w:r>
              <w:rPr>
                <w:rFonts w:ascii="Calibri" w:hAnsi="Calibri"/>
                <w:szCs w:val="20"/>
                <w:highlight w:val="none"/>
              </w:rPr>
              <w:t>。</w:t>
            </w:r>
          </w:p>
          <w:p>
            <w:pPr>
              <w:widowControl w:val="0"/>
              <w:jc w:val="left"/>
              <w:rPr>
                <w:rFonts w:ascii="Calibri" w:hAnsi="Calibri"/>
                <w:szCs w:val="20"/>
                <w:highlight w:val="none"/>
              </w:rPr>
            </w:pPr>
            <w:r>
              <w:rPr>
                <w:rFonts w:ascii="Calibri" w:hAnsi="Calibri"/>
                <w:szCs w:val="20"/>
                <w:highlight w:val="none"/>
              </w:rPr>
              <w:t>（三）每季度至少清洗一次仪器的集雨桶和雨量桶，并采集一个全程序空白样品</w:t>
            </w:r>
            <w:r>
              <w:rPr>
                <w:rFonts w:hint="eastAsia" w:ascii="Calibri" w:hAnsi="Calibri"/>
                <w:szCs w:val="20"/>
                <w:highlight w:val="none"/>
              </w:rPr>
              <w:t>，缺少一次扣2分</w:t>
            </w:r>
            <w:r>
              <w:rPr>
                <w:rFonts w:ascii="Calibri" w:hAnsi="Calibri"/>
                <w:szCs w:val="20"/>
                <w:highlight w:val="none"/>
              </w:rPr>
              <w:t>。</w:t>
            </w:r>
          </w:p>
          <w:p>
            <w:pPr>
              <w:widowControl w:val="0"/>
              <w:jc w:val="left"/>
              <w:rPr>
                <w:rFonts w:ascii="Calibri" w:hAnsi="Calibri"/>
                <w:szCs w:val="20"/>
                <w:highlight w:val="none"/>
              </w:rPr>
            </w:pPr>
            <w:r>
              <w:rPr>
                <w:rFonts w:ascii="Calibri" w:hAnsi="Calibri"/>
                <w:szCs w:val="20"/>
                <w:highlight w:val="none"/>
              </w:rPr>
              <w:t>（四）每个站点每月至少进行一次实验室与在线设备pH值比对</w:t>
            </w:r>
            <w:r>
              <w:rPr>
                <w:rFonts w:hint="eastAsia" w:ascii="Calibri" w:hAnsi="Calibri"/>
                <w:szCs w:val="20"/>
                <w:highlight w:val="none"/>
              </w:rPr>
              <w:t>，pH值偏差不能超过±0.3个pH单位，如超过范围，则再次校准设备，再次监测有证标准样品，</w:t>
            </w:r>
            <w:r>
              <w:rPr>
                <w:rFonts w:ascii="Calibri" w:hAnsi="Calibri"/>
                <w:szCs w:val="20"/>
                <w:highlight w:val="none"/>
              </w:rPr>
              <w:t>直到合格为止</w:t>
            </w:r>
            <w:r>
              <w:rPr>
                <w:rFonts w:hint="eastAsia" w:ascii="Calibri" w:hAnsi="Calibri"/>
                <w:szCs w:val="20"/>
                <w:highlight w:val="none"/>
              </w:rPr>
              <w:t>。在仪器无故障的情况下，如比对超过三次不合格的，从第三次起，每次扣1分，扣完为止</w:t>
            </w:r>
            <w:r>
              <w:rPr>
                <w:rFonts w:ascii="Calibri" w:hAnsi="Calibri"/>
                <w:szCs w:val="20"/>
                <w:highlight w:val="none"/>
              </w:rPr>
              <w:t>。</w:t>
            </w:r>
          </w:p>
          <w:p>
            <w:pPr>
              <w:widowControl/>
              <w:rPr>
                <w:rFonts w:ascii="Calibri" w:hAnsi="Calibri"/>
                <w:szCs w:val="20"/>
                <w:highlight w:val="none"/>
              </w:rPr>
            </w:pPr>
            <w:r>
              <w:rPr>
                <w:rFonts w:hint="eastAsia" w:ascii="Calibri" w:hAnsi="Calibri"/>
                <w:szCs w:val="20"/>
                <w:highlight w:val="none"/>
              </w:rPr>
              <w:t>（五）日常运维工作完成后未及时填写相关记录，或未按要求时限将各类记录提交给采购人存档备案，每缺一项扣</w:t>
            </w:r>
            <w:r>
              <w:rPr>
                <w:rFonts w:ascii="Calibri" w:hAnsi="Calibri"/>
                <w:szCs w:val="20"/>
                <w:highlight w:val="none"/>
              </w:rPr>
              <w:t>0.5</w:t>
            </w:r>
            <w:r>
              <w:rPr>
                <w:rFonts w:hint="eastAsia" w:ascii="Calibri" w:hAnsi="Calibri"/>
                <w:szCs w:val="20"/>
                <w:highlight w:val="none"/>
              </w:rPr>
              <w:t>分，扣完为止</w:t>
            </w:r>
            <w:r>
              <w:rPr>
                <w:rFonts w:ascii="Calibri" w:hAnsi="Calibri"/>
                <w:szCs w:val="20"/>
                <w:highlight w:val="none"/>
              </w:rPr>
              <w:t>。</w:t>
            </w:r>
          </w:p>
          <w:p>
            <w:pPr>
              <w:widowControl/>
              <w:rPr>
                <w:rFonts w:ascii="Calibri" w:hAnsi="Calibri"/>
                <w:szCs w:val="20"/>
                <w:highlight w:val="none"/>
              </w:rPr>
            </w:pPr>
            <w:r>
              <w:rPr>
                <w:rFonts w:hint="eastAsia" w:ascii="Calibri" w:hAnsi="Calibri"/>
                <w:szCs w:val="20"/>
                <w:highlight w:val="none"/>
              </w:rPr>
              <w:t>（六）</w:t>
            </w:r>
            <w:r>
              <w:rPr>
                <w:rFonts w:ascii="Calibri" w:hAnsi="Calibri"/>
                <w:szCs w:val="20"/>
                <w:highlight w:val="none"/>
              </w:rPr>
              <w:t>无论是否有降水</w:t>
            </w:r>
            <w:r>
              <w:rPr>
                <w:rFonts w:hint="eastAsia" w:ascii="Calibri" w:hAnsi="Calibri"/>
                <w:szCs w:val="20"/>
                <w:highlight w:val="none"/>
              </w:rPr>
              <w:t>，每天登录</w:t>
            </w:r>
            <w:r>
              <w:rPr>
                <w:rFonts w:ascii="Calibri" w:hAnsi="Calibri"/>
                <w:szCs w:val="20"/>
                <w:highlight w:val="none"/>
              </w:rPr>
              <w:t>广西壮族自治区酸雨监测质量控制系统查看仪器状态信息、监测数据信息，并拍照或截图上传</w:t>
            </w:r>
            <w:r>
              <w:rPr>
                <w:rFonts w:hint="eastAsia" w:ascii="Calibri" w:hAnsi="Calibri"/>
                <w:szCs w:val="20"/>
                <w:highlight w:val="none"/>
              </w:rPr>
              <w:t>，缺少一天扣1分，扣完为止。</w:t>
            </w:r>
          </w:p>
          <w:p>
            <w:pPr>
              <w:widowControl/>
              <w:rPr>
                <w:rFonts w:ascii="Calibri" w:hAnsi="Calibri"/>
                <w:szCs w:val="20"/>
                <w:highlight w:val="none"/>
              </w:rPr>
            </w:pPr>
            <w:r>
              <w:rPr>
                <w:rFonts w:hint="eastAsia" w:ascii="Calibri" w:hAnsi="Calibri"/>
                <w:szCs w:val="20"/>
                <w:highlight w:val="none"/>
              </w:rPr>
              <w:t>（七）其他违反</w:t>
            </w:r>
            <w:r>
              <w:rPr>
                <w:rFonts w:ascii="Times New Roman" w:hAnsi="Times New Roman"/>
                <w:szCs w:val="20"/>
                <w:highlight w:val="none"/>
              </w:rPr>
              <w:t>维护管理</w:t>
            </w:r>
            <w:r>
              <w:rPr>
                <w:rFonts w:ascii="Calibri" w:hAnsi="Calibri"/>
                <w:szCs w:val="20"/>
                <w:highlight w:val="none"/>
              </w:rPr>
              <w:t>要求</w:t>
            </w:r>
            <w:r>
              <w:rPr>
                <w:rFonts w:hint="eastAsia" w:ascii="Calibri" w:hAnsi="Calibri"/>
                <w:szCs w:val="20"/>
                <w:highlight w:val="none"/>
              </w:rPr>
              <w:t>的事项，每次扣1分，扣完为止。</w:t>
            </w:r>
          </w:p>
        </w:tc>
        <w:tc>
          <w:tcPr>
            <w:tcW w:w="798" w:type="dxa"/>
            <w:vAlign w:val="center"/>
          </w:tcPr>
          <w:p>
            <w:pPr>
              <w:widowControl w:val="0"/>
              <w:jc w:val="center"/>
              <w:rPr>
                <w:rFonts w:ascii="Times New Roman" w:hAnsi="Times New Roman"/>
                <w:szCs w:val="20"/>
                <w:highlight w:val="none"/>
              </w:rPr>
            </w:pPr>
            <w:r>
              <w:rPr>
                <w:rFonts w:hint="eastAsia" w:ascii="Times New Roman" w:hAnsi="Times New Roman"/>
                <w:szCs w:val="20"/>
                <w:highlight w:val="none"/>
              </w:rPr>
              <w:t>25</w:t>
            </w:r>
          </w:p>
        </w:tc>
        <w:tc>
          <w:tcPr>
            <w:tcW w:w="929"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2608" w:type="dxa"/>
            <w:vAlign w:val="center"/>
          </w:tcPr>
          <w:p>
            <w:pPr>
              <w:widowControl w:val="0"/>
              <w:ind w:firstLine="0" w:firstLineChars="0"/>
              <w:jc w:val="center"/>
              <w:rPr>
                <w:rFonts w:ascii="Times New Roman" w:hAnsi="Times New Roman" w:eastAsia="宋体" w:cs="Times New Roman"/>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760" w:type="dxa"/>
            <w:vAlign w:val="center"/>
          </w:tcPr>
          <w:p>
            <w:pPr>
              <w:widowControl/>
              <w:jc w:val="center"/>
              <w:rPr>
                <w:rFonts w:ascii="Times New Roman" w:hAnsi="Times New Roman"/>
                <w:szCs w:val="20"/>
                <w:highlight w:val="none"/>
              </w:rPr>
            </w:pPr>
            <w:r>
              <w:rPr>
                <w:rFonts w:hint="eastAsia" w:ascii="Times New Roman" w:hAnsi="Times New Roman"/>
                <w:szCs w:val="20"/>
                <w:highlight w:val="none"/>
              </w:rPr>
              <w:t>四</w:t>
            </w:r>
          </w:p>
        </w:tc>
        <w:tc>
          <w:tcPr>
            <w:tcW w:w="960" w:type="dxa"/>
            <w:vAlign w:val="center"/>
          </w:tcPr>
          <w:p>
            <w:pPr>
              <w:widowControl w:val="0"/>
              <w:jc w:val="center"/>
              <w:rPr>
                <w:rFonts w:ascii="Times New Roman" w:hAnsi="Times New Roman"/>
                <w:szCs w:val="20"/>
                <w:highlight w:val="none"/>
              </w:rPr>
            </w:pPr>
            <w:r>
              <w:rPr>
                <w:rFonts w:ascii="Times New Roman" w:hAnsi="Times New Roman"/>
                <w:szCs w:val="20"/>
                <w:highlight w:val="none"/>
              </w:rPr>
              <w:t>仪器设备维修</w:t>
            </w:r>
          </w:p>
        </w:tc>
        <w:tc>
          <w:tcPr>
            <w:tcW w:w="3585" w:type="dxa"/>
            <w:vAlign w:val="center"/>
          </w:tcPr>
          <w:p>
            <w:pPr>
              <w:widowControl w:val="0"/>
              <w:numPr>
                <w:ilvl w:val="0"/>
                <w:numId w:val="2"/>
              </w:numPr>
              <w:jc w:val="left"/>
              <w:rPr>
                <w:rFonts w:ascii="Times New Roman" w:hAnsi="Times New Roman"/>
                <w:szCs w:val="20"/>
                <w:highlight w:val="none"/>
              </w:rPr>
            </w:pPr>
            <w:r>
              <w:rPr>
                <w:rFonts w:ascii="Times New Roman" w:hAnsi="Times New Roman"/>
                <w:szCs w:val="20"/>
                <w:highlight w:val="none"/>
              </w:rPr>
              <w:t>初步判断现场监测仪器设备故障。</w:t>
            </w:r>
          </w:p>
          <w:p>
            <w:pPr>
              <w:widowControl w:val="0"/>
              <w:numPr>
                <w:ilvl w:val="0"/>
                <w:numId w:val="2"/>
              </w:numPr>
              <w:jc w:val="left"/>
              <w:rPr>
                <w:rFonts w:ascii="Times New Roman" w:hAnsi="Times New Roman"/>
                <w:szCs w:val="20"/>
                <w:highlight w:val="none"/>
              </w:rPr>
            </w:pPr>
            <w:r>
              <w:rPr>
                <w:rFonts w:ascii="Times New Roman" w:hAnsi="Times New Roman"/>
                <w:szCs w:val="20"/>
                <w:highlight w:val="none"/>
              </w:rPr>
              <w:t>协助做好仪器设备维修相关工作。</w:t>
            </w:r>
          </w:p>
          <w:p>
            <w:pPr>
              <w:widowControl w:val="0"/>
              <w:numPr>
                <w:ilvl w:val="0"/>
                <w:numId w:val="2"/>
              </w:numPr>
              <w:jc w:val="left"/>
              <w:rPr>
                <w:rFonts w:ascii="Times New Roman" w:hAnsi="Times New Roman"/>
                <w:szCs w:val="20"/>
                <w:highlight w:val="none"/>
              </w:rPr>
            </w:pPr>
            <w:r>
              <w:rPr>
                <w:rFonts w:ascii="Times New Roman" w:hAnsi="Times New Roman"/>
                <w:szCs w:val="20"/>
                <w:highlight w:val="none"/>
              </w:rPr>
              <w:t>承担现场监测仪器设备</w:t>
            </w:r>
            <w:r>
              <w:rPr>
                <w:rFonts w:hint="eastAsia" w:ascii="Times New Roman" w:hAnsi="Times New Roman"/>
                <w:szCs w:val="20"/>
                <w:highlight w:val="none"/>
              </w:rPr>
              <w:t>维修，</w:t>
            </w:r>
            <w:r>
              <w:rPr>
                <w:rFonts w:ascii="Times New Roman" w:hAnsi="Times New Roman"/>
                <w:szCs w:val="20"/>
                <w:highlight w:val="none"/>
              </w:rPr>
              <w:t>（</w:t>
            </w:r>
            <w:r>
              <w:rPr>
                <w:rFonts w:hint="eastAsia" w:ascii="Times New Roman" w:hAnsi="Times New Roman"/>
                <w:szCs w:val="20"/>
                <w:highlight w:val="none"/>
              </w:rPr>
              <w:t>合同</w:t>
            </w:r>
            <w:r>
              <w:rPr>
                <w:rFonts w:ascii="Times New Roman" w:hAnsi="Times New Roman"/>
                <w:szCs w:val="20"/>
                <w:highlight w:val="none"/>
              </w:rPr>
              <w:t>期内总价不超过</w:t>
            </w:r>
            <w:r>
              <w:rPr>
                <w:rFonts w:hint="eastAsia" w:ascii="Times New Roman" w:hAnsi="Times New Roman"/>
                <w:szCs w:val="20"/>
                <w:highlight w:val="none"/>
              </w:rPr>
              <w:t>三</w:t>
            </w:r>
            <w:r>
              <w:rPr>
                <w:rFonts w:ascii="Times New Roman" w:hAnsi="Times New Roman"/>
                <w:szCs w:val="20"/>
                <w:highlight w:val="none"/>
              </w:rPr>
              <w:t>万元）。</w:t>
            </w:r>
          </w:p>
          <w:p>
            <w:pPr>
              <w:widowControl w:val="0"/>
              <w:jc w:val="left"/>
              <w:rPr>
                <w:rFonts w:ascii="宋体" w:hAnsi="宋体" w:cs="宋体"/>
                <w:szCs w:val="20"/>
                <w:highlight w:val="none"/>
              </w:rPr>
            </w:pPr>
            <w:r>
              <w:rPr>
                <w:rFonts w:ascii="Calibri" w:hAnsi="Calibri"/>
                <w:szCs w:val="20"/>
                <w:highlight w:val="none"/>
              </w:rPr>
              <w:t>（</w:t>
            </w:r>
            <w:r>
              <w:rPr>
                <w:rFonts w:hint="eastAsia" w:ascii="Calibri" w:hAnsi="Calibri"/>
                <w:szCs w:val="20"/>
                <w:highlight w:val="none"/>
              </w:rPr>
              <w:t>四）按要求填写</w:t>
            </w:r>
            <w:r>
              <w:rPr>
                <w:rFonts w:hint="eastAsia" w:ascii="宋体" w:hAnsi="宋体" w:cs="宋体"/>
                <w:szCs w:val="20"/>
                <w:highlight w:val="none"/>
              </w:rPr>
              <w:t>维修记录并在仪器完成维修通过验收后提交给采购人存档备案。</w:t>
            </w:r>
          </w:p>
          <w:p>
            <w:pPr>
              <w:widowControl w:val="0"/>
              <w:tabs>
                <w:tab w:val="center" w:pos="4153"/>
                <w:tab w:val="right" w:pos="8306"/>
              </w:tabs>
              <w:snapToGrid w:val="0"/>
              <w:jc w:val="left"/>
              <w:rPr>
                <w:rFonts w:ascii="等线" w:hAnsi="等线" w:eastAsia="等线" w:cs="Times New Roman"/>
                <w:kern w:val="2"/>
                <w:sz w:val="18"/>
                <w:szCs w:val="18"/>
                <w:highlight w:val="none"/>
                <w:lang w:val="en-US" w:eastAsia="zh-CN" w:bidi="ar-SA"/>
              </w:rPr>
            </w:pPr>
          </w:p>
        </w:tc>
        <w:tc>
          <w:tcPr>
            <w:tcW w:w="3703" w:type="dxa"/>
            <w:vAlign w:val="center"/>
          </w:tcPr>
          <w:p>
            <w:pPr>
              <w:widowControl w:val="0"/>
              <w:numPr>
                <w:ilvl w:val="0"/>
                <w:numId w:val="3"/>
              </w:numPr>
              <w:jc w:val="left"/>
              <w:rPr>
                <w:rFonts w:ascii="Times New Roman" w:hAnsi="Times New Roman"/>
                <w:szCs w:val="20"/>
                <w:highlight w:val="none"/>
              </w:rPr>
            </w:pPr>
            <w:r>
              <w:rPr>
                <w:rFonts w:ascii="Times New Roman" w:hAnsi="Times New Roman"/>
                <w:szCs w:val="20"/>
                <w:highlight w:val="none"/>
              </w:rPr>
              <w:t>及时判断仪器设备故障，</w:t>
            </w:r>
            <w:r>
              <w:rPr>
                <w:rFonts w:hint="eastAsia" w:ascii="Times New Roman" w:hAnsi="Times New Roman"/>
                <w:szCs w:val="20"/>
                <w:highlight w:val="none"/>
              </w:rPr>
              <w:t>于2个工作日内完成故障原因分析及承诺排除故障时限，并向采购人提供书面报告（未按要求完成的每次扣1分），于15个自然日内完成维修并通过验收，如未完成</w:t>
            </w:r>
            <w:r>
              <w:rPr>
                <w:rFonts w:hint="eastAsia" w:ascii="Calibri" w:hAnsi="Calibri"/>
                <w:szCs w:val="20"/>
                <w:highlight w:val="none"/>
              </w:rPr>
              <w:t>从第16个自然日起，每增加1天，扣1分，扣完为止。如遇特殊情况，须同采购人商议解决。</w:t>
            </w:r>
          </w:p>
          <w:p>
            <w:pPr>
              <w:widowControl w:val="0"/>
              <w:jc w:val="left"/>
              <w:rPr>
                <w:rFonts w:ascii="Times New Roman" w:hAnsi="Times New Roman"/>
                <w:szCs w:val="20"/>
                <w:highlight w:val="none"/>
              </w:rPr>
            </w:pPr>
            <w:r>
              <w:rPr>
                <w:rFonts w:ascii="Times New Roman" w:hAnsi="Times New Roman"/>
                <w:szCs w:val="20"/>
                <w:highlight w:val="none"/>
              </w:rPr>
              <w:t>（二）协助仪器设备维修人员做好相关工作，并完成仪器设备维修后状态确认，未按要求完成的每次扣1分，扣完为止。</w:t>
            </w:r>
          </w:p>
          <w:p>
            <w:pPr>
              <w:widowControl w:val="0"/>
              <w:jc w:val="left"/>
              <w:rPr>
                <w:rFonts w:ascii="Times New Roman" w:hAnsi="Times New Roman"/>
                <w:szCs w:val="20"/>
                <w:highlight w:val="none"/>
              </w:rPr>
            </w:pPr>
            <w:r>
              <w:rPr>
                <w:rFonts w:ascii="Times New Roman" w:hAnsi="Times New Roman"/>
                <w:szCs w:val="20"/>
                <w:highlight w:val="none"/>
              </w:rPr>
              <w:t>（三）仪器设备故障诊断、维修方式及费由双方确认。</w:t>
            </w:r>
          </w:p>
          <w:p>
            <w:pPr>
              <w:widowControl w:val="0"/>
              <w:jc w:val="left"/>
              <w:rPr>
                <w:rFonts w:ascii="Calibri" w:hAnsi="Calibri"/>
                <w:szCs w:val="20"/>
                <w:highlight w:val="none"/>
              </w:rPr>
            </w:pPr>
            <w:r>
              <w:rPr>
                <w:rFonts w:ascii="Calibri" w:hAnsi="Calibri"/>
                <w:szCs w:val="20"/>
                <w:highlight w:val="none"/>
              </w:rPr>
              <w:t>（</w:t>
            </w:r>
            <w:r>
              <w:rPr>
                <w:rFonts w:hint="eastAsia" w:ascii="Calibri" w:hAnsi="Calibri"/>
                <w:szCs w:val="20"/>
                <w:highlight w:val="none"/>
              </w:rPr>
              <w:t>四</w:t>
            </w:r>
            <w:r>
              <w:rPr>
                <w:rFonts w:ascii="Calibri" w:hAnsi="Calibri"/>
                <w:szCs w:val="20"/>
                <w:highlight w:val="none"/>
              </w:rPr>
              <w:t>）</w:t>
            </w:r>
            <w:r>
              <w:rPr>
                <w:rFonts w:ascii="Times New Roman" w:hAnsi="Times New Roman"/>
                <w:szCs w:val="20"/>
                <w:highlight w:val="none"/>
              </w:rPr>
              <w:t>未按要求</w:t>
            </w:r>
            <w:r>
              <w:rPr>
                <w:rFonts w:hint="eastAsia" w:ascii="Calibri" w:hAnsi="Calibri"/>
                <w:szCs w:val="20"/>
                <w:highlight w:val="none"/>
              </w:rPr>
              <w:t>填写</w:t>
            </w:r>
            <w:r>
              <w:rPr>
                <w:rFonts w:hint="eastAsia" w:ascii="宋体" w:hAnsi="宋体" w:cs="宋体"/>
                <w:szCs w:val="20"/>
                <w:highlight w:val="none"/>
              </w:rPr>
              <w:t>维修记录并在仪器完成维修通过验收后提交给采购人存档备案。</w:t>
            </w:r>
            <w:r>
              <w:rPr>
                <w:rFonts w:ascii="Times New Roman" w:hAnsi="Times New Roman"/>
                <w:szCs w:val="20"/>
                <w:highlight w:val="none"/>
              </w:rPr>
              <w:t>每次扣</w:t>
            </w:r>
            <w:r>
              <w:rPr>
                <w:rFonts w:hint="eastAsia" w:ascii="Times New Roman" w:hAnsi="Times New Roman"/>
                <w:szCs w:val="20"/>
                <w:highlight w:val="none"/>
              </w:rPr>
              <w:t>1</w:t>
            </w:r>
            <w:r>
              <w:rPr>
                <w:rFonts w:ascii="Times New Roman" w:hAnsi="Times New Roman"/>
                <w:szCs w:val="20"/>
                <w:highlight w:val="none"/>
              </w:rPr>
              <w:t>分，扣完为止。</w:t>
            </w:r>
          </w:p>
          <w:p>
            <w:pPr>
              <w:widowControl w:val="0"/>
              <w:tabs>
                <w:tab w:val="center" w:pos="4153"/>
                <w:tab w:val="right" w:pos="8306"/>
              </w:tabs>
              <w:snapToGrid w:val="0"/>
              <w:jc w:val="left"/>
              <w:rPr>
                <w:rFonts w:ascii="等线" w:hAnsi="等线" w:eastAsia="等线" w:cs="Times New Roman"/>
                <w:kern w:val="2"/>
                <w:sz w:val="18"/>
                <w:szCs w:val="18"/>
                <w:highlight w:val="none"/>
                <w:lang w:val="en-US" w:eastAsia="zh-CN" w:bidi="ar-SA"/>
              </w:rPr>
            </w:pPr>
          </w:p>
        </w:tc>
        <w:tc>
          <w:tcPr>
            <w:tcW w:w="798" w:type="dxa"/>
            <w:vAlign w:val="center"/>
          </w:tcPr>
          <w:p>
            <w:pPr>
              <w:widowControl w:val="0"/>
              <w:jc w:val="center"/>
              <w:rPr>
                <w:rFonts w:ascii="Times New Roman" w:hAnsi="Times New Roman"/>
                <w:szCs w:val="20"/>
                <w:highlight w:val="none"/>
              </w:rPr>
            </w:pPr>
            <w:r>
              <w:rPr>
                <w:rFonts w:ascii="Times New Roman" w:hAnsi="Times New Roman"/>
                <w:szCs w:val="20"/>
                <w:highlight w:val="none"/>
              </w:rPr>
              <w:t>1</w:t>
            </w:r>
            <w:r>
              <w:rPr>
                <w:rFonts w:hint="eastAsia" w:ascii="Times New Roman" w:hAnsi="Times New Roman"/>
                <w:szCs w:val="20"/>
                <w:highlight w:val="none"/>
              </w:rPr>
              <w:t>5</w:t>
            </w:r>
          </w:p>
        </w:tc>
        <w:tc>
          <w:tcPr>
            <w:tcW w:w="929"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2608"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760" w:type="dxa"/>
            <w:vAlign w:val="center"/>
          </w:tcPr>
          <w:p>
            <w:pPr>
              <w:widowControl/>
              <w:jc w:val="center"/>
              <w:rPr>
                <w:rFonts w:ascii="Times New Roman" w:hAnsi="Times New Roman"/>
                <w:szCs w:val="20"/>
                <w:highlight w:val="none"/>
              </w:rPr>
            </w:pPr>
            <w:r>
              <w:rPr>
                <w:rFonts w:hint="eastAsia" w:ascii="Times New Roman" w:hAnsi="Times New Roman"/>
                <w:szCs w:val="20"/>
                <w:highlight w:val="none"/>
              </w:rPr>
              <w:t>五</w:t>
            </w:r>
          </w:p>
        </w:tc>
        <w:tc>
          <w:tcPr>
            <w:tcW w:w="960" w:type="dxa"/>
            <w:vAlign w:val="center"/>
          </w:tcPr>
          <w:p>
            <w:pPr>
              <w:widowControl w:val="0"/>
              <w:jc w:val="center"/>
              <w:rPr>
                <w:rFonts w:ascii="Times New Roman" w:hAnsi="Times New Roman"/>
                <w:szCs w:val="20"/>
                <w:highlight w:val="none"/>
              </w:rPr>
            </w:pPr>
            <w:r>
              <w:rPr>
                <w:rFonts w:ascii="Times New Roman" w:hAnsi="Times New Roman"/>
                <w:szCs w:val="20"/>
                <w:highlight w:val="none"/>
              </w:rPr>
              <w:t>记录</w:t>
            </w:r>
          </w:p>
        </w:tc>
        <w:tc>
          <w:tcPr>
            <w:tcW w:w="3585" w:type="dxa"/>
            <w:vAlign w:val="center"/>
          </w:tcPr>
          <w:p>
            <w:pPr>
              <w:widowControl w:val="0"/>
              <w:jc w:val="left"/>
              <w:rPr>
                <w:rFonts w:ascii="Times New Roman" w:hAnsi="Times New Roman"/>
                <w:szCs w:val="20"/>
                <w:highlight w:val="none"/>
              </w:rPr>
            </w:pPr>
            <w:r>
              <w:rPr>
                <w:rFonts w:ascii="Times New Roman" w:hAnsi="Times New Roman"/>
                <w:szCs w:val="20"/>
                <w:highlight w:val="none"/>
              </w:rPr>
              <w:t>（一）按照要求规范填写样品标签、</w:t>
            </w:r>
            <w:r>
              <w:rPr>
                <w:rFonts w:hint="eastAsia" w:ascii="宋体" w:hAnsi="宋体" w:cs="宋体"/>
                <w:bCs/>
                <w:szCs w:val="21"/>
                <w:highlight w:val="none"/>
              </w:rPr>
              <w:t>采样</w:t>
            </w:r>
            <w:r>
              <w:rPr>
                <w:rFonts w:ascii="Times New Roman" w:hAnsi="Times New Roman"/>
                <w:szCs w:val="20"/>
                <w:highlight w:val="none"/>
              </w:rPr>
              <w:t>交接记录</w:t>
            </w:r>
            <w:r>
              <w:rPr>
                <w:rFonts w:hint="eastAsia" w:ascii="Times New Roman" w:hAnsi="Times New Roman"/>
                <w:szCs w:val="20"/>
                <w:highlight w:val="none"/>
              </w:rPr>
              <w:t>、维护记录、维修记录、仪器校准记录、质控记录、巡查记录</w:t>
            </w:r>
            <w:r>
              <w:rPr>
                <w:rFonts w:ascii="Times New Roman" w:hAnsi="Times New Roman"/>
                <w:szCs w:val="20"/>
                <w:highlight w:val="none"/>
              </w:rPr>
              <w:t>等。</w:t>
            </w:r>
          </w:p>
          <w:p>
            <w:pPr>
              <w:widowControl w:val="0"/>
              <w:jc w:val="left"/>
              <w:rPr>
                <w:rFonts w:ascii="Times New Roman" w:hAnsi="Times New Roman"/>
                <w:szCs w:val="20"/>
                <w:highlight w:val="none"/>
              </w:rPr>
            </w:pPr>
            <w:r>
              <w:rPr>
                <w:rFonts w:ascii="Times New Roman" w:hAnsi="Times New Roman"/>
                <w:szCs w:val="20"/>
                <w:highlight w:val="none"/>
              </w:rPr>
              <w:t>（二）所有记录须字体清晰，不得模糊潦草，并按规范填写相应内容。</w:t>
            </w:r>
          </w:p>
          <w:p>
            <w:pPr>
              <w:widowControl w:val="0"/>
              <w:jc w:val="left"/>
              <w:rPr>
                <w:rFonts w:ascii="Times New Roman" w:hAnsi="Times New Roman"/>
                <w:szCs w:val="20"/>
                <w:highlight w:val="none"/>
              </w:rPr>
            </w:pPr>
            <w:r>
              <w:rPr>
                <w:rFonts w:hint="eastAsia" w:ascii="Times New Roman" w:hAnsi="Times New Roman"/>
                <w:szCs w:val="20"/>
                <w:highlight w:val="none"/>
              </w:rPr>
              <w:t>（三）采购方</w:t>
            </w:r>
            <w:r>
              <w:rPr>
                <w:rFonts w:ascii="Times New Roman" w:hAnsi="Times New Roman"/>
                <w:szCs w:val="20"/>
                <w:highlight w:val="none"/>
              </w:rPr>
              <w:t>可随时抽查记录内容，服务方须及时提供，不得阻挠、拖延、伪造。</w:t>
            </w:r>
          </w:p>
        </w:tc>
        <w:tc>
          <w:tcPr>
            <w:tcW w:w="3703" w:type="dxa"/>
            <w:vAlign w:val="center"/>
          </w:tcPr>
          <w:p>
            <w:pPr>
              <w:widowControl w:val="0"/>
              <w:jc w:val="left"/>
              <w:rPr>
                <w:rFonts w:ascii="Times New Roman" w:hAnsi="Times New Roman"/>
                <w:szCs w:val="20"/>
                <w:highlight w:val="none"/>
              </w:rPr>
            </w:pPr>
            <w:r>
              <w:rPr>
                <w:rFonts w:ascii="Times New Roman" w:hAnsi="Times New Roman"/>
                <w:szCs w:val="20"/>
                <w:highlight w:val="none"/>
              </w:rPr>
              <w:t>（一）按照要求规范填写样品标签、</w:t>
            </w:r>
            <w:r>
              <w:rPr>
                <w:rFonts w:hint="eastAsia" w:ascii="宋体" w:hAnsi="宋体" w:cs="宋体"/>
                <w:bCs/>
                <w:szCs w:val="21"/>
                <w:highlight w:val="none"/>
              </w:rPr>
              <w:t>采样</w:t>
            </w:r>
            <w:r>
              <w:rPr>
                <w:rFonts w:ascii="Times New Roman" w:hAnsi="Times New Roman"/>
                <w:szCs w:val="20"/>
                <w:highlight w:val="none"/>
              </w:rPr>
              <w:t>交接记录</w:t>
            </w:r>
            <w:r>
              <w:rPr>
                <w:rFonts w:hint="eastAsia" w:ascii="Times New Roman" w:hAnsi="Times New Roman"/>
                <w:szCs w:val="20"/>
                <w:highlight w:val="none"/>
              </w:rPr>
              <w:t>、维护记录、维修记录、仪器校准记录、质控记录、巡查记录</w:t>
            </w:r>
            <w:r>
              <w:rPr>
                <w:rFonts w:ascii="Times New Roman" w:hAnsi="Times New Roman"/>
                <w:szCs w:val="20"/>
                <w:highlight w:val="none"/>
              </w:rPr>
              <w:t>等，出现错误不及时更改的每次扣0.5分，扣完为止。</w:t>
            </w:r>
          </w:p>
          <w:p>
            <w:pPr>
              <w:widowControl w:val="0"/>
              <w:jc w:val="left"/>
              <w:rPr>
                <w:rFonts w:ascii="Times New Roman" w:hAnsi="Times New Roman"/>
                <w:szCs w:val="20"/>
                <w:highlight w:val="none"/>
              </w:rPr>
            </w:pPr>
            <w:r>
              <w:rPr>
                <w:rFonts w:ascii="Times New Roman" w:hAnsi="Times New Roman"/>
                <w:szCs w:val="20"/>
                <w:highlight w:val="none"/>
              </w:rPr>
              <w:t>（二）记录字体潦草、模糊不清的，每份扣0.5分，扣完为止。</w:t>
            </w:r>
          </w:p>
          <w:p>
            <w:pPr>
              <w:widowControl w:val="0"/>
              <w:jc w:val="left"/>
              <w:rPr>
                <w:rFonts w:ascii="Times New Roman" w:hAnsi="Times New Roman"/>
                <w:szCs w:val="20"/>
                <w:highlight w:val="none"/>
              </w:rPr>
            </w:pPr>
            <w:r>
              <w:rPr>
                <w:rFonts w:hint="eastAsia" w:ascii="Times New Roman" w:hAnsi="Times New Roman"/>
                <w:szCs w:val="20"/>
                <w:highlight w:val="none"/>
              </w:rPr>
              <w:t>（三）</w:t>
            </w:r>
            <w:r>
              <w:rPr>
                <w:rFonts w:ascii="Times New Roman" w:hAnsi="Times New Roman"/>
                <w:szCs w:val="20"/>
                <w:highlight w:val="none"/>
              </w:rPr>
              <w:t>发现有拖延、伪造记录、阻挠审查记录的，该项不得分。</w:t>
            </w:r>
          </w:p>
        </w:tc>
        <w:tc>
          <w:tcPr>
            <w:tcW w:w="798" w:type="dxa"/>
            <w:vAlign w:val="center"/>
          </w:tcPr>
          <w:p>
            <w:pPr>
              <w:widowControl w:val="0"/>
              <w:jc w:val="center"/>
              <w:rPr>
                <w:rFonts w:ascii="Times New Roman" w:hAnsi="Times New Roman"/>
                <w:szCs w:val="20"/>
                <w:highlight w:val="none"/>
              </w:rPr>
            </w:pPr>
            <w:r>
              <w:rPr>
                <w:rFonts w:hint="eastAsia" w:ascii="Times New Roman" w:hAnsi="Times New Roman"/>
                <w:szCs w:val="20"/>
                <w:highlight w:val="none"/>
              </w:rPr>
              <w:t>5</w:t>
            </w:r>
          </w:p>
        </w:tc>
        <w:tc>
          <w:tcPr>
            <w:tcW w:w="929"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2608"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760" w:type="dxa"/>
            <w:vAlign w:val="center"/>
          </w:tcPr>
          <w:p>
            <w:pPr>
              <w:widowControl/>
              <w:jc w:val="center"/>
              <w:rPr>
                <w:rFonts w:ascii="Times New Roman" w:hAnsi="Times New Roman"/>
                <w:szCs w:val="20"/>
                <w:highlight w:val="none"/>
              </w:rPr>
            </w:pPr>
            <w:r>
              <w:rPr>
                <w:rFonts w:hint="eastAsia" w:ascii="Times New Roman" w:hAnsi="Times New Roman"/>
                <w:szCs w:val="20"/>
                <w:highlight w:val="none"/>
              </w:rPr>
              <w:t>六</w:t>
            </w:r>
          </w:p>
        </w:tc>
        <w:tc>
          <w:tcPr>
            <w:tcW w:w="960" w:type="dxa"/>
            <w:vAlign w:val="center"/>
          </w:tcPr>
          <w:p>
            <w:pPr>
              <w:widowControl w:val="0"/>
              <w:jc w:val="center"/>
              <w:rPr>
                <w:rFonts w:ascii="Times New Roman" w:hAnsi="Times New Roman"/>
                <w:szCs w:val="20"/>
                <w:highlight w:val="none"/>
              </w:rPr>
            </w:pPr>
            <w:r>
              <w:rPr>
                <w:rFonts w:ascii="Times New Roman" w:hAnsi="Times New Roman"/>
                <w:szCs w:val="20"/>
                <w:highlight w:val="none"/>
              </w:rPr>
              <w:t>数据  保密</w:t>
            </w:r>
          </w:p>
        </w:tc>
        <w:tc>
          <w:tcPr>
            <w:tcW w:w="3585" w:type="dxa"/>
            <w:vAlign w:val="center"/>
          </w:tcPr>
          <w:p>
            <w:pPr>
              <w:widowControl w:val="0"/>
              <w:numPr>
                <w:ilvl w:val="0"/>
                <w:numId w:val="4"/>
              </w:numPr>
              <w:jc w:val="left"/>
              <w:rPr>
                <w:rFonts w:ascii="Times New Roman" w:hAnsi="Times New Roman"/>
                <w:szCs w:val="20"/>
                <w:highlight w:val="none"/>
              </w:rPr>
            </w:pPr>
            <w:r>
              <w:rPr>
                <w:rFonts w:ascii="Times New Roman" w:hAnsi="Times New Roman"/>
                <w:szCs w:val="20"/>
                <w:highlight w:val="none"/>
              </w:rPr>
              <w:t>承担监测数据的保密责任，不得以任何方式和渠道向外界传递任何监测数据。</w:t>
            </w:r>
          </w:p>
        </w:tc>
        <w:tc>
          <w:tcPr>
            <w:tcW w:w="3703" w:type="dxa"/>
            <w:vAlign w:val="center"/>
          </w:tcPr>
          <w:p>
            <w:pPr>
              <w:widowControl w:val="0"/>
              <w:jc w:val="left"/>
              <w:rPr>
                <w:rFonts w:ascii="Times New Roman" w:hAnsi="Times New Roman"/>
                <w:szCs w:val="20"/>
                <w:highlight w:val="none"/>
              </w:rPr>
            </w:pPr>
            <w:r>
              <w:rPr>
                <w:rFonts w:ascii="Times New Roman" w:hAnsi="Times New Roman"/>
                <w:szCs w:val="20"/>
                <w:highlight w:val="none"/>
              </w:rPr>
              <w:t>若出现擅自向外界传递采购方监测数据的，该项不得分。</w:t>
            </w:r>
          </w:p>
        </w:tc>
        <w:tc>
          <w:tcPr>
            <w:tcW w:w="798" w:type="dxa"/>
            <w:vAlign w:val="center"/>
          </w:tcPr>
          <w:p>
            <w:pPr>
              <w:widowControl w:val="0"/>
              <w:jc w:val="center"/>
              <w:rPr>
                <w:rFonts w:ascii="Times New Roman" w:hAnsi="Times New Roman"/>
                <w:szCs w:val="20"/>
                <w:highlight w:val="none"/>
              </w:rPr>
            </w:pPr>
            <w:r>
              <w:rPr>
                <w:rFonts w:hint="eastAsia" w:ascii="Times New Roman" w:hAnsi="Times New Roman"/>
                <w:szCs w:val="20"/>
                <w:highlight w:val="none"/>
              </w:rPr>
              <w:t>5</w:t>
            </w:r>
          </w:p>
        </w:tc>
        <w:tc>
          <w:tcPr>
            <w:tcW w:w="929"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2608" w:type="dxa"/>
            <w:vAlign w:val="center"/>
          </w:tcPr>
          <w:p>
            <w:pPr>
              <w:widowControl w:val="0"/>
              <w:ind w:firstLine="0" w:firstLineChars="0"/>
              <w:jc w:val="center"/>
              <w:rPr>
                <w:rFonts w:ascii="Times New Roman" w:hAnsi="Times New Roman" w:eastAsia="宋体" w:cs="Times New Roman"/>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60" w:type="dxa"/>
            <w:vAlign w:val="center"/>
          </w:tcPr>
          <w:p>
            <w:pPr>
              <w:widowControl w:val="0"/>
              <w:jc w:val="center"/>
              <w:rPr>
                <w:rFonts w:ascii="Times New Roman" w:hAnsi="Times New Roman"/>
                <w:szCs w:val="20"/>
                <w:highlight w:val="none"/>
              </w:rPr>
            </w:pPr>
            <w:r>
              <w:rPr>
                <w:rFonts w:hint="eastAsia" w:ascii="Times New Roman" w:hAnsi="Times New Roman"/>
                <w:szCs w:val="20"/>
                <w:highlight w:val="none"/>
              </w:rPr>
              <w:t>七</w:t>
            </w:r>
          </w:p>
        </w:tc>
        <w:tc>
          <w:tcPr>
            <w:tcW w:w="960" w:type="dxa"/>
            <w:vAlign w:val="center"/>
          </w:tcPr>
          <w:p>
            <w:pPr>
              <w:widowControl w:val="0"/>
              <w:jc w:val="center"/>
              <w:rPr>
                <w:rFonts w:ascii="Times New Roman" w:hAnsi="Times New Roman"/>
                <w:szCs w:val="20"/>
                <w:highlight w:val="none"/>
              </w:rPr>
            </w:pPr>
            <w:r>
              <w:rPr>
                <w:rFonts w:ascii="Times New Roman" w:hAnsi="Times New Roman"/>
                <w:szCs w:val="20"/>
                <w:highlight w:val="none"/>
              </w:rPr>
              <w:t>人员</w:t>
            </w:r>
          </w:p>
          <w:p>
            <w:pPr>
              <w:widowControl w:val="0"/>
              <w:jc w:val="center"/>
              <w:rPr>
                <w:rFonts w:ascii="Times New Roman" w:hAnsi="Times New Roman"/>
                <w:szCs w:val="20"/>
                <w:highlight w:val="none"/>
              </w:rPr>
            </w:pPr>
            <w:r>
              <w:rPr>
                <w:rFonts w:ascii="Times New Roman" w:hAnsi="Times New Roman"/>
                <w:szCs w:val="20"/>
                <w:highlight w:val="none"/>
              </w:rPr>
              <w:t>管理</w:t>
            </w:r>
          </w:p>
        </w:tc>
        <w:tc>
          <w:tcPr>
            <w:tcW w:w="3585" w:type="dxa"/>
            <w:vAlign w:val="center"/>
          </w:tcPr>
          <w:p>
            <w:pPr>
              <w:widowControl w:val="0"/>
              <w:jc w:val="left"/>
              <w:rPr>
                <w:rFonts w:ascii="Times New Roman" w:hAnsi="Times New Roman"/>
                <w:szCs w:val="20"/>
                <w:highlight w:val="none"/>
              </w:rPr>
            </w:pPr>
            <w:r>
              <w:rPr>
                <w:rFonts w:ascii="Times New Roman" w:hAnsi="Times New Roman"/>
                <w:szCs w:val="20"/>
                <w:highlight w:val="none"/>
              </w:rPr>
              <w:t>（一）按合同要求安排</w:t>
            </w:r>
            <w:r>
              <w:rPr>
                <w:rFonts w:hint="eastAsia" w:ascii="Times New Roman" w:hAnsi="Times New Roman"/>
                <w:szCs w:val="20"/>
                <w:highlight w:val="none"/>
              </w:rPr>
              <w:t>运维人员</w:t>
            </w:r>
            <w:r>
              <w:rPr>
                <w:rFonts w:ascii="Times New Roman" w:hAnsi="Times New Roman"/>
                <w:szCs w:val="20"/>
                <w:highlight w:val="none"/>
              </w:rPr>
              <w:t>，并按要求积极配合</w:t>
            </w:r>
            <w:r>
              <w:rPr>
                <w:rFonts w:hint="eastAsia" w:ascii="Times New Roman" w:hAnsi="Times New Roman"/>
                <w:szCs w:val="20"/>
                <w:highlight w:val="none"/>
              </w:rPr>
              <w:t>采购方</w:t>
            </w:r>
            <w:r>
              <w:rPr>
                <w:rFonts w:ascii="Times New Roman" w:hAnsi="Times New Roman"/>
                <w:szCs w:val="20"/>
                <w:highlight w:val="none"/>
              </w:rPr>
              <w:t>开展各项工作，遵守</w:t>
            </w:r>
            <w:r>
              <w:rPr>
                <w:rFonts w:hint="eastAsia" w:ascii="Times New Roman" w:hAnsi="Times New Roman"/>
                <w:szCs w:val="20"/>
                <w:highlight w:val="none"/>
              </w:rPr>
              <w:t>采购方</w:t>
            </w:r>
            <w:r>
              <w:rPr>
                <w:rFonts w:ascii="Times New Roman" w:hAnsi="Times New Roman"/>
                <w:szCs w:val="20"/>
                <w:highlight w:val="none"/>
              </w:rPr>
              <w:t>各项规章制度。</w:t>
            </w:r>
          </w:p>
          <w:p>
            <w:pPr>
              <w:widowControl w:val="0"/>
              <w:jc w:val="left"/>
              <w:rPr>
                <w:rFonts w:ascii="Times New Roman" w:hAnsi="Times New Roman"/>
                <w:szCs w:val="20"/>
                <w:highlight w:val="none"/>
              </w:rPr>
            </w:pPr>
            <w:r>
              <w:rPr>
                <w:rFonts w:ascii="Times New Roman" w:hAnsi="Times New Roman"/>
                <w:szCs w:val="20"/>
                <w:highlight w:val="none"/>
              </w:rPr>
              <w:t>（</w:t>
            </w:r>
            <w:r>
              <w:rPr>
                <w:rFonts w:hint="eastAsia" w:ascii="Times New Roman" w:hAnsi="Times New Roman"/>
                <w:szCs w:val="20"/>
                <w:highlight w:val="none"/>
              </w:rPr>
              <w:t>二</w:t>
            </w:r>
            <w:r>
              <w:rPr>
                <w:rFonts w:ascii="Times New Roman" w:hAnsi="Times New Roman"/>
                <w:szCs w:val="20"/>
                <w:highlight w:val="none"/>
              </w:rPr>
              <w:t>）</w:t>
            </w:r>
            <w:r>
              <w:rPr>
                <w:rFonts w:hint="eastAsia" w:ascii="Times New Roman" w:hAnsi="Times New Roman"/>
                <w:szCs w:val="20"/>
                <w:highlight w:val="none"/>
              </w:rPr>
              <w:t>运维期间，运维人员离职须提前10日报告采购人，新补充的运维人员应具备同等资质。</w:t>
            </w:r>
          </w:p>
        </w:tc>
        <w:tc>
          <w:tcPr>
            <w:tcW w:w="3703" w:type="dxa"/>
            <w:vAlign w:val="center"/>
          </w:tcPr>
          <w:p>
            <w:pPr>
              <w:widowControl w:val="0"/>
              <w:jc w:val="left"/>
              <w:rPr>
                <w:rFonts w:ascii="Times New Roman" w:hAnsi="Times New Roman"/>
                <w:szCs w:val="20"/>
                <w:highlight w:val="none"/>
              </w:rPr>
            </w:pPr>
            <w:r>
              <w:rPr>
                <w:rFonts w:ascii="Times New Roman" w:hAnsi="Times New Roman"/>
                <w:szCs w:val="20"/>
                <w:highlight w:val="none"/>
              </w:rPr>
              <w:t>（一）每</w:t>
            </w:r>
            <w:r>
              <w:rPr>
                <w:rFonts w:hint="eastAsia" w:ascii="Times New Roman" w:hAnsi="Times New Roman"/>
                <w:szCs w:val="20"/>
                <w:highlight w:val="none"/>
              </w:rPr>
              <w:t>次</w:t>
            </w:r>
            <w:r>
              <w:rPr>
                <w:rFonts w:ascii="Times New Roman" w:hAnsi="Times New Roman"/>
                <w:szCs w:val="20"/>
                <w:highlight w:val="none"/>
              </w:rPr>
              <w:t>安排</w:t>
            </w:r>
            <w:r>
              <w:rPr>
                <w:rFonts w:hint="eastAsia" w:ascii="Times New Roman" w:hAnsi="Times New Roman"/>
                <w:szCs w:val="20"/>
                <w:highlight w:val="none"/>
              </w:rPr>
              <w:t>2</w:t>
            </w:r>
            <w:r>
              <w:rPr>
                <w:rFonts w:ascii="Times New Roman" w:hAnsi="Times New Roman"/>
                <w:szCs w:val="20"/>
                <w:highlight w:val="none"/>
              </w:rPr>
              <w:t>人</w:t>
            </w:r>
            <w:r>
              <w:rPr>
                <w:rFonts w:hint="eastAsia" w:ascii="Times New Roman" w:hAnsi="Times New Roman"/>
                <w:szCs w:val="20"/>
                <w:highlight w:val="none"/>
              </w:rPr>
              <w:t>开展采送样</w:t>
            </w:r>
            <w:r>
              <w:rPr>
                <w:rFonts w:ascii="Times New Roman" w:hAnsi="Times New Roman"/>
                <w:szCs w:val="20"/>
                <w:highlight w:val="none"/>
              </w:rPr>
              <w:t>工作，无故缺席的每人扣1分，并追究乙方责任；不配合</w:t>
            </w:r>
            <w:r>
              <w:rPr>
                <w:rFonts w:hint="eastAsia" w:ascii="Times New Roman" w:hAnsi="Times New Roman"/>
                <w:szCs w:val="20"/>
                <w:highlight w:val="none"/>
              </w:rPr>
              <w:t>采购方</w:t>
            </w:r>
            <w:r>
              <w:rPr>
                <w:rFonts w:ascii="Times New Roman" w:hAnsi="Times New Roman"/>
                <w:szCs w:val="20"/>
                <w:highlight w:val="none"/>
              </w:rPr>
              <w:t>开展工作、不遵守规章制度的每出现1次扣1分，扣完为止。</w:t>
            </w:r>
          </w:p>
          <w:p>
            <w:pPr>
              <w:widowControl w:val="0"/>
              <w:tabs>
                <w:tab w:val="center" w:pos="4153"/>
                <w:tab w:val="right" w:pos="8306"/>
              </w:tabs>
              <w:snapToGrid w:val="0"/>
              <w:jc w:val="left"/>
              <w:rPr>
                <w:rFonts w:ascii="Times New Roman" w:hAnsi="Times New Roman" w:eastAsia="宋体" w:cs="Times New Roman"/>
                <w:kern w:val="2"/>
                <w:sz w:val="21"/>
                <w:szCs w:val="21"/>
                <w:highlight w:val="none"/>
                <w:lang w:val="en-US" w:eastAsia="zh-CN" w:bidi="ar-SA"/>
              </w:rPr>
            </w:pPr>
            <w:r>
              <w:rPr>
                <w:rFonts w:ascii="Times New Roman" w:hAnsi="Times New Roman" w:eastAsia="等线" w:cs="Times New Roman"/>
                <w:kern w:val="2"/>
                <w:sz w:val="21"/>
                <w:szCs w:val="21"/>
                <w:highlight w:val="none"/>
                <w:lang w:val="en-US" w:eastAsia="zh-CN" w:bidi="ar-SA"/>
              </w:rPr>
              <w:t>（</w:t>
            </w:r>
            <w:r>
              <w:rPr>
                <w:rFonts w:hint="eastAsia" w:ascii="Times New Roman" w:hAnsi="Times New Roman" w:eastAsia="等线" w:cs="Times New Roman"/>
                <w:kern w:val="2"/>
                <w:sz w:val="21"/>
                <w:szCs w:val="21"/>
                <w:highlight w:val="none"/>
                <w:lang w:val="en-US" w:eastAsia="zh-CN" w:bidi="ar-SA"/>
              </w:rPr>
              <w:t>二</w:t>
            </w:r>
            <w:r>
              <w:rPr>
                <w:rFonts w:ascii="Times New Roman" w:hAnsi="Times New Roman" w:eastAsia="等线" w:cs="Times New Roman"/>
                <w:kern w:val="2"/>
                <w:sz w:val="21"/>
                <w:szCs w:val="21"/>
                <w:highlight w:val="none"/>
                <w:lang w:val="en-US" w:eastAsia="zh-CN" w:bidi="ar-SA"/>
              </w:rPr>
              <w:t>）</w:t>
            </w:r>
            <w:r>
              <w:rPr>
                <w:rFonts w:hint="eastAsia" w:ascii="Times New Roman" w:hAnsi="Times New Roman" w:eastAsia="宋体" w:cs="Times New Roman"/>
                <w:kern w:val="2"/>
                <w:sz w:val="21"/>
                <w:szCs w:val="21"/>
                <w:highlight w:val="none"/>
                <w:lang w:val="en-US" w:eastAsia="zh-CN" w:bidi="ar-SA"/>
              </w:rPr>
              <w:t>运维期间，运维人员离职未提前</w:t>
            </w:r>
            <w:r>
              <w:rPr>
                <w:rFonts w:ascii="Times New Roman" w:hAnsi="Times New Roman" w:eastAsia="宋体" w:cs="Times New Roman"/>
                <w:kern w:val="2"/>
                <w:sz w:val="21"/>
                <w:szCs w:val="21"/>
                <w:highlight w:val="none"/>
                <w:lang w:val="en-US" w:eastAsia="zh-CN" w:bidi="ar-SA"/>
              </w:rPr>
              <w:t>10日报告采购人</w:t>
            </w:r>
            <w:r>
              <w:rPr>
                <w:rFonts w:hint="eastAsia" w:ascii="Times New Roman" w:hAnsi="Times New Roman" w:eastAsia="宋体" w:cs="Times New Roman"/>
                <w:kern w:val="2"/>
                <w:sz w:val="21"/>
                <w:szCs w:val="21"/>
                <w:highlight w:val="none"/>
                <w:lang w:val="en-US" w:eastAsia="zh-CN" w:bidi="ar-SA"/>
              </w:rPr>
              <w:t>或当季运维人员更换超过一次，</w:t>
            </w:r>
            <w:r>
              <w:rPr>
                <w:rFonts w:ascii="Times New Roman" w:hAnsi="Times New Roman" w:eastAsia="宋体" w:cs="Times New Roman"/>
                <w:kern w:val="2"/>
                <w:sz w:val="21"/>
                <w:szCs w:val="21"/>
                <w:highlight w:val="none"/>
                <w:lang w:val="en-US" w:eastAsia="zh-CN" w:bidi="ar-SA"/>
              </w:rPr>
              <w:t>每出现1次扣1分，扣完为止。</w:t>
            </w:r>
          </w:p>
        </w:tc>
        <w:tc>
          <w:tcPr>
            <w:tcW w:w="798" w:type="dxa"/>
            <w:vAlign w:val="center"/>
          </w:tcPr>
          <w:p>
            <w:pPr>
              <w:widowControl w:val="0"/>
              <w:jc w:val="center"/>
              <w:rPr>
                <w:rFonts w:ascii="Times New Roman" w:hAnsi="Times New Roman"/>
                <w:szCs w:val="20"/>
                <w:highlight w:val="none"/>
              </w:rPr>
            </w:pPr>
            <w:r>
              <w:rPr>
                <w:rFonts w:ascii="Times New Roman" w:hAnsi="Times New Roman"/>
                <w:szCs w:val="20"/>
                <w:highlight w:val="none"/>
              </w:rPr>
              <w:t>5</w:t>
            </w:r>
          </w:p>
        </w:tc>
        <w:tc>
          <w:tcPr>
            <w:tcW w:w="929"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2608"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5" w:type="dxa"/>
            <w:gridSpan w:val="3"/>
            <w:vAlign w:val="center"/>
          </w:tcPr>
          <w:p>
            <w:pPr>
              <w:widowControl w:val="0"/>
              <w:jc w:val="center"/>
              <w:rPr>
                <w:rFonts w:ascii="Times New Roman" w:hAnsi="Times New Roman"/>
                <w:szCs w:val="20"/>
                <w:highlight w:val="none"/>
              </w:rPr>
            </w:pPr>
            <w:r>
              <w:rPr>
                <w:rFonts w:ascii="Times New Roman" w:hAnsi="Times New Roman"/>
                <w:szCs w:val="20"/>
                <w:highlight w:val="none"/>
              </w:rPr>
              <w:t>合计</w:t>
            </w:r>
          </w:p>
        </w:tc>
        <w:tc>
          <w:tcPr>
            <w:tcW w:w="3703" w:type="dxa"/>
            <w:vAlign w:val="center"/>
          </w:tcPr>
          <w:p>
            <w:pPr>
              <w:widowControl w:val="0"/>
              <w:jc w:val="center"/>
              <w:rPr>
                <w:rFonts w:ascii="Times New Roman" w:hAnsi="Times New Roman"/>
                <w:szCs w:val="20"/>
                <w:highlight w:val="none"/>
              </w:rPr>
            </w:pPr>
          </w:p>
        </w:tc>
        <w:tc>
          <w:tcPr>
            <w:tcW w:w="798" w:type="dxa"/>
            <w:vAlign w:val="center"/>
          </w:tcPr>
          <w:p>
            <w:pPr>
              <w:widowControl w:val="0"/>
              <w:jc w:val="center"/>
              <w:rPr>
                <w:rFonts w:ascii="Times New Roman" w:hAnsi="Times New Roman"/>
                <w:szCs w:val="20"/>
                <w:highlight w:val="none"/>
              </w:rPr>
            </w:pPr>
            <w:r>
              <w:rPr>
                <w:rFonts w:ascii="Times New Roman" w:hAnsi="Times New Roman"/>
                <w:szCs w:val="20"/>
                <w:highlight w:val="none"/>
              </w:rPr>
              <w:t>100</w:t>
            </w:r>
          </w:p>
        </w:tc>
        <w:tc>
          <w:tcPr>
            <w:tcW w:w="929"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2608"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5" w:type="dxa"/>
            <w:gridSpan w:val="3"/>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本次考核总分得分</w:t>
            </w:r>
          </w:p>
        </w:tc>
        <w:tc>
          <w:tcPr>
            <w:tcW w:w="3703"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4335" w:type="dxa"/>
            <w:gridSpan w:val="3"/>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05" w:type="dxa"/>
            <w:gridSpan w:val="3"/>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本次考核总评价</w:t>
            </w:r>
          </w:p>
        </w:tc>
        <w:tc>
          <w:tcPr>
            <w:tcW w:w="3703" w:type="dxa"/>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p>
        </w:tc>
        <w:tc>
          <w:tcPr>
            <w:tcW w:w="4335" w:type="dxa"/>
            <w:gridSpan w:val="3"/>
            <w:vAlign w:val="center"/>
          </w:tcPr>
          <w:p>
            <w:pPr>
              <w:widowControl w:val="0"/>
              <w:spacing w:line="360" w:lineRule="auto"/>
              <w:ind w:firstLine="0" w:firstLineChars="0"/>
              <w:jc w:val="center"/>
              <w:rPr>
                <w:rFonts w:ascii="Times New Roman" w:hAnsi="Times New Roman" w:eastAsia="宋体" w:cs="Times New Roman"/>
                <w:kern w:val="2"/>
                <w:sz w:val="24"/>
                <w:szCs w:val="24"/>
                <w:highlight w:val="none"/>
                <w:lang w:val="en-US" w:eastAsia="zh-CN" w:bidi="ar-SA"/>
              </w:rPr>
            </w:pPr>
            <w:r>
              <w:rPr>
                <w:rFonts w:ascii="Times New Roman" w:hAnsi="Times New Roman" w:eastAsia="宋体" w:cs="Times New Roman"/>
                <w:kern w:val="2"/>
                <w:sz w:val="24"/>
                <w:szCs w:val="24"/>
                <w:highlight w:val="none"/>
                <w:lang w:val="en-US" w:eastAsia="zh-CN" w:bidi="ar-SA"/>
              </w:rPr>
              <w:t>合格（不合格）</w:t>
            </w:r>
          </w:p>
        </w:tc>
      </w:tr>
    </w:tbl>
    <w:p>
      <w:pPr>
        <w:widowControl/>
        <w:ind w:firstLine="420" w:firstLineChars="200"/>
        <w:rPr>
          <w:rFonts w:ascii="Times New Roman" w:hAnsi="Times New Roman"/>
          <w:szCs w:val="20"/>
        </w:rPr>
      </w:pPr>
      <w:r>
        <w:rPr>
          <w:rFonts w:hint="eastAsia" w:ascii="Calibri" w:hAnsi="Calibri"/>
          <w:szCs w:val="20"/>
          <w:highlight w:val="none"/>
        </w:rPr>
        <w:t>备注：1、</w:t>
      </w:r>
      <w:r>
        <w:rPr>
          <w:rFonts w:hint="eastAsia" w:ascii="宋体" w:hAnsi="宋体" w:cs="宋体"/>
          <w:szCs w:val="20"/>
          <w:highlight w:val="none"/>
        </w:rPr>
        <w:t>采购方每季度组织相关人员对合同约定的服务内容进行1次考核，</w:t>
      </w:r>
      <w:r>
        <w:rPr>
          <w:rFonts w:ascii="Times New Roman" w:hAnsi="Times New Roman"/>
          <w:szCs w:val="20"/>
          <w:highlight w:val="none"/>
        </w:rPr>
        <w:t>考核得分</w:t>
      </w:r>
      <w:r>
        <w:rPr>
          <w:rFonts w:hint="eastAsia" w:ascii="Times New Roman" w:hAnsi="Times New Roman"/>
          <w:szCs w:val="20"/>
          <w:highlight w:val="none"/>
        </w:rPr>
        <w:t>≥</w:t>
      </w:r>
      <w:r>
        <w:rPr>
          <w:rFonts w:hint="eastAsia" w:ascii="Calibri" w:hAnsi="Calibri"/>
          <w:szCs w:val="20"/>
          <w:highlight w:val="none"/>
        </w:rPr>
        <w:t>90</w:t>
      </w:r>
      <w:r>
        <w:rPr>
          <w:rFonts w:ascii="Times New Roman" w:hAnsi="Times New Roman"/>
          <w:szCs w:val="20"/>
          <w:highlight w:val="none"/>
        </w:rPr>
        <w:t>分的不扣款</w:t>
      </w:r>
      <w:r>
        <w:rPr>
          <w:rFonts w:hint="eastAsia" w:ascii="Times New Roman" w:hAnsi="Times New Roman"/>
          <w:szCs w:val="20"/>
          <w:highlight w:val="none"/>
        </w:rPr>
        <w:t>；90分＞考核得分≥60分</w:t>
      </w:r>
      <w:r>
        <w:rPr>
          <w:rFonts w:ascii="Times New Roman" w:hAnsi="Times New Roman"/>
          <w:szCs w:val="20"/>
          <w:highlight w:val="none"/>
        </w:rPr>
        <w:t>，每低1分扣除</w:t>
      </w:r>
      <w:r>
        <w:rPr>
          <w:rFonts w:hint="eastAsia" w:ascii="Times New Roman" w:hAnsi="Times New Roman"/>
          <w:szCs w:val="20"/>
          <w:highlight w:val="none"/>
        </w:rPr>
        <w:t>当期</w:t>
      </w:r>
      <w:r>
        <w:rPr>
          <w:rFonts w:ascii="Times New Roman" w:hAnsi="Times New Roman"/>
          <w:szCs w:val="20"/>
          <w:highlight w:val="none"/>
        </w:rPr>
        <w:t>合同款的1%</w:t>
      </w:r>
      <w:r>
        <w:rPr>
          <w:rFonts w:hint="eastAsia" w:ascii="宋体" w:hAnsi="宋体" w:cs="宋体"/>
          <w:szCs w:val="20"/>
          <w:highlight w:val="none"/>
        </w:rPr>
        <w:t>；＜6</w:t>
      </w:r>
      <w:r>
        <w:rPr>
          <w:rFonts w:ascii="宋体" w:hAnsi="宋体" w:cs="宋体"/>
          <w:szCs w:val="20"/>
          <w:highlight w:val="none"/>
        </w:rPr>
        <w:t>0分的</w:t>
      </w:r>
      <w:r>
        <w:rPr>
          <w:rFonts w:hint="eastAsia" w:ascii="Calibri" w:hAnsi="Calibri"/>
          <w:szCs w:val="20"/>
          <w:highlight w:val="none"/>
        </w:rPr>
        <w:t>不支付当期合同款，并解除合同关系，成交供应商退回预付的合同款；2、成交供应商提供当次付款金额的发票和</w:t>
      </w:r>
      <w:r>
        <w:rPr>
          <w:rFonts w:ascii="Calibri" w:hAnsi="Calibri"/>
          <w:szCs w:val="20"/>
          <w:highlight w:val="none"/>
        </w:rPr>
        <w:t>请款函</w:t>
      </w:r>
      <w:r>
        <w:rPr>
          <w:rFonts w:hint="eastAsia" w:ascii="Calibri" w:hAnsi="Calibri"/>
          <w:szCs w:val="20"/>
          <w:highlight w:val="none"/>
        </w:rPr>
        <w:t>后1</w:t>
      </w:r>
      <w:r>
        <w:rPr>
          <w:rFonts w:ascii="Calibri" w:hAnsi="Calibri"/>
          <w:szCs w:val="20"/>
          <w:highlight w:val="none"/>
        </w:rPr>
        <w:t>0</w:t>
      </w:r>
      <w:r>
        <w:rPr>
          <w:rFonts w:hint="eastAsia" w:ascii="Calibri" w:hAnsi="Calibri"/>
          <w:szCs w:val="20"/>
          <w:highlight w:val="none"/>
        </w:rPr>
        <w:t>个工作日内支付，考核得分</w:t>
      </w:r>
      <w:r>
        <w:rPr>
          <w:rFonts w:hint="eastAsia" w:ascii="Times New Roman" w:hAnsi="Times New Roman"/>
          <w:szCs w:val="20"/>
          <w:highlight w:val="none"/>
        </w:rPr>
        <w:t>≥</w:t>
      </w:r>
      <w:r>
        <w:rPr>
          <w:rFonts w:hint="eastAsia" w:ascii="Calibri" w:hAnsi="Calibri"/>
          <w:szCs w:val="20"/>
          <w:highlight w:val="none"/>
        </w:rPr>
        <w:t>90</w:t>
      </w:r>
      <w:r>
        <w:rPr>
          <w:rFonts w:ascii="Calibri" w:hAnsi="Calibri"/>
          <w:szCs w:val="20"/>
          <w:highlight w:val="none"/>
        </w:rPr>
        <w:t>分的不扣款，低于</w:t>
      </w:r>
      <w:r>
        <w:rPr>
          <w:rFonts w:hint="eastAsia" w:ascii="Calibri" w:hAnsi="Calibri"/>
          <w:szCs w:val="20"/>
          <w:highlight w:val="none"/>
        </w:rPr>
        <w:t>90</w:t>
      </w:r>
      <w:r>
        <w:rPr>
          <w:rFonts w:ascii="Calibri" w:hAnsi="Calibri"/>
          <w:szCs w:val="20"/>
          <w:highlight w:val="none"/>
        </w:rPr>
        <w:t>分的，</w:t>
      </w:r>
      <w:r>
        <w:rPr>
          <w:rFonts w:ascii="Times New Roman" w:hAnsi="Times New Roman"/>
          <w:szCs w:val="20"/>
          <w:highlight w:val="none"/>
        </w:rPr>
        <w:t>每低1分扣除</w:t>
      </w:r>
      <w:r>
        <w:rPr>
          <w:rFonts w:hint="eastAsia" w:ascii="Times New Roman" w:hAnsi="Times New Roman"/>
          <w:szCs w:val="20"/>
          <w:highlight w:val="none"/>
        </w:rPr>
        <w:t>当期</w:t>
      </w:r>
      <w:r>
        <w:rPr>
          <w:rFonts w:ascii="Times New Roman" w:hAnsi="Times New Roman"/>
          <w:szCs w:val="20"/>
          <w:highlight w:val="none"/>
        </w:rPr>
        <w:t>合同款的1%</w:t>
      </w:r>
      <w:r>
        <w:rPr>
          <w:rFonts w:ascii="Times New Roman" w:hAnsi="Times New Roman"/>
          <w:szCs w:val="20"/>
        </w:rPr>
        <w:t>，每</w:t>
      </w:r>
      <w:r>
        <w:rPr>
          <w:rFonts w:hint="eastAsia" w:ascii="Times New Roman" w:hAnsi="Times New Roman"/>
          <w:szCs w:val="20"/>
        </w:rPr>
        <w:t>次</w:t>
      </w:r>
      <w:r>
        <w:rPr>
          <w:rFonts w:ascii="Times New Roman" w:hAnsi="Times New Roman"/>
          <w:szCs w:val="20"/>
        </w:rPr>
        <w:t>扣款最高不超过总合同款的10%，</w:t>
      </w:r>
      <w:r>
        <w:rPr>
          <w:rFonts w:hint="eastAsia" w:ascii="Times New Roman" w:hAnsi="Times New Roman"/>
          <w:szCs w:val="20"/>
        </w:rPr>
        <w:t>实际</w:t>
      </w:r>
      <w:r>
        <w:rPr>
          <w:rFonts w:ascii="Times New Roman" w:hAnsi="Times New Roman"/>
          <w:szCs w:val="20"/>
        </w:rPr>
        <w:t>扣款</w:t>
      </w:r>
      <w:r>
        <w:rPr>
          <w:rFonts w:hint="eastAsia" w:ascii="Times New Roman" w:hAnsi="Times New Roman"/>
          <w:szCs w:val="20"/>
        </w:rPr>
        <w:t>在当</w:t>
      </w:r>
      <w:r>
        <w:rPr>
          <w:rFonts w:ascii="Times New Roman" w:hAnsi="Times New Roman"/>
          <w:szCs w:val="20"/>
        </w:rPr>
        <w:t>次结算时</w:t>
      </w:r>
      <w:r>
        <w:rPr>
          <w:rFonts w:hint="eastAsia" w:ascii="Times New Roman" w:hAnsi="Times New Roman"/>
          <w:szCs w:val="20"/>
        </w:rPr>
        <w:t>予以</w:t>
      </w:r>
      <w:r>
        <w:rPr>
          <w:rFonts w:ascii="Times New Roman" w:hAnsi="Times New Roman"/>
          <w:szCs w:val="20"/>
        </w:rPr>
        <w:t>扣除</w:t>
      </w:r>
      <w:r>
        <w:rPr>
          <w:rFonts w:hint="eastAsia" w:ascii="Times New Roman" w:hAnsi="Times New Roman"/>
          <w:szCs w:val="20"/>
        </w:rPr>
        <w:t>。</w:t>
      </w:r>
    </w:p>
    <w:p>
      <w:pPr>
        <w:widowControl w:val="0"/>
        <w:tabs>
          <w:tab w:val="right" w:pos="8306"/>
        </w:tabs>
        <w:snapToGrid w:val="0"/>
        <w:jc w:val="left"/>
        <w:rPr>
          <w:rFonts w:ascii="等线" w:hAnsi="等线" w:eastAsia="等线" w:cs="Times New Roman"/>
          <w:kern w:val="2"/>
          <w:sz w:val="18"/>
          <w:szCs w:val="18"/>
          <w:lang w:val="en-US" w:eastAsia="zh-CN" w:bidi="ar-SA"/>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3"/>
        <w:rPr>
          <w:rFonts w:hint="eastAsia"/>
          <w:color w:val="000000" w:themeColor="text1"/>
          <w14:textFill>
            <w14:solidFill>
              <w14:schemeClr w14:val="tx1"/>
            </w14:solidFill>
          </w14:textFill>
        </w:rPr>
        <w:sectPr>
          <w:pgSz w:w="16838" w:h="11906" w:orient="landscape"/>
          <w:pgMar w:top="1474" w:right="1440" w:bottom="1361" w:left="1701" w:header="851" w:footer="992" w:gutter="0"/>
          <w:pgNumType w:fmt="decimal"/>
          <w:cols w:space="0" w:num="1"/>
          <w:docGrid w:type="lines" w:linePitch="312" w:charSpace="0"/>
        </w:sectPr>
      </w:pP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第四章  评审程序、评审方法和评审标准</w:t>
      </w:r>
      <w:bookmarkEnd w:id="39"/>
    </w:p>
    <w:p>
      <w:pPr>
        <w:spacing w:line="360" w:lineRule="auto"/>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一、评审程序和评审方法</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ascii="黑体" w:hAnsi="黑体" w:eastAsia="黑体" w:cs="宋体"/>
          <w:b/>
          <w:bCs/>
          <w:color w:val="000000" w:themeColor="text1"/>
          <w:sz w:val="24"/>
          <w14:textFill>
            <w14:solidFill>
              <w14:schemeClr w14:val="tx1"/>
            </w14:solidFill>
          </w14:textFill>
        </w:rPr>
        <w:t>1</w:t>
      </w:r>
      <w:r>
        <w:rPr>
          <w:rFonts w:hint="eastAsia" w:ascii="黑体" w:hAnsi="黑体" w:eastAsia="黑体" w:cs="宋体"/>
          <w:b/>
          <w:bCs/>
          <w:color w:val="000000" w:themeColor="text1"/>
          <w:sz w:val="24"/>
          <w14:textFill>
            <w14:solidFill>
              <w14:schemeClr w14:val="tx1"/>
            </w14:solidFill>
          </w14:textFill>
        </w:rPr>
        <w:t>.资格审查</w:t>
      </w:r>
    </w:p>
    <w:p>
      <w:pPr>
        <w:snapToGrid w:val="0"/>
        <w:spacing w:line="360" w:lineRule="auto"/>
        <w:ind w:firstLine="420" w:firstLineChars="200"/>
        <w:rPr>
          <w:rFonts w:ascii="宋体" w:hAnsi="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.1</w:t>
      </w:r>
      <w:r>
        <w:rPr>
          <w:rFonts w:hint="eastAsia" w:ascii="宋体" w:hAnsi="宋体"/>
          <w:color w:val="000000" w:themeColor="text1"/>
          <w:szCs w:val="21"/>
          <w14:textFill>
            <w14:solidFill>
              <w14:schemeClr w14:val="tx1"/>
            </w14:solidFill>
          </w14:textFill>
        </w:rPr>
        <w:t>响应文件开启后，磋商小组依法对供应商的资格证明文件进行审查。</w:t>
      </w:r>
    </w:p>
    <w:p>
      <w:pPr>
        <w:snapToGrid w:val="0"/>
        <w:spacing w:line="360" w:lineRule="auto"/>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（1）查询渠道：</w:t>
      </w:r>
      <w:r>
        <w:rPr>
          <w:rFonts w:ascii="宋体" w:hAnsi="宋体" w:cs="宋体"/>
          <w:color w:val="000000" w:themeColor="text1"/>
          <w:szCs w:val="21"/>
          <w14:textFill>
            <w14:solidFill>
              <w14:schemeClr w14:val="tx1"/>
            </w14:solidFill>
          </w14:textFill>
        </w:rPr>
        <w:t>“信用中国”网站（www.creditchina.gov.cn）、中国政府采购网（</w:t>
      </w:r>
      <w:r>
        <w:fldChar w:fldCharType="begin"/>
      </w:r>
      <w:r>
        <w:instrText xml:space="preserve"> HYPERLINK "http://www.ccgp.gov.cn" </w:instrText>
      </w:r>
      <w:r>
        <w:fldChar w:fldCharType="separate"/>
      </w:r>
      <w:r>
        <w:rPr>
          <w:rFonts w:cs="宋体"/>
          <w:color w:val="000000" w:themeColor="text1"/>
          <w14:textFill>
            <w14:solidFill>
              <w14:schemeClr w14:val="tx1"/>
            </w14:solidFill>
          </w14:textFill>
        </w:rPr>
        <w:t>www.ccgp.gov.cn</w:t>
      </w:r>
      <w:r>
        <w:rPr>
          <w:rFonts w:cs="宋体"/>
          <w:color w:val="000000" w:themeColor="text1"/>
          <w14:textFill>
            <w14:solidFill>
              <w14:schemeClr w14:val="tx1"/>
            </w14:solidFill>
          </w14:textFill>
        </w:rPr>
        <w:fldChar w:fldCharType="end"/>
      </w:r>
      <w:r>
        <w:rPr>
          <w:rFonts w:ascii="宋体" w:hAnsi="宋体" w:cs="宋体"/>
          <w:color w:val="000000" w:themeColor="text1"/>
          <w:szCs w:val="21"/>
          <w14:textFill>
            <w14:solidFill>
              <w14:schemeClr w14:val="tx1"/>
            </w14:solidFill>
          </w14:textFill>
        </w:rPr>
        <w:t>）</w:t>
      </w:r>
    </w:p>
    <w:p>
      <w:pPr>
        <w:snapToGrid w:val="0"/>
        <w:spacing w:line="360" w:lineRule="auto"/>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（2）信用查询截止时点：</w:t>
      </w:r>
      <w:r>
        <w:rPr>
          <w:rFonts w:ascii="宋体" w:hAnsi="宋体" w:cs="宋体"/>
          <w:color w:val="000000" w:themeColor="text1"/>
          <w:szCs w:val="21"/>
          <w14:textFill>
            <w14:solidFill>
              <w14:schemeClr w14:val="tx1"/>
            </w14:solidFill>
          </w14:textFill>
        </w:rPr>
        <w:t>资格审查结束前</w:t>
      </w:r>
    </w:p>
    <w:p>
      <w:pPr>
        <w:snapToGrid w:val="0"/>
        <w:spacing w:line="360" w:lineRule="auto"/>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（3）查询记录和证据留存方式：将查询网站中的查询记录截图并作为评审资料保存。</w:t>
      </w:r>
    </w:p>
    <w:p>
      <w:pPr>
        <w:snapToGrid w:val="0"/>
        <w:spacing w:line="360" w:lineRule="auto"/>
        <w:ind w:firstLine="420" w:firstLineChars="200"/>
        <w:jc w:val="left"/>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（4）信用信息使用规则：根据财政部《关于在政府采购活动中查询及使用信用记录有关问题的通知》（财库〔2016〕125号）的规定，对在“信用中国”网站(www.creditchina.gov.cn)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snapToGrid w:val="0"/>
        <w:spacing w:line="360" w:lineRule="auto"/>
        <w:ind w:firstLine="420" w:firstLineChars="200"/>
        <w:jc w:val="left"/>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.2资格审查标准为本磋商文件中载明对供应商资格要求的条件。资格审查采用合格制，凡符合磋商文件规定的供应商资格要求的响应文件均通过资格审查。</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.3供应商有下列情形之一的，资格审查不通过，其响应文件按无效响应处理：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）不具备磋商文件中规定的资格要求的；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（2）响应文件的资格证明文件缺少任一项“供应商须知前附表”资格证明文件规定的“必须提供”的文件资料的；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（3）响应文件中的资格证明文件出现任一项不符合“供应商须知前附表”资格证明文件规定的“必须提供”的文件资料要求或者无效的；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（4）同一合同项下的不同供应商，单位负责人为同一人或者存在直接控股、管理关系的；为本项目提供过整体设计、规范编制或者项目管理、监理、检测等服务的供应商，再参加该采购项目的其他采购活动的。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.4通过资格审查的合格供应商不足3家的，不得进入符合性审查环节，</w:t>
      </w:r>
      <w:r>
        <w:rPr>
          <w:rFonts w:hint="eastAsia" w:ascii="宋体" w:hAnsi="宋体"/>
          <w:color w:val="000000" w:themeColor="text1"/>
          <w:szCs w:val="21"/>
          <w14:textFill>
            <w14:solidFill>
              <w14:schemeClr w14:val="tx1"/>
            </w14:solidFill>
          </w14:textFill>
        </w:rPr>
        <w:t>采购人或者采购代理机构应当重新开展采购活动。</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ascii="黑体" w:hAnsi="黑体" w:eastAsia="黑体" w:cs="宋体"/>
          <w:b/>
          <w:bCs/>
          <w:color w:val="000000" w:themeColor="text1"/>
          <w:sz w:val="24"/>
          <w14:textFill>
            <w14:solidFill>
              <w14:schemeClr w14:val="tx1"/>
            </w14:solidFill>
          </w14:textFill>
        </w:rPr>
        <w:t>2</w:t>
      </w:r>
      <w:r>
        <w:rPr>
          <w:rFonts w:hint="eastAsia" w:ascii="黑体" w:hAnsi="黑体" w:eastAsia="黑体" w:cs="宋体"/>
          <w:b/>
          <w:bCs/>
          <w:color w:val="000000" w:themeColor="text1"/>
          <w:sz w:val="24"/>
          <w14:textFill>
            <w14:solidFill>
              <w14:schemeClr w14:val="tx1"/>
            </w14:solidFill>
          </w14:textFill>
        </w:rPr>
        <w:t>.符合性审查</w:t>
      </w:r>
    </w:p>
    <w:p>
      <w:pPr>
        <w:spacing w:line="360" w:lineRule="auto"/>
        <w:ind w:firstLine="420" w:firstLineChars="200"/>
        <w:rPr>
          <w:rFonts w:ascii="宋体" w:hAnsi="宋体" w:cs="宋体"/>
          <w:color w:val="000000" w:themeColor="text1"/>
          <w:szCs w:val="21"/>
          <w14:textFill>
            <w14:solidFill>
              <w14:schemeClr w14:val="tx1"/>
            </w14:solidFill>
          </w14:textFill>
        </w:rPr>
      </w:pPr>
      <w:bookmarkStart w:id="40" w:name="_Hlk42528882"/>
      <w:r>
        <w:rPr>
          <w:rFonts w:ascii="宋体" w:hAnsi="宋体" w:cs="宋体"/>
          <w:color w:val="000000" w:themeColor="text1"/>
          <w:szCs w:val="21"/>
          <w14:textFill>
            <w14:solidFill>
              <w14:schemeClr w14:val="tx1"/>
            </w14:solidFill>
          </w14:textFill>
        </w:rPr>
        <w:t>2.1</w:t>
      </w:r>
      <w:r>
        <w:rPr>
          <w:rFonts w:hint="eastAsia" w:ascii="宋体" w:hAnsi="宋体" w:cs="宋体"/>
          <w:color w:val="000000" w:themeColor="text1"/>
          <w:szCs w:val="21"/>
          <w14:textFill>
            <w14:solidFill>
              <w14:schemeClr w14:val="tx1"/>
            </w14:solidFill>
          </w14:textFill>
        </w:rPr>
        <w:t>由磋商小组对</w:t>
      </w:r>
      <w:r>
        <w:rPr>
          <w:rFonts w:hint="eastAsia" w:ascii="宋体" w:hAnsi="宋体"/>
          <w:color w:val="000000" w:themeColor="text1"/>
          <w:szCs w:val="21"/>
          <w14:textFill>
            <w14:solidFill>
              <w14:schemeClr w14:val="tx1"/>
            </w14:solidFill>
          </w14:textFill>
        </w:rPr>
        <w:t>资格审查的合格供应商</w:t>
      </w:r>
      <w:r>
        <w:rPr>
          <w:rFonts w:hint="eastAsia" w:ascii="宋体" w:hAnsi="宋体" w:cs="宋体"/>
          <w:color w:val="000000" w:themeColor="text1"/>
          <w:szCs w:val="21"/>
          <w14:textFill>
            <w14:solidFill>
              <w14:schemeClr w14:val="tx1"/>
            </w14:solidFill>
          </w14:textFill>
        </w:rPr>
        <w:t>的响应文件的竞标报价、商务、技术等实质性要求进行符合性审查，以确定其是否满足磋商文件的实质性要求。</w:t>
      </w:r>
    </w:p>
    <w:bookmarkEnd w:id="40"/>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2.2</w:t>
      </w:r>
      <w:r>
        <w:rPr>
          <w:rFonts w:hint="eastAsia" w:ascii="宋体" w:hAnsi="宋体" w:cs="宋体"/>
          <w:color w:val="000000" w:themeColor="text1"/>
          <w:szCs w:val="21"/>
          <w14:textFill>
            <w14:solidFill>
              <w14:schemeClr w14:val="tx1"/>
            </w14:solidFill>
          </w14:textFill>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20" w:firstLineChars="200"/>
        <w:rPr>
          <w:rFonts w:ascii="宋体" w:hAnsi="宋体" w:cs="宋体"/>
          <w:color w:val="000000" w:themeColor="text1"/>
          <w:spacing w:val="-6"/>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并加盖供应商公章</w:t>
      </w:r>
      <w:r>
        <w:rPr>
          <w:rFonts w:hint="eastAsia" w:ascii="宋体" w:hAnsi="宋体" w:cs="宋体"/>
          <w:color w:val="000000" w:themeColor="text1"/>
          <w:spacing w:val="-6"/>
          <w:szCs w:val="21"/>
          <w14:textFill>
            <w14:solidFill>
              <w14:schemeClr w14:val="tx1"/>
            </w14:solidFill>
          </w14:textFill>
        </w:rPr>
        <w:t>。供应商为自然人的，必须由本人签字并附其身份证明。</w:t>
      </w:r>
    </w:p>
    <w:p>
      <w:pPr>
        <w:spacing w:line="360" w:lineRule="auto"/>
        <w:ind w:firstLine="396"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pacing w:val="-6"/>
          <w:szCs w:val="21"/>
          <w14:textFill>
            <w14:solidFill>
              <w14:schemeClr w14:val="tx1"/>
            </w14:solidFill>
          </w14:textFill>
        </w:rPr>
        <w:t>2.4</w:t>
      </w:r>
      <w:r>
        <w:rPr>
          <w:rFonts w:hint="eastAsia" w:ascii="宋体" w:hAnsi="宋体" w:cs="宋体"/>
          <w:color w:val="000000" w:themeColor="text1"/>
          <w:szCs w:val="21"/>
          <w14:textFill>
            <w14:solidFill>
              <w14:schemeClr w14:val="tx1"/>
            </w14:solidFill>
          </w14:textFill>
        </w:rPr>
        <w:t xml:space="preserve">首次响应文件报价出现前后不一致的，按照下列规定修正： </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（1）响应文件中报价表内容与响应文件中相应内容不一致的，以报价表为准；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（2）大写金额和小写金额不一致的，以大写金额为准；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（3）单价金额小数点或者百分比有明显错位的，以报价表的总价为准，并修改单价；</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（4）总价金额与按单价汇总金额不一致的，以单价金额计算结果为准。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同时出现两种以上不一致的，按照以上（1）-（4）规定的顺序逐条进行修正。修正后的报价经供应商确认后产生约束力，供应商不确认的，其响应文件按无效响应处理。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商务技术报价评审</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在评审时，如发现下列情形之一的，将被视为响应文件无效响应处理：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（1）商务技术评审</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1）响应文件未按磋商文件要求签署、盖章；</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2）委托代理人未能出具有效身份证或者出具的身份证与授权委托书中的信息不符的； </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3）提交的磋商保证金无效的或者未按照磋商文件的规定提交磋商保证金；</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4）响应文件中的报价商务技术文件出现任一项不符合“供应商须知前附表”中“必须提供”或者“委托时必须提供”文件资料要求的规定或者提供的报价商务技术文件无效。</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5）商务条款中标“▲”的条款发生负偏离或者允许负偏离的条款数超过“供应商须知前附表”规定项数的；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6）未对竞标有效期作出响应或者响应文件承诺的竞标有效期不满足磋商文件要求；</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7）响应文件的实质性内容未使用中文表述、使用计量单位不符合磋商文件要求；</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8）响应文件中的文件资料因填写不齐全或者内容虚假或者出现其他情形而导致被磋商小组认定无效；</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9）响应文件含有采购人不能接受的附加条件；</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10）属于“供应商须知正文”第7.</w:t>
      </w:r>
      <w:r>
        <w:rPr>
          <w:rFonts w:ascii="宋体" w:hAnsi="宋体" w:cs="宋体"/>
          <w:color w:val="000000" w:themeColor="text1"/>
          <w:szCs w:val="21"/>
          <w14:textFill>
            <w14:solidFill>
              <w14:schemeClr w14:val="tx1"/>
            </w14:solidFill>
          </w14:textFill>
        </w:rPr>
        <w:t>5</w:t>
      </w:r>
      <w:r>
        <w:rPr>
          <w:rFonts w:hint="eastAsia" w:ascii="宋体" w:hAnsi="宋体" w:cs="宋体"/>
          <w:color w:val="000000" w:themeColor="text1"/>
          <w:szCs w:val="21"/>
          <w14:textFill>
            <w14:solidFill>
              <w14:schemeClr w14:val="tx1"/>
            </w14:solidFill>
          </w14:textFill>
        </w:rPr>
        <w:t>条情形；</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1）技术要求中标“▲”的条款发生负偏离或允许负偏离的条款数超过“供应商须知前附表”规定项数的；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2）虚假竞标，或者出现其他情形而导致被磋商小组认定无效；</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3）</w:t>
      </w:r>
      <w:bookmarkStart w:id="41" w:name="_Hlk71704147"/>
      <w:r>
        <w:rPr>
          <w:rFonts w:hint="eastAsia" w:ascii="宋体" w:hAnsi="宋体" w:cs="宋体"/>
          <w:color w:val="000000" w:themeColor="text1"/>
          <w:szCs w:val="21"/>
          <w14:textFill>
            <w14:solidFill>
              <w14:schemeClr w14:val="tx1"/>
            </w14:solidFill>
          </w14:textFill>
        </w:rPr>
        <w:t>磋商文件未载明允许提供备选（替代）竞标方案或明确不允许提供备选（替代）竞标方案时，供应商提供了备选（替代）竞标方案的；</w:t>
      </w:r>
      <w:bookmarkEnd w:id="41"/>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4）响应文件标注的项目名称或者项目编号与磋商文件标注的项目名称或者项目编号不一致的；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15）</w:t>
      </w:r>
      <w:r>
        <w:rPr>
          <w:rFonts w:hint="eastAsia" w:ascii="宋体" w:hAnsi="宋体"/>
          <w:color w:val="000000" w:themeColor="text1"/>
          <w:szCs w:val="21"/>
          <w14:textFill>
            <w14:solidFill>
              <w14:schemeClr w14:val="tx1"/>
            </w14:solidFill>
          </w14:textFill>
        </w:rPr>
        <w:t>竞争性磋商文件明确不允许分包，响应文件拟分包的；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6）未响应磋商文件实质性要求；</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17）法律、法规和磋商文件规定的其他无效情形。</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w:t>
      </w: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）报价评审</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w:t>
      </w:r>
      <w:r>
        <w:rPr>
          <w:rFonts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szCs w:val="21"/>
          <w14:textFill>
            <w14:solidFill>
              <w14:schemeClr w14:val="tx1"/>
            </w14:solidFill>
          </w14:textFill>
        </w:rPr>
        <w:t>响应文件未提供“供应商须知前附表” 报价商务技术文件中规定的“竞标报价表”；</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2）未采用人民币报价或者未按照磋商文件标明的币种报价；</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4）最后报价超过所竞标分标规定的采购预算金额或者最高限价的（如本项目公布了最高限价）；</w:t>
      </w:r>
      <w:bookmarkStart w:id="42" w:name="_Hlk42596405"/>
      <w:r>
        <w:rPr>
          <w:rFonts w:hint="eastAsia" w:ascii="宋体" w:hAnsi="宋体" w:cs="宋体"/>
          <w:color w:val="000000" w:themeColor="text1"/>
          <w:szCs w:val="21"/>
          <w14:textFill>
            <w14:solidFill>
              <w14:schemeClr w14:val="tx1"/>
            </w14:solidFill>
          </w14:textFill>
        </w:rPr>
        <w:t xml:space="preserve"> </w:t>
      </w:r>
      <w:bookmarkEnd w:id="42"/>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5）修正后的报价，供应商不确认的；或者经供应商确认修正后的最后报价超过所竞标分标规定的采购预算金额或者最高限价（如本项目公布了最高限价）；</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响应文件响应的标的数量及单位与竞争性磋商采购文件要求实质性不一致的。</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2.6</w:t>
      </w:r>
      <w:r>
        <w:rPr>
          <w:rFonts w:hint="eastAsia" w:ascii="宋体" w:hAnsi="宋体" w:cs="宋体"/>
          <w:color w:val="000000" w:themeColor="text1"/>
          <w:szCs w:val="21"/>
          <w14:textFill>
            <w14:solidFill>
              <w14:schemeClr w14:val="tx1"/>
            </w14:solidFill>
          </w14:textFill>
        </w:rPr>
        <w:t>磋商小组对响应文件进行评审，未实质性响应磋商文件的响应文件按无效响应处理，磋商小组应当将资格和符合性不通过的情况告知有关供应商。磋商小组从符合磋商文件规定的相应资格条件的供应商名单中确定不少于3家的供应商参加磋商。</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ascii="黑体" w:hAnsi="黑体" w:eastAsia="黑体" w:cs="宋体"/>
          <w:b/>
          <w:bCs/>
          <w:color w:val="000000" w:themeColor="text1"/>
          <w:sz w:val="24"/>
          <w14:textFill>
            <w14:solidFill>
              <w14:schemeClr w14:val="tx1"/>
            </w14:solidFill>
          </w14:textFill>
        </w:rPr>
        <w:t>3</w:t>
      </w:r>
      <w:r>
        <w:rPr>
          <w:rFonts w:hint="eastAsia" w:ascii="黑体" w:hAnsi="黑体" w:eastAsia="黑体" w:cs="宋体"/>
          <w:b/>
          <w:bCs/>
          <w:color w:val="000000" w:themeColor="text1"/>
          <w:sz w:val="24"/>
          <w14:textFill>
            <w14:solidFill>
              <w14:schemeClr w14:val="tx1"/>
            </w14:solidFill>
          </w14:textFill>
        </w:rPr>
        <w:t>.磋商程序</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kern w:val="0"/>
          <w:szCs w:val="21"/>
          <w14:textFill>
            <w14:solidFill>
              <w14:schemeClr w14:val="tx1"/>
            </w14:solidFill>
          </w14:textFill>
        </w:rPr>
        <w:t>3</w:t>
      </w:r>
      <w:r>
        <w:rPr>
          <w:rFonts w:ascii="宋体" w:hAnsi="宋体" w:cs="宋体"/>
          <w:color w:val="000000" w:themeColor="text1"/>
          <w:kern w:val="0"/>
          <w:szCs w:val="21"/>
          <w14:textFill>
            <w14:solidFill>
              <w14:schemeClr w14:val="tx1"/>
            </w14:solidFill>
          </w14:textFill>
        </w:rPr>
        <w:t>.1</w:t>
      </w:r>
      <w:r>
        <w:rPr>
          <w:rFonts w:hint="eastAsia" w:ascii="宋体" w:hAnsi="宋体" w:cs="宋体"/>
          <w:color w:val="000000" w:themeColor="text1"/>
          <w:kern w:val="0"/>
          <w:szCs w:val="21"/>
          <w14:textFill>
            <w14:solidFill>
              <w14:schemeClr w14:val="tx1"/>
            </w14:solidFill>
          </w14:textFill>
        </w:rPr>
        <w:t>磋商小组按照“供应商须知前附表”</w:t>
      </w:r>
      <w:r>
        <w:rPr>
          <w:rFonts w:hint="eastAsia" w:ascii="宋体" w:hAnsi="宋体" w:cs="宋体"/>
          <w:color w:val="000000" w:themeColor="text1"/>
          <w:szCs w:val="21"/>
          <w14:textFill>
            <w14:solidFill>
              <w14:schemeClr w14:val="tx1"/>
            </w14:solidFill>
          </w14:textFill>
        </w:rPr>
        <w:t xml:space="preserve"> </w:t>
      </w:r>
      <w:r>
        <w:rPr>
          <w:rFonts w:hint="eastAsia" w:ascii="宋体" w:hAnsi="宋体" w:cs="宋体"/>
          <w:color w:val="000000" w:themeColor="text1"/>
          <w:kern w:val="0"/>
          <w:szCs w:val="21"/>
          <w14:textFill>
            <w14:solidFill>
              <w14:schemeClr w14:val="tx1"/>
            </w14:solidFill>
          </w14:textFill>
        </w:rPr>
        <w:t>确定的</w:t>
      </w:r>
      <w:r>
        <w:rPr>
          <w:rFonts w:hint="eastAsia" w:ascii="宋体" w:hAnsi="宋体" w:cs="宋体"/>
          <w:color w:val="000000" w:themeColor="text1"/>
          <w:szCs w:val="21"/>
          <w14:textFill>
            <w14:solidFill>
              <w14:schemeClr w14:val="tx1"/>
            </w14:solidFill>
          </w14:textFill>
        </w:rPr>
        <w:t>顺序，集中与单一供应商分别进行磋商，并给予所有参加磋商的供应商平等的磋商机会。符合磋商资格的供应商必须在接到磋商通知后在规定时间内参加磋商，未在规定时间内参加磋商的视同放弃参加磋商权利，其响应文件按无效响应处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3.2</w:t>
      </w:r>
      <w:r>
        <w:rPr>
          <w:rFonts w:hint="eastAsia" w:ascii="宋体" w:hAnsi="宋体" w:cs="宋体"/>
          <w:color w:val="000000" w:themeColor="text1"/>
          <w:szCs w:val="21"/>
          <w14:textFill>
            <w14:solidFill>
              <w14:schemeClr w14:val="tx1"/>
            </w14:solidFill>
          </w14:textFill>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3.3</w:t>
      </w:r>
      <w:r>
        <w:rPr>
          <w:rFonts w:hint="eastAsia" w:ascii="宋体" w:hAnsi="宋体" w:cs="宋体"/>
          <w:color w:val="000000" w:themeColor="text1"/>
          <w:szCs w:val="21"/>
          <w14:textFill>
            <w14:solidFill>
              <w14:schemeClr w14:val="tx1"/>
            </w14:solidFill>
          </w14:textFill>
        </w:rPr>
        <w:t>对磋商文件作出的实质性变动是磋商文件的有效组成部分，由磋商小组及时以电子磋商记录形式同时通知所有参加磋商的供应商。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3.4</w:t>
      </w:r>
      <w:r>
        <w:rPr>
          <w:rFonts w:hint="eastAsia" w:ascii="宋体" w:hAnsi="宋体" w:cs="宋体"/>
          <w:color w:val="000000" w:themeColor="text1"/>
          <w:szCs w:val="21"/>
          <w14:textFill>
            <w14:solidFill>
              <w14:schemeClr w14:val="tx1"/>
            </w14:solidFill>
          </w14:textFill>
        </w:rPr>
        <w:t>供应商必须按照磋商文件的变动情况和磋商小组的要求以电子回函的形式重新提交响应文件，并由其法定代表人或者授权代表签字或者加盖供应商公章。供应商为自然人的，必须由本人签字并附身份证明。参加磋商的供应商未在规定时间内以电子回函的形式重新提交响应文件的，视同退出磋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3.5</w:t>
      </w:r>
      <w:r>
        <w:rPr>
          <w:rFonts w:hint="eastAsia" w:ascii="宋体" w:hAnsi="宋体" w:cs="宋体"/>
          <w:color w:val="000000" w:themeColor="text1"/>
          <w:szCs w:val="21"/>
          <w14:textFill>
            <w14:solidFill>
              <w14:schemeClr w14:val="tx1"/>
            </w14:solidFill>
          </w14:textFill>
        </w:rPr>
        <w:t>磋商中，</w:t>
      </w:r>
      <w:r>
        <w:rPr>
          <w:rFonts w:hint="eastAsia" w:ascii="宋体" w:hAnsi="宋体" w:cs="宋体"/>
          <w:color w:val="000000" w:themeColor="text1"/>
          <w:spacing w:val="-6"/>
          <w:szCs w:val="21"/>
          <w14:textFill>
            <w14:solidFill>
              <w14:schemeClr w14:val="tx1"/>
            </w14:solidFill>
          </w14:textFill>
        </w:rPr>
        <w:t>磋商的任何一方不得透露与磋商有关的其他供应商的技术资料、价格和其他信息。</w:t>
      </w:r>
    </w:p>
    <w:p>
      <w:pPr>
        <w:tabs>
          <w:tab w:val="left" w:pos="2835"/>
        </w:tabs>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3</w:t>
      </w:r>
      <w:r>
        <w:rPr>
          <w:rFonts w:ascii="宋体" w:hAnsi="宋体" w:cs="宋体"/>
          <w:color w:val="000000" w:themeColor="text1"/>
          <w:szCs w:val="21"/>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对磋商过程提交的响应文件进行有效性、完整性和响应程度审查，通过审查的合格供应商不足3家的，采购人或者采购代理机构应当重新开展采购活动。</w:t>
      </w:r>
    </w:p>
    <w:p>
      <w:pPr>
        <w:widowControl/>
        <w:tabs>
          <w:tab w:val="left" w:pos="540"/>
        </w:tabs>
        <w:spacing w:line="360" w:lineRule="auto"/>
        <w:ind w:firstLine="420" w:firstLineChars="200"/>
        <w:jc w:val="left"/>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3.</w:t>
      </w:r>
      <w:r>
        <w:rPr>
          <w:rFonts w:hint="eastAsia" w:ascii="宋体" w:hAnsi="宋体" w:cs="宋体"/>
          <w:color w:val="000000" w:themeColor="text1"/>
          <w:szCs w:val="21"/>
          <w14:textFill>
            <w14:solidFill>
              <w14:schemeClr w14:val="tx1"/>
            </w14:solidFill>
          </w14:textFill>
        </w:rPr>
        <w:t>7</w:t>
      </w:r>
      <w:r>
        <w:rPr>
          <w:color w:val="000000" w:themeColor="text1"/>
          <w14:textFill>
            <w14:solidFill>
              <w14:schemeClr w14:val="tx1"/>
            </w14:solidFill>
          </w14:textFill>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pPr>
        <w:spacing w:line="360" w:lineRule="auto"/>
        <w:ind w:firstLine="482" w:firstLineChars="200"/>
        <w:rPr>
          <w:rFonts w:ascii="宋体" w:hAnsi="宋体" w:cs="宋体"/>
          <w:color w:val="000000" w:themeColor="text1"/>
          <w:szCs w:val="21"/>
          <w14:textFill>
            <w14:solidFill>
              <w14:schemeClr w14:val="tx1"/>
            </w14:solidFill>
          </w14:textFill>
        </w:rPr>
      </w:pPr>
      <w:r>
        <w:rPr>
          <w:rFonts w:ascii="黑体" w:hAnsi="黑体" w:eastAsia="黑体" w:cs="宋体"/>
          <w:b/>
          <w:bCs/>
          <w:color w:val="000000" w:themeColor="text1"/>
          <w:sz w:val="24"/>
          <w14:textFill>
            <w14:solidFill>
              <w14:schemeClr w14:val="tx1"/>
            </w14:solidFill>
          </w14:textFill>
        </w:rPr>
        <w:t>4.</w:t>
      </w:r>
      <w:r>
        <w:rPr>
          <w:rFonts w:hint="eastAsia" w:ascii="黑体" w:hAnsi="黑体" w:eastAsia="黑体" w:cs="宋体"/>
          <w:b/>
          <w:bCs/>
          <w:color w:val="000000" w:themeColor="text1"/>
          <w:sz w:val="24"/>
          <w14:textFill>
            <w14:solidFill>
              <w14:schemeClr w14:val="tx1"/>
            </w14:solidFill>
          </w14:textFill>
        </w:rPr>
        <w:t xml:space="preserve"> 最后报价</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ascii="宋体" w:hAnsi="宋体" w:cs="宋体"/>
          <w:color w:val="000000" w:themeColor="text1"/>
          <w:szCs w:val="21"/>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磋商文件能够详细列明采购标的的技术、服务要求的，磋商结束后，由磋商小组要求所有继续参加磋商的供应商在规定时间内以电子文件形式提交最后报价，除本章第3.7、</w:t>
      </w:r>
      <w:r>
        <w:rPr>
          <w:rFonts w:ascii="宋体" w:hAnsi="宋体" w:cs="宋体"/>
          <w:color w:val="000000" w:themeColor="text1"/>
          <w:szCs w:val="21"/>
          <w14:textFill>
            <w14:solidFill>
              <w14:schemeClr w14:val="tx1"/>
            </w14:solidFill>
          </w14:textFill>
        </w:rPr>
        <w:t>4.3</w:t>
      </w:r>
      <w:r>
        <w:rPr>
          <w:rFonts w:hint="eastAsia" w:ascii="宋体" w:hAnsi="宋体" w:cs="宋体"/>
          <w:color w:val="000000" w:themeColor="text1"/>
          <w:szCs w:val="21"/>
          <w14:textFill>
            <w14:solidFill>
              <w14:schemeClr w14:val="tx1"/>
            </w14:solidFill>
          </w14:textFill>
        </w:rPr>
        <w:t>条外，提交最后报价的供应商不得少于3家，否则必须重新采购。</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ascii="宋体" w:hAnsi="宋体" w:cs="宋体"/>
          <w:color w:val="000000" w:themeColor="text1"/>
          <w:szCs w:val="21"/>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以电子文件形式提交最后报价。</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4.3</w:t>
      </w:r>
      <w:r>
        <w:rPr>
          <w:rFonts w:hint="eastAsia" w:ascii="宋体" w:hAnsi="宋体" w:cs="宋体"/>
          <w:color w:val="000000" w:themeColor="text1"/>
          <w:szCs w:val="21"/>
          <w14:textFill>
            <w14:solidFill>
              <w14:schemeClr w14:val="tx1"/>
            </w14:solidFill>
          </w14:textFill>
        </w:rPr>
        <w:t xml:space="preserve"> 最后报价是供应商响应文件的有效组成部分。符合《政府采购竞争性磋商采购方式管理暂行办法》（财库〔2014〕214号）第三条第四项“市场竞争不充分的科研项目，以及需要扶持的科技成果转化项目”和</w:t>
      </w:r>
      <w:r>
        <w:rPr>
          <w:color w:val="000000" w:themeColor="text1"/>
          <w14:textFill>
            <w14:solidFill>
              <w14:schemeClr w14:val="tx1"/>
            </w14:solidFill>
          </w14:textFill>
        </w:rPr>
        <w:t>本章第3.</w:t>
      </w:r>
      <w:r>
        <w:rPr>
          <w:rFonts w:hint="eastAsia"/>
          <w:color w:val="000000" w:themeColor="text1"/>
          <w14:textFill>
            <w14:solidFill>
              <w14:schemeClr w14:val="tx1"/>
            </w14:solidFill>
          </w14:textFill>
        </w:rPr>
        <w:t>7</w:t>
      </w:r>
      <w:r>
        <w:rPr>
          <w:color w:val="000000" w:themeColor="text1"/>
          <w14:textFill>
            <w14:solidFill>
              <w14:schemeClr w14:val="tx1"/>
            </w14:solidFill>
          </w14:textFill>
        </w:rPr>
        <w:t>条情形的，</w:t>
      </w:r>
      <w:r>
        <w:rPr>
          <w:rFonts w:hint="eastAsia" w:ascii="宋体" w:hAnsi="宋体" w:cs="宋体"/>
          <w:color w:val="000000" w:themeColor="text1"/>
          <w:szCs w:val="21"/>
          <w14:textFill>
            <w14:solidFill>
              <w14:schemeClr w14:val="tx1"/>
            </w14:solidFill>
          </w14:textFill>
        </w:rPr>
        <w:t>提交最后报价的供应商可以为2家。</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4.4</w:t>
      </w:r>
      <w:r>
        <w:rPr>
          <w:rFonts w:hint="eastAsia" w:ascii="宋体" w:hAnsi="宋体" w:cs="宋体"/>
          <w:color w:val="000000" w:themeColor="text1"/>
          <w:szCs w:val="21"/>
          <w14:textFill>
            <w14:solidFill>
              <w14:schemeClr w14:val="tx1"/>
            </w14:solidFill>
          </w14:textFill>
        </w:rPr>
        <w:t>已经提交响应文件的供应商，在提交最后报价之前，可以根据磋商情况退出磋商，退出磋商的供应商的响应文件按无效响应处理。采购人、采购代理机构将退还退出磋商的供应商的保证金。</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4.5</w:t>
      </w:r>
      <w:r>
        <w:rPr>
          <w:rFonts w:hint="eastAsia" w:ascii="宋体" w:hAnsi="宋体" w:cs="宋体"/>
          <w:color w:val="000000" w:themeColor="text1"/>
          <w:szCs w:val="21"/>
          <w14:textFill>
            <w14:solidFill>
              <w14:schemeClr w14:val="tx1"/>
            </w14:solidFill>
          </w14:textFill>
        </w:rPr>
        <w:t>供应商未在规定时间内提交最后报价的，视同退出磋商。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4.6</w:t>
      </w:r>
      <w:r>
        <w:rPr>
          <w:rFonts w:hint="eastAsia" w:ascii="宋体" w:hAnsi="宋体" w:cs="宋体"/>
          <w:color w:val="000000" w:themeColor="text1"/>
          <w:szCs w:val="21"/>
          <w14:textFill>
            <w14:solidFill>
              <w14:schemeClr w14:val="tx1"/>
            </w14:solidFill>
          </w14:textFill>
        </w:rPr>
        <w:t>磋商小组收齐某一分标最后报价后或达到规定时间后统一开启，磋商小组对最后报价进行有效性、完整性和响应程度的审查。</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4.7</w:t>
      </w:r>
      <w:r>
        <w:rPr>
          <w:rFonts w:hint="eastAsia" w:ascii="宋体" w:hAnsi="宋体" w:cs="宋体"/>
          <w:color w:val="000000" w:themeColor="text1"/>
          <w:szCs w:val="21"/>
          <w14:textFill>
            <w14:solidFill>
              <w14:schemeClr w14:val="tx1"/>
            </w14:solidFill>
          </w14:textFill>
        </w:rPr>
        <w:t>响应文件最后报价出现前后不一致的，按照本章第</w:t>
      </w:r>
      <w:r>
        <w:rPr>
          <w:rFonts w:ascii="宋体" w:hAnsi="宋体" w:cs="宋体"/>
          <w:color w:val="000000" w:themeColor="text1"/>
          <w:szCs w:val="21"/>
          <w14:textFill>
            <w14:solidFill>
              <w14:schemeClr w14:val="tx1"/>
            </w14:solidFill>
          </w14:textFill>
        </w:rPr>
        <w:t>2.4</w:t>
      </w:r>
      <w:r>
        <w:rPr>
          <w:rFonts w:hint="eastAsia" w:ascii="宋体" w:hAnsi="宋体" w:cs="宋体"/>
          <w:color w:val="000000" w:themeColor="text1"/>
          <w:szCs w:val="21"/>
          <w14:textFill>
            <w14:solidFill>
              <w14:schemeClr w14:val="tx1"/>
            </w14:solidFill>
          </w14:textFill>
        </w:rPr>
        <w:t xml:space="preserve">条的规定修正。 </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4.8</w:t>
      </w:r>
      <w:r>
        <w:rPr>
          <w:rFonts w:hint="eastAsia" w:ascii="宋体" w:hAnsi="宋体" w:cs="宋体"/>
          <w:color w:val="000000" w:themeColor="text1"/>
          <w:szCs w:val="21"/>
          <w14:textFill>
            <w14:solidFill>
              <w14:schemeClr w14:val="tx1"/>
            </w14:solidFill>
          </w14:textFill>
        </w:rPr>
        <w:t>经供应商确认修正后的最后报价作为评审及签订合同的依据。</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ascii="宋体" w:hAnsi="宋体" w:cs="宋体"/>
          <w:color w:val="000000" w:themeColor="text1"/>
          <w:szCs w:val="21"/>
          <w14:textFill>
            <w14:solidFill>
              <w14:schemeClr w14:val="tx1"/>
            </w14:solidFill>
          </w14:textFill>
        </w:rPr>
        <w:t>9</w:t>
      </w:r>
      <w:r>
        <w:rPr>
          <w:rFonts w:hint="eastAsia" w:ascii="宋体" w:hAnsi="宋体" w:cs="宋体"/>
          <w:color w:val="000000" w:themeColor="text1"/>
          <w:szCs w:val="21"/>
          <w14:textFill>
            <w14:solidFill>
              <w14:schemeClr w14:val="tx1"/>
            </w14:solidFill>
          </w14:textFill>
        </w:rPr>
        <w:t>供应商出现最后报价按无效响应处理或者响应文件按无效响应处理时</w:t>
      </w:r>
      <w:r>
        <w:rPr>
          <w:rFonts w:hint="eastAsia" w:ascii="宋体" w:hAnsi="宋体"/>
          <w:color w:val="000000" w:themeColor="text1"/>
          <w:sz w:val="22"/>
          <w:szCs w:val="22"/>
          <w14:textFill>
            <w14:solidFill>
              <w14:schemeClr w14:val="tx1"/>
            </w14:solidFill>
          </w14:textFill>
        </w:rPr>
        <w:t>，磋商小组应当告知有关供应商</w:t>
      </w:r>
      <w:r>
        <w:rPr>
          <w:rFonts w:hint="eastAsia" w:ascii="宋体" w:hAnsi="宋体" w:cs="宋体"/>
          <w:color w:val="000000" w:themeColor="text1"/>
          <w:szCs w:val="21"/>
          <w14:textFill>
            <w14:solidFill>
              <w14:schemeClr w14:val="tx1"/>
            </w14:solidFill>
          </w14:textFill>
        </w:rPr>
        <w:t>。</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4</w:t>
      </w:r>
      <w:r>
        <w:rPr>
          <w:rFonts w:ascii="宋体" w:hAnsi="宋体" w:cs="宋体"/>
          <w:color w:val="000000" w:themeColor="text1"/>
          <w:szCs w:val="21"/>
          <w14:textFill>
            <w14:solidFill>
              <w14:schemeClr w14:val="tx1"/>
            </w14:solidFill>
          </w14:textFill>
        </w:rPr>
        <w:t>.10</w:t>
      </w:r>
      <w:r>
        <w:rPr>
          <w:rFonts w:hint="eastAsia" w:ascii="宋体" w:hAnsi="宋体" w:cs="宋体"/>
          <w:color w:val="000000" w:themeColor="text1"/>
          <w:szCs w:val="21"/>
          <w14:textFill>
            <w14:solidFill>
              <w14:schemeClr w14:val="tx1"/>
            </w14:solidFill>
          </w14:textFill>
        </w:rPr>
        <w:t>最后报价结束后，磋商小组不得再与供应商进行任何形式的商谈。</w:t>
      </w:r>
    </w:p>
    <w:p>
      <w:pPr>
        <w:spacing w:line="360" w:lineRule="auto"/>
        <w:ind w:firstLine="482" w:firstLineChars="200"/>
        <w:rPr>
          <w:rFonts w:ascii="黑体" w:hAnsi="黑体" w:eastAsia="黑体" w:cs="宋体"/>
          <w:b/>
          <w:bCs/>
          <w:color w:val="000000" w:themeColor="text1"/>
          <w:sz w:val="24"/>
          <w14:textFill>
            <w14:solidFill>
              <w14:schemeClr w14:val="tx1"/>
            </w14:solidFill>
          </w14:textFill>
        </w:rPr>
      </w:pPr>
      <w:r>
        <w:rPr>
          <w:rFonts w:hint="eastAsia" w:ascii="黑体" w:hAnsi="黑体" w:eastAsia="黑体" w:cs="宋体"/>
          <w:b/>
          <w:bCs/>
          <w:color w:val="000000" w:themeColor="text1"/>
          <w:sz w:val="24"/>
          <w14:textFill>
            <w14:solidFill>
              <w14:schemeClr w14:val="tx1"/>
            </w14:solidFill>
          </w14:textFill>
        </w:rPr>
        <w:t>5</w:t>
      </w:r>
      <w:r>
        <w:rPr>
          <w:rFonts w:ascii="黑体" w:hAnsi="黑体" w:eastAsia="黑体" w:cs="宋体"/>
          <w:b/>
          <w:bCs/>
          <w:color w:val="000000" w:themeColor="text1"/>
          <w:sz w:val="24"/>
          <w14:textFill>
            <w14:solidFill>
              <w14:schemeClr w14:val="tx1"/>
            </w14:solidFill>
          </w14:textFill>
        </w:rPr>
        <w:t>.</w:t>
      </w:r>
      <w:r>
        <w:rPr>
          <w:rFonts w:hint="eastAsia" w:ascii="黑体" w:hAnsi="黑体" w:eastAsia="黑体" w:cs="宋体"/>
          <w:b/>
          <w:bCs/>
          <w:color w:val="000000" w:themeColor="text1"/>
          <w:sz w:val="24"/>
          <w14:textFill>
            <w14:solidFill>
              <w14:schemeClr w14:val="tx1"/>
            </w14:solidFill>
          </w14:textFill>
        </w:rPr>
        <w:t>比较与评价</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5.1</w:t>
      </w:r>
      <w:r>
        <w:rPr>
          <w:rFonts w:hint="eastAsia" w:ascii="宋体" w:hAnsi="宋体" w:cs="宋体"/>
          <w:color w:val="000000" w:themeColor="text1"/>
          <w:szCs w:val="21"/>
          <w14:textFill>
            <w14:solidFill>
              <w14:schemeClr w14:val="tx1"/>
            </w14:solidFill>
          </w14:textFill>
        </w:rPr>
        <w:t>评审方法：综合评分法。</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5.2</w:t>
      </w:r>
      <w:r>
        <w:rPr>
          <w:rFonts w:hint="eastAsia" w:ascii="宋体" w:hAnsi="宋体" w:cs="宋体"/>
          <w:color w:val="000000" w:themeColor="text1"/>
          <w:szCs w:val="21"/>
          <w14:textFill>
            <w14:solidFill>
              <w14:schemeClr w14:val="tx1"/>
            </w14:solidFill>
          </w14:textFill>
        </w:rPr>
        <w:t>经磋商确定最终采购需求和提交最后报价的供应商后，由磋商小组采用综合评分法对提交最后报价的供应商的响应文件和最后报价进行综合评分。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5.3</w:t>
      </w:r>
      <w:r>
        <w:rPr>
          <w:rFonts w:hint="eastAsia" w:ascii="宋体" w:hAnsi="宋体" w:cs="宋体"/>
          <w:color w:val="000000" w:themeColor="text1"/>
          <w:szCs w:val="21"/>
          <w14:textFill>
            <w14:solidFill>
              <w14:schemeClr w14:val="tx1"/>
            </w14:solidFill>
          </w14:textFill>
        </w:rPr>
        <w:t>评审时，磋商小组各成员应当独立对每个有效响应的文件进行评价、打分，然后汇总每个供应商每项评分因素的得分。</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（1）磋商小组按照磋商文件中规定的评审标准计算各供应商的报价得分。项目评审过程中，不得去掉最后报价中的最高报价和最低报价。</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（2）各供应商的得分为磋商小组所有成员的有效评分的算术平均数。</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s="宋体"/>
          <w:color w:val="000000" w:themeColor="text1"/>
          <w:szCs w:val="21"/>
          <w14:textFill>
            <w14:solidFill>
              <w14:schemeClr w14:val="tx1"/>
            </w14:solidFill>
          </w14:textFill>
        </w:rPr>
        <w:t>5.4</w:t>
      </w:r>
      <w:r>
        <w:rPr>
          <w:rFonts w:hint="eastAsia" w:ascii="宋体" w:hAnsi="宋体" w:cs="宋体"/>
          <w:color w:val="000000" w:themeColor="text1"/>
          <w:szCs w:val="21"/>
          <w14:textFill>
            <w14:solidFill>
              <w14:schemeClr w14:val="tx1"/>
            </w14:solidFill>
          </w14:textFill>
        </w:rPr>
        <w:t>评标价为供应商的最后报价进行政策性扣除后的价格，评标价只是作为评审时使用。最终成交供应商的成交金额等于最后报价（如有修正，以确认修正后的最后报价为准）。</w:t>
      </w:r>
    </w:p>
    <w:p>
      <w:pPr>
        <w:spacing w:line="360" w:lineRule="auto"/>
        <w:ind w:firstLine="420" w:firstLineChars="200"/>
        <w:rPr>
          <w:rFonts w:ascii="宋体" w:hAnsi="宋体"/>
          <w:color w:val="000000" w:themeColor="text1"/>
          <w:kern w:val="0"/>
          <w:szCs w:val="21"/>
          <w14:textFill>
            <w14:solidFill>
              <w14:schemeClr w14:val="tx1"/>
            </w14:solidFill>
          </w14:textFill>
        </w:rPr>
      </w:pPr>
      <w:r>
        <w:rPr>
          <w:rFonts w:ascii="宋体" w:hAnsi="宋体" w:cs="宋体"/>
          <w:color w:val="000000" w:themeColor="text1"/>
          <w:szCs w:val="21"/>
          <w14:textFill>
            <w14:solidFill>
              <w14:schemeClr w14:val="tx1"/>
            </w14:solidFill>
          </w14:textFill>
        </w:rPr>
        <w:t>5.5</w:t>
      </w:r>
      <w:r>
        <w:rPr>
          <w:rFonts w:hint="eastAsia" w:ascii="宋体" w:hAnsi="宋体" w:cs="宋体"/>
          <w:color w:val="000000" w:themeColor="text1"/>
          <w:szCs w:val="21"/>
          <w14:textFill>
            <w14:solidFill>
              <w14:schemeClr w14:val="tx1"/>
            </w14:solidFill>
          </w14:textFill>
        </w:rPr>
        <w:t>由磋商小组根据综合评分情况，按照评审得分由高到低顺序推荐3名以上成交候选供应商，并编写评</w:t>
      </w:r>
      <w:r>
        <w:rPr>
          <w:rFonts w:hint="eastAsia" w:ascii="宋体" w:hAnsi="宋体"/>
          <w:color w:val="000000" w:themeColor="text1"/>
          <w:kern w:val="0"/>
          <w:szCs w:val="21"/>
          <w14:textFill>
            <w14:solidFill>
              <w14:schemeClr w14:val="tx1"/>
            </w14:solidFill>
          </w14:textFill>
        </w:rPr>
        <w:t>审报告。符合本章第</w:t>
      </w:r>
      <w:r>
        <w:rPr>
          <w:rFonts w:hint="eastAsia" w:ascii="宋体" w:hAnsi="宋体" w:cs="宋体"/>
          <w:color w:val="000000" w:themeColor="text1"/>
          <w:szCs w:val="21"/>
          <w14:textFill>
            <w14:solidFill>
              <w14:schemeClr w14:val="tx1"/>
            </w14:solidFill>
          </w14:textFill>
        </w:rPr>
        <w:t>3.7、</w:t>
      </w:r>
      <w:r>
        <w:rPr>
          <w:rFonts w:ascii="宋体" w:hAnsi="宋体" w:cs="宋体"/>
          <w:color w:val="000000" w:themeColor="text1"/>
          <w:szCs w:val="21"/>
          <w14:textFill>
            <w14:solidFill>
              <w14:schemeClr w14:val="tx1"/>
            </w14:solidFill>
          </w14:textFill>
        </w:rPr>
        <w:t>4.3</w:t>
      </w:r>
      <w:r>
        <w:rPr>
          <w:rFonts w:hint="eastAsia" w:ascii="宋体" w:hAnsi="宋体"/>
          <w:color w:val="000000" w:themeColor="text1"/>
          <w:kern w:val="0"/>
          <w:szCs w:val="21"/>
          <w14:textFill>
            <w14:solidFill>
              <w14:schemeClr w14:val="tx1"/>
            </w14:solidFill>
          </w14:textFill>
        </w:rPr>
        <w:t>条情形的，可以推荐2家成交候选供应商。评审得分相同的，按照最后报价由低到高的顺序推荐。评审得分且最后报价相同的，按照技术指标优劣顺序推荐。</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ascii="宋体" w:hAnsi="宋体"/>
          <w:color w:val="000000" w:themeColor="text1"/>
          <w:kern w:val="0"/>
          <w:szCs w:val="21"/>
          <w14:textFill>
            <w14:solidFill>
              <w14:schemeClr w14:val="tx1"/>
            </w14:solidFill>
          </w14:textFill>
        </w:rPr>
        <w:t>5.6</w:t>
      </w:r>
      <w:r>
        <w:rPr>
          <w:rFonts w:hint="eastAsia" w:ascii="宋体" w:hAnsi="宋体"/>
          <w:color w:val="000000" w:themeColor="text1"/>
          <w:kern w:val="0"/>
          <w:szCs w:val="21"/>
          <w14:textFill>
            <w14:solidFill>
              <w14:schemeClr w14:val="tx1"/>
            </w14:solidFill>
          </w14:textFill>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360" w:lineRule="auto"/>
        <w:jc w:val="center"/>
        <w:rPr>
          <w:rFonts w:ascii="宋体" w:hAnsi="宋体"/>
          <w:b/>
          <w:color w:val="000000" w:themeColor="text1"/>
          <w:sz w:val="32"/>
          <w:szCs w:val="32"/>
          <w14:textFill>
            <w14:solidFill>
              <w14:schemeClr w14:val="tx1"/>
            </w14:solidFill>
          </w14:textFill>
        </w:rPr>
      </w:pPr>
      <w:r>
        <w:rPr>
          <w:rFonts w:ascii="宋体" w:hAnsi="宋体"/>
          <w:b/>
          <w:color w:val="000000" w:themeColor="text1"/>
          <w:sz w:val="32"/>
          <w:szCs w:val="32"/>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二、评审标准</w:t>
      </w:r>
    </w:p>
    <w:p>
      <w:pPr>
        <w:spacing w:line="360" w:lineRule="auto"/>
        <w:ind w:firstLine="420" w:firstLineChars="200"/>
        <w:rPr>
          <w:rFonts w:ascii="宋体" w:hAnsi="宋体"/>
          <w:bCs/>
          <w:color w:val="000000" w:themeColor="text1"/>
          <w:szCs w:val="21"/>
          <w14:textFill>
            <w14:solidFill>
              <w14:schemeClr w14:val="tx1"/>
            </w14:solidFill>
          </w14:textFill>
        </w:rPr>
      </w:pPr>
    </w:p>
    <w:p>
      <w:pPr>
        <w:spacing w:line="360" w:lineRule="auto"/>
        <w:ind w:firstLine="420" w:firstLineChars="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6</w:t>
      </w:r>
      <w:r>
        <w:rPr>
          <w:rFonts w:ascii="宋体" w:hAnsi="宋体"/>
          <w:bCs/>
          <w:color w:val="000000" w:themeColor="text1"/>
          <w:szCs w:val="21"/>
          <w14:textFill>
            <w14:solidFill>
              <w14:schemeClr w14:val="tx1"/>
            </w14:solidFill>
          </w14:textFill>
        </w:rPr>
        <w:t>.</w:t>
      </w:r>
      <w:r>
        <w:rPr>
          <w:rFonts w:hint="eastAsia" w:ascii="宋体" w:hAnsi="宋体"/>
          <w:bCs/>
          <w:color w:val="000000" w:themeColor="text1"/>
          <w:szCs w:val="21"/>
          <w14:textFill>
            <w14:solidFill>
              <w14:schemeClr w14:val="tx1"/>
            </w14:solidFill>
          </w14:textFill>
        </w:rPr>
        <w:t>评审依据：磋商小组将以磋商响应文件为评审依据，对供应商的报价、技术、商务等方面内容按百分制打分。（计分方法按四舍五入取至百分位）</w:t>
      </w:r>
    </w:p>
    <w:p>
      <w:pPr>
        <w:tabs>
          <w:tab w:val="center" w:pos="4153"/>
          <w:tab w:val="right" w:pos="8306"/>
        </w:tabs>
        <w:snapToGrid w:val="0"/>
        <w:jc w:val="left"/>
        <w:rPr>
          <w:color w:val="000000" w:themeColor="text1"/>
          <w:sz w:val="18"/>
          <w:szCs w:val="18"/>
          <w14:textFill>
            <w14:solidFill>
              <w14:schemeClr w14:val="tx1"/>
            </w14:solidFill>
          </w14:textFill>
        </w:rPr>
      </w:pPr>
    </w:p>
    <w:p>
      <w:pPr>
        <w:spacing w:after="120"/>
        <w:rPr>
          <w:color w:val="000000" w:themeColor="text1"/>
          <w14:textFill>
            <w14:solidFill>
              <w14:schemeClr w14:val="tx1"/>
            </w14:solidFill>
          </w14:textFill>
        </w:rPr>
      </w:pPr>
    </w:p>
    <w:tbl>
      <w:tblPr>
        <w:tblStyle w:val="18"/>
        <w:tblW w:w="9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800"/>
        <w:gridCol w:w="1349"/>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793"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sz w:val="24"/>
                <w:szCs w:val="24"/>
              </w:rPr>
            </w:pPr>
            <w:r>
              <w:rPr>
                <w:rFonts w:hint="eastAsia" w:ascii="宋体" w:hAnsi="宋体" w:cs="宋体"/>
                <w:b/>
                <w:sz w:val="24"/>
                <w:szCs w:val="24"/>
              </w:rPr>
              <w:t>评标</w:t>
            </w:r>
          </w:p>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r>
              <w:rPr>
                <w:rFonts w:hint="eastAsia" w:ascii="宋体" w:hAnsi="宋体" w:cs="宋体"/>
                <w:b/>
                <w:sz w:val="24"/>
                <w:szCs w:val="24"/>
              </w:rPr>
              <w:t>项目</w:t>
            </w:r>
          </w:p>
        </w:tc>
        <w:tc>
          <w:tcPr>
            <w:tcW w:w="800"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r>
              <w:rPr>
                <w:rFonts w:hint="eastAsia" w:ascii="宋体" w:hAnsi="宋体" w:cs="宋体"/>
                <w:b/>
                <w:color w:val="000000"/>
                <w:sz w:val="24"/>
                <w:szCs w:val="24"/>
              </w:rPr>
              <w:t>评标</w:t>
            </w:r>
          </w:p>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r>
              <w:rPr>
                <w:rFonts w:hint="eastAsia" w:ascii="宋体" w:hAnsi="宋体" w:cs="宋体"/>
                <w:b/>
                <w:color w:val="000000"/>
                <w:sz w:val="24"/>
                <w:szCs w:val="24"/>
              </w:rPr>
              <w:t>分值</w:t>
            </w:r>
          </w:p>
        </w:tc>
        <w:tc>
          <w:tcPr>
            <w:tcW w:w="7524" w:type="dxa"/>
            <w:gridSpan w:val="2"/>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r>
              <w:rPr>
                <w:rFonts w:hint="eastAsia" w:ascii="宋体" w:hAnsi="宋体" w:cs="宋体"/>
                <w:b/>
                <w:color w:val="000000"/>
                <w:sz w:val="24"/>
                <w:szCs w:val="24"/>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93"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szCs w:val="21"/>
              </w:rPr>
            </w:pPr>
            <w:r>
              <w:rPr>
                <w:rFonts w:hint="eastAsia" w:ascii="宋体" w:hAnsi="宋体" w:cs="宋体"/>
                <w:b/>
                <w:szCs w:val="21"/>
              </w:rPr>
              <w:t>报价</w:t>
            </w:r>
          </w:p>
        </w:tc>
        <w:tc>
          <w:tcPr>
            <w:tcW w:w="800"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szCs w:val="21"/>
              </w:rPr>
            </w:pPr>
            <w:r>
              <w:rPr>
                <w:rFonts w:hint="eastAsia" w:ascii="宋体" w:hAnsi="宋体" w:cs="宋体"/>
                <w:b/>
                <w:szCs w:val="21"/>
              </w:rPr>
              <w:t>20分</w:t>
            </w:r>
          </w:p>
        </w:tc>
        <w:tc>
          <w:tcPr>
            <w:tcW w:w="7524" w:type="dxa"/>
            <w:gridSpan w:val="2"/>
            <w:vAlign w:val="center"/>
          </w:tcPr>
          <w:p>
            <w:pPr>
              <w:keepNext w:val="0"/>
              <w:keepLines w:val="0"/>
              <w:pageBreakBefore w:val="0"/>
              <w:widowControl/>
              <w:kinsoku/>
              <w:wordWrap/>
              <w:overflowPunct/>
              <w:topLinePunct w:val="0"/>
              <w:autoSpaceDE/>
              <w:autoSpaceDN/>
              <w:bidi w:val="0"/>
              <w:spacing w:line="380" w:lineRule="exact"/>
              <w:rPr>
                <w:rFonts w:ascii="宋体" w:hAnsi="宋体" w:cs="宋体"/>
                <w:bCs/>
                <w:szCs w:val="21"/>
              </w:rPr>
            </w:pPr>
            <w:r>
              <w:rPr>
                <w:rFonts w:hint="eastAsia" w:ascii="宋体" w:hAnsi="宋体" w:cs="宋体"/>
                <w:bCs/>
                <w:szCs w:val="21"/>
              </w:rPr>
              <w:t>（</w:t>
            </w:r>
            <w:r>
              <w:rPr>
                <w:rFonts w:hint="eastAsia" w:ascii="宋体" w:hAnsi="宋体" w:cs="宋体"/>
                <w:bCs/>
                <w:szCs w:val="21"/>
                <w:lang w:val="en-US" w:eastAsia="zh-CN"/>
              </w:rPr>
              <w:t>1</w:t>
            </w:r>
            <w:r>
              <w:rPr>
                <w:rFonts w:hint="eastAsia" w:ascii="宋体" w:hAnsi="宋体" w:cs="宋体"/>
                <w:bCs/>
                <w:szCs w:val="21"/>
              </w:rPr>
              <w:t>）以满足采购文件要求且评标价最低的评标价为评标基准价。</w:t>
            </w:r>
          </w:p>
          <w:p>
            <w:pPr>
              <w:keepNext w:val="0"/>
              <w:keepLines w:val="0"/>
              <w:pageBreakBefore w:val="0"/>
              <w:widowControl/>
              <w:kinsoku/>
              <w:wordWrap/>
              <w:overflowPunct/>
              <w:topLinePunct w:val="0"/>
              <w:autoSpaceDE/>
              <w:autoSpaceDN/>
              <w:bidi w:val="0"/>
              <w:spacing w:line="380" w:lineRule="exact"/>
              <w:rPr>
                <w:rFonts w:ascii="宋体" w:hAnsi="宋体" w:cs="宋体"/>
                <w:szCs w:val="21"/>
              </w:rPr>
            </w:pPr>
            <w:r>
              <w:rPr>
                <w:rFonts w:hint="eastAsia" w:ascii="宋体" w:hAnsi="宋体" w:cs="宋体"/>
                <w:bCs/>
                <w:szCs w:val="21"/>
              </w:rPr>
              <w:t>（</w:t>
            </w:r>
            <w:r>
              <w:rPr>
                <w:rFonts w:hint="eastAsia" w:ascii="宋体" w:hAnsi="宋体" w:cs="宋体"/>
                <w:bCs/>
                <w:szCs w:val="21"/>
                <w:lang w:val="en-US" w:eastAsia="zh-CN"/>
              </w:rPr>
              <w:t>2</w:t>
            </w:r>
            <w:r>
              <w:rPr>
                <w:rFonts w:hint="eastAsia" w:ascii="宋体" w:hAnsi="宋体" w:cs="宋体"/>
                <w:bCs/>
                <w:szCs w:val="21"/>
              </w:rPr>
              <w:t>）价格分计算公式：</w:t>
            </w:r>
          </w:p>
          <w:p>
            <w:pPr>
              <w:keepNext w:val="0"/>
              <w:keepLines w:val="0"/>
              <w:pageBreakBefore w:val="0"/>
              <w:widowControl/>
              <w:kinsoku/>
              <w:wordWrap/>
              <w:overflowPunct/>
              <w:topLinePunct w:val="0"/>
              <w:autoSpaceDE/>
              <w:autoSpaceDN/>
              <w:bidi w:val="0"/>
              <w:spacing w:line="380" w:lineRule="exact"/>
              <w:rPr>
                <w:rFonts w:ascii="宋体" w:hAnsi="宋体" w:cs="宋体"/>
                <w:bCs/>
                <w:szCs w:val="21"/>
              </w:rPr>
            </w:pPr>
            <w:r>
              <w:rPr>
                <w:rFonts w:hint="eastAsia" w:ascii="宋体" w:hAnsi="宋体" w:cs="宋体"/>
                <w:bCs/>
                <w:kern w:val="0"/>
                <w:szCs w:val="21"/>
              </w:rPr>
              <w:t>报价得分=(最低报价/投标报价)*最大分值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93" w:type="dxa"/>
            <w:vMerge w:val="restart"/>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szCs w:val="21"/>
              </w:rPr>
            </w:pPr>
            <w:r>
              <w:rPr>
                <w:rFonts w:hint="eastAsia" w:ascii="宋体" w:hAnsi="宋体" w:cs="宋体"/>
                <w:b/>
                <w:szCs w:val="21"/>
              </w:rPr>
              <w:t>实施方案分</w:t>
            </w:r>
          </w:p>
        </w:tc>
        <w:tc>
          <w:tcPr>
            <w:tcW w:w="800" w:type="dxa"/>
            <w:vMerge w:val="restart"/>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szCs w:val="21"/>
              </w:rPr>
            </w:pPr>
            <w:r>
              <w:rPr>
                <w:rFonts w:hint="eastAsia" w:ascii="宋体" w:hAnsi="宋体" w:cs="宋体"/>
                <w:b/>
                <w:szCs w:val="21"/>
              </w:rPr>
              <w:t>40分</w:t>
            </w:r>
          </w:p>
        </w:tc>
        <w:tc>
          <w:tcPr>
            <w:tcW w:w="1349" w:type="dxa"/>
            <w:vAlign w:val="center"/>
          </w:tcPr>
          <w:p>
            <w:pPr>
              <w:keepNext w:val="0"/>
              <w:keepLines w:val="0"/>
              <w:pageBreakBefore w:val="0"/>
              <w:widowControl/>
              <w:kinsoku/>
              <w:wordWrap/>
              <w:overflowPunct/>
              <w:topLinePunct w:val="0"/>
              <w:autoSpaceDE/>
              <w:autoSpaceDN/>
              <w:bidi w:val="0"/>
              <w:spacing w:line="380" w:lineRule="exact"/>
              <w:jc w:val="center"/>
              <w:rPr>
                <w:rFonts w:ascii="宋体" w:hAnsi="宋体" w:cs="宋体"/>
                <w:bCs/>
                <w:szCs w:val="21"/>
              </w:rPr>
            </w:pPr>
            <w:r>
              <w:rPr>
                <w:rFonts w:hint="eastAsia" w:ascii="宋体" w:hAnsi="宋体" w:cs="宋体"/>
                <w:bCs/>
                <w:szCs w:val="21"/>
              </w:rPr>
              <w:t>一档（40分）</w:t>
            </w:r>
          </w:p>
        </w:tc>
        <w:tc>
          <w:tcPr>
            <w:tcW w:w="6175" w:type="dxa"/>
            <w:vAlign w:val="center"/>
          </w:tcPr>
          <w:p>
            <w:pPr>
              <w:keepNext w:val="0"/>
              <w:keepLines w:val="0"/>
              <w:pageBreakBefore w:val="0"/>
              <w:widowControl/>
              <w:kinsoku/>
              <w:wordWrap/>
              <w:overflowPunct/>
              <w:topLinePunct w:val="0"/>
              <w:autoSpaceDE/>
              <w:autoSpaceDN/>
              <w:bidi w:val="0"/>
              <w:spacing w:line="380" w:lineRule="exact"/>
              <w:rPr>
                <w:rFonts w:ascii="宋体" w:hAnsi="宋体" w:cs="宋体"/>
                <w:bCs/>
                <w:szCs w:val="21"/>
              </w:rPr>
            </w:pPr>
            <w:r>
              <w:rPr>
                <w:rFonts w:hint="eastAsia" w:ascii="宋体" w:hAnsi="宋体" w:cs="宋体"/>
                <w:szCs w:val="21"/>
              </w:rPr>
              <w:t>实施方案详细、科学、合理，除符合项目要求外，提高额外保障服务。工作流程、人员配备分工合理、工作措施、工作方法、工作手段等规范、详细，可操作性强；列出项目工作进度计划表，进度控制措施详细、科学；管理制度和管理体系完善，有明确详尽的质量保证及质量控制措施，并落实到具体负责人；数据检查、质量控制以及反馈纠正措施全面、科学、合理，并落实到具体质量监督人员；有安全保障机制且可操作性强；有合理可行的应急预案，充分考虑多种突发情况，具有有效的预防和补救措施，完成工作时间有充足的提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93" w:type="dxa"/>
            <w:vMerge w:val="continue"/>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p>
        </w:tc>
        <w:tc>
          <w:tcPr>
            <w:tcW w:w="800" w:type="dxa"/>
            <w:vMerge w:val="continue"/>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p>
        </w:tc>
        <w:tc>
          <w:tcPr>
            <w:tcW w:w="1349" w:type="dxa"/>
            <w:vAlign w:val="center"/>
          </w:tcPr>
          <w:p>
            <w:pPr>
              <w:keepNext w:val="0"/>
              <w:keepLines w:val="0"/>
              <w:pageBreakBefore w:val="0"/>
              <w:widowControl/>
              <w:kinsoku/>
              <w:wordWrap/>
              <w:overflowPunct/>
              <w:topLinePunct w:val="0"/>
              <w:autoSpaceDE/>
              <w:autoSpaceDN/>
              <w:bidi w:val="0"/>
              <w:adjustRightInd w:val="0"/>
              <w:snapToGrid w:val="0"/>
              <w:spacing w:line="380" w:lineRule="exact"/>
              <w:jc w:val="center"/>
              <w:textAlignment w:val="baseline"/>
              <w:rPr>
                <w:rFonts w:ascii="宋体" w:hAnsi="宋体" w:cs="宋体"/>
                <w:bCs/>
                <w:szCs w:val="21"/>
              </w:rPr>
            </w:pPr>
            <w:r>
              <w:rPr>
                <w:rFonts w:hint="eastAsia" w:ascii="宋体" w:hAnsi="宋体" w:cs="宋体"/>
                <w:bCs/>
                <w:szCs w:val="21"/>
              </w:rPr>
              <w:t>二档（30分）</w:t>
            </w:r>
          </w:p>
        </w:tc>
        <w:tc>
          <w:tcPr>
            <w:tcW w:w="6175" w:type="dxa"/>
            <w:vAlign w:val="center"/>
          </w:tcPr>
          <w:p>
            <w:pPr>
              <w:keepNext w:val="0"/>
              <w:keepLines w:val="0"/>
              <w:pageBreakBefore w:val="0"/>
              <w:widowControl/>
              <w:kinsoku/>
              <w:wordWrap/>
              <w:overflowPunct/>
              <w:topLinePunct w:val="0"/>
              <w:autoSpaceDE/>
              <w:autoSpaceDN/>
              <w:bidi w:val="0"/>
              <w:spacing w:line="380" w:lineRule="exact"/>
              <w:rPr>
                <w:rFonts w:ascii="宋体" w:hAnsi="宋体" w:cs="宋体"/>
                <w:bCs/>
                <w:szCs w:val="21"/>
              </w:rPr>
            </w:pPr>
            <w:r>
              <w:rPr>
                <w:rFonts w:hint="eastAsia" w:ascii="宋体" w:hAnsi="宋体" w:cs="宋体"/>
                <w:szCs w:val="21"/>
              </w:rPr>
              <w:t>实施方案详细、合理，符合项目要求。工作流程、人员配备、工作措施、工作方法、工作手段等规范且可操作；项目进度控制措施详细可行；管理体系完整；质量保证及质量控制措施可行；具体的数据检查、质量控制以及反馈纠正措施详细；安全保障机制完整且具有明确的预防和补救措施应急预案，完成工作时间具有一定的提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3" w:type="dxa"/>
            <w:vMerge w:val="continue"/>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p>
        </w:tc>
        <w:tc>
          <w:tcPr>
            <w:tcW w:w="800" w:type="dxa"/>
            <w:vMerge w:val="continue"/>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p>
        </w:tc>
        <w:tc>
          <w:tcPr>
            <w:tcW w:w="1349" w:type="dxa"/>
            <w:vAlign w:val="center"/>
          </w:tcPr>
          <w:p>
            <w:pPr>
              <w:keepNext w:val="0"/>
              <w:keepLines w:val="0"/>
              <w:pageBreakBefore w:val="0"/>
              <w:widowControl/>
              <w:kinsoku/>
              <w:wordWrap/>
              <w:overflowPunct/>
              <w:topLinePunct w:val="0"/>
              <w:autoSpaceDE/>
              <w:autoSpaceDN/>
              <w:bidi w:val="0"/>
              <w:adjustRightInd w:val="0"/>
              <w:snapToGrid w:val="0"/>
              <w:spacing w:line="380" w:lineRule="exact"/>
              <w:jc w:val="center"/>
              <w:textAlignment w:val="baseline"/>
              <w:rPr>
                <w:rFonts w:ascii="宋体" w:hAnsi="宋体" w:cs="宋体"/>
                <w:bCs/>
                <w:szCs w:val="21"/>
              </w:rPr>
            </w:pPr>
            <w:r>
              <w:rPr>
                <w:rFonts w:hint="eastAsia" w:ascii="宋体" w:hAnsi="宋体" w:cs="宋体"/>
                <w:bCs/>
                <w:szCs w:val="21"/>
              </w:rPr>
              <w:t>三档（20分）</w:t>
            </w:r>
          </w:p>
        </w:tc>
        <w:tc>
          <w:tcPr>
            <w:tcW w:w="6175" w:type="dxa"/>
            <w:vAlign w:val="center"/>
          </w:tcPr>
          <w:p>
            <w:pPr>
              <w:keepNext w:val="0"/>
              <w:keepLines w:val="0"/>
              <w:pageBreakBefore w:val="0"/>
              <w:widowControl/>
              <w:kinsoku/>
              <w:wordWrap/>
              <w:overflowPunct/>
              <w:topLinePunct w:val="0"/>
              <w:autoSpaceDE/>
              <w:autoSpaceDN/>
              <w:bidi w:val="0"/>
              <w:spacing w:line="380" w:lineRule="exact"/>
              <w:jc w:val="left"/>
              <w:rPr>
                <w:rFonts w:ascii="宋体" w:hAnsi="宋体" w:cs="宋体"/>
                <w:bCs/>
                <w:szCs w:val="21"/>
              </w:rPr>
            </w:pPr>
            <w:r>
              <w:rPr>
                <w:rFonts w:hint="eastAsia" w:ascii="宋体" w:hAnsi="宋体" w:cs="宋体"/>
                <w:szCs w:val="21"/>
              </w:rPr>
              <w:t>实施方案符合项目基本要求，工作流程、人员配备、工作措施、工作方法、工作手段等基本规范，且项目进度控制措施、质量控制措施、安全保障机制和应急预案有一定可操作性，满足工作时限要求。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3"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r>
              <w:rPr>
                <w:rFonts w:hint="eastAsia" w:ascii="宋体" w:hAnsi="宋体" w:cs="宋体"/>
                <w:b/>
                <w:szCs w:val="21"/>
              </w:rPr>
              <w:t>服务能力</w:t>
            </w:r>
          </w:p>
        </w:tc>
        <w:tc>
          <w:tcPr>
            <w:tcW w:w="800"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color w:val="000000"/>
                <w:sz w:val="24"/>
                <w:szCs w:val="24"/>
              </w:rPr>
            </w:pPr>
            <w:r>
              <w:rPr>
                <w:rFonts w:hint="eastAsia" w:ascii="宋体" w:hAnsi="宋体" w:cs="宋体"/>
                <w:b/>
                <w:szCs w:val="21"/>
              </w:rPr>
              <w:t>20分</w:t>
            </w:r>
          </w:p>
        </w:tc>
        <w:tc>
          <w:tcPr>
            <w:tcW w:w="7524" w:type="dxa"/>
            <w:gridSpan w:val="2"/>
            <w:vAlign w:val="center"/>
          </w:tcPr>
          <w:p>
            <w:pPr>
              <w:keepNext w:val="0"/>
              <w:keepLines w:val="0"/>
              <w:pageBreakBefore w:val="0"/>
              <w:widowControl/>
              <w:kinsoku/>
              <w:wordWrap/>
              <w:overflowPunct/>
              <w:topLinePunct w:val="0"/>
              <w:autoSpaceDE/>
              <w:autoSpaceDN/>
              <w:bidi w:val="0"/>
              <w:spacing w:line="380" w:lineRule="exact"/>
              <w:rPr>
                <w:rFonts w:ascii="宋体" w:hAnsi="宋体" w:cs="宋体"/>
                <w:strike/>
                <w:color w:val="FF0000"/>
                <w:szCs w:val="21"/>
              </w:rPr>
            </w:pPr>
            <w:r>
              <w:rPr>
                <w:rFonts w:hint="eastAsia" w:ascii="宋体" w:hAnsi="宋体" w:cs="宋体"/>
                <w:szCs w:val="21"/>
              </w:rPr>
              <w:t>1. 现场运维人员职称（满分5分）</w:t>
            </w:r>
          </w:p>
          <w:p>
            <w:pPr>
              <w:keepNext w:val="0"/>
              <w:keepLines w:val="0"/>
              <w:pageBreakBefore w:val="0"/>
              <w:widowControl/>
              <w:kinsoku/>
              <w:wordWrap/>
              <w:overflowPunct/>
              <w:topLinePunct w:val="0"/>
              <w:autoSpaceDE/>
              <w:autoSpaceDN/>
              <w:bidi w:val="0"/>
              <w:spacing w:line="380" w:lineRule="exact"/>
              <w:jc w:val="left"/>
              <w:rPr>
                <w:rFonts w:ascii="宋体" w:hAnsi="宋体" w:cs="宋体"/>
                <w:szCs w:val="21"/>
              </w:rPr>
            </w:pPr>
            <w:r>
              <w:rPr>
                <w:rFonts w:hint="eastAsia" w:ascii="宋体" w:hAnsi="宋体" w:cs="宋体"/>
                <w:szCs w:val="21"/>
              </w:rPr>
              <w:t>（1）1人（含）以上具有与本项目相关专业中级以上职称或5年以上检验检测经验得5分。</w:t>
            </w:r>
          </w:p>
          <w:p>
            <w:pPr>
              <w:keepNext w:val="0"/>
              <w:keepLines w:val="0"/>
              <w:pageBreakBefore w:val="0"/>
              <w:widowControl/>
              <w:kinsoku/>
              <w:wordWrap/>
              <w:overflowPunct/>
              <w:topLinePunct w:val="0"/>
              <w:autoSpaceDE/>
              <w:autoSpaceDN/>
              <w:bidi w:val="0"/>
              <w:spacing w:line="380" w:lineRule="exact"/>
              <w:jc w:val="left"/>
              <w:rPr>
                <w:rFonts w:ascii="宋体" w:hAnsi="宋体" w:cs="宋体"/>
                <w:szCs w:val="21"/>
              </w:rPr>
            </w:pPr>
            <w:r>
              <w:rPr>
                <w:rFonts w:hint="eastAsia" w:ascii="宋体" w:hAnsi="宋体" w:cs="宋体"/>
                <w:szCs w:val="21"/>
              </w:rPr>
              <w:t>（2）1人（含）以上具有与本项目相关专业初级职称或2年以上检验检测经验得3分。</w:t>
            </w:r>
          </w:p>
          <w:p>
            <w:pPr>
              <w:keepNext w:val="0"/>
              <w:keepLines w:val="0"/>
              <w:pageBreakBefore w:val="0"/>
              <w:widowControl/>
              <w:kinsoku/>
              <w:wordWrap/>
              <w:overflowPunct/>
              <w:topLinePunct w:val="0"/>
              <w:autoSpaceDE/>
              <w:autoSpaceDN/>
              <w:bidi w:val="0"/>
              <w:spacing w:line="380" w:lineRule="exact"/>
              <w:rPr>
                <w:rFonts w:ascii="宋体" w:hAnsi="宋体" w:cs="宋体"/>
                <w:szCs w:val="21"/>
              </w:rPr>
            </w:pPr>
            <w:r>
              <w:rPr>
                <w:rFonts w:hint="eastAsia" w:ascii="宋体" w:hAnsi="宋体" w:cs="宋体"/>
                <w:szCs w:val="21"/>
              </w:rPr>
              <w:t>（3）其他的得1分。</w:t>
            </w:r>
          </w:p>
          <w:p>
            <w:pPr>
              <w:keepNext w:val="0"/>
              <w:keepLines w:val="0"/>
              <w:pageBreakBefore w:val="0"/>
              <w:widowControl/>
              <w:kinsoku/>
              <w:wordWrap/>
              <w:overflowPunct/>
              <w:topLinePunct w:val="0"/>
              <w:autoSpaceDE/>
              <w:autoSpaceDN/>
              <w:bidi w:val="0"/>
              <w:spacing w:line="380" w:lineRule="exact"/>
              <w:rPr>
                <w:rFonts w:ascii="宋体" w:hAnsi="宋体" w:cs="宋体"/>
                <w:szCs w:val="20"/>
              </w:rPr>
            </w:pPr>
            <w:r>
              <w:rPr>
                <w:rFonts w:hint="eastAsia" w:ascii="宋体" w:hAnsi="宋体" w:cs="宋体"/>
                <w:szCs w:val="21"/>
              </w:rPr>
              <w:t>2.现场运维人员能力（满分8分）</w:t>
            </w:r>
          </w:p>
          <w:p>
            <w:pPr>
              <w:keepNext w:val="0"/>
              <w:keepLines w:val="0"/>
              <w:pageBreakBefore w:val="0"/>
              <w:widowControl/>
              <w:kinsoku/>
              <w:wordWrap/>
              <w:overflowPunct/>
              <w:topLinePunct w:val="0"/>
              <w:autoSpaceDE/>
              <w:autoSpaceDN/>
              <w:bidi w:val="0"/>
              <w:spacing w:line="380" w:lineRule="exact"/>
              <w:rPr>
                <w:rFonts w:ascii="宋体" w:hAnsi="宋体" w:cs="宋体"/>
                <w:szCs w:val="21"/>
              </w:rPr>
            </w:pPr>
            <w:r>
              <w:rPr>
                <w:rFonts w:hint="eastAsia" w:ascii="宋体" w:hAnsi="宋体" w:cs="宋体"/>
                <w:szCs w:val="21"/>
              </w:rPr>
              <w:t>（1）参加国家级</w:t>
            </w:r>
            <w:r>
              <w:rPr>
                <w:rFonts w:hint="eastAsia"/>
                <w:lang w:eastAsia="zh-CN"/>
              </w:rPr>
              <w:t>与本项目采购内容相关的业务培训或能力验证</w:t>
            </w:r>
            <w:r>
              <w:rPr>
                <w:rFonts w:hint="eastAsia" w:ascii="宋体" w:hAnsi="宋体" w:cs="宋体"/>
                <w:szCs w:val="21"/>
              </w:rPr>
              <w:t>并取得证书的每项得3分。</w:t>
            </w:r>
          </w:p>
          <w:p>
            <w:pPr>
              <w:keepNext w:val="0"/>
              <w:keepLines w:val="0"/>
              <w:pageBreakBefore w:val="0"/>
              <w:widowControl/>
              <w:kinsoku/>
              <w:wordWrap/>
              <w:overflowPunct/>
              <w:topLinePunct w:val="0"/>
              <w:autoSpaceDE/>
              <w:autoSpaceDN/>
              <w:bidi w:val="0"/>
              <w:spacing w:line="380" w:lineRule="exact"/>
              <w:rPr>
                <w:rFonts w:ascii="宋体" w:hAnsi="宋体" w:cs="宋体"/>
                <w:szCs w:val="21"/>
              </w:rPr>
            </w:pPr>
            <w:r>
              <w:rPr>
                <w:rFonts w:hint="eastAsia" w:ascii="宋体" w:hAnsi="宋体" w:cs="宋体"/>
                <w:szCs w:val="21"/>
              </w:rPr>
              <w:t>（2）参加自治区级</w:t>
            </w:r>
            <w:r>
              <w:rPr>
                <w:rFonts w:hint="eastAsia" w:ascii="宋体" w:hAnsi="宋体" w:cs="宋体"/>
                <w:szCs w:val="21"/>
                <w:lang w:val="en-US" w:eastAsia="zh-CN"/>
              </w:rPr>
              <w:t>或省级</w:t>
            </w:r>
            <w:r>
              <w:rPr>
                <w:rFonts w:hint="eastAsia"/>
                <w:lang w:eastAsia="zh-CN"/>
              </w:rPr>
              <w:t>与本项目采购内容相关的业务培训或能力验证</w:t>
            </w:r>
            <w:r>
              <w:rPr>
                <w:rFonts w:hint="eastAsia" w:ascii="宋体" w:hAnsi="宋体" w:cs="宋体"/>
                <w:szCs w:val="21"/>
              </w:rPr>
              <w:t>并取得证书的每项得2分。</w:t>
            </w:r>
          </w:p>
          <w:p>
            <w:pPr>
              <w:keepNext w:val="0"/>
              <w:keepLines w:val="0"/>
              <w:pageBreakBefore w:val="0"/>
              <w:widowControl/>
              <w:kinsoku/>
              <w:wordWrap/>
              <w:overflowPunct/>
              <w:topLinePunct w:val="0"/>
              <w:autoSpaceDE/>
              <w:autoSpaceDN/>
              <w:bidi w:val="0"/>
              <w:spacing w:line="380" w:lineRule="exact"/>
              <w:rPr>
                <w:rFonts w:ascii="宋体" w:hAnsi="宋体" w:cs="宋体"/>
                <w:szCs w:val="21"/>
              </w:rPr>
            </w:pPr>
            <w:r>
              <w:rPr>
                <w:rFonts w:hint="eastAsia" w:ascii="宋体" w:hAnsi="宋体" w:cs="宋体"/>
                <w:szCs w:val="21"/>
              </w:rPr>
              <w:t>（3）参加市级</w:t>
            </w:r>
            <w:r>
              <w:rPr>
                <w:rFonts w:hint="eastAsia"/>
                <w:lang w:eastAsia="zh-CN"/>
              </w:rPr>
              <w:t>与本项目采购内容相关的业务培训或能力验证</w:t>
            </w:r>
            <w:r>
              <w:rPr>
                <w:rFonts w:hint="eastAsia" w:ascii="宋体" w:hAnsi="宋体" w:cs="宋体"/>
                <w:szCs w:val="21"/>
              </w:rPr>
              <w:t>并取得证书的每项得1分。</w:t>
            </w:r>
          </w:p>
          <w:p>
            <w:pPr>
              <w:keepNext w:val="0"/>
              <w:keepLines w:val="0"/>
              <w:pageBreakBefore w:val="0"/>
              <w:widowControl/>
              <w:kinsoku/>
              <w:wordWrap/>
              <w:overflowPunct/>
              <w:topLinePunct w:val="0"/>
              <w:autoSpaceDE/>
              <w:autoSpaceDN/>
              <w:bidi w:val="0"/>
              <w:spacing w:line="380" w:lineRule="exact"/>
              <w:rPr>
                <w:rFonts w:ascii="宋体" w:hAnsi="宋体" w:cs="宋体"/>
                <w:szCs w:val="21"/>
              </w:rPr>
            </w:pPr>
            <w:r>
              <w:rPr>
                <w:rFonts w:hint="eastAsia" w:ascii="宋体" w:hAnsi="宋体" w:cs="宋体"/>
                <w:szCs w:val="21"/>
              </w:rPr>
              <w:t>3.项目投入运维人员数量（满分5分）</w:t>
            </w:r>
          </w:p>
          <w:p>
            <w:pPr>
              <w:keepNext w:val="0"/>
              <w:keepLines w:val="0"/>
              <w:pageBreakBefore w:val="0"/>
              <w:widowControl/>
              <w:kinsoku/>
              <w:wordWrap/>
              <w:overflowPunct/>
              <w:topLinePunct w:val="0"/>
              <w:autoSpaceDE/>
              <w:autoSpaceDN/>
              <w:bidi w:val="0"/>
              <w:spacing w:line="380" w:lineRule="exact"/>
              <w:rPr>
                <w:rFonts w:ascii="宋体" w:hAnsi="宋体" w:cs="宋体"/>
                <w:szCs w:val="21"/>
              </w:rPr>
            </w:pPr>
            <w:r>
              <w:rPr>
                <w:rFonts w:hint="eastAsia" w:ascii="宋体" w:hAnsi="宋体" w:cs="宋体"/>
                <w:szCs w:val="21"/>
              </w:rPr>
              <w:t>（1）项目投入运维人员3人以上得5分。</w:t>
            </w:r>
          </w:p>
          <w:p>
            <w:pPr>
              <w:keepNext w:val="0"/>
              <w:keepLines w:val="0"/>
              <w:pageBreakBefore w:val="0"/>
              <w:widowControl/>
              <w:kinsoku/>
              <w:wordWrap/>
              <w:overflowPunct/>
              <w:topLinePunct w:val="0"/>
              <w:autoSpaceDE/>
              <w:autoSpaceDN/>
              <w:bidi w:val="0"/>
              <w:spacing w:line="380" w:lineRule="exact"/>
              <w:rPr>
                <w:rFonts w:ascii="宋体" w:hAnsi="宋体" w:cs="宋体"/>
                <w:szCs w:val="21"/>
              </w:rPr>
            </w:pPr>
            <w:r>
              <w:rPr>
                <w:rFonts w:hint="eastAsia" w:ascii="宋体" w:hAnsi="宋体" w:cs="宋体"/>
                <w:szCs w:val="21"/>
              </w:rPr>
              <w:t>（2）项目投入运维人员3人得3分。</w:t>
            </w:r>
          </w:p>
          <w:p>
            <w:pPr>
              <w:keepNext w:val="0"/>
              <w:keepLines w:val="0"/>
              <w:pageBreakBefore w:val="0"/>
              <w:widowControl/>
              <w:kinsoku/>
              <w:wordWrap/>
              <w:overflowPunct/>
              <w:topLinePunct w:val="0"/>
              <w:autoSpaceDE/>
              <w:autoSpaceDN/>
              <w:bidi w:val="0"/>
              <w:spacing w:line="380" w:lineRule="exact"/>
              <w:jc w:val="left"/>
              <w:rPr>
                <w:rFonts w:ascii="宋体" w:hAnsi="宋体" w:cs="宋体"/>
                <w:szCs w:val="21"/>
              </w:rPr>
            </w:pPr>
            <w:r>
              <w:rPr>
                <w:rFonts w:hint="eastAsia" w:ascii="宋体" w:hAnsi="宋体" w:cs="宋体"/>
                <w:szCs w:val="21"/>
              </w:rPr>
              <w:t>（3）项目投入运维人员2人得2分。</w:t>
            </w:r>
          </w:p>
          <w:p>
            <w:pPr>
              <w:keepNext w:val="0"/>
              <w:keepLines w:val="0"/>
              <w:pageBreakBefore w:val="0"/>
              <w:widowControl/>
              <w:kinsoku/>
              <w:wordWrap/>
              <w:overflowPunct/>
              <w:topLinePunct w:val="0"/>
              <w:autoSpaceDE/>
              <w:autoSpaceDN/>
              <w:bidi w:val="0"/>
              <w:spacing w:line="380" w:lineRule="exact"/>
              <w:jc w:val="left"/>
              <w:rPr>
                <w:rFonts w:ascii="宋体" w:hAnsi="宋体" w:cs="宋体"/>
                <w:szCs w:val="21"/>
              </w:rPr>
            </w:pPr>
            <w:r>
              <w:rPr>
                <w:rFonts w:hint="eastAsia" w:ascii="宋体" w:hAnsi="宋体" w:cs="宋体"/>
                <w:szCs w:val="21"/>
              </w:rPr>
              <w:t>4.实验室能力（满分2分）</w:t>
            </w:r>
          </w:p>
          <w:p>
            <w:pPr>
              <w:keepNext w:val="0"/>
              <w:keepLines w:val="0"/>
              <w:pageBreakBefore w:val="0"/>
              <w:widowControl w:val="0"/>
              <w:tabs>
                <w:tab w:val="center" w:pos="4153"/>
                <w:tab w:val="right" w:pos="8306"/>
              </w:tabs>
              <w:kinsoku/>
              <w:wordWrap/>
              <w:overflowPunct/>
              <w:topLinePunct w:val="0"/>
              <w:autoSpaceDE/>
              <w:autoSpaceDN/>
              <w:bidi w:val="0"/>
              <w:snapToGrid w:val="0"/>
              <w:spacing w:line="380" w:lineRule="exact"/>
              <w:ind w:firstLine="210" w:firstLineChars="100"/>
              <w:jc w:val="left"/>
              <w:rPr>
                <w:rFonts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有制备无二氧化碳水装备的得2分（提供相关证明）。</w:t>
            </w:r>
          </w:p>
          <w:p>
            <w:pPr>
              <w:keepNext w:val="0"/>
              <w:keepLines w:val="0"/>
              <w:pageBreakBefore w:val="0"/>
              <w:widowControl/>
              <w:kinsoku/>
              <w:wordWrap/>
              <w:overflowPunct/>
              <w:topLinePunct w:val="0"/>
              <w:autoSpaceDE/>
              <w:autoSpaceDN/>
              <w:bidi w:val="0"/>
              <w:spacing w:line="380" w:lineRule="exact"/>
              <w:jc w:val="left"/>
              <w:rPr>
                <w:rFonts w:ascii="宋体" w:hAnsi="宋体" w:cs="宋体"/>
                <w:szCs w:val="21"/>
              </w:rPr>
            </w:pPr>
            <w:r>
              <w:rPr>
                <w:rFonts w:hint="eastAsia" w:ascii="宋体" w:hAnsi="宋体" w:cs="宋体"/>
                <w:szCs w:val="21"/>
              </w:rPr>
              <w:t>5.投标人提供以上人员聘任合同，职称证书、培训证书等证明资料（所有资料均要求提供复印件并加盖公章，原件备查）。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3"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szCs w:val="21"/>
              </w:rPr>
            </w:pPr>
            <w:r>
              <w:rPr>
                <w:rFonts w:hint="eastAsia" w:ascii="宋体" w:hAnsi="宋体" w:cs="宋体"/>
                <w:b/>
                <w:szCs w:val="21"/>
              </w:rPr>
              <w:t>车辆投入</w:t>
            </w:r>
          </w:p>
        </w:tc>
        <w:tc>
          <w:tcPr>
            <w:tcW w:w="800"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szCs w:val="21"/>
              </w:rPr>
            </w:pPr>
            <w:r>
              <w:rPr>
                <w:rFonts w:hint="eastAsia" w:ascii="宋体" w:hAnsi="宋体" w:cs="宋体"/>
                <w:b/>
                <w:szCs w:val="21"/>
              </w:rPr>
              <w:t>5分</w:t>
            </w:r>
          </w:p>
        </w:tc>
        <w:tc>
          <w:tcPr>
            <w:tcW w:w="7524" w:type="dxa"/>
            <w:gridSpan w:val="2"/>
            <w:vAlign w:val="center"/>
          </w:tcPr>
          <w:p>
            <w:pPr>
              <w:keepNext w:val="0"/>
              <w:keepLines w:val="0"/>
              <w:pageBreakBefore w:val="0"/>
              <w:widowControl/>
              <w:kinsoku/>
              <w:wordWrap/>
              <w:overflowPunct/>
              <w:topLinePunct w:val="0"/>
              <w:autoSpaceDE/>
              <w:autoSpaceDN/>
              <w:bidi w:val="0"/>
              <w:spacing w:line="380" w:lineRule="exact"/>
              <w:ind w:firstLine="420" w:firstLineChars="200"/>
              <w:rPr>
                <w:rFonts w:ascii="宋体" w:hAnsi="宋体" w:cs="宋体"/>
                <w:szCs w:val="21"/>
              </w:rPr>
            </w:pPr>
            <w:r>
              <w:rPr>
                <w:rFonts w:hint="eastAsia" w:ascii="宋体" w:hAnsi="宋体" w:cs="宋体"/>
                <w:szCs w:val="21"/>
              </w:rPr>
              <w:t>项目投入车辆满足最低数量1台得3分，每增加1台加1分，满分5分。</w:t>
            </w:r>
          </w:p>
          <w:p>
            <w:pPr>
              <w:keepNext w:val="0"/>
              <w:keepLines w:val="0"/>
              <w:pageBreakBefore w:val="0"/>
              <w:widowControl/>
              <w:kinsoku/>
              <w:wordWrap/>
              <w:overflowPunct/>
              <w:topLinePunct w:val="0"/>
              <w:autoSpaceDE/>
              <w:autoSpaceDN/>
              <w:bidi w:val="0"/>
              <w:spacing w:line="380" w:lineRule="exact"/>
              <w:rPr>
                <w:rFonts w:ascii="宋体" w:hAnsi="宋体" w:cs="宋体"/>
                <w:szCs w:val="21"/>
              </w:rPr>
            </w:pPr>
            <w:r>
              <w:rPr>
                <w:rFonts w:hint="eastAsia" w:ascii="宋体" w:hAnsi="宋体" w:cs="宋体"/>
                <w:szCs w:val="21"/>
              </w:rPr>
              <w:t>投标人自有车辆要求提供车辆清单、有效的行驶证或购车合同，租赁车辆需提供租赁合同或租赁合作意向书（租赁合同或租赁合作意向书应明确车辆数量）。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3"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szCs w:val="21"/>
              </w:rPr>
            </w:pPr>
            <w:r>
              <w:rPr>
                <w:rFonts w:hint="eastAsia" w:ascii="宋体" w:hAnsi="宋体" w:cs="宋体"/>
                <w:b/>
                <w:szCs w:val="21"/>
              </w:rPr>
              <w:t>商务业绩分</w:t>
            </w:r>
          </w:p>
        </w:tc>
        <w:tc>
          <w:tcPr>
            <w:tcW w:w="800" w:type="dxa"/>
            <w:vAlign w:val="center"/>
          </w:tcPr>
          <w:p>
            <w:pPr>
              <w:keepNext w:val="0"/>
              <w:keepLines w:val="0"/>
              <w:pageBreakBefore w:val="0"/>
              <w:widowControl/>
              <w:kinsoku/>
              <w:wordWrap/>
              <w:overflowPunct/>
              <w:topLinePunct w:val="0"/>
              <w:autoSpaceDE/>
              <w:autoSpaceDN/>
              <w:bidi w:val="0"/>
              <w:adjustRightInd w:val="0"/>
              <w:spacing w:line="380" w:lineRule="exact"/>
              <w:jc w:val="center"/>
              <w:textAlignment w:val="baseline"/>
              <w:rPr>
                <w:rFonts w:ascii="宋体" w:hAnsi="宋体" w:cs="宋体"/>
                <w:b/>
                <w:szCs w:val="21"/>
              </w:rPr>
            </w:pPr>
            <w:r>
              <w:rPr>
                <w:rFonts w:hint="eastAsia" w:ascii="宋体" w:hAnsi="宋体" w:cs="宋体"/>
                <w:b/>
                <w:szCs w:val="21"/>
              </w:rPr>
              <w:t>15分</w:t>
            </w:r>
          </w:p>
        </w:tc>
        <w:tc>
          <w:tcPr>
            <w:tcW w:w="7524" w:type="dxa"/>
            <w:gridSpan w:val="2"/>
            <w:vAlign w:val="center"/>
          </w:tcPr>
          <w:p>
            <w:pPr>
              <w:keepNext w:val="0"/>
              <w:keepLines w:val="0"/>
              <w:pageBreakBefore w:val="0"/>
              <w:widowControl/>
              <w:kinsoku/>
              <w:wordWrap/>
              <w:overflowPunct/>
              <w:topLinePunct w:val="0"/>
              <w:autoSpaceDE/>
              <w:autoSpaceDN/>
              <w:bidi w:val="0"/>
              <w:spacing w:line="380" w:lineRule="exact"/>
              <w:ind w:firstLine="420" w:firstLineChars="200"/>
              <w:rPr>
                <w:rFonts w:ascii="宋体" w:hAnsi="宋体" w:cs="宋体"/>
                <w:szCs w:val="21"/>
              </w:rPr>
            </w:pPr>
            <w:r>
              <w:rPr>
                <w:rFonts w:hint="eastAsia" w:ascii="宋体" w:hAnsi="宋体" w:cs="宋体"/>
                <w:szCs w:val="21"/>
              </w:rPr>
              <w:t>投标人近3年来（从2021年1月1日起算），具有与本次采购内容相类似的仪器设备运维服务项目业绩或通过体系认证的，每项得3分，该项满分15分。投标人须提供以下证明材料，否则不计分。证明材料包括但不限于以下文件（提供复印件，原件备查）：①合同，必须包含金额、签订合同双方的名称及印章、合同标的等；②验收材料及相关采购方意见等；③体系认证相关证明材料。</w:t>
            </w:r>
          </w:p>
        </w:tc>
      </w:tr>
    </w:tbl>
    <w:p>
      <w:pPr>
        <w:pStyle w:val="12"/>
        <w:spacing w:line="400" w:lineRule="exact"/>
        <w:ind w:firstLine="476" w:firstLineChars="238"/>
        <w:rPr>
          <w:rFonts w:hAnsi="宋体" w:cs="宋体"/>
          <w:color w:val="000000" w:themeColor="text1"/>
          <w14:textFill>
            <w14:solidFill>
              <w14:schemeClr w14:val="tx1"/>
            </w14:solidFill>
          </w14:textFill>
        </w:rPr>
      </w:pPr>
      <w:r>
        <w:rPr>
          <w:rFonts w:hAnsi="宋体"/>
          <w:bCs/>
          <w:color w:val="000000" w:themeColor="text1"/>
          <w14:textFill>
            <w14:solidFill>
              <w14:schemeClr w14:val="tx1"/>
            </w14:solidFill>
          </w14:textFill>
        </w:rPr>
        <w:t>7.</w:t>
      </w:r>
      <w:r>
        <w:rPr>
          <w:rFonts w:hint="eastAsia" w:hAnsi="宋体"/>
          <w:bCs/>
          <w:color w:val="000000" w:themeColor="text1"/>
          <w14:textFill>
            <w14:solidFill>
              <w14:schemeClr w14:val="tx1"/>
            </w14:solidFill>
          </w14:textFill>
        </w:rPr>
        <w:t>由磋商小组根据综合评分情况，按照评审得分由高到低顺序推荐3名及以上成交候选供应商，并编写评审报告。符合本章第</w:t>
      </w:r>
      <w:r>
        <w:rPr>
          <w:rFonts w:hint="eastAsia" w:hAnsi="宋体" w:cs="宋体"/>
          <w:color w:val="000000" w:themeColor="text1"/>
          <w14:textFill>
            <w14:solidFill>
              <w14:schemeClr w14:val="tx1"/>
            </w14:solidFill>
          </w14:textFill>
        </w:rPr>
        <w:t>3.7、</w:t>
      </w:r>
      <w:r>
        <w:rPr>
          <w:rFonts w:hAnsi="宋体" w:cs="宋体"/>
          <w:color w:val="000000" w:themeColor="text1"/>
          <w14:textFill>
            <w14:solidFill>
              <w14:schemeClr w14:val="tx1"/>
            </w14:solidFill>
          </w14:textFill>
        </w:rPr>
        <w:t>4.3</w:t>
      </w:r>
      <w:r>
        <w:rPr>
          <w:rFonts w:hint="eastAsia" w:hAnsi="宋体"/>
          <w:bCs/>
          <w:color w:val="000000" w:themeColor="text1"/>
          <w14:textFill>
            <w14:solidFill>
              <w14:schemeClr w14:val="tx1"/>
            </w14:solidFill>
          </w14:textFill>
        </w:rPr>
        <w:t>条情形的，可以推荐2家成交候选供应商。评审得分相同的，按照最后报价（不计算价格折扣）由低到高的顺序推荐。评审得分且最后报价（不计算价格折扣）相同的，按照技术指标优劣顺序推荐（</w:t>
      </w:r>
      <w:r>
        <w:rPr>
          <w:rFonts w:hint="eastAsia" w:hAnsi="宋体"/>
          <w:color w:val="000000" w:themeColor="text1"/>
          <w14:textFill>
            <w14:solidFill>
              <w14:schemeClr w14:val="tx1"/>
            </w14:solidFill>
          </w14:textFill>
        </w:rPr>
        <w:t>按综合评分中服务水平、后续服务、履约能力得分高低依次确定</w:t>
      </w:r>
      <w:r>
        <w:rPr>
          <w:rFonts w:hint="eastAsia" w:hAnsi="宋体"/>
          <w:bCs/>
          <w:color w:val="000000" w:themeColor="text1"/>
          <w14:textFill>
            <w14:solidFill>
              <w14:schemeClr w14:val="tx1"/>
            </w14:solidFill>
          </w14:textFill>
        </w:rPr>
        <w:t>）。</w:t>
      </w:r>
      <w:r>
        <w:rPr>
          <w:rFonts w:hint="eastAsia" w:hAnsi="宋体" w:cs="宋体"/>
          <w:color w:val="000000" w:themeColor="text1"/>
          <w14:textFill>
            <w14:solidFill>
              <w14:schemeClr w14:val="tx1"/>
            </w14:solidFill>
          </w14:textFill>
        </w:rPr>
        <w:t>采购人应当确定磋商小组推荐排名第一的成交候选供应商为成交供应商。排名第一的成交候选供应商放弃成交、因不可抗力提出不能成交，采购人可以确定排名第二的成交候选供应商为成交供应商。排名第二的成交候选供应商因前款规定的同样原因不能签订合同的，采购人可以确定排名第三的成交候选供应商为成交供应商。</w:t>
      </w:r>
    </w:p>
    <w:p>
      <w:pPr>
        <w:spacing w:line="360" w:lineRule="auto"/>
        <w:ind w:firstLine="480" w:firstLineChars="200"/>
        <w:rPr>
          <w:rFonts w:ascii="宋体" w:hAnsi="宋体" w:cs="宋体"/>
          <w:snapToGrid w:val="0"/>
          <w:color w:val="000000" w:themeColor="text1"/>
          <w:kern w:val="0"/>
          <w:sz w:val="24"/>
          <w14:textFill>
            <w14:solidFill>
              <w14:schemeClr w14:val="tx1"/>
            </w14:solidFill>
          </w14:textFill>
        </w:rPr>
      </w:pPr>
    </w:p>
    <w:p>
      <w:pPr>
        <w:spacing w:line="400" w:lineRule="exact"/>
        <w:ind w:firstLine="420" w:firstLineChars="200"/>
        <w:rPr>
          <w:rFonts w:ascii="宋体" w:hAnsi="宋体" w:cs="宋体"/>
          <w:color w:val="000000" w:themeColor="text1"/>
          <w14:textFill>
            <w14:solidFill>
              <w14:schemeClr w14:val="tx1"/>
            </w14:solidFill>
          </w14:textFill>
        </w:rPr>
      </w:pPr>
    </w:p>
    <w:p>
      <w:pPr>
        <w:pStyle w:val="3"/>
        <w:jc w:val="center"/>
        <w:rPr>
          <w:color w:val="000000" w:themeColor="text1"/>
          <w14:textFill>
            <w14:solidFill>
              <w14:schemeClr w14:val="tx1"/>
            </w14:solidFill>
          </w14:textFill>
        </w:rPr>
      </w:pPr>
      <w:bookmarkStart w:id="43" w:name="_Toc74323460"/>
      <w:r>
        <w:rPr>
          <w:rFonts w:hint="eastAsia"/>
          <w:color w:val="000000" w:themeColor="text1"/>
          <w14:textFill>
            <w14:solidFill>
              <w14:schemeClr w14:val="tx1"/>
            </w14:solidFill>
          </w14:textFill>
        </w:rPr>
        <w:t>第五章 响应文件格式</w:t>
      </w:r>
      <w:bookmarkEnd w:id="43"/>
      <w:bookmarkStart w:id="44" w:name="_Toc31728084"/>
      <w:bookmarkStart w:id="45" w:name="_Toc71365925"/>
      <w:bookmarkStart w:id="46" w:name="_Toc35611438"/>
      <w:bookmarkStart w:id="47" w:name="_Toc44229899"/>
      <w:bookmarkStart w:id="48" w:name="_Toc31723070"/>
      <w:bookmarkStart w:id="49" w:name="_Toc35611516"/>
    </w:p>
    <w:p>
      <w:pP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一、资格证明文件格式</w:t>
      </w:r>
      <w:bookmarkEnd w:id="44"/>
      <w:bookmarkEnd w:id="45"/>
      <w:bookmarkEnd w:id="46"/>
      <w:bookmarkEnd w:id="47"/>
      <w:bookmarkEnd w:id="48"/>
      <w:bookmarkEnd w:id="49"/>
    </w:p>
    <w:p>
      <w:pPr>
        <w:snapToGrid w:val="0"/>
        <w:spacing w:before="156" w:beforeLines="50" w:after="50" w:line="360" w:lineRule="auto"/>
        <w:jc w:val="left"/>
        <w:rPr>
          <w:rFonts w:hint="eastAsia" w:ascii="宋体" w:hAnsi="宋体"/>
          <w:b/>
          <w:color w:val="000000" w:themeColor="text1"/>
          <w:sz w:val="24"/>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1.资格证明文件封面格式：</w:t>
      </w:r>
      <w:r>
        <w:rPr>
          <w:rFonts w:hint="eastAsia" w:ascii="宋体" w:hAnsi="宋体"/>
          <w:b/>
          <w:color w:val="000000" w:themeColor="text1"/>
          <w:sz w:val="24"/>
          <w14:textFill>
            <w14:solidFill>
              <w14:schemeClr w14:val="tx1"/>
            </w14:solidFill>
          </w14:textFill>
        </w:rPr>
        <w:t xml:space="preserve"> </w:t>
      </w:r>
    </w:p>
    <w:p>
      <w:pPr>
        <w:snapToGrid w:val="0"/>
        <w:spacing w:before="156" w:beforeLines="50" w:after="50"/>
        <w:rPr>
          <w:rFonts w:ascii="宋体" w:hAnsi="宋体"/>
          <w:bCs/>
          <w:color w:val="000000" w:themeColor="text1"/>
          <w:sz w:val="32"/>
          <w:szCs w:val="20"/>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snapToGrid w:val="0"/>
        <w:spacing w:before="156" w:beforeLines="50" w:after="50"/>
        <w:rPr>
          <w:rFonts w:ascii="宋体" w:hAnsi="宋体"/>
          <w:color w:val="000000" w:themeColor="text1"/>
          <w:sz w:val="24"/>
          <w:szCs w:val="20"/>
          <w14:textFill>
            <w14:solidFill>
              <w14:schemeClr w14:val="tx1"/>
            </w14:solidFill>
          </w14:textFill>
        </w:rPr>
      </w:pPr>
    </w:p>
    <w:p>
      <w:pPr>
        <w:snapToGrid w:val="0"/>
        <w:spacing w:before="156" w:beforeLines="50" w:after="50"/>
        <w:jc w:val="center"/>
        <w:rPr>
          <w:rFonts w:ascii="方正小标宋简体" w:hAnsi="方正小标宋简体" w:eastAsia="方正小标宋简体" w:cs="方正小标宋简体"/>
          <w:bCs/>
          <w:color w:val="000000" w:themeColor="text1"/>
          <w:sz w:val="84"/>
          <w:szCs w:val="84"/>
          <w14:textFill>
            <w14:solidFill>
              <w14:schemeClr w14:val="tx1"/>
            </w14:solidFill>
          </w14:textFill>
        </w:rPr>
      </w:pPr>
      <w:r>
        <w:rPr>
          <w:rFonts w:hint="eastAsia" w:ascii="方正小标宋简体" w:hAnsi="方正小标宋简体" w:eastAsia="方正小标宋简体" w:cs="方正小标宋简体"/>
          <w:bCs/>
          <w:color w:val="000000" w:themeColor="text1"/>
          <w:sz w:val="84"/>
          <w:szCs w:val="84"/>
          <w14:textFill>
            <w14:solidFill>
              <w14:schemeClr w14:val="tx1"/>
            </w14:solidFill>
          </w14:textFill>
        </w:rPr>
        <w:t>响  应  文  件</w:t>
      </w:r>
    </w:p>
    <w:p>
      <w:pPr>
        <w:snapToGrid w:val="0"/>
        <w:spacing w:before="156" w:beforeLines="50" w:after="50"/>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p>
    <w:p>
      <w:pPr>
        <w:snapToGrid w:val="0"/>
        <w:spacing w:before="156" w:beforeLines="50" w:after="50"/>
        <w:jc w:val="center"/>
        <w:rPr>
          <w:rFonts w:ascii="方正小标宋简体" w:hAnsi="方正小标宋简体" w:eastAsia="方正小标宋简体" w:cs="方正小标宋简体"/>
          <w:bCs/>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资  格  证  明  文  件</w:t>
      </w:r>
    </w:p>
    <w:p>
      <w:pPr>
        <w:snapToGrid w:val="0"/>
        <w:spacing w:before="156" w:beforeLines="50" w:after="50"/>
        <w:rPr>
          <w:rFonts w:ascii="宋体" w:hAnsi="宋体"/>
          <w:bCs/>
          <w:color w:val="000000" w:themeColor="text1"/>
          <w:sz w:val="24"/>
          <w:szCs w:val="2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before="156" w:beforeLines="50" w:after="50" w:line="500" w:lineRule="exact"/>
        <w:ind w:firstLine="640" w:firstLineChars="200"/>
        <w:textAlignment w:val="auto"/>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项目名称：</w:t>
      </w:r>
    </w:p>
    <w:p>
      <w:pPr>
        <w:keepNext w:val="0"/>
        <w:keepLines w:val="0"/>
        <w:pageBreakBefore w:val="0"/>
        <w:widowControl w:val="0"/>
        <w:kinsoku/>
        <w:wordWrap/>
        <w:overflowPunct/>
        <w:topLinePunct w:val="0"/>
        <w:autoSpaceDE/>
        <w:autoSpaceDN/>
        <w:bidi w:val="0"/>
        <w:adjustRightInd/>
        <w:snapToGrid w:val="0"/>
        <w:spacing w:before="156" w:beforeLines="50" w:after="50" w:line="500" w:lineRule="exact"/>
        <w:ind w:firstLine="720" w:firstLineChars="225"/>
        <w:textAlignment w:val="auto"/>
        <w:rPr>
          <w:rFonts w:ascii="宋体" w:hAnsi="宋体" w:cs="仿宋_GB2312"/>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before="156" w:beforeLines="50" w:after="50" w:line="500" w:lineRule="exact"/>
        <w:ind w:firstLine="720" w:firstLineChars="225"/>
        <w:textAlignment w:val="auto"/>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项目编号：</w:t>
      </w:r>
    </w:p>
    <w:p>
      <w:pPr>
        <w:keepNext w:val="0"/>
        <w:keepLines w:val="0"/>
        <w:pageBreakBefore w:val="0"/>
        <w:widowControl w:val="0"/>
        <w:kinsoku/>
        <w:wordWrap/>
        <w:overflowPunct/>
        <w:topLinePunct w:val="0"/>
        <w:autoSpaceDE/>
        <w:autoSpaceDN/>
        <w:bidi w:val="0"/>
        <w:adjustRightInd/>
        <w:snapToGrid w:val="0"/>
        <w:spacing w:before="156" w:beforeLines="50" w:after="50" w:line="500" w:lineRule="exact"/>
        <w:ind w:firstLine="720" w:firstLineChars="225"/>
        <w:textAlignment w:val="auto"/>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val="0"/>
        <w:spacing w:before="156" w:beforeLines="50" w:after="50" w:line="500" w:lineRule="exact"/>
        <w:ind w:firstLine="720" w:firstLineChars="225"/>
        <w:textAlignment w:val="auto"/>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所竞分标：</w:t>
      </w:r>
    </w:p>
    <w:p>
      <w:pPr>
        <w:keepNext w:val="0"/>
        <w:keepLines w:val="0"/>
        <w:pageBreakBefore w:val="0"/>
        <w:widowControl w:val="0"/>
        <w:kinsoku/>
        <w:wordWrap/>
        <w:overflowPunct/>
        <w:topLinePunct w:val="0"/>
        <w:autoSpaceDE/>
        <w:autoSpaceDN/>
        <w:bidi w:val="0"/>
        <w:adjustRightInd/>
        <w:snapToGrid w:val="0"/>
        <w:spacing w:before="156" w:beforeLines="50" w:after="50" w:line="500" w:lineRule="exact"/>
        <w:ind w:firstLine="720" w:firstLineChars="225"/>
        <w:textAlignment w:val="auto"/>
        <w:rPr>
          <w:rFonts w:ascii="宋体" w:hAnsi="宋体" w:cs="仿宋_GB2312"/>
          <w:bCs/>
          <w:color w:val="000000" w:themeColor="text1"/>
          <w:sz w:val="32"/>
          <w:szCs w:val="32"/>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val="0"/>
        <w:spacing w:before="50" w:after="50" w:line="500" w:lineRule="exact"/>
        <w:ind w:firstLine="720" w:firstLineChars="225"/>
        <w:textAlignment w:val="auto"/>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供应商名称：</w:t>
      </w:r>
    </w:p>
    <w:p>
      <w:pPr>
        <w:pStyle w:val="6"/>
        <w:keepNext w:val="0"/>
        <w:keepLines w:val="0"/>
        <w:pageBreakBefore w:val="0"/>
        <w:widowControl w:val="0"/>
        <w:kinsoku/>
        <w:wordWrap/>
        <w:overflowPunct/>
        <w:topLinePunct w:val="0"/>
        <w:autoSpaceDE/>
        <w:autoSpaceDN/>
        <w:bidi w:val="0"/>
        <w:adjustRightInd/>
        <w:snapToGrid w:val="0"/>
        <w:spacing w:before="50" w:after="50" w:line="500" w:lineRule="exact"/>
        <w:ind w:firstLine="720" w:firstLineChars="225"/>
        <w:textAlignment w:val="auto"/>
        <w:rPr>
          <w:rFonts w:ascii="宋体" w:hAnsi="宋体" w:cs="仿宋_GB2312"/>
          <w:bCs/>
          <w:color w:val="000000" w:themeColor="text1"/>
          <w:sz w:val="32"/>
          <w:szCs w:val="32"/>
          <w14:textFill>
            <w14:solidFill>
              <w14:schemeClr w14:val="tx1"/>
            </w14:solidFill>
          </w14:textFill>
        </w:rPr>
      </w:pPr>
    </w:p>
    <w:p>
      <w:pPr>
        <w:pStyle w:val="6"/>
        <w:snapToGrid w:val="0"/>
        <w:spacing w:before="50" w:after="50"/>
        <w:ind w:firstLine="1280" w:firstLineChars="400"/>
        <w:rPr>
          <w:rFonts w:ascii="宋体" w:hAnsi="宋体" w:cs="仿宋_GB2312"/>
          <w:bCs/>
          <w:color w:val="000000" w:themeColor="text1"/>
          <w:sz w:val="32"/>
          <w:szCs w:val="32"/>
          <w14:textFill>
            <w14:solidFill>
              <w14:schemeClr w14:val="tx1"/>
            </w14:solidFill>
          </w14:textFill>
        </w:rPr>
      </w:pPr>
    </w:p>
    <w:p>
      <w:pPr>
        <w:snapToGrid w:val="0"/>
        <w:spacing w:before="156" w:beforeLines="50" w:after="50"/>
        <w:jc w:val="center"/>
        <w:rPr>
          <w:rFonts w:ascii="宋体" w:hAnsi="宋体" w:cs="仿宋_GB2312"/>
          <w:color w:val="000000" w:themeColor="text1"/>
          <w:sz w:val="32"/>
          <w:szCs w:val="32"/>
          <w14:textFill>
            <w14:solidFill>
              <w14:schemeClr w14:val="tx1"/>
            </w14:solidFill>
          </w14:textFill>
        </w:rPr>
      </w:pPr>
      <w:r>
        <w:rPr>
          <w:rFonts w:hint="eastAsia" w:ascii="宋体" w:hAnsi="宋体" w:cs="仿宋_GB2312"/>
          <w:color w:val="000000" w:themeColor="text1"/>
          <w:sz w:val="32"/>
          <w:szCs w:val="32"/>
          <w14:textFill>
            <w14:solidFill>
              <w14:schemeClr w14:val="tx1"/>
            </w14:solidFill>
          </w14:textFill>
        </w:rPr>
        <w:t>年    月    日</w:t>
      </w:r>
    </w:p>
    <w:p>
      <w:pPr>
        <w:snapToGrid w:val="0"/>
        <w:spacing w:before="156" w:beforeLines="50" w:after="50" w:line="360" w:lineRule="auto"/>
        <w:ind w:left="142"/>
        <w:jc w:val="left"/>
        <w:rPr>
          <w:rFonts w:ascii="宋体" w:hAnsi="宋体"/>
          <w:b/>
          <w:bCs/>
          <w:color w:val="000000" w:themeColor="text1"/>
          <w:sz w:val="32"/>
          <w:szCs w:val="32"/>
          <w14:textFill>
            <w14:solidFill>
              <w14:schemeClr w14:val="tx1"/>
            </w14:solidFill>
          </w14:textFill>
        </w:rPr>
      </w:pPr>
      <w:r>
        <w:rPr>
          <w:rFonts w:ascii="宋体" w:hAnsi="宋体"/>
          <w:color w:val="000000" w:themeColor="text1"/>
          <w:sz w:val="24"/>
          <w14:textFill>
            <w14:solidFill>
              <w14:schemeClr w14:val="tx1"/>
            </w14:solidFill>
          </w14:textFill>
        </w:rPr>
        <w:br w:type="page"/>
      </w:r>
      <w:r>
        <w:rPr>
          <w:rFonts w:hint="eastAsia" w:ascii="宋体" w:hAnsi="宋体"/>
          <w:b/>
          <w:bCs/>
          <w:color w:val="000000" w:themeColor="text1"/>
          <w:sz w:val="32"/>
          <w:szCs w:val="32"/>
          <w14:textFill>
            <w14:solidFill>
              <w14:schemeClr w14:val="tx1"/>
            </w14:solidFill>
          </w14:textFill>
        </w:rPr>
        <w:t>2.资格证明文件目录</w:t>
      </w:r>
    </w:p>
    <w:p>
      <w:pPr>
        <w:snapToGrid w:val="0"/>
        <w:spacing w:before="156" w:beforeLines="50" w:after="50" w:line="360" w:lineRule="auto"/>
        <w:ind w:firstLine="645"/>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根据磋商文件规定及供应商提供的材料自行编写目录（部分格式后附）。</w:t>
      </w:r>
    </w:p>
    <w:p>
      <w:pPr>
        <w:snapToGrid w:val="0"/>
        <w:spacing w:before="156" w:beforeLines="50" w:after="50"/>
        <w:rPr>
          <w:rFonts w:ascii="宋体" w:hAns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 xml:space="preserve"> </w:t>
      </w: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pStyle w:val="2"/>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pStyle w:val="2"/>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pStyle w:val="2"/>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pStyle w:val="2"/>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pStyle w:val="2"/>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pStyle w:val="2"/>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pStyle w:val="2"/>
        <w:rPr>
          <w:rFonts w:ascii="宋体" w:hAnsi="宋体"/>
          <w:color w:val="000000" w:themeColor="text1"/>
          <w:szCs w:val="21"/>
          <w14:textFill>
            <w14:solidFill>
              <w14:schemeClr w14:val="tx1"/>
            </w14:solidFill>
          </w14:textFill>
        </w:rPr>
      </w:pPr>
    </w:p>
    <w:p>
      <w:pPr>
        <w:rPr>
          <w:rFonts w:ascii="宋体" w:hAnsi="宋体"/>
          <w:color w:val="000000" w:themeColor="text1"/>
          <w:szCs w:val="21"/>
          <w14:textFill>
            <w14:solidFill>
              <w14:schemeClr w14:val="tx1"/>
            </w14:solidFill>
          </w14:textFill>
        </w:rPr>
      </w:pPr>
    </w:p>
    <w:p>
      <w:pPr>
        <w:pStyle w:val="2"/>
      </w:pPr>
    </w:p>
    <w:p>
      <w:pPr>
        <w:spacing w:line="300" w:lineRule="auto"/>
        <w:rPr>
          <w:rFonts w:ascii="宋体" w:hAnsi="宋体"/>
          <w:color w:val="000000" w:themeColor="text1"/>
          <w:szCs w:val="21"/>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p>
    <w:p>
      <w:pPr>
        <w:spacing w:line="320" w:lineRule="exact"/>
        <w:jc w:val="left"/>
        <w:rPr>
          <w:rFonts w:ascii="宋体" w:hAnsi="宋体"/>
          <w:color w:val="000000" w:themeColor="text1"/>
          <w:szCs w:val="21"/>
          <w14:textFill>
            <w14:solidFill>
              <w14:schemeClr w14:val="tx1"/>
            </w14:solidFill>
          </w14:textFill>
        </w:rPr>
      </w:pPr>
      <w:r>
        <w:rPr>
          <w:rFonts w:ascii="宋体" w:hAnsi="宋体"/>
          <w:color w:val="000000" w:themeColor="text1"/>
          <w:szCs w:val="21"/>
          <w14:textFill>
            <w14:solidFill>
              <w14:schemeClr w14:val="tx1"/>
            </w14:solidFill>
          </w14:textFill>
        </w:rPr>
        <w:br w:type="page"/>
      </w:r>
      <w:r>
        <w:rPr>
          <w:rFonts w:hint="eastAsia" w:ascii="宋体" w:hAnsi="宋体"/>
          <w:color w:val="000000" w:themeColor="text1"/>
          <w:szCs w:val="21"/>
          <w14:textFill>
            <w14:solidFill>
              <w14:schemeClr w14:val="tx1"/>
            </w14:solidFill>
          </w14:textFill>
        </w:rPr>
        <w:t xml:space="preserve"> </w:t>
      </w:r>
    </w:p>
    <w:p>
      <w:pPr>
        <w:wordWrap w:val="0"/>
        <w:spacing w:before="156" w:beforeLines="50" w:after="50" w:line="320" w:lineRule="exact"/>
        <w:ind w:right="482" w:firstLine="210" w:firstLineChars="100"/>
        <w:contextualSpacing/>
        <w:jc w:val="center"/>
        <w:rPr>
          <w:rFonts w:ascii="宋体" w:hAnsi="宋体"/>
          <w:color w:val="000000" w:themeColor="text1"/>
          <w:szCs w:val="21"/>
          <w14:textFill>
            <w14:solidFill>
              <w14:schemeClr w14:val="tx1"/>
            </w14:solidFill>
          </w14:textFill>
        </w:rPr>
      </w:pPr>
    </w:p>
    <w:p>
      <w:pPr>
        <w:spacing w:line="320" w:lineRule="exac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供应商直接控股、管理关系信息表</w:t>
      </w:r>
    </w:p>
    <w:p>
      <w:pPr>
        <w:snapToGrid w:val="0"/>
        <w:spacing w:before="156" w:beforeLines="50" w:after="50" w:line="360" w:lineRule="auto"/>
        <w:jc w:val="center"/>
        <w:rPr>
          <w:rFonts w:ascii="宋体" w:hAnsi="宋体"/>
          <w:b/>
          <w:color w:val="000000" w:themeColor="text1"/>
          <w:sz w:val="24"/>
          <w14:textFill>
            <w14:solidFill>
              <w14:schemeClr w14:val="tx1"/>
            </w14:solidFill>
          </w14:textFill>
        </w:rPr>
      </w:pPr>
    </w:p>
    <w:p>
      <w:pPr>
        <w:spacing w:line="360" w:lineRule="auto"/>
        <w:contextualSpacing/>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供应商直接控股股东信息表</w:t>
      </w:r>
    </w:p>
    <w:p>
      <w:pPr>
        <w:spacing w:line="360" w:lineRule="auto"/>
        <w:contextualSpacing/>
        <w:jc w:val="center"/>
        <w:rPr>
          <w:rFonts w:ascii="宋体" w:hAnsi="宋体"/>
          <w:b/>
          <w:color w:val="000000" w:themeColor="text1"/>
          <w:sz w:val="24"/>
          <w14:textFill>
            <w14:solidFill>
              <w14:schemeClr w14:val="tx1"/>
            </w14:solidFill>
          </w14:textFill>
        </w:rPr>
      </w:pPr>
    </w:p>
    <w:tbl>
      <w:tblPr>
        <w:tblStyle w:val="18"/>
        <w:tblW w:w="10147" w:type="dxa"/>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备注</w:t>
            </w:r>
          </w:p>
        </w:tc>
      </w:tr>
      <w:tr>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r>
    </w:tbl>
    <w:p>
      <w:pPr>
        <w:spacing w:line="360" w:lineRule="auto"/>
        <w:contextualSpacing/>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spacing w:line="360" w:lineRule="auto"/>
        <w:ind w:firstLine="480" w:firstLineChars="200"/>
        <w:contextualSpacing/>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pacing w:line="360" w:lineRule="auto"/>
        <w:ind w:firstLine="480" w:firstLineChars="200"/>
        <w:contextualSpacing/>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2.本表所指的控股关系仅限于直接控股关系，不包括间接的控股关系。公司实际控制人与公司之间的关系不属于本表所指的直接控股关系。</w:t>
      </w:r>
    </w:p>
    <w:p>
      <w:pPr>
        <w:spacing w:line="360" w:lineRule="auto"/>
        <w:ind w:firstLine="480" w:firstLineChars="200"/>
        <w:contextualSpacing/>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3.供应商不存在直接控股股东的，则填“无”。</w:t>
      </w:r>
    </w:p>
    <w:p>
      <w:pPr>
        <w:snapToGrid w:val="0"/>
        <w:spacing w:line="360" w:lineRule="auto"/>
        <w:jc w:val="left"/>
        <w:rPr>
          <w:rFonts w:ascii="宋体" w:hAnsi="宋体" w:cs="宋体"/>
          <w:color w:val="000000" w:themeColor="text1"/>
          <w:sz w:val="24"/>
          <w14:textFill>
            <w14:solidFill>
              <w14:schemeClr w14:val="tx1"/>
            </w14:solidFill>
          </w14:textFill>
        </w:rPr>
      </w:pPr>
    </w:p>
    <w:p>
      <w:pPr>
        <w:snapToGrid w:val="0"/>
        <w:spacing w:line="360" w:lineRule="auto"/>
        <w:jc w:val="left"/>
        <w:rPr>
          <w:rFonts w:ascii="宋体" w:hAnsi="宋体" w:cs="宋体"/>
          <w:color w:val="000000" w:themeColor="text1"/>
          <w:sz w:val="24"/>
          <w14:textFill>
            <w14:solidFill>
              <w14:schemeClr w14:val="tx1"/>
            </w14:solidFill>
          </w14:textFill>
        </w:rPr>
      </w:pPr>
    </w:p>
    <w:p>
      <w:pPr>
        <w:snapToGrid w:val="0"/>
        <w:spacing w:line="360" w:lineRule="auto"/>
        <w:jc w:val="left"/>
        <w:rPr>
          <w:rFonts w:ascii="宋体" w:hAnsi="宋体" w:cs="宋体"/>
          <w:color w:val="000000" w:themeColor="text1"/>
          <w:sz w:val="24"/>
          <w14:textFill>
            <w14:solidFill>
              <w14:schemeClr w14:val="tx1"/>
            </w14:solidFill>
          </w14:textFill>
        </w:rPr>
      </w:pPr>
    </w:p>
    <w:p>
      <w:pPr>
        <w:snapToGrid w:val="0"/>
        <w:spacing w:before="156" w:beforeLines="50" w:line="360" w:lineRule="auto"/>
        <w:ind w:right="480" w:firstLine="3480" w:firstLineChars="145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法定代表人或者委托代理人签字：</w:t>
      </w:r>
      <w:r>
        <w:rPr>
          <w:rFonts w:hint="eastAsia" w:ascii="宋体" w:hAnsi="宋体" w:cs="宋体"/>
          <w:color w:val="000000" w:themeColor="text1"/>
          <w:sz w:val="24"/>
          <w:u w:val="single"/>
          <w14:textFill>
            <w14:solidFill>
              <w14:schemeClr w14:val="tx1"/>
            </w14:solidFill>
          </w14:textFill>
        </w:rPr>
        <w:t xml:space="preserve">                </w:t>
      </w:r>
    </w:p>
    <w:p>
      <w:pPr>
        <w:snapToGrid w:val="0"/>
        <w:spacing w:before="156" w:beforeLines="50" w:after="50" w:line="360" w:lineRule="auto"/>
        <w:ind w:right="480" w:firstLine="3480" w:firstLineChars="1450"/>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供应商（盖公章 ）：</w:t>
      </w:r>
      <w:r>
        <w:rPr>
          <w:rFonts w:hint="eastAsia" w:ascii="宋体" w:hAnsi="宋体" w:cs="宋体"/>
          <w:color w:val="000000" w:themeColor="text1"/>
          <w:sz w:val="24"/>
          <w:u w:val="single"/>
          <w14:textFill>
            <w14:solidFill>
              <w14:schemeClr w14:val="tx1"/>
            </w14:solidFill>
          </w14:textFill>
        </w:rPr>
        <w:t xml:space="preserve">                           </w:t>
      </w:r>
    </w:p>
    <w:p>
      <w:pPr>
        <w:snapToGrid w:val="0"/>
        <w:spacing w:before="156" w:beforeLines="50" w:after="50" w:line="360" w:lineRule="auto"/>
        <w:ind w:right="480" w:firstLine="5280" w:firstLineChars="2200"/>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年    月    日</w:t>
      </w:r>
      <w:r>
        <w:rPr>
          <w:rFonts w:ascii="宋体" w:hAnsi="宋体"/>
          <w:b/>
          <w:color w:val="000000" w:themeColor="text1"/>
          <w:sz w:val="28"/>
          <w:szCs w:val="28"/>
          <w14:textFill>
            <w14:solidFill>
              <w14:schemeClr w14:val="tx1"/>
            </w14:solidFill>
          </w14:textFill>
        </w:rPr>
        <w:br w:type="page"/>
      </w:r>
    </w:p>
    <w:p>
      <w:pPr>
        <w:spacing w:line="320" w:lineRule="exact"/>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供应商直接管理关系信息表</w:t>
      </w:r>
    </w:p>
    <w:p>
      <w:pPr>
        <w:snapToGrid w:val="0"/>
        <w:spacing w:line="360" w:lineRule="auto"/>
        <w:jc w:val="center"/>
        <w:rPr>
          <w:rFonts w:ascii="宋体" w:hAnsi="宋体"/>
          <w:b/>
          <w:color w:val="000000" w:themeColor="text1"/>
          <w:sz w:val="24"/>
          <w14:textFill>
            <w14:solidFill>
              <w14:schemeClr w14:val="tx1"/>
            </w14:solidFill>
          </w14:textFill>
        </w:rPr>
      </w:pPr>
    </w:p>
    <w:tbl>
      <w:tblPr>
        <w:tblStyle w:val="18"/>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备注</w:t>
            </w: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pPr>
              <w:widowControl/>
              <w:spacing w:line="360" w:lineRule="auto"/>
              <w:contextualSpacing/>
              <w:jc w:val="center"/>
              <w:rPr>
                <w:rFonts w:ascii="宋体" w:hAnsi="宋体" w:cs="宋体"/>
                <w:color w:val="000000" w:themeColor="text1"/>
                <w:kern w:val="0"/>
                <w:sz w:val="24"/>
                <w14:textFill>
                  <w14:solidFill>
                    <w14:schemeClr w14:val="tx1"/>
                  </w14:solidFill>
                </w14:textFill>
              </w:rPr>
            </w:pPr>
          </w:p>
        </w:tc>
      </w:tr>
    </w:tbl>
    <w:p>
      <w:pPr>
        <w:spacing w:line="360" w:lineRule="auto"/>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w:t>
      </w:r>
    </w:p>
    <w:p>
      <w:pPr>
        <w:spacing w:line="360" w:lineRule="auto"/>
        <w:ind w:firstLine="480" w:firstLineChars="200"/>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1.管理关系：是指不具有出资持股关系的其他单位之间存在的管理与被管理关系，如一些上下级关系的事业单位和团体组织。</w:t>
      </w:r>
    </w:p>
    <w:p>
      <w:pPr>
        <w:spacing w:line="360" w:lineRule="auto"/>
        <w:ind w:firstLine="480" w:firstLineChars="200"/>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pacing w:val="-6"/>
          <w:sz w:val="24"/>
          <w14:textFill>
            <w14:solidFill>
              <w14:schemeClr w14:val="tx1"/>
            </w14:solidFill>
          </w14:textFill>
        </w:rPr>
        <w:t>本表所指的管理关系仅限于直接管理关系，不包括间接的管理关系。</w:t>
      </w:r>
    </w:p>
    <w:p>
      <w:pPr>
        <w:spacing w:line="360" w:lineRule="auto"/>
        <w:ind w:firstLine="480" w:firstLineChars="200"/>
        <w:contextualSpacing/>
        <w:jc w:val="lef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3.供应商不存在直接管理关系的，则填“无”。</w:t>
      </w:r>
    </w:p>
    <w:p>
      <w:pPr>
        <w:spacing w:line="360" w:lineRule="auto"/>
        <w:contextualSpacing/>
        <w:jc w:val="left"/>
        <w:rPr>
          <w:rFonts w:ascii="宋体" w:hAnsi="宋体"/>
          <w:color w:val="000000" w:themeColor="text1"/>
          <w:sz w:val="24"/>
          <w14:textFill>
            <w14:solidFill>
              <w14:schemeClr w14:val="tx1"/>
            </w14:solidFill>
          </w14:textFill>
        </w:rPr>
      </w:pPr>
    </w:p>
    <w:p>
      <w:pPr>
        <w:spacing w:line="360" w:lineRule="auto"/>
        <w:contextualSpacing/>
        <w:jc w:val="left"/>
        <w:rPr>
          <w:rFonts w:ascii="宋体" w:hAnsi="宋体"/>
          <w:color w:val="000000" w:themeColor="text1"/>
          <w:sz w:val="24"/>
          <w14:textFill>
            <w14:solidFill>
              <w14:schemeClr w14:val="tx1"/>
            </w14:solidFill>
          </w14:textFill>
        </w:rPr>
      </w:pPr>
    </w:p>
    <w:p>
      <w:pPr>
        <w:spacing w:line="360" w:lineRule="auto"/>
        <w:contextualSpacing/>
        <w:jc w:val="left"/>
        <w:rPr>
          <w:color w:val="000000" w:themeColor="text1"/>
          <w:sz w:val="24"/>
          <w14:textFill>
            <w14:solidFill>
              <w14:schemeClr w14:val="tx1"/>
            </w14:solidFill>
          </w14:textFill>
        </w:rPr>
      </w:pPr>
    </w:p>
    <w:p>
      <w:pPr>
        <w:spacing w:line="360" w:lineRule="auto"/>
        <w:contextualSpacing/>
        <w:jc w:val="left"/>
        <w:rPr>
          <w:color w:val="000000" w:themeColor="text1"/>
          <w:sz w:val="24"/>
          <w14:textFill>
            <w14:solidFill>
              <w14:schemeClr w14:val="tx1"/>
            </w14:solidFill>
          </w14:textFill>
        </w:rPr>
      </w:pPr>
    </w:p>
    <w:p>
      <w:pPr>
        <w:spacing w:line="360" w:lineRule="auto"/>
        <w:contextualSpacing/>
        <w:jc w:val="left"/>
        <w:rPr>
          <w:color w:val="000000" w:themeColor="text1"/>
          <w:sz w:val="24"/>
          <w14:textFill>
            <w14:solidFill>
              <w14:schemeClr w14:val="tx1"/>
            </w14:solidFill>
          </w14:textFill>
        </w:rPr>
      </w:pPr>
    </w:p>
    <w:p>
      <w:pPr>
        <w:spacing w:line="360" w:lineRule="auto"/>
        <w:contextualSpacing/>
        <w:jc w:val="left"/>
        <w:rPr>
          <w:rFonts w:ascii="宋体" w:hAnsi="宋体"/>
          <w:color w:val="000000" w:themeColor="text1"/>
          <w:sz w:val="24"/>
          <w14:textFill>
            <w14:solidFill>
              <w14:schemeClr w14:val="tx1"/>
            </w14:solidFill>
          </w14:textFill>
        </w:rPr>
      </w:pPr>
    </w:p>
    <w:p>
      <w:pPr>
        <w:spacing w:line="360" w:lineRule="auto"/>
        <w:ind w:right="480" w:firstLine="3360" w:firstLineChars="1400"/>
        <w:contextualSpacing/>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法定代表人或者委托代理人签字：</w:t>
      </w:r>
      <w:r>
        <w:rPr>
          <w:rFonts w:hint="eastAsia" w:ascii="宋体" w:hAnsi="宋体"/>
          <w:color w:val="000000" w:themeColor="text1"/>
          <w:sz w:val="24"/>
          <w:u w:val="single"/>
          <w14:textFill>
            <w14:solidFill>
              <w14:schemeClr w14:val="tx1"/>
            </w14:solidFill>
          </w14:textFill>
        </w:rPr>
        <w:t xml:space="preserve">               </w:t>
      </w:r>
    </w:p>
    <w:p>
      <w:pPr>
        <w:spacing w:line="360" w:lineRule="auto"/>
        <w:ind w:right="480" w:firstLine="3360" w:firstLineChars="1400"/>
        <w:contextualSpacing/>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供应商（盖公章）：</w:t>
      </w:r>
      <w:r>
        <w:rPr>
          <w:rFonts w:hint="eastAsia" w:ascii="宋体" w:hAnsi="宋体"/>
          <w:color w:val="000000" w:themeColor="text1"/>
          <w:sz w:val="24"/>
          <w:u w:val="single"/>
          <w14:textFill>
            <w14:solidFill>
              <w14:schemeClr w14:val="tx1"/>
            </w14:solidFill>
          </w14:textFill>
        </w:rPr>
        <w:t xml:space="preserve">                </w:t>
      </w:r>
    </w:p>
    <w:p>
      <w:pPr>
        <w:spacing w:line="360" w:lineRule="auto"/>
        <w:ind w:right="480" w:firstLine="240" w:firstLineChars="100"/>
        <w:contextualSpacing/>
        <w:jc w:val="cente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pPr>
        <w:spacing w:line="320" w:lineRule="exact"/>
        <w:jc w:val="center"/>
        <w:rPr>
          <w:rFonts w:ascii="宋体" w:hAnsi="宋体"/>
          <w:b/>
          <w:color w:val="000000" w:themeColor="text1"/>
          <w:sz w:val="32"/>
          <w:szCs w:val="32"/>
          <w14:textFill>
            <w14:solidFill>
              <w14:schemeClr w14:val="tx1"/>
            </w14:solidFill>
          </w14:textFill>
        </w:rPr>
      </w:pPr>
      <w:r>
        <w:rPr>
          <w:rFonts w:ascii="宋体" w:hAnsi="宋体"/>
          <w:color w:val="000000" w:themeColor="text1"/>
          <w:sz w:val="28"/>
          <w:szCs w:val="28"/>
          <w14:textFill>
            <w14:solidFill>
              <w14:schemeClr w14:val="tx1"/>
            </w14:solidFill>
          </w14:textFill>
        </w:rPr>
        <w:br w:type="page"/>
      </w:r>
      <w:r>
        <w:rPr>
          <w:rFonts w:hint="eastAsia" w:ascii="宋体" w:hAnsi="宋体"/>
          <w:b/>
          <w:color w:val="000000" w:themeColor="text1"/>
          <w:sz w:val="32"/>
          <w:szCs w:val="32"/>
          <w14:textFill>
            <w14:solidFill>
              <w14:schemeClr w14:val="tx1"/>
            </w14:solidFill>
          </w14:textFill>
        </w:rPr>
        <w:t>竞标声明</w:t>
      </w:r>
    </w:p>
    <w:p>
      <w:pPr>
        <w:spacing w:line="320" w:lineRule="exact"/>
        <w:jc w:val="center"/>
        <w:rPr>
          <w:rFonts w:ascii="宋体" w:hAnsi="宋体"/>
          <w:color w:val="000000" w:themeColor="text1"/>
          <w:sz w:val="24"/>
          <w:szCs w:val="20"/>
          <w14:textFill>
            <w14:solidFill>
              <w14:schemeClr w14:val="tx1"/>
            </w14:solidFill>
          </w14:textFill>
        </w:rPr>
      </w:pPr>
    </w:p>
    <w:p>
      <w:pPr>
        <w:spacing w:line="360" w:lineRule="auto"/>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（采购人名称）</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（供应商名称）</w:t>
      </w:r>
      <w:r>
        <w:rPr>
          <w:rFonts w:hint="eastAsia" w:ascii="宋体" w:hAnsi="宋体" w:cs="宋体"/>
          <w:color w:val="000000" w:themeColor="text1"/>
          <w:sz w:val="24"/>
          <w14:textFill>
            <w14:solidFill>
              <w14:schemeClr w14:val="tx1"/>
            </w14:solidFill>
          </w14:textFill>
        </w:rPr>
        <w:t>系中华人民共和国合法供应商，经营地址</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我方愿意参加贵方组织的</w:t>
      </w:r>
      <w:r>
        <w:rPr>
          <w:rFonts w:hint="eastAsia" w:ascii="宋体" w:hAnsi="宋体" w:cs="宋体"/>
          <w:color w:val="000000" w:themeColor="text1"/>
          <w:sz w:val="24"/>
          <w:u w:val="single"/>
          <w14:textFill>
            <w14:solidFill>
              <w14:schemeClr w14:val="tx1"/>
            </w14:solidFill>
          </w14:textFill>
        </w:rPr>
        <w:t>（项目名称）</w:t>
      </w:r>
      <w:r>
        <w:rPr>
          <w:rFonts w:hint="eastAsia" w:ascii="宋体" w:hAnsi="宋体" w:cs="宋体"/>
          <w:color w:val="000000" w:themeColor="text1"/>
          <w:sz w:val="24"/>
          <w14:textFill>
            <w14:solidFill>
              <w14:schemeClr w14:val="tx1"/>
            </w14:solidFill>
          </w14:textFill>
        </w:rPr>
        <w:t>项目的竞标，为便于贵方公正、择优地确定成交供应商及其竞标产品和服务，我方就本次竞标有关事项郑重声明如下：</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1.我方向贵方提交的所有响应文件、资料都是准确的和真实的。</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olor w:val="000000" w:themeColor="text1"/>
          <w:sz w:val="24"/>
          <w14:textFill>
            <w14:solidFill>
              <w14:schemeClr w14:val="tx1"/>
            </w14:solidFill>
          </w14:textFill>
        </w:rPr>
        <w:t>我方不是为本次采购项目提供整体设计、规范编制或者项目管理、监理、检测等服务的供应商</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3.在此，我方宣布同意如下：</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（1）将按磋商文件的约定履行合同责任和义务；</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（2）已详细审查全部磋商文件，包括澄清或者更正公告（如有）；</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（3）同意提供按照贵方可能要求的与磋商有关的一切数据或者资料；</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（4）响应磋商文件规定的竞标有效期。</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4.我方承诺符合《中华人民共和国政府采购法》第二十二条规定：</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（1）具有独立承担民事责任的能力；</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（2）具有良好的商业信誉和健全的财务会计制度；</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（3）具有履行合同所必需的设备和专业技术能力；</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（4）有依法缴纳税收和社会保障资金的良好记录；</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（5）参加政府采购活动前三年内，在经营活动中没有重大违法记录；</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（6）法律、行政法规规定的其他条件。</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根据《中华人民共和国政府采购法实施条例》第五十条要求对政府采购合同进行公告，但政府采购合同中涉及国家秘密、商业秘密的内容除外。我方就对本次响应文件进行注明如下：（两项内容中必须选择一项）</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□我方本次响应文件</w:t>
      </w:r>
      <w:r>
        <w:rPr>
          <w:rFonts w:hint="eastAsia" w:ascii="宋体" w:hAnsi="宋体" w:cs="宋体"/>
          <w:color w:val="000000" w:themeColor="text1"/>
          <w:kern w:val="0"/>
          <w:sz w:val="24"/>
          <w14:textFill>
            <w14:solidFill>
              <w14:schemeClr w14:val="tx1"/>
            </w14:solidFill>
          </w14:textFill>
        </w:rPr>
        <w:t>内容中</w:t>
      </w:r>
      <w:r>
        <w:rPr>
          <w:rFonts w:hint="eastAsia" w:ascii="宋体" w:hAnsi="宋体" w:cs="宋体"/>
          <w:color w:val="000000" w:themeColor="text1"/>
          <w:sz w:val="24"/>
          <w14:textFill>
            <w14:solidFill>
              <w14:schemeClr w14:val="tx1"/>
            </w14:solidFill>
          </w14:textFill>
        </w:rPr>
        <w:t>未</w:t>
      </w:r>
      <w:r>
        <w:rPr>
          <w:rFonts w:hint="eastAsia" w:ascii="宋体" w:hAnsi="宋体" w:cs="宋体"/>
          <w:color w:val="000000" w:themeColor="text1"/>
          <w:kern w:val="0"/>
          <w:sz w:val="24"/>
          <w14:textFill>
            <w14:solidFill>
              <w14:schemeClr w14:val="tx1"/>
            </w14:solidFill>
          </w14:textFill>
        </w:rPr>
        <w:t>涉及商业秘密；</w:t>
      </w:r>
    </w:p>
    <w:p>
      <w:pPr>
        <w:spacing w:line="360" w:lineRule="auto"/>
        <w:ind w:firstLine="480" w:firstLineChars="200"/>
        <w:contextualSpacing/>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□我方本次响应文件</w:t>
      </w:r>
      <w:r>
        <w:rPr>
          <w:rFonts w:hint="eastAsia" w:ascii="宋体" w:hAnsi="宋体" w:cs="宋体"/>
          <w:color w:val="000000" w:themeColor="text1"/>
          <w:kern w:val="0"/>
          <w:sz w:val="24"/>
          <w14:textFill>
            <w14:solidFill>
              <w14:schemeClr w14:val="tx1"/>
            </w14:solidFill>
          </w14:textFill>
        </w:rPr>
        <w:t>涉及商业秘密的内容有：</w:t>
      </w:r>
      <w:r>
        <w:rPr>
          <w:rFonts w:hint="eastAsia" w:ascii="宋体" w:hAnsi="宋体" w:cs="宋体"/>
          <w:color w:val="000000" w:themeColor="text1"/>
          <w:kern w:val="0"/>
          <w:sz w:val="24"/>
          <w:u w:val="single"/>
          <w14:textFill>
            <w14:solidFill>
              <w14:schemeClr w14:val="tx1"/>
            </w14:solidFill>
          </w14:textFill>
        </w:rPr>
        <w:t xml:space="preserve">                         </w:t>
      </w:r>
      <w:r>
        <w:rPr>
          <w:rFonts w:hint="eastAsia" w:ascii="宋体" w:hAnsi="宋体" w:cs="宋体"/>
          <w:color w:val="000000" w:themeColor="text1"/>
          <w:kern w:val="0"/>
          <w:sz w:val="24"/>
          <w14:textFill>
            <w14:solidFill>
              <w14:schemeClr w14:val="tx1"/>
            </w14:solidFill>
          </w14:textFill>
        </w:rPr>
        <w:t>；</w:t>
      </w:r>
    </w:p>
    <w:p>
      <w:pPr>
        <w:pStyle w:val="12"/>
        <w:spacing w:line="360" w:lineRule="auto"/>
        <w:ind w:firstLine="480" w:firstLineChars="200"/>
        <w:contextualSpacing/>
        <w:rPr>
          <w:rFonts w:hAnsi="宋体" w:cs="宋体"/>
          <w:color w:val="000000" w:themeColor="text1"/>
          <w:sz w:val="24"/>
          <w:szCs w:val="24"/>
          <w:u w:val="single"/>
          <w14:textFill>
            <w14:solidFill>
              <w14:schemeClr w14:val="tx1"/>
            </w14:solidFill>
          </w14:textFill>
        </w:rPr>
      </w:pPr>
      <w:r>
        <w:rPr>
          <w:rFonts w:hint="eastAsia" w:hAnsi="宋体" w:cs="宋体"/>
          <w:color w:val="000000" w:themeColor="text1"/>
          <w:sz w:val="24"/>
          <w:szCs w:val="24"/>
          <w14:textFill>
            <w14:solidFill>
              <w14:schemeClr w14:val="tx1"/>
            </w14:solidFill>
          </w14:textFill>
        </w:rPr>
        <w:t>7.与本磋商有关的一切正式往来信函请寄：</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邮政编号：</w:t>
      </w:r>
      <w:r>
        <w:rPr>
          <w:rFonts w:hint="eastAsia" w:hAnsi="宋体" w:cs="宋体"/>
          <w:color w:val="000000" w:themeColor="text1"/>
          <w:sz w:val="24"/>
          <w:szCs w:val="24"/>
          <w:u w:val="single"/>
          <w14:textFill>
            <w14:solidFill>
              <w14:schemeClr w14:val="tx1"/>
            </w14:solidFill>
          </w14:textFill>
        </w:rPr>
        <w:t xml:space="preserve">        </w:t>
      </w:r>
    </w:p>
    <w:p>
      <w:pPr>
        <w:pStyle w:val="12"/>
        <w:spacing w:line="360" w:lineRule="auto"/>
        <w:ind w:firstLine="480" w:firstLineChars="200"/>
        <w:contextualSpacing/>
        <w:rPr>
          <w:rFonts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电话/传真：</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 xml:space="preserve"> 电子函件：</w:t>
      </w:r>
      <w:r>
        <w:rPr>
          <w:rFonts w:hint="eastAsia" w:hAnsi="宋体" w:cs="宋体"/>
          <w:color w:val="000000" w:themeColor="text1"/>
          <w:sz w:val="24"/>
          <w:szCs w:val="24"/>
          <w:u w:val="single"/>
          <w14:textFill>
            <w14:solidFill>
              <w14:schemeClr w14:val="tx1"/>
            </w14:solidFill>
          </w14:textFill>
        </w:rPr>
        <w:t xml:space="preserve">                            </w:t>
      </w:r>
      <w:r>
        <w:rPr>
          <w:rFonts w:hint="eastAsia" w:hAnsi="宋体" w:cs="宋体"/>
          <w:color w:val="000000" w:themeColor="text1"/>
          <w:sz w:val="24"/>
          <w:szCs w:val="24"/>
          <w14:textFill>
            <w14:solidFill>
              <w14:schemeClr w14:val="tx1"/>
            </w14:solidFill>
          </w14:textFill>
        </w:rPr>
        <w:t xml:space="preserve">    </w:t>
      </w:r>
    </w:p>
    <w:p>
      <w:pPr>
        <w:pStyle w:val="11"/>
        <w:tabs>
          <w:tab w:val="left" w:pos="939"/>
        </w:tabs>
        <w:spacing w:line="360" w:lineRule="auto"/>
        <w:ind w:left="141" w:leftChars="67"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开户银行：</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帐号：</w:t>
      </w:r>
      <w:r>
        <w:rPr>
          <w:rFonts w:hint="eastAsia" w:ascii="宋体" w:hAnsi="宋体" w:cs="宋体"/>
          <w:color w:val="000000" w:themeColor="text1"/>
          <w:sz w:val="24"/>
          <w:u w:val="single"/>
          <w14:textFill>
            <w14:solidFill>
              <w14:schemeClr w14:val="tx1"/>
            </w14:solidFill>
          </w14:textFill>
        </w:rPr>
        <w:t xml:space="preserve">                               </w:t>
      </w:r>
    </w:p>
    <w:p>
      <w:pPr>
        <w:pStyle w:val="11"/>
        <w:tabs>
          <w:tab w:val="left" w:pos="939"/>
        </w:tabs>
        <w:spacing w:line="360" w:lineRule="auto"/>
        <w:ind w:left="0" w:leftChars="0"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8.以上事项如有虚假或者隐瞒，我方愿意承担一切后果，并不再寻求任何旨在减轻或者免除法律责任的辩解。</w:t>
      </w:r>
    </w:p>
    <w:p>
      <w:pPr>
        <w:pStyle w:val="11"/>
        <w:tabs>
          <w:tab w:val="left" w:pos="939"/>
        </w:tabs>
        <w:spacing w:line="360" w:lineRule="auto"/>
        <w:ind w:left="141" w:leftChars="67" w:firstLine="360" w:firstLineChars="1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特此承诺。</w:t>
      </w:r>
    </w:p>
    <w:p>
      <w:pPr>
        <w:pStyle w:val="11"/>
        <w:tabs>
          <w:tab w:val="left" w:pos="939"/>
        </w:tabs>
        <w:spacing w:line="360" w:lineRule="auto"/>
        <w:ind w:left="0" w:leftChars="0" w:firstLine="482" w:firstLineChars="200"/>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注：如为联合体竞标，盖章处须加盖联合体各方公章并由联合体各方法定代表人签署，否则其响应文件按无效响应处理。</w:t>
      </w:r>
    </w:p>
    <w:p>
      <w:pPr>
        <w:pStyle w:val="11"/>
        <w:tabs>
          <w:tab w:val="left" w:pos="939"/>
        </w:tabs>
        <w:spacing w:line="360" w:lineRule="auto"/>
        <w:ind w:left="0" w:leftChars="0" w:firstLine="480" w:firstLineChars="200"/>
        <w:rPr>
          <w:rFonts w:ascii="宋体" w:hAnsi="宋体" w:cs="宋体"/>
          <w:color w:val="000000" w:themeColor="text1"/>
          <w:sz w:val="24"/>
          <w14:textFill>
            <w14:solidFill>
              <w14:schemeClr w14:val="tx1"/>
            </w14:solidFill>
          </w14:textFill>
        </w:rPr>
      </w:pPr>
    </w:p>
    <w:p>
      <w:pPr>
        <w:spacing w:line="360" w:lineRule="auto"/>
        <w:ind w:firstLine="4320" w:firstLineChars="1800"/>
        <w:contextualSpacing/>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法定代表人（签字或者盖章）：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p>
    <w:p>
      <w:pPr>
        <w:spacing w:line="360" w:lineRule="auto"/>
        <w:ind w:firstLine="4320" w:firstLineChars="1800"/>
        <w:contextualSpacing/>
        <w:rPr>
          <w:rFonts w:ascii="宋体" w:hAnsi="宋体" w:cs="宋体"/>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供应商（盖公章）：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 xml:space="preserve">    </w:t>
      </w:r>
    </w:p>
    <w:p>
      <w:pPr>
        <w:spacing w:line="360" w:lineRule="auto"/>
        <w:ind w:right="480" w:firstLine="240" w:firstLineChars="100"/>
        <w:contextualSpacing/>
        <w:jc w:val="center"/>
        <w:rPr>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 xml:space="preserve"> 年    月    日</w:t>
      </w:r>
    </w:p>
    <w:p>
      <w:pPr>
        <w:pStyle w:val="6"/>
        <w:overflowPunct w:val="0"/>
        <w:spacing w:line="520" w:lineRule="exact"/>
        <w:ind w:right="480" w:firstLine="321" w:firstLineChars="100"/>
        <w:contextualSpacing/>
        <w:jc w:val="center"/>
        <w:rPr>
          <w:rFonts w:ascii="宋体" w:hAnsi="宋体"/>
          <w:b/>
          <w:bCs/>
          <w:color w:val="000000" w:themeColor="text1"/>
          <w:sz w:val="32"/>
          <w:szCs w:val="32"/>
          <w14:textFill>
            <w14:solidFill>
              <w14:schemeClr w14:val="tx1"/>
            </w14:solidFill>
          </w14:textFill>
        </w:rPr>
      </w:pPr>
    </w:p>
    <w:p>
      <w:pPr>
        <w:snapToGrid w:val="0"/>
        <w:spacing w:before="156" w:beforeLines="50" w:after="50" w:line="360" w:lineRule="auto"/>
        <w:ind w:right="480"/>
        <w:rPr>
          <w:rFonts w:ascii="宋体" w:hAnsi="宋体"/>
          <w:b/>
          <w:color w:val="000000" w:themeColor="text1"/>
          <w:sz w:val="32"/>
          <w:szCs w:val="32"/>
          <w14:textFill>
            <w14:solidFill>
              <w14:schemeClr w14:val="tx1"/>
            </w14:solidFill>
          </w14:textFill>
        </w:rPr>
      </w:pPr>
      <w:r>
        <w:rPr>
          <w:rFonts w:ascii="宋体" w:hAnsi="宋体"/>
          <w:b/>
          <w:bCs/>
          <w:color w:val="000000" w:themeColor="text1"/>
          <w:sz w:val="32"/>
          <w:szCs w:val="32"/>
          <w14:textFill>
            <w14:solidFill>
              <w14:schemeClr w14:val="tx1"/>
            </w14:solidFill>
          </w14:textFill>
        </w:rPr>
        <w:br w:type="page"/>
      </w:r>
      <w:r>
        <w:rPr>
          <w:rFonts w:hint="eastAsia" w:ascii="宋体" w:hAnsi="宋体"/>
          <w:b/>
          <w:bCs/>
          <w:color w:val="000000" w:themeColor="text1"/>
          <w:sz w:val="32"/>
          <w:szCs w:val="32"/>
          <w14:textFill>
            <w14:solidFill>
              <w14:schemeClr w14:val="tx1"/>
            </w14:solidFill>
          </w14:textFill>
        </w:rPr>
        <w:t>二、</w:t>
      </w:r>
      <w:r>
        <w:rPr>
          <w:rFonts w:hint="eastAsia" w:ascii="宋体" w:hAnsi="宋体"/>
          <w:b/>
          <w:color w:val="000000" w:themeColor="text1"/>
          <w:sz w:val="32"/>
          <w:szCs w:val="32"/>
          <w14:textFill>
            <w14:solidFill>
              <w14:schemeClr w14:val="tx1"/>
            </w14:solidFill>
          </w14:textFill>
        </w:rPr>
        <w:t>报价商务技术文件格式</w:t>
      </w:r>
    </w:p>
    <w:p>
      <w:pPr>
        <w:snapToGrid w:val="0"/>
        <w:spacing w:before="156" w:beforeLines="50" w:after="50" w:line="360" w:lineRule="auto"/>
        <w:jc w:val="left"/>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1.报价商务技术文件封面格式</w:t>
      </w:r>
    </w:p>
    <w:p>
      <w:pPr>
        <w:snapToGrid w:val="0"/>
        <w:spacing w:before="156" w:beforeLines="50" w:after="50"/>
        <w:rPr>
          <w:rFonts w:ascii="宋体" w:hAnsi="宋体"/>
          <w:bCs/>
          <w:color w:val="000000" w:themeColor="text1"/>
          <w:sz w:val="32"/>
          <w:szCs w:val="20"/>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p>
    <w:p>
      <w:pPr>
        <w:snapToGrid w:val="0"/>
        <w:spacing w:before="156" w:beforeLines="50" w:after="50"/>
        <w:rPr>
          <w:rFonts w:ascii="宋体" w:hAnsi="宋体"/>
          <w:color w:val="000000" w:themeColor="text1"/>
          <w:sz w:val="24"/>
          <w:szCs w:val="20"/>
          <w14:textFill>
            <w14:solidFill>
              <w14:schemeClr w14:val="tx1"/>
            </w14:solidFill>
          </w14:textFill>
        </w:rPr>
      </w:pPr>
    </w:p>
    <w:p>
      <w:pPr>
        <w:snapToGrid w:val="0"/>
        <w:spacing w:before="156" w:beforeLines="50" w:after="50"/>
        <w:jc w:val="center"/>
        <w:rPr>
          <w:rFonts w:ascii="方正小标宋简体" w:hAnsi="方正小标宋简体" w:eastAsia="方正小标宋简体" w:cs="方正小标宋简体"/>
          <w:bCs/>
          <w:color w:val="000000" w:themeColor="text1"/>
          <w:sz w:val="84"/>
          <w:szCs w:val="84"/>
          <w14:textFill>
            <w14:solidFill>
              <w14:schemeClr w14:val="tx1"/>
            </w14:solidFill>
          </w14:textFill>
        </w:rPr>
      </w:pPr>
      <w:r>
        <w:rPr>
          <w:rFonts w:hint="eastAsia" w:ascii="方正小标宋简体" w:hAnsi="方正小标宋简体" w:eastAsia="方正小标宋简体" w:cs="方正小标宋简体"/>
          <w:bCs/>
          <w:color w:val="000000" w:themeColor="text1"/>
          <w:sz w:val="84"/>
          <w:szCs w:val="84"/>
          <w14:textFill>
            <w14:solidFill>
              <w14:schemeClr w14:val="tx1"/>
            </w14:solidFill>
          </w14:textFill>
        </w:rPr>
        <w:t>响  应  文  件</w:t>
      </w:r>
    </w:p>
    <w:p>
      <w:pPr>
        <w:snapToGrid w:val="0"/>
        <w:spacing w:before="156" w:beforeLines="50" w:after="50"/>
        <w:jc w:val="center"/>
        <w:rPr>
          <w:rFonts w:ascii="方正小标宋简体" w:hAnsi="方正小标宋简体" w:eastAsia="方正小标宋简体" w:cs="方正小标宋简体"/>
          <w:bCs/>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报  价  商  务  技  术  文  件</w:t>
      </w:r>
    </w:p>
    <w:p>
      <w:pPr>
        <w:snapToGrid w:val="0"/>
        <w:spacing w:before="156" w:beforeLines="50" w:after="50"/>
        <w:rPr>
          <w:rFonts w:ascii="宋体" w:hAnsi="宋体"/>
          <w:bCs/>
          <w:color w:val="000000" w:themeColor="text1"/>
          <w:sz w:val="24"/>
          <w:szCs w:val="20"/>
          <w14:textFill>
            <w14:solidFill>
              <w14:schemeClr w14:val="tx1"/>
            </w14:solidFill>
          </w14:textFill>
        </w:rPr>
      </w:pPr>
    </w:p>
    <w:p>
      <w:pPr>
        <w:snapToGrid w:val="0"/>
        <w:spacing w:before="156" w:beforeLines="50" w:after="50"/>
        <w:rPr>
          <w:rFonts w:ascii="宋体" w:hAnsi="宋体"/>
          <w:bCs/>
          <w:color w:val="000000" w:themeColor="text1"/>
          <w:sz w:val="24"/>
          <w:szCs w:val="20"/>
          <w14:textFill>
            <w14:solidFill>
              <w14:schemeClr w14:val="tx1"/>
            </w14:solidFill>
          </w14:textFill>
        </w:rPr>
      </w:pPr>
    </w:p>
    <w:p>
      <w:pPr>
        <w:snapToGrid w:val="0"/>
        <w:spacing w:before="156" w:beforeLines="50" w:after="50"/>
        <w:rPr>
          <w:rFonts w:ascii="宋体" w:hAnsi="宋体"/>
          <w:bCs/>
          <w:color w:val="000000" w:themeColor="text1"/>
          <w:sz w:val="24"/>
          <w:szCs w:val="20"/>
          <w14:textFill>
            <w14:solidFill>
              <w14:schemeClr w14:val="tx1"/>
            </w14:solidFill>
          </w14:textFill>
        </w:rPr>
      </w:pPr>
    </w:p>
    <w:p>
      <w:pPr>
        <w:snapToGrid w:val="0"/>
        <w:spacing w:before="156" w:beforeLines="50" w:after="50"/>
        <w:rPr>
          <w:rFonts w:ascii="宋体" w:hAnsi="宋体"/>
          <w:bCs/>
          <w:color w:val="000000" w:themeColor="text1"/>
          <w:sz w:val="24"/>
          <w:szCs w:val="20"/>
          <w14:textFill>
            <w14:solidFill>
              <w14:schemeClr w14:val="tx1"/>
            </w14:solidFill>
          </w14:textFill>
        </w:rPr>
      </w:pPr>
    </w:p>
    <w:p>
      <w:pPr>
        <w:snapToGrid w:val="0"/>
        <w:spacing w:before="156" w:beforeLines="50" w:after="50"/>
        <w:rPr>
          <w:rFonts w:ascii="宋体" w:hAnsi="宋体"/>
          <w:bCs/>
          <w:color w:val="000000" w:themeColor="text1"/>
          <w:sz w:val="24"/>
          <w:szCs w:val="20"/>
          <w14:textFill>
            <w14:solidFill>
              <w14:schemeClr w14:val="tx1"/>
            </w14:solidFill>
          </w14:textFill>
        </w:rPr>
      </w:pPr>
    </w:p>
    <w:p>
      <w:pPr>
        <w:snapToGrid w:val="0"/>
        <w:spacing w:before="156" w:beforeLines="50" w:after="50"/>
        <w:ind w:firstLine="640" w:firstLineChars="200"/>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项目名称：</w:t>
      </w:r>
    </w:p>
    <w:p>
      <w:pPr>
        <w:snapToGrid w:val="0"/>
        <w:spacing w:before="156" w:beforeLines="50" w:after="50"/>
        <w:ind w:firstLine="720" w:firstLineChars="225"/>
        <w:rPr>
          <w:rFonts w:ascii="宋体" w:hAnsi="宋体" w:cs="仿宋_GB2312"/>
          <w:bCs/>
          <w:color w:val="000000" w:themeColor="text1"/>
          <w:sz w:val="32"/>
          <w:szCs w:val="32"/>
          <w14:textFill>
            <w14:solidFill>
              <w14:schemeClr w14:val="tx1"/>
            </w14:solidFill>
          </w14:textFill>
        </w:rPr>
      </w:pPr>
    </w:p>
    <w:p>
      <w:pPr>
        <w:snapToGrid w:val="0"/>
        <w:spacing w:before="156" w:beforeLines="50" w:after="50"/>
        <w:ind w:firstLine="640" w:firstLineChars="200"/>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项目编号：</w:t>
      </w:r>
    </w:p>
    <w:p>
      <w:pPr>
        <w:snapToGrid w:val="0"/>
        <w:spacing w:before="156" w:beforeLines="50" w:after="50"/>
        <w:ind w:firstLine="720" w:firstLineChars="225"/>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 xml:space="preserve"> </w:t>
      </w:r>
    </w:p>
    <w:p>
      <w:pPr>
        <w:snapToGrid w:val="0"/>
        <w:spacing w:before="156" w:beforeLines="50" w:after="50"/>
        <w:ind w:firstLine="640" w:firstLineChars="200"/>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所竞分标：</w:t>
      </w:r>
    </w:p>
    <w:p>
      <w:pPr>
        <w:snapToGrid w:val="0"/>
        <w:spacing w:before="156" w:beforeLines="50" w:after="50"/>
        <w:ind w:firstLine="720" w:firstLineChars="225"/>
        <w:rPr>
          <w:rFonts w:ascii="宋体" w:hAnsi="宋体" w:cs="仿宋_GB2312"/>
          <w:bCs/>
          <w:color w:val="000000" w:themeColor="text1"/>
          <w:sz w:val="32"/>
          <w:szCs w:val="32"/>
          <w14:textFill>
            <w14:solidFill>
              <w14:schemeClr w14:val="tx1"/>
            </w14:solidFill>
          </w14:textFill>
        </w:rPr>
      </w:pPr>
    </w:p>
    <w:p>
      <w:pPr>
        <w:pStyle w:val="6"/>
        <w:snapToGrid w:val="0"/>
        <w:spacing w:before="50" w:after="50"/>
        <w:ind w:firstLine="640" w:firstLineChars="200"/>
        <w:rPr>
          <w:rFonts w:ascii="宋体" w:hAnsi="宋体" w:cs="仿宋_GB2312"/>
          <w:bCs/>
          <w:color w:val="000000" w:themeColor="text1"/>
          <w:sz w:val="32"/>
          <w:szCs w:val="32"/>
          <w14:textFill>
            <w14:solidFill>
              <w14:schemeClr w14:val="tx1"/>
            </w14:solidFill>
          </w14:textFill>
        </w:rPr>
      </w:pPr>
      <w:r>
        <w:rPr>
          <w:rFonts w:hint="eastAsia" w:ascii="宋体" w:hAnsi="宋体" w:cs="仿宋_GB2312"/>
          <w:bCs/>
          <w:color w:val="000000" w:themeColor="text1"/>
          <w:sz w:val="32"/>
          <w:szCs w:val="32"/>
          <w14:textFill>
            <w14:solidFill>
              <w14:schemeClr w14:val="tx1"/>
            </w14:solidFill>
          </w14:textFill>
        </w:rPr>
        <w:t>供应商名称：</w:t>
      </w:r>
    </w:p>
    <w:p>
      <w:pPr>
        <w:pStyle w:val="6"/>
        <w:snapToGrid w:val="0"/>
        <w:spacing w:before="50" w:after="50"/>
        <w:ind w:firstLine="720" w:firstLineChars="225"/>
        <w:rPr>
          <w:rFonts w:ascii="宋体" w:hAnsi="宋体" w:cs="仿宋_GB2312"/>
          <w:bCs/>
          <w:color w:val="000000" w:themeColor="text1"/>
          <w:sz w:val="32"/>
          <w:szCs w:val="32"/>
          <w14:textFill>
            <w14:solidFill>
              <w14:schemeClr w14:val="tx1"/>
            </w14:solidFill>
          </w14:textFill>
        </w:rPr>
      </w:pPr>
    </w:p>
    <w:p>
      <w:pPr>
        <w:pStyle w:val="6"/>
        <w:snapToGrid w:val="0"/>
        <w:spacing w:before="50" w:after="50"/>
        <w:ind w:firstLine="720" w:firstLineChars="225"/>
        <w:rPr>
          <w:rFonts w:ascii="宋体" w:hAnsi="宋体" w:cs="仿宋_GB2312"/>
          <w:bCs/>
          <w:color w:val="000000" w:themeColor="text1"/>
          <w:sz w:val="32"/>
          <w:szCs w:val="32"/>
          <w14:textFill>
            <w14:solidFill>
              <w14:schemeClr w14:val="tx1"/>
            </w14:solidFill>
          </w14:textFill>
        </w:rPr>
      </w:pPr>
    </w:p>
    <w:p>
      <w:pPr>
        <w:pStyle w:val="6"/>
        <w:snapToGrid w:val="0"/>
        <w:spacing w:before="50" w:after="50"/>
        <w:ind w:firstLine="1280" w:firstLineChars="400"/>
        <w:rPr>
          <w:rFonts w:ascii="宋体" w:hAnsi="宋体" w:cs="仿宋_GB2312"/>
          <w:bCs/>
          <w:color w:val="000000" w:themeColor="text1"/>
          <w:sz w:val="32"/>
          <w:szCs w:val="32"/>
          <w14:textFill>
            <w14:solidFill>
              <w14:schemeClr w14:val="tx1"/>
            </w14:solidFill>
          </w14:textFill>
        </w:rPr>
      </w:pPr>
    </w:p>
    <w:p>
      <w:pPr>
        <w:snapToGrid w:val="0"/>
        <w:spacing w:before="156" w:beforeLines="50" w:after="50"/>
        <w:jc w:val="center"/>
        <w:rPr>
          <w:rFonts w:ascii="宋体" w:hAnsi="宋体" w:cs="仿宋_GB2312"/>
          <w:color w:val="000000" w:themeColor="text1"/>
          <w:sz w:val="32"/>
          <w:szCs w:val="32"/>
          <w14:textFill>
            <w14:solidFill>
              <w14:schemeClr w14:val="tx1"/>
            </w14:solidFill>
          </w14:textFill>
        </w:rPr>
      </w:pPr>
      <w:r>
        <w:rPr>
          <w:rFonts w:hint="eastAsia" w:ascii="宋体" w:hAnsi="宋体" w:cs="仿宋_GB2312"/>
          <w:color w:val="000000" w:themeColor="text1"/>
          <w:sz w:val="32"/>
          <w:szCs w:val="32"/>
          <w14:textFill>
            <w14:solidFill>
              <w14:schemeClr w14:val="tx1"/>
            </w14:solidFill>
          </w14:textFill>
        </w:rPr>
        <w:t>年    月    日</w:t>
      </w:r>
    </w:p>
    <w:p>
      <w:pPr>
        <w:snapToGrid w:val="0"/>
        <w:spacing w:before="156" w:beforeLines="50" w:after="50" w:line="360" w:lineRule="auto"/>
        <w:ind w:left="142"/>
        <w:jc w:val="left"/>
        <w:rPr>
          <w:rFonts w:ascii="宋体" w:hAnsi="宋体"/>
          <w:b/>
          <w:bCs/>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br w:type="page"/>
      </w:r>
      <w:r>
        <w:rPr>
          <w:rFonts w:hint="eastAsia" w:ascii="宋体" w:hAnsi="宋体"/>
          <w:b/>
          <w:bCs/>
          <w:color w:val="000000" w:themeColor="text1"/>
          <w:sz w:val="32"/>
          <w:szCs w:val="32"/>
          <w14:textFill>
            <w14:solidFill>
              <w14:schemeClr w14:val="tx1"/>
            </w14:solidFill>
          </w14:textFill>
        </w:rPr>
        <w:t>2.报价商务技术文件目录</w:t>
      </w:r>
    </w:p>
    <w:p>
      <w:pPr>
        <w:snapToGrid w:val="0"/>
        <w:spacing w:before="156" w:beforeLines="50" w:after="50" w:line="360" w:lineRule="auto"/>
        <w:ind w:firstLine="640" w:firstLineChars="200"/>
        <w:rPr>
          <w:rFonts w:ascii="宋体" w:hAnsi="宋体"/>
          <w:color w:val="000000" w:themeColor="text1"/>
          <w:sz w:val="32"/>
          <w:szCs w:val="32"/>
          <w14:textFill>
            <w14:solidFill>
              <w14:schemeClr w14:val="tx1"/>
            </w14:solidFill>
          </w14:textFill>
        </w:rPr>
      </w:pPr>
      <w:r>
        <w:rPr>
          <w:rFonts w:hint="eastAsia" w:ascii="宋体" w:hAnsi="宋体"/>
          <w:color w:val="000000" w:themeColor="text1"/>
          <w:sz w:val="32"/>
          <w:szCs w:val="32"/>
          <w14:textFill>
            <w14:solidFill>
              <w14:schemeClr w14:val="tx1"/>
            </w14:solidFill>
          </w14:textFill>
        </w:rPr>
        <w:t>根据磋商文件规定及供应商提供的材料自行编写目录（部分格式后附）。</w:t>
      </w:r>
    </w:p>
    <w:p>
      <w:pPr>
        <w:spacing w:line="400" w:lineRule="exact"/>
        <w:rPr>
          <w:rFonts w:ascii="仿宋_GB2312" w:hAnsi="仿宋_GB2312" w:eastAsia="仿宋_GB2312" w:cs="仿宋_GB2312"/>
          <w:color w:val="000000" w:themeColor="text1"/>
          <w:sz w:val="32"/>
          <w:szCs w:val="32"/>
          <w14:textFill>
            <w14:solidFill>
              <w14:schemeClr w14:val="tx1"/>
            </w14:solidFill>
          </w14:textFill>
        </w:rPr>
      </w:pPr>
    </w:p>
    <w:p>
      <w:pPr>
        <w:spacing w:line="52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br w:type="page"/>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无串通竞标行为的承诺函</w:t>
      </w:r>
    </w:p>
    <w:p>
      <w:pPr>
        <w:spacing w:line="360" w:lineRule="auto"/>
        <w:ind w:firstLine="640" w:firstLineChars="200"/>
        <w:contextualSpacing/>
        <w:rPr>
          <w:rFonts w:ascii="仿宋_GB2312" w:hAnsi="仿宋_GB2312" w:eastAsia="仿宋_GB2312" w:cs="仿宋_GB2312"/>
          <w:color w:val="000000" w:themeColor="text1"/>
          <w:sz w:val="32"/>
          <w:szCs w:val="32"/>
          <w14:textFill>
            <w14:solidFill>
              <w14:schemeClr w14:val="tx1"/>
            </w14:solidFill>
          </w14:textFill>
        </w:rPr>
      </w:pPr>
    </w:p>
    <w:p>
      <w:pPr>
        <w:spacing w:line="360" w:lineRule="auto"/>
        <w:ind w:firstLine="482" w:firstLineChars="200"/>
        <w:contextualSpacing/>
        <w:rPr>
          <w:rFonts w:ascii="宋体" w:hAnsi="宋体" w:cs="仿宋_GB2312"/>
          <w:b/>
          <w:bCs/>
          <w:color w:val="000000" w:themeColor="text1"/>
          <w:sz w:val="24"/>
          <w14:textFill>
            <w14:solidFill>
              <w14:schemeClr w14:val="tx1"/>
            </w14:solidFill>
          </w14:textFill>
        </w:rPr>
      </w:pPr>
      <w:r>
        <w:rPr>
          <w:rFonts w:hint="eastAsia" w:ascii="宋体" w:hAnsi="宋体" w:cs="仿宋_GB2312"/>
          <w:b/>
          <w:bCs/>
          <w:color w:val="000000" w:themeColor="text1"/>
          <w:sz w:val="24"/>
          <w14:textFill>
            <w14:solidFill>
              <w14:schemeClr w14:val="tx1"/>
            </w14:solidFill>
          </w14:textFill>
        </w:rPr>
        <w:t>一、我方承诺无下列相互串通竞标的情形：</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1.不同供应商的响应文件由同一单位或者个人编制； </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2.不同供应商委托同一单位或者个人办理竞标事宜；</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3.不同供应商的响应文件载明的项目管理员为同一个人；</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4.不</w:t>
      </w:r>
      <w:r>
        <w:rPr>
          <w:rFonts w:hint="eastAsia" w:ascii="宋体" w:hAnsi="宋体" w:cs="仿宋_GB2312"/>
          <w:color w:val="000000" w:themeColor="text1"/>
          <w:spacing w:val="-6"/>
          <w:sz w:val="24"/>
          <w14:textFill>
            <w14:solidFill>
              <w14:schemeClr w14:val="tx1"/>
            </w14:solidFill>
          </w14:textFill>
        </w:rPr>
        <w:t>同供应商的响应文件异常一致或者竞标报价呈规律性差异；</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5.不同供应商的响应文件相互混装；</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6.不同供应商的磋商保证金从同一单位或者个人账户转出。</w:t>
      </w:r>
    </w:p>
    <w:p>
      <w:pPr>
        <w:spacing w:line="360" w:lineRule="auto"/>
        <w:ind w:firstLine="482" w:firstLineChars="200"/>
        <w:contextualSpacing/>
        <w:rPr>
          <w:rFonts w:ascii="宋体" w:hAnsi="宋体" w:cs="仿宋_GB2312"/>
          <w:b/>
          <w:bCs/>
          <w:color w:val="000000" w:themeColor="text1"/>
          <w:sz w:val="24"/>
          <w14:textFill>
            <w14:solidFill>
              <w14:schemeClr w14:val="tx1"/>
            </w14:solidFill>
          </w14:textFill>
        </w:rPr>
      </w:pPr>
      <w:r>
        <w:rPr>
          <w:rFonts w:hint="eastAsia" w:ascii="宋体" w:hAnsi="宋体" w:cs="仿宋_GB2312"/>
          <w:b/>
          <w:bCs/>
          <w:color w:val="000000" w:themeColor="text1"/>
          <w:sz w:val="24"/>
          <w14:textFill>
            <w14:solidFill>
              <w14:schemeClr w14:val="tx1"/>
            </w14:solidFill>
          </w14:textFill>
        </w:rPr>
        <w:t>二、我方承诺无下列恶意串通的情形：</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1.供应商直接或者间接从采购人或者采购代理机构处获得其他供应商的相关信息并修改其响应文件；</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2.供应商按照采购人或者采购代理机构的授意撤换、修改响应文件；</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3.供</w:t>
      </w:r>
      <w:r>
        <w:rPr>
          <w:rFonts w:hint="eastAsia" w:ascii="宋体" w:hAnsi="宋体" w:cs="仿宋_GB2312"/>
          <w:color w:val="000000" w:themeColor="text1"/>
          <w:spacing w:val="-6"/>
          <w:sz w:val="24"/>
          <w14:textFill>
            <w14:solidFill>
              <w14:schemeClr w14:val="tx1"/>
            </w14:solidFill>
          </w14:textFill>
        </w:rPr>
        <w:t>应商之间协商报价、技术方案等响应文件的实质性内容；</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4.属于同一集团、协会、商会等组织成员的供应商按照该组织要求协同参加政府采购活动；</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5.供应商之间事先约定一致抬高或者压低竞标报价，或者在竞争性磋商项目中事先约定轮流以高价位或者低价位成交，或者事先约定由某一特定供应商成交，然后再参加竞标；</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6.供应商之间商定部分供应商放弃参加政府采购活动或者放弃成交；</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7.供应商与采购人或者采购代理机构之间、供应商相互之间，为</w:t>
      </w:r>
      <w:r>
        <w:rPr>
          <w:rFonts w:hint="eastAsia" w:ascii="宋体" w:hAnsi="宋体" w:cs="仿宋_GB2312"/>
          <w:color w:val="000000" w:themeColor="text1"/>
          <w:spacing w:val="-6"/>
          <w:sz w:val="24"/>
          <w14:textFill>
            <w14:solidFill>
              <w14:schemeClr w14:val="tx1"/>
            </w14:solidFill>
          </w14:textFill>
        </w:rPr>
        <w:t>谋求特定供应商成交或者排斥其他供应商的其他串通行为。</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p>
    <w:p>
      <w:pPr>
        <w:spacing w:line="360" w:lineRule="auto"/>
        <w:ind w:firstLine="482" w:firstLineChars="200"/>
        <w:contextualSpacing/>
        <w:rPr>
          <w:rFonts w:ascii="宋体" w:hAnsi="宋体" w:cs="仿宋_GB2312"/>
          <w:b/>
          <w:bCs/>
          <w:color w:val="000000" w:themeColor="text1"/>
          <w:sz w:val="24"/>
          <w14:textFill>
            <w14:solidFill>
              <w14:schemeClr w14:val="tx1"/>
            </w14:solidFill>
          </w14:textFill>
        </w:rPr>
      </w:pPr>
      <w:r>
        <w:rPr>
          <w:rFonts w:hint="eastAsia" w:ascii="宋体" w:hAnsi="宋体" w:cs="仿宋_GB2312"/>
          <w:b/>
          <w:bCs/>
          <w:color w:val="000000" w:themeColor="text1"/>
          <w:sz w:val="24"/>
          <w14:textFill>
            <w14:solidFill>
              <w14:schemeClr w14:val="tx1"/>
            </w14:solidFill>
          </w14:textFill>
        </w:rPr>
        <w:t>以上情形一经核查属实，我方愿意承担一切后果，并不再寻求任何旨在减轻或者免除法律责任的辩解。</w:t>
      </w:r>
    </w:p>
    <w:p>
      <w:pPr>
        <w:spacing w:line="360" w:lineRule="auto"/>
        <w:contextualSpacing/>
        <w:rPr>
          <w:rFonts w:ascii="宋体" w:hAnsi="宋体" w:cs="仿宋_GB2312"/>
          <w:color w:val="000000" w:themeColor="text1"/>
          <w:sz w:val="24"/>
          <w14:textFill>
            <w14:solidFill>
              <w14:schemeClr w14:val="tx1"/>
            </w14:solidFill>
          </w14:textFill>
        </w:rPr>
      </w:pPr>
    </w:p>
    <w:p>
      <w:pPr>
        <w:spacing w:line="360" w:lineRule="auto"/>
        <w:ind w:firstLine="3600" w:firstLineChars="15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供应商（盖公章）：</w:t>
      </w:r>
    </w:p>
    <w:p>
      <w:pPr>
        <w:spacing w:line="360" w:lineRule="auto"/>
        <w:ind w:firstLine="480" w:firstLineChars="200"/>
        <w:contextualSpacing/>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                               年   月   日</w:t>
      </w:r>
    </w:p>
    <w:p>
      <w:pPr>
        <w:spacing w:line="520" w:lineRule="exact"/>
        <w:jc w:val="center"/>
        <w:rPr>
          <w:rFonts w:ascii="方正小标宋简体" w:hAnsi="方正小标宋简体" w:eastAsia="方正小标宋简体" w:cs="方正小标宋简体"/>
          <w:bCs/>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br w:type="page"/>
      </w: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竞  标  报  价  表</w:t>
      </w:r>
    </w:p>
    <w:p>
      <w:pPr>
        <w:spacing w:line="440" w:lineRule="exact"/>
        <w:jc w:val="center"/>
        <w:rPr>
          <w:rFonts w:ascii="方正小标宋简体" w:hAnsi="方正小标宋简体" w:eastAsia="方正小标宋简体" w:cs="方正小标宋简体"/>
          <w:bCs/>
          <w:color w:val="000000" w:themeColor="text1"/>
          <w:sz w:val="32"/>
          <w:szCs w:val="32"/>
          <w14:textFill>
            <w14:solidFill>
              <w14:schemeClr w14:val="tx1"/>
            </w14:solidFill>
          </w14:textFill>
        </w:rPr>
      </w:pPr>
    </w:p>
    <w:p>
      <w:pPr>
        <w:spacing w:line="360" w:lineRule="auto"/>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项目名称：</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项目编号：</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 xml:space="preserve">     </w:t>
      </w:r>
    </w:p>
    <w:p>
      <w:pPr>
        <w:spacing w:line="360" w:lineRule="auto"/>
        <w:contextualSpacing/>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分标（如有）：</w:t>
      </w:r>
      <w:r>
        <w:rPr>
          <w:rFonts w:hint="eastAsia" w:ascii="宋体" w:hAnsi="宋体" w:cs="仿宋_GB2312"/>
          <w:color w:val="000000" w:themeColor="text1"/>
          <w:sz w:val="24"/>
          <w:u w:val="single"/>
          <w14:textFill>
            <w14:solidFill>
              <w14:schemeClr w14:val="tx1"/>
            </w14:solidFill>
          </w14:textFill>
        </w:rPr>
        <w:t xml:space="preserve">                                         </w:t>
      </w:r>
    </w:p>
    <w:p>
      <w:pPr>
        <w:spacing w:line="360" w:lineRule="auto"/>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供应商名称：</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 xml:space="preserve">   </w:t>
      </w:r>
    </w:p>
    <w:p>
      <w:pPr>
        <w:spacing w:line="360" w:lineRule="auto"/>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                                                单位：元</w:t>
      </w:r>
    </w:p>
    <w:tbl>
      <w:tblPr>
        <w:tblStyle w:val="18"/>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617"/>
        <w:gridCol w:w="617"/>
        <w:gridCol w:w="2194"/>
        <w:gridCol w:w="1184"/>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ascii="宋体" w:hAnsi="宋体" w:cs="仿宋_GB2312"/>
                <w:color w:val="000000" w:themeColor="text1"/>
                <w:sz w:val="24"/>
                <w14:textFill>
                  <w14:solidFill>
                    <w14:schemeClr w14:val="tx1"/>
                  </w14:solidFill>
                </w14:textFill>
              </w:rPr>
              <w:t>序号</w:t>
            </w:r>
          </w:p>
        </w:tc>
        <w:tc>
          <w:tcPr>
            <w:tcW w:w="27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标的</w:t>
            </w:r>
            <w:r>
              <w:rPr>
                <w:rFonts w:ascii="宋体" w:hAnsi="宋体" w:cs="仿宋_GB2312"/>
                <w:color w:val="000000" w:themeColor="text1"/>
                <w:sz w:val="24"/>
                <w14:textFill>
                  <w14:solidFill>
                    <w14:schemeClr w14:val="tx1"/>
                  </w14:solidFill>
                </w14:textFill>
              </w:rPr>
              <w:t>名称</w:t>
            </w:r>
            <w:r>
              <w:rPr>
                <w:rFonts w:hint="eastAsia" w:ascii="宋体" w:hAnsi="宋体" w:cs="仿宋_GB2312"/>
                <w:color w:val="000000" w:themeColor="text1"/>
                <w:sz w:val="24"/>
                <w14:textFill>
                  <w14:solidFill>
                    <w14:schemeClr w14:val="tx1"/>
                  </w14:solidFill>
                </w14:textFill>
              </w:rPr>
              <w:t>（按各分标实际填写）</w:t>
            </w:r>
          </w:p>
        </w:tc>
        <w:tc>
          <w:tcPr>
            <w:tcW w:w="61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数量</w:t>
            </w:r>
          </w:p>
        </w:tc>
        <w:tc>
          <w:tcPr>
            <w:tcW w:w="61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单位</w:t>
            </w:r>
          </w:p>
        </w:tc>
        <w:tc>
          <w:tcPr>
            <w:tcW w:w="21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单价</w:t>
            </w:r>
          </w:p>
        </w:tc>
        <w:tc>
          <w:tcPr>
            <w:tcW w:w="118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总价</w:t>
            </w:r>
          </w:p>
        </w:tc>
        <w:tc>
          <w:tcPr>
            <w:tcW w:w="118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ascii="宋体" w:hAnsi="宋体" w:cs="仿宋_GB2312"/>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ascii="宋体" w:hAnsi="宋体" w:cs="仿宋_GB2312"/>
                <w:color w:val="000000" w:themeColor="text1"/>
                <w:sz w:val="24"/>
                <w14:textFill>
                  <w14:solidFill>
                    <w14:schemeClr w14:val="tx1"/>
                  </w14:solidFill>
                </w14:textFill>
              </w:rPr>
              <w:t>1</w:t>
            </w:r>
          </w:p>
        </w:tc>
        <w:tc>
          <w:tcPr>
            <w:tcW w:w="27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如：挥发性有机物监测系统、颗粒物组分网第三方运维服务</w:t>
            </w:r>
          </w:p>
        </w:tc>
        <w:tc>
          <w:tcPr>
            <w:tcW w:w="61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w:t>
            </w:r>
          </w:p>
        </w:tc>
        <w:tc>
          <w:tcPr>
            <w:tcW w:w="61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项</w:t>
            </w:r>
          </w:p>
        </w:tc>
        <w:tc>
          <w:tcPr>
            <w:tcW w:w="2194"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cs="仿宋_GB2312"/>
                <w:color w:val="000000" w:themeColor="text1"/>
                <w:sz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cs="仿宋_GB2312"/>
                <w:color w:val="000000" w:themeColor="text1"/>
                <w:sz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w:t>
            </w:r>
          </w:p>
        </w:tc>
        <w:tc>
          <w:tcPr>
            <w:tcW w:w="27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如：大气颗粒物组分网手工监测</w:t>
            </w:r>
          </w:p>
        </w:tc>
        <w:tc>
          <w:tcPr>
            <w:tcW w:w="61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w:t>
            </w:r>
          </w:p>
        </w:tc>
        <w:tc>
          <w:tcPr>
            <w:tcW w:w="61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项</w:t>
            </w:r>
          </w:p>
        </w:tc>
        <w:tc>
          <w:tcPr>
            <w:tcW w:w="2194"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cs="仿宋_GB2312"/>
                <w:color w:val="000000" w:themeColor="text1"/>
                <w:sz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cs="仿宋_GB2312"/>
                <w:color w:val="000000" w:themeColor="text1"/>
                <w:sz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3</w:t>
            </w:r>
          </w:p>
        </w:tc>
        <w:tc>
          <w:tcPr>
            <w:tcW w:w="27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p>
        </w:tc>
        <w:tc>
          <w:tcPr>
            <w:tcW w:w="61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p>
        </w:tc>
        <w:tc>
          <w:tcPr>
            <w:tcW w:w="617"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cs="仿宋_GB2312"/>
                <w:color w:val="000000" w:themeColor="text1"/>
                <w:sz w:val="24"/>
                <w14:textFill>
                  <w14:solidFill>
                    <w14:schemeClr w14:val="tx1"/>
                  </w14:solidFill>
                </w14:textFill>
              </w:rPr>
            </w:pPr>
          </w:p>
        </w:tc>
        <w:tc>
          <w:tcPr>
            <w:tcW w:w="2194"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cs="仿宋_GB2312"/>
                <w:color w:val="000000" w:themeColor="text1"/>
                <w:sz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tcPr>
          <w:p>
            <w:pPr>
              <w:spacing w:line="360" w:lineRule="auto"/>
              <w:contextualSpacing/>
              <w:rPr>
                <w:rFonts w:ascii="宋体" w:hAnsi="宋体" w:cs="仿宋_GB2312"/>
                <w:color w:val="000000" w:themeColor="text1"/>
                <w:sz w:val="24"/>
                <w14:textFill>
                  <w14:solidFill>
                    <w14:schemeClr w14:val="tx1"/>
                  </w14:solidFill>
                </w14:textFill>
              </w:rPr>
            </w:pPr>
          </w:p>
        </w:tc>
        <w:tc>
          <w:tcPr>
            <w:tcW w:w="118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w:t>
            </w:r>
          </w:p>
        </w:tc>
        <w:tc>
          <w:tcPr>
            <w:tcW w:w="27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w:t>
            </w:r>
          </w:p>
        </w:tc>
        <w:tc>
          <w:tcPr>
            <w:tcW w:w="61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w:t>
            </w:r>
          </w:p>
        </w:tc>
        <w:tc>
          <w:tcPr>
            <w:tcW w:w="617"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w:t>
            </w:r>
          </w:p>
        </w:tc>
        <w:tc>
          <w:tcPr>
            <w:tcW w:w="219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w:t>
            </w:r>
          </w:p>
        </w:tc>
        <w:tc>
          <w:tcPr>
            <w:tcW w:w="118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w:t>
            </w:r>
          </w:p>
        </w:tc>
        <w:tc>
          <w:tcPr>
            <w:tcW w:w="1184"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合计金额大写：人民币</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w:t>
            </w:r>
          </w:p>
        </w:tc>
      </w:tr>
    </w:tbl>
    <w:p>
      <w:pPr>
        <w:spacing w:line="360" w:lineRule="auto"/>
        <w:contextualSpacing/>
        <w:jc w:val="left"/>
        <w:rPr>
          <w:rFonts w:ascii="宋体" w:hAnsi="宋体" w:cs="仿宋_GB2312"/>
          <w:color w:val="000000" w:themeColor="text1"/>
          <w:sz w:val="24"/>
          <w14:textFill>
            <w14:solidFill>
              <w14:schemeClr w14:val="tx1"/>
            </w14:solidFill>
          </w14:textFill>
        </w:rPr>
      </w:pPr>
    </w:p>
    <w:p>
      <w:pPr>
        <w:spacing w:line="360" w:lineRule="auto"/>
        <w:contextualSpacing/>
        <w:jc w:val="left"/>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注: </w:t>
      </w:r>
    </w:p>
    <w:p>
      <w:pPr>
        <w:spacing w:line="360" w:lineRule="auto"/>
        <w:ind w:firstLine="480" w:firstLineChars="200"/>
        <w:contextualSpacing/>
        <w:jc w:val="left"/>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1.供应商的报价表必须由法定代表人或者委托代理人签字并加盖供应商公章，</w:t>
      </w:r>
      <w:r>
        <w:rPr>
          <w:rFonts w:hint="eastAsia" w:ascii="宋体" w:hAnsi="宋体" w:cs="仿宋_GB2312"/>
          <w:b/>
          <w:color w:val="000000" w:themeColor="text1"/>
          <w:sz w:val="24"/>
          <w14:textFill>
            <w14:solidFill>
              <w14:schemeClr w14:val="tx1"/>
            </w14:solidFill>
          </w14:textFill>
        </w:rPr>
        <w:t>否则其响应文件按无效响应处理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contextualSpacing/>
        <w:jc w:val="left"/>
        <w:rPr>
          <w:rFonts w:ascii="宋体" w:hAnsi="宋体" w:cs="仿宋_GB2312"/>
          <w:b/>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2.</w:t>
      </w:r>
      <w:r>
        <w:rPr>
          <w:rFonts w:hint="eastAsia" w:ascii="宋体" w:hAnsi="宋体" w:cs="仿宋_GB2312"/>
          <w:color w:val="000000" w:themeColor="text1"/>
          <w:sz w:val="24"/>
          <w14:textFill>
            <w14:solidFill>
              <w14:schemeClr w14:val="tx1"/>
            </w14:solidFill>
          </w14:textFill>
        </w:rPr>
        <w:t>报价一经涂改，应在涂改处加盖供应商公章或者由法定代表人或者委托代理人签字后加盖公章</w:t>
      </w:r>
      <w:r>
        <w:rPr>
          <w:rFonts w:hint="eastAsia" w:ascii="宋体" w:hAnsi="宋体" w:cs="仿宋_GB2312"/>
          <w:b/>
          <w:color w:val="000000" w:themeColor="text1"/>
          <w:sz w:val="24"/>
          <w14:textFill>
            <w14:solidFill>
              <w14:schemeClr w14:val="tx1"/>
            </w14:solidFill>
          </w14:textFill>
        </w:rPr>
        <w:t>，否则其响应文件按无效响应处理。</w:t>
      </w:r>
    </w:p>
    <w:p>
      <w:pPr>
        <w:spacing w:line="360" w:lineRule="auto"/>
        <w:ind w:right="-817" w:rightChars="-389"/>
        <w:contextualSpacing/>
        <w:rPr>
          <w:rFonts w:ascii="宋体" w:hAnsi="宋体" w:cs="仿宋_GB2312"/>
          <w:color w:val="000000" w:themeColor="text1"/>
          <w:sz w:val="24"/>
          <w14:textFill>
            <w14:solidFill>
              <w14:schemeClr w14:val="tx1"/>
            </w14:solidFill>
          </w14:textFill>
        </w:rPr>
      </w:pPr>
    </w:p>
    <w:p>
      <w:pPr>
        <w:spacing w:line="360" w:lineRule="auto"/>
        <w:ind w:right="-817" w:rightChars="-389" w:firstLine="2640" w:firstLineChars="11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法定代表人或者委托代理人（签字）：                    </w:t>
      </w:r>
    </w:p>
    <w:p>
      <w:pPr>
        <w:spacing w:line="360" w:lineRule="auto"/>
        <w:ind w:right="-817" w:rightChars="-389" w:firstLine="2640" w:firstLineChars="11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供应商（盖公章）：      </w:t>
      </w:r>
    </w:p>
    <w:p>
      <w:pPr>
        <w:spacing w:line="360" w:lineRule="auto"/>
        <w:ind w:right="-817" w:rightChars="-389" w:firstLine="4080" w:firstLineChars="1700"/>
        <w:contextualSpacing/>
        <w:rPr>
          <w:rFonts w:ascii="宋体" w:hAnsi="宋体" w:cs="仿宋_GB2312"/>
          <w:b/>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日期：   年   月   日</w:t>
      </w:r>
    </w:p>
    <w:p>
      <w:pPr>
        <w:spacing w:before="312" w:beforeLines="100" w:after="156" w:afterLines="50" w:line="520" w:lineRule="exact"/>
        <w:ind w:left="540"/>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宋体" w:hAnsi="Courier New"/>
          <w:b/>
          <w:color w:val="000000" w:themeColor="text1"/>
          <w:sz w:val="32"/>
          <w:szCs w:val="32"/>
          <w14:textFill>
            <w14:solidFill>
              <w14:schemeClr w14:val="tx1"/>
            </w14:solidFill>
          </w14:textFill>
        </w:rPr>
        <w:br w:type="page"/>
      </w: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法定代表人身份证明</w:t>
      </w:r>
    </w:p>
    <w:p>
      <w:pPr>
        <w:spacing w:line="360" w:lineRule="auto"/>
        <w:ind w:left="540"/>
        <w:contextualSpacing/>
        <w:rPr>
          <w:rFonts w:ascii="仿宋_GB2312" w:hAnsi="仿宋_GB2312" w:eastAsia="仿宋_GB2312" w:cs="仿宋_GB2312"/>
          <w:color w:val="000000" w:themeColor="text1"/>
          <w:sz w:val="32"/>
          <w:szCs w:val="32"/>
          <w14:textFill>
            <w14:solidFill>
              <w14:schemeClr w14:val="tx1"/>
            </w14:solidFill>
          </w14:textFill>
        </w:rPr>
      </w:pPr>
    </w:p>
    <w:p>
      <w:pPr>
        <w:spacing w:line="360" w:lineRule="auto"/>
        <w:ind w:left="54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供应商名称：</w:t>
      </w:r>
      <w:r>
        <w:rPr>
          <w:rFonts w:hint="eastAsia" w:ascii="宋体" w:hAnsi="宋体" w:cs="仿宋_GB2312"/>
          <w:color w:val="000000" w:themeColor="text1"/>
          <w:sz w:val="24"/>
          <w:u w:val="single"/>
          <w14:textFill>
            <w14:solidFill>
              <w14:schemeClr w14:val="tx1"/>
            </w14:solidFill>
          </w14:textFill>
        </w:rPr>
        <w:t xml:space="preserve">                                                        </w:t>
      </w:r>
    </w:p>
    <w:p>
      <w:pPr>
        <w:spacing w:line="360" w:lineRule="auto"/>
        <w:ind w:left="54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地    址：</w:t>
      </w:r>
      <w:r>
        <w:rPr>
          <w:rFonts w:hint="eastAsia" w:ascii="宋体" w:hAnsi="宋体" w:cs="仿宋_GB2312"/>
          <w:color w:val="000000" w:themeColor="text1"/>
          <w:sz w:val="24"/>
          <w:u w:val="single"/>
          <w14:textFill>
            <w14:solidFill>
              <w14:schemeClr w14:val="tx1"/>
            </w14:solidFill>
          </w14:textFill>
        </w:rPr>
        <w:t xml:space="preserve">                                                        </w:t>
      </w:r>
    </w:p>
    <w:p>
      <w:pPr>
        <w:spacing w:line="360" w:lineRule="auto"/>
        <w:ind w:left="54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姓    名：</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性     别：</w:t>
      </w:r>
      <w:r>
        <w:rPr>
          <w:rFonts w:hint="eastAsia" w:ascii="宋体" w:hAnsi="宋体" w:cs="仿宋_GB2312"/>
          <w:color w:val="000000" w:themeColor="text1"/>
          <w:sz w:val="24"/>
          <w:u w:val="single"/>
          <w14:textFill>
            <w14:solidFill>
              <w14:schemeClr w14:val="tx1"/>
            </w14:solidFill>
          </w14:textFill>
        </w:rPr>
        <w:t xml:space="preserve">                </w:t>
      </w:r>
    </w:p>
    <w:p>
      <w:pPr>
        <w:spacing w:line="360" w:lineRule="auto"/>
        <w:ind w:left="540"/>
        <w:contextualSpacing/>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年    龄：</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职     务：</w:t>
      </w:r>
      <w:r>
        <w:rPr>
          <w:rFonts w:hint="eastAsia" w:ascii="宋体" w:hAnsi="宋体" w:cs="仿宋_GB2312"/>
          <w:color w:val="000000" w:themeColor="text1"/>
          <w:sz w:val="24"/>
          <w:u w:val="single"/>
          <w14:textFill>
            <w14:solidFill>
              <w14:schemeClr w14:val="tx1"/>
            </w14:solidFill>
          </w14:textFill>
        </w:rPr>
        <w:t xml:space="preserve">                </w:t>
      </w:r>
    </w:p>
    <w:p>
      <w:pPr>
        <w:spacing w:line="360" w:lineRule="auto"/>
        <w:ind w:left="54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身份证号码：</w:t>
      </w:r>
      <w:r>
        <w:rPr>
          <w:rFonts w:hint="eastAsia" w:ascii="宋体" w:hAnsi="宋体" w:cs="仿宋_GB2312"/>
          <w:color w:val="000000" w:themeColor="text1"/>
          <w:sz w:val="24"/>
          <w:u w:val="single"/>
          <w14:textFill>
            <w14:solidFill>
              <w14:schemeClr w14:val="tx1"/>
            </w14:solidFill>
          </w14:textFill>
        </w:rPr>
        <w:t xml:space="preserve">                                        </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系</w:t>
      </w:r>
      <w:r>
        <w:rPr>
          <w:rFonts w:hint="eastAsia" w:ascii="宋体" w:hAnsi="宋体" w:cs="仿宋_GB2312"/>
          <w:color w:val="000000" w:themeColor="text1"/>
          <w:sz w:val="24"/>
          <w:u w:val="single"/>
          <w14:textFill>
            <w14:solidFill>
              <w14:schemeClr w14:val="tx1"/>
            </w14:solidFill>
          </w14:textFill>
        </w:rPr>
        <w:t>（供应商名称）</w:t>
      </w:r>
      <w:r>
        <w:rPr>
          <w:rFonts w:hint="eastAsia" w:ascii="宋体" w:hAnsi="宋体" w:cs="仿宋_GB2312"/>
          <w:color w:val="000000" w:themeColor="text1"/>
          <w:sz w:val="24"/>
          <w14:textFill>
            <w14:solidFill>
              <w14:schemeClr w14:val="tx1"/>
            </w14:solidFill>
          </w14:textFill>
        </w:rPr>
        <w:t>的法定代表人。</w:t>
      </w:r>
    </w:p>
    <w:p>
      <w:pPr>
        <w:spacing w:line="360" w:lineRule="auto"/>
        <w:ind w:left="54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特此证明。</w:t>
      </w:r>
    </w:p>
    <w:p>
      <w:pPr>
        <w:spacing w:line="360" w:lineRule="auto"/>
        <w:ind w:left="540"/>
        <w:contextualSpacing/>
        <w:rPr>
          <w:rFonts w:ascii="宋体" w:hAnsi="宋体" w:cs="仿宋_GB2312"/>
          <w:color w:val="000000" w:themeColor="text1"/>
          <w:sz w:val="24"/>
          <w14:textFill>
            <w14:solidFill>
              <w14:schemeClr w14:val="tx1"/>
            </w14:solidFill>
          </w14:textFill>
        </w:rPr>
      </w:pPr>
    </w:p>
    <w:p>
      <w:pPr>
        <w:spacing w:line="360" w:lineRule="auto"/>
        <w:ind w:left="540"/>
        <w:contextualSpacing/>
        <w:rPr>
          <w:rFonts w:ascii="宋体" w:hAnsi="宋体" w:cs="仿宋_GB2312"/>
          <w:color w:val="000000" w:themeColor="text1"/>
          <w:sz w:val="24"/>
          <w14:textFill>
            <w14:solidFill>
              <w14:schemeClr w14:val="tx1"/>
            </w14:solidFill>
          </w14:textFill>
        </w:rPr>
      </w:pPr>
    </w:p>
    <w:p>
      <w:pPr>
        <w:spacing w:line="360" w:lineRule="auto"/>
        <w:ind w:left="540"/>
        <w:contextualSpacing/>
        <w:rPr>
          <w:rFonts w:ascii="宋体" w:hAnsi="宋体" w:cs="仿宋_GB2312"/>
          <w:color w:val="000000" w:themeColor="text1"/>
          <w:sz w:val="24"/>
          <w14:textFill>
            <w14:solidFill>
              <w14:schemeClr w14:val="tx1"/>
            </w14:solidFill>
          </w14:textFill>
        </w:rPr>
      </w:pPr>
    </w:p>
    <w:p>
      <w:pPr>
        <w:spacing w:line="360" w:lineRule="auto"/>
        <w:ind w:left="54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附件：法定代表人有效身份证正反面复印件</w:t>
      </w:r>
    </w:p>
    <w:p>
      <w:pPr>
        <w:spacing w:line="360" w:lineRule="auto"/>
        <w:ind w:left="540"/>
        <w:contextualSpacing/>
        <w:rPr>
          <w:rFonts w:ascii="宋体" w:hAnsi="宋体" w:cs="仿宋_GB2312"/>
          <w:color w:val="000000" w:themeColor="text1"/>
          <w:sz w:val="24"/>
          <w14:textFill>
            <w14:solidFill>
              <w14:schemeClr w14:val="tx1"/>
            </w14:solidFill>
          </w14:textFill>
        </w:rPr>
      </w:pPr>
    </w:p>
    <w:p>
      <w:pPr>
        <w:spacing w:line="360" w:lineRule="auto"/>
        <w:ind w:left="540"/>
        <w:contextualSpacing/>
        <w:jc w:val="right"/>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供应商（盖公章）：</w:t>
      </w:r>
      <w:r>
        <w:rPr>
          <w:rFonts w:hint="eastAsia" w:ascii="宋体" w:hAnsi="宋体" w:cs="仿宋_GB2312"/>
          <w:color w:val="000000" w:themeColor="text1"/>
          <w:sz w:val="24"/>
          <w:u w:val="single"/>
          <w14:textFill>
            <w14:solidFill>
              <w14:schemeClr w14:val="tx1"/>
            </w14:solidFill>
          </w14:textFill>
        </w:rPr>
        <w:t xml:space="preserve">               </w:t>
      </w:r>
    </w:p>
    <w:p>
      <w:pPr>
        <w:spacing w:line="360" w:lineRule="auto"/>
        <w:ind w:firstLine="4080" w:firstLineChars="17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年</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月</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日</w:t>
      </w:r>
    </w:p>
    <w:p>
      <w:pPr>
        <w:spacing w:line="360" w:lineRule="auto"/>
        <w:contextualSpacing/>
        <w:jc w:val="center"/>
        <w:rPr>
          <w:rFonts w:ascii="宋体" w:hAnsi="宋体" w:cs="仿宋_GB2312"/>
          <w:b/>
          <w:color w:val="000000" w:themeColor="text1"/>
          <w:sz w:val="24"/>
          <w14:textFill>
            <w14:solidFill>
              <w14:schemeClr w14:val="tx1"/>
            </w14:solidFill>
          </w14:textFill>
        </w:rPr>
      </w:pPr>
    </w:p>
    <w:p>
      <w:pPr>
        <w:spacing w:line="360" w:lineRule="auto"/>
        <w:contextualSpacing/>
        <w:jc w:val="left"/>
        <w:rPr>
          <w:rFonts w:ascii="宋体" w:hAnsi="宋体" w:cs="仿宋_GB2312"/>
          <w:color w:val="000000" w:themeColor="text1"/>
          <w:sz w:val="24"/>
          <w14:textFill>
            <w14:solidFill>
              <w14:schemeClr w14:val="tx1"/>
            </w14:solidFill>
          </w14:textFill>
        </w:rPr>
      </w:pPr>
    </w:p>
    <w:p>
      <w:pPr>
        <w:spacing w:line="360" w:lineRule="auto"/>
        <w:contextualSpacing/>
        <w:jc w:val="left"/>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注：自然人竞标的无需提供，联合体竞标的只需牵头人出具。</w:t>
      </w:r>
    </w:p>
    <w:p>
      <w:pPr>
        <w:adjustRightInd w:val="0"/>
        <w:snapToGrid w:val="0"/>
        <w:spacing w:line="300" w:lineRule="auto"/>
        <w:jc w:val="left"/>
        <w:rPr>
          <w:rFonts w:ascii="宋体" w:hAnsi="宋体"/>
          <w:b/>
          <w:color w:val="000000" w:themeColor="text1"/>
          <w:szCs w:val="21"/>
          <w14:textFill>
            <w14:solidFill>
              <w14:schemeClr w14:val="tx1"/>
            </w14:solidFill>
          </w14:textFill>
        </w:rPr>
      </w:pPr>
    </w:p>
    <w:p>
      <w:pPr>
        <w:spacing w:line="50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br w:type="page"/>
      </w:r>
      <w:r>
        <w:rPr>
          <w:rFonts w:ascii="方正小标宋简体" w:hAnsi="方正小标宋简体" w:eastAsia="方正小标宋简体" w:cs="方正小标宋简体"/>
          <w:color w:val="000000" w:themeColor="text1"/>
          <w:sz w:val="44"/>
          <w:szCs w:val="44"/>
          <w14:textFill>
            <w14:solidFill>
              <w14:schemeClr w14:val="tx1"/>
            </w14:solidFill>
          </w14:textFill>
        </w:rPr>
        <w:t xml:space="preserve"> </w:t>
      </w:r>
    </w:p>
    <w:p>
      <w:pPr>
        <w:spacing w:line="52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授权委托书</w:t>
      </w:r>
    </w:p>
    <w:p>
      <w:pPr>
        <w:spacing w:line="520" w:lineRule="exact"/>
        <w:jc w:val="center"/>
        <w:rPr>
          <w:rFonts w:ascii="方正小标宋简体" w:hAnsi="方正小标宋简体" w:eastAsia="方正小标宋简体" w:cs="方正小标宋简体"/>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14:textFill>
            <w14:solidFill>
              <w14:schemeClr w14:val="tx1"/>
            </w14:solidFill>
          </w14:textFill>
        </w:rPr>
        <w:t>（非联合体竞标格式）</w:t>
      </w:r>
    </w:p>
    <w:p>
      <w:pPr>
        <w:spacing w:line="52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32"/>
          <w:szCs w:val="32"/>
          <w14:textFill>
            <w14:solidFill>
              <w14:schemeClr w14:val="tx1"/>
            </w14:solidFill>
          </w14:textFill>
        </w:rPr>
        <w:t>（如有委托时）</w:t>
      </w:r>
    </w:p>
    <w:p>
      <w:pPr>
        <w:spacing w:line="520" w:lineRule="exact"/>
        <w:rPr>
          <w:rFonts w:ascii="仿宋_GB2312" w:hAnsi="仿宋_GB2312" w:eastAsia="仿宋_GB2312" w:cs="仿宋_GB2312"/>
          <w:color w:val="000000" w:themeColor="text1"/>
          <w:sz w:val="32"/>
          <w:szCs w:val="32"/>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致：</w:t>
      </w:r>
      <w:r>
        <w:rPr>
          <w:rFonts w:hint="eastAsia" w:ascii="宋体" w:hAnsi="宋体" w:cs="仿宋_GB2312"/>
          <w:color w:val="000000" w:themeColor="text1"/>
          <w:sz w:val="24"/>
          <w:u w:val="single"/>
          <w14:textFill>
            <w14:solidFill>
              <w14:schemeClr w14:val="tx1"/>
            </w14:solidFill>
          </w14:textFill>
        </w:rPr>
        <w:t>（采购人名称）</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我</w:t>
      </w:r>
      <w:r>
        <w:rPr>
          <w:rFonts w:hint="eastAsia" w:ascii="宋体" w:hAnsi="宋体" w:cs="仿宋_GB2312"/>
          <w:color w:val="000000" w:themeColor="text1"/>
          <w:sz w:val="24"/>
          <w:u w:val="single"/>
          <w14:textFill>
            <w14:solidFill>
              <w14:schemeClr w14:val="tx1"/>
            </w14:solidFill>
          </w14:textFill>
        </w:rPr>
        <w:t xml:space="preserve">  （姓名）  </w:t>
      </w:r>
      <w:r>
        <w:rPr>
          <w:rFonts w:hint="eastAsia" w:ascii="宋体" w:hAnsi="宋体" w:cs="仿宋_GB2312"/>
          <w:color w:val="000000" w:themeColor="text1"/>
          <w:sz w:val="24"/>
          <w14:textFill>
            <w14:solidFill>
              <w14:schemeClr w14:val="tx1"/>
            </w14:solidFill>
          </w14:textFill>
        </w:rPr>
        <w:t>系</w:t>
      </w:r>
      <w:r>
        <w:rPr>
          <w:rFonts w:hint="eastAsia" w:ascii="宋体" w:hAnsi="宋体" w:cs="仿宋_GB2312"/>
          <w:color w:val="000000" w:themeColor="text1"/>
          <w:sz w:val="24"/>
          <w:u w:val="single"/>
          <w14:textFill>
            <w14:solidFill>
              <w14:schemeClr w14:val="tx1"/>
            </w14:solidFill>
          </w14:textFill>
        </w:rPr>
        <w:t xml:space="preserve">  （供应商名称）  </w:t>
      </w:r>
      <w:r>
        <w:rPr>
          <w:rFonts w:hint="eastAsia" w:ascii="宋体" w:hAnsi="宋体" w:cs="仿宋_GB2312"/>
          <w:color w:val="000000" w:themeColor="text1"/>
          <w:sz w:val="24"/>
          <w14:textFill>
            <w14:solidFill>
              <w14:schemeClr w14:val="tx1"/>
            </w14:solidFill>
          </w14:textFill>
        </w:rPr>
        <w:t>的（</w:t>
      </w:r>
      <w:r>
        <w:rPr>
          <w:rFonts w:hint="eastAsia" w:ascii="宋体" w:hAnsi="宋体" w:cs="仿宋_GB2312"/>
          <w:color w:val="000000" w:themeColor="text1"/>
          <w:sz w:val="24"/>
          <w:u w:val="single"/>
          <w14:textFill>
            <w14:solidFill>
              <w14:schemeClr w14:val="tx1"/>
            </w14:solidFill>
          </w14:textFill>
        </w:rPr>
        <w:t>法定代表人/负责人/自然人本人</w:t>
      </w:r>
      <w:r>
        <w:rPr>
          <w:rFonts w:hint="eastAsia" w:ascii="宋体" w:hAnsi="宋体" w:cs="仿宋_GB2312"/>
          <w:color w:val="000000" w:themeColor="text1"/>
          <w:sz w:val="24"/>
          <w14:textFill>
            <w14:solidFill>
              <w14:schemeClr w14:val="tx1"/>
            </w14:solidFill>
          </w14:textFill>
        </w:rPr>
        <w:t>），现授权</w:t>
      </w:r>
      <w:r>
        <w:rPr>
          <w:rFonts w:hint="eastAsia" w:ascii="宋体" w:hAnsi="宋体" w:cs="仿宋_GB2312"/>
          <w:color w:val="000000" w:themeColor="text1"/>
          <w:sz w:val="24"/>
          <w:u w:val="single"/>
          <w14:textFill>
            <w14:solidFill>
              <w14:schemeClr w14:val="tx1"/>
            </w14:solidFill>
          </w14:textFill>
        </w:rPr>
        <w:t xml:space="preserve"> （姓名） </w:t>
      </w:r>
      <w:r>
        <w:rPr>
          <w:rFonts w:hint="eastAsia" w:ascii="宋体" w:hAnsi="宋体" w:cs="仿宋_GB2312"/>
          <w:color w:val="000000" w:themeColor="text1"/>
          <w:sz w:val="24"/>
          <w14:textFill>
            <w14:solidFill>
              <w14:schemeClr w14:val="tx1"/>
            </w14:solidFill>
          </w14:textFill>
        </w:rPr>
        <w:t>以我方的名义参加</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项目的竞标活动，并代表我方全权办理针对上述项目的所有采购程序和环节的具体事务和签署相关文件。</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    我方对委托代理人的签字事项负全部责任。</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本授权书自签署之日起生效，在撤销授权的书面通知以前，本授权书一直有效。委托代理人在授权书有效期内签署的所有文件不因授权的撤销而失效。</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委托代理人无转委托权，特此委托。</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附：法定代表人身份证明及委托代理人有效身份证正反面复印件</w:t>
      </w:r>
    </w:p>
    <w:p>
      <w:pPr>
        <w:spacing w:line="360" w:lineRule="auto"/>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委托代理人（签字）：         法定代表人（签字或者盖章）：                    </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委托代理人身份证号码：                              </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                                </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                         供应商（盖公章）：                      </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                                         年    月    日</w:t>
      </w:r>
    </w:p>
    <w:p>
      <w:pPr>
        <w:spacing w:line="360" w:lineRule="auto"/>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注：1. 法定代表人必须在授权委托书上亲笔签字或者盖章，委托代理人必须在授权委托书上亲笔签字，</w:t>
      </w:r>
      <w:r>
        <w:rPr>
          <w:rFonts w:hint="eastAsia" w:ascii="宋体" w:hAnsi="宋体" w:cs="仿宋_GB2312"/>
          <w:b/>
          <w:color w:val="000000" w:themeColor="text1"/>
          <w:sz w:val="24"/>
          <w14:textFill>
            <w14:solidFill>
              <w14:schemeClr w14:val="tx1"/>
            </w14:solidFill>
          </w14:textFill>
        </w:rPr>
        <w:t>否则其响应文件按无效响应处理。</w:t>
      </w:r>
    </w:p>
    <w:p>
      <w:pPr>
        <w:spacing w:line="360" w:lineRule="auto"/>
        <w:ind w:firstLine="480" w:firstLineChars="200"/>
        <w:jc w:val="left"/>
        <w:rPr>
          <w:rFonts w:ascii="宋体" w:hAnsi="宋体" w:cs="仿宋_GB2312"/>
          <w:color w:val="000000" w:themeColor="text1"/>
          <w:sz w:val="24"/>
          <w14:textFill>
            <w14:solidFill>
              <w14:schemeClr w14:val="tx1"/>
            </w14:solidFill>
          </w14:textFill>
        </w:rPr>
      </w:pPr>
      <w:r>
        <w:rPr>
          <w:rFonts w:ascii="宋体" w:hAnsi="宋体" w:cs="仿宋_GB2312"/>
          <w:color w:val="000000" w:themeColor="text1"/>
          <w:sz w:val="24"/>
          <w14:textFill>
            <w14:solidFill>
              <w14:schemeClr w14:val="tx1"/>
            </w14:solidFill>
          </w14:textFill>
        </w:rPr>
        <w:t>2.</w:t>
      </w:r>
      <w:bookmarkStart w:id="50" w:name="_Hlk65853109"/>
      <w:bookmarkStart w:id="51" w:name="_Hlk65853542"/>
      <w:r>
        <w:rPr>
          <w:rFonts w:hint="eastAsia" w:ascii="宋体" w:hAnsi="宋体" w:cs="仿宋_GB2312"/>
          <w:color w:val="000000" w:themeColor="text1"/>
          <w:sz w:val="24"/>
          <w14:textFill>
            <w14:solidFill>
              <w14:schemeClr w14:val="tx1"/>
            </w14:solidFill>
          </w14:textFill>
        </w:rPr>
        <w:t>法人、其他组织竞标时“我方”是指“我单位”，自然人竞标时“我方”是指“本人”。</w:t>
      </w:r>
      <w:bookmarkEnd w:id="50"/>
    </w:p>
    <w:bookmarkEnd w:id="51"/>
    <w:p>
      <w:pPr>
        <w:spacing w:line="360" w:lineRule="auto"/>
        <w:ind w:firstLine="420" w:firstLineChars="200"/>
        <w:jc w:val="left"/>
        <w:rPr>
          <w:rFonts w:ascii="仿宋_GB2312" w:hAnsi="仿宋_GB2312" w:eastAsia="仿宋_GB2312" w:cs="仿宋_GB2312"/>
          <w:color w:val="000000" w:themeColor="text1"/>
          <w:szCs w:val="21"/>
          <w14:textFill>
            <w14:solidFill>
              <w14:schemeClr w14:val="tx1"/>
            </w14:solidFill>
          </w14:textFill>
        </w:rPr>
      </w:pPr>
    </w:p>
    <w:p>
      <w:pPr>
        <w:spacing w:line="500" w:lineRule="exact"/>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w:br w:type="page"/>
      </w: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商务要求偏离表</w:t>
      </w:r>
    </w:p>
    <w:p>
      <w:pPr>
        <w:spacing w:line="360" w:lineRule="auto"/>
        <w:contextualSpacing/>
        <w:jc w:val="left"/>
        <w:rPr>
          <w:rFonts w:ascii="宋体" w:hAnsi="宋体"/>
          <w:color w:val="000000" w:themeColor="text1"/>
          <w:sz w:val="24"/>
          <w14:textFill>
            <w14:solidFill>
              <w14:schemeClr w14:val="tx1"/>
            </w14:solidFill>
          </w14:textFill>
        </w:rPr>
      </w:pPr>
    </w:p>
    <w:p>
      <w:pPr>
        <w:pStyle w:val="12"/>
        <w:spacing w:line="360" w:lineRule="auto"/>
        <w:contextualSpacing/>
        <w:rPr>
          <w:rFonts w:hAnsi="宋体" w:cs="仿宋_GB2312"/>
          <w:color w:val="000000" w:themeColor="text1"/>
          <w:sz w:val="24"/>
          <w:szCs w:val="24"/>
          <w14:textFill>
            <w14:solidFill>
              <w14:schemeClr w14:val="tx1"/>
            </w14:solidFill>
          </w14:textFill>
        </w:rPr>
      </w:pPr>
      <w:r>
        <w:rPr>
          <w:rFonts w:hint="eastAsia" w:hAnsi="宋体" w:cs="仿宋_GB2312"/>
          <w:color w:val="000000" w:themeColor="text1"/>
          <w:sz w:val="24"/>
          <w:szCs w:val="24"/>
          <w14:textFill>
            <w14:solidFill>
              <w14:schemeClr w14:val="tx1"/>
            </w14:solidFill>
          </w14:textFill>
        </w:rPr>
        <w:t>所竞分标：</w:t>
      </w:r>
      <w:r>
        <w:rPr>
          <w:rFonts w:hint="eastAsia" w:hAnsi="宋体" w:cs="仿宋_GB2312"/>
          <w:color w:val="000000" w:themeColor="text1"/>
          <w:sz w:val="24"/>
          <w:szCs w:val="24"/>
          <w:u w:val="single"/>
          <w14:textFill>
            <w14:solidFill>
              <w14:schemeClr w14:val="tx1"/>
            </w14:solidFill>
          </w14:textFill>
        </w:rPr>
        <w:t xml:space="preserve">              </w:t>
      </w:r>
    </w:p>
    <w:p>
      <w:pPr>
        <w:spacing w:line="360" w:lineRule="auto"/>
        <w:contextualSpacing/>
        <w:jc w:val="left"/>
        <w:rPr>
          <w:rFonts w:ascii="宋体" w:hAnsi="宋体" w:cs="仿宋_GB2312"/>
          <w:color w:val="000000" w:themeColor="text1"/>
          <w:sz w:val="24"/>
          <w:u w:val="single"/>
          <w14:textFill>
            <w14:solidFill>
              <w14:schemeClr w14:val="tx1"/>
            </w14:solidFill>
          </w14:textFill>
        </w:rPr>
      </w:pPr>
    </w:p>
    <w:tbl>
      <w:tblPr>
        <w:tblStyle w:val="18"/>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项目</w:t>
            </w: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磋商文件商务要求</w:t>
            </w:r>
          </w:p>
        </w:tc>
        <w:tc>
          <w:tcPr>
            <w:tcW w:w="23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交付（实施）的时间（期限）和地点（范围）</w:t>
            </w: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p>
        </w:tc>
        <w:tc>
          <w:tcPr>
            <w:tcW w:w="23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p>
        </w:tc>
        <w:tc>
          <w:tcPr>
            <w:tcW w:w="21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合同签订时间</w:t>
            </w: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p>
        </w:tc>
        <w:tc>
          <w:tcPr>
            <w:tcW w:w="2350" w:type="dxa"/>
            <w:tcBorders>
              <w:top w:val="single" w:color="auto" w:sz="4" w:space="0"/>
              <w:left w:val="single" w:color="auto" w:sz="4" w:space="0"/>
              <w:bottom w:val="single" w:color="auto" w:sz="4" w:space="0"/>
              <w:right w:val="single" w:color="auto" w:sz="4" w:space="0"/>
            </w:tcBorders>
            <w:vAlign w:val="center"/>
          </w:tcPr>
          <w:p>
            <w:pPr>
              <w:spacing w:line="360" w:lineRule="auto"/>
              <w:ind w:left="43"/>
              <w:contextualSpacing/>
              <w:jc w:val="center"/>
              <w:rPr>
                <w:rFonts w:ascii="宋体" w:hAnsi="宋体" w:cs="仿宋_GB2312"/>
                <w:color w:val="000000" w:themeColor="text1"/>
                <w:sz w:val="24"/>
                <w14:textFill>
                  <w14:solidFill>
                    <w14:schemeClr w14:val="tx1"/>
                  </w14:solidFill>
                </w14:textFill>
              </w:rPr>
            </w:pPr>
          </w:p>
        </w:tc>
        <w:tc>
          <w:tcPr>
            <w:tcW w:w="2112" w:type="dxa"/>
            <w:tcBorders>
              <w:top w:val="single" w:color="auto" w:sz="4" w:space="0"/>
              <w:left w:val="single" w:color="auto" w:sz="4" w:space="0"/>
              <w:bottom w:val="single" w:color="auto" w:sz="4" w:space="0"/>
              <w:right w:val="single" w:color="auto" w:sz="4" w:space="0"/>
            </w:tcBorders>
            <w:vAlign w:val="center"/>
          </w:tcPr>
          <w:p>
            <w:pPr>
              <w:spacing w:line="360" w:lineRule="auto"/>
              <w:ind w:left="43"/>
              <w:contextualSpacing/>
              <w:jc w:val="center"/>
              <w:rPr>
                <w:rFonts w:ascii="宋体" w:hAnsi="宋体"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w:t>
            </w:r>
          </w:p>
        </w:tc>
        <w:tc>
          <w:tcPr>
            <w:tcW w:w="2668"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p>
        </w:tc>
        <w:tc>
          <w:tcPr>
            <w:tcW w:w="23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p>
        </w:tc>
        <w:tc>
          <w:tcPr>
            <w:tcW w:w="2112"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ascii="宋体" w:hAnsi="宋体" w:cs="仿宋_GB2312"/>
                <w:color w:val="000000" w:themeColor="text1"/>
                <w:sz w:val="24"/>
                <w14:textFill>
                  <w14:solidFill>
                    <w14:schemeClr w14:val="tx1"/>
                  </w14:solidFill>
                </w14:textFill>
              </w:rPr>
            </w:pPr>
          </w:p>
        </w:tc>
      </w:tr>
    </w:tbl>
    <w:p>
      <w:pPr>
        <w:pStyle w:val="8"/>
        <w:spacing w:after="0" w:line="360" w:lineRule="auto"/>
        <w:contextualSpacing/>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注：</w:t>
      </w:r>
    </w:p>
    <w:p>
      <w:pPr>
        <w:pStyle w:val="8"/>
        <w:spacing w:after="0" w:line="360" w:lineRule="auto"/>
        <w:contextualSpacing/>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1. 说明：应对照磋商文件“第三章 采购需求”中的商务要求逐条作出明确响应，并作出偏离说明。</w:t>
      </w:r>
    </w:p>
    <w:p>
      <w:pPr>
        <w:spacing w:line="360" w:lineRule="auto"/>
        <w:contextualSpacing/>
        <w:jc w:val="left"/>
        <w:rPr>
          <w:rFonts w:ascii="宋体" w:hAnsi="宋体" w:cs="仿宋_GB2312"/>
          <w:color w:val="000000" w:themeColor="text1"/>
          <w:sz w:val="24"/>
          <w:u w:val="single"/>
          <w14:textFill>
            <w14:solidFill>
              <w14:schemeClr w14:val="tx1"/>
            </w14:solidFill>
          </w14:textFill>
        </w:rPr>
      </w:pPr>
      <w:r>
        <w:rPr>
          <w:rFonts w:hint="eastAsia" w:ascii="宋体" w:hAnsi="宋体"/>
          <w:color w:val="000000" w:themeColor="text1"/>
          <w:kern w:val="0"/>
          <w:sz w:val="24"/>
          <w14:textFill>
            <w14:solidFill>
              <w14:schemeClr w14:val="tx1"/>
            </w14:solidFill>
          </w14:textFill>
        </w:rPr>
        <w:t>2.供应商应根据自身的承诺，对照磋商文件要求在“偏离说明”中注明“正偏离”、“负偏离”或者“无偏离”。既不属于“正偏离”也不属于“负偏离”即为“无偏离”。</w:t>
      </w:r>
    </w:p>
    <w:p>
      <w:pPr>
        <w:spacing w:line="360" w:lineRule="auto"/>
        <w:ind w:right="-817" w:rightChars="-389"/>
        <w:contextualSpacing/>
        <w:rPr>
          <w:rFonts w:ascii="宋体" w:hAnsi="宋体" w:cs="仿宋_GB2312"/>
          <w:color w:val="000000" w:themeColor="text1"/>
          <w:sz w:val="24"/>
          <w14:textFill>
            <w14:solidFill>
              <w14:schemeClr w14:val="tx1"/>
            </w14:solidFill>
          </w14:textFill>
        </w:rPr>
      </w:pPr>
    </w:p>
    <w:p>
      <w:pPr>
        <w:spacing w:line="360" w:lineRule="auto"/>
        <w:ind w:right="-817" w:rightChars="-389" w:firstLine="960" w:firstLineChars="4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法定代表人或者委托代理人（签字）：                    </w:t>
      </w:r>
    </w:p>
    <w:p>
      <w:pPr>
        <w:spacing w:line="360" w:lineRule="auto"/>
        <w:ind w:right="-817" w:rightChars="-389" w:firstLine="2640" w:firstLineChars="11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供应商（盖公章）：      </w:t>
      </w:r>
    </w:p>
    <w:p>
      <w:pPr>
        <w:spacing w:line="360" w:lineRule="auto"/>
        <w:ind w:right="-817" w:rightChars="-389" w:firstLine="4080" w:firstLineChars="1700"/>
        <w:contextualSpacing/>
        <w:rPr>
          <w:rFonts w:ascii="仿宋_GB2312" w:hAnsi="仿宋_GB2312" w:eastAsia="仿宋_GB2312" w:cs="仿宋_GB2312"/>
          <w:b/>
          <w:color w:val="000000" w:themeColor="text1"/>
          <w:sz w:val="32"/>
          <w:szCs w:val="32"/>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日期：   年   月   日</w:t>
      </w:r>
    </w:p>
    <w:p>
      <w:pPr>
        <w:adjustRightInd w:val="0"/>
        <w:snapToGrid w:val="0"/>
        <w:spacing w:line="520" w:lineRule="exact"/>
        <w:ind w:firstLine="7040" w:firstLineChars="1600"/>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p>
    <w:p>
      <w:pPr>
        <w:adjustRightInd w:val="0"/>
        <w:snapToGrid w:val="0"/>
        <w:spacing w:line="520" w:lineRule="exact"/>
        <w:ind w:firstLine="7040" w:firstLineChars="1600"/>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p>
    <w:p>
      <w:pPr>
        <w:adjustRightInd w:val="0"/>
        <w:snapToGrid w:val="0"/>
        <w:spacing w:line="520" w:lineRule="exact"/>
        <w:ind w:firstLine="7040" w:firstLineChars="1600"/>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p>
    <w:p>
      <w:pPr>
        <w:adjustRightInd w:val="0"/>
        <w:snapToGrid w:val="0"/>
        <w:spacing w:line="520" w:lineRule="exact"/>
        <w:ind w:firstLine="7040" w:firstLineChars="1600"/>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p>
    <w:p>
      <w:pPr>
        <w:adjustRightInd w:val="0"/>
        <w:snapToGrid w:val="0"/>
        <w:spacing w:line="520" w:lineRule="exact"/>
        <w:rPr>
          <w:rFonts w:ascii="宋体" w:hAnsi="宋体"/>
          <w:color w:val="000000" w:themeColor="text1"/>
          <w:szCs w:val="21"/>
          <w:u w:val="single"/>
          <w14:textFill>
            <w14:solidFill>
              <w14:schemeClr w14:val="tx1"/>
            </w14:solidFill>
          </w14:textFill>
        </w:rPr>
      </w:pPr>
    </w:p>
    <w:p>
      <w:pPr>
        <w:adjustRightInd w:val="0"/>
        <w:snapToGrid w:val="0"/>
        <w:spacing w:line="300" w:lineRule="auto"/>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r>
        <w:rPr>
          <w:rFonts w:ascii="方正小标宋简体" w:hAnsi="方正小标宋简体" w:eastAsia="方正小标宋简体" w:cs="方正小标宋简体"/>
          <w:bCs/>
          <w:color w:val="000000" w:themeColor="text1"/>
          <w:sz w:val="44"/>
          <w:szCs w:val="44"/>
          <w14:textFill>
            <w14:solidFill>
              <w14:schemeClr w14:val="tx1"/>
            </w14:solidFill>
          </w14:textFill>
        </w:rPr>
        <w:br w:type="page"/>
      </w: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技术要求偏离表</w:t>
      </w:r>
    </w:p>
    <w:p>
      <w:pPr>
        <w:spacing w:line="520" w:lineRule="exact"/>
        <w:rPr>
          <w:rFonts w:ascii="仿宋_GB2312" w:hAnsi="仿宋_GB2312" w:eastAsia="仿宋_GB2312" w:cs="仿宋_GB2312"/>
          <w:color w:val="000000" w:themeColor="text1"/>
          <w:sz w:val="32"/>
          <w:szCs w:val="32"/>
          <w14:textFill>
            <w14:solidFill>
              <w14:schemeClr w14:val="tx1"/>
            </w14:solidFill>
          </w14:textFill>
        </w:rPr>
      </w:pPr>
    </w:p>
    <w:p>
      <w:pPr>
        <w:spacing w:line="360" w:lineRule="auto"/>
        <w:contextualSpacing/>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采购项目编号：</w:t>
      </w:r>
      <w:r>
        <w:rPr>
          <w:rFonts w:hint="eastAsia" w:ascii="宋体" w:hAnsi="宋体" w:cs="仿宋_GB2312"/>
          <w:color w:val="000000" w:themeColor="text1"/>
          <w:sz w:val="24"/>
          <w:u w:val="single"/>
          <w14:textFill>
            <w14:solidFill>
              <w14:schemeClr w14:val="tx1"/>
            </w14:solidFill>
          </w14:textFill>
        </w:rPr>
        <w:t xml:space="preserve">                 </w:t>
      </w:r>
    </w:p>
    <w:p>
      <w:pPr>
        <w:spacing w:line="360" w:lineRule="auto"/>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采购项目名称：</w:t>
      </w:r>
      <w:r>
        <w:rPr>
          <w:rFonts w:hint="eastAsia" w:ascii="宋体" w:hAnsi="宋体" w:cs="仿宋_GB2312"/>
          <w:color w:val="000000" w:themeColor="text1"/>
          <w:sz w:val="24"/>
          <w:u w:val="single"/>
          <w14:textFill>
            <w14:solidFill>
              <w14:schemeClr w14:val="tx1"/>
            </w14:solidFill>
          </w14:textFill>
        </w:rPr>
        <w:t xml:space="preserve">                 </w:t>
      </w:r>
    </w:p>
    <w:p>
      <w:pPr>
        <w:spacing w:line="360" w:lineRule="auto"/>
        <w:contextualSpacing/>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分标号：</w:t>
      </w:r>
      <w:r>
        <w:rPr>
          <w:rFonts w:hint="eastAsia" w:ascii="宋体" w:hAnsi="宋体" w:cs="仿宋_GB2312"/>
          <w:color w:val="000000" w:themeColor="text1"/>
          <w:sz w:val="24"/>
          <w:u w:val="single"/>
          <w14:textFill>
            <w14:solidFill>
              <w14:schemeClr w14:val="tx1"/>
            </w14:solidFill>
          </w14:textFill>
        </w:rPr>
        <w:t xml:space="preserve">                       </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92"/>
        <w:gridCol w:w="992"/>
        <w:gridCol w:w="3292"/>
        <w:gridCol w:w="2962"/>
        <w:gridCol w:w="1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bookmarkStart w:id="52" w:name="_Toc301781611"/>
            <w:bookmarkStart w:id="53" w:name="_Toc373333689"/>
            <w:bookmarkStart w:id="54" w:name="_Toc173211900"/>
            <w:bookmarkStart w:id="55" w:name="_Toc383699906"/>
            <w:bookmarkStart w:id="56" w:name="_Toc297193185"/>
            <w:bookmarkStart w:id="57" w:name="_Toc254970588"/>
            <w:bookmarkStart w:id="58" w:name="_Toc173066401"/>
            <w:bookmarkStart w:id="59" w:name="_Toc254970729"/>
            <w:bookmarkStart w:id="60" w:name="_Toc295404981"/>
            <w:r>
              <w:rPr>
                <w:rFonts w:hint="eastAsia" w:ascii="宋体" w:hAnsi="宋体" w:eastAsia="宋体" w:cs="仿宋_GB2312"/>
                <w:color w:val="000000" w:themeColor="text1"/>
                <w:kern w:val="2"/>
                <w:sz w:val="24"/>
                <w:szCs w:val="24"/>
                <w14:textFill>
                  <w14:solidFill>
                    <w14:schemeClr w14:val="tx1"/>
                  </w14:solidFill>
                </w14:textFill>
              </w:rPr>
              <w:t>序号</w:t>
            </w:r>
            <w:bookmarkEnd w:id="52"/>
            <w:bookmarkEnd w:id="53"/>
            <w:bookmarkEnd w:id="54"/>
            <w:bookmarkEnd w:id="55"/>
            <w:bookmarkEnd w:id="56"/>
            <w:bookmarkEnd w:id="57"/>
            <w:bookmarkEnd w:id="58"/>
            <w:bookmarkEnd w:id="59"/>
            <w:bookmarkEnd w:id="60"/>
          </w:p>
        </w:tc>
        <w:tc>
          <w:tcPr>
            <w:tcW w:w="992" w:type="dxa"/>
            <w:tcBorders>
              <w:righ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r>
              <w:rPr>
                <w:rFonts w:hint="eastAsia" w:ascii="宋体" w:hAnsi="宋体" w:eastAsia="宋体" w:cs="仿宋_GB2312"/>
                <w:color w:val="000000" w:themeColor="text1"/>
                <w:kern w:val="2"/>
                <w:sz w:val="24"/>
                <w:szCs w:val="24"/>
                <w14:textFill>
                  <w14:solidFill>
                    <w14:schemeClr w14:val="tx1"/>
                  </w14:solidFill>
                </w14:textFill>
              </w:rPr>
              <w:t>名称</w:t>
            </w:r>
          </w:p>
        </w:tc>
        <w:tc>
          <w:tcPr>
            <w:tcW w:w="3292" w:type="dxa"/>
            <w:tcBorders>
              <w:lef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r>
              <w:rPr>
                <w:rFonts w:hint="eastAsia" w:ascii="宋体" w:hAnsi="宋体" w:eastAsia="宋体" w:cs="仿宋_GB2312"/>
                <w:color w:val="000000" w:themeColor="text1"/>
                <w:kern w:val="2"/>
                <w:sz w:val="24"/>
                <w:szCs w:val="24"/>
                <w14:textFill>
                  <w14:solidFill>
                    <w14:schemeClr w14:val="tx1"/>
                  </w14:solidFill>
                </w14:textFill>
              </w:rPr>
              <w:t>磋商文件技术要求</w:t>
            </w:r>
          </w:p>
        </w:tc>
        <w:tc>
          <w:tcPr>
            <w:tcW w:w="296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bookmarkStart w:id="61" w:name="_Toc173211902"/>
            <w:bookmarkStart w:id="62" w:name="_Toc297193187"/>
            <w:bookmarkStart w:id="63" w:name="_Toc383699908"/>
            <w:bookmarkStart w:id="64" w:name="_Toc254970731"/>
            <w:bookmarkStart w:id="65" w:name="_Toc301781613"/>
            <w:bookmarkStart w:id="66" w:name="_Toc373333691"/>
            <w:bookmarkStart w:id="67" w:name="_Toc295404983"/>
            <w:bookmarkStart w:id="68" w:name="_Toc173066403"/>
            <w:bookmarkStart w:id="69" w:name="_Toc254970590"/>
            <w:r>
              <w:rPr>
                <w:rFonts w:hint="eastAsia" w:ascii="宋体" w:hAnsi="宋体" w:eastAsia="宋体" w:cs="仿宋_GB2312"/>
                <w:color w:val="000000" w:themeColor="text1"/>
                <w:kern w:val="2"/>
                <w:sz w:val="24"/>
                <w:szCs w:val="24"/>
                <w14:textFill>
                  <w14:solidFill>
                    <w14:schemeClr w14:val="tx1"/>
                  </w14:solidFill>
                </w14:textFill>
              </w:rPr>
              <w:t>竞标响应</w:t>
            </w:r>
            <w:bookmarkEnd w:id="61"/>
            <w:bookmarkEnd w:id="62"/>
            <w:bookmarkEnd w:id="63"/>
            <w:bookmarkEnd w:id="64"/>
            <w:bookmarkEnd w:id="65"/>
            <w:bookmarkEnd w:id="66"/>
            <w:bookmarkEnd w:id="67"/>
            <w:bookmarkEnd w:id="68"/>
            <w:bookmarkEnd w:id="69"/>
          </w:p>
        </w:tc>
        <w:tc>
          <w:tcPr>
            <w:tcW w:w="1616"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bookmarkStart w:id="70" w:name="_Toc297193188"/>
            <w:bookmarkStart w:id="71" w:name="_Toc254970591"/>
            <w:bookmarkStart w:id="72" w:name="_Toc301781614"/>
            <w:bookmarkStart w:id="73" w:name="_Toc173066404"/>
            <w:bookmarkStart w:id="74" w:name="_Toc383699909"/>
            <w:bookmarkStart w:id="75" w:name="_Toc173211903"/>
            <w:bookmarkStart w:id="76" w:name="_Toc373333692"/>
            <w:bookmarkStart w:id="77" w:name="_Toc295404984"/>
            <w:bookmarkStart w:id="78" w:name="_Toc254970732"/>
            <w:r>
              <w:rPr>
                <w:rFonts w:hint="eastAsia" w:ascii="宋体" w:hAnsi="宋体" w:eastAsia="宋体" w:cs="仿宋_GB2312"/>
                <w:color w:val="000000" w:themeColor="text1"/>
                <w:kern w:val="2"/>
                <w:sz w:val="24"/>
                <w:szCs w:val="24"/>
                <w14:textFill>
                  <w14:solidFill>
                    <w14:schemeClr w14:val="tx1"/>
                  </w14:solidFill>
                </w14:textFill>
              </w:rPr>
              <w:t>偏离</w:t>
            </w:r>
            <w:bookmarkEnd w:id="70"/>
            <w:bookmarkEnd w:id="71"/>
            <w:bookmarkEnd w:id="72"/>
            <w:bookmarkEnd w:id="73"/>
            <w:bookmarkEnd w:id="74"/>
            <w:bookmarkEnd w:id="75"/>
            <w:bookmarkEnd w:id="76"/>
            <w:bookmarkEnd w:id="77"/>
            <w:bookmarkEnd w:id="78"/>
            <w:bookmarkStart w:id="79" w:name="_Toc383699910"/>
            <w:bookmarkStart w:id="80" w:name="_Toc254970592"/>
            <w:bookmarkStart w:id="81" w:name="_Toc173066405"/>
            <w:bookmarkStart w:id="82" w:name="_Toc254970733"/>
            <w:bookmarkStart w:id="83" w:name="_Toc301781615"/>
            <w:bookmarkStart w:id="84" w:name="_Toc173211904"/>
            <w:bookmarkStart w:id="85" w:name="_Toc373333693"/>
            <w:bookmarkStart w:id="86" w:name="_Toc295404985"/>
            <w:bookmarkStart w:id="87" w:name="_Toc297193189"/>
            <w:r>
              <w:rPr>
                <w:rFonts w:hint="eastAsia" w:ascii="宋体" w:hAnsi="宋体" w:eastAsia="宋体" w:cs="仿宋_GB2312"/>
                <w:color w:val="000000" w:themeColor="text1"/>
                <w:kern w:val="2"/>
                <w:sz w:val="24"/>
                <w:szCs w:val="24"/>
                <w14:textFill>
                  <w14:solidFill>
                    <w14:schemeClr w14:val="tx1"/>
                  </w14:solidFill>
                </w14:textFill>
              </w:rPr>
              <w:t>说明</w:t>
            </w:r>
            <w:bookmarkEnd w:id="79"/>
            <w:bookmarkEnd w:id="80"/>
            <w:bookmarkEnd w:id="81"/>
            <w:bookmarkEnd w:id="82"/>
            <w:bookmarkEnd w:id="83"/>
            <w:bookmarkEnd w:id="84"/>
            <w:bookmarkEnd w:id="85"/>
            <w:bookmarkEnd w:id="86"/>
            <w:bookmarkEnd w:id="87"/>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bookmarkStart w:id="88" w:name="_Toc383699911"/>
            <w:bookmarkStart w:id="89" w:name="_Toc295404986"/>
            <w:bookmarkStart w:id="90" w:name="_Toc301781616"/>
            <w:bookmarkStart w:id="91" w:name="_Toc297193190"/>
            <w:bookmarkStart w:id="92" w:name="_Toc173211905"/>
            <w:bookmarkStart w:id="93" w:name="_Toc254970734"/>
            <w:bookmarkStart w:id="94" w:name="_Toc173066406"/>
            <w:bookmarkStart w:id="95" w:name="_Toc254970593"/>
            <w:bookmarkStart w:id="96" w:name="_Toc373333694"/>
            <w:r>
              <w:rPr>
                <w:rFonts w:hint="eastAsia" w:ascii="宋体" w:hAnsi="宋体" w:eastAsia="宋体" w:cs="仿宋_GB2312"/>
                <w:color w:val="000000" w:themeColor="text1"/>
                <w:kern w:val="2"/>
                <w:sz w:val="24"/>
                <w:szCs w:val="24"/>
                <w14:textFill>
                  <w14:solidFill>
                    <w14:schemeClr w14:val="tx1"/>
                  </w14:solidFill>
                </w14:textFill>
              </w:rPr>
              <w:t>1</w:t>
            </w:r>
            <w:bookmarkEnd w:id="88"/>
            <w:bookmarkEnd w:id="89"/>
            <w:bookmarkEnd w:id="90"/>
            <w:bookmarkEnd w:id="91"/>
            <w:bookmarkEnd w:id="92"/>
            <w:bookmarkEnd w:id="93"/>
            <w:bookmarkEnd w:id="94"/>
            <w:bookmarkEnd w:id="95"/>
            <w:bookmarkEnd w:id="96"/>
          </w:p>
        </w:tc>
        <w:tc>
          <w:tcPr>
            <w:tcW w:w="992" w:type="dxa"/>
            <w:tcBorders>
              <w:righ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3292" w:type="dxa"/>
            <w:tcBorders>
              <w:lef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296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1616"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bookmarkStart w:id="97" w:name="_Toc254970594"/>
            <w:bookmarkStart w:id="98" w:name="_Toc297193191"/>
            <w:bookmarkStart w:id="99" w:name="_Toc301781617"/>
            <w:bookmarkStart w:id="100" w:name="_Toc383699912"/>
            <w:bookmarkStart w:id="101" w:name="_Toc295404987"/>
            <w:bookmarkStart w:id="102" w:name="_Toc373333695"/>
            <w:bookmarkStart w:id="103" w:name="_Toc173066407"/>
            <w:bookmarkStart w:id="104" w:name="_Toc173211906"/>
            <w:bookmarkStart w:id="105" w:name="_Toc254970735"/>
            <w:r>
              <w:rPr>
                <w:rFonts w:hint="eastAsia" w:ascii="宋体" w:hAnsi="宋体" w:eastAsia="宋体" w:cs="仿宋_GB2312"/>
                <w:color w:val="000000" w:themeColor="text1"/>
                <w:kern w:val="2"/>
                <w:sz w:val="24"/>
                <w:szCs w:val="24"/>
                <w14:textFill>
                  <w14:solidFill>
                    <w14:schemeClr w14:val="tx1"/>
                  </w14:solidFill>
                </w14:textFill>
              </w:rPr>
              <w:t>2</w:t>
            </w:r>
            <w:bookmarkEnd w:id="97"/>
            <w:bookmarkEnd w:id="98"/>
            <w:bookmarkEnd w:id="99"/>
            <w:bookmarkEnd w:id="100"/>
            <w:bookmarkEnd w:id="101"/>
            <w:bookmarkEnd w:id="102"/>
            <w:bookmarkEnd w:id="103"/>
            <w:bookmarkEnd w:id="104"/>
            <w:bookmarkEnd w:id="105"/>
          </w:p>
        </w:tc>
        <w:tc>
          <w:tcPr>
            <w:tcW w:w="992" w:type="dxa"/>
            <w:tcBorders>
              <w:righ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3292" w:type="dxa"/>
            <w:tcBorders>
              <w:lef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296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1616"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bookmarkStart w:id="106" w:name="_Toc173211907"/>
            <w:bookmarkStart w:id="107" w:name="_Toc383699913"/>
            <w:bookmarkStart w:id="108" w:name="_Toc373333696"/>
            <w:bookmarkStart w:id="109" w:name="_Toc173066408"/>
            <w:bookmarkStart w:id="110" w:name="_Toc301781618"/>
            <w:bookmarkStart w:id="111" w:name="_Toc295404988"/>
            <w:bookmarkStart w:id="112" w:name="_Toc254970595"/>
            <w:bookmarkStart w:id="113" w:name="_Toc254970736"/>
            <w:bookmarkStart w:id="114" w:name="_Toc297193192"/>
            <w:r>
              <w:rPr>
                <w:rFonts w:hint="eastAsia" w:ascii="宋体" w:hAnsi="宋体" w:eastAsia="宋体" w:cs="仿宋_GB2312"/>
                <w:color w:val="000000" w:themeColor="text1"/>
                <w:kern w:val="2"/>
                <w:sz w:val="24"/>
                <w:szCs w:val="24"/>
                <w14:textFill>
                  <w14:solidFill>
                    <w14:schemeClr w14:val="tx1"/>
                  </w14:solidFill>
                </w14:textFill>
              </w:rPr>
              <w:t>3</w:t>
            </w:r>
            <w:bookmarkEnd w:id="106"/>
            <w:bookmarkEnd w:id="107"/>
            <w:bookmarkEnd w:id="108"/>
            <w:bookmarkEnd w:id="109"/>
            <w:bookmarkEnd w:id="110"/>
            <w:bookmarkEnd w:id="111"/>
            <w:bookmarkEnd w:id="112"/>
            <w:bookmarkEnd w:id="113"/>
            <w:bookmarkEnd w:id="114"/>
          </w:p>
        </w:tc>
        <w:tc>
          <w:tcPr>
            <w:tcW w:w="992" w:type="dxa"/>
            <w:tcBorders>
              <w:righ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3292" w:type="dxa"/>
            <w:tcBorders>
              <w:lef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296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1616"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bookmarkStart w:id="115" w:name="_Toc173066409"/>
            <w:bookmarkStart w:id="116" w:name="_Toc295404989"/>
            <w:bookmarkStart w:id="117" w:name="_Toc173211908"/>
            <w:bookmarkStart w:id="118" w:name="_Toc383699914"/>
            <w:bookmarkStart w:id="119" w:name="_Toc373333697"/>
            <w:bookmarkStart w:id="120" w:name="_Toc297193193"/>
            <w:bookmarkStart w:id="121" w:name="_Toc254970737"/>
            <w:bookmarkStart w:id="122" w:name="_Toc254970596"/>
            <w:bookmarkStart w:id="123" w:name="_Toc301781619"/>
            <w:r>
              <w:rPr>
                <w:rFonts w:hint="eastAsia" w:ascii="宋体" w:hAnsi="宋体" w:eastAsia="宋体" w:cs="仿宋_GB2312"/>
                <w:color w:val="000000" w:themeColor="text1"/>
                <w:kern w:val="2"/>
                <w:sz w:val="24"/>
                <w:szCs w:val="24"/>
                <w14:textFill>
                  <w14:solidFill>
                    <w14:schemeClr w14:val="tx1"/>
                  </w14:solidFill>
                </w14:textFill>
              </w:rPr>
              <w:t>4</w:t>
            </w:r>
            <w:bookmarkEnd w:id="115"/>
            <w:bookmarkEnd w:id="116"/>
            <w:bookmarkEnd w:id="117"/>
            <w:bookmarkEnd w:id="118"/>
            <w:bookmarkEnd w:id="119"/>
            <w:bookmarkEnd w:id="120"/>
            <w:bookmarkEnd w:id="121"/>
            <w:bookmarkEnd w:id="122"/>
            <w:bookmarkEnd w:id="123"/>
          </w:p>
        </w:tc>
        <w:tc>
          <w:tcPr>
            <w:tcW w:w="992" w:type="dxa"/>
            <w:tcBorders>
              <w:righ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3292" w:type="dxa"/>
            <w:tcBorders>
              <w:lef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296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1616"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9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bookmarkStart w:id="124" w:name="_Toc173211909"/>
            <w:bookmarkStart w:id="125" w:name="_Toc173066410"/>
            <w:bookmarkStart w:id="126" w:name="_Toc254970738"/>
            <w:bookmarkStart w:id="127" w:name="_Toc295404990"/>
            <w:bookmarkStart w:id="128" w:name="_Toc373333698"/>
            <w:bookmarkStart w:id="129" w:name="_Toc383699915"/>
            <w:bookmarkStart w:id="130" w:name="_Toc301781620"/>
            <w:bookmarkStart w:id="131" w:name="_Toc297193194"/>
            <w:bookmarkStart w:id="132" w:name="_Toc254970597"/>
            <w:r>
              <w:rPr>
                <w:rFonts w:hint="eastAsia" w:ascii="宋体" w:hAnsi="宋体" w:eastAsia="宋体" w:cs="仿宋_GB2312"/>
                <w:color w:val="000000" w:themeColor="text1"/>
                <w:kern w:val="2"/>
                <w:sz w:val="24"/>
                <w:szCs w:val="24"/>
                <w14:textFill>
                  <w14:solidFill>
                    <w14:schemeClr w14:val="tx1"/>
                  </w14:solidFill>
                </w14:textFill>
              </w:rPr>
              <w:t>5</w:t>
            </w:r>
            <w:bookmarkEnd w:id="124"/>
            <w:bookmarkEnd w:id="125"/>
            <w:bookmarkEnd w:id="126"/>
            <w:bookmarkEnd w:id="127"/>
            <w:bookmarkEnd w:id="128"/>
            <w:bookmarkEnd w:id="129"/>
            <w:bookmarkEnd w:id="130"/>
            <w:bookmarkEnd w:id="131"/>
            <w:bookmarkEnd w:id="132"/>
          </w:p>
        </w:tc>
        <w:tc>
          <w:tcPr>
            <w:tcW w:w="992" w:type="dxa"/>
            <w:tcBorders>
              <w:righ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3292" w:type="dxa"/>
            <w:tcBorders>
              <w:lef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296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1616"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9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bookmarkStart w:id="133" w:name="_Toc297193195"/>
            <w:bookmarkStart w:id="134" w:name="_Toc173066415"/>
            <w:bookmarkStart w:id="135" w:name="_Toc373333699"/>
            <w:bookmarkStart w:id="136" w:name="_Toc301781621"/>
            <w:bookmarkStart w:id="137" w:name="_Toc295404991"/>
            <w:bookmarkStart w:id="138" w:name="_Toc254970602"/>
            <w:bookmarkStart w:id="139" w:name="_Toc173211914"/>
            <w:bookmarkStart w:id="140" w:name="_Toc383699916"/>
            <w:bookmarkStart w:id="141" w:name="_Toc254970743"/>
            <w:r>
              <w:rPr>
                <w:rFonts w:hint="eastAsia" w:ascii="宋体" w:hAnsi="宋体" w:eastAsia="宋体" w:cs="仿宋_GB2312"/>
                <w:color w:val="000000" w:themeColor="text1"/>
                <w:kern w:val="2"/>
                <w:sz w:val="24"/>
                <w:szCs w:val="24"/>
                <w14:textFill>
                  <w14:solidFill>
                    <w14:schemeClr w14:val="tx1"/>
                  </w14:solidFill>
                </w14:textFill>
              </w:rPr>
              <w:t>…</w:t>
            </w:r>
            <w:bookmarkEnd w:id="133"/>
            <w:bookmarkEnd w:id="134"/>
            <w:bookmarkEnd w:id="135"/>
            <w:bookmarkEnd w:id="136"/>
            <w:bookmarkEnd w:id="137"/>
            <w:bookmarkEnd w:id="138"/>
            <w:bookmarkEnd w:id="139"/>
            <w:bookmarkEnd w:id="140"/>
            <w:bookmarkEnd w:id="141"/>
          </w:p>
        </w:tc>
        <w:tc>
          <w:tcPr>
            <w:tcW w:w="992" w:type="dxa"/>
            <w:tcBorders>
              <w:righ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3292" w:type="dxa"/>
            <w:tcBorders>
              <w:lef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2962" w:type="dxa"/>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c>
          <w:tcPr>
            <w:tcW w:w="1616" w:type="dxa"/>
            <w:tcBorders>
              <w:right w:val="single" w:color="auto" w:sz="4" w:space="0"/>
            </w:tcBorders>
            <w:vAlign w:val="center"/>
          </w:tcPr>
          <w:p>
            <w:pPr>
              <w:pStyle w:val="10"/>
              <w:spacing w:line="360" w:lineRule="auto"/>
              <w:ind w:firstLine="0" w:firstLineChars="0"/>
              <w:contextualSpacing/>
              <w:jc w:val="center"/>
              <w:rPr>
                <w:rFonts w:ascii="宋体" w:hAnsi="宋体" w:eastAsia="宋体" w:cs="仿宋_GB2312"/>
                <w:color w:val="000000" w:themeColor="text1"/>
                <w:kern w:val="2"/>
                <w:sz w:val="24"/>
                <w:szCs w:val="24"/>
                <w14:textFill>
                  <w14:solidFill>
                    <w14:schemeClr w14:val="tx1"/>
                  </w14:solidFill>
                </w14:textFill>
              </w:rPr>
            </w:pPr>
          </w:p>
        </w:tc>
      </w:tr>
    </w:tbl>
    <w:p>
      <w:pPr>
        <w:adjustRightInd w:val="0"/>
        <w:spacing w:line="360" w:lineRule="auto"/>
        <w:contextualSpacing/>
        <w:rPr>
          <w:rFonts w:ascii="宋体" w:hAnsi="宋体" w:cs="仿宋_GB2312"/>
          <w:color w:val="000000" w:themeColor="text1"/>
          <w:sz w:val="24"/>
          <w14:textFill>
            <w14:solidFill>
              <w14:schemeClr w14:val="tx1"/>
            </w14:solidFill>
          </w14:textFill>
        </w:rPr>
      </w:pPr>
    </w:p>
    <w:p>
      <w:pPr>
        <w:pStyle w:val="10"/>
        <w:spacing w:line="360" w:lineRule="auto"/>
        <w:ind w:firstLine="0" w:firstLineChars="0"/>
        <w:contextualSpacing/>
        <w:rPr>
          <w:rFonts w:ascii="宋体" w:hAnsi="宋体" w:eastAsia="宋体" w:cs="仿宋_GB2312"/>
          <w:color w:val="000000" w:themeColor="text1"/>
          <w:sz w:val="24"/>
          <w:szCs w:val="24"/>
          <w14:textFill>
            <w14:solidFill>
              <w14:schemeClr w14:val="tx1"/>
            </w14:solidFill>
          </w14:textFill>
        </w:rPr>
      </w:pPr>
      <w:r>
        <w:rPr>
          <w:rFonts w:hint="eastAsia" w:ascii="宋体" w:hAnsi="宋体" w:eastAsia="宋体" w:cs="仿宋_GB2312"/>
          <w:color w:val="000000" w:themeColor="text1"/>
          <w:sz w:val="24"/>
          <w:szCs w:val="24"/>
          <w14:textFill>
            <w14:solidFill>
              <w14:schemeClr w14:val="tx1"/>
            </w14:solidFill>
          </w14:textFill>
        </w:rPr>
        <w:t>注：</w:t>
      </w:r>
    </w:p>
    <w:p>
      <w:pPr>
        <w:pStyle w:val="10"/>
        <w:spacing w:line="360" w:lineRule="auto"/>
        <w:ind w:firstLine="0" w:firstLineChars="0"/>
        <w:contextualSpacing/>
        <w:rPr>
          <w:rFonts w:ascii="宋体" w:hAnsi="宋体" w:eastAsia="宋体" w:cs="仿宋_GB2312"/>
          <w:color w:val="000000" w:themeColor="text1"/>
          <w:sz w:val="24"/>
          <w:szCs w:val="24"/>
          <w14:textFill>
            <w14:solidFill>
              <w14:schemeClr w14:val="tx1"/>
            </w14:solidFill>
          </w14:textFill>
        </w:rPr>
      </w:pPr>
      <w:r>
        <w:rPr>
          <w:rFonts w:hint="eastAsia" w:ascii="宋体" w:hAnsi="宋体" w:eastAsia="宋体" w:cs="仿宋_GB2312"/>
          <w:color w:val="000000" w:themeColor="text1"/>
          <w:sz w:val="24"/>
          <w:szCs w:val="24"/>
          <w14:textFill>
            <w14:solidFill>
              <w14:schemeClr w14:val="tx1"/>
            </w14:solidFill>
          </w14:textFill>
        </w:rPr>
        <w:t>1. 说明：应对照磋商文件“第三章 采购需求”中的技术要求逐条作出明确响应，并作出偏离说明。</w:t>
      </w:r>
    </w:p>
    <w:p>
      <w:pPr>
        <w:pStyle w:val="10"/>
        <w:spacing w:line="360" w:lineRule="auto"/>
        <w:ind w:firstLine="0" w:firstLineChars="0"/>
        <w:contextualSpacing/>
        <w:rPr>
          <w:rFonts w:ascii="宋体" w:hAnsi="宋体" w:eastAsia="宋体" w:cs="仿宋_GB2312"/>
          <w:color w:val="000000" w:themeColor="text1"/>
          <w:sz w:val="24"/>
          <w:szCs w:val="24"/>
          <w14:textFill>
            <w14:solidFill>
              <w14:schemeClr w14:val="tx1"/>
            </w14:solidFill>
          </w14:textFill>
        </w:rPr>
      </w:pPr>
      <w:r>
        <w:rPr>
          <w:rFonts w:hint="eastAsia" w:ascii="宋体" w:hAnsi="宋体" w:eastAsia="宋体" w:cs="仿宋_GB2312"/>
          <w:color w:val="000000" w:themeColor="text1"/>
          <w:sz w:val="24"/>
          <w:szCs w:val="24"/>
          <w14:textFill>
            <w14:solidFill>
              <w14:schemeClr w14:val="tx1"/>
            </w14:solidFill>
          </w14:textFill>
        </w:rPr>
        <w:t>2.供应商应根据自身的承诺，对照磋商文件要求，在“偏离说明”中注明“正偏离”、“负偏离”或者“无偏离”。既不属于“正偏离”也不属于“负偏离”即为“无偏离”。</w:t>
      </w:r>
    </w:p>
    <w:p>
      <w:pPr>
        <w:spacing w:line="360" w:lineRule="auto"/>
        <w:ind w:right="-817" w:rightChars="-389"/>
        <w:contextualSpacing/>
        <w:rPr>
          <w:rFonts w:ascii="宋体" w:hAnsi="宋体" w:cs="仿宋_GB2312"/>
          <w:color w:val="000000" w:themeColor="text1"/>
          <w:sz w:val="24"/>
          <w14:textFill>
            <w14:solidFill>
              <w14:schemeClr w14:val="tx1"/>
            </w14:solidFill>
          </w14:textFill>
        </w:rPr>
      </w:pPr>
    </w:p>
    <w:p>
      <w:pPr>
        <w:spacing w:line="360" w:lineRule="auto"/>
        <w:ind w:right="-817" w:rightChars="-389" w:firstLine="960" w:firstLineChars="4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法定代表人或者委托代理人（签字）：                    </w:t>
      </w:r>
    </w:p>
    <w:p>
      <w:pPr>
        <w:spacing w:line="360" w:lineRule="auto"/>
        <w:ind w:right="-817" w:rightChars="-389" w:firstLine="2640" w:firstLineChars="11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 xml:space="preserve">供应商（盖公章）：      </w:t>
      </w:r>
    </w:p>
    <w:p>
      <w:pPr>
        <w:spacing w:line="360" w:lineRule="auto"/>
        <w:ind w:right="-817" w:rightChars="-389" w:firstLine="4080" w:firstLineChars="17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日期：   年   月   日</w:t>
      </w:r>
    </w:p>
    <w:p>
      <w:pPr>
        <w:snapToGrid w:val="0"/>
        <w:spacing w:before="156" w:beforeLines="50" w:after="50"/>
        <w:ind w:left="142"/>
        <w:jc w:val="left"/>
        <w:rPr>
          <w:rFonts w:ascii="宋体" w:hAnsi="宋体"/>
          <w:b/>
          <w:color w:val="000000" w:themeColor="text1"/>
          <w:sz w:val="24"/>
          <w14:textFill>
            <w14:solidFill>
              <w14:schemeClr w14:val="tx1"/>
            </w14:solidFill>
          </w14:textFill>
        </w:rPr>
      </w:pPr>
      <w:r>
        <w:rPr>
          <w:rFonts w:ascii="宋体" w:hAnsi="宋体" w:cs="仿宋_GB2312"/>
          <w:color w:val="000000" w:themeColor="text1"/>
          <w:sz w:val="24"/>
          <w14:textFill>
            <w14:solidFill>
              <w14:schemeClr w14:val="tx1"/>
            </w14:solidFill>
          </w14:textFill>
        </w:rPr>
        <w:br w:type="page"/>
      </w:r>
      <w:r>
        <w:rPr>
          <w:rFonts w:hint="eastAsia" w:ascii="宋体" w:hAnsi="宋体"/>
          <w:b/>
          <w:color w:val="000000" w:themeColor="text1"/>
          <w:sz w:val="24"/>
          <w14:textFill>
            <w14:solidFill>
              <w14:schemeClr w14:val="tx1"/>
            </w14:solidFill>
          </w14:textFill>
        </w:rPr>
        <w:t>项目实施人员一览表格式</w:t>
      </w:r>
    </w:p>
    <w:p>
      <w:pPr>
        <w:snapToGrid w:val="0"/>
        <w:spacing w:before="156" w:beforeLines="50" w:after="50"/>
        <w:ind w:left="142"/>
        <w:jc w:val="left"/>
        <w:rPr>
          <w:rFonts w:ascii="宋体" w:hAnsi="宋体"/>
          <w:b/>
          <w:color w:val="000000" w:themeColor="text1"/>
          <w:sz w:val="24"/>
          <w14:textFill>
            <w14:solidFill>
              <w14:schemeClr w14:val="tx1"/>
            </w14:solidFill>
          </w14:textFill>
        </w:rPr>
      </w:pPr>
    </w:p>
    <w:p>
      <w:pPr>
        <w:spacing w:line="360" w:lineRule="auto"/>
        <w:ind w:left="142"/>
        <w:contextualSpacing/>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项目实施人员一览表</w:t>
      </w:r>
    </w:p>
    <w:p>
      <w:pPr>
        <w:pStyle w:val="12"/>
        <w:spacing w:line="360" w:lineRule="auto"/>
        <w:contextualSpacing/>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所竞分标：</w:t>
      </w:r>
      <w:r>
        <w:rPr>
          <w:rFonts w:hint="eastAsia"/>
          <w:color w:val="000000" w:themeColor="text1"/>
          <w:sz w:val="24"/>
          <w:szCs w:val="24"/>
          <w:u w:val="single"/>
          <w14:textFill>
            <w14:solidFill>
              <w14:schemeClr w14:val="tx1"/>
            </w14:solidFill>
          </w14:textFill>
        </w:rPr>
        <w:t xml:space="preserve">     </w:t>
      </w:r>
      <w:r>
        <w:rPr>
          <w:rFonts w:hint="eastAsia"/>
          <w:color w:val="000000" w:themeColor="text1"/>
          <w:sz w:val="24"/>
          <w:szCs w:val="24"/>
          <w14:textFill>
            <w14:solidFill>
              <w14:schemeClr w14:val="tx1"/>
            </w14:solidFill>
          </w14:textFill>
        </w:rPr>
        <w:t>分标</w:t>
      </w:r>
    </w:p>
    <w:tbl>
      <w:tblPr>
        <w:tblStyle w:val="18"/>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姓名</w:t>
            </w:r>
          </w:p>
        </w:tc>
        <w:tc>
          <w:tcPr>
            <w:tcW w:w="709"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职务</w:t>
            </w:r>
          </w:p>
        </w:tc>
        <w:tc>
          <w:tcPr>
            <w:tcW w:w="1701"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专业技术资格（职称）或者职业资格或者执业资格证或者其他证书</w:t>
            </w:r>
          </w:p>
        </w:tc>
        <w:tc>
          <w:tcPr>
            <w:tcW w:w="1420"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证书编号</w:t>
            </w:r>
          </w:p>
        </w:tc>
        <w:tc>
          <w:tcPr>
            <w:tcW w:w="1698"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参加本单位</w:t>
            </w:r>
          </w:p>
          <w:p>
            <w:pPr>
              <w:spacing w:line="360" w:lineRule="auto"/>
              <w:contextualSpacing/>
              <w:jc w:val="cente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工作时间</w:t>
            </w:r>
          </w:p>
        </w:tc>
        <w:tc>
          <w:tcPr>
            <w:tcW w:w="1843"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709"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701"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420"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698"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843"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709"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701"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420"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698"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843"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709"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701"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420"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698"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c>
          <w:tcPr>
            <w:tcW w:w="1843" w:type="dxa"/>
            <w:vAlign w:val="center"/>
          </w:tcPr>
          <w:p>
            <w:pPr>
              <w:spacing w:line="360" w:lineRule="auto"/>
              <w:contextualSpacing/>
              <w:jc w:val="center"/>
              <w:rPr>
                <w:rFonts w:ascii="宋体" w:hAnsi="宋体"/>
                <w:color w:val="000000" w:themeColor="text1"/>
                <w:sz w:val="24"/>
                <w:szCs w:val="20"/>
                <w14:textFill>
                  <w14:solidFill>
                    <w14:schemeClr w14:val="tx1"/>
                  </w14:solidFill>
                </w14:textFill>
              </w:rPr>
            </w:pPr>
          </w:p>
        </w:tc>
      </w:tr>
    </w:tbl>
    <w:p>
      <w:pPr>
        <w:spacing w:line="360" w:lineRule="auto"/>
        <w:contextualSpacing/>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注：</w:t>
      </w:r>
    </w:p>
    <w:p>
      <w:pPr>
        <w:spacing w:line="360" w:lineRule="auto"/>
        <w:contextualSpacing/>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z w:val="24"/>
          <w:szCs w:val="20"/>
          <w14:textFill>
            <w14:solidFill>
              <w14:schemeClr w14:val="tx1"/>
            </w14:solidFill>
          </w14:textFill>
        </w:rPr>
        <w:t>1</w:t>
      </w:r>
      <w:r>
        <w:rPr>
          <w:rFonts w:ascii="宋体" w:hAnsi="宋体"/>
          <w:color w:val="000000" w:themeColor="text1"/>
          <w:sz w:val="24"/>
          <w:szCs w:val="20"/>
          <w14:textFill>
            <w14:solidFill>
              <w14:schemeClr w14:val="tx1"/>
            </w14:solidFill>
          </w14:textFill>
        </w:rPr>
        <w:t>.</w:t>
      </w:r>
      <w:r>
        <w:rPr>
          <w:rFonts w:hint="eastAsia" w:ascii="宋体" w:hAnsi="宋体"/>
          <w:color w:val="000000" w:themeColor="text1"/>
          <w:sz w:val="24"/>
          <w:szCs w:val="20"/>
          <w14:textFill>
            <w14:solidFill>
              <w14:schemeClr w14:val="tx1"/>
            </w14:solidFill>
          </w14:textFill>
        </w:rPr>
        <w:t>在填写时，如本表格不适合供应商的实际情况，可根据本表格式自行制表填写。</w:t>
      </w:r>
    </w:p>
    <w:p>
      <w:pPr>
        <w:spacing w:line="360" w:lineRule="auto"/>
        <w:contextualSpacing/>
        <w:jc w:val="left"/>
        <w:rPr>
          <w:rFonts w:ascii="宋体" w:hAnsi="宋体"/>
          <w:color w:val="000000" w:themeColor="text1"/>
          <w:sz w:val="24"/>
          <w:szCs w:val="20"/>
          <w14:textFill>
            <w14:solidFill>
              <w14:schemeClr w14:val="tx1"/>
            </w14:solidFill>
          </w14:textFill>
        </w:rPr>
      </w:pPr>
      <w:r>
        <w:rPr>
          <w:rFonts w:ascii="宋体" w:hAnsi="宋体"/>
          <w:color w:val="000000" w:themeColor="text1"/>
          <w:sz w:val="24"/>
          <w:szCs w:val="20"/>
          <w14:textFill>
            <w14:solidFill>
              <w14:schemeClr w14:val="tx1"/>
            </w14:solidFill>
          </w14:textFill>
        </w:rPr>
        <w:t>2.</w:t>
      </w:r>
      <w:r>
        <w:rPr>
          <w:rFonts w:hint="eastAsia" w:ascii="宋体" w:hAnsi="宋体"/>
          <w:color w:val="000000" w:themeColor="text1"/>
          <w:sz w:val="24"/>
          <w:szCs w:val="20"/>
          <w14:textFill>
            <w14:solidFill>
              <w14:schemeClr w14:val="tx1"/>
            </w14:solidFill>
          </w14:textFill>
        </w:rPr>
        <w:t>供应商应当附本表所列证书的复印件并加盖供应商公章。</w:t>
      </w:r>
    </w:p>
    <w:p>
      <w:pPr>
        <w:spacing w:line="360" w:lineRule="auto"/>
        <w:contextualSpacing/>
        <w:rPr>
          <w:rFonts w:ascii="宋体" w:hAnsi="宋体"/>
          <w:color w:val="000000" w:themeColor="text1"/>
          <w:spacing w:val="20"/>
          <w:sz w:val="24"/>
          <w:szCs w:val="20"/>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法定代表人或者委托代理人</w:t>
      </w:r>
      <w:r>
        <w:rPr>
          <w:rFonts w:hint="eastAsia" w:ascii="宋体" w:hAnsi="宋体"/>
          <w:color w:val="000000" w:themeColor="text1"/>
          <w:spacing w:val="20"/>
          <w:sz w:val="24"/>
          <w14:textFill>
            <w14:solidFill>
              <w14:schemeClr w14:val="tx1"/>
            </w14:solidFill>
          </w14:textFill>
        </w:rPr>
        <w:t>签字：</w:t>
      </w:r>
      <w:r>
        <w:rPr>
          <w:rFonts w:hint="eastAsia" w:ascii="宋体" w:hAnsi="宋体"/>
          <w:color w:val="000000" w:themeColor="text1"/>
          <w:spacing w:val="20"/>
          <w:sz w:val="24"/>
          <w:u w:val="single"/>
          <w14:textFill>
            <w14:solidFill>
              <w14:schemeClr w14:val="tx1"/>
            </w14:solidFill>
          </w14:textFill>
        </w:rPr>
        <w:t xml:space="preserve">        </w:t>
      </w:r>
    </w:p>
    <w:p>
      <w:pPr>
        <w:spacing w:line="360" w:lineRule="auto"/>
        <w:contextualSpacing/>
        <w:jc w:val="left"/>
        <w:rPr>
          <w:rFonts w:ascii="宋体" w:hAnsi="宋体"/>
          <w:color w:val="000000" w:themeColor="text1"/>
          <w:sz w:val="24"/>
          <w:szCs w:val="20"/>
          <w14:textFill>
            <w14:solidFill>
              <w14:schemeClr w14:val="tx1"/>
            </w14:solidFill>
          </w14:textFill>
        </w:rPr>
      </w:pPr>
      <w:r>
        <w:rPr>
          <w:rFonts w:hint="eastAsia" w:ascii="宋体" w:hAnsi="宋体"/>
          <w:color w:val="000000" w:themeColor="text1"/>
          <w:spacing w:val="20"/>
          <w:sz w:val="24"/>
          <w14:textFill>
            <w14:solidFill>
              <w14:schemeClr w14:val="tx1"/>
            </w14:solidFill>
          </w14:textFill>
        </w:rPr>
        <w:t>供应商（盖公章）：</w:t>
      </w:r>
      <w:r>
        <w:rPr>
          <w:rFonts w:hint="eastAsia" w:ascii="宋体" w:hAnsi="宋体"/>
          <w:color w:val="000000" w:themeColor="text1"/>
          <w:spacing w:val="20"/>
          <w:sz w:val="24"/>
          <w:u w:val="single"/>
          <w14:textFill>
            <w14:solidFill>
              <w14:schemeClr w14:val="tx1"/>
            </w14:solidFill>
          </w14:textFill>
        </w:rPr>
        <w:t xml:space="preserve">            </w:t>
      </w:r>
      <w:r>
        <w:rPr>
          <w:rFonts w:hint="eastAsia" w:ascii="宋体" w:hAnsi="宋体"/>
          <w:color w:val="000000" w:themeColor="text1"/>
          <w:spacing w:val="20"/>
          <w:sz w:val="24"/>
          <w14:textFill>
            <w14:solidFill>
              <w14:schemeClr w14:val="tx1"/>
            </w14:solidFill>
          </w14:textFill>
        </w:rPr>
        <w:t xml:space="preserve">              日 期：</w:t>
      </w:r>
      <w:r>
        <w:rPr>
          <w:rFonts w:hint="eastAsia" w:ascii="宋体" w:hAnsi="宋体"/>
          <w:color w:val="000000" w:themeColor="text1"/>
          <w:spacing w:val="20"/>
          <w:sz w:val="24"/>
          <w:u w:val="single"/>
          <w14:textFill>
            <w14:solidFill>
              <w14:schemeClr w14:val="tx1"/>
            </w14:solidFill>
          </w14:textFill>
        </w:rPr>
        <w:t xml:space="preserve">         </w:t>
      </w:r>
    </w:p>
    <w:p>
      <w:pPr>
        <w:snapToGrid w:val="0"/>
        <w:spacing w:before="50" w:after="156" w:afterLines="50"/>
        <w:jc w:val="left"/>
        <w:rPr>
          <w:rFonts w:ascii="宋体" w:hAnsi="宋体"/>
          <w:color w:val="000000" w:themeColor="text1"/>
          <w:sz w:val="24"/>
          <w:szCs w:val="20"/>
          <w14:textFill>
            <w14:solidFill>
              <w14:schemeClr w14:val="tx1"/>
            </w14:solidFill>
          </w14:textFill>
        </w:rPr>
      </w:pPr>
    </w:p>
    <w:p>
      <w:pPr>
        <w:snapToGrid w:val="0"/>
        <w:spacing w:before="50" w:after="50" w:line="360" w:lineRule="auto"/>
        <w:ind w:right="-817" w:rightChars="-389" w:firstLine="5461" w:firstLineChars="1700"/>
        <w:rPr>
          <w:rFonts w:ascii="仿宋_GB2312" w:hAnsi="仿宋_GB2312" w:eastAsia="仿宋_GB2312" w:cs="仿宋_GB2312"/>
          <w:b/>
          <w:color w:val="000000" w:themeColor="text1"/>
          <w:sz w:val="32"/>
          <w:szCs w:val="32"/>
          <w14:textFill>
            <w14:solidFill>
              <w14:schemeClr w14:val="tx1"/>
            </w14:solidFill>
          </w14:textFill>
        </w:rPr>
      </w:pPr>
    </w:p>
    <w:p>
      <w:pPr>
        <w:spacing w:line="300" w:lineRule="auto"/>
        <w:rPr>
          <w:rFonts w:ascii="宋体" w:hAnsi="宋体"/>
          <w:color w:val="000000" w:themeColor="text1"/>
          <w:szCs w:val="21"/>
          <w14:textFill>
            <w14:solidFill>
              <w14:schemeClr w14:val="tx1"/>
            </w14:solidFill>
          </w14:textFill>
        </w:rPr>
      </w:pPr>
      <w:r>
        <w:rPr>
          <w:rFonts w:ascii="宋体" w:hAnsi="宋体"/>
          <w:b/>
          <w:bCs/>
          <w:color w:val="000000" w:themeColor="text1"/>
          <w:sz w:val="24"/>
          <w14:textFill>
            <w14:solidFill>
              <w14:schemeClr w14:val="tx1"/>
            </w14:solidFill>
          </w14:textFill>
        </w:rPr>
        <w:br w:type="page"/>
      </w:r>
      <w:r>
        <w:rPr>
          <w:rFonts w:hint="eastAsia" w:ascii="宋体" w:hAnsi="宋体"/>
          <w:b/>
          <w:bCs/>
          <w:color w:val="000000" w:themeColor="text1"/>
          <w:sz w:val="24"/>
          <w14:textFill>
            <w14:solidFill>
              <w14:schemeClr w14:val="tx1"/>
            </w14:solidFill>
          </w14:textFill>
        </w:rPr>
        <w:t>其他文书、文件格式</w:t>
      </w:r>
    </w:p>
    <w:p>
      <w:pPr>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bookmarkStart w:id="142" w:name="_Toc71365926"/>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中小企业声明函（服务）</w:t>
      </w:r>
      <w:bookmarkEnd w:id="142"/>
    </w:p>
    <w:p>
      <w:pPr>
        <w:spacing w:before="2" w:line="500" w:lineRule="exact"/>
        <w:ind w:firstLine="708" w:firstLineChars="294"/>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注：包2必须提供中小企业声明函或残疾人福利性单位声明函或监狱企业证明</w:t>
      </w:r>
    </w:p>
    <w:p>
      <w:pPr>
        <w:pStyle w:val="9"/>
        <w:spacing w:line="500" w:lineRule="exact"/>
        <w:ind w:right="142" w:firstLine="705" w:firstLineChars="294"/>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本公司（联合体）郑重声明，根据《政府采购促进中小企业发展管理办法》（财库﹝2020﹞46号）的规定，本公司（联合体）参加</w:t>
      </w:r>
      <w:r>
        <w:rPr>
          <w:rFonts w:ascii="宋体" w:hAnsi="宋体"/>
          <w:color w:val="000000" w:themeColor="text1"/>
          <w:sz w:val="24"/>
          <w:u w:val="single"/>
          <w14:textFill>
            <w14:solidFill>
              <w14:schemeClr w14:val="tx1"/>
            </w14:solidFill>
          </w14:textFill>
        </w:rPr>
        <w:t>（单位名称）</w:t>
      </w:r>
      <w:r>
        <w:rPr>
          <w:rFonts w:ascii="宋体" w:hAnsi="宋体"/>
          <w:color w:val="000000" w:themeColor="text1"/>
          <w:sz w:val="24"/>
          <w14:textFill>
            <w14:solidFill>
              <w14:schemeClr w14:val="tx1"/>
            </w14:solidFill>
          </w14:textFill>
        </w:rPr>
        <w:t>的</w:t>
      </w:r>
      <w:r>
        <w:rPr>
          <w:rFonts w:ascii="宋体" w:hAnsi="宋体"/>
          <w:color w:val="000000" w:themeColor="text1"/>
          <w:sz w:val="24"/>
          <w:u w:val="single"/>
          <w14:textFill>
            <w14:solidFill>
              <w14:schemeClr w14:val="tx1"/>
            </w14:solidFill>
          </w14:textFill>
        </w:rPr>
        <w:t>（项目名称）</w:t>
      </w:r>
      <w:r>
        <w:rPr>
          <w:rFonts w:ascii="宋体" w:hAnsi="宋体"/>
          <w:color w:val="000000" w:themeColor="text1"/>
          <w:sz w:val="24"/>
          <w14:textFill>
            <w14:solidFill>
              <w14:schemeClr w14:val="tx1"/>
            </w14:solidFill>
          </w14:textFill>
        </w:rPr>
        <w:t>采购活动，</w:t>
      </w:r>
      <w:r>
        <w:rPr>
          <w:rFonts w:hint="eastAsia" w:ascii="宋体" w:hAnsi="宋体"/>
          <w:color w:val="000000" w:themeColor="text1"/>
          <w:sz w:val="24"/>
          <w14:textFill>
            <w14:solidFill>
              <w14:schemeClr w14:val="tx1"/>
            </w14:solidFill>
          </w14:textFill>
        </w:rPr>
        <w:t>服务全部由符合政策要求的中小企业承接。相关企业（含联合体中的中小企业、签订分包意向协议的中小企业）的具体情况如下：</w:t>
      </w:r>
    </w:p>
    <w:p>
      <w:pPr>
        <w:tabs>
          <w:tab w:val="left" w:pos="1384"/>
          <w:tab w:val="left" w:pos="4562"/>
          <w:tab w:val="left" w:pos="6803"/>
        </w:tabs>
        <w:spacing w:before="13" w:line="500" w:lineRule="exact"/>
        <w:ind w:right="142" w:firstLine="772" w:firstLineChars="322"/>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1.</w:t>
      </w:r>
      <w:r>
        <w:rPr>
          <w:rFonts w:ascii="宋体" w:hAnsi="宋体"/>
          <w:color w:val="000000" w:themeColor="text1"/>
          <w:sz w:val="24"/>
          <w:u w:val="single"/>
          <w14:textFill>
            <w14:solidFill>
              <w14:schemeClr w14:val="tx1"/>
            </w14:solidFill>
          </w14:textFill>
        </w:rPr>
        <w:t>（标的名称）</w:t>
      </w:r>
      <w:r>
        <w:rPr>
          <w:rFonts w:ascii="宋体" w:hAnsi="宋体"/>
          <w:color w:val="000000" w:themeColor="text1"/>
          <w:sz w:val="24"/>
          <w14:textFill>
            <w14:solidFill>
              <w14:schemeClr w14:val="tx1"/>
            </w14:solidFill>
          </w14:textFill>
        </w:rPr>
        <w:t>，属于</w:t>
      </w:r>
      <w:r>
        <w:rPr>
          <w:rFonts w:ascii="宋体" w:hAnsi="宋体"/>
          <w:color w:val="000000" w:themeColor="text1"/>
          <w:sz w:val="24"/>
          <w:u w:val="single"/>
          <w14:textFill>
            <w14:solidFill>
              <w14:schemeClr w14:val="tx1"/>
            </w14:solidFill>
          </w14:textFill>
        </w:rPr>
        <w:t>（采购文件中明确的所属</w:t>
      </w:r>
      <w:r>
        <w:rPr>
          <w:rFonts w:hint="eastAsia" w:ascii="宋体" w:hAnsi="宋体"/>
          <w:color w:val="000000" w:themeColor="text1"/>
          <w:sz w:val="24"/>
          <w:u w:val="single"/>
          <w14:textFill>
            <w14:solidFill>
              <w14:schemeClr w14:val="tx1"/>
            </w14:solidFill>
          </w14:textFill>
        </w:rPr>
        <w:t>行</w:t>
      </w:r>
      <w:r>
        <w:rPr>
          <w:rFonts w:ascii="宋体" w:hAnsi="宋体"/>
          <w:color w:val="000000" w:themeColor="text1"/>
          <w:sz w:val="24"/>
          <w:u w:val="single"/>
          <w14:textFill>
            <w14:solidFill>
              <w14:schemeClr w14:val="tx1"/>
            </w14:solidFill>
          </w14:textFill>
        </w:rPr>
        <w:t>业）</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承接企业为</w:t>
      </w:r>
      <w:r>
        <w:rPr>
          <w:rFonts w:hint="eastAsia" w:ascii="宋体" w:hAnsi="宋体"/>
          <w:color w:val="000000" w:themeColor="text1"/>
          <w:sz w:val="24"/>
          <w:u w:val="single"/>
          <w14:textFill>
            <w14:solidFill>
              <w14:schemeClr w14:val="tx1"/>
            </w14:solidFill>
          </w14:textFill>
        </w:rPr>
        <w:t>（企业名称）</w:t>
      </w:r>
      <w:r>
        <w:rPr>
          <w:rFonts w:hint="eastAsia" w:ascii="宋体" w:hAnsi="宋体"/>
          <w:color w:val="000000" w:themeColor="text1"/>
          <w:sz w:val="24"/>
          <w14:textFill>
            <w14:solidFill>
              <w14:schemeClr w14:val="tx1"/>
            </w14:solidFill>
          </w14:textFill>
        </w:rPr>
        <w:t>，从业人员</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人，营业收入为</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万元，资产总额为</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万元</w:t>
      </w:r>
      <w:r>
        <w:rPr>
          <w:rFonts w:ascii="宋体" w:hAnsi="宋体"/>
          <w:color w:val="000000" w:themeColor="text1"/>
          <w:sz w:val="24"/>
          <w14:textFill>
            <w14:solidFill>
              <w14:schemeClr w14:val="tx1"/>
            </w14:solidFill>
          </w14:textFill>
        </w:rPr>
        <w:t>，属于</w:t>
      </w:r>
      <w:r>
        <w:rPr>
          <w:rFonts w:ascii="宋体" w:hAnsi="宋体"/>
          <w:color w:val="000000" w:themeColor="text1"/>
          <w:sz w:val="24"/>
          <w:u w:val="single"/>
          <w14:textFill>
            <w14:solidFill>
              <w14:schemeClr w14:val="tx1"/>
            </w14:solidFill>
          </w14:textFill>
        </w:rPr>
        <w:t>（中型企业、</w:t>
      </w:r>
      <w:r>
        <w:rPr>
          <w:rFonts w:hint="eastAsia" w:ascii="宋体" w:hAnsi="宋体"/>
          <w:color w:val="000000" w:themeColor="text1"/>
          <w:sz w:val="24"/>
          <w:u w:val="single"/>
          <w14:textFill>
            <w14:solidFill>
              <w14:schemeClr w14:val="tx1"/>
            </w14:solidFill>
          </w14:textFill>
        </w:rPr>
        <w:t>小型企业、微型企业）</w:t>
      </w:r>
      <w:r>
        <w:rPr>
          <w:rFonts w:hint="eastAsia" w:ascii="宋体" w:hAnsi="宋体"/>
          <w:color w:val="000000" w:themeColor="text1"/>
          <w:sz w:val="24"/>
          <w14:textFill>
            <w14:solidFill>
              <w14:schemeClr w14:val="tx1"/>
            </w14:solidFill>
          </w14:textFill>
        </w:rPr>
        <w:t>；</w:t>
      </w:r>
    </w:p>
    <w:p>
      <w:pPr>
        <w:tabs>
          <w:tab w:val="left" w:pos="1065"/>
          <w:tab w:val="left" w:pos="4262"/>
          <w:tab w:val="left" w:pos="6477"/>
        </w:tabs>
        <w:spacing w:before="20" w:line="500" w:lineRule="exact"/>
        <w:ind w:right="84" w:firstLine="772" w:firstLineChars="322"/>
        <w:rPr>
          <w:rFonts w:ascii="宋体" w:hAnsi="宋体"/>
          <w:color w:val="000000" w:themeColor="text1"/>
          <w:sz w:val="24"/>
          <w:u w:val="single"/>
          <w14:textFill>
            <w14:solidFill>
              <w14:schemeClr w14:val="tx1"/>
            </w14:solidFill>
          </w14:textFill>
        </w:rPr>
      </w:pPr>
      <w:r>
        <w:rPr>
          <w:rFonts w:ascii="宋体" w:hAnsi="宋体"/>
          <w:color w:val="000000" w:themeColor="text1"/>
          <w:sz w:val="24"/>
          <w14:textFill>
            <w14:solidFill>
              <w14:schemeClr w14:val="tx1"/>
            </w14:solidFill>
          </w14:textFill>
        </w:rPr>
        <w:t>2.</w:t>
      </w:r>
      <w:r>
        <w:rPr>
          <w:rFonts w:ascii="宋体" w:hAnsi="宋体"/>
          <w:color w:val="000000" w:themeColor="text1"/>
          <w:sz w:val="24"/>
          <w:u w:val="single"/>
          <w14:textFill>
            <w14:solidFill>
              <w14:schemeClr w14:val="tx1"/>
            </w14:solidFill>
          </w14:textFill>
        </w:rPr>
        <w:t>（标的名称）</w:t>
      </w:r>
      <w:r>
        <w:rPr>
          <w:rFonts w:ascii="宋体" w:hAnsi="宋体"/>
          <w:color w:val="000000" w:themeColor="text1"/>
          <w:sz w:val="24"/>
          <w14:textFill>
            <w14:solidFill>
              <w14:schemeClr w14:val="tx1"/>
            </w14:solidFill>
          </w14:textFill>
        </w:rPr>
        <w:t>，属于</w:t>
      </w:r>
      <w:r>
        <w:rPr>
          <w:rFonts w:ascii="宋体" w:hAnsi="宋体"/>
          <w:color w:val="000000" w:themeColor="text1"/>
          <w:sz w:val="24"/>
          <w:u w:val="single"/>
          <w14:textFill>
            <w14:solidFill>
              <w14:schemeClr w14:val="tx1"/>
            </w14:solidFill>
          </w14:textFill>
        </w:rPr>
        <w:t>（采购文件中明确的所属</w:t>
      </w:r>
      <w:r>
        <w:rPr>
          <w:rFonts w:hint="eastAsia" w:ascii="宋体" w:hAnsi="宋体"/>
          <w:color w:val="000000" w:themeColor="text1"/>
          <w:sz w:val="24"/>
          <w:u w:val="single"/>
          <w14:textFill>
            <w14:solidFill>
              <w14:schemeClr w14:val="tx1"/>
            </w14:solidFill>
          </w14:textFill>
        </w:rPr>
        <w:t>行业</w:t>
      </w:r>
      <w:r>
        <w:rPr>
          <w:rFonts w:ascii="宋体" w:hAnsi="宋体"/>
          <w:color w:val="000000" w:themeColor="text1"/>
          <w:sz w:val="24"/>
          <w:u w:val="single"/>
          <w14:textFill>
            <w14:solidFill>
              <w14:schemeClr w14:val="tx1"/>
            </w14:solidFill>
          </w14:textFill>
        </w:rPr>
        <w:t>）</w:t>
      </w:r>
      <w:r>
        <w:rPr>
          <w:rFonts w:ascii="宋体" w:hAnsi="宋体"/>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承接企业为</w:t>
      </w:r>
      <w:r>
        <w:rPr>
          <w:rFonts w:hint="eastAsia" w:ascii="宋体" w:hAnsi="宋体"/>
          <w:color w:val="000000" w:themeColor="text1"/>
          <w:sz w:val="24"/>
          <w:u w:val="single"/>
          <w14:textFill>
            <w14:solidFill>
              <w14:schemeClr w14:val="tx1"/>
            </w14:solidFill>
          </w14:textFill>
        </w:rPr>
        <w:t>（企业名称）</w:t>
      </w:r>
      <w:r>
        <w:rPr>
          <w:rFonts w:hint="eastAsia" w:ascii="宋体" w:hAnsi="宋体"/>
          <w:color w:val="000000" w:themeColor="text1"/>
          <w:sz w:val="24"/>
          <w14:textFill>
            <w14:solidFill>
              <w14:schemeClr w14:val="tx1"/>
            </w14:solidFill>
          </w14:textFill>
        </w:rPr>
        <w:t>，从业人员</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人，营业收入为</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万元，资产总额为</w:t>
      </w:r>
      <w:r>
        <w:rPr>
          <w:rFonts w:hint="eastAsia" w:ascii="宋体" w:hAnsi="宋体"/>
          <w:color w:val="000000" w:themeColor="text1"/>
          <w:sz w:val="24"/>
          <w:u w:val="single"/>
          <w14:textFill>
            <w14:solidFill>
              <w14:schemeClr w14:val="tx1"/>
            </w14:solidFill>
          </w14:textFill>
        </w:rPr>
        <w:t xml:space="preserve"> </w:t>
      </w:r>
      <w:r>
        <w:rPr>
          <w:rFonts w:ascii="宋体" w:hAnsi="宋体"/>
          <w:color w:val="000000" w:themeColor="text1"/>
          <w:sz w:val="24"/>
          <w:u w:val="single"/>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万元</w:t>
      </w:r>
      <w:r>
        <w:rPr>
          <w:rFonts w:ascii="宋体" w:hAnsi="宋体"/>
          <w:color w:val="000000" w:themeColor="text1"/>
          <w:sz w:val="24"/>
          <w14:textFill>
            <w14:solidFill>
              <w14:schemeClr w14:val="tx1"/>
            </w14:solidFill>
          </w14:textFill>
        </w:rPr>
        <w:t>，属于</w:t>
      </w:r>
      <w:r>
        <w:rPr>
          <w:rFonts w:ascii="宋体" w:hAnsi="宋体"/>
          <w:color w:val="000000" w:themeColor="text1"/>
          <w:sz w:val="24"/>
          <w:u w:val="single"/>
          <w14:textFill>
            <w14:solidFill>
              <w14:schemeClr w14:val="tx1"/>
            </w14:solidFill>
          </w14:textFill>
        </w:rPr>
        <w:t>（中型企业、</w:t>
      </w:r>
      <w:r>
        <w:rPr>
          <w:rFonts w:hint="eastAsia" w:ascii="宋体" w:hAnsi="宋体"/>
          <w:color w:val="000000" w:themeColor="text1"/>
          <w:sz w:val="24"/>
          <w:u w:val="single"/>
          <w14:textFill>
            <w14:solidFill>
              <w14:schemeClr w14:val="tx1"/>
            </w14:solidFill>
          </w14:textFill>
        </w:rPr>
        <w:t>小型企业、微型企业）</w:t>
      </w:r>
      <w:r>
        <w:rPr>
          <w:rFonts w:hint="eastAsia" w:ascii="宋体" w:hAnsi="宋体"/>
          <w:color w:val="000000" w:themeColor="text1"/>
          <w:sz w:val="24"/>
          <w14:textFill>
            <w14:solidFill>
              <w14:schemeClr w14:val="tx1"/>
            </w14:solidFill>
          </w14:textFill>
        </w:rPr>
        <w:t>；</w:t>
      </w:r>
    </w:p>
    <w:p>
      <w:pPr>
        <w:pStyle w:val="9"/>
        <w:spacing w:before="34" w:line="500" w:lineRule="exact"/>
        <w:ind w:right="142" w:firstLine="705" w:firstLineChars="294"/>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 </w:t>
      </w:r>
    </w:p>
    <w:p>
      <w:pPr>
        <w:pStyle w:val="9"/>
        <w:spacing w:before="34" w:line="500" w:lineRule="exact"/>
        <w:ind w:right="142" w:firstLine="705" w:firstLineChars="294"/>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pStyle w:val="9"/>
        <w:spacing w:before="25" w:line="500" w:lineRule="exact"/>
        <w:ind w:right="142" w:firstLine="705" w:firstLineChars="294"/>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本企业对上述声明内容的真实性负责。如有虚假，将依法承担相应责任。</w:t>
      </w:r>
    </w:p>
    <w:p>
      <w:pPr>
        <w:pStyle w:val="9"/>
        <w:spacing w:before="56" w:line="500" w:lineRule="exact"/>
        <w:ind w:right="1808" w:firstLine="705" w:firstLineChars="294"/>
        <w:rPr>
          <w:rFonts w:ascii="宋体" w:hAnsi="宋体"/>
          <w:color w:val="000000" w:themeColor="text1"/>
          <w:sz w:val="24"/>
          <w14:textFill>
            <w14:solidFill>
              <w14:schemeClr w14:val="tx1"/>
            </w14:solidFill>
          </w14:textFill>
        </w:rPr>
      </w:pPr>
    </w:p>
    <w:p>
      <w:pPr>
        <w:pStyle w:val="9"/>
        <w:spacing w:before="56" w:line="500" w:lineRule="exact"/>
        <w:ind w:right="650" w:firstLine="5625" w:firstLineChars="2344"/>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 xml:space="preserve">企业名称（章）： </w:t>
      </w:r>
    </w:p>
    <w:p>
      <w:pPr>
        <w:pStyle w:val="9"/>
        <w:spacing w:before="56" w:line="500" w:lineRule="exact"/>
        <w:ind w:right="1808" w:firstLine="5625" w:firstLineChars="2344"/>
        <w:rPr>
          <w:rFonts w:ascii="宋体" w:hAnsi="宋体"/>
          <w:color w:val="000000" w:themeColor="text1"/>
          <w:sz w:val="24"/>
          <w14:textFill>
            <w14:solidFill>
              <w14:schemeClr w14:val="tx1"/>
            </w14:solidFill>
          </w14:textFill>
        </w:rPr>
      </w:pPr>
      <w:r>
        <w:rPr>
          <w:rFonts w:ascii="宋体" w:hAnsi="宋体"/>
          <w:color w:val="000000" w:themeColor="text1"/>
          <w:sz w:val="24"/>
          <w14:textFill>
            <w14:solidFill>
              <w14:schemeClr w14:val="tx1"/>
            </w14:solidFill>
          </w14:textFill>
        </w:rPr>
        <w:t>日 期：</w:t>
      </w:r>
    </w:p>
    <w:p>
      <w:pPr>
        <w:spacing w:line="520" w:lineRule="exact"/>
        <w:jc w:val="left"/>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pPr>
        <w:pStyle w:val="12"/>
        <w:jc w:val="left"/>
        <w:rPr>
          <w:rFonts w:ascii="Arial Unicode MS" w:hAnsi="Arial Unicode MS" w:eastAsia="Arial Unicode MS" w:cs="Arial Unicode MS"/>
          <w:color w:val="000000" w:themeColor="text1"/>
          <w:sz w:val="32"/>
          <w:szCs w:val="32"/>
          <w14:textFill>
            <w14:solidFill>
              <w14:schemeClr w14:val="tx1"/>
            </w14:solidFill>
          </w14:textFill>
        </w:rPr>
      </w:pPr>
      <w:r>
        <w:rPr>
          <w:rFonts w:hAnsi="宋体"/>
          <w:color w:val="000000" w:themeColor="text1"/>
          <w:sz w:val="24"/>
          <w14:textFill>
            <w14:solidFill>
              <w14:schemeClr w14:val="tx1"/>
            </w14:solidFill>
          </w14:textFill>
        </w:rPr>
        <w:br w:type="page"/>
      </w:r>
      <w:r>
        <w:rPr>
          <w:rFonts w:hint="eastAsia" w:ascii="Arial Unicode MS" w:hAnsi="Arial Unicode MS" w:eastAsia="Arial Unicode MS" w:cs="Arial Unicode MS"/>
          <w:color w:val="000000" w:themeColor="text1"/>
          <w:sz w:val="32"/>
          <w:szCs w:val="32"/>
          <w14:textFill>
            <w14:solidFill>
              <w14:schemeClr w14:val="tx1"/>
            </w14:solidFill>
          </w14:textFill>
        </w:rPr>
        <w:t>附：</w:t>
      </w:r>
    </w:p>
    <w:p>
      <w:pPr>
        <w:jc w:val="center"/>
        <w:rPr>
          <w:rFonts w:ascii="宋体" w:hAnsi="宋体" w:cs="Arial Unicode MS"/>
          <w:color w:val="000000" w:themeColor="text1"/>
          <w:sz w:val="44"/>
          <w:szCs w:val="44"/>
          <w14:textFill>
            <w14:solidFill>
              <w14:schemeClr w14:val="tx1"/>
            </w14:solidFill>
          </w14:textFill>
        </w:rPr>
      </w:pPr>
      <w:r>
        <w:rPr>
          <w:rFonts w:hint="eastAsia" w:ascii="宋体" w:hAnsi="宋体" w:cs="Arial Unicode MS"/>
          <w:color w:val="000000" w:themeColor="text1"/>
          <w:sz w:val="44"/>
          <w:szCs w:val="44"/>
          <w14:textFill>
            <w14:solidFill>
              <w14:schemeClr w14:val="tx1"/>
            </w14:solidFill>
          </w14:textFill>
        </w:rPr>
        <w:t>中小微企业划型标准</w:t>
      </w:r>
    </w:p>
    <w:p>
      <w:pPr>
        <w:ind w:left="1871"/>
        <w:rPr>
          <w:rFonts w:ascii="宋体" w:hAnsi="宋体" w:cs="Arial Unicode MS"/>
          <w:color w:val="000000" w:themeColor="text1"/>
          <w:szCs w:val="21"/>
          <w14:textFill>
            <w14:solidFill>
              <w14:schemeClr w14:val="tx1"/>
            </w14:solidFill>
          </w14:textFill>
        </w:rPr>
      </w:pPr>
    </w:p>
    <w:tbl>
      <w:tblPr>
        <w:tblStyle w:val="18"/>
        <w:tblW w:w="7983" w:type="dxa"/>
        <w:jc w:val="center"/>
        <w:tblLayout w:type="fixed"/>
        <w:tblCellMar>
          <w:top w:w="0" w:type="dxa"/>
          <w:left w:w="108" w:type="dxa"/>
          <w:bottom w:w="0" w:type="dxa"/>
          <w:right w:w="108" w:type="dxa"/>
        </w:tblCellMar>
      </w:tblPr>
      <w:tblGrid>
        <w:gridCol w:w="1701"/>
        <w:gridCol w:w="1384"/>
        <w:gridCol w:w="913"/>
        <w:gridCol w:w="1620"/>
        <w:gridCol w:w="1440"/>
        <w:gridCol w:w="925"/>
      </w:tblGrid>
      <w:tr>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行业名称</w:t>
            </w:r>
          </w:p>
        </w:tc>
        <w:tc>
          <w:tcPr>
            <w:tcW w:w="1384"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指标名称</w:t>
            </w:r>
          </w:p>
        </w:tc>
        <w:tc>
          <w:tcPr>
            <w:tcW w:w="913"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计量单位</w:t>
            </w:r>
          </w:p>
        </w:tc>
        <w:tc>
          <w:tcPr>
            <w:tcW w:w="1620"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中型</w:t>
            </w:r>
          </w:p>
        </w:tc>
        <w:tc>
          <w:tcPr>
            <w:tcW w:w="1440"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小型</w:t>
            </w:r>
          </w:p>
        </w:tc>
        <w:tc>
          <w:tcPr>
            <w:tcW w:w="925" w:type="dxa"/>
            <w:tcBorders>
              <w:top w:val="single" w:color="auto" w:sz="4" w:space="0"/>
              <w:left w:val="nil"/>
              <w:bottom w:val="single" w:color="auto" w:sz="4" w:space="0"/>
              <w:right w:val="single" w:color="auto" w:sz="4" w:space="0"/>
            </w:tcBorders>
            <w:vAlign w:val="center"/>
          </w:tcPr>
          <w:p>
            <w:pPr>
              <w:widowControl/>
              <w:jc w:val="left"/>
              <w:rPr>
                <w:rFonts w:ascii="仿宋_GB2312" w:hAnsi="仿宋" w:eastAsia="仿宋_GB2312" w:cs="宋体"/>
                <w:b/>
                <w:color w:val="000000" w:themeColor="text1"/>
                <w:kern w:val="0"/>
                <w:sz w:val="24"/>
                <w14:textFill>
                  <w14:solidFill>
                    <w14:schemeClr w14:val="tx1"/>
                  </w14:solidFill>
                </w14:textFill>
              </w:rPr>
            </w:pPr>
            <w:r>
              <w:rPr>
                <w:rFonts w:hint="eastAsia" w:ascii="仿宋_GB2312" w:hAnsi="仿宋" w:eastAsia="仿宋_GB2312" w:cs="宋体"/>
                <w:b/>
                <w:color w:val="000000" w:themeColor="text1"/>
                <w:kern w:val="0"/>
                <w:sz w:val="24"/>
                <w14:textFill>
                  <w14:solidFill>
                    <w14:schemeClr w14:val="tx1"/>
                  </w14:solidFill>
                </w14:textFill>
              </w:rPr>
              <w:t>微型</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农、林、牧、渔</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500≤Y＜20000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50≤Y＜500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工业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300≤X＜1000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20≤X＜300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2000≤Y＜40000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300≤Y＜2000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建筑业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6000≤Y＜80000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300≤Y＜6000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Y＜300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5000≤Z＜80000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300≤Z＜5000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Z＜300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批发业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20≤X＜200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5≤X＜20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X＜5</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5000≤Y＜40000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1000≤Y＜5000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零售业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50≤X＜300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10≤X＜50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500≤Y＜20000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100≤Y＜500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交通运输业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300≤X＜1000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20≤X＜300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3000≤Y＜30000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200≤Y＜3000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Y＜200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仓储业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100≤X＜200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1000≤Y＜30000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邮政业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300≤X＜1000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20≤X＜300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2000≤Y＜30000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100≤Y＜2000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住宿业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2000≤Y＜10000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100≤Y＜2000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餐饮业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2000≤Y＜10000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100≤Y＜2000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信息传输业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100≤X＜2000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1000≤Y＜100000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100≤Y＜1000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软件和信息技术服务业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1000≤Y＜10000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50≤Y＜1000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房地产开发经营</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1000≤Y＜200000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5000≤Z＜10000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2000≤Y＜5000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Y＜2000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物业管理</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300≤X＜1000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营业收入（Y）</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1000≤Y＜5000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500≤Y＜1000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Y＜500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租赁和商务服务业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eastAsia="仿宋_GB2312" w:cs="宋体"/>
                <w:b/>
                <w:bCs/>
                <w:color w:val="000000" w:themeColor="text1"/>
                <w:kern w:val="0"/>
                <w:sz w:val="18"/>
                <w:szCs w:val="18"/>
                <w14:textFill>
                  <w14:solidFill>
                    <w14:schemeClr w14:val="tx1"/>
                  </w14:solidFill>
                </w14:textFill>
              </w:rPr>
            </w:pP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资产总额（Z）</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万元</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8000≤Z＜120000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100≤Z＜8000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Y＜100</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仿宋_GB2312" w:hAnsi="仿宋" w:eastAsia="仿宋_GB2312" w:cs="宋体"/>
                <w:b/>
                <w:bCs/>
                <w:color w:val="000000" w:themeColor="text1"/>
                <w:kern w:val="0"/>
                <w:sz w:val="18"/>
                <w:szCs w:val="18"/>
                <w14:textFill>
                  <w14:solidFill>
                    <w14:schemeClr w14:val="tx1"/>
                  </w14:solidFill>
                </w14:textFill>
              </w:rPr>
            </w:pPr>
            <w:r>
              <w:rPr>
                <w:rFonts w:hint="eastAsia" w:ascii="仿宋_GB2312" w:hAnsi="仿宋" w:eastAsia="仿宋_GB2312" w:cs="宋体"/>
                <w:b/>
                <w:bCs/>
                <w:color w:val="000000" w:themeColor="text1"/>
                <w:kern w:val="0"/>
                <w:sz w:val="18"/>
                <w:szCs w:val="18"/>
                <w14:textFill>
                  <w14:solidFill>
                    <w14:schemeClr w14:val="tx1"/>
                  </w14:solidFill>
                </w14:textFill>
              </w:rPr>
              <w:t>其他未列明行业</w:t>
            </w:r>
          </w:p>
        </w:tc>
        <w:tc>
          <w:tcPr>
            <w:tcW w:w="1384"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从业人员（X）</w:t>
            </w:r>
          </w:p>
        </w:tc>
        <w:tc>
          <w:tcPr>
            <w:tcW w:w="913"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人</w:t>
            </w:r>
          </w:p>
        </w:tc>
        <w:tc>
          <w:tcPr>
            <w:tcW w:w="162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100≤X＜300</w:t>
            </w:r>
          </w:p>
        </w:tc>
        <w:tc>
          <w:tcPr>
            <w:tcW w:w="1440"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10≤X＜100</w:t>
            </w:r>
          </w:p>
        </w:tc>
        <w:tc>
          <w:tcPr>
            <w:tcW w:w="925" w:type="dxa"/>
            <w:tcBorders>
              <w:top w:val="nil"/>
              <w:left w:val="nil"/>
              <w:bottom w:val="single" w:color="auto" w:sz="4" w:space="0"/>
              <w:right w:val="single" w:color="auto" w:sz="4" w:space="0"/>
            </w:tcBorders>
            <w:vAlign w:val="center"/>
          </w:tcPr>
          <w:p>
            <w:pPr>
              <w:widowControl/>
              <w:jc w:val="left"/>
              <w:rPr>
                <w:rFonts w:ascii="仿宋_GB2312" w:hAnsi="仿宋" w:eastAsia="仿宋_GB2312" w:cs="宋体"/>
                <w:color w:val="000000" w:themeColor="text1"/>
                <w:kern w:val="0"/>
                <w:sz w:val="18"/>
                <w:szCs w:val="18"/>
                <w14:textFill>
                  <w14:solidFill>
                    <w14:schemeClr w14:val="tx1"/>
                  </w14:solidFill>
                </w14:textFill>
              </w:rPr>
            </w:pPr>
            <w:r>
              <w:rPr>
                <w:rFonts w:hint="eastAsia" w:ascii="仿宋_GB2312" w:hAnsi="仿宋" w:eastAsia="仿宋_GB2312" w:cs="宋体"/>
                <w:color w:val="000000" w:themeColor="text1"/>
                <w:kern w:val="0"/>
                <w:sz w:val="18"/>
                <w:szCs w:val="18"/>
                <w14:textFill>
                  <w14:solidFill>
                    <w14:schemeClr w14:val="tx1"/>
                  </w14:solidFill>
                </w14:textFill>
              </w:rPr>
              <w:t>X＜10</w:t>
            </w:r>
          </w:p>
        </w:tc>
      </w:tr>
    </w:tbl>
    <w:p>
      <w:pPr>
        <w:spacing w:line="360" w:lineRule="auto"/>
        <w:ind w:firstLine="525" w:firstLineChars="250"/>
        <w:rPr>
          <w:rFonts w:ascii="仿宋_GB2312" w:hAnsi="仿宋" w:eastAsia="仿宋_GB2312"/>
          <w:color w:val="000000" w:themeColor="text1"/>
          <w:szCs w:val="21"/>
          <w14:textFill>
            <w14:solidFill>
              <w14:schemeClr w14:val="tx1"/>
            </w14:solidFill>
          </w14:textFill>
        </w:rPr>
      </w:pPr>
    </w:p>
    <w:p>
      <w:pPr>
        <w:spacing w:line="360" w:lineRule="auto"/>
        <w:ind w:firstLine="525" w:firstLineChars="250"/>
        <w:rPr>
          <w:rFonts w:ascii="仿宋_GB2312" w:hAnsi="仿宋" w:eastAsia="仿宋_GB2312"/>
          <w:color w:val="000000" w:themeColor="text1"/>
          <w:szCs w:val="21"/>
          <w14:textFill>
            <w14:solidFill>
              <w14:schemeClr w14:val="tx1"/>
            </w14:solidFill>
          </w14:textFill>
        </w:rPr>
      </w:pPr>
      <w:r>
        <w:rPr>
          <w:rFonts w:hint="eastAsia" w:ascii="仿宋_GB2312" w:hAnsi="仿宋" w:eastAsia="仿宋_GB2312"/>
          <w:color w:val="000000" w:themeColor="text1"/>
          <w:szCs w:val="21"/>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pPr>
        <w:spacing w:line="52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残疾人福利性单位声明函</w:t>
      </w:r>
    </w:p>
    <w:p>
      <w:pPr>
        <w:spacing w:line="360" w:lineRule="auto"/>
        <w:contextualSpacing/>
        <w:rPr>
          <w:rFonts w:ascii="仿宋_GB2312" w:hAnsi="仿宋_GB2312" w:eastAsia="仿宋_GB2312" w:cs="仿宋_GB2312"/>
          <w:color w:val="000000" w:themeColor="text1"/>
          <w:sz w:val="32"/>
          <w:szCs w:val="32"/>
          <w14:textFill>
            <w14:solidFill>
              <w14:schemeClr w14:val="tx1"/>
            </w14:solidFill>
          </w14:textFill>
        </w:rPr>
      </w:pP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单位的</w:t>
      </w:r>
      <w:r>
        <w:rPr>
          <w:rFonts w:hint="eastAsia" w:ascii="宋体" w:hAnsi="宋体" w:cs="仿宋_GB2312"/>
          <w:color w:val="000000" w:themeColor="text1"/>
          <w:sz w:val="24"/>
          <w:u w:val="single"/>
          <w14:textFill>
            <w14:solidFill>
              <w14:schemeClr w14:val="tx1"/>
            </w14:solidFill>
          </w14:textFill>
        </w:rPr>
        <w:t xml:space="preserve">        </w:t>
      </w:r>
      <w:r>
        <w:rPr>
          <w:rFonts w:hint="eastAsia" w:ascii="宋体" w:hAnsi="宋体" w:cs="仿宋_GB2312"/>
          <w:color w:val="000000" w:themeColor="text1"/>
          <w:sz w:val="24"/>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本单位对上述声明的真实性负责。如有虚假，将依法承担相应责任。</w:t>
      </w:r>
    </w:p>
    <w:p>
      <w:pPr>
        <w:spacing w:line="360" w:lineRule="auto"/>
        <w:contextualSpacing/>
        <w:rPr>
          <w:rFonts w:ascii="宋体" w:hAnsi="宋体" w:cs="仿宋_GB2312"/>
          <w:color w:val="000000" w:themeColor="text1"/>
          <w:sz w:val="24"/>
          <w14:textFill>
            <w14:solidFill>
              <w14:schemeClr w14:val="tx1"/>
            </w14:solidFill>
          </w14:textFill>
        </w:rPr>
      </w:pPr>
    </w:p>
    <w:p>
      <w:pPr>
        <w:spacing w:line="360" w:lineRule="auto"/>
        <w:contextualSpacing/>
        <w:rPr>
          <w:rFonts w:ascii="宋体" w:hAnsi="宋体" w:cs="仿宋_GB2312"/>
          <w:color w:val="000000" w:themeColor="text1"/>
          <w:sz w:val="24"/>
          <w14:textFill>
            <w14:solidFill>
              <w14:schemeClr w14:val="tx1"/>
            </w14:solidFill>
          </w14:textFill>
        </w:rPr>
      </w:pPr>
    </w:p>
    <w:p>
      <w:pPr>
        <w:spacing w:line="360" w:lineRule="auto"/>
        <w:contextualSpacing/>
        <w:rPr>
          <w:rFonts w:ascii="宋体" w:hAnsi="宋体" w:cs="仿宋_GB2312"/>
          <w:color w:val="000000" w:themeColor="text1"/>
          <w:sz w:val="24"/>
          <w14:textFill>
            <w14:solidFill>
              <w14:schemeClr w14:val="tx1"/>
            </w14:solidFill>
          </w14:textFill>
        </w:rPr>
      </w:pPr>
    </w:p>
    <w:p>
      <w:pPr>
        <w:spacing w:line="360" w:lineRule="auto"/>
        <w:ind w:firstLine="2400" w:firstLineChars="10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单位名称（盖章）：</w:t>
      </w:r>
    </w:p>
    <w:p>
      <w:pPr>
        <w:spacing w:line="360" w:lineRule="auto"/>
        <w:ind w:firstLine="3600" w:firstLineChars="1500"/>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日  期：</w:t>
      </w:r>
    </w:p>
    <w:p>
      <w:pPr>
        <w:spacing w:line="360" w:lineRule="auto"/>
        <w:contextualSpacing/>
        <w:rPr>
          <w:rFonts w:ascii="宋体" w:hAnsi="宋体" w:cs="仿宋_GB2312"/>
          <w:color w:val="000000" w:themeColor="text1"/>
          <w:sz w:val="24"/>
          <w14:textFill>
            <w14:solidFill>
              <w14:schemeClr w14:val="tx1"/>
            </w14:solidFill>
          </w14:textFill>
        </w:rPr>
      </w:pPr>
    </w:p>
    <w:p>
      <w:pPr>
        <w:spacing w:line="360" w:lineRule="auto"/>
        <w:contextualSpacing/>
        <w:rPr>
          <w:rFonts w:ascii="宋体" w:hAnsi="宋体" w:cs="仿宋_GB2312"/>
          <w:color w:val="000000" w:themeColor="text1"/>
          <w:sz w:val="24"/>
          <w14:textFill>
            <w14:solidFill>
              <w14:schemeClr w14:val="tx1"/>
            </w14:solidFill>
          </w14:textFill>
        </w:rPr>
      </w:pPr>
    </w:p>
    <w:p>
      <w:pPr>
        <w:spacing w:line="360" w:lineRule="auto"/>
        <w:contextualSpacing/>
        <w:rPr>
          <w:rFonts w:ascii="宋体" w:hAnsi="宋体" w:cs="仿宋_GB2312"/>
          <w:color w:val="000000" w:themeColor="text1"/>
          <w:sz w:val="24"/>
          <w14:textFill>
            <w14:solidFill>
              <w14:schemeClr w14:val="tx1"/>
            </w14:solidFill>
          </w14:textFill>
        </w:rPr>
      </w:pPr>
    </w:p>
    <w:p>
      <w:pPr>
        <w:spacing w:line="360" w:lineRule="auto"/>
        <w:contextualSpacing/>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center"/>
        <w:rPr>
          <w:rFonts w:ascii="宋体" w:hAnsi="宋体" w:cs="仿宋_GB2312"/>
          <w:color w:val="000000" w:themeColor="text1"/>
          <w:sz w:val="24"/>
          <w14:textFill>
            <w14:solidFill>
              <w14:schemeClr w14:val="tx1"/>
            </w14:solidFill>
          </w14:textFill>
        </w:rPr>
      </w:pPr>
      <w:r>
        <w:rPr>
          <w:rFonts w:ascii="宋体" w:hAnsi="宋体" w:cs="仿宋_GB2312"/>
          <w:color w:val="000000" w:themeColor="text1"/>
          <w:sz w:val="24"/>
          <w14:textFill>
            <w14:solidFill>
              <w14:schemeClr w14:val="tx1"/>
            </w14:solidFill>
          </w14:textFill>
        </w:rPr>
        <w:br w:type="page"/>
      </w:r>
    </w:p>
    <w:p>
      <w:pPr>
        <w:spacing w:line="360" w:lineRule="auto"/>
        <w:jc w:val="center"/>
        <w:rPr>
          <w:rFonts w:ascii="宋体" w:hAnsi="宋体"/>
          <w:b/>
          <w:bCs/>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质疑函</w:t>
      </w:r>
      <w:r>
        <w:rPr>
          <w:rFonts w:hint="eastAsia" w:ascii="方正小标宋简体" w:hAnsi="方正小标宋简体" w:eastAsia="方正小标宋简体" w:cs="方正小标宋简体"/>
          <w:color w:val="000000" w:themeColor="text1"/>
          <w:sz w:val="28"/>
          <w:szCs w:val="28"/>
          <w14:textFill>
            <w14:solidFill>
              <w14:schemeClr w14:val="tx1"/>
            </w14:solidFill>
          </w14:textFill>
        </w:rPr>
        <w:t>（格式）</w:t>
      </w:r>
    </w:p>
    <w:p>
      <w:pPr>
        <w:pStyle w:val="12"/>
        <w:spacing w:line="360" w:lineRule="auto"/>
        <w:ind w:firstLine="482" w:firstLineChars="200"/>
        <w:contextualSpacing/>
        <w:rPr>
          <w:rFonts w:hAnsi="宋体"/>
          <w:b/>
          <w:bCs/>
          <w:color w:val="000000" w:themeColor="text1"/>
          <w:sz w:val="24"/>
          <w:szCs w:val="24"/>
          <w14:textFill>
            <w14:solidFill>
              <w14:schemeClr w14:val="tx1"/>
            </w14:solidFill>
          </w14:textFill>
        </w:rPr>
      </w:pPr>
      <w:r>
        <w:rPr>
          <w:rFonts w:hint="eastAsia" w:hAnsi="宋体"/>
          <w:b/>
          <w:bCs/>
          <w:color w:val="000000" w:themeColor="text1"/>
          <w:sz w:val="24"/>
          <w:szCs w:val="24"/>
          <w14:textFill>
            <w14:solidFill>
              <w14:schemeClr w14:val="tx1"/>
            </w14:solidFill>
          </w14:textFill>
        </w:rPr>
        <w:t>一、质疑供应商基本信息：</w:t>
      </w:r>
    </w:p>
    <w:p>
      <w:pPr>
        <w:pStyle w:val="12"/>
        <w:spacing w:line="360" w:lineRule="auto"/>
        <w:ind w:firstLine="480" w:firstLineChars="200"/>
        <w:contextualSpacing/>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质疑供应商：</w:t>
      </w:r>
      <w:r>
        <w:rPr>
          <w:rFonts w:hint="eastAsia"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 xml:space="preserve">                 </w:t>
      </w:r>
    </w:p>
    <w:p>
      <w:pPr>
        <w:pStyle w:val="12"/>
        <w:spacing w:line="360" w:lineRule="auto"/>
        <w:ind w:firstLine="480" w:firstLineChars="200"/>
        <w:contextualSpacing/>
        <w:rPr>
          <w:rFonts w:hAnsi="宋体"/>
          <w:bCs/>
          <w:color w:val="000000" w:themeColor="text1"/>
          <w:sz w:val="24"/>
          <w:szCs w:val="24"/>
          <w14:textFill>
            <w14:solidFill>
              <w14:schemeClr w14:val="tx1"/>
            </w14:solidFill>
          </w14:textFill>
        </w:rPr>
      </w:pPr>
      <w:r>
        <w:rPr>
          <w:rFonts w:hAnsi="宋体"/>
          <w:bCs/>
          <w:color w:val="000000" w:themeColor="text1"/>
          <w:sz w:val="24"/>
          <w:szCs w:val="24"/>
          <w14:textFill>
            <w14:solidFill>
              <w14:schemeClr w14:val="tx1"/>
            </w14:solidFill>
          </w14:textFill>
        </w:rPr>
        <w:t>地址</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Ansi="宋体"/>
          <w:bCs/>
          <w:color w:val="000000" w:themeColor="text1"/>
          <w:sz w:val="24"/>
          <w:szCs w:val="24"/>
          <w14:textFill>
            <w14:solidFill>
              <w14:schemeClr w14:val="tx1"/>
            </w14:solidFill>
          </w14:textFill>
        </w:rPr>
        <w:t>邮编</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 xml:space="preserve">                 </w:t>
      </w:r>
    </w:p>
    <w:p>
      <w:pPr>
        <w:pStyle w:val="12"/>
        <w:spacing w:line="360" w:lineRule="auto"/>
        <w:ind w:firstLine="480" w:firstLineChars="200"/>
        <w:contextualSpacing/>
        <w:rPr>
          <w:rFonts w:hAnsi="宋体"/>
          <w:bCs/>
          <w:color w:val="000000" w:themeColor="text1"/>
          <w:sz w:val="24"/>
          <w:szCs w:val="24"/>
          <w14:textFill>
            <w14:solidFill>
              <w14:schemeClr w14:val="tx1"/>
            </w14:solidFill>
          </w14:textFill>
        </w:rPr>
      </w:pPr>
      <w:r>
        <w:rPr>
          <w:rFonts w:hAnsi="宋体"/>
          <w:bCs/>
          <w:color w:val="000000" w:themeColor="text1"/>
          <w:sz w:val="24"/>
          <w:szCs w:val="24"/>
          <w14:textFill>
            <w14:solidFill>
              <w14:schemeClr w14:val="tx1"/>
            </w14:solidFill>
          </w14:textFill>
        </w:rPr>
        <w:t>联系人</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Ansi="宋体"/>
          <w:bCs/>
          <w:color w:val="000000" w:themeColor="text1"/>
          <w:sz w:val="24"/>
          <w:szCs w:val="24"/>
          <w14:textFill>
            <w14:solidFill>
              <w14:schemeClr w14:val="tx1"/>
            </w14:solidFill>
          </w14:textFill>
        </w:rPr>
        <w:t>联系电话</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firstLine="480" w:firstLineChars="200"/>
        <w:contextualSpacing/>
        <w:rPr>
          <w:rFonts w:hAnsi="宋体"/>
          <w:bCs/>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授权代表：</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firstLine="480" w:firstLineChars="200"/>
        <w:contextualSpacing/>
        <w:rPr>
          <w:rFonts w:hAnsi="宋体"/>
          <w:bCs/>
          <w:color w:val="000000" w:themeColor="text1"/>
          <w:sz w:val="24"/>
          <w:szCs w:val="24"/>
          <w:u w:val="single"/>
          <w14:textFill>
            <w14:solidFill>
              <w14:schemeClr w14:val="tx1"/>
            </w14:solidFill>
          </w14:textFill>
        </w:rPr>
      </w:pPr>
      <w:r>
        <w:rPr>
          <w:rFonts w:hAnsi="宋体"/>
          <w:bCs/>
          <w:color w:val="000000" w:themeColor="text1"/>
          <w:sz w:val="24"/>
          <w:szCs w:val="24"/>
          <w14:textFill>
            <w14:solidFill>
              <w14:schemeClr w14:val="tx1"/>
            </w14:solidFill>
          </w14:textFill>
        </w:rPr>
        <w:t>联系</w:t>
      </w:r>
      <w:r>
        <w:rPr>
          <w:rFonts w:hint="eastAsia" w:hAnsi="宋体"/>
          <w:bCs/>
          <w:color w:val="000000" w:themeColor="text1"/>
          <w:sz w:val="24"/>
          <w:szCs w:val="24"/>
          <w14:textFill>
            <w14:solidFill>
              <w14:schemeClr w14:val="tx1"/>
            </w14:solidFill>
          </w14:textFill>
        </w:rPr>
        <w:t>电话：</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firstLine="480" w:firstLineChars="200"/>
        <w:contextualSpacing/>
        <w:rPr>
          <w:rFonts w:hAnsi="宋体"/>
          <w:bCs/>
          <w:color w:val="000000" w:themeColor="text1"/>
          <w:sz w:val="24"/>
          <w:szCs w:val="24"/>
          <w14:textFill>
            <w14:solidFill>
              <w14:schemeClr w14:val="tx1"/>
            </w14:solidFill>
          </w14:textFill>
        </w:rPr>
      </w:pPr>
      <w:r>
        <w:rPr>
          <w:rFonts w:hAnsi="宋体"/>
          <w:bCs/>
          <w:color w:val="000000" w:themeColor="text1"/>
          <w:sz w:val="24"/>
          <w:szCs w:val="24"/>
          <w14:textFill>
            <w14:solidFill>
              <w14:schemeClr w14:val="tx1"/>
            </w14:solidFill>
          </w14:textFill>
        </w:rPr>
        <w:t>地址</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Ansi="宋体"/>
          <w:bCs/>
          <w:color w:val="000000" w:themeColor="text1"/>
          <w:sz w:val="24"/>
          <w:szCs w:val="24"/>
          <w14:textFill>
            <w14:solidFill>
              <w14:schemeClr w14:val="tx1"/>
            </w14:solidFill>
          </w14:textFill>
        </w:rPr>
        <w:t>邮编</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 xml:space="preserve">     </w:t>
      </w:r>
    </w:p>
    <w:p>
      <w:pPr>
        <w:pStyle w:val="12"/>
        <w:spacing w:line="360" w:lineRule="auto"/>
        <w:ind w:firstLine="482" w:firstLineChars="200"/>
        <w:contextualSpacing/>
        <w:rPr>
          <w:rFonts w:hAnsi="宋体"/>
          <w:b/>
          <w:bCs/>
          <w:color w:val="000000" w:themeColor="text1"/>
          <w:sz w:val="24"/>
          <w:szCs w:val="24"/>
          <w14:textFill>
            <w14:solidFill>
              <w14:schemeClr w14:val="tx1"/>
            </w14:solidFill>
          </w14:textFill>
        </w:rPr>
      </w:pPr>
      <w:r>
        <w:rPr>
          <w:rFonts w:hint="eastAsia" w:hAnsi="宋体"/>
          <w:b/>
          <w:bCs/>
          <w:color w:val="000000" w:themeColor="text1"/>
          <w:sz w:val="24"/>
          <w:szCs w:val="24"/>
          <w14:textFill>
            <w14:solidFill>
              <w14:schemeClr w14:val="tx1"/>
            </w14:solidFill>
          </w14:textFill>
        </w:rPr>
        <w:t>二、质疑项目基本情况：</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质疑</w:t>
      </w:r>
      <w:r>
        <w:rPr>
          <w:rFonts w:hint="eastAsia" w:hAnsi="宋体"/>
          <w:color w:val="000000" w:themeColor="text1"/>
          <w:sz w:val="24"/>
          <w:szCs w:val="24"/>
          <w14:textFill>
            <w14:solidFill>
              <w14:schemeClr w14:val="tx1"/>
            </w14:solidFill>
          </w14:textFill>
        </w:rPr>
        <w:t>项目的名称：</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质疑</w:t>
      </w:r>
      <w:r>
        <w:rPr>
          <w:rFonts w:hint="eastAsia" w:hAnsi="宋体"/>
          <w:color w:val="000000" w:themeColor="text1"/>
          <w:sz w:val="24"/>
          <w:szCs w:val="24"/>
          <w14:textFill>
            <w14:solidFill>
              <w14:schemeClr w14:val="tx1"/>
            </w14:solidFill>
          </w14:textFill>
        </w:rPr>
        <w:t>项目的编号：</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采购人名称：</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质疑事项：</w:t>
      </w:r>
    </w:p>
    <w:p>
      <w:pPr>
        <w:pStyle w:val="12"/>
        <w:spacing w:line="360" w:lineRule="auto"/>
        <w:ind w:left="25" w:leftChars="12" w:firstLine="352" w:firstLineChars="14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□采购文件   采购文件获取日期：</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352" w:firstLineChars="14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 xml:space="preserve">□采购过程   </w:t>
      </w:r>
    </w:p>
    <w:p>
      <w:pPr>
        <w:pStyle w:val="12"/>
        <w:spacing w:line="360" w:lineRule="auto"/>
        <w:ind w:left="25" w:leftChars="12" w:firstLine="352" w:firstLineChars="147"/>
        <w:contextualSpacing/>
        <w:rPr>
          <w:rFonts w:hAnsi="宋体"/>
          <w:bCs/>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 xml:space="preserve">□成交结果   </w:t>
      </w:r>
    </w:p>
    <w:p>
      <w:pPr>
        <w:pStyle w:val="12"/>
        <w:spacing w:line="360" w:lineRule="auto"/>
        <w:ind w:left="25" w:leftChars="12" w:firstLine="472" w:firstLineChars="196"/>
        <w:contextualSpacing/>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三、质疑事项具体内容</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质疑事项1：</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事实依据：</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法律依据：</w:t>
      </w:r>
      <w:r>
        <w:rPr>
          <w:rFonts w:hint="eastAsia" w:hAnsi="宋体"/>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质疑事项2</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四、与质疑事项相关的质疑请求：</w:t>
      </w: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请求：</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352" w:firstLineChars="147"/>
        <w:contextualSpacing/>
        <w:rPr>
          <w:rFonts w:hAnsi="宋体"/>
          <w:color w:val="000000" w:themeColor="text1"/>
          <w:sz w:val="24"/>
          <w:szCs w:val="24"/>
          <w14:textFill>
            <w14:solidFill>
              <w14:schemeClr w14:val="tx1"/>
            </w14:solidFill>
          </w14:textFill>
        </w:rPr>
      </w:pPr>
    </w:p>
    <w:p>
      <w:pPr>
        <w:pStyle w:val="12"/>
        <w:spacing w:line="360" w:lineRule="auto"/>
        <w:ind w:left="25" w:leftChars="12" w:firstLine="472" w:firstLineChars="197"/>
        <w:contextualSpacing/>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签字（签章）：                                       公章：</w:t>
      </w:r>
    </w:p>
    <w:p>
      <w:pPr>
        <w:pStyle w:val="12"/>
        <w:spacing w:line="360" w:lineRule="auto"/>
        <w:ind w:firstLine="480" w:firstLineChars="200"/>
        <w:contextualSpacing/>
        <w:rPr>
          <w:rFonts w:hAnsi="宋体"/>
          <w:b/>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日期：</w:t>
      </w:r>
    </w:p>
    <w:p>
      <w:pPr>
        <w:pStyle w:val="12"/>
        <w:spacing w:line="360" w:lineRule="auto"/>
        <w:contextualSpacing/>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说明：</w:t>
      </w:r>
    </w:p>
    <w:p>
      <w:pPr>
        <w:pStyle w:val="12"/>
        <w:spacing w:line="360" w:lineRule="auto"/>
        <w:ind w:left="25" w:leftChars="12" w:firstLine="354" w:firstLineChars="147"/>
        <w:contextualSpacing/>
        <w:rPr>
          <w:rFonts w:hAnsi="宋体"/>
          <w:b/>
          <w:bCs/>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1.供应商提出质疑时，应提交质疑函和必要的证明材料</w:t>
      </w:r>
      <w:r>
        <w:rPr>
          <w:rFonts w:hint="eastAsia" w:hAnsi="宋体"/>
          <w:b/>
          <w:bCs/>
          <w:color w:val="000000" w:themeColor="text1"/>
          <w:sz w:val="24"/>
          <w:szCs w:val="24"/>
          <w14:textFill>
            <w14:solidFill>
              <w14:schemeClr w14:val="tx1"/>
            </w14:solidFill>
          </w14:textFill>
        </w:rPr>
        <w:t>。</w:t>
      </w:r>
    </w:p>
    <w:p>
      <w:pPr>
        <w:pStyle w:val="12"/>
        <w:spacing w:line="360" w:lineRule="auto"/>
        <w:ind w:left="25" w:leftChars="12" w:firstLine="354" w:firstLineChars="147"/>
        <w:contextualSpacing/>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12"/>
        <w:spacing w:line="360" w:lineRule="auto"/>
        <w:ind w:left="25" w:leftChars="12" w:firstLine="354" w:firstLineChars="147"/>
        <w:contextualSpacing/>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3.质疑函的质疑事项应具体、明确，并有必要的事实依据和法律依据。</w:t>
      </w:r>
    </w:p>
    <w:p>
      <w:pPr>
        <w:pStyle w:val="12"/>
        <w:spacing w:line="360" w:lineRule="auto"/>
        <w:ind w:left="25" w:leftChars="12" w:firstLine="354" w:firstLineChars="147"/>
        <w:contextualSpacing/>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4.质疑函的质疑请求应与质疑事项相关。</w:t>
      </w:r>
    </w:p>
    <w:p>
      <w:pPr>
        <w:pStyle w:val="12"/>
        <w:spacing w:line="360" w:lineRule="auto"/>
        <w:ind w:left="25" w:leftChars="12" w:firstLine="354" w:firstLineChars="147"/>
        <w:contextualSpacing/>
        <w:rPr>
          <w:rFonts w:hAnsi="宋体"/>
          <w:b/>
          <w:color w:val="000000" w:themeColor="text1"/>
          <w14:textFill>
            <w14:solidFill>
              <w14:schemeClr w14:val="tx1"/>
            </w14:solidFill>
          </w14:textFill>
        </w:rPr>
      </w:pPr>
      <w:r>
        <w:rPr>
          <w:rFonts w:hint="eastAsia" w:hAnsi="宋体"/>
          <w:b/>
          <w:color w:val="000000" w:themeColor="text1"/>
          <w:sz w:val="24"/>
          <w:szCs w:val="24"/>
          <w14:textFill>
            <w14:solidFill>
              <w14:schemeClr w14:val="tx1"/>
            </w14:solidFill>
          </w14:textFill>
        </w:rPr>
        <w:t>5.质疑供应商为法人或者其他组织的，质疑函应由法定代表人、主要负责人，或者其授权代表签字或者盖章，并加盖公章。</w:t>
      </w:r>
    </w:p>
    <w:p>
      <w:pPr>
        <w:pStyle w:val="12"/>
        <w:snapToGrid w:val="0"/>
        <w:rPr>
          <w:b/>
          <w:color w:val="000000" w:themeColor="text1"/>
          <w:sz w:val="24"/>
          <w:szCs w:val="24"/>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rPr>
          <w:color w:val="000000" w:themeColor="text1"/>
          <w:sz w:val="32"/>
          <w:szCs w:val="40"/>
          <w14:textFill>
            <w14:solidFill>
              <w14:schemeClr w14:val="tx1"/>
            </w14:solidFill>
          </w14:textFill>
        </w:rPr>
      </w:pPr>
    </w:p>
    <w:p>
      <w:pPr>
        <w:spacing w:line="360" w:lineRule="auto"/>
        <w:jc w:val="center"/>
        <w:rPr>
          <w:rFonts w:ascii="方正小标宋简体" w:hAnsi="方正小标宋简体" w:eastAsia="方正小标宋简体" w:cs="方正小标宋简体"/>
          <w:color w:val="000000" w:themeColor="text1"/>
          <w:sz w:val="24"/>
          <w14:textFill>
            <w14:solidFill>
              <w14:schemeClr w14:val="tx1"/>
            </w14:solidFill>
          </w14:textFill>
        </w:rPr>
      </w:pPr>
      <w:r>
        <w:rPr>
          <w:rFonts w:ascii="方正小标宋简体" w:hAnsi="方正小标宋简体" w:eastAsia="方正小标宋简体" w:cs="方正小标宋简体"/>
          <w:color w:val="000000" w:themeColor="text1"/>
          <w:sz w:val="44"/>
          <w:szCs w:val="44"/>
          <w14:textFill>
            <w14:solidFill>
              <w14:schemeClr w14:val="tx1"/>
            </w14:solidFill>
          </w14:textFill>
        </w:rPr>
        <w:br w:type="page"/>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投诉书</w:t>
      </w:r>
      <w:r>
        <w:rPr>
          <w:rFonts w:hint="eastAsia" w:ascii="方正小标宋简体" w:hAnsi="方正小标宋简体" w:eastAsia="方正小标宋简体" w:cs="方正小标宋简体"/>
          <w:color w:val="000000" w:themeColor="text1"/>
          <w:sz w:val="28"/>
          <w:szCs w:val="28"/>
          <w14:textFill>
            <w14:solidFill>
              <w14:schemeClr w14:val="tx1"/>
            </w14:solidFill>
          </w14:textFill>
        </w:rPr>
        <w:t>（格式）</w:t>
      </w:r>
    </w:p>
    <w:p>
      <w:pPr>
        <w:pStyle w:val="12"/>
        <w:snapToGrid w:val="0"/>
        <w:spacing w:line="360" w:lineRule="auto"/>
        <w:ind w:firstLine="482" w:firstLineChars="200"/>
        <w:rPr>
          <w:rFonts w:hAnsi="宋体"/>
          <w:b/>
          <w:bCs/>
          <w:color w:val="000000" w:themeColor="text1"/>
          <w:sz w:val="24"/>
          <w:szCs w:val="24"/>
          <w14:textFill>
            <w14:solidFill>
              <w14:schemeClr w14:val="tx1"/>
            </w14:solidFill>
          </w14:textFill>
        </w:rPr>
      </w:pPr>
      <w:r>
        <w:rPr>
          <w:rFonts w:hint="eastAsia" w:hAnsi="宋体"/>
          <w:b/>
          <w:bCs/>
          <w:color w:val="000000" w:themeColor="text1"/>
          <w:sz w:val="24"/>
          <w:szCs w:val="24"/>
          <w14:textFill>
            <w14:solidFill>
              <w14:schemeClr w14:val="tx1"/>
            </w14:solidFill>
          </w14:textFill>
        </w:rPr>
        <w:t>一、投诉相关主体基本情况：</w:t>
      </w:r>
    </w:p>
    <w:p>
      <w:pPr>
        <w:pStyle w:val="12"/>
        <w:snapToGrid w:val="0"/>
        <w:spacing w:line="360" w:lineRule="auto"/>
        <w:ind w:firstLine="480" w:firstLineChars="200"/>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供应商：</w:t>
      </w:r>
      <w:r>
        <w:rPr>
          <w:rFonts w:hint="eastAsia"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14:textFill>
            <w14:solidFill>
              <w14:schemeClr w14:val="tx1"/>
            </w14:solidFill>
          </w14:textFill>
        </w:rPr>
      </w:pPr>
      <w:r>
        <w:rPr>
          <w:rFonts w:hAnsi="宋体"/>
          <w:bCs/>
          <w:color w:val="000000" w:themeColor="text1"/>
          <w:sz w:val="24"/>
          <w:szCs w:val="24"/>
          <w14:textFill>
            <w14:solidFill>
              <w14:schemeClr w14:val="tx1"/>
            </w14:solidFill>
          </w14:textFill>
        </w:rPr>
        <w:t>地址</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Ansi="宋体"/>
          <w:bCs/>
          <w:color w:val="000000" w:themeColor="text1"/>
          <w:sz w:val="24"/>
          <w:szCs w:val="24"/>
          <w14:textFill>
            <w14:solidFill>
              <w14:schemeClr w14:val="tx1"/>
            </w14:solidFill>
          </w14:textFill>
        </w:rPr>
        <w:t>邮编</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法定代表人/主要负责人：</w:t>
      </w:r>
      <w:r>
        <w:rPr>
          <w:rFonts w:hint="eastAsia" w:hAnsi="宋体"/>
          <w:bCs/>
          <w:color w:val="000000" w:themeColor="text1"/>
          <w:sz w:val="24"/>
          <w:szCs w:val="24"/>
          <w:u w:val="single"/>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14:textFill>
            <w14:solidFill>
              <w14:schemeClr w14:val="tx1"/>
            </w14:solidFill>
          </w14:textFill>
        </w:rPr>
      </w:pPr>
      <w:r>
        <w:rPr>
          <w:rFonts w:hAnsi="宋体"/>
          <w:bCs/>
          <w:color w:val="000000" w:themeColor="text1"/>
          <w:sz w:val="24"/>
          <w:szCs w:val="24"/>
          <w14:textFill>
            <w14:solidFill>
              <w14:schemeClr w14:val="tx1"/>
            </w14:solidFill>
          </w14:textFill>
        </w:rPr>
        <w:t>联系电话</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授权代表：</w:t>
      </w:r>
      <w:r>
        <w:rPr>
          <w:rFonts w:hint="eastAsia" w:hAnsi="宋体"/>
          <w:bCs/>
          <w:color w:val="000000" w:themeColor="text1"/>
          <w:sz w:val="24"/>
          <w:szCs w:val="24"/>
          <w:u w:val="single"/>
          <w14:textFill>
            <w14:solidFill>
              <w14:schemeClr w14:val="tx1"/>
            </w14:solidFill>
          </w14:textFill>
        </w:rPr>
        <w:t xml:space="preserve">                                         </w:t>
      </w:r>
      <w:r>
        <w:rPr>
          <w:rFonts w:hAnsi="宋体"/>
          <w:bCs/>
          <w:color w:val="000000" w:themeColor="text1"/>
          <w:sz w:val="24"/>
          <w:szCs w:val="24"/>
          <w14:textFill>
            <w14:solidFill>
              <w14:schemeClr w14:val="tx1"/>
            </w14:solidFill>
          </w14:textFill>
        </w:rPr>
        <w:t>联系</w:t>
      </w:r>
      <w:r>
        <w:rPr>
          <w:rFonts w:hint="eastAsia" w:hAnsi="宋体"/>
          <w:bCs/>
          <w:color w:val="000000" w:themeColor="text1"/>
          <w:sz w:val="24"/>
          <w:szCs w:val="24"/>
          <w14:textFill>
            <w14:solidFill>
              <w14:schemeClr w14:val="tx1"/>
            </w14:solidFill>
          </w14:textFill>
        </w:rPr>
        <w:t>电话：</w:t>
      </w:r>
      <w:r>
        <w:rPr>
          <w:rFonts w:hint="eastAsia" w:hAnsi="宋体"/>
          <w:bCs/>
          <w:color w:val="000000" w:themeColor="text1"/>
          <w:sz w:val="24"/>
          <w:szCs w:val="24"/>
          <w:u w:val="single"/>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u w:val="single"/>
          <w14:textFill>
            <w14:solidFill>
              <w14:schemeClr w14:val="tx1"/>
            </w14:solidFill>
          </w14:textFill>
        </w:rPr>
      </w:pPr>
      <w:r>
        <w:rPr>
          <w:rFonts w:hAnsi="宋体"/>
          <w:bCs/>
          <w:color w:val="000000" w:themeColor="text1"/>
          <w:sz w:val="24"/>
          <w:szCs w:val="24"/>
          <w14:textFill>
            <w14:solidFill>
              <w14:schemeClr w14:val="tx1"/>
            </w14:solidFill>
          </w14:textFill>
        </w:rPr>
        <w:t>地址</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14:textFill>
            <w14:solidFill>
              <w14:schemeClr w14:val="tx1"/>
            </w14:solidFill>
          </w14:textFill>
        </w:rPr>
      </w:pPr>
      <w:r>
        <w:rPr>
          <w:rFonts w:hAnsi="宋体"/>
          <w:bCs/>
          <w:color w:val="000000" w:themeColor="text1"/>
          <w:sz w:val="24"/>
          <w:szCs w:val="24"/>
          <w14:textFill>
            <w14:solidFill>
              <w14:schemeClr w14:val="tx1"/>
            </w14:solidFill>
          </w14:textFill>
        </w:rPr>
        <w:t>邮编</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被投诉人1：</w:t>
      </w:r>
    </w:p>
    <w:p>
      <w:pPr>
        <w:pStyle w:val="12"/>
        <w:snapToGrid w:val="0"/>
        <w:spacing w:line="360" w:lineRule="auto"/>
        <w:ind w:firstLine="480" w:firstLineChars="200"/>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地址：</w:t>
      </w:r>
      <w:r>
        <w:rPr>
          <w:rFonts w:hint="eastAsia" w:hAnsi="宋体"/>
          <w:bCs/>
          <w:color w:val="000000" w:themeColor="text1"/>
          <w:sz w:val="24"/>
          <w:szCs w:val="24"/>
          <w:u w:val="single"/>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14:textFill>
            <w14:solidFill>
              <w14:schemeClr w14:val="tx1"/>
            </w14:solidFill>
          </w14:textFill>
        </w:rPr>
      </w:pPr>
      <w:r>
        <w:rPr>
          <w:rFonts w:hAnsi="宋体"/>
          <w:bCs/>
          <w:color w:val="000000" w:themeColor="text1"/>
          <w:sz w:val="24"/>
          <w:szCs w:val="24"/>
          <w14:textFill>
            <w14:solidFill>
              <w14:schemeClr w14:val="tx1"/>
            </w14:solidFill>
          </w14:textFill>
        </w:rPr>
        <w:t>邮编</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联系人：</w:t>
      </w:r>
      <w:r>
        <w:rPr>
          <w:rFonts w:hint="eastAsia" w:hAnsi="宋体"/>
          <w:bCs/>
          <w:color w:val="000000" w:themeColor="text1"/>
          <w:sz w:val="24"/>
          <w:szCs w:val="24"/>
          <w:u w:val="single"/>
          <w14:textFill>
            <w14:solidFill>
              <w14:schemeClr w14:val="tx1"/>
            </w14:solidFill>
          </w14:textFill>
        </w:rPr>
        <w:t xml:space="preserve">                                                </w:t>
      </w:r>
      <w:r>
        <w:rPr>
          <w:rFonts w:hAnsi="宋体"/>
          <w:bCs/>
          <w:color w:val="000000" w:themeColor="text1"/>
          <w:sz w:val="24"/>
          <w:szCs w:val="24"/>
          <w14:textFill>
            <w14:solidFill>
              <w14:schemeClr w14:val="tx1"/>
            </w14:solidFill>
          </w14:textFill>
        </w:rPr>
        <w:t>联系</w:t>
      </w:r>
      <w:r>
        <w:rPr>
          <w:rFonts w:hint="eastAsia" w:hAnsi="宋体"/>
          <w:bCs/>
          <w:color w:val="000000" w:themeColor="text1"/>
          <w:sz w:val="24"/>
          <w:szCs w:val="24"/>
          <w14:textFill>
            <w14:solidFill>
              <w14:schemeClr w14:val="tx1"/>
            </w14:solidFill>
          </w14:textFill>
        </w:rPr>
        <w:t>电话：</w:t>
      </w:r>
      <w:r>
        <w:rPr>
          <w:rFonts w:hint="eastAsia" w:hAnsi="宋体"/>
          <w:bCs/>
          <w:color w:val="000000" w:themeColor="text1"/>
          <w:sz w:val="24"/>
          <w:szCs w:val="24"/>
          <w:u w:val="single"/>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被投诉人2：</w:t>
      </w:r>
    </w:p>
    <w:p>
      <w:pPr>
        <w:pStyle w:val="12"/>
        <w:snapToGrid w:val="0"/>
        <w:spacing w:line="360" w:lineRule="auto"/>
        <w:ind w:firstLine="480" w:firstLineChars="200"/>
        <w:rPr>
          <w:rFonts w:hAnsi="宋体"/>
          <w:bCs/>
          <w:color w:val="000000" w:themeColor="text1"/>
          <w:sz w:val="24"/>
          <w:szCs w:val="24"/>
          <w14:textFill>
            <w14:solidFill>
              <w14:schemeClr w14:val="tx1"/>
            </w14:solidFill>
          </w14:textFill>
        </w:rPr>
      </w:pPr>
      <w:r>
        <w:rPr>
          <w:rFonts w:hAnsi="宋体"/>
          <w:bCs/>
          <w:color w:val="000000" w:themeColor="text1"/>
          <w:sz w:val="24"/>
          <w:szCs w:val="24"/>
          <w14:textFill>
            <w14:solidFill>
              <w14:schemeClr w14:val="tx1"/>
            </w14:solidFill>
          </w14:textFill>
        </w:rPr>
        <w:t>……</w:t>
      </w:r>
    </w:p>
    <w:p>
      <w:pPr>
        <w:pStyle w:val="12"/>
        <w:snapToGrid w:val="0"/>
        <w:spacing w:line="360" w:lineRule="auto"/>
        <w:ind w:firstLine="480" w:firstLineChars="200"/>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相关供应商：</w:t>
      </w:r>
      <w:r>
        <w:rPr>
          <w:rFonts w:hint="eastAsia" w:hAnsi="宋体"/>
          <w:bCs/>
          <w:color w:val="000000" w:themeColor="text1"/>
          <w:sz w:val="24"/>
          <w:szCs w:val="24"/>
          <w:u w:val="single"/>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u w:val="single"/>
          <w14:textFill>
            <w14:solidFill>
              <w14:schemeClr w14:val="tx1"/>
            </w14:solidFill>
          </w14:textFill>
        </w:rPr>
      </w:pPr>
      <w:r>
        <w:rPr>
          <w:rFonts w:hAnsi="宋体"/>
          <w:bCs/>
          <w:color w:val="000000" w:themeColor="text1"/>
          <w:sz w:val="24"/>
          <w:szCs w:val="24"/>
          <w14:textFill>
            <w14:solidFill>
              <w14:schemeClr w14:val="tx1"/>
            </w14:solidFill>
          </w14:textFill>
        </w:rPr>
        <w:t>地址</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r>
        <w:rPr>
          <w:rFonts w:hAnsi="宋体"/>
          <w:bCs/>
          <w:color w:val="000000" w:themeColor="text1"/>
          <w:sz w:val="24"/>
          <w:szCs w:val="24"/>
          <w14:textFill>
            <w14:solidFill>
              <w14:schemeClr w14:val="tx1"/>
            </w14:solidFill>
          </w14:textFill>
        </w:rPr>
        <w:t>邮编</w:t>
      </w:r>
      <w:r>
        <w:rPr>
          <w:rFonts w:hint="eastAsia" w:hAnsi="宋体"/>
          <w:bCs/>
          <w:color w:val="000000" w:themeColor="text1"/>
          <w:sz w:val="24"/>
          <w:szCs w:val="24"/>
          <w14:textFill>
            <w14:solidFill>
              <w14:schemeClr w14:val="tx1"/>
            </w14:solidFill>
          </w14:textFill>
        </w:rPr>
        <w:t>：</w:t>
      </w:r>
      <w:r>
        <w:rPr>
          <w:rFonts w:hint="eastAsia" w:hAnsi="宋体"/>
          <w:bCs/>
          <w:color w:val="000000" w:themeColor="text1"/>
          <w:sz w:val="24"/>
          <w:szCs w:val="24"/>
          <w:u w:val="single"/>
          <w14:textFill>
            <w14:solidFill>
              <w14:schemeClr w14:val="tx1"/>
            </w14:solidFill>
          </w14:textFill>
        </w:rPr>
        <w:t xml:space="preserve">                         </w:t>
      </w:r>
    </w:p>
    <w:p>
      <w:pPr>
        <w:pStyle w:val="12"/>
        <w:snapToGrid w:val="0"/>
        <w:spacing w:line="360" w:lineRule="auto"/>
        <w:ind w:firstLine="480" w:firstLineChars="200"/>
        <w:rPr>
          <w:rFonts w:hAnsi="宋体"/>
          <w:bCs/>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联系人：</w:t>
      </w:r>
      <w:r>
        <w:rPr>
          <w:rFonts w:hint="eastAsia" w:hAnsi="宋体"/>
          <w:bCs/>
          <w:color w:val="000000" w:themeColor="text1"/>
          <w:sz w:val="24"/>
          <w:szCs w:val="24"/>
          <w:u w:val="single"/>
          <w14:textFill>
            <w14:solidFill>
              <w14:schemeClr w14:val="tx1"/>
            </w14:solidFill>
          </w14:textFill>
        </w:rPr>
        <w:t xml:space="preserve">                                            </w:t>
      </w:r>
      <w:r>
        <w:rPr>
          <w:rFonts w:hAnsi="宋体"/>
          <w:bCs/>
          <w:color w:val="000000" w:themeColor="text1"/>
          <w:sz w:val="24"/>
          <w:szCs w:val="24"/>
          <w14:textFill>
            <w14:solidFill>
              <w14:schemeClr w14:val="tx1"/>
            </w14:solidFill>
          </w14:textFill>
        </w:rPr>
        <w:t>联系</w:t>
      </w:r>
      <w:r>
        <w:rPr>
          <w:rFonts w:hint="eastAsia" w:hAnsi="宋体"/>
          <w:bCs/>
          <w:color w:val="000000" w:themeColor="text1"/>
          <w:sz w:val="24"/>
          <w:szCs w:val="24"/>
          <w14:textFill>
            <w14:solidFill>
              <w14:schemeClr w14:val="tx1"/>
            </w14:solidFill>
          </w14:textFill>
        </w:rPr>
        <w:t>电话：</w:t>
      </w:r>
      <w:r>
        <w:rPr>
          <w:rFonts w:hint="eastAsia" w:hAnsi="宋体"/>
          <w:bCs/>
          <w:color w:val="000000" w:themeColor="text1"/>
          <w:sz w:val="24"/>
          <w:szCs w:val="24"/>
          <w:u w:val="single"/>
          <w14:textFill>
            <w14:solidFill>
              <w14:schemeClr w14:val="tx1"/>
            </w14:solidFill>
          </w14:textFill>
        </w:rPr>
        <w:t xml:space="preserve">                     </w:t>
      </w:r>
      <w:r>
        <w:rPr>
          <w:rFonts w:hint="eastAsia" w:hAnsi="宋体"/>
          <w:bCs/>
          <w:color w:val="000000" w:themeColor="text1"/>
          <w:sz w:val="24"/>
          <w:szCs w:val="24"/>
          <w14:textFill>
            <w14:solidFill>
              <w14:schemeClr w14:val="tx1"/>
            </w14:solidFill>
          </w14:textFill>
        </w:rPr>
        <w:t xml:space="preserve">                </w:t>
      </w:r>
    </w:p>
    <w:p>
      <w:pPr>
        <w:pStyle w:val="12"/>
        <w:snapToGrid w:val="0"/>
        <w:spacing w:line="360" w:lineRule="auto"/>
        <w:ind w:firstLine="482" w:firstLineChars="200"/>
        <w:rPr>
          <w:rFonts w:hAnsi="宋体"/>
          <w:b/>
          <w:bCs/>
          <w:color w:val="000000" w:themeColor="text1"/>
          <w:sz w:val="24"/>
          <w:szCs w:val="24"/>
          <w14:textFill>
            <w14:solidFill>
              <w14:schemeClr w14:val="tx1"/>
            </w14:solidFill>
          </w14:textFill>
        </w:rPr>
      </w:pPr>
      <w:r>
        <w:rPr>
          <w:rFonts w:hint="eastAsia" w:hAnsi="宋体"/>
          <w:b/>
          <w:bCs/>
          <w:color w:val="000000" w:themeColor="text1"/>
          <w:sz w:val="24"/>
          <w:szCs w:val="24"/>
          <w14:textFill>
            <w14:solidFill>
              <w14:schemeClr w14:val="tx1"/>
            </w14:solidFill>
          </w14:textFill>
        </w:rPr>
        <w:t>二、投诉项目基本情况：</w:t>
      </w:r>
    </w:p>
    <w:p>
      <w:pPr>
        <w:pStyle w:val="12"/>
        <w:spacing w:line="360" w:lineRule="auto"/>
        <w:ind w:left="25" w:leftChars="12" w:firstLine="472" w:firstLineChars="197"/>
        <w:rPr>
          <w:rFonts w:hAnsi="宋体"/>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采购</w:t>
      </w:r>
      <w:r>
        <w:rPr>
          <w:rFonts w:hint="eastAsia" w:hAnsi="宋体"/>
          <w:color w:val="000000" w:themeColor="text1"/>
          <w:sz w:val="24"/>
          <w:szCs w:val="24"/>
          <w14:textFill>
            <w14:solidFill>
              <w14:schemeClr w14:val="tx1"/>
            </w14:solidFill>
          </w14:textFill>
        </w:rPr>
        <w:t>项目的名称：</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rPr>
          <w:rFonts w:hAnsi="宋体"/>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采购</w:t>
      </w:r>
      <w:r>
        <w:rPr>
          <w:rFonts w:hint="eastAsia" w:hAnsi="宋体"/>
          <w:color w:val="000000" w:themeColor="text1"/>
          <w:sz w:val="24"/>
          <w:szCs w:val="24"/>
          <w14:textFill>
            <w14:solidFill>
              <w14:schemeClr w14:val="tx1"/>
            </w14:solidFill>
          </w14:textFill>
        </w:rPr>
        <w:t>项目的编号：</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rPr>
          <w:rFonts w:hAnsi="宋体"/>
          <w:bCs/>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采购人名称：</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rPr>
          <w:rFonts w:hAnsi="宋体"/>
          <w:bCs/>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代理机构名称：</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竞争性磋商文件公告：</w:t>
      </w:r>
      <w:r>
        <w:rPr>
          <w:rFonts w:hint="eastAsia" w:hAnsi="宋体"/>
          <w:bCs/>
          <w:color w:val="000000" w:themeColor="text1"/>
          <w:sz w:val="24"/>
          <w:szCs w:val="24"/>
          <w:u w:val="single"/>
          <w14:textFill>
            <w14:solidFill>
              <w14:schemeClr w14:val="tx1"/>
            </w14:solidFill>
          </w14:textFill>
        </w:rPr>
        <w:t>是/否</w:t>
      </w:r>
      <w:r>
        <w:rPr>
          <w:rFonts w:hint="eastAsia" w:hAnsi="宋体"/>
          <w:bCs/>
          <w:color w:val="000000" w:themeColor="text1"/>
          <w:sz w:val="24"/>
          <w:szCs w:val="24"/>
          <w14:textFill>
            <w14:solidFill>
              <w14:schemeClr w14:val="tx1"/>
            </w14:solidFill>
          </w14:textFill>
        </w:rPr>
        <w:t>公告期限：</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rPr>
          <w:rFonts w:hAnsi="宋体"/>
          <w:b/>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采购结果公告：</w:t>
      </w:r>
      <w:r>
        <w:rPr>
          <w:rFonts w:hint="eastAsia" w:hAnsi="宋体"/>
          <w:bCs/>
          <w:color w:val="000000" w:themeColor="text1"/>
          <w:sz w:val="24"/>
          <w:szCs w:val="24"/>
          <w:u w:val="single"/>
          <w14:textFill>
            <w14:solidFill>
              <w14:schemeClr w14:val="tx1"/>
            </w14:solidFill>
          </w14:textFill>
        </w:rPr>
        <w:t>是/否</w:t>
      </w:r>
      <w:r>
        <w:rPr>
          <w:rFonts w:hint="eastAsia" w:hAnsi="宋体"/>
          <w:bCs/>
          <w:color w:val="000000" w:themeColor="text1"/>
          <w:sz w:val="24"/>
          <w:szCs w:val="24"/>
          <w14:textFill>
            <w14:solidFill>
              <w14:schemeClr w14:val="tx1"/>
            </w14:solidFill>
          </w14:textFill>
        </w:rPr>
        <w:t>公告期限：</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6"/>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三、质疑基本情况</w:t>
      </w:r>
    </w:p>
    <w:p>
      <w:pPr>
        <w:pStyle w:val="12"/>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投诉人于</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年</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月</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日，向</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提出质疑，质疑事项为：</w:t>
      </w:r>
    </w:p>
    <w:p>
      <w:pPr>
        <w:pStyle w:val="12"/>
        <w:spacing w:line="360" w:lineRule="auto"/>
        <w:ind w:firstLine="241"/>
        <w:rPr>
          <w:rFonts w:hAnsi="宋体"/>
          <w:bCs/>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 xml:space="preserve">    </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firstLine="241"/>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 xml:space="preserve">    </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bCs/>
          <w:color w:val="000000" w:themeColor="text1"/>
          <w:sz w:val="24"/>
          <w:szCs w:val="24"/>
          <w:u w:val="single"/>
          <w14:textFill>
            <w14:solidFill>
              <w14:schemeClr w14:val="tx1"/>
            </w14:solidFill>
          </w14:textFill>
        </w:rPr>
        <w:t>采购人/代理机构</w:t>
      </w:r>
      <w:r>
        <w:rPr>
          <w:rFonts w:hint="eastAsia" w:hAnsi="宋体"/>
          <w:bCs/>
          <w:color w:val="000000" w:themeColor="text1"/>
          <w:sz w:val="24"/>
          <w:szCs w:val="24"/>
          <w14:textFill>
            <w14:solidFill>
              <w14:schemeClr w14:val="tx1"/>
            </w14:solidFill>
          </w14:textFill>
        </w:rPr>
        <w:t>于</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年</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月</w:t>
      </w:r>
      <w:r>
        <w:rPr>
          <w:rFonts w:hint="eastAsia" w:hAnsi="宋体"/>
          <w:color w:val="000000" w:themeColor="text1"/>
          <w:sz w:val="24"/>
          <w:szCs w:val="24"/>
          <w:u w:val="single"/>
          <w14:textFill>
            <w14:solidFill>
              <w14:schemeClr w14:val="tx1"/>
            </w14:solidFill>
          </w14:textFill>
        </w:rPr>
        <w:t xml:space="preserve">   </w:t>
      </w:r>
      <w:r>
        <w:rPr>
          <w:rFonts w:hint="eastAsia" w:hAnsi="宋体"/>
          <w:color w:val="000000" w:themeColor="text1"/>
          <w:sz w:val="24"/>
          <w:szCs w:val="24"/>
          <w14:textFill>
            <w14:solidFill>
              <w14:schemeClr w14:val="tx1"/>
            </w14:solidFill>
          </w14:textFill>
        </w:rPr>
        <w:t>日，</w:t>
      </w:r>
      <w:r>
        <w:rPr>
          <w:rFonts w:hint="eastAsia" w:hAnsi="宋体"/>
          <w:bCs/>
          <w:color w:val="000000" w:themeColor="text1"/>
          <w:sz w:val="24"/>
          <w:szCs w:val="24"/>
          <w14:textFill>
            <w14:solidFill>
              <w14:schemeClr w14:val="tx1"/>
            </w14:solidFill>
          </w14:textFill>
        </w:rPr>
        <w:t xml:space="preserve">就质疑事项作出了答复/没有在法定期限内作出答复。                                                                                             </w:t>
      </w:r>
    </w:p>
    <w:p>
      <w:pPr>
        <w:pStyle w:val="12"/>
        <w:spacing w:line="360" w:lineRule="auto"/>
        <w:ind w:left="25" w:leftChars="12" w:firstLine="472" w:firstLineChars="196"/>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四、投诉事项具体内容</w:t>
      </w:r>
    </w:p>
    <w:p>
      <w:pPr>
        <w:pStyle w:val="12"/>
        <w:spacing w:line="360" w:lineRule="auto"/>
        <w:ind w:left="25" w:leftChars="12" w:firstLine="472" w:firstLineChars="197"/>
        <w:rPr>
          <w:rFonts w:hAnsi="宋体"/>
          <w:bCs/>
          <w:color w:val="000000" w:themeColor="text1"/>
          <w:sz w:val="24"/>
          <w:szCs w:val="24"/>
          <w:u w:val="single"/>
          <w14:textFill>
            <w14:solidFill>
              <w14:schemeClr w14:val="tx1"/>
            </w14:solidFill>
          </w14:textFill>
        </w:rPr>
      </w:pPr>
      <w:r>
        <w:rPr>
          <w:rFonts w:hint="eastAsia" w:hAnsi="宋体"/>
          <w:color w:val="000000" w:themeColor="text1"/>
          <w:sz w:val="24"/>
          <w:szCs w:val="24"/>
          <w14:textFill>
            <w14:solidFill>
              <w14:schemeClr w14:val="tx1"/>
            </w14:solidFill>
          </w14:textFill>
        </w:rPr>
        <w:t>投诉事项1：</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事实依据：</w:t>
      </w:r>
      <w:r>
        <w:rPr>
          <w:rFonts w:hint="eastAsia" w:hAnsi="宋体"/>
          <w:color w:val="000000" w:themeColor="text1"/>
          <w:sz w:val="24"/>
          <w:szCs w:val="24"/>
          <w14:textFill>
            <w14:solidFill>
              <w14:schemeClr w14:val="tx1"/>
            </w14:solidFill>
          </w14:textFill>
        </w:rPr>
        <w:t xml:space="preserve"> </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firstLine="480" w:firstLineChars="200"/>
        <w:rPr>
          <w:rFonts w:hAnsi="宋体"/>
          <w:bCs/>
          <w:color w:val="000000" w:themeColor="text1"/>
          <w:sz w:val="24"/>
          <w:szCs w:val="24"/>
          <w:u w:val="single"/>
          <w14:textFill>
            <w14:solidFill>
              <w14:schemeClr w14:val="tx1"/>
            </w14:solidFill>
          </w14:textFill>
        </w:rPr>
      </w:pPr>
      <w:r>
        <w:rPr>
          <w:rFonts w:hint="eastAsia" w:hAnsi="宋体"/>
          <w:bCs/>
          <w:color w:val="000000" w:themeColor="text1"/>
          <w:sz w:val="24"/>
          <w:szCs w:val="24"/>
          <w14:textFill>
            <w14:solidFill>
              <w14:schemeClr w14:val="tx1"/>
            </w14:solidFill>
          </w14:textFill>
        </w:rPr>
        <w:t>法律依据：</w:t>
      </w:r>
      <w:r>
        <w:rPr>
          <w:rFonts w:hint="eastAsia" w:hAnsi="宋体"/>
          <w:color w:val="000000" w:themeColor="text1"/>
          <w:sz w:val="24"/>
          <w:szCs w:val="24"/>
          <w14:textFill>
            <w14:solidFill>
              <w14:schemeClr w14:val="tx1"/>
            </w14:solidFill>
          </w14:textFill>
        </w:rPr>
        <w:t xml:space="preserve"> </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472" w:firstLineChars="197"/>
        <w:rPr>
          <w:rFonts w:hAnsi="宋体"/>
          <w:bCs/>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 xml:space="preserve">投诉事项2  </w:t>
      </w:r>
      <w:r>
        <w:rPr>
          <w:rFonts w:hint="eastAsia" w:hAnsi="宋体"/>
          <w:bCs/>
          <w:color w:val="000000" w:themeColor="text1"/>
          <w:sz w:val="24"/>
          <w:szCs w:val="24"/>
          <w14:textFill>
            <w14:solidFill>
              <w14:schemeClr w14:val="tx1"/>
            </w14:solidFill>
          </w14:textFill>
        </w:rPr>
        <w:t xml:space="preserve">  </w:t>
      </w:r>
    </w:p>
    <w:p>
      <w:pPr>
        <w:pStyle w:val="12"/>
        <w:spacing w:line="360" w:lineRule="auto"/>
        <w:ind w:left="25" w:leftChars="12" w:firstLine="472" w:firstLineChars="197"/>
        <w:rPr>
          <w:rFonts w:hAnsi="宋体"/>
          <w:bCs/>
          <w:color w:val="000000" w:themeColor="text1"/>
          <w:sz w:val="24"/>
          <w:szCs w:val="24"/>
          <w14:textFill>
            <w14:solidFill>
              <w14:schemeClr w14:val="tx1"/>
            </w14:solidFill>
          </w14:textFill>
        </w:rPr>
      </w:pPr>
      <w:r>
        <w:rPr>
          <w:rFonts w:hAnsi="宋体"/>
          <w:bCs/>
          <w:color w:val="000000" w:themeColor="text1"/>
          <w:sz w:val="24"/>
          <w:szCs w:val="24"/>
          <w14:textFill>
            <w14:solidFill>
              <w14:schemeClr w14:val="tx1"/>
            </w14:solidFill>
          </w14:textFill>
        </w:rPr>
        <w:t>……</w:t>
      </w:r>
    </w:p>
    <w:p>
      <w:pPr>
        <w:pStyle w:val="12"/>
        <w:spacing w:line="360" w:lineRule="auto"/>
        <w:ind w:left="25" w:leftChars="12" w:firstLine="472" w:firstLineChars="196"/>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五、与投诉事项相关的投诉请求：</w:t>
      </w:r>
    </w:p>
    <w:p>
      <w:pPr>
        <w:pStyle w:val="12"/>
        <w:spacing w:line="360" w:lineRule="auto"/>
        <w:ind w:left="25" w:leftChars="12" w:firstLine="472" w:firstLineChars="197"/>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请求：</w:t>
      </w:r>
      <w:r>
        <w:rPr>
          <w:rFonts w:hint="eastAsia" w:hAnsi="宋体"/>
          <w:bCs/>
          <w:color w:val="000000" w:themeColor="text1"/>
          <w:sz w:val="24"/>
          <w:szCs w:val="24"/>
          <w:u w:val="single"/>
          <w14:textFill>
            <w14:solidFill>
              <w14:schemeClr w14:val="tx1"/>
            </w14:solidFill>
          </w14:textFill>
        </w:rPr>
        <w:t xml:space="preserve">                                                                                 </w:t>
      </w:r>
    </w:p>
    <w:p>
      <w:pPr>
        <w:pStyle w:val="12"/>
        <w:spacing w:line="360" w:lineRule="auto"/>
        <w:ind w:left="25" w:leftChars="12" w:firstLine="352" w:firstLineChars="147"/>
        <w:rPr>
          <w:rFonts w:hAnsi="宋体"/>
          <w:color w:val="000000" w:themeColor="text1"/>
          <w:sz w:val="24"/>
          <w:szCs w:val="24"/>
          <w14:textFill>
            <w14:solidFill>
              <w14:schemeClr w14:val="tx1"/>
            </w14:solidFill>
          </w14:textFill>
        </w:rPr>
      </w:pPr>
    </w:p>
    <w:p>
      <w:pPr>
        <w:pStyle w:val="12"/>
        <w:spacing w:line="360" w:lineRule="auto"/>
        <w:ind w:left="25" w:leftChars="12" w:firstLine="472" w:firstLineChars="197"/>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签字（签章）：                                       公章：</w:t>
      </w:r>
    </w:p>
    <w:p>
      <w:pPr>
        <w:pStyle w:val="12"/>
        <w:spacing w:line="360" w:lineRule="auto"/>
        <w:ind w:left="25" w:leftChars="12" w:firstLine="352" w:firstLineChars="147"/>
        <w:rPr>
          <w:rFonts w:hAnsi="宋体"/>
          <w:color w:val="000000" w:themeColor="text1"/>
          <w:sz w:val="24"/>
          <w:szCs w:val="24"/>
          <w14:textFill>
            <w14:solidFill>
              <w14:schemeClr w14:val="tx1"/>
            </w14:solidFill>
          </w14:textFill>
        </w:rPr>
      </w:pPr>
    </w:p>
    <w:p>
      <w:pPr>
        <w:pStyle w:val="12"/>
        <w:spacing w:line="360" w:lineRule="auto"/>
        <w:ind w:left="25" w:leftChars="12" w:firstLine="472" w:firstLineChars="197"/>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日期：</w:t>
      </w:r>
    </w:p>
    <w:p>
      <w:pPr>
        <w:pStyle w:val="12"/>
        <w:spacing w:line="360" w:lineRule="auto"/>
        <w:ind w:left="25" w:leftChars="12" w:firstLine="472" w:firstLineChars="197"/>
        <w:rPr>
          <w:rFonts w:hAnsi="宋体"/>
          <w:b/>
          <w:color w:val="000000" w:themeColor="text1"/>
          <w:sz w:val="24"/>
          <w:szCs w:val="24"/>
          <w14:textFill>
            <w14:solidFill>
              <w14:schemeClr w14:val="tx1"/>
            </w14:solidFill>
          </w14:textFill>
        </w:rPr>
      </w:pPr>
      <w:r>
        <w:rPr>
          <w:rFonts w:hint="eastAsia" w:hAnsi="宋体"/>
          <w:bCs/>
          <w:color w:val="000000" w:themeColor="text1"/>
          <w:sz w:val="24"/>
          <w:szCs w:val="24"/>
          <w14:textFill>
            <w14:solidFill>
              <w14:schemeClr w14:val="tx1"/>
            </w14:solidFill>
          </w14:textFill>
        </w:rPr>
        <w:t xml:space="preserve">                                                                                 </w:t>
      </w:r>
    </w:p>
    <w:p>
      <w:pPr>
        <w:pStyle w:val="12"/>
        <w:snapToGrid w:val="0"/>
        <w:spacing w:line="360" w:lineRule="auto"/>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说明：</w:t>
      </w:r>
    </w:p>
    <w:p>
      <w:pPr>
        <w:pStyle w:val="12"/>
        <w:spacing w:line="360" w:lineRule="auto"/>
        <w:ind w:left="25" w:leftChars="12" w:firstLine="354" w:firstLineChars="147"/>
        <w:rPr>
          <w:rFonts w:hAnsi="宋体"/>
          <w:b/>
          <w:bCs/>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1.投诉人提起投诉时，应当提交投诉书和必要的证明材料，并按照被投诉人和与投诉事项有关的供应商数量提供投诉书副本</w:t>
      </w:r>
      <w:r>
        <w:rPr>
          <w:rFonts w:hint="eastAsia" w:hAnsi="宋体"/>
          <w:b/>
          <w:bCs/>
          <w:color w:val="000000" w:themeColor="text1"/>
          <w:sz w:val="24"/>
          <w:szCs w:val="24"/>
          <w14:textFill>
            <w14:solidFill>
              <w14:schemeClr w14:val="tx1"/>
            </w14:solidFill>
          </w14:textFill>
        </w:rPr>
        <w:t>。</w:t>
      </w:r>
    </w:p>
    <w:p>
      <w:pPr>
        <w:pStyle w:val="12"/>
        <w:spacing w:line="360" w:lineRule="auto"/>
        <w:ind w:left="25" w:leftChars="12" w:firstLine="354" w:firstLineChars="147"/>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12"/>
        <w:spacing w:line="360" w:lineRule="auto"/>
        <w:ind w:left="25" w:leftChars="12" w:firstLine="354" w:firstLineChars="147"/>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3.投诉书应简要列明质疑事项，质疑函、质疑答复等作为附件材料提供。</w:t>
      </w:r>
    </w:p>
    <w:p>
      <w:pPr>
        <w:pStyle w:val="12"/>
        <w:spacing w:line="360" w:lineRule="auto"/>
        <w:ind w:left="25" w:leftChars="12" w:firstLine="354" w:firstLineChars="147"/>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4.投诉书的投诉事项应具体、明确，并有必要的事实依据和法律依据。</w:t>
      </w:r>
    </w:p>
    <w:p>
      <w:pPr>
        <w:pStyle w:val="12"/>
        <w:spacing w:line="360" w:lineRule="auto"/>
        <w:ind w:left="25" w:leftChars="12" w:firstLine="354" w:firstLineChars="147"/>
        <w:rPr>
          <w:rFonts w:hAnsi="宋体"/>
          <w:b/>
          <w:color w:val="000000" w:themeColor="text1"/>
          <w:sz w:val="24"/>
          <w:szCs w:val="24"/>
          <w14:textFill>
            <w14:solidFill>
              <w14:schemeClr w14:val="tx1"/>
            </w14:solidFill>
          </w14:textFill>
        </w:rPr>
      </w:pPr>
      <w:r>
        <w:rPr>
          <w:rFonts w:hint="eastAsia" w:hAnsi="宋体"/>
          <w:b/>
          <w:color w:val="000000" w:themeColor="text1"/>
          <w:sz w:val="24"/>
          <w:szCs w:val="24"/>
          <w14:textFill>
            <w14:solidFill>
              <w14:schemeClr w14:val="tx1"/>
            </w14:solidFill>
          </w14:textFill>
        </w:rPr>
        <w:t>5.投诉书的投诉请求应与投诉事项相关。</w:t>
      </w:r>
    </w:p>
    <w:p>
      <w:pPr>
        <w:pStyle w:val="12"/>
        <w:spacing w:line="360" w:lineRule="auto"/>
        <w:ind w:left="25" w:leftChars="12" w:firstLine="354" w:firstLineChars="147"/>
        <w:rPr>
          <w:color w:val="000000" w:themeColor="text1"/>
          <w14:textFill>
            <w14:solidFill>
              <w14:schemeClr w14:val="tx1"/>
            </w14:solidFill>
          </w14:textFill>
        </w:rPr>
      </w:pPr>
      <w:r>
        <w:rPr>
          <w:rFonts w:hint="eastAsia" w:hAnsi="宋体"/>
          <w:b/>
          <w:color w:val="000000" w:themeColor="text1"/>
          <w:sz w:val="24"/>
          <w:szCs w:val="24"/>
          <w14:textFill>
            <w14:solidFill>
              <w14:schemeClr w14:val="tx1"/>
            </w14:solidFill>
          </w14:textFill>
        </w:rPr>
        <w:t>6.投诉人为法人或者其他组织的，投诉书应由法定代表人、主要负责人，或者其授权代表签字或者盖章，并加盖公章。</w:t>
      </w:r>
      <w:bookmarkStart w:id="143" w:name="_Toc74323461"/>
    </w:p>
    <w:p>
      <w:pPr>
        <w:spacing w:line="600" w:lineRule="exact"/>
        <w:jc w:val="center"/>
        <w:rPr>
          <w:color w:val="000000" w:themeColor="text1"/>
          <w:sz w:val="28"/>
          <w:szCs w:val="28"/>
          <w14:textFill>
            <w14:solidFill>
              <w14:schemeClr w14:val="tx1"/>
            </w14:solidFill>
          </w14:textFill>
        </w:rPr>
      </w:pPr>
      <w:r>
        <w:rPr>
          <w:rFonts w:hint="eastAsia"/>
          <w:color w:val="000000" w:themeColor="text1"/>
          <w:sz w:val="44"/>
          <w:szCs w:val="44"/>
          <w14:textFill>
            <w14:solidFill>
              <w14:schemeClr w14:val="tx1"/>
            </w14:solidFill>
          </w14:textFill>
        </w:rPr>
        <w:t>第六章</w:t>
      </w:r>
      <w:bookmarkEnd w:id="143"/>
    </w:p>
    <w:p>
      <w:pPr>
        <w:widowControl w:val="0"/>
        <w:spacing w:line="600" w:lineRule="exact"/>
        <w:jc w:val="center"/>
        <w:rPr>
          <w:rFonts w:ascii="Times New Roman" w:hAnsi="Times New Roman" w:eastAsia="方正小标宋_GBK"/>
          <w:kern w:val="0"/>
          <w:sz w:val="44"/>
          <w:szCs w:val="44"/>
        </w:rPr>
      </w:pPr>
      <w:r>
        <w:rPr>
          <w:rFonts w:eastAsia="方正小标宋_GBK"/>
          <w:color w:val="000000" w:themeColor="text1"/>
          <w:kern w:val="0"/>
          <w:sz w:val="44"/>
          <w:szCs w:val="44"/>
          <w14:textFill>
            <w14:solidFill>
              <w14:schemeClr w14:val="tx1"/>
            </w14:solidFill>
          </w14:textFill>
        </w:rPr>
        <w:t>政</w:t>
      </w:r>
      <w:r>
        <w:rPr>
          <w:rFonts w:ascii="Times New Roman" w:hAnsi="Times New Roman" w:eastAsia="方正小标宋_GBK"/>
          <w:kern w:val="0"/>
          <w:sz w:val="44"/>
          <w:szCs w:val="44"/>
        </w:rPr>
        <w:t>府采购技术服务合同</w:t>
      </w:r>
    </w:p>
    <w:p>
      <w:pPr>
        <w:widowControl w:val="0"/>
        <w:spacing w:line="600" w:lineRule="exact"/>
        <w:rPr>
          <w:rFonts w:ascii="Times New Roman" w:hAnsi="Times New Roman" w:eastAsia="方正小标宋_GBK"/>
          <w:kern w:val="0"/>
          <w:sz w:val="44"/>
          <w:szCs w:val="44"/>
        </w:rPr>
      </w:pPr>
    </w:p>
    <w:p>
      <w:pPr>
        <w:widowControl w:val="0"/>
        <w:spacing w:line="600" w:lineRule="exact"/>
        <w:rPr>
          <w:rFonts w:ascii="Times New Roman" w:hAnsi="Times New Roman" w:eastAsia="仿宋"/>
          <w:kern w:val="0"/>
          <w:sz w:val="32"/>
          <w:szCs w:val="32"/>
        </w:rPr>
      </w:pPr>
      <w:r>
        <w:rPr>
          <w:rFonts w:ascii="Times New Roman" w:hAnsi="Times New Roman" w:eastAsia="仿宋"/>
          <w:kern w:val="0"/>
          <w:sz w:val="32"/>
          <w:szCs w:val="32"/>
        </w:rPr>
        <w:t>采购计划号：</w:t>
      </w:r>
      <w:r>
        <w:rPr>
          <w:rFonts w:hint="eastAsia" w:ascii="Times New Roman" w:hAnsi="Times New Roman" w:eastAsia="仿宋"/>
          <w:sz w:val="32"/>
          <w:szCs w:val="32"/>
          <w:u w:val="single"/>
        </w:rPr>
        <w:t xml:space="preserve">                                            </w:t>
      </w:r>
    </w:p>
    <w:p>
      <w:pPr>
        <w:widowControl w:val="0"/>
        <w:spacing w:line="600" w:lineRule="exact"/>
        <w:rPr>
          <w:rFonts w:ascii="Times New Roman" w:hAnsi="Times New Roman" w:eastAsia="仿宋"/>
          <w:kern w:val="0"/>
          <w:sz w:val="32"/>
          <w:szCs w:val="32"/>
        </w:rPr>
      </w:pPr>
      <w:r>
        <w:rPr>
          <w:rFonts w:ascii="Times New Roman" w:hAnsi="Times New Roman" w:eastAsia="仿宋"/>
          <w:kern w:val="0"/>
          <w:sz w:val="32"/>
          <w:szCs w:val="32"/>
        </w:rPr>
        <w:t>项目名称：</w:t>
      </w:r>
      <w:r>
        <w:rPr>
          <w:rFonts w:hint="eastAsia" w:ascii="Times New Roman" w:hAnsi="Times New Roman" w:eastAsia="仿宋"/>
          <w:sz w:val="32"/>
          <w:szCs w:val="32"/>
          <w:u w:val="single"/>
        </w:rPr>
        <w:t xml:space="preserve">                                              </w:t>
      </w:r>
    </w:p>
    <w:p>
      <w:pPr>
        <w:widowControl w:val="0"/>
        <w:spacing w:line="600" w:lineRule="exact"/>
        <w:rPr>
          <w:rFonts w:ascii="Times New Roman" w:hAnsi="Times New Roman" w:eastAsia="仿宋"/>
          <w:kern w:val="0"/>
          <w:sz w:val="32"/>
          <w:szCs w:val="32"/>
          <w:u w:val="single"/>
        </w:rPr>
      </w:pPr>
      <w:r>
        <w:rPr>
          <w:rFonts w:ascii="Times New Roman" w:hAnsi="Times New Roman" w:eastAsia="仿宋"/>
          <w:kern w:val="0"/>
          <w:sz w:val="32"/>
          <w:szCs w:val="32"/>
        </w:rPr>
        <w:t>项目编号：</w:t>
      </w:r>
      <w:r>
        <w:rPr>
          <w:rFonts w:hint="eastAsia" w:ascii="Times New Roman" w:hAnsi="Times New Roman" w:eastAsia="仿宋"/>
          <w:kern w:val="0"/>
          <w:sz w:val="32"/>
          <w:szCs w:val="32"/>
          <w:u w:val="single"/>
        </w:rPr>
        <w:t xml:space="preserve"> </w:t>
      </w:r>
      <w:r>
        <w:rPr>
          <w:rFonts w:hint="eastAsia" w:ascii="Times New Roman" w:hAnsi="Times New Roman" w:eastAsia="仿宋"/>
          <w:sz w:val="32"/>
          <w:szCs w:val="32"/>
          <w:u w:val="single"/>
        </w:rPr>
        <w:t xml:space="preserve">                                             </w:t>
      </w:r>
    </w:p>
    <w:p>
      <w:pPr>
        <w:widowControl w:val="0"/>
        <w:spacing w:line="600" w:lineRule="exact"/>
        <w:rPr>
          <w:rFonts w:ascii="Times New Roman" w:hAnsi="Times New Roman" w:eastAsia="仿宋"/>
          <w:kern w:val="0"/>
          <w:sz w:val="32"/>
          <w:szCs w:val="32"/>
        </w:rPr>
      </w:pPr>
      <w:r>
        <w:rPr>
          <w:rFonts w:ascii="Times New Roman" w:hAnsi="Times New Roman" w:eastAsia="仿宋"/>
          <w:kern w:val="0"/>
          <w:sz w:val="32"/>
          <w:szCs w:val="32"/>
        </w:rPr>
        <w:t>签订地点：</w:t>
      </w:r>
      <w:r>
        <w:rPr>
          <w:rFonts w:hint="eastAsia" w:ascii="Times New Roman" w:hAnsi="Times New Roman" w:eastAsia="仿宋"/>
          <w:sz w:val="32"/>
          <w:szCs w:val="32"/>
          <w:u w:val="single"/>
        </w:rPr>
        <w:t xml:space="preserve">                                              </w:t>
      </w:r>
    </w:p>
    <w:p>
      <w:pPr>
        <w:widowControl w:val="0"/>
        <w:spacing w:line="600" w:lineRule="exact"/>
        <w:rPr>
          <w:rFonts w:ascii="Times New Roman" w:hAnsi="Times New Roman" w:eastAsia="仿宋"/>
          <w:kern w:val="0"/>
          <w:sz w:val="32"/>
          <w:szCs w:val="32"/>
        </w:rPr>
      </w:pPr>
      <w:r>
        <w:rPr>
          <w:rFonts w:ascii="Times New Roman" w:hAnsi="Times New Roman" w:eastAsia="仿宋"/>
          <w:kern w:val="0"/>
          <w:sz w:val="32"/>
          <w:szCs w:val="32"/>
        </w:rPr>
        <w:t>签订时间：</w:t>
      </w:r>
      <w:r>
        <w:rPr>
          <w:rFonts w:hint="eastAsia" w:ascii="Times New Roman" w:hAnsi="Times New Roman" w:eastAsia="仿宋"/>
          <w:sz w:val="32"/>
          <w:szCs w:val="32"/>
          <w:u w:val="single"/>
        </w:rPr>
        <w:t xml:space="preserve">                                              </w:t>
      </w:r>
    </w:p>
    <w:p>
      <w:pPr>
        <w:widowControl w:val="0"/>
        <w:spacing w:line="600" w:lineRule="exact"/>
        <w:rPr>
          <w:rFonts w:ascii="Times New Roman" w:hAnsi="Times New Roman" w:eastAsia="仿宋"/>
          <w:kern w:val="0"/>
          <w:sz w:val="32"/>
          <w:szCs w:val="32"/>
        </w:rPr>
      </w:pPr>
      <w:r>
        <w:rPr>
          <w:rFonts w:ascii="Times New Roman" w:hAnsi="Times New Roman" w:eastAsia="仿宋"/>
          <w:kern w:val="0"/>
          <w:sz w:val="32"/>
          <w:szCs w:val="32"/>
        </w:rPr>
        <w:t>甲方（采购人）：</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rPr>
      </w:pPr>
      <w:r>
        <w:rPr>
          <w:rFonts w:ascii="Times New Roman" w:hAnsi="Times New Roman" w:eastAsia="仿宋"/>
          <w:kern w:val="0"/>
          <w:sz w:val="32"/>
          <w:szCs w:val="32"/>
        </w:rPr>
        <w:t>住所地：</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u w:val="single"/>
        </w:rPr>
      </w:pPr>
      <w:r>
        <w:rPr>
          <w:rFonts w:ascii="Times New Roman" w:hAnsi="Times New Roman" w:eastAsia="仿宋"/>
          <w:kern w:val="0"/>
          <w:sz w:val="32"/>
          <w:szCs w:val="32"/>
        </w:rPr>
        <w:t>法定代表人：</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rPr>
      </w:pPr>
      <w:r>
        <w:rPr>
          <w:rFonts w:ascii="Times New Roman" w:hAnsi="Times New Roman" w:eastAsia="仿宋"/>
          <w:kern w:val="0"/>
          <w:sz w:val="32"/>
          <w:szCs w:val="32"/>
        </w:rPr>
        <w:t>通讯地址</w:t>
      </w:r>
      <w:r>
        <w:rPr>
          <w:rFonts w:hint="eastAsia" w:ascii="Times New Roman" w:hAnsi="Times New Roman" w:eastAsia="仿宋"/>
          <w:kern w:val="0"/>
          <w:sz w:val="32"/>
          <w:szCs w:val="32"/>
        </w:rPr>
        <w:t>：</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u w:val="single"/>
        </w:rPr>
      </w:pPr>
      <w:r>
        <w:rPr>
          <w:rFonts w:hint="eastAsia" w:ascii="Times New Roman" w:hAnsi="Times New Roman" w:eastAsia="仿宋"/>
          <w:kern w:val="0"/>
          <w:sz w:val="32"/>
          <w:szCs w:val="32"/>
        </w:rPr>
        <w:t>联系</w:t>
      </w:r>
      <w:r>
        <w:rPr>
          <w:rFonts w:ascii="Times New Roman" w:hAnsi="Times New Roman" w:eastAsia="仿宋"/>
          <w:kern w:val="0"/>
          <w:sz w:val="32"/>
          <w:szCs w:val="32"/>
        </w:rPr>
        <w:t>电话：</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rPr>
      </w:pPr>
      <w:r>
        <w:rPr>
          <w:rFonts w:ascii="Times New Roman" w:hAnsi="Times New Roman" w:eastAsia="仿宋"/>
          <w:kern w:val="0"/>
          <w:sz w:val="32"/>
          <w:szCs w:val="32"/>
        </w:rPr>
        <w:t>电子邮箱：</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u w:val="single"/>
        </w:rPr>
      </w:pPr>
      <w:r>
        <w:rPr>
          <w:rFonts w:ascii="Times New Roman" w:hAnsi="Times New Roman" w:eastAsia="仿宋"/>
          <w:kern w:val="0"/>
          <w:sz w:val="32"/>
          <w:szCs w:val="32"/>
        </w:rPr>
        <w:t>乙方（供应商）：</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u w:val="single"/>
        </w:rPr>
      </w:pPr>
      <w:r>
        <w:rPr>
          <w:rFonts w:ascii="Times New Roman" w:hAnsi="Times New Roman" w:eastAsia="仿宋"/>
          <w:kern w:val="0"/>
          <w:sz w:val="32"/>
          <w:szCs w:val="32"/>
        </w:rPr>
        <w:t>住所地：</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u w:val="single"/>
        </w:rPr>
      </w:pPr>
      <w:r>
        <w:rPr>
          <w:rFonts w:ascii="Times New Roman" w:hAnsi="Times New Roman" w:eastAsia="仿宋"/>
          <w:kern w:val="0"/>
          <w:sz w:val="32"/>
          <w:szCs w:val="32"/>
        </w:rPr>
        <w:t>法定代表人：</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rPr>
      </w:pPr>
      <w:r>
        <w:rPr>
          <w:rFonts w:ascii="Times New Roman" w:hAnsi="Times New Roman" w:eastAsia="仿宋"/>
          <w:kern w:val="0"/>
          <w:sz w:val="32"/>
          <w:szCs w:val="32"/>
        </w:rPr>
        <w:t>通讯地址：</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rPr>
      </w:pPr>
      <w:r>
        <w:rPr>
          <w:rFonts w:hint="eastAsia" w:ascii="Times New Roman" w:hAnsi="Times New Roman" w:eastAsia="仿宋"/>
          <w:kern w:val="0"/>
          <w:sz w:val="32"/>
          <w:szCs w:val="32"/>
        </w:rPr>
        <w:t>联系</w:t>
      </w:r>
      <w:r>
        <w:rPr>
          <w:rFonts w:ascii="Times New Roman" w:hAnsi="Times New Roman" w:eastAsia="仿宋"/>
          <w:kern w:val="0"/>
          <w:sz w:val="32"/>
          <w:szCs w:val="32"/>
        </w:rPr>
        <w:t>电话：</w:t>
      </w:r>
      <w:r>
        <w:rPr>
          <w:rFonts w:hint="eastAsia" w:ascii="Times New Roman" w:hAnsi="Times New Roman" w:eastAsia="仿宋"/>
          <w:kern w:val="0"/>
          <w:sz w:val="32"/>
          <w:szCs w:val="32"/>
          <w:u w:val="single"/>
        </w:rPr>
        <w:t xml:space="preserve">                                              </w:t>
      </w:r>
    </w:p>
    <w:p>
      <w:pPr>
        <w:widowControl w:val="0"/>
        <w:spacing w:line="600" w:lineRule="exact"/>
        <w:rPr>
          <w:rFonts w:ascii="Times New Roman" w:hAnsi="Times New Roman" w:eastAsia="仿宋"/>
          <w:kern w:val="0"/>
          <w:sz w:val="32"/>
          <w:szCs w:val="32"/>
          <w:u w:val="single"/>
        </w:rPr>
      </w:pPr>
      <w:r>
        <w:rPr>
          <w:rFonts w:ascii="Times New Roman" w:hAnsi="Times New Roman" w:eastAsia="仿宋"/>
          <w:kern w:val="0"/>
          <w:sz w:val="32"/>
          <w:szCs w:val="32"/>
        </w:rPr>
        <w:t>电子邮箱：</w:t>
      </w:r>
      <w:r>
        <w:rPr>
          <w:rFonts w:hint="eastAsia" w:ascii="Times New Roman" w:hAnsi="Times New Roman" w:eastAsia="仿宋"/>
          <w:kern w:val="0"/>
          <w:sz w:val="32"/>
          <w:szCs w:val="32"/>
          <w:u w:val="single"/>
        </w:rPr>
        <w:t xml:space="preserve">                                              </w:t>
      </w:r>
    </w:p>
    <w:p>
      <w:pPr>
        <w:widowControl w:val="0"/>
        <w:tabs>
          <w:tab w:val="center" w:pos="4153"/>
          <w:tab w:val="right" w:pos="8306"/>
        </w:tabs>
        <w:snapToGrid w:val="0"/>
        <w:jc w:val="left"/>
        <w:rPr>
          <w:rFonts w:ascii="宋体" w:hAnsi="宋体" w:eastAsia="宋体" w:cs="宋体"/>
          <w:kern w:val="2"/>
          <w:sz w:val="28"/>
          <w:szCs w:val="28"/>
          <w:lang w:val="en-US" w:eastAsia="zh-CN" w:bidi="ar-SA"/>
        </w:rPr>
      </w:pPr>
      <w:r>
        <w:rPr>
          <w:rFonts w:hint="eastAsia" w:ascii="宋体" w:hAnsi="宋体" w:eastAsia="宋体" w:cs="宋体"/>
          <w:color w:val="0000FF"/>
          <w:kern w:val="2"/>
          <w:sz w:val="28"/>
          <w:szCs w:val="28"/>
          <w:lang w:val="en-US" w:eastAsia="zh-CN" w:bidi="ar-SA"/>
        </w:rPr>
        <w:t>本合同为中小企业预留合同：（是/否）。</w:t>
      </w:r>
    </w:p>
    <w:p>
      <w:pPr>
        <w:widowControl w:val="0"/>
        <w:spacing w:line="440" w:lineRule="exact"/>
        <w:jc w:val="left"/>
        <w:rPr>
          <w:rFonts w:ascii="宋体" w:hAnsi="宋体" w:cs="宋体"/>
          <w:sz w:val="28"/>
          <w:szCs w:val="28"/>
        </w:rPr>
      </w:pPr>
    </w:p>
    <w:p>
      <w:pPr>
        <w:widowControl w:val="0"/>
        <w:spacing w:line="440" w:lineRule="exact"/>
        <w:jc w:val="left"/>
        <w:rPr>
          <w:rFonts w:ascii="宋体" w:hAnsi="宋体" w:cs="宋体"/>
          <w:sz w:val="28"/>
          <w:szCs w:val="28"/>
        </w:rPr>
      </w:pPr>
    </w:p>
    <w:p>
      <w:pPr>
        <w:widowControl w:val="0"/>
        <w:spacing w:line="600" w:lineRule="exact"/>
        <w:ind w:firstLine="640" w:firstLineChars="200"/>
        <w:jc w:val="left"/>
        <w:rPr>
          <w:rFonts w:ascii="Times New Roman" w:hAnsi="Times New Roman" w:eastAsia="仿宋"/>
          <w:sz w:val="32"/>
          <w:szCs w:val="32"/>
        </w:rPr>
      </w:pPr>
      <w:r>
        <w:rPr>
          <w:rFonts w:ascii="Times New Roman" w:hAnsi="Times New Roman" w:eastAsia="仿宋"/>
          <w:sz w:val="32"/>
          <w:szCs w:val="32"/>
        </w:rPr>
        <w:t>根据《中华人民共和国政府采购法》《中华人民共和国民法典》等法律、法规规定，按照招标文件（采购文件）规定条款和投标文件及承诺，甲乙双方签订本合同。</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第一条　合同标的</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服务一览表</w:t>
      </w:r>
    </w:p>
    <w:tbl>
      <w:tblPr>
        <w:tblStyle w:val="18"/>
        <w:tblW w:w="9465"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074"/>
        <w:gridCol w:w="2564"/>
        <w:gridCol w:w="763"/>
        <w:gridCol w:w="941"/>
        <w:gridCol w:w="13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518"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jc w:val="center"/>
              <w:rPr>
                <w:rFonts w:ascii="Times New Roman" w:hAnsi="Times New Roman" w:eastAsia="仿宋"/>
                <w:szCs w:val="21"/>
              </w:rPr>
            </w:pPr>
            <w:r>
              <w:rPr>
                <w:rFonts w:ascii="Times New Roman" w:hAnsi="Times New Roman" w:eastAsia="仿宋"/>
                <w:sz w:val="32"/>
                <w:szCs w:val="32"/>
              </w:rPr>
              <w:t>序号</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jc w:val="center"/>
              <w:rPr>
                <w:rFonts w:ascii="Times New Roman" w:hAnsi="Times New Roman" w:eastAsia="仿宋"/>
                <w:szCs w:val="21"/>
              </w:rPr>
            </w:pPr>
            <w:r>
              <w:rPr>
                <w:rFonts w:ascii="Times New Roman" w:hAnsi="Times New Roman" w:eastAsia="仿宋"/>
                <w:sz w:val="32"/>
                <w:szCs w:val="32"/>
              </w:rPr>
              <w:t>名称</w:t>
            </w:r>
          </w:p>
        </w:tc>
        <w:tc>
          <w:tcPr>
            <w:tcW w:w="2564"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jc w:val="center"/>
              <w:rPr>
                <w:rFonts w:ascii="Times New Roman" w:hAnsi="Times New Roman" w:eastAsia="仿宋"/>
                <w:szCs w:val="21"/>
              </w:rPr>
            </w:pPr>
            <w:r>
              <w:rPr>
                <w:rFonts w:ascii="Times New Roman" w:hAnsi="Times New Roman" w:eastAsia="仿宋"/>
                <w:sz w:val="32"/>
                <w:szCs w:val="32"/>
              </w:rPr>
              <w:t>服务内容</w:t>
            </w:r>
          </w:p>
        </w:tc>
        <w:tc>
          <w:tcPr>
            <w:tcW w:w="763"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jc w:val="center"/>
              <w:rPr>
                <w:rFonts w:ascii="Times New Roman" w:hAnsi="Times New Roman" w:eastAsia="仿宋"/>
                <w:szCs w:val="21"/>
              </w:rPr>
            </w:pPr>
            <w:r>
              <w:rPr>
                <w:rFonts w:ascii="Times New Roman" w:hAnsi="Times New Roman" w:eastAsia="仿宋"/>
                <w:sz w:val="32"/>
                <w:szCs w:val="32"/>
              </w:rPr>
              <w:t>数量</w:t>
            </w:r>
          </w:p>
        </w:tc>
        <w:tc>
          <w:tcPr>
            <w:tcW w:w="941"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jc w:val="center"/>
              <w:rPr>
                <w:rFonts w:ascii="Times New Roman" w:hAnsi="Times New Roman" w:eastAsia="仿宋"/>
                <w:szCs w:val="21"/>
              </w:rPr>
            </w:pPr>
            <w:r>
              <w:rPr>
                <w:rFonts w:ascii="Times New Roman" w:hAnsi="Times New Roman" w:eastAsia="仿宋"/>
                <w:sz w:val="32"/>
                <w:szCs w:val="32"/>
              </w:rPr>
              <w:t>单位</w:t>
            </w:r>
          </w:p>
        </w:tc>
        <w:tc>
          <w:tcPr>
            <w:tcW w:w="1350"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jc w:val="center"/>
              <w:rPr>
                <w:rFonts w:ascii="Times New Roman" w:hAnsi="Times New Roman" w:eastAsia="仿宋"/>
                <w:sz w:val="32"/>
                <w:szCs w:val="32"/>
              </w:rPr>
            </w:pPr>
            <w:r>
              <w:rPr>
                <w:rFonts w:ascii="Times New Roman" w:hAnsi="Times New Roman" w:eastAsia="仿宋"/>
                <w:sz w:val="32"/>
                <w:szCs w:val="32"/>
              </w:rPr>
              <w:t>单  价</w:t>
            </w:r>
          </w:p>
          <w:p>
            <w:pPr>
              <w:widowControl w:val="0"/>
              <w:spacing w:line="600" w:lineRule="exact"/>
              <w:jc w:val="center"/>
              <w:rPr>
                <w:rFonts w:ascii="Times New Roman" w:hAnsi="Times New Roman" w:eastAsia="仿宋"/>
                <w:szCs w:val="21"/>
              </w:rPr>
            </w:pPr>
            <w:r>
              <w:rPr>
                <w:rFonts w:ascii="Times New Roman" w:hAnsi="Times New Roman" w:eastAsia="仿宋"/>
                <w:sz w:val="32"/>
                <w:szCs w:val="32"/>
              </w:rPr>
              <w:t>（元）</w:t>
            </w:r>
          </w:p>
        </w:tc>
        <w:tc>
          <w:tcPr>
            <w:tcW w:w="1255"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jc w:val="center"/>
              <w:rPr>
                <w:rFonts w:ascii="Times New Roman" w:hAnsi="Times New Roman" w:eastAsia="仿宋"/>
                <w:sz w:val="32"/>
                <w:szCs w:val="32"/>
              </w:rPr>
            </w:pPr>
            <w:r>
              <w:rPr>
                <w:rFonts w:ascii="Times New Roman" w:hAnsi="Times New Roman" w:eastAsia="仿宋"/>
                <w:sz w:val="32"/>
                <w:szCs w:val="32"/>
              </w:rPr>
              <w:t>总  价</w:t>
            </w:r>
          </w:p>
          <w:p>
            <w:pPr>
              <w:widowControl w:val="0"/>
              <w:spacing w:line="600" w:lineRule="exact"/>
              <w:jc w:val="center"/>
              <w:rPr>
                <w:rFonts w:ascii="Times New Roman" w:hAnsi="Times New Roman" w:eastAsia="仿宋"/>
                <w:szCs w:val="21"/>
              </w:rPr>
            </w:pPr>
            <w:r>
              <w:rPr>
                <w:rFonts w:ascii="Times New Roman" w:hAnsi="Times New Roman" w:eastAsia="仿宋"/>
                <w:sz w:val="32"/>
                <w:szCs w:val="32"/>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518"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jc w:val="center"/>
              <w:rPr>
                <w:rFonts w:ascii="Times New Roman" w:hAnsi="Times New Roman" w:eastAsia="仿宋"/>
                <w:szCs w:val="21"/>
              </w:rPr>
            </w:pPr>
            <w:r>
              <w:rPr>
                <w:rFonts w:ascii="Times New Roman" w:hAnsi="Times New Roman" w:eastAsia="仿宋"/>
                <w:sz w:val="32"/>
                <w:szCs w:val="32"/>
              </w:rPr>
              <w:t>1</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2564"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763"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1350"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lang w:val="en"/>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518"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jc w:val="center"/>
              <w:rPr>
                <w:rFonts w:ascii="Times New Roman" w:hAnsi="Times New Roman" w:eastAsia="仿宋"/>
                <w:szCs w:val="21"/>
              </w:rPr>
            </w:pPr>
            <w:r>
              <w:rPr>
                <w:rFonts w:ascii="Times New Roman" w:hAnsi="Times New Roman" w:eastAsia="仿宋"/>
                <w:sz w:val="32"/>
                <w:szCs w:val="32"/>
              </w:rPr>
              <w:t>2</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2564"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763"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1350"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518"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r>
              <w:rPr>
                <w:rFonts w:ascii="Times New Roman" w:hAnsi="Times New Roman" w:eastAsia="仿宋"/>
                <w:szCs w:val="21"/>
              </w:rPr>
              <w:t>…</w:t>
            </w:r>
          </w:p>
        </w:tc>
        <w:tc>
          <w:tcPr>
            <w:tcW w:w="2074"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2564"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763"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941"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1350"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c>
          <w:tcPr>
            <w:tcW w:w="1255" w:type="dxa"/>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9465" w:type="dxa"/>
            <w:gridSpan w:val="7"/>
            <w:tcBorders>
              <w:top w:val="single" w:color="auto" w:sz="4" w:space="0"/>
              <w:left w:val="single" w:color="auto" w:sz="4" w:space="0"/>
              <w:bottom w:val="single" w:color="auto" w:sz="4" w:space="0"/>
              <w:right w:val="single" w:color="auto" w:sz="4" w:space="0"/>
            </w:tcBorders>
            <w:vAlign w:val="center"/>
          </w:tcPr>
          <w:p>
            <w:pPr>
              <w:widowControl w:val="0"/>
              <w:spacing w:line="600" w:lineRule="exact"/>
              <w:rPr>
                <w:rFonts w:ascii="Times New Roman" w:hAnsi="Times New Roman" w:eastAsia="仿宋"/>
                <w:szCs w:val="21"/>
              </w:rPr>
            </w:pPr>
            <w:r>
              <w:rPr>
                <w:rFonts w:ascii="Times New Roman" w:hAnsi="Times New Roman" w:eastAsia="仿宋"/>
                <w:sz w:val="32"/>
                <w:szCs w:val="32"/>
              </w:rPr>
              <w:t>合同合计金额（人民币，大写）：</w:t>
            </w:r>
            <w:r>
              <w:rPr>
                <w:rFonts w:ascii="Times New Roman" w:hAnsi="Times New Roman" w:eastAsia="仿宋"/>
                <w:szCs w:val="21"/>
                <w:u w:val="single"/>
              </w:rPr>
              <w:t xml:space="preserve">                             </w:t>
            </w:r>
            <w:r>
              <w:rPr>
                <w:rFonts w:ascii="Times New Roman" w:hAnsi="Times New Roman" w:eastAsia="仿宋"/>
                <w:sz w:val="32"/>
                <w:szCs w:val="32"/>
              </w:rPr>
              <w:t>元整</w:t>
            </w:r>
            <w:r>
              <w:rPr>
                <w:rFonts w:ascii="Times New Roman" w:hAnsi="Times New Roman" w:eastAsia="仿宋"/>
                <w:szCs w:val="21"/>
              </w:rPr>
              <w:t>（</w:t>
            </w:r>
            <w:r>
              <w:rPr>
                <w:rFonts w:hint="eastAsia" w:ascii="Times New Roman" w:hAnsi="Times New Roman" w:eastAsia="仿宋"/>
                <w:sz w:val="32"/>
                <w:szCs w:val="32"/>
              </w:rPr>
              <w:t>￥</w:t>
            </w:r>
            <w:r>
              <w:rPr>
                <w:rFonts w:ascii="Times New Roman" w:hAnsi="Times New Roman" w:eastAsia="仿宋"/>
                <w:sz w:val="32"/>
                <w:szCs w:val="32"/>
                <w:u w:val="single"/>
              </w:rPr>
              <w:t xml:space="preserve">     </w:t>
            </w:r>
            <w:r>
              <w:rPr>
                <w:rFonts w:hint="eastAsia" w:ascii="Times New Roman" w:hAnsi="Times New Roman" w:eastAsia="仿宋"/>
                <w:sz w:val="32"/>
                <w:szCs w:val="32"/>
                <w:u w:val="single"/>
              </w:rPr>
              <w:t xml:space="preserve">    </w:t>
            </w:r>
            <w:r>
              <w:rPr>
                <w:rFonts w:ascii="Times New Roman" w:hAnsi="Times New Roman" w:eastAsia="仿宋"/>
                <w:sz w:val="32"/>
                <w:szCs w:val="32"/>
                <w:u w:val="single"/>
              </w:rPr>
              <w:t xml:space="preserve">     </w:t>
            </w:r>
            <w:r>
              <w:rPr>
                <w:rFonts w:ascii="Times New Roman" w:hAnsi="Times New Roman" w:eastAsia="仿宋"/>
                <w:szCs w:val="21"/>
              </w:rPr>
              <w:t>）</w:t>
            </w:r>
            <w:r>
              <w:rPr>
                <w:rFonts w:hint="eastAsia" w:ascii="Times New Roman" w:hAnsi="Times New Roman" w:eastAsia="仿宋"/>
                <w:sz w:val="32"/>
                <w:szCs w:val="32"/>
              </w:rPr>
              <w:t>其中，不含税价款：</w:t>
            </w:r>
            <w:r>
              <w:rPr>
                <w:rFonts w:ascii="Times New Roman" w:hAnsi="Times New Roman" w:eastAsia="仿宋"/>
                <w:szCs w:val="21"/>
                <w:u w:val="single"/>
              </w:rPr>
              <w:t xml:space="preserve">                     </w:t>
            </w:r>
            <w:r>
              <w:rPr>
                <w:rFonts w:ascii="Times New Roman" w:hAnsi="Times New Roman" w:eastAsia="仿宋"/>
                <w:sz w:val="32"/>
                <w:szCs w:val="32"/>
              </w:rPr>
              <w:t>元整</w:t>
            </w:r>
            <w:r>
              <w:rPr>
                <w:rFonts w:hint="eastAsia" w:ascii="Times New Roman" w:hAnsi="Times New Roman" w:eastAsia="仿宋"/>
                <w:sz w:val="32"/>
                <w:szCs w:val="32"/>
              </w:rPr>
              <w:t>，增值税价款：</w:t>
            </w:r>
            <w:r>
              <w:rPr>
                <w:rFonts w:ascii="Times New Roman" w:hAnsi="Times New Roman" w:eastAsia="仿宋"/>
                <w:szCs w:val="21"/>
                <w:u w:val="single"/>
              </w:rPr>
              <w:t xml:space="preserve">                    </w:t>
            </w:r>
            <w:r>
              <w:rPr>
                <w:rFonts w:ascii="Times New Roman" w:hAnsi="Times New Roman" w:eastAsia="仿宋"/>
                <w:sz w:val="32"/>
                <w:szCs w:val="32"/>
              </w:rPr>
              <w:t>元整</w:t>
            </w:r>
          </w:p>
        </w:tc>
      </w:tr>
    </w:tbl>
    <w:p>
      <w:pPr>
        <w:widowControl w:val="0"/>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合同合计金额包括但不限于满足本次招标全部采购需求所应提供的服务，以及伴随的货物和工程（如有）的价格</w:t>
      </w:r>
      <w:r>
        <w:rPr>
          <w:rFonts w:ascii="Times New Roman" w:hAnsi="Times New Roman" w:eastAsia="仿宋"/>
          <w:kern w:val="0"/>
          <w:sz w:val="32"/>
          <w:szCs w:val="32"/>
        </w:rPr>
        <w:t>，包括但不限于</w:t>
      </w:r>
      <w:r>
        <w:rPr>
          <w:rFonts w:ascii="Times New Roman" w:hAnsi="Times New Roman" w:eastAsia="仿宋"/>
          <w:sz w:val="32"/>
          <w:szCs w:val="32"/>
        </w:rPr>
        <w:t>服务、货物、工程的成本、运输（含保险）、安装（如有）、调试、检验、技术服务、培训、税费</w:t>
      </w:r>
      <w:r>
        <w:rPr>
          <w:rFonts w:hint="eastAsia" w:ascii="Times New Roman" w:hAnsi="Times New Roman" w:eastAsia="仿宋"/>
          <w:sz w:val="32"/>
          <w:szCs w:val="32"/>
        </w:rPr>
        <w:t>、版权使用费（如有）</w:t>
      </w:r>
      <w:r>
        <w:rPr>
          <w:rFonts w:ascii="Times New Roman" w:hAnsi="Times New Roman" w:eastAsia="仿宋"/>
          <w:sz w:val="32"/>
          <w:szCs w:val="32"/>
        </w:rPr>
        <w:t>等所有费用。</w:t>
      </w:r>
    </w:p>
    <w:p>
      <w:pPr>
        <w:widowControl w:val="0"/>
        <w:spacing w:line="560" w:lineRule="exact"/>
        <w:ind w:firstLine="640" w:firstLineChars="200"/>
        <w:rPr>
          <w:rFonts w:ascii="Times New Roman" w:hAnsi="Times New Roman"/>
          <w:b/>
          <w:szCs w:val="21"/>
        </w:rPr>
      </w:pPr>
      <w:r>
        <w:rPr>
          <w:rFonts w:ascii="Times New Roman" w:hAnsi="Times New Roman" w:eastAsia="黑体"/>
          <w:bCs/>
          <w:sz w:val="32"/>
          <w:szCs w:val="32"/>
        </w:rPr>
        <w:t>第二条　质量保证</w:t>
      </w:r>
    </w:p>
    <w:p>
      <w:pPr>
        <w:widowControl w:val="0"/>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乙方所提供的服务、服务质量及服务内容必须与合同、招标文件、投标文件及承诺相一致，有国家强制性标准的，还必须符合国家强制性标准的规定，没有国家强制性标准但有其他标准的，必须符合其他标准的规定。</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第三条　权利保证</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甲方有权随时向乙方了解服务进度和对服务资金使用情况进行监督、检查，并要求乙方提供相关资料。</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甲方有权按照合同约定或有关法律法规、政府管理的相关职能规定，对乙方服务进行监督和检查，有权要求乙方按照监督检查情况制定相应措施并加以整改。甲方不因行使该监督和检查权而承担任何责任，也不因此而减轻或免除乙方根据合同约定或相关法律法规规定应承担的任何义务或责任。</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乙方应保证所提供服务在使用时不会侵犯任何第三方的专利权、商标权、工业设计权等知识产权及其他合法权利，且所有权、处分权等没有受到任何限制。</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4</w:t>
      </w:r>
      <w:r>
        <w:rPr>
          <w:rFonts w:ascii="Times New Roman" w:hAnsi="Times New Roman" w:eastAsia="仿宋"/>
          <w:sz w:val="32"/>
          <w:szCs w:val="32"/>
          <w:lang w:val="en"/>
        </w:rPr>
        <w:t>.</w:t>
      </w:r>
      <w:r>
        <w:rPr>
          <w:rFonts w:ascii="Times New Roman" w:hAnsi="Times New Roman" w:eastAsia="仿宋"/>
          <w:sz w:val="32"/>
          <w:szCs w:val="32"/>
        </w:rPr>
        <w:t>没有甲方事先书面同意，乙方不得将由甲方提供的有关合同或者任何合同条文、规格、计划、图纸、样品或者资料提供给与履行本合同无关的任何其他人。即使向履行合同有关的人员提供，也应注意保密并限于履行合同的必需范围。乙方的保密义务持续有效，不因为本合同履行终止、解除或者无效而解除。</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5</w:t>
      </w:r>
      <w:r>
        <w:rPr>
          <w:rFonts w:ascii="Times New Roman" w:hAnsi="Times New Roman" w:eastAsia="仿宋"/>
          <w:sz w:val="32"/>
          <w:szCs w:val="32"/>
          <w:lang w:val="en"/>
        </w:rPr>
        <w:t>.</w:t>
      </w:r>
      <w:r>
        <w:rPr>
          <w:rFonts w:ascii="Times New Roman" w:hAnsi="Times New Roman" w:eastAsia="仿宋"/>
          <w:sz w:val="32"/>
          <w:szCs w:val="32"/>
        </w:rPr>
        <w:t>乙方保证所交付的服务成果的所有权完全属于乙方且无任何抵押、质押、查封等产权瑕疵。如乙方所交付服务成果有产权瑕疵的，视为乙方违约。但在已经全部支付完合同款后才发现有产权瑕疵的，乙方除了支付违约金，还应负担甲方由此产生的一切损失。</w:t>
      </w:r>
    </w:p>
    <w:p>
      <w:pPr>
        <w:widowControl w:val="0"/>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6.没有甲方事先书面同意，乙方（包括乙方工作人员）不得私自将在履行本合同过程中掌握的监测数据、技术数据等成果提供给与履行本合同无关的任何其他人，否则乙方承担由此引发的一切法律责任以及损失。</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第四条　交付和验收</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服务时间：</w:t>
      </w:r>
      <w:r>
        <w:rPr>
          <w:rFonts w:ascii="Times New Roman" w:hAnsi="Times New Roman" w:eastAsia="仿宋"/>
          <w:sz w:val="32"/>
          <w:szCs w:val="32"/>
          <w:u w:val="single"/>
        </w:rPr>
        <w:t>　　　　　　　　</w:t>
      </w:r>
      <w:r>
        <w:rPr>
          <w:rFonts w:ascii="Times New Roman" w:hAnsi="Times New Roman" w:eastAsia="仿宋"/>
          <w:sz w:val="32"/>
          <w:szCs w:val="32"/>
        </w:rPr>
        <w:t>起至</w:t>
      </w:r>
      <w:r>
        <w:rPr>
          <w:rFonts w:ascii="Times New Roman" w:hAnsi="Times New Roman" w:eastAsia="仿宋"/>
          <w:sz w:val="32"/>
          <w:szCs w:val="32"/>
          <w:u w:val="single"/>
        </w:rPr>
        <w:t>　　　　　　　　</w:t>
      </w:r>
      <w:r>
        <w:rPr>
          <w:rFonts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.服务地点：</w:t>
      </w:r>
      <w:r>
        <w:rPr>
          <w:rFonts w:ascii="Times New Roman" w:hAnsi="Times New Roman" w:eastAsia="仿宋"/>
          <w:sz w:val="32"/>
          <w:szCs w:val="32"/>
          <w:u w:val="single"/>
          <w:lang w:val="en"/>
        </w:rPr>
        <w:t>　　　　　　　　　　　　　　　　　　</w:t>
      </w:r>
      <w:r>
        <w:rPr>
          <w:rFonts w:ascii="Times New Roman" w:hAnsi="Times New Roman" w:eastAsia="仿宋"/>
          <w:sz w:val="32"/>
          <w:szCs w:val="32"/>
          <w:lang w:val="en"/>
        </w:rPr>
        <w:t>。</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乙方应按合同、招标文件、投标文件及承诺向甲方提供相应的服务，并提供服务质量和服务内容的相关技术资料。</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4</w:t>
      </w:r>
      <w:r>
        <w:rPr>
          <w:rFonts w:ascii="Times New Roman" w:hAnsi="Times New Roman" w:eastAsia="仿宋"/>
          <w:sz w:val="32"/>
          <w:szCs w:val="32"/>
          <w:lang w:val="en"/>
        </w:rPr>
        <w:t>.</w:t>
      </w:r>
      <w:r>
        <w:rPr>
          <w:rFonts w:ascii="Times New Roman" w:hAnsi="Times New Roman" w:eastAsia="仿宋"/>
          <w:sz w:val="32"/>
          <w:szCs w:val="32"/>
        </w:rPr>
        <w:t>乙方提供不符合合同、招标文件、投标文件规定的服务成果，甲方有权拒绝接受。</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5</w:t>
      </w:r>
      <w:r>
        <w:rPr>
          <w:rFonts w:ascii="Times New Roman" w:hAnsi="Times New Roman" w:eastAsia="仿宋"/>
          <w:sz w:val="32"/>
          <w:szCs w:val="32"/>
          <w:lang w:val="en"/>
        </w:rPr>
        <w:t>.</w:t>
      </w:r>
      <w:r>
        <w:rPr>
          <w:rFonts w:ascii="Times New Roman" w:hAnsi="Times New Roman" w:eastAsia="仿宋"/>
          <w:sz w:val="32"/>
          <w:szCs w:val="32"/>
        </w:rPr>
        <w:t>乙方在完成服务前应对服务作出全面检查和对验收文件进行整理，并列出清单，作为甲方服务验收的技术依据，清单应随提交的服务成果交给甲方。</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6</w:t>
      </w:r>
      <w:r>
        <w:rPr>
          <w:rFonts w:ascii="Times New Roman" w:hAnsi="Times New Roman" w:eastAsia="仿宋"/>
          <w:sz w:val="32"/>
          <w:szCs w:val="32"/>
          <w:lang w:val="en"/>
        </w:rPr>
        <w:t>.</w:t>
      </w:r>
      <w:r>
        <w:rPr>
          <w:rFonts w:ascii="Times New Roman" w:hAnsi="Times New Roman" w:eastAsia="仿宋"/>
          <w:sz w:val="32"/>
          <w:szCs w:val="32"/>
        </w:rPr>
        <w:t>乙方完成服务后应及时书面通知甲方进行验收，甲方应在收到通知后七个工作日内进行验收，逾期不开始验收的，乙方可视同验收合格。</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7</w:t>
      </w:r>
      <w:r>
        <w:rPr>
          <w:rFonts w:ascii="Times New Roman" w:hAnsi="Times New Roman" w:eastAsia="仿宋"/>
          <w:sz w:val="32"/>
          <w:szCs w:val="32"/>
          <w:lang w:val="en"/>
        </w:rPr>
        <w:t>.</w:t>
      </w:r>
      <w:r>
        <w:rPr>
          <w:rFonts w:ascii="Times New Roman" w:hAnsi="Times New Roman" w:eastAsia="仿宋"/>
          <w:sz w:val="32"/>
          <w:szCs w:val="32"/>
        </w:rPr>
        <w:t>甲乙双方应按照《广西壮族自治区政府采购项目履约验收管理办法》、合同、招标文件、投标文件验收，验收时乙方必须在现场，验收费用由乙方负责。服务质量和服务内容符合合同、招标文件、投标文件规定的要求的，由甲乙双方签署验收合格单并加盖甲方公章，甲乙双方各执一份。</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8</w:t>
      </w:r>
      <w:r>
        <w:rPr>
          <w:rFonts w:ascii="Times New Roman" w:hAnsi="Times New Roman" w:eastAsia="仿宋"/>
          <w:sz w:val="32"/>
          <w:szCs w:val="32"/>
          <w:lang w:val="en"/>
        </w:rPr>
        <w:t>.</w:t>
      </w:r>
      <w:r>
        <w:rPr>
          <w:rFonts w:ascii="Times New Roman" w:hAnsi="Times New Roman" w:eastAsia="仿宋"/>
          <w:sz w:val="32"/>
          <w:szCs w:val="32"/>
        </w:rPr>
        <w:t>甲方在初步验收或者最终验收过程中发现乙方提供的服务、服务质量或服务内容不满足合同、招标文件、投标文件规定的，可暂缓向乙方付款，直到乙方及时完善并提交相应的服务成果且经甲方验收合格后，方可办理付款。</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9</w:t>
      </w:r>
      <w:r>
        <w:rPr>
          <w:rFonts w:ascii="Times New Roman" w:hAnsi="Times New Roman" w:eastAsia="仿宋"/>
          <w:sz w:val="32"/>
          <w:szCs w:val="32"/>
          <w:lang w:val="en"/>
        </w:rPr>
        <w:t>.</w:t>
      </w:r>
      <w:r>
        <w:rPr>
          <w:rFonts w:ascii="Times New Roman" w:hAnsi="Times New Roman" w:eastAsia="仿宋"/>
          <w:sz w:val="32"/>
          <w:szCs w:val="32"/>
        </w:rPr>
        <w:t>甲方验收时发现乙方提供的服务、服务质量或服务内容不满足合同、招标文件、投标文件规定并以书面形式提出异议的，乙方应自收到甲方书面异议后五个工作日内予以解决，否则甲方有权不出具验收合格单。乙方因解决异议问题而造成逾期的，按乙方逾期交付处理。</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第五条　售后服务、服务质量保证期及培训</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乙方应按照国家有关法律法规、合同、招标文件、投标文件所附的《服务承诺》要求为甲方提供相应的服务。</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乙方提供服务的质量保证期按交付服务成果验收合格并签署验收合格单之日起计算，为</w:t>
      </w:r>
      <w:r>
        <w:rPr>
          <w:rFonts w:ascii="Times New Roman" w:hAnsi="Times New Roman" w:eastAsia="仿宋"/>
          <w:sz w:val="32"/>
          <w:szCs w:val="32"/>
          <w:u w:val="single"/>
        </w:rPr>
        <w:t>　　　　</w:t>
      </w:r>
      <w:r>
        <w:rPr>
          <w:rFonts w:ascii="Times New Roman" w:hAnsi="Times New Roman" w:eastAsia="仿宋"/>
          <w:sz w:val="32"/>
          <w:szCs w:val="32"/>
        </w:rPr>
        <w:t>日，在质量保证期内因服务成果本身的技术问题，乙方应对服务出现的问题负责处理解决并承担一切费用。</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在质量保证期内发生技术服务问题，乙方应在接到甲方通知后24小时内到达甲方现场在甲方指定的期限内解决问题。</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4</w:t>
      </w:r>
      <w:r>
        <w:rPr>
          <w:rFonts w:ascii="Times New Roman" w:hAnsi="Times New Roman" w:eastAsia="仿宋"/>
          <w:sz w:val="32"/>
          <w:szCs w:val="32"/>
          <w:lang w:val="en"/>
        </w:rPr>
        <w:t>.</w:t>
      </w:r>
      <w:r>
        <w:rPr>
          <w:rFonts w:ascii="Times New Roman" w:hAnsi="Times New Roman" w:eastAsia="仿宋"/>
          <w:sz w:val="32"/>
          <w:szCs w:val="32"/>
        </w:rPr>
        <w:t>乙方负责甲方有关人员的培训。</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培训时间：</w:t>
      </w:r>
      <w:r>
        <w:rPr>
          <w:rFonts w:ascii="Times New Roman" w:hAnsi="Times New Roman" w:eastAsia="仿宋"/>
          <w:sz w:val="32"/>
          <w:szCs w:val="32"/>
          <w:u w:val="single"/>
        </w:rPr>
        <w:t>　　　　　　　　　　　　　　　</w:t>
      </w:r>
      <w:r>
        <w:rPr>
          <w:rFonts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u w:val="single"/>
        </w:rPr>
      </w:pPr>
      <w:r>
        <w:rPr>
          <w:rFonts w:ascii="Times New Roman" w:hAnsi="Times New Roman" w:eastAsia="仿宋"/>
          <w:sz w:val="32"/>
          <w:szCs w:val="32"/>
        </w:rPr>
        <w:t>培训地点：</w:t>
      </w:r>
      <w:r>
        <w:rPr>
          <w:rFonts w:ascii="Times New Roman" w:hAnsi="Times New Roman" w:eastAsia="仿宋"/>
          <w:sz w:val="32"/>
          <w:szCs w:val="32"/>
          <w:u w:val="single"/>
        </w:rPr>
        <w:t>　　　　　　　　　　　　　　　</w:t>
      </w:r>
      <w:r>
        <w:rPr>
          <w:rFonts w:ascii="Times New Roman" w:hAnsi="Times New Roman" w:eastAsia="仿宋"/>
          <w:sz w:val="32"/>
          <w:szCs w:val="32"/>
        </w:rPr>
        <w:t>。</w:t>
      </w:r>
    </w:p>
    <w:p>
      <w:pPr>
        <w:widowControl w:val="0"/>
        <w:spacing w:line="600" w:lineRule="exact"/>
        <w:ind w:firstLine="640" w:firstLineChars="200"/>
        <w:rPr>
          <w:rFonts w:ascii="Times New Roman" w:hAnsi="Times New Roman" w:eastAsia="仿宋"/>
          <w:b/>
          <w:sz w:val="32"/>
          <w:szCs w:val="32"/>
          <w:u w:val="single"/>
        </w:rPr>
      </w:pPr>
      <w:r>
        <w:rPr>
          <w:rFonts w:ascii="Times New Roman" w:hAnsi="Times New Roman" w:eastAsia="黑体"/>
          <w:bCs/>
          <w:sz w:val="32"/>
          <w:szCs w:val="32"/>
        </w:rPr>
        <w:t>第六条　付款方式</w:t>
      </w:r>
    </w:p>
    <w:p>
      <w:pPr>
        <w:widowControl w:val="0"/>
        <w:spacing w:line="600" w:lineRule="exact"/>
        <w:ind w:firstLine="640" w:firstLineChars="200"/>
        <w:rPr>
          <w:rFonts w:ascii="Times New Roman" w:hAnsi="Times New Roman" w:eastAsia="仿宋"/>
          <w:sz w:val="32"/>
          <w:szCs w:val="32"/>
          <w:u w:val="single"/>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资金性质：</w:t>
      </w:r>
      <w:r>
        <w:rPr>
          <w:rFonts w:ascii="Times New Roman" w:hAnsi="Times New Roman" w:eastAsia="仿宋"/>
          <w:sz w:val="32"/>
          <w:szCs w:val="32"/>
          <w:u w:val="single"/>
        </w:rPr>
        <w:t>　　　　　　　　　　</w:t>
      </w:r>
      <w:r>
        <w:rPr>
          <w:rFonts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highlight w:val="yellow"/>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付款方式</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甲乙双方同意</w:t>
      </w:r>
      <w:r>
        <w:rPr>
          <w:rFonts w:hint="eastAsia" w:ascii="Times New Roman" w:hAnsi="Times New Roman" w:eastAsia="仿宋"/>
          <w:sz w:val="32"/>
          <w:szCs w:val="32"/>
        </w:rPr>
        <w:t>按以下方式支付合同合计金额：</w:t>
      </w:r>
    </w:p>
    <w:p>
      <w:pPr>
        <w:widowControl w:val="0"/>
        <w:spacing w:line="600" w:lineRule="exact"/>
        <w:ind w:firstLine="640" w:firstLineChars="200"/>
        <w:rPr>
          <w:rFonts w:ascii="Times New Roman" w:hAnsi="Times New Roman" w:eastAsia="仿宋"/>
          <w:sz w:val="32"/>
          <w:szCs w:val="32"/>
          <w:u w:val="single"/>
        </w:rPr>
      </w:pPr>
      <w:r>
        <w:rPr>
          <w:rFonts w:hint="eastAsia" w:ascii="Times New Roman" w:hAnsi="Times New Roman" w:eastAsia="仿宋"/>
          <w:sz w:val="32"/>
          <w:szCs w:val="32"/>
          <w:u w:val="single"/>
        </w:rPr>
        <w:t xml:space="preserve">                                                </w:t>
      </w:r>
      <w:r>
        <w:rPr>
          <w:rFonts w:hint="eastAsia"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乙方指定以下账户为接受本合同价款的账户，并对其指定的下列账户信息真实性、安全性、准确性负责。</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账户名称：</w:t>
      </w:r>
      <w:r>
        <w:rPr>
          <w:rFonts w:ascii="Times New Roman" w:hAnsi="Times New Roman" w:eastAsia="仿宋"/>
          <w:sz w:val="32"/>
          <w:szCs w:val="32"/>
          <w:u w:val="single"/>
        </w:rPr>
        <w:t>　　　　　　　　　　　　　　　　　　</w:t>
      </w:r>
      <w:r>
        <w:rPr>
          <w:rFonts w:hint="eastAsia"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u w:val="single"/>
        </w:rPr>
      </w:pPr>
      <w:r>
        <w:rPr>
          <w:rFonts w:ascii="Times New Roman" w:hAnsi="Times New Roman" w:eastAsia="仿宋"/>
          <w:sz w:val="32"/>
          <w:szCs w:val="32"/>
        </w:rPr>
        <w:t>开户银行：</w:t>
      </w:r>
      <w:r>
        <w:rPr>
          <w:rFonts w:ascii="Times New Roman" w:hAnsi="Times New Roman" w:eastAsia="仿宋"/>
          <w:sz w:val="32"/>
          <w:szCs w:val="32"/>
          <w:u w:val="single"/>
        </w:rPr>
        <w:t>　　　　　　　　　　　　　　　　　　</w:t>
      </w:r>
      <w:r>
        <w:rPr>
          <w:rFonts w:hint="eastAsia"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u w:val="single"/>
        </w:rPr>
      </w:pPr>
      <w:r>
        <w:rPr>
          <w:rFonts w:ascii="Times New Roman" w:hAnsi="Times New Roman" w:eastAsia="仿宋"/>
          <w:sz w:val="32"/>
          <w:szCs w:val="32"/>
        </w:rPr>
        <w:t>银行账号：</w:t>
      </w:r>
      <w:r>
        <w:rPr>
          <w:rFonts w:ascii="Times New Roman" w:hAnsi="Times New Roman" w:eastAsia="仿宋"/>
          <w:sz w:val="32"/>
          <w:szCs w:val="32"/>
          <w:u w:val="single"/>
        </w:rPr>
        <w:t>　　　　　　　　　　　　　　　　　　</w:t>
      </w:r>
      <w:r>
        <w:rPr>
          <w:rFonts w:hint="eastAsia"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u w:val="single"/>
        </w:rPr>
      </w:pPr>
      <w:r>
        <w:rPr>
          <w:rFonts w:ascii="Times New Roman" w:hAnsi="Times New Roman" w:eastAsia="仿宋"/>
          <w:sz w:val="32"/>
          <w:szCs w:val="32"/>
        </w:rPr>
        <w:t>联系人：</w:t>
      </w:r>
      <w:r>
        <w:rPr>
          <w:rFonts w:ascii="Times New Roman" w:hAnsi="Times New Roman" w:eastAsia="仿宋"/>
          <w:sz w:val="32"/>
          <w:szCs w:val="32"/>
          <w:u w:val="single"/>
        </w:rPr>
        <w:t>　　　　　　　　　　　　　　　　　　　</w:t>
      </w:r>
      <w:r>
        <w:rPr>
          <w:rFonts w:hint="eastAsia"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联系电话：</w:t>
      </w:r>
      <w:r>
        <w:rPr>
          <w:rFonts w:ascii="Times New Roman" w:hAnsi="Times New Roman" w:eastAsia="仿宋"/>
          <w:sz w:val="32"/>
          <w:szCs w:val="32"/>
          <w:u w:val="single"/>
        </w:rPr>
        <w:t>　　　　　　　　　　　　　　　　　　</w:t>
      </w:r>
      <w:r>
        <w:rPr>
          <w:rFonts w:hint="eastAsia"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如乙方上述账户信息发生变更，乙方应提前向甲方发送书面通知，未能提前书面通知而产生的不利后果由乙方自行承担。</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4</w:t>
      </w:r>
      <w:r>
        <w:rPr>
          <w:rFonts w:ascii="Times New Roman" w:hAnsi="Times New Roman" w:eastAsia="仿宋"/>
          <w:sz w:val="32"/>
          <w:szCs w:val="32"/>
          <w:lang w:val="en"/>
        </w:rPr>
        <w:t>.</w:t>
      </w:r>
      <w:r>
        <w:rPr>
          <w:rFonts w:ascii="Times New Roman" w:hAnsi="Times New Roman" w:eastAsia="仿宋"/>
          <w:bCs/>
          <w:sz w:val="32"/>
          <w:szCs w:val="32"/>
        </w:rPr>
        <w:t>甲方在支付每笔款项前，乙方应当</w:t>
      </w:r>
      <w:r>
        <w:rPr>
          <w:rFonts w:ascii="Times New Roman" w:hAnsi="Times New Roman" w:eastAsia="仿宋"/>
          <w:sz w:val="32"/>
          <w:szCs w:val="32"/>
        </w:rPr>
        <w:t>提供</w:t>
      </w:r>
      <w:r>
        <w:rPr>
          <w:rFonts w:ascii="Times New Roman" w:hAnsi="Times New Roman" w:eastAsia="仿宋"/>
          <w:bCs/>
          <w:sz w:val="32"/>
          <w:szCs w:val="32"/>
        </w:rPr>
        <w:t>可供政府审计并且</w:t>
      </w:r>
      <w:r>
        <w:rPr>
          <w:rFonts w:ascii="Times New Roman" w:hAnsi="Times New Roman" w:eastAsia="仿宋"/>
          <w:sz w:val="32"/>
          <w:szCs w:val="32"/>
        </w:rPr>
        <w:t>符合税务规定</w:t>
      </w:r>
      <w:r>
        <w:rPr>
          <w:rFonts w:ascii="Times New Roman" w:hAnsi="Times New Roman" w:eastAsia="仿宋"/>
          <w:bCs/>
          <w:sz w:val="32"/>
          <w:szCs w:val="32"/>
        </w:rPr>
        <w:t>的正式发票</w:t>
      </w:r>
      <w:r>
        <w:rPr>
          <w:rFonts w:hint="eastAsia" w:ascii="Times New Roman" w:hAnsi="Times New Roman" w:eastAsia="仿宋"/>
          <w:bCs/>
          <w:sz w:val="32"/>
          <w:szCs w:val="32"/>
        </w:rPr>
        <w:t>及请款函</w:t>
      </w:r>
      <w:r>
        <w:rPr>
          <w:rFonts w:ascii="Times New Roman" w:hAnsi="Times New Roman" w:eastAsia="仿宋"/>
          <w:bCs/>
          <w:sz w:val="32"/>
          <w:szCs w:val="32"/>
        </w:rPr>
        <w:t>，</w:t>
      </w:r>
      <w:r>
        <w:rPr>
          <w:rFonts w:ascii="Times New Roman" w:hAnsi="Times New Roman" w:eastAsia="仿宋"/>
          <w:spacing w:val="-6"/>
          <w:sz w:val="32"/>
          <w:szCs w:val="32"/>
        </w:rPr>
        <w:t>否则甲方有权拒付相应款项直至乙方能提供符合规定的发票为止。</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第七条　履约保证金</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乙方</w:t>
      </w:r>
      <w:r>
        <w:rPr>
          <w:rFonts w:hint="eastAsia" w:ascii="Times New Roman" w:hAnsi="Times New Roman" w:eastAsia="仿宋"/>
          <w:sz w:val="32"/>
          <w:szCs w:val="32"/>
        </w:rPr>
        <w:t>需按招标文件的要求</w:t>
      </w:r>
      <w:r>
        <w:rPr>
          <w:rFonts w:ascii="Times New Roman" w:hAnsi="Times New Roman" w:eastAsia="仿宋"/>
          <w:sz w:val="32"/>
          <w:szCs w:val="32"/>
        </w:rPr>
        <w:t>提供的</w:t>
      </w:r>
      <w:r>
        <w:rPr>
          <w:rFonts w:hint="eastAsia" w:ascii="Times New Roman" w:hAnsi="Times New Roman" w:eastAsia="仿宋"/>
          <w:sz w:val="32"/>
          <w:szCs w:val="32"/>
        </w:rPr>
        <w:t>履约</w:t>
      </w:r>
      <w:r>
        <w:rPr>
          <w:rFonts w:ascii="Times New Roman" w:hAnsi="Times New Roman" w:eastAsia="仿宋"/>
          <w:sz w:val="32"/>
          <w:szCs w:val="32"/>
        </w:rPr>
        <w:t>保证金金额为：</w:t>
      </w:r>
      <w:r>
        <w:rPr>
          <w:rFonts w:hint="eastAsia" w:ascii="Times New Roman" w:hAnsi="Times New Roman" w:eastAsia="仿宋"/>
          <w:sz w:val="32"/>
          <w:szCs w:val="32"/>
          <w:u w:val="single"/>
        </w:rPr>
        <w:t>本项目不收取</w:t>
      </w:r>
      <w:r>
        <w:rPr>
          <w:rFonts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履约保证金递交方式：支票、汇票、本票或者金融、担保机构出具的保函等非现金方式。</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履约保证金退付方式、时间及条件：由乙方向甲方提供《广西壮族自治区政府采购项目合同验收书》及《政府采购项目履约保证金退付意见书》，甲方在收到合格材料后五个工作日内办理退还手续（不计利息）。</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第八条　税费</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合同执行中相关的一切税费均由乙方负担。</w:t>
      </w:r>
    </w:p>
    <w:p>
      <w:pPr>
        <w:widowControl w:val="0"/>
        <w:spacing w:line="58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第九条　违约责任</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乙方没有按照合同、招标文件、投标文件规定的时间或期限提供服务的，每逾期一日，应按合同合计金额的3</w:t>
      </w:r>
      <w:r>
        <w:rPr>
          <w:rFonts w:hint="eastAsia" w:ascii="Times New Roman" w:hAnsi="Times New Roman" w:eastAsia="仿宋"/>
          <w:sz w:val="32"/>
          <w:szCs w:val="32"/>
        </w:rPr>
        <w:t>‰</w:t>
      </w:r>
      <w:r>
        <w:rPr>
          <w:rFonts w:ascii="Times New Roman" w:hAnsi="Times New Roman" w:eastAsia="仿宋"/>
          <w:sz w:val="32"/>
          <w:szCs w:val="32"/>
        </w:rPr>
        <w:t>向甲方支付逾期提供服务的违约金；逾期超过十日的，甲方有权单方解除合同，并要求乙方退还已收取的款项，同时乙方应按照合同合计金额的</w:t>
      </w:r>
      <w:r>
        <w:rPr>
          <w:rFonts w:hint="eastAsia" w:ascii="Times New Roman" w:hAnsi="Times New Roman" w:eastAsia="仿宋"/>
          <w:sz w:val="32"/>
          <w:szCs w:val="32"/>
        </w:rPr>
        <w:t>10</w:t>
      </w:r>
      <w:r>
        <w:rPr>
          <w:rFonts w:ascii="Times New Roman" w:hAnsi="Times New Roman" w:eastAsia="仿宋"/>
          <w:sz w:val="32"/>
          <w:szCs w:val="32"/>
        </w:rPr>
        <w:t>%向甲方支付违约金并承担因此给甲方造成的经济损失。</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乙方所提供的服务、服务质量、服务内容等不符合合同、招标文件、投标文件规定的要求的，应按甲方的要求、在甲方指定的期限内予以更换或改进，未在甲方指定的期限内更换或改进的，按乙方逾期提供服务承担违约责任。</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乙方提供的服务如侵犯了第三方合法权益而引发的任何纠纷或者诉讼，均由乙方负责交涉并承担全部责任，如甲方为解决纠纷矛盾先期支付了费用的，乙方应当自收到甲方要求偿还费用的函之日起五日内向甲方偿还完毕。</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4</w:t>
      </w:r>
      <w:r>
        <w:rPr>
          <w:rFonts w:ascii="Times New Roman" w:hAnsi="Times New Roman" w:eastAsia="仿宋"/>
          <w:sz w:val="32"/>
          <w:szCs w:val="32"/>
          <w:lang w:val="en"/>
        </w:rPr>
        <w:t>.</w:t>
      </w:r>
      <w:r>
        <w:rPr>
          <w:rFonts w:ascii="Times New Roman" w:hAnsi="Times New Roman" w:eastAsia="仿宋"/>
          <w:sz w:val="32"/>
          <w:szCs w:val="32"/>
        </w:rPr>
        <w:t>乙方因履行合同所发生的其他违约行为，每违约一次，应按合同合计金额的</w:t>
      </w:r>
      <w:r>
        <w:rPr>
          <w:rFonts w:hint="eastAsia" w:ascii="Times New Roman" w:hAnsi="Times New Roman" w:eastAsia="仿宋"/>
          <w:sz w:val="32"/>
          <w:szCs w:val="32"/>
        </w:rPr>
        <w:t>5</w:t>
      </w:r>
      <w:r>
        <w:rPr>
          <w:rFonts w:ascii="Times New Roman" w:hAnsi="Times New Roman" w:eastAsia="仿宋"/>
          <w:sz w:val="32"/>
          <w:szCs w:val="32"/>
        </w:rPr>
        <w:t>%向甲方支付违约金，并赔偿甲方因此所造成全部损失。</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5</w:t>
      </w:r>
      <w:r>
        <w:rPr>
          <w:rFonts w:ascii="Times New Roman" w:hAnsi="Times New Roman" w:eastAsia="仿宋"/>
          <w:sz w:val="32"/>
          <w:szCs w:val="32"/>
          <w:lang w:val="en"/>
        </w:rPr>
        <w:t>.</w:t>
      </w:r>
      <w:r>
        <w:rPr>
          <w:rFonts w:ascii="Times New Roman" w:hAnsi="Times New Roman" w:eastAsia="仿宋"/>
          <w:sz w:val="32"/>
          <w:szCs w:val="32"/>
        </w:rPr>
        <w:t>乙方支付的违约金不足以弥补甲方损失的，应承担赔偿责任，甲方有权继续向乙方追偿。乙方应支付给甲方的任何款项，甲方有权从任何应支付未支付给乙方的款项中直接抵扣。</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6</w:t>
      </w:r>
      <w:r>
        <w:rPr>
          <w:rFonts w:ascii="Times New Roman" w:hAnsi="Times New Roman" w:eastAsia="仿宋"/>
          <w:sz w:val="32"/>
          <w:szCs w:val="32"/>
          <w:lang w:val="en"/>
        </w:rPr>
        <w:t>.</w:t>
      </w:r>
      <w:r>
        <w:rPr>
          <w:rFonts w:ascii="Times New Roman" w:hAnsi="Times New Roman" w:eastAsia="仿宋"/>
          <w:sz w:val="32"/>
          <w:szCs w:val="32"/>
        </w:rPr>
        <w:t>本合同所称的甲方经济损失或者甲方损失，包括甲方遭受的全部直接经济损失及为此支出的合理费用（包括但不限于为此支出的调查费、诉讼费、保全费、律师费、差旅费等）。</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7</w:t>
      </w:r>
      <w:r>
        <w:rPr>
          <w:rFonts w:ascii="Times New Roman" w:hAnsi="Times New Roman" w:eastAsia="仿宋"/>
          <w:sz w:val="32"/>
          <w:szCs w:val="32"/>
          <w:lang w:val="en"/>
        </w:rPr>
        <w:t>.</w:t>
      </w:r>
      <w:r>
        <w:rPr>
          <w:rFonts w:ascii="Times New Roman" w:hAnsi="Times New Roman" w:eastAsia="仿宋"/>
          <w:sz w:val="32"/>
          <w:szCs w:val="32"/>
        </w:rPr>
        <w:t>甲方延期付款的，每天向乙方偿付延期款额3</w:t>
      </w:r>
      <w:r>
        <w:rPr>
          <w:rFonts w:hint="eastAsia" w:ascii="Times New Roman" w:hAnsi="Times New Roman" w:eastAsia="仿宋"/>
          <w:sz w:val="32"/>
          <w:szCs w:val="32"/>
        </w:rPr>
        <w:t>‰</w:t>
      </w:r>
      <w:r>
        <w:rPr>
          <w:rFonts w:ascii="Times New Roman" w:hAnsi="Times New Roman" w:eastAsia="仿宋"/>
          <w:sz w:val="32"/>
          <w:szCs w:val="32"/>
        </w:rPr>
        <w:t>的违约金，但违约金累计不得超过延期款额的5%。</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第十条　知识产权归属</w:t>
      </w:r>
    </w:p>
    <w:p>
      <w:pPr>
        <w:widowControl/>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乙方保证，</w:t>
      </w:r>
      <w:r>
        <w:rPr>
          <w:rFonts w:hint="eastAsia" w:ascii="Times New Roman" w:hAnsi="Times New Roman" w:eastAsia="仿宋"/>
          <w:sz w:val="32"/>
          <w:szCs w:val="32"/>
        </w:rPr>
        <w:t>甲乙</w:t>
      </w:r>
      <w:r>
        <w:rPr>
          <w:rFonts w:ascii="Times New Roman" w:hAnsi="Times New Roman" w:eastAsia="仿宋"/>
          <w:sz w:val="32"/>
          <w:szCs w:val="32"/>
        </w:rPr>
        <w:t>双方在本合同执行中形成的任何成果或知识产权的所有权，归甲方所有，而且乙方应当完成甲方知识产权所有权确认所必需的全部行为、证书和文件等，并提供相应的支持和协助。</w:t>
      </w:r>
    </w:p>
    <w:p>
      <w:pPr>
        <w:widowControl/>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第十一条　保密条款</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甲乙双方都负有保守对方的单位机密或商业秘密的义务，保密范围包括但不限于技术情报、数据资料及其他公开后对对方造成影响或损失的秘密。</w:t>
      </w:r>
    </w:p>
    <w:p>
      <w:pPr>
        <w:widowControl w:val="0"/>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任何一方违反保密条款，给对方造成损失，应按对方的实际损失承担赔偿责任。</w:t>
      </w:r>
    </w:p>
    <w:p>
      <w:pPr>
        <w:widowControl w:val="0"/>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本条款不因合同的变更、解除和终止而失效。</w:t>
      </w:r>
    </w:p>
    <w:p>
      <w:pPr>
        <w:widowControl w:val="0"/>
        <w:spacing w:line="58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第十二条　不可抗力事件处理</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在合同有效期内，任何一方因不可抗力事件导致不能履行合同，则合同履行期可延长，其延长期与不可抗力影响期相同。</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不可抗力事件发生后，应立即通知对方，并寄送有关权威机构出具的证明。</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不可抗力事件延续一百二十天以上，双方应通过友好协商，确定是否继续履行合同。</w:t>
      </w:r>
    </w:p>
    <w:p>
      <w:pPr>
        <w:widowControl w:val="0"/>
        <w:spacing w:line="580" w:lineRule="exact"/>
        <w:ind w:firstLine="640" w:firstLineChars="200"/>
        <w:rPr>
          <w:rFonts w:ascii="Times New Roman" w:hAnsi="Times New Roman" w:eastAsia="仿宋"/>
          <w:sz w:val="32"/>
          <w:szCs w:val="32"/>
        </w:rPr>
      </w:pPr>
      <w:r>
        <w:rPr>
          <w:rFonts w:ascii="Times New Roman" w:hAnsi="Times New Roman" w:eastAsia="仿宋"/>
          <w:sz w:val="32"/>
          <w:szCs w:val="32"/>
        </w:rPr>
        <w:t>4</w:t>
      </w:r>
      <w:r>
        <w:rPr>
          <w:rFonts w:ascii="Times New Roman" w:hAnsi="Times New Roman" w:eastAsia="仿宋"/>
          <w:sz w:val="32"/>
          <w:szCs w:val="32"/>
          <w:lang w:val="en"/>
        </w:rPr>
        <w:t>.</w:t>
      </w:r>
      <w:r>
        <w:rPr>
          <w:rFonts w:ascii="Times New Roman" w:hAnsi="Times New Roman" w:eastAsia="仿宋"/>
          <w:sz w:val="32"/>
          <w:szCs w:val="32"/>
        </w:rPr>
        <w:t>合同履行过程中，因接受政府行政指令而无法履行的，接受政府行政指令的一方可以免除责任。</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第十三条　合同争议解决</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因服务质量问题发生争议的，</w:t>
      </w:r>
      <w:r>
        <w:rPr>
          <w:rFonts w:hint="eastAsia" w:ascii="Times New Roman" w:hAnsi="Times New Roman" w:eastAsia="仿宋"/>
          <w:sz w:val="32"/>
          <w:szCs w:val="32"/>
        </w:rPr>
        <w:t>甲方</w:t>
      </w:r>
      <w:r>
        <w:rPr>
          <w:rFonts w:ascii="Times New Roman" w:hAnsi="Times New Roman" w:eastAsia="仿宋"/>
          <w:sz w:val="32"/>
          <w:szCs w:val="32"/>
        </w:rPr>
        <w:t>应</w:t>
      </w:r>
      <w:r>
        <w:rPr>
          <w:rFonts w:hint="eastAsia" w:ascii="Times New Roman" w:hAnsi="Times New Roman" w:eastAsia="仿宋"/>
          <w:sz w:val="32"/>
          <w:szCs w:val="32"/>
        </w:rPr>
        <w:t>提交具有相应资质的机构</w:t>
      </w:r>
      <w:r>
        <w:rPr>
          <w:rFonts w:ascii="Times New Roman" w:hAnsi="Times New Roman" w:eastAsia="仿宋"/>
          <w:sz w:val="32"/>
          <w:szCs w:val="32"/>
        </w:rPr>
        <w:t>进行鉴定。服务符合标准的，鉴定费由甲方承担；服务不符合标准的，鉴定费由乙方承担。</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因履行本合同引起的或者与本合同有关的争议，甲乙双方应首先通过友好协商解决，如果协商不能解决，可向甲方所在地有管辖权人民法院提起诉讼。</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第十四条　合同生效及其他</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合同经甲乙双方法定代表人或者授权代表签字并加盖单位公章后生效。</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合同执行中涉及采购资金和采购内容修改或者补充的，须经政府采购监管部门审批，并签书面补充协议报政府采购监管部门备案，方可作为主合同不可分割的一部分。</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合同未尽事宜，遵照《中华人民共和国民法典》</w:t>
      </w:r>
      <w:r>
        <w:rPr>
          <w:rFonts w:hint="eastAsia" w:ascii="Times New Roman" w:hAnsi="Times New Roman" w:eastAsia="仿宋"/>
          <w:sz w:val="32"/>
          <w:szCs w:val="32"/>
        </w:rPr>
        <w:t>等相关法律、法规规定有关条文</w:t>
      </w:r>
      <w:r>
        <w:rPr>
          <w:rFonts w:ascii="Times New Roman" w:hAnsi="Times New Roman" w:eastAsia="仿宋"/>
          <w:sz w:val="32"/>
          <w:szCs w:val="32"/>
        </w:rPr>
        <w:t>执行。</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第十五条　合同的变更、终止与转让</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除《中华人民共和国政府采购法》第五十条规定的情形外，本合同一经签订，甲乙双方不得擅自变更、中止或者终止。</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未经甲方书面同意，乙方不得擅自转让其应履行的合同义务。</w:t>
      </w:r>
    </w:p>
    <w:p>
      <w:pPr>
        <w:widowControl w:val="0"/>
        <w:spacing w:line="600" w:lineRule="exact"/>
        <w:ind w:firstLine="640" w:firstLineChars="200"/>
        <w:rPr>
          <w:rFonts w:ascii="Times New Roman" w:hAnsi="Times New Roman" w:eastAsia="黑体"/>
          <w:b/>
          <w:sz w:val="32"/>
          <w:szCs w:val="32"/>
        </w:rPr>
      </w:pPr>
      <w:r>
        <w:rPr>
          <w:rFonts w:ascii="Times New Roman" w:hAnsi="Times New Roman" w:eastAsia="黑体"/>
          <w:bCs/>
          <w:sz w:val="32"/>
          <w:szCs w:val="32"/>
        </w:rPr>
        <w:t>第十六条</w:t>
      </w:r>
      <w:r>
        <w:rPr>
          <w:rFonts w:ascii="Times New Roman" w:hAnsi="Times New Roman" w:eastAsia="黑体"/>
          <w:b/>
          <w:sz w:val="32"/>
          <w:szCs w:val="32"/>
        </w:rPr>
        <w:t>　</w:t>
      </w:r>
      <w:r>
        <w:rPr>
          <w:rFonts w:ascii="Times New Roman" w:hAnsi="Times New Roman" w:eastAsia="黑体"/>
          <w:spacing w:val="-2"/>
          <w:kern w:val="0"/>
          <w:sz w:val="32"/>
          <w:szCs w:val="32"/>
        </w:rPr>
        <w:t>本</w:t>
      </w:r>
      <w:r>
        <w:rPr>
          <w:rFonts w:ascii="Times New Roman" w:hAnsi="Times New Roman" w:eastAsia="黑体"/>
          <w:kern w:val="0"/>
          <w:sz w:val="32"/>
          <w:szCs w:val="32"/>
        </w:rPr>
        <w:t>合同</w:t>
      </w:r>
      <w:r>
        <w:rPr>
          <w:rFonts w:ascii="Times New Roman" w:hAnsi="Times New Roman" w:eastAsia="黑体"/>
          <w:spacing w:val="-2"/>
          <w:kern w:val="0"/>
          <w:sz w:val="32"/>
          <w:szCs w:val="32"/>
        </w:rPr>
        <w:t>与</w:t>
      </w:r>
      <w:r>
        <w:rPr>
          <w:rFonts w:ascii="Times New Roman" w:hAnsi="Times New Roman" w:eastAsia="黑体"/>
          <w:kern w:val="0"/>
          <w:sz w:val="32"/>
          <w:szCs w:val="32"/>
        </w:rPr>
        <w:t>下</w:t>
      </w:r>
      <w:r>
        <w:rPr>
          <w:rFonts w:ascii="Times New Roman" w:hAnsi="Times New Roman" w:eastAsia="黑体"/>
          <w:spacing w:val="-2"/>
          <w:kern w:val="0"/>
          <w:sz w:val="32"/>
          <w:szCs w:val="32"/>
        </w:rPr>
        <w:t>列</w:t>
      </w:r>
      <w:r>
        <w:rPr>
          <w:rFonts w:ascii="Times New Roman" w:hAnsi="Times New Roman" w:eastAsia="黑体"/>
          <w:kern w:val="0"/>
          <w:sz w:val="32"/>
          <w:szCs w:val="32"/>
        </w:rPr>
        <w:t>文</w:t>
      </w:r>
      <w:r>
        <w:rPr>
          <w:rFonts w:ascii="Times New Roman" w:hAnsi="Times New Roman" w:eastAsia="黑体"/>
          <w:spacing w:val="-2"/>
          <w:kern w:val="0"/>
          <w:sz w:val="32"/>
          <w:szCs w:val="32"/>
        </w:rPr>
        <w:t>件一</w:t>
      </w:r>
      <w:r>
        <w:rPr>
          <w:rFonts w:ascii="Times New Roman" w:hAnsi="Times New Roman" w:eastAsia="黑体"/>
          <w:kern w:val="0"/>
          <w:sz w:val="32"/>
          <w:szCs w:val="32"/>
        </w:rPr>
        <w:t>起构</w:t>
      </w:r>
      <w:r>
        <w:rPr>
          <w:rFonts w:ascii="Times New Roman" w:hAnsi="Times New Roman" w:eastAsia="黑体"/>
          <w:spacing w:val="-2"/>
          <w:kern w:val="0"/>
          <w:sz w:val="32"/>
          <w:szCs w:val="32"/>
        </w:rPr>
        <w:t>成</w:t>
      </w:r>
      <w:r>
        <w:rPr>
          <w:rFonts w:ascii="Times New Roman" w:hAnsi="Times New Roman" w:eastAsia="黑体"/>
          <w:kern w:val="0"/>
          <w:sz w:val="32"/>
          <w:szCs w:val="32"/>
        </w:rPr>
        <w:t>合</w:t>
      </w:r>
      <w:r>
        <w:rPr>
          <w:rFonts w:ascii="Times New Roman" w:hAnsi="Times New Roman" w:eastAsia="黑体"/>
          <w:spacing w:val="-2"/>
          <w:kern w:val="0"/>
          <w:sz w:val="32"/>
          <w:szCs w:val="32"/>
        </w:rPr>
        <w:t>同</w:t>
      </w:r>
      <w:r>
        <w:rPr>
          <w:rFonts w:ascii="Times New Roman" w:hAnsi="Times New Roman" w:eastAsia="黑体"/>
          <w:kern w:val="0"/>
          <w:sz w:val="32"/>
          <w:szCs w:val="32"/>
        </w:rPr>
        <w:t>文</w:t>
      </w:r>
      <w:r>
        <w:rPr>
          <w:rFonts w:ascii="Times New Roman" w:hAnsi="Times New Roman" w:eastAsia="黑体"/>
          <w:spacing w:val="-2"/>
          <w:kern w:val="0"/>
          <w:sz w:val="32"/>
          <w:szCs w:val="32"/>
        </w:rPr>
        <w:t>件</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中标通知书；</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开标一览表；</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w:t>
      </w:r>
      <w:r>
        <w:rPr>
          <w:rFonts w:ascii="Times New Roman" w:hAnsi="Times New Roman" w:eastAsia="仿宋"/>
          <w:sz w:val="32"/>
          <w:szCs w:val="32"/>
        </w:rPr>
        <w:t>采购需求；</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4</w:t>
      </w:r>
      <w:r>
        <w:rPr>
          <w:rFonts w:ascii="Times New Roman" w:hAnsi="Times New Roman" w:eastAsia="仿宋"/>
          <w:sz w:val="32"/>
          <w:szCs w:val="32"/>
          <w:lang w:val="en"/>
        </w:rPr>
        <w:t>.</w:t>
      </w:r>
      <w:r>
        <w:rPr>
          <w:rFonts w:ascii="Times New Roman" w:hAnsi="Times New Roman" w:eastAsia="仿宋"/>
          <w:sz w:val="32"/>
          <w:szCs w:val="32"/>
        </w:rPr>
        <w:t>投标函；</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5</w:t>
      </w:r>
      <w:r>
        <w:rPr>
          <w:rFonts w:ascii="Times New Roman" w:hAnsi="Times New Roman" w:eastAsia="仿宋"/>
          <w:sz w:val="32"/>
          <w:szCs w:val="32"/>
          <w:lang w:val="en"/>
        </w:rPr>
        <w:t>.</w:t>
      </w:r>
      <w:r>
        <w:rPr>
          <w:rFonts w:ascii="Times New Roman" w:hAnsi="Times New Roman" w:eastAsia="仿宋"/>
          <w:sz w:val="32"/>
          <w:szCs w:val="32"/>
        </w:rPr>
        <w:t>商务条款偏离表和服务需求偏离表；</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6</w:t>
      </w:r>
      <w:r>
        <w:rPr>
          <w:rFonts w:ascii="Times New Roman" w:hAnsi="Times New Roman" w:eastAsia="仿宋"/>
          <w:sz w:val="32"/>
          <w:szCs w:val="32"/>
          <w:lang w:val="en"/>
        </w:rPr>
        <w:t>.</w:t>
      </w:r>
      <w:r>
        <w:rPr>
          <w:rFonts w:ascii="Times New Roman" w:hAnsi="Times New Roman" w:eastAsia="仿宋"/>
          <w:sz w:val="32"/>
          <w:szCs w:val="32"/>
        </w:rPr>
        <w:t>服务方案；</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7</w:t>
      </w:r>
      <w:r>
        <w:rPr>
          <w:rFonts w:ascii="Times New Roman" w:hAnsi="Times New Roman" w:eastAsia="仿宋"/>
          <w:sz w:val="32"/>
          <w:szCs w:val="32"/>
          <w:lang w:val="en"/>
        </w:rPr>
        <w:t>.</w:t>
      </w:r>
      <w:r>
        <w:rPr>
          <w:rFonts w:ascii="Times New Roman" w:hAnsi="Times New Roman" w:eastAsia="仿宋"/>
          <w:sz w:val="32"/>
          <w:szCs w:val="32"/>
        </w:rPr>
        <w:t>投标文件中的其他相关文件。</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上述合同文件互相补充和解释。如果合同文件之间存在矛盾或者不一致之处，以本合同、上述文件的排列顺序在先者为准。</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第十七条　其他约定事项</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ascii="Times New Roman" w:hAnsi="Times New Roman" w:eastAsia="仿宋"/>
          <w:sz w:val="32"/>
          <w:szCs w:val="32"/>
          <w:lang w:val="en"/>
        </w:rPr>
        <w:t>.</w:t>
      </w:r>
      <w:r>
        <w:rPr>
          <w:rFonts w:ascii="Times New Roman" w:hAnsi="Times New Roman" w:eastAsia="仿宋"/>
          <w:sz w:val="32"/>
          <w:szCs w:val="32"/>
        </w:rPr>
        <w:t>本合同所有附件及相关文件均为本合同的有效组成部分，与本合同具有同等法律效力。若合同附件与本合同存在不一致的，则以本合同为准。</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2</w:t>
      </w:r>
      <w:r>
        <w:rPr>
          <w:rFonts w:ascii="Times New Roman" w:hAnsi="Times New Roman" w:eastAsia="仿宋"/>
          <w:sz w:val="32"/>
          <w:szCs w:val="32"/>
          <w:lang w:val="en"/>
        </w:rPr>
        <w:t>.</w:t>
      </w:r>
      <w:r>
        <w:rPr>
          <w:rFonts w:ascii="Times New Roman" w:hAnsi="Times New Roman" w:eastAsia="仿宋"/>
          <w:sz w:val="32"/>
          <w:szCs w:val="32"/>
        </w:rPr>
        <w:t>在履行本合同过程中，所有经甲乙双方签署确认的文件（包括会议纪要、补充协议、往来信函、电子邮件等）即成为本合同的有效组成部分。</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3</w:t>
      </w:r>
      <w:r>
        <w:rPr>
          <w:rFonts w:ascii="Times New Roman" w:hAnsi="Times New Roman" w:eastAsia="仿宋"/>
          <w:sz w:val="32"/>
          <w:szCs w:val="32"/>
          <w:lang w:val="en"/>
        </w:rPr>
        <w:t>.甲乙</w:t>
      </w:r>
      <w:r>
        <w:rPr>
          <w:rFonts w:ascii="Times New Roman" w:hAnsi="Times New Roman" w:eastAsia="仿宋"/>
          <w:sz w:val="32"/>
          <w:szCs w:val="32"/>
        </w:rPr>
        <w:t>双方确认，以下为各方真实有效通讯地址：</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甲方：</w:t>
      </w:r>
      <w:r>
        <w:rPr>
          <w:rFonts w:ascii="Times New Roman" w:hAnsi="Times New Roman" w:eastAsia="仿宋"/>
          <w:sz w:val="32"/>
          <w:szCs w:val="32"/>
          <w:u w:val="single"/>
        </w:rPr>
        <w:t>　　　　　</w:t>
      </w:r>
      <w:r>
        <w:rPr>
          <w:rFonts w:ascii="Times New Roman" w:hAnsi="Times New Roman" w:eastAsia="仿宋"/>
          <w:sz w:val="32"/>
          <w:szCs w:val="32"/>
        </w:rPr>
        <w:t>，地址：</w:t>
      </w:r>
      <w:r>
        <w:rPr>
          <w:rFonts w:ascii="Times New Roman" w:hAnsi="Times New Roman" w:eastAsia="仿宋"/>
          <w:sz w:val="32"/>
          <w:szCs w:val="32"/>
          <w:u w:val="single"/>
        </w:rPr>
        <w:t>　　　　　　　　　　　　</w:t>
      </w:r>
      <w:r>
        <w:rPr>
          <w:rFonts w:hint="eastAsia" w:ascii="Times New Roman" w:hAnsi="Times New Roman" w:eastAsia="仿宋"/>
          <w:sz w:val="32"/>
          <w:szCs w:val="32"/>
          <w:u w:val="single"/>
        </w:rPr>
        <w:t xml:space="preserve"> </w:t>
      </w:r>
      <w:r>
        <w:rPr>
          <w:rFonts w:ascii="Times New Roman" w:hAnsi="Times New Roman" w:eastAsia="仿宋"/>
          <w:sz w:val="32"/>
          <w:szCs w:val="32"/>
        </w:rPr>
        <w:t>，收件人：</w:t>
      </w:r>
      <w:r>
        <w:rPr>
          <w:rFonts w:ascii="Times New Roman" w:hAnsi="Times New Roman" w:eastAsia="仿宋"/>
          <w:sz w:val="32"/>
          <w:szCs w:val="32"/>
          <w:u w:val="single"/>
        </w:rPr>
        <w:t>　　　　　</w:t>
      </w:r>
      <w:r>
        <w:rPr>
          <w:rFonts w:ascii="Times New Roman" w:hAnsi="Times New Roman" w:eastAsia="仿宋"/>
          <w:sz w:val="32"/>
          <w:szCs w:val="32"/>
        </w:rPr>
        <w:t>，联系电话：</w:t>
      </w:r>
      <w:r>
        <w:rPr>
          <w:rFonts w:ascii="Times New Roman" w:hAnsi="Times New Roman" w:eastAsia="仿宋"/>
          <w:sz w:val="32"/>
          <w:szCs w:val="32"/>
          <w:u w:val="single"/>
        </w:rPr>
        <w:t>　　　　　　　　　　　</w:t>
      </w:r>
      <w:r>
        <w:rPr>
          <w:rFonts w:hint="eastAsia" w:ascii="Times New Roman" w:hAnsi="Times New Roman" w:eastAsia="仿宋"/>
          <w:sz w:val="32"/>
          <w:szCs w:val="32"/>
          <w:u w:val="single"/>
        </w:rPr>
        <w:t xml:space="preserve"> </w:t>
      </w:r>
      <w:r>
        <w:rPr>
          <w:rFonts w:ascii="Times New Roman" w:hAnsi="Times New Roman" w:eastAsia="仿宋"/>
          <w:sz w:val="32"/>
          <w:szCs w:val="32"/>
        </w:rPr>
        <w:t>，电子邮箱：</w:t>
      </w:r>
      <w:r>
        <w:rPr>
          <w:rFonts w:ascii="Times New Roman" w:hAnsi="Times New Roman" w:eastAsia="仿宋"/>
          <w:sz w:val="32"/>
          <w:szCs w:val="32"/>
          <w:u w:val="single"/>
        </w:rPr>
        <w:t>　　　　　　　　　</w:t>
      </w:r>
      <w:r>
        <w:rPr>
          <w:rFonts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乙方：</w:t>
      </w:r>
      <w:r>
        <w:rPr>
          <w:rFonts w:ascii="Times New Roman" w:hAnsi="Times New Roman" w:eastAsia="仿宋"/>
          <w:sz w:val="32"/>
          <w:szCs w:val="32"/>
          <w:u w:val="single"/>
        </w:rPr>
        <w:t>　　　　　</w:t>
      </w:r>
      <w:r>
        <w:rPr>
          <w:rFonts w:ascii="Times New Roman" w:hAnsi="Times New Roman" w:eastAsia="仿宋"/>
          <w:sz w:val="32"/>
          <w:szCs w:val="32"/>
        </w:rPr>
        <w:t>，地址：</w:t>
      </w:r>
      <w:r>
        <w:rPr>
          <w:rFonts w:ascii="Times New Roman" w:hAnsi="Times New Roman" w:eastAsia="仿宋"/>
          <w:sz w:val="32"/>
          <w:szCs w:val="32"/>
          <w:u w:val="single"/>
        </w:rPr>
        <w:t>　　　　　　　　　　　　</w:t>
      </w:r>
      <w:r>
        <w:rPr>
          <w:rFonts w:hint="eastAsia" w:ascii="Times New Roman" w:hAnsi="Times New Roman" w:eastAsia="仿宋"/>
          <w:sz w:val="32"/>
          <w:szCs w:val="32"/>
          <w:u w:val="single"/>
        </w:rPr>
        <w:t xml:space="preserve"> </w:t>
      </w:r>
      <w:r>
        <w:rPr>
          <w:rFonts w:ascii="Times New Roman" w:hAnsi="Times New Roman" w:eastAsia="仿宋"/>
          <w:sz w:val="32"/>
          <w:szCs w:val="32"/>
        </w:rPr>
        <w:t>，收件人：</w:t>
      </w:r>
      <w:r>
        <w:rPr>
          <w:rFonts w:ascii="Times New Roman" w:hAnsi="Times New Roman" w:eastAsia="仿宋"/>
          <w:sz w:val="32"/>
          <w:szCs w:val="32"/>
          <w:u w:val="single"/>
        </w:rPr>
        <w:t>　　　　　</w:t>
      </w:r>
      <w:r>
        <w:rPr>
          <w:rFonts w:ascii="Times New Roman" w:hAnsi="Times New Roman" w:eastAsia="仿宋"/>
          <w:sz w:val="32"/>
          <w:szCs w:val="32"/>
        </w:rPr>
        <w:t>，联系电话：</w:t>
      </w:r>
      <w:r>
        <w:rPr>
          <w:rFonts w:ascii="Times New Roman" w:hAnsi="Times New Roman" w:eastAsia="仿宋"/>
          <w:sz w:val="32"/>
          <w:szCs w:val="32"/>
          <w:u w:val="single"/>
        </w:rPr>
        <w:t>　　　　　　　　　　　</w:t>
      </w:r>
      <w:r>
        <w:rPr>
          <w:rFonts w:hint="eastAsia" w:ascii="Times New Roman" w:hAnsi="Times New Roman" w:eastAsia="仿宋"/>
          <w:sz w:val="32"/>
          <w:szCs w:val="32"/>
          <w:u w:val="single"/>
        </w:rPr>
        <w:t xml:space="preserve"> </w:t>
      </w:r>
      <w:r>
        <w:rPr>
          <w:rFonts w:ascii="Times New Roman" w:hAnsi="Times New Roman" w:eastAsia="仿宋"/>
          <w:sz w:val="32"/>
          <w:szCs w:val="32"/>
        </w:rPr>
        <w:t>，电子邮箱：</w:t>
      </w:r>
      <w:r>
        <w:rPr>
          <w:rFonts w:ascii="Times New Roman" w:hAnsi="Times New Roman" w:eastAsia="仿宋"/>
          <w:sz w:val="32"/>
          <w:szCs w:val="32"/>
          <w:u w:val="single"/>
        </w:rPr>
        <w:t>　　　　　　　　　</w:t>
      </w:r>
      <w:r>
        <w:rPr>
          <w:rFonts w:ascii="Times New Roman" w:hAnsi="Times New Roman" w:eastAsia="仿宋"/>
          <w:sz w:val="32"/>
          <w:szCs w:val="32"/>
        </w:rPr>
        <w:t>。</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一方向对方发出的任何通知、信函和文件，以挂号信函或快递信函方式向对方地址邮寄有关通知、信函和文件的，自发出之日起第三日视为送达对方，挂号信函或快递信函的邮寄凭证即视为成功送达的有效凭证。一方地址变更的，应及时书面通知对方，否则上述地址仍为真实有效通讯地址。</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lang w:val="en"/>
        </w:rPr>
        <w:t>4.</w:t>
      </w:r>
      <w:r>
        <w:rPr>
          <w:rFonts w:ascii="Times New Roman" w:hAnsi="Times New Roman" w:eastAsia="仿宋"/>
          <w:sz w:val="32"/>
          <w:szCs w:val="32"/>
        </w:rPr>
        <w:t>本合同一式</w:t>
      </w:r>
      <w:r>
        <w:rPr>
          <w:rFonts w:ascii="Times New Roman" w:hAnsi="Times New Roman" w:eastAsia="仿宋"/>
          <w:sz w:val="32"/>
          <w:szCs w:val="32"/>
          <w:u w:val="single"/>
        </w:rPr>
        <w:t>　　</w:t>
      </w:r>
      <w:r>
        <w:rPr>
          <w:rFonts w:ascii="Times New Roman" w:hAnsi="Times New Roman" w:eastAsia="仿宋"/>
          <w:sz w:val="32"/>
          <w:szCs w:val="32"/>
        </w:rPr>
        <w:t>份，具有同等法律效力，政府采购监管部门、采购代理机构各一份，甲乙双方各</w:t>
      </w:r>
      <w:r>
        <w:rPr>
          <w:rFonts w:ascii="Times New Roman" w:hAnsi="Times New Roman" w:eastAsia="仿宋"/>
          <w:sz w:val="32"/>
          <w:szCs w:val="32"/>
          <w:u w:val="single"/>
        </w:rPr>
        <w:t>　　</w:t>
      </w:r>
      <w:r>
        <w:rPr>
          <w:rFonts w:ascii="Times New Roman" w:hAnsi="Times New Roman" w:eastAsia="仿宋"/>
          <w:sz w:val="32"/>
          <w:szCs w:val="32"/>
        </w:rPr>
        <w:t>份。</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本条款不因合同的变更、解除和终止而失效。</w:t>
      </w:r>
    </w:p>
    <w:p>
      <w:pPr>
        <w:widowControl w:val="0"/>
        <w:spacing w:line="600" w:lineRule="exact"/>
        <w:ind w:firstLine="640" w:firstLineChars="200"/>
        <w:rPr>
          <w:rFonts w:ascii="Times New Roman" w:hAnsi="Times New Roman" w:eastAsia="仿宋"/>
          <w:sz w:val="32"/>
          <w:szCs w:val="32"/>
        </w:rPr>
      </w:pPr>
      <w:r>
        <w:rPr>
          <w:rFonts w:hint="eastAsia" w:ascii="Times New Roman" w:hAnsi="Times New Roman" w:eastAsia="仿宋"/>
          <w:sz w:val="32"/>
          <w:szCs w:val="32"/>
        </w:rPr>
        <w:t>本合同自签订之日起2个工作日内，甲方应当将采购合同在广西壮族自治区财政厅指定的媒体上公告。</w:t>
      </w:r>
    </w:p>
    <w:p>
      <w:pPr>
        <w:widowControl w:val="0"/>
        <w:spacing w:line="600" w:lineRule="exact"/>
        <w:ind w:firstLine="640" w:firstLineChars="200"/>
        <w:rPr>
          <w:rFonts w:ascii="Times New Roman" w:hAnsi="Times New Roman" w:eastAsia="黑体"/>
          <w:bCs/>
          <w:sz w:val="32"/>
          <w:szCs w:val="32"/>
        </w:rPr>
      </w:pPr>
      <w:r>
        <w:rPr>
          <w:rFonts w:ascii="Times New Roman" w:hAnsi="Times New Roman" w:eastAsia="黑体"/>
          <w:bCs/>
          <w:sz w:val="32"/>
          <w:szCs w:val="32"/>
        </w:rPr>
        <w:t>第十八条　合同附件</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附件一：</w:t>
      </w:r>
    </w:p>
    <w:p>
      <w:pPr>
        <w:widowControl w:val="0"/>
        <w:spacing w:line="600" w:lineRule="exact"/>
        <w:ind w:firstLine="640" w:firstLineChars="200"/>
        <w:rPr>
          <w:rFonts w:ascii="Times New Roman" w:hAnsi="Times New Roman" w:eastAsia="仿宋"/>
          <w:sz w:val="32"/>
          <w:szCs w:val="32"/>
        </w:rPr>
      </w:pPr>
      <w:r>
        <w:rPr>
          <w:rFonts w:ascii="Times New Roman" w:hAnsi="Times New Roman" w:eastAsia="仿宋"/>
          <w:sz w:val="32"/>
          <w:szCs w:val="32"/>
        </w:rPr>
        <w:t>附件二：</w:t>
      </w:r>
    </w:p>
    <w:p>
      <w:pPr>
        <w:widowControl w:val="0"/>
        <w:spacing w:line="600" w:lineRule="exact"/>
        <w:rPr>
          <w:rFonts w:ascii="Calibri" w:hAnsi="Calibri"/>
          <w:szCs w:val="20"/>
        </w:rPr>
      </w:pPr>
    </w:p>
    <w:p>
      <w:pPr>
        <w:widowControl w:val="0"/>
        <w:spacing w:line="600" w:lineRule="exact"/>
        <w:rPr>
          <w:rFonts w:ascii="Times New Roman" w:hAnsi="Times New Roman" w:eastAsia="仿宋"/>
          <w:b/>
          <w:bCs/>
          <w:sz w:val="32"/>
          <w:szCs w:val="32"/>
        </w:rPr>
      </w:pPr>
      <w:r>
        <w:rPr>
          <w:rFonts w:ascii="Times New Roman" w:hAnsi="Times New Roman" w:eastAsia="仿宋"/>
          <w:b/>
          <w:bCs/>
          <w:sz w:val="32"/>
          <w:szCs w:val="32"/>
        </w:rPr>
        <w:t>甲方：                             乙方：</w:t>
      </w:r>
    </w:p>
    <w:p>
      <w:pPr>
        <w:widowControl w:val="0"/>
        <w:spacing w:line="600" w:lineRule="exact"/>
        <w:rPr>
          <w:rFonts w:ascii="Times New Roman" w:hAnsi="Times New Roman" w:eastAsia="仿宋"/>
          <w:b/>
          <w:bCs/>
          <w:sz w:val="32"/>
          <w:szCs w:val="32"/>
        </w:rPr>
      </w:pPr>
      <w:r>
        <w:rPr>
          <w:rFonts w:ascii="Times New Roman" w:hAnsi="Times New Roman" w:eastAsia="仿宋"/>
          <w:b/>
          <w:bCs/>
          <w:sz w:val="32"/>
          <w:szCs w:val="32"/>
        </w:rPr>
        <w:t>法定代表人（负责人）：             法定代表人（负责人）：</w:t>
      </w:r>
    </w:p>
    <w:p>
      <w:pPr>
        <w:widowControl w:val="0"/>
        <w:spacing w:line="600" w:lineRule="exact"/>
        <w:rPr>
          <w:rFonts w:ascii="Times New Roman" w:hAnsi="Times New Roman" w:eastAsia="仿宋"/>
          <w:b/>
          <w:bCs/>
          <w:sz w:val="32"/>
          <w:szCs w:val="32"/>
        </w:rPr>
      </w:pPr>
      <w:r>
        <w:rPr>
          <w:rFonts w:ascii="Times New Roman" w:hAnsi="Times New Roman" w:eastAsia="仿宋"/>
          <w:b/>
          <w:bCs/>
          <w:sz w:val="32"/>
          <w:szCs w:val="32"/>
        </w:rPr>
        <w:t>授权代表：                       授权代表：</w:t>
      </w:r>
    </w:p>
    <w:p>
      <w:pPr>
        <w:spacing w:line="600" w:lineRule="exact"/>
        <w:ind w:firstLine="643" w:firstLineChars="200"/>
        <w:rPr>
          <w:rFonts w:asciiTheme="minorEastAsia" w:hAnsiTheme="minorEastAsia" w:eastAsiaTheme="minorEastAsia" w:cstheme="minorEastAsia"/>
          <w:b/>
          <w:bCs/>
          <w:color w:val="000000" w:themeColor="text1"/>
          <w:szCs w:val="21"/>
          <w14:textFill>
            <w14:solidFill>
              <w14:schemeClr w14:val="tx1"/>
            </w14:solidFill>
          </w14:textFill>
        </w:rPr>
      </w:pPr>
      <w:r>
        <w:rPr>
          <w:rFonts w:ascii="Times New Roman" w:hAnsi="Times New Roman" w:eastAsia="仿宋"/>
          <w:b/>
          <w:bCs/>
          <w:sz w:val="32"/>
          <w:szCs w:val="32"/>
        </w:rPr>
        <w:t>年  月  日                        年  月  日</w:t>
      </w:r>
    </w:p>
    <w:p>
      <w:pPr>
        <w:rPr>
          <w:rFonts w:asciiTheme="minorEastAsia" w:hAnsiTheme="minorEastAsia" w:eastAsiaTheme="minorEastAsia" w:cstheme="minorEastAsia"/>
          <w:color w:val="000000" w:themeColor="text1"/>
          <w:szCs w:val="21"/>
          <w14:textFill>
            <w14:solidFill>
              <w14:schemeClr w14:val="tx1"/>
            </w14:solidFill>
          </w14:textFill>
        </w:rPr>
      </w:pPr>
    </w:p>
    <w:sectPr>
      <w:pgSz w:w="11906" w:h="16838"/>
      <w:pgMar w:top="1440" w:right="1361" w:bottom="1701" w:left="1474"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方正小标宋_GBK">
    <w:altName w:val="微软雅黑"/>
    <w:panose1 w:val="03000509000000000000"/>
    <w:charset w:val="86"/>
    <w:family w:val="script"/>
    <w:pitch w:val="default"/>
    <w:sig w:usb0="00000000" w:usb1="0000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439"/>
        <w:tab w:val="clear" w:pos="4153"/>
      </w:tabs>
      <w:jc w:val="both"/>
    </w:pP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439"/>
        <w:tab w:val="clear" w:pos="4153"/>
      </w:tabs>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0</w:t>
                    </w:r>
                    <w:r>
                      <w:fldChar w:fldCharType="end"/>
                    </w:r>
                    <w:r>
                      <w:t xml:space="preserve"> 页</w:t>
                    </w:r>
                  </w:p>
                </w:txbxContent>
              </v:textbox>
            </v:shape>
          </w:pict>
        </mc:Fallback>
      </mc:AlternateContent>
    </w:r>
  </w:p>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center" w:pos="4439"/>
        <w:tab w:val="clear" w:pos="4153"/>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FDsm8MBAACP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MXAPCu0PCwqWfjDpCTcVwToXRtFN5Ef68l6yn/2j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EUOybwwEAAI8DAAAOAAAAAAAAAAEAIAAAAB4BAABkcnMvZTJvRG9jLnhtbFBL&#10;BQYAAAAABgAGAFkBAABTBQAAAAA=&#10;">
              <v:fill on="f" focussize="0,0"/>
              <v:stroke on="f"/>
              <v:imagedata o:title=""/>
              <o:lock v:ext="edit" aspectratio="f"/>
              <v:textbox inset="0mm,0mm,0mm,0mm" style="mso-fit-shape-to-text:t;">
                <w:txbxConten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5F9338"/>
    <w:multiLevelType w:val="singleLevel"/>
    <w:tmpl w:val="945F9338"/>
    <w:lvl w:ilvl="0" w:tentative="0">
      <w:start w:val="1"/>
      <w:numFmt w:val="chineseCounting"/>
      <w:suff w:val="nothing"/>
      <w:lvlText w:val="（%1）"/>
      <w:lvlJc w:val="left"/>
      <w:rPr>
        <w:rFonts w:hint="eastAsia"/>
      </w:rPr>
    </w:lvl>
  </w:abstractNum>
  <w:abstractNum w:abstractNumId="1">
    <w:nsid w:val="9D32BCAB"/>
    <w:multiLevelType w:val="singleLevel"/>
    <w:tmpl w:val="9D32BCAB"/>
    <w:lvl w:ilvl="0" w:tentative="0">
      <w:start w:val="1"/>
      <w:numFmt w:val="chineseCounting"/>
      <w:suff w:val="nothing"/>
      <w:lvlText w:val="（%1）"/>
      <w:lvlJc w:val="left"/>
      <w:rPr>
        <w:rFonts w:hint="eastAsia"/>
      </w:rPr>
    </w:lvl>
  </w:abstractNum>
  <w:abstractNum w:abstractNumId="2">
    <w:nsid w:val="0652D904"/>
    <w:multiLevelType w:val="singleLevel"/>
    <w:tmpl w:val="0652D904"/>
    <w:lvl w:ilvl="0" w:tentative="0">
      <w:start w:val="1"/>
      <w:numFmt w:val="chineseCounting"/>
      <w:suff w:val="nothing"/>
      <w:lvlText w:val="（%1）"/>
      <w:lvlJc w:val="left"/>
      <w:rPr>
        <w:rFonts w:hint="eastAsia"/>
      </w:rPr>
    </w:lvl>
  </w:abstractNum>
  <w:abstractNum w:abstractNumId="3">
    <w:nsid w:val="19B5B183"/>
    <w:multiLevelType w:val="singleLevel"/>
    <w:tmpl w:val="19B5B183"/>
    <w:lvl w:ilvl="0" w:tentative="0">
      <w:start w:val="1"/>
      <w:numFmt w:val="chineseCounting"/>
      <w:suff w:val="nothing"/>
      <w:lvlText w:val="（%1）"/>
      <w:lvlJc w:val="left"/>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QwZmI5N2EyZWEzNWViMzMzNDY2ODg3MDJjZmRmYWIifQ=="/>
  </w:docVars>
  <w:rsids>
    <w:rsidRoot w:val="00172A27"/>
    <w:rsid w:val="00172A27"/>
    <w:rsid w:val="001A2ED6"/>
    <w:rsid w:val="001C7451"/>
    <w:rsid w:val="003A3D29"/>
    <w:rsid w:val="004B1C5F"/>
    <w:rsid w:val="0053560B"/>
    <w:rsid w:val="005368D2"/>
    <w:rsid w:val="006357B3"/>
    <w:rsid w:val="00653FB2"/>
    <w:rsid w:val="0066081D"/>
    <w:rsid w:val="006922FD"/>
    <w:rsid w:val="007273B5"/>
    <w:rsid w:val="00727C0D"/>
    <w:rsid w:val="007A1629"/>
    <w:rsid w:val="007D41A0"/>
    <w:rsid w:val="00807A70"/>
    <w:rsid w:val="008B62B5"/>
    <w:rsid w:val="00A3748E"/>
    <w:rsid w:val="00B370A3"/>
    <w:rsid w:val="00C60C95"/>
    <w:rsid w:val="00C74D47"/>
    <w:rsid w:val="00CA62AF"/>
    <w:rsid w:val="00CB0030"/>
    <w:rsid w:val="00D46D23"/>
    <w:rsid w:val="00D819BB"/>
    <w:rsid w:val="00F87DFE"/>
    <w:rsid w:val="01637077"/>
    <w:rsid w:val="022F06CB"/>
    <w:rsid w:val="02E85F72"/>
    <w:rsid w:val="03190E3C"/>
    <w:rsid w:val="03E22691"/>
    <w:rsid w:val="044C1026"/>
    <w:rsid w:val="049D76C3"/>
    <w:rsid w:val="04B977BE"/>
    <w:rsid w:val="05C06E69"/>
    <w:rsid w:val="05D215EF"/>
    <w:rsid w:val="071E2BD4"/>
    <w:rsid w:val="071F5FC3"/>
    <w:rsid w:val="086F04DB"/>
    <w:rsid w:val="08A72F68"/>
    <w:rsid w:val="08C6173B"/>
    <w:rsid w:val="099F4EBC"/>
    <w:rsid w:val="0B886F7D"/>
    <w:rsid w:val="0D6D039D"/>
    <w:rsid w:val="0F777EAB"/>
    <w:rsid w:val="113C3B89"/>
    <w:rsid w:val="125445CE"/>
    <w:rsid w:val="13E52FA6"/>
    <w:rsid w:val="143D40FB"/>
    <w:rsid w:val="14C377BA"/>
    <w:rsid w:val="14FB2A5F"/>
    <w:rsid w:val="15316058"/>
    <w:rsid w:val="15833595"/>
    <w:rsid w:val="179C1CD1"/>
    <w:rsid w:val="17EB6080"/>
    <w:rsid w:val="18303A15"/>
    <w:rsid w:val="197A71AE"/>
    <w:rsid w:val="1A2742C5"/>
    <w:rsid w:val="1A6C6448"/>
    <w:rsid w:val="1AF66CC7"/>
    <w:rsid w:val="1B165A69"/>
    <w:rsid w:val="1B6F33E2"/>
    <w:rsid w:val="1C6E1C1A"/>
    <w:rsid w:val="1CD75A11"/>
    <w:rsid w:val="1D413367"/>
    <w:rsid w:val="1E5E7A6C"/>
    <w:rsid w:val="1F4E10DC"/>
    <w:rsid w:val="201940BA"/>
    <w:rsid w:val="222E4AC2"/>
    <w:rsid w:val="229E48DB"/>
    <w:rsid w:val="22E04EF3"/>
    <w:rsid w:val="23B12E3A"/>
    <w:rsid w:val="23F85897"/>
    <w:rsid w:val="24166262"/>
    <w:rsid w:val="24D938C4"/>
    <w:rsid w:val="25012E7A"/>
    <w:rsid w:val="259667C0"/>
    <w:rsid w:val="26DC0AC8"/>
    <w:rsid w:val="284249A6"/>
    <w:rsid w:val="2A42463D"/>
    <w:rsid w:val="2AAB59DF"/>
    <w:rsid w:val="2AD07052"/>
    <w:rsid w:val="2AE80BD1"/>
    <w:rsid w:val="2AEF3A6B"/>
    <w:rsid w:val="2BB807BB"/>
    <w:rsid w:val="2C317AAC"/>
    <w:rsid w:val="2CC614DF"/>
    <w:rsid w:val="2D6362A8"/>
    <w:rsid w:val="2DAB6E3A"/>
    <w:rsid w:val="2EC102CF"/>
    <w:rsid w:val="2FBB15F2"/>
    <w:rsid w:val="306D73EE"/>
    <w:rsid w:val="30DD13A1"/>
    <w:rsid w:val="31D51558"/>
    <w:rsid w:val="32656B43"/>
    <w:rsid w:val="335F0AF4"/>
    <w:rsid w:val="33BF137E"/>
    <w:rsid w:val="33E85AC1"/>
    <w:rsid w:val="3482405C"/>
    <w:rsid w:val="34E723A1"/>
    <w:rsid w:val="36A870A0"/>
    <w:rsid w:val="37707372"/>
    <w:rsid w:val="38B27966"/>
    <w:rsid w:val="3A19573B"/>
    <w:rsid w:val="3DC80937"/>
    <w:rsid w:val="3E175815"/>
    <w:rsid w:val="3F711193"/>
    <w:rsid w:val="3F9A45A3"/>
    <w:rsid w:val="40814AC4"/>
    <w:rsid w:val="423D7335"/>
    <w:rsid w:val="467A509E"/>
    <w:rsid w:val="485868DF"/>
    <w:rsid w:val="4B876FC6"/>
    <w:rsid w:val="4D843E33"/>
    <w:rsid w:val="4D9A3C2A"/>
    <w:rsid w:val="4DBC2B9E"/>
    <w:rsid w:val="4E746755"/>
    <w:rsid w:val="4F956FB8"/>
    <w:rsid w:val="4FBC5F0F"/>
    <w:rsid w:val="50807A31"/>
    <w:rsid w:val="51F721D1"/>
    <w:rsid w:val="5234518C"/>
    <w:rsid w:val="527927EE"/>
    <w:rsid w:val="530E2CB8"/>
    <w:rsid w:val="53311CBE"/>
    <w:rsid w:val="552B1659"/>
    <w:rsid w:val="564451BE"/>
    <w:rsid w:val="570F7890"/>
    <w:rsid w:val="57AC4B16"/>
    <w:rsid w:val="58A35940"/>
    <w:rsid w:val="594F4AD9"/>
    <w:rsid w:val="5A0F4559"/>
    <w:rsid w:val="5B9E711E"/>
    <w:rsid w:val="5BAC4E10"/>
    <w:rsid w:val="5CFF3BED"/>
    <w:rsid w:val="5D1F71A0"/>
    <w:rsid w:val="5DAA3029"/>
    <w:rsid w:val="5DD67D10"/>
    <w:rsid w:val="5EB91CC6"/>
    <w:rsid w:val="5F11342E"/>
    <w:rsid w:val="5F366A95"/>
    <w:rsid w:val="5FE951D0"/>
    <w:rsid w:val="602E5843"/>
    <w:rsid w:val="60BA2960"/>
    <w:rsid w:val="60C813E2"/>
    <w:rsid w:val="61AC04BD"/>
    <w:rsid w:val="65462CAF"/>
    <w:rsid w:val="65DA7590"/>
    <w:rsid w:val="66D25E05"/>
    <w:rsid w:val="6754719E"/>
    <w:rsid w:val="677D74DE"/>
    <w:rsid w:val="67C16680"/>
    <w:rsid w:val="6848190E"/>
    <w:rsid w:val="6A3D51F8"/>
    <w:rsid w:val="6AA34F3E"/>
    <w:rsid w:val="6AB82243"/>
    <w:rsid w:val="6C6677E4"/>
    <w:rsid w:val="6C6D7564"/>
    <w:rsid w:val="6D155B3B"/>
    <w:rsid w:val="6D9B5175"/>
    <w:rsid w:val="6F1150E7"/>
    <w:rsid w:val="6F9D1C52"/>
    <w:rsid w:val="709217A3"/>
    <w:rsid w:val="71B806CD"/>
    <w:rsid w:val="72F316A6"/>
    <w:rsid w:val="74060BC4"/>
    <w:rsid w:val="749F3ABC"/>
    <w:rsid w:val="75CD59E7"/>
    <w:rsid w:val="76604131"/>
    <w:rsid w:val="767A2AE5"/>
    <w:rsid w:val="77822FF8"/>
    <w:rsid w:val="77861FB4"/>
    <w:rsid w:val="77946BAE"/>
    <w:rsid w:val="77F674C1"/>
    <w:rsid w:val="7BAA1678"/>
    <w:rsid w:val="7BDD2EE3"/>
    <w:rsid w:val="7C0D1414"/>
    <w:rsid w:val="7D4D1C9B"/>
    <w:rsid w:val="7F922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nhideWhenUsed="0" w:uiPriority="0" w:semiHidden="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4"/>
    <w:basedOn w:val="1"/>
    <w:next w:val="1"/>
    <w:autoRedefine/>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1"/>
    <w:next w:val="6"/>
    <w:qFormat/>
    <w:uiPriority w:val="9"/>
    <w:pPr>
      <w:keepNext/>
      <w:keepLines/>
      <w:spacing w:before="280" w:after="290" w:line="376" w:lineRule="auto"/>
      <w:outlineLvl w:val="4"/>
    </w:pPr>
    <w:rPr>
      <w:b/>
      <w:bCs/>
      <w:sz w:val="28"/>
      <w:szCs w:val="28"/>
    </w:rPr>
  </w:style>
  <w:style w:type="character" w:default="1" w:styleId="20">
    <w:name w:val="Default Paragraph Font"/>
    <w:semiHidden/>
    <w:unhideWhenUsed/>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next w:val="1"/>
    <w:autoRedefine/>
    <w:unhideWhenUsed/>
    <w:qFormat/>
    <w:uiPriority w:val="99"/>
    <w:pPr>
      <w:tabs>
        <w:tab w:val="center" w:pos="4153"/>
        <w:tab w:val="right" w:pos="8306"/>
      </w:tabs>
      <w:snapToGrid w:val="0"/>
      <w:jc w:val="left"/>
    </w:pPr>
    <w:rPr>
      <w:kern w:val="0"/>
      <w:sz w:val="18"/>
      <w:szCs w:val="18"/>
    </w:rPr>
  </w:style>
  <w:style w:type="paragraph" w:styleId="6">
    <w:name w:val="Normal Indent"/>
    <w:basedOn w:val="1"/>
    <w:autoRedefine/>
    <w:qFormat/>
    <w:uiPriority w:val="0"/>
    <w:pPr>
      <w:ind w:firstLine="420"/>
    </w:pPr>
    <w:rPr>
      <w:szCs w:val="20"/>
    </w:rPr>
  </w:style>
  <w:style w:type="paragraph" w:styleId="7">
    <w:name w:val="annotation text"/>
    <w:basedOn w:val="1"/>
    <w:link w:val="25"/>
    <w:autoRedefine/>
    <w:qFormat/>
    <w:uiPriority w:val="0"/>
    <w:pPr>
      <w:jc w:val="left"/>
    </w:pPr>
  </w:style>
  <w:style w:type="paragraph" w:styleId="8">
    <w:name w:val="Body Text 3"/>
    <w:basedOn w:val="1"/>
    <w:autoRedefine/>
    <w:unhideWhenUsed/>
    <w:qFormat/>
    <w:uiPriority w:val="99"/>
    <w:pPr>
      <w:spacing w:after="120"/>
    </w:pPr>
    <w:rPr>
      <w:sz w:val="16"/>
      <w:szCs w:val="16"/>
    </w:rPr>
  </w:style>
  <w:style w:type="paragraph" w:styleId="9">
    <w:name w:val="Body Text"/>
    <w:basedOn w:val="1"/>
    <w:autoRedefine/>
    <w:unhideWhenUsed/>
    <w:qFormat/>
    <w:uiPriority w:val="0"/>
    <w:pPr>
      <w:spacing w:after="120"/>
    </w:pPr>
  </w:style>
  <w:style w:type="paragraph" w:styleId="10">
    <w:name w:val="Body Text Indent"/>
    <w:basedOn w:val="1"/>
    <w:qFormat/>
    <w:uiPriority w:val="0"/>
    <w:pPr>
      <w:ind w:firstLine="830" w:firstLineChars="352"/>
    </w:pPr>
    <w:rPr>
      <w:rFonts w:ascii="仿宋_GB2312" w:eastAsia="仿宋_GB2312"/>
      <w:kern w:val="0"/>
      <w:sz w:val="32"/>
      <w:szCs w:val="20"/>
    </w:rPr>
  </w:style>
  <w:style w:type="paragraph" w:styleId="11">
    <w:name w:val="List 2"/>
    <w:basedOn w:val="1"/>
    <w:autoRedefine/>
    <w:unhideWhenUsed/>
    <w:qFormat/>
    <w:uiPriority w:val="99"/>
    <w:pPr>
      <w:ind w:left="100" w:leftChars="200" w:hanging="200" w:hangingChars="200"/>
      <w:contextualSpacing/>
    </w:pPr>
  </w:style>
  <w:style w:type="paragraph" w:styleId="12">
    <w:name w:val="Plain Text"/>
    <w:basedOn w:val="1"/>
    <w:next w:val="1"/>
    <w:autoRedefine/>
    <w:qFormat/>
    <w:uiPriority w:val="0"/>
    <w:rPr>
      <w:rFonts w:ascii="宋体" w:hAnsi="Courier New"/>
      <w:kern w:val="0"/>
      <w:sz w:val="20"/>
      <w:szCs w:val="21"/>
    </w:rPr>
  </w:style>
  <w:style w:type="paragraph" w:styleId="13">
    <w:name w:val="Balloon Text"/>
    <w:basedOn w:val="1"/>
    <w:link w:val="24"/>
    <w:autoRedefine/>
    <w:qFormat/>
    <w:uiPriority w:val="0"/>
    <w:rPr>
      <w:sz w:val="18"/>
      <w:szCs w:val="18"/>
    </w:rPr>
  </w:style>
  <w:style w:type="paragraph" w:styleId="14">
    <w:name w:val="header"/>
    <w:basedOn w:val="1"/>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autoRedefine/>
    <w:unhideWhenUsed/>
    <w:qFormat/>
    <w:uiPriority w:val="39"/>
  </w:style>
  <w:style w:type="paragraph" w:styleId="16">
    <w:name w:val="toc 2"/>
    <w:basedOn w:val="1"/>
    <w:next w:val="1"/>
    <w:autoRedefine/>
    <w:unhideWhenUsed/>
    <w:qFormat/>
    <w:uiPriority w:val="39"/>
    <w:pPr>
      <w:tabs>
        <w:tab w:val="right" w:leader="dot" w:pos="8296"/>
      </w:tabs>
      <w:ind w:left="420" w:leftChars="200"/>
    </w:pPr>
  </w:style>
  <w:style w:type="paragraph" w:styleId="17">
    <w:name w:val="annotation subject"/>
    <w:basedOn w:val="7"/>
    <w:next w:val="7"/>
    <w:link w:val="26"/>
    <w:autoRedefine/>
    <w:qFormat/>
    <w:uiPriority w:val="0"/>
    <w:rPr>
      <w:b/>
      <w:bCs/>
    </w:rPr>
  </w:style>
  <w:style w:type="table" w:styleId="19">
    <w:name w:val="Table Grid"/>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1">
    <w:name w:val="Hyperlink"/>
    <w:autoRedefine/>
    <w:unhideWhenUsed/>
    <w:qFormat/>
    <w:uiPriority w:val="99"/>
    <w:rPr>
      <w:color w:val="0000FF"/>
      <w:u w:val="single"/>
    </w:rPr>
  </w:style>
  <w:style w:type="character" w:styleId="22">
    <w:name w:val="annotation reference"/>
    <w:basedOn w:val="20"/>
    <w:autoRedefine/>
    <w:qFormat/>
    <w:uiPriority w:val="0"/>
    <w:rPr>
      <w:sz w:val="21"/>
      <w:szCs w:val="21"/>
    </w:rPr>
  </w:style>
  <w:style w:type="paragraph" w:customStyle="1" w:styleId="23">
    <w:name w:val="列出段落1"/>
    <w:basedOn w:val="1"/>
    <w:autoRedefine/>
    <w:qFormat/>
    <w:uiPriority w:val="34"/>
    <w:pPr>
      <w:ind w:firstLine="420" w:firstLineChars="200"/>
    </w:pPr>
  </w:style>
  <w:style w:type="character" w:customStyle="1" w:styleId="24">
    <w:name w:val="批注框文本 字符"/>
    <w:basedOn w:val="20"/>
    <w:link w:val="13"/>
    <w:autoRedefine/>
    <w:qFormat/>
    <w:uiPriority w:val="0"/>
    <w:rPr>
      <w:kern w:val="2"/>
      <w:sz w:val="18"/>
      <w:szCs w:val="18"/>
    </w:rPr>
  </w:style>
  <w:style w:type="character" w:customStyle="1" w:styleId="25">
    <w:name w:val="批注文字 字符"/>
    <w:basedOn w:val="20"/>
    <w:link w:val="7"/>
    <w:autoRedefine/>
    <w:qFormat/>
    <w:uiPriority w:val="0"/>
    <w:rPr>
      <w:kern w:val="2"/>
      <w:sz w:val="21"/>
      <w:szCs w:val="24"/>
    </w:rPr>
  </w:style>
  <w:style w:type="character" w:customStyle="1" w:styleId="26">
    <w:name w:val="批注主题 字符"/>
    <w:basedOn w:val="25"/>
    <w:link w:val="17"/>
    <w:autoRedefine/>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106</Pages>
  <Words>62456</Words>
  <Characters>68083</Characters>
  <Lines>563</Lines>
  <Paragraphs>158</Paragraphs>
  <TotalTime>79</TotalTime>
  <ScaleCrop>false</ScaleCrop>
  <LinksUpToDate>false</LinksUpToDate>
  <CharactersWithSpaces>75188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2020-11-27T02:06:00Z</dcterms:created>
  <dc:creator>lenovo1</dc:creator>
  <cp:lastModifiedBy>YR</cp:lastModifiedBy>
  <dcterms:modified xsi:type="dcterms:W3CDTF">2024-04-10T03:37:46Z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376F487CE6654A8E8C7E0A7CEA704C39</vt:lpwstr>
  </property>
</Properties>
</file>