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ascii="黑体" w:hAnsi="黑体" w:eastAsia="黑体"/>
          <w:color w:val="auto"/>
          <w:spacing w:val="30"/>
          <w:kern w:val="52"/>
          <w:sz w:val="64"/>
          <w:szCs w:val="64"/>
          <w:highlight w:val="none"/>
        </w:rPr>
      </w:pPr>
      <w:r>
        <w:rPr>
          <w:rFonts w:ascii="黑体" w:hAnsi="黑体" w:eastAsia="黑体"/>
          <w:color w:val="auto"/>
          <w:spacing w:val="30"/>
          <w:kern w:val="52"/>
          <w:sz w:val="64"/>
          <w:szCs w:val="64"/>
          <w:highlight w:val="none"/>
        </w:rPr>
        <w:t>广西科文招标有限公司</w:t>
      </w:r>
    </w:p>
    <w:p>
      <w:pPr>
        <w:pStyle w:val="13"/>
        <w:jc w:val="center"/>
        <w:rPr>
          <w:rFonts w:hint="eastAsia" w:ascii="黑体" w:hAnsi="黑体" w:eastAsia="黑体" w:cs="方正小标宋简体"/>
          <w:b/>
          <w:color w:val="auto"/>
          <w:sz w:val="44"/>
          <w:szCs w:val="44"/>
          <w:highlight w:val="none"/>
        </w:rPr>
      </w:pPr>
      <w:r>
        <w:rPr>
          <w:rFonts w:ascii="黑体" w:hAnsi="黑体" w:eastAsia="黑体"/>
          <w:b/>
          <w:color w:val="auto"/>
          <w:spacing w:val="-18"/>
          <w:sz w:val="64"/>
          <w:szCs w:val="64"/>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7.8pt;height:0pt;width:432pt;z-index:251659264;mso-width-relative:page;mso-height-relative:page;" filled="f" stroked="t"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2sFDNQAAAAIAQAADwAAAAAAAAABACAAAAAiAAAAZHJzL2Rvd25yZXYueG1sUEsBAhQAFAAA&#10;AAgAh07iQBZ5gqDzAQAA5QMAAA4AAAAAAAAAAQAgAAAAIwEAAGRycy9lMm9Eb2MueG1sUEsFBgAA&#10;AAAGAAYAWQEAAIgFAAAAAA==&#10;">
                <v:fill on="f" focussize="0,0"/>
                <v:stroke weight="1pt" color="#000000" joinstyle="round"/>
                <v:imagedata o:title=""/>
                <o:lock v:ext="edit" aspectratio="f"/>
              </v:line>
            </w:pict>
          </mc:Fallback>
        </mc:AlternateContent>
      </w:r>
    </w:p>
    <w:p>
      <w:pPr>
        <w:snapToGrid w:val="0"/>
        <w:spacing w:before="156" w:beforeLines="50" w:line="360" w:lineRule="auto"/>
        <w:jc w:val="center"/>
        <w:rPr>
          <w:rFonts w:hint="eastAsia" w:ascii="黑体" w:hAnsi="黑体" w:eastAsia="黑体"/>
          <w:color w:val="auto"/>
          <w:sz w:val="84"/>
          <w:szCs w:val="84"/>
          <w:highlight w:val="none"/>
        </w:rPr>
      </w:pPr>
    </w:p>
    <w:p>
      <w:pPr>
        <w:snapToGrid w:val="0"/>
        <w:spacing w:before="156" w:beforeLines="50" w:line="360" w:lineRule="auto"/>
        <w:jc w:val="center"/>
        <w:rPr>
          <w:rFonts w:hint="eastAsia" w:ascii="黑体" w:hAnsi="黑体" w:eastAsia="黑体"/>
          <w:color w:val="auto"/>
          <w:sz w:val="84"/>
          <w:szCs w:val="84"/>
          <w:highlight w:val="none"/>
        </w:rPr>
      </w:pPr>
      <w:r>
        <w:rPr>
          <w:rFonts w:hint="eastAsia" w:ascii="黑体" w:hAnsi="黑体" w:eastAsia="黑体"/>
          <w:color w:val="auto"/>
          <w:sz w:val="84"/>
          <w:szCs w:val="84"/>
          <w:highlight w:val="none"/>
        </w:rPr>
        <w:t>竞争性磋商文件</w:t>
      </w:r>
    </w:p>
    <w:p>
      <w:pPr>
        <w:snapToGrid w:val="0"/>
        <w:spacing w:line="360" w:lineRule="auto"/>
        <w:rPr>
          <w:rFonts w:hint="eastAsia" w:ascii="仿宋_GB2312" w:hAnsi="宋体" w:eastAsia="仿宋_GB2312"/>
          <w:b/>
          <w:color w:val="auto"/>
          <w:sz w:val="48"/>
          <w:szCs w:val="48"/>
          <w:highlight w:val="none"/>
        </w:rPr>
      </w:pPr>
    </w:p>
    <w:p>
      <w:pPr>
        <w:spacing w:line="360" w:lineRule="auto"/>
        <w:ind w:firstLine="602" w:firstLineChars="200"/>
        <w:jc w:val="both"/>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 xml:space="preserve">项目名称：病理管理系统数字化改造升级项目 </w:t>
      </w:r>
    </w:p>
    <w:p>
      <w:pPr>
        <w:spacing w:line="360" w:lineRule="auto"/>
        <w:ind w:firstLine="602" w:firstLineChars="200"/>
        <w:jc w:val="both"/>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项目编号：GXZC2024-C3-003653-KWZB</w:t>
      </w:r>
    </w:p>
    <w:p>
      <w:pPr>
        <w:spacing w:line="360" w:lineRule="auto"/>
        <w:jc w:val="center"/>
        <w:rPr>
          <w:rFonts w:hint="eastAsia" w:ascii="宋体" w:hAnsi="宋体" w:eastAsia="宋体" w:cs="宋体"/>
          <w:b/>
          <w:bCs/>
          <w:color w:val="auto"/>
          <w:sz w:val="30"/>
          <w:szCs w:val="30"/>
          <w:highlight w:val="none"/>
          <w:lang w:eastAsia="zh-CN"/>
        </w:rPr>
      </w:pPr>
    </w:p>
    <w:p>
      <w:pPr>
        <w:spacing w:line="360" w:lineRule="auto"/>
        <w:jc w:val="center"/>
        <w:rPr>
          <w:rFonts w:hint="eastAsia" w:ascii="宋体" w:hAnsi="宋体" w:eastAsia="宋体" w:cs="宋体"/>
          <w:b/>
          <w:bCs/>
          <w:color w:val="auto"/>
          <w:sz w:val="30"/>
          <w:szCs w:val="30"/>
          <w:highlight w:val="none"/>
          <w:lang w:eastAsia="zh-CN"/>
        </w:rPr>
      </w:pPr>
    </w:p>
    <w:p>
      <w:pPr>
        <w:spacing w:line="360" w:lineRule="auto"/>
        <w:jc w:val="center"/>
        <w:rPr>
          <w:rFonts w:hint="eastAsia" w:ascii="宋体" w:hAnsi="宋体" w:eastAsia="宋体" w:cs="宋体"/>
          <w:b/>
          <w:bCs/>
          <w:color w:val="auto"/>
          <w:sz w:val="30"/>
          <w:szCs w:val="30"/>
          <w:highlight w:val="none"/>
          <w:lang w:eastAsia="zh-CN"/>
        </w:rPr>
      </w:pPr>
    </w:p>
    <w:p>
      <w:pPr>
        <w:spacing w:line="360" w:lineRule="auto"/>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lang w:eastAsia="zh-CN"/>
        </w:rPr>
        <w:t>采购单位：广西医科大学第一附属医院</w:t>
      </w:r>
    </w:p>
    <w:p>
      <w:pPr>
        <w:spacing w:line="360" w:lineRule="auto"/>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采购代理机构：广西科文招标有限公司</w:t>
      </w:r>
    </w:p>
    <w:p>
      <w:pPr>
        <w:spacing w:line="360" w:lineRule="auto"/>
        <w:jc w:val="center"/>
        <w:rPr>
          <w:rFonts w:hint="eastAsia" w:ascii="宋体" w:hAnsi="宋体" w:eastAsia="宋体" w:cs="宋体"/>
          <w:b/>
          <w:bCs/>
          <w:color w:val="auto"/>
          <w:sz w:val="30"/>
          <w:szCs w:val="30"/>
          <w:highlight w:val="none"/>
          <w:lang w:eastAsia="zh-CN"/>
        </w:rPr>
      </w:pPr>
    </w:p>
    <w:p>
      <w:pPr>
        <w:spacing w:line="360" w:lineRule="auto"/>
        <w:jc w:val="center"/>
        <w:rPr>
          <w:rFonts w:hint="eastAsia" w:ascii="宋体" w:hAnsi="宋体" w:eastAsia="宋体" w:cs="宋体"/>
          <w:b/>
          <w:bCs/>
          <w:color w:val="auto"/>
          <w:sz w:val="30"/>
          <w:szCs w:val="30"/>
          <w:highlight w:val="none"/>
          <w:lang w:eastAsia="zh-CN"/>
        </w:rPr>
        <w:sectPr>
          <w:headerReference r:id="rId3" w:type="default"/>
          <w:footerReference r:id="rId5" w:type="default"/>
          <w:headerReference r:id="rId4" w:type="even"/>
          <w:footerReference r:id="rId6" w:type="even"/>
          <w:pgSz w:w="11906" w:h="16838"/>
          <w:pgMar w:top="1418" w:right="1418" w:bottom="1418" w:left="1418" w:header="720" w:footer="720" w:gutter="0"/>
          <w:pgNumType w:start="0"/>
          <w:cols w:space="720" w:num="1"/>
          <w:titlePg/>
          <w:docGrid w:type="lines" w:linePitch="312" w:charSpace="0"/>
        </w:sectPr>
      </w:pPr>
      <w:r>
        <w:rPr>
          <w:rFonts w:hint="eastAsia" w:ascii="宋体" w:hAnsi="宋体" w:eastAsia="宋体" w:cs="宋体"/>
          <w:b/>
          <w:bCs/>
          <w:color w:val="auto"/>
          <w:sz w:val="30"/>
          <w:szCs w:val="30"/>
          <w:highlight w:val="none"/>
          <w:lang w:eastAsia="zh-CN"/>
        </w:rPr>
        <w:t>2024年5月</w:t>
      </w:r>
    </w:p>
    <w:p>
      <w:pPr>
        <w:spacing w:line="360" w:lineRule="auto"/>
        <w:jc w:val="center"/>
        <w:rPr>
          <w:rFonts w:hint="eastAsia" w:ascii="宋体" w:hAnsi="宋体" w:cs="宋体"/>
          <w:b/>
          <w:bCs/>
          <w:color w:val="auto"/>
          <w:kern w:val="0"/>
          <w:sz w:val="32"/>
          <w:szCs w:val="32"/>
          <w:highlight w:val="none"/>
        </w:rPr>
      </w:pPr>
    </w:p>
    <w:p>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pPr>
        <w:spacing w:line="400" w:lineRule="exact"/>
        <w:jc w:val="center"/>
        <w:rPr>
          <w:rFonts w:hint="eastAsia" w:ascii="宋体" w:hAnsi="宋体"/>
          <w:b/>
          <w:color w:val="auto"/>
          <w:sz w:val="44"/>
          <w:szCs w:val="44"/>
          <w:highlight w:val="none"/>
        </w:rPr>
      </w:pPr>
    </w:p>
    <w:p>
      <w:pPr>
        <w:pStyle w:val="16"/>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Fonts w:ascii="宋体" w:hAnsi="宋体"/>
          <w:b/>
          <w:color w:val="auto"/>
          <w:sz w:val="24"/>
          <w:highlight w:val="none"/>
        </w:rPr>
        <w:instrText xml:space="preserve"> </w:instrText>
      </w:r>
      <w:r>
        <w:rPr>
          <w:rFonts w:hint="eastAsia" w:ascii="宋体" w:hAnsi="宋体"/>
          <w:b/>
          <w:color w:val="auto"/>
          <w:sz w:val="24"/>
          <w:highlight w:val="none"/>
        </w:rPr>
        <w:instrText xml:space="preserve">TOC \o "1-3" \h \z \u</w:instrText>
      </w:r>
      <w:r>
        <w:rPr>
          <w:rFonts w:ascii="宋体" w:hAnsi="宋体"/>
          <w:b/>
          <w:color w:val="auto"/>
          <w:sz w:val="24"/>
          <w:highlight w:val="none"/>
        </w:rPr>
        <w:instrText xml:space="preserve"> </w:instrText>
      </w:r>
      <w:r>
        <w:rPr>
          <w:rFonts w:ascii="宋体" w:hAnsi="宋体"/>
          <w:b/>
          <w:color w:val="auto"/>
          <w:sz w:val="24"/>
          <w:highlight w:val="none"/>
        </w:rPr>
        <w:fldChar w:fldCharType="separate"/>
      </w:r>
      <w:r>
        <w:rPr>
          <w:rFonts w:ascii="宋体" w:hAnsi="宋体"/>
          <w:b/>
          <w:color w:val="auto"/>
          <w:sz w:val="24"/>
          <w:highlight w:val="none"/>
        </w:rPr>
        <w:fldChar w:fldCharType="begin"/>
      </w:r>
      <w:r>
        <w:rPr>
          <w:rStyle w:val="25"/>
          <w:rFonts w:ascii="宋体" w:hAnsi="宋体"/>
          <w:b/>
          <w:color w:val="auto"/>
          <w:sz w:val="24"/>
          <w:highlight w:val="none"/>
        </w:rPr>
        <w:instrText xml:space="preserve"> </w:instrText>
      </w:r>
      <w:r>
        <w:rPr>
          <w:rFonts w:ascii="宋体" w:hAnsi="宋体"/>
          <w:b/>
          <w:color w:val="auto"/>
          <w:sz w:val="24"/>
          <w:highlight w:val="none"/>
        </w:rPr>
        <w:instrText xml:space="preserve">HYPERLINK \l "_Toc74323456"</w:instrText>
      </w:r>
      <w:r>
        <w:rPr>
          <w:rStyle w:val="25"/>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5"/>
          <w:rFonts w:hint="eastAsia" w:ascii="宋体" w:hAnsi="宋体"/>
          <w:b/>
          <w:color w:val="auto"/>
          <w:sz w:val="24"/>
          <w:highlight w:val="none"/>
        </w:rPr>
        <w:t>第一章</w:t>
      </w:r>
      <w:r>
        <w:rPr>
          <w:rStyle w:val="25"/>
          <w:rFonts w:ascii="宋体" w:hAnsi="宋体"/>
          <w:b/>
          <w:color w:val="auto"/>
          <w:sz w:val="24"/>
          <w:highlight w:val="none"/>
        </w:rPr>
        <w:t xml:space="preserve"> </w:t>
      </w:r>
      <w:r>
        <w:rPr>
          <w:rStyle w:val="25"/>
          <w:rFonts w:hint="eastAsia" w:ascii="宋体" w:hAnsi="宋体"/>
          <w:b/>
          <w:color w:val="auto"/>
          <w:sz w:val="24"/>
          <w:highlight w:val="none"/>
        </w:rPr>
        <w:t>竞争性磋商公告</w:t>
      </w:r>
      <w:r>
        <w:rPr>
          <w:rFonts w:ascii="宋体" w:hAnsi="宋体"/>
          <w:b/>
          <w:color w:val="auto"/>
          <w:sz w:val="24"/>
          <w:highlight w:val="none"/>
        </w:rPr>
        <w:tab/>
      </w:r>
      <w:r>
        <w:rPr>
          <w:rFonts w:hint="eastAsia" w:ascii="宋体" w:hAnsi="宋体"/>
          <w:b/>
          <w:color w:val="auto"/>
          <w:sz w:val="24"/>
          <w:highlight w:val="none"/>
          <w:lang w:val="en-US" w:eastAsia="zh-CN"/>
        </w:rPr>
        <w:t>1</w:t>
      </w:r>
      <w:r>
        <w:rPr>
          <w:rFonts w:ascii="宋体" w:hAnsi="宋体"/>
          <w:b/>
          <w:color w:val="auto"/>
          <w:sz w:val="24"/>
          <w:highlight w:val="none"/>
        </w:rPr>
        <w:fldChar w:fldCharType="end"/>
      </w:r>
    </w:p>
    <w:p>
      <w:pPr>
        <w:pStyle w:val="16"/>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Style w:val="25"/>
          <w:rFonts w:ascii="宋体" w:hAnsi="宋体"/>
          <w:b/>
          <w:color w:val="auto"/>
          <w:sz w:val="24"/>
          <w:highlight w:val="none"/>
        </w:rPr>
        <w:instrText xml:space="preserve"> </w:instrText>
      </w:r>
      <w:r>
        <w:rPr>
          <w:rFonts w:ascii="宋体" w:hAnsi="宋体"/>
          <w:b/>
          <w:color w:val="auto"/>
          <w:sz w:val="24"/>
          <w:highlight w:val="none"/>
        </w:rPr>
        <w:instrText xml:space="preserve">HYPERLINK \l "_Toc74323457"</w:instrText>
      </w:r>
      <w:r>
        <w:rPr>
          <w:rStyle w:val="25"/>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5"/>
          <w:rFonts w:hint="eastAsia" w:ascii="宋体" w:hAnsi="宋体"/>
          <w:b/>
          <w:color w:val="auto"/>
          <w:sz w:val="24"/>
          <w:highlight w:val="none"/>
        </w:rPr>
        <w:t>第二章</w:t>
      </w:r>
      <w:r>
        <w:rPr>
          <w:rStyle w:val="25"/>
          <w:rFonts w:ascii="宋体" w:hAnsi="宋体"/>
          <w:b/>
          <w:color w:val="auto"/>
          <w:sz w:val="24"/>
          <w:highlight w:val="none"/>
        </w:rPr>
        <w:t xml:space="preserve"> </w:t>
      </w:r>
      <w:r>
        <w:rPr>
          <w:rStyle w:val="25"/>
          <w:rFonts w:hint="eastAsia" w:ascii="宋体" w:hAnsi="宋体"/>
          <w:b/>
          <w:color w:val="auto"/>
          <w:sz w:val="24"/>
          <w:highlight w:val="none"/>
        </w:rPr>
        <w:t>供应</w:t>
      </w:r>
      <w:bookmarkStart w:id="0" w:name="_Hlt82161237"/>
      <w:r>
        <w:rPr>
          <w:rStyle w:val="25"/>
          <w:rFonts w:hint="eastAsia" w:ascii="宋体" w:hAnsi="宋体"/>
          <w:b/>
          <w:color w:val="auto"/>
          <w:sz w:val="24"/>
          <w:highlight w:val="none"/>
        </w:rPr>
        <w:t>商</w:t>
      </w:r>
      <w:bookmarkEnd w:id="0"/>
      <w:r>
        <w:rPr>
          <w:rStyle w:val="25"/>
          <w:rFonts w:hint="eastAsia" w:ascii="宋体" w:hAnsi="宋体"/>
          <w:b/>
          <w:color w:val="auto"/>
          <w:sz w:val="24"/>
          <w:highlight w:val="none"/>
        </w:rPr>
        <w:t>须知</w:t>
      </w:r>
      <w:r>
        <w:rPr>
          <w:rFonts w:ascii="宋体" w:hAnsi="宋体"/>
          <w:b/>
          <w:color w:val="auto"/>
          <w:sz w:val="24"/>
          <w:highlight w:val="none"/>
        </w:rPr>
        <w:tab/>
      </w:r>
      <w:r>
        <w:rPr>
          <w:rFonts w:hint="eastAsia" w:ascii="宋体" w:hAnsi="宋体"/>
          <w:b/>
          <w:color w:val="auto"/>
          <w:sz w:val="24"/>
          <w:highlight w:val="none"/>
          <w:lang w:val="en-US" w:eastAsia="zh-CN"/>
        </w:rPr>
        <w:t>5</w:t>
      </w:r>
      <w:r>
        <w:rPr>
          <w:rFonts w:ascii="宋体" w:hAnsi="宋体"/>
          <w:b/>
          <w:color w:val="auto"/>
          <w:sz w:val="24"/>
          <w:highlight w:val="none"/>
        </w:rPr>
        <w:fldChar w:fldCharType="end"/>
      </w:r>
    </w:p>
    <w:p>
      <w:pPr>
        <w:pStyle w:val="16"/>
        <w:tabs>
          <w:tab w:val="right" w:leader="dot" w:pos="8869"/>
        </w:tabs>
        <w:snapToGrid w:val="0"/>
        <w:spacing w:line="500" w:lineRule="atLeast"/>
        <w:rPr>
          <w:rFonts w:hint="eastAsia" w:ascii="宋体" w:hAnsi="宋体" w:eastAsia="宋体"/>
          <w:b/>
          <w:color w:val="auto"/>
          <w:sz w:val="24"/>
          <w:highlight w:val="none"/>
          <w:lang w:val="en-US" w:eastAsia="zh-CN"/>
        </w:rPr>
      </w:pPr>
      <w:r>
        <w:rPr>
          <w:rFonts w:ascii="宋体" w:hAnsi="宋体"/>
          <w:b/>
          <w:color w:val="auto"/>
          <w:sz w:val="24"/>
          <w:highlight w:val="none"/>
        </w:rPr>
        <w:fldChar w:fldCharType="begin"/>
      </w:r>
      <w:r>
        <w:rPr>
          <w:rStyle w:val="25"/>
          <w:rFonts w:ascii="宋体" w:hAnsi="宋体"/>
          <w:b/>
          <w:color w:val="auto"/>
          <w:sz w:val="24"/>
          <w:highlight w:val="none"/>
        </w:rPr>
        <w:instrText xml:space="preserve"> </w:instrText>
      </w:r>
      <w:r>
        <w:rPr>
          <w:rFonts w:ascii="宋体" w:hAnsi="宋体"/>
          <w:b/>
          <w:color w:val="auto"/>
          <w:sz w:val="24"/>
          <w:highlight w:val="none"/>
        </w:rPr>
        <w:instrText xml:space="preserve">HYPERLINK \l "_Toc74323458"</w:instrText>
      </w:r>
      <w:r>
        <w:rPr>
          <w:rStyle w:val="25"/>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5"/>
          <w:rFonts w:hint="eastAsia" w:ascii="宋体" w:hAnsi="宋体"/>
          <w:b/>
          <w:color w:val="auto"/>
          <w:sz w:val="24"/>
          <w:highlight w:val="none"/>
        </w:rPr>
        <w:t>第三章</w:t>
      </w:r>
      <w:r>
        <w:rPr>
          <w:rStyle w:val="25"/>
          <w:rFonts w:ascii="宋体" w:hAnsi="宋体"/>
          <w:b/>
          <w:color w:val="auto"/>
          <w:sz w:val="24"/>
          <w:highlight w:val="none"/>
        </w:rPr>
        <w:t xml:space="preserve"> </w:t>
      </w:r>
      <w:r>
        <w:rPr>
          <w:rStyle w:val="25"/>
          <w:rFonts w:hint="eastAsia" w:ascii="宋体" w:hAnsi="宋体"/>
          <w:b/>
          <w:color w:val="auto"/>
          <w:sz w:val="24"/>
          <w:highlight w:val="none"/>
        </w:rPr>
        <w:t>采购需</w:t>
      </w:r>
      <w:bookmarkStart w:id="1" w:name="_Hlt82166940"/>
      <w:r>
        <w:rPr>
          <w:rStyle w:val="25"/>
          <w:rFonts w:hint="eastAsia" w:ascii="宋体" w:hAnsi="宋体"/>
          <w:b/>
          <w:color w:val="auto"/>
          <w:sz w:val="24"/>
          <w:highlight w:val="none"/>
        </w:rPr>
        <w:t>求</w:t>
      </w:r>
      <w:bookmarkEnd w:id="1"/>
      <w:bookmarkStart w:id="142" w:name="_GoBack"/>
      <w:bookmarkEnd w:id="142"/>
      <w:r>
        <w:rPr>
          <w:rFonts w:ascii="宋体" w:hAnsi="宋体"/>
          <w:b/>
          <w:color w:val="auto"/>
          <w:sz w:val="24"/>
          <w:highlight w:val="none"/>
        </w:rPr>
        <w:tab/>
      </w:r>
      <w:r>
        <w:rPr>
          <w:rFonts w:hint="eastAsia" w:ascii="宋体" w:hAnsi="宋体"/>
          <w:b/>
          <w:color w:val="auto"/>
          <w:sz w:val="24"/>
          <w:highlight w:val="none"/>
          <w:lang w:val="en-US" w:eastAsia="zh-CN"/>
        </w:rPr>
        <w:t>2</w:t>
      </w:r>
      <w:r>
        <w:rPr>
          <w:rFonts w:ascii="宋体" w:hAnsi="宋体"/>
          <w:b/>
          <w:color w:val="auto"/>
          <w:sz w:val="24"/>
          <w:highlight w:val="none"/>
        </w:rPr>
        <w:fldChar w:fldCharType="end"/>
      </w:r>
      <w:r>
        <w:rPr>
          <w:rFonts w:hint="eastAsia" w:ascii="宋体" w:hAnsi="宋体"/>
          <w:b/>
          <w:color w:val="auto"/>
          <w:sz w:val="24"/>
          <w:highlight w:val="none"/>
          <w:lang w:val="en-US" w:eastAsia="zh-CN"/>
        </w:rPr>
        <w:t>2</w:t>
      </w:r>
    </w:p>
    <w:p>
      <w:pPr>
        <w:pStyle w:val="16"/>
        <w:tabs>
          <w:tab w:val="right" w:leader="dot" w:pos="8869"/>
        </w:tabs>
        <w:snapToGrid w:val="0"/>
        <w:spacing w:line="500" w:lineRule="atLeast"/>
        <w:rPr>
          <w:rFonts w:hint="default" w:ascii="宋体" w:hAnsi="宋体" w:eastAsia="宋体"/>
          <w:b/>
          <w:color w:val="auto"/>
          <w:sz w:val="24"/>
          <w:highlight w:val="none"/>
          <w:lang w:val="en-US" w:eastAsia="zh-CN"/>
        </w:rPr>
      </w:pPr>
      <w:r>
        <w:rPr>
          <w:rFonts w:ascii="宋体" w:hAnsi="宋体"/>
          <w:b/>
          <w:color w:val="auto"/>
          <w:sz w:val="24"/>
          <w:highlight w:val="none"/>
        </w:rPr>
        <w:fldChar w:fldCharType="begin"/>
      </w:r>
      <w:r>
        <w:rPr>
          <w:rStyle w:val="25"/>
          <w:rFonts w:ascii="宋体" w:hAnsi="宋体"/>
          <w:b/>
          <w:color w:val="auto"/>
          <w:sz w:val="24"/>
          <w:highlight w:val="none"/>
        </w:rPr>
        <w:instrText xml:space="preserve"> </w:instrText>
      </w:r>
      <w:r>
        <w:rPr>
          <w:rFonts w:ascii="宋体" w:hAnsi="宋体"/>
          <w:b/>
          <w:color w:val="auto"/>
          <w:sz w:val="24"/>
          <w:highlight w:val="none"/>
        </w:rPr>
        <w:instrText xml:space="preserve">HYPERLINK \l "_Toc74323459"</w:instrText>
      </w:r>
      <w:r>
        <w:rPr>
          <w:rStyle w:val="25"/>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5"/>
          <w:rFonts w:hint="eastAsia" w:ascii="宋体" w:hAnsi="宋体"/>
          <w:b/>
          <w:color w:val="auto"/>
          <w:sz w:val="24"/>
          <w:highlight w:val="none"/>
        </w:rPr>
        <w:t>第四章</w:t>
      </w:r>
      <w:r>
        <w:rPr>
          <w:rStyle w:val="25"/>
          <w:rFonts w:ascii="宋体" w:hAnsi="宋体"/>
          <w:b/>
          <w:color w:val="auto"/>
          <w:sz w:val="24"/>
          <w:highlight w:val="none"/>
        </w:rPr>
        <w:t xml:space="preserve"> </w:t>
      </w:r>
      <w:r>
        <w:rPr>
          <w:rStyle w:val="25"/>
          <w:rFonts w:hint="eastAsia" w:ascii="宋体" w:hAnsi="宋体"/>
          <w:b/>
          <w:color w:val="auto"/>
          <w:sz w:val="24"/>
          <w:highlight w:val="none"/>
        </w:rPr>
        <w:t>评审程序、</w:t>
      </w:r>
      <w:bookmarkStart w:id="2" w:name="_Hlt82166000"/>
      <w:r>
        <w:rPr>
          <w:rStyle w:val="25"/>
          <w:rFonts w:hint="eastAsia" w:ascii="宋体" w:hAnsi="宋体"/>
          <w:b/>
          <w:color w:val="auto"/>
          <w:sz w:val="24"/>
          <w:highlight w:val="none"/>
        </w:rPr>
        <w:t>评</w:t>
      </w:r>
      <w:bookmarkEnd w:id="2"/>
      <w:r>
        <w:rPr>
          <w:rStyle w:val="25"/>
          <w:rFonts w:hint="eastAsia" w:ascii="宋体" w:hAnsi="宋体"/>
          <w:b/>
          <w:color w:val="auto"/>
          <w:sz w:val="24"/>
          <w:highlight w:val="none"/>
        </w:rPr>
        <w:t>审方法和评审标准</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40</w:t>
      </w:r>
    </w:p>
    <w:p>
      <w:pPr>
        <w:pStyle w:val="16"/>
        <w:tabs>
          <w:tab w:val="right" w:leader="dot" w:pos="8869"/>
        </w:tabs>
        <w:snapToGrid w:val="0"/>
        <w:spacing w:line="500" w:lineRule="atLeast"/>
        <w:rPr>
          <w:rFonts w:hint="default" w:ascii="宋体" w:hAnsi="宋体" w:eastAsia="宋体"/>
          <w:b/>
          <w:color w:val="auto"/>
          <w:sz w:val="24"/>
          <w:highlight w:val="none"/>
          <w:lang w:val="en-US" w:eastAsia="zh-CN"/>
        </w:rPr>
      </w:pPr>
      <w:r>
        <w:rPr>
          <w:rFonts w:ascii="宋体" w:hAnsi="宋体"/>
          <w:b/>
          <w:color w:val="auto"/>
          <w:sz w:val="24"/>
          <w:highlight w:val="none"/>
        </w:rPr>
        <w:fldChar w:fldCharType="begin"/>
      </w:r>
      <w:r>
        <w:rPr>
          <w:rStyle w:val="25"/>
          <w:rFonts w:ascii="宋体" w:hAnsi="宋体"/>
          <w:b/>
          <w:color w:val="auto"/>
          <w:sz w:val="24"/>
          <w:highlight w:val="none"/>
        </w:rPr>
        <w:instrText xml:space="preserve"> </w:instrText>
      </w:r>
      <w:r>
        <w:rPr>
          <w:rFonts w:ascii="宋体" w:hAnsi="宋体"/>
          <w:b/>
          <w:color w:val="auto"/>
          <w:sz w:val="24"/>
          <w:highlight w:val="none"/>
        </w:rPr>
        <w:instrText xml:space="preserve">HYPERLINK \l "_Toc74323460"</w:instrText>
      </w:r>
      <w:r>
        <w:rPr>
          <w:rStyle w:val="25"/>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5"/>
          <w:rFonts w:hint="eastAsia" w:ascii="宋体" w:hAnsi="宋体"/>
          <w:b/>
          <w:color w:val="auto"/>
          <w:sz w:val="24"/>
          <w:highlight w:val="none"/>
        </w:rPr>
        <w:t>第五章</w:t>
      </w:r>
      <w:r>
        <w:rPr>
          <w:rStyle w:val="25"/>
          <w:rFonts w:ascii="宋体" w:hAnsi="宋体"/>
          <w:b/>
          <w:color w:val="auto"/>
          <w:sz w:val="24"/>
          <w:highlight w:val="none"/>
        </w:rPr>
        <w:t xml:space="preserve"> </w:t>
      </w:r>
      <w:r>
        <w:rPr>
          <w:rStyle w:val="25"/>
          <w:rFonts w:hint="eastAsia" w:ascii="宋体" w:hAnsi="宋体"/>
          <w:b/>
          <w:color w:val="auto"/>
          <w:sz w:val="24"/>
          <w:highlight w:val="none"/>
        </w:rPr>
        <w:t>响应文件格式</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44</w:t>
      </w:r>
    </w:p>
    <w:p>
      <w:pPr>
        <w:pStyle w:val="16"/>
        <w:tabs>
          <w:tab w:val="right" w:leader="dot" w:pos="8869"/>
        </w:tabs>
        <w:snapToGrid w:val="0"/>
        <w:spacing w:line="500" w:lineRule="atLeast"/>
        <w:rPr>
          <w:rFonts w:hint="default" w:ascii="宋体" w:hAnsi="宋体" w:eastAsia="宋体"/>
          <w:color w:val="auto"/>
          <w:sz w:val="24"/>
          <w:highlight w:val="none"/>
          <w:lang w:val="en-US" w:eastAsia="zh-CN"/>
        </w:rPr>
      </w:pPr>
      <w:r>
        <w:rPr>
          <w:rFonts w:ascii="宋体" w:hAnsi="宋体"/>
          <w:b/>
          <w:color w:val="auto"/>
          <w:sz w:val="24"/>
          <w:highlight w:val="none"/>
        </w:rPr>
        <w:fldChar w:fldCharType="begin"/>
      </w:r>
      <w:r>
        <w:rPr>
          <w:rStyle w:val="25"/>
          <w:rFonts w:ascii="宋体" w:hAnsi="宋体"/>
          <w:b/>
          <w:color w:val="auto"/>
          <w:sz w:val="24"/>
          <w:highlight w:val="none"/>
        </w:rPr>
        <w:instrText xml:space="preserve"> </w:instrText>
      </w:r>
      <w:r>
        <w:rPr>
          <w:rFonts w:ascii="宋体" w:hAnsi="宋体"/>
          <w:b/>
          <w:color w:val="auto"/>
          <w:sz w:val="24"/>
          <w:highlight w:val="none"/>
        </w:rPr>
        <w:instrText xml:space="preserve">HYPERLINK \l "_Toc74323461"</w:instrText>
      </w:r>
      <w:r>
        <w:rPr>
          <w:rStyle w:val="25"/>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5"/>
          <w:rFonts w:hint="eastAsia" w:ascii="宋体" w:hAnsi="宋体"/>
          <w:b/>
          <w:color w:val="auto"/>
          <w:sz w:val="24"/>
          <w:highlight w:val="none"/>
        </w:rPr>
        <w:t>第六章</w:t>
      </w:r>
      <w:r>
        <w:rPr>
          <w:rStyle w:val="25"/>
          <w:rFonts w:ascii="宋体" w:hAnsi="宋体"/>
          <w:b/>
          <w:color w:val="auto"/>
          <w:sz w:val="24"/>
          <w:highlight w:val="none"/>
        </w:rPr>
        <w:t xml:space="preserve"> </w:t>
      </w:r>
      <w:r>
        <w:rPr>
          <w:rStyle w:val="25"/>
          <w:rFonts w:hint="eastAsia" w:ascii="宋体" w:hAnsi="宋体"/>
          <w:b/>
          <w:color w:val="auto"/>
          <w:sz w:val="24"/>
          <w:highlight w:val="none"/>
        </w:rPr>
        <w:t>合同主要条款格式</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72</w:t>
      </w:r>
    </w:p>
    <w:p>
      <w:pPr>
        <w:pStyle w:val="17"/>
        <w:tabs>
          <w:tab w:val="right" w:leader="dot" w:pos="8931"/>
          <w:tab w:val="clear" w:pos="8296"/>
        </w:tabs>
        <w:snapToGrid w:val="0"/>
        <w:spacing w:line="500" w:lineRule="atLeast"/>
        <w:ind w:left="0" w:leftChars="0"/>
        <w:rPr>
          <w:rFonts w:hint="eastAsia" w:ascii="宋体" w:hAnsi="宋体"/>
          <w:b/>
          <w:color w:val="auto"/>
          <w:sz w:val="24"/>
          <w:highlight w:val="none"/>
        </w:rPr>
      </w:pPr>
      <w:r>
        <w:rPr>
          <w:rFonts w:ascii="宋体" w:hAnsi="宋体"/>
          <w:b/>
          <w:color w:val="auto"/>
          <w:sz w:val="24"/>
          <w:highlight w:val="none"/>
        </w:rPr>
        <w:fldChar w:fldCharType="end"/>
      </w:r>
    </w:p>
    <w:p>
      <w:pPr>
        <w:spacing w:line="400" w:lineRule="exact"/>
        <w:jc w:val="left"/>
        <w:rPr>
          <w:rFonts w:hint="eastAsia" w:ascii="宋体" w:hAnsi="宋体"/>
          <w:b/>
          <w:color w:val="auto"/>
          <w:sz w:val="32"/>
          <w:szCs w:val="32"/>
          <w:highlight w:val="none"/>
        </w:rPr>
      </w:pPr>
    </w:p>
    <w:p>
      <w:pPr>
        <w:spacing w:line="400" w:lineRule="exact"/>
        <w:jc w:val="center"/>
        <w:rPr>
          <w:rFonts w:hint="eastAsia" w:ascii="宋体" w:hAnsi="宋体"/>
          <w:b/>
          <w:color w:val="auto"/>
          <w:sz w:val="32"/>
          <w:szCs w:val="32"/>
          <w:highlight w:val="none"/>
        </w:rPr>
      </w:pPr>
    </w:p>
    <w:p>
      <w:pPr>
        <w:spacing w:line="400" w:lineRule="exact"/>
        <w:jc w:val="center"/>
        <w:rPr>
          <w:rFonts w:hint="eastAsia" w:ascii="宋体" w:hAnsi="宋体"/>
          <w:b/>
          <w:color w:val="auto"/>
          <w:sz w:val="32"/>
          <w:szCs w:val="32"/>
          <w:highlight w:val="none"/>
        </w:rPr>
      </w:pPr>
    </w:p>
    <w:p>
      <w:pPr>
        <w:spacing w:line="400" w:lineRule="exact"/>
        <w:jc w:val="center"/>
        <w:rPr>
          <w:rFonts w:hint="eastAsia" w:ascii="宋体" w:hAnsi="宋体"/>
          <w:b/>
          <w:color w:val="auto"/>
          <w:sz w:val="32"/>
          <w:szCs w:val="32"/>
          <w:highlight w:val="none"/>
        </w:rPr>
      </w:pPr>
    </w:p>
    <w:p>
      <w:pPr>
        <w:spacing w:line="400" w:lineRule="exact"/>
        <w:jc w:val="center"/>
        <w:rPr>
          <w:rFonts w:hint="eastAsia" w:ascii="宋体" w:hAnsi="宋体"/>
          <w:b/>
          <w:color w:val="auto"/>
          <w:sz w:val="32"/>
          <w:szCs w:val="32"/>
          <w:highlight w:val="none"/>
        </w:rPr>
      </w:pPr>
    </w:p>
    <w:p>
      <w:pPr>
        <w:spacing w:line="400" w:lineRule="exact"/>
        <w:rPr>
          <w:rFonts w:hint="eastAsia" w:ascii="宋体" w:hAnsi="宋体"/>
          <w:b/>
          <w:color w:val="auto"/>
          <w:sz w:val="32"/>
          <w:szCs w:val="32"/>
          <w:highlight w:val="none"/>
        </w:rPr>
        <w:sectPr>
          <w:headerReference r:id="rId8" w:type="first"/>
          <w:footerReference r:id="rId10" w:type="first"/>
          <w:headerReference r:id="rId7" w:type="default"/>
          <w:footerReference r:id="rId9" w:type="default"/>
          <w:pgSz w:w="11906" w:h="16838"/>
          <w:pgMar w:top="1440" w:right="1440" w:bottom="1440" w:left="1587" w:header="851" w:footer="992" w:gutter="0"/>
          <w:pgNumType w:start="0"/>
          <w:cols w:space="720" w:num="1"/>
          <w:titlePg/>
          <w:docGrid w:type="lines" w:linePitch="312" w:charSpace="0"/>
        </w:sectPr>
      </w:pPr>
    </w:p>
    <w:p>
      <w:pPr>
        <w:pStyle w:val="2"/>
        <w:spacing w:line="360" w:lineRule="auto"/>
        <w:jc w:val="center"/>
        <w:rPr>
          <w:rFonts w:hint="eastAsia" w:ascii="宋体" w:hAnsi="宋体"/>
          <w:b w:val="0"/>
          <w:bCs w:val="0"/>
          <w:color w:val="auto"/>
          <w:sz w:val="32"/>
          <w:szCs w:val="32"/>
          <w:highlight w:val="none"/>
        </w:rPr>
      </w:pPr>
      <w:bookmarkStart w:id="3" w:name="_Toc74323456"/>
      <w:r>
        <w:rPr>
          <w:rFonts w:hint="eastAsia"/>
          <w:color w:val="auto"/>
          <w:highlight w:val="none"/>
        </w:rPr>
        <w:t>第一章 竞争性磋商公告</w:t>
      </w:r>
      <w:bookmarkEnd w:id="3"/>
    </w:p>
    <w:p>
      <w:pPr>
        <w:pStyle w:val="13"/>
        <w:jc w:val="center"/>
        <w:rPr>
          <w:b/>
          <w:color w:val="auto"/>
          <w:sz w:val="28"/>
          <w:szCs w:val="28"/>
          <w:highlight w:val="none"/>
        </w:rPr>
      </w:pPr>
      <w:r>
        <w:rPr>
          <w:rFonts w:hint="eastAsia"/>
          <w:b/>
          <w:color w:val="auto"/>
          <w:sz w:val="28"/>
          <w:szCs w:val="28"/>
          <w:highlight w:val="none"/>
        </w:rPr>
        <w:t>广西科文招标有限公司</w:t>
      </w:r>
    </w:p>
    <w:p>
      <w:pPr>
        <w:jc w:val="center"/>
        <w:rPr>
          <w:rFonts w:hint="eastAsia" w:ascii="宋体" w:hAnsi="Courier New"/>
          <w:b/>
          <w:color w:val="auto"/>
          <w:kern w:val="0"/>
          <w:sz w:val="28"/>
          <w:szCs w:val="28"/>
          <w:highlight w:val="none"/>
        </w:rPr>
      </w:pPr>
      <w:r>
        <w:rPr>
          <w:rFonts w:hint="eastAsia" w:ascii="宋体" w:hAnsi="Courier New"/>
          <w:b/>
          <w:color w:val="auto"/>
          <w:kern w:val="0"/>
          <w:sz w:val="28"/>
          <w:szCs w:val="28"/>
          <w:highlight w:val="none"/>
          <w:lang w:eastAsia="zh-CN"/>
        </w:rPr>
        <w:t>病理管理系统数字化改造升级项目</w:t>
      </w:r>
      <w:r>
        <w:rPr>
          <w:rFonts w:hint="eastAsia" w:ascii="宋体" w:hAnsi="Courier New"/>
          <w:b/>
          <w:color w:val="auto"/>
          <w:kern w:val="0"/>
          <w:sz w:val="28"/>
          <w:szCs w:val="28"/>
          <w:highlight w:val="none"/>
        </w:rPr>
        <w:t>（</w:t>
      </w:r>
      <w:r>
        <w:rPr>
          <w:rFonts w:hint="eastAsia" w:ascii="宋体" w:hAnsi="Courier New"/>
          <w:b/>
          <w:color w:val="auto"/>
          <w:kern w:val="0"/>
          <w:sz w:val="28"/>
          <w:szCs w:val="28"/>
          <w:highlight w:val="none"/>
          <w:lang w:eastAsia="zh-CN"/>
        </w:rPr>
        <w:t>GXZC2024-C3-003653-KWZB</w:t>
      </w:r>
      <w:r>
        <w:rPr>
          <w:rFonts w:hint="eastAsia" w:ascii="宋体" w:hAnsi="Courier New"/>
          <w:b/>
          <w:color w:val="auto"/>
          <w:kern w:val="0"/>
          <w:sz w:val="28"/>
          <w:szCs w:val="28"/>
          <w:highlight w:val="none"/>
        </w:rPr>
        <w:t>）</w:t>
      </w:r>
    </w:p>
    <w:p>
      <w:pPr>
        <w:jc w:val="center"/>
        <w:rPr>
          <w:rFonts w:hint="eastAsia" w:ascii="宋体" w:hAnsi="Courier New"/>
          <w:b/>
          <w:color w:val="auto"/>
          <w:kern w:val="0"/>
          <w:sz w:val="28"/>
          <w:szCs w:val="28"/>
          <w:highlight w:val="none"/>
        </w:rPr>
      </w:pPr>
      <w:r>
        <w:rPr>
          <w:rFonts w:hint="eastAsia" w:ascii="宋体" w:hAnsi="Courier New"/>
          <w:b/>
          <w:color w:val="auto"/>
          <w:kern w:val="0"/>
          <w:sz w:val="28"/>
          <w:szCs w:val="28"/>
          <w:highlight w:val="none"/>
        </w:rPr>
        <w:t>竞争性磋商公告</w:t>
      </w:r>
    </w:p>
    <w:p>
      <w:pPr>
        <w:spacing w:line="360" w:lineRule="auto"/>
        <w:jc w:val="center"/>
        <w:rPr>
          <w:rFonts w:ascii="宋体" w:hAnsi="宋体"/>
          <w:color w:val="auto"/>
          <w:szCs w:val="21"/>
          <w:highlight w:val="none"/>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bookmarkStart w:id="4" w:name="_Hlk37430271"/>
      <w:r>
        <w:rPr>
          <w:rFonts w:hint="eastAsia" w:ascii="宋体" w:hAnsi="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病理管理系统数字化改造升级项目</w:t>
      </w:r>
      <w:r>
        <w:rPr>
          <w:rFonts w:hint="eastAsia" w:ascii="宋体" w:hAnsi="宋体"/>
          <w:color w:val="auto"/>
          <w:szCs w:val="21"/>
          <w:highlight w:val="none"/>
        </w:rPr>
        <w:t>的潜在供应商应在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）获取（下载）竞争性磋商文件，并于</w:t>
      </w:r>
      <w:r>
        <w:rPr>
          <w:rFonts w:hint="eastAsia" w:ascii="宋体" w:hAnsi="宋体"/>
          <w:color w:val="auto"/>
          <w:szCs w:val="21"/>
          <w:highlight w:val="none"/>
          <w:lang w:eastAsia="zh-CN"/>
        </w:rPr>
        <w:t>2024年5月27日15时00分</w:t>
      </w:r>
      <w:r>
        <w:rPr>
          <w:rFonts w:hint="eastAsia" w:ascii="宋体" w:hAnsi="宋体"/>
          <w:bCs/>
          <w:color w:val="auto"/>
          <w:szCs w:val="21"/>
          <w:highlight w:val="none"/>
        </w:rPr>
        <w:t>（北京时间）前提交响应</w:t>
      </w:r>
      <w:r>
        <w:rPr>
          <w:rFonts w:ascii="宋体" w:hAnsi="宋体"/>
          <w:bCs/>
          <w:color w:val="auto"/>
          <w:szCs w:val="21"/>
          <w:highlight w:val="none"/>
        </w:rPr>
        <w:t>文件</w:t>
      </w:r>
      <w:r>
        <w:rPr>
          <w:rFonts w:hint="eastAsia" w:ascii="宋体" w:hAnsi="宋体"/>
          <w:color w:val="auto"/>
          <w:szCs w:val="21"/>
          <w:highlight w:val="none"/>
        </w:rPr>
        <w:t>。</w:t>
      </w:r>
    </w:p>
    <w:p>
      <w:pPr>
        <w:spacing w:line="360" w:lineRule="auto"/>
        <w:ind w:firstLine="354" w:firstLineChars="147"/>
        <w:rPr>
          <w:rFonts w:hint="eastAsia" w:ascii="黑体" w:hAnsi="黑体" w:eastAsia="黑体"/>
          <w:b/>
          <w:color w:val="auto"/>
          <w:sz w:val="24"/>
          <w:highlight w:val="none"/>
        </w:rPr>
      </w:pPr>
      <w:bookmarkStart w:id="5" w:name="_Toc35393629"/>
      <w:bookmarkStart w:id="6" w:name="_Toc71365905"/>
      <w:bookmarkStart w:id="7" w:name="_Toc44229878"/>
      <w:bookmarkStart w:id="8" w:name="_Toc35393798"/>
      <w:bookmarkStart w:id="9" w:name="_Toc28359089"/>
      <w:bookmarkStart w:id="10" w:name="_Toc28359012"/>
    </w:p>
    <w:bookmarkEnd w:id="5"/>
    <w:bookmarkEnd w:id="6"/>
    <w:bookmarkEnd w:id="7"/>
    <w:bookmarkEnd w:id="8"/>
    <w:bookmarkEnd w:id="9"/>
    <w:bookmarkEnd w:id="10"/>
    <w:p>
      <w:pPr>
        <w:spacing w:line="360" w:lineRule="auto"/>
        <w:ind w:firstLine="354" w:firstLineChars="147"/>
        <w:rPr>
          <w:rFonts w:ascii="黑体" w:hAnsi="黑体" w:eastAsia="黑体"/>
          <w:b/>
          <w:color w:val="auto"/>
          <w:sz w:val="24"/>
          <w:highlight w:val="none"/>
        </w:rPr>
      </w:pPr>
      <w:bookmarkStart w:id="11" w:name="_Hlk37429674"/>
      <w:bookmarkStart w:id="12" w:name="_Toc28359095"/>
      <w:bookmarkStart w:id="13" w:name="_Toc28359018"/>
      <w:bookmarkStart w:id="14" w:name="_Toc35393805"/>
      <w:bookmarkStart w:id="15" w:name="_Toc35393636"/>
      <w:bookmarkStart w:id="16" w:name="_Toc44229885"/>
      <w:r>
        <w:rPr>
          <w:rFonts w:hint="eastAsia" w:ascii="黑体" w:hAnsi="黑体" w:eastAsia="黑体"/>
          <w:b/>
          <w:color w:val="auto"/>
          <w:sz w:val="24"/>
          <w:highlight w:val="none"/>
        </w:rPr>
        <w:t>一、项目基本情况</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GXZC2024-C3-003653-KWZB</w:t>
      </w:r>
    </w:p>
    <w:p>
      <w:pPr>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病理管理系统数字化改造升级项目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预算金额：</w:t>
      </w:r>
      <w:r>
        <w:rPr>
          <w:rFonts w:hint="eastAsia" w:ascii="宋体" w:hAnsi="宋体"/>
          <w:color w:val="auto"/>
          <w:highlight w:val="none"/>
          <w:lang w:val="en-US" w:eastAsia="zh-CN"/>
        </w:rPr>
        <w:t>210万元</w:t>
      </w:r>
    </w:p>
    <w:p>
      <w:pPr>
        <w:spacing w:line="360"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rPr>
        <w:t>最高限价：</w:t>
      </w:r>
      <w:r>
        <w:rPr>
          <w:rFonts w:hint="eastAsia" w:ascii="宋体" w:hAnsi="宋体"/>
          <w:color w:val="auto"/>
          <w:highlight w:val="none"/>
          <w:lang w:val="en-US" w:eastAsia="zh-CN"/>
        </w:rPr>
        <w:t>210万元</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采购需求：</w:t>
      </w:r>
      <w:r>
        <w:rPr>
          <w:rFonts w:hint="eastAsia" w:ascii="宋体" w:hAnsi="宋体"/>
          <w:color w:val="auto"/>
          <w:szCs w:val="21"/>
          <w:highlight w:val="none"/>
          <w:lang w:eastAsia="zh-CN"/>
        </w:rPr>
        <w:t>病理管理系统数字化改造升级项目</w:t>
      </w:r>
      <w:r>
        <w:rPr>
          <w:rFonts w:hint="eastAsia" w:ascii="宋体" w:hAnsi="宋体"/>
          <w:color w:val="auto"/>
          <w:szCs w:val="21"/>
          <w:highlight w:val="none"/>
          <w:lang w:val="en-US" w:eastAsia="zh-CN"/>
        </w:rPr>
        <w:t>一项，具体内容详见采购文件。</w:t>
      </w:r>
    </w:p>
    <w:p>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eastAsia="zh-CN"/>
        </w:rPr>
        <w:t>履行期限：自签订合同之日起</w:t>
      </w:r>
      <w:r>
        <w:rPr>
          <w:rFonts w:hint="eastAsia" w:ascii="宋体" w:hAnsi="宋体"/>
          <w:color w:val="auto"/>
          <w:szCs w:val="21"/>
          <w:highlight w:val="none"/>
          <w:lang w:val="en-US" w:eastAsia="zh-CN"/>
        </w:rPr>
        <w:t>120日</w:t>
      </w:r>
      <w:r>
        <w:rPr>
          <w:rFonts w:hint="eastAsia" w:ascii="宋体" w:hAnsi="宋体" w:eastAsia="宋体" w:cs="宋体"/>
          <w:color w:val="auto"/>
          <w:sz w:val="21"/>
          <w:szCs w:val="21"/>
          <w:highlight w:val="none"/>
          <w:lang w:eastAsia="zh-CN"/>
        </w:rPr>
        <w:t>内交货</w:t>
      </w:r>
      <w:r>
        <w:rPr>
          <w:rFonts w:hint="eastAsia" w:ascii="宋体" w:hAnsi="宋体"/>
          <w:color w:val="auto"/>
          <w:szCs w:val="21"/>
          <w:highlight w:val="none"/>
          <w:lang w:eastAsia="zh-CN"/>
        </w:rPr>
        <w:t>，并安装调试完毕且通过验收。若为进口、软件服务、大型、复杂或技术性强的设备，可依情况延长至180日历日。</w:t>
      </w:r>
    </w:p>
    <w:p>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本项目（是</w:t>
      </w:r>
      <w:r>
        <w:rPr>
          <w:rFonts w:ascii="宋体" w:hAnsi="宋体"/>
          <w:color w:val="auto"/>
          <w:szCs w:val="21"/>
          <w:highlight w:val="none"/>
        </w:rPr>
        <w:t>/否</w:t>
      </w:r>
      <w:r>
        <w:rPr>
          <w:rFonts w:hint="eastAsia" w:ascii="宋体" w:hAnsi="宋体"/>
          <w:color w:val="auto"/>
          <w:szCs w:val="21"/>
          <w:highlight w:val="none"/>
        </w:rPr>
        <w:t>）接受联合体</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不接受</w:t>
      </w:r>
    </w:p>
    <w:p>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二、申请人的资格条件：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pPr>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olor w:val="auto"/>
          <w:szCs w:val="21"/>
          <w:highlight w:val="none"/>
          <w:lang w:eastAsia="zh-CN"/>
        </w:rPr>
        <w:t>无。</w:t>
      </w:r>
    </w:p>
    <w:p>
      <w:pPr>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3、本项目的特定资格要求：</w:t>
      </w:r>
      <w:r>
        <w:rPr>
          <w:rFonts w:hint="eastAsia" w:ascii="宋体" w:hAnsi="宋体" w:eastAsia="宋体" w:cs="宋体"/>
          <w:color w:val="auto"/>
          <w:sz w:val="21"/>
          <w:szCs w:val="21"/>
          <w:highlight w:val="none"/>
        </w:rPr>
        <w:t>如所投货物为第二类或第三类医疗器械，</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必须具备国家主管部门颁发的二类医疗器械备案证</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《医疗器械经营企业许可证》（如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为代理经销商）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val="en-US" w:eastAsia="zh-CN"/>
        </w:rPr>
        <w:t>具备</w:t>
      </w:r>
      <w:r>
        <w:rPr>
          <w:rFonts w:hint="eastAsia" w:ascii="宋体" w:hAnsi="宋体" w:eastAsia="宋体" w:cs="宋体"/>
          <w:color w:val="auto"/>
          <w:sz w:val="21"/>
          <w:szCs w:val="21"/>
          <w:highlight w:val="none"/>
        </w:rPr>
        <w:t>《医疗器械生产企业许可证》（如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为制造商）</w:t>
      </w:r>
      <w:r>
        <w:rPr>
          <w:rFonts w:hint="eastAsia" w:ascii="宋体" w:hAnsi="宋体" w:eastAsia="宋体" w:cs="宋体"/>
          <w:b w:val="0"/>
          <w:bCs w:val="0"/>
          <w:color w:val="auto"/>
          <w:sz w:val="21"/>
          <w:szCs w:val="21"/>
          <w:highlight w:val="none"/>
        </w:rPr>
        <w:t>，须在</w:t>
      </w:r>
      <w:r>
        <w:rPr>
          <w:rFonts w:hint="eastAsia" w:ascii="宋体" w:hAnsi="宋体" w:eastAsia="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文件中提供</w:t>
      </w:r>
      <w:r>
        <w:rPr>
          <w:rFonts w:hint="eastAsia" w:ascii="宋体" w:hAnsi="宋体" w:eastAsia="宋体" w:cs="宋体"/>
          <w:b w:val="0"/>
          <w:bCs w:val="0"/>
          <w:color w:val="auto"/>
          <w:sz w:val="21"/>
          <w:szCs w:val="21"/>
          <w:highlight w:val="none"/>
          <w:lang w:val="en-US" w:eastAsia="zh-CN"/>
        </w:rPr>
        <w:t>扫描件</w:t>
      </w:r>
      <w:r>
        <w:rPr>
          <w:rFonts w:hint="eastAsia" w:ascii="宋体" w:hAnsi="宋体" w:eastAsia="宋体" w:cs="宋体"/>
          <w:color w:val="auto"/>
          <w:sz w:val="21"/>
          <w:szCs w:val="21"/>
          <w:highlight w:val="none"/>
        </w:rPr>
        <w:t>。</w:t>
      </w:r>
    </w:p>
    <w:p>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三、获取竞争性磋商文件</w:t>
      </w:r>
    </w:p>
    <w:p>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cs="Arial"/>
          <w:color w:val="auto"/>
          <w:highlight w:val="none"/>
          <w:lang w:eastAsia="zh-CN"/>
        </w:rPr>
        <w:t>2024年5月</w:t>
      </w:r>
      <w:r>
        <w:rPr>
          <w:rFonts w:hint="eastAsia" w:ascii="宋体" w:hAnsi="宋体" w:cs="Arial"/>
          <w:color w:val="auto"/>
          <w:highlight w:val="none"/>
          <w:lang w:val="en-US" w:eastAsia="zh-CN"/>
        </w:rPr>
        <w:t>16</w:t>
      </w:r>
      <w:r>
        <w:rPr>
          <w:rFonts w:hint="eastAsia" w:ascii="宋体" w:hAnsi="宋体" w:cs="Arial"/>
          <w:color w:val="auto"/>
          <w:highlight w:val="none"/>
          <w:lang w:eastAsia="zh-CN"/>
        </w:rPr>
        <w:t>日</w:t>
      </w:r>
      <w:r>
        <w:rPr>
          <w:rFonts w:hint="eastAsia" w:ascii="宋体" w:hAnsi="宋体" w:cs="Arial"/>
          <w:color w:val="auto"/>
          <w:szCs w:val="21"/>
          <w:highlight w:val="none"/>
        </w:rPr>
        <w:t>至</w:t>
      </w:r>
      <w:r>
        <w:rPr>
          <w:rFonts w:hint="eastAsia" w:ascii="宋体" w:hAnsi="宋体" w:cs="Arial"/>
          <w:color w:val="auto"/>
          <w:highlight w:val="none"/>
          <w:lang w:eastAsia="zh-CN"/>
        </w:rPr>
        <w:t>2024年5月</w:t>
      </w:r>
      <w:r>
        <w:rPr>
          <w:rFonts w:hint="eastAsia" w:ascii="宋体" w:hAnsi="宋体" w:cs="Arial"/>
          <w:color w:val="auto"/>
          <w:highlight w:val="none"/>
          <w:lang w:val="en-US" w:eastAsia="zh-CN"/>
        </w:rPr>
        <w:t>23</w:t>
      </w:r>
      <w:r>
        <w:rPr>
          <w:rFonts w:hint="eastAsia" w:ascii="宋体" w:hAnsi="宋体" w:cs="Arial"/>
          <w:color w:val="auto"/>
          <w:highlight w:val="none"/>
          <w:lang w:eastAsia="zh-CN"/>
        </w:rPr>
        <w:t>日</w:t>
      </w:r>
      <w:r>
        <w:rPr>
          <w:rFonts w:hint="eastAsia" w:ascii="宋体" w:hAnsi="宋体" w:cs="Arial"/>
          <w:color w:val="auto"/>
          <w:szCs w:val="21"/>
          <w:highlight w:val="none"/>
        </w:rPr>
        <w:t>，每天上午00:00-12:00；下午1</w:t>
      </w:r>
      <w:r>
        <w:rPr>
          <w:rFonts w:hint="eastAsia" w:ascii="宋体" w:hAnsi="宋体" w:cs="Arial"/>
          <w:color w:val="auto"/>
          <w:highlight w:val="none"/>
        </w:rPr>
        <w:t>2</w:t>
      </w:r>
      <w:r>
        <w:rPr>
          <w:rFonts w:hint="eastAsia" w:ascii="宋体" w:hAnsi="宋体" w:cs="Arial"/>
          <w:color w:val="auto"/>
          <w:szCs w:val="21"/>
          <w:highlight w:val="none"/>
        </w:rPr>
        <w:t>:</w:t>
      </w:r>
      <w:r>
        <w:rPr>
          <w:rFonts w:hint="eastAsia" w:ascii="宋体" w:hAnsi="宋体" w:cs="Arial"/>
          <w:color w:val="auto"/>
          <w:highlight w:val="none"/>
        </w:rPr>
        <w:t>00</w:t>
      </w:r>
      <w:r>
        <w:rPr>
          <w:rFonts w:hint="eastAsia" w:ascii="宋体" w:hAnsi="宋体" w:cs="Arial"/>
          <w:color w:val="auto"/>
          <w:szCs w:val="21"/>
          <w:highlight w:val="none"/>
        </w:rPr>
        <w:t>-23:</w:t>
      </w:r>
      <w:r>
        <w:rPr>
          <w:rFonts w:hint="eastAsia" w:ascii="宋体" w:hAnsi="宋体" w:cs="Arial"/>
          <w:color w:val="auto"/>
          <w:highlight w:val="none"/>
        </w:rPr>
        <w:t>59</w:t>
      </w:r>
      <w:r>
        <w:rPr>
          <w:rFonts w:hint="eastAsia" w:ascii="宋体" w:hAnsi="宋体" w:cs="Arial"/>
          <w:color w:val="auto"/>
          <w:szCs w:val="21"/>
          <w:highlight w:val="none"/>
        </w:rPr>
        <w:t>（北京时间，</w:t>
      </w:r>
      <w:r>
        <w:rPr>
          <w:rFonts w:ascii="宋体" w:hAnsi="宋体" w:cs="Arial"/>
          <w:color w:val="auto"/>
          <w:szCs w:val="21"/>
          <w:highlight w:val="none"/>
        </w:rPr>
        <w:t>法定节假日</w:t>
      </w:r>
      <w:r>
        <w:rPr>
          <w:rFonts w:hint="eastAsia" w:ascii="宋体" w:hAnsi="宋体" w:cs="Arial"/>
          <w:color w:val="auto"/>
          <w:szCs w:val="21"/>
          <w:highlight w:val="none"/>
        </w:rPr>
        <w:t>除外）</w:t>
      </w:r>
      <w:r>
        <w:rPr>
          <w:rFonts w:hint="eastAsia" w:ascii="宋体" w:hAnsi="宋体" w:cs="宋体"/>
          <w:bCs/>
          <w:color w:val="auto"/>
          <w:kern w:val="0"/>
          <w:szCs w:val="21"/>
          <w:highlight w:val="none"/>
        </w:rPr>
        <w:t>。</w:t>
      </w:r>
    </w:p>
    <w:p>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地点：</w:t>
      </w:r>
      <w:r>
        <w:rPr>
          <w:rFonts w:hint="eastAsia" w:ascii="宋体" w:hAnsi="宋体" w:cs="宋体"/>
          <w:bCs/>
          <w:color w:val="auto"/>
          <w:kern w:val="0"/>
          <w:szCs w:val="21"/>
          <w:highlight w:val="none"/>
          <w:lang w:eastAsia="zh-CN"/>
        </w:rPr>
        <w:t>广西政府采购云平台</w:t>
      </w:r>
      <w:r>
        <w:rPr>
          <w:rFonts w:hint="eastAsia" w:ascii="宋体" w:hAnsi="宋体" w:cs="宋体"/>
          <w:bCs/>
          <w:color w:val="auto"/>
          <w:kern w:val="0"/>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cs="宋体"/>
          <w:bCs/>
          <w:color w:val="auto"/>
          <w:kern w:val="0"/>
          <w:szCs w:val="21"/>
          <w:highlight w:val="none"/>
        </w:rPr>
        <w:t>）</w:t>
      </w:r>
    </w:p>
    <w:p>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方式：网上下载。本项目不发放纸质文件，供应商应自行在</w:t>
      </w:r>
      <w:r>
        <w:rPr>
          <w:rFonts w:hint="eastAsia" w:ascii="宋体" w:hAnsi="宋体" w:cs="宋体"/>
          <w:bCs/>
          <w:color w:val="auto"/>
          <w:kern w:val="0"/>
          <w:szCs w:val="21"/>
          <w:highlight w:val="none"/>
        </w:rPr>
        <w:fldChar w:fldCharType="begin"/>
      </w:r>
      <w:r>
        <w:rPr>
          <w:rFonts w:hint="eastAsia" w:ascii="宋体" w:hAnsi="宋体" w:cs="宋体"/>
          <w:bCs/>
          <w:color w:val="auto"/>
          <w:kern w:val="0"/>
          <w:szCs w:val="21"/>
          <w:highlight w:val="none"/>
        </w:rPr>
        <w:instrText xml:space="preserve"> HYPERLINK "" </w:instrText>
      </w:r>
      <w:r>
        <w:rPr>
          <w:rFonts w:hint="eastAsia" w:ascii="宋体" w:hAnsi="宋体" w:cs="宋体"/>
          <w:bCs/>
          <w:color w:val="auto"/>
          <w:kern w:val="0"/>
          <w:szCs w:val="21"/>
          <w:highlight w:val="none"/>
        </w:rPr>
        <w:fldChar w:fldCharType="separate"/>
      </w:r>
      <w:r>
        <w:rPr>
          <w:rFonts w:hint="eastAsia" w:ascii="宋体" w:hAnsi="宋体" w:cs="宋体"/>
          <w:bCs/>
          <w:color w:val="auto"/>
          <w:kern w:val="0"/>
          <w:szCs w:val="21"/>
          <w:highlight w:val="none"/>
        </w:rPr>
        <w:fldChar w:fldCharType="end"/>
      </w:r>
      <w:r>
        <w:rPr>
          <w:rFonts w:hint="eastAsia" w:ascii="宋体" w:hAnsi="宋体" w:cs="宋体"/>
          <w:bCs/>
          <w:color w:val="auto"/>
          <w:kern w:val="0"/>
          <w:szCs w:val="21"/>
          <w:highlight w:val="none"/>
          <w:lang w:eastAsia="zh-CN"/>
        </w:rPr>
        <w:t>广西政府采购云平台</w:t>
      </w:r>
      <w:r>
        <w:rPr>
          <w:rFonts w:hint="eastAsia" w:ascii="宋体" w:hAnsi="宋体" w:cs="宋体"/>
          <w:bCs/>
          <w:color w:val="auto"/>
          <w:kern w:val="0"/>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cs="宋体"/>
          <w:bCs/>
          <w:color w:val="auto"/>
          <w:kern w:val="0"/>
          <w:szCs w:val="21"/>
          <w:highlight w:val="none"/>
        </w:rPr>
        <w:t>）下载竞争性磋商文件（操作路径：登录</w:t>
      </w:r>
      <w:r>
        <w:rPr>
          <w:rFonts w:hint="eastAsia" w:ascii="宋体" w:hAnsi="宋体" w:cs="宋体"/>
          <w:bCs/>
          <w:color w:val="auto"/>
          <w:kern w:val="0"/>
          <w:szCs w:val="21"/>
          <w:highlight w:val="none"/>
          <w:lang w:eastAsia="zh-CN"/>
        </w:rPr>
        <w:t>广西政府采购云平台</w:t>
      </w:r>
      <w:r>
        <w:rPr>
          <w:rFonts w:hint="eastAsia" w:ascii="宋体" w:hAnsi="宋体" w:cs="宋体"/>
          <w:bCs/>
          <w:color w:val="auto"/>
          <w:kern w:val="0"/>
          <w:szCs w:val="21"/>
          <w:highlight w:val="none"/>
        </w:rPr>
        <w:t>-项目采购-获取采购文件-找到本项目-点击“申请获取采购文件”），电子响应文件制作需要基于</w:t>
      </w:r>
      <w:r>
        <w:rPr>
          <w:rFonts w:hint="eastAsia" w:ascii="宋体" w:hAnsi="宋体" w:cs="宋体"/>
          <w:bCs/>
          <w:color w:val="auto"/>
          <w:kern w:val="0"/>
          <w:szCs w:val="21"/>
          <w:highlight w:val="none"/>
          <w:lang w:eastAsia="zh-CN"/>
        </w:rPr>
        <w:t>广西政府采购云平台</w:t>
      </w:r>
      <w:r>
        <w:rPr>
          <w:rFonts w:hint="eastAsia" w:ascii="宋体" w:hAnsi="宋体" w:cs="宋体"/>
          <w:bCs/>
          <w:color w:val="auto"/>
          <w:kern w:val="0"/>
          <w:szCs w:val="21"/>
          <w:highlight w:val="none"/>
        </w:rPr>
        <w:t>获取的竞争性磋商文件编制。</w:t>
      </w:r>
    </w:p>
    <w:p>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kern w:val="0"/>
          <w:szCs w:val="21"/>
          <w:highlight w:val="none"/>
        </w:rPr>
        <w:t>售价：0元。</w:t>
      </w:r>
    </w:p>
    <w:p>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四、响应文件提交</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1、首次响应文件提交截止时间</w:t>
      </w:r>
      <w:r>
        <w:rPr>
          <w:rFonts w:hint="eastAsia" w:ascii="宋体" w:hAnsi="宋体"/>
          <w:color w:val="auto"/>
          <w:szCs w:val="21"/>
          <w:highlight w:val="none"/>
        </w:rPr>
        <w:t>：</w:t>
      </w:r>
      <w:r>
        <w:rPr>
          <w:rFonts w:hint="eastAsia" w:ascii="宋体" w:hAnsi="宋体" w:cs="宋体"/>
          <w:bCs/>
          <w:color w:val="auto"/>
          <w:kern w:val="0"/>
          <w:szCs w:val="21"/>
          <w:highlight w:val="none"/>
          <w:lang w:eastAsia="zh-CN"/>
        </w:rPr>
        <w:t>2024年5月27日15时00分</w:t>
      </w:r>
      <w:r>
        <w:rPr>
          <w:rFonts w:hint="eastAsia" w:ascii="宋体" w:hAnsi="宋体" w:cs="宋体"/>
          <w:bCs/>
          <w:color w:val="auto"/>
          <w:kern w:val="0"/>
          <w:szCs w:val="21"/>
          <w:highlight w:val="none"/>
        </w:rPr>
        <w:t>（北京时间）</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2、地点：本项目为全流程电子化项目，通过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）实行在线电子响应。</w:t>
      </w:r>
    </w:p>
    <w:p>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五、开启</w:t>
      </w:r>
    </w:p>
    <w:p>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1、首次响应文件开启时间：</w:t>
      </w:r>
      <w:r>
        <w:rPr>
          <w:rFonts w:hint="eastAsia" w:ascii="宋体" w:hAnsi="宋体" w:cs="宋体"/>
          <w:bCs/>
          <w:color w:val="auto"/>
          <w:kern w:val="0"/>
          <w:szCs w:val="21"/>
          <w:highlight w:val="none"/>
          <w:lang w:eastAsia="zh-CN"/>
        </w:rPr>
        <w:t>2024年5月27日15时00分</w:t>
      </w:r>
      <w:r>
        <w:rPr>
          <w:rFonts w:hint="eastAsia" w:ascii="宋体" w:hAnsi="宋体" w:cs="宋体"/>
          <w:bCs/>
          <w:color w:val="auto"/>
          <w:kern w:val="0"/>
          <w:szCs w:val="21"/>
          <w:highlight w:val="none"/>
        </w:rPr>
        <w:t>（北京时间）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2、地点：</w:t>
      </w:r>
      <w:r>
        <w:rPr>
          <w:rFonts w:hint="eastAsia" w:ascii="宋体" w:hAnsi="宋体" w:cs="宋体"/>
          <w:color w:val="auto"/>
          <w:szCs w:val="21"/>
          <w:highlight w:val="none"/>
          <w:lang w:bidi="ar"/>
        </w:rPr>
        <w:t>本项目将在</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电子开标大厅解密、开启。</w:t>
      </w:r>
    </w:p>
    <w:p>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六、公告期限</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七、其他补充事宜</w:t>
      </w:r>
    </w:p>
    <w:p>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1、</w:t>
      </w:r>
      <w:r>
        <w:rPr>
          <w:rFonts w:hint="eastAsia" w:ascii="宋体" w:hAnsi="宋体" w:cs="宋体"/>
          <w:color w:val="auto"/>
          <w:szCs w:val="21"/>
          <w:highlight w:val="none"/>
          <w:lang w:eastAsia="zh-CN" w:bidi="ar"/>
        </w:rPr>
        <w:t>磋商保证金（人民币）：</w:t>
      </w:r>
      <w:r>
        <w:rPr>
          <w:rFonts w:hint="eastAsia" w:ascii="宋体" w:hAnsi="宋体" w:cs="宋体"/>
          <w:color w:val="auto"/>
          <w:szCs w:val="21"/>
          <w:highlight w:val="none"/>
          <w:lang w:val="en-US" w:eastAsia="zh-CN" w:bidi="ar"/>
        </w:rPr>
        <w:t>20000元</w:t>
      </w:r>
      <w:r>
        <w:rPr>
          <w:rFonts w:hint="eastAsia" w:ascii="宋体" w:hAnsi="宋体" w:cs="宋体"/>
          <w:color w:val="auto"/>
          <w:szCs w:val="21"/>
          <w:highlight w:val="none"/>
          <w:lang w:bidi="ar"/>
        </w:rPr>
        <w:t>。</w:t>
      </w:r>
    </w:p>
    <w:p>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4、网上查询地址：中国政府采购网（www.ccgp.gov.cn）、广西政府采购网（zfcg.gxzf.gov.cn）。</w:t>
      </w:r>
    </w:p>
    <w:p>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5、本项目需要落实的政府采购政策：</w:t>
      </w:r>
    </w:p>
    <w:p>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（1）政府采购促进中小企业发展。</w:t>
      </w:r>
    </w:p>
    <w:p>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（2）政府采购支持采用本国产品的政策。</w:t>
      </w:r>
    </w:p>
    <w:p>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（3）强制采购节能产品；优先采购节能产品、环境标志产品。</w:t>
      </w:r>
    </w:p>
    <w:p>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（4）政府采购促进残疾人就业政策。</w:t>
      </w:r>
    </w:p>
    <w:p>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（5）政府采购支持监狱企业发展。</w:t>
      </w:r>
    </w:p>
    <w:p>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（6）扶持不发达地区和少数民族地区政策</w:t>
      </w:r>
    </w:p>
    <w:p>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6、磋商注意事项：</w:t>
      </w:r>
    </w:p>
    <w:p>
      <w:pPr>
        <w:widowControl/>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lang w:bidi="ar"/>
        </w:rPr>
        <w:t>（1）</w:t>
      </w:r>
      <w:r>
        <w:rPr>
          <w:rFonts w:hint="eastAsia" w:ascii="宋体" w:hAnsi="宋体" w:cs="宋体"/>
          <w:color w:val="auto"/>
          <w:szCs w:val="21"/>
          <w:highlight w:val="none"/>
        </w:rPr>
        <w:t>响应文件</w:t>
      </w:r>
      <w:r>
        <w:rPr>
          <w:rFonts w:hint="eastAsia" w:ascii="宋体" w:hAnsi="宋体" w:cs="宋体"/>
          <w:color w:val="auto"/>
          <w:szCs w:val="21"/>
          <w:highlight w:val="none"/>
          <w:lang w:bidi="ar"/>
        </w:rPr>
        <w:t>提交方式：本项目为全流程电子化政府采购项目，通过</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w:t>
      </w:r>
      <w:r>
        <w:rPr>
          <w:rFonts w:hint="eastAsia" w:ascii="宋体" w:hAnsi="宋体" w:cs="宋体"/>
          <w:color w:val="auto"/>
          <w:szCs w:val="21"/>
          <w:highlight w:val="none"/>
          <w:lang w:eastAsia="zh-CN" w:bidi="ar"/>
        </w:rPr>
        <w:t>https://www.gcy.zfcg.gxzf.gov.cn/</w:t>
      </w:r>
      <w:r>
        <w:rPr>
          <w:rFonts w:hint="eastAsia" w:ascii="宋体" w:hAnsi="宋体" w:cs="宋体"/>
          <w:color w:val="auto"/>
          <w:szCs w:val="21"/>
          <w:highlight w:val="none"/>
          <w:lang w:bidi="ar"/>
        </w:rPr>
        <w:t>）实行在线电子磋商采购，供应商应先安装“政采云电子交易客户端”（请自行前往</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进行下载），并按照本项目竞争性磋商文件和</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的要求编制、加密后在</w:t>
      </w:r>
      <w:r>
        <w:rPr>
          <w:rFonts w:hint="eastAsia" w:ascii="宋体" w:hAnsi="宋体" w:cs="宋体"/>
          <w:color w:val="auto"/>
          <w:szCs w:val="21"/>
          <w:highlight w:val="none"/>
        </w:rPr>
        <w:t>首次响应文件提交截止时间</w:t>
      </w:r>
      <w:r>
        <w:rPr>
          <w:rFonts w:hint="eastAsia" w:ascii="宋体" w:hAnsi="宋体" w:cs="宋体"/>
          <w:color w:val="auto"/>
          <w:szCs w:val="21"/>
          <w:highlight w:val="none"/>
          <w:lang w:bidi="ar"/>
        </w:rPr>
        <w:t>前通过网络上传至</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w:t>
      </w:r>
      <w:r>
        <w:rPr>
          <w:rFonts w:hint="eastAsia" w:ascii="宋体" w:hAnsi="宋体" w:cs="宋体"/>
          <w:b/>
          <w:color w:val="auto"/>
          <w:szCs w:val="21"/>
          <w:highlight w:val="none"/>
          <w:lang w:bidi="ar"/>
        </w:rPr>
        <w:t>供应商在</w:t>
      </w:r>
      <w:r>
        <w:rPr>
          <w:rFonts w:hint="eastAsia" w:ascii="宋体" w:hAnsi="宋体" w:cs="宋体"/>
          <w:b/>
          <w:color w:val="auto"/>
          <w:szCs w:val="21"/>
          <w:highlight w:val="none"/>
          <w:lang w:eastAsia="zh-CN" w:bidi="ar"/>
        </w:rPr>
        <w:t>广西政府采购云平台</w:t>
      </w:r>
      <w:r>
        <w:rPr>
          <w:rFonts w:hint="eastAsia" w:ascii="宋体" w:hAnsi="宋体" w:cs="宋体"/>
          <w:b/>
          <w:color w:val="auto"/>
          <w:szCs w:val="21"/>
          <w:highlight w:val="none"/>
          <w:lang w:bidi="ar"/>
        </w:rPr>
        <w:t>提交电子版响应文件时，请填写参加远程开标活动经办人联系方式。</w:t>
      </w:r>
    </w:p>
    <w:p>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（2）</w:t>
      </w:r>
      <w:r>
        <w:rPr>
          <w:rFonts w:ascii="宋体" w:hAnsi="宋体" w:cs="宋体"/>
          <w:color w:val="auto"/>
          <w:szCs w:val="21"/>
          <w:highlight w:val="none"/>
          <w:lang w:bidi="ar"/>
        </w:rPr>
        <w:t>供应商应及时熟悉掌握电子</w:t>
      </w:r>
      <w:r>
        <w:rPr>
          <w:rFonts w:hint="eastAsia" w:ascii="宋体" w:hAnsi="宋体" w:cs="宋体"/>
          <w:color w:val="auto"/>
          <w:szCs w:val="21"/>
          <w:highlight w:val="none"/>
          <w:lang w:eastAsia="zh-CN" w:bidi="ar"/>
        </w:rPr>
        <w:t>竞</w:t>
      </w:r>
      <w:r>
        <w:rPr>
          <w:rFonts w:ascii="宋体" w:hAnsi="宋体" w:cs="宋体"/>
          <w:color w:val="auto"/>
          <w:szCs w:val="21"/>
          <w:highlight w:val="none"/>
          <w:lang w:bidi="ar"/>
        </w:rPr>
        <w:t>标系统操作指南（见政采云电子卖场首页右上角—服务中心—帮助文档—项目采购）：</w:t>
      </w:r>
      <w:r>
        <w:rPr>
          <w:rFonts w:ascii="宋体" w:hAnsi="宋体" w:cs="宋体"/>
          <w:color w:val="auto"/>
          <w:szCs w:val="21"/>
          <w:highlight w:val="none"/>
          <w:lang w:bidi="ar"/>
        </w:rPr>
        <w:fldChar w:fldCharType="begin"/>
      </w:r>
      <w:r>
        <w:rPr>
          <w:rFonts w:ascii="宋体" w:hAnsi="宋体" w:cs="宋体"/>
          <w:color w:val="auto"/>
          <w:szCs w:val="21"/>
          <w:highlight w:val="none"/>
          <w:lang w:bidi="ar"/>
        </w:rPr>
        <w:instrText xml:space="preserve"> HYPERLINK "https://service.zcygov.cn/#/knowledges/tree?tag=AG1DtGwBFdiHxlNdhY0r" </w:instrText>
      </w:r>
      <w:r>
        <w:rPr>
          <w:rFonts w:ascii="宋体" w:hAnsi="宋体" w:cs="宋体"/>
          <w:color w:val="auto"/>
          <w:szCs w:val="21"/>
          <w:highlight w:val="none"/>
          <w:lang w:bidi="ar"/>
        </w:rPr>
        <w:fldChar w:fldCharType="separate"/>
      </w:r>
      <w:r>
        <w:rPr>
          <w:color w:val="auto"/>
          <w:highlight w:val="none"/>
          <w:lang w:bidi="ar"/>
        </w:rPr>
        <w:t>https://service.zcygov.cn/#/knowledges/tree?tag=AG1DtGwBFdiHxlNdhY0r</w:t>
      </w:r>
      <w:r>
        <w:rPr>
          <w:rFonts w:ascii="宋体" w:hAnsi="宋体" w:cs="宋体"/>
          <w:color w:val="auto"/>
          <w:szCs w:val="21"/>
          <w:highlight w:val="none"/>
          <w:lang w:bidi="ar"/>
        </w:rPr>
        <w:fldChar w:fldCharType="end"/>
      </w:r>
      <w:r>
        <w:rPr>
          <w:rFonts w:hint="eastAsia" w:ascii="宋体" w:hAnsi="宋体" w:cs="宋体"/>
          <w:color w:val="auto"/>
          <w:szCs w:val="21"/>
          <w:highlight w:val="none"/>
          <w:lang w:bidi="ar"/>
        </w:rPr>
        <w:t>；</w:t>
      </w:r>
      <w:r>
        <w:rPr>
          <w:rFonts w:ascii="宋体" w:hAnsi="宋体" w:cs="宋体"/>
          <w:color w:val="auto"/>
          <w:szCs w:val="21"/>
          <w:highlight w:val="none"/>
          <w:lang w:bidi="ar"/>
        </w:rPr>
        <w:t>及时完成CA申领和绑定（见广西壮族自治区政府采购网—办事服务—下载专区-政采云CA证书办理操作指南）。</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（3）未进行网上注册并办理数字证书（CA认证）的供应商将无法参与本项目政府采购活动，潜在供应商应当在</w:t>
      </w:r>
      <w:r>
        <w:rPr>
          <w:rFonts w:hint="eastAsia" w:ascii="宋体" w:hAnsi="宋体" w:cs="宋体"/>
          <w:color w:val="auto"/>
          <w:szCs w:val="21"/>
          <w:highlight w:val="none"/>
        </w:rPr>
        <w:t>首次响应文件提交截止时间</w:t>
      </w:r>
      <w:r>
        <w:rPr>
          <w:rFonts w:hint="eastAsia" w:ascii="宋体" w:hAnsi="宋体" w:cs="宋体"/>
          <w:color w:val="auto"/>
          <w:szCs w:val="21"/>
          <w:highlight w:val="none"/>
          <w:lang w:bidi="ar"/>
        </w:rPr>
        <w:t>前，完成电子交易平台上的CA数字证书办理及响应文件的提交。完成CA数字证书办理预计7日左右，供应商只需办理其中一家CA数字证书及签章，建议各供应商抓紧时间办理。</w:t>
      </w:r>
    </w:p>
    <w:p>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（4）为确保网上操作合法、有效和安全，请供应商确保在电子竞标过程中能够对相关数据电文进行加密和使用电子签章，妥善保管CA数字证书并使用有效的CA数字证书参与整个采购活动。</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bidi="ar"/>
        </w:rPr>
        <w:t>注：供应商应当在首次响应文件提交截止时间前完成电子响应文件的上传、递交，</w:t>
      </w:r>
      <w:r>
        <w:rPr>
          <w:rFonts w:hint="eastAsia" w:ascii="宋体" w:hAnsi="宋体" w:cs="宋体"/>
          <w:b/>
          <w:color w:val="auto"/>
          <w:szCs w:val="21"/>
          <w:highlight w:val="none"/>
        </w:rPr>
        <w:t>首次响应文件提交截止时间</w:t>
      </w:r>
      <w:r>
        <w:rPr>
          <w:rFonts w:hint="eastAsia" w:ascii="宋体" w:hAnsi="宋体" w:cs="宋体"/>
          <w:b/>
          <w:bCs/>
          <w:color w:val="auto"/>
          <w:szCs w:val="21"/>
          <w:highlight w:val="none"/>
          <w:lang w:bidi="ar"/>
        </w:rPr>
        <w:t>前可以补充、修改或者撤回响应文件。补充或者修改响应文件的，应当先行撤回原文件，补充、修改后重新上传、递交。</w:t>
      </w:r>
      <w:r>
        <w:rPr>
          <w:rFonts w:hint="eastAsia" w:ascii="宋体" w:hAnsi="宋体" w:cs="宋体"/>
          <w:b/>
          <w:color w:val="auto"/>
          <w:szCs w:val="21"/>
          <w:highlight w:val="none"/>
        </w:rPr>
        <w:t>首次响应文件提交截止时间</w:t>
      </w:r>
      <w:r>
        <w:rPr>
          <w:rFonts w:hint="eastAsia" w:ascii="宋体" w:hAnsi="宋体" w:cs="宋体"/>
          <w:b/>
          <w:bCs/>
          <w:color w:val="auto"/>
          <w:szCs w:val="21"/>
          <w:highlight w:val="none"/>
          <w:lang w:bidi="ar"/>
        </w:rPr>
        <w:t>前未完成上传、递交的，视为撤回响应文件。</w:t>
      </w:r>
      <w:r>
        <w:rPr>
          <w:rFonts w:hint="eastAsia" w:ascii="宋体" w:hAnsi="宋体" w:cs="宋体"/>
          <w:b/>
          <w:color w:val="auto"/>
          <w:szCs w:val="21"/>
          <w:highlight w:val="none"/>
        </w:rPr>
        <w:t>首次响应文件提交截止时间</w:t>
      </w:r>
      <w:r>
        <w:rPr>
          <w:rFonts w:hint="eastAsia" w:ascii="宋体" w:hAnsi="宋体" w:cs="宋体"/>
          <w:b/>
          <w:bCs/>
          <w:color w:val="auto"/>
          <w:szCs w:val="21"/>
          <w:highlight w:val="none"/>
          <w:lang w:bidi="ar"/>
        </w:rPr>
        <w:t>以后上传递交的响应文件，</w:t>
      </w:r>
      <w:r>
        <w:rPr>
          <w:rFonts w:hint="eastAsia" w:ascii="宋体" w:hAnsi="宋体" w:cs="宋体"/>
          <w:b/>
          <w:bCs/>
          <w:color w:val="auto"/>
          <w:szCs w:val="21"/>
          <w:highlight w:val="none"/>
          <w:lang w:eastAsia="zh-CN" w:bidi="ar"/>
        </w:rPr>
        <w:t>广西政府采购云平台</w:t>
      </w:r>
      <w:r>
        <w:rPr>
          <w:rFonts w:hint="eastAsia" w:ascii="宋体" w:hAnsi="宋体" w:cs="宋体"/>
          <w:b/>
          <w:bCs/>
          <w:color w:val="auto"/>
          <w:szCs w:val="21"/>
          <w:highlight w:val="none"/>
          <w:lang w:bidi="ar"/>
        </w:rPr>
        <w:t>将予以拒收。</w:t>
      </w:r>
    </w:p>
    <w:p>
      <w:pPr>
        <w:widowControl/>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kern w:val="0"/>
          <w:szCs w:val="21"/>
          <w:highlight w:val="none"/>
          <w:lang w:bidi="ar"/>
        </w:rPr>
        <w:t>7、</w:t>
      </w:r>
      <w:r>
        <w:rPr>
          <w:rFonts w:hint="eastAsia" w:ascii="宋体" w:hAnsi="宋体" w:cs="宋体"/>
          <w:color w:val="auto"/>
          <w:szCs w:val="21"/>
          <w:highlight w:val="none"/>
          <w:lang w:bidi="ar"/>
        </w:rPr>
        <w:t>CA证书在线解密：首次响应文件开启时，须要供应商携带制作响应文件时用来加密的有效数字证书（CA认证）登录</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电子开标大厅现场按规定时间对加密的响应文件进行解密，否则后果自负。</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lang w:bidi="ar"/>
        </w:rPr>
        <w:t>8、供应商需要在具备有摄像头及语音功能且互联网网络状况良好的电脑登录</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远程开标大厅参与本次磋商，否则后果自负。</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lang w:bidi="ar"/>
        </w:rPr>
        <w:t>9、若对项目采购电子交易系统操作有疑问，可登录</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w:t>
      </w:r>
      <w:r>
        <w:rPr>
          <w:rFonts w:hint="eastAsia" w:ascii="宋体" w:hAnsi="宋体" w:cs="宋体"/>
          <w:color w:val="auto"/>
          <w:szCs w:val="21"/>
          <w:highlight w:val="none"/>
          <w:lang w:eastAsia="zh-CN" w:bidi="ar"/>
        </w:rPr>
        <w:t>https://www.gcy.zfcg.gxzf.gov.cn/</w:t>
      </w:r>
      <w:r>
        <w:rPr>
          <w:rFonts w:hint="eastAsia" w:ascii="宋体" w:hAnsi="宋体" w:cs="宋体"/>
          <w:color w:val="auto"/>
          <w:szCs w:val="21"/>
          <w:highlight w:val="none"/>
          <w:lang w:bidi="ar"/>
        </w:rPr>
        <w:t>），点击右侧咨询小采，获取采小蜜智能服务管家帮助，或拨打政采云服务热线</w:t>
      </w:r>
      <w:r>
        <w:rPr>
          <w:rFonts w:hint="eastAsia" w:ascii="宋体" w:hAnsi="宋体" w:cs="宋体"/>
          <w:color w:val="auto"/>
          <w:szCs w:val="21"/>
          <w:highlight w:val="none"/>
          <w:lang w:eastAsia="zh-CN" w:bidi="ar"/>
        </w:rPr>
        <w:t>95763</w:t>
      </w:r>
      <w:r>
        <w:rPr>
          <w:rFonts w:hint="eastAsia" w:ascii="宋体" w:hAnsi="宋体" w:cs="宋体"/>
          <w:color w:val="auto"/>
          <w:szCs w:val="21"/>
          <w:highlight w:val="none"/>
          <w:lang w:bidi="ar"/>
        </w:rPr>
        <w:t>获取热线服务帮助。</w:t>
      </w:r>
    </w:p>
    <w:bookmarkEnd w:id="11"/>
    <w:p>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12"/>
      <w:bookmarkEnd w:id="13"/>
      <w:bookmarkEnd w:id="14"/>
      <w:bookmarkEnd w:id="15"/>
      <w:bookmarkEnd w:id="16"/>
    </w:p>
    <w:p>
      <w:pPr>
        <w:widowControl/>
        <w:spacing w:line="360" w:lineRule="auto"/>
        <w:ind w:firstLine="420" w:firstLineChars="200"/>
        <w:rPr>
          <w:rFonts w:hint="eastAsia" w:ascii="宋体" w:hAnsi="宋体" w:eastAsia="宋体" w:cs="宋体"/>
          <w:color w:val="auto"/>
          <w:szCs w:val="21"/>
          <w:highlight w:val="none"/>
          <w:lang w:bidi="ar"/>
        </w:rPr>
      </w:pPr>
      <w:bookmarkStart w:id="17" w:name="_Toc35393637"/>
      <w:bookmarkStart w:id="18" w:name="_Toc28359019"/>
      <w:bookmarkStart w:id="19" w:name="_Toc35393806"/>
      <w:bookmarkStart w:id="20" w:name="_Toc28359096"/>
      <w:r>
        <w:rPr>
          <w:rFonts w:hint="eastAsia" w:ascii="宋体" w:hAnsi="宋体" w:eastAsia="宋体" w:cs="宋体"/>
          <w:color w:val="auto"/>
          <w:szCs w:val="21"/>
          <w:highlight w:val="none"/>
          <w:lang w:bidi="ar"/>
        </w:rPr>
        <w:t>1.采购人信息</w:t>
      </w:r>
    </w:p>
    <w:p>
      <w:pPr>
        <w:widowControl/>
        <w:spacing w:line="360" w:lineRule="auto"/>
        <w:ind w:firstLine="420" w:firstLineChars="200"/>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bidi="ar"/>
        </w:rPr>
        <w:t>名  称：</w:t>
      </w:r>
      <w:r>
        <w:rPr>
          <w:rFonts w:hint="eastAsia" w:ascii="宋体" w:hAnsi="宋体" w:eastAsia="宋体" w:cs="宋体"/>
          <w:color w:val="auto"/>
          <w:szCs w:val="21"/>
          <w:highlight w:val="none"/>
          <w:lang w:eastAsia="zh-CN" w:bidi="ar"/>
        </w:rPr>
        <w:t>广西医科大学第一附属医院</w:t>
      </w:r>
    </w:p>
    <w:p>
      <w:pPr>
        <w:widowControl/>
        <w:spacing w:line="360" w:lineRule="auto"/>
        <w:ind w:firstLine="420" w:firstLineChars="200"/>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bidi="ar"/>
        </w:rPr>
        <w:t>地  址：</w:t>
      </w:r>
      <w:r>
        <w:rPr>
          <w:rFonts w:hint="eastAsia" w:ascii="宋体" w:hAnsi="宋体" w:eastAsia="宋体" w:cs="宋体"/>
          <w:color w:val="auto"/>
          <w:szCs w:val="21"/>
          <w:highlight w:val="none"/>
          <w:lang w:eastAsia="zh-CN" w:bidi="ar"/>
        </w:rPr>
        <w:t>广西南宁市双拥路6号</w:t>
      </w:r>
    </w:p>
    <w:p>
      <w:pPr>
        <w:widowControl/>
        <w:spacing w:line="360" w:lineRule="auto"/>
        <w:ind w:firstLine="420" w:firstLineChars="200"/>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bidi="ar"/>
        </w:rPr>
        <w:t>联系人：</w:t>
      </w:r>
      <w:r>
        <w:rPr>
          <w:rFonts w:hint="eastAsia" w:ascii="宋体" w:hAnsi="宋体" w:cs="宋体"/>
          <w:color w:val="auto"/>
          <w:szCs w:val="21"/>
          <w:highlight w:val="none"/>
          <w:lang w:eastAsia="zh-CN" w:bidi="ar"/>
        </w:rPr>
        <w:t>汪永凤</w:t>
      </w:r>
    </w:p>
    <w:p>
      <w:pPr>
        <w:widowControl/>
        <w:spacing w:line="360" w:lineRule="auto"/>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bidi="ar"/>
        </w:rPr>
        <w:t>联系电话：</w:t>
      </w:r>
      <w:r>
        <w:rPr>
          <w:rFonts w:hint="eastAsia" w:ascii="宋体" w:hAnsi="宋体" w:cs="宋体"/>
          <w:color w:val="auto"/>
          <w:szCs w:val="21"/>
          <w:highlight w:val="none"/>
          <w:lang w:eastAsia="zh-CN" w:bidi="ar"/>
        </w:rPr>
        <w:t>0771-5356387转805</w:t>
      </w:r>
    </w:p>
    <w:p>
      <w:pPr>
        <w:widowControl/>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2.采购代理机构信息</w:t>
      </w:r>
    </w:p>
    <w:p>
      <w:pPr>
        <w:widowControl/>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名  称：广西科文招标有限公司</w:t>
      </w:r>
    </w:p>
    <w:p>
      <w:pPr>
        <w:widowControl/>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地  址：南宁市民族大道路141号中鼎万象东方大厦D区五层</w:t>
      </w:r>
    </w:p>
    <w:p>
      <w:pPr>
        <w:widowControl/>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项目联系人：蒙颖</w:t>
      </w:r>
    </w:p>
    <w:p>
      <w:pPr>
        <w:widowControl/>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项目联系方式：0771-2023875</w:t>
      </w:r>
    </w:p>
    <w:p>
      <w:pPr>
        <w:spacing w:line="380" w:lineRule="exact"/>
        <w:ind w:firstLine="6195" w:firstLineChars="2950"/>
        <w:rPr>
          <w:rFonts w:hint="eastAsia" w:ascii="宋体" w:hAnsi="宋体" w:cs="Arial"/>
          <w:color w:val="auto"/>
          <w:szCs w:val="21"/>
          <w:highlight w:val="none"/>
        </w:rPr>
      </w:pPr>
    </w:p>
    <w:p>
      <w:pPr>
        <w:spacing w:line="380" w:lineRule="exact"/>
        <w:ind w:firstLine="6405" w:firstLineChars="3050"/>
        <w:jc w:val="right"/>
        <w:rPr>
          <w:rFonts w:hint="eastAsia" w:ascii="宋体" w:hAnsi="宋体"/>
          <w:color w:val="auto"/>
          <w:szCs w:val="21"/>
          <w:highlight w:val="none"/>
        </w:rPr>
      </w:pPr>
      <w:r>
        <w:rPr>
          <w:rFonts w:hint="eastAsia" w:ascii="宋体" w:hAnsi="宋体" w:cs="Arial"/>
          <w:color w:val="auto"/>
          <w:szCs w:val="21"/>
          <w:highlight w:val="none"/>
        </w:rPr>
        <w:t>广西科文招标有限公司</w:t>
      </w:r>
    </w:p>
    <w:p>
      <w:pPr>
        <w:snapToGrid w:val="0"/>
        <w:spacing w:line="380" w:lineRule="exact"/>
        <w:ind w:left="238"/>
        <w:jc w:val="right"/>
        <w:rPr>
          <w:rFonts w:hint="eastAsia" w:ascii="宋体" w:hAnsi="宋体"/>
          <w:b/>
          <w:bCs/>
          <w:color w:val="auto"/>
          <w:sz w:val="32"/>
          <w:szCs w:val="32"/>
          <w:highlight w:val="none"/>
        </w:rPr>
      </w:pPr>
      <w:r>
        <w:rPr>
          <w:rFonts w:hint="eastAsia" w:ascii="宋体" w:hAnsi="宋体"/>
          <w:color w:val="auto"/>
          <w:highlight w:val="none"/>
        </w:rPr>
        <w:t xml:space="preserve">                                                   </w:t>
      </w:r>
      <w:bookmarkEnd w:id="4"/>
      <w:bookmarkEnd w:id="17"/>
      <w:bookmarkEnd w:id="18"/>
      <w:bookmarkEnd w:id="19"/>
      <w:bookmarkEnd w:id="20"/>
      <w:r>
        <w:rPr>
          <w:rFonts w:hint="eastAsia" w:ascii="宋体" w:hAnsi="宋体"/>
          <w:color w:val="auto"/>
          <w:highlight w:val="none"/>
          <w:lang w:eastAsia="zh-CN"/>
        </w:rPr>
        <w:t>2024年5月</w:t>
      </w:r>
      <w:r>
        <w:rPr>
          <w:rFonts w:hint="eastAsia" w:ascii="宋体" w:hAnsi="宋体"/>
          <w:color w:val="auto"/>
          <w:highlight w:val="none"/>
          <w:lang w:val="en-US" w:eastAsia="zh-CN"/>
        </w:rPr>
        <w:t>16</w:t>
      </w:r>
      <w:r>
        <w:rPr>
          <w:rFonts w:hint="eastAsia" w:ascii="宋体" w:hAnsi="宋体"/>
          <w:color w:val="auto"/>
          <w:highlight w:val="none"/>
          <w:lang w:eastAsia="zh-CN"/>
        </w:rPr>
        <w:t>日</w:t>
      </w:r>
      <w:r>
        <w:rPr>
          <w:rFonts w:ascii="宋体" w:hAnsi="宋体"/>
          <w:b/>
          <w:bCs/>
          <w:color w:val="auto"/>
          <w:sz w:val="32"/>
          <w:szCs w:val="32"/>
          <w:highlight w:val="none"/>
        </w:rPr>
        <w:br w:type="page"/>
      </w:r>
    </w:p>
    <w:p>
      <w:pPr>
        <w:pStyle w:val="2"/>
        <w:jc w:val="center"/>
        <w:rPr>
          <w:rFonts w:hint="eastAsia"/>
          <w:color w:val="auto"/>
          <w:highlight w:val="none"/>
        </w:rPr>
      </w:pPr>
      <w:bookmarkStart w:id="21" w:name="_Toc74323457"/>
      <w:r>
        <w:rPr>
          <w:rFonts w:hint="eastAsia"/>
          <w:color w:val="auto"/>
          <w:highlight w:val="none"/>
        </w:rPr>
        <w:t>第二章 供应商须知</w:t>
      </w:r>
      <w:bookmarkEnd w:id="21"/>
    </w:p>
    <w:p>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供应商须知前附表</w:t>
      </w:r>
    </w:p>
    <w:p>
      <w:pPr>
        <w:spacing w:line="400" w:lineRule="exact"/>
        <w:jc w:val="center"/>
        <w:rPr>
          <w:rFonts w:hint="eastAsia" w:ascii="宋体" w:hAnsi="宋体"/>
          <w:b/>
          <w:color w:val="auto"/>
          <w:sz w:val="32"/>
          <w:szCs w:val="32"/>
          <w:highlight w:val="none"/>
        </w:rPr>
      </w:pPr>
    </w:p>
    <w:tbl>
      <w:tblPr>
        <w:tblStyle w:val="20"/>
        <w:tblW w:w="9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条款号</w:t>
            </w:r>
          </w:p>
        </w:tc>
        <w:tc>
          <w:tcPr>
            <w:tcW w:w="8627" w:type="dxa"/>
            <w:noWrap w:val="0"/>
            <w:vAlign w:val="top"/>
          </w:tcPr>
          <w:p>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8627"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供应商的资格条件</w:t>
            </w:r>
            <w:r>
              <w:rPr>
                <w:rFonts w:hint="eastAsia" w:asciiTheme="minorEastAsia" w:hAnsiTheme="minorEastAsia" w:eastAsiaTheme="minorEastAsia" w:cstheme="minorEastAsia"/>
                <w:color w:val="auto"/>
                <w:sz w:val="21"/>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w:t>
            </w:r>
          </w:p>
        </w:tc>
        <w:tc>
          <w:tcPr>
            <w:tcW w:w="8627" w:type="dxa"/>
            <w:noWrap w:val="0"/>
            <w:vAlign w:val="center"/>
          </w:tcPr>
          <w:p>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是否接受联合体竞标：详见竞争性磋商公告</w:t>
            </w:r>
            <w:r>
              <w:rPr>
                <w:rFonts w:hint="eastAsia" w:asciiTheme="minorEastAsia" w:hAnsiTheme="minorEastAsia" w:eastAsiaTheme="minorEastAsia" w:cstheme="minorEastAsia"/>
                <w:color w:val="auto"/>
                <w:sz w:val="21"/>
                <w:szCs w:val="21"/>
                <w:highlight w:val="none"/>
                <w:lang w:eastAsia="zh-CN"/>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w:t>
            </w:r>
          </w:p>
        </w:tc>
        <w:tc>
          <w:tcPr>
            <w:tcW w:w="8627" w:type="dxa"/>
            <w:noWrap w:val="0"/>
            <w:vAlign w:val="center"/>
          </w:tcPr>
          <w:p>
            <w:pPr>
              <w:pStyle w:val="8"/>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本项目不允许分包。</w:t>
            </w:r>
          </w:p>
          <w:p>
            <w:pPr>
              <w:pStyle w:val="8"/>
              <w:spacing w:line="400" w:lineRule="exact"/>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lang w:val="en-US" w:eastAsia="zh-CN"/>
              </w:rPr>
              <w:t>分包内容：</w:t>
            </w:r>
            <w:r>
              <w:rPr>
                <w:rFonts w:hint="eastAsia" w:asciiTheme="minorEastAsia" w:hAnsiTheme="minorEastAsia" w:eastAsiaTheme="minorEastAsia" w:cstheme="minorEastAsia"/>
                <w:color w:val="auto"/>
                <w:sz w:val="21"/>
                <w:szCs w:val="21"/>
                <w:highlight w:val="none"/>
                <w:u w:val="single"/>
                <w:lang w:val="en-US" w:eastAsia="zh-CN"/>
              </w:rPr>
              <w:t>无。</w:t>
            </w:r>
          </w:p>
          <w:p>
            <w:pPr>
              <w:pStyle w:val="8"/>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分包金额或者比例：</w:t>
            </w:r>
            <w:r>
              <w:rPr>
                <w:rFonts w:hint="eastAsia" w:asciiTheme="minorEastAsia" w:hAnsiTheme="minorEastAsia" w:eastAsiaTheme="minorEastAsia" w:cstheme="minorEastAsia"/>
                <w:color w:val="auto"/>
                <w:sz w:val="21"/>
                <w:szCs w:val="21"/>
                <w:highlight w:val="none"/>
                <w:u w:val="single"/>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12.1.1</w:t>
            </w:r>
          </w:p>
        </w:tc>
        <w:tc>
          <w:tcPr>
            <w:tcW w:w="8627" w:type="dxa"/>
            <w:noWrap w:val="0"/>
            <w:vAlign w:val="center"/>
          </w:tcPr>
          <w:p>
            <w:pPr>
              <w:snapToGrid w:val="0"/>
              <w:spacing w:line="360" w:lineRule="auto"/>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资格证明文件</w:t>
            </w:r>
          </w:p>
          <w:p>
            <w:pPr>
              <w:pStyle w:val="8"/>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1、供应商为法人或者其他组织的，证明文件为其营业执照复印件（如营业执照或者事业单位法人证书或者执业许可证等）；供应商为自然人的，证明文件为其身份证复印件；（</w:t>
            </w:r>
            <w:r>
              <w:rPr>
                <w:rFonts w:hint="eastAsia" w:asciiTheme="minorEastAsia" w:hAnsiTheme="minorEastAsia" w:eastAsiaTheme="minorEastAsia" w:cstheme="minorEastAsia"/>
                <w:b/>
                <w:color w:val="auto"/>
                <w:sz w:val="21"/>
                <w:szCs w:val="21"/>
                <w:highlight w:val="none"/>
                <w:lang w:val="en-US" w:eastAsia="zh-CN"/>
              </w:rPr>
              <w:t>必须提供，否则响应文件按无效响应处理</w:t>
            </w:r>
            <w:r>
              <w:rPr>
                <w:rFonts w:hint="eastAsia" w:asciiTheme="minorEastAsia" w:hAnsiTheme="minorEastAsia" w:eastAsiaTheme="minorEastAsia" w:cstheme="minorEastAsia"/>
                <w:color w:val="auto"/>
                <w:sz w:val="21"/>
                <w:szCs w:val="21"/>
                <w:highlight w:val="none"/>
                <w:lang w:val="en-US" w:eastAsia="zh-CN"/>
              </w:rPr>
              <w:t>）</w:t>
            </w:r>
          </w:p>
          <w:p>
            <w:pPr>
              <w:spacing w:line="360" w:lineRule="auto"/>
              <w:contextualSpacing/>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2、供应商依法缴纳税收的相关材料（</w:t>
            </w:r>
            <w:r>
              <w:rPr>
                <w:rFonts w:hint="eastAsia" w:ascii="宋体" w:hAnsi="宋体" w:eastAsia="宋体" w:cs="宋体"/>
                <w:color w:val="auto"/>
                <w:szCs w:val="21"/>
                <w:highlight w:val="none"/>
                <w:lang w:eastAsia="zh-CN"/>
              </w:rPr>
              <w:t>响应文件提交截止之日前半年内竞标人连续3个月</w:t>
            </w:r>
            <w:r>
              <w:rPr>
                <w:rFonts w:hint="eastAsia" w:ascii="宋体" w:hAnsi="宋体" w:eastAsia="宋体" w:cs="宋体"/>
                <w:b w:val="0"/>
                <w:bCs w:val="0"/>
                <w:color w:val="auto"/>
                <w:szCs w:val="21"/>
                <w:highlight w:val="none"/>
              </w:rPr>
              <w:t>的</w:t>
            </w:r>
            <w:r>
              <w:rPr>
                <w:rFonts w:hint="eastAsia" w:asciiTheme="minorEastAsia" w:hAnsiTheme="minorEastAsia" w:eastAsiaTheme="minorEastAsia" w:cstheme="minorEastAsia"/>
                <w:color w:val="auto"/>
                <w:sz w:val="21"/>
                <w:szCs w:val="21"/>
                <w:highlight w:val="none"/>
              </w:rPr>
              <w:t>依法缴纳税收的凭据复印件；依法免税的，必须提供相应文件证明其依法免税。从成立之日起到响应文件提交截止时间止不足要求月数的，只需提供从成立之日起的依法缴纳税收相应证明文件）；（</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pPr>
              <w:spacing w:line="360" w:lineRule="auto"/>
              <w:contextualSpacing/>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3、供应商依法缴纳社会保障资金的相关材料[</w:t>
            </w:r>
            <w:r>
              <w:rPr>
                <w:rFonts w:hint="eastAsia" w:ascii="宋体" w:hAnsi="宋体" w:eastAsia="宋体" w:cs="宋体"/>
                <w:color w:val="auto"/>
                <w:szCs w:val="21"/>
                <w:highlight w:val="none"/>
                <w:lang w:eastAsia="zh-CN"/>
              </w:rPr>
              <w:t>响应文件提交截止之日前半年内竞标人连续3个月</w:t>
            </w:r>
            <w:r>
              <w:rPr>
                <w:rFonts w:hint="eastAsia" w:ascii="宋体" w:hAnsi="宋体" w:eastAsia="宋体" w:cs="宋体"/>
                <w:b w:val="0"/>
                <w:bCs w:val="0"/>
                <w:color w:val="auto"/>
                <w:szCs w:val="21"/>
                <w:highlight w:val="none"/>
              </w:rPr>
              <w:t>的</w:t>
            </w:r>
            <w:r>
              <w:rPr>
                <w:rFonts w:hint="eastAsia" w:asciiTheme="minorEastAsia" w:hAnsiTheme="minorEastAsia" w:eastAsiaTheme="minorEastAsia" w:cstheme="minorEastAsia"/>
                <w:color w:val="auto"/>
                <w:sz w:val="21"/>
                <w:szCs w:val="21"/>
                <w:highlight w:val="none"/>
              </w:rPr>
              <w:t>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pPr>
              <w:spacing w:line="360" w:lineRule="auto"/>
              <w:contextualSpacing/>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4、供应商财务状况报告[2022年财务状况报告，或者经审计的财务报告，或者银行出具的资信证明（应在有效期内，未注明有效期的视为自出具时间起一年内有效）。上述财务报表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如供应商在上述年度后成立的，提供自成立起至提交响应文件递交截止之日前所有月报或银行出具的资信证明]；</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
                <w:color w:val="auto"/>
                <w:sz w:val="21"/>
                <w:szCs w:val="21"/>
                <w:highlight w:val="none"/>
              </w:rPr>
              <w:t>除自然人外必须提供，否则响应文件按无效响应处理</w:t>
            </w:r>
            <w:r>
              <w:rPr>
                <w:rFonts w:hint="eastAsia" w:asciiTheme="minorEastAsia" w:hAnsiTheme="minorEastAsia" w:eastAsiaTheme="minorEastAsia" w:cstheme="minorEastAsia"/>
                <w:bCs/>
                <w:color w:val="auto"/>
                <w:sz w:val="21"/>
                <w:szCs w:val="21"/>
                <w:highlight w:val="none"/>
              </w:rPr>
              <w:t>）</w:t>
            </w:r>
          </w:p>
          <w:p>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5、供应商直接控股、管理关系信息表（格式后附）；（</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6、竞标声明（格式后附）；（</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pPr>
              <w:pStyle w:val="10"/>
              <w:rPr>
                <w:rFonts w:hint="eastAsia"/>
                <w:color w:val="auto"/>
                <w:highlight w:val="none"/>
              </w:rPr>
            </w:pP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本项目的特定资格要求：如所投货物为第二类或第三类医疗器械，供应商必须具备国家主管部门颁发的二类医疗器械备案证或《医疗器械经营企业许可证》（如供应商为代理经销商），或具备《医疗器械生产企业许可证》（如供应商为制造商），须在响应文件中提供扫描件。</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pPr>
              <w:pStyle w:val="10"/>
              <w:rPr>
                <w:rFonts w:hint="eastAsia"/>
                <w:b/>
                <w:bCs/>
                <w:color w:val="auto"/>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、除磋商文件规定必须提供以外，供应商认为需要提供的其他证明材料</w:t>
            </w:r>
            <w:r>
              <w:rPr>
                <w:rFonts w:hint="eastAsia" w:asciiTheme="minorEastAsia" w:hAnsiTheme="minorEastAsia" w:eastAsiaTheme="minorEastAsia" w:cstheme="minorEastAsia"/>
                <w:color w:val="auto"/>
                <w:sz w:val="21"/>
                <w:szCs w:val="21"/>
                <w:highlight w:val="none"/>
                <w:lang w:eastAsia="zh-CN"/>
              </w:rPr>
              <w:t>。</w:t>
            </w:r>
            <w:r>
              <w:rPr>
                <w:rFonts w:hint="eastAsia"/>
                <w:b/>
                <w:bCs/>
                <w:color w:val="auto"/>
                <w:highlight w:val="none"/>
              </w:rPr>
              <w:t>（如有请提供）</w:t>
            </w:r>
          </w:p>
          <w:p>
            <w:pPr>
              <w:snapToGrid w:val="0"/>
              <w:spacing w:line="360" w:lineRule="auto"/>
              <w:ind w:firstLine="422" w:firstLineChars="200"/>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注：</w:t>
            </w:r>
          </w:p>
          <w:p>
            <w:pPr>
              <w:snapToGrid w:val="0"/>
              <w:spacing w:line="360" w:lineRule="auto"/>
              <w:ind w:firstLine="413" w:firstLineChars="19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以上标明“必须提供”的材料属于复印件的，必须加盖供应商公章，否则响应文件按无效响应处理。</w:t>
            </w:r>
          </w:p>
          <w:p>
            <w:pPr>
              <w:snapToGrid w:val="0"/>
              <w:spacing w:line="360" w:lineRule="auto"/>
              <w:ind w:firstLine="422" w:firstLineChars="200"/>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竞标声明必须由法定代表人在规定签章处签字并加盖供应商公章，否则响应文件按无效响应处理。</w:t>
            </w:r>
          </w:p>
          <w:p>
            <w:pPr>
              <w:snapToGrid w:val="0"/>
              <w:spacing w:line="360" w:lineRule="auto"/>
              <w:ind w:firstLine="422"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3</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供应商直接控股、管理关系信息表必须由法定代表人或者委托代理人在规定签章处签字并加盖供应商公章，否则响应文件按无效响应处理。</w:t>
            </w:r>
          </w:p>
          <w:p>
            <w:pPr>
              <w:pStyle w:val="8"/>
              <w:spacing w:line="360" w:lineRule="auto"/>
              <w:ind w:firstLine="422" w:firstLineChars="200"/>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4.分公司参加竞标的，应当取得总公司授权</w:t>
            </w:r>
            <w:r>
              <w:rPr>
                <w:rFonts w:hint="eastAsia" w:asciiTheme="minorEastAsia" w:hAnsiTheme="minorEastAsia" w:eastAsiaTheme="minorEastAsia" w:cstheme="minorEastAsia"/>
                <w:b/>
                <w:color w:val="auto"/>
                <w:sz w:val="21"/>
                <w:szCs w:val="21"/>
                <w:highlight w:val="none"/>
                <w:lang w:val="en-US" w:eastAsia="zh-CN"/>
              </w:rPr>
              <w:t>，否则响应文件按无效响应处理。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12.1.2</w:t>
            </w:r>
          </w:p>
        </w:tc>
        <w:tc>
          <w:tcPr>
            <w:tcW w:w="8627" w:type="dxa"/>
            <w:noWrap w:val="0"/>
            <w:vAlign w:val="center"/>
          </w:tcPr>
          <w:p>
            <w:pP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报价商务技术文件</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1、无串通竞标行为的承诺函（格式后附）；（</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2、竞标报价表（格式后附）；（</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pPr>
              <w:pStyle w:val="10"/>
              <w:rPr>
                <w:rFonts w:hint="eastAsia"/>
                <w:b/>
                <w:bCs/>
                <w:color w:val="auto"/>
                <w:highlight w:val="none"/>
              </w:rPr>
            </w:pPr>
            <w:r>
              <w:rPr>
                <w:rFonts w:hint="eastAsia"/>
                <w:color w:val="auto"/>
                <w:highlight w:val="none"/>
                <w:lang w:val="en-US" w:eastAsia="zh-CN"/>
              </w:rPr>
              <w:t>3、</w:t>
            </w:r>
            <w:r>
              <w:rPr>
                <w:rFonts w:hint="eastAsia"/>
                <w:color w:val="auto"/>
                <w:highlight w:val="none"/>
              </w:rPr>
              <w:t>中小企业声明函（格式后附）；</w:t>
            </w:r>
            <w:r>
              <w:rPr>
                <w:rFonts w:hint="eastAsia"/>
                <w:b/>
                <w:bCs/>
                <w:color w:val="auto"/>
                <w:highlight w:val="none"/>
              </w:rPr>
              <w:t>（如有请提供）</w:t>
            </w:r>
          </w:p>
          <w:p>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、法定代表人身份证明及法定代表人有效身份证正反面复印件（格式后附）；（</w:t>
            </w:r>
            <w:r>
              <w:rPr>
                <w:rFonts w:hint="eastAsia" w:asciiTheme="minorEastAsia" w:hAnsiTheme="minorEastAsia" w:eastAsiaTheme="minorEastAsia" w:cstheme="minorEastAsia"/>
                <w:b/>
                <w:bCs/>
                <w:color w:val="auto"/>
                <w:sz w:val="21"/>
                <w:szCs w:val="21"/>
                <w:highlight w:val="none"/>
              </w:rPr>
              <w:t>除自然人竞标外</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pPr>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、授权委托书及委托代理人有效身份证正反面复印件（格式后附）；（</w:t>
            </w:r>
            <w:r>
              <w:rPr>
                <w:rFonts w:hint="eastAsia" w:asciiTheme="minorEastAsia" w:hAnsiTheme="minorEastAsia" w:eastAsiaTheme="minorEastAsia" w:cstheme="minorEastAsia"/>
                <w:b/>
                <w:color w:val="auto"/>
                <w:sz w:val="21"/>
                <w:szCs w:val="21"/>
                <w:highlight w:val="none"/>
              </w:rPr>
              <w:t>委托时必须提供，否则响应文件按无效响应处理</w:t>
            </w:r>
            <w:r>
              <w:rPr>
                <w:rFonts w:hint="eastAsia" w:asciiTheme="minorEastAsia" w:hAnsiTheme="minorEastAsia" w:eastAsiaTheme="minorEastAsia" w:cstheme="minorEastAsia"/>
                <w:color w:val="auto"/>
                <w:sz w:val="21"/>
                <w:szCs w:val="21"/>
                <w:highlight w:val="none"/>
              </w:rPr>
              <w:t>）</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、磋商保证金提交凭证；（</w:t>
            </w:r>
            <w:r>
              <w:rPr>
                <w:rFonts w:hint="eastAsia" w:asciiTheme="minorEastAsia" w:hAnsiTheme="minorEastAsia" w:eastAsiaTheme="minorEastAsia" w:cstheme="minorEastAsia"/>
                <w:b/>
                <w:bCs/>
                <w:color w:val="auto"/>
                <w:sz w:val="21"/>
                <w:szCs w:val="21"/>
                <w:highlight w:val="none"/>
              </w:rPr>
              <w:t>如要求提交磋商保证金的则必须提供</w:t>
            </w:r>
            <w:r>
              <w:rPr>
                <w:rFonts w:hint="eastAsia" w:asciiTheme="minorEastAsia" w:hAnsiTheme="minorEastAsia" w:eastAsiaTheme="minorEastAsia" w:cstheme="minorEastAsia"/>
                <w:b/>
                <w:color w:val="auto"/>
                <w:sz w:val="21"/>
                <w:szCs w:val="21"/>
                <w:highlight w:val="none"/>
              </w:rPr>
              <w:t>，否则响应文件按无效响应处理</w:t>
            </w:r>
            <w:r>
              <w:rPr>
                <w:rFonts w:hint="eastAsia" w:asciiTheme="minorEastAsia" w:hAnsiTheme="minorEastAsia" w:eastAsiaTheme="minorEastAsia" w:cstheme="minorEastAsia"/>
                <w:color w:val="auto"/>
                <w:sz w:val="21"/>
                <w:szCs w:val="21"/>
                <w:highlight w:val="none"/>
              </w:rPr>
              <w:t>）</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、商务要求偏离表（格式后附）；（</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、服务方案（格式自拟）；（</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、技术要求偏离表（格式后附）；（</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pPr>
              <w:pStyle w:val="10"/>
              <w:rPr>
                <w:rFonts w:hint="eastAsia"/>
                <w:b/>
                <w:bCs/>
                <w:color w:val="auto"/>
                <w:highlight w:val="none"/>
              </w:rPr>
            </w:pP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 xml:space="preserve">、项目实施人员一览表（格式自拟）； </w:t>
            </w:r>
            <w:r>
              <w:rPr>
                <w:rFonts w:hint="eastAsia"/>
                <w:b/>
                <w:bCs/>
                <w:color w:val="auto"/>
                <w:highlight w:val="none"/>
              </w:rPr>
              <w:t>（如有请提供）</w:t>
            </w:r>
          </w:p>
          <w:p>
            <w:pPr>
              <w:pStyle w:val="10"/>
              <w:rPr>
                <w:rFonts w:hint="eastAsia"/>
                <w:b/>
                <w:bCs/>
                <w:color w:val="auto"/>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、对应采购需求的技术要求、商务要求提供的其他文件资料（格式自拟）；</w:t>
            </w:r>
            <w:r>
              <w:rPr>
                <w:rFonts w:hint="eastAsia"/>
                <w:b/>
                <w:bCs/>
                <w:color w:val="auto"/>
                <w:highlight w:val="none"/>
              </w:rPr>
              <w:t>（如有请提供）</w:t>
            </w:r>
          </w:p>
          <w:p>
            <w:pPr>
              <w:pStyle w:val="10"/>
              <w:rPr>
                <w:rFonts w:hint="eastAsia"/>
                <w:b/>
                <w:bCs/>
                <w:color w:val="auto"/>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、供应商认为需要提供的其他有关资料。</w:t>
            </w:r>
            <w:r>
              <w:rPr>
                <w:rFonts w:hint="eastAsia"/>
                <w:b/>
                <w:bCs/>
                <w:color w:val="auto"/>
                <w:highlight w:val="none"/>
              </w:rPr>
              <w:t>（如有请提供）</w:t>
            </w:r>
          </w:p>
          <w:p>
            <w:pPr>
              <w:snapToGrid w:val="0"/>
              <w:spacing w:line="360" w:lineRule="auto"/>
              <w:ind w:firstLine="422" w:firstLineChars="200"/>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注：以上标明“必须提供”的材料属于复印件的，必须加盖供应商公章，否则响应文件按无效响应处理。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15.2</w:t>
            </w:r>
          </w:p>
        </w:tc>
        <w:tc>
          <w:tcPr>
            <w:tcW w:w="8627" w:type="dxa"/>
            <w:noWrap w:val="0"/>
            <w:vAlign w:val="center"/>
          </w:tcPr>
          <w:p>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竞标报价是履行合同的最终价格，即满足全部采购需求所应提供的服务的价格；包括竞标服务的成本、运输（含保险）（如有）、技术服务、培训、税费等所有费用。</w:t>
            </w:r>
            <w:r>
              <w:rPr>
                <w:rFonts w:hint="eastAsia" w:asciiTheme="minorEastAsia" w:hAnsiTheme="minorEastAsia" w:eastAsiaTheme="minorEastAsia" w:cstheme="minorEastAsia"/>
                <w:b/>
                <w:color w:val="auto"/>
                <w:sz w:val="21"/>
                <w:szCs w:val="21"/>
                <w:highlight w:val="none"/>
              </w:rPr>
              <w:t>（采购需求另有约定的，从其约定。）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16.2</w:t>
            </w:r>
          </w:p>
        </w:tc>
        <w:tc>
          <w:tcPr>
            <w:tcW w:w="8627"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竞标有效期：首次响应文件提交截止之日起60天内。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17.1</w:t>
            </w:r>
          </w:p>
        </w:tc>
        <w:tc>
          <w:tcPr>
            <w:tcW w:w="8627" w:type="dxa"/>
            <w:noWrap w:val="0"/>
            <w:vAlign w:val="center"/>
          </w:tcPr>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磋商保证金</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20000元</w:t>
            </w:r>
            <w:r>
              <w:rPr>
                <w:rFonts w:hint="eastAsia" w:asciiTheme="minorEastAsia" w:hAnsiTheme="minorEastAsia" w:eastAsiaTheme="minorEastAsia" w:cstheme="minorEastAsia"/>
                <w:color w:val="auto"/>
                <w:kern w:val="0"/>
                <w:sz w:val="21"/>
                <w:szCs w:val="21"/>
                <w:highlight w:val="none"/>
              </w:rPr>
              <w:t>；</w:t>
            </w:r>
          </w:p>
          <w:p>
            <w:pPr>
              <w:snapToGrid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磋商保证金的交纳方式：银行转账、支票、汇票、本票或者金融、担保金融、担保机构出具的保函，禁止采用现钞方式。采用银行转账方式的，在响应文件提交截止时间前交至指定账户并且到账（</w:t>
            </w:r>
            <w:r>
              <w:rPr>
                <w:rFonts w:hint="eastAsia" w:asciiTheme="minorEastAsia" w:hAnsiTheme="minorEastAsia" w:eastAsiaTheme="minorEastAsia" w:cstheme="minorEastAsia"/>
                <w:color w:val="auto"/>
                <w:sz w:val="21"/>
                <w:szCs w:val="21"/>
                <w:highlight w:val="none"/>
              </w:rPr>
              <w:t>开户名称：广西科文招标有限公司，开户银行：广西北部湾银行南宁分行营业部，银行账号：0101012090615689</w:t>
            </w:r>
            <w:r>
              <w:rPr>
                <w:rFonts w:hint="eastAsia" w:asciiTheme="minorEastAsia" w:hAnsiTheme="minorEastAsia" w:eastAsiaTheme="minorEastAsia" w:cstheme="minorEastAsia"/>
                <w:color w:val="auto"/>
                <w:kern w:val="0"/>
                <w:sz w:val="21"/>
                <w:szCs w:val="21"/>
                <w:highlight w:val="none"/>
              </w:rPr>
              <w:t>）；采用支票、汇票、本票或者保函等方式的，在响应文件提交截止时间前，供应商必须提交支票、汇票、本票或者保函原件。否则视为无效磋商保证金。</w:t>
            </w:r>
          </w:p>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相关要求：</w:t>
            </w:r>
          </w:p>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1、磋商保证金采用银行转账交纳方式的，在响应文件提交截止时间前交至指定账户并且到账，供应商应将银行转账底单的复印件作为磋商保证金提交凭证，放置于报价商务技术文件中，</w:t>
            </w:r>
            <w:r>
              <w:rPr>
                <w:rFonts w:hint="eastAsia" w:asciiTheme="minorEastAsia" w:hAnsiTheme="minorEastAsia" w:eastAsiaTheme="minorEastAsia" w:cstheme="minorEastAsia"/>
                <w:b/>
                <w:color w:val="auto"/>
                <w:sz w:val="21"/>
                <w:szCs w:val="21"/>
                <w:highlight w:val="none"/>
              </w:rPr>
              <w:t>否则响应文件按无效响应处理</w:t>
            </w:r>
            <w:r>
              <w:rPr>
                <w:rFonts w:hint="eastAsia" w:asciiTheme="minorEastAsia" w:hAnsiTheme="minorEastAsia" w:eastAsiaTheme="minorEastAsia" w:cstheme="minorEastAsia"/>
                <w:color w:val="auto"/>
                <w:sz w:val="21"/>
                <w:szCs w:val="21"/>
                <w:highlight w:val="none"/>
              </w:rPr>
              <w:t>。</w:t>
            </w:r>
          </w:p>
          <w:p>
            <w:pPr>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2、磋商保证金采用支票、汇票、本票或者金融、担保机构出具的保函交纳方式的，供应商应将支票、汇票、本票或者金融、担保机构出具的保函的复印件作为磋商保证金提交凭证，放置于报价商务技术文件中，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Theme="minorEastAsia" w:hAnsiTheme="minorEastAsia" w:eastAsiaTheme="minorEastAsia" w:cstheme="minorEastAsia"/>
                <w:b/>
                <w:color w:val="auto"/>
                <w:sz w:val="21"/>
                <w:szCs w:val="21"/>
                <w:highlight w:val="none"/>
              </w:rPr>
              <w:t>否则响应文件按无效响应处理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color w:val="auto"/>
                <w:sz w:val="21"/>
                <w:szCs w:val="21"/>
                <w:highlight w:val="none"/>
              </w:rPr>
              <w:t>供应商必须在首次响应文件提交截止时间前将支票、汇票、本票或者金融、担保机构出具的保函原件提交给采购代理机构，由采购代理机构向供应商出具回执，并妥善保管。</w:t>
            </w:r>
          </w:p>
          <w:p>
            <w:pPr>
              <w:rPr>
                <w:rFonts w:hint="eastAsia" w:asciiTheme="minorEastAsia" w:hAnsiTheme="minorEastAsia" w:eastAsiaTheme="minorEastAsia" w:cstheme="minorEastAsia"/>
                <w:color w:val="auto"/>
                <w:sz w:val="21"/>
                <w:szCs w:val="21"/>
                <w:highlight w:val="none"/>
              </w:rPr>
            </w:pPr>
          </w:p>
          <w:p>
            <w:pPr>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备注： </w:t>
            </w:r>
          </w:p>
          <w:p>
            <w:pPr>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1、磋商保证金在响应文件提交截止时间后提交的，或者不按规定交纳方式交纳的，或者未足额交纳的（包含保函额度不足的），视为无效磋商保证金。</w:t>
            </w:r>
          </w:p>
          <w:p>
            <w:pPr>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2、供应商采用现钞方式或者从个人账户（自然人竞标除外）转出的磋商保证金，视为无效磋商保证金。</w:t>
            </w:r>
          </w:p>
          <w:p>
            <w:pPr>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3、支票、汇票或者本票出现无效或者背书情形的，视为无效磋商保证金。</w:t>
            </w:r>
          </w:p>
          <w:p>
            <w:pPr>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4、保函有效期低于竞标有效期的，视为无效磋商保证金。</w:t>
            </w:r>
          </w:p>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5、采用金融、担保机构出具保函的，必须为无条件保函，否则视为无效磋商保证金。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18.2</w:t>
            </w:r>
          </w:p>
        </w:tc>
        <w:tc>
          <w:tcPr>
            <w:tcW w:w="8627" w:type="dxa"/>
            <w:noWrap w:val="0"/>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响应文件应按资格证明文件、报价商务技术文件分别编制，</w:t>
            </w:r>
            <w:r>
              <w:rPr>
                <w:rFonts w:hint="eastAsia" w:asciiTheme="minorEastAsia" w:hAnsiTheme="minorEastAsia" w:eastAsiaTheme="minorEastAsia" w:cstheme="minorEastAsia"/>
                <w:color w:val="auto"/>
                <w:sz w:val="21"/>
                <w:szCs w:val="21"/>
                <w:highlight w:val="none"/>
                <w:lang w:bidi="ar"/>
              </w:rPr>
              <w:t>并按</w:t>
            </w:r>
            <w:r>
              <w:rPr>
                <w:rFonts w:hint="eastAsia" w:asciiTheme="minorEastAsia" w:hAnsiTheme="minorEastAsia" w:eastAsiaTheme="minorEastAsia" w:cstheme="minorEastAsia"/>
                <w:color w:val="auto"/>
                <w:sz w:val="21"/>
                <w:szCs w:val="21"/>
                <w:highlight w:val="none"/>
                <w:lang w:eastAsia="zh-CN" w:bidi="ar"/>
              </w:rPr>
              <w:t>广西政府采购云平台</w:t>
            </w:r>
            <w:r>
              <w:rPr>
                <w:rFonts w:hint="eastAsia" w:asciiTheme="minorEastAsia" w:hAnsiTheme="minorEastAsia" w:eastAsiaTheme="minorEastAsia" w:cstheme="minorEastAsia"/>
                <w:color w:val="auto"/>
                <w:sz w:val="21"/>
                <w:szCs w:val="21"/>
                <w:highlight w:val="none"/>
                <w:lang w:bidi="ar"/>
              </w:rPr>
              <w:t>的要求编制、加密、上传。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20.1</w:t>
            </w:r>
          </w:p>
        </w:tc>
        <w:tc>
          <w:tcPr>
            <w:tcW w:w="8627" w:type="dxa"/>
            <w:noWrap w:val="0"/>
            <w:vAlign w:val="center"/>
          </w:tcPr>
          <w:p>
            <w:pPr>
              <w:spacing w:line="360" w:lineRule="auto"/>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首次响应文件提交截止时间：详见竞争性磋商公告。</w:t>
            </w:r>
          </w:p>
          <w:p>
            <w:pPr>
              <w:spacing w:line="360" w:lineRule="auto"/>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首次响应文件提交地点：详见竞争性磋商公告。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24.1</w:t>
            </w:r>
          </w:p>
        </w:tc>
        <w:tc>
          <w:tcPr>
            <w:tcW w:w="8627" w:type="dxa"/>
            <w:noWrap w:val="0"/>
            <w:vAlign w:val="center"/>
          </w:tcPr>
          <w:p>
            <w:pPr>
              <w:snapToGrid w:val="0"/>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磋商小组的人数：3人。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25.2</w:t>
            </w:r>
          </w:p>
        </w:tc>
        <w:tc>
          <w:tcPr>
            <w:tcW w:w="8627" w:type="dxa"/>
            <w:noWrap w:val="0"/>
            <w:vAlign w:val="center"/>
          </w:tcPr>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采购代理机构将依托电子交易平台发起开始解密指令，</w:t>
            </w:r>
            <w:r>
              <w:rPr>
                <w:rFonts w:hint="eastAsia" w:asciiTheme="minorEastAsia" w:hAnsiTheme="minorEastAsia" w:eastAsiaTheme="minorEastAsia" w:cstheme="minorEastAsia"/>
                <w:b/>
                <w:color w:val="auto"/>
                <w:sz w:val="21"/>
                <w:szCs w:val="21"/>
                <w:highlight w:val="none"/>
              </w:rPr>
              <w:t>供应商的法定代表人或其委托代理人须携带加密时所用的CA锁按平台提示和采购文件的规定登录到</w:t>
            </w:r>
            <w:r>
              <w:rPr>
                <w:rFonts w:hint="eastAsia" w:asciiTheme="minorEastAsia" w:hAnsiTheme="minorEastAsia" w:eastAsiaTheme="minorEastAsia" w:cstheme="minorEastAsia"/>
                <w:b/>
                <w:color w:val="auto"/>
                <w:sz w:val="21"/>
                <w:szCs w:val="21"/>
                <w:highlight w:val="none"/>
                <w:lang w:eastAsia="zh-CN"/>
              </w:rPr>
              <w:t>广西政府采购云平台</w:t>
            </w:r>
            <w:r>
              <w:rPr>
                <w:rFonts w:hint="eastAsia" w:asciiTheme="minorEastAsia" w:hAnsiTheme="minorEastAsia" w:eastAsiaTheme="minorEastAsia" w:cstheme="minorEastAsia"/>
                <w:b/>
                <w:color w:val="auto"/>
                <w:sz w:val="21"/>
                <w:szCs w:val="21"/>
                <w:highlight w:val="none"/>
              </w:rPr>
              <w:t>电子开标大厅签到并在发起解密指令之时起30分钟内完成对电子响应文件在线解密。</w:t>
            </w:r>
            <w:r>
              <w:rPr>
                <w:rFonts w:hint="eastAsia" w:asciiTheme="minorEastAsia" w:hAnsiTheme="minorEastAsia" w:eastAsiaTheme="minorEastAsia" w:cstheme="minorEastAsia"/>
                <w:b/>
                <w:bCs/>
                <w:color w:val="auto"/>
                <w:sz w:val="21"/>
                <w:szCs w:val="21"/>
                <w:highlight w:val="none"/>
              </w:rPr>
              <w:t>响应文件未按时解密的，</w:t>
            </w:r>
            <w:r>
              <w:rPr>
                <w:rFonts w:hint="eastAsia" w:asciiTheme="minorEastAsia" w:hAnsiTheme="minorEastAsia" w:eastAsiaTheme="minorEastAsia" w:cstheme="minorEastAsia"/>
                <w:b/>
                <w:color w:val="auto"/>
                <w:sz w:val="21"/>
                <w:szCs w:val="21"/>
                <w:highlight w:val="none"/>
              </w:rPr>
              <w:t>视为响应</w:t>
            </w:r>
            <w:r>
              <w:rPr>
                <w:rFonts w:hint="eastAsia" w:asciiTheme="minorEastAsia" w:hAnsiTheme="minorEastAsia" w:eastAsiaTheme="minorEastAsia" w:cstheme="minorEastAsia"/>
                <w:b/>
                <w:bCs/>
                <w:color w:val="auto"/>
                <w:sz w:val="21"/>
                <w:szCs w:val="21"/>
                <w:highlight w:val="none"/>
              </w:rPr>
              <w:t>文件无效。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26</w:t>
            </w:r>
          </w:p>
        </w:tc>
        <w:tc>
          <w:tcPr>
            <w:tcW w:w="8627" w:type="dxa"/>
            <w:noWrap w:val="0"/>
            <w:vAlign w:val="center"/>
          </w:tcPr>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商务要求评审中允许负偏离的条款数为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0</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w:t>
            </w:r>
          </w:p>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一般</w:t>
            </w:r>
            <w:r>
              <w:rPr>
                <w:rFonts w:hint="eastAsia" w:asciiTheme="minorEastAsia" w:hAnsiTheme="minorEastAsia" w:eastAsiaTheme="minorEastAsia" w:cstheme="minorEastAsia"/>
                <w:color w:val="auto"/>
                <w:sz w:val="21"/>
                <w:szCs w:val="21"/>
                <w:highlight w:val="none"/>
              </w:rPr>
              <w:t>技术要求评审中允许负偏离的条款数为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5</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w:t>
            </w:r>
          </w:p>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重要技术要求</w:t>
            </w:r>
            <w:r>
              <w:rPr>
                <w:rFonts w:hint="eastAsia" w:asciiTheme="minorEastAsia" w:hAnsiTheme="minorEastAsia" w:eastAsiaTheme="minorEastAsia" w:cstheme="minorEastAsia"/>
                <w:color w:val="auto"/>
                <w:sz w:val="21"/>
                <w:szCs w:val="21"/>
                <w:highlight w:val="none"/>
              </w:rPr>
              <w:t>评审中允许负偏离的条款数为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5</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w:t>
            </w:r>
          </w:p>
          <w:p>
            <w:pPr>
              <w:snapToGrid w:val="0"/>
              <w:spacing w:line="360" w:lineRule="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注：重要技术要求指标注</w:t>
            </w:r>
            <w:r>
              <w:rPr>
                <w:rFonts w:hint="eastAsia" w:ascii="微软雅黑" w:hAnsi="微软雅黑" w:eastAsia="微软雅黑" w:cs="微软雅黑"/>
                <w:color w:val="auto"/>
                <w:sz w:val="21"/>
                <w:szCs w:val="21"/>
                <w:highlight w:val="none"/>
                <w:lang w:val="en-US" w:eastAsia="zh-CN"/>
              </w:rPr>
              <w:t>★符号的技术要求，</w:t>
            </w:r>
            <w:r>
              <w:rPr>
                <w:rFonts w:hint="eastAsia" w:ascii="微软雅黑" w:hAnsi="微软雅黑" w:eastAsia="微软雅黑" w:cs="微软雅黑"/>
                <w:color w:val="auto"/>
                <w:sz w:val="21"/>
                <w:szCs w:val="21"/>
                <w:highlight w:val="none"/>
                <w:lang w:val="en-US" w:eastAsia="zh-CN"/>
              </w:rPr>
              <w:t>一般技术要求</w:t>
            </w:r>
            <w:r>
              <w:rPr>
                <w:rFonts w:hint="eastAsia" w:ascii="宋体" w:hAnsi="宋体" w:cs="宋体"/>
                <w:color w:val="auto"/>
                <w:sz w:val="21"/>
                <w:szCs w:val="21"/>
                <w:highlight w:val="none"/>
                <w:lang w:val="en-US" w:eastAsia="zh-CN"/>
              </w:rPr>
              <w:t>指未标注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的技术要求</w:t>
            </w:r>
            <w:r>
              <w:rPr>
                <w:rFonts w:hint="eastAsia" w:ascii="宋体" w:hAnsi="宋体" w:eastAsia="宋体" w:cs="宋体"/>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1" w:hRule="atLeast"/>
          <w:jc w:val="center"/>
        </w:trPr>
        <w:tc>
          <w:tcPr>
            <w:tcW w:w="992" w:type="dxa"/>
            <w:vMerge w:val="continue"/>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8627" w:type="dxa"/>
            <w:noWrap w:val="0"/>
            <w:vAlign w:val="center"/>
          </w:tcPr>
          <w:p>
            <w:pPr>
              <w:pStyle w:val="8"/>
              <w:spacing w:line="320" w:lineRule="exact"/>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磋商的顺序：</w:t>
            </w:r>
            <w:r>
              <w:rPr>
                <w:rFonts w:hint="eastAsia" w:asciiTheme="minorEastAsia" w:hAnsiTheme="minorEastAsia" w:eastAsiaTheme="minorEastAsia" w:cstheme="minorEastAsia"/>
                <w:color w:val="auto"/>
                <w:sz w:val="21"/>
                <w:szCs w:val="21"/>
                <w:highlight w:val="none"/>
              </w:rPr>
              <w:t>按“政采云”系统的编号顺序</w:t>
            </w:r>
            <w:r>
              <w:rPr>
                <w:rFonts w:hint="eastAsia" w:asciiTheme="minorEastAsia" w:hAnsiTheme="minorEastAsia" w:eastAsiaTheme="minorEastAsia" w:cstheme="minorEastAsia"/>
                <w:color w:val="auto"/>
                <w:sz w:val="21"/>
                <w:szCs w:val="21"/>
                <w:highlight w:val="none"/>
                <w:lang w:val="en-US" w:eastAsia="zh-CN"/>
              </w:rPr>
              <w:t>。</w:t>
            </w:r>
          </w:p>
          <w:p>
            <w:pPr>
              <w:pStyle w:val="8"/>
              <w:spacing w:line="360" w:lineRule="auto"/>
              <w:jc w:val="both"/>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符合磋商资格的供应商必须在接到磋商通知后规定时间内参加磋商，未在规定时间内参加磋商的视同放弃参加磋商权利，其响应文件按无效响应处理。</w:t>
            </w:r>
          </w:p>
          <w:p>
            <w:pPr>
              <w:pStyle w:val="8"/>
              <w:spacing w:line="360" w:lineRule="auto"/>
              <w:jc w:val="both"/>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注：参与磋商前，供应商法定代表人或者委托代理人向磋商小组出示本人有效证件原件[有效证件可以是身份证（含临时身份证明）或者护照的其中一项]。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28.1</w:t>
            </w:r>
          </w:p>
        </w:tc>
        <w:tc>
          <w:tcPr>
            <w:tcW w:w="8627" w:type="dxa"/>
            <w:noWrap w:val="0"/>
            <w:vAlign w:val="center"/>
          </w:tcPr>
          <w:p>
            <w:pPr>
              <w:autoSpaceDE w:val="0"/>
              <w:autoSpaceDN w:val="0"/>
              <w:snapToGrid w:val="0"/>
              <w:spacing w:line="360" w:lineRule="auto"/>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w:t>
            </w:r>
            <w:r>
              <w:rPr>
                <w:rFonts w:hint="eastAsia" w:asciiTheme="minorEastAsia" w:hAnsiTheme="minorEastAsia" w:eastAsiaTheme="minorEastAsia" w:cstheme="minorEastAsia"/>
                <w:color w:val="auto"/>
                <w:sz w:val="21"/>
                <w:szCs w:val="21"/>
                <w:highlight w:val="none"/>
                <w:lang w:val="en-US" w:eastAsia="zh-CN"/>
              </w:rPr>
              <w:t>不</w:t>
            </w:r>
            <w:r>
              <w:rPr>
                <w:rFonts w:hint="eastAsia" w:asciiTheme="minorEastAsia" w:hAnsiTheme="minorEastAsia" w:eastAsiaTheme="minorEastAsia" w:cstheme="minorEastAsia"/>
                <w:color w:val="auto"/>
                <w:sz w:val="21"/>
                <w:szCs w:val="21"/>
                <w:highlight w:val="none"/>
              </w:rPr>
              <w:t>收取履约保证金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29.1</w:t>
            </w:r>
          </w:p>
        </w:tc>
        <w:tc>
          <w:tcPr>
            <w:tcW w:w="8627" w:type="dxa"/>
            <w:noWrap w:val="0"/>
            <w:vAlign w:val="center"/>
          </w:tcPr>
          <w:p>
            <w:pPr>
              <w:autoSpaceDE w:val="0"/>
              <w:autoSpaceDN w:val="0"/>
              <w:snapToGrid w:val="0"/>
              <w:spacing w:line="360" w:lineRule="auto"/>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签订合同携带的证明材料： </w:t>
            </w:r>
          </w:p>
          <w:p>
            <w:pPr>
              <w:autoSpaceDE w:val="0"/>
              <w:autoSpaceDN w:val="0"/>
              <w:snapToGrid w:val="0"/>
              <w:spacing w:line="360" w:lineRule="auto"/>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1、委托代理人负责签订合同的，须携带授权委托书及委托代理人身份证原件等其他资格证件。</w:t>
            </w:r>
          </w:p>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31.2</w:t>
            </w:r>
          </w:p>
        </w:tc>
        <w:tc>
          <w:tcPr>
            <w:tcW w:w="8627" w:type="dxa"/>
            <w:noWrap w:val="0"/>
            <w:vAlign w:val="center"/>
          </w:tcPr>
          <w:p>
            <w:pPr>
              <w:pStyle w:val="13"/>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接收质疑函方式：以纸质书面形式。</w:t>
            </w:r>
          </w:p>
          <w:p>
            <w:pPr>
              <w:pStyle w:val="13"/>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质疑联系部门及联系方式：广西科文招标有限公司，质疑联系人：梁壮贤，联系电话：0771-2023972；项目负责人：蒙颖，联系电话：0771-2023875，通讯地址：广西南宁市民族大道141号中鼎万象东方D区五层</w:t>
            </w:r>
          </w:p>
          <w:p>
            <w:pPr>
              <w:pStyle w:val="13"/>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现场提交质疑办理业务时间：工作日，上午8:00-12:00；下午15:00-18:00（北京时间）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6" w:hRule="atLeast"/>
          <w:jc w:val="center"/>
        </w:trPr>
        <w:tc>
          <w:tcPr>
            <w:tcW w:w="992"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32.1</w:t>
            </w:r>
          </w:p>
        </w:tc>
        <w:tc>
          <w:tcPr>
            <w:tcW w:w="8627"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1.是否收取采购代理费：</w:t>
            </w:r>
          </w:p>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 w:val="20"/>
                <w:szCs w:val="21"/>
                <w:highlight w:val="none"/>
              </w:rPr>
              <w:sym w:font="Wingdings 2" w:char="F052"/>
            </w:r>
            <w:r>
              <w:rPr>
                <w:rFonts w:hint="eastAsia" w:ascii="宋体" w:hAnsi="宋体" w:eastAsia="宋体" w:cs="宋体"/>
                <w:color w:val="auto"/>
                <w:kern w:val="0"/>
                <w:szCs w:val="21"/>
                <w:highlight w:val="none"/>
              </w:rPr>
              <w:t>是    □ 否</w:t>
            </w:r>
          </w:p>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2.采购代理费支付方式：</w:t>
            </w:r>
          </w:p>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 w:val="20"/>
                <w:szCs w:val="21"/>
                <w:highlight w:val="none"/>
              </w:rPr>
              <w:sym w:font="Wingdings 2" w:char="F052"/>
            </w:r>
            <w:r>
              <w:rPr>
                <w:rFonts w:hint="eastAsia" w:ascii="宋体" w:hAnsi="宋体" w:eastAsia="宋体" w:cs="宋体"/>
                <w:color w:val="auto"/>
                <w:kern w:val="0"/>
                <w:szCs w:val="21"/>
                <w:highlight w:val="none"/>
              </w:rPr>
              <w:t>本项目代理服务费由</w:t>
            </w:r>
            <w:r>
              <w:rPr>
                <w:rFonts w:hint="eastAsia" w:ascii="宋体" w:hAnsi="宋体" w:eastAsia="宋体" w:cs="宋体"/>
                <w:color w:val="auto"/>
                <w:kern w:val="0"/>
                <w:szCs w:val="21"/>
                <w:highlight w:val="none"/>
                <w:u w:val="single"/>
              </w:rPr>
              <w:t>成交供应商</w:t>
            </w:r>
            <w:r>
              <w:rPr>
                <w:rFonts w:hint="eastAsia" w:ascii="宋体" w:hAnsi="宋体" w:eastAsia="宋体" w:cs="宋体"/>
                <w:color w:val="auto"/>
                <w:kern w:val="0"/>
                <w:szCs w:val="21"/>
                <w:highlight w:val="none"/>
              </w:rPr>
              <w:t>领取成交通知书前，一次性向采购代理机构支付。</w:t>
            </w:r>
          </w:p>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□采购人支付。</w:t>
            </w:r>
          </w:p>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3.采购代理费收取标准：</w:t>
            </w:r>
          </w:p>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 w:val="20"/>
                <w:szCs w:val="21"/>
                <w:highlight w:val="none"/>
              </w:rPr>
              <w:sym w:font="Wingdings 2" w:char="F052"/>
            </w:r>
            <w:r>
              <w:rPr>
                <w:rFonts w:hint="eastAsia" w:ascii="宋体" w:hAnsi="宋体" w:eastAsia="宋体" w:cs="宋体"/>
                <w:color w:val="auto"/>
                <w:kern w:val="0"/>
                <w:szCs w:val="21"/>
                <w:highlight w:val="none"/>
              </w:rPr>
              <w:t>以分标（</w:t>
            </w:r>
            <w:r>
              <w:rPr>
                <w:rFonts w:hint="eastAsia" w:ascii="宋体" w:hAnsi="宋体" w:eastAsia="宋体" w:cs="宋体"/>
                <w:color w:val="auto"/>
                <w:kern w:val="0"/>
                <w:sz w:val="20"/>
                <w:szCs w:val="21"/>
                <w:highlight w:val="none"/>
              </w:rPr>
              <w:sym w:font="Wingdings 2" w:char="F052"/>
            </w:r>
            <w:r>
              <w:rPr>
                <w:rFonts w:hint="eastAsia" w:ascii="宋体" w:hAnsi="宋体" w:eastAsia="宋体" w:cs="宋体"/>
                <w:color w:val="auto"/>
                <w:kern w:val="0"/>
                <w:szCs w:val="21"/>
                <w:highlight w:val="none"/>
              </w:rPr>
              <w:t>成交金额）为计费额，按</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类采用差额定率累进法计算出收费基准价格，采购代理收费以（</w:t>
            </w: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kern w:val="0"/>
                <w:szCs w:val="21"/>
                <w:highlight w:val="none"/>
              </w:rPr>
              <w:t>收费基准价格下浮</w:t>
            </w:r>
            <w:r>
              <w:rPr>
                <w:rFonts w:hint="eastAsia" w:ascii="宋体" w:hAnsi="宋体" w:eastAsia="宋体" w:cs="宋体"/>
                <w:color w:val="auto"/>
                <w:kern w:val="0"/>
                <w:szCs w:val="21"/>
                <w:highlight w:val="none"/>
                <w:u w:val="single"/>
                <w:lang w:val="en-US" w:eastAsia="zh-CN"/>
              </w:rPr>
              <w:t>20</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）收取。</w:t>
            </w:r>
          </w:p>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□固定采购代理收费</w:t>
            </w:r>
            <w:r>
              <w:rPr>
                <w:rFonts w:hint="eastAsia" w:ascii="宋体" w:hAnsi="宋体" w:eastAsia="宋体" w:cs="宋体"/>
                <w:color w:val="auto"/>
                <w:kern w:val="0"/>
                <w:szCs w:val="21"/>
                <w:highlight w:val="none"/>
                <w:u w:val="single"/>
              </w:rPr>
              <w:t xml:space="preserve">      元 。</w:t>
            </w:r>
          </w:p>
          <w:p>
            <w:pPr>
              <w:keepNext w:val="0"/>
              <w:keepLines w:val="0"/>
              <w:pageBreakBefore w:val="0"/>
              <w:widowControl w:val="0"/>
              <w:kinsoku/>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auto"/>
                <w:sz w:val="21"/>
                <w:highlight w:val="none"/>
              </w:rPr>
            </w:pPr>
            <w:r>
              <w:rPr>
                <w:rFonts w:hint="eastAsia" w:ascii="宋体" w:hAnsi="宋体" w:eastAsia="宋体" w:cs="宋体"/>
                <w:color w:val="auto"/>
                <w:szCs w:val="20"/>
                <w:highlight w:val="none"/>
              </w:rPr>
              <w:t>本项目代理服务费</w:t>
            </w:r>
            <w:r>
              <w:rPr>
                <w:rFonts w:hint="eastAsia" w:ascii="宋体" w:hAnsi="宋体" w:eastAsia="宋体" w:cs="宋体"/>
                <w:color w:val="auto"/>
                <w:szCs w:val="20"/>
                <w:highlight w:val="none"/>
                <w:lang w:val="en-US" w:eastAsia="zh-CN"/>
              </w:rPr>
              <w:t>参</w:t>
            </w:r>
            <w:r>
              <w:rPr>
                <w:rFonts w:hint="eastAsia" w:ascii="宋体" w:hAnsi="宋体" w:eastAsia="宋体" w:cs="宋体"/>
                <w:color w:val="auto"/>
                <w:szCs w:val="20"/>
                <w:highlight w:val="none"/>
              </w:rPr>
              <w:t>照《招标代理服务费管理暂行办法》 (计价格﹝2002﹞1980号)、《国家发展改革委关于降低部分建设项目收费标准规范收费行为等有关问题的通知》(发改价格﹝2011﹞534号)的规定采用差额定率累进法计算</w:t>
            </w:r>
            <w:r>
              <w:rPr>
                <w:rFonts w:hint="eastAsia" w:ascii="宋体" w:hAnsi="宋体" w:eastAsia="宋体" w:cs="宋体"/>
                <w:color w:val="auto"/>
                <w:sz w:val="21"/>
                <w:highlight w:val="none"/>
              </w:rPr>
              <w:t>。具体费率如下：</w:t>
            </w:r>
          </w:p>
          <w:p>
            <w:pPr>
              <w:pStyle w:val="13"/>
              <w:keepNext w:val="0"/>
              <w:keepLines w:val="0"/>
              <w:pageBreakBefore w:val="0"/>
              <w:widowControl w:val="0"/>
              <w:kinsoku/>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①采购金额在100万元以下的：</w:t>
            </w:r>
          </w:p>
          <w:p>
            <w:pPr>
              <w:pStyle w:val="13"/>
              <w:keepNext w:val="0"/>
              <w:keepLines w:val="0"/>
              <w:pageBreakBefore w:val="0"/>
              <w:widowControl w:val="0"/>
              <w:kinsoku/>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货物1.5％；服务1.5％；工程1.0％；</w:t>
            </w:r>
          </w:p>
          <w:p>
            <w:pPr>
              <w:pStyle w:val="13"/>
              <w:keepNext w:val="0"/>
              <w:keepLines w:val="0"/>
              <w:pageBreakBefore w:val="0"/>
              <w:widowControl w:val="0"/>
              <w:kinsoku/>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②采购金额在100-500万元之间：</w:t>
            </w:r>
          </w:p>
          <w:p>
            <w:pPr>
              <w:pStyle w:val="13"/>
              <w:keepNext w:val="0"/>
              <w:keepLines w:val="0"/>
              <w:pageBreakBefore w:val="0"/>
              <w:widowControl w:val="0"/>
              <w:kinsoku/>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货物1.1％；服务0.8％；工程0.7％；</w:t>
            </w:r>
          </w:p>
          <w:p>
            <w:pPr>
              <w:pStyle w:val="13"/>
              <w:keepNext w:val="0"/>
              <w:keepLines w:val="0"/>
              <w:pageBreakBefore w:val="0"/>
              <w:widowControl w:val="0"/>
              <w:kinsoku/>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③采购金额在500-1000万元之间：</w:t>
            </w:r>
          </w:p>
          <w:p>
            <w:pPr>
              <w:pStyle w:val="13"/>
              <w:keepNext w:val="0"/>
              <w:keepLines w:val="0"/>
              <w:pageBreakBefore w:val="0"/>
              <w:widowControl w:val="0"/>
              <w:kinsoku/>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货物0.8％；服务0.45％；工程0.55％；</w:t>
            </w:r>
          </w:p>
          <w:p>
            <w:pPr>
              <w:pStyle w:val="13"/>
              <w:keepNext w:val="0"/>
              <w:keepLines w:val="0"/>
              <w:pageBreakBefore w:val="0"/>
              <w:widowControl w:val="0"/>
              <w:kinsoku/>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④采购金额在1000-5000万元之间：</w:t>
            </w:r>
          </w:p>
          <w:p>
            <w:pPr>
              <w:pStyle w:val="13"/>
              <w:keepNext w:val="0"/>
              <w:keepLines w:val="0"/>
              <w:pageBreakBefore w:val="0"/>
              <w:widowControl w:val="0"/>
              <w:kinsoku/>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货物0.5％；服务0.25％；工程0.35％；</w:t>
            </w:r>
          </w:p>
          <w:p>
            <w:pPr>
              <w:pStyle w:val="13"/>
              <w:keepNext w:val="0"/>
              <w:keepLines w:val="0"/>
              <w:pageBreakBefore w:val="0"/>
              <w:widowControl w:val="0"/>
              <w:kinsoku/>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p>
            <w:pPr>
              <w:pStyle w:val="13"/>
              <w:keepNext w:val="0"/>
              <w:keepLines w:val="0"/>
              <w:pageBreakBefore w:val="0"/>
              <w:widowControl w:val="0"/>
              <w:kinsoku/>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差额定率累进法计算过程示例：</w:t>
            </w:r>
          </w:p>
          <w:p>
            <w:pPr>
              <w:pStyle w:val="13"/>
              <w:keepNext w:val="0"/>
              <w:keepLines w:val="0"/>
              <w:pageBreakBefore w:val="0"/>
              <w:widowControl w:val="0"/>
              <w:kinsoku/>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例如：某</w:t>
            </w:r>
            <w:r>
              <w:rPr>
                <w:rFonts w:hint="eastAsia" w:hAnsi="宋体" w:eastAsia="宋体" w:cs="宋体"/>
                <w:color w:val="auto"/>
                <w:sz w:val="21"/>
                <w:highlight w:val="none"/>
                <w:lang w:val="en-US" w:eastAsia="zh-CN"/>
              </w:rPr>
              <w:t>服务</w:t>
            </w:r>
            <w:r>
              <w:rPr>
                <w:rFonts w:hint="eastAsia" w:ascii="宋体" w:hAnsi="宋体" w:eastAsia="宋体" w:cs="宋体"/>
                <w:color w:val="auto"/>
                <w:sz w:val="21"/>
                <w:highlight w:val="none"/>
              </w:rPr>
              <w:t>采购代理业务成交金额为300万元，采购代理服务费金额按如下计算：</w:t>
            </w:r>
          </w:p>
          <w:p>
            <w:pPr>
              <w:pStyle w:val="13"/>
              <w:keepNext w:val="0"/>
              <w:keepLines w:val="0"/>
              <w:pageBreakBefore w:val="0"/>
              <w:widowControl w:val="0"/>
              <w:kinsoku/>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100万元×1.5%＝1.5万元</w:t>
            </w:r>
          </w:p>
          <w:p>
            <w:pPr>
              <w:pStyle w:val="13"/>
              <w:keepNext w:val="0"/>
              <w:keepLines w:val="0"/>
              <w:pageBreakBefore w:val="0"/>
              <w:widowControl w:val="0"/>
              <w:kinsoku/>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（300－100）万元×</w:t>
            </w:r>
            <w:r>
              <w:rPr>
                <w:rFonts w:hint="eastAsia" w:ascii="宋体" w:hAnsi="宋体" w:eastAsia="宋体" w:cs="宋体"/>
                <w:color w:val="auto"/>
                <w:sz w:val="21"/>
                <w:highlight w:val="none"/>
                <w:lang w:val="en-US" w:eastAsia="zh-CN"/>
              </w:rPr>
              <w:t>0.8</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1.6</w:t>
            </w:r>
            <w:r>
              <w:rPr>
                <w:rFonts w:hint="eastAsia" w:ascii="宋体" w:hAnsi="宋体" w:eastAsia="宋体" w:cs="宋体"/>
                <w:color w:val="auto"/>
                <w:sz w:val="21"/>
                <w:highlight w:val="none"/>
              </w:rPr>
              <w:t>万元</w:t>
            </w:r>
          </w:p>
          <w:p>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sz w:val="21"/>
                <w:highlight w:val="none"/>
              </w:rPr>
              <w:t>合计收费＝1.5＋</w:t>
            </w:r>
            <w:r>
              <w:rPr>
                <w:rFonts w:hint="eastAsia" w:ascii="宋体" w:hAnsi="宋体" w:eastAsia="宋体" w:cs="宋体"/>
                <w:color w:val="auto"/>
                <w:sz w:val="21"/>
                <w:highlight w:val="none"/>
                <w:lang w:val="en-US" w:eastAsia="zh-CN"/>
              </w:rPr>
              <w:t>1.6</w:t>
            </w: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万元</w:t>
            </w:r>
          </w:p>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4.采购代理费收取银行账户</w:t>
            </w:r>
          </w:p>
          <w:p>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开户名称：广西科文招标有限公司南宁三分公司</w:t>
            </w:r>
          </w:p>
          <w:p>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开户银行：广西北部湾银行股份有限公司南宁市云景支行</w:t>
            </w:r>
          </w:p>
          <w:p>
            <w:pPr>
              <w:pStyle w:val="13"/>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kern w:val="0"/>
                <w:szCs w:val="21"/>
                <w:highlight w:val="none"/>
                <w:lang w:val="en-US" w:eastAsia="zh-CN"/>
              </w:rPr>
              <w:t>银行账号：805029874400001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33.1</w:t>
            </w:r>
          </w:p>
        </w:tc>
        <w:tc>
          <w:tcPr>
            <w:tcW w:w="8627" w:type="dxa"/>
            <w:noWrap w:val="0"/>
            <w:vAlign w:val="center"/>
          </w:tcPr>
          <w:p>
            <w:pPr>
              <w:pStyle w:val="13"/>
              <w:snapToGrid w:val="0"/>
              <w:spacing w:line="360" w:lineRule="auto"/>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33.2</w:t>
            </w:r>
          </w:p>
        </w:tc>
        <w:tc>
          <w:tcPr>
            <w:tcW w:w="8627" w:type="dxa"/>
            <w:noWrap w:val="0"/>
            <w:vAlign w:val="center"/>
          </w:tcPr>
          <w:p>
            <w:pPr>
              <w:pStyle w:val="13"/>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本磋商文件中描述供应商的“公章”是指根据我国对公章的管理规定，用供应商法定主体行为名称制作的印章（含电子印章），除本磋商文件有特殊规定外，供应商的财务章、部门章、分公司章、工会章、合同章、竞标/投标专用章、业务专用章及银行的转账章、现金收讫章、现金付讫章等其他形式印章均不能代替公章。</w:t>
            </w:r>
          </w:p>
          <w:p>
            <w:pPr>
              <w:pStyle w:val="13"/>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2、供应商为其他组织或者自然人时，本磋商文件规定的法定代表人指负责人或者自然人。本磋商文件所称负责人是指参加竞标的其他组织</w:t>
            </w:r>
            <w:r>
              <w:rPr>
                <w:rFonts w:hint="eastAsia" w:asciiTheme="minorEastAsia" w:hAnsiTheme="minorEastAsia" w:eastAsiaTheme="minorEastAsia" w:cstheme="minorEastAsia"/>
                <w:bCs/>
                <w:color w:val="auto"/>
                <w:sz w:val="21"/>
                <w:szCs w:val="21"/>
                <w:highlight w:val="none"/>
                <w:lang w:val="en-US" w:eastAsia="zh-CN"/>
              </w:rPr>
              <w:t>营业执照或者执业许可证等证照上的</w:t>
            </w:r>
            <w:r>
              <w:rPr>
                <w:rFonts w:hint="eastAsia" w:asciiTheme="minorEastAsia" w:hAnsiTheme="minorEastAsia" w:eastAsiaTheme="minorEastAsia" w:cstheme="minorEastAsia"/>
                <w:color w:val="auto"/>
                <w:sz w:val="21"/>
                <w:szCs w:val="21"/>
                <w:highlight w:val="none"/>
                <w:lang w:val="en-US" w:eastAsia="zh-CN"/>
              </w:rPr>
              <w:t>负责人，本磋商文件所称自然人指参与竞标的自然人本人，</w:t>
            </w:r>
            <w:r>
              <w:rPr>
                <w:rFonts w:hint="eastAsia" w:asciiTheme="minorEastAsia" w:hAnsiTheme="minorEastAsia" w:eastAsiaTheme="minorEastAsia" w:cstheme="minorEastAsia"/>
                <w:bCs/>
                <w:color w:val="auto"/>
                <w:sz w:val="21"/>
                <w:szCs w:val="21"/>
                <w:highlight w:val="none"/>
                <w:lang w:val="en-US" w:eastAsia="zh-CN"/>
              </w:rPr>
              <w:t>且应具备独立承担民事责任能力，自然人应当为年满18岁以上成年人（十六周岁以上的未成年人，以自己的劳动收入为主要生活来源的，视为完全民事行为能力人）。</w:t>
            </w:r>
          </w:p>
          <w:p>
            <w:pPr>
              <w:pStyle w:val="13"/>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3、本磋商文件中描述供应商的“签字”是指供应商的法定代表人或者委托代理人在文件规定签署处签名（含电子签名）的行为，私章、印鉴等其他形式均不能代替签字。</w:t>
            </w:r>
          </w:p>
          <w:p>
            <w:pPr>
              <w:pStyle w:val="13"/>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4、自然人竞标的，磋商文件规定盖公章处由自然人摁手指指印。</w:t>
            </w:r>
          </w:p>
          <w:p>
            <w:pPr>
              <w:pStyle w:val="13"/>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5、本磋商文件所称的“以上”“以下”“以内”“届满”，包括本数；所称的“不满”“超过”“以外”，不包括本数。</w:t>
            </w:r>
          </w:p>
        </w:tc>
      </w:tr>
    </w:tbl>
    <w:p>
      <w:pPr>
        <w:spacing w:line="400" w:lineRule="exact"/>
        <w:jc w:val="center"/>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pPr>
        <w:spacing w:line="400" w:lineRule="exact"/>
        <w:jc w:val="center"/>
        <w:rPr>
          <w:rFonts w:hint="eastAsia" w:ascii="宋体" w:hAnsi="宋体"/>
          <w:b/>
          <w:color w:val="auto"/>
          <w:sz w:val="32"/>
          <w:szCs w:val="32"/>
          <w:highlight w:val="none"/>
        </w:rPr>
      </w:pPr>
    </w:p>
    <w:p>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一、总则</w:t>
      </w:r>
    </w:p>
    <w:p>
      <w:pPr>
        <w:spacing w:line="400" w:lineRule="exact"/>
        <w:rPr>
          <w:rFonts w:hint="eastAsia" w:ascii="宋体" w:hAnsi="宋体"/>
          <w:color w:val="auto"/>
          <w:szCs w:val="21"/>
          <w:highlight w:val="none"/>
        </w:rPr>
      </w:pP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pPr>
        <w:spacing w:line="360" w:lineRule="auto"/>
        <w:ind w:firstLine="420" w:firstLineChars="200"/>
        <w:contextualSpacing/>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5</w:t>
      </w:r>
      <w:r>
        <w:rPr>
          <w:rFonts w:hint="eastAsia" w:ascii="黑体" w:hAnsi="黑体" w:eastAsia="黑体" w:cs="宋体"/>
          <w:b/>
          <w:bCs/>
          <w:color w:val="auto"/>
          <w:sz w:val="24"/>
          <w:highlight w:val="none"/>
        </w:rPr>
        <w:t xml:space="preserve">.转包与分包             </w:t>
      </w:r>
    </w:p>
    <w:p>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22" w:name="_Toc254970532"/>
      <w:bookmarkStart w:id="23" w:name="_Toc254970673"/>
      <w:r>
        <w:rPr>
          <w:rFonts w:hint="eastAsia" w:ascii="宋体" w:hAnsi="宋体"/>
          <w:b w:val="0"/>
          <w:color w:val="auto"/>
          <w:sz w:val="21"/>
          <w:szCs w:val="21"/>
          <w:highlight w:val="none"/>
          <w:lang w:val="en-US" w:eastAsia="zh-CN"/>
        </w:rPr>
        <w:t>5</w:t>
      </w:r>
      <w:r>
        <w:rPr>
          <w:rFonts w:hint="eastAsia" w:ascii="宋体" w:hAnsi="宋体"/>
          <w:b w:val="0"/>
          <w:color w:val="auto"/>
          <w:sz w:val="21"/>
          <w:szCs w:val="21"/>
          <w:highlight w:val="none"/>
        </w:rPr>
        <w:t>.1本项目不允许转包。</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6</w:t>
      </w:r>
      <w:r>
        <w:rPr>
          <w:rFonts w:hint="eastAsia" w:ascii="黑体" w:hAnsi="黑体" w:eastAsia="黑体" w:cs="宋体"/>
          <w:b/>
          <w:bCs/>
          <w:color w:val="auto"/>
          <w:sz w:val="24"/>
          <w:highlight w:val="none"/>
        </w:rPr>
        <w:t>.特别说明</w:t>
      </w:r>
      <w:bookmarkEnd w:id="22"/>
      <w:bookmarkEnd w:id="23"/>
    </w:p>
    <w:p>
      <w:pPr>
        <w:spacing w:line="360" w:lineRule="auto"/>
        <w:ind w:firstLine="420" w:firstLineChars="200"/>
        <w:rPr>
          <w:rFonts w:hint="eastAsia" w:ascii="宋体" w:hAnsi="宋体" w:cs="宋体"/>
          <w:color w:val="auto"/>
          <w:szCs w:val="21"/>
          <w:highlight w:val="none"/>
        </w:rPr>
      </w:pPr>
      <w:bookmarkStart w:id="24" w:name="_8.1提供相同品牌产品且通过资格审查、符合性审查的不同投标人参加同一合"/>
      <w:bookmarkEnd w:id="24"/>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ascii="宋体" w:hAnsi="宋体" w:cs="宋体"/>
          <w:color w:val="auto"/>
          <w:szCs w:val="21"/>
          <w:highlight w:val="none"/>
        </w:rPr>
        <w:t>1</w:t>
      </w:r>
      <w:bookmarkStart w:id="25"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25"/>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供应商在竞标活动中提供任何疑似虚假材料，将报监管部门查处；签订合同后发现的，成交供应商须依法赔偿采购人，且民事赔偿并不免除违法供应商的行政与刑事责任。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pPr>
        <w:tabs>
          <w:tab w:val="left" w:pos="6931"/>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pPr>
        <w:spacing w:line="360" w:lineRule="auto"/>
        <w:ind w:firstLine="420" w:firstLineChars="200"/>
        <w:rPr>
          <w:rFonts w:hint="eastAsia" w:ascii="宋体" w:hAnsi="宋体" w:cs="宋体"/>
          <w:color w:val="auto"/>
          <w:szCs w:val="21"/>
          <w:highlight w:val="none"/>
        </w:rPr>
      </w:pPr>
    </w:p>
    <w:p>
      <w:pPr>
        <w:spacing w:line="360" w:lineRule="auto"/>
        <w:ind w:left="1" w:firstLine="417" w:firstLineChars="199"/>
        <w:jc w:val="center"/>
        <w:rPr>
          <w:rFonts w:hint="eastAsia" w:ascii="宋体" w:hAnsi="宋体"/>
          <w:color w:val="auto"/>
          <w:highlight w:val="none"/>
        </w:rPr>
      </w:pPr>
      <w:bookmarkStart w:id="26" w:name="_Toc254970534"/>
      <w:bookmarkStart w:id="27" w:name="_Toc254970675"/>
    </w:p>
    <w:p>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二、磋商文件</w:t>
      </w:r>
      <w:bookmarkEnd w:id="26"/>
      <w:bookmarkEnd w:id="27"/>
    </w:p>
    <w:p>
      <w:pPr>
        <w:spacing w:line="360" w:lineRule="auto"/>
        <w:ind w:firstLine="482" w:firstLineChars="200"/>
        <w:rPr>
          <w:rFonts w:hint="eastAsia" w:ascii="黑体" w:hAnsi="黑体" w:eastAsia="黑体" w:cs="宋体"/>
          <w:b/>
          <w:bCs/>
          <w:color w:val="auto"/>
          <w:sz w:val="24"/>
          <w:highlight w:val="none"/>
        </w:rPr>
      </w:pP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7</w:t>
      </w:r>
      <w:r>
        <w:rPr>
          <w:rFonts w:hint="eastAsia" w:ascii="黑体" w:hAnsi="黑体" w:eastAsia="黑体" w:cs="宋体"/>
          <w:b/>
          <w:bCs/>
          <w:color w:val="auto"/>
          <w:sz w:val="24"/>
          <w:highlight w:val="none"/>
        </w:rPr>
        <w:t>.磋商文件的构成</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（1）竞争性磋商公告；</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（2）供应商须知； </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（3）采购需求；</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（4）评审程序、评审方法和评审标准；</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（5）响应文件格式；</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（6）合同文本。</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8</w:t>
      </w:r>
      <w:r>
        <w:rPr>
          <w:rFonts w:hint="eastAsia" w:ascii="黑体" w:hAnsi="黑体" w:eastAsia="黑体" w:cs="宋体"/>
          <w:b/>
          <w:bCs/>
          <w:color w:val="auto"/>
          <w:sz w:val="24"/>
          <w:highlight w:val="none"/>
        </w:rPr>
        <w:t>.供应商的询问</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，以纸质书面形式向</w:t>
      </w:r>
      <w:r>
        <w:rPr>
          <w:rFonts w:ascii="宋体" w:hAnsi="宋体"/>
          <w:color w:val="auto"/>
          <w:szCs w:val="21"/>
          <w:highlight w:val="none"/>
        </w:rPr>
        <w:t>采购人、采购代理机构</w:t>
      </w:r>
      <w:r>
        <w:rPr>
          <w:rFonts w:hint="eastAsia" w:ascii="宋体" w:hAnsi="宋体"/>
          <w:color w:val="auto"/>
          <w:szCs w:val="21"/>
          <w:highlight w:val="none"/>
        </w:rPr>
        <w:t>提出</w:t>
      </w:r>
      <w:r>
        <w:rPr>
          <w:rFonts w:hint="eastAsia" w:ascii="宋体" w:hAnsi="宋体" w:cs="宋体"/>
          <w:color w:val="auto"/>
          <w:szCs w:val="21"/>
          <w:highlight w:val="none"/>
        </w:rPr>
        <w:t>，否则，由此产生的后果由供应商自行负责。</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9</w:t>
      </w:r>
      <w:r>
        <w:rPr>
          <w:rFonts w:hint="eastAsia" w:ascii="黑体" w:hAnsi="黑体" w:eastAsia="黑体" w:cs="宋体"/>
          <w:b/>
          <w:bCs/>
          <w:color w:val="auto"/>
          <w:sz w:val="24"/>
          <w:highlight w:val="none"/>
        </w:rPr>
        <w:t>.磋商文件的澄清和修改</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w:t>
      </w:r>
      <w:r>
        <w:rPr>
          <w:rFonts w:ascii="宋体" w:hAnsi="宋体" w:cs="宋体"/>
          <w:color w:val="auto"/>
          <w:szCs w:val="21"/>
          <w:highlight w:val="none"/>
        </w:rPr>
        <w:t>5</w:t>
      </w:r>
      <w:r>
        <w:rPr>
          <w:rFonts w:hint="eastAsia" w:ascii="宋体" w:hAnsi="宋体" w:cs="宋体"/>
          <w:color w:val="auto"/>
          <w:szCs w:val="21"/>
          <w:highlight w:val="none"/>
        </w:rPr>
        <w:t>日前，在原公告发布媒体上发布更正公告；不足</w:t>
      </w:r>
      <w:r>
        <w:rPr>
          <w:rFonts w:ascii="宋体" w:hAnsi="宋体" w:cs="宋体"/>
          <w:color w:val="auto"/>
          <w:szCs w:val="21"/>
          <w:highlight w:val="none"/>
        </w:rPr>
        <w:t>5</w:t>
      </w:r>
      <w:r>
        <w:rPr>
          <w:rFonts w:hint="eastAsia" w:ascii="宋体" w:hAnsi="宋体" w:cs="宋体"/>
          <w:color w:val="auto"/>
          <w:szCs w:val="21"/>
          <w:highlight w:val="none"/>
        </w:rPr>
        <w:t>日的，采购人、采购代理机构应当顺延提交首次响应文件截止时间。</w:t>
      </w:r>
    </w:p>
    <w:p>
      <w:pPr>
        <w:spacing w:line="400" w:lineRule="exact"/>
        <w:ind w:firstLine="420" w:firstLineChars="200"/>
        <w:rPr>
          <w:rFonts w:hint="eastAsia" w:ascii="宋体" w:hAnsi="宋体"/>
          <w:color w:val="auto"/>
          <w:szCs w:val="21"/>
          <w:highlight w:val="none"/>
        </w:rPr>
      </w:pPr>
      <w:r>
        <w:rPr>
          <w:rFonts w:hint="eastAsia" w:ascii="宋体" w:hAnsi="宋体" w:cs="宋体"/>
          <w:color w:val="auto"/>
          <w:highlight w:val="none"/>
          <w:lang w:val="en-US" w:eastAsia="zh-CN"/>
        </w:rPr>
        <w:t>9</w:t>
      </w:r>
      <w:r>
        <w:rPr>
          <w:rFonts w:hint="eastAsia" w:ascii="宋体" w:hAnsi="宋体" w:cs="宋体"/>
          <w:color w:val="auto"/>
          <w:highlight w:val="none"/>
        </w:rPr>
        <w:t>.2采购人和采购代理机构可以视采购具体情况，变更</w:t>
      </w:r>
      <w:r>
        <w:rPr>
          <w:rFonts w:hint="eastAsia" w:ascii="宋体" w:hAnsi="宋体" w:cs="宋体"/>
          <w:color w:val="auto"/>
          <w:szCs w:val="21"/>
          <w:highlight w:val="none"/>
        </w:rPr>
        <w:t>首次响应文件提交截止时间和开启时间</w:t>
      </w:r>
      <w:r>
        <w:rPr>
          <w:rFonts w:hint="eastAsia" w:ascii="宋体" w:hAnsi="宋体" w:cs="宋体"/>
          <w:color w:val="auto"/>
          <w:highlight w:val="none"/>
        </w:rPr>
        <w:t>，</w:t>
      </w:r>
      <w:r>
        <w:rPr>
          <w:rFonts w:hint="eastAsia" w:ascii="宋体" w:hAnsi="宋体"/>
          <w:color w:val="auto"/>
          <w:highlight w:val="none"/>
        </w:rPr>
        <w:t>并</w:t>
      </w:r>
      <w:r>
        <w:rPr>
          <w:rFonts w:hint="eastAsia" w:ascii="宋体" w:hAnsi="宋体"/>
          <w:color w:val="auto"/>
          <w:szCs w:val="21"/>
          <w:highlight w:val="none"/>
        </w:rPr>
        <w:t>在原公告发布媒体上发布更正公告。</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9</w:t>
      </w:r>
      <w:r>
        <w:rPr>
          <w:rFonts w:hint="eastAsia" w:ascii="宋体" w:hAnsi="宋体" w:cs="宋体"/>
          <w:color w:val="auto"/>
          <w:highlight w:val="none"/>
        </w:rPr>
        <w:t>.3</w:t>
      </w:r>
      <w:r>
        <w:rPr>
          <w:rFonts w:hint="eastAsia" w:ascii="宋体" w:hAnsi="宋体" w:cs="宋体"/>
          <w:color w:val="auto"/>
          <w:szCs w:val="21"/>
          <w:highlight w:val="none"/>
        </w:rPr>
        <w:t>磋商文件</w:t>
      </w:r>
      <w:r>
        <w:rPr>
          <w:rFonts w:hint="eastAsia" w:ascii="宋体" w:hAnsi="宋体"/>
          <w:color w:val="auto"/>
          <w:szCs w:val="21"/>
          <w:highlight w:val="none"/>
        </w:rPr>
        <w:t>澄清、答复、修改、补充的内容为</w:t>
      </w:r>
      <w:r>
        <w:rPr>
          <w:rFonts w:hint="eastAsia" w:ascii="宋体" w:hAnsi="宋体" w:cs="宋体"/>
          <w:color w:val="auto"/>
          <w:szCs w:val="21"/>
          <w:highlight w:val="none"/>
        </w:rPr>
        <w:t>磋商文件</w:t>
      </w:r>
      <w:r>
        <w:rPr>
          <w:rFonts w:hint="eastAsia" w:ascii="宋体" w:hAnsi="宋体"/>
          <w:color w:val="auto"/>
          <w:szCs w:val="21"/>
          <w:highlight w:val="none"/>
        </w:rPr>
        <w:t>的组成部分。</w:t>
      </w:r>
      <w:r>
        <w:rPr>
          <w:rFonts w:hint="eastAsia" w:ascii="宋体" w:hAnsi="宋体"/>
          <w:b/>
          <w:color w:val="auto"/>
          <w:szCs w:val="21"/>
          <w:highlight w:val="none"/>
        </w:rPr>
        <w:t>当</w:t>
      </w:r>
      <w:r>
        <w:rPr>
          <w:rFonts w:hint="eastAsia" w:ascii="宋体" w:hAnsi="宋体" w:cs="宋体"/>
          <w:b/>
          <w:color w:val="auto"/>
          <w:szCs w:val="21"/>
          <w:highlight w:val="none"/>
        </w:rPr>
        <w:t>磋商文件</w:t>
      </w:r>
      <w:r>
        <w:rPr>
          <w:rFonts w:hint="eastAsia" w:ascii="宋体" w:hAnsi="宋体"/>
          <w:b/>
          <w:color w:val="auto"/>
          <w:szCs w:val="21"/>
          <w:highlight w:val="none"/>
        </w:rPr>
        <w:t>与</w:t>
      </w:r>
      <w:r>
        <w:rPr>
          <w:rFonts w:hint="eastAsia" w:ascii="宋体" w:hAnsi="宋体" w:cs="宋体"/>
          <w:b/>
          <w:color w:val="auto"/>
          <w:szCs w:val="21"/>
          <w:highlight w:val="none"/>
        </w:rPr>
        <w:t>磋商文件</w:t>
      </w:r>
      <w:r>
        <w:rPr>
          <w:rFonts w:hint="eastAsia" w:ascii="宋体" w:hAnsi="宋体"/>
          <w:b/>
          <w:color w:val="auto"/>
          <w:szCs w:val="21"/>
          <w:highlight w:val="none"/>
        </w:rPr>
        <w:t>的澄清、答复、修改、补充通知就同一内容的表述不一致时，以最后发出的文件为准。</w:t>
      </w:r>
    </w:p>
    <w:p>
      <w:pPr>
        <w:spacing w:line="400" w:lineRule="exact"/>
        <w:ind w:firstLine="422" w:firstLineChars="200"/>
        <w:rPr>
          <w:rFonts w:hint="eastAsia" w:ascii="宋体" w:hAnsi="宋体"/>
          <w:b/>
          <w:color w:val="auto"/>
          <w:szCs w:val="21"/>
          <w:highlight w:val="none"/>
        </w:rPr>
      </w:pPr>
      <w:r>
        <w:rPr>
          <w:rFonts w:hint="eastAsia" w:ascii="宋体" w:hAnsi="宋体" w:cs="宋体"/>
          <w:b/>
          <w:color w:val="auto"/>
          <w:highlight w:val="none"/>
          <w:lang w:val="en-US" w:eastAsia="zh-CN"/>
        </w:rPr>
        <w:t>9</w:t>
      </w:r>
      <w:r>
        <w:rPr>
          <w:rFonts w:hint="eastAsia" w:ascii="宋体" w:hAnsi="宋体" w:cs="宋体"/>
          <w:b/>
          <w:color w:val="auto"/>
          <w:highlight w:val="none"/>
        </w:rPr>
        <w:t>.4</w:t>
      </w:r>
      <w:r>
        <w:rPr>
          <w:rFonts w:hint="eastAsia" w:ascii="宋体" w:hAnsi="宋体"/>
          <w:b/>
          <w:color w:val="auto"/>
          <w:szCs w:val="21"/>
          <w:highlight w:val="none"/>
        </w:rPr>
        <w:t>响应文件未按磋商文件的澄清、修改后的内容编制的，其响应文件作无效响应处理。</w:t>
      </w:r>
    </w:p>
    <w:p>
      <w:pPr>
        <w:spacing w:line="400" w:lineRule="exact"/>
        <w:ind w:firstLine="422" w:firstLineChars="200"/>
        <w:rPr>
          <w:rFonts w:hint="eastAsia" w:ascii="宋体" w:hAnsi="宋体"/>
          <w:b/>
          <w:color w:val="auto"/>
          <w:szCs w:val="21"/>
          <w:highlight w:val="none"/>
        </w:rPr>
      </w:pPr>
    </w:p>
    <w:p>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三、响应文件的编制</w:t>
      </w:r>
    </w:p>
    <w:p>
      <w:pPr>
        <w:spacing w:line="360" w:lineRule="auto"/>
        <w:ind w:firstLine="482" w:firstLineChars="200"/>
        <w:rPr>
          <w:rFonts w:hint="eastAsia" w:ascii="黑体" w:hAnsi="黑体" w:eastAsia="黑体" w:cs="宋体"/>
          <w:b/>
          <w:bCs/>
          <w:color w:val="auto"/>
          <w:sz w:val="24"/>
          <w:highlight w:val="none"/>
        </w:rPr>
      </w:pP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0</w:t>
      </w:r>
      <w:r>
        <w:rPr>
          <w:rFonts w:hint="eastAsia" w:ascii="黑体" w:hAnsi="黑体" w:eastAsia="黑体" w:cs="宋体"/>
          <w:b/>
          <w:bCs/>
          <w:color w:val="auto"/>
          <w:sz w:val="24"/>
          <w:highlight w:val="none"/>
        </w:rPr>
        <w:t>.响应文件的编制原则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1</w:t>
      </w:r>
      <w:r>
        <w:rPr>
          <w:rFonts w:hint="eastAsia" w:ascii="黑体" w:hAnsi="黑体" w:eastAsia="黑体" w:cs="宋体"/>
          <w:b/>
          <w:bCs/>
          <w:color w:val="auto"/>
          <w:sz w:val="24"/>
          <w:highlight w:val="none"/>
        </w:rPr>
        <w:t>.响应文件的组成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.1响应文件由资格证明文件、报价商务技术文件两部分组成。</w:t>
      </w:r>
    </w:p>
    <w:p>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ascii="宋体" w:hAnsi="宋体" w:cs="宋体"/>
          <w:color w:val="auto"/>
          <w:szCs w:val="21"/>
          <w:highlight w:val="none"/>
        </w:rPr>
        <w:t>.1.1</w:t>
      </w:r>
      <w:r>
        <w:rPr>
          <w:rFonts w:hint="eastAsia" w:ascii="宋体" w:hAnsi="宋体" w:cs="宋体"/>
          <w:color w:val="auto"/>
          <w:szCs w:val="21"/>
          <w:highlight w:val="none"/>
        </w:rPr>
        <w:t>资格证明文件：详见须知前附表</w:t>
      </w:r>
    </w:p>
    <w:p>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ascii="宋体" w:hAnsi="宋体" w:cs="宋体"/>
          <w:color w:val="auto"/>
          <w:szCs w:val="21"/>
          <w:highlight w:val="none"/>
        </w:rPr>
        <w:t>.1.2</w:t>
      </w:r>
      <w:r>
        <w:rPr>
          <w:rFonts w:hint="eastAsia" w:ascii="宋体" w:hAnsi="宋体" w:cs="宋体"/>
          <w:color w:val="auto"/>
          <w:szCs w:val="21"/>
          <w:highlight w:val="none"/>
        </w:rPr>
        <w:t>报价商务技术文件：详见须知前附表</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2</w:t>
      </w:r>
      <w:r>
        <w:rPr>
          <w:rFonts w:hint="eastAsia" w:ascii="黑体" w:hAnsi="黑体" w:eastAsia="黑体" w:cs="宋体"/>
          <w:b/>
          <w:bCs/>
          <w:color w:val="auto"/>
          <w:sz w:val="24"/>
          <w:highlight w:val="none"/>
        </w:rPr>
        <w:t>.计量单位</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3</w:t>
      </w:r>
      <w:r>
        <w:rPr>
          <w:rFonts w:hint="eastAsia" w:ascii="黑体" w:hAnsi="黑体" w:eastAsia="黑体" w:cs="宋体"/>
          <w:b/>
          <w:bCs/>
          <w:color w:val="auto"/>
          <w:sz w:val="24"/>
          <w:highlight w:val="none"/>
        </w:rPr>
        <w:t>.竞标的风险</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4</w:t>
      </w:r>
      <w:r>
        <w:rPr>
          <w:rFonts w:hint="eastAsia" w:ascii="黑体" w:hAnsi="黑体" w:eastAsia="黑体" w:cs="宋体"/>
          <w:b/>
          <w:bCs/>
          <w:color w:val="auto"/>
          <w:sz w:val="24"/>
          <w:highlight w:val="none"/>
        </w:rPr>
        <w:t>.竞标报价</w:t>
      </w:r>
    </w:p>
    <w:p>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.1竞标报价应按磋商文件中“竞标报价表”格式填写。</w:t>
      </w:r>
    </w:p>
    <w:p>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.2竞标报价的内容见“供应商须知前附表”。</w:t>
      </w:r>
    </w:p>
    <w:p>
      <w:pPr>
        <w:spacing w:line="360" w:lineRule="auto"/>
        <w:ind w:left="426" w:leftChars="203"/>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.3竞标报价要求</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4</w:t>
      </w:r>
      <w:r>
        <w:rPr>
          <w:rFonts w:ascii="宋体" w:hAnsi="宋体" w:cs="宋体"/>
          <w:b/>
          <w:color w:val="auto"/>
          <w:szCs w:val="21"/>
          <w:highlight w:val="none"/>
        </w:rPr>
        <w:t>.3.1</w:t>
      </w:r>
      <w:r>
        <w:rPr>
          <w:rFonts w:hint="eastAsia" w:ascii="宋体" w:hAnsi="宋体" w:cs="宋体"/>
          <w:b/>
          <w:color w:val="auto"/>
          <w:szCs w:val="21"/>
          <w:highlight w:val="none"/>
        </w:rPr>
        <w:t>供应商的竞标报价应符合以下要求，否则响应文件按无效响应处理：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最后报价超过所竞标分标规定的采购预算金额或者最高限价的，其响应文件将按无效响应处理。</w:t>
      </w:r>
      <w:bookmarkStart w:id="28" w:name="_Hlk42592874"/>
    </w:p>
    <w:bookmarkEnd w:id="28"/>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5</w:t>
      </w:r>
      <w:r>
        <w:rPr>
          <w:rFonts w:hint="eastAsia" w:ascii="黑体" w:hAnsi="黑体" w:eastAsia="黑体" w:cs="宋体"/>
          <w:b/>
          <w:bCs/>
          <w:color w:val="auto"/>
          <w:sz w:val="24"/>
          <w:highlight w:val="none"/>
        </w:rPr>
        <w:t>.竞标有效期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.2 竞标有效期应由供应商按“供应商须知前附表”规定的期限作出响应。</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.3供应商的响应文件在竞标有效期内均保持有效。</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6</w:t>
      </w:r>
      <w:r>
        <w:rPr>
          <w:rFonts w:hint="eastAsia" w:ascii="黑体" w:hAnsi="黑体" w:eastAsia="黑体" w:cs="宋体"/>
          <w:b/>
          <w:bCs/>
          <w:color w:val="auto"/>
          <w:sz w:val="24"/>
          <w:highlight w:val="none"/>
        </w:rPr>
        <w:t>.磋商保证金</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.1供应商须按“供应商须知前附表”的规定提交磋商保证金。</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.2磋商保证金的退还</w:t>
      </w:r>
    </w:p>
    <w:p>
      <w:pPr>
        <w:spacing w:line="360" w:lineRule="auto"/>
        <w:ind w:firstLine="420" w:firstLineChars="200"/>
        <w:rPr>
          <w:rFonts w:hint="eastAsia" w:ascii="宋体" w:hAnsi="宋体" w:cs="宋体"/>
          <w:color w:val="auto"/>
          <w:szCs w:val="21"/>
          <w:highlight w:val="none"/>
        </w:rPr>
      </w:pPr>
      <w:bookmarkStart w:id="29"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成交供应商的磋商保证金自成交通知书发出之日起</w:t>
      </w:r>
      <w:r>
        <w:rPr>
          <w:rFonts w:hint="eastAsia" w:ascii="宋体" w:hAnsi="宋体" w:cs="宋体"/>
          <w:color w:val="auto"/>
          <w:spacing w:val="-6"/>
          <w:szCs w:val="21"/>
          <w:highlight w:val="none"/>
          <w:lang w:val="en-US" w:eastAsia="zh-CN"/>
        </w:rPr>
        <w:t>4</w:t>
      </w:r>
      <w:r>
        <w:rPr>
          <w:rFonts w:hint="eastAsia" w:ascii="宋体" w:hAnsi="宋体" w:cs="宋体"/>
          <w:color w:val="auto"/>
          <w:spacing w:val="-6"/>
          <w:szCs w:val="21"/>
          <w:highlight w:val="none"/>
        </w:rPr>
        <w:t>个工作日内退还；</w:t>
      </w:r>
      <w:r>
        <w:rPr>
          <w:rFonts w:hint="eastAsia" w:ascii="宋体" w:hAnsi="宋体" w:cs="宋体"/>
          <w:color w:val="auto"/>
          <w:szCs w:val="21"/>
          <w:highlight w:val="none"/>
        </w:rPr>
        <w:t>成交供应商的磋商保证金自签订合同之日起</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个工作日内退还。</w:t>
      </w:r>
      <w:bookmarkEnd w:id="29"/>
      <w:r>
        <w:rPr>
          <w:rFonts w:hint="eastAsia" w:ascii="宋体" w:hAnsi="宋体" w:cs="宋体"/>
          <w:color w:val="auto"/>
          <w:szCs w:val="21"/>
          <w:highlight w:val="none"/>
        </w:rPr>
        <w:t xml:space="preserve"> </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.3磋商保证金不计息。</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.4供应商有下列情形之一的，磋商保证金将不予退还： </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（1）供应商在提交首次响应文件截止时间后撤回响应文件的；</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）供应商在响应文件中提供虚假材料的；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）除因不可抗力或者磋商文件认可的情形以外，成交供应商不与采购人签订合同的；</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）供应商与采购人、其他供应商或者采购代理机构恶意串通的；</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）法律法规规定的其他情形。</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7</w:t>
      </w:r>
      <w:r>
        <w:rPr>
          <w:rFonts w:hint="eastAsia" w:ascii="黑体" w:hAnsi="黑体" w:eastAsia="黑体" w:cs="宋体"/>
          <w:b/>
          <w:bCs/>
          <w:color w:val="auto"/>
          <w:sz w:val="24"/>
          <w:highlight w:val="none"/>
        </w:rPr>
        <w:t>.响应文件编制的要求</w:t>
      </w:r>
    </w:p>
    <w:p>
      <w:pPr>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.1供应商应按本磋商文件规定的格式和顺序编制响应文件并标注页码，响应文件内容</w:t>
      </w:r>
      <w:r>
        <w:rPr>
          <w:rFonts w:hint="eastAsia" w:ascii="宋体" w:hAnsi="宋体" w:cs="宋体"/>
          <w:color w:val="auto"/>
          <w:spacing w:val="-6"/>
          <w:szCs w:val="21"/>
          <w:highlight w:val="none"/>
        </w:rPr>
        <w:t>不完整、编排混乱导致响应文件被误读、漏读或者查找不到相关内容的，</w:t>
      </w:r>
      <w:r>
        <w:rPr>
          <w:rFonts w:hint="eastAsia" w:ascii="宋体" w:hAnsi="宋体"/>
          <w:color w:val="auto"/>
          <w:highlight w:val="none"/>
        </w:rPr>
        <w:t>由此引发的</w:t>
      </w:r>
      <w:r>
        <w:rPr>
          <w:rFonts w:hint="eastAsia" w:ascii="宋体" w:hAnsi="宋体" w:cs="宋体"/>
          <w:color w:val="auto"/>
          <w:spacing w:val="-6"/>
          <w:szCs w:val="21"/>
          <w:highlight w:val="none"/>
        </w:rPr>
        <w:t>后果由供应商承担。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.2响应文件应按资格证明文件、报价商务技术文件分别编制电子文件，</w:t>
      </w:r>
      <w:r>
        <w:rPr>
          <w:rFonts w:hint="eastAsia" w:ascii="宋体" w:hAnsi="宋体" w:cs="宋体"/>
          <w:color w:val="auto"/>
          <w:szCs w:val="21"/>
          <w:highlight w:val="none"/>
          <w:lang w:bidi="ar"/>
        </w:rPr>
        <w:t>并按</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的要求编制、加密、上传。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bookmarkStart w:id="30" w:name="_Hlk65832699"/>
      <w:r>
        <w:rPr>
          <w:rFonts w:hint="eastAsia" w:ascii="宋体" w:hAnsi="宋体" w:cs="宋体"/>
          <w:color w:val="auto"/>
          <w:szCs w:val="21"/>
          <w:highlight w:val="none"/>
        </w:rPr>
        <w:t>3</w:t>
      </w:r>
      <w:r>
        <w:rPr>
          <w:rFonts w:hint="eastAsia" w:ascii="宋体" w:hAnsi="宋体"/>
          <w:color w:val="auto"/>
          <w:szCs w:val="21"/>
          <w:highlight w:val="none"/>
        </w:rPr>
        <w:t>响应文件须由供应商在规定位置盖公章并签字</w:t>
      </w:r>
      <w:bookmarkStart w:id="31" w:name="_Hlk65832569"/>
      <w:r>
        <w:rPr>
          <w:rFonts w:hint="eastAsia" w:ascii="宋体" w:hAnsi="宋体"/>
          <w:color w:val="auto"/>
          <w:szCs w:val="21"/>
          <w:highlight w:val="none"/>
        </w:rPr>
        <w:t>（具体以供应商须知前附表或响应文件格式规定为准）</w:t>
      </w:r>
      <w:bookmarkEnd w:id="30"/>
      <w:bookmarkEnd w:id="31"/>
      <w:r>
        <w:rPr>
          <w:rFonts w:hint="eastAsia" w:ascii="宋体" w:hAnsi="宋体" w:cs="宋体"/>
          <w:color w:val="auto"/>
          <w:szCs w:val="21"/>
          <w:highlight w:val="none"/>
        </w:rPr>
        <w:t>，否则其响应文件按无效响应处理。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.4响应文件中标注的供应商名称应与营业执照（事业单位法人证书、执业许可证、自然人身份证）及公章一致，否则其响应文件按无效响应处理。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w:t>
      </w:r>
      <w:r>
        <w:rPr>
          <w:rFonts w:hint="eastAsia" w:ascii="黑体" w:hAnsi="黑体" w:eastAsia="黑体" w:cs="宋体"/>
          <w:b/>
          <w:bCs/>
          <w:color w:val="auto"/>
          <w:sz w:val="24"/>
          <w:highlight w:val="none"/>
          <w:lang w:val="en-US" w:eastAsia="zh-CN"/>
        </w:rPr>
        <w:t>8</w:t>
      </w:r>
      <w:r>
        <w:rPr>
          <w:rFonts w:hint="eastAsia" w:ascii="黑体" w:hAnsi="黑体" w:eastAsia="黑体" w:cs="宋体"/>
          <w:b/>
          <w:bCs/>
          <w:color w:val="auto"/>
          <w:sz w:val="24"/>
          <w:highlight w:val="none"/>
        </w:rPr>
        <w:t>.响应文件的加密、解密</w:t>
      </w:r>
    </w:p>
    <w:p>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8</w:t>
      </w:r>
      <w:r>
        <w:rPr>
          <w:rFonts w:hint="eastAsia" w:ascii="宋体" w:hAnsi="宋体"/>
          <w:color w:val="auto"/>
          <w:szCs w:val="21"/>
          <w:highlight w:val="none"/>
        </w:rPr>
        <w:t>.1电子</w:t>
      </w:r>
      <w:r>
        <w:rPr>
          <w:rFonts w:hint="eastAsia" w:ascii="宋体" w:hAnsi="宋体" w:cs="宋体"/>
          <w:color w:val="auto"/>
          <w:szCs w:val="21"/>
          <w:highlight w:val="none"/>
        </w:rPr>
        <w:t>响应文件</w:t>
      </w:r>
      <w:r>
        <w:rPr>
          <w:rFonts w:hint="eastAsia" w:ascii="宋体" w:hAnsi="宋体"/>
          <w:color w:val="auto"/>
          <w:szCs w:val="21"/>
          <w:highlight w:val="none"/>
        </w:rPr>
        <w:t>编制完成后，供应商应按</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的要求进行加密，并在规定时间内解密，否则，由此产生的后果由供应商自行负责。</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19</w:t>
      </w:r>
      <w:r>
        <w:rPr>
          <w:rFonts w:hint="eastAsia" w:ascii="黑体" w:hAnsi="黑体" w:eastAsia="黑体" w:cs="宋体"/>
          <w:b/>
          <w:bCs/>
          <w:color w:val="auto"/>
          <w:sz w:val="24"/>
          <w:highlight w:val="none"/>
        </w:rPr>
        <w:t>.响应文件的提交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.1供应商必须在“供应商须知前附表”规定的时间和地点提交响应文件。</w:t>
      </w:r>
    </w:p>
    <w:p>
      <w:pPr>
        <w:widowControl/>
        <w:spacing w:line="360" w:lineRule="auto"/>
        <w:ind w:firstLine="420" w:firstLineChars="200"/>
        <w:rPr>
          <w:rFonts w:hint="eastAsia" w:ascii="宋体" w:hAnsi="宋体" w:cs="宋体"/>
          <w:b/>
          <w:color w:val="auto"/>
          <w:szCs w:val="21"/>
          <w:highlight w:val="none"/>
          <w:lang w:bidi="ar"/>
        </w:rPr>
      </w:pP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.2</w:t>
      </w:r>
      <w:r>
        <w:rPr>
          <w:rFonts w:hint="eastAsia" w:ascii="宋体" w:hAnsi="宋体" w:cs="宋体"/>
          <w:color w:val="auto"/>
          <w:szCs w:val="21"/>
          <w:highlight w:val="none"/>
          <w:lang w:bidi="ar"/>
        </w:rPr>
        <w:t>本项目为全流程电子化政府采购项目，通过</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w:t>
      </w:r>
      <w:r>
        <w:rPr>
          <w:rFonts w:hint="eastAsia" w:ascii="宋体" w:hAnsi="宋体" w:cs="宋体"/>
          <w:color w:val="auto"/>
          <w:szCs w:val="21"/>
          <w:highlight w:val="none"/>
          <w:lang w:eastAsia="zh-CN" w:bidi="ar"/>
        </w:rPr>
        <w:t>https://www.gcy.zfcg.gxzf.gov.cn/</w:t>
      </w:r>
      <w:r>
        <w:rPr>
          <w:rFonts w:hint="eastAsia" w:ascii="宋体" w:hAnsi="宋体" w:cs="宋体"/>
          <w:color w:val="auto"/>
          <w:szCs w:val="21"/>
          <w:highlight w:val="none"/>
          <w:lang w:bidi="ar"/>
        </w:rPr>
        <w:t>）实行在线电子竞标，供应商应先安装“政采云电子交易客户端”（请自行前往</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进行下载），并按照本项目竞争性磋商文件和</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的要求编制、加密后在首次响应文件提交截止时间前通过网络上传至</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w:t>
      </w:r>
      <w:r>
        <w:rPr>
          <w:rFonts w:hint="eastAsia" w:ascii="宋体" w:hAnsi="宋体" w:cs="宋体"/>
          <w:b/>
          <w:color w:val="auto"/>
          <w:szCs w:val="21"/>
          <w:highlight w:val="none"/>
          <w:lang w:bidi="ar"/>
        </w:rPr>
        <w:t>供应商在</w:t>
      </w:r>
      <w:r>
        <w:rPr>
          <w:rFonts w:hint="eastAsia" w:ascii="宋体" w:hAnsi="宋体" w:cs="宋体"/>
          <w:b/>
          <w:color w:val="auto"/>
          <w:szCs w:val="21"/>
          <w:highlight w:val="none"/>
          <w:lang w:eastAsia="zh-CN" w:bidi="ar"/>
        </w:rPr>
        <w:t>广西政府采购云平台</w:t>
      </w:r>
      <w:r>
        <w:rPr>
          <w:rFonts w:hint="eastAsia" w:ascii="宋体" w:hAnsi="宋体" w:cs="宋体"/>
          <w:b/>
          <w:color w:val="auto"/>
          <w:szCs w:val="21"/>
          <w:highlight w:val="none"/>
          <w:lang w:bidi="ar"/>
        </w:rPr>
        <w:t>提交电子版响应文件时，请填写参加远程开标活动经办人联系方式。</w:t>
      </w:r>
    </w:p>
    <w:p>
      <w:pPr>
        <w:pStyle w:val="5"/>
        <w:keepNext w:val="0"/>
        <w:keepLines w:val="0"/>
        <w:spacing w:before="0" w:after="0" w:line="360" w:lineRule="auto"/>
        <w:ind w:firstLine="420" w:firstLineChars="200"/>
        <w:jc w:val="left"/>
        <w:rPr>
          <w:rFonts w:hint="eastAsia" w:ascii="宋体" w:hAnsi="宋体"/>
          <w:b w:val="0"/>
          <w:color w:val="auto"/>
          <w:sz w:val="21"/>
          <w:szCs w:val="21"/>
          <w:highlight w:val="none"/>
        </w:rPr>
      </w:pPr>
      <w:r>
        <w:rPr>
          <w:rFonts w:hint="eastAsia" w:ascii="宋体" w:hAnsi="宋体"/>
          <w:b w:val="0"/>
          <w:color w:val="auto"/>
          <w:sz w:val="21"/>
          <w:szCs w:val="21"/>
          <w:highlight w:val="none"/>
          <w:lang w:val="en-US" w:eastAsia="zh-CN"/>
        </w:rPr>
        <w:t>19</w:t>
      </w:r>
      <w:r>
        <w:rPr>
          <w:rFonts w:hint="eastAsia" w:ascii="宋体" w:hAnsi="宋体"/>
          <w:b w:val="0"/>
          <w:color w:val="auto"/>
          <w:sz w:val="21"/>
          <w:szCs w:val="21"/>
          <w:highlight w:val="none"/>
        </w:rPr>
        <w:t>.</w:t>
      </w:r>
      <w:r>
        <w:rPr>
          <w:rFonts w:hint="eastAsia" w:ascii="宋体" w:hAnsi="宋体"/>
          <w:b w:val="0"/>
          <w:color w:val="auto"/>
          <w:sz w:val="21"/>
          <w:szCs w:val="21"/>
          <w:highlight w:val="none"/>
          <w:lang w:eastAsia="zh-CN"/>
        </w:rPr>
        <w:t>3</w:t>
      </w:r>
      <w:r>
        <w:rPr>
          <w:rFonts w:hint="eastAsia" w:ascii="宋体" w:hAnsi="宋体"/>
          <w:b w:val="0"/>
          <w:color w:val="auto"/>
          <w:sz w:val="21"/>
          <w:szCs w:val="21"/>
          <w:highlight w:val="none"/>
        </w:rPr>
        <w:t>未在规定时间内</w:t>
      </w:r>
      <w:r>
        <w:rPr>
          <w:rFonts w:hint="eastAsia" w:ascii="宋体" w:hAnsi="宋体"/>
          <w:b w:val="0"/>
          <w:color w:val="auto"/>
          <w:sz w:val="21"/>
          <w:szCs w:val="21"/>
          <w:highlight w:val="none"/>
          <w:lang w:eastAsia="zh-CN"/>
        </w:rPr>
        <w:t>上传</w:t>
      </w:r>
      <w:r>
        <w:rPr>
          <w:rFonts w:hint="eastAsia" w:ascii="宋体" w:hAnsi="宋体"/>
          <w:b w:val="0"/>
          <w:color w:val="auto"/>
          <w:sz w:val="21"/>
          <w:szCs w:val="21"/>
          <w:highlight w:val="none"/>
        </w:rPr>
        <w:t>或者未按</w:t>
      </w:r>
      <w:r>
        <w:rPr>
          <w:rFonts w:hint="eastAsia" w:ascii="宋体" w:hAnsi="宋体"/>
          <w:b w:val="0"/>
          <w:color w:val="auto"/>
          <w:sz w:val="21"/>
          <w:szCs w:val="21"/>
          <w:highlight w:val="none"/>
          <w:lang w:eastAsia="zh-CN"/>
        </w:rPr>
        <w:t>广西政府采购云平台</w:t>
      </w:r>
      <w:r>
        <w:rPr>
          <w:rFonts w:hint="eastAsia" w:ascii="宋体" w:hAnsi="宋体"/>
          <w:b w:val="0"/>
          <w:color w:val="auto"/>
          <w:sz w:val="21"/>
          <w:szCs w:val="21"/>
          <w:highlight w:val="none"/>
        </w:rPr>
        <w:t>的要求编制、加密的电子响应文件，</w:t>
      </w:r>
      <w:r>
        <w:rPr>
          <w:rFonts w:hint="eastAsia" w:ascii="宋体" w:hAnsi="宋体"/>
          <w:b w:val="0"/>
          <w:color w:val="auto"/>
          <w:sz w:val="21"/>
          <w:szCs w:val="21"/>
          <w:highlight w:val="none"/>
          <w:lang w:eastAsia="zh-CN"/>
        </w:rPr>
        <w:t>广西政府采购云平台</w:t>
      </w:r>
      <w:r>
        <w:rPr>
          <w:rFonts w:hint="eastAsia" w:ascii="宋体" w:hAnsi="宋体"/>
          <w:b w:val="0"/>
          <w:color w:val="auto"/>
          <w:sz w:val="21"/>
          <w:szCs w:val="21"/>
          <w:highlight w:val="none"/>
        </w:rPr>
        <w:t>将拒收。</w:t>
      </w:r>
    </w:p>
    <w:p>
      <w:pPr>
        <w:pStyle w:val="6"/>
        <w:rPr>
          <w:rFonts w:hint="eastAsia" w:ascii="宋体" w:hAnsi="宋体" w:cs="宋体"/>
          <w:color w:val="auto"/>
          <w:szCs w:val="21"/>
          <w:highlight w:val="none"/>
        </w:rPr>
      </w:pPr>
      <w:r>
        <w:rPr>
          <w:rFonts w:hint="eastAsia" w:ascii="宋体" w:hAnsi="宋体"/>
          <w:color w:val="auto"/>
          <w:szCs w:val="21"/>
          <w:highlight w:val="none"/>
          <w:lang w:val="en-US" w:eastAsia="zh-CN"/>
        </w:rPr>
        <w:t>19</w:t>
      </w:r>
      <w:r>
        <w:rPr>
          <w:rFonts w:hint="eastAsia" w:ascii="宋体" w:hAnsi="宋体"/>
          <w:color w:val="auto"/>
          <w:szCs w:val="21"/>
          <w:highlight w:val="none"/>
        </w:rPr>
        <w:t>.4电子</w:t>
      </w:r>
      <w:r>
        <w:rPr>
          <w:rFonts w:hint="eastAsia" w:ascii="宋体" w:hAnsi="宋体" w:cs="宋体"/>
          <w:color w:val="auto"/>
          <w:szCs w:val="21"/>
          <w:highlight w:val="none"/>
        </w:rPr>
        <w:t>响应文件</w:t>
      </w:r>
      <w:r>
        <w:rPr>
          <w:rFonts w:hint="eastAsia" w:ascii="宋体" w:hAnsi="宋体"/>
          <w:color w:val="auto"/>
          <w:szCs w:val="21"/>
          <w:highlight w:val="none"/>
        </w:rPr>
        <w:t>提交方</w:t>
      </w:r>
      <w:r>
        <w:rPr>
          <w:rFonts w:hint="eastAsia" w:ascii="宋体" w:hAnsi="宋体"/>
          <w:bCs/>
          <w:color w:val="auto"/>
          <w:szCs w:val="21"/>
          <w:highlight w:val="none"/>
        </w:rPr>
        <w:t>式见“竞争性磋商公告”</w:t>
      </w:r>
      <w:r>
        <w:rPr>
          <w:rFonts w:hint="eastAsia" w:ascii="宋体" w:hAnsi="宋体"/>
          <w:color w:val="auto"/>
          <w:szCs w:val="21"/>
          <w:highlight w:val="none"/>
        </w:rPr>
        <w:t>中“四、响应文件提交”。</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0</w:t>
      </w:r>
      <w:r>
        <w:rPr>
          <w:rFonts w:hint="eastAsia" w:ascii="黑体" w:hAnsi="黑体" w:eastAsia="黑体" w:cs="宋体"/>
          <w:b/>
          <w:bCs/>
          <w:color w:val="auto"/>
          <w:sz w:val="24"/>
          <w:highlight w:val="none"/>
        </w:rPr>
        <w:t>.首次响应文件的补充、修改与撤回</w:t>
      </w:r>
    </w:p>
    <w:p>
      <w:pPr>
        <w:spacing w:line="360" w:lineRule="auto"/>
        <w:ind w:firstLine="420" w:firstLineChars="200"/>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2</w:t>
      </w:r>
      <w:r>
        <w:rPr>
          <w:rFonts w:hint="eastAsia" w:ascii="宋体" w:hAnsi="宋体" w:cs="宋体"/>
          <w:bCs/>
          <w:color w:val="auto"/>
          <w:szCs w:val="21"/>
          <w:highlight w:val="none"/>
          <w:lang w:val="en-US" w:eastAsia="zh-CN" w:bidi="ar"/>
        </w:rPr>
        <w:t>0</w:t>
      </w:r>
      <w:r>
        <w:rPr>
          <w:rFonts w:hint="eastAsia" w:ascii="宋体" w:hAnsi="宋体" w:cs="宋体"/>
          <w:bCs/>
          <w:color w:val="auto"/>
          <w:szCs w:val="21"/>
          <w:highlight w:val="none"/>
          <w:lang w:bidi="ar"/>
        </w:rPr>
        <w:t>.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Pr>
          <w:rFonts w:hint="eastAsia" w:ascii="宋体" w:hAnsi="宋体" w:cs="宋体"/>
          <w:bCs/>
          <w:color w:val="auto"/>
          <w:szCs w:val="21"/>
          <w:highlight w:val="none"/>
          <w:lang w:eastAsia="zh-CN" w:bidi="ar"/>
        </w:rPr>
        <w:t>广西政府采购云平台</w:t>
      </w:r>
      <w:r>
        <w:rPr>
          <w:rFonts w:hint="eastAsia" w:ascii="宋体" w:hAnsi="宋体" w:cs="宋体"/>
          <w:bCs/>
          <w:color w:val="auto"/>
          <w:szCs w:val="21"/>
          <w:highlight w:val="none"/>
          <w:lang w:bidi="ar"/>
        </w:rPr>
        <w:t>将予以拒收。</w:t>
      </w:r>
    </w:p>
    <w:p>
      <w:pPr>
        <w:spacing w:line="360" w:lineRule="auto"/>
        <w:ind w:firstLine="482" w:firstLineChars="200"/>
        <w:rPr>
          <w:rFonts w:ascii="黑体" w:hAnsi="黑体" w:eastAsia="黑体" w:cs="宋体"/>
          <w:b/>
          <w:bCs/>
          <w:color w:val="auto"/>
          <w:sz w:val="24"/>
          <w:highlight w:val="none"/>
        </w:rPr>
      </w:pPr>
      <w:bookmarkStart w:id="32" w:name="_Hlk45702405"/>
      <w:r>
        <w:rPr>
          <w:rFonts w:hint="eastAsia"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1</w:t>
      </w:r>
      <w:r>
        <w:rPr>
          <w:rFonts w:hint="eastAsia" w:ascii="黑体" w:hAnsi="黑体" w:eastAsia="黑体" w:cs="宋体"/>
          <w:b/>
          <w:bCs/>
          <w:color w:val="auto"/>
          <w:sz w:val="24"/>
          <w:highlight w:val="none"/>
        </w:rPr>
        <w:t>. 首次响应文件的退回</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.1在首次响应文件提交截止时间提交响应文件的供应商不足3家时，</w:t>
      </w:r>
      <w:r>
        <w:rPr>
          <w:rFonts w:hint="eastAsia" w:ascii="宋体" w:hAnsi="宋体"/>
          <w:color w:val="auto"/>
          <w:szCs w:val="21"/>
          <w:highlight w:val="none"/>
        </w:rPr>
        <w:t>采购代理机构将根据</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的操作将电子版响应文件退回，</w:t>
      </w:r>
      <w:r>
        <w:rPr>
          <w:rFonts w:hint="eastAsia" w:ascii="宋体" w:hAnsi="宋体" w:cs="宋体"/>
          <w:color w:val="auto"/>
          <w:szCs w:val="21"/>
          <w:highlight w:val="none"/>
        </w:rPr>
        <w:t>除此之外采购人和采购代理机构对已提交的电子响应文件概不退回。</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2</w:t>
      </w:r>
      <w:r>
        <w:rPr>
          <w:rFonts w:hint="eastAsia" w:ascii="黑体" w:hAnsi="黑体" w:eastAsia="黑体" w:cs="宋体"/>
          <w:b/>
          <w:bCs/>
          <w:color w:val="auto"/>
          <w:sz w:val="24"/>
          <w:highlight w:val="none"/>
        </w:rPr>
        <w:t>. 截止时间后的撤回</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.1供应商在首次响应文件提交截止时间后书面通知采购人、采购代理机构书面撤回响应文件的，将根据本须知正文1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.4的规定不予退还其磋商保证金。</w:t>
      </w:r>
    </w:p>
    <w:bookmarkEnd w:id="32"/>
    <w:p>
      <w:pPr>
        <w:spacing w:line="360" w:lineRule="auto"/>
        <w:rPr>
          <w:rFonts w:hint="eastAsia" w:ascii="宋体" w:hAnsi="宋体"/>
          <w:color w:val="auto"/>
          <w:szCs w:val="21"/>
          <w:highlight w:val="none"/>
        </w:rPr>
      </w:pPr>
    </w:p>
    <w:p>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四、评审及磋商</w:t>
      </w:r>
    </w:p>
    <w:p>
      <w:pPr>
        <w:spacing w:line="360" w:lineRule="auto"/>
        <w:ind w:firstLine="482" w:firstLineChars="200"/>
        <w:rPr>
          <w:rFonts w:hint="eastAsia" w:ascii="黑体" w:hAnsi="黑体" w:eastAsia="黑体" w:cs="宋体"/>
          <w:b/>
          <w:bCs/>
          <w:color w:val="auto"/>
          <w:sz w:val="24"/>
          <w:highlight w:val="none"/>
        </w:rPr>
      </w:pP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3</w:t>
      </w:r>
      <w:r>
        <w:rPr>
          <w:rFonts w:hint="eastAsia" w:ascii="黑体" w:hAnsi="黑体" w:eastAsia="黑体" w:cs="宋体"/>
          <w:b/>
          <w:bCs/>
          <w:color w:val="auto"/>
          <w:sz w:val="24"/>
          <w:highlight w:val="none"/>
        </w:rPr>
        <w:t>.磋商小组成立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4</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首次响应文件的开启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.1首次响应文件由磋商小组或者采购代理机构在“供应商须知前附表”规定的时间开启。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.2 响应文件解密：采购代理机构将在“供应商须知前附表”规定的时间通过电子交易平台组织响应文件开启，采购代理机构将依托电子交易平台发起开始解密指令，</w:t>
      </w:r>
      <w:r>
        <w:rPr>
          <w:rFonts w:hint="eastAsia" w:ascii="宋体" w:hAnsi="宋体" w:cs="宋体"/>
          <w:b/>
          <w:color w:val="auto"/>
          <w:szCs w:val="21"/>
          <w:highlight w:val="none"/>
        </w:rPr>
        <w:t>供应商的法定代表人或其委托代理人须携带加密时所用的CA锁按平台提示和采购文件的规定登录到</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电子开标大厅签到并在发起解密指令之时起30分钟内完成对电子响应文件在线解密。</w:t>
      </w:r>
      <w:r>
        <w:rPr>
          <w:rFonts w:hint="eastAsia" w:ascii="宋体" w:hAnsi="宋体"/>
          <w:b/>
          <w:bCs/>
          <w:color w:val="auto"/>
          <w:szCs w:val="21"/>
          <w:highlight w:val="none"/>
        </w:rPr>
        <w:t>响应文件未按时解密的，</w:t>
      </w:r>
      <w:r>
        <w:rPr>
          <w:rFonts w:hint="eastAsia" w:ascii="宋体" w:hAnsi="宋体" w:cs="宋体"/>
          <w:b/>
          <w:color w:val="auto"/>
          <w:szCs w:val="21"/>
          <w:highlight w:val="none"/>
        </w:rPr>
        <w:t>视为响应</w:t>
      </w:r>
      <w:r>
        <w:rPr>
          <w:rFonts w:hint="eastAsia" w:ascii="宋体" w:hAnsi="宋体"/>
          <w:b/>
          <w:bCs/>
          <w:color w:val="auto"/>
          <w:szCs w:val="21"/>
          <w:highlight w:val="none"/>
        </w:rPr>
        <w:t>文件无效。</w:t>
      </w:r>
      <w:r>
        <w:rPr>
          <w:rFonts w:hint="eastAsia" w:ascii="宋体" w:hAnsi="宋体" w:cs="宋体"/>
          <w:color w:val="auto"/>
          <w:szCs w:val="21"/>
          <w:highlight w:val="none"/>
        </w:rPr>
        <w:t>（解密异常情况处理：详见本章2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.2电子交易活动的中止。）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.3成功解密响应文件的供应商不足3家的，不得磋商。</w:t>
      </w:r>
    </w:p>
    <w:p>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5</w:t>
      </w:r>
      <w:r>
        <w:rPr>
          <w:rFonts w:hint="eastAsia" w:ascii="黑体" w:hAnsi="黑体" w:eastAsia="黑体" w:cs="宋体"/>
          <w:b/>
          <w:bCs/>
          <w:color w:val="auto"/>
          <w:sz w:val="24"/>
          <w:highlight w:val="none"/>
        </w:rPr>
        <w:t>.评审程序、评审方法和评审标准</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5</w:t>
      </w:r>
      <w:r>
        <w:rPr>
          <w:rFonts w:ascii="宋体" w:hAnsi="宋体" w:cs="宋体"/>
          <w:color w:val="auto"/>
          <w:szCs w:val="21"/>
          <w:highlight w:val="none"/>
        </w:rPr>
        <w:t>.</w:t>
      </w:r>
      <w:r>
        <w:rPr>
          <w:rFonts w:hint="eastAsia" w:ascii="宋体" w:hAnsi="宋体" w:cs="宋体"/>
          <w:color w:val="auto"/>
          <w:szCs w:val="21"/>
          <w:highlight w:val="none"/>
        </w:rPr>
        <w:t>1磋商小组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.2电子交易活动的中止。采购过程中出现以下情形，导致电子交易平台无法正常运行，或者无法保证电子交易的公平、公正和安全时，采购机构可中止电子交易活动：</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（1）电子交易平台发生故障而无法登录访问的； </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（3）电子交易平台发现严重安全漏洞，有潜在泄密危险的；</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（4）病毒发作导致不能进行正常操作的； </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（4）其他无法保证电子交易的公平、公正和安全的情况。</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.3出现以上情形，不影响采购公平、公正性的，采购代理机构可以待上述情形消除后继续组织电子交易活动；影响或可能影响采购公平、公正性的，经采购代理机构确认后，应当重新采购。</w:t>
      </w:r>
    </w:p>
    <w:p>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6</w:t>
      </w:r>
      <w:r>
        <w:rPr>
          <w:rFonts w:hint="eastAsia" w:ascii="黑体" w:hAnsi="黑体" w:eastAsia="黑体" w:cs="宋体"/>
          <w:b/>
          <w:bCs/>
          <w:color w:val="auto"/>
          <w:sz w:val="24"/>
          <w:highlight w:val="none"/>
        </w:rPr>
        <w:t>.确定成交供应商及结果公告</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w:t>
      </w:r>
      <w:r>
        <w:rPr>
          <w:rFonts w:hint="eastAsia" w:ascii="宋体" w:hAnsi="宋体" w:cs="宋体"/>
          <w:b/>
          <w:color w:val="auto"/>
          <w:szCs w:val="21"/>
          <w:highlight w:val="none"/>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color w:val="auto"/>
          <w:szCs w:val="21"/>
          <w:highlight w:val="none"/>
        </w:rPr>
        <w:t>排名第二的成交候选人因上述规定的同样原因被取消成交资格的，采购人可以确定排名第三的成交候选人为成交供应商，以此类推。以上信息查询记录及相关证据与磋商文件一并保存。</w:t>
      </w:r>
      <w:bookmarkStart w:id="33"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33"/>
    </w:p>
    <w:p>
      <w:pPr>
        <w:spacing w:line="360" w:lineRule="auto"/>
        <w:ind w:firstLine="420" w:firstLineChars="200"/>
        <w:rPr>
          <w:rFonts w:hint="eastAsia" w:ascii="宋体" w:hAnsi="宋体" w:cs="Courier New"/>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6</w:t>
      </w:r>
      <w:r>
        <w:rPr>
          <w:rFonts w:ascii="宋体" w:hAnsi="宋体" w:cs="宋体"/>
          <w:color w:val="auto"/>
          <w:szCs w:val="21"/>
          <w:highlight w:val="none"/>
        </w:rPr>
        <w:t>.3</w:t>
      </w:r>
      <w:r>
        <w:rPr>
          <w:rFonts w:hint="eastAsia" w:ascii="宋体" w:hAnsi="宋体" w:cs="Courier New"/>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w:t>
      </w:r>
      <w:r>
        <w:rPr>
          <w:rFonts w:ascii="宋体" w:hAnsi="宋体" w:cs="Courier New"/>
          <w:color w:val="auto"/>
          <w:szCs w:val="21"/>
          <w:highlight w:val="none"/>
        </w:rPr>
        <w:t>拒绝签订政府采购合同的成交供应商不得参加对该项目重新开展的采购活动。</w:t>
      </w:r>
    </w:p>
    <w:p>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7</w:t>
      </w:r>
      <w:r>
        <w:rPr>
          <w:rFonts w:hint="eastAsia" w:ascii="黑体" w:hAnsi="黑体" w:eastAsia="黑体" w:cs="宋体"/>
          <w:b/>
          <w:bCs/>
          <w:color w:val="auto"/>
          <w:sz w:val="24"/>
          <w:highlight w:val="none"/>
        </w:rPr>
        <w:t>.签订合同</w:t>
      </w:r>
    </w:p>
    <w:p>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7</w:t>
      </w:r>
      <w:r>
        <w:rPr>
          <w:rFonts w:ascii="宋体" w:hAnsi="宋体" w:cs="宋体"/>
          <w:color w:val="auto"/>
          <w:szCs w:val="21"/>
          <w:highlight w:val="none"/>
        </w:rPr>
        <w:t>.1</w:t>
      </w:r>
      <w:r>
        <w:rPr>
          <w:rFonts w:hint="eastAsia" w:ascii="宋体" w:hAnsi="宋体" w:cs="宋体"/>
          <w:color w:val="auto"/>
          <w:szCs w:val="21"/>
          <w:highlight w:val="none"/>
        </w:rPr>
        <w:t>成交供应商在收到成交通知书</w:t>
      </w:r>
      <w:r>
        <w:rPr>
          <w:rFonts w:hint="eastAsia" w:ascii="宋体" w:hAnsi="宋体"/>
          <w:color w:val="auto"/>
          <w:szCs w:val="21"/>
          <w:highlight w:val="none"/>
        </w:rPr>
        <w:t>（书面或电子）</w:t>
      </w:r>
      <w:r>
        <w:rPr>
          <w:rFonts w:hint="eastAsia" w:ascii="宋体" w:hAnsi="宋体" w:cs="宋体"/>
          <w:color w:val="auto"/>
          <w:szCs w:val="21"/>
          <w:highlight w:val="none"/>
        </w:rPr>
        <w:t>后，应当在签订合同时向采购人出示相关证明材料，具体内容详见 “供应商须知前附表”，经采购人核验合格后方可签订合同</w:t>
      </w:r>
      <w:r>
        <w:rPr>
          <w:rFonts w:hint="eastAsia" w:ascii="宋体" w:hAnsi="宋体"/>
          <w:color w:val="auto"/>
          <w:szCs w:val="21"/>
          <w:highlight w:val="none"/>
        </w:rPr>
        <w:t>（书面或电子）</w:t>
      </w:r>
      <w:r>
        <w:rPr>
          <w:rFonts w:hint="eastAsia" w:ascii="宋体" w:hAnsi="宋体" w:cs="宋体"/>
          <w:color w:val="auto"/>
          <w:szCs w:val="21"/>
          <w:highlight w:val="none"/>
        </w:rPr>
        <w:t>。</w:t>
      </w:r>
    </w:p>
    <w:p>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 签订合同时间：按成交通知书规定的时间与采购人签订政府采购合同</w:t>
      </w:r>
      <w:r>
        <w:rPr>
          <w:rFonts w:hint="eastAsia" w:ascii="宋体" w:hAnsi="宋体"/>
          <w:color w:val="auto"/>
          <w:szCs w:val="21"/>
          <w:highlight w:val="none"/>
        </w:rPr>
        <w:t>（最长不能超过25</w:t>
      </w:r>
      <w:r>
        <w:rPr>
          <w:rFonts w:hint="eastAsia" w:ascii="宋体" w:hAnsi="宋体"/>
          <w:color w:val="auto"/>
          <w:szCs w:val="21"/>
          <w:highlight w:val="none"/>
          <w:lang w:eastAsia="zh-CN"/>
        </w:rPr>
        <w:t>自然</w:t>
      </w:r>
      <w:r>
        <w:rPr>
          <w:rFonts w:hint="eastAsia" w:ascii="宋体" w:hAnsi="宋体"/>
          <w:color w:val="auto"/>
          <w:szCs w:val="21"/>
          <w:highlight w:val="none"/>
        </w:rPr>
        <w:t>日）</w:t>
      </w:r>
      <w:r>
        <w:rPr>
          <w:rFonts w:hint="eastAsia" w:ascii="宋体" w:hAnsi="宋体" w:cs="宋体"/>
          <w:color w:val="auto"/>
          <w:szCs w:val="21"/>
          <w:highlight w:val="none"/>
        </w:rPr>
        <w:t>。</w:t>
      </w:r>
    </w:p>
    <w:p>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.3</w:t>
      </w:r>
      <w:r>
        <w:rPr>
          <w:rFonts w:hint="eastAsia" w:ascii="宋体" w:hAnsi="宋体"/>
          <w:color w:val="auto"/>
          <w:szCs w:val="21"/>
          <w:highlight w:val="none"/>
        </w:rPr>
        <w:t>成交供应商拒绝与采购人签订合同的，按照本须知正文第</w:t>
      </w:r>
      <w:r>
        <w:rPr>
          <w:rFonts w:ascii="宋体" w:hAnsi="宋体"/>
          <w:color w:val="auto"/>
          <w:szCs w:val="21"/>
          <w:highlight w:val="none"/>
        </w:rPr>
        <w:t>2</w:t>
      </w:r>
      <w:r>
        <w:rPr>
          <w:rFonts w:hint="eastAsia" w:ascii="宋体" w:hAnsi="宋体"/>
          <w:color w:val="auto"/>
          <w:szCs w:val="21"/>
          <w:highlight w:val="none"/>
          <w:lang w:val="en-US" w:eastAsia="zh-CN"/>
        </w:rPr>
        <w:t>6</w:t>
      </w: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条的规定</w:t>
      </w:r>
      <w:r>
        <w:rPr>
          <w:rFonts w:hint="eastAsia" w:ascii="宋体" w:hAnsi="宋体"/>
          <w:color w:val="auto"/>
          <w:szCs w:val="21"/>
          <w:highlight w:val="none"/>
        </w:rPr>
        <w:t>执行</w:t>
      </w:r>
      <w:r>
        <w:rPr>
          <w:rFonts w:hint="eastAsia" w:ascii="宋体" w:hAnsi="宋体" w:cs="宋体"/>
          <w:color w:val="auto"/>
          <w:szCs w:val="21"/>
          <w:highlight w:val="none"/>
        </w:rPr>
        <w:t>。</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28</w:t>
      </w:r>
      <w:r>
        <w:rPr>
          <w:rFonts w:hint="eastAsia" w:ascii="黑体" w:hAnsi="黑体" w:eastAsia="黑体" w:cs="宋体"/>
          <w:b/>
          <w:bCs/>
          <w:color w:val="auto"/>
          <w:sz w:val="24"/>
          <w:highlight w:val="none"/>
        </w:rPr>
        <w:t>.政府采购合同公告</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29</w:t>
      </w:r>
      <w:r>
        <w:rPr>
          <w:rFonts w:hint="eastAsia" w:ascii="黑体" w:hAnsi="黑体" w:eastAsia="黑体" w:cs="宋体"/>
          <w:b/>
          <w:bCs/>
          <w:color w:val="auto"/>
          <w:sz w:val="24"/>
          <w:highlight w:val="none"/>
        </w:rPr>
        <w:t>. 询问、质疑和投诉</w:t>
      </w:r>
    </w:p>
    <w:p>
      <w:pPr>
        <w:pStyle w:val="6"/>
        <w:spacing w:line="360" w:lineRule="auto"/>
        <w:rPr>
          <w:rFonts w:hint="eastAsia" w:ascii="宋体" w:hAnsi="宋体"/>
          <w:color w:val="auto"/>
          <w:szCs w:val="21"/>
          <w:highlight w:val="none"/>
        </w:rPr>
      </w:pPr>
      <w:r>
        <w:rPr>
          <w:rFonts w:hint="eastAsia" w:ascii="宋体" w:hAnsi="宋体" w:cs="宋体"/>
          <w:color w:val="auto"/>
          <w:highlight w:val="none"/>
          <w:lang w:val="en-US" w:eastAsia="zh-CN"/>
        </w:rPr>
        <w:t>29</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29</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.2供应商认为磋商文件、采购过程或者成交结果使自己的合法权益受到损害的，应当在知道或者应知其权益受到损害之日起7个工作日内，以纸质书面形式向采购人、采购代理机构提出质疑，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29</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29</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29</w:t>
      </w:r>
      <w:r>
        <w:rPr>
          <w:rFonts w:ascii="宋体" w:hAnsi="宋体" w:cs="宋体"/>
          <w:color w:val="auto"/>
          <w:highlight w:val="none"/>
        </w:rPr>
        <w:t>.5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lang w:val="en-US" w:eastAsia="zh-CN"/>
        </w:rPr>
        <w:t>29</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lang w:val="en-US" w:eastAsia="zh-CN"/>
        </w:rPr>
        <w:t>0</w:t>
      </w:r>
      <w:r>
        <w:rPr>
          <w:rFonts w:hint="eastAsia" w:ascii="黑体" w:hAnsi="黑体" w:eastAsia="黑体" w:cs="宋体"/>
          <w:b/>
          <w:bCs/>
          <w:color w:val="auto"/>
          <w:sz w:val="24"/>
          <w:highlight w:val="none"/>
        </w:rPr>
        <w:t>.其他内容</w:t>
      </w:r>
    </w:p>
    <w:p>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.1代理服务费：代理服务收取标准及缴费账户详见“供应商须知前附表”。</w:t>
      </w:r>
    </w:p>
    <w:p>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val="en-US" w:eastAsia="zh-CN"/>
        </w:rPr>
        <w:t>0</w:t>
      </w:r>
      <w:r>
        <w:rPr>
          <w:rFonts w:ascii="宋体" w:hAnsi="宋体" w:cs="宋体"/>
          <w:color w:val="auto"/>
          <w:szCs w:val="21"/>
          <w:highlight w:val="none"/>
        </w:rPr>
        <w:t>.2</w:t>
      </w:r>
      <w:r>
        <w:rPr>
          <w:rFonts w:hint="eastAsia" w:ascii="宋体" w:hAnsi="宋体" w:cs="宋体"/>
          <w:color w:val="auto"/>
          <w:szCs w:val="21"/>
          <w:highlight w:val="none"/>
        </w:rPr>
        <w:t>代理服务费收费计算标准：</w:t>
      </w:r>
    </w:p>
    <w:tbl>
      <w:tblPr>
        <w:tblStyle w:val="20"/>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659" w:type="dxa"/>
            <w:noWrap w:val="0"/>
            <w:vAlign w:val="center"/>
          </w:tcPr>
          <w:p>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货物类</w:t>
            </w:r>
          </w:p>
        </w:tc>
        <w:tc>
          <w:tcPr>
            <w:tcW w:w="153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服务类</w:t>
            </w:r>
          </w:p>
        </w:tc>
        <w:tc>
          <w:tcPr>
            <w:tcW w:w="1546"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546"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100～500万元</w:t>
            </w:r>
          </w:p>
        </w:tc>
        <w:tc>
          <w:tcPr>
            <w:tcW w:w="1659"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546"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1659"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1546"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1000～5000万元</w:t>
            </w:r>
          </w:p>
        </w:tc>
        <w:tc>
          <w:tcPr>
            <w:tcW w:w="1659"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546"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1546"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1～5亿元</w:t>
            </w:r>
          </w:p>
        </w:tc>
        <w:tc>
          <w:tcPr>
            <w:tcW w:w="1659"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53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5～10亿元</w:t>
            </w:r>
          </w:p>
        </w:tc>
        <w:tc>
          <w:tcPr>
            <w:tcW w:w="1659" w:type="dxa"/>
            <w:noWrap w:val="0"/>
            <w:vAlign w:val="top"/>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53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noWrap w:val="0"/>
            <w:vAlign w:val="top"/>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10～50亿元</w:t>
            </w:r>
          </w:p>
        </w:tc>
        <w:tc>
          <w:tcPr>
            <w:tcW w:w="1659" w:type="dxa"/>
            <w:noWrap w:val="0"/>
            <w:vAlign w:val="top"/>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32"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46" w:type="dxa"/>
            <w:noWrap w:val="0"/>
            <w:vAlign w:val="top"/>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50～100亿元</w:t>
            </w:r>
          </w:p>
        </w:tc>
        <w:tc>
          <w:tcPr>
            <w:tcW w:w="1659"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546" w:type="dxa"/>
            <w:noWrap w:val="0"/>
            <w:vAlign w:val="top"/>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100亿以上</w:t>
            </w:r>
          </w:p>
        </w:tc>
        <w:tc>
          <w:tcPr>
            <w:tcW w:w="1659"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546" w:type="dxa"/>
            <w:noWrap w:val="0"/>
            <w:vAlign w:val="top"/>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0.004%</w:t>
            </w:r>
          </w:p>
        </w:tc>
      </w:tr>
    </w:tbl>
    <w:p>
      <w:pPr>
        <w:spacing w:line="360" w:lineRule="auto"/>
        <w:ind w:firstLine="420" w:firstLineChars="200"/>
        <w:rPr>
          <w:rFonts w:ascii="宋体" w:hAnsi="宋体" w:cs="宋体"/>
          <w:color w:val="auto"/>
          <w:highlight w:val="none"/>
        </w:rPr>
      </w:pPr>
      <w:r>
        <w:rPr>
          <w:rFonts w:ascii="宋体" w:hAnsi="宋体" w:cs="宋体"/>
          <w:color w:val="auto"/>
          <w:highlight w:val="none"/>
        </w:rPr>
        <w:t>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例如：某</w:t>
      </w:r>
      <w:r>
        <w:rPr>
          <w:rFonts w:hint="eastAsia" w:ascii="宋体" w:hAnsi="宋体" w:cs="宋体"/>
          <w:color w:val="auto"/>
          <w:highlight w:val="none"/>
          <w:lang w:val="en-US" w:eastAsia="zh-CN"/>
        </w:rPr>
        <w:t>服务</w:t>
      </w:r>
      <w:r>
        <w:rPr>
          <w:rFonts w:hint="eastAsia" w:ascii="宋体" w:hAnsi="宋体" w:cs="宋体"/>
          <w:color w:val="auto"/>
          <w:highlight w:val="none"/>
        </w:rPr>
        <w:t>采购代理业务成交金额为300万元，采购代理服务费金额按如下计算：</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100万元×1.5%＝1.5万元</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（300－100）万元×</w:t>
      </w:r>
      <w:r>
        <w:rPr>
          <w:rFonts w:hint="eastAsia" w:ascii="宋体" w:hAnsi="宋体" w:cs="宋体"/>
          <w:color w:val="auto"/>
          <w:highlight w:val="none"/>
          <w:lang w:val="en-US" w:eastAsia="zh-CN"/>
        </w:rPr>
        <w:t>0.8</w:t>
      </w:r>
      <w:r>
        <w:rPr>
          <w:rFonts w:hint="eastAsia" w:ascii="宋体" w:hAnsi="宋体" w:cs="宋体"/>
          <w:color w:val="auto"/>
          <w:highlight w:val="none"/>
        </w:rPr>
        <w:t>%＝</w:t>
      </w:r>
      <w:r>
        <w:rPr>
          <w:rFonts w:hint="eastAsia" w:ascii="宋体" w:hAnsi="宋体" w:cs="宋体"/>
          <w:color w:val="auto"/>
          <w:highlight w:val="none"/>
          <w:lang w:val="en-US" w:eastAsia="zh-CN"/>
        </w:rPr>
        <w:t>1.6</w:t>
      </w:r>
      <w:r>
        <w:rPr>
          <w:rFonts w:hint="eastAsia" w:ascii="宋体" w:hAnsi="宋体" w:cs="宋体"/>
          <w:color w:val="auto"/>
          <w:highlight w:val="none"/>
        </w:rPr>
        <w:t>万元</w:t>
      </w:r>
    </w:p>
    <w:p>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rPr>
        <w:t>合计收费＝1.5＋</w:t>
      </w:r>
      <w:r>
        <w:rPr>
          <w:rFonts w:hint="eastAsia" w:ascii="宋体" w:hAnsi="宋体" w:cs="宋体"/>
          <w:color w:val="auto"/>
          <w:highlight w:val="none"/>
          <w:lang w:val="en-US" w:eastAsia="zh-CN"/>
        </w:rPr>
        <w:t>1.6</w:t>
      </w:r>
      <w:r>
        <w:rPr>
          <w:rFonts w:hint="eastAsia" w:ascii="宋体" w:hAnsi="宋体" w:cs="宋体"/>
          <w:color w:val="auto"/>
          <w:highlight w:val="none"/>
        </w:rPr>
        <w:t>=3.</w:t>
      </w:r>
      <w:r>
        <w:rPr>
          <w:rFonts w:hint="eastAsia" w:ascii="宋体" w:hAnsi="宋体" w:cs="宋体"/>
          <w:color w:val="auto"/>
          <w:highlight w:val="none"/>
          <w:lang w:val="en-US" w:eastAsia="zh-CN"/>
        </w:rPr>
        <w:t>1</w:t>
      </w:r>
      <w:r>
        <w:rPr>
          <w:rFonts w:hint="eastAsia" w:ascii="宋体" w:hAnsi="宋体" w:cs="宋体"/>
          <w:color w:val="auto"/>
          <w:highlight w:val="none"/>
        </w:rPr>
        <w:t>万元</w:t>
      </w:r>
    </w:p>
    <w:p>
      <w:pPr>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lang w:val="en-US" w:eastAsia="zh-CN"/>
        </w:rPr>
        <w:t>0</w:t>
      </w:r>
      <w:r>
        <w:rPr>
          <w:rFonts w:ascii="宋体" w:hAnsi="宋体" w:cs="宋体"/>
          <w:color w:val="auto"/>
          <w:kern w:val="0"/>
          <w:szCs w:val="21"/>
          <w:highlight w:val="none"/>
        </w:rPr>
        <w:t xml:space="preserve">.3 </w:t>
      </w:r>
      <w:r>
        <w:rPr>
          <w:rFonts w:hint="eastAsia" w:ascii="宋体" w:hAnsi="宋体" w:cs="宋体"/>
          <w:color w:val="auto"/>
          <w:kern w:val="0"/>
          <w:szCs w:val="21"/>
          <w:highlight w:val="none"/>
        </w:rPr>
        <w:t>代理服务费交纳</w:t>
      </w:r>
      <w:r>
        <w:rPr>
          <w:rFonts w:ascii="宋体" w:hAnsi="宋体" w:cs="宋体"/>
          <w:color w:val="auto"/>
          <w:kern w:val="0"/>
          <w:szCs w:val="21"/>
          <w:highlight w:val="none"/>
        </w:rPr>
        <w:t>银行帐号信息</w:t>
      </w:r>
    </w:p>
    <w:p>
      <w:pPr>
        <w:pStyle w:val="13"/>
        <w:snapToGrid w:val="0"/>
        <w:spacing w:line="360" w:lineRule="auto"/>
        <w:ind w:firstLine="800" w:firstLineChars="400"/>
        <w:rPr>
          <w:rFonts w:hint="eastAsia" w:hAnsi="宋体"/>
          <w:color w:val="auto"/>
          <w:highlight w:val="none"/>
          <w:lang w:val="en-US" w:eastAsia="zh-CN"/>
        </w:rPr>
      </w:pPr>
      <w:r>
        <w:rPr>
          <w:rFonts w:hint="eastAsia" w:hAnsi="宋体"/>
          <w:color w:val="auto"/>
          <w:highlight w:val="none"/>
          <w:lang w:val="en-US" w:eastAsia="zh-CN"/>
        </w:rPr>
        <w:t>开户名称：广西科文招标有限公司南宁三分公司</w:t>
      </w:r>
    </w:p>
    <w:p>
      <w:pPr>
        <w:pStyle w:val="13"/>
        <w:snapToGrid w:val="0"/>
        <w:spacing w:line="360" w:lineRule="auto"/>
        <w:ind w:firstLine="800" w:firstLineChars="400"/>
        <w:rPr>
          <w:rFonts w:hint="eastAsia" w:hAnsi="宋体"/>
          <w:color w:val="auto"/>
          <w:highlight w:val="none"/>
          <w:lang w:val="en-US" w:eastAsia="zh-CN"/>
        </w:rPr>
      </w:pPr>
      <w:r>
        <w:rPr>
          <w:rFonts w:hint="eastAsia" w:hAnsi="宋体"/>
          <w:color w:val="auto"/>
          <w:highlight w:val="none"/>
          <w:lang w:val="en-US" w:eastAsia="zh-CN"/>
        </w:rPr>
        <w:t>开户银行：广西北部湾银行股份有限公司南宁市云景支行</w:t>
      </w:r>
    </w:p>
    <w:p>
      <w:pPr>
        <w:pStyle w:val="13"/>
        <w:snapToGrid w:val="0"/>
        <w:spacing w:line="360" w:lineRule="auto"/>
        <w:ind w:firstLine="800" w:firstLineChars="400"/>
        <w:rPr>
          <w:rFonts w:hint="eastAsia" w:hAnsi="宋体"/>
          <w:color w:val="auto"/>
          <w:highlight w:val="none"/>
          <w:lang w:val="en-US" w:eastAsia="zh-CN"/>
        </w:rPr>
      </w:pPr>
      <w:r>
        <w:rPr>
          <w:rFonts w:hint="eastAsia" w:hAnsi="宋体"/>
          <w:color w:val="auto"/>
          <w:highlight w:val="none"/>
          <w:lang w:val="en-US" w:eastAsia="zh-CN"/>
        </w:rPr>
        <w:t>银行</w:t>
      </w:r>
      <w:r>
        <w:rPr>
          <w:rFonts w:hint="eastAsia" w:hAnsi="宋体"/>
          <w:color w:val="auto"/>
          <w:highlight w:val="none"/>
          <w:lang w:val="en-US" w:eastAsia="zh-Hans"/>
        </w:rPr>
        <w:t>账</w:t>
      </w:r>
      <w:r>
        <w:rPr>
          <w:rFonts w:hint="eastAsia" w:hAnsi="宋体"/>
          <w:color w:val="auto"/>
          <w:highlight w:val="none"/>
          <w:lang w:val="en-US" w:eastAsia="zh-CN"/>
        </w:rPr>
        <w:t>号：805029874400001</w:t>
      </w:r>
    </w:p>
    <w:p>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hint="eastAsia" w:ascii="黑体" w:hAnsi="黑体" w:eastAsia="黑体" w:cs="宋体"/>
          <w:b/>
          <w:bCs/>
          <w:color w:val="auto"/>
          <w:sz w:val="24"/>
          <w:highlight w:val="none"/>
          <w:lang w:val="en-US" w:eastAsia="zh-CN"/>
        </w:rPr>
        <w:t>1</w:t>
      </w:r>
      <w:r>
        <w:rPr>
          <w:rFonts w:ascii="黑体" w:hAnsi="黑体" w:eastAsia="黑体" w:cs="宋体"/>
          <w:b/>
          <w:bCs/>
          <w:color w:val="auto"/>
          <w:sz w:val="24"/>
          <w:highlight w:val="none"/>
        </w:rPr>
        <w:t>.需要补充的其他内容</w:t>
      </w:r>
    </w:p>
    <w:p>
      <w:pPr>
        <w:pStyle w:val="13"/>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int="eastAsia" w:hAnsi="宋体" w:cs="宋体"/>
          <w:color w:val="auto"/>
          <w:kern w:val="2"/>
          <w:sz w:val="21"/>
          <w:highlight w:val="none"/>
          <w:lang w:val="en-US" w:eastAsia="zh-CN"/>
        </w:rPr>
        <w:t>1</w:t>
      </w:r>
      <w:r>
        <w:rPr>
          <w:rFonts w:hAnsi="宋体" w:cs="宋体"/>
          <w:color w:val="auto"/>
          <w:kern w:val="2"/>
          <w:sz w:val="21"/>
          <w:highlight w:val="none"/>
        </w:rPr>
        <w:t>.1</w:t>
      </w:r>
      <w:r>
        <w:rPr>
          <w:rFonts w:hint="eastAsia" w:hAnsi="宋体" w:cs="宋体"/>
          <w:color w:val="auto"/>
          <w:kern w:val="2"/>
          <w:sz w:val="21"/>
          <w:highlight w:val="none"/>
        </w:rPr>
        <w:t>本磋商文件解释规则详见“供应商须知前附表”。</w:t>
      </w:r>
    </w:p>
    <w:p>
      <w:pPr>
        <w:pStyle w:val="13"/>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w:t>
      </w:r>
      <w:r>
        <w:rPr>
          <w:rFonts w:hint="eastAsia" w:hAnsi="宋体" w:cs="宋体"/>
          <w:color w:val="auto"/>
          <w:kern w:val="2"/>
          <w:sz w:val="21"/>
          <w:highlight w:val="none"/>
          <w:lang w:val="en-US" w:eastAsia="zh-CN"/>
        </w:rPr>
        <w:t>1</w:t>
      </w:r>
      <w:r>
        <w:rPr>
          <w:rFonts w:hAnsi="宋体" w:cs="宋体"/>
          <w:color w:val="auto"/>
          <w:kern w:val="2"/>
          <w:sz w:val="21"/>
          <w:highlight w:val="none"/>
        </w:rPr>
        <w:t>.2</w:t>
      </w:r>
      <w:r>
        <w:rPr>
          <w:rFonts w:hint="eastAsia" w:hAnsi="宋体" w:cs="宋体"/>
          <w:color w:val="auto"/>
          <w:kern w:val="2"/>
          <w:sz w:val="21"/>
          <w:highlight w:val="none"/>
        </w:rPr>
        <w:t xml:space="preserve"> 其他事项详见“供应商须知前附表”。</w:t>
      </w:r>
    </w:p>
    <w:p>
      <w:pPr>
        <w:pStyle w:val="13"/>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int="eastAsia" w:hAnsi="宋体" w:cs="宋体"/>
          <w:color w:val="auto"/>
          <w:kern w:val="2"/>
          <w:sz w:val="21"/>
          <w:highlight w:val="none"/>
          <w:lang w:val="en-US" w:eastAsia="zh-CN"/>
        </w:rPr>
        <w:t>1</w:t>
      </w:r>
      <w:r>
        <w:rPr>
          <w:rFonts w:hAnsi="宋体" w:cs="宋体"/>
          <w:color w:val="auto"/>
          <w:kern w:val="2"/>
          <w:sz w:val="21"/>
          <w:highlight w:val="none"/>
        </w:rPr>
        <w:t>.3</w:t>
      </w:r>
      <w:r>
        <w:rPr>
          <w:rFonts w:hint="eastAsia" w:hAnsi="宋体" w:cs="宋体"/>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pPr>
        <w:pStyle w:val="13"/>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pPr>
        <w:pStyle w:val="13"/>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pPr>
        <w:pStyle w:val="13"/>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pPr>
        <w:pStyle w:val="13"/>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w:t>
      </w:r>
    </w:p>
    <w:p>
      <w:pPr>
        <w:pStyle w:val="13"/>
        <w:snapToGrid w:val="0"/>
        <w:spacing w:before="120" w:after="120"/>
        <w:rPr>
          <w:rFonts w:hint="eastAsia" w:hAnsi="宋体"/>
          <w:color w:val="auto"/>
          <w:highlight w:val="none"/>
        </w:rPr>
      </w:pPr>
    </w:p>
    <w:p>
      <w:pPr>
        <w:jc w:val="left"/>
        <w:rPr>
          <w:rFonts w:hint="eastAsia" w:hAnsi="宋体"/>
          <w:b/>
          <w:color w:val="auto"/>
          <w:sz w:val="32"/>
          <w:szCs w:val="32"/>
          <w:highlight w:val="none"/>
        </w:rPr>
      </w:pPr>
    </w:p>
    <w:p>
      <w:pPr>
        <w:pStyle w:val="2"/>
        <w:spacing w:line="360" w:lineRule="auto"/>
        <w:jc w:val="center"/>
        <w:rPr>
          <w:rFonts w:hint="eastAsia"/>
          <w:color w:val="auto"/>
          <w:highlight w:val="none"/>
        </w:rPr>
      </w:pPr>
      <w:r>
        <w:rPr>
          <w:color w:val="auto"/>
          <w:highlight w:val="none"/>
        </w:rPr>
        <w:br w:type="page"/>
      </w:r>
      <w:r>
        <w:rPr>
          <w:rFonts w:hint="eastAsia"/>
          <w:color w:val="auto"/>
          <w:highlight w:val="none"/>
        </w:rPr>
        <w:t>第三章 采购需求</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 w:val="32"/>
          <w:szCs w:val="32"/>
          <w:highlight w:val="none"/>
        </w:rPr>
      </w:pPr>
    </w:p>
    <w:p>
      <w:pPr>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说明：</w:t>
      </w:r>
    </w:p>
    <w:p>
      <w:pPr>
        <w:spacing w:line="360" w:lineRule="exact"/>
        <w:ind w:left="-10" w:leftChars="-5" w:right="2" w:rightChars="1" w:firstLine="422" w:firstLineChars="200"/>
        <w:rPr>
          <w:rFonts w:hint="eastAsia" w:hAnsi="宋体"/>
          <w:b/>
          <w:bCs/>
          <w:color w:val="auto"/>
          <w:highlight w:val="none"/>
        </w:rPr>
      </w:pPr>
      <w:r>
        <w:rPr>
          <w:rFonts w:hint="eastAsia" w:hAnsi="宋体"/>
          <w:b/>
          <w:bCs/>
          <w:color w:val="auto"/>
          <w:highlight w:val="none"/>
        </w:rPr>
        <w:t>1、采购需求中如出现品牌、型号或者生产厂家等均仅起参考作用，不属于指定品牌、型号或者生产厂家的情形，供应商可参照或者选用其他相当的品牌、型号或者生产供应商替代。但供应商的产品实质上应相当于或优于本需求</w:t>
      </w:r>
      <w:r>
        <w:rPr>
          <w:rFonts w:hAnsi="宋体"/>
          <w:b/>
          <w:bCs/>
          <w:color w:val="auto"/>
          <w:highlight w:val="none"/>
        </w:rPr>
        <w:t>中</w:t>
      </w:r>
      <w:r>
        <w:rPr>
          <w:rFonts w:hint="eastAsia" w:hAnsi="宋体"/>
          <w:b/>
          <w:bCs/>
          <w:color w:val="auto"/>
          <w:highlight w:val="none"/>
        </w:rPr>
        <w:t>的技术要求。</w:t>
      </w:r>
    </w:p>
    <w:p>
      <w:pPr>
        <w:spacing w:line="360" w:lineRule="exact"/>
        <w:ind w:left="-10" w:leftChars="-5" w:right="2" w:rightChars="1" w:firstLine="422" w:firstLineChars="200"/>
        <w:rPr>
          <w:rFonts w:hint="eastAsia" w:hAnsi="宋体"/>
          <w:b/>
          <w:bCs/>
          <w:color w:val="auto"/>
          <w:highlight w:val="none"/>
        </w:rPr>
      </w:pPr>
      <w:r>
        <w:rPr>
          <w:rFonts w:hint="eastAsia" w:hAnsi="宋体"/>
          <w:b/>
          <w:bCs/>
          <w:color w:val="auto"/>
          <w:highlight w:val="none"/>
        </w:rPr>
        <w:t>2、</w:t>
      </w:r>
      <w:r>
        <w:rPr>
          <w:rFonts w:hAnsi="宋体"/>
          <w:b/>
          <w:bCs/>
          <w:color w:val="auto"/>
          <w:highlight w:val="none"/>
        </w:rPr>
        <w:t>根据《财政部 发展改革委 生态环境部 市场监管总局关于调整优化节能产品、环境标志产品政府采购执行机制的通知》（财库〔2019〕9 号）和《关于印发节能产品政府采购品目清单的通知》（财库〔2019〕19 号）的规定，采购需求</w:t>
      </w:r>
      <w:r>
        <w:rPr>
          <w:rFonts w:hint="eastAsia" w:hAnsi="宋体"/>
          <w:b/>
          <w:bCs/>
          <w:color w:val="auto"/>
          <w:highlight w:val="none"/>
        </w:rPr>
        <w:t>中如有货物产品，且货物</w:t>
      </w:r>
      <w:r>
        <w:rPr>
          <w:rFonts w:hAnsi="宋体"/>
          <w:b/>
          <w:bCs/>
          <w:color w:val="auto"/>
          <w:highlight w:val="none"/>
        </w:rPr>
        <w:t>产品属于节能产品政府采购品目清单内标注“★”的（详见本章后附的节能产品政府采购品目清单），供应商的竞标货物必须使用政府强制采购的节能产品，否则响应文件作无效响应处理。</w:t>
      </w:r>
    </w:p>
    <w:p>
      <w:pPr>
        <w:spacing w:line="360" w:lineRule="exact"/>
        <w:ind w:left="-10" w:leftChars="-5" w:right="2" w:rightChars="1" w:firstLine="422" w:firstLineChars="200"/>
        <w:rPr>
          <w:rFonts w:hint="eastAsia" w:hAnsi="宋体"/>
          <w:b/>
          <w:bCs/>
          <w:color w:val="auto"/>
          <w:highlight w:val="none"/>
        </w:rPr>
      </w:pPr>
      <w:r>
        <w:rPr>
          <w:rFonts w:hint="eastAsia" w:hAnsi="宋体"/>
          <w:b/>
          <w:bCs/>
          <w:color w:val="auto"/>
          <w:highlight w:val="none"/>
        </w:rPr>
        <w:t>3、如供应商竞标产品存在侵犯他人的知识产权或者专利成果行为的，由供应商自行承担相应法律责任。</w:t>
      </w:r>
    </w:p>
    <w:p>
      <w:pPr>
        <w:spacing w:line="360" w:lineRule="exact"/>
        <w:ind w:left="-10" w:leftChars="-5" w:right="2" w:rightChars="1" w:firstLine="422" w:firstLineChars="200"/>
        <w:rPr>
          <w:rFonts w:hint="eastAsia" w:hAnsi="宋体"/>
          <w:b/>
          <w:bCs/>
          <w:color w:val="auto"/>
          <w:highlight w:val="none"/>
        </w:rPr>
      </w:pPr>
      <w:r>
        <w:rPr>
          <w:rFonts w:hint="eastAsia" w:hAnsi="宋体"/>
          <w:b/>
          <w:bCs/>
          <w:color w:val="auto"/>
          <w:highlight w:val="none"/>
        </w:rPr>
        <w:t>4、“实质性要求”是指竞争性磋商文件中已经指明不满足则响应无效的条款，或者不能负偏离的条款，或者采购需求中带“▲”的条款。</w:t>
      </w:r>
    </w:p>
    <w:p>
      <w:pPr>
        <w:spacing w:line="360" w:lineRule="exact"/>
        <w:ind w:left="-10" w:leftChars="-5" w:right="2" w:rightChars="1" w:firstLine="422" w:firstLineChars="200"/>
        <w:rPr>
          <w:rFonts w:hint="eastAsia" w:hAnsi="宋体" w:eastAsia="宋体"/>
          <w:b/>
          <w:bCs/>
          <w:color w:val="auto"/>
          <w:highlight w:val="none"/>
          <w:lang w:val="en-US" w:eastAsia="zh-CN"/>
        </w:rPr>
      </w:pPr>
      <w:r>
        <w:rPr>
          <w:rFonts w:hint="eastAsia" w:hAnsi="宋体"/>
          <w:b/>
          <w:bCs/>
          <w:color w:val="auto"/>
          <w:highlight w:val="none"/>
          <w:lang w:val="en-US" w:eastAsia="zh-CN"/>
        </w:rPr>
        <w:t>5、中小企业划分标准所属行业名称（行业名称及划分见本章附件2）：软件和信息技术服务业。</w:t>
      </w:r>
    </w:p>
    <w:p>
      <w:pPr>
        <w:spacing w:line="360" w:lineRule="auto"/>
        <w:jc w:val="left"/>
        <w:rPr>
          <w:rFonts w:ascii="宋体" w:hAnsi="宋体" w:cs="Arial"/>
          <w:bCs/>
          <w:color w:val="auto"/>
          <w:szCs w:val="21"/>
          <w:highlight w:val="none"/>
          <w:u w:val="single"/>
        </w:rPr>
      </w:pPr>
    </w:p>
    <w:tbl>
      <w:tblPr>
        <w:tblStyle w:val="20"/>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882"/>
        <w:gridCol w:w="1005"/>
        <w:gridCol w:w="765"/>
        <w:gridCol w:w="5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57" w:type="dxa"/>
            <w:gridSpan w:val="5"/>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val="0"/>
                <w:bCs/>
                <w:color w:val="auto"/>
                <w:kern w:val="0"/>
                <w:sz w:val="21"/>
                <w:szCs w:val="21"/>
                <w:highlight w:val="none"/>
                <w:lang w:eastAsia="zh-CN"/>
              </w:rPr>
            </w:pPr>
            <w:bookmarkStart w:id="34" w:name="_Toc74323459"/>
            <w:r>
              <w:rPr>
                <w:rFonts w:hint="eastAsia" w:ascii="宋体" w:hAnsi="宋体" w:eastAsia="宋体" w:cs="宋体"/>
                <w:b/>
                <w:bCs w:val="0"/>
                <w:color w:val="auto"/>
                <w:kern w:val="0"/>
                <w:sz w:val="21"/>
                <w:szCs w:val="21"/>
                <w:highlight w:val="none"/>
                <w:lang w:eastAsia="zh-CN"/>
              </w:rPr>
              <w:t>一、总体目标：</w:t>
            </w:r>
            <w:r>
              <w:rPr>
                <w:rFonts w:hint="eastAsia" w:ascii="宋体" w:hAnsi="宋体" w:eastAsia="宋体" w:cs="宋体"/>
                <w:b w:val="0"/>
                <w:bCs/>
                <w:color w:val="auto"/>
                <w:kern w:val="0"/>
                <w:sz w:val="21"/>
                <w:szCs w:val="21"/>
                <w:highlight w:val="none"/>
                <w:lang w:eastAsia="zh-CN"/>
              </w:rPr>
              <w:t>实现院内病理管理数字化转型，病理管理业务可视化闭环管理，通过医院区域医疗服务协同平台与基层医疗卫生机构实现数据资源共享和业务协同，促进优质医疗资源下沉。利用互联网技术，加快实现医疗资源上下贯通，提高基层医疗服务能力和效率，推动构建有序的分级诊疗格局。</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center"/>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1、符合《电子病历系统应用水平分级评价方法及标准（试行）》、《互联网诊疗管理办法（试行）》、《关于印发进一步改善医疗服务行动计划（2018-2020年）的通知》）、《关于进一步完善预约诊疗制度加强智慧医院建设的通知》、《国务院办公厅关于推动公立医院高质量发展的意见》、《广西壮族自治区医疗联合体管理实施办法》的通知、《互联互通标准化成熟度测评》、《关于印发医疗卫生机构网络安全管理办法的通知》、《远程医疗服务管理规范（试行）》、《远程医疗信息系统建设技术指南》等文件要求。</w:t>
            </w:r>
            <w:r>
              <w:rPr>
                <w:rFonts w:hint="eastAsia" w:ascii="宋体" w:hAnsi="宋体" w:eastAsia="宋体" w:cs="宋体"/>
                <w:i w:val="0"/>
                <w:iCs w:val="0"/>
                <w:color w:val="auto"/>
                <w:kern w:val="0"/>
                <w:sz w:val="22"/>
                <w:szCs w:val="22"/>
                <w:highlight w:val="none"/>
                <w:u w:val="none"/>
                <w:lang w:val="en-US" w:eastAsia="zh-CN" w:bidi="ar"/>
              </w:rPr>
              <w:t>项目建设完成后，本项目涉及条款至少达到国家电子病历</w:t>
            </w:r>
            <w:r>
              <w:rPr>
                <w:rFonts w:hint="default" w:ascii="宋体" w:hAnsi="宋体" w:eastAsia="宋体" w:cs="宋体"/>
                <w:i w:val="0"/>
                <w:iCs w:val="0"/>
                <w:color w:val="auto"/>
                <w:kern w:val="0"/>
                <w:sz w:val="22"/>
                <w:szCs w:val="22"/>
                <w:highlight w:val="none"/>
                <w:u w:val="none"/>
                <w:lang w:val="en-US" w:eastAsia="zh-CN" w:bidi="ar"/>
              </w:rPr>
              <w:t>系统功能应用水平</w:t>
            </w:r>
            <w:r>
              <w:rPr>
                <w:rFonts w:hint="eastAsia" w:ascii="宋体" w:hAnsi="宋体" w:eastAsia="宋体" w:cs="宋体"/>
                <w:i w:val="0"/>
                <w:iCs w:val="0"/>
                <w:color w:val="auto"/>
                <w:kern w:val="0"/>
                <w:sz w:val="22"/>
                <w:szCs w:val="22"/>
                <w:highlight w:val="none"/>
                <w:u w:val="none"/>
                <w:lang w:val="en-US" w:eastAsia="zh-CN" w:bidi="ar"/>
              </w:rPr>
              <w:t>六级，互联互通标准化成熟度五级，智慧服务四级，智慧管理四级等相关文件、规范的要求。</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2、基于广西医科大学第一附属医院已有的业务中台、数据中台，积极配合医院信息化建设工作及应用场景的拓展，包括与第三方软硬件进行接口对接、测试等。</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3、根据医院要求，配合医院完成等级保护定级备案与测评，符合医院信息化建设各项要求。</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kern w:val="0"/>
                <w:sz w:val="21"/>
                <w:szCs w:val="21"/>
                <w:highlight w:val="none"/>
                <w:lang w:eastAsia="zh-CN"/>
              </w:rPr>
              <w:t>4、应有能力做好售后服务工作和提供技术保障。竞标人或竞标产品制造商应设有专业的售后服务维修机构，有充足的零件储备和专业技术服务人员，提供货到现场的防盗、保管、安装、配合调试、验收、培训、维护保养及后续的技术咨询、故障报修等服务。同时保证系统上线期间安排至少1名专业工程师进驻项目现场，项目验收后，保证维修响应时间＜2小时，24小时内上门维修，提供7</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lang w:eastAsia="zh-CN"/>
              </w:rPr>
              <w:t>24小时线上技术支持</w:t>
            </w:r>
            <w:r>
              <w:rPr>
                <w:rFonts w:hint="eastAsia" w:hAnsi="宋体" w:cs="宋体"/>
                <w:b w:val="0"/>
                <w:bCs/>
                <w:color w:val="auto"/>
                <w:kern w:val="0"/>
                <w:sz w:val="21"/>
                <w:szCs w:val="21"/>
                <w:highlight w:val="none"/>
                <w:lang w:eastAsia="zh-CN"/>
              </w:rPr>
              <w:t>，</w:t>
            </w:r>
            <w:r>
              <w:rPr>
                <w:rFonts w:hint="eastAsia" w:ascii="宋体" w:hAnsi="宋体" w:cs="宋体"/>
                <w:color w:val="auto"/>
                <w:sz w:val="21"/>
                <w:szCs w:val="21"/>
                <w:highlight w:val="none"/>
                <w:lang w:val="en-US" w:eastAsia="zh-CN"/>
              </w:rPr>
              <w:t>2个工作日解决问题</w:t>
            </w:r>
            <w:r>
              <w:rPr>
                <w:rFonts w:hint="eastAsia" w:ascii="宋体" w:hAnsi="宋体" w:eastAsia="宋体" w:cs="宋体"/>
                <w:color w:val="auto"/>
                <w:sz w:val="21"/>
                <w:szCs w:val="21"/>
                <w:highlight w:val="none"/>
                <w:lang w:val="en-US" w:eastAsia="zh-CN"/>
              </w:rPr>
              <w:t>，对于未能解决的问题和故障提供可行的升级方案</w:t>
            </w:r>
            <w:r>
              <w:rPr>
                <w:rFonts w:hint="eastAsia" w:ascii="宋体" w:hAnsi="宋体" w:eastAsia="宋体" w:cs="宋体"/>
                <w:color w:val="auto"/>
                <w:sz w:val="21"/>
                <w:szCs w:val="21"/>
                <w:highlight w:val="none"/>
              </w:rPr>
              <w:t>。</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eastAsia="zh-CN"/>
              </w:rPr>
              <w:t>快速响应和高效解决项目中出现的问题，保证服务连续性，确保项目顺利建设。</w:t>
            </w:r>
          </w:p>
          <w:tbl>
            <w:tblPr>
              <w:tblStyle w:val="21"/>
              <w:tblpPr w:leftFromText="180" w:rightFromText="180" w:vertAnchor="text" w:horzAnchor="page" w:tblpX="945" w:tblpY="4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7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42" w:type="dxa"/>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rPr>
                      <w:rFonts w:hint="eastAsia" w:ascii="宋体" w:hAnsi="宋体" w:eastAsia="宋体" w:cs="宋体"/>
                      <w:b/>
                      <w:bCs/>
                      <w:color w:val="auto"/>
                      <w:sz w:val="21"/>
                      <w:szCs w:val="21"/>
                      <w:highlight w:val="none"/>
                      <w:vertAlign w:val="baseline"/>
                      <w:lang w:val="en-US" w:eastAsia="zh-Hans"/>
                    </w:rPr>
                  </w:pPr>
                  <w:r>
                    <w:rPr>
                      <w:rFonts w:hint="eastAsia" w:ascii="宋体" w:hAnsi="宋体" w:eastAsia="宋体" w:cs="宋体"/>
                      <w:b/>
                      <w:bCs/>
                      <w:color w:val="auto"/>
                      <w:sz w:val="21"/>
                      <w:szCs w:val="21"/>
                      <w:highlight w:val="none"/>
                      <w:vertAlign w:val="baseline"/>
                      <w:lang w:val="en-US" w:eastAsia="zh-Hans"/>
                    </w:rPr>
                    <w:t>序号</w:t>
                  </w:r>
                </w:p>
              </w:tc>
              <w:tc>
                <w:tcPr>
                  <w:tcW w:w="7057" w:type="dxa"/>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rPr>
                      <w:rFonts w:hint="eastAsia" w:ascii="宋体" w:hAnsi="宋体" w:eastAsia="宋体" w:cs="宋体"/>
                      <w:b/>
                      <w:bCs/>
                      <w:color w:val="auto"/>
                      <w:sz w:val="21"/>
                      <w:szCs w:val="21"/>
                      <w:highlight w:val="none"/>
                      <w:vertAlign w:val="baseline"/>
                      <w:lang w:val="en-US" w:eastAsia="zh-Hans"/>
                    </w:rPr>
                  </w:pPr>
                  <w:r>
                    <w:rPr>
                      <w:rFonts w:hint="eastAsia" w:ascii="宋体" w:hAnsi="宋体" w:eastAsia="宋体" w:cs="宋体"/>
                      <w:b/>
                      <w:bCs/>
                      <w:color w:val="auto"/>
                      <w:sz w:val="21"/>
                      <w:szCs w:val="21"/>
                      <w:highlight w:val="none"/>
                      <w:vertAlign w:val="baseline"/>
                      <w:lang w:val="en-US" w:eastAsia="zh-Hans"/>
                    </w:rPr>
                    <w:t>软件模块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42" w:type="dxa"/>
                  <w:vAlign w:val="center"/>
                </w:tcPr>
                <w:p>
                  <w:pPr>
                    <w:pStyle w:val="2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exact"/>
                    <w:ind w:leftChars="0" w:right="0" w:rightChars="0"/>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1</w:t>
                  </w:r>
                </w:p>
              </w:tc>
              <w:tc>
                <w:tcPr>
                  <w:tcW w:w="7057" w:type="dxa"/>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系统总体描述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42" w:type="dxa"/>
                  <w:vAlign w:val="center"/>
                </w:tcPr>
                <w:p>
                  <w:pPr>
                    <w:pStyle w:val="2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exact"/>
                    <w:ind w:leftChars="0" w:right="0" w:right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7057" w:type="dxa"/>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病理申请及标本流转模块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42" w:type="dxa"/>
                  <w:vAlign w:val="center"/>
                </w:tcPr>
                <w:p>
                  <w:pPr>
                    <w:pStyle w:val="2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exact"/>
                    <w:ind w:leftChars="0" w:right="0" w:right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7057" w:type="dxa"/>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vertAlign w:val="baseline"/>
                      <w:lang w:val="en-US" w:eastAsia="zh-Hans"/>
                    </w:rPr>
                  </w:pPr>
                  <w:r>
                    <w:rPr>
                      <w:rFonts w:hint="eastAsia" w:ascii="宋体" w:hAnsi="宋体" w:eastAsia="宋体" w:cs="宋体"/>
                      <w:color w:val="auto"/>
                      <w:sz w:val="21"/>
                      <w:szCs w:val="21"/>
                      <w:highlight w:val="none"/>
                      <w:vertAlign w:val="baseline"/>
                      <w:lang w:val="en-US" w:eastAsia="zh-Hans"/>
                    </w:rPr>
                    <w:t>病</w:t>
                  </w:r>
                  <w:r>
                    <w:rPr>
                      <w:rFonts w:hint="eastAsia" w:ascii="宋体" w:hAnsi="宋体" w:eastAsia="宋体" w:cs="宋体"/>
                      <w:color w:val="auto"/>
                      <w:sz w:val="21"/>
                      <w:szCs w:val="21"/>
                      <w:highlight w:val="none"/>
                      <w:vertAlign w:val="baseline"/>
                      <w:lang w:val="en-US" w:eastAsia="zh-CN"/>
                    </w:rPr>
                    <w:t>例</w:t>
                  </w:r>
                  <w:r>
                    <w:rPr>
                      <w:rFonts w:hint="eastAsia" w:ascii="宋体" w:hAnsi="宋体" w:eastAsia="宋体" w:cs="宋体"/>
                      <w:color w:val="auto"/>
                      <w:sz w:val="21"/>
                      <w:szCs w:val="21"/>
                      <w:highlight w:val="none"/>
                      <w:vertAlign w:val="baseline"/>
                      <w:lang w:val="en-US" w:eastAsia="zh-Hans"/>
                    </w:rPr>
                    <w:t>登记模块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42" w:type="dxa"/>
                  <w:vAlign w:val="center"/>
                </w:tcPr>
                <w:p>
                  <w:pPr>
                    <w:pStyle w:val="2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exact"/>
                    <w:ind w:leftChars="0" w:right="0" w:rightChars="0"/>
                    <w:jc w:val="center"/>
                    <w:rPr>
                      <w:rFonts w:hint="default" w:ascii="宋体" w:hAnsi="宋体" w:eastAsia="宋体" w:cs="宋体"/>
                      <w:color w:val="auto"/>
                      <w:kern w:val="0"/>
                      <w:sz w:val="21"/>
                      <w:szCs w:val="21"/>
                      <w:highlight w:val="none"/>
                      <w:vertAlign w:val="baseline"/>
                      <w:lang w:val="en-US" w:eastAsia="zh-CN" w:bidi="ar-SA"/>
                    </w:rPr>
                  </w:pPr>
                  <w:r>
                    <w:rPr>
                      <w:rFonts w:hint="eastAsia" w:ascii="宋体" w:hAnsi="宋体" w:cs="宋体"/>
                      <w:color w:val="auto"/>
                      <w:kern w:val="0"/>
                      <w:sz w:val="21"/>
                      <w:szCs w:val="21"/>
                      <w:highlight w:val="none"/>
                      <w:vertAlign w:val="baseline"/>
                      <w:lang w:val="en-US" w:eastAsia="zh-CN" w:bidi="ar-SA"/>
                    </w:rPr>
                    <w:t>4</w:t>
                  </w:r>
                </w:p>
              </w:tc>
              <w:tc>
                <w:tcPr>
                  <w:tcW w:w="7057" w:type="dxa"/>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vertAlign w:val="baseline"/>
                      <w:lang w:val="en-US" w:eastAsia="zh-Hans"/>
                    </w:rPr>
                  </w:pPr>
                  <w:r>
                    <w:rPr>
                      <w:rFonts w:hint="eastAsia" w:ascii="宋体" w:hAnsi="宋体" w:eastAsia="宋体" w:cs="宋体"/>
                      <w:color w:val="auto"/>
                      <w:sz w:val="21"/>
                      <w:szCs w:val="21"/>
                      <w:highlight w:val="none"/>
                      <w:vertAlign w:val="baseline"/>
                      <w:lang w:val="en-US" w:eastAsia="zh-Hans"/>
                    </w:rPr>
                    <w:t>取材管理模块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42" w:type="dxa"/>
                  <w:vAlign w:val="center"/>
                </w:tcPr>
                <w:p>
                  <w:pPr>
                    <w:pStyle w:val="2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exact"/>
                    <w:ind w:leftChars="0" w:right="0" w:rightChars="0"/>
                    <w:jc w:val="center"/>
                    <w:rPr>
                      <w:rFonts w:hint="default" w:ascii="宋体" w:hAnsi="宋体" w:eastAsia="宋体" w:cs="宋体"/>
                      <w:color w:val="auto"/>
                      <w:kern w:val="0"/>
                      <w:sz w:val="21"/>
                      <w:szCs w:val="21"/>
                      <w:highlight w:val="none"/>
                      <w:vertAlign w:val="baseline"/>
                      <w:lang w:val="en-US" w:eastAsia="zh-CN" w:bidi="ar-SA"/>
                    </w:rPr>
                  </w:pPr>
                  <w:r>
                    <w:rPr>
                      <w:rFonts w:hint="eastAsia" w:ascii="宋体" w:hAnsi="宋体" w:cs="宋体"/>
                      <w:color w:val="auto"/>
                      <w:kern w:val="0"/>
                      <w:sz w:val="21"/>
                      <w:szCs w:val="21"/>
                      <w:highlight w:val="none"/>
                      <w:vertAlign w:val="baseline"/>
                      <w:lang w:val="en-US" w:eastAsia="zh-CN" w:bidi="ar-SA"/>
                    </w:rPr>
                    <w:t>5</w:t>
                  </w:r>
                </w:p>
              </w:tc>
              <w:tc>
                <w:tcPr>
                  <w:tcW w:w="7057" w:type="dxa"/>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vertAlign w:val="baseline"/>
                      <w:lang w:val="en-US" w:eastAsia="zh-Hans"/>
                    </w:rPr>
                  </w:pPr>
                  <w:r>
                    <w:rPr>
                      <w:rFonts w:hint="eastAsia" w:ascii="宋体" w:hAnsi="宋体" w:eastAsia="宋体" w:cs="宋体"/>
                      <w:color w:val="auto"/>
                      <w:sz w:val="21"/>
                      <w:szCs w:val="21"/>
                      <w:highlight w:val="none"/>
                      <w:vertAlign w:val="baseline"/>
                      <w:lang w:val="en-US" w:eastAsia="zh-Hans"/>
                    </w:rPr>
                    <w:t>脱水管理模块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42" w:type="dxa"/>
                  <w:vAlign w:val="center"/>
                </w:tcPr>
                <w:p>
                  <w:pPr>
                    <w:pStyle w:val="2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exact"/>
                    <w:ind w:leftChars="0" w:right="0" w:rightChars="0"/>
                    <w:jc w:val="center"/>
                    <w:rPr>
                      <w:rFonts w:hint="eastAsia" w:ascii="宋体" w:hAnsi="宋体" w:eastAsia="宋体" w:cs="宋体"/>
                      <w:bCs/>
                      <w:color w:val="auto"/>
                      <w:spacing w:val="10"/>
                      <w:kern w:val="0"/>
                      <w:sz w:val="21"/>
                      <w:szCs w:val="21"/>
                      <w:highlight w:val="none"/>
                      <w:vertAlign w:val="baseline"/>
                      <w:lang w:val="en-US" w:eastAsia="zh-CN" w:bidi="ar-SA"/>
                    </w:rPr>
                  </w:pPr>
                  <w:r>
                    <w:rPr>
                      <w:rFonts w:hint="eastAsia" w:ascii="宋体" w:hAnsi="宋体" w:cs="宋体"/>
                      <w:bCs/>
                      <w:color w:val="auto"/>
                      <w:spacing w:val="10"/>
                      <w:kern w:val="0"/>
                      <w:sz w:val="21"/>
                      <w:szCs w:val="21"/>
                      <w:highlight w:val="none"/>
                      <w:vertAlign w:val="baseline"/>
                      <w:lang w:val="en-US" w:eastAsia="zh-CN" w:bidi="ar-SA"/>
                    </w:rPr>
                    <w:t>6</w:t>
                  </w:r>
                </w:p>
              </w:tc>
              <w:tc>
                <w:tcPr>
                  <w:tcW w:w="7057" w:type="dxa"/>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vertAlign w:val="baseline"/>
                      <w:lang w:val="en-US" w:eastAsia="zh-Hans"/>
                    </w:rPr>
                  </w:pPr>
                  <w:r>
                    <w:rPr>
                      <w:rFonts w:hint="eastAsia" w:ascii="宋体" w:hAnsi="宋体" w:eastAsia="宋体" w:cs="宋体"/>
                      <w:color w:val="auto"/>
                      <w:sz w:val="21"/>
                      <w:szCs w:val="21"/>
                      <w:highlight w:val="none"/>
                      <w:vertAlign w:val="baseline"/>
                      <w:lang w:val="en-US" w:eastAsia="zh-Hans"/>
                    </w:rPr>
                    <w:t>包埋管理模块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42" w:type="dxa"/>
                  <w:vAlign w:val="center"/>
                </w:tcPr>
                <w:p>
                  <w:pPr>
                    <w:pStyle w:val="2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exact"/>
                    <w:ind w:leftChars="0" w:right="0" w:rightChars="0"/>
                    <w:jc w:val="center"/>
                    <w:rPr>
                      <w:rFonts w:hint="eastAsia" w:ascii="宋体" w:hAnsi="宋体" w:eastAsia="宋体" w:cs="宋体"/>
                      <w:bCs/>
                      <w:color w:val="auto"/>
                      <w:spacing w:val="10"/>
                      <w:kern w:val="0"/>
                      <w:sz w:val="21"/>
                      <w:szCs w:val="21"/>
                      <w:highlight w:val="none"/>
                      <w:vertAlign w:val="baseline"/>
                      <w:lang w:val="en-US" w:eastAsia="zh-CN" w:bidi="ar-SA"/>
                    </w:rPr>
                  </w:pPr>
                  <w:r>
                    <w:rPr>
                      <w:rFonts w:hint="eastAsia" w:ascii="宋体" w:hAnsi="宋体" w:cs="宋体"/>
                      <w:bCs/>
                      <w:color w:val="auto"/>
                      <w:spacing w:val="10"/>
                      <w:kern w:val="0"/>
                      <w:sz w:val="21"/>
                      <w:szCs w:val="21"/>
                      <w:highlight w:val="none"/>
                      <w:vertAlign w:val="baseline"/>
                      <w:lang w:val="en-US" w:eastAsia="zh-CN" w:bidi="ar-SA"/>
                    </w:rPr>
                    <w:t>7</w:t>
                  </w:r>
                </w:p>
              </w:tc>
              <w:tc>
                <w:tcPr>
                  <w:tcW w:w="7057" w:type="dxa"/>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vertAlign w:val="baseline"/>
                      <w:lang w:val="en-US" w:eastAsia="zh-Hans"/>
                    </w:rPr>
                  </w:pPr>
                  <w:r>
                    <w:rPr>
                      <w:rFonts w:hint="eastAsia" w:ascii="宋体" w:hAnsi="宋体" w:eastAsia="宋体" w:cs="宋体"/>
                      <w:color w:val="auto"/>
                      <w:sz w:val="21"/>
                      <w:szCs w:val="21"/>
                      <w:highlight w:val="none"/>
                      <w:vertAlign w:val="baseline"/>
                      <w:lang w:val="en-US" w:eastAsia="zh-CN"/>
                    </w:rPr>
                    <w:t>切片</w:t>
                  </w:r>
                  <w:r>
                    <w:rPr>
                      <w:rFonts w:hint="eastAsia" w:ascii="宋体" w:hAnsi="宋体" w:eastAsia="宋体" w:cs="宋体"/>
                      <w:color w:val="auto"/>
                      <w:sz w:val="21"/>
                      <w:szCs w:val="21"/>
                      <w:highlight w:val="none"/>
                      <w:vertAlign w:val="baseline"/>
                      <w:lang w:val="en-US" w:eastAsia="zh-Hans"/>
                    </w:rPr>
                    <w:t>管理模块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42" w:type="dxa"/>
                  <w:vAlign w:val="center"/>
                </w:tcPr>
                <w:p>
                  <w:pPr>
                    <w:pStyle w:val="28"/>
                    <w:keepNext w:val="0"/>
                    <w:keepLines w:val="0"/>
                    <w:pageBreakBefore w:val="0"/>
                    <w:numPr>
                      <w:ilvl w:val="0"/>
                      <w:numId w:val="0"/>
                    </w:numPr>
                    <w:suppressLineNumbers w:val="0"/>
                    <w:tabs>
                      <w:tab w:val="left" w:pos="1034"/>
                    </w:tabs>
                    <w:kinsoku/>
                    <w:wordWrap/>
                    <w:overflowPunct/>
                    <w:topLinePunct w:val="0"/>
                    <w:autoSpaceDE/>
                    <w:autoSpaceDN/>
                    <w:bidi w:val="0"/>
                    <w:adjustRightInd/>
                    <w:spacing w:before="0" w:beforeAutospacing="0" w:after="0" w:afterAutospacing="0" w:line="360" w:lineRule="exact"/>
                    <w:ind w:leftChars="0" w:right="0" w:rightChars="0"/>
                    <w:jc w:val="center"/>
                    <w:rPr>
                      <w:rFonts w:hint="eastAsia" w:ascii="宋体" w:hAnsi="宋体" w:eastAsia="宋体" w:cs="宋体"/>
                      <w:bCs/>
                      <w:color w:val="auto"/>
                      <w:spacing w:val="10"/>
                      <w:kern w:val="0"/>
                      <w:sz w:val="21"/>
                      <w:szCs w:val="21"/>
                      <w:highlight w:val="none"/>
                      <w:vertAlign w:val="baseline"/>
                      <w:lang w:val="en-US" w:eastAsia="zh-CN" w:bidi="ar-SA"/>
                    </w:rPr>
                  </w:pPr>
                  <w:r>
                    <w:rPr>
                      <w:rFonts w:hint="eastAsia" w:ascii="宋体" w:hAnsi="宋体" w:cs="宋体"/>
                      <w:bCs/>
                      <w:color w:val="auto"/>
                      <w:spacing w:val="10"/>
                      <w:kern w:val="0"/>
                      <w:sz w:val="21"/>
                      <w:szCs w:val="21"/>
                      <w:highlight w:val="none"/>
                      <w:vertAlign w:val="baseline"/>
                      <w:lang w:val="en-US" w:eastAsia="zh-CN" w:bidi="ar-SA"/>
                    </w:rPr>
                    <w:t>8</w:t>
                  </w:r>
                </w:p>
              </w:tc>
              <w:tc>
                <w:tcPr>
                  <w:tcW w:w="7057" w:type="dxa"/>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vertAlign w:val="baseline"/>
                      <w:lang w:val="en-US" w:eastAsia="zh-Hans"/>
                    </w:rPr>
                  </w:pPr>
                  <w:r>
                    <w:rPr>
                      <w:rFonts w:hint="eastAsia" w:ascii="宋体" w:hAnsi="宋体" w:eastAsia="宋体" w:cs="宋体"/>
                      <w:color w:val="auto"/>
                      <w:sz w:val="21"/>
                      <w:szCs w:val="21"/>
                      <w:highlight w:val="none"/>
                      <w:vertAlign w:val="baseline"/>
                      <w:lang w:val="en-US" w:eastAsia="zh-Hans"/>
                    </w:rPr>
                    <w:t>染封管理模块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42" w:type="dxa"/>
                  <w:vAlign w:val="center"/>
                </w:tcPr>
                <w:p>
                  <w:pPr>
                    <w:pStyle w:val="2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exact"/>
                    <w:ind w:leftChars="0" w:right="0" w:rightChars="0"/>
                    <w:jc w:val="center"/>
                    <w:rPr>
                      <w:rFonts w:hint="eastAsia" w:ascii="宋体" w:hAnsi="宋体" w:eastAsia="宋体" w:cs="宋体"/>
                      <w:bCs/>
                      <w:color w:val="auto"/>
                      <w:spacing w:val="10"/>
                      <w:kern w:val="0"/>
                      <w:sz w:val="21"/>
                      <w:szCs w:val="21"/>
                      <w:highlight w:val="none"/>
                      <w:vertAlign w:val="baseline"/>
                      <w:lang w:val="en-US" w:eastAsia="zh-CN" w:bidi="ar-SA"/>
                    </w:rPr>
                  </w:pPr>
                  <w:r>
                    <w:rPr>
                      <w:rFonts w:hint="eastAsia" w:ascii="宋体" w:hAnsi="宋体" w:cs="宋体"/>
                      <w:bCs/>
                      <w:color w:val="auto"/>
                      <w:spacing w:val="10"/>
                      <w:kern w:val="0"/>
                      <w:sz w:val="21"/>
                      <w:szCs w:val="21"/>
                      <w:highlight w:val="none"/>
                      <w:vertAlign w:val="baseline"/>
                      <w:lang w:val="en-US" w:eastAsia="zh-CN" w:bidi="ar-SA"/>
                    </w:rPr>
                    <w:t>9</w:t>
                  </w:r>
                </w:p>
              </w:tc>
              <w:tc>
                <w:tcPr>
                  <w:tcW w:w="7057" w:type="dxa"/>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vertAlign w:val="baseline"/>
                      <w:lang w:val="en-US" w:eastAsia="zh-Hans"/>
                    </w:rPr>
                  </w:pPr>
                  <w:r>
                    <w:rPr>
                      <w:rFonts w:hint="eastAsia" w:ascii="宋体" w:hAnsi="宋体" w:eastAsia="宋体" w:cs="宋体"/>
                      <w:color w:val="auto"/>
                      <w:sz w:val="21"/>
                      <w:szCs w:val="21"/>
                      <w:highlight w:val="none"/>
                      <w:vertAlign w:val="baseline"/>
                      <w:lang w:val="en-US" w:eastAsia="zh-Hans"/>
                    </w:rPr>
                    <w:t>冰冻制片模块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42" w:type="dxa"/>
                  <w:vAlign w:val="center"/>
                </w:tcPr>
                <w:p>
                  <w:pPr>
                    <w:pStyle w:val="2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exact"/>
                    <w:ind w:leftChars="0" w:right="0" w:rightChars="0"/>
                    <w:jc w:val="center"/>
                    <w:rPr>
                      <w:rFonts w:hint="default" w:ascii="宋体" w:hAnsi="宋体" w:eastAsia="宋体" w:cs="宋体"/>
                      <w:bCs/>
                      <w:color w:val="auto"/>
                      <w:spacing w:val="10"/>
                      <w:kern w:val="0"/>
                      <w:sz w:val="21"/>
                      <w:szCs w:val="21"/>
                      <w:highlight w:val="none"/>
                      <w:vertAlign w:val="baseline"/>
                      <w:lang w:val="en-US" w:eastAsia="zh-CN" w:bidi="ar-SA"/>
                    </w:rPr>
                  </w:pPr>
                  <w:r>
                    <w:rPr>
                      <w:rFonts w:hint="eastAsia" w:ascii="宋体" w:hAnsi="宋体" w:cs="宋体"/>
                      <w:bCs/>
                      <w:color w:val="auto"/>
                      <w:spacing w:val="10"/>
                      <w:kern w:val="0"/>
                      <w:sz w:val="21"/>
                      <w:szCs w:val="21"/>
                      <w:highlight w:val="none"/>
                      <w:vertAlign w:val="baseline"/>
                      <w:lang w:val="en-US" w:eastAsia="zh-CN" w:bidi="ar-SA"/>
                    </w:rPr>
                    <w:t>10</w:t>
                  </w:r>
                </w:p>
              </w:tc>
              <w:tc>
                <w:tcPr>
                  <w:tcW w:w="7057" w:type="dxa"/>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vertAlign w:val="baseline"/>
                      <w:lang w:val="en-US" w:eastAsia="zh-Hans"/>
                    </w:rPr>
                  </w:pPr>
                  <w:r>
                    <w:rPr>
                      <w:rFonts w:hint="eastAsia" w:ascii="宋体" w:hAnsi="宋体" w:eastAsia="宋体" w:cs="宋体"/>
                      <w:color w:val="auto"/>
                      <w:sz w:val="21"/>
                      <w:szCs w:val="21"/>
                      <w:highlight w:val="none"/>
                      <w:vertAlign w:val="baseline"/>
                      <w:lang w:val="en-US" w:eastAsia="zh-Hans"/>
                    </w:rPr>
                    <w:t>细胞制片模块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42" w:type="dxa"/>
                  <w:vAlign w:val="center"/>
                </w:tcPr>
                <w:p>
                  <w:pPr>
                    <w:pStyle w:val="2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exact"/>
                    <w:ind w:leftChars="0" w:right="0" w:rightChars="0"/>
                    <w:jc w:val="center"/>
                    <w:rPr>
                      <w:rFonts w:hint="default" w:ascii="宋体" w:hAnsi="宋体" w:eastAsia="宋体" w:cs="宋体"/>
                      <w:bCs/>
                      <w:color w:val="auto"/>
                      <w:spacing w:val="10"/>
                      <w:kern w:val="0"/>
                      <w:sz w:val="21"/>
                      <w:szCs w:val="21"/>
                      <w:highlight w:val="none"/>
                      <w:vertAlign w:val="baseline"/>
                      <w:lang w:val="en-US" w:eastAsia="zh-CN" w:bidi="ar-SA"/>
                    </w:rPr>
                  </w:pPr>
                  <w:r>
                    <w:rPr>
                      <w:rFonts w:hint="eastAsia" w:ascii="宋体" w:hAnsi="宋体" w:cs="宋体"/>
                      <w:bCs/>
                      <w:color w:val="auto"/>
                      <w:spacing w:val="10"/>
                      <w:kern w:val="0"/>
                      <w:sz w:val="21"/>
                      <w:szCs w:val="21"/>
                      <w:highlight w:val="none"/>
                      <w:vertAlign w:val="baseline"/>
                      <w:lang w:val="en-US" w:eastAsia="zh-CN" w:bidi="ar-SA"/>
                    </w:rPr>
                    <w:t>11</w:t>
                  </w:r>
                </w:p>
              </w:tc>
              <w:tc>
                <w:tcPr>
                  <w:tcW w:w="7057" w:type="dxa"/>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免疫组化管理模块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2" w:type="dxa"/>
                  <w:vAlign w:val="center"/>
                </w:tcPr>
                <w:p>
                  <w:pPr>
                    <w:pStyle w:val="2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exact"/>
                    <w:ind w:leftChars="0" w:right="0" w:rightChars="0"/>
                    <w:jc w:val="center"/>
                    <w:rPr>
                      <w:rFonts w:hint="default" w:ascii="宋体" w:hAnsi="宋体" w:eastAsia="宋体" w:cs="宋体"/>
                      <w:bCs/>
                      <w:color w:val="auto"/>
                      <w:spacing w:val="10"/>
                      <w:kern w:val="0"/>
                      <w:sz w:val="21"/>
                      <w:szCs w:val="21"/>
                      <w:highlight w:val="none"/>
                      <w:vertAlign w:val="baseline"/>
                      <w:lang w:val="en-US" w:eastAsia="zh-CN" w:bidi="ar-SA"/>
                    </w:rPr>
                  </w:pPr>
                  <w:r>
                    <w:rPr>
                      <w:rFonts w:hint="eastAsia" w:ascii="宋体" w:hAnsi="宋体" w:cs="宋体"/>
                      <w:bCs/>
                      <w:color w:val="auto"/>
                      <w:spacing w:val="10"/>
                      <w:kern w:val="0"/>
                      <w:sz w:val="21"/>
                      <w:szCs w:val="21"/>
                      <w:highlight w:val="none"/>
                      <w:vertAlign w:val="baseline"/>
                      <w:lang w:val="en-US" w:eastAsia="zh-CN" w:bidi="ar-SA"/>
                    </w:rPr>
                    <w:t>12</w:t>
                  </w:r>
                </w:p>
              </w:tc>
              <w:tc>
                <w:tcPr>
                  <w:tcW w:w="7057" w:type="dxa"/>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vertAlign w:val="baseline"/>
                      <w:lang w:val="en-US" w:eastAsia="zh-Hans"/>
                    </w:rPr>
                  </w:pPr>
                  <w:r>
                    <w:rPr>
                      <w:rFonts w:hint="eastAsia" w:ascii="宋体" w:hAnsi="宋体" w:eastAsia="宋体" w:cs="宋体"/>
                      <w:color w:val="auto"/>
                      <w:sz w:val="21"/>
                      <w:szCs w:val="21"/>
                      <w:highlight w:val="none"/>
                      <w:vertAlign w:val="baseline"/>
                      <w:lang w:val="en-US" w:eastAsia="zh-Hans"/>
                    </w:rPr>
                    <w:t>病理诊断模块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42" w:type="dxa"/>
                  <w:vAlign w:val="center"/>
                </w:tcPr>
                <w:p>
                  <w:pPr>
                    <w:pStyle w:val="2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exact"/>
                    <w:ind w:leftChars="0" w:right="0" w:rightChars="0"/>
                    <w:jc w:val="center"/>
                    <w:rPr>
                      <w:rFonts w:hint="default" w:ascii="宋体" w:hAnsi="宋体" w:eastAsia="宋体" w:cs="宋体"/>
                      <w:bCs/>
                      <w:color w:val="auto"/>
                      <w:spacing w:val="10"/>
                      <w:kern w:val="0"/>
                      <w:sz w:val="21"/>
                      <w:szCs w:val="21"/>
                      <w:highlight w:val="none"/>
                      <w:vertAlign w:val="baseline"/>
                      <w:lang w:val="en-US" w:eastAsia="zh-CN" w:bidi="ar-SA"/>
                    </w:rPr>
                  </w:pPr>
                  <w:r>
                    <w:rPr>
                      <w:rFonts w:hint="eastAsia" w:ascii="宋体" w:hAnsi="宋体" w:cs="宋体"/>
                      <w:bCs/>
                      <w:color w:val="auto"/>
                      <w:spacing w:val="10"/>
                      <w:kern w:val="0"/>
                      <w:sz w:val="21"/>
                      <w:szCs w:val="21"/>
                      <w:highlight w:val="none"/>
                      <w:vertAlign w:val="baseline"/>
                      <w:lang w:val="en-US" w:eastAsia="zh-CN" w:bidi="ar-SA"/>
                    </w:rPr>
                    <w:t>13</w:t>
                  </w:r>
                </w:p>
              </w:tc>
              <w:tc>
                <w:tcPr>
                  <w:tcW w:w="7057" w:type="dxa"/>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结构化诊断模块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42" w:type="dxa"/>
                  <w:vAlign w:val="center"/>
                </w:tcPr>
                <w:p>
                  <w:pPr>
                    <w:pStyle w:val="2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exact"/>
                    <w:ind w:leftChars="0" w:right="0" w:rightChars="0"/>
                    <w:jc w:val="center"/>
                    <w:rPr>
                      <w:rFonts w:hint="default" w:ascii="宋体" w:hAnsi="宋体" w:eastAsia="宋体" w:cs="宋体"/>
                      <w:bCs/>
                      <w:color w:val="auto"/>
                      <w:spacing w:val="10"/>
                      <w:kern w:val="0"/>
                      <w:sz w:val="21"/>
                      <w:szCs w:val="21"/>
                      <w:highlight w:val="none"/>
                      <w:vertAlign w:val="baseline"/>
                      <w:lang w:val="en-US" w:eastAsia="zh-CN" w:bidi="ar-SA"/>
                    </w:rPr>
                  </w:pPr>
                  <w:r>
                    <w:rPr>
                      <w:rFonts w:hint="eastAsia" w:ascii="宋体" w:hAnsi="宋体" w:cs="宋体"/>
                      <w:bCs/>
                      <w:color w:val="auto"/>
                      <w:spacing w:val="10"/>
                      <w:kern w:val="0"/>
                      <w:sz w:val="21"/>
                      <w:szCs w:val="21"/>
                      <w:highlight w:val="none"/>
                      <w:vertAlign w:val="baseline"/>
                      <w:lang w:val="en-US" w:eastAsia="zh-CN" w:bidi="ar-SA"/>
                    </w:rPr>
                    <w:t>14</w:t>
                  </w:r>
                </w:p>
              </w:tc>
              <w:tc>
                <w:tcPr>
                  <w:tcW w:w="7057" w:type="dxa"/>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vertAlign w:val="baseline"/>
                      <w:lang w:val="en-US" w:eastAsia="zh-Hans"/>
                    </w:rPr>
                  </w:pPr>
                  <w:r>
                    <w:rPr>
                      <w:rFonts w:hint="eastAsia" w:ascii="宋体" w:hAnsi="宋体" w:eastAsia="宋体" w:cs="宋体"/>
                      <w:color w:val="auto"/>
                      <w:sz w:val="21"/>
                      <w:szCs w:val="21"/>
                      <w:highlight w:val="none"/>
                      <w:vertAlign w:val="baseline"/>
                      <w:lang w:val="en-US" w:eastAsia="zh-Hans"/>
                    </w:rPr>
                    <w:t>特检</w:t>
                  </w:r>
                  <w:r>
                    <w:rPr>
                      <w:rFonts w:hint="eastAsia" w:ascii="宋体" w:hAnsi="宋体" w:eastAsia="宋体" w:cs="宋体"/>
                      <w:color w:val="auto"/>
                      <w:sz w:val="21"/>
                      <w:szCs w:val="21"/>
                      <w:highlight w:val="none"/>
                      <w:vertAlign w:val="baseline"/>
                      <w:lang w:val="en-US" w:eastAsia="zh-CN"/>
                    </w:rPr>
                    <w:t>医嘱</w:t>
                  </w:r>
                  <w:r>
                    <w:rPr>
                      <w:rFonts w:hint="eastAsia" w:ascii="宋体" w:hAnsi="宋体" w:eastAsia="宋体" w:cs="宋体"/>
                      <w:color w:val="auto"/>
                      <w:sz w:val="21"/>
                      <w:szCs w:val="21"/>
                      <w:highlight w:val="none"/>
                      <w:vertAlign w:val="baseline"/>
                      <w:lang w:val="en-US" w:eastAsia="zh-Hans"/>
                    </w:rPr>
                    <w:t>管理模块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42" w:type="dxa"/>
                  <w:vAlign w:val="center"/>
                </w:tcPr>
                <w:p>
                  <w:pPr>
                    <w:pStyle w:val="2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exact"/>
                    <w:ind w:leftChars="0" w:right="0" w:rightChars="0"/>
                    <w:jc w:val="center"/>
                    <w:rPr>
                      <w:rFonts w:hint="default" w:ascii="宋体" w:hAnsi="宋体" w:eastAsia="宋体" w:cs="宋体"/>
                      <w:color w:val="auto"/>
                      <w:kern w:val="0"/>
                      <w:sz w:val="21"/>
                      <w:szCs w:val="21"/>
                      <w:highlight w:val="none"/>
                      <w:vertAlign w:val="baseline"/>
                      <w:lang w:val="en-US" w:eastAsia="zh-CN" w:bidi="ar-SA"/>
                    </w:rPr>
                  </w:pPr>
                  <w:r>
                    <w:rPr>
                      <w:rFonts w:hint="eastAsia" w:ascii="宋体" w:hAnsi="宋体" w:cs="宋体"/>
                      <w:color w:val="auto"/>
                      <w:kern w:val="0"/>
                      <w:sz w:val="21"/>
                      <w:szCs w:val="21"/>
                      <w:highlight w:val="none"/>
                      <w:vertAlign w:val="baseline"/>
                      <w:lang w:val="en-US" w:eastAsia="zh-CN" w:bidi="ar-SA"/>
                    </w:rPr>
                    <w:t>15</w:t>
                  </w:r>
                </w:p>
              </w:tc>
              <w:tc>
                <w:tcPr>
                  <w:tcW w:w="7057" w:type="dxa"/>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vertAlign w:val="baseline"/>
                      <w:lang w:val="en-US" w:eastAsia="zh-Hans"/>
                    </w:rPr>
                  </w:pPr>
                  <w:r>
                    <w:rPr>
                      <w:rFonts w:hint="eastAsia" w:ascii="宋体" w:hAnsi="宋体" w:eastAsia="宋体" w:cs="宋体"/>
                      <w:color w:val="auto"/>
                      <w:sz w:val="21"/>
                      <w:szCs w:val="21"/>
                      <w:highlight w:val="none"/>
                      <w:vertAlign w:val="baseline"/>
                      <w:lang w:val="en-US" w:eastAsia="zh-CN"/>
                    </w:rPr>
                    <w:t>全流程</w:t>
                  </w:r>
                  <w:r>
                    <w:rPr>
                      <w:rFonts w:hint="eastAsia" w:ascii="宋体" w:hAnsi="宋体" w:eastAsia="宋体" w:cs="宋体"/>
                      <w:color w:val="auto"/>
                      <w:sz w:val="21"/>
                      <w:szCs w:val="21"/>
                      <w:highlight w:val="none"/>
                      <w:vertAlign w:val="baseline"/>
                      <w:lang w:val="en-US" w:eastAsia="zh-Hans"/>
                    </w:rPr>
                    <w:t>质控管理模块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42" w:type="dxa"/>
                  <w:vAlign w:val="center"/>
                </w:tcPr>
                <w:p>
                  <w:pPr>
                    <w:pStyle w:val="2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exact"/>
                    <w:ind w:leftChars="0" w:right="0" w:rightChars="0"/>
                    <w:jc w:val="center"/>
                    <w:rPr>
                      <w:rFonts w:hint="default" w:ascii="宋体" w:hAnsi="宋体" w:eastAsia="宋体" w:cs="宋体"/>
                      <w:color w:val="auto"/>
                      <w:kern w:val="0"/>
                      <w:sz w:val="21"/>
                      <w:szCs w:val="21"/>
                      <w:highlight w:val="none"/>
                      <w:vertAlign w:val="baseline"/>
                      <w:lang w:val="en-US" w:eastAsia="zh-CN" w:bidi="ar-SA"/>
                    </w:rPr>
                  </w:pPr>
                  <w:r>
                    <w:rPr>
                      <w:rFonts w:hint="eastAsia" w:ascii="宋体" w:hAnsi="宋体" w:cs="宋体"/>
                      <w:color w:val="auto"/>
                      <w:kern w:val="0"/>
                      <w:sz w:val="21"/>
                      <w:szCs w:val="21"/>
                      <w:highlight w:val="none"/>
                      <w:vertAlign w:val="baseline"/>
                      <w:lang w:val="en-US" w:eastAsia="zh-CN" w:bidi="ar-SA"/>
                    </w:rPr>
                    <w:t>16</w:t>
                  </w:r>
                </w:p>
              </w:tc>
              <w:tc>
                <w:tcPr>
                  <w:tcW w:w="7057" w:type="dxa"/>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数字切片管理模块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42" w:type="dxa"/>
                  <w:vAlign w:val="center"/>
                </w:tcPr>
                <w:p>
                  <w:pPr>
                    <w:pStyle w:val="2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exact"/>
                    <w:ind w:leftChars="0" w:right="0" w:rightChars="0"/>
                    <w:jc w:val="center"/>
                    <w:rPr>
                      <w:rFonts w:hint="default" w:ascii="宋体" w:hAnsi="宋体" w:eastAsia="宋体" w:cs="宋体"/>
                      <w:color w:val="auto"/>
                      <w:kern w:val="0"/>
                      <w:sz w:val="21"/>
                      <w:szCs w:val="21"/>
                      <w:highlight w:val="none"/>
                      <w:vertAlign w:val="baseline"/>
                      <w:lang w:val="en-US" w:eastAsia="zh-CN" w:bidi="ar-SA"/>
                    </w:rPr>
                  </w:pPr>
                  <w:r>
                    <w:rPr>
                      <w:rFonts w:hint="eastAsia" w:ascii="宋体" w:hAnsi="宋体" w:cs="宋体"/>
                      <w:color w:val="auto"/>
                      <w:kern w:val="0"/>
                      <w:sz w:val="21"/>
                      <w:szCs w:val="21"/>
                      <w:highlight w:val="none"/>
                      <w:vertAlign w:val="baseline"/>
                      <w:lang w:val="en-US" w:eastAsia="zh-CN" w:bidi="ar-SA"/>
                    </w:rPr>
                    <w:t>17</w:t>
                  </w:r>
                </w:p>
              </w:tc>
              <w:tc>
                <w:tcPr>
                  <w:tcW w:w="7057" w:type="dxa"/>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jc w:val="center"/>
                    <w:rPr>
                      <w:rFonts w:hint="eastAsia" w:ascii="宋体" w:hAnsi="宋体" w:eastAsia="宋体" w:cs="宋体"/>
                      <w:color w:val="auto"/>
                      <w:sz w:val="21"/>
                      <w:szCs w:val="21"/>
                      <w:highlight w:val="none"/>
                      <w:vertAlign w:val="baseline"/>
                      <w:lang w:val="en-US" w:eastAsia="zh-Hans"/>
                    </w:rPr>
                  </w:pPr>
                  <w:r>
                    <w:rPr>
                      <w:rFonts w:hint="eastAsia" w:ascii="宋体" w:hAnsi="宋体" w:eastAsia="宋体" w:cs="宋体"/>
                      <w:color w:val="auto"/>
                      <w:sz w:val="21"/>
                      <w:szCs w:val="21"/>
                      <w:highlight w:val="none"/>
                      <w:vertAlign w:val="baseline"/>
                      <w:lang w:val="en-US" w:eastAsia="zh-Hans"/>
                    </w:rPr>
                    <w:t>统计分析模块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42" w:type="dxa"/>
                  <w:vAlign w:val="center"/>
                </w:tcPr>
                <w:p>
                  <w:pPr>
                    <w:pStyle w:val="2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exact"/>
                    <w:ind w:leftChars="0" w:right="0" w:rightChars="0"/>
                    <w:jc w:val="center"/>
                    <w:rPr>
                      <w:rFonts w:hint="default" w:ascii="宋体" w:hAnsi="宋体" w:eastAsia="宋体" w:cs="宋体"/>
                      <w:color w:val="auto"/>
                      <w:kern w:val="0"/>
                      <w:sz w:val="21"/>
                      <w:szCs w:val="21"/>
                      <w:highlight w:val="none"/>
                      <w:vertAlign w:val="baseline"/>
                      <w:lang w:val="en-US" w:eastAsia="zh-CN" w:bidi="ar-SA"/>
                    </w:rPr>
                  </w:pPr>
                  <w:r>
                    <w:rPr>
                      <w:rFonts w:hint="eastAsia" w:ascii="宋体" w:hAnsi="宋体" w:cs="宋体"/>
                      <w:color w:val="auto"/>
                      <w:kern w:val="0"/>
                      <w:sz w:val="21"/>
                      <w:szCs w:val="21"/>
                      <w:highlight w:val="none"/>
                      <w:vertAlign w:val="baseline"/>
                      <w:lang w:val="en-US" w:eastAsia="zh-CN" w:bidi="ar-SA"/>
                    </w:rPr>
                    <w:t>18</w:t>
                  </w:r>
                </w:p>
              </w:tc>
              <w:tc>
                <w:tcPr>
                  <w:tcW w:w="7057" w:type="dxa"/>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rPr>
                      <w:rFonts w:hint="eastAsia" w:ascii="宋体" w:hAnsi="宋体" w:eastAsia="宋体" w:cs="宋体"/>
                      <w:color w:val="auto"/>
                      <w:sz w:val="21"/>
                      <w:szCs w:val="21"/>
                      <w:highlight w:val="none"/>
                      <w:vertAlign w:val="baseline"/>
                      <w:lang w:val="en-US" w:eastAsia="zh-Hans"/>
                    </w:rPr>
                  </w:pPr>
                  <w:r>
                    <w:rPr>
                      <w:rFonts w:hint="eastAsia" w:ascii="宋体" w:hAnsi="宋体" w:eastAsia="宋体" w:cs="宋体"/>
                      <w:color w:val="auto"/>
                      <w:sz w:val="21"/>
                      <w:szCs w:val="21"/>
                      <w:highlight w:val="none"/>
                      <w:vertAlign w:val="baseline"/>
                      <w:lang w:val="en-US" w:eastAsia="zh-CN"/>
                    </w:rPr>
                    <w:t>借阅</w:t>
                  </w:r>
                  <w:r>
                    <w:rPr>
                      <w:rFonts w:hint="eastAsia" w:ascii="宋体" w:hAnsi="宋体" w:eastAsia="宋体" w:cs="宋体"/>
                      <w:color w:val="auto"/>
                      <w:sz w:val="21"/>
                      <w:szCs w:val="21"/>
                      <w:highlight w:val="none"/>
                      <w:vertAlign w:val="baseline"/>
                      <w:lang w:val="en-US" w:eastAsia="zh-Hans"/>
                    </w:rPr>
                    <w:t>归档管理模块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42" w:type="dxa"/>
                  <w:vAlign w:val="center"/>
                </w:tcPr>
                <w:p>
                  <w:pPr>
                    <w:pStyle w:val="2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exact"/>
                    <w:ind w:leftChars="0" w:right="0" w:rightChars="0"/>
                    <w:jc w:val="center"/>
                    <w:rPr>
                      <w:rFonts w:hint="default" w:ascii="宋体" w:hAnsi="宋体" w:eastAsia="宋体" w:cs="宋体"/>
                      <w:color w:val="auto"/>
                      <w:kern w:val="0"/>
                      <w:sz w:val="21"/>
                      <w:szCs w:val="21"/>
                      <w:highlight w:val="none"/>
                      <w:vertAlign w:val="baseline"/>
                      <w:lang w:val="en-US" w:eastAsia="zh-CN" w:bidi="ar-SA"/>
                    </w:rPr>
                  </w:pPr>
                  <w:r>
                    <w:rPr>
                      <w:rFonts w:hint="eastAsia" w:ascii="宋体" w:hAnsi="宋体" w:cs="宋体"/>
                      <w:color w:val="auto"/>
                      <w:kern w:val="0"/>
                      <w:sz w:val="21"/>
                      <w:szCs w:val="21"/>
                      <w:highlight w:val="none"/>
                      <w:vertAlign w:val="baseline"/>
                      <w:lang w:val="en-US" w:eastAsia="zh-CN" w:bidi="ar-SA"/>
                    </w:rPr>
                    <w:t>19</w:t>
                  </w:r>
                </w:p>
              </w:tc>
              <w:tc>
                <w:tcPr>
                  <w:tcW w:w="7057" w:type="dxa"/>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资产管理模块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42" w:type="dxa"/>
                  <w:vAlign w:val="center"/>
                </w:tcPr>
                <w:p>
                  <w:pPr>
                    <w:pStyle w:val="2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exact"/>
                    <w:ind w:leftChars="0" w:right="0" w:rightChars="0"/>
                    <w:jc w:val="center"/>
                    <w:rPr>
                      <w:rFonts w:hint="default" w:ascii="宋体" w:hAnsi="宋体" w:eastAsia="宋体" w:cs="宋体"/>
                      <w:color w:val="auto"/>
                      <w:kern w:val="0"/>
                      <w:sz w:val="21"/>
                      <w:szCs w:val="21"/>
                      <w:highlight w:val="none"/>
                      <w:vertAlign w:val="baseline"/>
                      <w:lang w:val="en-US" w:eastAsia="zh-CN" w:bidi="ar-SA"/>
                    </w:rPr>
                  </w:pPr>
                  <w:r>
                    <w:rPr>
                      <w:rFonts w:hint="eastAsia" w:ascii="宋体" w:hAnsi="宋体" w:cs="宋体"/>
                      <w:color w:val="auto"/>
                      <w:kern w:val="0"/>
                      <w:sz w:val="21"/>
                      <w:szCs w:val="21"/>
                      <w:highlight w:val="none"/>
                      <w:vertAlign w:val="baseline"/>
                      <w:lang w:val="en-US" w:eastAsia="zh-CN" w:bidi="ar-SA"/>
                    </w:rPr>
                    <w:t>20</w:t>
                  </w:r>
                </w:p>
              </w:tc>
              <w:tc>
                <w:tcPr>
                  <w:tcW w:w="7057" w:type="dxa"/>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耗材管理模块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42" w:type="dxa"/>
                  <w:vAlign w:val="center"/>
                </w:tcPr>
                <w:p>
                  <w:pPr>
                    <w:pStyle w:val="2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exact"/>
                    <w:ind w:leftChars="0" w:right="0" w:rightChars="0"/>
                    <w:jc w:val="center"/>
                    <w:rPr>
                      <w:rFonts w:hint="default" w:ascii="宋体" w:hAnsi="宋体" w:eastAsia="宋体" w:cs="宋体"/>
                      <w:color w:val="auto"/>
                      <w:kern w:val="0"/>
                      <w:sz w:val="21"/>
                      <w:szCs w:val="21"/>
                      <w:highlight w:val="none"/>
                      <w:vertAlign w:val="baseline"/>
                      <w:lang w:val="en-US" w:eastAsia="zh-CN" w:bidi="ar-SA"/>
                    </w:rPr>
                  </w:pPr>
                  <w:r>
                    <w:rPr>
                      <w:rFonts w:hint="eastAsia" w:ascii="宋体" w:hAnsi="宋体" w:cs="宋体"/>
                      <w:color w:val="auto"/>
                      <w:kern w:val="0"/>
                      <w:sz w:val="21"/>
                      <w:szCs w:val="21"/>
                      <w:highlight w:val="none"/>
                      <w:vertAlign w:val="baseline"/>
                      <w:lang w:val="en-US" w:eastAsia="zh-CN" w:bidi="ar-SA"/>
                    </w:rPr>
                    <w:t>21</w:t>
                  </w:r>
                </w:p>
              </w:tc>
              <w:tc>
                <w:tcPr>
                  <w:tcW w:w="7057" w:type="dxa"/>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远程会诊服务模块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42" w:type="dxa"/>
                  <w:vAlign w:val="center"/>
                </w:tcPr>
                <w:p>
                  <w:pPr>
                    <w:pStyle w:val="2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exact"/>
                    <w:ind w:leftChars="0" w:right="0" w:rightChars="0"/>
                    <w:jc w:val="center"/>
                    <w:rPr>
                      <w:rFonts w:hint="default" w:ascii="宋体" w:hAnsi="宋体" w:eastAsia="宋体" w:cs="宋体"/>
                      <w:color w:val="auto"/>
                      <w:kern w:val="0"/>
                      <w:sz w:val="21"/>
                      <w:szCs w:val="21"/>
                      <w:highlight w:val="none"/>
                      <w:vertAlign w:val="baseline"/>
                      <w:lang w:val="en-US" w:eastAsia="zh-CN" w:bidi="ar-SA"/>
                    </w:rPr>
                  </w:pPr>
                  <w:r>
                    <w:rPr>
                      <w:rFonts w:hint="eastAsia" w:ascii="宋体" w:hAnsi="宋体" w:cs="宋体"/>
                      <w:color w:val="auto"/>
                      <w:kern w:val="0"/>
                      <w:sz w:val="21"/>
                      <w:szCs w:val="21"/>
                      <w:highlight w:val="none"/>
                      <w:vertAlign w:val="baseline"/>
                      <w:lang w:val="en-US" w:eastAsia="zh-CN" w:bidi="ar-SA"/>
                    </w:rPr>
                    <w:t>22</w:t>
                  </w:r>
                </w:p>
              </w:tc>
              <w:tc>
                <w:tcPr>
                  <w:tcW w:w="7057" w:type="dxa"/>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电子病历六级评级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42" w:type="dxa"/>
                  <w:vAlign w:val="center"/>
                </w:tcPr>
                <w:p>
                  <w:pPr>
                    <w:pStyle w:val="28"/>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60" w:lineRule="exact"/>
                    <w:ind w:leftChars="0" w:right="0" w:rightChars="0"/>
                    <w:jc w:val="center"/>
                    <w:rPr>
                      <w:rFonts w:hint="default" w:ascii="宋体" w:hAnsi="宋体" w:cs="宋体"/>
                      <w:color w:val="auto"/>
                      <w:kern w:val="0"/>
                      <w:sz w:val="21"/>
                      <w:szCs w:val="21"/>
                      <w:highlight w:val="none"/>
                      <w:vertAlign w:val="baseline"/>
                      <w:lang w:val="en-US" w:eastAsia="zh-CN" w:bidi="ar-SA"/>
                    </w:rPr>
                  </w:pPr>
                  <w:r>
                    <w:rPr>
                      <w:rFonts w:hint="eastAsia" w:ascii="宋体" w:hAnsi="宋体" w:cs="宋体"/>
                      <w:color w:val="auto"/>
                      <w:kern w:val="0"/>
                      <w:sz w:val="21"/>
                      <w:szCs w:val="21"/>
                      <w:highlight w:val="none"/>
                      <w:vertAlign w:val="baseline"/>
                      <w:lang w:val="en-US" w:eastAsia="zh-CN" w:bidi="ar-SA"/>
                    </w:rPr>
                    <w:t>23</w:t>
                  </w:r>
                </w:p>
              </w:tc>
              <w:tc>
                <w:tcPr>
                  <w:tcW w:w="7057" w:type="dxa"/>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系统/平台接口</w:t>
                  </w:r>
                </w:p>
              </w:tc>
            </w:tr>
          </w:tbl>
          <w:p>
            <w:pPr>
              <w:pStyle w:val="13"/>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软件系统功能清单：</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val="0"/>
                <w:color w:val="auto"/>
                <w:kern w:val="0"/>
                <w:sz w:val="21"/>
                <w:szCs w:val="21"/>
                <w:highlight w:val="none"/>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val="0"/>
                <w:color w:val="auto"/>
                <w:kern w:val="0"/>
                <w:sz w:val="21"/>
                <w:szCs w:val="21"/>
                <w:highlight w:val="none"/>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val="0"/>
                <w:color w:val="auto"/>
                <w:kern w:val="0"/>
                <w:sz w:val="21"/>
                <w:szCs w:val="21"/>
                <w:highlight w:val="none"/>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val="0"/>
                <w:color w:val="auto"/>
                <w:kern w:val="0"/>
                <w:sz w:val="21"/>
                <w:szCs w:val="21"/>
                <w:highlight w:val="none"/>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val="0"/>
                <w:color w:val="auto"/>
                <w:kern w:val="0"/>
                <w:sz w:val="21"/>
                <w:szCs w:val="21"/>
                <w:highlight w:val="none"/>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val="0"/>
                <w:color w:val="auto"/>
                <w:kern w:val="0"/>
                <w:sz w:val="21"/>
                <w:szCs w:val="21"/>
                <w:highlight w:val="none"/>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val="0"/>
                <w:color w:val="auto"/>
                <w:kern w:val="0"/>
                <w:sz w:val="21"/>
                <w:szCs w:val="21"/>
                <w:highlight w:val="none"/>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val="0"/>
                <w:color w:val="auto"/>
                <w:kern w:val="0"/>
                <w:sz w:val="21"/>
                <w:szCs w:val="21"/>
                <w:highlight w:val="none"/>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val="0"/>
                <w:color w:val="auto"/>
                <w:kern w:val="0"/>
                <w:sz w:val="21"/>
                <w:szCs w:val="21"/>
                <w:highlight w:val="none"/>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val="0"/>
                <w:color w:val="auto"/>
                <w:kern w:val="0"/>
                <w:sz w:val="21"/>
                <w:szCs w:val="21"/>
                <w:highlight w:val="none"/>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val="0"/>
                <w:color w:val="auto"/>
                <w:kern w:val="0"/>
                <w:sz w:val="21"/>
                <w:szCs w:val="21"/>
                <w:highlight w:val="none"/>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val="0"/>
                <w:color w:val="auto"/>
                <w:kern w:val="0"/>
                <w:sz w:val="21"/>
                <w:szCs w:val="21"/>
                <w:highlight w:val="none"/>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val="0"/>
                <w:color w:val="auto"/>
                <w:kern w:val="0"/>
                <w:sz w:val="21"/>
                <w:szCs w:val="21"/>
                <w:highlight w:val="none"/>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val="0"/>
                <w:color w:val="auto"/>
                <w:kern w:val="0"/>
                <w:sz w:val="21"/>
                <w:szCs w:val="21"/>
                <w:highlight w:val="none"/>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val="0"/>
                <w:color w:val="auto"/>
                <w:kern w:val="0"/>
                <w:sz w:val="21"/>
                <w:szCs w:val="21"/>
                <w:highlight w:val="none"/>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val="0"/>
                <w:color w:val="auto"/>
                <w:kern w:val="0"/>
                <w:sz w:val="21"/>
                <w:szCs w:val="21"/>
                <w:highlight w:val="none"/>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val="0"/>
                <w:color w:val="auto"/>
                <w:kern w:val="0"/>
                <w:sz w:val="21"/>
                <w:szCs w:val="21"/>
                <w:highlight w:val="none"/>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val="0"/>
                <w:color w:val="auto"/>
                <w:kern w:val="0"/>
                <w:sz w:val="21"/>
                <w:szCs w:val="21"/>
                <w:highlight w:val="none"/>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val="0"/>
                <w:color w:val="auto"/>
                <w:kern w:val="0"/>
                <w:sz w:val="21"/>
                <w:szCs w:val="21"/>
                <w:highlight w:val="none"/>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val="0"/>
                <w:color w:val="auto"/>
                <w:kern w:val="0"/>
                <w:sz w:val="21"/>
                <w:szCs w:val="21"/>
                <w:highlight w:val="none"/>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val="0"/>
                <w:color w:val="auto"/>
                <w:kern w:val="0"/>
                <w:sz w:val="21"/>
                <w:szCs w:val="21"/>
                <w:highlight w:val="none"/>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val="0"/>
                <w:color w:val="auto"/>
                <w:kern w:val="0"/>
                <w:sz w:val="21"/>
                <w:szCs w:val="21"/>
                <w:highlight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22" w:firstLineChars="200"/>
              <w:textAlignment w:val="auto"/>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硬件需求清单：</w:t>
            </w:r>
          </w:p>
          <w:p>
            <w:pPr>
              <w:pStyle w:val="14"/>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left"/>
              <w:rPr>
                <w:rFonts w:hint="eastAsia" w:ascii="宋体" w:hAnsi="宋体" w:eastAsia="宋体" w:cs="宋体"/>
                <w:color w:val="auto"/>
                <w:sz w:val="21"/>
                <w:szCs w:val="21"/>
                <w:highlight w:val="none"/>
                <w:lang w:val="en-US" w:eastAsia="zh-CN"/>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9"/>
              <w:gridCol w:w="3479"/>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1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34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176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r>
                    <w:rPr>
                      <w:rFonts w:hint="eastAsia" w:ascii="宋体" w:hAnsi="宋体" w:cs="宋体"/>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1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4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高拍仪</w:t>
                  </w:r>
                </w:p>
              </w:tc>
              <w:tc>
                <w:tcPr>
                  <w:tcW w:w="176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1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4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大体取材摄像</w:t>
                  </w:r>
                </w:p>
              </w:tc>
              <w:tc>
                <w:tcPr>
                  <w:tcW w:w="176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1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4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语音输入麦克风</w:t>
                  </w:r>
                </w:p>
              </w:tc>
              <w:tc>
                <w:tcPr>
                  <w:tcW w:w="176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1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4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脱水框批量扫码设备</w:t>
                  </w:r>
                </w:p>
              </w:tc>
              <w:tc>
                <w:tcPr>
                  <w:tcW w:w="176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1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4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包埋盒专用扫码枪</w:t>
                  </w:r>
                </w:p>
              </w:tc>
              <w:tc>
                <w:tcPr>
                  <w:tcW w:w="176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1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4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三防平板（带支架）</w:t>
                  </w:r>
                </w:p>
              </w:tc>
              <w:tc>
                <w:tcPr>
                  <w:tcW w:w="176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1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34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包埋盒批量归档设备</w:t>
                  </w:r>
                </w:p>
              </w:tc>
              <w:tc>
                <w:tcPr>
                  <w:tcW w:w="176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1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34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条码扫码枪</w:t>
                  </w:r>
                </w:p>
              </w:tc>
              <w:tc>
                <w:tcPr>
                  <w:tcW w:w="176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49个</w:t>
                  </w:r>
                </w:p>
              </w:tc>
            </w:tr>
          </w:tbl>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val="0"/>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57" w:type="dxa"/>
            <w:gridSpan w:val="5"/>
            <w:tcBorders>
              <w:top w:val="single" w:color="auto" w:sz="4" w:space="0"/>
              <w:left w:val="single" w:color="auto" w:sz="4" w:space="0"/>
              <w:bottom w:val="single" w:color="auto" w:sz="4" w:space="0"/>
              <w:right w:val="single" w:color="auto" w:sz="4" w:space="0"/>
            </w:tcBorders>
            <w:shd w:val="clear" w:color="auto" w:fill="FFFF00"/>
            <w:noWrap w:val="0"/>
            <w:vAlign w:val="center"/>
          </w:tcPr>
          <w:p>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bCs w:val="0"/>
                <w:color w:val="auto"/>
                <w:sz w:val="21"/>
                <w:szCs w:val="21"/>
                <w:highlight w:val="none"/>
                <w:lang w:eastAsia="zh-CN"/>
              </w:rPr>
              <w:t>（一）软件重要功能模块及技术参数要求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sz w:val="21"/>
                <w:szCs w:val="21"/>
                <w:highlight w:val="none"/>
              </w:rPr>
              <w:t>序号</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软件功能模块</w:t>
            </w:r>
          </w:p>
        </w:tc>
        <w:tc>
          <w:tcPr>
            <w:tcW w:w="7632" w:type="dxa"/>
            <w:gridSpan w:val="3"/>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bCs/>
                <w:color w:val="auto"/>
                <w:sz w:val="21"/>
                <w:szCs w:val="21"/>
                <w:highlight w:val="none"/>
                <w:vertAlign w:val="baseline"/>
                <w:lang w:val="en-US" w:eastAsia="zh-Hans"/>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系统总体描述</w:t>
            </w:r>
          </w:p>
        </w:tc>
        <w:tc>
          <w:tcPr>
            <w:tcW w:w="76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系统建设遵循先进性、实用性、安全性、开放性与标准化等原则，保证系统建设、维护、使用的低成本、可靠性、安全性、易用性和易于维护，并要求系统具有良好的扩展性，以保证医院在不断发展壮大形势下的管理需要；</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2、在技术上，支持Oracle/MySQL等主流数据库，使用消息通信系统如RabbitMQ/ActiveMQ等MQ系统进行系统模块解耦，使用Redis等内存数据库进行数据缓存加速；</w:t>
            </w:r>
          </w:p>
          <w:p>
            <w:pPr>
              <w:spacing w:line="360" w:lineRule="exact"/>
              <w:rPr>
                <w:rFonts w:hint="eastAsia"/>
                <w:color w:val="auto"/>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Hans"/>
              </w:rPr>
              <w:t>系统支持B/S架构</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保证</w:t>
            </w:r>
            <w:r>
              <w:rPr>
                <w:rFonts w:hint="eastAsia" w:ascii="宋体" w:hAnsi="宋体" w:cs="宋体"/>
                <w:color w:val="auto"/>
                <w:sz w:val="21"/>
                <w:szCs w:val="21"/>
                <w:highlight w:val="none"/>
                <w:lang w:val="en-US" w:eastAsia="zh-CN"/>
              </w:rPr>
              <w:t>数据调阅</w:t>
            </w:r>
            <w:r>
              <w:rPr>
                <w:rFonts w:hint="eastAsia" w:ascii="宋体" w:hAnsi="宋体" w:eastAsia="宋体" w:cs="宋体"/>
                <w:color w:val="auto"/>
                <w:sz w:val="21"/>
                <w:szCs w:val="21"/>
                <w:highlight w:val="none"/>
                <w:lang w:val="en-US" w:eastAsia="zh-Hans"/>
              </w:rPr>
              <w:t>稳定性和兼容性，</w:t>
            </w:r>
            <w:r>
              <w:rPr>
                <w:rFonts w:hint="eastAsia" w:ascii="宋体" w:hAnsi="宋体" w:eastAsia="宋体" w:cs="宋体"/>
                <w:color w:val="auto"/>
                <w:sz w:val="21"/>
                <w:szCs w:val="21"/>
                <w:highlight w:val="none"/>
                <w:lang w:val="en-US" w:eastAsia="zh-CN"/>
              </w:rPr>
              <w:t>支持</w:t>
            </w:r>
            <w:r>
              <w:rPr>
                <w:rFonts w:hint="eastAsia" w:ascii="宋体" w:hAnsi="宋体" w:eastAsia="宋体" w:cs="宋体"/>
                <w:color w:val="auto"/>
                <w:sz w:val="21"/>
                <w:szCs w:val="21"/>
                <w:highlight w:val="none"/>
                <w:lang w:val="en-US" w:eastAsia="zh-Hans"/>
              </w:rPr>
              <w:t>IE、Firefox、Google Chrome、Safari、Opera等主流浏览</w:t>
            </w:r>
            <w:r>
              <w:rPr>
                <w:rFonts w:hint="eastAsia" w:ascii="宋体" w:hAnsi="宋体" w:eastAsia="宋体" w:cs="宋体"/>
                <w:color w:val="auto"/>
                <w:sz w:val="21"/>
                <w:szCs w:val="21"/>
                <w:highlight w:val="none"/>
                <w:lang w:val="en-US" w:eastAsia="zh-CN"/>
              </w:rPr>
              <w:t>的直接调用，不需要安装插件，提供</w:t>
            </w:r>
            <w:r>
              <w:rPr>
                <w:rFonts w:hint="eastAsia" w:ascii="宋体" w:hAnsi="宋体" w:cs="宋体"/>
                <w:color w:val="auto"/>
                <w:sz w:val="21"/>
                <w:szCs w:val="21"/>
                <w:highlight w:val="none"/>
                <w:lang w:val="en-US" w:eastAsia="zh-CN"/>
              </w:rPr>
              <w:t>该功能在</w:t>
            </w:r>
            <w:r>
              <w:rPr>
                <w:rFonts w:hint="eastAsia" w:ascii="宋体" w:hAnsi="宋体" w:eastAsia="宋体" w:cs="宋体"/>
                <w:color w:val="auto"/>
                <w:sz w:val="21"/>
                <w:szCs w:val="21"/>
                <w:highlight w:val="none"/>
                <w:lang w:val="en-US" w:eastAsia="zh-CN"/>
              </w:rPr>
              <w:t>登记界面、诊断界面、报告发放界面</w:t>
            </w:r>
            <w:r>
              <w:rPr>
                <w:rFonts w:hint="eastAsia" w:ascii="宋体" w:hAnsi="宋体" w:cs="宋体"/>
                <w:color w:val="auto"/>
                <w:sz w:val="21"/>
                <w:szCs w:val="21"/>
                <w:highlight w:val="none"/>
                <w:lang w:val="en-US" w:eastAsia="zh-CN"/>
              </w:rPr>
              <w:t>的操作</w:t>
            </w:r>
            <w:r>
              <w:rPr>
                <w:rFonts w:hint="eastAsia" w:ascii="宋体" w:hAnsi="宋体" w:eastAsia="宋体" w:cs="宋体"/>
                <w:color w:val="auto"/>
                <w:sz w:val="21"/>
                <w:szCs w:val="21"/>
                <w:highlight w:val="none"/>
                <w:lang w:val="en-US" w:eastAsia="zh-CN"/>
              </w:rPr>
              <w:t>截图；</w:t>
            </w:r>
          </w:p>
          <w:p>
            <w:pPr>
              <w:keepNext w:val="0"/>
              <w:keepLines w:val="0"/>
              <w:pageBreakBefore w:val="0"/>
              <w:numPr>
                <w:ilvl w:val="-1"/>
                <w:numId w:val="0"/>
              </w:numPr>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软件整体支持国产化系统的部署，包括但不限于：欧拉、中科红旗等；</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、有数据库登录用户权限管理、有完善备份功能和完备的恢复功能；</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、系统支持中英双语诊断模板；</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val="0"/>
                <w:bCs/>
                <w:color w:val="auto"/>
                <w:sz w:val="21"/>
                <w:szCs w:val="21"/>
                <w:highlight w:val="none"/>
                <w:vertAlign w:val="baseline"/>
                <w:lang w:val="en-US" w:eastAsia="zh-Hans"/>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Cs w:val="21"/>
                <w:highlight w:val="none"/>
                <w:lang w:val="en-US" w:eastAsia="zh-CN"/>
              </w:rPr>
              <w:t>系</w:t>
            </w:r>
            <w:r>
              <w:rPr>
                <w:rFonts w:hint="eastAsia" w:ascii="宋体" w:hAnsi="宋体" w:eastAsia="宋体" w:cs="宋体"/>
                <w:color w:val="auto"/>
                <w:sz w:val="21"/>
                <w:szCs w:val="21"/>
                <w:highlight w:val="none"/>
              </w:rPr>
              <w:t>统包含病理信息管理、全流程质控、智能化诊断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诊断影像管理等</w:t>
            </w:r>
            <w:r>
              <w:rPr>
                <w:rFonts w:hint="eastAsia" w:ascii="宋体" w:hAnsi="宋体" w:eastAsia="宋体" w:cs="宋体"/>
                <w:color w:val="auto"/>
                <w:sz w:val="21"/>
                <w:szCs w:val="21"/>
                <w:highlight w:val="none"/>
              </w:rPr>
              <w:t>完整功能，</w:t>
            </w:r>
            <w:r>
              <w:rPr>
                <w:rFonts w:hint="eastAsia" w:ascii="宋体" w:hAnsi="宋体" w:cs="宋体"/>
                <w:color w:val="auto"/>
                <w:sz w:val="21"/>
                <w:szCs w:val="21"/>
                <w:highlight w:val="none"/>
                <w:lang w:val="en-US" w:eastAsia="zh-CN"/>
              </w:rPr>
              <w:t>根据2017版医疗器械分类目录，本系统属于二类医疗器械管理，应当</w:t>
            </w:r>
            <w:r>
              <w:rPr>
                <w:rFonts w:hint="eastAsia" w:ascii="宋体" w:hAnsi="宋体" w:eastAsia="宋体" w:cs="宋体"/>
                <w:color w:val="auto"/>
                <w:sz w:val="21"/>
                <w:szCs w:val="21"/>
                <w:highlight w:val="none"/>
              </w:rPr>
              <w:t>符合医疗器械生产标准与安全规范；（提供病理信息管理软件二类医疗器械注册证书复印件）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sz w:val="21"/>
                <w:szCs w:val="21"/>
                <w:highlight w:val="none"/>
                <w:vertAlign w:val="baseline"/>
                <w:lang w:val="en-US" w:eastAsia="zh-CN"/>
              </w:rPr>
              <w:t>病理申请及标本流转模块</w:t>
            </w:r>
          </w:p>
        </w:tc>
        <w:tc>
          <w:tcPr>
            <w:tcW w:w="76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1、支持对标本从创建到验收之间的所有环节进行查询与监控，记录人员信息和时间</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2、支持完整记录标本流转所有过程</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3、支持标本离开临床送往病理科时，通过扫描标本的方式记录当前标本批次和人员信息</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4、支持在线打印病理申请单和标本标签</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val="0"/>
                <w:bCs/>
                <w:color w:val="auto"/>
                <w:sz w:val="21"/>
                <w:szCs w:val="21"/>
                <w:highlight w:val="none"/>
                <w:vertAlign w:val="baseline"/>
                <w:lang w:val="en-US" w:eastAsia="zh-Hans"/>
              </w:rPr>
            </w:pPr>
            <w:r>
              <w:rPr>
                <w:rFonts w:hint="eastAsia" w:ascii="宋体" w:hAnsi="宋体" w:eastAsia="宋体" w:cs="宋体"/>
                <w:color w:val="auto"/>
                <w:sz w:val="21"/>
                <w:szCs w:val="21"/>
                <w:highlight w:val="none"/>
              </w:rPr>
              <w:t>5、支持创建电子申请单开单页面</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sz w:val="21"/>
                <w:szCs w:val="21"/>
                <w:highlight w:val="none"/>
                <w:vertAlign w:val="baseline"/>
                <w:lang w:val="en-US" w:eastAsia="zh-Hans"/>
              </w:rPr>
              <w:t>病</w:t>
            </w:r>
            <w:r>
              <w:rPr>
                <w:rFonts w:hint="eastAsia" w:ascii="宋体" w:hAnsi="宋体" w:eastAsia="宋体" w:cs="宋体"/>
                <w:b w:val="0"/>
                <w:bCs/>
                <w:color w:val="auto"/>
                <w:sz w:val="21"/>
                <w:szCs w:val="21"/>
                <w:highlight w:val="none"/>
                <w:vertAlign w:val="baseline"/>
                <w:lang w:val="en-US" w:eastAsia="zh-CN"/>
              </w:rPr>
              <w:t>例</w:t>
            </w:r>
            <w:r>
              <w:rPr>
                <w:rFonts w:hint="eastAsia" w:ascii="宋体" w:hAnsi="宋体" w:eastAsia="宋体" w:cs="宋体"/>
                <w:b w:val="0"/>
                <w:bCs/>
                <w:color w:val="auto"/>
                <w:sz w:val="21"/>
                <w:szCs w:val="21"/>
                <w:highlight w:val="none"/>
                <w:vertAlign w:val="baseline"/>
                <w:lang w:val="en-US" w:eastAsia="zh-Hans"/>
              </w:rPr>
              <w:t>登记模块</w:t>
            </w:r>
          </w:p>
        </w:tc>
        <w:tc>
          <w:tcPr>
            <w:tcW w:w="76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1、支持手工登记，也支持从 HIS 系统提取信息；</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2、支持通过扫描标签识别标本种类，比如常规活检，冰冻，细胞学等；</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3、支持按病例库登记，可自定义并指定默认的病例库；</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4、支持打印标签（二维码），能够单个或批量打印；</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5、支持记录不合格标本拒收及拒收原因、操作人员、时间等，并提供统计表；</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6、支持记录送检标本的明细信息，包括标本名称、离体时间、固定时间、接收时间等；</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7、支持按照用户需求自定义病理号编码规则，需要保证编号的唯一性及连续性；</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8、支持按时间范围、来源范围、患者病历号、患者姓名等条件查询登记记录；</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9、支持扫描标签时能够查询到患者的收费情况；</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cs="宋体"/>
                <w:color w:val="auto"/>
                <w:sz w:val="21"/>
                <w:szCs w:val="21"/>
                <w:highlight w:val="none"/>
                <w:lang w:val="en-US" w:eastAsia="zh-CN"/>
              </w:rPr>
              <w:t>支持</w:t>
            </w:r>
            <w:r>
              <w:rPr>
                <w:rFonts w:hint="eastAsia" w:ascii="宋体" w:hAnsi="宋体" w:eastAsia="宋体" w:cs="宋体"/>
                <w:color w:val="auto"/>
                <w:sz w:val="21"/>
                <w:szCs w:val="21"/>
                <w:highlight w:val="none"/>
              </w:rPr>
              <w:t>高拍仪拍摄纸质申请单（无需样本接收）；</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val="0"/>
                <w:bCs/>
                <w:color w:val="auto"/>
                <w:sz w:val="21"/>
                <w:szCs w:val="21"/>
                <w:highlight w:val="none"/>
                <w:vertAlign w:val="baseline"/>
                <w:lang w:val="en-US" w:eastAsia="zh-Hans"/>
              </w:rPr>
            </w:pPr>
            <w:r>
              <w:rPr>
                <w:rFonts w:hint="eastAsia" w:ascii="宋体" w:hAnsi="宋体" w:eastAsia="宋体" w:cs="宋体"/>
                <w:color w:val="auto"/>
                <w:sz w:val="21"/>
                <w:szCs w:val="21"/>
                <w:highlight w:val="none"/>
              </w:rPr>
              <w:t>11、支持纸质申请单使用高拍仪拍照录入存档，同时支持使用OCR识别申请单内容，识别率准确率不低于95%，申请单内容信息可导入至病理信息管理系统</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sz w:val="21"/>
                <w:szCs w:val="21"/>
                <w:highlight w:val="none"/>
                <w:vertAlign w:val="baseline"/>
                <w:lang w:val="en-US" w:eastAsia="zh-Hans"/>
              </w:rPr>
              <w:t>取材管理模块</w:t>
            </w:r>
          </w:p>
        </w:tc>
        <w:tc>
          <w:tcPr>
            <w:tcW w:w="76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1、支持扫描标本容器（袋）上的病理号条码自动获取病例信息，进入取材界面；</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2、支持提示所有未取材或补取列表，补取显示开单医生及补取医嘱。按常取材类型分类展示</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3、支持取材明细记录取材部位、蜡块数、材块数等；</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4、取材时自动提示该病例是否做过冰冻，并能查看冰冻结果，根据冰冻结果确定取材要求；</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5、支持对于脱钙蜡块有特殊的处理流程；</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6、支持记录时间、医生、记录人等信息；支持材块核对，取材状态自动更新</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7、提供专用大/小标本取材结构化模板，规范化取材；</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8、支持取材明细记录、“附言”记录，“用完”“脱钙”“保留”等内容</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9、可记录剩余标本的存放位置；</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10、支持大体标本照相与病例关联保存；</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11、提供取材工作交接管理工具，区分当日取材和非当日取材，可按照取材医生分别整理；</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12、取材支持语音输入，实时自动转成文字存储</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13、支持与包埋盒打号机连接，打印二维码，取材信息与包埋盒对应，取材明细给包埋盒打号机打印</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14、持可根据标本类型，自动选择包埋盒打号机打号通道，用于对不同标本包埋盒颜色的区分；</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val="0"/>
                <w:bCs/>
                <w:color w:val="auto"/>
                <w:sz w:val="21"/>
                <w:szCs w:val="21"/>
                <w:highlight w:val="none"/>
                <w:vertAlign w:val="baseline"/>
                <w:lang w:val="en-US" w:eastAsia="zh-Hans"/>
              </w:rPr>
            </w:pPr>
            <w:r>
              <w:rPr>
                <w:rFonts w:hint="eastAsia" w:ascii="宋体" w:hAnsi="宋体" w:eastAsia="宋体" w:cs="宋体"/>
                <w:color w:val="auto"/>
                <w:sz w:val="21"/>
                <w:szCs w:val="21"/>
                <w:highlight w:val="none"/>
              </w:rPr>
              <w:t>15、支持按照医院要求设置如“立”、“皮”、“试”等中文特殊标记的打印</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sz w:val="21"/>
                <w:szCs w:val="21"/>
                <w:highlight w:val="none"/>
                <w:vertAlign w:val="baseline"/>
                <w:lang w:val="en-US" w:eastAsia="zh-Hans"/>
              </w:rPr>
              <w:t>脱水管理模块</w:t>
            </w:r>
          </w:p>
        </w:tc>
        <w:tc>
          <w:tcPr>
            <w:tcW w:w="76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1、可以记录脱水的开始时间和结束时间；</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2、支持按脱水框进行批量脱水操作记录；</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3、支持按脱水筐批量转移至包埋操作员的记录；</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4、病例脱水信息分状态统计，可以快速查看蜡块的脱水状态；</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val="0"/>
                <w:bCs/>
                <w:color w:val="auto"/>
                <w:sz w:val="21"/>
                <w:szCs w:val="21"/>
                <w:highlight w:val="none"/>
                <w:vertAlign w:val="baseline"/>
                <w:lang w:val="en-US" w:eastAsia="zh-Hans"/>
              </w:rPr>
            </w:pPr>
            <w:r>
              <w:rPr>
                <w:rFonts w:hint="eastAsia" w:ascii="微软雅黑" w:hAnsi="微软雅黑" w:eastAsia="微软雅黑" w:cs="微软雅黑"/>
                <w:color w:val="auto"/>
                <w:sz w:val="21"/>
                <w:szCs w:val="21"/>
                <w:highlight w:val="none"/>
              </w:rPr>
              <w:t>★</w:t>
            </w:r>
            <w:r>
              <w:rPr>
                <w:rFonts w:hint="eastAsia" w:ascii="宋体" w:hAnsi="宋体" w:eastAsia="宋体" w:cs="宋体"/>
                <w:color w:val="auto"/>
                <w:sz w:val="21"/>
                <w:szCs w:val="21"/>
                <w:highlight w:val="none"/>
              </w:rPr>
              <w:t>5、支持对接包埋盒批量识别设备。支持单次包埋盒批量识别数量≥100个，支持自动对比识别到的编号与系统原有编号，并通过颜色标记错误；支持选择对应上机脱水机；支持核对当天所有脱水样本进行统计，提示遗留样本。（提供设备与系统对接后，从包埋盒放入设备至系统识别核对界面的全场景实际使用案例视频，而非单独系统操作界面视频。并说明终端客户名称，联系方式，支持回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sz w:val="21"/>
                <w:szCs w:val="21"/>
                <w:highlight w:val="none"/>
                <w:vertAlign w:val="baseline"/>
                <w:lang w:val="en-US" w:eastAsia="zh-Hans"/>
              </w:rPr>
              <w:t>包埋管理模块</w:t>
            </w:r>
          </w:p>
        </w:tc>
        <w:tc>
          <w:tcPr>
            <w:tcW w:w="76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1、支持全程二维码，提供样本扫描，包埋盒扫描，信息显示界面，扫描包埋盒验证信息的准确性</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2、有特别说明的包埋盒二维码时，可自动进行语音播报。语音播报的项目内容可进行自定义</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3、可进行取材质量评价，并可进行相应取材质量的查询统计</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4、对已进行过质量评价的每一个蜡块记录处理结果</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5、可以列表形式提示当前病理号所有其他材块的包埋情况</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6、系统可提示当前用户当日所有的已包埋蜡块列表</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7、系统可提示所有已取材但尚未包埋病例的取材明细列表</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8、系统可提供包埋工作量统计报表</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9、系统可查询每一个蜡块或切片及同一病理号下相关蜡块或切片的历史记录信息</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val="0"/>
                <w:bCs/>
                <w:color w:val="auto"/>
                <w:sz w:val="21"/>
                <w:szCs w:val="21"/>
                <w:highlight w:val="none"/>
                <w:vertAlign w:val="baseline"/>
                <w:lang w:val="en-US" w:eastAsia="zh-Hans"/>
              </w:rPr>
            </w:pPr>
            <w:r>
              <w:rPr>
                <w:rFonts w:hint="eastAsia" w:ascii="宋体" w:hAnsi="宋体" w:eastAsia="宋体" w:cs="宋体"/>
                <w:color w:val="auto"/>
                <w:sz w:val="21"/>
                <w:szCs w:val="21"/>
                <w:highlight w:val="none"/>
              </w:rPr>
              <w:t>10、进行全流程追踪时，支持通过平板电脑对包埋环节进行管控，记录包埋开始结束状态及相关操作信息。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sz w:val="21"/>
                <w:szCs w:val="21"/>
                <w:highlight w:val="none"/>
                <w:vertAlign w:val="baseline"/>
                <w:lang w:val="en-US" w:eastAsia="zh-CN"/>
              </w:rPr>
              <w:t>切片</w:t>
            </w:r>
            <w:r>
              <w:rPr>
                <w:rFonts w:hint="eastAsia" w:ascii="宋体" w:hAnsi="宋体" w:eastAsia="宋体" w:cs="宋体"/>
                <w:b w:val="0"/>
                <w:bCs/>
                <w:color w:val="auto"/>
                <w:sz w:val="21"/>
                <w:szCs w:val="21"/>
                <w:highlight w:val="none"/>
                <w:vertAlign w:val="baseline"/>
                <w:lang w:val="en-US" w:eastAsia="zh-Hans"/>
              </w:rPr>
              <w:t>管理模块</w:t>
            </w:r>
          </w:p>
        </w:tc>
        <w:tc>
          <w:tcPr>
            <w:tcW w:w="76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1、支持制片医生（批量）扫描包埋盒，玻片打号机自动打印标签；批量打印切片条码</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2、支持以列表或卡片形式自动提示当前病理号的其他蜡块的切片情况；</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3、支持扫描包埋盒二维码标签，从技术医嘱中提取病例信息、医嘱名称等，并打印该蜡块所有技术医嘱的玻片二维码标签</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4、可以查看每一病例的肉眼所见和取材明细</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5、支持异常的制片补打印；</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6、系统在扫描有特别说明的包埋盒二维码时，可自动语音播报，播报的项目内容可由用户自定义；</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7、支持对包埋蜡块进行质量评价，并可进行相应蜡块质量的查询统计；</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8、支持对已进行过质量评价的蜡块录处理结果；</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9、提供信息查询，同一病理号相关蜡块或切片的历史记录信息、切片状态、历史制片情况、特检医嘱和技术急诊等查询；</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10、支持相关的统计信息，不限于提供切片工作量和工作时间的精确统计等；</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val="0"/>
                <w:bCs/>
                <w:color w:val="auto"/>
                <w:sz w:val="21"/>
                <w:szCs w:val="21"/>
                <w:highlight w:val="none"/>
                <w:vertAlign w:val="baseline"/>
                <w:lang w:val="en-US" w:eastAsia="zh-Hans"/>
              </w:rPr>
            </w:pPr>
            <w:r>
              <w:rPr>
                <w:rFonts w:hint="eastAsia" w:ascii="宋体" w:hAnsi="宋体" w:eastAsia="宋体" w:cs="宋体"/>
                <w:color w:val="auto"/>
                <w:sz w:val="21"/>
                <w:szCs w:val="21"/>
                <w:highlight w:val="none"/>
              </w:rPr>
              <w:t>11、进行全流程追踪时，支持通过平板电脑对接扫码枪和玻片打号机，扫描包埋盒后打印对应切片，同时在系统中可记录相关信息，预打印场景下支持包埋盒玻片扫码双核对校验</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sz w:val="21"/>
                <w:szCs w:val="21"/>
                <w:highlight w:val="none"/>
                <w:vertAlign w:val="baseline"/>
                <w:lang w:val="en-US" w:eastAsia="zh-Hans"/>
              </w:rPr>
              <w:t>染封管理模块</w:t>
            </w:r>
          </w:p>
        </w:tc>
        <w:tc>
          <w:tcPr>
            <w:tcW w:w="76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1、支持扫描切片二维码标签，记录染色的操作者、上机与结束时间</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2、支持扫描连号切片来快速染色</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3、支持列表或卡片形式提示当前病理号的其他切片的染色情况</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4、支持自动提示当前登录用户当日所有的染色切片列表</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5、支持染色工作量和染色确认时间的精确统计</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val="0"/>
                <w:bCs/>
                <w:color w:val="auto"/>
                <w:sz w:val="21"/>
                <w:szCs w:val="21"/>
                <w:highlight w:val="none"/>
                <w:vertAlign w:val="baseline"/>
                <w:lang w:val="en-US" w:eastAsia="zh-Hans"/>
              </w:rPr>
            </w:pPr>
            <w:r>
              <w:rPr>
                <w:rFonts w:hint="eastAsia" w:ascii="宋体" w:hAnsi="宋体" w:eastAsia="宋体" w:cs="宋体"/>
                <w:color w:val="auto"/>
                <w:sz w:val="21"/>
                <w:szCs w:val="21"/>
                <w:highlight w:val="none"/>
              </w:rPr>
              <w:t>6、支持查询蜡块或切片及同一病理号下相关蜡块或切片的历史记录信息</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sz w:val="21"/>
                <w:szCs w:val="21"/>
                <w:highlight w:val="none"/>
                <w:vertAlign w:val="baseline"/>
                <w:lang w:val="en-US" w:eastAsia="zh-Hans"/>
              </w:rPr>
              <w:t>冰冻制片模块</w:t>
            </w:r>
          </w:p>
        </w:tc>
        <w:tc>
          <w:tcPr>
            <w:tcW w:w="76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1、独立的冰冻制片流程</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2、提供快速冰冻会诊方案，系统可打开冰冻切片的数字切片</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3、冰冻病例自动加做常规，诊断结果自动关联</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4、自动统计冰冻常规符合率</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val="0"/>
                <w:bCs/>
                <w:color w:val="auto"/>
                <w:sz w:val="21"/>
                <w:szCs w:val="21"/>
                <w:highlight w:val="none"/>
                <w:vertAlign w:val="baseline"/>
                <w:lang w:val="en-US" w:eastAsia="zh-Hans"/>
              </w:rPr>
            </w:pPr>
            <w:r>
              <w:rPr>
                <w:rFonts w:hint="eastAsia" w:ascii="宋体" w:hAnsi="宋体" w:eastAsia="宋体" w:cs="宋体"/>
                <w:color w:val="auto"/>
                <w:sz w:val="21"/>
                <w:szCs w:val="21"/>
                <w:highlight w:val="none"/>
              </w:rPr>
              <w:t>5、支持打印冰冻头专用小标签纸</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sz w:val="21"/>
                <w:szCs w:val="21"/>
                <w:highlight w:val="none"/>
                <w:vertAlign w:val="baseline"/>
                <w:lang w:val="en-US" w:eastAsia="zh-Hans"/>
              </w:rPr>
              <w:t>细胞制片模块</w:t>
            </w:r>
          </w:p>
        </w:tc>
        <w:tc>
          <w:tcPr>
            <w:tcW w:w="76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1、独立的细胞制片流程，打印切片标签</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2、支持对接宫颈细胞智能分析系统，分析结果自动关联病例</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3、支持对宫颈细胞诊断报告TBS分级统计</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val="0"/>
                <w:bCs/>
                <w:color w:val="auto"/>
                <w:sz w:val="21"/>
                <w:szCs w:val="21"/>
                <w:highlight w:val="none"/>
                <w:vertAlign w:val="baseline"/>
                <w:lang w:val="en-US" w:eastAsia="zh-Hans"/>
              </w:rPr>
            </w:pPr>
            <w:r>
              <w:rPr>
                <w:rFonts w:hint="eastAsia" w:ascii="宋体" w:hAnsi="宋体" w:eastAsia="宋体" w:cs="宋体"/>
                <w:color w:val="auto"/>
                <w:sz w:val="21"/>
                <w:szCs w:val="21"/>
                <w:highlight w:val="none"/>
              </w:rPr>
              <w:t>4、支持细胞蜡块制作流程，并支持对蜡块进行免疫组化等医嘱执行操作</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sz w:val="21"/>
                <w:szCs w:val="21"/>
                <w:highlight w:val="none"/>
                <w:vertAlign w:val="baseline"/>
                <w:lang w:val="en-US" w:eastAsia="zh-CN"/>
              </w:rPr>
              <w:t>免疫组化管理模块</w:t>
            </w:r>
          </w:p>
        </w:tc>
        <w:tc>
          <w:tcPr>
            <w:tcW w:w="76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支持在</w:t>
            </w:r>
            <w:r>
              <w:rPr>
                <w:rFonts w:hint="eastAsia" w:ascii="宋体" w:hAnsi="宋体" w:eastAsia="宋体" w:cs="宋体"/>
                <w:color w:val="auto"/>
                <w:sz w:val="21"/>
                <w:szCs w:val="21"/>
                <w:highlight w:val="none"/>
              </w:rPr>
              <w:t>医嘱工作站</w:t>
            </w:r>
            <w:r>
              <w:rPr>
                <w:rFonts w:hint="eastAsia" w:ascii="宋体" w:hAnsi="宋体" w:cs="宋体"/>
                <w:color w:val="auto"/>
                <w:sz w:val="21"/>
                <w:szCs w:val="21"/>
                <w:highlight w:val="none"/>
                <w:lang w:val="en-US" w:eastAsia="zh-CN"/>
              </w:rPr>
              <w:t>加入</w:t>
            </w:r>
            <w:r>
              <w:rPr>
                <w:rFonts w:hint="eastAsia" w:ascii="宋体" w:hAnsi="宋体" w:eastAsia="宋体" w:cs="宋体"/>
                <w:color w:val="auto"/>
                <w:sz w:val="21"/>
                <w:szCs w:val="21"/>
                <w:highlight w:val="none"/>
              </w:rPr>
              <w:t>特检医嘱、技术医嘱的处理</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2、对接主流免疫组化仪器，完成切片打印上机</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3、支持扫描包埋盒二维码标签，显示特检医嘱的相关信息，并打支持相关医嘱打印和补打印</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4、收费管理，支持对接收费系统和手动收费流程</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5、短信通知功能，对门诊等加收费患者，支持批量短信通知</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val="0"/>
                <w:bCs/>
                <w:color w:val="auto"/>
                <w:sz w:val="21"/>
                <w:szCs w:val="21"/>
                <w:highlight w:val="none"/>
                <w:vertAlign w:val="baseline"/>
                <w:lang w:val="en-US" w:eastAsia="zh-Hans"/>
              </w:rPr>
            </w:pPr>
            <w:r>
              <w:rPr>
                <w:rFonts w:hint="eastAsia" w:ascii="宋体" w:hAnsi="宋体" w:eastAsia="宋体" w:cs="宋体"/>
                <w:color w:val="auto"/>
                <w:sz w:val="21"/>
                <w:szCs w:val="21"/>
                <w:highlight w:val="none"/>
              </w:rPr>
              <w:t>6、系统可以提供不限于技术医嘱和特检医嘱列表的统计数据</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sz w:val="21"/>
                <w:szCs w:val="21"/>
                <w:highlight w:val="none"/>
                <w:vertAlign w:val="baseline"/>
                <w:lang w:val="en-US" w:eastAsia="zh-Hans"/>
              </w:rPr>
              <w:t>病理诊断模块</w:t>
            </w:r>
          </w:p>
        </w:tc>
        <w:tc>
          <w:tcPr>
            <w:tcW w:w="76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1、可查看病例基本信息、临床诊断、大体标本照片和描述、取材明细记录等。录入镜下所见、病理诊断、免疫组化结果、液基细胞学等诊断报告项目</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具备</w:t>
            </w:r>
            <w:r>
              <w:rPr>
                <w:rFonts w:hint="eastAsia" w:ascii="宋体" w:hAnsi="宋体" w:eastAsia="宋体" w:cs="宋体"/>
                <w:color w:val="auto"/>
                <w:sz w:val="21"/>
                <w:szCs w:val="21"/>
                <w:highlight w:val="none"/>
              </w:rPr>
              <w:t>报告常用词，支持书写报告时随时增减常用词，并区分科室和个人类型；支持报告自定义</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3、支持与数字切片扫描仪对接，通过病理号自动关联查看数字切片</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4、支持收藏</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操作</w:t>
            </w:r>
            <w:r>
              <w:rPr>
                <w:rFonts w:hint="eastAsia" w:ascii="宋体" w:hAnsi="宋体" w:cs="宋体"/>
                <w:color w:val="auto"/>
                <w:sz w:val="21"/>
                <w:szCs w:val="21"/>
                <w:highlight w:val="none"/>
                <w:lang w:val="en-US" w:eastAsia="zh-CN"/>
              </w:rPr>
              <w:t>病例</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5、提供同一病理号不限次数的独立冰冻报告，每一份冰冻报告单独记录制片和诊断报告信息，可单独进行审核并提供给临床进行查看</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6、冰冻超时报告可提示医生进行“迟发原因”的输入，可自定义迟发原因并进行选择</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7、支持报告历史版本管理</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8、病理诊断报告支持双签，支持实现可以法律效率的电子签名功能</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9、系统提供包括细胞TBS、胃镜等专用诊断模板</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10、支持快捷查询，模糊查询，多级搜索功能</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11、报告打印时能设置病例库对“阴阳性”“临床符合”“冰冻符合”等描述进行检查，无内容不能打印</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12、具有报告质量管控功能，病理诊断结果与性别冲突监控提示：诊断结果智能预警功能：如病理诊断出现“癌”、 “瘤”、“阳性”，则字体将变红提醒等</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13、可对报告质量进行评价</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14、可发出内部技术医嘱要求，发出的内部医嘱在有相应提示，可查看内部医嘱相应的执行情况和结果</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15、支持特检申请单打印，补打特检申请单，创建特检检查报告</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16、可发出特检医嘱要求，发出的特检医嘱有相应提示</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17、医生开免疫组化医嘱时，系统会自动匹配本科室已开展的标记物项目，如果无此标记物项目，则系统弹出相关提示并阻止开单</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18、提供乳腺癌RCB分级辅助诊断工具；</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19、诊断时可选择具有分子诊断价值的蜡块，预先进行肿瘤含量质控并记录，作为分子病理默认执行蜡块，后续患者做分子病理时，默认执行此蜡块</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20、对即将超时的和已超时的病例进行管理；</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21、可进行数字阅片，并在数字阅片中进行标记、测距、截图操作，截图可导入到诊断界面；</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22、提供病理报告审核后的“犹豫期”自定义设定，并可自定义设定临床查看审核后的病理报告的“犹豫期”；</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23、系统内提供病理知识库及数数字病理图书馆:含疾病的鉴别诊断、免疫组化抗体介绍、病理技术等，相关内容定期更新；</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24、可向临床发送通知，告知延迟打印报告和缴费补费等信息；诊断界面可填写临床病理联系，并可导出；</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val="en-US" w:eastAsia="zh-CN"/>
              </w:rPr>
            </w:pPr>
            <w:r>
              <w:rPr>
                <w:rFonts w:hint="eastAsia" w:ascii="微软雅黑" w:hAnsi="微软雅黑" w:eastAsia="微软雅黑" w:cs="微软雅黑"/>
                <w:color w:val="auto"/>
                <w:sz w:val="21"/>
                <w:szCs w:val="21"/>
                <w:highlight w:val="none"/>
              </w:rPr>
              <w:t>★</w:t>
            </w:r>
            <w:r>
              <w:rPr>
                <w:rFonts w:hint="eastAsia" w:ascii="宋体" w:hAnsi="宋体" w:cs="宋体"/>
                <w:color w:val="auto"/>
                <w:sz w:val="21"/>
                <w:szCs w:val="21"/>
                <w:highlight w:val="none"/>
                <w:lang w:val="en-US" w:eastAsia="zh-CN"/>
              </w:rPr>
              <w:t>25、支持移动端病理操作使用，包括诊断功能。需提供</w:t>
            </w:r>
            <w:r>
              <w:rPr>
                <w:rFonts w:hint="eastAsia" w:ascii="宋体" w:hAnsi="宋体" w:eastAsia="宋体" w:cs="宋体"/>
                <w:b w:val="0"/>
                <w:bCs/>
                <w:color w:val="auto"/>
                <w:kern w:val="0"/>
                <w:sz w:val="21"/>
                <w:szCs w:val="21"/>
                <w:highlight w:val="none"/>
                <w:vertAlign w:val="baseline"/>
                <w:lang w:val="en-US" w:eastAsia="zh-Hans" w:bidi="ar-SA"/>
              </w:rPr>
              <w:t>病理科信息管理</w:t>
            </w:r>
            <w:r>
              <w:rPr>
                <w:rFonts w:hint="eastAsia" w:ascii="宋体" w:hAnsi="宋体" w:eastAsia="宋体" w:cs="宋体"/>
                <w:b w:val="0"/>
                <w:bCs/>
                <w:color w:val="auto"/>
                <w:kern w:val="0"/>
                <w:sz w:val="21"/>
                <w:szCs w:val="21"/>
                <w:highlight w:val="none"/>
                <w:vertAlign w:val="baseline"/>
                <w:lang w:val="en-US" w:eastAsia="zh-CN" w:bidi="ar-SA"/>
              </w:rPr>
              <w:t>系统移动端软件</w:t>
            </w:r>
            <w:r>
              <w:rPr>
                <w:rFonts w:hint="eastAsia" w:ascii="宋体" w:hAnsi="宋体" w:eastAsia="宋体" w:cs="宋体"/>
                <w:b w:val="0"/>
                <w:bCs/>
                <w:color w:val="auto"/>
                <w:kern w:val="0"/>
                <w:sz w:val="21"/>
                <w:szCs w:val="21"/>
                <w:highlight w:val="none"/>
                <w:vertAlign w:val="baseline"/>
                <w:lang w:val="en-US" w:eastAsia="zh-Hans" w:bidi="ar-SA"/>
              </w:rPr>
              <w:t>著作权登记证书</w:t>
            </w:r>
            <w:r>
              <w:rPr>
                <w:rFonts w:hint="eastAsia" w:ascii="宋体" w:hAnsi="宋体" w:cs="宋体"/>
                <w:b w:val="0"/>
                <w:bCs/>
                <w:color w:val="auto"/>
                <w:kern w:val="0"/>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13</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sz w:val="21"/>
                <w:szCs w:val="21"/>
                <w:highlight w:val="none"/>
                <w:vertAlign w:val="baseline"/>
                <w:lang w:val="en-US" w:eastAsia="zh-CN"/>
              </w:rPr>
              <w:t>结构化诊断模块</w:t>
            </w:r>
          </w:p>
        </w:tc>
        <w:tc>
          <w:tcPr>
            <w:tcW w:w="76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、支持</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0种结构化报告模板，并可在后台进行配置修改该结构化报告模板，报告模板的编写界面和预览界面应展示友好；</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val="0"/>
                <w:bCs/>
                <w:color w:val="auto"/>
                <w:sz w:val="21"/>
                <w:szCs w:val="21"/>
                <w:highlight w:val="none"/>
                <w:vertAlign w:val="baseline"/>
                <w:lang w:val="en-US" w:eastAsia="zh-Hans"/>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、结构化报告模板包括但不限于如下：胃肠道间质瘤、乳腺新辅、胃肿瘤、乳腺癌、食管癌、卵巢癌、子宫肿瘤、肝癌、肾癌、前列腺癌、膀胱癌、肺癌、淋巴组织、小肠肿瘤、唾液腺</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14</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sz w:val="21"/>
                <w:szCs w:val="21"/>
                <w:highlight w:val="none"/>
                <w:vertAlign w:val="baseline"/>
                <w:lang w:val="en-US" w:eastAsia="zh-Hans"/>
              </w:rPr>
              <w:t>特检</w:t>
            </w:r>
            <w:r>
              <w:rPr>
                <w:rFonts w:hint="eastAsia" w:ascii="宋体" w:hAnsi="宋体" w:eastAsia="宋体" w:cs="宋体"/>
                <w:b w:val="0"/>
                <w:bCs/>
                <w:color w:val="auto"/>
                <w:sz w:val="21"/>
                <w:szCs w:val="21"/>
                <w:highlight w:val="none"/>
                <w:vertAlign w:val="baseline"/>
                <w:lang w:val="en-US" w:eastAsia="zh-CN"/>
              </w:rPr>
              <w:t>医嘱</w:t>
            </w:r>
            <w:r>
              <w:rPr>
                <w:rFonts w:hint="eastAsia" w:ascii="宋体" w:hAnsi="宋体" w:eastAsia="宋体" w:cs="宋体"/>
                <w:b w:val="0"/>
                <w:bCs/>
                <w:color w:val="auto"/>
                <w:sz w:val="21"/>
                <w:szCs w:val="21"/>
                <w:highlight w:val="none"/>
                <w:vertAlign w:val="baseline"/>
                <w:lang w:val="en-US" w:eastAsia="zh-Hans"/>
              </w:rPr>
              <w:t>管理模块</w:t>
            </w:r>
          </w:p>
        </w:tc>
        <w:tc>
          <w:tcPr>
            <w:tcW w:w="76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1、系统自动提示已发出特检医嘱（免疫组化、特殊染色、分子病理等）要求但尚未执行的病例信息列表；</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2、可从特检医嘱信息中提取病例信息、标记物名称等内容，来自动生成免疫组化切片等切片条码标签，并打印出来；</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3、免疫组化染色完成并确认后，状态体现在诊断界面；</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4、支持展示病例标记物，非必要情况下默认收起标记物详情，必要时可展开列表查看标记物详情；</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5、免疫组化工作站界面支持多维度排序，维度包括病理号、标记物、申请医生；</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6、支持对特检进行全流程管理，包括开单、确认缴费、确认执行、打印标签、打印工作单、上机、打印工作单交接等；</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val="0"/>
                <w:bCs/>
                <w:color w:val="auto"/>
                <w:sz w:val="21"/>
                <w:szCs w:val="21"/>
                <w:highlight w:val="none"/>
                <w:vertAlign w:val="baseline"/>
                <w:lang w:val="en-US" w:eastAsia="zh-Hans"/>
              </w:rPr>
            </w:pPr>
            <w:r>
              <w:rPr>
                <w:rFonts w:hint="eastAsia" w:ascii="宋体" w:hAnsi="宋体" w:eastAsia="宋体" w:cs="宋体"/>
                <w:color w:val="auto"/>
                <w:sz w:val="21"/>
                <w:szCs w:val="21"/>
                <w:highlight w:val="none"/>
              </w:rPr>
              <w:t>7、支持先做后补费、重复不收费、预收费，管理实收与应收金额，并可实现特检收费统计，查看实收与应收不一致明细。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15</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sz w:val="21"/>
                <w:szCs w:val="21"/>
                <w:highlight w:val="none"/>
                <w:vertAlign w:val="baseline"/>
                <w:lang w:val="en-US" w:eastAsia="zh-CN"/>
              </w:rPr>
              <w:t>全流程</w:t>
            </w:r>
            <w:r>
              <w:rPr>
                <w:rFonts w:hint="eastAsia" w:ascii="宋体" w:hAnsi="宋体" w:eastAsia="宋体" w:cs="宋体"/>
                <w:b w:val="0"/>
                <w:bCs/>
                <w:color w:val="auto"/>
                <w:sz w:val="21"/>
                <w:szCs w:val="21"/>
                <w:highlight w:val="none"/>
                <w:vertAlign w:val="baseline"/>
                <w:lang w:val="en-US" w:eastAsia="zh-Hans"/>
              </w:rPr>
              <w:t>质控管理模块</w:t>
            </w:r>
          </w:p>
        </w:tc>
        <w:tc>
          <w:tcPr>
            <w:tcW w:w="76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1、提供精细到取材、制片各环节、诊断各环节的超时时间管理和提醒功能，支持通过手机短信方式通知科室管理人员及相关技术人员</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2、支持超时病例查看功能，支持按标本类型展示超时病例，展示超时时长及已用时长，可按制片步骤查看各步骤用时；</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3、提供符合三甲医院复审要求的质控指标和科室管理的统计分析功能，并提供病理实验室十三项质控，质控指标包括但不限于：</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1)百张床位医师数</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2)百张床位技师数</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3)HE切片优良率</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4)特检切片优良率</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5)标本规范固定率</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6)术中冰冻及时率</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7)组织诊断及时率</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8)细胞诊断及时率</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9)分子室内合格率</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10)分子室间合格率</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11)免疫组化合格率</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12)细胞诊断符合率</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13)常规冰冻符合率</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14)外院会诊符合率</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val="0"/>
                <w:bCs/>
                <w:color w:val="auto"/>
                <w:sz w:val="21"/>
                <w:szCs w:val="21"/>
                <w:highlight w:val="none"/>
                <w:vertAlign w:val="baseline"/>
                <w:lang w:val="en-US" w:eastAsia="zh-Hans"/>
              </w:rPr>
            </w:pPr>
            <w:r>
              <w:rPr>
                <w:rFonts w:hint="eastAsia" w:ascii="宋体" w:hAnsi="宋体" w:eastAsia="宋体" w:cs="宋体"/>
                <w:color w:val="auto"/>
                <w:sz w:val="21"/>
                <w:szCs w:val="21"/>
                <w:highlight w:val="none"/>
              </w:rPr>
              <w:t>4、支持选定时间段、统计时间维度、不达标病例详细信息，针对抽检项目可创建质控任务，质控结果可以一键导出，且支持持续追踪改进点。(提供相关统计界面截图证明）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16</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sz w:val="21"/>
                <w:szCs w:val="21"/>
                <w:highlight w:val="none"/>
                <w:vertAlign w:val="baseline"/>
                <w:lang w:val="en-US" w:eastAsia="zh-CN"/>
              </w:rPr>
              <w:t>数字切片管理模块</w:t>
            </w:r>
          </w:p>
        </w:tc>
        <w:tc>
          <w:tcPr>
            <w:tcW w:w="76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支持系统中创建数字切片库，添加亚专科分类；</w:t>
            </w:r>
          </w:p>
          <w:p>
            <w:pPr>
              <w:keepNext w:val="0"/>
              <w:keepLines w:val="0"/>
              <w:pageBreakBefore w:val="0"/>
              <w:numPr>
                <w:ilvl w:val="0"/>
                <w:numId w:val="2"/>
              </w:numPr>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支持查看数字切片，切片扫描后可绑定病理信息管理系统相关病例；</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3、支持同一病例上传影像、心电等其他报告；</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val="0"/>
                <w:bCs/>
                <w:color w:val="auto"/>
                <w:sz w:val="21"/>
                <w:szCs w:val="21"/>
                <w:highlight w:val="none"/>
                <w:vertAlign w:val="baseline"/>
                <w:lang w:val="en-US" w:eastAsia="zh-Hans"/>
              </w:rPr>
            </w:pPr>
            <w:r>
              <w:rPr>
                <w:rFonts w:hint="eastAsia" w:ascii="宋体" w:hAnsi="宋体" w:eastAsia="宋体" w:cs="宋体"/>
                <w:color w:val="auto"/>
                <w:sz w:val="21"/>
                <w:szCs w:val="21"/>
                <w:highlight w:val="none"/>
              </w:rPr>
              <w:t>4、支持自动统计数字切片数量，按亚专科分类统计及系统占用空间大小</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17</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sz w:val="21"/>
                <w:szCs w:val="21"/>
                <w:highlight w:val="none"/>
                <w:vertAlign w:val="baseline"/>
                <w:lang w:val="en-US" w:eastAsia="zh-Hans"/>
              </w:rPr>
              <w:t>统计分析模块</w:t>
            </w:r>
          </w:p>
        </w:tc>
        <w:tc>
          <w:tcPr>
            <w:tcW w:w="76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1、支持统计一段时间内送检病理的数量，统计维度包括病理库、病理号；</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具备</w:t>
            </w:r>
            <w:r>
              <w:rPr>
                <w:rFonts w:hint="eastAsia" w:ascii="宋体" w:hAnsi="宋体" w:eastAsia="宋体" w:cs="宋体"/>
                <w:color w:val="auto"/>
                <w:sz w:val="21"/>
                <w:szCs w:val="21"/>
                <w:highlight w:val="none"/>
              </w:rPr>
              <w:t>多种工作量统计报表，包括医生、技师、部门、标本统计表、技术医嘱量、特检医嘱量、科内会诊量、外院送检量、制片汇总记录、根据评价切片的优片率等，支持</w:t>
            </w:r>
            <w:r>
              <w:rPr>
                <w:rFonts w:hint="eastAsia" w:ascii="宋体" w:hAnsi="宋体" w:cs="宋体"/>
                <w:color w:val="auto"/>
                <w:sz w:val="21"/>
                <w:szCs w:val="21"/>
                <w:highlight w:val="none"/>
                <w:lang w:val="en-US" w:eastAsia="zh-CN"/>
              </w:rPr>
              <w:t>excel等格式</w:t>
            </w:r>
            <w:r>
              <w:rPr>
                <w:rFonts w:hint="eastAsia" w:ascii="宋体" w:hAnsi="宋体" w:eastAsia="宋体" w:cs="宋体"/>
                <w:color w:val="auto"/>
                <w:sz w:val="21"/>
                <w:szCs w:val="21"/>
                <w:highlight w:val="none"/>
              </w:rPr>
              <w:t>数据导出；</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3、提供科室管理统计分析，并提供病理科质控指标列表，并提供查询功能；宫颈液基细胞学 ASC/SIL 比例、宫颈液基细胞学TBS 标准各级别诊断数量及占比等</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4、提供收费、免疫组化等相关统计管理，通过报表详细展示，支持导出</w:t>
            </w:r>
            <w:r>
              <w:rPr>
                <w:rFonts w:hint="eastAsia" w:ascii="宋体" w:hAnsi="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val="0"/>
                <w:bCs/>
                <w:color w:val="auto"/>
                <w:sz w:val="21"/>
                <w:szCs w:val="21"/>
                <w:highlight w:val="none"/>
                <w:vertAlign w:val="baseline"/>
                <w:lang w:val="en-US" w:eastAsia="zh-CN"/>
              </w:rPr>
            </w:pPr>
            <w:r>
              <w:rPr>
                <w:rFonts w:hint="eastAsia" w:ascii="微软雅黑" w:hAnsi="微软雅黑" w:eastAsia="微软雅黑" w:cs="微软雅黑"/>
                <w:b w:val="0"/>
                <w:bCs/>
                <w:color w:val="auto"/>
                <w:sz w:val="21"/>
                <w:szCs w:val="21"/>
                <w:highlight w:val="none"/>
                <w:vertAlign w:val="baseline"/>
                <w:lang w:val="en-US" w:eastAsia="zh-CN"/>
              </w:rPr>
              <w:t>★</w:t>
            </w:r>
            <w:r>
              <w:rPr>
                <w:rFonts w:hint="eastAsia" w:ascii="宋体" w:hAnsi="宋体" w:cs="宋体"/>
                <w:b w:val="0"/>
                <w:bCs/>
                <w:color w:val="auto"/>
                <w:sz w:val="21"/>
                <w:szCs w:val="21"/>
                <w:highlight w:val="none"/>
                <w:vertAlign w:val="baseline"/>
                <w:lang w:val="en-US" w:eastAsia="zh-CN"/>
              </w:rPr>
              <w:t>5、</w:t>
            </w:r>
            <w:r>
              <w:rPr>
                <w:rFonts w:hint="eastAsia" w:ascii="宋体" w:hAnsi="宋体" w:eastAsia="宋体" w:cs="宋体"/>
                <w:b w:val="0"/>
                <w:bCs/>
                <w:color w:val="auto"/>
                <w:sz w:val="21"/>
                <w:szCs w:val="21"/>
                <w:highlight w:val="none"/>
                <w:vertAlign w:val="baseline"/>
                <w:lang w:val="en-US" w:eastAsia="zh-CN"/>
              </w:rPr>
              <w:t>支持WHO标准的病理诊断分类标签功能，系统能够选择肿瘤的一级与二级分类，生成标签后与病例关联，单击标签名称可自动查询在整体标签库内该标签的数量占比。</w:t>
            </w:r>
            <w:r>
              <w:rPr>
                <w:rFonts w:hint="eastAsia" w:ascii="宋体" w:hAnsi="宋体" w:cs="宋体"/>
                <w:b w:val="0"/>
                <w:bCs/>
                <w:color w:val="auto"/>
                <w:sz w:val="21"/>
                <w:szCs w:val="21"/>
                <w:highlight w:val="none"/>
                <w:vertAlign w:val="baseline"/>
                <w:lang w:val="en-US" w:eastAsia="zh-CN"/>
              </w:rPr>
              <w:t>并</w:t>
            </w:r>
            <w:r>
              <w:rPr>
                <w:rFonts w:hint="eastAsia" w:ascii="宋体" w:hAnsi="宋体" w:eastAsia="宋体" w:cs="宋体"/>
                <w:b w:val="0"/>
                <w:bCs/>
                <w:color w:val="auto"/>
                <w:sz w:val="21"/>
                <w:szCs w:val="21"/>
                <w:highlight w:val="none"/>
                <w:vertAlign w:val="baseline"/>
                <w:lang w:val="en-US" w:eastAsia="zh-CN"/>
              </w:rPr>
              <w:t>支持后台进行</w:t>
            </w:r>
            <w:r>
              <w:rPr>
                <w:rFonts w:hint="eastAsia" w:ascii="宋体" w:hAnsi="宋体" w:cs="宋体"/>
                <w:b w:val="0"/>
                <w:bCs/>
                <w:color w:val="auto"/>
                <w:sz w:val="21"/>
                <w:szCs w:val="21"/>
                <w:highlight w:val="none"/>
                <w:vertAlign w:val="baseline"/>
                <w:lang w:val="en-US" w:eastAsia="zh-CN"/>
              </w:rPr>
              <w:t>诊断</w:t>
            </w:r>
            <w:r>
              <w:rPr>
                <w:rFonts w:hint="eastAsia" w:ascii="宋体" w:hAnsi="宋体" w:eastAsia="宋体" w:cs="宋体"/>
                <w:b w:val="0"/>
                <w:bCs/>
                <w:color w:val="auto"/>
                <w:sz w:val="21"/>
                <w:szCs w:val="21"/>
                <w:highlight w:val="none"/>
                <w:vertAlign w:val="baseline"/>
                <w:lang w:val="en-US" w:eastAsia="zh-CN"/>
              </w:rPr>
              <w:t>标签的检索与统计</w:t>
            </w:r>
            <w:r>
              <w:rPr>
                <w:rFonts w:hint="eastAsia" w:ascii="宋体" w:hAnsi="宋体" w:cs="宋体"/>
                <w:b w:val="0"/>
                <w:bCs/>
                <w:color w:val="auto"/>
                <w:sz w:val="21"/>
                <w:szCs w:val="21"/>
                <w:highlight w:val="none"/>
                <w:vertAlign w:val="baseline"/>
                <w:lang w:val="en-US" w:eastAsia="zh-CN"/>
              </w:rPr>
              <w:t>，能够在不同的检查项目下进行准确检索，可对不同标签库进行排序及首字母过滤，组合不同标签库检索后以列表形式呈现检索的结果，可点击病理号快速跳转至对应的病例详情页</w:t>
            </w:r>
            <w:r>
              <w:rPr>
                <w:rFonts w:hint="eastAsia" w:ascii="宋体" w:hAnsi="宋体" w:eastAsia="宋体" w:cs="宋体"/>
                <w:b w:val="0"/>
                <w:bCs/>
                <w:color w:val="auto"/>
                <w:sz w:val="21"/>
                <w:szCs w:val="21"/>
                <w:highlight w:val="none"/>
                <w:vertAlign w:val="baseline"/>
                <w:lang w:val="en-US" w:eastAsia="zh-CN"/>
              </w:rPr>
              <w:t>。</w:t>
            </w:r>
            <w:r>
              <w:rPr>
                <w:rFonts w:hint="eastAsia" w:ascii="宋体" w:hAnsi="宋体" w:eastAsia="宋体" w:cs="宋体"/>
                <w:color w:val="auto"/>
                <w:sz w:val="21"/>
                <w:szCs w:val="21"/>
                <w:highlight w:val="none"/>
              </w:rPr>
              <w:t>（提供此功能</w:t>
            </w:r>
            <w:r>
              <w:rPr>
                <w:rFonts w:hint="eastAsia" w:ascii="宋体" w:hAnsi="宋体" w:cs="宋体"/>
                <w:color w:val="auto"/>
                <w:sz w:val="21"/>
                <w:szCs w:val="21"/>
                <w:highlight w:val="none"/>
                <w:lang w:val="en-US" w:eastAsia="zh-CN"/>
              </w:rPr>
              <w:t>逐一演示的</w:t>
            </w:r>
            <w:r>
              <w:rPr>
                <w:rFonts w:hint="eastAsia" w:ascii="宋体" w:hAnsi="宋体" w:eastAsia="宋体" w:cs="宋体"/>
                <w:color w:val="auto"/>
                <w:sz w:val="21"/>
                <w:szCs w:val="21"/>
                <w:highlight w:val="none"/>
              </w:rPr>
              <w:t>操作视频）</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val="en-US" w:eastAsia="zh-CN"/>
              </w:rPr>
            </w:pPr>
            <w:r>
              <w:rPr>
                <w:rFonts w:hint="eastAsia" w:ascii="微软雅黑" w:hAnsi="微软雅黑" w:eastAsia="微软雅黑" w:cs="微软雅黑"/>
                <w:b w:val="0"/>
                <w:bCs/>
                <w:color w:val="auto"/>
                <w:sz w:val="21"/>
                <w:szCs w:val="21"/>
                <w:highlight w:val="none"/>
                <w:vertAlign w:val="baseline"/>
                <w:lang w:val="en-US" w:eastAsia="zh-CN"/>
              </w:rPr>
              <w:t>★</w:t>
            </w:r>
            <w:r>
              <w:rPr>
                <w:rFonts w:hint="eastAsia" w:ascii="宋体" w:hAnsi="宋体" w:cs="宋体"/>
                <w:b w:val="0"/>
                <w:bCs/>
                <w:color w:val="auto"/>
                <w:sz w:val="21"/>
                <w:szCs w:val="21"/>
                <w:highlight w:val="none"/>
                <w:vertAlign w:val="baseline"/>
                <w:lang w:val="en-US" w:eastAsia="zh-CN"/>
              </w:rPr>
              <w:t>6、支持肿瘤分级的统计，对不同的病理类型进行非瘤、交界、良性、恶性的准确数量统计，并可进行病理类型和肿瘤分级的组合筛选检索，以列表形式呈现检索的结果，可点击列表的查看按钮快速跳转至对应的病例详情页。</w:t>
            </w:r>
            <w:r>
              <w:rPr>
                <w:rFonts w:hint="eastAsia" w:ascii="宋体" w:hAnsi="宋体" w:eastAsia="宋体" w:cs="宋体"/>
                <w:color w:val="auto"/>
                <w:sz w:val="21"/>
                <w:szCs w:val="21"/>
                <w:highlight w:val="none"/>
              </w:rPr>
              <w:t>（提供此功能</w:t>
            </w:r>
            <w:r>
              <w:rPr>
                <w:rFonts w:hint="eastAsia" w:ascii="宋体" w:hAnsi="宋体" w:cs="宋体"/>
                <w:color w:val="auto"/>
                <w:sz w:val="21"/>
                <w:szCs w:val="21"/>
                <w:highlight w:val="none"/>
                <w:lang w:val="en-US" w:eastAsia="zh-CN"/>
              </w:rPr>
              <w:t>逐一演示的</w:t>
            </w:r>
            <w:r>
              <w:rPr>
                <w:rFonts w:hint="eastAsia" w:ascii="宋体" w:hAnsi="宋体" w:eastAsia="宋体" w:cs="宋体"/>
                <w:color w:val="auto"/>
                <w:sz w:val="21"/>
                <w:szCs w:val="21"/>
                <w:highlight w:val="none"/>
              </w:rPr>
              <w:t>操作视频）</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18</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firstLine="0" w:firstLineChars="0"/>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sz w:val="21"/>
                <w:szCs w:val="21"/>
                <w:highlight w:val="none"/>
                <w:vertAlign w:val="baseline"/>
                <w:lang w:val="en-US" w:eastAsia="zh-CN"/>
              </w:rPr>
              <w:t>借阅</w:t>
            </w:r>
            <w:r>
              <w:rPr>
                <w:rFonts w:hint="eastAsia" w:ascii="宋体" w:hAnsi="宋体" w:eastAsia="宋体" w:cs="宋体"/>
                <w:b w:val="0"/>
                <w:bCs/>
                <w:color w:val="auto"/>
                <w:sz w:val="21"/>
                <w:szCs w:val="21"/>
                <w:highlight w:val="none"/>
                <w:vertAlign w:val="baseline"/>
                <w:lang w:val="en-US" w:eastAsia="zh-Hans"/>
              </w:rPr>
              <w:t>归档管理模块</w:t>
            </w:r>
          </w:p>
        </w:tc>
        <w:tc>
          <w:tcPr>
            <w:tcW w:w="76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1、提供批量切片/蜡块借阅归档管理，支持数字切片借阅、分享；</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2、支持按照病理号将蜡块、切片分别归档处理，录入具体的归档位置</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3、支持按照病理号、借阅状态等筛选条件进行查询，查看蜡块、切片借还状态</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val="0"/>
                <w:bCs/>
                <w:color w:val="auto"/>
                <w:sz w:val="21"/>
                <w:szCs w:val="21"/>
                <w:highlight w:val="none"/>
                <w:vertAlign w:val="baseline"/>
                <w:lang w:val="en-US" w:eastAsia="zh-Hans"/>
              </w:rPr>
            </w:pPr>
            <w:r>
              <w:rPr>
                <w:rFonts w:hint="eastAsia" w:ascii="宋体" w:hAnsi="宋体" w:eastAsia="宋体" w:cs="宋体"/>
                <w:color w:val="auto"/>
                <w:sz w:val="21"/>
                <w:szCs w:val="21"/>
                <w:highlight w:val="none"/>
              </w:rPr>
              <w:t>4、支持按照借阅类型，录入借阅内容等条件进行借阅操作</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19</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firstLine="0" w:firstLineChars="0"/>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sz w:val="21"/>
                <w:szCs w:val="21"/>
                <w:highlight w:val="none"/>
                <w:vertAlign w:val="baseline"/>
                <w:lang w:val="en-US" w:eastAsia="zh-CN"/>
              </w:rPr>
              <w:t>资产管理模块</w:t>
            </w:r>
          </w:p>
        </w:tc>
        <w:tc>
          <w:tcPr>
            <w:tcW w:w="76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1、管理科室中的各类固定资产</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包括但不限于打号机、显微镜、包埋设备等</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2、设备维护记录</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3、支持入库、出库、维修、报废等常规操作</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val="0"/>
                <w:bCs/>
                <w:color w:val="auto"/>
                <w:sz w:val="21"/>
                <w:szCs w:val="21"/>
                <w:highlight w:val="none"/>
                <w:vertAlign w:val="baseline"/>
                <w:lang w:val="en-US" w:eastAsia="zh-Hans"/>
              </w:rPr>
            </w:pPr>
            <w:r>
              <w:rPr>
                <w:rFonts w:hint="eastAsia" w:ascii="宋体" w:hAnsi="宋体" w:eastAsia="宋体" w:cs="宋体"/>
                <w:color w:val="auto"/>
                <w:sz w:val="21"/>
                <w:szCs w:val="21"/>
                <w:highlight w:val="none"/>
              </w:rPr>
              <w:t>4、支持录入维护人员、维护厂家信息并给出维护即将到期提醒</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20</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firstLine="0" w:firstLineChars="0"/>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sz w:val="21"/>
                <w:szCs w:val="21"/>
                <w:highlight w:val="none"/>
                <w:vertAlign w:val="baseline"/>
                <w:lang w:val="en-US" w:eastAsia="zh-CN"/>
              </w:rPr>
              <w:t>耗材管理模块</w:t>
            </w:r>
          </w:p>
        </w:tc>
        <w:tc>
          <w:tcPr>
            <w:tcW w:w="76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1、支持添加、编辑、试剂耗材。并管理试剂耗材名称、库存阈值、计量单位、品牌、规格型号等信息；</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2、支持管理试剂耗材入库，对批次号、入库数量、入库价格等信息进行管理；</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3、试剂验证功能，支持对不同试剂、批次进行试剂验证；</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4、支持管理试剂耗材出库，对出库数量、剩余数量、领用部门等信息进行管理；</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val="0"/>
                <w:bCs/>
                <w:color w:val="auto"/>
                <w:sz w:val="21"/>
                <w:szCs w:val="21"/>
                <w:highlight w:val="none"/>
                <w:vertAlign w:val="baseline"/>
                <w:lang w:val="en-US" w:eastAsia="zh-Hans"/>
              </w:rPr>
            </w:pPr>
            <w:r>
              <w:rPr>
                <w:rFonts w:hint="eastAsia" w:ascii="宋体" w:hAnsi="宋体" w:eastAsia="宋体" w:cs="宋体"/>
                <w:color w:val="auto"/>
                <w:sz w:val="21"/>
                <w:szCs w:val="21"/>
                <w:highlight w:val="none"/>
              </w:rPr>
              <w:t>5、试剂验证功能，支持对不同试剂、批次进行试剂验证</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21</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firstLine="0" w:firstLineChars="0"/>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sz w:val="21"/>
                <w:szCs w:val="21"/>
                <w:highlight w:val="none"/>
                <w:vertAlign w:val="baseline"/>
                <w:lang w:val="en-US" w:eastAsia="zh-CN"/>
              </w:rPr>
              <w:t>远程会诊服务模块</w:t>
            </w:r>
          </w:p>
        </w:tc>
        <w:tc>
          <w:tcPr>
            <w:tcW w:w="76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1、系统支持</w:t>
            </w:r>
            <w:r>
              <w:rPr>
                <w:rFonts w:hint="eastAsia" w:ascii="宋体" w:hAnsi="宋体" w:cs="宋体"/>
                <w:color w:val="auto"/>
                <w:sz w:val="21"/>
                <w:szCs w:val="21"/>
                <w:highlight w:val="none"/>
                <w:lang w:val="en-US" w:eastAsia="zh-CN"/>
              </w:rPr>
              <w:t>远程会诊申请功能，此功能</w:t>
            </w:r>
            <w:r>
              <w:rPr>
                <w:rFonts w:hint="eastAsia" w:ascii="宋体" w:hAnsi="宋体" w:eastAsia="宋体" w:cs="宋体"/>
                <w:color w:val="auto"/>
                <w:sz w:val="21"/>
                <w:szCs w:val="21"/>
                <w:highlight w:val="none"/>
                <w:lang w:val="en-US" w:eastAsia="zh-CN"/>
              </w:rPr>
              <w:t>涉及病理数据的处理</w:t>
            </w:r>
            <w:r>
              <w:rPr>
                <w:rFonts w:hint="eastAsia" w:ascii="宋体" w:hAnsi="宋体" w:cs="宋体"/>
                <w:color w:val="auto"/>
                <w:sz w:val="21"/>
                <w:szCs w:val="21"/>
                <w:highlight w:val="none"/>
                <w:lang w:val="en-US" w:eastAsia="zh-CN"/>
              </w:rPr>
              <w:t>、传输</w:t>
            </w:r>
            <w:r>
              <w:rPr>
                <w:rFonts w:hint="eastAsia" w:ascii="宋体" w:hAnsi="宋体" w:eastAsia="宋体" w:cs="宋体"/>
                <w:color w:val="auto"/>
                <w:sz w:val="21"/>
                <w:szCs w:val="21"/>
                <w:highlight w:val="none"/>
                <w:lang w:val="en-US" w:eastAsia="zh-CN"/>
              </w:rPr>
              <w:t>与诊断</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、支持会诊后台数据统计与导出；</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3、远程诊断平台主要功能：疑难病理远程会诊、冰冻远程会诊、病理质控</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4、支持独立术中冰冻会诊功能，术中冰冻会诊采用预约机制；</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微软雅黑" w:hAnsi="微软雅黑" w:eastAsia="微软雅黑" w:cs="微软雅黑"/>
                <w:color w:val="auto"/>
                <w:sz w:val="21"/>
                <w:szCs w:val="21"/>
                <w:highlight w:val="none"/>
              </w:rPr>
              <w:t>★</w:t>
            </w:r>
            <w:r>
              <w:rPr>
                <w:rFonts w:hint="eastAsia" w:ascii="宋体" w:hAnsi="宋体" w:eastAsia="宋体" w:cs="宋体"/>
                <w:color w:val="auto"/>
                <w:sz w:val="21"/>
                <w:szCs w:val="21"/>
                <w:highlight w:val="none"/>
              </w:rPr>
              <w:t>5、支持微信小程序进行病例的分配、转诊、退回、查询报告、专家诊断等操作非手机网页浏览，要求提供微信小程序数字病理会诊平台软件著作权登记证书复印件；</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val="0"/>
                <w:bCs/>
                <w:color w:val="auto"/>
                <w:sz w:val="21"/>
                <w:szCs w:val="21"/>
                <w:highlight w:val="none"/>
                <w:vertAlign w:val="baseline"/>
                <w:lang w:val="en-US" w:eastAsia="zh-Hans"/>
              </w:rPr>
            </w:pPr>
            <w:r>
              <w:rPr>
                <w:rFonts w:hint="eastAsia" w:ascii="宋体" w:hAnsi="宋体" w:eastAsia="宋体" w:cs="宋体"/>
                <w:color w:val="auto"/>
                <w:sz w:val="21"/>
                <w:szCs w:val="21"/>
                <w:highlight w:val="none"/>
              </w:rPr>
              <w:t>6、支持多系统使用：Windows/IOS/Android系统，电脑、平板、手机</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22</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firstLine="0" w:firstLineChars="0"/>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sz w:val="21"/>
                <w:szCs w:val="21"/>
                <w:highlight w:val="none"/>
                <w:vertAlign w:val="baseline"/>
                <w:lang w:val="en-US" w:eastAsia="zh-CN"/>
              </w:rPr>
              <w:t>电子病历六级评级</w:t>
            </w:r>
          </w:p>
        </w:tc>
        <w:tc>
          <w:tcPr>
            <w:tcW w:w="76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1、根据评级要求进行专项数据处理及功能优化；</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2、支持对危急检验结果管理，危急值通知回传临床；</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3、支持实时掌握医嘱执行各环节状态；</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4、支持标本完整闭环检验，随时查看标本状态、进程等</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val="0"/>
                <w:bCs/>
                <w:color w:val="auto"/>
                <w:sz w:val="21"/>
                <w:szCs w:val="21"/>
                <w:highlight w:val="none"/>
                <w:vertAlign w:val="baseline"/>
                <w:lang w:val="en-US" w:eastAsia="zh-Hans"/>
              </w:rPr>
            </w:pPr>
            <w:r>
              <w:rPr>
                <w:rFonts w:hint="eastAsia" w:ascii="宋体" w:hAnsi="宋体" w:eastAsia="宋体" w:cs="宋体"/>
                <w:color w:val="auto"/>
                <w:sz w:val="21"/>
                <w:szCs w:val="21"/>
                <w:highlight w:val="none"/>
              </w:rPr>
              <w:t>5、支持诊断内容书写智能检查与提示功能</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23</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color w:val="auto"/>
                <w:sz w:val="21"/>
                <w:szCs w:val="21"/>
                <w:highlight w:val="none"/>
                <w:vertAlign w:val="baseline"/>
                <w:lang w:val="en-US" w:eastAsia="zh-Hans"/>
              </w:rPr>
              <w:t>系统接口</w:t>
            </w:r>
          </w:p>
        </w:tc>
        <w:tc>
          <w:tcPr>
            <w:tcW w:w="76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1、平台接口：根据平台接口要求，提供相应数据满足病理信息互联互通，完成医院互联互通评审要求</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2、HIS系统双向接口：从HIS系统中提取病人基本信息或电子申请单信息；将审核过的病理报告或未发报告原因发送到HIS中，供临床查看</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3、PACS系统接口：调阅PACS系统的浏览端，让病理医生能够及时调阅影像检查信息</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4、电子病历系统接口：对接电子病历，从电子病历中调取病人完整数据，同时将PIS中的数据返回至病历</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5、手术麻醉系统接口：对接手术麻醉系统，病理诊断申请可由手术室直接提交，报告可直接返回至手术室</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6、体检系统接口：从体检系统中提取体检人员基本信息；将审核后的体检 病理报告结果发送到体检系统，供体检系统统一打印包 含病理结果的体检报告</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数字病理扫描设备接口：全流程病理信息管理系统支持对接数字切片扫描仪，将数字切片上传系统，便于多学科会诊，数字化归档。同时实现（带标签）玻片的自动识别，自动上传，自动绑定系统对应数据，为病理全科数字化办公及数字切片永久存储提供基础支持；</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bCs/>
                <w:color w:val="auto"/>
                <w:sz w:val="21"/>
                <w:szCs w:val="21"/>
                <w:highlight w:val="none"/>
                <w:vertAlign w:val="baseline"/>
                <w:lang w:val="en-US" w:eastAsia="zh-Hans"/>
              </w:rPr>
            </w:pPr>
            <w:r>
              <w:rPr>
                <w:rFonts w:hint="eastAsia" w:ascii="宋体" w:hAnsi="宋体" w:eastAsia="宋体" w:cs="宋体"/>
                <w:color w:val="auto"/>
                <w:sz w:val="21"/>
                <w:szCs w:val="21"/>
                <w:highlight w:val="none"/>
              </w:rPr>
              <w:t>8、免疫组化设备接口：对接免疫组化制片设备，实现标签自动打印，制片信息获取等，不限制设备品牌</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57" w:type="dxa"/>
            <w:gridSpan w:val="5"/>
            <w:tcBorders>
              <w:top w:val="single" w:color="auto" w:sz="4" w:space="0"/>
              <w:left w:val="single" w:color="auto" w:sz="4" w:space="0"/>
              <w:right w:val="single" w:color="auto"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（二）硬件具体配置及配置要求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序号</w:t>
            </w:r>
          </w:p>
        </w:tc>
        <w:tc>
          <w:tcPr>
            <w:tcW w:w="2887"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i w:val="0"/>
                <w:iCs w:val="0"/>
                <w:color w:val="auto"/>
                <w:kern w:val="0"/>
                <w:sz w:val="21"/>
                <w:szCs w:val="21"/>
                <w:highlight w:val="none"/>
                <w:u w:val="none"/>
                <w:lang w:val="en-US" w:eastAsia="zh-CN" w:bidi="ar"/>
              </w:rPr>
              <w:t>名称</w:t>
            </w:r>
          </w:p>
        </w:tc>
        <w:tc>
          <w:tcPr>
            <w:tcW w:w="765"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b/>
                <w:bCs w:val="0"/>
                <w:color w:val="auto"/>
                <w:sz w:val="21"/>
                <w:szCs w:val="21"/>
                <w:highlight w:val="none"/>
              </w:rPr>
            </w:pPr>
            <w:r>
              <w:rPr>
                <w:rFonts w:hint="eastAsia" w:ascii="宋体" w:hAnsi="宋体" w:eastAsia="宋体" w:cs="宋体"/>
                <w:b/>
                <w:bCs w:val="0"/>
                <w:i w:val="0"/>
                <w:iCs w:val="0"/>
                <w:color w:val="auto"/>
                <w:kern w:val="0"/>
                <w:sz w:val="21"/>
                <w:szCs w:val="21"/>
                <w:highlight w:val="none"/>
                <w:u w:val="none"/>
                <w:lang w:val="en-US" w:eastAsia="zh-CN" w:bidi="ar"/>
              </w:rPr>
              <w:t>数量</w:t>
            </w:r>
            <w:r>
              <w:rPr>
                <w:rFonts w:hint="eastAsia" w:ascii="宋体" w:hAnsi="宋体" w:cs="宋体"/>
                <w:b/>
                <w:bCs w:val="0"/>
                <w:i w:val="0"/>
                <w:iCs w:val="0"/>
                <w:color w:val="auto"/>
                <w:kern w:val="0"/>
                <w:sz w:val="21"/>
                <w:szCs w:val="21"/>
                <w:highlight w:val="none"/>
                <w:u w:val="none"/>
                <w:lang w:val="en-US" w:eastAsia="zh-CN" w:bidi="ar"/>
              </w:rPr>
              <w:t>（≥）</w:t>
            </w:r>
          </w:p>
        </w:tc>
        <w:tc>
          <w:tcPr>
            <w:tcW w:w="5862"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lang w:val="en-US" w:eastAsia="zh-CN"/>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2887"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高拍仪</w:t>
            </w:r>
          </w:p>
        </w:tc>
        <w:tc>
          <w:tcPr>
            <w:tcW w:w="765"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2个</w:t>
            </w:r>
          </w:p>
        </w:tc>
        <w:tc>
          <w:tcPr>
            <w:tcW w:w="5862"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扫描速度≥1S/张</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支持双面扫描</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2887"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大体取材摄像</w:t>
            </w:r>
          </w:p>
        </w:tc>
        <w:tc>
          <w:tcPr>
            <w:tcW w:w="765"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3个</w:t>
            </w:r>
          </w:p>
        </w:tc>
        <w:tc>
          <w:tcPr>
            <w:tcW w:w="5862"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成像像素≥2000w，传感器尺寸≥4.8mm*3.6mm，分辨率≥4160*3120</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图像处理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曝光时间（手动/自动）、白平衡（手动、自动）、放大缩小、亮度、增益、对比度、饱和度、清晰度、伽马值</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支持自动变焦</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c>
          <w:tcPr>
            <w:tcW w:w="2887"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语音输入麦克风</w:t>
            </w:r>
          </w:p>
        </w:tc>
        <w:tc>
          <w:tcPr>
            <w:tcW w:w="765"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3个</w:t>
            </w:r>
          </w:p>
        </w:tc>
        <w:tc>
          <w:tcPr>
            <w:tcW w:w="5862"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both"/>
              <w:textAlignment w:val="center"/>
              <w:rPr>
                <w:rFonts w:hint="eastAsia"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color w:val="auto"/>
                <w:kern w:val="0"/>
                <w:sz w:val="21"/>
                <w:szCs w:val="21"/>
                <w:highlight w:val="none"/>
                <w:vertAlign w:val="baseline"/>
                <w:lang w:val="en-US" w:eastAsia="zh-CN" w:bidi="ar-SA"/>
              </w:rPr>
              <w:t>1、拾音装置：电容咪头，</w:t>
            </w:r>
            <w:r>
              <w:rPr>
                <w:rFonts w:hint="eastAsia" w:ascii="宋体" w:hAnsi="宋体" w:cs="宋体"/>
                <w:color w:val="auto"/>
                <w:kern w:val="0"/>
                <w:sz w:val="21"/>
                <w:szCs w:val="21"/>
                <w:highlight w:val="none"/>
                <w:vertAlign w:val="baseline"/>
                <w:lang w:val="en-US" w:eastAsia="zh-CN" w:bidi="ar-SA"/>
              </w:rPr>
              <w:t>支持</w:t>
            </w:r>
            <w:r>
              <w:rPr>
                <w:rFonts w:hint="eastAsia" w:ascii="宋体" w:hAnsi="宋体" w:eastAsia="宋体" w:cs="宋体"/>
                <w:color w:val="auto"/>
                <w:kern w:val="0"/>
                <w:sz w:val="21"/>
                <w:szCs w:val="21"/>
                <w:highlight w:val="none"/>
                <w:vertAlign w:val="baseline"/>
                <w:lang w:val="en-US" w:eastAsia="zh-CN" w:bidi="ar-SA"/>
              </w:rPr>
              <w:t>360度全向拾音；</w:t>
            </w:r>
          </w:p>
          <w:p>
            <w:pPr>
              <w:pStyle w:val="14"/>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vertAlign w:val="baseline"/>
                <w:lang w:val="en-US" w:eastAsia="zh-CN" w:bidi="ar-SA"/>
              </w:rPr>
              <w:t>2、</w:t>
            </w:r>
            <w:r>
              <w:rPr>
                <w:rFonts w:hint="eastAsia" w:ascii="宋体" w:hAnsi="宋体" w:eastAsia="宋体" w:cs="宋体"/>
                <w:color w:val="auto"/>
                <w:kern w:val="0"/>
                <w:sz w:val="21"/>
                <w:szCs w:val="21"/>
                <w:highlight w:val="none"/>
                <w:vertAlign w:val="baseline"/>
                <w:lang w:val="en-US" w:eastAsia="zh-Hans" w:bidi="ar-SA"/>
              </w:rPr>
              <w:t>平均响应时间≤800ms</w:t>
            </w:r>
            <w:r>
              <w:rPr>
                <w:rFonts w:hint="eastAsia" w:ascii="宋体" w:hAnsi="宋体" w:eastAsia="宋体" w:cs="宋体"/>
                <w:color w:val="auto"/>
                <w:kern w:val="0"/>
                <w:sz w:val="21"/>
                <w:szCs w:val="21"/>
                <w:highlight w:val="none"/>
                <w:vertAlign w:val="baseline"/>
                <w:lang w:val="en-US" w:eastAsia="zh-CN" w:bidi="ar-SA"/>
              </w:rPr>
              <w:t>；</w:t>
            </w:r>
            <w:r>
              <w:rPr>
                <w:rFonts w:hint="eastAsia" w:ascii="宋体" w:hAnsi="宋体" w:eastAsia="宋体" w:cs="宋体"/>
                <w:color w:val="auto"/>
                <w:kern w:val="0"/>
                <w:sz w:val="21"/>
                <w:szCs w:val="21"/>
                <w:highlight w:val="none"/>
                <w:vertAlign w:val="baseline"/>
                <w:lang w:val="en-US" w:eastAsia="zh-Hans" w:bidi="ar-SA"/>
              </w:rPr>
              <w:t>灵敏度：-58±2dB</w:t>
            </w:r>
            <w:r>
              <w:rPr>
                <w:rFonts w:hint="eastAsia" w:ascii="宋体" w:hAnsi="宋体" w:eastAsia="宋体" w:cs="宋体"/>
                <w:color w:val="auto"/>
                <w:kern w:val="0"/>
                <w:sz w:val="21"/>
                <w:szCs w:val="21"/>
                <w:highlight w:val="none"/>
                <w:vertAlign w:val="baseline"/>
                <w:lang w:val="en-US" w:eastAsia="zh-CN" w:bidi="ar-SA"/>
              </w:rPr>
              <w:t>；</w:t>
            </w:r>
            <w:r>
              <w:rPr>
                <w:rFonts w:hint="eastAsia" w:ascii="宋体" w:hAnsi="宋体" w:eastAsia="宋体" w:cs="宋体"/>
                <w:color w:val="auto"/>
                <w:kern w:val="0"/>
                <w:sz w:val="21"/>
                <w:szCs w:val="21"/>
                <w:highlight w:val="none"/>
                <w:vertAlign w:val="baseline"/>
                <w:lang w:val="en-US" w:eastAsia="zh-Hans" w:bidi="ar-SA"/>
              </w:rPr>
              <w:t>通信方式：自带4G模块</w:t>
            </w:r>
            <w:r>
              <w:rPr>
                <w:rFonts w:hint="eastAsia" w:ascii="宋体" w:hAnsi="宋体" w:eastAsia="宋体" w:cs="宋体"/>
                <w:color w:val="auto"/>
                <w:kern w:val="0"/>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w:t>
            </w:r>
          </w:p>
        </w:tc>
        <w:tc>
          <w:tcPr>
            <w:tcW w:w="2887"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脱水框批量扫码设备</w:t>
            </w:r>
          </w:p>
        </w:tc>
        <w:tc>
          <w:tcPr>
            <w:tcW w:w="765"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1个</w:t>
            </w:r>
          </w:p>
        </w:tc>
        <w:tc>
          <w:tcPr>
            <w:tcW w:w="5862"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单次扫描包埋盒数量≥150个</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读取成功率：支持6色包埋盒，扫码成功率≥99%</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对焦系统：支持不小于3个预校准位置的手动调节，45mm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70mm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125mm</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2887"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包埋盒专用扫码枪</w:t>
            </w:r>
          </w:p>
        </w:tc>
        <w:tc>
          <w:tcPr>
            <w:tcW w:w="765"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16个</w:t>
            </w:r>
          </w:p>
        </w:tc>
        <w:tc>
          <w:tcPr>
            <w:tcW w:w="5862"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color w:val="auto"/>
                <w:kern w:val="0"/>
                <w:sz w:val="21"/>
                <w:szCs w:val="21"/>
                <w:highlight w:val="none"/>
                <w:vertAlign w:val="baseline"/>
                <w:lang w:val="en-US" w:eastAsia="zh-CN" w:bidi="ar-SA"/>
              </w:rPr>
              <w:t>1、包埋盒读取范围(最小-最大）：≥25-220mm；帧率：≥36fps；主板内存：≥128MB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2887"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三防平板（带支架）</w:t>
            </w:r>
          </w:p>
        </w:tc>
        <w:tc>
          <w:tcPr>
            <w:tcW w:w="765"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16台</w:t>
            </w:r>
          </w:p>
        </w:tc>
        <w:tc>
          <w:tcPr>
            <w:tcW w:w="5862"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color w:val="auto"/>
                <w:kern w:val="0"/>
                <w:sz w:val="21"/>
                <w:szCs w:val="21"/>
                <w:highlight w:val="none"/>
                <w:vertAlign w:val="baseline"/>
                <w:lang w:val="en-US" w:eastAsia="zh-CN" w:bidi="ar-SA"/>
              </w:rPr>
              <w:t>三防特性：防水防尘防化学物质；意外保护：支持0.8-1m跌落正常工作，环境温度适应-10℃至50℃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w:t>
            </w:r>
          </w:p>
        </w:tc>
        <w:tc>
          <w:tcPr>
            <w:tcW w:w="2887"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包埋盒批量归档设备</w:t>
            </w:r>
          </w:p>
        </w:tc>
        <w:tc>
          <w:tcPr>
            <w:tcW w:w="765"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1台</w:t>
            </w:r>
          </w:p>
        </w:tc>
        <w:tc>
          <w:tcPr>
            <w:tcW w:w="5862"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单次扫描包埋盒数量≥150个</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读取成功率：支持6色包埋盒，扫码成功率≥99%</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对焦系统：支持不小于3个预校准位置的手动调节</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3"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w:t>
            </w:r>
          </w:p>
        </w:tc>
        <w:tc>
          <w:tcPr>
            <w:tcW w:w="2887"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条码扫码枪</w:t>
            </w:r>
          </w:p>
        </w:tc>
        <w:tc>
          <w:tcPr>
            <w:tcW w:w="765"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49个</w:t>
            </w:r>
          </w:p>
        </w:tc>
        <w:tc>
          <w:tcPr>
            <w:tcW w:w="5862"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color w:val="auto"/>
                <w:kern w:val="0"/>
                <w:sz w:val="21"/>
                <w:szCs w:val="21"/>
                <w:highlight w:val="none"/>
                <w:vertAlign w:val="baseline"/>
                <w:lang w:val="en-US" w:eastAsia="zh-CN" w:bidi="ar-SA"/>
              </w:rPr>
              <w:t>提示方式：蜂鸣器；LED指示灯；光源照明：白色LED，5000K；瞄准：绿色LED，波长</w:t>
            </w:r>
            <w:r>
              <w:rPr>
                <w:rFonts w:hint="eastAsia" w:ascii="宋体" w:hAnsi="宋体" w:cs="宋体"/>
                <w:color w:val="auto"/>
                <w:kern w:val="0"/>
                <w:sz w:val="21"/>
                <w:szCs w:val="21"/>
                <w:highlight w:val="none"/>
                <w:vertAlign w:val="baseline"/>
                <w:lang w:val="en-US" w:eastAsia="zh-CN" w:bidi="ar-SA"/>
              </w:rPr>
              <w:t>≥</w:t>
            </w:r>
            <w:r>
              <w:rPr>
                <w:rFonts w:hint="eastAsia" w:ascii="宋体" w:hAnsi="宋体" w:eastAsia="宋体" w:cs="宋体"/>
                <w:color w:val="auto"/>
                <w:kern w:val="0"/>
                <w:sz w:val="21"/>
                <w:szCs w:val="21"/>
                <w:highlight w:val="none"/>
                <w:vertAlign w:val="baseline"/>
                <w:lang w:val="en-US" w:eastAsia="zh-CN" w:bidi="ar-SA"/>
              </w:rPr>
              <w:t>525nm。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57" w:type="dxa"/>
            <w:gridSpan w:val="5"/>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0" w:type="dxa"/>
            <w:gridSpan w:val="3"/>
            <w:tcBorders>
              <w:top w:val="single" w:color="auto" w:sz="4" w:space="0"/>
              <w:left w:val="single" w:color="auto" w:sz="4" w:space="0"/>
              <w:right w:val="single" w:color="auto" w:sz="4" w:space="0"/>
            </w:tcBorders>
            <w:noWrap w:val="0"/>
            <w:vAlign w:val="center"/>
          </w:tcPr>
          <w:p>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▲竞标报价要求</w:t>
            </w:r>
          </w:p>
        </w:tc>
        <w:tc>
          <w:tcPr>
            <w:tcW w:w="6627" w:type="dxa"/>
            <w:gridSpan w:val="2"/>
            <w:tcBorders>
              <w:top w:val="single" w:color="auto" w:sz="4" w:space="0"/>
              <w:left w:val="single" w:color="auto" w:sz="4" w:space="0"/>
              <w:right w:val="single" w:color="auto" w:sz="4" w:space="0"/>
            </w:tcBorders>
            <w:noWrap w:val="0"/>
            <w:vAlign w:val="center"/>
          </w:tcPr>
          <w:p>
            <w:pPr>
              <w:keepNext w:val="0"/>
              <w:keepLines w:val="0"/>
              <w:pageBreakBefore w:val="0"/>
              <w:tabs>
                <w:tab w:val="left" w:pos="180"/>
                <w:tab w:val="left" w:pos="162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次报价须为人民币报价，包含服务、备品备件、标准附件、专用工具、人员薪酬、交通费、安装、调试、技术支持、检测检验、必要的保费、各项税费、代理服务费及本文件未列明而竞标人认为必需的费用等各项费用的总和。对于本文件中明确列明必须报价的货物或服务，竞标人应分别报价。对于本文件中未列明，而竞标人认为必需的费用也需列入总报价。在合同实施时，采购人将不予支付成交供应商没有列入的项目费用，并认为此项目的费用已包括在</w:t>
            </w:r>
            <w:r>
              <w:rPr>
                <w:rFonts w:hint="eastAsia" w:ascii="宋体" w:hAnsi="宋体" w:eastAsia="宋体" w:cs="宋体"/>
                <w:color w:val="auto"/>
                <w:sz w:val="21"/>
                <w:szCs w:val="21"/>
                <w:highlight w:val="none"/>
                <w:lang w:eastAsia="zh-CN"/>
              </w:rPr>
              <w:t>竞</w:t>
            </w:r>
            <w:r>
              <w:rPr>
                <w:rFonts w:hint="eastAsia" w:ascii="宋体" w:hAnsi="宋体" w:eastAsia="宋体" w:cs="宋体"/>
                <w:color w:val="auto"/>
                <w:sz w:val="21"/>
                <w:szCs w:val="21"/>
                <w:highlight w:val="none"/>
              </w:rPr>
              <w:t>标总报价中。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0" w:type="dxa"/>
            <w:gridSpan w:val="3"/>
            <w:tcBorders>
              <w:top w:val="single" w:color="auto" w:sz="4" w:space="0"/>
              <w:left w:val="single" w:color="auto" w:sz="4" w:space="0"/>
              <w:right w:val="single" w:color="auto" w:sz="4" w:space="0"/>
            </w:tcBorders>
            <w:noWrap w:val="0"/>
            <w:vAlign w:val="center"/>
          </w:tcPr>
          <w:p>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▲时间和地点</w:t>
            </w:r>
          </w:p>
        </w:tc>
        <w:tc>
          <w:tcPr>
            <w:tcW w:w="6627" w:type="dxa"/>
            <w:gridSpan w:val="2"/>
            <w:tcBorders>
              <w:top w:val="single" w:color="auto" w:sz="4" w:space="0"/>
              <w:left w:val="single" w:color="auto" w:sz="4" w:space="0"/>
              <w:right w:val="single" w:color="auto" w:sz="4" w:space="0"/>
            </w:tcBorders>
            <w:noWrap w:val="0"/>
            <w:vAlign w:val="center"/>
          </w:tcPr>
          <w:p>
            <w:pPr>
              <w:keepNext w:val="0"/>
              <w:keepLines w:val="0"/>
              <w:pageBreakBefore w:val="0"/>
              <w:tabs>
                <w:tab w:val="left" w:pos="180"/>
                <w:tab w:val="left" w:pos="162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交货时间：供应商自签订合同之日起</w:t>
            </w:r>
            <w:r>
              <w:rPr>
                <w:rFonts w:hint="eastAsia" w:ascii="宋体" w:hAnsi="宋体" w:cs="宋体"/>
                <w:color w:val="auto"/>
                <w:sz w:val="21"/>
                <w:szCs w:val="21"/>
                <w:highlight w:val="none"/>
                <w:lang w:val="en-US" w:eastAsia="zh-CN"/>
              </w:rPr>
              <w:t>120日内</w:t>
            </w:r>
            <w:r>
              <w:rPr>
                <w:rFonts w:hint="eastAsia" w:ascii="宋体" w:hAnsi="宋体" w:eastAsia="宋体" w:cs="宋体"/>
                <w:color w:val="auto"/>
                <w:sz w:val="21"/>
                <w:szCs w:val="21"/>
                <w:highlight w:val="none"/>
                <w:lang w:eastAsia="zh-CN"/>
              </w:rPr>
              <w:t>交货</w:t>
            </w:r>
            <w:r>
              <w:rPr>
                <w:rFonts w:hint="eastAsia" w:ascii="宋体" w:hAnsi="宋体" w:eastAsia="宋体" w:cs="宋体"/>
                <w:color w:val="auto"/>
                <w:sz w:val="21"/>
                <w:szCs w:val="21"/>
                <w:highlight w:val="none"/>
                <w:lang w:eastAsia="zh-CN"/>
              </w:rPr>
              <w:t>，并安装调试完毕且通过验收。若为进口、软件服务、大型、复杂或技术性强的设备，可依情况延长至180日历日。供应商应将所提供货物的装箱清单、质量检验证明书、用户手册、原厂保修卡、随机资料、工具和备品、备件等附于货物内交付给采购人，如有缺失应及时补齐，否则视为逾期交货。</w:t>
            </w:r>
          </w:p>
          <w:p>
            <w:pPr>
              <w:keepNext w:val="0"/>
              <w:keepLines w:val="0"/>
              <w:pageBreakBefore w:val="0"/>
              <w:tabs>
                <w:tab w:val="left" w:pos="180"/>
                <w:tab w:val="left" w:pos="162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2、服务地点：广西医科大学第一附属医院（南宁市）。</w:t>
            </w:r>
          </w:p>
          <w:p>
            <w:pPr>
              <w:keepNext w:val="0"/>
              <w:keepLines w:val="0"/>
              <w:pageBreakBefore w:val="0"/>
              <w:tabs>
                <w:tab w:val="left" w:pos="180"/>
                <w:tab w:val="left" w:pos="162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Cs/>
                <w:color w:val="auto"/>
                <w:sz w:val="21"/>
                <w:szCs w:val="21"/>
                <w:highlight w:val="none"/>
              </w:rPr>
              <w:t>合同签订期：自成交通知书发出之日起 25个日历日内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0" w:type="dxa"/>
            <w:gridSpan w:val="3"/>
            <w:tcBorders>
              <w:top w:val="single" w:color="auto" w:sz="4" w:space="0"/>
              <w:left w:val="single" w:color="auto" w:sz="4" w:space="0"/>
              <w:right w:val="single" w:color="auto" w:sz="4" w:space="0"/>
            </w:tcBorders>
            <w:noWrap w:val="0"/>
            <w:vAlign w:val="center"/>
          </w:tcPr>
          <w:p>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6627" w:type="dxa"/>
            <w:gridSpan w:val="2"/>
            <w:tcBorders>
              <w:top w:val="single" w:color="auto" w:sz="4" w:space="0"/>
              <w:left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val="en-US" w:eastAsia="zh-CN"/>
              </w:rPr>
              <w:t>分三期付款：</w:t>
            </w:r>
          </w:p>
          <w:p>
            <w:pPr>
              <w:keepNext w:val="0"/>
              <w:keepLines w:val="0"/>
              <w:pageBreakBefore w:val="0"/>
              <w:numPr>
                <w:ilvl w:val="0"/>
                <w:numId w:val="0"/>
              </w:numPr>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第一期：合同生效后10个工作日内甲方向乙方支付合同款</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0%做为预付款，乙方按照合同要求进场实施；</w:t>
            </w:r>
          </w:p>
          <w:p>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第二期：系统上线、安装调试并验收合格后，凭双方签署验收合格证，乙方开具全额增值税发票给甲方，甲方支付至总合同金额的95%。</w:t>
            </w:r>
          </w:p>
          <w:p>
            <w:pPr>
              <w:widowControl/>
              <w:shd w:val="clear" w:color="auto" w:fill="FFFFFF"/>
              <w:snapToGrid w:val="0"/>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第三期：经采购人验收配套服务符合合同约定，并办理相关确认手续后10个工作日内，采购人支付至总合同金额的100%。</w:t>
            </w:r>
          </w:p>
          <w:p>
            <w:pPr>
              <w:widowControl/>
              <w:shd w:val="clear" w:color="auto" w:fill="FFFFFF"/>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如未按国家要求开具增值税发票，一旦发现中标人提供虚假发票，除须向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补开合法发票外，须赔偿</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发票票面金额一倍的违约金，且</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有权终止合同，</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不得提出异议，因终止合同而产生的一切损失均由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0" w:type="dxa"/>
            <w:gridSpan w:val="3"/>
            <w:tcBorders>
              <w:top w:val="single" w:color="auto" w:sz="4" w:space="0"/>
              <w:left w:val="single" w:color="auto" w:sz="4" w:space="0"/>
              <w:right w:val="single" w:color="auto" w:sz="4" w:space="0"/>
            </w:tcBorders>
            <w:noWrap w:val="0"/>
            <w:vAlign w:val="center"/>
          </w:tcPr>
          <w:p>
            <w:pPr>
              <w:keepNext w:val="0"/>
              <w:keepLines w:val="0"/>
              <w:pageBreakBefore w:val="0"/>
              <w:tabs>
                <w:tab w:val="left" w:pos="180"/>
                <w:tab w:val="left" w:pos="1620"/>
              </w:tabs>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▲包装和运输要求</w:t>
            </w:r>
          </w:p>
        </w:tc>
        <w:tc>
          <w:tcPr>
            <w:tcW w:w="6627" w:type="dxa"/>
            <w:gridSpan w:val="2"/>
            <w:tcBorders>
              <w:top w:val="single" w:color="auto" w:sz="4" w:space="0"/>
              <w:left w:val="single" w:color="auto" w:sz="4" w:space="0"/>
              <w:right w:val="single" w:color="auto" w:sz="4" w:space="0"/>
            </w:tcBorders>
            <w:noWrap w:val="0"/>
            <w:vAlign w:val="center"/>
          </w:tcPr>
          <w:p>
            <w:pPr>
              <w:keepNext w:val="0"/>
              <w:keepLines w:val="0"/>
              <w:pageBreakBefore w:val="0"/>
              <w:tabs>
                <w:tab w:val="left" w:pos="180"/>
                <w:tab w:val="left" w:pos="162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财政部等三部门联合印发商品包装和快递包装政府采购需求标准（试行）》财办库【2020】123号文规定，若竞标产品使用塑料、纸质、木质等包装材料时应满足《商品包装政府采购需求标准（试行）》要求，若竞标产品需要快递包装，快递封装材料应满足《快递包装政府采购需求标准（试行）》要求。</w:t>
            </w:r>
          </w:p>
          <w:p>
            <w:pPr>
              <w:keepNext w:val="0"/>
              <w:keepLines w:val="0"/>
              <w:pageBreakBefore w:val="0"/>
              <w:tabs>
                <w:tab w:val="left" w:pos="180"/>
                <w:tab w:val="left" w:pos="162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2、运输要求详见采购文件合同主要条款格式部分。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0" w:type="dxa"/>
            <w:gridSpan w:val="3"/>
            <w:tcBorders>
              <w:top w:val="single" w:color="auto" w:sz="4" w:space="0"/>
              <w:left w:val="single" w:color="auto" w:sz="4" w:space="0"/>
              <w:right w:val="single" w:color="auto" w:sz="4" w:space="0"/>
            </w:tcBorders>
            <w:noWrap w:val="0"/>
            <w:vAlign w:val="center"/>
          </w:tcPr>
          <w:p>
            <w:pPr>
              <w:keepNext w:val="0"/>
              <w:keepLines w:val="0"/>
              <w:pageBreakBefore w:val="0"/>
              <w:tabs>
                <w:tab w:val="left" w:pos="180"/>
                <w:tab w:val="left" w:pos="162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▲验收标准、规范</w:t>
            </w:r>
          </w:p>
        </w:tc>
        <w:tc>
          <w:tcPr>
            <w:tcW w:w="6627" w:type="dxa"/>
            <w:gridSpan w:val="2"/>
            <w:tcBorders>
              <w:top w:val="single" w:color="auto" w:sz="4" w:space="0"/>
              <w:left w:val="single" w:color="auto" w:sz="4" w:space="0"/>
              <w:right w:val="single" w:color="auto" w:sz="4" w:space="0"/>
            </w:tcBorders>
            <w:noWrap w:val="0"/>
            <w:vAlign w:val="center"/>
          </w:tcPr>
          <w:p>
            <w:pPr>
              <w:keepNext w:val="0"/>
              <w:keepLines w:val="0"/>
              <w:pageBreakBefore w:val="0"/>
              <w:tabs>
                <w:tab w:val="left" w:pos="180"/>
                <w:tab w:val="left" w:pos="162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成交供应商需承担项目验收时发生的一切费用。</w:t>
            </w:r>
          </w:p>
          <w:p>
            <w:pPr>
              <w:keepNext w:val="0"/>
              <w:keepLines w:val="0"/>
              <w:pageBreakBefore w:val="0"/>
              <w:tabs>
                <w:tab w:val="left" w:pos="180"/>
                <w:tab w:val="left" w:pos="162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验收工作由采购人组织，其他技术服务的验收按照本</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文件、成交供应商的全保修方案、厂家标准及相应的质量标准要求执行。</w:t>
            </w:r>
          </w:p>
          <w:p>
            <w:pPr>
              <w:keepNext w:val="0"/>
              <w:keepLines w:val="0"/>
              <w:pageBreakBefore w:val="0"/>
              <w:tabs>
                <w:tab w:val="left" w:pos="180"/>
                <w:tab w:val="left" w:pos="162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验收不通过的，根据采购人意见进行整改，直到验收通过为止，期间产生相关费用由成交供应商承担。</w:t>
            </w:r>
          </w:p>
          <w:p>
            <w:pPr>
              <w:keepNext w:val="0"/>
              <w:keepLines w:val="0"/>
              <w:pageBreakBefore w:val="0"/>
              <w:tabs>
                <w:tab w:val="left" w:pos="180"/>
                <w:tab w:val="left" w:pos="162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验收标准</w:t>
            </w:r>
          </w:p>
          <w:p>
            <w:pPr>
              <w:keepNext w:val="0"/>
              <w:keepLines w:val="0"/>
              <w:pageBreakBefore w:val="0"/>
              <w:tabs>
                <w:tab w:val="left" w:pos="180"/>
                <w:tab w:val="left" w:pos="162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1）项目采购文件及成交供应商</w:t>
            </w:r>
            <w:r>
              <w:rPr>
                <w:rFonts w:hint="eastAsia" w:ascii="宋体" w:hAnsi="宋体" w:eastAsia="宋体" w:cs="宋体"/>
                <w:color w:val="auto"/>
                <w:sz w:val="21"/>
                <w:szCs w:val="21"/>
                <w:highlight w:val="none"/>
                <w:lang w:eastAsia="zh-CN"/>
              </w:rPr>
              <w:t>竞</w:t>
            </w:r>
            <w:r>
              <w:rPr>
                <w:rFonts w:hint="eastAsia" w:ascii="宋体" w:hAnsi="宋体" w:eastAsia="宋体" w:cs="宋体"/>
                <w:color w:val="auto"/>
                <w:sz w:val="21"/>
                <w:szCs w:val="21"/>
                <w:highlight w:val="none"/>
              </w:rPr>
              <w:t>标文件中的“技术要求偏离表”，逐条验收。</w:t>
            </w:r>
          </w:p>
          <w:p>
            <w:pPr>
              <w:keepNext w:val="0"/>
              <w:keepLines w:val="0"/>
              <w:pageBreakBefore w:val="0"/>
              <w:tabs>
                <w:tab w:val="left" w:pos="180"/>
                <w:tab w:val="left" w:pos="162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2）项目采购文件及成交供应商</w:t>
            </w:r>
            <w:r>
              <w:rPr>
                <w:rFonts w:hint="eastAsia" w:ascii="宋体" w:hAnsi="宋体" w:eastAsia="宋体" w:cs="宋体"/>
                <w:color w:val="auto"/>
                <w:sz w:val="21"/>
                <w:szCs w:val="21"/>
                <w:highlight w:val="none"/>
                <w:lang w:eastAsia="zh-CN"/>
              </w:rPr>
              <w:t>竞</w:t>
            </w:r>
            <w:r>
              <w:rPr>
                <w:rFonts w:hint="eastAsia" w:ascii="宋体" w:hAnsi="宋体" w:eastAsia="宋体" w:cs="宋体"/>
                <w:color w:val="auto"/>
                <w:sz w:val="21"/>
                <w:szCs w:val="21"/>
                <w:highlight w:val="none"/>
              </w:rPr>
              <w:t>标文件中的“商务要求偏离表”，逐条验收。</w:t>
            </w:r>
          </w:p>
          <w:p>
            <w:pPr>
              <w:keepNext w:val="0"/>
              <w:keepLines w:val="0"/>
              <w:pageBreakBefore w:val="0"/>
              <w:tabs>
                <w:tab w:val="left" w:pos="180"/>
                <w:tab w:val="left" w:pos="162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w:t>
            </w:r>
            <w:r>
              <w:rPr>
                <w:rFonts w:hint="eastAsia" w:ascii="宋体" w:hAnsi="宋体" w:eastAsia="宋体" w:cs="宋体"/>
                <w:color w:val="auto"/>
                <w:sz w:val="21"/>
                <w:szCs w:val="21"/>
                <w:highlight w:val="none"/>
                <w:lang w:eastAsia="zh-CN"/>
              </w:rPr>
              <w:t>竞</w:t>
            </w:r>
            <w:r>
              <w:rPr>
                <w:rFonts w:hint="eastAsia" w:ascii="宋体" w:hAnsi="宋体" w:eastAsia="宋体" w:cs="宋体"/>
                <w:color w:val="auto"/>
                <w:sz w:val="21"/>
                <w:szCs w:val="21"/>
                <w:highlight w:val="none"/>
              </w:rPr>
              <w:t>标文件中其他技术、服务、商务性的说明、承诺事项，逐条验收。</w:t>
            </w:r>
          </w:p>
          <w:p>
            <w:pPr>
              <w:keepNext w:val="0"/>
              <w:keepLines w:val="0"/>
              <w:pageBreakBefore w:val="0"/>
              <w:tabs>
                <w:tab w:val="left" w:pos="180"/>
                <w:tab w:val="left" w:pos="162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4）国家相关法律、法规、标准和规范等。</w:t>
            </w:r>
          </w:p>
          <w:p>
            <w:pPr>
              <w:keepNext w:val="0"/>
              <w:keepLines w:val="0"/>
              <w:pageBreakBefore w:val="0"/>
              <w:tabs>
                <w:tab w:val="left" w:pos="180"/>
                <w:tab w:val="left" w:pos="162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5）执行《关于印发广西壮族自治区政府采购项目履约验收管理办法的通知》（桂财采〔2015〕22号），采用文中《广西壮族自治区政府采购项目合同验收书》格式文本等规范。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80"/>
                <w:tab w:val="left" w:pos="162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▲售后服务要求</w:t>
            </w:r>
          </w:p>
        </w:tc>
        <w:tc>
          <w:tcPr>
            <w:tcW w:w="66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tabs>
                <w:tab w:val="left" w:pos="180"/>
                <w:tab w:val="left" w:pos="162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供应商为响应本项目采购需求而提供的配套</w:t>
            </w:r>
            <w:r>
              <w:rPr>
                <w:rFonts w:hint="eastAsia" w:ascii="宋体" w:hAnsi="宋体" w:cs="宋体"/>
                <w:color w:val="auto"/>
                <w:sz w:val="21"/>
                <w:szCs w:val="21"/>
                <w:highlight w:val="none"/>
                <w:lang w:val="en-US" w:eastAsia="zh-CN"/>
              </w:rPr>
              <w:t>软</w:t>
            </w:r>
            <w:r>
              <w:rPr>
                <w:rFonts w:hint="eastAsia" w:ascii="宋体" w:hAnsi="宋体" w:eastAsia="宋体" w:cs="宋体"/>
                <w:color w:val="auto"/>
                <w:sz w:val="21"/>
                <w:szCs w:val="21"/>
                <w:highlight w:val="none"/>
              </w:rPr>
              <w:t>硬件：按国家有关产品“三包”规定执行“三包”，</w:t>
            </w:r>
            <w:r>
              <w:rPr>
                <w:rFonts w:hint="eastAsia" w:ascii="宋体" w:hAnsi="宋体" w:eastAsia="宋体" w:cs="宋体"/>
                <w:color w:val="auto"/>
                <w:sz w:val="21"/>
                <w:szCs w:val="21"/>
                <w:highlight w:val="none"/>
              </w:rPr>
              <w:t>所有配套</w:t>
            </w:r>
            <w:r>
              <w:rPr>
                <w:rFonts w:hint="eastAsia" w:ascii="宋体" w:hAnsi="宋体" w:cs="宋体"/>
                <w:color w:val="auto"/>
                <w:sz w:val="21"/>
                <w:szCs w:val="21"/>
                <w:highlight w:val="none"/>
                <w:lang w:val="en-US" w:eastAsia="zh-CN"/>
              </w:rPr>
              <w:t>软</w:t>
            </w:r>
            <w:r>
              <w:rPr>
                <w:rFonts w:hint="eastAsia" w:ascii="宋体" w:hAnsi="宋体" w:eastAsia="宋体" w:cs="宋体"/>
                <w:color w:val="auto"/>
                <w:sz w:val="21"/>
                <w:szCs w:val="21"/>
                <w:highlight w:val="none"/>
              </w:rPr>
              <w:t>硬件</w:t>
            </w:r>
            <w:r>
              <w:rPr>
                <w:rFonts w:hint="eastAsia" w:ascii="宋体" w:hAnsi="宋体" w:cs="宋体"/>
                <w:color w:val="auto"/>
                <w:sz w:val="21"/>
                <w:szCs w:val="21"/>
                <w:highlight w:val="none"/>
                <w:lang w:eastAsia="zh-CN"/>
              </w:rPr>
              <w:t>维护保养</w:t>
            </w:r>
            <w:r>
              <w:rPr>
                <w:rFonts w:hint="eastAsia" w:ascii="宋体" w:hAnsi="宋体" w:eastAsia="宋体" w:cs="宋体"/>
                <w:color w:val="auto"/>
                <w:sz w:val="21"/>
                <w:szCs w:val="21"/>
                <w:highlight w:val="none"/>
                <w:lang w:eastAsia="zh-CN"/>
              </w:rPr>
              <w:t>自安装验收合格</w:t>
            </w:r>
            <w:r>
              <w:rPr>
                <w:rFonts w:hint="eastAsia" w:ascii="宋体" w:hAnsi="宋体" w:cs="宋体"/>
                <w:color w:val="auto"/>
                <w:sz w:val="21"/>
                <w:szCs w:val="21"/>
                <w:highlight w:val="none"/>
                <w:lang w:val="en-US" w:eastAsia="zh-CN"/>
              </w:rPr>
              <w:t>之日</w:t>
            </w:r>
            <w:r>
              <w:rPr>
                <w:rFonts w:hint="eastAsia" w:ascii="宋体" w:hAnsi="宋体" w:eastAsia="宋体" w:cs="宋体"/>
                <w:color w:val="auto"/>
                <w:sz w:val="21"/>
                <w:szCs w:val="21"/>
                <w:highlight w:val="none"/>
                <w:lang w:eastAsia="zh-CN"/>
              </w:rPr>
              <w:t>起</w:t>
            </w:r>
            <w:r>
              <w:rPr>
                <w:rFonts w:hint="eastAsia" w:ascii="宋体" w:hAnsi="宋体" w:cs="宋体"/>
                <w:color w:val="auto"/>
                <w:sz w:val="21"/>
                <w:szCs w:val="21"/>
                <w:highlight w:val="none"/>
                <w:lang w:val="en-US" w:eastAsia="zh-CN"/>
              </w:rPr>
              <w:t>计算不少于三年（含三年）</w:t>
            </w:r>
            <w:r>
              <w:rPr>
                <w:rFonts w:hint="eastAsia" w:ascii="宋体" w:hAnsi="宋体" w:eastAsia="宋体" w:cs="宋体"/>
                <w:color w:val="auto"/>
                <w:sz w:val="21"/>
                <w:szCs w:val="21"/>
                <w:highlight w:val="none"/>
              </w:rPr>
              <w:t>。</w:t>
            </w:r>
          </w:p>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b w:val="0"/>
                <w:bCs/>
                <w:color w:val="auto"/>
                <w:kern w:val="0"/>
                <w:sz w:val="21"/>
                <w:szCs w:val="21"/>
                <w:highlight w:val="none"/>
                <w:lang w:eastAsia="zh-CN"/>
              </w:rPr>
              <w:t>保证维修响应时间＜2小时，24小时内上门维修，</w:t>
            </w:r>
            <w:r>
              <w:rPr>
                <w:rFonts w:hint="eastAsia" w:ascii="宋体" w:hAnsi="宋体" w:eastAsia="宋体" w:cs="宋体"/>
                <w:b w:val="0"/>
                <w:bCs/>
                <w:color w:val="auto"/>
                <w:kern w:val="0"/>
                <w:sz w:val="21"/>
                <w:szCs w:val="21"/>
                <w:highlight w:val="none"/>
                <w:lang w:eastAsia="zh-CN"/>
              </w:rPr>
              <w:t>提供7</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lang w:eastAsia="zh-CN"/>
              </w:rPr>
              <w:t>24小时线上技术支持</w:t>
            </w:r>
            <w:r>
              <w:rPr>
                <w:rFonts w:hint="eastAsia" w:hAnsi="宋体" w:cs="宋体"/>
                <w:b w:val="0"/>
                <w:bCs/>
                <w:color w:val="auto"/>
                <w:kern w:val="0"/>
                <w:sz w:val="21"/>
                <w:szCs w:val="21"/>
                <w:highlight w:val="none"/>
                <w:lang w:eastAsia="zh-CN"/>
              </w:rPr>
              <w:t>，</w:t>
            </w:r>
            <w:r>
              <w:rPr>
                <w:rFonts w:hint="eastAsia" w:ascii="宋体" w:hAnsi="宋体" w:cs="宋体"/>
                <w:color w:val="auto"/>
                <w:sz w:val="21"/>
                <w:szCs w:val="21"/>
                <w:highlight w:val="none"/>
                <w:lang w:val="en-US" w:eastAsia="zh-CN"/>
              </w:rPr>
              <w:t>2个工作日解决问题</w:t>
            </w:r>
            <w:r>
              <w:rPr>
                <w:rFonts w:hint="eastAsia" w:ascii="宋体" w:hAnsi="宋体" w:eastAsia="宋体" w:cs="宋体"/>
                <w:color w:val="auto"/>
                <w:sz w:val="21"/>
                <w:szCs w:val="21"/>
                <w:highlight w:val="none"/>
                <w:lang w:val="en-US" w:eastAsia="zh-CN"/>
              </w:rPr>
              <w:t>，对于未能解决的问题和故障提供可行的升级方案</w:t>
            </w:r>
            <w:r>
              <w:rPr>
                <w:rFonts w:hint="eastAsia" w:ascii="宋体" w:hAnsi="宋体" w:eastAsia="宋体" w:cs="宋体"/>
                <w:color w:val="auto"/>
                <w:sz w:val="21"/>
                <w:szCs w:val="21"/>
                <w:highlight w:val="none"/>
              </w:rPr>
              <w:t>。</w:t>
            </w:r>
          </w:p>
          <w:p>
            <w:pPr>
              <w:keepNext w:val="0"/>
              <w:keepLines w:val="0"/>
              <w:pageBreakBefore w:val="0"/>
              <w:tabs>
                <w:tab w:val="left" w:pos="180"/>
                <w:tab w:val="left" w:pos="162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售后服务技术人员要求：专职人员</w:t>
            </w:r>
          </w:p>
          <w:p>
            <w:pPr>
              <w:keepNext w:val="0"/>
              <w:keepLines w:val="0"/>
              <w:pageBreakBefore w:val="0"/>
              <w:tabs>
                <w:tab w:val="left" w:pos="180"/>
                <w:tab w:val="left" w:pos="162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培训：供应商对其提供产品或服务的使用和操作应尽培训义务。供应商应提供对采购人的基本培训，使采购人使用人员熟练掌握所培训内容，熟练掌握全部功能，培训的相关费用包括在</w:t>
            </w:r>
            <w:r>
              <w:rPr>
                <w:rFonts w:hint="eastAsia" w:ascii="宋体" w:hAnsi="宋体" w:eastAsia="宋体" w:cs="宋体"/>
                <w:color w:val="auto"/>
                <w:sz w:val="21"/>
                <w:szCs w:val="21"/>
                <w:highlight w:val="none"/>
                <w:lang w:eastAsia="zh-CN"/>
              </w:rPr>
              <w:t>竞</w:t>
            </w:r>
            <w:r>
              <w:rPr>
                <w:rFonts w:hint="eastAsia" w:ascii="宋体" w:hAnsi="宋体" w:eastAsia="宋体" w:cs="宋体"/>
                <w:color w:val="auto"/>
                <w:sz w:val="21"/>
                <w:szCs w:val="21"/>
                <w:highlight w:val="none"/>
              </w:rPr>
              <w:t>标报价中，采购人不再另行支付。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0" w:type="dxa"/>
            <w:gridSpan w:val="3"/>
            <w:tcBorders>
              <w:top w:val="single" w:color="auto" w:sz="4" w:space="0"/>
              <w:left w:val="single" w:color="auto" w:sz="4" w:space="0"/>
              <w:right w:val="single" w:color="auto" w:sz="4" w:space="0"/>
            </w:tcBorders>
            <w:noWrap w:val="0"/>
            <w:vAlign w:val="center"/>
          </w:tcPr>
          <w:p>
            <w:pPr>
              <w:keepNext w:val="0"/>
              <w:keepLines w:val="0"/>
              <w:pageBreakBefore w:val="0"/>
              <w:tabs>
                <w:tab w:val="left" w:pos="180"/>
                <w:tab w:val="left" w:pos="162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6627" w:type="dxa"/>
            <w:gridSpan w:val="2"/>
            <w:tcBorders>
              <w:top w:val="single" w:color="auto" w:sz="4" w:space="0"/>
              <w:left w:val="single" w:color="auto" w:sz="4" w:space="0"/>
              <w:right w:val="single" w:color="auto" w:sz="4" w:space="0"/>
            </w:tcBorders>
            <w:noWrap w:val="0"/>
            <w:vAlign w:val="center"/>
          </w:tcPr>
          <w:p>
            <w:pPr>
              <w:keepNext w:val="0"/>
              <w:keepLines w:val="0"/>
              <w:pageBreakBefore w:val="0"/>
              <w:tabs>
                <w:tab w:val="left" w:pos="180"/>
                <w:tab w:val="left" w:pos="162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1、竞标人实施服务所使用的软件、工具等必须为经合法销售渠道获得，若因其侵犯了第三方合法权益而引发任何纠纷或诉讼，均由成交供应商负责交涉并承担全部责任。</w:t>
            </w:r>
          </w:p>
          <w:p>
            <w:pPr>
              <w:keepNext w:val="0"/>
              <w:keepLines w:val="0"/>
              <w:pageBreakBefore w:val="0"/>
              <w:tabs>
                <w:tab w:val="left" w:pos="180"/>
                <w:tab w:val="left" w:pos="162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2、知识产权：</w:t>
            </w:r>
          </w:p>
          <w:p>
            <w:pPr>
              <w:keepNext w:val="0"/>
              <w:keepLines w:val="0"/>
              <w:pageBreakBefore w:val="0"/>
              <w:tabs>
                <w:tab w:val="left" w:pos="180"/>
                <w:tab w:val="left" w:pos="162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（1）未经采购人书面许可，竞标人不得向任何第三方提供上述报告、资料、文件、用户信息等内容及服务成果。即使向履行有关的人员提供，也应注意保密并限于履行合同的必需范围。</w:t>
            </w:r>
          </w:p>
          <w:p>
            <w:pPr>
              <w:keepNext w:val="0"/>
              <w:keepLines w:val="0"/>
              <w:pageBreakBefore w:val="0"/>
              <w:tabs>
                <w:tab w:val="left" w:pos="180"/>
                <w:tab w:val="left" w:pos="162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（2）竞标人应严格遵守相关的知识产权及软件版权保护的法律、法规；任何竞标人用于未经授权的商业目的的复制行为所造成的违约或侵权责任由竞标人承担。</w:t>
            </w:r>
          </w:p>
          <w:p>
            <w:pPr>
              <w:keepNext w:val="0"/>
              <w:keepLines w:val="0"/>
              <w:pageBreakBefore w:val="0"/>
              <w:tabs>
                <w:tab w:val="left" w:pos="180"/>
                <w:tab w:val="left" w:pos="162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3、项目实施过程中的安全生产要求</w:t>
            </w:r>
          </w:p>
          <w:p>
            <w:pPr>
              <w:keepNext w:val="0"/>
              <w:keepLines w:val="0"/>
              <w:pageBreakBefore w:val="0"/>
              <w:tabs>
                <w:tab w:val="left" w:pos="180"/>
                <w:tab w:val="left" w:pos="162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成交供应商应遵守国家关于安全生产有关管理规定，严格按安全标准组织项目实施，并随时接受采购人安全检查人员实施的监督检查，采取必要的安全防护措施，消除事故隐患。由于成交供应商安全措施不力造成事故的责任和因此发生的费用，由成交供应商负责。</w:t>
            </w:r>
          </w:p>
          <w:p>
            <w:pPr>
              <w:keepNext w:val="0"/>
              <w:keepLines w:val="0"/>
              <w:pageBreakBefore w:val="0"/>
              <w:tabs>
                <w:tab w:val="left" w:pos="180"/>
                <w:tab w:val="left" w:pos="162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（2）成交供应商应对己方实施人员进行安全教育，并对他们的安全负责。</w:t>
            </w:r>
          </w:p>
          <w:p>
            <w:pPr>
              <w:keepNext w:val="0"/>
              <w:keepLines w:val="0"/>
              <w:pageBreakBefore w:val="0"/>
              <w:tabs>
                <w:tab w:val="left" w:pos="180"/>
                <w:tab w:val="left" w:pos="162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（3）采购人提供成交供应商实施人员的生产用水、用电、项目实施用临时办公场地等。</w:t>
            </w:r>
          </w:p>
          <w:p>
            <w:pPr>
              <w:keepNext w:val="0"/>
              <w:keepLines w:val="0"/>
              <w:pageBreakBefore w:val="0"/>
              <w:tabs>
                <w:tab w:val="left" w:pos="180"/>
                <w:tab w:val="left" w:pos="162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4、开放接口供其他系统同步数据，及与其他系统接口个性化开发。费用应包含在报价中。</w:t>
            </w:r>
          </w:p>
        </w:tc>
      </w:tr>
    </w:tbl>
    <w:p>
      <w:pPr>
        <w:rPr>
          <w:rFonts w:hint="eastAsia"/>
          <w:color w:val="auto"/>
          <w:highlight w:val="none"/>
        </w:rPr>
      </w:pPr>
      <w:r>
        <w:rPr>
          <w:rFonts w:hint="eastAsia"/>
          <w:color w:val="auto"/>
          <w:highlight w:val="none"/>
        </w:rPr>
        <w:br w:type="page"/>
      </w:r>
    </w:p>
    <w:p>
      <w:pPr>
        <w:pStyle w:val="2"/>
        <w:spacing w:before="0" w:after="0" w:line="240" w:lineRule="auto"/>
        <w:jc w:val="center"/>
        <w:rPr>
          <w:rFonts w:hint="eastAsia"/>
          <w:color w:val="auto"/>
          <w:highlight w:val="none"/>
        </w:rPr>
      </w:pPr>
      <w:r>
        <w:rPr>
          <w:rFonts w:hint="eastAsia"/>
          <w:color w:val="auto"/>
          <w:highlight w:val="none"/>
        </w:rPr>
        <w:t>第四章  评审程序、评审方法和评审标准</w:t>
      </w:r>
      <w:bookmarkEnd w:id="34"/>
    </w:p>
    <w:p>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一、评审程序和评审方法</w:t>
      </w:r>
    </w:p>
    <w:p>
      <w:pPr>
        <w:spacing w:line="360" w:lineRule="auto"/>
        <w:ind w:firstLine="482" w:firstLineChars="200"/>
        <w:rPr>
          <w:rFonts w:hint="eastAsia" w:ascii="黑体" w:hAnsi="黑体" w:eastAsia="黑体" w:cs="宋体"/>
          <w:b/>
          <w:bCs/>
          <w:color w:val="auto"/>
          <w:sz w:val="24"/>
          <w:highlight w:val="none"/>
        </w:rPr>
      </w:pPr>
    </w:p>
    <w:p>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（1）查询渠道：</w:t>
      </w:r>
      <w:r>
        <w:rPr>
          <w:rFonts w:ascii="宋体" w:hAnsi="宋体" w:cs="宋体"/>
          <w:color w:val="auto"/>
          <w:szCs w:val="21"/>
          <w:highlight w:val="none"/>
        </w:rPr>
        <w:t>“信用中国”网站（www.creditchina.gov.cn）、中国政府采购网（</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"http://www.ccgp.gov.cn" </w:instrText>
      </w:r>
      <w:r>
        <w:rPr>
          <w:rFonts w:ascii="宋体" w:hAnsi="宋体" w:cs="宋体"/>
          <w:color w:val="auto"/>
          <w:szCs w:val="21"/>
          <w:highlight w:val="none"/>
        </w:rPr>
        <w:fldChar w:fldCharType="separate"/>
      </w:r>
      <w:r>
        <w:rPr>
          <w:rFonts w:cs="宋体"/>
          <w:color w:val="auto"/>
          <w:highlight w:val="none"/>
        </w:rPr>
        <w:t>www.ccgp.gov.cn</w:t>
      </w:r>
      <w:r>
        <w:rPr>
          <w:rFonts w:ascii="宋体" w:hAnsi="宋体" w:cs="宋体"/>
          <w:color w:val="auto"/>
          <w:szCs w:val="21"/>
          <w:highlight w:val="none"/>
        </w:rPr>
        <w:fldChar w:fldCharType="end"/>
      </w:r>
      <w:r>
        <w:rPr>
          <w:rFonts w:ascii="宋体" w:hAnsi="宋体" w:cs="宋体"/>
          <w:color w:val="auto"/>
          <w:szCs w:val="21"/>
          <w:highlight w:val="none"/>
        </w:rPr>
        <w:t>）</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（2）信用查询截止时点：</w:t>
      </w:r>
      <w:r>
        <w:rPr>
          <w:rFonts w:ascii="宋体" w:hAnsi="宋体" w:cs="宋体"/>
          <w:color w:val="auto"/>
          <w:szCs w:val="21"/>
          <w:highlight w:val="none"/>
        </w:rPr>
        <w:t>资格审查结束前</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（3）查询记录和证据留存方式：将查询网站中的查询记录截图并作为评审资料保存。</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（2）响应文件的资格证明文件缺少任一项“供应商须知前附表”资格证明文件规定的“必须提供”的文件资料的；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（3）响应文件中的资格证明文件出现任一项不符合“供应商须知前附表”资格证明文件规定的“必须提供”的文件资料要求或者无效的；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（4）同一合同项下的不同供应商，单位负责人为同一人或者存在直接控股、管理关系的；为本项目提供过整体设计、规范编制或者项目管理、监理、检测等服务的供应商，再参加该采购项目的其他采购活动的。</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pPr>
        <w:spacing w:line="360" w:lineRule="auto"/>
        <w:ind w:firstLine="420" w:firstLineChars="200"/>
        <w:rPr>
          <w:rFonts w:hint="eastAsia" w:ascii="宋体" w:hAnsi="宋体" w:cs="宋体"/>
          <w:color w:val="auto"/>
          <w:szCs w:val="21"/>
          <w:highlight w:val="none"/>
        </w:rPr>
      </w:pPr>
      <w:bookmarkStart w:id="35"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35"/>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w:t>
      </w:r>
      <w:r>
        <w:rPr>
          <w:rFonts w:hint="eastAsia" w:ascii="宋体" w:hAnsi="宋体" w:cs="宋体"/>
          <w:color w:val="auto"/>
          <w:szCs w:val="21"/>
          <w:highlight w:val="none"/>
          <w:lang w:eastAsia="zh-CN"/>
        </w:rPr>
        <w:t>并</w:t>
      </w:r>
      <w:r>
        <w:rPr>
          <w:rFonts w:hint="eastAsia" w:ascii="宋体" w:hAnsi="宋体" w:cs="宋体"/>
          <w:color w:val="auto"/>
          <w:szCs w:val="21"/>
          <w:highlight w:val="none"/>
        </w:rPr>
        <w:t>加盖供应商公章</w:t>
      </w:r>
      <w:r>
        <w:rPr>
          <w:rFonts w:hint="eastAsia" w:ascii="宋体" w:hAnsi="宋体" w:cs="宋体"/>
          <w:color w:val="auto"/>
          <w:spacing w:val="-6"/>
          <w:szCs w:val="21"/>
          <w:highlight w:val="none"/>
        </w:rPr>
        <w:t>。供应商为自然人的，必须由本人签字并附</w:t>
      </w:r>
      <w:r>
        <w:rPr>
          <w:rFonts w:hint="eastAsia" w:ascii="宋体" w:hAnsi="宋体" w:cs="宋体"/>
          <w:color w:val="auto"/>
          <w:spacing w:val="-6"/>
          <w:szCs w:val="21"/>
          <w:highlight w:val="none"/>
          <w:lang w:eastAsia="zh-CN"/>
        </w:rPr>
        <w:t>其</w:t>
      </w:r>
      <w:r>
        <w:rPr>
          <w:rFonts w:hint="eastAsia" w:ascii="宋体" w:hAnsi="宋体" w:cs="宋体"/>
          <w:color w:val="auto"/>
          <w:spacing w:val="-6"/>
          <w:szCs w:val="21"/>
          <w:highlight w:val="none"/>
        </w:rPr>
        <w:t>身份证明。</w:t>
      </w:r>
    </w:p>
    <w:p>
      <w:pPr>
        <w:spacing w:line="360" w:lineRule="auto"/>
        <w:ind w:firstLine="396" w:firstLineChars="200"/>
        <w:rPr>
          <w:rFonts w:hint="eastAsia"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4）响应文件中的报价商务技术文件出现任一项不符合“供应商须知前附表”中“必须提供”或者“委托时必须提供”文件资料要求的规定或者提供的报价商务技术文件无效。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5）商务条款中标“▲”的条款发生负偏离或者允许负偏离的条款数超过“供应商须知前附表”规定项数的；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6）未对竞标有效期作出响应或者响应文件承诺的竞标有效期不满足磋商文件要求；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7）响应文件的实质性内容未使用中文表述、使用计量单位不符合磋商文件要求；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8）响应文件中的文件资料因填写不齐全或者内容虚假或者出现其他情形而导致被磋商小组认定无效；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9）响应文件含有采购人不能接受的附加条件；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1）技术要求中标“▲”的条款发生负偏离或允许负偏离的条款数超过“供应商须知前附表”规定项数的；</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2）虚假竞标，或者出现其他情形而导致被磋商小组认定无效；</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bookmarkStart w:id="36"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36"/>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4）响应文件标注的项目名称或者项目编号与磋商文件标注的项目名称或者项目编号不一致的；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olor w:val="auto"/>
          <w:szCs w:val="21"/>
          <w:highlight w:val="none"/>
        </w:rPr>
        <w:t>竞争性磋商文件明确不允许分包，响应文件拟分包的；</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6）未响应磋商文件实质性要求；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17）法律、法规和磋商文件规定的其他无效情形。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响应文件未提供“供应商须知前附表” 报价商务技术文件中规定的“竞标报价表”；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4）最后报价超过所竞标分标规定的采购预算金额或者最高限价的（如本项目公布了最高限价）；</w:t>
      </w:r>
      <w:bookmarkStart w:id="37" w:name="_Hlk42596405"/>
      <w:r>
        <w:rPr>
          <w:rFonts w:hint="eastAsia" w:ascii="宋体" w:hAnsi="宋体" w:cs="宋体"/>
          <w:color w:val="auto"/>
          <w:szCs w:val="21"/>
          <w:highlight w:val="none"/>
        </w:rPr>
        <w:t xml:space="preserve"> </w:t>
      </w:r>
      <w:bookmarkEnd w:id="37"/>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5）修正后的报价，供应商不确认的；或者经供应商确认修正后的最后报价超过所竞标分标规定的采购预算金额或者最高限价（如本项目公布了最高限价）；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w:t>
      </w:r>
      <w:r>
        <w:rPr>
          <w:rFonts w:hint="eastAsia" w:ascii="宋体" w:hAnsi="宋体" w:cs="宋体"/>
          <w:color w:val="auto"/>
          <w:szCs w:val="21"/>
          <w:highlight w:val="none"/>
          <w:lang w:eastAsia="zh-CN"/>
        </w:rPr>
        <w:t>在</w:t>
      </w:r>
      <w:r>
        <w:rPr>
          <w:rFonts w:hint="eastAsia" w:ascii="宋体" w:hAnsi="宋体" w:cs="宋体"/>
          <w:color w:val="auto"/>
          <w:szCs w:val="21"/>
          <w:highlight w:val="none"/>
        </w:rPr>
        <w:t>规定时间内参加磋商，未在规定时间内参加磋商的视同放弃参加磋商权利，其响应文件按无效响应处理。</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对磋商文件作出的实质性变动是磋商文件的有效组成部分，由磋商小组及时以电子磋商记录形式同时通知所有参加磋商的供应商。</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6</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pPr>
        <w:widowControl/>
        <w:tabs>
          <w:tab w:val="left" w:pos="540"/>
        </w:tabs>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7</w:t>
      </w:r>
      <w:r>
        <w:rPr>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磋商文件能够详细列明采购标的的技术、服务要求的，磋商结束后，由磋商小组要求所有继续参加磋商的供应商在规定时间内以电子文件形式提交最后报价，除本章第3.</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最后报价是供应商响应文件的有效组成部分。符合《政府采购竞争性磋商采购方式管理暂行办法》（财库〔2014〕214号）第三条第四项“市场竞争不充分的科研项目，以及需要扶持的科技成果转化项目”和</w:t>
      </w:r>
      <w:r>
        <w:rPr>
          <w:color w:val="auto"/>
          <w:highlight w:val="none"/>
        </w:rPr>
        <w:t>本章第3.</w:t>
      </w:r>
      <w:r>
        <w:rPr>
          <w:rFonts w:hint="eastAsia"/>
          <w:color w:val="auto"/>
          <w:highlight w:val="none"/>
          <w:lang w:val="en-US" w:eastAsia="zh-CN"/>
        </w:rPr>
        <w:t>7</w:t>
      </w:r>
      <w:r>
        <w:rPr>
          <w:color w:val="auto"/>
          <w:highlight w:val="none"/>
        </w:rPr>
        <w:t>条情形的，</w:t>
      </w:r>
      <w:r>
        <w:rPr>
          <w:rFonts w:hint="eastAsia" w:ascii="宋体" w:hAnsi="宋体" w:cs="宋体"/>
          <w:color w:val="auto"/>
          <w:szCs w:val="21"/>
          <w:highlight w:val="none"/>
        </w:rPr>
        <w:t>提交最后报价的供应商可以为2家。</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磋商小组收齐某一分标最后报价后或达到规定时间后统一开启，磋商小组对最后报价进行有效性、完整性和响应程度的审查。</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响应文件最后报价出现前后不一致的，按照本章第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经供应商确认修正后的最后报价作为评审及签订合同的依据。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9</w:t>
      </w:r>
      <w:r>
        <w:rPr>
          <w:rFonts w:hint="eastAsia" w:ascii="宋体" w:hAnsi="宋体" w:cs="宋体"/>
          <w:color w:val="auto"/>
          <w:szCs w:val="21"/>
          <w:highlight w:val="none"/>
        </w:rPr>
        <w:t>供应商出现最后报价按无效响应处理或者响应文件按无效响应处理时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.10</w:t>
      </w:r>
      <w:r>
        <w:rPr>
          <w:rFonts w:hint="eastAsia" w:ascii="宋体" w:hAnsi="宋体" w:cs="宋体"/>
          <w:color w:val="auto"/>
          <w:szCs w:val="21"/>
          <w:highlight w:val="none"/>
        </w:rPr>
        <w:t>最后报价结束后，磋商小组不得再与供应商进行任何形式的商谈。</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评标价为供应商的最后报价进行政策性扣除后的价格，评标价只是作为评审时使用。最终成交供应商的成交金额等于最后报价（如有修正，以确认修正后的最后报价为准）。</w:t>
      </w:r>
    </w:p>
    <w:p>
      <w:pPr>
        <w:spacing w:line="360" w:lineRule="auto"/>
        <w:ind w:firstLine="420" w:firstLineChars="200"/>
        <w:rPr>
          <w:rFonts w:hint="eastAsia"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ascii="宋体" w:hAnsi="宋体" w:cs="宋体"/>
          <w:color w:val="auto"/>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hint="eastAsia" w:ascii="宋体" w:hAnsi="宋体" w:cs="宋体"/>
          <w:color w:val="auto"/>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rPr>
          <w:rFonts w:ascii="宋体" w:hAnsi="宋体"/>
          <w:b/>
          <w:color w:val="auto"/>
          <w:sz w:val="32"/>
          <w:szCs w:val="32"/>
          <w:highlight w:val="none"/>
        </w:rPr>
      </w:pPr>
      <w:r>
        <w:rPr>
          <w:rFonts w:ascii="宋体" w:hAnsi="宋体"/>
          <w:b/>
          <w:color w:val="auto"/>
          <w:sz w:val="32"/>
          <w:szCs w:val="32"/>
          <w:highlight w:val="none"/>
        </w:rPr>
        <w:br w:type="page"/>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tbl>
      <w:tblPr>
        <w:tblStyle w:val="20"/>
        <w:tblpPr w:leftFromText="180" w:rightFromText="180" w:vertAnchor="text" w:horzAnchor="page" w:tblpX="1301" w:tblpY="919"/>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03"/>
        <w:gridCol w:w="785"/>
        <w:gridCol w:w="1918"/>
        <w:gridCol w:w="5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2" w:type="dxa"/>
            <w:noWrap w:val="0"/>
            <w:vAlign w:val="center"/>
          </w:tcPr>
          <w:p>
            <w:pPr>
              <w:adjustRightInd w:val="0"/>
              <w:spacing w:line="41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003" w:type="dxa"/>
            <w:noWrap w:val="0"/>
            <w:vAlign w:val="center"/>
          </w:tcPr>
          <w:p>
            <w:pPr>
              <w:adjustRightInd w:val="0"/>
              <w:spacing w:line="41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评审因素</w:t>
            </w:r>
          </w:p>
        </w:tc>
        <w:tc>
          <w:tcPr>
            <w:tcW w:w="785" w:type="dxa"/>
            <w:noWrap w:val="0"/>
            <w:vAlign w:val="center"/>
          </w:tcPr>
          <w:p>
            <w:pPr>
              <w:adjustRightInd w:val="0"/>
              <w:spacing w:line="41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7268" w:type="dxa"/>
            <w:gridSpan w:val="2"/>
            <w:noWrap w:val="0"/>
            <w:vAlign w:val="center"/>
          </w:tcPr>
          <w:p>
            <w:pPr>
              <w:adjustRightInd w:val="0"/>
              <w:spacing w:line="41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2" w:type="dxa"/>
            <w:noWrap w:val="0"/>
            <w:vAlign w:val="center"/>
          </w:tcPr>
          <w:p>
            <w:pPr>
              <w:adjustRightInd w:val="0"/>
              <w:spacing w:line="360" w:lineRule="auto"/>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003" w:type="dxa"/>
            <w:noWrap w:val="0"/>
            <w:vAlign w:val="center"/>
          </w:tcPr>
          <w:p>
            <w:pPr>
              <w:adjustRightInd w:val="0"/>
              <w:spacing w:line="360" w:lineRule="auto"/>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w:t>
            </w:r>
          </w:p>
        </w:tc>
        <w:tc>
          <w:tcPr>
            <w:tcW w:w="785" w:type="dxa"/>
            <w:noWrap w:val="0"/>
            <w:vAlign w:val="center"/>
          </w:tcPr>
          <w:p>
            <w:pPr>
              <w:adjustRightInd w:val="0"/>
              <w:spacing w:line="360" w:lineRule="auto"/>
              <w:jc w:val="center"/>
              <w:textAlignment w:val="baseline"/>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lang w:val="en-US" w:eastAsia="zh-CN"/>
              </w:rPr>
              <w:t>0</w:t>
            </w:r>
            <w:r>
              <w:rPr>
                <w:rFonts w:hint="eastAsia" w:ascii="宋体" w:hAnsi="宋体" w:eastAsia="宋体" w:cs="宋体"/>
                <w:b/>
                <w:color w:val="auto"/>
                <w:sz w:val="21"/>
                <w:szCs w:val="21"/>
                <w:highlight w:val="none"/>
              </w:rPr>
              <w:t>分</w:t>
            </w:r>
          </w:p>
        </w:tc>
        <w:tc>
          <w:tcPr>
            <w:tcW w:w="7268" w:type="dxa"/>
            <w:gridSpan w:val="2"/>
            <w:noWrap w:val="0"/>
            <w:vAlign w:val="center"/>
          </w:tcPr>
          <w:p>
            <w:pPr>
              <w:pStyle w:val="13"/>
              <w:spacing w:line="360" w:lineRule="exact"/>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一、政府采购政策扣除</w:t>
            </w:r>
          </w:p>
          <w:p>
            <w:pPr>
              <w:pStyle w:val="13"/>
              <w:spacing w:line="360" w:lineRule="exact"/>
              <w:ind w:firstLine="420" w:firstLineChars="20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根据《政府采购促进中小企业发展管理办法》的规定，供应商属于《政府采购促进中小企业发展管理办法》规定的小微企业的，对竞标报价给予10%（工程项目为5%）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6%（工程项目为2%）的扣除，用扣除后的价格参加评审。符合上述规定对报价给予扣除的，扣除后的价格为评标价，即评标价=最后报价×（1 - 扣除比例）；不符合上述给予扣除情形的，评标价=竞标报价。</w:t>
            </w:r>
          </w:p>
          <w:p>
            <w:pPr>
              <w:pStyle w:val="13"/>
              <w:spacing w:line="360" w:lineRule="exact"/>
              <w:ind w:firstLine="420" w:firstLineChars="20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pStyle w:val="13"/>
              <w:spacing w:line="360" w:lineRule="exact"/>
              <w:ind w:firstLine="420" w:firstLineChars="200"/>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13"/>
              <w:spacing w:line="360" w:lineRule="auto"/>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报价</w:t>
            </w:r>
            <w:r>
              <w:rPr>
                <w:rFonts w:hint="eastAsia" w:ascii="宋体" w:hAnsi="宋体" w:eastAsia="宋体" w:cs="宋体"/>
                <w:b/>
                <w:color w:val="auto"/>
                <w:sz w:val="21"/>
                <w:szCs w:val="21"/>
                <w:highlight w:val="none"/>
                <w:lang w:val="en-US" w:eastAsia="zh-CN"/>
              </w:rPr>
              <w:t>分（满分</w:t>
            </w:r>
            <w:r>
              <w:rPr>
                <w:rFonts w:hint="eastAsia" w:hAnsi="宋体" w:cs="宋体"/>
                <w:b/>
                <w:color w:val="auto"/>
                <w:sz w:val="21"/>
                <w:szCs w:val="21"/>
                <w:highlight w:val="none"/>
                <w:lang w:val="en-US" w:eastAsia="zh-CN"/>
              </w:rPr>
              <w:t>3</w:t>
            </w:r>
            <w:r>
              <w:rPr>
                <w:rFonts w:hint="eastAsia" w:ascii="宋体" w:hAnsi="宋体" w:eastAsia="宋体" w:cs="宋体"/>
                <w:b/>
                <w:color w:val="auto"/>
                <w:sz w:val="21"/>
                <w:szCs w:val="21"/>
                <w:highlight w:val="none"/>
                <w:lang w:val="en-US" w:eastAsia="zh-CN"/>
              </w:rPr>
              <w:t>0分）</w:t>
            </w:r>
          </w:p>
          <w:p>
            <w:pPr>
              <w:pStyle w:val="13"/>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报价分采用低价优先法计算，满足磋商文件要求且评标价最低的有效供应商的评标价为评标基准价，其报价分为满分。</w:t>
            </w:r>
          </w:p>
          <w:p>
            <w:pPr>
              <w:pStyle w:val="13"/>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2、其他供应商的价格分统一按照下列公式计算：</w:t>
            </w:r>
          </w:p>
          <w:p>
            <w:pPr>
              <w:pStyle w:val="13"/>
              <w:spacing w:line="360" w:lineRule="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sz w:val="21"/>
                <w:szCs w:val="21"/>
                <w:highlight w:val="none"/>
                <w:lang w:val="en-US" w:eastAsia="zh-CN"/>
              </w:rPr>
              <w:t>某有效供应商的报价分=（评标基准价／某有效供应商评标价）×</w:t>
            </w:r>
            <w:r>
              <w:rPr>
                <w:rFonts w:hint="eastAsia"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2" w:type="dxa"/>
            <w:noWrap w:val="0"/>
            <w:vAlign w:val="center"/>
          </w:tcPr>
          <w:p>
            <w:pPr>
              <w:adjustRightInd w:val="0"/>
              <w:spacing w:line="360" w:lineRule="auto"/>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1003" w:type="dxa"/>
            <w:noWrap w:val="0"/>
            <w:vAlign w:val="center"/>
          </w:tcPr>
          <w:p>
            <w:pPr>
              <w:adjustRightInd w:val="0"/>
              <w:spacing w:line="360" w:lineRule="auto"/>
              <w:jc w:val="center"/>
              <w:textAlignment w:val="baseline"/>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技术</w:t>
            </w:r>
            <w:r>
              <w:rPr>
                <w:rFonts w:hint="eastAsia" w:ascii="宋体" w:hAnsi="宋体" w:cs="宋体"/>
                <w:b/>
                <w:color w:val="auto"/>
                <w:sz w:val="21"/>
                <w:szCs w:val="21"/>
                <w:highlight w:val="none"/>
                <w:lang w:val="en-US" w:eastAsia="zh-CN"/>
              </w:rPr>
              <w:t>水平评分</w:t>
            </w:r>
          </w:p>
        </w:tc>
        <w:tc>
          <w:tcPr>
            <w:tcW w:w="785" w:type="dxa"/>
            <w:noWrap w:val="0"/>
            <w:vAlign w:val="center"/>
          </w:tcPr>
          <w:p>
            <w:pPr>
              <w:adjustRightInd w:val="0"/>
              <w:spacing w:line="360" w:lineRule="auto"/>
              <w:jc w:val="center"/>
              <w:textAlignment w:val="baseline"/>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22</w:t>
            </w:r>
            <w:r>
              <w:rPr>
                <w:rFonts w:hint="eastAsia" w:ascii="宋体" w:hAnsi="宋体" w:eastAsia="宋体" w:cs="宋体"/>
                <w:b/>
                <w:color w:val="auto"/>
                <w:sz w:val="21"/>
                <w:szCs w:val="21"/>
                <w:highlight w:val="none"/>
              </w:rPr>
              <w:t>分</w:t>
            </w:r>
          </w:p>
        </w:tc>
        <w:tc>
          <w:tcPr>
            <w:tcW w:w="1918" w:type="dxa"/>
            <w:noWrap w:val="0"/>
            <w:vAlign w:val="center"/>
          </w:tcPr>
          <w:p>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技术要求响应情况</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350" w:type="dxa"/>
            <w:noWrap w:val="0"/>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1.评审标准：</w:t>
            </w:r>
          </w:p>
          <w:p>
            <w:pPr>
              <w:keepNext w:val="0"/>
              <w:keepLines w:val="0"/>
              <w:suppressLineNumbers w:val="0"/>
              <w:bidi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应如实填写《服务条款偏离表》，</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根据服务要求响应情况进行打分，</w:t>
            </w:r>
            <w:r>
              <w:rPr>
                <w:rFonts w:hint="eastAsia" w:ascii="宋体" w:hAnsi="宋体" w:cs="宋体"/>
                <w:color w:val="auto"/>
                <w:sz w:val="21"/>
                <w:szCs w:val="21"/>
                <w:highlight w:val="none"/>
                <w:lang w:val="en-US" w:eastAsia="zh-CN"/>
              </w:rPr>
              <w:t>全部</w:t>
            </w:r>
            <w:r>
              <w:rPr>
                <w:rFonts w:hint="eastAsia" w:ascii="宋体" w:hAnsi="宋体" w:eastAsia="宋体" w:cs="宋体"/>
                <w:color w:val="auto"/>
                <w:sz w:val="21"/>
                <w:szCs w:val="21"/>
                <w:highlight w:val="none"/>
              </w:rPr>
              <w:t>条款全部满足的得满分</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一般性服务条款</w:t>
            </w:r>
            <w:r>
              <w:rPr>
                <w:rFonts w:hint="eastAsia" w:ascii="宋体" w:hAnsi="宋体" w:eastAsia="宋体" w:cs="宋体"/>
                <w:color w:val="auto"/>
                <w:sz w:val="21"/>
                <w:szCs w:val="21"/>
                <w:highlight w:val="none"/>
              </w:rPr>
              <w:t>每负</w:t>
            </w:r>
            <w:r>
              <w:rPr>
                <w:rFonts w:hint="eastAsia" w:ascii="宋体" w:hAnsi="宋体" w:cs="宋体"/>
                <w:color w:val="auto"/>
                <w:sz w:val="21"/>
                <w:szCs w:val="21"/>
                <w:highlight w:val="none"/>
                <w:lang w:val="en-US" w:eastAsia="zh-CN"/>
              </w:rPr>
              <w:t>偏离</w:t>
            </w:r>
            <w:r>
              <w:rPr>
                <w:rFonts w:hint="eastAsia" w:ascii="宋体" w:hAnsi="宋体" w:eastAsia="宋体" w:cs="宋体"/>
                <w:color w:val="auto"/>
                <w:sz w:val="21"/>
                <w:szCs w:val="21"/>
                <w:highlight w:val="none"/>
              </w:rPr>
              <w:t>1项，扣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共7分，</w:t>
            </w:r>
            <w:r>
              <w:rPr>
                <w:rFonts w:hint="eastAsia" w:ascii="宋体" w:hAnsi="宋体" w:eastAsia="宋体" w:cs="宋体"/>
                <w:color w:val="auto"/>
                <w:sz w:val="21"/>
                <w:szCs w:val="21"/>
                <w:highlight w:val="none"/>
              </w:rPr>
              <w:t>扣完为止</w:t>
            </w:r>
            <w:r>
              <w:rPr>
                <w:rFonts w:hint="eastAsia" w:ascii="宋体" w:hAnsi="宋体" w:eastAsia="宋体" w:cs="宋体"/>
                <w:color w:val="auto"/>
                <w:sz w:val="21"/>
                <w:szCs w:val="21"/>
                <w:highlight w:val="none"/>
                <w:lang w:eastAsia="zh-CN"/>
              </w:rPr>
              <w:t>；</w:t>
            </w:r>
          </w:p>
          <w:p>
            <w:pPr>
              <w:keepNext w:val="0"/>
              <w:keepLines w:val="0"/>
              <w:suppressLineNumbers w:val="0"/>
              <w:bidi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一般性服务条款指未标注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的条款</w:t>
            </w:r>
            <w:r>
              <w:rPr>
                <w:rFonts w:hint="eastAsia" w:ascii="宋体" w:hAnsi="宋体" w:cs="宋体"/>
                <w:color w:val="auto"/>
                <w:sz w:val="21"/>
                <w:szCs w:val="21"/>
                <w:highlight w:val="none"/>
                <w:lang w:eastAsia="zh-CN"/>
              </w:rPr>
              <w:t>）</w:t>
            </w:r>
          </w:p>
          <w:p>
            <w:pPr>
              <w:pStyle w:val="14"/>
              <w:rPr>
                <w:rFonts w:hint="eastAsia"/>
                <w:color w:val="auto"/>
                <w:highlight w:val="none"/>
                <w:lang w:eastAsia="zh-CN"/>
              </w:rPr>
            </w:pPr>
          </w:p>
          <w:p>
            <w:pPr>
              <w:keepNext w:val="0"/>
              <w:keepLines w:val="0"/>
              <w:suppressLineNumbers w:val="0"/>
              <w:bidi w:val="0"/>
              <w:spacing w:before="0" w:beforeAutospacing="0" w:after="0" w:afterAutospacing="0"/>
              <w:ind w:left="0" w:right="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标“</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”条款</w:t>
            </w:r>
            <w:r>
              <w:rPr>
                <w:rFonts w:hint="eastAsia" w:ascii="宋体" w:hAnsi="宋体" w:cs="宋体"/>
                <w:color w:val="auto"/>
                <w:sz w:val="21"/>
                <w:szCs w:val="21"/>
                <w:highlight w:val="none"/>
                <w:lang w:val="en-US" w:eastAsia="zh-CN"/>
              </w:rPr>
              <w:t>为重要条款，</w:t>
            </w:r>
            <w:r>
              <w:rPr>
                <w:rFonts w:hint="eastAsia" w:ascii="宋体" w:hAnsi="宋体" w:eastAsia="宋体" w:cs="宋体"/>
                <w:color w:val="auto"/>
                <w:sz w:val="21"/>
                <w:szCs w:val="21"/>
                <w:highlight w:val="none"/>
              </w:rPr>
              <w:t>每负偏离一项扣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共5项，总分15分，</w:t>
            </w:r>
            <w:r>
              <w:rPr>
                <w:rFonts w:hint="eastAsia" w:ascii="宋体" w:hAnsi="宋体" w:eastAsia="宋体" w:cs="宋体"/>
                <w:color w:val="auto"/>
                <w:sz w:val="21"/>
                <w:szCs w:val="21"/>
                <w:highlight w:val="none"/>
              </w:rPr>
              <w:t>扣完为止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标“▲”条款</w:t>
            </w:r>
            <w:r>
              <w:rPr>
                <w:rFonts w:hint="eastAsia" w:ascii="宋体" w:hAnsi="宋体" w:cs="宋体"/>
                <w:color w:val="auto"/>
                <w:sz w:val="21"/>
                <w:szCs w:val="21"/>
                <w:highlight w:val="none"/>
                <w:lang w:val="en-US" w:eastAsia="zh-CN"/>
              </w:rPr>
              <w:t>为实质性响应条款，不允许负偏离</w:t>
            </w:r>
            <w:r>
              <w:rPr>
                <w:rFonts w:hint="eastAsia" w:ascii="宋体" w:hAnsi="宋体" w:eastAsia="宋体" w:cs="宋体"/>
                <w:color w:val="auto"/>
                <w:sz w:val="21"/>
                <w:szCs w:val="21"/>
                <w:highlight w:val="none"/>
                <w:lang w:val="en-US" w:eastAsia="zh-CN"/>
              </w:rPr>
              <w:t>。</w:t>
            </w:r>
          </w:p>
          <w:p>
            <w:pPr>
              <w:keepNext w:val="0"/>
              <w:keepLines w:val="0"/>
              <w:suppressLineNumbers w:val="0"/>
              <w:bidi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2.证明文件：</w:t>
            </w:r>
          </w:p>
          <w:p>
            <w:pPr>
              <w:keepNext w:val="0"/>
              <w:keepLines w:val="0"/>
              <w:suppressLineNumbers w:val="0"/>
              <w:bidi w:val="0"/>
              <w:spacing w:before="0" w:beforeAutospacing="0" w:after="0" w:afterAutospacing="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招标文件中带“▲”号</w:t>
            </w:r>
            <w:r>
              <w:rPr>
                <w:rFonts w:hint="eastAsia" w:ascii="宋体" w:hAnsi="宋体" w:cs="宋体"/>
                <w:color w:val="auto"/>
                <w:sz w:val="21"/>
                <w:szCs w:val="21"/>
                <w:highlight w:val="none"/>
                <w:lang w:val="en-US" w:eastAsia="zh-CN"/>
              </w:rPr>
              <w:t>或“</w:t>
            </w:r>
            <w:r>
              <w:rPr>
                <w:rFonts w:hint="eastAsia" w:ascii="宋体" w:hAnsi="宋体" w:eastAsia="宋体" w:cs="宋体"/>
                <w:color w:val="auto"/>
                <w:highlight w:val="none"/>
              </w:rPr>
              <w: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号参数满足要求的，须相关证明材料（</w:t>
            </w:r>
            <w:r>
              <w:rPr>
                <w:rFonts w:hint="eastAsia" w:ascii="宋体" w:hAnsi="宋体" w:eastAsia="宋体" w:cs="宋体"/>
                <w:color w:val="auto"/>
                <w:sz w:val="21"/>
                <w:szCs w:val="21"/>
                <w:highlight w:val="none"/>
                <w:lang w:val="en-US" w:eastAsia="zh-CN"/>
              </w:rPr>
              <w:t>根据每一条参数的要求，提供现场演示、</w:t>
            </w:r>
            <w:r>
              <w:rPr>
                <w:rFonts w:hint="eastAsia" w:ascii="宋体" w:hAnsi="宋体" w:eastAsia="宋体" w:cs="宋体"/>
                <w:color w:val="auto"/>
                <w:sz w:val="21"/>
                <w:szCs w:val="21"/>
                <w:highlight w:val="none"/>
              </w:rPr>
              <w:t>软件截图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操作视频</w:t>
            </w:r>
            <w:r>
              <w:rPr>
                <w:rFonts w:hint="eastAsia" w:ascii="宋体" w:hAnsi="宋体" w:eastAsia="宋体" w:cs="宋体"/>
                <w:color w:val="auto"/>
                <w:sz w:val="21"/>
                <w:szCs w:val="21"/>
                <w:highlight w:val="none"/>
              </w:rPr>
              <w:t>等），未提供的，视为负偏离。</w:t>
            </w:r>
            <w:r>
              <w:rPr>
                <w:rFonts w:hint="eastAsia" w:ascii="宋体" w:hAnsi="宋体" w:cs="宋体"/>
                <w:color w:val="auto"/>
                <w:sz w:val="21"/>
                <w:szCs w:val="21"/>
                <w:highlight w:val="none"/>
                <w:lang w:val="en-US" w:eastAsia="zh-CN"/>
              </w:rPr>
              <w:t>其他一般条款应提供制造商彩页或技术白皮书作为证明材料。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2" w:type="dxa"/>
            <w:noWrap w:val="0"/>
            <w:vAlign w:val="center"/>
          </w:tcPr>
          <w:p>
            <w:pPr>
              <w:adjustRightInd w:val="0"/>
              <w:spacing w:line="360" w:lineRule="auto"/>
              <w:jc w:val="center"/>
              <w:textAlignment w:val="baseline"/>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3</w:t>
            </w:r>
          </w:p>
        </w:tc>
        <w:tc>
          <w:tcPr>
            <w:tcW w:w="1003" w:type="dxa"/>
            <w:noWrap w:val="0"/>
            <w:vAlign w:val="center"/>
          </w:tcPr>
          <w:p>
            <w:pPr>
              <w:adjustRightInd w:val="0"/>
              <w:spacing w:line="360" w:lineRule="auto"/>
              <w:jc w:val="center"/>
              <w:textAlignment w:val="baseline"/>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现场演示评分</w:t>
            </w:r>
          </w:p>
        </w:tc>
        <w:tc>
          <w:tcPr>
            <w:tcW w:w="785" w:type="dxa"/>
            <w:noWrap w:val="0"/>
            <w:vAlign w:val="center"/>
          </w:tcPr>
          <w:p>
            <w:pPr>
              <w:adjustRightInd w:val="0"/>
              <w:spacing w:line="360" w:lineRule="auto"/>
              <w:jc w:val="center"/>
              <w:textAlignment w:val="baseline"/>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18分</w:t>
            </w:r>
          </w:p>
        </w:tc>
        <w:tc>
          <w:tcPr>
            <w:tcW w:w="1918" w:type="dxa"/>
            <w:noWrap w:val="0"/>
            <w:vAlign w:val="center"/>
          </w:tcPr>
          <w:p>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场景演示要求（</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lang w:val="en-US" w:eastAsia="zh-CN"/>
              </w:rPr>
              <w:t>分）</w:t>
            </w:r>
          </w:p>
        </w:tc>
        <w:tc>
          <w:tcPr>
            <w:tcW w:w="5350" w:type="dxa"/>
            <w:noWrap w:val="0"/>
            <w:vAlign w:val="center"/>
          </w:tcPr>
          <w:p>
            <w:pPr>
              <w:keepNext w:val="0"/>
              <w:keepLines w:val="0"/>
              <w:numPr>
                <w:ilvl w:val="0"/>
                <w:numId w:val="0"/>
              </w:numPr>
              <w:suppressLineNumbers w:val="0"/>
              <w:bidi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1.评审标准：</w:t>
            </w:r>
          </w:p>
          <w:p>
            <w:pPr>
              <w:numPr>
                <w:ilvl w:val="0"/>
                <w:numId w:val="3"/>
              </w:numPr>
              <w:ind w:left="425" w:hanging="425"/>
              <w:rPr>
                <w:color w:val="auto"/>
                <w:highlight w:val="none"/>
              </w:rPr>
            </w:pPr>
            <w:r>
              <w:rPr>
                <w:rFonts w:hint="eastAsia" w:ascii="宋体" w:hAnsi="宋体" w:eastAsia="宋体" w:cs="宋体"/>
                <w:b w:val="0"/>
                <w:bCs/>
                <w:color w:val="auto"/>
                <w:sz w:val="21"/>
                <w:szCs w:val="21"/>
                <w:highlight w:val="none"/>
                <w:vertAlign w:val="baseline"/>
                <w:lang w:val="en-US" w:eastAsia="zh-CN"/>
              </w:rPr>
              <w:t>支持WHO标准的病理诊断分类标签功能，系统能够选择肿瘤的一级与二级分类，生成标签后与病例关联，单击标签名称可自动查询在整体标签库内该标签的数量占比。支持后台进行标签的检索与统计。提供场景演示，</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eastAsia="宋体" w:cs="宋体"/>
                <w:b w:val="0"/>
                <w:bCs/>
                <w:color w:val="auto"/>
                <w:sz w:val="21"/>
                <w:szCs w:val="21"/>
                <w:highlight w:val="none"/>
                <w:vertAlign w:val="baseline"/>
                <w:lang w:val="en-US" w:eastAsia="zh-CN"/>
              </w:rPr>
              <w:t>；</w:t>
            </w:r>
          </w:p>
          <w:p>
            <w:pPr>
              <w:keepNext w:val="0"/>
              <w:keepLines w:val="0"/>
              <w:numPr>
                <w:ilvl w:val="0"/>
                <w:numId w:val="3"/>
              </w:numPr>
              <w:suppressLineNumbers w:val="0"/>
              <w:spacing w:before="0" w:beforeAutospacing="0" w:after="0" w:afterAutospacing="0"/>
              <w:ind w:left="425" w:right="0" w:hanging="425"/>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vertAlign w:val="baseline"/>
                <w:lang w:val="en-US" w:eastAsia="zh-Hans"/>
              </w:rPr>
              <w:t>系统</w:t>
            </w:r>
            <w:r>
              <w:rPr>
                <w:rFonts w:hint="eastAsia" w:ascii="宋体" w:hAnsi="宋体" w:eastAsia="宋体" w:cs="宋体"/>
                <w:b w:val="0"/>
                <w:bCs/>
                <w:color w:val="auto"/>
                <w:sz w:val="21"/>
                <w:szCs w:val="21"/>
                <w:highlight w:val="none"/>
                <w:vertAlign w:val="baseline"/>
                <w:lang w:val="en-US" w:eastAsia="zh-CN"/>
              </w:rPr>
              <w:t>在</w:t>
            </w:r>
            <w:r>
              <w:rPr>
                <w:rFonts w:hint="eastAsia" w:ascii="宋体" w:hAnsi="宋体" w:eastAsia="宋体" w:cs="宋体"/>
                <w:b w:val="0"/>
                <w:bCs/>
                <w:color w:val="auto"/>
                <w:sz w:val="21"/>
                <w:szCs w:val="21"/>
                <w:highlight w:val="none"/>
                <w:vertAlign w:val="baseline"/>
                <w:lang w:val="en-US" w:eastAsia="zh-Hans"/>
              </w:rPr>
              <w:t>“诊断页面”</w:t>
            </w:r>
            <w:r>
              <w:rPr>
                <w:rFonts w:hint="eastAsia" w:ascii="宋体" w:hAnsi="宋体" w:eastAsia="宋体" w:cs="宋体"/>
                <w:b w:val="0"/>
                <w:bCs/>
                <w:color w:val="auto"/>
                <w:sz w:val="21"/>
                <w:szCs w:val="21"/>
                <w:highlight w:val="none"/>
                <w:vertAlign w:val="baseline"/>
                <w:lang w:val="en-US" w:eastAsia="zh-CN"/>
              </w:rPr>
              <w:t>可集成数字病理切片进行数字化诊断，同时</w:t>
            </w:r>
            <w:r>
              <w:rPr>
                <w:rFonts w:hint="eastAsia" w:ascii="宋体" w:hAnsi="宋体" w:eastAsia="宋体" w:cs="宋体"/>
                <w:b w:val="0"/>
                <w:bCs/>
                <w:color w:val="auto"/>
                <w:sz w:val="21"/>
                <w:szCs w:val="21"/>
                <w:highlight w:val="none"/>
                <w:vertAlign w:val="baseline"/>
                <w:lang w:val="en-US" w:eastAsia="zh-Hans"/>
              </w:rPr>
              <w:t>支持在“诊断页面”一键发起远程会诊，可快速在诊断页面选择会诊平台与会诊专家，无需跳转页面。</w:t>
            </w:r>
            <w:r>
              <w:rPr>
                <w:rFonts w:hint="eastAsia" w:ascii="宋体" w:hAnsi="宋体" w:eastAsia="宋体" w:cs="宋体"/>
                <w:b w:val="0"/>
                <w:bCs/>
                <w:color w:val="auto"/>
                <w:sz w:val="21"/>
                <w:szCs w:val="21"/>
                <w:highlight w:val="none"/>
                <w:vertAlign w:val="baseline"/>
                <w:lang w:val="en-US" w:eastAsia="zh-CN"/>
              </w:rPr>
              <w:t>会诊完成后可在诊断页面查看专家出具的远程会诊报告</w:t>
            </w:r>
            <w:r>
              <w:rPr>
                <w:rFonts w:hint="eastAsia" w:ascii="宋体" w:hAnsi="宋体" w:eastAsia="宋体" w:cs="宋体"/>
                <w:b w:val="0"/>
                <w:bCs/>
                <w:color w:val="auto"/>
                <w:sz w:val="21"/>
                <w:szCs w:val="21"/>
                <w:highlight w:val="none"/>
                <w:vertAlign w:val="baseline"/>
                <w:lang w:val="en-US" w:eastAsia="zh-Hans"/>
              </w:rPr>
              <w:t>，提供场景演示</w:t>
            </w:r>
            <w:r>
              <w:rPr>
                <w:rFonts w:hint="eastAsia" w:ascii="宋体" w:hAnsi="宋体" w:eastAsia="宋体" w:cs="宋体"/>
                <w:bCs/>
                <w:color w:val="auto"/>
                <w:sz w:val="21"/>
                <w:szCs w:val="21"/>
                <w:highlight w:val="none"/>
                <w:lang w:val="en-US" w:eastAsia="zh-Hans"/>
              </w:rPr>
              <w:t>，得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Hans"/>
              </w:rPr>
              <w:t>分；</w:t>
            </w:r>
          </w:p>
          <w:p>
            <w:pPr>
              <w:keepNext w:val="0"/>
              <w:keepLines w:val="0"/>
              <w:numPr>
                <w:ilvl w:val="0"/>
                <w:numId w:val="3"/>
              </w:numPr>
              <w:suppressLineNumbers w:val="0"/>
              <w:spacing w:before="0" w:beforeAutospacing="0" w:after="0" w:afterAutospacing="0"/>
              <w:ind w:left="425" w:right="0" w:hanging="425"/>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vertAlign w:val="baseline"/>
                <w:lang w:val="en-US" w:eastAsia="zh-CN"/>
              </w:rPr>
              <w:t>系统支持对病理各个工作流程进行流程配置，支持对流程“开启、分配、确认”的操作</w:t>
            </w:r>
            <w:r>
              <w:rPr>
                <w:rFonts w:hint="eastAsia" w:ascii="宋体" w:hAnsi="宋体" w:eastAsia="宋体" w:cs="宋体"/>
                <w:b w:val="0"/>
                <w:bCs/>
                <w:color w:val="auto"/>
                <w:sz w:val="21"/>
                <w:szCs w:val="21"/>
                <w:highlight w:val="none"/>
                <w:vertAlign w:val="baseline"/>
                <w:lang w:val="en-US" w:eastAsia="zh-Hans"/>
              </w:rPr>
              <w:t>，</w:t>
            </w:r>
            <w:r>
              <w:rPr>
                <w:rFonts w:hint="eastAsia" w:ascii="宋体" w:hAnsi="宋体" w:eastAsia="宋体" w:cs="宋体"/>
                <w:b w:val="0"/>
                <w:bCs/>
                <w:color w:val="auto"/>
                <w:sz w:val="21"/>
                <w:szCs w:val="21"/>
                <w:highlight w:val="none"/>
                <w:vertAlign w:val="baseline"/>
                <w:lang w:val="en-US" w:eastAsia="zh-CN"/>
              </w:rPr>
              <w:t>支持对连续流程的拆分或合并。同时对病理各个流程的超时细节可进行自定义配置，针对小标本、大标本、冰冻、细胞、蜡块、玻片、外院蜡块、外院玻片等不同类型的业务，可自定义配置流程中各个环节的规定时长，并能配置与编辑超时原因。提供场景</w:t>
            </w:r>
            <w:r>
              <w:rPr>
                <w:rFonts w:hint="eastAsia" w:ascii="宋体" w:hAnsi="宋体" w:eastAsia="宋体" w:cs="宋体"/>
                <w:b w:val="0"/>
                <w:bCs/>
                <w:color w:val="auto"/>
                <w:sz w:val="21"/>
                <w:szCs w:val="21"/>
                <w:highlight w:val="none"/>
                <w:vertAlign w:val="baseline"/>
                <w:lang w:val="en-US" w:eastAsia="zh-Hans"/>
              </w:rPr>
              <w:t>演示，</w:t>
            </w:r>
            <w:r>
              <w:rPr>
                <w:rFonts w:hint="eastAsia" w:ascii="宋体" w:hAnsi="宋体" w:eastAsia="宋体" w:cs="宋体"/>
                <w:bCs/>
                <w:color w:val="auto"/>
                <w:sz w:val="21"/>
                <w:szCs w:val="21"/>
                <w:highlight w:val="none"/>
                <w:lang w:val="en-US" w:eastAsia="zh-Hans"/>
              </w:rPr>
              <w:t>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Hans"/>
              </w:rPr>
              <w:t>分</w:t>
            </w:r>
            <w:r>
              <w:rPr>
                <w:rFonts w:hint="eastAsia" w:ascii="宋体" w:hAnsi="宋体" w:eastAsia="宋体" w:cs="宋体"/>
                <w:bCs/>
                <w:color w:val="auto"/>
                <w:sz w:val="21"/>
                <w:szCs w:val="21"/>
                <w:highlight w:val="none"/>
                <w:lang w:val="en-US" w:eastAsia="zh-CN"/>
              </w:rPr>
              <w:t>；</w:t>
            </w:r>
          </w:p>
          <w:p>
            <w:pPr>
              <w:keepNext w:val="0"/>
              <w:keepLines w:val="0"/>
              <w:numPr>
                <w:ilvl w:val="0"/>
                <w:numId w:val="3"/>
              </w:numPr>
              <w:suppressLineNumbers w:val="0"/>
              <w:spacing w:before="0" w:beforeAutospacing="0" w:after="0" w:afterAutospacing="0"/>
              <w:ind w:left="425" w:right="0" w:hanging="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针对肿瘤标本，</w:t>
            </w:r>
            <w:r>
              <w:rPr>
                <w:rFonts w:hint="eastAsia" w:ascii="宋体" w:hAnsi="宋体" w:cs="宋体"/>
                <w:color w:val="auto"/>
                <w:sz w:val="21"/>
                <w:szCs w:val="21"/>
                <w:highlight w:val="none"/>
                <w:lang w:val="en-US" w:eastAsia="zh-CN"/>
              </w:rPr>
              <w:t>结构化</w:t>
            </w:r>
            <w:r>
              <w:rPr>
                <w:rFonts w:hint="eastAsia" w:ascii="宋体" w:hAnsi="宋体" w:eastAsia="宋体" w:cs="宋体"/>
                <w:color w:val="auto"/>
                <w:sz w:val="21"/>
                <w:szCs w:val="21"/>
                <w:highlight w:val="none"/>
              </w:rPr>
              <w:t>诊断界面</w:t>
            </w:r>
            <w:r>
              <w:rPr>
                <w:rFonts w:hint="eastAsia" w:ascii="宋体" w:hAnsi="宋体" w:cs="宋体"/>
                <w:color w:val="auto"/>
                <w:sz w:val="21"/>
                <w:szCs w:val="21"/>
                <w:highlight w:val="none"/>
                <w:lang w:val="en-US" w:eastAsia="zh-CN"/>
              </w:rPr>
              <w:t>选择相应的诊断指标后，</w:t>
            </w:r>
            <w:r>
              <w:rPr>
                <w:rFonts w:hint="eastAsia" w:ascii="宋体" w:hAnsi="宋体" w:eastAsia="宋体" w:cs="宋体"/>
                <w:color w:val="auto"/>
                <w:sz w:val="21"/>
                <w:szCs w:val="21"/>
                <w:highlight w:val="none"/>
              </w:rPr>
              <w:t>可自动得出对应肿瘤TNM分期</w:t>
            </w:r>
            <w:r>
              <w:rPr>
                <w:rFonts w:hint="eastAsia" w:ascii="宋体" w:hAnsi="宋体" w:cs="宋体"/>
                <w:color w:val="auto"/>
                <w:sz w:val="21"/>
                <w:szCs w:val="21"/>
                <w:highlight w:val="none"/>
                <w:lang w:val="en-US" w:eastAsia="zh-CN"/>
              </w:rPr>
              <w:t>结果</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并支持在系统后台自定义配置自动计算的策略，可细致到每一个字段或手动输入文字的组合条件。提供该场景演示，得3分。</w:t>
            </w:r>
          </w:p>
          <w:p>
            <w:pPr>
              <w:keepNext w:val="0"/>
              <w:keepLines w:val="0"/>
              <w:numPr>
                <w:ilvl w:val="0"/>
                <w:numId w:val="3"/>
              </w:numPr>
              <w:suppressLineNumbers w:val="0"/>
              <w:spacing w:before="0" w:beforeAutospacing="0" w:after="0" w:afterAutospacing="0"/>
              <w:ind w:left="425" w:leftChars="0" w:right="0" w:rightChars="0" w:hanging="425"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系统支持数字切片库管理，支持系统与宫颈液基细胞学辅助诊断系统深度集成，手动上传数字切片并绑定相关病理号，绑定切片后系统内人工智能自动分析切片，并标记可疑阳性细胞，AI</w:t>
            </w:r>
            <w:r>
              <w:rPr>
                <w:rFonts w:hint="eastAsia" w:ascii="宋体" w:hAnsi="宋体" w:eastAsia="宋体" w:cs="宋体"/>
                <w:i w:val="0"/>
                <w:color w:val="auto"/>
                <w:kern w:val="0"/>
                <w:sz w:val="21"/>
                <w:szCs w:val="21"/>
                <w:highlight w:val="none"/>
                <w:u w:val="none"/>
                <w:lang w:val="en-US" w:eastAsia="zh-CN" w:bidi="ar"/>
              </w:rPr>
              <w:t>结果可自动导入系统生成报告预览。提供数字切片上传绑定、AI自动分析出具报告场景演示，得</w:t>
            </w:r>
            <w:r>
              <w:rPr>
                <w:rFonts w:hint="eastAsia" w:ascii="宋体" w:hAnsi="宋体" w:cs="宋体"/>
                <w:i w:val="0"/>
                <w:color w:val="auto"/>
                <w:kern w:val="0"/>
                <w:sz w:val="21"/>
                <w:szCs w:val="21"/>
                <w:highlight w:val="none"/>
                <w:u w:val="none"/>
                <w:lang w:val="en-US" w:eastAsia="zh-CN" w:bidi="ar"/>
              </w:rPr>
              <w:t>3</w:t>
            </w:r>
            <w:r>
              <w:rPr>
                <w:rFonts w:hint="eastAsia" w:ascii="宋体" w:hAnsi="宋体" w:eastAsia="宋体" w:cs="宋体"/>
                <w:i w:val="0"/>
                <w:color w:val="auto"/>
                <w:kern w:val="0"/>
                <w:sz w:val="21"/>
                <w:szCs w:val="21"/>
                <w:highlight w:val="none"/>
                <w:u w:val="none"/>
                <w:lang w:val="en-US" w:eastAsia="zh-CN" w:bidi="ar"/>
              </w:rPr>
              <w:t>分。</w:t>
            </w:r>
          </w:p>
          <w:p>
            <w:pPr>
              <w:keepNext w:val="0"/>
              <w:keepLines w:val="0"/>
              <w:numPr>
                <w:ilvl w:val="0"/>
                <w:numId w:val="3"/>
              </w:numPr>
              <w:suppressLineNumbers w:val="0"/>
              <w:spacing w:before="0" w:beforeAutospacing="0" w:after="0" w:afterAutospacing="0"/>
              <w:ind w:left="425" w:leftChars="0" w:right="0" w:rightChars="0" w:hanging="425" w:firstLineChars="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系统深度集成数字切片人工智能辅助质控系统，对制片质量进行评价，支持系统内点击数字切片AI质控，AI自动评价包括刀痕、气泡、染色、溢胶等问题，根据具体切片问题类型自动计算占比、面积，得出最终评分与质控分写结果（“合格”或“不合格”），提供以上场景演示，得3分。</w:t>
            </w:r>
          </w:p>
          <w:p>
            <w:pPr>
              <w:keepNext w:val="0"/>
              <w:keepLines w:val="0"/>
              <w:numPr>
                <w:ilvl w:val="0"/>
                <w:numId w:val="4"/>
              </w:numPr>
              <w:suppressLineNumbers w:val="0"/>
              <w:spacing w:before="0" w:beforeAutospacing="0" w:after="0" w:afterAutospacing="0"/>
              <w:ind w:left="0" w:leftChars="0" w:right="0" w:rightChars="0" w:firstLine="0" w:firstLineChars="0"/>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演示环境：演示方自行携带具备联网功能的演示设备、部署好的在线演示系统，以及其他能够在现场完成演示的必备软件硬件设施。</w:t>
            </w:r>
          </w:p>
          <w:p>
            <w:pPr>
              <w:keepNext w:val="0"/>
              <w:keepLines w:val="0"/>
              <w:numPr>
                <w:ilvl w:val="-1"/>
                <w:numId w:val="0"/>
              </w:numPr>
              <w:suppressLineNumbers w:val="0"/>
              <w:spacing w:before="0" w:beforeAutospacing="0" w:after="0" w:afterAutospacing="0"/>
              <w:ind w:left="0" w:leftChars="0" w:right="0" w:righ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cs="宋体"/>
                <w:i w:val="0"/>
                <w:color w:val="auto"/>
                <w:kern w:val="0"/>
                <w:sz w:val="21"/>
                <w:szCs w:val="21"/>
                <w:highlight w:val="none"/>
                <w:u w:val="none"/>
                <w:lang w:val="en-US" w:eastAsia="zh-CN" w:bidi="ar"/>
              </w:rPr>
              <w:t>3. 演示方式：根据招标参数要求，逐一按照参数描述的功能进行展示，避免不必要的任何其他功能展示。专家根据每一个功能点是否有效进行打分。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2" w:type="dxa"/>
            <w:vMerge w:val="restart"/>
            <w:noWrap w:val="0"/>
            <w:vAlign w:val="center"/>
          </w:tcPr>
          <w:p>
            <w:pPr>
              <w:adjustRightInd w:val="0"/>
              <w:spacing w:line="360" w:lineRule="auto"/>
              <w:jc w:val="center"/>
              <w:textAlignment w:val="baseline"/>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 w:val="21"/>
                <w:szCs w:val="21"/>
                <w:highlight w:val="none"/>
                <w:lang w:val="en-US" w:eastAsia="zh-CN"/>
              </w:rPr>
              <w:t>4</w:t>
            </w:r>
          </w:p>
        </w:tc>
        <w:tc>
          <w:tcPr>
            <w:tcW w:w="1003" w:type="dxa"/>
            <w:vMerge w:val="restart"/>
            <w:noWrap w:val="0"/>
            <w:vAlign w:val="center"/>
          </w:tcPr>
          <w:p>
            <w:pPr>
              <w:adjustRightInd w:val="0"/>
              <w:spacing w:line="360" w:lineRule="auto"/>
              <w:jc w:val="center"/>
              <w:textAlignment w:val="baseline"/>
              <w:rPr>
                <w:rFonts w:hint="default" w:ascii="宋体" w:hAnsi="宋体" w:eastAsia="宋体" w:cs="宋体"/>
                <w:b/>
                <w:color w:val="auto"/>
                <w:kern w:val="2"/>
                <w:sz w:val="21"/>
                <w:szCs w:val="21"/>
                <w:highlight w:val="none"/>
                <w:lang w:val="en-US" w:eastAsia="zh-CN" w:bidi="ar-SA"/>
              </w:rPr>
            </w:pPr>
            <w:r>
              <w:rPr>
                <w:rFonts w:hint="eastAsia" w:ascii="宋体" w:hAnsi="宋体" w:cs="宋体"/>
                <w:b/>
                <w:color w:val="auto"/>
                <w:sz w:val="21"/>
                <w:szCs w:val="21"/>
                <w:highlight w:val="none"/>
                <w:lang w:val="en-US" w:eastAsia="zh-CN"/>
              </w:rPr>
              <w:t>商务服务水平</w:t>
            </w:r>
            <w:r>
              <w:rPr>
                <w:rFonts w:hint="default" w:ascii="宋体" w:hAnsi="宋体" w:eastAsia="宋体" w:cs="宋体"/>
                <w:b/>
                <w:color w:val="auto"/>
                <w:sz w:val="21"/>
                <w:szCs w:val="21"/>
                <w:highlight w:val="none"/>
                <w:lang w:val="en-US" w:eastAsia="zh-CN"/>
              </w:rPr>
              <w:t>分</w:t>
            </w:r>
          </w:p>
        </w:tc>
        <w:tc>
          <w:tcPr>
            <w:tcW w:w="785" w:type="dxa"/>
            <w:vMerge w:val="restart"/>
            <w:noWrap w:val="0"/>
            <w:vAlign w:val="center"/>
          </w:tcPr>
          <w:p>
            <w:pPr>
              <w:adjustRightInd w:val="0"/>
              <w:spacing w:line="360" w:lineRule="auto"/>
              <w:jc w:val="center"/>
              <w:textAlignment w:val="baseline"/>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 w:val="21"/>
                <w:szCs w:val="21"/>
                <w:highlight w:val="none"/>
                <w:lang w:val="en-US" w:eastAsia="zh-CN"/>
              </w:rPr>
              <w:t>30</w:t>
            </w:r>
            <w:r>
              <w:rPr>
                <w:rFonts w:hint="eastAsia" w:ascii="宋体" w:hAnsi="宋体" w:eastAsia="宋体" w:cs="宋体"/>
                <w:b/>
                <w:color w:val="auto"/>
                <w:sz w:val="21"/>
                <w:szCs w:val="21"/>
                <w:highlight w:val="none"/>
                <w:lang w:val="en-US" w:eastAsia="zh-CN"/>
              </w:rPr>
              <w:t>分</w:t>
            </w:r>
          </w:p>
        </w:tc>
        <w:tc>
          <w:tcPr>
            <w:tcW w:w="1918" w:type="dxa"/>
            <w:noWrap w:val="0"/>
            <w:vAlign w:val="center"/>
          </w:tcPr>
          <w:p>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系统建设方案（</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5350" w:type="dxa"/>
            <w:noWrap w:val="0"/>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1.评审标准：</w:t>
            </w:r>
          </w:p>
          <w:p>
            <w:pPr>
              <w:keepNext w:val="0"/>
              <w:keepLines w:val="0"/>
              <w:suppressLineNumbers w:val="0"/>
              <w:spacing w:before="0" w:beforeAutospacing="0" w:after="0" w:afterAutospacing="0"/>
              <w:ind w:left="0" w:right="0"/>
              <w:rPr>
                <w:rFonts w:hint="eastAsia" w:ascii="宋体" w:hAnsi="宋体" w:eastAsia="宋体" w:cs="宋体"/>
                <w:b w:val="0"/>
                <w:bCs/>
                <w:color w:val="auto"/>
                <w:kern w:val="0"/>
                <w:sz w:val="21"/>
                <w:szCs w:val="21"/>
                <w:highlight w:val="none"/>
                <w:vertAlign w:val="baseline"/>
                <w:lang w:val="en-US" w:eastAsia="zh-CN" w:bidi="ar-SA"/>
              </w:rPr>
            </w:pPr>
            <w:r>
              <w:rPr>
                <w:rFonts w:hint="eastAsia" w:ascii="宋体" w:hAnsi="宋体" w:eastAsia="宋体" w:cs="宋体"/>
                <w:b w:val="0"/>
                <w:bCs/>
                <w:color w:val="auto"/>
                <w:kern w:val="0"/>
                <w:sz w:val="21"/>
                <w:szCs w:val="21"/>
                <w:highlight w:val="none"/>
                <w:vertAlign w:val="baseline"/>
                <w:lang w:val="en-US" w:eastAsia="zh-CN" w:bidi="ar-SA"/>
              </w:rPr>
              <w:t>根据供应商针对本项目制定的系统建设方案（至少包含对本项目</w:t>
            </w:r>
            <w:r>
              <w:rPr>
                <w:rFonts w:hint="eastAsia" w:ascii="宋体" w:hAnsi="宋体" w:eastAsia="宋体" w:cs="宋体"/>
                <w:b w:val="0"/>
                <w:bCs/>
                <w:color w:val="auto"/>
                <w:kern w:val="0"/>
                <w:sz w:val="21"/>
                <w:szCs w:val="21"/>
                <w:highlight w:val="none"/>
                <w:vertAlign w:val="baseline"/>
                <w:lang w:val="en-US" w:eastAsia="zh-Hans" w:bidi="ar-SA"/>
              </w:rPr>
              <w:t>总体思路、全流程难点分析、工作效率提升、系统扩展性、建设需求及重难点分析</w:t>
            </w:r>
            <w:r>
              <w:rPr>
                <w:rFonts w:hint="eastAsia" w:ascii="宋体" w:hAnsi="宋体" w:eastAsia="宋体" w:cs="宋体"/>
                <w:b w:val="0"/>
                <w:bCs/>
                <w:color w:val="auto"/>
                <w:kern w:val="0"/>
                <w:sz w:val="21"/>
                <w:szCs w:val="21"/>
                <w:highlight w:val="none"/>
                <w:vertAlign w:val="baseline"/>
                <w:lang w:val="en-US" w:eastAsia="zh-CN" w:bidi="ar-SA"/>
              </w:rPr>
              <w:t>、</w:t>
            </w:r>
            <w:r>
              <w:rPr>
                <w:rFonts w:hint="eastAsia" w:ascii="宋体" w:hAnsi="宋体" w:eastAsia="宋体" w:cs="宋体"/>
                <w:b w:val="0"/>
                <w:bCs/>
                <w:color w:val="auto"/>
                <w:kern w:val="0"/>
                <w:sz w:val="21"/>
                <w:szCs w:val="21"/>
                <w:highlight w:val="none"/>
                <w:vertAlign w:val="baseline"/>
                <w:lang w:val="en-US" w:eastAsia="zh-Hans" w:bidi="ar-SA"/>
              </w:rPr>
              <w:t>对数字病理科发展分析</w:t>
            </w:r>
            <w:r>
              <w:rPr>
                <w:rFonts w:hint="eastAsia" w:ascii="宋体" w:hAnsi="宋体" w:eastAsia="宋体" w:cs="宋体"/>
                <w:b w:val="0"/>
                <w:bCs/>
                <w:color w:val="auto"/>
                <w:kern w:val="0"/>
                <w:sz w:val="21"/>
                <w:szCs w:val="21"/>
                <w:highlight w:val="none"/>
                <w:vertAlign w:val="baseline"/>
                <w:lang w:val="en-US" w:eastAsia="zh-CN" w:bidi="ar-SA"/>
              </w:rPr>
              <w:t>等）进行评</w:t>
            </w:r>
            <w:r>
              <w:rPr>
                <w:rFonts w:hint="eastAsia" w:ascii="宋体" w:hAnsi="宋体" w:eastAsia="宋体" w:cs="宋体"/>
                <w:color w:val="auto"/>
                <w:sz w:val="21"/>
                <w:szCs w:val="21"/>
                <w:highlight w:val="none"/>
              </w:rPr>
              <w:t>审</w:t>
            </w:r>
            <w:r>
              <w:rPr>
                <w:rFonts w:hint="eastAsia" w:ascii="宋体" w:hAnsi="宋体" w:eastAsia="宋体" w:cs="宋体"/>
                <w:b w:val="0"/>
                <w:bCs/>
                <w:color w:val="auto"/>
                <w:kern w:val="0"/>
                <w:sz w:val="21"/>
                <w:szCs w:val="21"/>
                <w:highlight w:val="none"/>
                <w:vertAlign w:val="baseline"/>
                <w:lang w:val="en-US" w:eastAsia="zh-CN" w:bidi="ar-SA"/>
              </w:rPr>
              <w:t>：</w:t>
            </w:r>
          </w:p>
          <w:p>
            <w:pPr>
              <w:keepNext w:val="0"/>
              <w:keepLines w:val="0"/>
              <w:suppressLineNumbers w:val="0"/>
              <w:spacing w:before="0" w:beforeAutospacing="0" w:after="0" w:afterAutospacing="0"/>
              <w:ind w:left="0" w:right="0"/>
              <w:rPr>
                <w:rFonts w:hint="eastAsia" w:ascii="宋体" w:hAnsi="宋体" w:eastAsia="宋体" w:cs="宋体"/>
                <w:b w:val="0"/>
                <w:bCs/>
                <w:color w:val="auto"/>
                <w:kern w:val="0"/>
                <w:sz w:val="21"/>
                <w:szCs w:val="21"/>
                <w:highlight w:val="none"/>
                <w:vertAlign w:val="baseline"/>
                <w:lang w:val="en-US" w:eastAsia="zh-CN" w:bidi="ar-SA"/>
              </w:rPr>
            </w:pPr>
            <w:r>
              <w:rPr>
                <w:rFonts w:hint="eastAsia" w:ascii="宋体" w:hAnsi="宋体" w:cs="宋体"/>
                <w:b w:val="0"/>
                <w:bCs/>
                <w:color w:val="auto"/>
                <w:kern w:val="0"/>
                <w:sz w:val="21"/>
                <w:szCs w:val="21"/>
                <w:highlight w:val="none"/>
                <w:vertAlign w:val="baseline"/>
                <w:lang w:val="en-US" w:eastAsia="zh-CN" w:bidi="ar-SA"/>
              </w:rPr>
              <w:t>一</w:t>
            </w:r>
            <w:r>
              <w:rPr>
                <w:rFonts w:hint="eastAsia" w:ascii="宋体" w:hAnsi="宋体" w:eastAsia="宋体" w:cs="宋体"/>
                <w:b w:val="0"/>
                <w:bCs/>
                <w:color w:val="auto"/>
                <w:kern w:val="0"/>
                <w:sz w:val="21"/>
                <w:szCs w:val="21"/>
                <w:highlight w:val="none"/>
                <w:vertAlign w:val="baseline"/>
                <w:lang w:val="en-US" w:eastAsia="zh-CN" w:bidi="ar-SA"/>
              </w:rPr>
              <w:t>档（</w:t>
            </w:r>
            <w:r>
              <w:rPr>
                <w:rFonts w:hint="eastAsia" w:ascii="宋体" w:hAnsi="宋体" w:cs="宋体"/>
                <w:b w:val="0"/>
                <w:bCs/>
                <w:color w:val="auto"/>
                <w:kern w:val="0"/>
                <w:sz w:val="21"/>
                <w:szCs w:val="21"/>
                <w:highlight w:val="none"/>
                <w:vertAlign w:val="baseline"/>
                <w:lang w:val="en-US" w:eastAsia="zh-CN" w:bidi="ar-SA"/>
              </w:rPr>
              <w:t>2</w:t>
            </w:r>
            <w:r>
              <w:rPr>
                <w:rFonts w:hint="eastAsia" w:ascii="宋体" w:hAnsi="宋体" w:eastAsia="宋体" w:cs="宋体"/>
                <w:b w:val="0"/>
                <w:bCs/>
                <w:color w:val="auto"/>
                <w:kern w:val="0"/>
                <w:sz w:val="21"/>
                <w:szCs w:val="21"/>
                <w:highlight w:val="none"/>
                <w:vertAlign w:val="baseline"/>
                <w:lang w:val="en-US" w:eastAsia="zh-CN" w:bidi="ar-SA"/>
              </w:rPr>
              <w:t>分）：</w:t>
            </w:r>
            <w:r>
              <w:rPr>
                <w:rFonts w:hint="eastAsia" w:ascii="宋体" w:hAnsi="宋体" w:eastAsia="宋体" w:cs="宋体"/>
                <w:b w:val="0"/>
                <w:bCs/>
                <w:color w:val="auto"/>
                <w:kern w:val="0"/>
                <w:sz w:val="21"/>
                <w:szCs w:val="21"/>
                <w:highlight w:val="none"/>
                <w:vertAlign w:val="baseline"/>
                <w:lang w:val="en-US" w:eastAsia="zh-Hans" w:bidi="ar-SA"/>
              </w:rPr>
              <w:t>对本项目的理解和分析理解有欠缺或不完善，重难点及需求分析不到位</w:t>
            </w:r>
            <w:r>
              <w:rPr>
                <w:rFonts w:hint="eastAsia" w:ascii="宋体" w:hAnsi="宋体" w:eastAsia="宋体" w:cs="宋体"/>
                <w:b w:val="0"/>
                <w:bCs/>
                <w:color w:val="auto"/>
                <w:kern w:val="0"/>
                <w:sz w:val="21"/>
                <w:szCs w:val="21"/>
                <w:highlight w:val="none"/>
                <w:vertAlign w:val="baseline"/>
                <w:lang w:val="en-US" w:eastAsia="zh-CN" w:bidi="ar-SA"/>
              </w:rPr>
              <w:t>的</w:t>
            </w:r>
            <w:r>
              <w:rPr>
                <w:rFonts w:hint="eastAsia" w:ascii="宋体" w:hAnsi="宋体" w:eastAsia="宋体" w:cs="宋体"/>
                <w:b w:val="0"/>
                <w:bCs/>
                <w:color w:val="auto"/>
                <w:kern w:val="0"/>
                <w:sz w:val="21"/>
                <w:szCs w:val="21"/>
                <w:highlight w:val="none"/>
                <w:vertAlign w:val="baseline"/>
                <w:lang w:val="en-US" w:eastAsia="zh-Hans" w:bidi="ar-SA"/>
              </w:rPr>
              <w:t>得</w:t>
            </w:r>
            <w:r>
              <w:rPr>
                <w:rFonts w:hint="eastAsia" w:ascii="宋体" w:hAnsi="宋体" w:cs="宋体"/>
                <w:b w:val="0"/>
                <w:bCs/>
                <w:color w:val="auto"/>
                <w:kern w:val="0"/>
                <w:sz w:val="21"/>
                <w:szCs w:val="21"/>
                <w:highlight w:val="none"/>
                <w:vertAlign w:val="baseline"/>
                <w:lang w:val="en-US" w:eastAsia="zh-CN" w:bidi="ar-SA"/>
              </w:rPr>
              <w:t>2</w:t>
            </w:r>
            <w:r>
              <w:rPr>
                <w:rFonts w:hint="eastAsia" w:ascii="宋体" w:hAnsi="宋体" w:eastAsia="宋体" w:cs="宋体"/>
                <w:b w:val="0"/>
                <w:bCs/>
                <w:color w:val="auto"/>
                <w:kern w:val="0"/>
                <w:sz w:val="21"/>
                <w:szCs w:val="21"/>
                <w:highlight w:val="none"/>
                <w:vertAlign w:val="baseline"/>
                <w:lang w:val="en-US" w:eastAsia="zh-Hans" w:bidi="ar-SA"/>
              </w:rPr>
              <w:t>分</w:t>
            </w:r>
            <w:r>
              <w:rPr>
                <w:rFonts w:hint="eastAsia" w:ascii="宋体" w:hAnsi="宋体" w:eastAsia="宋体" w:cs="宋体"/>
                <w:b w:val="0"/>
                <w:bCs/>
                <w:color w:val="auto"/>
                <w:kern w:val="0"/>
                <w:sz w:val="21"/>
                <w:szCs w:val="21"/>
                <w:highlight w:val="none"/>
                <w:vertAlign w:val="baseline"/>
                <w:lang w:val="en-US" w:eastAsia="zh-CN" w:bidi="ar-SA"/>
              </w:rPr>
              <w:t>；</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cs="宋体"/>
                <w:b w:val="0"/>
                <w:bCs/>
                <w:color w:val="auto"/>
                <w:kern w:val="0"/>
                <w:sz w:val="21"/>
                <w:szCs w:val="21"/>
                <w:highlight w:val="none"/>
                <w:vertAlign w:val="baseline"/>
                <w:lang w:val="en-US" w:eastAsia="zh-CN" w:bidi="ar-SA"/>
              </w:rPr>
              <w:t>二</w:t>
            </w:r>
            <w:r>
              <w:rPr>
                <w:rFonts w:hint="eastAsia" w:ascii="宋体" w:hAnsi="宋体" w:eastAsia="宋体" w:cs="宋体"/>
                <w:b w:val="0"/>
                <w:bCs/>
                <w:color w:val="auto"/>
                <w:kern w:val="0"/>
                <w:sz w:val="21"/>
                <w:szCs w:val="21"/>
                <w:highlight w:val="none"/>
                <w:vertAlign w:val="baseline"/>
                <w:lang w:val="en-US" w:eastAsia="zh-CN" w:bidi="ar-SA"/>
              </w:rPr>
              <w:t>档（</w:t>
            </w:r>
            <w:r>
              <w:rPr>
                <w:rFonts w:hint="eastAsia" w:ascii="宋体" w:hAnsi="宋体" w:cs="宋体"/>
                <w:b w:val="0"/>
                <w:bCs/>
                <w:color w:val="auto"/>
                <w:kern w:val="0"/>
                <w:sz w:val="21"/>
                <w:szCs w:val="21"/>
                <w:highlight w:val="none"/>
                <w:vertAlign w:val="baseline"/>
                <w:lang w:val="en-US" w:eastAsia="zh-CN" w:bidi="ar-SA"/>
              </w:rPr>
              <w:t>4</w:t>
            </w:r>
            <w:r>
              <w:rPr>
                <w:rFonts w:hint="eastAsia" w:ascii="宋体" w:hAnsi="宋体" w:eastAsia="宋体" w:cs="宋体"/>
                <w:b w:val="0"/>
                <w:bCs/>
                <w:color w:val="auto"/>
                <w:kern w:val="0"/>
                <w:sz w:val="21"/>
                <w:szCs w:val="21"/>
                <w:highlight w:val="none"/>
                <w:vertAlign w:val="baseline"/>
                <w:lang w:val="en-US" w:eastAsia="zh-CN" w:bidi="ar-SA"/>
              </w:rPr>
              <w:t>分）：方案要点齐全，</w:t>
            </w:r>
            <w:r>
              <w:rPr>
                <w:rFonts w:hint="eastAsia" w:ascii="宋体" w:hAnsi="宋体" w:eastAsia="宋体" w:cs="宋体"/>
                <w:color w:val="auto"/>
                <w:sz w:val="21"/>
                <w:szCs w:val="21"/>
                <w:highlight w:val="none"/>
                <w:lang w:val="en-US" w:eastAsia="zh-CN"/>
              </w:rPr>
              <w:t>总体思路、全流程难点分析、建设需求及重难点分析基本准确，但对本项目</w:t>
            </w:r>
            <w:r>
              <w:rPr>
                <w:rFonts w:hint="eastAsia" w:ascii="宋体" w:hAnsi="宋体" w:eastAsia="宋体" w:cs="宋体"/>
                <w:b w:val="0"/>
                <w:bCs/>
                <w:color w:val="auto"/>
                <w:kern w:val="0"/>
                <w:sz w:val="21"/>
                <w:szCs w:val="21"/>
                <w:highlight w:val="none"/>
                <w:vertAlign w:val="baseline"/>
                <w:lang w:val="en-US" w:eastAsia="zh-Hans" w:bidi="ar-SA"/>
              </w:rPr>
              <w:t>分析</w:t>
            </w:r>
            <w:r>
              <w:rPr>
                <w:rFonts w:hint="eastAsia" w:ascii="宋体" w:hAnsi="宋体" w:cs="宋体"/>
                <w:b w:val="0"/>
                <w:bCs/>
                <w:color w:val="auto"/>
                <w:kern w:val="0"/>
                <w:sz w:val="21"/>
                <w:szCs w:val="21"/>
                <w:highlight w:val="none"/>
                <w:vertAlign w:val="baseline"/>
                <w:lang w:val="en-US" w:eastAsia="zh-CN" w:bidi="ar-SA"/>
              </w:rPr>
              <w:t>可实施性</w:t>
            </w:r>
            <w:r>
              <w:rPr>
                <w:rFonts w:hint="eastAsia" w:ascii="宋体" w:hAnsi="宋体" w:eastAsia="宋体" w:cs="宋体"/>
                <w:b w:val="0"/>
                <w:bCs/>
                <w:color w:val="auto"/>
                <w:kern w:val="0"/>
                <w:sz w:val="21"/>
                <w:szCs w:val="21"/>
                <w:highlight w:val="none"/>
                <w:vertAlign w:val="baseline"/>
                <w:lang w:val="en-US" w:eastAsia="zh-Hans" w:bidi="ar-SA"/>
              </w:rPr>
              <w:t>欠缺</w:t>
            </w:r>
            <w:r>
              <w:rPr>
                <w:rFonts w:hint="eastAsia" w:ascii="宋体" w:hAnsi="宋体" w:eastAsia="宋体" w:cs="宋体"/>
                <w:b w:val="0"/>
                <w:bCs/>
                <w:color w:val="auto"/>
                <w:kern w:val="0"/>
                <w:sz w:val="21"/>
                <w:szCs w:val="21"/>
                <w:highlight w:val="none"/>
                <w:vertAlign w:val="baseline"/>
                <w:lang w:val="en-US" w:eastAsia="zh-CN" w:bidi="ar-SA"/>
              </w:rPr>
              <w:t>或描述不够具体的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color w:val="auto"/>
                <w:kern w:val="0"/>
                <w:sz w:val="21"/>
                <w:szCs w:val="21"/>
                <w:highlight w:val="none"/>
                <w:vertAlign w:val="baseline"/>
                <w:lang w:val="en-US" w:eastAsia="zh-CN" w:bidi="ar-SA"/>
              </w:rPr>
              <w:t>三</w:t>
            </w:r>
            <w:r>
              <w:rPr>
                <w:rFonts w:hint="eastAsia" w:ascii="宋体" w:hAnsi="宋体" w:eastAsia="宋体" w:cs="宋体"/>
                <w:b w:val="0"/>
                <w:bCs/>
                <w:color w:val="auto"/>
                <w:kern w:val="0"/>
                <w:sz w:val="21"/>
                <w:szCs w:val="21"/>
                <w:highlight w:val="none"/>
                <w:vertAlign w:val="baseline"/>
                <w:lang w:val="en-US" w:eastAsia="zh-CN" w:bidi="ar-SA"/>
              </w:rPr>
              <w:t>档（</w:t>
            </w:r>
            <w:r>
              <w:rPr>
                <w:rFonts w:hint="eastAsia" w:ascii="宋体" w:hAnsi="宋体" w:cs="宋体"/>
                <w:b w:val="0"/>
                <w:bCs/>
                <w:color w:val="auto"/>
                <w:kern w:val="0"/>
                <w:sz w:val="21"/>
                <w:szCs w:val="21"/>
                <w:highlight w:val="none"/>
                <w:vertAlign w:val="baseline"/>
                <w:lang w:val="en-US" w:eastAsia="zh-CN" w:bidi="ar-SA"/>
              </w:rPr>
              <w:t>6</w:t>
            </w:r>
            <w:r>
              <w:rPr>
                <w:rFonts w:hint="eastAsia" w:ascii="宋体" w:hAnsi="宋体" w:eastAsia="宋体" w:cs="宋体"/>
                <w:b w:val="0"/>
                <w:bCs/>
                <w:color w:val="auto"/>
                <w:kern w:val="0"/>
                <w:sz w:val="21"/>
                <w:szCs w:val="21"/>
                <w:highlight w:val="none"/>
                <w:vertAlign w:val="baseline"/>
                <w:lang w:val="en-US" w:eastAsia="zh-CN" w:bidi="ar-SA"/>
              </w:rPr>
              <w:t>分）：方案要点齐全，措施具体，</w:t>
            </w:r>
            <w:r>
              <w:rPr>
                <w:rFonts w:hint="eastAsia" w:ascii="宋体" w:hAnsi="宋体" w:eastAsia="宋体" w:cs="宋体"/>
                <w:b w:val="0"/>
                <w:bCs/>
                <w:color w:val="auto"/>
                <w:kern w:val="0"/>
                <w:sz w:val="21"/>
                <w:szCs w:val="21"/>
                <w:highlight w:val="none"/>
                <w:vertAlign w:val="baseline"/>
                <w:lang w:val="en-US" w:eastAsia="zh-Hans" w:bidi="ar-SA"/>
              </w:rPr>
              <w:t>对本项目的总体思路、</w:t>
            </w:r>
            <w:r>
              <w:rPr>
                <w:rFonts w:hint="eastAsia" w:ascii="宋体" w:hAnsi="宋体" w:eastAsia="宋体" w:cs="宋体"/>
                <w:b w:val="0"/>
                <w:bCs/>
                <w:color w:val="auto"/>
                <w:kern w:val="0"/>
                <w:sz w:val="21"/>
                <w:szCs w:val="21"/>
                <w:highlight w:val="none"/>
                <w:vertAlign w:val="baseline"/>
                <w:lang w:val="en-US" w:eastAsia="zh-CN" w:bidi="ar-SA"/>
              </w:rPr>
              <w:t>病理标本</w:t>
            </w:r>
            <w:r>
              <w:rPr>
                <w:rFonts w:hint="eastAsia" w:ascii="宋体" w:hAnsi="宋体" w:eastAsia="宋体" w:cs="宋体"/>
                <w:b w:val="0"/>
                <w:bCs/>
                <w:color w:val="auto"/>
                <w:kern w:val="0"/>
                <w:sz w:val="21"/>
                <w:szCs w:val="21"/>
                <w:highlight w:val="none"/>
                <w:vertAlign w:val="baseline"/>
                <w:lang w:val="en-US" w:eastAsia="zh-Hans" w:bidi="ar-SA"/>
              </w:rPr>
              <w:t>全流程</w:t>
            </w:r>
            <w:r>
              <w:rPr>
                <w:rFonts w:hint="eastAsia" w:ascii="宋体" w:hAnsi="宋体" w:eastAsia="宋体" w:cs="宋体"/>
                <w:b w:val="0"/>
                <w:bCs/>
                <w:color w:val="auto"/>
                <w:kern w:val="0"/>
                <w:sz w:val="21"/>
                <w:szCs w:val="21"/>
                <w:highlight w:val="none"/>
                <w:vertAlign w:val="baseline"/>
                <w:lang w:val="en-US" w:eastAsia="zh-CN" w:bidi="ar-SA"/>
              </w:rPr>
              <w:t>追溯</w:t>
            </w:r>
            <w:r>
              <w:rPr>
                <w:rFonts w:hint="eastAsia" w:ascii="宋体" w:hAnsi="宋体" w:eastAsia="宋体" w:cs="宋体"/>
                <w:b w:val="0"/>
                <w:bCs/>
                <w:color w:val="auto"/>
                <w:kern w:val="0"/>
                <w:sz w:val="21"/>
                <w:szCs w:val="21"/>
                <w:highlight w:val="none"/>
                <w:vertAlign w:val="baseline"/>
                <w:lang w:val="en-US" w:eastAsia="zh-Hans" w:bidi="ar-SA"/>
              </w:rPr>
              <w:t>难点分析、工作效率提升、系统扩展性、建设需求及重难点的分析理解到位，对数字病理科发展的分析</w:t>
            </w:r>
            <w:r>
              <w:rPr>
                <w:rFonts w:hint="eastAsia" w:ascii="宋体" w:hAnsi="宋体" w:eastAsia="宋体" w:cs="宋体"/>
                <w:b w:val="0"/>
                <w:bCs/>
                <w:color w:val="auto"/>
                <w:kern w:val="0"/>
                <w:sz w:val="21"/>
                <w:szCs w:val="21"/>
                <w:highlight w:val="none"/>
                <w:vertAlign w:val="baseline"/>
                <w:lang w:val="en-US" w:eastAsia="zh-CN" w:bidi="ar-SA"/>
              </w:rPr>
              <w:t>具有</w:t>
            </w:r>
            <w:r>
              <w:rPr>
                <w:rFonts w:hint="eastAsia" w:ascii="宋体" w:hAnsi="宋体" w:cs="宋体"/>
                <w:b w:val="0"/>
                <w:bCs/>
                <w:color w:val="auto"/>
                <w:kern w:val="0"/>
                <w:sz w:val="21"/>
                <w:szCs w:val="21"/>
                <w:highlight w:val="none"/>
                <w:vertAlign w:val="baseline"/>
                <w:lang w:val="en-US" w:eastAsia="zh-CN" w:bidi="ar-SA"/>
              </w:rPr>
              <w:t>可实施性</w:t>
            </w:r>
            <w:r>
              <w:rPr>
                <w:rFonts w:hint="eastAsia" w:ascii="宋体" w:hAnsi="宋体" w:eastAsia="宋体" w:cs="宋体"/>
                <w:b w:val="0"/>
                <w:bCs/>
                <w:color w:val="auto"/>
                <w:kern w:val="0"/>
                <w:sz w:val="21"/>
                <w:szCs w:val="21"/>
                <w:highlight w:val="none"/>
                <w:vertAlign w:val="baseline"/>
                <w:lang w:val="en-US" w:eastAsia="zh-Hans" w:bidi="ar-SA"/>
              </w:rPr>
              <w:t>且内容完善，分析准确</w:t>
            </w:r>
            <w:r>
              <w:rPr>
                <w:rFonts w:hint="eastAsia" w:ascii="宋体" w:hAnsi="宋体" w:eastAsia="宋体" w:cs="宋体"/>
                <w:b w:val="0"/>
                <w:bCs/>
                <w:color w:val="auto"/>
                <w:kern w:val="0"/>
                <w:sz w:val="21"/>
                <w:szCs w:val="21"/>
                <w:highlight w:val="none"/>
                <w:vertAlign w:val="baseline"/>
                <w:lang w:val="en-US" w:eastAsia="zh-CN" w:bidi="ar-SA"/>
              </w:rPr>
              <w:t>的</w:t>
            </w:r>
            <w:r>
              <w:rPr>
                <w:rFonts w:hint="eastAsia" w:ascii="宋体" w:hAnsi="宋体" w:eastAsia="宋体" w:cs="宋体"/>
                <w:b w:val="0"/>
                <w:bCs/>
                <w:color w:val="auto"/>
                <w:kern w:val="0"/>
                <w:sz w:val="21"/>
                <w:szCs w:val="21"/>
                <w:highlight w:val="none"/>
                <w:vertAlign w:val="baseline"/>
                <w:lang w:val="en-US" w:eastAsia="zh-Hans" w:bidi="ar-SA"/>
              </w:rPr>
              <w:t>得</w:t>
            </w:r>
            <w:r>
              <w:rPr>
                <w:rFonts w:hint="eastAsia" w:ascii="宋体" w:hAnsi="宋体" w:cs="宋体"/>
                <w:b w:val="0"/>
                <w:bCs/>
                <w:color w:val="auto"/>
                <w:kern w:val="0"/>
                <w:sz w:val="21"/>
                <w:szCs w:val="21"/>
                <w:highlight w:val="none"/>
                <w:vertAlign w:val="baseline"/>
                <w:lang w:val="en-US" w:eastAsia="zh-CN" w:bidi="ar-SA"/>
              </w:rPr>
              <w:t>6</w:t>
            </w:r>
            <w:r>
              <w:rPr>
                <w:rFonts w:hint="eastAsia" w:ascii="宋体" w:hAnsi="宋体" w:eastAsia="宋体" w:cs="宋体"/>
                <w:b w:val="0"/>
                <w:bCs/>
                <w:color w:val="auto"/>
                <w:kern w:val="0"/>
                <w:sz w:val="21"/>
                <w:szCs w:val="21"/>
                <w:highlight w:val="none"/>
                <w:vertAlign w:val="baseline"/>
                <w:lang w:val="en-US" w:eastAsia="zh-Hans" w:bidi="ar-SA"/>
              </w:rPr>
              <w:t>分</w:t>
            </w:r>
            <w:r>
              <w:rPr>
                <w:rFonts w:hint="eastAsia" w:ascii="宋体" w:hAnsi="宋体" w:eastAsia="宋体" w:cs="宋体"/>
                <w:b w:val="0"/>
                <w:bCs/>
                <w:color w:val="auto"/>
                <w:kern w:val="0"/>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2" w:type="dxa"/>
            <w:vMerge w:val="continue"/>
            <w:noWrap w:val="0"/>
            <w:vAlign w:val="center"/>
          </w:tcPr>
          <w:p>
            <w:pPr>
              <w:adjustRightInd w:val="0"/>
              <w:spacing w:line="360" w:lineRule="auto"/>
              <w:jc w:val="center"/>
              <w:textAlignment w:val="baseline"/>
              <w:rPr>
                <w:rFonts w:hint="eastAsia" w:ascii="宋体" w:hAnsi="宋体" w:eastAsia="宋体" w:cs="宋体"/>
                <w:b/>
                <w:color w:val="auto"/>
                <w:kern w:val="2"/>
                <w:sz w:val="21"/>
                <w:szCs w:val="21"/>
                <w:highlight w:val="none"/>
                <w:lang w:val="en-US" w:eastAsia="zh-CN" w:bidi="ar-SA"/>
              </w:rPr>
            </w:pPr>
          </w:p>
        </w:tc>
        <w:tc>
          <w:tcPr>
            <w:tcW w:w="1003" w:type="dxa"/>
            <w:vMerge w:val="continue"/>
            <w:noWrap w:val="0"/>
            <w:vAlign w:val="center"/>
          </w:tcPr>
          <w:p>
            <w:pPr>
              <w:adjustRightInd w:val="0"/>
              <w:spacing w:line="360" w:lineRule="auto"/>
              <w:jc w:val="center"/>
              <w:textAlignment w:val="baseline"/>
              <w:rPr>
                <w:rFonts w:hint="default" w:ascii="宋体" w:hAnsi="宋体" w:eastAsia="宋体" w:cs="宋体"/>
                <w:b/>
                <w:color w:val="auto"/>
                <w:kern w:val="2"/>
                <w:sz w:val="21"/>
                <w:szCs w:val="21"/>
                <w:highlight w:val="none"/>
                <w:lang w:val="en-US" w:eastAsia="zh-CN" w:bidi="ar-SA"/>
              </w:rPr>
            </w:pPr>
          </w:p>
        </w:tc>
        <w:tc>
          <w:tcPr>
            <w:tcW w:w="785" w:type="dxa"/>
            <w:vMerge w:val="continue"/>
            <w:noWrap w:val="0"/>
            <w:vAlign w:val="center"/>
          </w:tcPr>
          <w:p>
            <w:pPr>
              <w:adjustRightInd w:val="0"/>
              <w:spacing w:line="360" w:lineRule="auto"/>
              <w:jc w:val="center"/>
              <w:textAlignment w:val="baseline"/>
              <w:rPr>
                <w:rFonts w:hint="eastAsia" w:ascii="宋体" w:hAnsi="宋体" w:eastAsia="宋体" w:cs="宋体"/>
                <w:b/>
                <w:color w:val="auto"/>
                <w:kern w:val="2"/>
                <w:sz w:val="21"/>
                <w:szCs w:val="21"/>
                <w:highlight w:val="none"/>
                <w:lang w:val="en-US" w:eastAsia="zh-CN" w:bidi="ar-SA"/>
              </w:rPr>
            </w:pPr>
          </w:p>
        </w:tc>
        <w:tc>
          <w:tcPr>
            <w:tcW w:w="1918" w:type="dxa"/>
            <w:noWrap w:val="0"/>
            <w:vAlign w:val="center"/>
          </w:tcPr>
          <w:p>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组织实施方案（</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5350" w:type="dxa"/>
            <w:noWrap w:val="0"/>
            <w:vAlign w:val="center"/>
          </w:tcPr>
          <w:p>
            <w:pPr>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kern w:val="2"/>
                <w:sz w:val="21"/>
                <w:szCs w:val="21"/>
                <w:highlight w:val="none"/>
                <w:lang w:val="en-US" w:eastAsia="zh-CN" w:bidi="ar-SA"/>
              </w:rPr>
              <w:t>1.</w:t>
            </w:r>
            <w:r>
              <w:rPr>
                <w:rFonts w:hint="eastAsia" w:ascii="宋体" w:hAnsi="宋体" w:eastAsia="宋体" w:cs="宋体"/>
                <w:b w:val="0"/>
                <w:bCs/>
                <w:color w:val="auto"/>
                <w:sz w:val="21"/>
                <w:szCs w:val="21"/>
                <w:highlight w:val="none"/>
                <w:lang w:val="en-US" w:eastAsia="zh-CN"/>
              </w:rPr>
              <w:t>评分标准</w:t>
            </w:r>
          </w:p>
          <w:p>
            <w:pPr>
              <w:rPr>
                <w:color w:val="auto"/>
                <w:highlight w:val="none"/>
              </w:rPr>
            </w:pPr>
            <w:r>
              <w:rPr>
                <w:rFonts w:hint="eastAsia" w:ascii="宋体" w:hAnsi="宋体" w:eastAsia="宋体" w:cs="宋体"/>
                <w:b w:val="0"/>
                <w:bCs/>
                <w:color w:val="auto"/>
                <w:sz w:val="21"/>
                <w:szCs w:val="21"/>
                <w:highlight w:val="none"/>
                <w:lang w:val="en-US" w:eastAsia="zh-CN"/>
              </w:rPr>
              <w:t>针对本项目制定的</w:t>
            </w:r>
            <w:r>
              <w:rPr>
                <w:rFonts w:hint="eastAsia" w:ascii="宋体" w:hAnsi="宋体" w:eastAsia="宋体" w:cs="宋体"/>
                <w:b w:val="0"/>
                <w:bCs/>
                <w:color w:val="auto"/>
                <w:sz w:val="21"/>
                <w:szCs w:val="21"/>
                <w:highlight w:val="none"/>
              </w:rPr>
              <w:t>组织实施方案（包括安装调试、系统集成、试运行、测试、</w:t>
            </w:r>
            <w:r>
              <w:rPr>
                <w:rFonts w:hint="eastAsia" w:ascii="宋体" w:hAnsi="宋体" w:eastAsia="宋体" w:cs="宋体"/>
                <w:b w:val="0"/>
                <w:bCs/>
                <w:color w:val="auto"/>
                <w:sz w:val="21"/>
                <w:szCs w:val="21"/>
                <w:highlight w:val="none"/>
                <w:lang w:val="en-US" w:eastAsia="zh-CN"/>
              </w:rPr>
              <w:t>培训、</w:t>
            </w:r>
            <w:r>
              <w:rPr>
                <w:rFonts w:hint="eastAsia" w:ascii="宋体" w:hAnsi="宋体" w:eastAsia="宋体" w:cs="宋体"/>
                <w:b w:val="0"/>
                <w:bCs/>
                <w:color w:val="auto"/>
                <w:sz w:val="21"/>
                <w:szCs w:val="21"/>
                <w:highlight w:val="none"/>
              </w:rPr>
              <w:t>验收等内容，以及组织机构、工作时间进度表、工作程序和步骤、管理和协调方法等）进行评</w:t>
            </w:r>
            <w:r>
              <w:rPr>
                <w:rFonts w:hint="eastAsia" w:ascii="宋体" w:hAnsi="宋体" w:eastAsia="宋体" w:cs="宋体"/>
                <w:b w:val="0"/>
                <w:bCs/>
                <w:color w:val="auto"/>
                <w:sz w:val="21"/>
                <w:szCs w:val="21"/>
                <w:highlight w:val="none"/>
                <w:lang w:eastAsia="zh-CN"/>
              </w:rPr>
              <w:t>审：</w:t>
            </w:r>
          </w:p>
          <w:p>
            <w:pPr>
              <w:pStyle w:val="14"/>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lang w:val="en-US" w:eastAsia="zh-CN"/>
              </w:rPr>
              <w:t>一</w:t>
            </w:r>
            <w:r>
              <w:rPr>
                <w:rFonts w:hint="eastAsia" w:ascii="宋体" w:hAnsi="宋体" w:eastAsia="宋体" w:cs="宋体"/>
                <w:b w:val="0"/>
                <w:bCs/>
                <w:color w:val="auto"/>
                <w:sz w:val="21"/>
                <w:szCs w:val="21"/>
                <w:highlight w:val="none"/>
                <w:lang w:eastAsia="zh-CN"/>
              </w:rPr>
              <w:t>档（</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方案所包含的要点有缺漏或仅笼统描述无具体措施的得</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分</w:t>
            </w:r>
            <w:r>
              <w:rPr>
                <w:rFonts w:hint="eastAsia" w:ascii="宋体" w:hAnsi="宋体" w:eastAsia="宋体" w:cs="宋体"/>
                <w:b w:val="0"/>
                <w:bCs/>
                <w:color w:val="auto"/>
                <w:sz w:val="21"/>
                <w:szCs w:val="21"/>
                <w:highlight w:val="none"/>
                <w:lang w:eastAsia="zh-CN"/>
              </w:rPr>
              <w:t>；</w:t>
            </w:r>
          </w:p>
          <w:p>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二</w:t>
            </w:r>
            <w:r>
              <w:rPr>
                <w:rFonts w:hint="eastAsia" w:ascii="宋体" w:hAnsi="宋体" w:eastAsia="宋体" w:cs="宋体"/>
                <w:b w:val="0"/>
                <w:bCs/>
                <w:color w:val="auto"/>
                <w:sz w:val="21"/>
                <w:szCs w:val="21"/>
                <w:highlight w:val="none"/>
                <w:lang w:eastAsia="zh-CN"/>
              </w:rPr>
              <w:t>档（</w:t>
            </w: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方案所包含的要点齐全、内容与要点相符，内容相对简略，但具有可操作性的得</w:t>
            </w: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分；</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cs="宋体"/>
                <w:b w:val="0"/>
                <w:bCs/>
                <w:color w:val="auto"/>
                <w:sz w:val="21"/>
                <w:szCs w:val="21"/>
                <w:highlight w:val="none"/>
                <w:lang w:val="en-US" w:eastAsia="zh-CN"/>
              </w:rPr>
              <w:t>三</w:t>
            </w:r>
            <w:r>
              <w:rPr>
                <w:rFonts w:hint="eastAsia" w:ascii="宋体" w:hAnsi="宋体" w:eastAsia="宋体" w:cs="宋体"/>
                <w:b w:val="0"/>
                <w:bCs/>
                <w:color w:val="auto"/>
                <w:sz w:val="21"/>
                <w:szCs w:val="21"/>
                <w:highlight w:val="none"/>
                <w:lang w:eastAsia="zh-CN"/>
              </w:rPr>
              <w:t>档（</w:t>
            </w:r>
            <w:r>
              <w:rPr>
                <w:rFonts w:hint="eastAsia" w:ascii="宋体" w:hAnsi="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方案包含以上要点，内容与要点相符、实施内容符合标准规范且措施具体的得</w:t>
            </w:r>
            <w:r>
              <w:rPr>
                <w:rFonts w:hint="eastAsia" w:ascii="宋体" w:hAnsi="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分</w:t>
            </w:r>
            <w:r>
              <w:rPr>
                <w:rFonts w:hint="eastAsia" w:ascii="宋体" w:hAnsi="宋体" w:eastAsia="宋体" w:cs="宋体"/>
                <w:b w:val="0"/>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2" w:type="dxa"/>
            <w:vMerge w:val="continue"/>
            <w:noWrap w:val="0"/>
            <w:vAlign w:val="center"/>
          </w:tcPr>
          <w:p>
            <w:pPr>
              <w:adjustRightInd w:val="0"/>
              <w:spacing w:line="360" w:lineRule="auto"/>
              <w:jc w:val="center"/>
              <w:textAlignment w:val="baseline"/>
              <w:rPr>
                <w:rFonts w:hint="eastAsia" w:ascii="宋体" w:hAnsi="宋体" w:eastAsia="宋体" w:cs="宋体"/>
                <w:b/>
                <w:color w:val="auto"/>
                <w:sz w:val="21"/>
                <w:szCs w:val="21"/>
                <w:highlight w:val="none"/>
              </w:rPr>
            </w:pPr>
          </w:p>
        </w:tc>
        <w:tc>
          <w:tcPr>
            <w:tcW w:w="1003" w:type="dxa"/>
            <w:vMerge w:val="continue"/>
            <w:noWrap w:val="0"/>
            <w:vAlign w:val="center"/>
          </w:tcPr>
          <w:p>
            <w:pPr>
              <w:adjustRightInd w:val="0"/>
              <w:spacing w:line="360" w:lineRule="auto"/>
              <w:jc w:val="center"/>
              <w:textAlignment w:val="baseline"/>
              <w:rPr>
                <w:rFonts w:hint="eastAsia" w:ascii="宋体" w:hAnsi="宋体" w:eastAsia="宋体" w:cs="宋体"/>
                <w:b/>
                <w:color w:val="auto"/>
                <w:sz w:val="21"/>
                <w:szCs w:val="21"/>
                <w:highlight w:val="none"/>
              </w:rPr>
            </w:pPr>
          </w:p>
        </w:tc>
        <w:tc>
          <w:tcPr>
            <w:tcW w:w="785" w:type="dxa"/>
            <w:vMerge w:val="continue"/>
            <w:noWrap w:val="0"/>
            <w:vAlign w:val="center"/>
          </w:tcPr>
          <w:p>
            <w:pPr>
              <w:adjustRightInd w:val="0"/>
              <w:spacing w:line="360" w:lineRule="auto"/>
              <w:jc w:val="center"/>
              <w:textAlignment w:val="baseline"/>
              <w:rPr>
                <w:rFonts w:hint="eastAsia" w:ascii="宋体" w:hAnsi="宋体" w:eastAsia="宋体" w:cs="宋体"/>
                <w:b/>
                <w:color w:val="auto"/>
                <w:sz w:val="21"/>
                <w:szCs w:val="21"/>
                <w:highlight w:val="none"/>
              </w:rPr>
            </w:pPr>
          </w:p>
        </w:tc>
        <w:tc>
          <w:tcPr>
            <w:tcW w:w="1918" w:type="dxa"/>
            <w:noWrap w:val="0"/>
            <w:vAlign w:val="center"/>
          </w:tcPr>
          <w:p>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售后服务方案（6分）</w:t>
            </w:r>
          </w:p>
        </w:tc>
        <w:tc>
          <w:tcPr>
            <w:tcW w:w="5350" w:type="dxa"/>
            <w:noWrap w:val="0"/>
            <w:vAlign w:val="center"/>
          </w:tcPr>
          <w:p>
            <w:pPr>
              <w:keepNext w:val="0"/>
              <w:keepLines w:val="0"/>
              <w:suppressLineNumbers w:val="0"/>
              <w:spacing w:before="0" w:beforeAutospacing="0" w:after="0" w:afterAutospacing="0"/>
              <w:ind w:left="0" w:right="0"/>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1.评分标准</w:t>
            </w:r>
          </w:p>
          <w:p>
            <w:pPr>
              <w:keepNext w:val="0"/>
              <w:keepLines w:val="0"/>
              <w:suppressLineNumbers w:val="0"/>
              <w:spacing w:before="0" w:beforeAutospacing="0" w:after="0" w:afterAutospacing="0"/>
              <w:ind w:left="0" w:right="0"/>
              <w:rPr>
                <w:rFonts w:hint="eastAsia" w:ascii="宋体" w:hAnsi="宋体" w:cs="宋体"/>
                <w:b w:val="0"/>
                <w:bCs/>
                <w:color w:val="auto"/>
                <w:sz w:val="21"/>
                <w:szCs w:val="21"/>
                <w:highlight w:val="none"/>
                <w:lang w:val="en-US" w:eastAsia="zh-CN"/>
              </w:rPr>
            </w:pPr>
            <w:r>
              <w:rPr>
                <w:rFonts w:hint="default" w:ascii="宋体" w:hAnsi="宋体" w:eastAsia="宋体" w:cs="宋体"/>
                <w:b w:val="0"/>
                <w:bCs/>
                <w:color w:val="auto"/>
                <w:sz w:val="21"/>
                <w:szCs w:val="21"/>
                <w:highlight w:val="none"/>
                <w:lang w:val="en-US" w:eastAsia="zh-CN"/>
              </w:rPr>
              <w:t>根据投标人针对本项目提供的售后服务承诺、维护响应计划（包括售后服务机构的设立、专业人员配备情况及现有维修服务能力、具体的售后服务内容、故障响应时间、响应方式时间等内容）进行评议</w:t>
            </w:r>
            <w:r>
              <w:rPr>
                <w:rFonts w:hint="eastAsia" w:ascii="宋体" w:hAnsi="宋体" w:cs="宋体"/>
                <w:b w:val="0"/>
                <w:bCs/>
                <w:color w:val="auto"/>
                <w:sz w:val="21"/>
                <w:szCs w:val="21"/>
                <w:highlight w:val="none"/>
                <w:lang w:val="en-US" w:eastAsia="zh-CN"/>
              </w:rPr>
              <w:t>。</w:t>
            </w:r>
          </w:p>
          <w:p>
            <w:pPr>
              <w:keepNext w:val="0"/>
              <w:keepLines w:val="0"/>
              <w:suppressLineNumbers w:val="0"/>
              <w:spacing w:before="0" w:beforeAutospacing="0" w:after="0" w:afterAutospacing="0"/>
              <w:ind w:left="0" w:right="0"/>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一</w:t>
            </w:r>
            <w:r>
              <w:rPr>
                <w:rFonts w:hint="eastAsia" w:ascii="宋体" w:hAnsi="宋体" w:eastAsia="宋体" w:cs="宋体"/>
                <w:b w:val="0"/>
                <w:bCs/>
                <w:color w:val="auto"/>
                <w:sz w:val="21"/>
                <w:szCs w:val="21"/>
                <w:highlight w:val="none"/>
                <w:lang w:eastAsia="zh-CN"/>
              </w:rPr>
              <w:t>档（</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default" w:ascii="宋体" w:hAnsi="宋体" w:eastAsia="宋体" w:cs="宋体"/>
                <w:b w:val="0"/>
                <w:bCs/>
                <w:color w:val="auto"/>
                <w:sz w:val="21"/>
                <w:szCs w:val="21"/>
                <w:highlight w:val="none"/>
                <w:lang w:val="en-US" w:eastAsia="zh-CN"/>
              </w:rPr>
              <w:t>方案所包含的要点有缺漏或仅笼统描述无具体措施的得</w:t>
            </w:r>
            <w:r>
              <w:rPr>
                <w:rFonts w:hint="eastAsia" w:ascii="宋体" w:hAnsi="宋体" w:cs="宋体"/>
                <w:b w:val="0"/>
                <w:bCs/>
                <w:color w:val="auto"/>
                <w:sz w:val="21"/>
                <w:szCs w:val="21"/>
                <w:highlight w:val="none"/>
                <w:lang w:val="en-US" w:eastAsia="zh-CN"/>
              </w:rPr>
              <w:t>2</w:t>
            </w:r>
            <w:r>
              <w:rPr>
                <w:rFonts w:hint="default" w:ascii="宋体" w:hAnsi="宋体" w:eastAsia="宋体" w:cs="宋体"/>
                <w:b w:val="0"/>
                <w:bCs/>
                <w:color w:val="auto"/>
                <w:sz w:val="21"/>
                <w:szCs w:val="21"/>
                <w:highlight w:val="none"/>
                <w:lang w:val="en-US" w:eastAsia="zh-CN"/>
              </w:rPr>
              <w:t>分</w:t>
            </w:r>
            <w:r>
              <w:rPr>
                <w:rFonts w:hint="eastAsia" w:ascii="宋体" w:hAnsi="宋体" w:cs="宋体"/>
                <w:b w:val="0"/>
                <w:bCs/>
                <w:color w:val="auto"/>
                <w:sz w:val="21"/>
                <w:szCs w:val="21"/>
                <w:highlight w:val="none"/>
                <w:lang w:val="en-US" w:eastAsia="zh-CN"/>
              </w:rPr>
              <w:t>；</w:t>
            </w:r>
          </w:p>
          <w:p>
            <w:pPr>
              <w:keepNext w:val="0"/>
              <w:keepLines w:val="0"/>
              <w:suppressLineNumbers w:val="0"/>
              <w:spacing w:before="0" w:beforeAutospacing="0" w:after="0" w:afterAutospacing="0"/>
              <w:ind w:left="0" w:right="0"/>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二</w:t>
            </w:r>
            <w:r>
              <w:rPr>
                <w:rFonts w:hint="eastAsia" w:ascii="宋体" w:hAnsi="宋体" w:eastAsia="宋体" w:cs="宋体"/>
                <w:b w:val="0"/>
                <w:bCs/>
                <w:color w:val="auto"/>
                <w:sz w:val="21"/>
                <w:szCs w:val="21"/>
                <w:highlight w:val="none"/>
                <w:lang w:eastAsia="zh-CN"/>
              </w:rPr>
              <w:t>档（</w:t>
            </w: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default" w:ascii="宋体" w:hAnsi="宋体" w:eastAsia="宋体" w:cs="宋体"/>
                <w:b w:val="0"/>
                <w:bCs/>
                <w:color w:val="auto"/>
                <w:sz w:val="21"/>
                <w:szCs w:val="21"/>
                <w:highlight w:val="none"/>
                <w:lang w:val="en-US" w:eastAsia="zh-CN"/>
              </w:rPr>
              <w:t>方案所包含的要点</w:t>
            </w:r>
            <w:r>
              <w:rPr>
                <w:rFonts w:hint="eastAsia" w:ascii="宋体" w:hAnsi="宋体" w:cs="宋体"/>
                <w:b w:val="0"/>
                <w:bCs/>
                <w:color w:val="auto"/>
                <w:sz w:val="21"/>
                <w:szCs w:val="21"/>
                <w:highlight w:val="none"/>
                <w:lang w:val="en-US" w:eastAsia="zh-CN"/>
              </w:rPr>
              <w:t>有缺失</w:t>
            </w:r>
            <w:r>
              <w:rPr>
                <w:rFonts w:hint="default" w:ascii="宋体" w:hAnsi="宋体" w:eastAsia="宋体" w:cs="宋体"/>
                <w:b w:val="0"/>
                <w:bCs/>
                <w:color w:val="auto"/>
                <w:sz w:val="21"/>
                <w:szCs w:val="21"/>
                <w:highlight w:val="none"/>
                <w:lang w:val="en-US" w:eastAsia="zh-CN"/>
              </w:rPr>
              <w:t>、内容与要点相符</w:t>
            </w:r>
            <w:r>
              <w:rPr>
                <w:rFonts w:hint="eastAsia" w:ascii="宋体" w:hAnsi="宋体" w:cs="宋体"/>
                <w:b w:val="0"/>
                <w:bCs/>
                <w:color w:val="auto"/>
                <w:sz w:val="21"/>
                <w:szCs w:val="21"/>
                <w:highlight w:val="none"/>
                <w:lang w:val="en-US" w:eastAsia="zh-CN"/>
              </w:rPr>
              <w:t>度不足</w:t>
            </w:r>
            <w:r>
              <w:rPr>
                <w:rFonts w:hint="default" w:ascii="宋体" w:hAnsi="宋体" w:eastAsia="宋体" w:cs="宋体"/>
                <w:b w:val="0"/>
                <w:bCs/>
                <w:color w:val="auto"/>
                <w:sz w:val="21"/>
                <w:szCs w:val="21"/>
                <w:highlight w:val="none"/>
                <w:lang w:val="en-US" w:eastAsia="zh-CN"/>
              </w:rPr>
              <w:t>，但具有可操作性的得</w:t>
            </w:r>
            <w:r>
              <w:rPr>
                <w:rFonts w:hint="eastAsia" w:ascii="宋体" w:hAnsi="宋体" w:cs="宋体"/>
                <w:b w:val="0"/>
                <w:bCs/>
                <w:color w:val="auto"/>
                <w:sz w:val="21"/>
                <w:szCs w:val="21"/>
                <w:highlight w:val="none"/>
                <w:lang w:val="en-US" w:eastAsia="zh-CN"/>
              </w:rPr>
              <w:t>4</w:t>
            </w:r>
            <w:r>
              <w:rPr>
                <w:rFonts w:hint="default" w:ascii="宋体" w:hAnsi="宋体" w:eastAsia="宋体" w:cs="宋体"/>
                <w:b w:val="0"/>
                <w:bCs/>
                <w:color w:val="auto"/>
                <w:sz w:val="21"/>
                <w:szCs w:val="21"/>
                <w:highlight w:val="none"/>
                <w:lang w:val="en-US" w:eastAsia="zh-CN"/>
              </w:rPr>
              <w:t>分；</w:t>
            </w:r>
          </w:p>
          <w:p>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lang w:val="en-US" w:eastAsia="zh-CN"/>
              </w:rPr>
              <w:t>三</w:t>
            </w:r>
            <w:r>
              <w:rPr>
                <w:rFonts w:hint="eastAsia" w:ascii="宋体" w:hAnsi="宋体" w:eastAsia="宋体" w:cs="宋体"/>
                <w:b w:val="0"/>
                <w:bCs/>
                <w:color w:val="auto"/>
                <w:sz w:val="21"/>
                <w:szCs w:val="21"/>
                <w:highlight w:val="none"/>
                <w:lang w:eastAsia="zh-CN"/>
              </w:rPr>
              <w:t>档（</w:t>
            </w:r>
            <w:r>
              <w:rPr>
                <w:rFonts w:hint="eastAsia" w:ascii="宋体" w:hAnsi="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default" w:ascii="宋体" w:hAnsi="宋体" w:eastAsia="宋体" w:cs="宋体"/>
                <w:b w:val="0"/>
                <w:bCs/>
                <w:color w:val="auto"/>
                <w:sz w:val="21"/>
                <w:szCs w:val="21"/>
                <w:highlight w:val="none"/>
                <w:lang w:val="en-US" w:eastAsia="zh-CN"/>
              </w:rPr>
              <w:t>方案包含以上要点，内容与要点相符、且措施具体</w:t>
            </w:r>
            <w:r>
              <w:rPr>
                <w:rFonts w:hint="eastAsia" w:ascii="宋体" w:hAnsi="宋体" w:cs="宋体"/>
                <w:b w:val="0"/>
                <w:bCs/>
                <w:color w:val="auto"/>
                <w:sz w:val="21"/>
                <w:szCs w:val="21"/>
                <w:highlight w:val="none"/>
                <w:lang w:val="en-US" w:eastAsia="zh-CN"/>
              </w:rPr>
              <w:t>可操作性高</w:t>
            </w:r>
            <w:r>
              <w:rPr>
                <w:rFonts w:hint="default" w:ascii="宋体" w:hAnsi="宋体" w:eastAsia="宋体" w:cs="宋体"/>
                <w:b w:val="0"/>
                <w:bCs/>
                <w:color w:val="auto"/>
                <w:sz w:val="21"/>
                <w:szCs w:val="21"/>
                <w:highlight w:val="none"/>
                <w:lang w:val="en-US" w:eastAsia="zh-CN"/>
              </w:rPr>
              <w:t>的得</w:t>
            </w:r>
            <w:r>
              <w:rPr>
                <w:rFonts w:hint="eastAsia" w:ascii="宋体" w:hAnsi="宋体" w:cs="宋体"/>
                <w:b w:val="0"/>
                <w:bCs/>
                <w:color w:val="auto"/>
                <w:sz w:val="21"/>
                <w:szCs w:val="21"/>
                <w:highlight w:val="none"/>
                <w:lang w:val="en-US" w:eastAsia="zh-CN"/>
              </w:rPr>
              <w:t>6</w:t>
            </w:r>
            <w:r>
              <w:rPr>
                <w:rFonts w:hint="default" w:ascii="宋体" w:hAnsi="宋体" w:eastAsia="宋体" w:cs="宋体"/>
                <w:b w:val="0"/>
                <w:bCs/>
                <w:color w:val="auto"/>
                <w:sz w:val="21"/>
                <w:szCs w:val="21"/>
                <w:highlight w:val="none"/>
                <w:lang w:val="en-US" w:eastAsia="zh-CN"/>
              </w:rPr>
              <w:t>分</w:t>
            </w:r>
            <w:r>
              <w:rPr>
                <w:rFonts w:hint="eastAsia" w:ascii="宋体" w:hAnsi="宋体" w:cs="宋体"/>
                <w:b w:val="0"/>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2" w:type="dxa"/>
            <w:vMerge w:val="continue"/>
            <w:noWrap w:val="0"/>
            <w:vAlign w:val="center"/>
          </w:tcPr>
          <w:p>
            <w:pPr>
              <w:adjustRightInd w:val="0"/>
              <w:spacing w:line="360" w:lineRule="auto"/>
              <w:jc w:val="center"/>
              <w:textAlignment w:val="baseline"/>
              <w:rPr>
                <w:rFonts w:hint="eastAsia" w:ascii="宋体" w:hAnsi="宋体" w:eastAsia="宋体" w:cs="宋体"/>
                <w:b/>
                <w:color w:val="auto"/>
                <w:kern w:val="2"/>
                <w:sz w:val="21"/>
                <w:szCs w:val="21"/>
                <w:highlight w:val="none"/>
                <w:lang w:val="en-US" w:eastAsia="zh-CN" w:bidi="ar-SA"/>
              </w:rPr>
            </w:pPr>
          </w:p>
        </w:tc>
        <w:tc>
          <w:tcPr>
            <w:tcW w:w="1003" w:type="dxa"/>
            <w:vMerge w:val="continue"/>
            <w:noWrap w:val="0"/>
            <w:vAlign w:val="center"/>
          </w:tcPr>
          <w:p>
            <w:pPr>
              <w:adjustRightInd w:val="0"/>
              <w:spacing w:line="360" w:lineRule="auto"/>
              <w:jc w:val="center"/>
              <w:textAlignment w:val="baseline"/>
              <w:rPr>
                <w:rFonts w:hint="eastAsia" w:ascii="宋体" w:hAnsi="宋体" w:eastAsia="宋体" w:cs="宋体"/>
                <w:b/>
                <w:color w:val="auto"/>
                <w:kern w:val="2"/>
                <w:sz w:val="21"/>
                <w:szCs w:val="21"/>
                <w:highlight w:val="none"/>
                <w:lang w:val="en-US" w:eastAsia="zh-CN" w:bidi="ar-SA"/>
              </w:rPr>
            </w:pPr>
          </w:p>
        </w:tc>
        <w:tc>
          <w:tcPr>
            <w:tcW w:w="785" w:type="dxa"/>
            <w:vMerge w:val="continue"/>
            <w:noWrap w:val="0"/>
            <w:vAlign w:val="center"/>
          </w:tcPr>
          <w:p>
            <w:pPr>
              <w:adjustRightInd w:val="0"/>
              <w:spacing w:line="360" w:lineRule="auto"/>
              <w:jc w:val="center"/>
              <w:textAlignment w:val="baseline"/>
              <w:rPr>
                <w:rFonts w:hint="eastAsia" w:ascii="宋体" w:hAnsi="宋体" w:eastAsia="宋体" w:cs="宋体"/>
                <w:b/>
                <w:color w:val="auto"/>
                <w:kern w:val="2"/>
                <w:sz w:val="21"/>
                <w:szCs w:val="21"/>
                <w:highlight w:val="none"/>
                <w:lang w:val="en-US" w:eastAsia="zh-CN" w:bidi="ar-SA"/>
              </w:rPr>
            </w:pPr>
          </w:p>
        </w:tc>
        <w:tc>
          <w:tcPr>
            <w:tcW w:w="1918" w:type="dxa"/>
            <w:noWrap w:val="0"/>
            <w:vAlign w:val="center"/>
          </w:tcPr>
          <w:p>
            <w:pPr>
              <w:adjustRightInd w:val="0"/>
              <w:snapToGrid w:val="0"/>
              <w:spacing w:line="240" w:lineRule="auto"/>
              <w:jc w:val="center"/>
              <w:textAlignment w:val="baseline"/>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竞</w:t>
            </w:r>
            <w:r>
              <w:rPr>
                <w:rFonts w:hint="eastAsia" w:ascii="宋体" w:hAnsi="宋体" w:eastAsia="宋体" w:cs="宋体"/>
                <w:color w:val="auto"/>
                <w:sz w:val="21"/>
                <w:szCs w:val="21"/>
                <w:highlight w:val="none"/>
              </w:rPr>
              <w:t>标人/生产厂家综合实力</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350" w:type="dxa"/>
            <w:noWrap w:val="0"/>
            <w:vAlign w:val="center"/>
          </w:tcPr>
          <w:p>
            <w:pPr>
              <w:keepNext w:val="0"/>
              <w:keepLines w:val="0"/>
              <w:suppressLineNumbers w:val="0"/>
              <w:bidi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1.评审标准：</w:t>
            </w:r>
          </w:p>
          <w:p>
            <w:pPr>
              <w:keepNext w:val="0"/>
              <w:keepLines w:val="0"/>
              <w:numPr>
                <w:ilvl w:val="0"/>
                <w:numId w:val="5"/>
              </w:numPr>
              <w:suppressLineNumbers w:val="0"/>
              <w:bidi w:val="0"/>
              <w:spacing w:before="0" w:beforeAutospacing="0" w:after="0" w:afterAutospacing="0"/>
              <w:ind w:left="425" w:leftChars="0" w:right="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系统支持后续进一步的人工智能扩展与融合，能够深度集成相关应用。</w:t>
            </w:r>
            <w:r>
              <w:rPr>
                <w:rFonts w:hint="eastAsia" w:ascii="宋体" w:hAnsi="宋体" w:eastAsia="宋体" w:cs="宋体"/>
                <w:color w:val="auto"/>
                <w:sz w:val="21"/>
                <w:szCs w:val="21"/>
                <w:highlight w:val="none"/>
                <w:lang w:eastAsia="zh-CN"/>
              </w:rPr>
              <w:t>竞</w:t>
            </w:r>
            <w:r>
              <w:rPr>
                <w:rFonts w:hint="eastAsia" w:ascii="宋体" w:hAnsi="宋体" w:eastAsia="宋体" w:cs="宋体"/>
                <w:color w:val="auto"/>
                <w:sz w:val="21"/>
                <w:szCs w:val="21"/>
                <w:highlight w:val="none"/>
              </w:rPr>
              <w:t>标人</w:t>
            </w:r>
            <w:r>
              <w:rPr>
                <w:rFonts w:hint="eastAsia" w:ascii="宋体" w:hAnsi="宋体" w:eastAsia="宋体" w:cs="宋体"/>
                <w:color w:val="auto"/>
                <w:sz w:val="21"/>
                <w:szCs w:val="21"/>
                <w:highlight w:val="none"/>
                <w:lang w:val="en-US" w:eastAsia="zh-CN"/>
              </w:rPr>
              <w:t>或生产厂家</w:t>
            </w:r>
            <w:r>
              <w:rPr>
                <w:rFonts w:hint="eastAsia" w:ascii="宋体" w:hAnsi="宋体" w:eastAsia="宋体" w:cs="宋体"/>
                <w:color w:val="auto"/>
                <w:sz w:val="21"/>
                <w:szCs w:val="21"/>
                <w:highlight w:val="none"/>
              </w:rPr>
              <w:t>具备有效的</w:t>
            </w:r>
            <w:r>
              <w:rPr>
                <w:rFonts w:hint="eastAsia" w:ascii="宋体" w:hAnsi="宋体" w:eastAsia="宋体" w:cs="宋体"/>
                <w:color w:val="auto"/>
                <w:sz w:val="21"/>
                <w:szCs w:val="21"/>
                <w:highlight w:val="none"/>
                <w:lang w:val="en-US" w:eastAsia="zh-CN"/>
              </w:rPr>
              <w:t>同品牌</w:t>
            </w:r>
            <w:r>
              <w:rPr>
                <w:rFonts w:hint="eastAsia" w:ascii="宋体" w:hAnsi="宋体" w:eastAsia="宋体" w:cs="宋体"/>
                <w:color w:val="auto"/>
                <w:sz w:val="21"/>
                <w:szCs w:val="21"/>
                <w:highlight w:val="none"/>
              </w:rPr>
              <w:t>人工智能分析</w:t>
            </w:r>
            <w:r>
              <w:rPr>
                <w:rFonts w:hint="eastAsia" w:ascii="宋体" w:hAnsi="宋体" w:eastAsia="宋体" w:cs="宋体"/>
                <w:color w:val="auto"/>
                <w:sz w:val="21"/>
                <w:szCs w:val="21"/>
                <w:highlight w:val="none"/>
                <w:lang w:val="en-US" w:eastAsia="zh-CN"/>
              </w:rPr>
              <w:t>系统注册证书</w:t>
            </w:r>
            <w:r>
              <w:rPr>
                <w:rFonts w:hint="eastAsia" w:ascii="宋体" w:hAnsi="宋体" w:eastAsia="宋体" w:cs="宋体"/>
                <w:color w:val="auto"/>
                <w:sz w:val="21"/>
                <w:szCs w:val="21"/>
                <w:highlight w:val="none"/>
              </w:rPr>
              <w:t>，每提供1项得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分，共</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分；(需提供二类医疗器械注册证书复印件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原件备查</w:t>
            </w:r>
            <w:r>
              <w:rPr>
                <w:rFonts w:hint="eastAsia" w:ascii="宋体" w:hAnsi="宋体" w:eastAsia="宋体" w:cs="宋体"/>
                <w:color w:val="auto"/>
                <w:sz w:val="21"/>
                <w:szCs w:val="21"/>
                <w:highlight w:val="none"/>
              </w:rPr>
              <w:t>，否则不得分)</w:t>
            </w:r>
          </w:p>
          <w:p>
            <w:pPr>
              <w:keepNext w:val="0"/>
              <w:keepLines w:val="0"/>
              <w:numPr>
                <w:ilvl w:val="0"/>
                <w:numId w:val="5"/>
              </w:numPr>
              <w:suppressLineNumbers w:val="0"/>
              <w:bidi w:val="0"/>
              <w:spacing w:before="0" w:beforeAutospacing="0" w:after="0" w:afterAutospacing="0"/>
              <w:ind w:left="425" w:leftChars="0" w:right="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竞</w:t>
            </w:r>
            <w:r>
              <w:rPr>
                <w:rFonts w:hint="eastAsia" w:ascii="宋体" w:hAnsi="宋体" w:eastAsia="宋体" w:cs="宋体"/>
                <w:color w:val="auto"/>
                <w:sz w:val="21"/>
                <w:szCs w:val="21"/>
                <w:highlight w:val="none"/>
              </w:rPr>
              <w:t>标人</w:t>
            </w:r>
            <w:r>
              <w:rPr>
                <w:rFonts w:hint="eastAsia" w:ascii="宋体" w:hAnsi="宋体" w:eastAsia="宋体" w:cs="宋体"/>
                <w:color w:val="auto"/>
                <w:sz w:val="21"/>
                <w:szCs w:val="21"/>
                <w:highlight w:val="none"/>
                <w:lang w:val="en-US" w:eastAsia="zh-CN"/>
              </w:rPr>
              <w:t>所投产品系统支持微信小程序使用，</w:t>
            </w:r>
            <w:r>
              <w:rPr>
                <w:rFonts w:hint="eastAsia" w:ascii="宋体" w:hAnsi="宋体" w:eastAsia="宋体" w:cs="宋体"/>
                <w:color w:val="auto"/>
                <w:sz w:val="21"/>
                <w:szCs w:val="21"/>
                <w:highlight w:val="none"/>
              </w:rPr>
              <w:t>具有有效的病理科信息管理小程序</w:t>
            </w:r>
            <w:r>
              <w:rPr>
                <w:rFonts w:hint="eastAsia" w:ascii="宋体" w:hAnsi="宋体" w:cs="宋体"/>
                <w:color w:val="auto"/>
                <w:sz w:val="21"/>
                <w:szCs w:val="21"/>
                <w:highlight w:val="none"/>
                <w:lang w:val="en-US" w:eastAsia="zh-CN"/>
              </w:rPr>
              <w:t>类别</w:t>
            </w:r>
            <w:r>
              <w:rPr>
                <w:rFonts w:hint="eastAsia" w:ascii="宋体" w:hAnsi="宋体" w:eastAsia="宋体" w:cs="宋体"/>
                <w:color w:val="auto"/>
                <w:sz w:val="21"/>
                <w:szCs w:val="21"/>
                <w:highlight w:val="none"/>
              </w:rPr>
              <w:t>软件计算机软件著作权登记证书，得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分；(需提供证书复印件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原件备查，</w:t>
            </w:r>
            <w:r>
              <w:rPr>
                <w:rFonts w:hint="eastAsia" w:ascii="宋体" w:hAnsi="宋体" w:eastAsia="宋体" w:cs="宋体"/>
                <w:color w:val="auto"/>
                <w:sz w:val="21"/>
                <w:szCs w:val="21"/>
                <w:highlight w:val="none"/>
              </w:rPr>
              <w:t>否则不得分)</w:t>
            </w:r>
          </w:p>
          <w:p>
            <w:pPr>
              <w:numPr>
                <w:ilvl w:val="0"/>
                <w:numId w:val="5"/>
              </w:numPr>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竞标人或生产厂家通过医疗器械质量管理体系（ISO 13485:2016）认证标准的，得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需提供有效的证书复印件和《全国认证认可信息公共服务平台》查询结果“有效”截图并加盖公章</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否则不得分</w:t>
            </w:r>
            <w:r>
              <w:rPr>
                <w:rFonts w:hint="eastAsia" w:ascii="宋体" w:hAnsi="宋体" w:cs="宋体"/>
                <w:color w:val="auto"/>
                <w:sz w:val="21"/>
                <w:szCs w:val="21"/>
                <w:highlight w:val="none"/>
                <w:lang w:val="en-US" w:eastAsia="zh-CN"/>
              </w:rPr>
              <w:t>）</w:t>
            </w:r>
          </w:p>
          <w:p>
            <w:pPr>
              <w:keepNext w:val="0"/>
              <w:keepLines w:val="0"/>
              <w:numPr>
                <w:ilvl w:val="0"/>
                <w:numId w:val="5"/>
              </w:numPr>
              <w:suppressLineNumbers w:val="0"/>
              <w:bidi w:val="0"/>
              <w:spacing w:before="0" w:beforeAutospacing="0" w:after="0" w:afterAutospacing="0"/>
              <w:ind w:left="425" w:leftChars="0" w:right="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竞标人或生产厂家具备信息安全管理体系（ISO/IEC 27001:2013）认证证书，得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需提供有效的证书复印件和《全国认证认可信息公共服务平台》查询结果“有效”截图并加盖公章</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否则不得分)</w:t>
            </w:r>
          </w:p>
          <w:p>
            <w:pPr>
              <w:keepNext w:val="0"/>
              <w:keepLines w:val="0"/>
              <w:numPr>
                <w:ilvl w:val="0"/>
                <w:numId w:val="5"/>
              </w:numPr>
              <w:suppressLineNumbers w:val="0"/>
              <w:bidi w:val="0"/>
              <w:spacing w:before="0" w:beforeAutospacing="0" w:after="0" w:afterAutospacing="0"/>
              <w:ind w:left="425" w:leftChars="0" w:right="0" w:hanging="425"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竞标人或生产厂家</w:t>
            </w:r>
            <w:r>
              <w:rPr>
                <w:rFonts w:hint="eastAsia" w:ascii="宋体" w:hAnsi="宋体" w:eastAsia="宋体" w:cs="宋体"/>
                <w:color w:val="auto"/>
                <w:sz w:val="21"/>
                <w:szCs w:val="21"/>
                <w:highlight w:val="none"/>
              </w:rPr>
              <w:t>具备信息技术服务管理体系</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ISO</w:t>
            </w:r>
            <w:r>
              <w:rPr>
                <w:rFonts w:hint="eastAsia" w:ascii="宋体" w:hAnsi="宋体" w:eastAsia="宋体" w:cs="宋体"/>
                <w:color w:val="auto"/>
                <w:sz w:val="21"/>
                <w:szCs w:val="21"/>
                <w:highlight w:val="none"/>
                <w:lang w:val="en-US" w:eastAsia="zh-CN"/>
              </w:rPr>
              <w:t xml:space="preserve">/IEC </w:t>
            </w:r>
            <w:r>
              <w:rPr>
                <w:rFonts w:hint="eastAsia" w:ascii="宋体" w:hAnsi="宋体" w:eastAsia="宋体" w:cs="宋体"/>
                <w:color w:val="auto"/>
                <w:sz w:val="21"/>
                <w:szCs w:val="21"/>
                <w:highlight w:val="none"/>
              </w:rPr>
              <w:t>20000-1</w:t>
            </w:r>
            <w:r>
              <w:rPr>
                <w:rFonts w:hint="eastAsia" w:ascii="宋体" w:hAnsi="宋体" w:eastAsia="宋体" w:cs="宋体"/>
                <w:color w:val="auto"/>
                <w:sz w:val="21"/>
                <w:szCs w:val="21"/>
                <w:highlight w:val="none"/>
                <w:lang w:val="en-US" w:eastAsia="zh-CN"/>
              </w:rPr>
              <w:t>:2018）</w:t>
            </w:r>
            <w:r>
              <w:rPr>
                <w:rFonts w:hint="eastAsia" w:ascii="宋体" w:hAnsi="宋体" w:eastAsia="宋体" w:cs="宋体"/>
                <w:color w:val="auto"/>
                <w:sz w:val="21"/>
                <w:szCs w:val="21"/>
                <w:highlight w:val="none"/>
              </w:rPr>
              <w:t>认证证书，得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分；(需提供有效的证书复印件和《全国认证认可信息公共服务平台》查询结果“有效”截图并加盖公章</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否则不得分)</w:t>
            </w:r>
          </w:p>
          <w:p>
            <w:pPr>
              <w:keepNext w:val="0"/>
              <w:keepLines w:val="0"/>
              <w:numPr>
                <w:ilvl w:val="-1"/>
                <w:numId w:val="0"/>
              </w:numPr>
              <w:suppressLineNumbers w:val="0"/>
              <w:bidi w:val="0"/>
              <w:spacing w:before="0" w:beforeAutospacing="0" w:after="0" w:afterAutospacing="0"/>
              <w:ind w:left="0" w:leftChars="0" w:right="0" w:firstLine="0" w:firstLineChars="0"/>
              <w:rPr>
                <w:rFonts w:hint="eastAsia" w:ascii="宋体" w:hAnsi="宋体" w:eastAsia="宋体" w:cs="宋体"/>
                <w:color w:val="auto"/>
                <w:sz w:val="21"/>
                <w:szCs w:val="21"/>
                <w:highlight w:val="none"/>
                <w:lang w:val="en-US" w:eastAsia="zh-CN"/>
              </w:rPr>
            </w:pPr>
          </w:p>
          <w:p>
            <w:pPr>
              <w:keepNext w:val="0"/>
              <w:keepLines w:val="0"/>
              <w:suppressLineNumbers w:val="0"/>
              <w:bidi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证明文件：</w:t>
            </w:r>
          </w:p>
          <w:p>
            <w:pPr>
              <w:keepNext w:val="0"/>
              <w:keepLines w:val="0"/>
              <w:suppressLineNumbers w:val="0"/>
              <w:bidi w:val="0"/>
              <w:spacing w:before="0" w:beforeAutospacing="0" w:after="0" w:afterAutospacing="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提供相关证明文件复印件或扫描件，加盖</w:t>
            </w:r>
            <w:r>
              <w:rPr>
                <w:rFonts w:hint="eastAsia" w:ascii="宋体" w:hAnsi="宋体" w:eastAsia="宋体" w:cs="宋体"/>
                <w:color w:val="auto"/>
                <w:sz w:val="21"/>
                <w:szCs w:val="21"/>
                <w:highlight w:val="none"/>
                <w:lang w:eastAsia="zh-CN"/>
              </w:rPr>
              <w:t>竞</w:t>
            </w:r>
            <w:r>
              <w:rPr>
                <w:rFonts w:hint="eastAsia" w:ascii="宋体" w:hAnsi="宋体" w:eastAsia="宋体" w:cs="宋体"/>
                <w:color w:val="auto"/>
                <w:sz w:val="21"/>
                <w:szCs w:val="21"/>
                <w:highlight w:val="none"/>
              </w:rPr>
              <w:t>标人公章，未提供或提供的不清晰专家无法判断是否得分，一律作不得分处理，原件备查。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5"/>
            <w:noWrap w:val="0"/>
            <w:vAlign w:val="center"/>
          </w:tcPr>
          <w:p>
            <w:pPr>
              <w:pStyle w:val="13"/>
              <w:spacing w:line="360" w:lineRule="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总得分=1+2+3</w:t>
            </w:r>
            <w:r>
              <w:rPr>
                <w:rFonts w:hint="eastAsia" w:hAnsi="宋体" w:cs="宋体"/>
                <w:b/>
                <w:bCs/>
                <w:color w:val="auto"/>
                <w:kern w:val="2"/>
                <w:sz w:val="21"/>
                <w:szCs w:val="21"/>
                <w:highlight w:val="none"/>
                <w:lang w:val="en-US" w:eastAsia="zh-CN"/>
              </w:rPr>
              <w:t>+4</w:t>
            </w:r>
            <w:r>
              <w:rPr>
                <w:rFonts w:hint="eastAsia" w:ascii="宋体" w:hAnsi="宋体" w:eastAsia="宋体" w:cs="宋体"/>
                <w:b/>
                <w:bCs/>
                <w:color w:val="auto"/>
                <w:kern w:val="2"/>
                <w:sz w:val="21"/>
                <w:szCs w:val="21"/>
                <w:highlight w:val="none"/>
                <w:lang w:val="en-US" w:eastAsia="zh-CN"/>
              </w:rPr>
              <w:t>。</w:t>
            </w:r>
          </w:p>
        </w:tc>
      </w:tr>
    </w:tbl>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p>
      <w:pPr>
        <w:pStyle w:val="13"/>
        <w:spacing w:line="400" w:lineRule="exact"/>
        <w:ind w:firstLine="476" w:firstLineChars="238"/>
        <w:rPr>
          <w:rFonts w:hint="eastAsia" w:hAnsi="宋体" w:cs="宋体"/>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由磋商小组根据综合评分情况，按照评审得分由高到低顺序推荐3名</w:t>
      </w:r>
      <w:r>
        <w:rPr>
          <w:rFonts w:hint="eastAsia" w:ascii="宋体" w:hAnsi="宋体"/>
          <w:bCs/>
          <w:color w:val="auto"/>
          <w:szCs w:val="21"/>
          <w:highlight w:val="none"/>
          <w:lang w:val="en-US" w:eastAsia="zh-CN"/>
        </w:rPr>
        <w:t>及</w:t>
      </w:r>
      <w:r>
        <w:rPr>
          <w:rFonts w:hint="eastAsia" w:ascii="宋体" w:hAnsi="宋体"/>
          <w:bCs/>
          <w:color w:val="auto"/>
          <w:szCs w:val="21"/>
          <w:highlight w:val="none"/>
        </w:rPr>
        <w:t>以上成交候选供应商，并编写评审报告。符合本章第</w:t>
      </w:r>
      <w:r>
        <w:rPr>
          <w:rFonts w:hint="eastAsia" w:ascii="宋体" w:hAnsi="宋体" w:cs="宋体"/>
          <w:color w:val="auto"/>
          <w:szCs w:val="21"/>
          <w:highlight w:val="none"/>
        </w:rPr>
        <w:t>3.</w:t>
      </w:r>
      <w:r>
        <w:rPr>
          <w:rFonts w:hint="eastAsia" w:hAnsi="宋体" w:cs="宋体"/>
          <w:color w:val="auto"/>
          <w:szCs w:val="21"/>
          <w:highlight w:val="none"/>
          <w:lang w:val="en-US" w:eastAsia="zh-CN"/>
        </w:rPr>
        <w:t>7</w:t>
      </w:r>
      <w:r>
        <w:rPr>
          <w:rFonts w:hint="eastAsia" w:ascii="宋体" w:hAnsi="宋体" w:cs="宋体"/>
          <w:color w:val="auto"/>
          <w:szCs w:val="21"/>
          <w:highlight w:val="none"/>
        </w:rPr>
        <w:t>、</w:t>
      </w:r>
      <w:r>
        <w:rPr>
          <w:rFonts w:ascii="宋体" w:hAnsi="宋体" w:cs="宋体"/>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w:t>
      </w:r>
      <w:r>
        <w:rPr>
          <w:rFonts w:hint="eastAsia" w:ascii="宋体" w:hAnsi="宋体"/>
          <w:color w:val="auto"/>
          <w:szCs w:val="21"/>
          <w:highlight w:val="none"/>
        </w:rPr>
        <w:t>按综合评分中</w:t>
      </w:r>
      <w:r>
        <w:rPr>
          <w:rFonts w:hint="eastAsia" w:ascii="宋体" w:hAnsi="宋体" w:cs="宋体"/>
          <w:color w:val="auto"/>
          <w:sz w:val="21"/>
          <w:szCs w:val="21"/>
          <w:highlight w:val="none"/>
        </w:rPr>
        <w:t>服务需求指标</w:t>
      </w:r>
      <w:r>
        <w:rPr>
          <w:rFonts w:hint="eastAsia" w:ascii="宋体" w:hAnsi="宋体" w:cs="宋体"/>
          <w:bCs/>
          <w:color w:val="auto"/>
          <w:sz w:val="21"/>
          <w:szCs w:val="21"/>
          <w:highlight w:val="none"/>
        </w:rPr>
        <w:t>响应程度分</w:t>
      </w:r>
      <w:r>
        <w:rPr>
          <w:rFonts w:hint="eastAsia" w:hAnsi="宋体" w:cs="宋体"/>
          <w:bCs/>
          <w:color w:val="auto"/>
          <w:sz w:val="21"/>
          <w:szCs w:val="21"/>
          <w:highlight w:val="none"/>
          <w:lang w:eastAsia="zh-CN"/>
        </w:rPr>
        <w:t>、技术方案设计分、实施（组织）方案分</w:t>
      </w:r>
      <w:r>
        <w:rPr>
          <w:rFonts w:hint="eastAsia" w:ascii="宋体" w:hAnsi="宋体"/>
          <w:color w:val="auto"/>
          <w:szCs w:val="21"/>
          <w:highlight w:val="none"/>
        </w:rPr>
        <w:t>得分高低依次确定</w:t>
      </w:r>
      <w:r>
        <w:rPr>
          <w:rFonts w:hint="eastAsia" w:ascii="宋体" w:hAnsi="宋体"/>
          <w:bCs/>
          <w:color w:val="auto"/>
          <w:szCs w:val="21"/>
          <w:highlight w:val="none"/>
        </w:rPr>
        <w:t>）。</w:t>
      </w:r>
      <w:r>
        <w:rPr>
          <w:rFonts w:hint="eastAsia" w:hAnsi="宋体" w:cs="宋体"/>
          <w:color w:val="auto"/>
          <w:szCs w:val="21"/>
          <w:highlight w:val="none"/>
        </w:rPr>
        <w:t>采购人应当确定磋商小组推荐排名第一的成交候选供应商为成交供应商。排名第一的成交候选供应商放弃成交、因不可抗力提出不能成交，采购人可以确定排名第二的成交候选供应商为成交供应商。排名第二的成交候选供应商因前款规定的同样原因不能签订合同的，采购人可以确定排名第三的成交候选供应商为成交供应商。</w:t>
      </w:r>
    </w:p>
    <w:p>
      <w:pPr>
        <w:spacing w:line="360" w:lineRule="auto"/>
        <w:ind w:firstLine="480" w:firstLineChars="200"/>
        <w:rPr>
          <w:rFonts w:ascii="宋体" w:hAnsi="宋体" w:cs="宋体"/>
          <w:snapToGrid w:val="0"/>
          <w:color w:val="auto"/>
          <w:kern w:val="0"/>
          <w:sz w:val="24"/>
          <w:highlight w:val="none"/>
        </w:rPr>
      </w:pPr>
    </w:p>
    <w:p>
      <w:pPr>
        <w:pStyle w:val="14"/>
        <w:rPr>
          <w:rFonts w:hint="eastAsia"/>
          <w:color w:val="auto"/>
          <w:highlight w:val="none"/>
        </w:rPr>
      </w:pPr>
    </w:p>
    <w:p>
      <w:pPr>
        <w:pStyle w:val="2"/>
        <w:jc w:val="both"/>
        <w:rPr>
          <w:rFonts w:hint="eastAsia"/>
          <w:color w:val="auto"/>
          <w:highlight w:val="none"/>
        </w:rPr>
      </w:pPr>
      <w:bookmarkStart w:id="38" w:name="_Toc74323460"/>
    </w:p>
    <w:p>
      <w:pPr>
        <w:pStyle w:val="2"/>
        <w:jc w:val="center"/>
        <w:rPr>
          <w:rFonts w:hint="eastAsia"/>
          <w:color w:val="auto"/>
          <w:highlight w:val="none"/>
        </w:rPr>
      </w:pPr>
    </w:p>
    <w:p>
      <w:pPr>
        <w:pStyle w:val="2"/>
        <w:jc w:val="center"/>
        <w:rPr>
          <w:rFonts w:hint="eastAsia"/>
          <w:color w:val="auto"/>
          <w:highlight w:val="none"/>
        </w:rPr>
      </w:pPr>
    </w:p>
    <w:p>
      <w:pPr>
        <w:pStyle w:val="2"/>
        <w:jc w:val="center"/>
        <w:rPr>
          <w:rFonts w:hint="eastAsia"/>
          <w:color w:val="auto"/>
          <w:highlight w:val="none"/>
        </w:rPr>
      </w:pPr>
    </w:p>
    <w:p>
      <w:pPr>
        <w:pStyle w:val="2"/>
        <w:jc w:val="center"/>
        <w:rPr>
          <w:rFonts w:hint="eastAsia"/>
          <w:color w:val="auto"/>
          <w:highlight w:val="none"/>
        </w:rPr>
      </w:pPr>
    </w:p>
    <w:p>
      <w:pPr>
        <w:pStyle w:val="2"/>
        <w:jc w:val="center"/>
        <w:rPr>
          <w:rFonts w:hint="eastAsia"/>
          <w:color w:val="auto"/>
          <w:highlight w:val="none"/>
        </w:rPr>
      </w:pPr>
      <w:r>
        <w:rPr>
          <w:rFonts w:hint="eastAsia"/>
          <w:color w:val="auto"/>
          <w:highlight w:val="none"/>
        </w:rPr>
        <w:t>第五章 响应文件格式</w:t>
      </w:r>
      <w:bookmarkEnd w:id="38"/>
    </w:p>
    <w:p>
      <w:pPr>
        <w:spacing w:line="240" w:lineRule="atLeast"/>
        <w:rPr>
          <w:rFonts w:hint="eastAsia" w:ascii="宋体" w:hAnsi="宋体"/>
          <w:b/>
          <w:color w:val="auto"/>
          <w:sz w:val="32"/>
          <w:szCs w:val="32"/>
          <w:highlight w:val="none"/>
        </w:rPr>
      </w:pPr>
    </w:p>
    <w:p>
      <w:pPr>
        <w:spacing w:line="240" w:lineRule="atLeast"/>
        <w:rPr>
          <w:rFonts w:hint="eastAsia" w:ascii="宋体" w:hAnsi="宋体"/>
          <w:b/>
          <w:color w:val="auto"/>
          <w:sz w:val="32"/>
          <w:szCs w:val="32"/>
          <w:highlight w:val="none"/>
        </w:rPr>
      </w:pPr>
    </w:p>
    <w:p>
      <w:pPr>
        <w:spacing w:line="240" w:lineRule="atLeast"/>
        <w:rPr>
          <w:rFonts w:hint="eastAsia" w:ascii="宋体" w:hAnsi="宋体"/>
          <w:b/>
          <w:color w:val="auto"/>
          <w:sz w:val="32"/>
          <w:szCs w:val="32"/>
          <w:highlight w:val="none"/>
        </w:rPr>
      </w:pPr>
    </w:p>
    <w:p>
      <w:pPr>
        <w:spacing w:line="240" w:lineRule="atLeast"/>
        <w:rPr>
          <w:rFonts w:hint="eastAsia" w:ascii="宋体" w:hAnsi="宋体"/>
          <w:b/>
          <w:color w:val="auto"/>
          <w:sz w:val="32"/>
          <w:szCs w:val="32"/>
          <w:highlight w:val="none"/>
        </w:rPr>
      </w:pPr>
    </w:p>
    <w:p>
      <w:pPr>
        <w:spacing w:line="240" w:lineRule="atLeast"/>
        <w:rPr>
          <w:rFonts w:hint="eastAsia" w:ascii="宋体" w:hAnsi="宋体"/>
          <w:b/>
          <w:color w:val="auto"/>
          <w:sz w:val="32"/>
          <w:szCs w:val="32"/>
          <w:highlight w:val="none"/>
        </w:rPr>
      </w:pPr>
    </w:p>
    <w:p>
      <w:pPr>
        <w:spacing w:line="240" w:lineRule="atLeast"/>
        <w:rPr>
          <w:rFonts w:hint="eastAsia" w:ascii="宋体" w:hAnsi="宋体"/>
          <w:b/>
          <w:color w:val="auto"/>
          <w:sz w:val="32"/>
          <w:szCs w:val="32"/>
          <w:highlight w:val="none"/>
        </w:rPr>
      </w:pPr>
    </w:p>
    <w:p>
      <w:pPr>
        <w:spacing w:line="240" w:lineRule="atLeast"/>
        <w:rPr>
          <w:rFonts w:hint="eastAsia" w:ascii="宋体" w:hAnsi="宋体"/>
          <w:b/>
          <w:color w:val="auto"/>
          <w:sz w:val="32"/>
          <w:szCs w:val="32"/>
          <w:highlight w:val="none"/>
        </w:rPr>
      </w:pPr>
    </w:p>
    <w:p>
      <w:pPr>
        <w:spacing w:line="240" w:lineRule="atLeast"/>
        <w:rPr>
          <w:rFonts w:hint="eastAsia" w:ascii="宋体" w:hAnsi="宋体"/>
          <w:b/>
          <w:color w:val="auto"/>
          <w:sz w:val="32"/>
          <w:szCs w:val="32"/>
          <w:highlight w:val="none"/>
        </w:rPr>
      </w:pPr>
    </w:p>
    <w:p>
      <w:pPr>
        <w:spacing w:line="240" w:lineRule="atLeast"/>
        <w:rPr>
          <w:rFonts w:hint="eastAsia" w:ascii="宋体" w:hAnsi="宋体"/>
          <w:b/>
          <w:color w:val="auto"/>
          <w:sz w:val="32"/>
          <w:szCs w:val="32"/>
          <w:highlight w:val="none"/>
        </w:rPr>
      </w:pPr>
    </w:p>
    <w:p>
      <w:pPr>
        <w:spacing w:line="240" w:lineRule="atLeast"/>
        <w:rPr>
          <w:rFonts w:hint="eastAsia" w:ascii="仿宋_GB2312" w:hAnsi="仿宋_GB2312" w:eastAsia="仿宋_GB2312" w:cs="仿宋_GB2312"/>
          <w:bCs/>
          <w:color w:val="auto"/>
          <w:sz w:val="32"/>
          <w:szCs w:val="32"/>
          <w:highlight w:val="none"/>
        </w:rPr>
      </w:pPr>
    </w:p>
    <w:p>
      <w:pPr>
        <w:rPr>
          <w:rFonts w:hint="eastAsia"/>
          <w:b/>
          <w:color w:val="auto"/>
          <w:sz w:val="32"/>
          <w:szCs w:val="32"/>
          <w:highlight w:val="none"/>
        </w:rPr>
      </w:pPr>
      <w:bookmarkStart w:id="39" w:name="_Toc35611438"/>
      <w:bookmarkStart w:id="40" w:name="_Toc35611516"/>
      <w:bookmarkStart w:id="41" w:name="_Toc31723070"/>
      <w:bookmarkStart w:id="42" w:name="_Toc44229899"/>
      <w:bookmarkStart w:id="43" w:name="_Toc31728084"/>
      <w:bookmarkStart w:id="44" w:name="_Toc71365925"/>
    </w:p>
    <w:p>
      <w:pPr>
        <w:rPr>
          <w:rFonts w:hint="eastAsia"/>
          <w:b/>
          <w:color w:val="auto"/>
          <w:sz w:val="32"/>
          <w:szCs w:val="32"/>
          <w:highlight w:val="none"/>
        </w:rPr>
      </w:pPr>
    </w:p>
    <w:p>
      <w:pPr>
        <w:rPr>
          <w:rFonts w:hint="eastAsia"/>
          <w:b/>
          <w:color w:val="auto"/>
          <w:sz w:val="32"/>
          <w:szCs w:val="32"/>
          <w:highlight w:val="none"/>
        </w:rPr>
      </w:pPr>
      <w:r>
        <w:rPr>
          <w:rFonts w:hint="eastAsia"/>
          <w:b/>
          <w:color w:val="auto"/>
          <w:sz w:val="32"/>
          <w:szCs w:val="32"/>
          <w:highlight w:val="none"/>
        </w:rPr>
        <w:t>一、资格证明文件格式</w:t>
      </w:r>
      <w:bookmarkEnd w:id="39"/>
      <w:bookmarkEnd w:id="40"/>
      <w:bookmarkEnd w:id="41"/>
      <w:bookmarkEnd w:id="42"/>
      <w:bookmarkEnd w:id="43"/>
      <w:bookmarkEnd w:id="44"/>
    </w:p>
    <w:p>
      <w:pPr>
        <w:snapToGrid w:val="0"/>
        <w:spacing w:before="156"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pPr>
        <w:snapToGrid w:val="0"/>
        <w:spacing w:before="156" w:beforeLines="50" w:after="50"/>
        <w:rPr>
          <w:rFonts w:hint="eastAsia" w:ascii="宋体" w:hAnsi="宋体"/>
          <w:color w:val="auto"/>
          <w:sz w:val="24"/>
          <w:szCs w:val="20"/>
          <w:highlight w:val="none"/>
        </w:rPr>
      </w:pPr>
    </w:p>
    <w:p>
      <w:pPr>
        <w:snapToGrid w:val="0"/>
        <w:spacing w:before="156" w:beforeLines="50" w:after="50"/>
        <w:jc w:val="center"/>
        <w:rPr>
          <w:rFonts w:hint="eastAsia" w:ascii="方正小标宋简体" w:hAnsi="方正小标宋简体" w:eastAsia="方正小标宋简体" w:cs="方正小标宋简体"/>
          <w:bCs/>
          <w:color w:val="auto"/>
          <w:sz w:val="84"/>
          <w:szCs w:val="84"/>
          <w:highlight w:val="none"/>
        </w:rPr>
      </w:pPr>
      <w:r>
        <w:rPr>
          <w:rFonts w:hint="eastAsia" w:ascii="方正小标宋简体" w:hAnsi="方正小标宋简体" w:eastAsia="方正小标宋简体" w:cs="方正小标宋简体"/>
          <w:bCs/>
          <w:color w:val="auto"/>
          <w:sz w:val="84"/>
          <w:szCs w:val="84"/>
          <w:highlight w:val="none"/>
        </w:rPr>
        <w:t>响  应  文  件</w:t>
      </w:r>
    </w:p>
    <w:p>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p>
    <w:p>
      <w:pPr>
        <w:snapToGrid w:val="0"/>
        <w:spacing w:before="156" w:beforeLines="50" w:after="50"/>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资  格  证  明  文  件</w:t>
      </w: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pPr>
        <w:snapToGrid w:val="0"/>
        <w:spacing w:before="156" w:beforeLines="50" w:after="50"/>
        <w:ind w:firstLine="720" w:firstLineChars="225"/>
        <w:rPr>
          <w:rFonts w:hint="eastAsia" w:ascii="宋体" w:hAnsi="宋体" w:cs="仿宋_GB2312"/>
          <w:bCs/>
          <w:color w:val="auto"/>
          <w:sz w:val="32"/>
          <w:szCs w:val="32"/>
          <w:highlight w:val="none"/>
        </w:rPr>
      </w:pPr>
    </w:p>
    <w:p>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w:t>
      </w:r>
    </w:p>
    <w:p>
      <w:pPr>
        <w:snapToGrid w:val="0"/>
        <w:spacing w:before="156" w:beforeLines="50" w:after="50"/>
        <w:ind w:firstLine="720" w:firstLineChars="225"/>
        <w:rPr>
          <w:rFonts w:hint="eastAsia" w:ascii="宋体" w:hAnsi="宋体" w:cs="仿宋_GB2312"/>
          <w:bCs/>
          <w:color w:val="auto"/>
          <w:sz w:val="32"/>
          <w:szCs w:val="32"/>
          <w:highlight w:val="none"/>
        </w:rPr>
      </w:pPr>
    </w:p>
    <w:p>
      <w:pPr>
        <w:pStyle w:val="6"/>
        <w:snapToGrid w:val="0"/>
        <w:spacing w:before="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pPr>
        <w:pStyle w:val="6"/>
        <w:snapToGrid w:val="0"/>
        <w:spacing w:before="50" w:after="50"/>
        <w:ind w:firstLine="720" w:firstLineChars="225"/>
        <w:rPr>
          <w:rFonts w:hint="eastAsia" w:ascii="宋体" w:hAnsi="宋体" w:cs="仿宋_GB2312"/>
          <w:bCs/>
          <w:color w:val="auto"/>
          <w:sz w:val="32"/>
          <w:szCs w:val="32"/>
          <w:highlight w:val="none"/>
        </w:rPr>
      </w:pPr>
    </w:p>
    <w:p>
      <w:pPr>
        <w:pStyle w:val="6"/>
        <w:snapToGrid w:val="0"/>
        <w:spacing w:before="50" w:after="50"/>
        <w:ind w:firstLine="720" w:firstLineChars="225"/>
        <w:rPr>
          <w:rFonts w:hint="eastAsia" w:ascii="宋体" w:hAnsi="宋体" w:cs="仿宋_GB2312"/>
          <w:bCs/>
          <w:color w:val="auto"/>
          <w:sz w:val="32"/>
          <w:szCs w:val="32"/>
          <w:highlight w:val="none"/>
        </w:rPr>
      </w:pPr>
    </w:p>
    <w:p>
      <w:pPr>
        <w:pStyle w:val="6"/>
        <w:snapToGrid w:val="0"/>
        <w:spacing w:before="50" w:after="50"/>
        <w:ind w:firstLine="1280" w:firstLineChars="400"/>
        <w:rPr>
          <w:rFonts w:hint="eastAsia" w:ascii="宋体" w:hAnsi="宋体" w:cs="仿宋_GB2312"/>
          <w:bCs/>
          <w:color w:val="auto"/>
          <w:sz w:val="32"/>
          <w:szCs w:val="32"/>
          <w:highlight w:val="none"/>
        </w:rPr>
      </w:pPr>
    </w:p>
    <w:p>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pPr>
        <w:snapToGrid w:val="0"/>
        <w:spacing w:before="156"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pPr>
        <w:snapToGrid w:val="0"/>
        <w:spacing w:line="360" w:lineRule="auto"/>
        <w:rPr>
          <w:rFonts w:hint="eastAsia" w:asciiTheme="minorEastAsia" w:hAnsiTheme="minorEastAsia" w:eastAsiaTheme="minorEastAsia" w:cstheme="minorEastAsia"/>
          <w:color w:val="auto"/>
          <w:sz w:val="21"/>
          <w:szCs w:val="21"/>
          <w:highlight w:val="none"/>
          <w:lang w:val="en-US" w:eastAsia="zh-CN"/>
        </w:rPr>
      </w:pPr>
    </w:p>
    <w:p>
      <w:pPr>
        <w:snapToGrid w:val="0"/>
        <w:spacing w:line="360" w:lineRule="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1、供应商为法人或者其他组织的，证明文件为其营业执照复印件（如营业执照或者事业单位法人证书或者执业许可证等）；供应商为自然人的，证明文件为其身份证复印件；</w:t>
      </w:r>
      <w:r>
        <w:rPr>
          <w:rFonts w:hint="eastAsia" w:ascii="宋体" w:hAnsi="宋体" w:eastAsia="宋体" w:cs="宋体"/>
          <w:color w:val="auto"/>
          <w:kern w:val="0"/>
          <w:sz w:val="24"/>
          <w:szCs w:val="24"/>
          <w:highlight w:val="none"/>
        </w:rPr>
        <w:t>……………………………………………………………………………………（页码）</w:t>
      </w:r>
    </w:p>
    <w:p>
      <w:pPr>
        <w:snapToGrid w:val="0"/>
        <w:spacing w:line="360" w:lineRule="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2、供应商依法缴纳税收的相关材料</w:t>
      </w:r>
      <w:r>
        <w:rPr>
          <w:rFonts w:hint="eastAsia" w:ascii="宋体" w:hAnsi="宋体" w:eastAsia="宋体" w:cs="宋体"/>
          <w:color w:val="auto"/>
          <w:kern w:val="0"/>
          <w:sz w:val="24"/>
          <w:szCs w:val="24"/>
          <w:highlight w:val="none"/>
        </w:rPr>
        <w:t>………………………………………………（页码）</w:t>
      </w:r>
    </w:p>
    <w:p>
      <w:pPr>
        <w:snapToGrid w:val="0"/>
        <w:spacing w:line="360" w:lineRule="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3、供应商依法缴纳社会保障资金的相关材料</w:t>
      </w:r>
      <w:r>
        <w:rPr>
          <w:rFonts w:hint="eastAsia" w:ascii="宋体" w:hAnsi="宋体" w:eastAsia="宋体" w:cs="宋体"/>
          <w:color w:val="auto"/>
          <w:kern w:val="0"/>
          <w:sz w:val="24"/>
          <w:szCs w:val="24"/>
          <w:highlight w:val="none"/>
        </w:rPr>
        <w:t>……………………………………（页码）</w:t>
      </w:r>
    </w:p>
    <w:p>
      <w:pPr>
        <w:snapToGrid w:val="0"/>
        <w:spacing w:line="360" w:lineRule="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4、供应商财务状况报告</w:t>
      </w:r>
      <w:r>
        <w:rPr>
          <w:rFonts w:hint="eastAsia" w:ascii="宋体" w:hAnsi="宋体" w:eastAsia="宋体" w:cs="宋体"/>
          <w:color w:val="auto"/>
          <w:kern w:val="0"/>
          <w:sz w:val="24"/>
          <w:szCs w:val="24"/>
          <w:highlight w:val="none"/>
        </w:rPr>
        <w:t>……………………………………………………………（页码）</w:t>
      </w:r>
    </w:p>
    <w:p>
      <w:pPr>
        <w:snapToGrid w:val="0"/>
        <w:spacing w:line="360" w:lineRule="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5、供应商直接控股、管理关系信息表</w:t>
      </w:r>
      <w:r>
        <w:rPr>
          <w:rFonts w:hint="eastAsia" w:ascii="宋体" w:hAnsi="宋体" w:eastAsia="宋体" w:cs="宋体"/>
          <w:color w:val="auto"/>
          <w:kern w:val="0"/>
          <w:sz w:val="24"/>
          <w:szCs w:val="24"/>
          <w:highlight w:val="none"/>
        </w:rPr>
        <w:t>……………………………………………（页码）</w:t>
      </w:r>
    </w:p>
    <w:p>
      <w:pPr>
        <w:snapToGrid w:val="0"/>
        <w:spacing w:line="360" w:lineRule="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6、竞标声明</w:t>
      </w:r>
      <w:r>
        <w:rPr>
          <w:rFonts w:hint="eastAsia" w:ascii="宋体" w:hAnsi="宋体" w:eastAsia="宋体" w:cs="宋体"/>
          <w:color w:val="auto"/>
          <w:kern w:val="0"/>
          <w:sz w:val="24"/>
          <w:szCs w:val="24"/>
          <w:highlight w:val="none"/>
        </w:rPr>
        <w:t>…………………………………………………………………………（页码）</w:t>
      </w:r>
    </w:p>
    <w:p>
      <w:pPr>
        <w:pStyle w:val="10"/>
        <w:rPr>
          <w:rFonts w:hint="eastAsia" w:eastAsia="宋体"/>
          <w:color w:val="auto"/>
          <w:highlight w:val="none"/>
          <w:lang w:val="en-US" w:eastAsia="zh-CN"/>
        </w:rPr>
      </w:pPr>
      <w:r>
        <w:rPr>
          <w:rFonts w:hint="eastAsia" w:ascii="宋体" w:hAnsi="宋体" w:cs="宋体"/>
          <w:color w:val="auto"/>
          <w:kern w:val="0"/>
          <w:sz w:val="24"/>
          <w:szCs w:val="24"/>
          <w:highlight w:val="none"/>
          <w:lang w:val="en-US" w:eastAsia="zh-CN"/>
        </w:rPr>
        <w:t>7、本项目的特定资格要求</w:t>
      </w:r>
      <w:r>
        <w:rPr>
          <w:rFonts w:hint="eastAsia" w:ascii="宋体" w:hAnsi="宋体" w:eastAsia="宋体" w:cs="宋体"/>
          <w:color w:val="auto"/>
          <w:kern w:val="0"/>
          <w:sz w:val="24"/>
          <w:szCs w:val="24"/>
          <w:highlight w:val="none"/>
        </w:rPr>
        <w:t>…………………………………………………………（页码）</w:t>
      </w:r>
    </w:p>
    <w:p>
      <w:pPr>
        <w:snapToGrid w:val="0"/>
        <w:spacing w:line="360" w:lineRule="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、除磋商文件规定必须提供以外，供应商认为需要提供的其他证明材料</w:t>
      </w:r>
      <w:r>
        <w:rPr>
          <w:rFonts w:hint="eastAsia" w:ascii="宋体" w:hAnsi="宋体" w:eastAsia="宋体" w:cs="宋体"/>
          <w:color w:val="auto"/>
          <w:kern w:val="0"/>
          <w:sz w:val="24"/>
          <w:szCs w:val="24"/>
          <w:highlight w:val="none"/>
        </w:rPr>
        <w:t>……………………………………………（页码）</w:t>
      </w:r>
    </w:p>
    <w:p>
      <w:pPr>
        <w:pStyle w:val="10"/>
        <w:rPr>
          <w:rFonts w:hint="eastAsia"/>
          <w:b/>
          <w:bCs/>
          <w:color w:val="auto"/>
          <w:highlight w:val="none"/>
        </w:rPr>
      </w:pPr>
    </w:p>
    <w:p>
      <w:pPr>
        <w:spacing w:line="360" w:lineRule="auto"/>
        <w:rPr>
          <w:rFonts w:hint="eastAsia" w:ascii="宋体" w:hAnsi="宋体" w:eastAsia="宋体" w:cs="宋体"/>
          <w:b/>
          <w:bCs/>
          <w:color w:val="auto"/>
          <w:sz w:val="24"/>
          <w:highlight w:val="none"/>
        </w:rPr>
      </w:pP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pPr>
        <w:snapToGrid w:val="0"/>
        <w:spacing w:before="156" w:beforeLines="50" w:after="50" w:line="360" w:lineRule="auto"/>
        <w:ind w:firstLine="645"/>
        <w:rPr>
          <w:rFonts w:ascii="宋体" w:hAnsi="宋体"/>
          <w:color w:val="auto"/>
          <w:sz w:val="32"/>
          <w:szCs w:val="32"/>
          <w:highlight w:val="none"/>
        </w:rPr>
      </w:pPr>
    </w:p>
    <w:p>
      <w:pPr>
        <w:snapToGrid w:val="0"/>
        <w:spacing w:before="156" w:beforeLines="50" w:after="50"/>
        <w:rPr>
          <w:rFonts w:hint="eastAsia" w:ascii="宋体" w:hAnsi="宋体"/>
          <w:color w:val="auto"/>
          <w:szCs w:val="21"/>
          <w:highlight w:val="none"/>
        </w:rPr>
      </w:pPr>
      <w:r>
        <w:rPr>
          <w:rFonts w:ascii="宋体" w:hAnsi="宋体"/>
          <w:color w:val="auto"/>
          <w:sz w:val="24"/>
          <w:szCs w:val="20"/>
          <w:highlight w:val="none"/>
        </w:rPr>
        <w:t xml:space="preserve"> </w:t>
      </w: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numPr>
          <w:ilvl w:val="0"/>
          <w:numId w:val="6"/>
        </w:numPr>
        <w:spacing w:line="320" w:lineRule="exact"/>
        <w:ind w:left="160" w:leftChars="0" w:firstLine="0" w:firstLineChars="0"/>
        <w:jc w:val="left"/>
        <w:rPr>
          <w:rFonts w:hint="eastAsia" w:ascii="宋体" w:hAnsi="宋体"/>
          <w:b/>
          <w:color w:val="auto"/>
          <w:sz w:val="32"/>
          <w:szCs w:val="32"/>
          <w:highlight w:val="none"/>
          <w:lang w:val="en-US" w:eastAsia="zh-CN"/>
        </w:rPr>
      </w:pPr>
      <w:r>
        <w:rPr>
          <w:rFonts w:ascii="宋体" w:hAnsi="宋体"/>
          <w:color w:val="auto"/>
          <w:szCs w:val="21"/>
          <w:highlight w:val="none"/>
        </w:rPr>
        <w:br w:type="page"/>
      </w:r>
      <w:r>
        <w:rPr>
          <w:rFonts w:hint="eastAsia" w:ascii="宋体" w:hAnsi="宋体"/>
          <w:b/>
          <w:color w:val="auto"/>
          <w:sz w:val="32"/>
          <w:szCs w:val="32"/>
          <w:highlight w:val="none"/>
          <w:lang w:val="en-US" w:eastAsia="zh-CN"/>
        </w:rPr>
        <w:t>供应商为法人或者其他组织的，证明文件为其营业执照复印件（如营业执照或者事业单位法人证书或者执业许可证等）；供应商为自然人的，证明文件为其身份证复印件。</w:t>
      </w:r>
    </w:p>
    <w:p>
      <w:pPr>
        <w:numPr>
          <w:ilvl w:val="0"/>
          <w:numId w:val="0"/>
        </w:numPr>
        <w:spacing w:line="320" w:lineRule="exact"/>
        <w:ind w:left="160" w:leftChars="0"/>
        <w:jc w:val="left"/>
        <w:rPr>
          <w:rFonts w:hint="eastAsia" w:ascii="宋体" w:hAnsi="宋体"/>
          <w:b/>
          <w:color w:val="auto"/>
          <w:sz w:val="32"/>
          <w:szCs w:val="32"/>
          <w:highlight w:val="none"/>
        </w:rPr>
      </w:pPr>
    </w:p>
    <w:p>
      <w:pPr>
        <w:spacing w:line="360" w:lineRule="auto"/>
        <w:ind w:firstLine="602" w:firstLineChars="200"/>
        <w:rPr>
          <w:rFonts w:hint="eastAsia" w:ascii="宋体" w:hAnsi="宋体" w:eastAsia="宋体" w:cs="宋体"/>
          <w:b/>
          <w:color w:val="auto"/>
          <w:kern w:val="0"/>
          <w:sz w:val="30"/>
          <w:szCs w:val="30"/>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pPr>
        <w:numPr>
          <w:ilvl w:val="0"/>
          <w:numId w:val="0"/>
        </w:numPr>
        <w:spacing w:line="320" w:lineRule="exact"/>
        <w:ind w:left="160" w:leftChars="0"/>
        <w:jc w:val="left"/>
        <w:rPr>
          <w:rFonts w:hint="eastAsia" w:ascii="宋体" w:hAnsi="宋体"/>
          <w:b/>
          <w:color w:val="auto"/>
          <w:sz w:val="32"/>
          <w:szCs w:val="32"/>
          <w:highlight w:val="none"/>
        </w:rPr>
      </w:pPr>
    </w:p>
    <w:p>
      <w:pPr>
        <w:numPr>
          <w:ilvl w:val="0"/>
          <w:numId w:val="0"/>
        </w:numPr>
        <w:spacing w:line="320" w:lineRule="exact"/>
        <w:ind w:left="160" w:leftChars="0"/>
        <w:jc w:val="left"/>
        <w:rPr>
          <w:rFonts w:hint="eastAsia" w:ascii="宋体" w:hAnsi="宋体"/>
          <w:b/>
          <w:color w:val="auto"/>
          <w:sz w:val="32"/>
          <w:szCs w:val="32"/>
          <w:highlight w:val="none"/>
        </w:rPr>
      </w:pPr>
    </w:p>
    <w:p>
      <w:pPr>
        <w:numPr>
          <w:ilvl w:val="0"/>
          <w:numId w:val="0"/>
        </w:numPr>
        <w:spacing w:line="320" w:lineRule="exact"/>
        <w:ind w:left="160" w:leftChars="0"/>
        <w:jc w:val="left"/>
        <w:rPr>
          <w:rFonts w:hint="eastAsia" w:ascii="宋体" w:hAnsi="宋体"/>
          <w:b/>
          <w:color w:val="auto"/>
          <w:sz w:val="32"/>
          <w:szCs w:val="32"/>
          <w:highlight w:val="none"/>
        </w:rPr>
      </w:pPr>
      <w:r>
        <w:rPr>
          <w:rFonts w:hint="eastAsia" w:ascii="宋体" w:hAnsi="宋体"/>
          <w:b/>
          <w:color w:val="auto"/>
          <w:sz w:val="32"/>
          <w:szCs w:val="32"/>
          <w:highlight w:val="none"/>
        </w:rPr>
        <w:t>2、供应商依法缴纳税收的相关材料</w:t>
      </w:r>
    </w:p>
    <w:p>
      <w:pPr>
        <w:pStyle w:val="10"/>
        <w:rPr>
          <w:rFonts w:hint="eastAsia"/>
          <w:color w:val="auto"/>
          <w:highlight w:val="none"/>
        </w:rPr>
      </w:pPr>
    </w:p>
    <w:p>
      <w:pPr>
        <w:spacing w:line="360" w:lineRule="auto"/>
        <w:ind w:firstLine="602" w:firstLineChars="200"/>
        <w:rPr>
          <w:rFonts w:hint="eastAsia" w:ascii="宋体" w:hAnsi="宋体" w:eastAsia="宋体" w:cs="宋体"/>
          <w:b/>
          <w:color w:val="auto"/>
          <w:kern w:val="0"/>
          <w:sz w:val="30"/>
          <w:szCs w:val="30"/>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pPr>
        <w:rPr>
          <w:rFonts w:hint="eastAsia"/>
          <w:color w:val="auto"/>
          <w:highlight w:val="none"/>
        </w:rPr>
      </w:pPr>
    </w:p>
    <w:p>
      <w:pPr>
        <w:rPr>
          <w:rFonts w:hint="eastAsia"/>
          <w:color w:val="auto"/>
          <w:highlight w:val="none"/>
        </w:rPr>
      </w:pPr>
    </w:p>
    <w:p>
      <w:pPr>
        <w:pStyle w:val="10"/>
        <w:rPr>
          <w:rFonts w:hint="eastAsia"/>
          <w:color w:val="auto"/>
          <w:highlight w:val="none"/>
        </w:rPr>
      </w:pPr>
    </w:p>
    <w:p>
      <w:pPr>
        <w:numPr>
          <w:ilvl w:val="0"/>
          <w:numId w:val="0"/>
        </w:numPr>
        <w:spacing w:line="320" w:lineRule="exact"/>
        <w:jc w:val="left"/>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3、</w:t>
      </w:r>
      <w:r>
        <w:rPr>
          <w:rFonts w:hint="eastAsia" w:ascii="宋体" w:hAnsi="宋体"/>
          <w:b/>
          <w:color w:val="auto"/>
          <w:sz w:val="32"/>
          <w:szCs w:val="32"/>
          <w:highlight w:val="none"/>
        </w:rPr>
        <w:t>供应商依法缴纳社会保障资金的相关材料</w:t>
      </w:r>
    </w:p>
    <w:p>
      <w:pPr>
        <w:numPr>
          <w:ilvl w:val="0"/>
          <w:numId w:val="0"/>
        </w:numPr>
        <w:spacing w:line="320" w:lineRule="exact"/>
        <w:jc w:val="left"/>
        <w:rPr>
          <w:rFonts w:hint="eastAsia" w:ascii="宋体" w:hAnsi="宋体"/>
          <w:b/>
          <w:color w:val="auto"/>
          <w:sz w:val="32"/>
          <w:szCs w:val="32"/>
          <w:highlight w:val="none"/>
        </w:rPr>
      </w:pPr>
    </w:p>
    <w:p>
      <w:pPr>
        <w:numPr>
          <w:ilvl w:val="0"/>
          <w:numId w:val="0"/>
        </w:numPr>
        <w:spacing w:line="320" w:lineRule="exact"/>
        <w:jc w:val="left"/>
        <w:rPr>
          <w:rFonts w:hint="eastAsia" w:ascii="宋体" w:hAnsi="宋体"/>
          <w:b/>
          <w:color w:val="auto"/>
          <w:sz w:val="32"/>
          <w:szCs w:val="32"/>
          <w:highlight w:val="none"/>
        </w:rPr>
      </w:pPr>
    </w:p>
    <w:p>
      <w:pPr>
        <w:spacing w:line="360" w:lineRule="auto"/>
        <w:ind w:firstLine="602" w:firstLineChars="200"/>
        <w:rPr>
          <w:rFonts w:hint="eastAsia" w:ascii="宋体" w:hAnsi="宋体" w:eastAsia="宋体" w:cs="宋体"/>
          <w:b/>
          <w:color w:val="auto"/>
          <w:kern w:val="0"/>
          <w:sz w:val="30"/>
          <w:szCs w:val="30"/>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pPr>
        <w:pStyle w:val="10"/>
        <w:rPr>
          <w:rFonts w:hint="eastAsia"/>
          <w:color w:val="auto"/>
          <w:highlight w:val="none"/>
        </w:rPr>
      </w:pPr>
    </w:p>
    <w:p>
      <w:pPr>
        <w:numPr>
          <w:ilvl w:val="0"/>
          <w:numId w:val="0"/>
        </w:numPr>
        <w:spacing w:line="320" w:lineRule="exact"/>
        <w:jc w:val="left"/>
        <w:rPr>
          <w:rFonts w:hint="eastAsia" w:ascii="宋体" w:hAnsi="宋体"/>
          <w:b/>
          <w:color w:val="auto"/>
          <w:sz w:val="32"/>
          <w:szCs w:val="32"/>
          <w:highlight w:val="none"/>
        </w:rPr>
      </w:pPr>
    </w:p>
    <w:p>
      <w:pPr>
        <w:numPr>
          <w:ilvl w:val="0"/>
          <w:numId w:val="0"/>
        </w:numPr>
        <w:spacing w:line="320" w:lineRule="exact"/>
        <w:jc w:val="left"/>
        <w:rPr>
          <w:rFonts w:hint="eastAsia" w:ascii="宋体" w:hAnsi="宋体"/>
          <w:b/>
          <w:color w:val="auto"/>
          <w:sz w:val="32"/>
          <w:szCs w:val="32"/>
          <w:highlight w:val="none"/>
        </w:rPr>
      </w:pPr>
      <w:r>
        <w:rPr>
          <w:rFonts w:hint="eastAsia" w:ascii="宋体" w:hAnsi="宋体"/>
          <w:b/>
          <w:color w:val="auto"/>
          <w:sz w:val="32"/>
          <w:szCs w:val="32"/>
          <w:highlight w:val="none"/>
        </w:rPr>
        <w:t>4、供应商财务状况报告</w:t>
      </w:r>
    </w:p>
    <w:p>
      <w:pPr>
        <w:pStyle w:val="10"/>
        <w:rPr>
          <w:rFonts w:hint="eastAsia"/>
          <w:color w:val="auto"/>
          <w:highlight w:val="none"/>
        </w:rPr>
      </w:pPr>
    </w:p>
    <w:p>
      <w:pPr>
        <w:spacing w:line="360" w:lineRule="auto"/>
        <w:ind w:firstLine="602" w:firstLineChars="200"/>
        <w:rPr>
          <w:rFonts w:hint="eastAsia" w:ascii="宋体" w:hAnsi="宋体" w:eastAsia="宋体" w:cs="宋体"/>
          <w:b/>
          <w:color w:val="auto"/>
          <w:kern w:val="0"/>
          <w:sz w:val="30"/>
          <w:szCs w:val="30"/>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pPr>
        <w:rPr>
          <w:rFonts w:hint="eastAsia"/>
          <w:color w:val="auto"/>
          <w:highlight w:val="none"/>
        </w:rPr>
      </w:pPr>
    </w:p>
    <w:p>
      <w:pPr>
        <w:rPr>
          <w:rFonts w:hint="eastAsia"/>
          <w:color w:val="auto"/>
          <w:highlight w:val="none"/>
        </w:rPr>
      </w:pPr>
    </w:p>
    <w:p>
      <w:pPr>
        <w:wordWrap w:val="0"/>
        <w:spacing w:before="156" w:beforeLines="50" w:after="50" w:line="320" w:lineRule="exact"/>
        <w:ind w:right="482" w:firstLine="210" w:firstLineChars="100"/>
        <w:contextualSpacing/>
        <w:jc w:val="center"/>
        <w:rPr>
          <w:rFonts w:hint="eastAsia" w:ascii="宋体" w:hAnsi="宋体"/>
          <w:color w:val="auto"/>
          <w:szCs w:val="21"/>
          <w:highlight w:val="none"/>
        </w:rPr>
      </w:pPr>
    </w:p>
    <w:p>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pPr>
        <w:spacing w:line="320" w:lineRule="exact"/>
        <w:jc w:val="left"/>
        <w:rPr>
          <w:rFonts w:hint="eastAsia" w:ascii="宋体" w:hAnsi="宋体"/>
          <w:b/>
          <w:color w:val="auto"/>
          <w:sz w:val="32"/>
          <w:szCs w:val="32"/>
          <w:highlight w:val="none"/>
        </w:rPr>
      </w:pPr>
      <w:r>
        <w:rPr>
          <w:rFonts w:hint="eastAsia" w:ascii="宋体" w:hAnsi="宋体"/>
          <w:b/>
          <w:color w:val="auto"/>
          <w:sz w:val="32"/>
          <w:szCs w:val="32"/>
          <w:highlight w:val="none"/>
        </w:rPr>
        <w:t>5、供应商直接控股、管理关系信息表</w:t>
      </w:r>
    </w:p>
    <w:p>
      <w:pPr>
        <w:snapToGrid w:val="0"/>
        <w:spacing w:before="156" w:beforeLines="50" w:after="50" w:line="360" w:lineRule="auto"/>
        <w:jc w:val="center"/>
        <w:rPr>
          <w:rFonts w:hint="eastAsia" w:ascii="宋体" w:hAnsi="宋体"/>
          <w:b/>
          <w:color w:val="auto"/>
          <w:sz w:val="24"/>
          <w:highlight w:val="none"/>
        </w:rPr>
      </w:pPr>
    </w:p>
    <w:p>
      <w:pPr>
        <w:spacing w:line="360" w:lineRule="auto"/>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w:t>
      </w:r>
    </w:p>
    <w:p>
      <w:pPr>
        <w:spacing w:line="360" w:lineRule="auto"/>
        <w:contextualSpacing/>
        <w:jc w:val="center"/>
        <w:rPr>
          <w:rFonts w:hint="eastAsia" w:ascii="宋体" w:hAnsi="宋体"/>
          <w:b/>
          <w:color w:val="auto"/>
          <w:sz w:val="24"/>
          <w:highlight w:val="none"/>
        </w:rPr>
      </w:pPr>
    </w:p>
    <w:tbl>
      <w:tblPr>
        <w:tblStyle w:val="20"/>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auto"/>
                <w:kern w:val="0"/>
                <w:sz w:val="24"/>
                <w:highlight w:val="none"/>
              </w:rPr>
            </w:pPr>
          </w:p>
        </w:tc>
      </w:tr>
    </w:tbl>
    <w:p>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3.供应商不存在直接控股股东的，则填“无”。</w:t>
      </w:r>
    </w:p>
    <w:p>
      <w:pPr>
        <w:snapToGrid w:val="0"/>
        <w:spacing w:line="360" w:lineRule="auto"/>
        <w:jc w:val="left"/>
        <w:rPr>
          <w:rFonts w:hint="eastAsia" w:ascii="宋体" w:hAnsi="宋体" w:cs="宋体"/>
          <w:color w:val="auto"/>
          <w:sz w:val="24"/>
          <w:highlight w:val="none"/>
        </w:rPr>
      </w:pPr>
    </w:p>
    <w:p>
      <w:pPr>
        <w:snapToGrid w:val="0"/>
        <w:spacing w:line="360" w:lineRule="auto"/>
        <w:jc w:val="left"/>
        <w:rPr>
          <w:rFonts w:hint="eastAsia" w:ascii="宋体" w:hAnsi="宋体" w:cs="宋体"/>
          <w:color w:val="auto"/>
          <w:sz w:val="24"/>
          <w:highlight w:val="none"/>
        </w:rPr>
      </w:pPr>
    </w:p>
    <w:p>
      <w:pPr>
        <w:snapToGrid w:val="0"/>
        <w:spacing w:line="360" w:lineRule="auto"/>
        <w:jc w:val="left"/>
        <w:rPr>
          <w:rFonts w:hint="eastAsia" w:ascii="宋体" w:hAnsi="宋体" w:cs="宋体"/>
          <w:color w:val="auto"/>
          <w:sz w:val="24"/>
          <w:highlight w:val="none"/>
        </w:rPr>
      </w:pPr>
    </w:p>
    <w:p>
      <w:pPr>
        <w:snapToGrid w:val="0"/>
        <w:spacing w:before="156" w:beforeLines="50" w:line="360" w:lineRule="auto"/>
        <w:ind w:right="480" w:firstLine="3480" w:firstLineChars="1450"/>
        <w:rPr>
          <w:rFonts w:hint="eastAsia" w:ascii="宋体" w:hAnsi="宋体" w:cs="宋体"/>
          <w:color w:val="auto"/>
          <w:sz w:val="24"/>
          <w:highlight w:val="none"/>
          <w:u w:val="singl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p>
    <w:p>
      <w:pPr>
        <w:snapToGrid w:val="0"/>
        <w:spacing w:before="156" w:beforeLines="50" w:after="50" w:line="360" w:lineRule="auto"/>
        <w:ind w:right="480" w:firstLine="3480" w:firstLineChars="1450"/>
        <w:rPr>
          <w:rFonts w:hint="eastAsia"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eastAsia="宋体" w:cs="宋体"/>
          <w:color w:val="auto"/>
          <w:sz w:val="24"/>
          <w:szCs w:val="24"/>
          <w:highlight w:val="none"/>
        </w:rPr>
        <w:t>电子签章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pPr>
        <w:snapToGrid w:val="0"/>
        <w:spacing w:before="156" w:beforeLines="50" w:after="50" w:line="360" w:lineRule="auto"/>
        <w:ind w:right="480" w:firstLine="5280" w:firstLineChars="2200"/>
        <w:rPr>
          <w:rFonts w:hint="eastAsia" w:ascii="宋体" w:hAnsi="宋体" w:cs="宋体"/>
          <w:color w:val="auto"/>
          <w:sz w:val="28"/>
          <w:szCs w:val="28"/>
          <w:highlight w:val="none"/>
        </w:rPr>
      </w:pPr>
      <w:r>
        <w:rPr>
          <w:rFonts w:hint="eastAsia" w:ascii="宋体" w:hAnsi="宋体" w:cs="宋体"/>
          <w:color w:val="auto"/>
          <w:sz w:val="24"/>
          <w:highlight w:val="none"/>
        </w:rPr>
        <w:t>年    月    日</w:t>
      </w:r>
    </w:p>
    <w:p>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供应商直接管理关系信息表</w:t>
      </w:r>
    </w:p>
    <w:p>
      <w:pPr>
        <w:snapToGrid w:val="0"/>
        <w:spacing w:line="360" w:lineRule="auto"/>
        <w:jc w:val="center"/>
        <w:rPr>
          <w:rFonts w:hint="eastAsia" w:ascii="宋体" w:hAnsi="宋体"/>
          <w:b/>
          <w:color w:val="auto"/>
          <w:sz w:val="24"/>
          <w:highlight w:val="none"/>
        </w:rPr>
      </w:pPr>
    </w:p>
    <w:tbl>
      <w:tblPr>
        <w:tblStyle w:val="20"/>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bl>
    <w:p>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注：</w:t>
      </w:r>
    </w:p>
    <w:p>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3.供应商不存在直接管理关系的，则填“无”。</w:t>
      </w:r>
    </w:p>
    <w:p>
      <w:pPr>
        <w:spacing w:line="360" w:lineRule="auto"/>
        <w:contextualSpacing/>
        <w:jc w:val="left"/>
        <w:rPr>
          <w:rFonts w:hint="eastAsia" w:ascii="宋体" w:hAnsi="宋体"/>
          <w:color w:val="auto"/>
          <w:sz w:val="24"/>
          <w:highlight w:val="none"/>
        </w:rPr>
      </w:pPr>
    </w:p>
    <w:p>
      <w:pPr>
        <w:spacing w:line="360" w:lineRule="auto"/>
        <w:contextualSpacing/>
        <w:jc w:val="left"/>
        <w:rPr>
          <w:rFonts w:hint="eastAsia" w:ascii="宋体" w:hAnsi="宋体"/>
          <w:color w:val="auto"/>
          <w:sz w:val="24"/>
          <w:highlight w:val="none"/>
        </w:rPr>
      </w:pPr>
    </w:p>
    <w:p>
      <w:pPr>
        <w:spacing w:line="360" w:lineRule="auto"/>
        <w:contextualSpacing/>
        <w:jc w:val="left"/>
        <w:rPr>
          <w:rFonts w:hint="eastAsia"/>
          <w:color w:val="auto"/>
          <w:sz w:val="24"/>
          <w:highlight w:val="none"/>
        </w:rPr>
      </w:pPr>
    </w:p>
    <w:p>
      <w:pPr>
        <w:spacing w:line="360" w:lineRule="auto"/>
        <w:contextualSpacing/>
        <w:jc w:val="left"/>
        <w:rPr>
          <w:rFonts w:hint="eastAsia"/>
          <w:color w:val="auto"/>
          <w:sz w:val="24"/>
          <w:highlight w:val="none"/>
        </w:rPr>
      </w:pPr>
    </w:p>
    <w:p>
      <w:pPr>
        <w:spacing w:line="360" w:lineRule="auto"/>
        <w:contextualSpacing/>
        <w:jc w:val="left"/>
        <w:rPr>
          <w:rFonts w:hint="eastAsia"/>
          <w:color w:val="auto"/>
          <w:sz w:val="24"/>
          <w:highlight w:val="none"/>
        </w:rPr>
      </w:pPr>
    </w:p>
    <w:p>
      <w:pPr>
        <w:spacing w:line="360" w:lineRule="auto"/>
        <w:contextualSpacing/>
        <w:jc w:val="left"/>
        <w:rPr>
          <w:rFonts w:hint="eastAsia" w:ascii="宋体" w:hAnsi="宋体"/>
          <w:color w:val="auto"/>
          <w:sz w:val="24"/>
          <w:highlight w:val="none"/>
        </w:rPr>
      </w:pPr>
    </w:p>
    <w:p>
      <w:pPr>
        <w:spacing w:line="360" w:lineRule="auto"/>
        <w:ind w:right="480" w:firstLine="3360" w:firstLineChars="1400"/>
        <w:contextualSpacing/>
        <w:rPr>
          <w:rFonts w:hint="eastAsia"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w:t>
      </w:r>
      <w:r>
        <w:rPr>
          <w:rFonts w:hint="eastAsia" w:ascii="宋体" w:hAnsi="宋体" w:eastAsia="宋体" w:cs="宋体"/>
          <w:color w:val="auto"/>
          <w:sz w:val="24"/>
          <w:szCs w:val="24"/>
          <w:highlight w:val="none"/>
        </w:rPr>
        <w:t>电子签章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pacing w:line="360" w:lineRule="auto"/>
        <w:ind w:right="480" w:firstLine="240" w:firstLineChars="100"/>
        <w:contextualSpacing/>
        <w:jc w:val="center"/>
        <w:rPr>
          <w:rFonts w:ascii="宋体" w:hAnsi="宋体"/>
          <w:color w:val="auto"/>
          <w:sz w:val="28"/>
          <w:szCs w:val="28"/>
          <w:highlight w:val="none"/>
        </w:rPr>
      </w:pPr>
      <w:r>
        <w:rPr>
          <w:rFonts w:hint="eastAsia" w:ascii="宋体" w:hAnsi="宋体"/>
          <w:color w:val="auto"/>
          <w:sz w:val="24"/>
          <w:highlight w:val="none"/>
        </w:rPr>
        <w:t xml:space="preserve">                                        年    月    日</w:t>
      </w:r>
    </w:p>
    <w:p>
      <w:pPr>
        <w:spacing w:line="320" w:lineRule="exact"/>
        <w:jc w:val="center"/>
        <w:rPr>
          <w:rFonts w:hint="eastAsia"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2"/>
          <w:szCs w:val="32"/>
          <w:highlight w:val="none"/>
          <w:lang w:val="en-US" w:eastAsia="zh-CN"/>
        </w:rPr>
        <w:t>6、</w:t>
      </w:r>
      <w:r>
        <w:rPr>
          <w:rFonts w:hint="eastAsia" w:ascii="宋体" w:hAnsi="宋体"/>
          <w:b/>
          <w:color w:val="auto"/>
          <w:sz w:val="32"/>
          <w:szCs w:val="32"/>
          <w:highlight w:val="none"/>
        </w:rPr>
        <w:t>竞标声明</w:t>
      </w:r>
    </w:p>
    <w:p>
      <w:pPr>
        <w:spacing w:line="320" w:lineRule="exact"/>
        <w:jc w:val="center"/>
        <w:rPr>
          <w:rFonts w:hint="eastAsia" w:ascii="宋体" w:hAnsi="宋体"/>
          <w:color w:val="auto"/>
          <w:sz w:val="24"/>
          <w:szCs w:val="20"/>
          <w:highlight w:val="none"/>
        </w:rPr>
      </w:pPr>
    </w:p>
    <w:p>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（4）响应磋商文件规定的竞标有效期。</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13"/>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pPr>
        <w:pStyle w:val="13"/>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pPr>
        <w:pStyle w:val="12"/>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pPr>
        <w:pStyle w:val="12"/>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pPr>
        <w:pStyle w:val="12"/>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pPr>
        <w:pStyle w:val="12"/>
        <w:tabs>
          <w:tab w:val="left" w:pos="939"/>
        </w:tabs>
        <w:spacing w:line="360" w:lineRule="auto"/>
        <w:ind w:left="0" w:leftChars="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注：如为联合体竞标，盖章处须加盖联合体各方公章并由联合体各方法定代表人签署，否则其响应文件按无效响应处理。</w:t>
      </w:r>
    </w:p>
    <w:p>
      <w:pPr>
        <w:pStyle w:val="12"/>
        <w:tabs>
          <w:tab w:val="left" w:pos="939"/>
        </w:tabs>
        <w:spacing w:line="360" w:lineRule="auto"/>
        <w:ind w:left="0" w:leftChars="0" w:firstLine="480" w:firstLineChars="200"/>
        <w:rPr>
          <w:rFonts w:hint="eastAsia" w:ascii="宋体" w:hAnsi="宋体" w:cs="宋体"/>
          <w:color w:val="auto"/>
          <w:sz w:val="24"/>
          <w:highlight w:val="none"/>
        </w:rPr>
      </w:pPr>
    </w:p>
    <w:p>
      <w:pPr>
        <w:spacing w:line="360" w:lineRule="auto"/>
        <w:ind w:firstLine="4320" w:firstLineChars="1800"/>
        <w:contextualSpacing/>
        <w:rPr>
          <w:rFonts w:hint="eastAsia"/>
          <w:color w:val="auto"/>
          <w:sz w:val="24"/>
          <w:highlight w:val="none"/>
        </w:rPr>
      </w:pPr>
      <w:r>
        <w:rPr>
          <w:rFonts w:hint="eastAsia"/>
          <w:color w:val="auto"/>
          <w:sz w:val="24"/>
          <w:highlight w:val="none"/>
        </w:rPr>
        <w:t>法定代表人（签字或者盖章）：</w:t>
      </w:r>
      <w:r>
        <w:rPr>
          <w:rFonts w:hint="eastAsia"/>
          <w:color w:val="auto"/>
          <w:sz w:val="24"/>
          <w:highlight w:val="none"/>
          <w:u w:val="single"/>
        </w:rPr>
        <w:t xml:space="preserve">                             </w:t>
      </w:r>
      <w:r>
        <w:rPr>
          <w:rFonts w:hint="eastAsia"/>
          <w:color w:val="auto"/>
          <w:sz w:val="24"/>
          <w:highlight w:val="none"/>
        </w:rPr>
        <w:t xml:space="preserve">                                     </w:t>
      </w:r>
    </w:p>
    <w:p>
      <w:pPr>
        <w:spacing w:line="360" w:lineRule="auto"/>
        <w:ind w:firstLine="4320" w:firstLineChars="1800"/>
        <w:contextualSpacing/>
        <w:rPr>
          <w:rFonts w:hint="eastAsia" w:ascii="宋体" w:hAnsi="宋体" w:cs="宋体"/>
          <w:color w:val="auto"/>
          <w:sz w:val="24"/>
          <w:highlight w:val="none"/>
          <w:u w:val="single"/>
        </w:rPr>
      </w:pPr>
      <w:r>
        <w:rPr>
          <w:rFonts w:hint="eastAsia"/>
          <w:color w:val="auto"/>
          <w:sz w:val="24"/>
          <w:highlight w:val="none"/>
        </w:rPr>
        <w:t>供应商（</w:t>
      </w:r>
      <w:r>
        <w:rPr>
          <w:rFonts w:hint="eastAsia" w:ascii="宋体" w:hAnsi="宋体" w:eastAsia="宋体" w:cs="宋体"/>
          <w:color w:val="auto"/>
          <w:sz w:val="24"/>
          <w:szCs w:val="24"/>
          <w:highlight w:val="none"/>
        </w:rPr>
        <w:t>电子签章</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w:t>
      </w:r>
      <w:r>
        <w:rPr>
          <w:rFonts w:hint="eastAsia" w:ascii="宋体" w:hAnsi="宋体" w:cs="宋体"/>
          <w:color w:val="auto"/>
          <w:sz w:val="24"/>
          <w:highlight w:val="none"/>
        </w:rPr>
        <w:t xml:space="preserve">    </w:t>
      </w:r>
    </w:p>
    <w:p>
      <w:pPr>
        <w:spacing w:line="360" w:lineRule="auto"/>
        <w:ind w:right="480" w:firstLine="240" w:firstLineChars="100"/>
        <w:contextualSpacing/>
        <w:jc w:val="center"/>
        <w:rPr>
          <w:rFonts w:hint="eastAsia"/>
          <w:color w:val="auto"/>
          <w:sz w:val="24"/>
          <w:highlight w:val="none"/>
        </w:rPr>
      </w:pPr>
      <w:r>
        <w:rPr>
          <w:rFonts w:hint="eastAsia" w:ascii="宋体" w:hAnsi="宋体" w:cs="宋体"/>
          <w:color w:val="auto"/>
          <w:sz w:val="24"/>
          <w:highlight w:val="none"/>
        </w:rPr>
        <w:t xml:space="preserve">                                                  </w:t>
      </w:r>
      <w:r>
        <w:rPr>
          <w:rFonts w:hint="eastAsia"/>
          <w:color w:val="auto"/>
          <w:sz w:val="24"/>
          <w:highlight w:val="none"/>
        </w:rPr>
        <w:t xml:space="preserve"> 年    月    日</w:t>
      </w:r>
    </w:p>
    <w:p>
      <w:pPr>
        <w:pStyle w:val="6"/>
        <w:overflowPunct w:val="0"/>
        <w:spacing w:line="520" w:lineRule="exact"/>
        <w:ind w:right="480" w:firstLine="321" w:firstLineChars="100"/>
        <w:contextualSpacing/>
        <w:jc w:val="center"/>
        <w:rPr>
          <w:rFonts w:ascii="宋体" w:hAnsi="宋体"/>
          <w:b/>
          <w:bCs/>
          <w:color w:val="auto"/>
          <w:sz w:val="32"/>
          <w:szCs w:val="32"/>
          <w:highlight w:val="none"/>
        </w:rPr>
      </w:pPr>
    </w:p>
    <w:p>
      <w:pPr>
        <w:snapToGrid w:val="0"/>
        <w:spacing w:before="156" w:beforeLines="50" w:after="50" w:line="360" w:lineRule="auto"/>
        <w:ind w:right="480"/>
        <w:rPr>
          <w:rFonts w:ascii="宋体" w:hAnsi="宋体"/>
          <w:b/>
          <w:bCs/>
          <w:color w:val="auto"/>
          <w:sz w:val="32"/>
          <w:szCs w:val="32"/>
          <w:highlight w:val="none"/>
        </w:rPr>
      </w:pPr>
    </w:p>
    <w:p>
      <w:pPr>
        <w:snapToGrid w:val="0"/>
        <w:spacing w:before="156" w:beforeLines="50" w:after="50" w:line="360" w:lineRule="auto"/>
        <w:ind w:right="480"/>
        <w:rPr>
          <w:rFonts w:ascii="宋体" w:hAnsi="宋体"/>
          <w:b/>
          <w:bCs/>
          <w:color w:val="auto"/>
          <w:sz w:val="32"/>
          <w:szCs w:val="32"/>
          <w:highlight w:val="none"/>
        </w:rPr>
      </w:pPr>
    </w:p>
    <w:p>
      <w:pPr>
        <w:snapToGrid w:val="0"/>
        <w:spacing w:before="156" w:beforeLines="50" w:after="50" w:line="360" w:lineRule="auto"/>
        <w:ind w:right="480"/>
        <w:rPr>
          <w:rFonts w:ascii="宋体" w:hAnsi="宋体"/>
          <w:b/>
          <w:bCs/>
          <w:color w:val="auto"/>
          <w:sz w:val="32"/>
          <w:szCs w:val="32"/>
          <w:highlight w:val="none"/>
        </w:rPr>
      </w:pPr>
    </w:p>
    <w:p>
      <w:pPr>
        <w:numPr>
          <w:ilvl w:val="0"/>
          <w:numId w:val="0"/>
        </w:numPr>
        <w:spacing w:line="320" w:lineRule="exact"/>
        <w:jc w:val="both"/>
        <w:rPr>
          <w:rFonts w:hint="eastAsia" w:ascii="宋体" w:hAnsi="宋体" w:eastAsia="宋体"/>
          <w:b/>
          <w:color w:val="auto"/>
          <w:sz w:val="32"/>
          <w:szCs w:val="32"/>
          <w:highlight w:val="none"/>
          <w:lang w:eastAsia="zh-CN"/>
        </w:rPr>
      </w:pPr>
      <w:r>
        <w:rPr>
          <w:rFonts w:hint="eastAsia" w:ascii="宋体" w:hAnsi="宋体" w:eastAsia="宋体" w:cs="Times New Roman"/>
          <w:b/>
          <w:color w:val="auto"/>
          <w:kern w:val="2"/>
          <w:sz w:val="32"/>
          <w:szCs w:val="32"/>
          <w:highlight w:val="none"/>
          <w:lang w:val="en-US" w:eastAsia="zh-CN" w:bidi="ar-SA"/>
        </w:rPr>
        <w:t>7、</w:t>
      </w:r>
      <w:r>
        <w:rPr>
          <w:rFonts w:hint="eastAsia" w:ascii="宋体" w:hAnsi="宋体" w:eastAsia="宋体"/>
          <w:b/>
          <w:color w:val="auto"/>
          <w:sz w:val="32"/>
          <w:szCs w:val="32"/>
          <w:highlight w:val="none"/>
          <w:lang w:val="en-US" w:eastAsia="zh-CN"/>
        </w:rPr>
        <w:t>本项目的特定资格要求</w:t>
      </w:r>
      <w:r>
        <w:rPr>
          <w:rFonts w:hint="eastAsia" w:ascii="宋体" w:hAnsi="宋体" w:eastAsia="宋体"/>
          <w:b/>
          <w:color w:val="auto"/>
          <w:sz w:val="32"/>
          <w:szCs w:val="32"/>
          <w:highlight w:val="none"/>
          <w:lang w:eastAsia="zh-CN"/>
        </w:rPr>
        <w:t>（自行提供）</w:t>
      </w:r>
    </w:p>
    <w:p>
      <w:pPr>
        <w:pStyle w:val="10"/>
        <w:numPr>
          <w:ilvl w:val="0"/>
          <w:numId w:val="0"/>
        </w:numPr>
        <w:rPr>
          <w:rFonts w:hint="eastAsia"/>
          <w:color w:val="auto"/>
          <w:highlight w:val="none"/>
          <w:lang w:val="en-US" w:eastAsia="zh-CN"/>
        </w:rPr>
      </w:pPr>
    </w:p>
    <w:p>
      <w:pPr>
        <w:rPr>
          <w:rFonts w:hint="eastAsia"/>
          <w:color w:val="auto"/>
          <w:highlight w:val="none"/>
          <w:lang w:val="en-US" w:eastAsia="zh-CN"/>
        </w:rPr>
      </w:pPr>
    </w:p>
    <w:p>
      <w:pPr>
        <w:spacing w:line="320" w:lineRule="exact"/>
        <w:jc w:val="left"/>
        <w:rPr>
          <w:rFonts w:hint="eastAsia" w:ascii="宋体" w:hAnsi="宋体"/>
          <w:b/>
          <w:color w:val="auto"/>
          <w:sz w:val="32"/>
          <w:szCs w:val="32"/>
          <w:highlight w:val="none"/>
        </w:rPr>
      </w:pPr>
      <w:r>
        <w:rPr>
          <w:rFonts w:hint="eastAsia" w:ascii="宋体" w:hAnsi="宋体" w:eastAsia="宋体"/>
          <w:b/>
          <w:color w:val="auto"/>
          <w:sz w:val="32"/>
          <w:szCs w:val="32"/>
          <w:highlight w:val="none"/>
          <w:lang w:val="en-US" w:eastAsia="zh-CN"/>
        </w:rPr>
        <w:t>8</w:t>
      </w:r>
      <w:r>
        <w:rPr>
          <w:rFonts w:hint="eastAsia" w:ascii="宋体" w:hAnsi="宋体" w:eastAsia="宋体"/>
          <w:b/>
          <w:color w:val="auto"/>
          <w:sz w:val="32"/>
          <w:szCs w:val="32"/>
          <w:highlight w:val="none"/>
        </w:rPr>
        <w:t>、除磋商文件规定必须提供以外，供应商认为需要提供的其他证明材料</w:t>
      </w:r>
      <w:r>
        <w:rPr>
          <w:rFonts w:hint="eastAsia" w:ascii="宋体" w:hAnsi="宋体" w:eastAsia="宋体"/>
          <w:b/>
          <w:color w:val="auto"/>
          <w:sz w:val="32"/>
          <w:szCs w:val="32"/>
          <w:highlight w:val="none"/>
          <w:lang w:eastAsia="zh-CN"/>
        </w:rPr>
        <w:t>（自行提供）</w:t>
      </w:r>
      <w:r>
        <w:rPr>
          <w:rFonts w:hint="eastAsia" w:ascii="宋体" w:hAnsi="宋体" w:eastAsia="宋体"/>
          <w:b/>
          <w:color w:val="auto"/>
          <w:sz w:val="32"/>
          <w:szCs w:val="32"/>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报价商务技术文件格式</w:t>
      </w:r>
    </w:p>
    <w:p>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1.报价商务技术文件封面格式</w:t>
      </w:r>
    </w:p>
    <w:p>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pPr>
        <w:snapToGrid w:val="0"/>
        <w:spacing w:before="156" w:beforeLines="50" w:after="50"/>
        <w:rPr>
          <w:rFonts w:hint="eastAsia" w:ascii="宋体" w:hAnsi="宋体"/>
          <w:color w:val="auto"/>
          <w:sz w:val="24"/>
          <w:szCs w:val="20"/>
          <w:highlight w:val="none"/>
        </w:rPr>
      </w:pPr>
    </w:p>
    <w:p>
      <w:pPr>
        <w:snapToGrid w:val="0"/>
        <w:spacing w:before="156" w:beforeLines="50" w:after="50"/>
        <w:jc w:val="center"/>
        <w:rPr>
          <w:rFonts w:hint="eastAsia" w:ascii="方正小标宋简体" w:hAnsi="方正小标宋简体" w:eastAsia="方正小标宋简体" w:cs="方正小标宋简体"/>
          <w:bCs/>
          <w:color w:val="auto"/>
          <w:sz w:val="84"/>
          <w:szCs w:val="84"/>
          <w:highlight w:val="none"/>
        </w:rPr>
      </w:pPr>
      <w:r>
        <w:rPr>
          <w:rFonts w:hint="eastAsia" w:ascii="方正小标宋简体" w:hAnsi="方正小标宋简体" w:eastAsia="方正小标宋简体" w:cs="方正小标宋简体"/>
          <w:bCs/>
          <w:color w:val="auto"/>
          <w:sz w:val="84"/>
          <w:szCs w:val="84"/>
          <w:highlight w:val="none"/>
        </w:rPr>
        <w:t>响  应  文  件</w:t>
      </w:r>
    </w:p>
    <w:p>
      <w:pPr>
        <w:snapToGrid w:val="0"/>
        <w:spacing w:before="156" w:beforeLines="50" w:after="50"/>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报  价  商  务  技  术  文  件</w:t>
      </w: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pPr>
        <w:snapToGrid w:val="0"/>
        <w:spacing w:before="156" w:beforeLines="50" w:after="50"/>
        <w:ind w:firstLine="720" w:firstLineChars="225"/>
        <w:rPr>
          <w:rFonts w:hint="eastAsia" w:ascii="宋体" w:hAnsi="宋体" w:cs="仿宋_GB2312"/>
          <w:bCs/>
          <w:color w:val="auto"/>
          <w:sz w:val="32"/>
          <w:szCs w:val="32"/>
          <w:highlight w:val="none"/>
        </w:rPr>
      </w:pPr>
    </w:p>
    <w:p>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w:t>
      </w:r>
    </w:p>
    <w:p>
      <w:pPr>
        <w:snapToGrid w:val="0"/>
        <w:spacing w:before="156" w:beforeLines="50" w:after="50"/>
        <w:ind w:firstLine="720" w:firstLineChars="225"/>
        <w:rPr>
          <w:rFonts w:hint="eastAsia" w:ascii="宋体" w:hAnsi="宋体" w:cs="仿宋_GB2312"/>
          <w:bCs/>
          <w:color w:val="auto"/>
          <w:sz w:val="32"/>
          <w:szCs w:val="32"/>
          <w:highlight w:val="none"/>
        </w:rPr>
      </w:pPr>
    </w:p>
    <w:p>
      <w:pPr>
        <w:pStyle w:val="6"/>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pPr>
        <w:pStyle w:val="6"/>
        <w:snapToGrid w:val="0"/>
        <w:spacing w:before="50" w:after="50"/>
        <w:ind w:firstLine="720" w:firstLineChars="225"/>
        <w:rPr>
          <w:rFonts w:hint="eastAsia" w:ascii="宋体" w:hAnsi="宋体" w:cs="仿宋_GB2312"/>
          <w:bCs/>
          <w:color w:val="auto"/>
          <w:sz w:val="32"/>
          <w:szCs w:val="32"/>
          <w:highlight w:val="none"/>
        </w:rPr>
      </w:pPr>
    </w:p>
    <w:p>
      <w:pPr>
        <w:pStyle w:val="6"/>
        <w:snapToGrid w:val="0"/>
        <w:spacing w:before="50" w:after="50"/>
        <w:ind w:firstLine="720" w:firstLineChars="225"/>
        <w:rPr>
          <w:rFonts w:hint="eastAsia" w:ascii="宋体" w:hAnsi="宋体" w:cs="仿宋_GB2312"/>
          <w:bCs/>
          <w:color w:val="auto"/>
          <w:sz w:val="32"/>
          <w:szCs w:val="32"/>
          <w:highlight w:val="none"/>
        </w:rPr>
      </w:pPr>
    </w:p>
    <w:p>
      <w:pPr>
        <w:pStyle w:val="6"/>
        <w:snapToGrid w:val="0"/>
        <w:spacing w:before="50" w:after="50"/>
        <w:ind w:firstLine="1280" w:firstLineChars="400"/>
        <w:rPr>
          <w:rFonts w:hint="eastAsia" w:ascii="宋体" w:hAnsi="宋体" w:cs="仿宋_GB2312"/>
          <w:bCs/>
          <w:color w:val="auto"/>
          <w:sz w:val="32"/>
          <w:szCs w:val="32"/>
          <w:highlight w:val="none"/>
        </w:rPr>
      </w:pPr>
    </w:p>
    <w:p>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pPr>
        <w:snapToGrid w:val="0"/>
        <w:spacing w:before="156" w:beforeLines="50" w:after="50" w:line="360" w:lineRule="auto"/>
        <w:ind w:left="142"/>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2.报价商务技术文件目录</w:t>
      </w:r>
    </w:p>
    <w:p>
      <w:pPr>
        <w:spacing w:line="360" w:lineRule="auto"/>
        <w:rPr>
          <w:rFonts w:hint="eastAsia" w:asciiTheme="minorEastAsia" w:hAnsiTheme="minorEastAsia" w:eastAsiaTheme="minorEastAsia" w:cstheme="minorEastAsia"/>
          <w:color w:val="auto"/>
          <w:sz w:val="21"/>
          <w:szCs w:val="21"/>
          <w:highlight w:val="none"/>
        </w:rPr>
      </w:pPr>
    </w:p>
    <w:p>
      <w:pPr>
        <w:numPr>
          <w:ilvl w:val="0"/>
          <w:numId w:val="0"/>
        </w:numPr>
        <w:spacing w:line="360" w:lineRule="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无串通竞标行为的承诺函</w:t>
      </w:r>
      <w:r>
        <w:rPr>
          <w:rFonts w:hint="eastAsia" w:ascii="宋体" w:hAnsi="宋体" w:eastAsia="宋体" w:cs="宋体"/>
          <w:color w:val="auto"/>
          <w:kern w:val="0"/>
          <w:sz w:val="24"/>
          <w:szCs w:val="24"/>
          <w:highlight w:val="none"/>
        </w:rPr>
        <w:t>……………………………………………………（页码）</w:t>
      </w:r>
    </w:p>
    <w:p>
      <w:pPr>
        <w:numPr>
          <w:ilvl w:val="0"/>
          <w:numId w:val="0"/>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2、竞标报价表</w:t>
      </w:r>
      <w:r>
        <w:rPr>
          <w:rFonts w:hint="eastAsia" w:ascii="宋体" w:hAnsi="宋体" w:eastAsia="宋体" w:cs="宋体"/>
          <w:color w:val="auto"/>
          <w:kern w:val="0"/>
          <w:sz w:val="24"/>
          <w:szCs w:val="24"/>
          <w:highlight w:val="none"/>
        </w:rPr>
        <w:t>……………………………………………………………………（页码）</w:t>
      </w:r>
    </w:p>
    <w:p>
      <w:pPr>
        <w:pStyle w:val="10"/>
        <w:rPr>
          <w:rFonts w:hint="eastAsia"/>
          <w:b/>
          <w:bCs/>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中小企业声明函</w:t>
      </w:r>
      <w:r>
        <w:rPr>
          <w:rFonts w:hint="eastAsia" w:ascii="宋体" w:hAnsi="宋体" w:eastAsia="宋体" w:cs="宋体"/>
          <w:color w:val="auto"/>
          <w:kern w:val="0"/>
          <w:sz w:val="24"/>
          <w:szCs w:val="24"/>
          <w:highlight w:val="none"/>
        </w:rPr>
        <w:t>………………………………………………………………（页码）</w:t>
      </w:r>
    </w:p>
    <w:p>
      <w:pPr>
        <w:snapToGri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、法定代表人身份证明及法定代表人有效身份证正反面复印件</w:t>
      </w:r>
      <w:r>
        <w:rPr>
          <w:rFonts w:hint="eastAsia" w:ascii="宋体" w:hAnsi="宋体" w:eastAsia="宋体" w:cs="宋体"/>
          <w:color w:val="auto"/>
          <w:kern w:val="0"/>
          <w:sz w:val="24"/>
          <w:szCs w:val="24"/>
          <w:highlight w:val="none"/>
        </w:rPr>
        <w:t>……………（页码）</w:t>
      </w:r>
    </w:p>
    <w:p>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、授权委托书及委托代理人有效身份证正反面复印件</w:t>
      </w:r>
      <w:r>
        <w:rPr>
          <w:rFonts w:hint="eastAsia" w:ascii="宋体" w:hAnsi="宋体" w:eastAsia="宋体" w:cs="宋体"/>
          <w:color w:val="auto"/>
          <w:kern w:val="0"/>
          <w:sz w:val="24"/>
          <w:szCs w:val="24"/>
          <w:highlight w:val="none"/>
        </w:rPr>
        <w:t>………………………（页码）</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、磋商保证金提交凭证</w:t>
      </w:r>
      <w:r>
        <w:rPr>
          <w:rFonts w:hint="eastAsia" w:ascii="宋体" w:hAnsi="宋体" w:eastAsia="宋体" w:cs="宋体"/>
          <w:color w:val="auto"/>
          <w:kern w:val="0"/>
          <w:sz w:val="24"/>
          <w:szCs w:val="24"/>
          <w:highlight w:val="none"/>
        </w:rPr>
        <w:t>…………………………………………………………（页码）</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、商务要求偏离表</w:t>
      </w:r>
      <w:r>
        <w:rPr>
          <w:rFonts w:hint="eastAsia" w:ascii="宋体" w:hAnsi="宋体" w:eastAsia="宋体" w:cs="宋体"/>
          <w:color w:val="auto"/>
          <w:kern w:val="0"/>
          <w:sz w:val="24"/>
          <w:szCs w:val="24"/>
          <w:highlight w:val="none"/>
        </w:rPr>
        <w:t>………………………………………………………………（页码）</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、服务方案</w:t>
      </w:r>
      <w:r>
        <w:rPr>
          <w:rFonts w:hint="eastAsia" w:ascii="宋体" w:hAnsi="宋体" w:eastAsia="宋体" w:cs="宋体"/>
          <w:color w:val="auto"/>
          <w:kern w:val="0"/>
          <w:sz w:val="24"/>
          <w:szCs w:val="24"/>
          <w:highlight w:val="none"/>
        </w:rPr>
        <w:t>………………………………………………………………………（页码）</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、技术要求偏离表</w:t>
      </w:r>
      <w:r>
        <w:rPr>
          <w:rFonts w:hint="eastAsia" w:ascii="宋体" w:hAnsi="宋体" w:eastAsia="宋体" w:cs="宋体"/>
          <w:color w:val="auto"/>
          <w:kern w:val="0"/>
          <w:sz w:val="24"/>
          <w:szCs w:val="24"/>
          <w:highlight w:val="none"/>
        </w:rPr>
        <w:t>………………………………………………………………（页码）</w:t>
      </w:r>
    </w:p>
    <w:p>
      <w:pPr>
        <w:pStyle w:val="10"/>
        <w:rPr>
          <w:rFonts w:hint="eastAsia"/>
          <w:b/>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、项目实施人员一览表</w:t>
      </w:r>
      <w:r>
        <w:rPr>
          <w:rFonts w:hint="eastAsia" w:ascii="宋体" w:hAnsi="宋体" w:eastAsia="宋体" w:cs="宋体"/>
          <w:color w:val="auto"/>
          <w:kern w:val="0"/>
          <w:sz w:val="24"/>
          <w:szCs w:val="24"/>
          <w:highlight w:val="none"/>
        </w:rPr>
        <w:t>………………………………………………………（页码）</w:t>
      </w:r>
    </w:p>
    <w:p>
      <w:pPr>
        <w:pStyle w:val="10"/>
        <w:rPr>
          <w:rFonts w:hint="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、对应采购需求的技术要求、商务要求提供的其他文件资料</w:t>
      </w:r>
      <w:r>
        <w:rPr>
          <w:rFonts w:hint="eastAsia" w:ascii="宋体" w:hAnsi="宋体" w:eastAsia="宋体" w:cs="宋体"/>
          <w:color w:val="auto"/>
          <w:kern w:val="0"/>
          <w:sz w:val="24"/>
          <w:szCs w:val="24"/>
          <w:highlight w:val="none"/>
        </w:rPr>
        <w:t>……………………………………………………（页码）</w:t>
      </w:r>
    </w:p>
    <w:p>
      <w:pPr>
        <w:pStyle w:val="10"/>
        <w:rPr>
          <w:rFonts w:hint="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、供应商认为需要提供的其他有关资料</w:t>
      </w:r>
      <w:r>
        <w:rPr>
          <w:rFonts w:hint="eastAsia" w:ascii="宋体" w:hAnsi="宋体" w:eastAsia="宋体" w:cs="宋体"/>
          <w:color w:val="auto"/>
          <w:kern w:val="0"/>
          <w:sz w:val="24"/>
          <w:szCs w:val="24"/>
          <w:highlight w:val="none"/>
        </w:rPr>
        <w:t>……………………………………（页码）</w:t>
      </w:r>
    </w:p>
    <w:p>
      <w:pPr>
        <w:snapToGrid w:val="0"/>
        <w:spacing w:before="156" w:beforeLines="50" w:after="50" w:line="360" w:lineRule="auto"/>
        <w:ind w:firstLine="640" w:firstLineChars="200"/>
        <w:rPr>
          <w:rFonts w:ascii="宋体" w:hAnsi="宋体"/>
          <w:color w:val="auto"/>
          <w:sz w:val="32"/>
          <w:szCs w:val="32"/>
          <w:highlight w:val="none"/>
        </w:rPr>
      </w:pPr>
    </w:p>
    <w:p>
      <w:pPr>
        <w:spacing w:line="400" w:lineRule="exact"/>
        <w:rPr>
          <w:rFonts w:hint="eastAsia" w:ascii="仿宋_GB2312" w:hAnsi="仿宋_GB2312" w:eastAsia="仿宋_GB2312" w:cs="仿宋_GB2312"/>
          <w:color w:val="auto"/>
          <w:sz w:val="32"/>
          <w:szCs w:val="32"/>
          <w:highlight w:val="none"/>
        </w:rPr>
      </w:pPr>
    </w:p>
    <w:p>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lang w:val="en-US" w:eastAsia="zh-CN"/>
        </w:rPr>
        <w:t>1、</w:t>
      </w:r>
      <w:r>
        <w:rPr>
          <w:rFonts w:hint="eastAsia" w:ascii="方正小标宋简体" w:hAnsi="方正小标宋简体" w:eastAsia="方正小标宋简体" w:cs="方正小标宋简体"/>
          <w:color w:val="auto"/>
          <w:sz w:val="44"/>
          <w:szCs w:val="44"/>
          <w:highlight w:val="none"/>
        </w:rPr>
        <w:t>无串通竞标行为的承诺函</w:t>
      </w:r>
    </w:p>
    <w:p>
      <w:pPr>
        <w:spacing w:line="360" w:lineRule="auto"/>
        <w:ind w:firstLine="640" w:firstLineChars="200"/>
        <w:contextualSpacing/>
        <w:rPr>
          <w:rFonts w:hint="eastAsia" w:ascii="仿宋_GB2312" w:hAnsi="仿宋_GB2312" w:eastAsia="仿宋_GB2312" w:cs="仿宋_GB2312"/>
          <w:color w:val="auto"/>
          <w:sz w:val="32"/>
          <w:szCs w:val="32"/>
          <w:highlight w:val="none"/>
        </w:rPr>
      </w:pPr>
    </w:p>
    <w:p>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pPr>
        <w:spacing w:line="360" w:lineRule="auto"/>
        <w:ind w:firstLine="480" w:firstLineChars="200"/>
        <w:contextualSpacing/>
        <w:rPr>
          <w:rFonts w:hint="eastAsia" w:ascii="宋体" w:hAnsi="宋体" w:cs="仿宋_GB2312"/>
          <w:color w:val="auto"/>
          <w:sz w:val="24"/>
          <w:highlight w:val="none"/>
        </w:rPr>
      </w:pPr>
    </w:p>
    <w:p>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pPr>
        <w:spacing w:line="360" w:lineRule="auto"/>
        <w:contextualSpacing/>
        <w:rPr>
          <w:rFonts w:hint="eastAsia" w:ascii="宋体" w:hAnsi="宋体" w:cs="仿宋_GB2312"/>
          <w:color w:val="auto"/>
          <w:sz w:val="24"/>
          <w:highlight w:val="none"/>
        </w:rPr>
      </w:pPr>
    </w:p>
    <w:p>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eastAsia="宋体" w:cs="宋体"/>
          <w:color w:val="auto"/>
          <w:sz w:val="24"/>
          <w:szCs w:val="24"/>
          <w:highlight w:val="none"/>
        </w:rPr>
        <w:t>电子签章</w:t>
      </w:r>
      <w:r>
        <w:rPr>
          <w:rFonts w:hint="eastAsia" w:ascii="宋体" w:hAnsi="宋体" w:cs="仿宋_GB2312"/>
          <w:color w:val="auto"/>
          <w:sz w:val="24"/>
          <w:highlight w:val="none"/>
        </w:rPr>
        <w:t>）：</w:t>
      </w:r>
    </w:p>
    <w:p>
      <w:pPr>
        <w:spacing w:line="360" w:lineRule="auto"/>
        <w:ind w:firstLine="480" w:firstLineChars="200"/>
        <w:contextualSpacing/>
        <w:jc w:val="center"/>
        <w:rPr>
          <w:rFonts w:hint="eastAsia"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pPr>
        <w:spacing w:line="520" w:lineRule="exact"/>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lang w:val="en-US" w:eastAsia="zh-CN"/>
        </w:rPr>
        <w:t>2、</w:t>
      </w:r>
      <w:r>
        <w:rPr>
          <w:rFonts w:hint="eastAsia" w:ascii="方正小标宋简体" w:hAnsi="方正小标宋简体" w:eastAsia="方正小标宋简体" w:cs="方正小标宋简体"/>
          <w:bCs/>
          <w:color w:val="auto"/>
          <w:sz w:val="44"/>
          <w:szCs w:val="44"/>
          <w:highlight w:val="none"/>
        </w:rPr>
        <w:t>竞  标  报  价  表</w:t>
      </w:r>
    </w:p>
    <w:p>
      <w:pPr>
        <w:spacing w:line="440" w:lineRule="exact"/>
        <w:jc w:val="center"/>
        <w:rPr>
          <w:rFonts w:hint="eastAsia" w:ascii="方正小标宋简体" w:hAnsi="方正小标宋简体" w:eastAsia="方正小标宋简体" w:cs="方正小标宋简体"/>
          <w:bCs/>
          <w:color w:val="auto"/>
          <w:sz w:val="32"/>
          <w:szCs w:val="32"/>
          <w:highlight w:val="none"/>
        </w:rPr>
      </w:pPr>
    </w:p>
    <w:p>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分标（如有）：</w:t>
      </w:r>
      <w:r>
        <w:rPr>
          <w:rFonts w:hint="eastAsia" w:ascii="宋体" w:hAnsi="宋体" w:cs="仿宋_GB2312"/>
          <w:color w:val="auto"/>
          <w:sz w:val="24"/>
          <w:highlight w:val="none"/>
          <w:u w:val="single"/>
        </w:rPr>
        <w:t xml:space="preserve">                                         </w:t>
      </w:r>
    </w:p>
    <w:p>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20"/>
        <w:tblW w:w="954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782"/>
        <w:gridCol w:w="1565"/>
        <w:gridCol w:w="910"/>
        <w:gridCol w:w="1012"/>
        <w:gridCol w:w="1202"/>
        <w:gridCol w:w="1592"/>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b w:val="0"/>
                <w:bCs w:val="0"/>
                <w:color w:val="auto"/>
                <w:sz w:val="24"/>
                <w:szCs w:val="24"/>
                <w:highlight w:val="none"/>
              </w:rPr>
            </w:pPr>
            <w:r>
              <w:rPr>
                <w:rFonts w:ascii="宋体" w:hAnsi="宋体" w:cs="仿宋_GB2312"/>
                <w:b w:val="0"/>
                <w:bCs w:val="0"/>
                <w:color w:val="auto"/>
                <w:sz w:val="24"/>
                <w:szCs w:val="24"/>
                <w:highlight w:val="none"/>
              </w:rPr>
              <w:t>序号</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eastAsia="zh-CN"/>
              </w:rPr>
              <w:t>标的</w:t>
            </w:r>
            <w:r>
              <w:rPr>
                <w:rFonts w:hint="eastAsia" w:ascii="宋体" w:hAnsi="宋体" w:eastAsia="宋体" w:cs="宋体"/>
                <w:b w:val="0"/>
                <w:bCs w:val="0"/>
                <w:color w:val="auto"/>
                <w:sz w:val="24"/>
                <w:szCs w:val="24"/>
                <w:highlight w:val="none"/>
              </w:rPr>
              <w:t>名称</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品牌、生产厂家及国别</w:t>
            </w:r>
          </w:p>
        </w:tc>
        <w:tc>
          <w:tcPr>
            <w:tcW w:w="91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型号、规格</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eastAsia="zh-CN"/>
              </w:rPr>
              <w:t>总</w:t>
            </w:r>
            <w:r>
              <w:rPr>
                <w:rFonts w:hint="eastAsia" w:ascii="宋体" w:hAnsi="宋体" w:eastAsia="宋体" w:cs="宋体"/>
                <w:b w:val="0"/>
                <w:bCs w:val="0"/>
                <w:color w:val="auto"/>
                <w:sz w:val="24"/>
                <w:szCs w:val="24"/>
                <w:highlight w:val="none"/>
              </w:rPr>
              <w:t>数量</w:t>
            </w:r>
            <w:r>
              <w:rPr>
                <w:rFonts w:hint="eastAsia" w:ascii="宋体" w:hAnsi="宋体" w:eastAsia="宋体" w:cs="宋体"/>
                <w:b w:val="0"/>
                <w:bCs w:val="0"/>
                <w:color w:val="auto"/>
                <w:kern w:val="2"/>
                <w:sz w:val="24"/>
                <w:szCs w:val="24"/>
                <w:highlight w:val="none"/>
                <w:lang w:val="en-US" w:eastAsia="zh-CN" w:bidi="ar-SA"/>
              </w:rPr>
              <w:t>①</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pStyle w:val="13"/>
              <w:snapToGrid w:val="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单价(元)</w:t>
            </w:r>
          </w:p>
          <w:p>
            <w:pPr>
              <w:pStyle w:val="13"/>
              <w:snapToGrid w:val="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②</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pStyle w:val="13"/>
              <w:snapToGrid w:val="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单项合价（元）</w:t>
            </w:r>
          </w:p>
          <w:p>
            <w:pPr>
              <w:pStyle w:val="13"/>
              <w:snapToGrid w:val="0"/>
              <w:jc w:val="center"/>
              <w:rPr>
                <w:rFonts w:ascii="宋体" w:hAnsi="宋体" w:cs="仿宋_GB2312"/>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③＝①×②</w:t>
            </w:r>
          </w:p>
        </w:tc>
        <w:tc>
          <w:tcPr>
            <w:tcW w:w="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b w:val="0"/>
                <w:bCs w:val="0"/>
                <w:color w:val="auto"/>
                <w:sz w:val="24"/>
                <w:szCs w:val="24"/>
                <w:highlight w:val="none"/>
              </w:rPr>
            </w:pPr>
            <w:r>
              <w:rPr>
                <w:rFonts w:ascii="宋体" w:hAnsi="宋体" w:cs="仿宋_GB2312"/>
                <w:b w:val="0"/>
                <w:bCs w:val="0"/>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b w:val="0"/>
                <w:bCs w:val="0"/>
                <w:color w:val="auto"/>
                <w:sz w:val="24"/>
                <w:szCs w:val="24"/>
                <w:highlight w:val="none"/>
              </w:rPr>
            </w:pPr>
            <w:r>
              <w:rPr>
                <w:rFonts w:ascii="宋体" w:hAnsi="宋体" w:cs="仿宋_GB2312"/>
                <w:b w:val="0"/>
                <w:bCs w:val="0"/>
                <w:color w:val="auto"/>
                <w:sz w:val="24"/>
                <w:szCs w:val="24"/>
                <w:highlight w:val="none"/>
              </w:rPr>
              <w:t>1</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b w:val="0"/>
                <w:bCs w:val="0"/>
                <w:color w:val="auto"/>
                <w:sz w:val="24"/>
                <w:szCs w:val="24"/>
                <w:highlight w:val="none"/>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b w:val="0"/>
                <w:bCs w:val="0"/>
                <w:color w:val="auto"/>
                <w:sz w:val="24"/>
                <w:szCs w:val="24"/>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b w:val="0"/>
                <w:bCs w:val="0"/>
                <w:color w:val="auto"/>
                <w:sz w:val="24"/>
                <w:szCs w:val="24"/>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b w:val="0"/>
                <w:bCs w:val="0"/>
                <w:color w:val="auto"/>
                <w:sz w:val="24"/>
                <w:szCs w:val="24"/>
                <w:highlight w:val="none"/>
              </w:rPr>
            </w:pPr>
          </w:p>
        </w:tc>
        <w:tc>
          <w:tcPr>
            <w:tcW w:w="1202"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b w:val="0"/>
                <w:bCs w:val="0"/>
                <w:color w:val="auto"/>
                <w:sz w:val="24"/>
                <w:szCs w:val="24"/>
                <w:highlight w:val="none"/>
              </w:rPr>
            </w:pPr>
          </w:p>
        </w:tc>
        <w:tc>
          <w:tcPr>
            <w:tcW w:w="1592"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b w:val="0"/>
                <w:bCs w:val="0"/>
                <w:color w:val="auto"/>
                <w:sz w:val="24"/>
                <w:szCs w:val="24"/>
                <w:highlight w:val="none"/>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仿宋_GB2312"/>
                <w:b w:val="0"/>
                <w:bCs w:val="0"/>
                <w:color w:val="auto"/>
                <w:sz w:val="24"/>
                <w:szCs w:val="24"/>
                <w:highlight w:val="none"/>
                <w:lang w:val="en-US" w:eastAsia="zh-CN"/>
              </w:rPr>
            </w:pPr>
            <w:r>
              <w:rPr>
                <w:rFonts w:hint="eastAsia" w:ascii="宋体" w:hAnsi="宋体" w:cs="仿宋_GB2312"/>
                <w:b w:val="0"/>
                <w:bCs w:val="0"/>
                <w:color w:val="auto"/>
                <w:sz w:val="24"/>
                <w:szCs w:val="24"/>
                <w:highlight w:val="none"/>
                <w:lang w:val="en-US" w:eastAsia="zh-CN"/>
              </w:rPr>
              <w:t>2</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b w:val="0"/>
                <w:bCs w:val="0"/>
                <w:color w:val="auto"/>
                <w:sz w:val="24"/>
                <w:szCs w:val="24"/>
                <w:highlight w:val="none"/>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b w:val="0"/>
                <w:bCs w:val="0"/>
                <w:color w:val="auto"/>
                <w:sz w:val="24"/>
                <w:szCs w:val="24"/>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b w:val="0"/>
                <w:bCs w:val="0"/>
                <w:color w:val="auto"/>
                <w:sz w:val="24"/>
                <w:szCs w:val="24"/>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b w:val="0"/>
                <w:bCs w:val="0"/>
                <w:color w:val="auto"/>
                <w:sz w:val="24"/>
                <w:szCs w:val="24"/>
                <w:highlight w:val="none"/>
              </w:rPr>
            </w:pPr>
          </w:p>
        </w:tc>
        <w:tc>
          <w:tcPr>
            <w:tcW w:w="1202"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b w:val="0"/>
                <w:bCs w:val="0"/>
                <w:color w:val="auto"/>
                <w:sz w:val="24"/>
                <w:szCs w:val="24"/>
                <w:highlight w:val="none"/>
              </w:rPr>
            </w:pPr>
          </w:p>
        </w:tc>
        <w:tc>
          <w:tcPr>
            <w:tcW w:w="1592"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b w:val="0"/>
                <w:bCs w:val="0"/>
                <w:color w:val="auto"/>
                <w:sz w:val="24"/>
                <w:szCs w:val="24"/>
                <w:highlight w:val="none"/>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7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b w:val="0"/>
                <w:bCs w:val="0"/>
                <w:color w:val="auto"/>
                <w:sz w:val="24"/>
                <w:szCs w:val="24"/>
                <w:highlight w:val="none"/>
              </w:rPr>
            </w:pPr>
            <w:r>
              <w:rPr>
                <w:rFonts w:hint="eastAsia" w:ascii="宋体" w:hAnsi="宋体" w:eastAsia="宋体" w:cs="宋体"/>
                <w:color w:val="auto"/>
                <w:sz w:val="21"/>
                <w:szCs w:val="21"/>
                <w:highlight w:val="none"/>
              </w:rPr>
              <w:t>...</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b w:val="0"/>
                <w:bCs w:val="0"/>
                <w:color w:val="auto"/>
                <w:sz w:val="24"/>
                <w:szCs w:val="24"/>
                <w:highlight w:val="none"/>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b w:val="0"/>
                <w:bCs w:val="0"/>
                <w:color w:val="auto"/>
                <w:sz w:val="24"/>
                <w:szCs w:val="24"/>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b w:val="0"/>
                <w:bCs w:val="0"/>
                <w:color w:val="auto"/>
                <w:sz w:val="24"/>
                <w:szCs w:val="24"/>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b w:val="0"/>
                <w:bCs w:val="0"/>
                <w:color w:val="auto"/>
                <w:sz w:val="24"/>
                <w:szCs w:val="24"/>
                <w:highlight w:val="none"/>
              </w:rPr>
            </w:pPr>
          </w:p>
        </w:tc>
        <w:tc>
          <w:tcPr>
            <w:tcW w:w="1202"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b w:val="0"/>
                <w:bCs w:val="0"/>
                <w:color w:val="auto"/>
                <w:sz w:val="24"/>
                <w:szCs w:val="24"/>
                <w:highlight w:val="none"/>
              </w:rPr>
            </w:pPr>
          </w:p>
        </w:tc>
        <w:tc>
          <w:tcPr>
            <w:tcW w:w="1592"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b w:val="0"/>
                <w:bCs w:val="0"/>
                <w:color w:val="auto"/>
                <w:sz w:val="24"/>
                <w:szCs w:val="24"/>
                <w:highlight w:val="none"/>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542"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b w:val="0"/>
                <w:bCs w:val="0"/>
                <w:color w:val="auto"/>
                <w:sz w:val="24"/>
                <w:szCs w:val="24"/>
                <w:highlight w:val="none"/>
              </w:rPr>
            </w:pPr>
            <w:r>
              <w:rPr>
                <w:rFonts w:hint="eastAsia" w:ascii="宋体" w:hAnsi="宋体" w:cs="仿宋_GB2312"/>
                <w:b w:val="0"/>
                <w:bCs w:val="0"/>
                <w:color w:val="auto"/>
                <w:sz w:val="24"/>
                <w:szCs w:val="24"/>
                <w:highlight w:val="none"/>
              </w:rPr>
              <w:t>合计金额大写：人民币</w:t>
            </w:r>
            <w:r>
              <w:rPr>
                <w:rFonts w:hint="eastAsia" w:ascii="宋体" w:hAnsi="宋体" w:cs="仿宋_GB2312"/>
                <w:b w:val="0"/>
                <w:bCs w:val="0"/>
                <w:color w:val="auto"/>
                <w:sz w:val="24"/>
                <w:szCs w:val="24"/>
                <w:highlight w:val="none"/>
                <w:u w:val="single"/>
              </w:rPr>
              <w:t xml:space="preserve">           </w:t>
            </w:r>
            <w:r>
              <w:rPr>
                <w:rFonts w:hint="eastAsia" w:ascii="宋体" w:hAnsi="宋体" w:cs="仿宋_GB2312"/>
                <w:b w:val="0"/>
                <w:bCs w:val="0"/>
                <w:color w:val="auto"/>
                <w:sz w:val="24"/>
                <w:szCs w:val="24"/>
                <w:highlight w:val="none"/>
              </w:rPr>
              <w:t>（￥</w:t>
            </w:r>
            <w:r>
              <w:rPr>
                <w:rFonts w:hint="eastAsia" w:ascii="宋体" w:hAnsi="宋体" w:cs="仿宋_GB2312"/>
                <w:b w:val="0"/>
                <w:bCs w:val="0"/>
                <w:color w:val="auto"/>
                <w:sz w:val="24"/>
                <w:szCs w:val="24"/>
                <w:highlight w:val="none"/>
                <w:u w:val="single"/>
              </w:rPr>
              <w:t xml:space="preserve">           </w:t>
            </w:r>
            <w:r>
              <w:rPr>
                <w:rFonts w:hint="eastAsia" w:ascii="宋体" w:hAnsi="宋体" w:cs="仿宋_GB2312"/>
                <w:b w:val="0"/>
                <w:bCs w:val="0"/>
                <w:color w:val="auto"/>
                <w:sz w:val="24"/>
                <w:szCs w:val="24"/>
                <w:highlight w:val="none"/>
              </w:rPr>
              <w:t>）</w:t>
            </w:r>
          </w:p>
        </w:tc>
      </w:tr>
    </w:tbl>
    <w:p>
      <w:pPr>
        <w:spacing w:line="360" w:lineRule="auto"/>
        <w:contextualSpacing/>
        <w:jc w:val="left"/>
        <w:rPr>
          <w:rFonts w:ascii="宋体" w:hAnsi="宋体" w:cs="仿宋_GB2312"/>
          <w:color w:val="auto"/>
          <w:sz w:val="24"/>
          <w:highlight w:val="none"/>
        </w:rPr>
      </w:pPr>
    </w:p>
    <w:p>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注: </w:t>
      </w:r>
    </w:p>
    <w:p>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1.供应商的报价表必须由法定代表人或者委托代理人签字并加盖供应商公章，</w:t>
      </w:r>
      <w:r>
        <w:rPr>
          <w:rFonts w:hint="eastAsia" w:ascii="宋体" w:hAnsi="宋体" w:cs="仿宋_GB2312"/>
          <w:b/>
          <w:color w:val="auto"/>
          <w:sz w:val="24"/>
          <w:highlight w:val="none"/>
        </w:rPr>
        <w:t>否则其响应文件按无效响应处理</w:t>
      </w:r>
      <w:r>
        <w:rPr>
          <w:rFonts w:hint="eastAsia" w:ascii="宋体" w:hAnsi="宋体" w:cs="仿宋_GB2312"/>
          <w:color w:val="auto"/>
          <w:sz w:val="24"/>
          <w:highlight w:val="none"/>
        </w:rPr>
        <w:t>。</w:t>
      </w:r>
    </w:p>
    <w:p>
      <w:pPr>
        <w:spacing w:line="360"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报价一经涂改，应在涂改处加盖供应商公章或者由法定代表人或者委托代理人签字</w:t>
      </w:r>
      <w:r>
        <w:rPr>
          <w:rFonts w:hint="eastAsia" w:ascii="宋体" w:hAnsi="宋体" w:cs="仿宋_GB2312"/>
          <w:color w:val="auto"/>
          <w:sz w:val="24"/>
          <w:highlight w:val="none"/>
          <w:lang w:eastAsia="zh-CN"/>
        </w:rPr>
        <w:t>后加</w:t>
      </w:r>
      <w:r>
        <w:rPr>
          <w:rFonts w:hint="eastAsia" w:ascii="宋体" w:hAnsi="宋体" w:cs="仿宋_GB2312"/>
          <w:color w:val="auto"/>
          <w:sz w:val="24"/>
          <w:highlight w:val="none"/>
        </w:rPr>
        <w:t>盖</w:t>
      </w:r>
      <w:r>
        <w:rPr>
          <w:rFonts w:hint="eastAsia" w:ascii="宋体" w:hAnsi="宋体" w:cs="仿宋_GB2312"/>
          <w:color w:val="auto"/>
          <w:sz w:val="24"/>
          <w:highlight w:val="none"/>
          <w:lang w:eastAsia="zh-CN"/>
        </w:rPr>
        <w:t>公</w:t>
      </w:r>
      <w:r>
        <w:rPr>
          <w:rFonts w:hint="eastAsia" w:ascii="宋体" w:hAnsi="宋体" w:cs="仿宋_GB2312"/>
          <w:color w:val="auto"/>
          <w:sz w:val="24"/>
          <w:highlight w:val="none"/>
        </w:rPr>
        <w:t>章</w:t>
      </w:r>
      <w:r>
        <w:rPr>
          <w:rFonts w:hint="eastAsia" w:ascii="宋体" w:hAnsi="宋体" w:cs="仿宋_GB2312"/>
          <w:b/>
          <w:color w:val="auto"/>
          <w:sz w:val="24"/>
          <w:highlight w:val="none"/>
        </w:rPr>
        <w:t>，否则其响应文件按无效响应处理。</w:t>
      </w:r>
    </w:p>
    <w:p>
      <w:pPr>
        <w:spacing w:line="360" w:lineRule="auto"/>
        <w:ind w:right="-817" w:rightChars="-389"/>
        <w:contextualSpacing/>
        <w:rPr>
          <w:rFonts w:hint="eastAsia" w:ascii="宋体" w:hAnsi="宋体" w:cs="仿宋_GB2312"/>
          <w:color w:val="auto"/>
          <w:sz w:val="24"/>
          <w:highlight w:val="none"/>
        </w:rPr>
      </w:pPr>
    </w:p>
    <w:p>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                    </w:t>
      </w:r>
    </w:p>
    <w:p>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eastAsia="宋体" w:cs="宋体"/>
          <w:color w:val="auto"/>
          <w:sz w:val="24"/>
          <w:szCs w:val="24"/>
          <w:highlight w:val="none"/>
        </w:rPr>
        <w:t>电子签章</w:t>
      </w:r>
      <w:r>
        <w:rPr>
          <w:rFonts w:hint="eastAsia" w:ascii="宋体" w:hAnsi="宋体" w:cs="仿宋_GB2312"/>
          <w:color w:val="auto"/>
          <w:sz w:val="24"/>
          <w:highlight w:val="none"/>
        </w:rPr>
        <w:t xml:space="preserve">）：      </w:t>
      </w:r>
    </w:p>
    <w:p>
      <w:pPr>
        <w:spacing w:line="360" w:lineRule="auto"/>
        <w:ind w:right="-817" w:rightChars="-389" w:firstLine="4080" w:firstLineChars="1700"/>
        <w:contextualSpacing/>
        <w:rPr>
          <w:rFonts w:hint="eastAsia" w:ascii="宋体" w:hAnsi="宋体" w:cs="仿宋_GB2312"/>
          <w:b/>
          <w:color w:val="auto"/>
          <w:sz w:val="24"/>
          <w:highlight w:val="none"/>
        </w:rPr>
      </w:pPr>
      <w:r>
        <w:rPr>
          <w:rFonts w:hint="eastAsia" w:ascii="宋体" w:hAnsi="宋体" w:cs="仿宋_GB2312"/>
          <w:color w:val="auto"/>
          <w:sz w:val="24"/>
          <w:highlight w:val="none"/>
        </w:rPr>
        <w:t>日期：   年   月   日</w:t>
      </w:r>
    </w:p>
    <w:p>
      <w:pPr>
        <w:rPr>
          <w:rFonts w:hint="eastAsia" w:ascii="宋体" w:hAnsi="Courier New"/>
          <w:b/>
          <w:color w:val="auto"/>
          <w:sz w:val="32"/>
          <w:szCs w:val="32"/>
          <w:highlight w:val="none"/>
        </w:rPr>
      </w:pPr>
      <w:r>
        <w:rPr>
          <w:rFonts w:hint="eastAsia" w:ascii="宋体" w:hAnsi="Courier New"/>
          <w:b/>
          <w:color w:val="auto"/>
          <w:sz w:val="32"/>
          <w:szCs w:val="32"/>
          <w:highlight w:val="none"/>
        </w:rPr>
        <w:br w:type="page"/>
      </w:r>
    </w:p>
    <w:p>
      <w:pPr>
        <w:spacing w:line="520" w:lineRule="exact"/>
        <w:jc w:val="center"/>
        <w:rPr>
          <w:rFonts w:hint="eastAsia" w:ascii="方正小标宋简体" w:hAnsi="方正小标宋简体" w:eastAsia="方正小标宋简体" w:cs="方正小标宋简体"/>
          <w:bCs/>
          <w:color w:val="auto"/>
          <w:sz w:val="44"/>
          <w:szCs w:val="44"/>
          <w:highlight w:val="none"/>
        </w:rPr>
      </w:pPr>
    </w:p>
    <w:p>
      <w:pPr>
        <w:spacing w:line="520" w:lineRule="exact"/>
        <w:jc w:val="center"/>
        <w:rPr>
          <w:rFonts w:hint="eastAsia" w:ascii="方正小标宋简体" w:hAnsi="方正小标宋简体" w:eastAsia="方正小标宋简体" w:cs="方正小标宋简体"/>
          <w:bCs/>
          <w:color w:val="auto"/>
          <w:sz w:val="44"/>
          <w:szCs w:val="44"/>
          <w:highlight w:val="none"/>
        </w:rPr>
      </w:pPr>
    </w:p>
    <w:p>
      <w:pPr>
        <w:spacing w:line="52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其他参考费用报价表</w:t>
      </w:r>
    </w:p>
    <w:p>
      <w:pPr>
        <w:ind w:firstLine="2415" w:firstLineChars="1150"/>
        <w:rPr>
          <w:rFonts w:ascii="Arial" w:hAnsi="Arial" w:cs="Arial"/>
          <w:color w:val="auto"/>
          <w:szCs w:val="21"/>
          <w:highlight w:val="none"/>
        </w:rPr>
      </w:pPr>
      <w:r>
        <w:rPr>
          <w:rFonts w:ascii="Arial" w:hAnsi="Arial" w:cs="Arial"/>
          <w:color w:val="auto"/>
          <w:szCs w:val="21"/>
          <w:highlight w:val="none"/>
        </w:rPr>
        <w:t xml:space="preserve">                          </w:t>
      </w:r>
    </w:p>
    <w:p>
      <w:pPr>
        <w:ind w:firstLine="2760" w:firstLineChars="115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75"/>
        <w:gridCol w:w="2944"/>
        <w:gridCol w:w="1309"/>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8" w:type="dxa"/>
            <w:gridSpan w:val="5"/>
            <w:vAlign w:val="center"/>
          </w:tcPr>
          <w:p>
            <w:pPr>
              <w:spacing w:line="24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一、质保期满后将要发生的必要服务项收费标准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51" w:type="dxa"/>
            <w:vAlign w:val="center"/>
          </w:tcPr>
          <w:p>
            <w:pPr>
              <w:spacing w:line="240" w:lineRule="exact"/>
              <w:ind w:left="-432" w:right="-42" w:rightChars="-20" w:firstLine="163" w:firstLineChars="6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2375" w:type="dxa"/>
            <w:vAlign w:val="center"/>
          </w:tcPr>
          <w:p>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收费项目名称</w:t>
            </w:r>
          </w:p>
        </w:tc>
        <w:tc>
          <w:tcPr>
            <w:tcW w:w="2944" w:type="dxa"/>
            <w:vAlign w:val="center"/>
          </w:tcPr>
          <w:p>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1309" w:type="dxa"/>
            <w:vAlign w:val="center"/>
          </w:tcPr>
          <w:p>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p>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859" w:type="dxa"/>
            <w:vAlign w:val="center"/>
          </w:tcPr>
          <w:p>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tabs>
                <w:tab w:val="left" w:pos="5660"/>
              </w:tabs>
              <w:autoSpaceDE w:val="0"/>
              <w:autoSpaceDN w:val="0"/>
              <w:adjustRightInd w:val="0"/>
              <w:snapToGrid w:val="0"/>
              <w:spacing w:line="240" w:lineRule="exact"/>
              <w:jc w:val="center"/>
              <w:rPr>
                <w:rFonts w:hint="eastAsia" w:ascii="宋体" w:hAnsi="宋体" w:eastAsia="宋体" w:cs="宋体"/>
                <w:color w:val="auto"/>
                <w:kern w:val="0"/>
                <w:sz w:val="24"/>
                <w:szCs w:val="24"/>
                <w:highlight w:val="none"/>
              </w:rPr>
            </w:pPr>
          </w:p>
        </w:tc>
        <w:tc>
          <w:tcPr>
            <w:tcW w:w="2375" w:type="dxa"/>
            <w:vAlign w:val="center"/>
          </w:tcPr>
          <w:p>
            <w:pPr>
              <w:spacing w:line="240" w:lineRule="exact"/>
              <w:jc w:val="center"/>
              <w:rPr>
                <w:rFonts w:hint="eastAsia" w:ascii="宋体" w:hAnsi="宋体" w:eastAsia="宋体" w:cs="宋体"/>
                <w:color w:val="auto"/>
                <w:sz w:val="24"/>
                <w:szCs w:val="24"/>
                <w:highlight w:val="none"/>
              </w:rPr>
            </w:pPr>
          </w:p>
        </w:tc>
        <w:tc>
          <w:tcPr>
            <w:tcW w:w="2944" w:type="dxa"/>
            <w:vAlign w:val="center"/>
          </w:tcPr>
          <w:p>
            <w:pPr>
              <w:spacing w:line="240" w:lineRule="exact"/>
              <w:jc w:val="center"/>
              <w:rPr>
                <w:rFonts w:hint="eastAsia" w:ascii="宋体" w:hAnsi="宋体" w:eastAsia="宋体" w:cs="宋体"/>
                <w:color w:val="auto"/>
                <w:sz w:val="24"/>
                <w:szCs w:val="24"/>
                <w:highlight w:val="none"/>
              </w:rPr>
            </w:pPr>
          </w:p>
        </w:tc>
        <w:tc>
          <w:tcPr>
            <w:tcW w:w="1309" w:type="dxa"/>
            <w:vAlign w:val="center"/>
          </w:tcPr>
          <w:p>
            <w:pPr>
              <w:spacing w:line="240" w:lineRule="exact"/>
              <w:jc w:val="center"/>
              <w:rPr>
                <w:rFonts w:hint="eastAsia" w:ascii="宋体" w:hAnsi="宋体" w:eastAsia="宋体" w:cs="宋体"/>
                <w:color w:val="auto"/>
                <w:sz w:val="24"/>
                <w:szCs w:val="24"/>
                <w:highlight w:val="none"/>
              </w:rPr>
            </w:pPr>
          </w:p>
        </w:tc>
        <w:tc>
          <w:tcPr>
            <w:tcW w:w="1859" w:type="dxa"/>
            <w:vAlign w:val="center"/>
          </w:tcPr>
          <w:p>
            <w:pPr>
              <w:widowControl/>
              <w:spacing w:line="240" w:lineRule="exact"/>
              <w:jc w:val="center"/>
              <w:textAlignment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tabs>
                <w:tab w:val="left" w:pos="5660"/>
              </w:tabs>
              <w:autoSpaceDE w:val="0"/>
              <w:autoSpaceDN w:val="0"/>
              <w:adjustRightInd w:val="0"/>
              <w:snapToGrid w:val="0"/>
              <w:spacing w:line="240" w:lineRule="exact"/>
              <w:jc w:val="center"/>
              <w:rPr>
                <w:rFonts w:hint="eastAsia" w:ascii="宋体" w:hAnsi="宋体" w:eastAsia="宋体" w:cs="宋体"/>
                <w:color w:val="auto"/>
                <w:kern w:val="0"/>
                <w:sz w:val="24"/>
                <w:szCs w:val="24"/>
                <w:highlight w:val="none"/>
              </w:rPr>
            </w:pPr>
          </w:p>
        </w:tc>
        <w:tc>
          <w:tcPr>
            <w:tcW w:w="2375" w:type="dxa"/>
            <w:vAlign w:val="center"/>
          </w:tcPr>
          <w:p>
            <w:pPr>
              <w:spacing w:line="240" w:lineRule="exact"/>
              <w:jc w:val="center"/>
              <w:rPr>
                <w:rFonts w:hint="eastAsia" w:ascii="宋体" w:hAnsi="宋体" w:eastAsia="宋体" w:cs="宋体"/>
                <w:color w:val="auto"/>
                <w:sz w:val="24"/>
                <w:szCs w:val="24"/>
                <w:highlight w:val="none"/>
              </w:rPr>
            </w:pPr>
          </w:p>
        </w:tc>
        <w:tc>
          <w:tcPr>
            <w:tcW w:w="2944" w:type="dxa"/>
            <w:vAlign w:val="center"/>
          </w:tcPr>
          <w:p>
            <w:pPr>
              <w:spacing w:line="240" w:lineRule="exact"/>
              <w:jc w:val="center"/>
              <w:rPr>
                <w:rFonts w:hint="eastAsia" w:ascii="宋体" w:hAnsi="宋体" w:eastAsia="宋体" w:cs="宋体"/>
                <w:color w:val="auto"/>
                <w:sz w:val="24"/>
                <w:szCs w:val="24"/>
                <w:highlight w:val="none"/>
              </w:rPr>
            </w:pPr>
          </w:p>
        </w:tc>
        <w:tc>
          <w:tcPr>
            <w:tcW w:w="1309" w:type="dxa"/>
            <w:vAlign w:val="center"/>
          </w:tcPr>
          <w:p>
            <w:pPr>
              <w:spacing w:line="240" w:lineRule="exact"/>
              <w:jc w:val="center"/>
              <w:rPr>
                <w:rFonts w:hint="eastAsia" w:ascii="宋体" w:hAnsi="宋体" w:eastAsia="宋体" w:cs="宋体"/>
                <w:color w:val="auto"/>
                <w:sz w:val="24"/>
                <w:szCs w:val="24"/>
                <w:highlight w:val="none"/>
              </w:rPr>
            </w:pPr>
          </w:p>
        </w:tc>
        <w:tc>
          <w:tcPr>
            <w:tcW w:w="1859" w:type="dxa"/>
            <w:vAlign w:val="center"/>
          </w:tcPr>
          <w:p>
            <w:pPr>
              <w:widowControl/>
              <w:spacing w:line="240" w:lineRule="exact"/>
              <w:jc w:val="center"/>
              <w:textAlignment w:val="center"/>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注：表中报价不列入</w:t>
      </w:r>
      <w:r>
        <w:rPr>
          <w:rFonts w:hint="eastAsia" w:ascii="宋体" w:hAnsi="宋体" w:eastAsia="宋体" w:cs="宋体"/>
          <w:color w:val="auto"/>
          <w:spacing w:val="20"/>
          <w:sz w:val="24"/>
          <w:szCs w:val="24"/>
          <w:highlight w:val="none"/>
          <w:lang w:eastAsia="zh-CN"/>
        </w:rPr>
        <w:t>竞</w:t>
      </w:r>
      <w:r>
        <w:rPr>
          <w:rFonts w:hint="eastAsia" w:ascii="宋体" w:hAnsi="宋体" w:eastAsia="宋体" w:cs="宋体"/>
          <w:color w:val="auto"/>
          <w:spacing w:val="20"/>
          <w:sz w:val="24"/>
          <w:szCs w:val="24"/>
          <w:highlight w:val="none"/>
        </w:rPr>
        <w:t>标总价内，</w:t>
      </w:r>
      <w:r>
        <w:rPr>
          <w:rFonts w:hint="eastAsia" w:ascii="宋体" w:hAnsi="宋体" w:eastAsia="宋体" w:cs="宋体"/>
          <w:color w:val="auto"/>
          <w:spacing w:val="20"/>
          <w:sz w:val="24"/>
          <w:szCs w:val="24"/>
          <w:highlight w:val="none"/>
          <w:lang w:eastAsia="zh-CN"/>
        </w:rPr>
        <w:t>竞标人</w:t>
      </w:r>
      <w:r>
        <w:rPr>
          <w:rFonts w:hint="eastAsia" w:ascii="宋体" w:hAnsi="宋体" w:eastAsia="宋体" w:cs="宋体"/>
          <w:color w:val="auto"/>
          <w:spacing w:val="20"/>
          <w:sz w:val="24"/>
          <w:szCs w:val="24"/>
          <w:highlight w:val="none"/>
        </w:rPr>
        <w:t>应如实填写，同时在</w:t>
      </w:r>
      <w:r>
        <w:rPr>
          <w:rFonts w:hint="eastAsia" w:ascii="宋体" w:hAnsi="宋体" w:eastAsia="宋体" w:cs="宋体"/>
          <w:color w:val="auto"/>
          <w:spacing w:val="20"/>
          <w:sz w:val="24"/>
          <w:szCs w:val="24"/>
          <w:highlight w:val="none"/>
          <w:lang w:eastAsia="zh-CN"/>
        </w:rPr>
        <w:t>竞</w:t>
      </w:r>
      <w:r>
        <w:rPr>
          <w:rFonts w:hint="eastAsia" w:ascii="宋体" w:hAnsi="宋体" w:eastAsia="宋体" w:cs="宋体"/>
          <w:color w:val="auto"/>
          <w:spacing w:val="20"/>
          <w:sz w:val="24"/>
          <w:szCs w:val="24"/>
          <w:highlight w:val="none"/>
        </w:rPr>
        <w:t>标文件中提供本表。</w:t>
      </w:r>
    </w:p>
    <w:p>
      <w:pPr>
        <w:spacing w:line="360" w:lineRule="auto"/>
        <w:rPr>
          <w:rFonts w:hint="eastAsia" w:ascii="宋体" w:hAnsi="宋体" w:eastAsia="宋体" w:cs="宋体"/>
          <w:color w:val="auto"/>
          <w:spacing w:val="20"/>
          <w:sz w:val="24"/>
          <w:szCs w:val="24"/>
          <w:highlight w:val="none"/>
        </w:rPr>
      </w:pPr>
    </w:p>
    <w:p>
      <w:pPr>
        <w:spacing w:line="360" w:lineRule="auto"/>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lang w:eastAsia="zh-CN"/>
        </w:rPr>
        <w:t>竞标人</w:t>
      </w:r>
      <w:r>
        <w:rPr>
          <w:rFonts w:hint="eastAsia" w:ascii="宋体" w:hAnsi="宋体" w:eastAsia="宋体" w:cs="宋体"/>
          <w:color w:val="auto"/>
          <w:sz w:val="24"/>
          <w:szCs w:val="24"/>
          <w:highlight w:val="none"/>
        </w:rPr>
        <w:t>名称（电子签章）：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pPr>
        <w:pStyle w:val="28"/>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jc w:val="center"/>
        <w:rPr>
          <w:rFonts w:hint="eastAsia" w:ascii="方正小标宋简体" w:hAnsi="方正小标宋简体" w:eastAsia="方正小标宋简体" w:cs="方正小标宋简体"/>
          <w:color w:val="auto"/>
          <w:sz w:val="44"/>
          <w:szCs w:val="44"/>
          <w:highlight w:val="none"/>
        </w:rPr>
      </w:pPr>
      <w:bookmarkStart w:id="45" w:name="_Toc71365926"/>
      <w:r>
        <w:rPr>
          <w:rFonts w:hint="eastAsia" w:ascii="方正小标宋简体" w:hAnsi="方正小标宋简体" w:eastAsia="方正小标宋简体" w:cs="方正小标宋简体"/>
          <w:color w:val="auto"/>
          <w:sz w:val="44"/>
          <w:szCs w:val="44"/>
          <w:highlight w:val="none"/>
          <w:lang w:val="en-US" w:eastAsia="zh-CN"/>
        </w:rPr>
        <w:t>3、</w:t>
      </w:r>
      <w:r>
        <w:rPr>
          <w:rFonts w:hint="eastAsia" w:ascii="方正小标宋简体" w:hAnsi="方正小标宋简体" w:eastAsia="方正小标宋简体" w:cs="方正小标宋简体"/>
          <w:color w:val="auto"/>
          <w:sz w:val="44"/>
          <w:szCs w:val="44"/>
          <w:highlight w:val="none"/>
        </w:rPr>
        <w:t>中小企业声明函（服务）</w:t>
      </w:r>
      <w:bookmarkEnd w:id="45"/>
    </w:p>
    <w:p>
      <w:pPr>
        <w:spacing w:before="2" w:line="500" w:lineRule="exact"/>
        <w:ind w:firstLine="708" w:firstLineChars="294"/>
        <w:rPr>
          <w:rFonts w:ascii="宋体" w:hAnsi="宋体" w:cs="宋体"/>
          <w:b/>
          <w:bCs/>
          <w:color w:val="auto"/>
          <w:sz w:val="24"/>
          <w:highlight w:val="none"/>
        </w:rPr>
      </w:pPr>
    </w:p>
    <w:p>
      <w:pPr>
        <w:pStyle w:val="10"/>
        <w:spacing w:line="500" w:lineRule="exact"/>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pPr>
        <w:pStyle w:val="10"/>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pPr>
        <w:pStyle w:val="10"/>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w:t>
      </w:r>
      <w:r>
        <w:rPr>
          <w:rFonts w:hint="eastAsia" w:ascii="宋体" w:hAnsi="宋体"/>
          <w:color w:val="auto"/>
          <w:sz w:val="24"/>
          <w:highlight w:val="none"/>
          <w:lang w:val="en-US" w:eastAsia="zh-CN"/>
        </w:rPr>
        <w:t>中</w:t>
      </w:r>
      <w:r>
        <w:rPr>
          <w:rFonts w:ascii="宋体" w:hAnsi="宋体"/>
          <w:color w:val="auto"/>
          <w:sz w:val="24"/>
          <w:highlight w:val="none"/>
        </w:rPr>
        <w:t>企业的分支机构，不存在控股股东为大企业的情形，也不存在与大企业的负责人为同一人的情形。</w:t>
      </w:r>
    </w:p>
    <w:p>
      <w:pPr>
        <w:pStyle w:val="10"/>
        <w:spacing w:before="25"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pPr>
        <w:pStyle w:val="10"/>
        <w:spacing w:before="56" w:line="500" w:lineRule="exact"/>
        <w:ind w:right="1808" w:firstLine="705" w:firstLineChars="294"/>
        <w:rPr>
          <w:rFonts w:hint="eastAsia" w:ascii="宋体" w:hAnsi="宋体"/>
          <w:color w:val="auto"/>
          <w:sz w:val="24"/>
          <w:highlight w:val="none"/>
        </w:rPr>
      </w:pPr>
    </w:p>
    <w:p>
      <w:pPr>
        <w:pStyle w:val="10"/>
        <w:spacing w:before="56" w:line="500" w:lineRule="exact"/>
        <w:ind w:right="650" w:firstLine="5625" w:firstLineChars="2344"/>
        <w:rPr>
          <w:rFonts w:ascii="宋体" w:hAnsi="宋体"/>
          <w:color w:val="auto"/>
          <w:sz w:val="24"/>
          <w:highlight w:val="none"/>
        </w:rPr>
      </w:pPr>
      <w:r>
        <w:rPr>
          <w:rFonts w:ascii="宋体" w:hAnsi="宋体"/>
          <w:color w:val="auto"/>
          <w:sz w:val="24"/>
          <w:highlight w:val="none"/>
        </w:rPr>
        <w:t xml:space="preserve">企业名称（章）： </w:t>
      </w:r>
    </w:p>
    <w:p>
      <w:pPr>
        <w:pStyle w:val="10"/>
        <w:spacing w:before="56"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p>
    <w:p>
      <w:pPr>
        <w:spacing w:line="520" w:lineRule="exact"/>
        <w:jc w:val="left"/>
        <w:rPr>
          <w:rFonts w:hint="eastAsia" w:ascii="宋体" w:hAnsi="宋体"/>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rPr>
          <w:rFonts w:hint="eastAsia"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br w:type="page"/>
      </w:r>
    </w:p>
    <w:p>
      <w:pPr>
        <w:pStyle w:val="13"/>
        <w:jc w:val="left"/>
        <w:rPr>
          <w:rFonts w:hint="eastAsia"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t>附：</w:t>
      </w:r>
    </w:p>
    <w:p>
      <w:pPr>
        <w:jc w:val="center"/>
        <w:rPr>
          <w:rFonts w:hint="eastAsia" w:ascii="宋体" w:hAnsi="宋体" w:cs="Arial Unicode MS"/>
          <w:color w:val="auto"/>
          <w:sz w:val="44"/>
          <w:szCs w:val="44"/>
          <w:highlight w:val="none"/>
        </w:rPr>
      </w:pPr>
      <w:r>
        <w:rPr>
          <w:rFonts w:hint="eastAsia" w:ascii="宋体" w:hAnsi="宋体" w:cs="Arial Unicode MS"/>
          <w:color w:val="auto"/>
          <w:sz w:val="44"/>
          <w:szCs w:val="44"/>
          <w:highlight w:val="none"/>
        </w:rPr>
        <w:t>中小微企业划型标准</w:t>
      </w:r>
    </w:p>
    <w:p>
      <w:pPr>
        <w:ind w:left="1871"/>
        <w:rPr>
          <w:rFonts w:hint="eastAsia" w:ascii="宋体" w:hAnsi="宋体" w:cs="Arial Unicode MS"/>
          <w:color w:val="auto"/>
          <w:szCs w:val="21"/>
          <w:highlight w:val="none"/>
        </w:rPr>
      </w:pPr>
    </w:p>
    <w:tbl>
      <w:tblPr>
        <w:tblStyle w:val="20"/>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pPr>
        <w:spacing w:line="360" w:lineRule="auto"/>
        <w:ind w:firstLine="525" w:firstLineChars="250"/>
        <w:rPr>
          <w:rFonts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spacing w:line="520" w:lineRule="exact"/>
        <w:jc w:val="center"/>
        <w:rPr>
          <w:rFonts w:hint="eastAsia"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pPr>
        <w:spacing w:line="360" w:lineRule="auto"/>
        <w:contextualSpacing/>
        <w:rPr>
          <w:rFonts w:hint="eastAsia" w:ascii="仿宋_GB2312" w:hAnsi="仿宋_GB2312" w:eastAsia="仿宋_GB2312" w:cs="仿宋_GB2312"/>
          <w:color w:val="auto"/>
          <w:sz w:val="32"/>
          <w:szCs w:val="32"/>
          <w:highlight w:val="none"/>
        </w:rPr>
      </w:pP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pPr>
        <w:spacing w:line="360" w:lineRule="auto"/>
        <w:contextualSpacing/>
        <w:rPr>
          <w:rFonts w:hint="eastAsia" w:ascii="宋体" w:hAnsi="宋体" w:cs="仿宋_GB2312"/>
          <w:color w:val="auto"/>
          <w:sz w:val="24"/>
          <w:highlight w:val="none"/>
        </w:rPr>
      </w:pPr>
    </w:p>
    <w:p>
      <w:pPr>
        <w:spacing w:line="360" w:lineRule="auto"/>
        <w:contextualSpacing/>
        <w:rPr>
          <w:rFonts w:hint="eastAsia" w:ascii="宋体" w:hAnsi="宋体" w:cs="仿宋_GB2312"/>
          <w:color w:val="auto"/>
          <w:sz w:val="24"/>
          <w:highlight w:val="none"/>
        </w:rPr>
      </w:pPr>
    </w:p>
    <w:p>
      <w:pPr>
        <w:spacing w:line="360" w:lineRule="auto"/>
        <w:contextualSpacing/>
        <w:rPr>
          <w:rFonts w:hint="eastAsia" w:ascii="宋体" w:hAnsi="宋体" w:cs="仿宋_GB2312"/>
          <w:color w:val="auto"/>
          <w:sz w:val="24"/>
          <w:highlight w:val="none"/>
        </w:rPr>
      </w:pPr>
    </w:p>
    <w:p>
      <w:pPr>
        <w:spacing w:line="360" w:lineRule="auto"/>
        <w:ind w:firstLine="2400" w:firstLineChars="10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单位名称（盖章）：</w:t>
      </w:r>
    </w:p>
    <w:p>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pPr>
        <w:spacing w:line="360" w:lineRule="auto"/>
        <w:contextualSpacing/>
        <w:rPr>
          <w:rFonts w:hint="eastAsia" w:ascii="宋体" w:hAnsi="宋体" w:cs="仿宋_GB2312"/>
          <w:color w:val="auto"/>
          <w:sz w:val="24"/>
          <w:highlight w:val="none"/>
        </w:rPr>
      </w:pPr>
    </w:p>
    <w:p>
      <w:pPr>
        <w:spacing w:line="360" w:lineRule="auto"/>
        <w:contextualSpacing/>
        <w:rPr>
          <w:rFonts w:hint="eastAsia" w:ascii="宋体" w:hAnsi="宋体" w:cs="仿宋_GB2312"/>
          <w:color w:val="auto"/>
          <w:sz w:val="24"/>
          <w:highlight w:val="none"/>
        </w:rPr>
      </w:pPr>
    </w:p>
    <w:p>
      <w:pPr>
        <w:spacing w:line="360" w:lineRule="auto"/>
        <w:contextualSpacing/>
        <w:rPr>
          <w:rFonts w:hint="eastAsia" w:ascii="宋体" w:hAnsi="宋体" w:cs="仿宋_GB2312"/>
          <w:color w:val="auto"/>
          <w:sz w:val="24"/>
          <w:highlight w:val="none"/>
        </w:rPr>
      </w:pPr>
    </w:p>
    <w:p>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center"/>
        <w:rPr>
          <w:rFonts w:ascii="宋体" w:hAnsi="宋体" w:cs="仿宋_GB2312"/>
          <w:color w:val="auto"/>
          <w:sz w:val="24"/>
          <w:highlight w:val="none"/>
        </w:rPr>
      </w:pPr>
      <w:r>
        <w:rPr>
          <w:rFonts w:ascii="宋体" w:hAnsi="宋体" w:cs="仿宋_GB2312"/>
          <w:color w:val="auto"/>
          <w:sz w:val="24"/>
          <w:highlight w:val="none"/>
        </w:rPr>
        <w:br w:type="page"/>
      </w:r>
    </w:p>
    <w:p>
      <w:pPr>
        <w:spacing w:before="312" w:beforeLines="100" w:after="156" w:afterLines="50" w:line="520" w:lineRule="exact"/>
        <w:ind w:left="540"/>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lang w:val="en-US" w:eastAsia="zh-CN"/>
        </w:rPr>
        <w:t>4、</w:t>
      </w:r>
      <w:r>
        <w:rPr>
          <w:rFonts w:hint="eastAsia" w:ascii="方正小标宋简体" w:hAnsi="方正小标宋简体" w:eastAsia="方正小标宋简体" w:cs="方正小标宋简体"/>
          <w:bCs/>
          <w:color w:val="auto"/>
          <w:sz w:val="44"/>
          <w:szCs w:val="44"/>
          <w:highlight w:val="none"/>
        </w:rPr>
        <w:t>法定代表人身份证明</w:t>
      </w:r>
    </w:p>
    <w:p>
      <w:pPr>
        <w:spacing w:line="360" w:lineRule="auto"/>
        <w:ind w:left="540"/>
        <w:contextualSpacing/>
        <w:rPr>
          <w:rFonts w:hint="eastAsia" w:ascii="仿宋_GB2312" w:hAnsi="仿宋_GB2312" w:eastAsia="仿宋_GB2312" w:cs="仿宋_GB2312"/>
          <w:color w:val="auto"/>
          <w:sz w:val="32"/>
          <w:szCs w:val="32"/>
          <w:highlight w:val="none"/>
        </w:rPr>
      </w:pPr>
    </w:p>
    <w:p>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pPr>
        <w:spacing w:line="360" w:lineRule="auto"/>
        <w:ind w:left="540"/>
        <w:contextualSpacing/>
        <w:rPr>
          <w:rFonts w:hint="eastAsia" w:ascii="宋体" w:hAnsi="宋体" w:cs="仿宋_GB2312"/>
          <w:color w:val="auto"/>
          <w:sz w:val="24"/>
          <w:highlight w:val="none"/>
        </w:rPr>
      </w:pPr>
    </w:p>
    <w:p>
      <w:pPr>
        <w:spacing w:line="360" w:lineRule="auto"/>
        <w:ind w:left="540"/>
        <w:contextualSpacing/>
        <w:rPr>
          <w:rFonts w:hint="eastAsia" w:ascii="宋体" w:hAnsi="宋体" w:cs="仿宋_GB2312"/>
          <w:color w:val="auto"/>
          <w:sz w:val="24"/>
          <w:highlight w:val="none"/>
        </w:rPr>
      </w:pPr>
    </w:p>
    <w:p>
      <w:pPr>
        <w:spacing w:line="360" w:lineRule="auto"/>
        <w:ind w:left="540"/>
        <w:contextualSpacing/>
        <w:rPr>
          <w:rFonts w:hint="eastAsia" w:ascii="宋体" w:hAnsi="宋体" w:cs="仿宋_GB2312"/>
          <w:color w:val="auto"/>
          <w:sz w:val="24"/>
          <w:highlight w:val="none"/>
        </w:rPr>
      </w:pPr>
    </w:p>
    <w:p>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pPr>
        <w:spacing w:line="360" w:lineRule="auto"/>
        <w:ind w:left="540"/>
        <w:contextualSpacing/>
        <w:rPr>
          <w:rFonts w:hint="eastAsia" w:ascii="宋体" w:hAnsi="宋体" w:cs="仿宋_GB2312"/>
          <w:color w:val="auto"/>
          <w:sz w:val="24"/>
          <w:highlight w:val="none"/>
        </w:rPr>
      </w:pPr>
    </w:p>
    <w:p>
      <w:pPr>
        <w:spacing w:line="360" w:lineRule="auto"/>
        <w:ind w:left="540"/>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eastAsia="宋体" w:cs="宋体"/>
          <w:color w:val="auto"/>
          <w:sz w:val="24"/>
          <w:szCs w:val="24"/>
          <w:highlight w:val="none"/>
        </w:rPr>
        <w:t>电子签章</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p>
    <w:p>
      <w:pPr>
        <w:spacing w:line="360" w:lineRule="auto"/>
        <w:ind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pPr>
        <w:spacing w:line="360" w:lineRule="auto"/>
        <w:contextualSpacing/>
        <w:jc w:val="center"/>
        <w:rPr>
          <w:rFonts w:hint="eastAsia" w:ascii="宋体" w:hAnsi="宋体" w:cs="仿宋_GB2312"/>
          <w:b/>
          <w:color w:val="auto"/>
          <w:sz w:val="24"/>
          <w:highlight w:val="none"/>
        </w:rPr>
      </w:pPr>
    </w:p>
    <w:p>
      <w:pPr>
        <w:spacing w:line="360" w:lineRule="auto"/>
        <w:contextualSpacing/>
        <w:jc w:val="left"/>
        <w:rPr>
          <w:rFonts w:hint="eastAsia" w:ascii="宋体" w:hAnsi="宋体" w:cs="仿宋_GB2312"/>
          <w:color w:val="auto"/>
          <w:sz w:val="24"/>
          <w:highlight w:val="none"/>
        </w:rPr>
      </w:pPr>
    </w:p>
    <w:p>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pPr>
        <w:adjustRightInd w:val="0"/>
        <w:snapToGrid w:val="0"/>
        <w:spacing w:line="300" w:lineRule="auto"/>
        <w:jc w:val="left"/>
        <w:rPr>
          <w:rFonts w:hint="eastAsia" w:ascii="宋体" w:hAnsi="宋体"/>
          <w:b/>
          <w:color w:val="auto"/>
          <w:szCs w:val="21"/>
          <w:highlight w:val="none"/>
        </w:rPr>
      </w:pPr>
    </w:p>
    <w:p>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ascii="方正小标宋简体" w:hAnsi="方正小标宋简体" w:eastAsia="方正小标宋简体" w:cs="方正小标宋简体"/>
          <w:color w:val="auto"/>
          <w:sz w:val="44"/>
          <w:szCs w:val="44"/>
          <w:highlight w:val="none"/>
        </w:rPr>
        <w:t xml:space="preserve"> </w:t>
      </w:r>
    </w:p>
    <w:p>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5、</w:t>
      </w:r>
      <w:r>
        <w:rPr>
          <w:rFonts w:hint="eastAsia" w:ascii="方正小标宋简体" w:hAnsi="方正小标宋简体" w:eastAsia="方正小标宋简体" w:cs="方正小标宋简体"/>
          <w:color w:val="auto"/>
          <w:sz w:val="44"/>
          <w:szCs w:val="44"/>
          <w:highlight w:val="none"/>
        </w:rPr>
        <w:t>授权委托书</w:t>
      </w:r>
    </w:p>
    <w:p>
      <w:pPr>
        <w:spacing w:line="520" w:lineRule="exact"/>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（非联合体竞标格式）</w:t>
      </w:r>
    </w:p>
    <w:p>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pPr>
        <w:spacing w:line="520" w:lineRule="exact"/>
        <w:rPr>
          <w:rFonts w:hint="eastAsia" w:ascii="仿宋_GB2312" w:hAnsi="仿宋_GB2312" w:eastAsia="仿宋_GB2312" w:cs="仿宋_GB2312"/>
          <w:color w:val="auto"/>
          <w:sz w:val="32"/>
          <w:szCs w:val="32"/>
          <w:highlight w:val="none"/>
        </w:rPr>
      </w:pP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我方对委托代理人的签字事项负全部责任。</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附：法定代表人身份证明及委托代理人有效身份证正反面复印件</w:t>
      </w:r>
    </w:p>
    <w:p>
      <w:pPr>
        <w:spacing w:line="360" w:lineRule="auto"/>
        <w:rPr>
          <w:rFonts w:hint="eastAsia" w:ascii="宋体" w:hAnsi="宋体" w:cs="仿宋_GB2312"/>
          <w:color w:val="auto"/>
          <w:sz w:val="24"/>
          <w:highlight w:val="none"/>
        </w:rPr>
      </w:pP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委托代理人（签字）：         法定代表人（签字或者盖章）：                    </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供应商（</w:t>
      </w:r>
      <w:r>
        <w:rPr>
          <w:rFonts w:hint="eastAsia" w:ascii="宋体" w:hAnsi="宋体" w:eastAsia="宋体" w:cs="宋体"/>
          <w:color w:val="auto"/>
          <w:sz w:val="24"/>
          <w:szCs w:val="24"/>
          <w:highlight w:val="none"/>
        </w:rPr>
        <w:t>电子签章</w:t>
      </w:r>
      <w:r>
        <w:rPr>
          <w:rFonts w:hint="eastAsia" w:ascii="宋体" w:hAnsi="宋体" w:cs="仿宋_GB2312"/>
          <w:color w:val="auto"/>
          <w:sz w:val="24"/>
          <w:highlight w:val="none"/>
        </w:rPr>
        <w:t xml:space="preserve">）：                      </w:t>
      </w:r>
    </w:p>
    <w:p>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pPr>
        <w:spacing w:line="360" w:lineRule="auto"/>
        <w:rPr>
          <w:rFonts w:hint="eastAsia" w:ascii="宋体" w:hAnsi="宋体" w:cs="仿宋_GB2312"/>
          <w:color w:val="auto"/>
          <w:sz w:val="24"/>
          <w:highlight w:val="none"/>
        </w:rPr>
      </w:pPr>
    </w:p>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法定代表人必须在授权委托书上亲笔签字或者盖章，委托代理人必须在授权委托书上亲笔签字，</w:t>
      </w:r>
      <w:r>
        <w:rPr>
          <w:rFonts w:hint="eastAsia" w:ascii="宋体" w:hAnsi="宋体" w:cs="仿宋_GB2312"/>
          <w:b/>
          <w:color w:val="auto"/>
          <w:sz w:val="24"/>
          <w:highlight w:val="none"/>
        </w:rPr>
        <w:t>否则其响应文件按无效响应处理。</w:t>
      </w:r>
    </w:p>
    <w:p>
      <w:pPr>
        <w:spacing w:line="360" w:lineRule="auto"/>
        <w:ind w:firstLine="480" w:firstLineChars="200"/>
        <w:jc w:val="left"/>
        <w:rPr>
          <w:rFonts w:hint="eastAsia" w:ascii="宋体" w:hAnsi="宋体" w:cs="仿宋_GB2312"/>
          <w:color w:val="auto"/>
          <w:sz w:val="24"/>
          <w:highlight w:val="none"/>
        </w:rPr>
      </w:pPr>
      <w:r>
        <w:rPr>
          <w:rFonts w:ascii="宋体" w:hAnsi="宋体" w:cs="仿宋_GB2312"/>
          <w:color w:val="auto"/>
          <w:sz w:val="24"/>
          <w:highlight w:val="none"/>
        </w:rPr>
        <w:t>2.</w:t>
      </w:r>
      <w:bookmarkStart w:id="46" w:name="_Hlk65853109"/>
      <w:bookmarkStart w:id="47" w:name="_Hlk65853542"/>
      <w:r>
        <w:rPr>
          <w:rFonts w:hint="eastAsia" w:ascii="宋体" w:hAnsi="宋体" w:cs="仿宋_GB2312"/>
          <w:color w:val="auto"/>
          <w:sz w:val="24"/>
          <w:highlight w:val="none"/>
        </w:rPr>
        <w:t>法人、其他组织竞标时“我方”是指“我单位”，自然人竞标时“我方”是指“本人”。</w:t>
      </w:r>
      <w:bookmarkEnd w:id="46"/>
    </w:p>
    <w:bookmarkEnd w:id="47"/>
    <w:p>
      <w:pPr>
        <w:spacing w:line="360" w:lineRule="auto"/>
        <w:ind w:firstLine="420" w:firstLineChars="200"/>
        <w:jc w:val="left"/>
        <w:rPr>
          <w:rFonts w:hint="eastAsia" w:ascii="仿宋_GB2312" w:hAnsi="仿宋_GB2312" w:eastAsia="仿宋_GB2312" w:cs="仿宋_GB2312"/>
          <w:color w:val="auto"/>
          <w:szCs w:val="21"/>
          <w:highlight w:val="none"/>
        </w:rPr>
      </w:pPr>
    </w:p>
    <w:p>
      <w:pPr>
        <w:rPr>
          <w:rFonts w:ascii="仿宋_GB2312" w:hAnsi="仿宋_GB2312" w:eastAsia="仿宋_GB2312" w:cs="仿宋_GB2312"/>
          <w:color w:val="auto"/>
          <w:szCs w:val="21"/>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bCs/>
          <w:color w:val="auto"/>
          <w:sz w:val="44"/>
          <w:szCs w:val="44"/>
          <w:highlight w:val="none"/>
        </w:rPr>
        <w:t>6、磋商保证金提交凭证</w:t>
      </w:r>
    </w:p>
    <w:p>
      <w:pPr>
        <w:spacing w:line="360" w:lineRule="auto"/>
        <w:ind w:firstLine="602" w:firstLineChars="200"/>
        <w:rPr>
          <w:rFonts w:hint="eastAsia" w:ascii="宋体" w:hAnsi="宋体" w:eastAsia="宋体" w:cs="宋体"/>
          <w:b/>
          <w:color w:val="auto"/>
          <w:kern w:val="0"/>
          <w:sz w:val="30"/>
          <w:szCs w:val="30"/>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pPr>
        <w:spacing w:line="500" w:lineRule="exact"/>
        <w:jc w:val="center"/>
        <w:rPr>
          <w:rFonts w:hint="eastAsia" w:ascii="方正小标宋简体" w:hAnsi="方正小标宋简体" w:eastAsia="方正小标宋简体" w:cs="方正小标宋简体"/>
          <w:bCs/>
          <w:color w:val="auto"/>
          <w:sz w:val="44"/>
          <w:szCs w:val="44"/>
          <w:highlight w:val="none"/>
        </w:rPr>
      </w:pPr>
    </w:p>
    <w:p>
      <w:pPr>
        <w:spacing w:line="500" w:lineRule="exact"/>
        <w:jc w:val="center"/>
        <w:rPr>
          <w:rFonts w:hint="eastAsia" w:ascii="方正小标宋简体" w:hAnsi="方正小标宋简体" w:eastAsia="方正小标宋简体" w:cs="方正小标宋简体"/>
          <w:bCs/>
          <w:color w:val="auto"/>
          <w:sz w:val="44"/>
          <w:szCs w:val="44"/>
          <w:highlight w:val="none"/>
        </w:rPr>
      </w:pPr>
    </w:p>
    <w:p>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lang w:val="en-US" w:eastAsia="zh-CN"/>
        </w:rPr>
        <w:t>7、</w:t>
      </w:r>
      <w:r>
        <w:rPr>
          <w:rFonts w:hint="eastAsia" w:ascii="方正小标宋简体" w:hAnsi="方正小标宋简体" w:eastAsia="方正小标宋简体" w:cs="方正小标宋简体"/>
          <w:bCs/>
          <w:color w:val="auto"/>
          <w:sz w:val="44"/>
          <w:szCs w:val="44"/>
          <w:highlight w:val="none"/>
        </w:rPr>
        <w:t>商务要求偏离表</w:t>
      </w:r>
    </w:p>
    <w:p>
      <w:pPr>
        <w:spacing w:line="360" w:lineRule="auto"/>
        <w:contextualSpacing/>
        <w:jc w:val="left"/>
        <w:rPr>
          <w:rFonts w:hint="eastAsia" w:ascii="宋体" w:hAnsi="宋体"/>
          <w:color w:val="auto"/>
          <w:sz w:val="24"/>
          <w:highlight w:val="none"/>
        </w:rPr>
      </w:pPr>
    </w:p>
    <w:p>
      <w:pPr>
        <w:pStyle w:val="13"/>
        <w:spacing w:line="360" w:lineRule="auto"/>
        <w:contextualSpacing/>
        <w:rPr>
          <w:rFonts w:hint="eastAsia" w:hAnsi="宋体" w:cs="仿宋_GB2312"/>
          <w:color w:val="auto"/>
          <w:sz w:val="24"/>
          <w:szCs w:val="24"/>
          <w:highlight w:val="none"/>
        </w:rPr>
      </w:pPr>
      <w:r>
        <w:rPr>
          <w:rFonts w:hint="eastAsia" w:hAnsi="宋体" w:cs="仿宋_GB2312"/>
          <w:color w:val="auto"/>
          <w:sz w:val="24"/>
          <w:szCs w:val="24"/>
          <w:highlight w:val="none"/>
        </w:rPr>
        <w:t>所竞分标：</w:t>
      </w:r>
      <w:r>
        <w:rPr>
          <w:rFonts w:hint="eastAsia" w:hAnsi="宋体" w:cs="仿宋_GB2312"/>
          <w:color w:val="auto"/>
          <w:sz w:val="24"/>
          <w:szCs w:val="24"/>
          <w:highlight w:val="none"/>
          <w:u w:val="single"/>
        </w:rPr>
        <w:t xml:space="preserve">              </w:t>
      </w:r>
    </w:p>
    <w:p>
      <w:pPr>
        <w:spacing w:line="360" w:lineRule="auto"/>
        <w:contextualSpacing/>
        <w:jc w:val="left"/>
        <w:rPr>
          <w:rFonts w:hint="eastAsia" w:ascii="宋体" w:hAnsi="宋体" w:cs="仿宋_GB2312"/>
          <w:color w:val="auto"/>
          <w:sz w:val="24"/>
          <w:highlight w:val="none"/>
          <w:u w:val="single"/>
        </w:rPr>
      </w:pPr>
    </w:p>
    <w:tbl>
      <w:tblPr>
        <w:tblStyle w:val="20"/>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80"/>
                <w:tab w:val="left" w:pos="1620"/>
              </w:tabs>
              <w:kinsoku/>
              <w:overflowPunct/>
              <w:topLinePunct w:val="0"/>
              <w:autoSpaceDE/>
              <w:autoSpaceDN/>
              <w:bidi w:val="0"/>
              <w:spacing w:line="356" w:lineRule="exact"/>
              <w:jc w:val="center"/>
              <w:textAlignment w:val="auto"/>
              <w:rPr>
                <w:rFonts w:ascii="宋体" w:hAnsi="宋体"/>
                <w:color w:val="auto"/>
                <w:sz w:val="24"/>
                <w:highlight w:val="none"/>
              </w:rPr>
            </w:pPr>
            <w:r>
              <w:rPr>
                <w:rFonts w:hint="eastAsia" w:asciiTheme="minorEastAsia" w:hAnsiTheme="minorEastAsia" w:eastAsiaTheme="minorEastAsia" w:cstheme="minorEastAsia"/>
                <w:color w:val="auto"/>
                <w:sz w:val="21"/>
                <w:szCs w:val="21"/>
                <w:highlight w:val="none"/>
              </w:rPr>
              <w:t>▲竞标报价要求</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80"/>
                <w:tab w:val="left" w:pos="1620"/>
              </w:tabs>
              <w:kinsoku/>
              <w:overflowPunct/>
              <w:topLinePunct w:val="0"/>
              <w:autoSpaceDE/>
              <w:autoSpaceDN/>
              <w:bidi w:val="0"/>
              <w:spacing w:line="356" w:lineRule="exact"/>
              <w:jc w:val="center"/>
              <w:textAlignment w:val="auto"/>
              <w:rPr>
                <w:rFonts w:ascii="宋体" w:hAnsi="宋体"/>
                <w:color w:val="auto"/>
                <w:sz w:val="24"/>
                <w:highlight w:val="none"/>
              </w:rPr>
            </w:pPr>
            <w:r>
              <w:rPr>
                <w:rFonts w:hint="eastAsia" w:asciiTheme="minorEastAsia" w:hAnsiTheme="minorEastAsia" w:eastAsiaTheme="minorEastAsia" w:cstheme="minorEastAsia"/>
                <w:color w:val="auto"/>
                <w:sz w:val="21"/>
                <w:szCs w:val="21"/>
                <w:highlight w:val="none"/>
              </w:rPr>
              <w:t>▲时间和地点</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3"/>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43"/>
              <w:contextualSpacing/>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80"/>
                <w:tab w:val="left" w:pos="1620"/>
              </w:tabs>
              <w:kinsoku/>
              <w:overflowPunct/>
              <w:topLinePunct w:val="0"/>
              <w:autoSpaceDE/>
              <w:autoSpaceDN/>
              <w:bidi w:val="0"/>
              <w:spacing w:line="356" w:lineRule="exact"/>
              <w:jc w:val="center"/>
              <w:textAlignment w:val="auto"/>
              <w:rPr>
                <w:rFonts w:hint="eastAsia" w:ascii="宋体" w:hAnsi="宋体" w:cs="仿宋_GB2312"/>
                <w:color w:val="auto"/>
                <w:sz w:val="24"/>
                <w:highlight w:val="none"/>
              </w:rPr>
            </w:pPr>
            <w:r>
              <w:rPr>
                <w:rFonts w:hint="eastAsia" w:asciiTheme="minorEastAsia" w:hAnsiTheme="minorEastAsia" w:eastAsiaTheme="minorEastAsia" w:cstheme="minorEastAsia"/>
                <w:color w:val="auto"/>
                <w:sz w:val="21"/>
                <w:szCs w:val="21"/>
                <w:highlight w:val="none"/>
              </w:rPr>
              <w:t>▲付款方式</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1620"/>
              </w:tabs>
              <w:spacing w:line="380" w:lineRule="exact"/>
              <w:jc w:val="center"/>
              <w:rPr>
                <w:rFonts w:hint="eastAsia" w:ascii="宋体" w:hAnsi="宋体" w:cs="仿宋"/>
                <w:color w:val="auto"/>
                <w:szCs w:val="21"/>
                <w:highlight w:val="none"/>
              </w:rPr>
            </w:pPr>
            <w:r>
              <w:rPr>
                <w:rFonts w:hint="eastAsia" w:ascii="宋体" w:hAnsi="宋体" w:eastAsia="宋体" w:cs="宋体"/>
                <w:b/>
                <w:bCs/>
                <w:color w:val="auto"/>
                <w:szCs w:val="21"/>
                <w:highlight w:val="none"/>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cs="仿宋_GB2312"/>
                <w:color w:val="auto"/>
                <w:sz w:val="24"/>
                <w:highlight w:val="none"/>
              </w:rPr>
            </w:pPr>
          </w:p>
        </w:tc>
      </w:tr>
    </w:tbl>
    <w:p>
      <w:pPr>
        <w:pStyle w:val="9"/>
        <w:spacing w:after="0" w:line="360"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注：</w:t>
      </w:r>
    </w:p>
    <w:p>
      <w:pPr>
        <w:pStyle w:val="9"/>
        <w:spacing w:after="0" w:line="360"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1. 说明：应对照磋商文件“第三章 采购需求”中的商务要求逐条作出明确响应，并作出偏离说明。</w:t>
      </w:r>
    </w:p>
    <w:p>
      <w:pPr>
        <w:spacing w:line="360" w:lineRule="auto"/>
        <w:contextualSpacing/>
        <w:jc w:val="left"/>
        <w:rPr>
          <w:rFonts w:hint="eastAsia" w:ascii="宋体" w:hAnsi="宋体" w:cs="仿宋_GB2312"/>
          <w:color w:val="auto"/>
          <w:sz w:val="24"/>
          <w:highlight w:val="none"/>
          <w:u w:val="single"/>
        </w:rPr>
      </w:pPr>
      <w:r>
        <w:rPr>
          <w:rFonts w:hint="eastAsia" w:ascii="宋体" w:hAnsi="宋体"/>
          <w:color w:val="auto"/>
          <w:kern w:val="0"/>
          <w:sz w:val="24"/>
          <w:highlight w:val="none"/>
        </w:rPr>
        <w:t>2.供应商应根据自身的承诺，对照磋商文件要求在“偏离说明”中注明“正偏离”、“负偏离”或者“无偏离”。既不属于“正偏离”也不属于“负偏离”即为“无偏离”。</w:t>
      </w:r>
    </w:p>
    <w:p>
      <w:pPr>
        <w:spacing w:line="360" w:lineRule="auto"/>
        <w:ind w:right="-817" w:rightChars="-389"/>
        <w:contextualSpacing/>
        <w:rPr>
          <w:rFonts w:hint="eastAsia" w:ascii="宋体" w:hAnsi="宋体" w:cs="仿宋_GB2312"/>
          <w:color w:val="auto"/>
          <w:sz w:val="24"/>
          <w:highlight w:val="none"/>
        </w:rPr>
      </w:pPr>
    </w:p>
    <w:p>
      <w:pPr>
        <w:spacing w:line="360" w:lineRule="auto"/>
        <w:ind w:right="-817" w:rightChars="-389" w:firstLine="960" w:firstLineChars="4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                    </w:t>
      </w:r>
    </w:p>
    <w:p>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eastAsia="宋体" w:cs="宋体"/>
          <w:color w:val="auto"/>
          <w:sz w:val="24"/>
          <w:szCs w:val="24"/>
          <w:highlight w:val="none"/>
        </w:rPr>
        <w:t>电子签章</w:t>
      </w:r>
      <w:r>
        <w:rPr>
          <w:rFonts w:hint="eastAsia" w:ascii="宋体" w:hAnsi="宋体" w:cs="仿宋_GB2312"/>
          <w:color w:val="auto"/>
          <w:sz w:val="24"/>
          <w:highlight w:val="none"/>
        </w:rPr>
        <w:t xml:space="preserve">）：      </w:t>
      </w:r>
    </w:p>
    <w:p>
      <w:pPr>
        <w:spacing w:line="360" w:lineRule="auto"/>
        <w:ind w:right="-817" w:rightChars="-389" w:firstLine="4080" w:firstLineChars="1700"/>
        <w:contextualSpacing/>
        <w:rPr>
          <w:rFonts w:hint="eastAsia"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auto"/>
          <w:sz w:val="44"/>
          <w:szCs w:val="44"/>
          <w:highlight w:val="none"/>
        </w:rPr>
      </w:pPr>
    </w:p>
    <w:p>
      <w:pPr>
        <w:numPr>
          <w:ilvl w:val="0"/>
          <w:numId w:val="7"/>
        </w:numPr>
        <w:adjustRightInd w:val="0"/>
        <w:snapToGrid w:val="0"/>
        <w:spacing w:line="300" w:lineRule="auto"/>
        <w:jc w:val="left"/>
        <w:rPr>
          <w:rFonts w:hint="eastAsia" w:ascii="方正小标宋简体" w:hAnsi="方正小标宋简体" w:eastAsia="方正小标宋简体" w:cs="方正小标宋简体"/>
          <w:bCs/>
          <w:color w:val="auto"/>
          <w:sz w:val="32"/>
          <w:szCs w:val="32"/>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服务方案</w:t>
      </w:r>
      <w:r>
        <w:rPr>
          <w:rFonts w:hint="eastAsia" w:ascii="方正小标宋简体" w:hAnsi="方正小标宋简体" w:eastAsia="方正小标宋简体" w:cs="方正小标宋简体"/>
          <w:bCs/>
          <w:color w:val="auto"/>
          <w:sz w:val="32"/>
          <w:szCs w:val="32"/>
          <w:highlight w:val="none"/>
          <w:lang w:eastAsia="zh-CN"/>
        </w:rPr>
        <w:t>（竞标人自行编制）</w:t>
      </w:r>
    </w:p>
    <w:p>
      <w:pPr>
        <w:spacing w:line="360" w:lineRule="auto"/>
        <w:ind w:firstLine="602" w:firstLineChars="200"/>
        <w:rPr>
          <w:rFonts w:hint="eastAsia" w:ascii="宋体" w:hAnsi="宋体" w:eastAsia="宋体" w:cs="宋体"/>
          <w:b/>
          <w:color w:val="auto"/>
          <w:kern w:val="0"/>
          <w:sz w:val="30"/>
          <w:szCs w:val="30"/>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pPr>
        <w:autoSpaceDE w:val="0"/>
        <w:autoSpaceDN w:val="0"/>
        <w:spacing w:line="360" w:lineRule="auto"/>
        <w:rPr>
          <w:rFonts w:hint="eastAsia" w:ascii="宋体" w:hAnsi="宋体" w:eastAsia="宋体" w:cs="宋体"/>
          <w:b/>
          <w:color w:val="auto"/>
          <w:sz w:val="21"/>
          <w:szCs w:val="21"/>
          <w:highlight w:val="none"/>
        </w:rPr>
      </w:pPr>
    </w:p>
    <w:p>
      <w:pPr>
        <w:autoSpaceDE w:val="0"/>
        <w:autoSpaceDN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附表A:售后服务机构情况表</w:t>
      </w:r>
      <w:r>
        <w:rPr>
          <w:rFonts w:hint="eastAsia" w:ascii="宋体" w:hAnsi="宋体" w:eastAsia="宋体" w:cs="宋体"/>
          <w:color w:val="auto"/>
          <w:sz w:val="21"/>
          <w:szCs w:val="21"/>
          <w:highlight w:val="none"/>
        </w:rPr>
        <w:t>（按此格式自制）</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autoSpaceDE w:val="0"/>
              <w:autoSpaceDN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40" w:type="dxa"/>
            <w:noWrap w:val="0"/>
            <w:vAlign w:val="center"/>
          </w:tcPr>
          <w:p>
            <w:pPr>
              <w:autoSpaceDE w:val="0"/>
              <w:autoSpaceDN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机构名称</w:t>
            </w:r>
          </w:p>
        </w:tc>
        <w:tc>
          <w:tcPr>
            <w:tcW w:w="1095" w:type="dxa"/>
            <w:noWrap w:val="0"/>
            <w:vAlign w:val="center"/>
          </w:tcPr>
          <w:p>
            <w:pPr>
              <w:autoSpaceDE w:val="0"/>
              <w:autoSpaceDN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机构性质</w:t>
            </w:r>
          </w:p>
        </w:tc>
        <w:tc>
          <w:tcPr>
            <w:tcW w:w="1245" w:type="dxa"/>
            <w:noWrap w:val="0"/>
            <w:vAlign w:val="center"/>
          </w:tcPr>
          <w:p>
            <w:pPr>
              <w:autoSpaceDE w:val="0"/>
              <w:autoSpaceDN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注册地址</w:t>
            </w:r>
          </w:p>
        </w:tc>
        <w:tc>
          <w:tcPr>
            <w:tcW w:w="1980" w:type="dxa"/>
            <w:noWrap w:val="0"/>
            <w:vAlign w:val="center"/>
          </w:tcPr>
          <w:p>
            <w:pPr>
              <w:autoSpaceDE w:val="0"/>
              <w:autoSpaceDN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货物技术人员数量</w:t>
            </w:r>
          </w:p>
        </w:tc>
        <w:tc>
          <w:tcPr>
            <w:tcW w:w="1260" w:type="dxa"/>
            <w:noWrap w:val="0"/>
            <w:vAlign w:val="center"/>
          </w:tcPr>
          <w:p>
            <w:pPr>
              <w:autoSpaceDE w:val="0"/>
              <w:autoSpaceDN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8" w:type="dxa"/>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2340" w:type="dxa"/>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1095" w:type="dxa"/>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1245" w:type="dxa"/>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1980" w:type="dxa"/>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1260" w:type="dxa"/>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2340" w:type="dxa"/>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1095" w:type="dxa"/>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1245" w:type="dxa"/>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1980" w:type="dxa"/>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1260" w:type="dxa"/>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2340" w:type="dxa"/>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1095" w:type="dxa"/>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1245" w:type="dxa"/>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1980" w:type="dxa"/>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1260" w:type="dxa"/>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r>
    </w:tbl>
    <w:p>
      <w:pPr>
        <w:autoSpaceDE w:val="0"/>
        <w:autoSpaceDN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注：关于项目涉及的所有售后服务机构均在本表注明，包括供应商本单位和符合条件的第三方货物机构；</w:t>
      </w:r>
    </w:p>
    <w:p>
      <w:pPr>
        <w:autoSpaceDE w:val="0"/>
        <w:autoSpaceDN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附表B：售后服务人员情况表</w:t>
      </w:r>
      <w:r>
        <w:rPr>
          <w:rFonts w:hint="eastAsia" w:ascii="宋体" w:hAnsi="宋体" w:eastAsia="宋体" w:cs="宋体"/>
          <w:color w:val="auto"/>
          <w:sz w:val="21"/>
          <w:szCs w:val="21"/>
          <w:highlight w:val="none"/>
        </w:rPr>
        <w:t>（按此格式自制）</w:t>
      </w:r>
    </w:p>
    <w:tbl>
      <w:tblPr>
        <w:tblStyle w:val="20"/>
        <w:tblW w:w="10002" w:type="dxa"/>
        <w:jc w:val="center"/>
        <w:tblLayout w:type="fixed"/>
        <w:tblCellMar>
          <w:top w:w="0" w:type="dxa"/>
          <w:left w:w="108" w:type="dxa"/>
          <w:bottom w:w="0" w:type="dxa"/>
          <w:right w:w="108" w:type="dxa"/>
        </w:tblCellMar>
      </w:tblPr>
      <w:tblGrid>
        <w:gridCol w:w="646"/>
        <w:gridCol w:w="746"/>
        <w:gridCol w:w="787"/>
        <w:gridCol w:w="685"/>
        <w:gridCol w:w="705"/>
        <w:gridCol w:w="1002"/>
        <w:gridCol w:w="1080"/>
        <w:gridCol w:w="1080"/>
        <w:gridCol w:w="1098"/>
        <w:gridCol w:w="1062"/>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7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00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09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本项目中的职责</w:t>
            </w:r>
          </w:p>
        </w:tc>
        <w:tc>
          <w:tcPr>
            <w:tcW w:w="10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宋体" w:hAnsi="宋体" w:eastAsia="宋体" w:cs="宋体"/>
                <w:color w:val="auto"/>
                <w:sz w:val="21"/>
                <w:szCs w:val="21"/>
                <w:highlight w:val="none"/>
              </w:rPr>
            </w:pPr>
          </w:p>
        </w:tc>
        <w:tc>
          <w:tcPr>
            <w:tcW w:w="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宋体" w:hAnsi="宋体" w:eastAsia="宋体" w:cs="宋体"/>
                <w:color w:val="auto"/>
                <w:sz w:val="21"/>
                <w:szCs w:val="21"/>
                <w:highlight w:val="none"/>
              </w:rPr>
            </w:pPr>
          </w:p>
        </w:tc>
        <w:tc>
          <w:tcPr>
            <w:tcW w:w="7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宋体" w:hAnsi="宋体" w:eastAsia="宋体" w:cs="宋体"/>
                <w:color w:val="auto"/>
                <w:sz w:val="21"/>
                <w:szCs w:val="21"/>
                <w:highlight w:val="none"/>
              </w:rPr>
            </w:pPr>
          </w:p>
        </w:tc>
        <w:tc>
          <w:tcPr>
            <w:tcW w:w="100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宋体" w:hAnsi="宋体" w:eastAsia="宋体" w:cs="宋体"/>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宋体" w:hAnsi="宋体" w:eastAsia="宋体" w:cs="宋体"/>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宋体" w:hAnsi="宋体" w:eastAsia="宋体" w:cs="宋体"/>
                <w:color w:val="auto"/>
                <w:sz w:val="21"/>
                <w:szCs w:val="21"/>
                <w:highlight w:val="none"/>
              </w:rPr>
            </w:pPr>
          </w:p>
        </w:tc>
        <w:tc>
          <w:tcPr>
            <w:tcW w:w="109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宋体" w:hAnsi="宋体" w:eastAsia="宋体" w:cs="宋体"/>
                <w:color w:val="auto"/>
                <w:sz w:val="21"/>
                <w:szCs w:val="21"/>
                <w:highlight w:val="none"/>
              </w:rPr>
            </w:pPr>
          </w:p>
        </w:tc>
        <w:tc>
          <w:tcPr>
            <w:tcW w:w="10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宋体" w:hAnsi="宋体" w:eastAsia="宋体" w:cs="宋体"/>
                <w:color w:val="auto"/>
                <w:sz w:val="21"/>
                <w:szCs w:val="21"/>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售后人员</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宋体" w:hAnsi="宋体" w:eastAsia="宋体" w:cs="宋体"/>
                <w:color w:val="auto"/>
                <w:sz w:val="21"/>
                <w:szCs w:val="21"/>
                <w:highlight w:val="none"/>
              </w:rPr>
            </w:pPr>
          </w:p>
        </w:tc>
        <w:tc>
          <w:tcPr>
            <w:tcW w:w="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宋体" w:hAnsi="宋体" w:eastAsia="宋体" w:cs="宋体"/>
                <w:color w:val="auto"/>
                <w:sz w:val="21"/>
                <w:szCs w:val="21"/>
                <w:highlight w:val="none"/>
              </w:rPr>
            </w:pPr>
          </w:p>
        </w:tc>
        <w:tc>
          <w:tcPr>
            <w:tcW w:w="7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宋体" w:hAnsi="宋体" w:eastAsia="宋体" w:cs="宋体"/>
                <w:color w:val="auto"/>
                <w:sz w:val="21"/>
                <w:szCs w:val="21"/>
                <w:highlight w:val="none"/>
              </w:rPr>
            </w:pPr>
          </w:p>
        </w:tc>
        <w:tc>
          <w:tcPr>
            <w:tcW w:w="100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宋体" w:hAnsi="宋体" w:eastAsia="宋体" w:cs="宋体"/>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宋体" w:hAnsi="宋体" w:eastAsia="宋体" w:cs="宋体"/>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宋体" w:hAnsi="宋体" w:eastAsia="宋体" w:cs="宋体"/>
                <w:color w:val="auto"/>
                <w:sz w:val="21"/>
                <w:szCs w:val="21"/>
                <w:highlight w:val="none"/>
              </w:rPr>
            </w:pPr>
          </w:p>
        </w:tc>
        <w:tc>
          <w:tcPr>
            <w:tcW w:w="109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宋体" w:hAnsi="宋体" w:eastAsia="宋体" w:cs="宋体"/>
                <w:color w:val="auto"/>
                <w:sz w:val="21"/>
                <w:szCs w:val="21"/>
                <w:highlight w:val="none"/>
              </w:rPr>
            </w:pPr>
          </w:p>
        </w:tc>
        <w:tc>
          <w:tcPr>
            <w:tcW w:w="10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宋体" w:hAnsi="宋体" w:eastAsia="宋体" w:cs="宋体"/>
                <w:color w:val="auto"/>
                <w:sz w:val="21"/>
                <w:szCs w:val="21"/>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1"/>
                <w:szCs w:val="21"/>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宋体" w:hAnsi="宋体" w:eastAsia="宋体" w:cs="宋体"/>
                <w:color w:val="auto"/>
                <w:sz w:val="21"/>
                <w:szCs w:val="21"/>
                <w:highlight w:val="none"/>
              </w:rPr>
            </w:pPr>
          </w:p>
        </w:tc>
        <w:tc>
          <w:tcPr>
            <w:tcW w:w="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宋体" w:hAnsi="宋体" w:eastAsia="宋体" w:cs="宋体"/>
                <w:color w:val="auto"/>
                <w:sz w:val="21"/>
                <w:szCs w:val="21"/>
                <w:highlight w:val="none"/>
              </w:rPr>
            </w:pPr>
          </w:p>
        </w:tc>
        <w:tc>
          <w:tcPr>
            <w:tcW w:w="7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宋体" w:hAnsi="宋体" w:eastAsia="宋体" w:cs="宋体"/>
                <w:color w:val="auto"/>
                <w:sz w:val="21"/>
                <w:szCs w:val="21"/>
                <w:highlight w:val="none"/>
              </w:rPr>
            </w:pPr>
          </w:p>
        </w:tc>
        <w:tc>
          <w:tcPr>
            <w:tcW w:w="100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宋体" w:hAnsi="宋体" w:eastAsia="宋体" w:cs="宋体"/>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宋体" w:hAnsi="宋体" w:eastAsia="宋体" w:cs="宋体"/>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宋体" w:hAnsi="宋体" w:eastAsia="宋体" w:cs="宋体"/>
                <w:color w:val="auto"/>
                <w:sz w:val="21"/>
                <w:szCs w:val="21"/>
                <w:highlight w:val="none"/>
              </w:rPr>
            </w:pPr>
          </w:p>
        </w:tc>
        <w:tc>
          <w:tcPr>
            <w:tcW w:w="109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宋体" w:hAnsi="宋体" w:eastAsia="宋体" w:cs="宋体"/>
                <w:color w:val="auto"/>
                <w:sz w:val="21"/>
                <w:szCs w:val="21"/>
                <w:highlight w:val="none"/>
              </w:rPr>
            </w:pPr>
          </w:p>
        </w:tc>
        <w:tc>
          <w:tcPr>
            <w:tcW w:w="10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宋体" w:hAnsi="宋体" w:eastAsia="宋体" w:cs="宋体"/>
                <w:color w:val="auto"/>
                <w:sz w:val="21"/>
                <w:szCs w:val="21"/>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宋体" w:hAnsi="宋体" w:eastAsia="宋体" w:cs="宋体"/>
                <w:color w:val="auto"/>
                <w:sz w:val="21"/>
                <w:szCs w:val="21"/>
                <w:highlight w:val="none"/>
              </w:rPr>
            </w:pPr>
          </w:p>
        </w:tc>
      </w:tr>
    </w:tbl>
    <w:p>
      <w:pPr>
        <w:pStyle w:val="19"/>
        <w:numPr>
          <w:ilvl w:val="0"/>
          <w:numId w:val="0"/>
        </w:numPr>
        <w:rPr>
          <w:rFonts w:hint="eastAsia" w:ascii="宋体" w:hAnsi="宋体" w:eastAsia="宋体" w:cs="宋体"/>
          <w:color w:val="auto"/>
          <w:sz w:val="21"/>
          <w:szCs w:val="21"/>
          <w:highlight w:val="none"/>
          <w:lang w:eastAsia="zh-CN"/>
        </w:rPr>
      </w:pPr>
    </w:p>
    <w:p>
      <w:pPr>
        <w:pStyle w:val="19"/>
        <w:numPr>
          <w:ilvl w:val="0"/>
          <w:numId w:val="0"/>
        </w:numPr>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附表</w:t>
      </w:r>
      <w:r>
        <w:rPr>
          <w:rFonts w:hint="eastAsia" w:ascii="宋体" w:hAnsi="宋体" w:eastAsia="宋体" w:cs="宋体"/>
          <w:b/>
          <w:color w:val="auto"/>
          <w:kern w:val="0"/>
          <w:sz w:val="21"/>
          <w:szCs w:val="21"/>
          <w:highlight w:val="none"/>
          <w:lang w:val="en-US" w:eastAsia="zh-CN"/>
        </w:rPr>
        <w:t>C</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eastAsia="zh-CN"/>
        </w:rPr>
        <w:t>质保期满后售后服务</w:t>
      </w:r>
      <w:r>
        <w:rPr>
          <w:rFonts w:hint="eastAsia" w:ascii="宋体" w:hAnsi="宋体" w:eastAsia="宋体" w:cs="宋体"/>
          <w:color w:val="auto"/>
          <w:sz w:val="21"/>
          <w:szCs w:val="21"/>
          <w:highlight w:val="none"/>
        </w:rPr>
        <w:t>（按此格式自制）</w:t>
      </w:r>
    </w:p>
    <w:tbl>
      <w:tblPr>
        <w:tblStyle w:val="20"/>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458"/>
        <w:gridCol w:w="1293"/>
        <w:gridCol w:w="1023"/>
        <w:gridCol w:w="826"/>
        <w:gridCol w:w="813"/>
        <w:gridCol w:w="1399"/>
        <w:gridCol w:w="1108"/>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177"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厂家信息</w:t>
            </w:r>
          </w:p>
        </w:tc>
        <w:tc>
          <w:tcPr>
            <w:tcW w:w="454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授权</w:t>
            </w:r>
            <w:r>
              <w:rPr>
                <w:rFonts w:hint="eastAsia" w:ascii="宋体" w:hAnsi="宋体" w:eastAsia="宋体" w:cs="宋体"/>
                <w:color w:val="auto"/>
                <w:sz w:val="21"/>
                <w:szCs w:val="21"/>
                <w:highlight w:val="none"/>
              </w:rPr>
              <w:t>售后</w:t>
            </w:r>
            <w:r>
              <w:rPr>
                <w:rFonts w:hint="eastAsia" w:ascii="宋体" w:hAnsi="宋体" w:eastAsia="宋体" w:cs="宋体"/>
                <w:snapToGrid w:val="0"/>
                <w:color w:val="auto"/>
                <w:sz w:val="21"/>
                <w:szCs w:val="21"/>
                <w:highlight w:val="none"/>
                <w:lang w:eastAsia="zh-CN"/>
              </w:rPr>
              <w:t>代理商（如有）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77" w:type="dxa"/>
            <w:tcBorders>
              <w:top w:val="single" w:color="auto" w:sz="4" w:space="0"/>
              <w:left w:val="single" w:color="auto" w:sz="4" w:space="0"/>
              <w:bottom w:val="single" w:color="auto" w:sz="4" w:space="0"/>
              <w:right w:val="single" w:color="auto" w:sz="4" w:space="0"/>
            </w:tcBorders>
            <w:noWrap w:val="0"/>
            <w:vAlign w:val="center"/>
          </w:tcPr>
          <w:p>
            <w:pPr>
              <w:pStyle w:val="13"/>
              <w:wordWrap w:val="0"/>
              <w:snapToGrid w:val="0"/>
              <w:jc w:val="center"/>
              <w:rPr>
                <w:rFonts w:hint="eastAsia" w:ascii="宋体" w:hAnsi="宋体" w:eastAsia="宋体" w:cs="宋体"/>
                <w:color w:val="auto"/>
                <w:spacing w:val="-20"/>
                <w:sz w:val="21"/>
                <w:szCs w:val="21"/>
                <w:highlight w:val="none"/>
                <w:lang w:eastAsia="zh-CN"/>
              </w:rPr>
            </w:pPr>
            <w:r>
              <w:rPr>
                <w:rFonts w:hint="eastAsia" w:ascii="宋体" w:hAnsi="宋体" w:eastAsia="宋体" w:cs="宋体"/>
                <w:color w:val="auto"/>
                <w:spacing w:val="-20"/>
                <w:sz w:val="21"/>
                <w:szCs w:val="21"/>
                <w:highlight w:val="none"/>
                <w:lang w:eastAsia="zh-CN"/>
              </w:rPr>
              <w:t>序号</w:t>
            </w:r>
          </w:p>
        </w:tc>
        <w:tc>
          <w:tcPr>
            <w:tcW w:w="1458" w:type="dxa"/>
            <w:tcBorders>
              <w:top w:val="single" w:color="auto" w:sz="4" w:space="0"/>
              <w:left w:val="single" w:color="auto" w:sz="4" w:space="0"/>
              <w:bottom w:val="single" w:color="auto" w:sz="4" w:space="0"/>
              <w:right w:val="single" w:color="auto" w:sz="4" w:space="0"/>
            </w:tcBorders>
            <w:noWrap w:val="0"/>
            <w:vAlign w:val="center"/>
          </w:tcPr>
          <w:p>
            <w:pPr>
              <w:wordWrap w:val="0"/>
              <w:topLinePunct/>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物品名称</w:t>
            </w:r>
          </w:p>
          <w:p>
            <w:pPr>
              <w:wordWrap w:val="0"/>
              <w:topLinePunct/>
              <w:spacing w:line="24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（如为医疗器械，应填写药监注册或备案名称）</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生产厂家</w:t>
            </w:r>
            <w:r>
              <w:rPr>
                <w:rFonts w:hint="eastAsia" w:ascii="宋体" w:hAnsi="宋体" w:eastAsia="宋体" w:cs="宋体"/>
                <w:color w:val="auto"/>
                <w:sz w:val="21"/>
                <w:szCs w:val="21"/>
                <w:highlight w:val="none"/>
                <w:lang w:eastAsia="zh-CN"/>
              </w:rPr>
              <w:t>名称</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厂家工程师</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联系方式</w:t>
            </w:r>
          </w:p>
        </w:tc>
        <w:tc>
          <w:tcPr>
            <w:tcW w:w="8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序号</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pStyle w:val="13"/>
              <w:wordWrap w:val="0"/>
              <w:snapToGrid w:val="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授权售后代理商名称（</w:t>
            </w:r>
            <w:r>
              <w:rPr>
                <w:rFonts w:hint="eastAsia" w:ascii="宋体" w:hAnsi="宋体" w:eastAsia="宋体" w:cs="宋体"/>
                <w:color w:val="auto"/>
                <w:sz w:val="21"/>
                <w:szCs w:val="21"/>
                <w:highlight w:val="none"/>
                <w:lang w:eastAsia="zh-CN"/>
              </w:rPr>
              <w:t>维修、配件供应</w:t>
            </w:r>
            <w:r>
              <w:rPr>
                <w:rFonts w:hint="eastAsia" w:ascii="宋体" w:hAnsi="宋体" w:eastAsia="宋体" w:cs="宋体"/>
                <w:color w:val="auto"/>
                <w:sz w:val="21"/>
                <w:szCs w:val="21"/>
                <w:highlight w:val="none"/>
              </w:rPr>
              <w:t>及服务）</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代理商联系人</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restart"/>
            <w:tcBorders>
              <w:top w:val="single" w:color="auto" w:sz="4" w:space="0"/>
              <w:left w:val="single" w:color="auto" w:sz="4" w:space="0"/>
              <w:right w:val="single" w:color="auto" w:sz="4" w:space="0"/>
            </w:tcBorders>
            <w:noWrap w:val="0"/>
            <w:vAlign w:val="top"/>
          </w:tcPr>
          <w:p>
            <w:pPr>
              <w:wordWrap w:val="0"/>
              <w:adjustRightInd w:val="0"/>
              <w:snapToGrid w:val="0"/>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w:t>
            </w:r>
          </w:p>
        </w:tc>
        <w:tc>
          <w:tcPr>
            <w:tcW w:w="1458" w:type="dxa"/>
            <w:vMerge w:val="restart"/>
            <w:tcBorders>
              <w:top w:val="single" w:color="auto" w:sz="4" w:space="0"/>
              <w:left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1293" w:type="dxa"/>
            <w:vMerge w:val="restart"/>
            <w:tcBorders>
              <w:top w:val="single" w:color="auto" w:sz="4" w:space="0"/>
              <w:left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1023" w:type="dxa"/>
            <w:vMerge w:val="restart"/>
            <w:tcBorders>
              <w:top w:val="single" w:color="auto" w:sz="4" w:space="0"/>
              <w:left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826" w:type="dxa"/>
            <w:vMerge w:val="restart"/>
            <w:tcBorders>
              <w:top w:val="single" w:color="auto" w:sz="4" w:space="0"/>
              <w:left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99" w:type="dxa"/>
            <w:tcBorders>
              <w:top w:val="single" w:color="auto" w:sz="4" w:space="0"/>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noWrap w:val="0"/>
            <w:vAlign w:val="top"/>
          </w:tcPr>
          <w:p>
            <w:pPr>
              <w:wordWrap w:val="0"/>
              <w:adjustRightInd w:val="0"/>
              <w:snapToGrid w:val="0"/>
              <w:jc w:val="center"/>
              <w:rPr>
                <w:rFonts w:hint="eastAsia" w:ascii="宋体" w:hAnsi="宋体" w:eastAsia="宋体" w:cs="宋体"/>
                <w:snapToGrid w:val="0"/>
                <w:color w:val="auto"/>
                <w:sz w:val="21"/>
                <w:szCs w:val="21"/>
                <w:highlight w:val="none"/>
              </w:rPr>
            </w:pPr>
          </w:p>
        </w:tc>
        <w:tc>
          <w:tcPr>
            <w:tcW w:w="1458" w:type="dxa"/>
            <w:vMerge w:val="continue"/>
            <w:tcBorders>
              <w:left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1293" w:type="dxa"/>
            <w:vMerge w:val="continue"/>
            <w:tcBorders>
              <w:left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1023" w:type="dxa"/>
            <w:vMerge w:val="continue"/>
            <w:tcBorders>
              <w:left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826" w:type="dxa"/>
            <w:vMerge w:val="continue"/>
            <w:tcBorders>
              <w:left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99" w:type="dxa"/>
            <w:tcBorders>
              <w:top w:val="single" w:color="auto" w:sz="4" w:space="0"/>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bottom w:val="single" w:color="auto" w:sz="4" w:space="0"/>
              <w:right w:val="single" w:color="auto" w:sz="4" w:space="0"/>
            </w:tcBorders>
            <w:noWrap w:val="0"/>
            <w:vAlign w:val="top"/>
          </w:tcPr>
          <w:p>
            <w:pPr>
              <w:wordWrap w:val="0"/>
              <w:adjustRightInd w:val="0"/>
              <w:snapToGrid w:val="0"/>
              <w:jc w:val="center"/>
              <w:rPr>
                <w:rFonts w:hint="eastAsia" w:ascii="宋体" w:hAnsi="宋体" w:eastAsia="宋体" w:cs="宋体"/>
                <w:snapToGrid w:val="0"/>
                <w:color w:val="auto"/>
                <w:sz w:val="21"/>
                <w:szCs w:val="21"/>
                <w:highlight w:val="none"/>
              </w:rPr>
            </w:pPr>
          </w:p>
        </w:tc>
        <w:tc>
          <w:tcPr>
            <w:tcW w:w="1458" w:type="dxa"/>
            <w:vMerge w:val="continue"/>
            <w:tcBorders>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1293" w:type="dxa"/>
            <w:vMerge w:val="continue"/>
            <w:tcBorders>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1023" w:type="dxa"/>
            <w:vMerge w:val="continue"/>
            <w:tcBorders>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826" w:type="dxa"/>
            <w:vMerge w:val="continue"/>
            <w:tcBorders>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tabs>
                <w:tab w:val="left" w:pos="320"/>
              </w:tabs>
              <w:wordWrap w:val="0"/>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399" w:type="dxa"/>
            <w:tcBorders>
              <w:top w:val="single" w:color="auto" w:sz="4" w:space="0"/>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restart"/>
            <w:tcBorders>
              <w:top w:val="single" w:color="auto" w:sz="4" w:space="0"/>
              <w:left w:val="single" w:color="auto" w:sz="4" w:space="0"/>
              <w:right w:val="single" w:color="auto" w:sz="4" w:space="0"/>
            </w:tcBorders>
            <w:noWrap w:val="0"/>
            <w:vAlign w:val="top"/>
          </w:tcPr>
          <w:p>
            <w:pPr>
              <w:wordWrap w:val="0"/>
              <w:adjustRightInd w:val="0"/>
              <w:snapToGrid w:val="0"/>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w:t>
            </w:r>
          </w:p>
        </w:tc>
        <w:tc>
          <w:tcPr>
            <w:tcW w:w="1458" w:type="dxa"/>
            <w:vMerge w:val="restart"/>
            <w:tcBorders>
              <w:top w:val="single" w:color="auto" w:sz="4" w:space="0"/>
              <w:left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1293" w:type="dxa"/>
            <w:vMerge w:val="restart"/>
            <w:tcBorders>
              <w:top w:val="single" w:color="auto" w:sz="4" w:space="0"/>
              <w:left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1023" w:type="dxa"/>
            <w:vMerge w:val="restart"/>
            <w:tcBorders>
              <w:top w:val="single" w:color="auto" w:sz="4" w:space="0"/>
              <w:left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826" w:type="dxa"/>
            <w:vMerge w:val="restart"/>
            <w:tcBorders>
              <w:top w:val="single" w:color="auto" w:sz="4" w:space="0"/>
              <w:left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99" w:type="dxa"/>
            <w:tcBorders>
              <w:top w:val="single" w:color="auto" w:sz="4" w:space="0"/>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noWrap w:val="0"/>
            <w:vAlign w:val="top"/>
          </w:tcPr>
          <w:p>
            <w:pPr>
              <w:wordWrap w:val="0"/>
              <w:adjustRightInd w:val="0"/>
              <w:snapToGrid w:val="0"/>
              <w:jc w:val="center"/>
              <w:rPr>
                <w:rFonts w:hint="eastAsia" w:ascii="宋体" w:hAnsi="宋体" w:eastAsia="宋体" w:cs="宋体"/>
                <w:snapToGrid w:val="0"/>
                <w:color w:val="auto"/>
                <w:sz w:val="21"/>
                <w:szCs w:val="21"/>
                <w:highlight w:val="none"/>
              </w:rPr>
            </w:pPr>
          </w:p>
        </w:tc>
        <w:tc>
          <w:tcPr>
            <w:tcW w:w="1458" w:type="dxa"/>
            <w:vMerge w:val="continue"/>
            <w:tcBorders>
              <w:left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1293" w:type="dxa"/>
            <w:vMerge w:val="continue"/>
            <w:tcBorders>
              <w:left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1023" w:type="dxa"/>
            <w:vMerge w:val="continue"/>
            <w:tcBorders>
              <w:left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826" w:type="dxa"/>
            <w:vMerge w:val="continue"/>
            <w:tcBorders>
              <w:left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99" w:type="dxa"/>
            <w:tcBorders>
              <w:top w:val="single" w:color="auto" w:sz="4" w:space="0"/>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noWrap w:val="0"/>
            <w:vAlign w:val="top"/>
          </w:tcPr>
          <w:p>
            <w:pPr>
              <w:wordWrap w:val="0"/>
              <w:adjustRightInd w:val="0"/>
              <w:snapToGrid w:val="0"/>
              <w:rPr>
                <w:rFonts w:hint="eastAsia" w:ascii="宋体" w:hAnsi="宋体" w:eastAsia="宋体" w:cs="宋体"/>
                <w:snapToGrid w:val="0"/>
                <w:color w:val="auto"/>
                <w:sz w:val="21"/>
                <w:szCs w:val="21"/>
                <w:highlight w:val="none"/>
              </w:rPr>
            </w:pPr>
          </w:p>
        </w:tc>
        <w:tc>
          <w:tcPr>
            <w:tcW w:w="1458" w:type="dxa"/>
            <w:vMerge w:val="continue"/>
            <w:tcBorders>
              <w:left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1293" w:type="dxa"/>
            <w:vMerge w:val="continue"/>
            <w:tcBorders>
              <w:left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1023" w:type="dxa"/>
            <w:vMerge w:val="continue"/>
            <w:tcBorders>
              <w:left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826" w:type="dxa"/>
            <w:vMerge w:val="continue"/>
            <w:tcBorders>
              <w:left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399" w:type="dxa"/>
            <w:tcBorders>
              <w:top w:val="single" w:color="auto" w:sz="4" w:space="0"/>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77" w:type="dxa"/>
            <w:tcBorders>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w:t>
            </w:r>
          </w:p>
        </w:tc>
        <w:tc>
          <w:tcPr>
            <w:tcW w:w="1458" w:type="dxa"/>
            <w:tcBorders>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1293" w:type="dxa"/>
            <w:tcBorders>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1023" w:type="dxa"/>
            <w:tcBorders>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826" w:type="dxa"/>
            <w:tcBorders>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lang w:val="en-US" w:eastAsia="zh-CN"/>
              </w:rPr>
            </w:pPr>
          </w:p>
        </w:tc>
        <w:tc>
          <w:tcPr>
            <w:tcW w:w="1399" w:type="dxa"/>
            <w:tcBorders>
              <w:top w:val="single" w:color="auto" w:sz="4" w:space="0"/>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top"/>
          </w:tcPr>
          <w:p>
            <w:pPr>
              <w:wordWrap w:val="0"/>
              <w:adjustRightInd w:val="0"/>
              <w:snapToGrid w:val="0"/>
              <w:rPr>
                <w:rFonts w:hint="eastAsia" w:ascii="宋体" w:hAnsi="宋体" w:eastAsia="宋体" w:cs="宋体"/>
                <w:color w:val="auto"/>
                <w:sz w:val="21"/>
                <w:szCs w:val="21"/>
                <w:highlight w:val="none"/>
              </w:rPr>
            </w:pPr>
          </w:p>
        </w:tc>
      </w:tr>
    </w:tbl>
    <w:p>
      <w:pPr>
        <w:pStyle w:val="19"/>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填表说明：1.若为厂家直接售后，则无需填写授权售后代理商；</w:t>
      </w:r>
    </w:p>
    <w:p>
      <w:pPr>
        <w:pStyle w:val="19"/>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2.所报授权售后代理商为设备维修、配件供应、质保期满后维保服务采购的重要依据；</w:t>
      </w:r>
    </w:p>
    <w:p>
      <w:pPr>
        <w:pStyle w:val="19"/>
        <w:ind w:firstLine="630" w:firstLineChars="300"/>
        <w:rPr>
          <w:rFonts w:hint="eastAsia"/>
          <w:color w:val="auto"/>
          <w:highlight w:val="none"/>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.若售后代理商更换，请及时联系采购单位进行修改，提供更正说明。</w:t>
      </w:r>
    </w:p>
    <w:p>
      <w:pPr>
        <w:spacing w:line="500" w:lineRule="exact"/>
        <w:rPr>
          <w:rFonts w:hint="eastAsia" w:ascii="宋体" w:hAnsi="宋体" w:eastAsia="宋体" w:cs="宋体"/>
          <w:color w:val="auto"/>
          <w:sz w:val="32"/>
          <w:szCs w:val="32"/>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pStyle w:val="10"/>
        <w:rPr>
          <w:rFonts w:hint="eastAsia"/>
          <w:color w:val="auto"/>
          <w:highlight w:val="none"/>
        </w:rPr>
      </w:pPr>
      <w:r>
        <w:rPr>
          <w:rFonts w:hint="eastAsia" w:ascii="宋体" w:hAnsi="宋体" w:eastAsia="宋体" w:cs="宋体"/>
          <w:color w:val="auto"/>
          <w:kern w:val="0"/>
          <w:sz w:val="24"/>
          <w:highlight w:val="none"/>
          <w:lang w:val="zh-CN"/>
        </w:rPr>
        <w:t>日期：  年  月   日</w:t>
      </w:r>
      <w:r>
        <w:rPr>
          <w:rFonts w:hint="eastAsia" w:ascii="宋体" w:hAnsi="宋体" w:eastAsia="宋体" w:cs="宋体"/>
          <w:b/>
          <w:color w:val="auto"/>
          <w:sz w:val="30"/>
          <w:szCs w:val="30"/>
          <w:highlight w:val="none"/>
        </w:rPr>
        <w:br w:type="page"/>
      </w:r>
    </w:p>
    <w:p>
      <w:pPr>
        <w:numPr>
          <w:ilvl w:val="0"/>
          <w:numId w:val="0"/>
        </w:num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lang w:val="en-US" w:eastAsia="zh-CN"/>
        </w:rPr>
        <w:t>9、</w:t>
      </w:r>
      <w:r>
        <w:rPr>
          <w:rFonts w:hint="eastAsia" w:ascii="方正小标宋简体" w:hAnsi="方正小标宋简体" w:eastAsia="方正小标宋简体" w:cs="方正小标宋简体"/>
          <w:bCs/>
          <w:color w:val="auto"/>
          <w:sz w:val="44"/>
          <w:szCs w:val="44"/>
          <w:highlight w:val="none"/>
        </w:rPr>
        <w:t>技术要求偏离表</w:t>
      </w:r>
    </w:p>
    <w:p>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p>
    <w:p>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分标号：</w:t>
      </w:r>
      <w:r>
        <w:rPr>
          <w:rFonts w:hint="eastAsia" w:ascii="宋体" w:hAnsi="宋体" w:cs="仿宋_GB2312"/>
          <w:color w:val="auto"/>
          <w:sz w:val="24"/>
          <w:highlight w:val="none"/>
          <w:u w:val="single"/>
        </w:rPr>
        <w:t xml:space="preserve">                       </w:t>
      </w:r>
    </w:p>
    <w:tbl>
      <w:tblPr>
        <w:tblStyle w:val="20"/>
        <w:tblW w:w="98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2"/>
        <w:gridCol w:w="992"/>
        <w:gridCol w:w="3292"/>
        <w:gridCol w:w="2962"/>
        <w:gridCol w:w="1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noWrap w:val="0"/>
            <w:vAlign w:val="center"/>
          </w:tcPr>
          <w:p>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48" w:name="_Toc297193185"/>
            <w:bookmarkStart w:id="49" w:name="_Toc173211900"/>
            <w:bookmarkStart w:id="50" w:name="_Toc295404981"/>
            <w:bookmarkStart w:id="51" w:name="_Toc254970588"/>
            <w:bookmarkStart w:id="52" w:name="_Toc373333689"/>
            <w:bookmarkStart w:id="53" w:name="_Toc173066401"/>
            <w:bookmarkStart w:id="54" w:name="_Toc383699906"/>
            <w:bookmarkStart w:id="55" w:name="_Toc254970729"/>
            <w:bookmarkStart w:id="56" w:name="_Toc301781611"/>
            <w:r>
              <w:rPr>
                <w:rFonts w:hint="eastAsia" w:ascii="宋体" w:hAnsi="宋体" w:eastAsia="宋体" w:cs="仿宋_GB2312"/>
                <w:color w:val="auto"/>
                <w:kern w:val="2"/>
                <w:sz w:val="24"/>
                <w:szCs w:val="24"/>
                <w:highlight w:val="none"/>
                <w:lang w:val="en-US" w:eastAsia="zh-CN"/>
              </w:rPr>
              <w:t>序号</w:t>
            </w:r>
            <w:bookmarkEnd w:id="48"/>
            <w:bookmarkEnd w:id="49"/>
            <w:bookmarkEnd w:id="50"/>
            <w:bookmarkEnd w:id="51"/>
            <w:bookmarkEnd w:id="52"/>
            <w:bookmarkEnd w:id="53"/>
            <w:bookmarkEnd w:id="54"/>
            <w:bookmarkEnd w:id="55"/>
            <w:bookmarkEnd w:id="56"/>
          </w:p>
        </w:tc>
        <w:tc>
          <w:tcPr>
            <w:tcW w:w="992" w:type="dxa"/>
            <w:tcBorders>
              <w:right w:val="single" w:color="auto" w:sz="4" w:space="0"/>
            </w:tcBorders>
            <w:noWrap w:val="0"/>
            <w:vAlign w:val="center"/>
          </w:tcPr>
          <w:p>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名称</w:t>
            </w:r>
          </w:p>
        </w:tc>
        <w:tc>
          <w:tcPr>
            <w:tcW w:w="3292" w:type="dxa"/>
            <w:tcBorders>
              <w:left w:val="single" w:color="auto" w:sz="4" w:space="0"/>
            </w:tcBorders>
            <w:noWrap w:val="0"/>
            <w:vAlign w:val="center"/>
          </w:tcPr>
          <w:p>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磋商文件技术要求</w:t>
            </w:r>
          </w:p>
        </w:tc>
        <w:tc>
          <w:tcPr>
            <w:tcW w:w="2962" w:type="dxa"/>
            <w:noWrap w:val="0"/>
            <w:vAlign w:val="center"/>
          </w:tcPr>
          <w:p>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57" w:name="_Toc301781613"/>
            <w:bookmarkStart w:id="58" w:name="_Toc373333691"/>
            <w:bookmarkStart w:id="59" w:name="_Toc173066403"/>
            <w:bookmarkStart w:id="60" w:name="_Toc254970590"/>
            <w:bookmarkStart w:id="61" w:name="_Toc295404983"/>
            <w:bookmarkStart w:id="62" w:name="_Toc297193187"/>
            <w:bookmarkStart w:id="63" w:name="_Toc383699908"/>
            <w:bookmarkStart w:id="64" w:name="_Toc254970731"/>
            <w:bookmarkStart w:id="65" w:name="_Toc173211902"/>
            <w:r>
              <w:rPr>
                <w:rFonts w:hint="eastAsia" w:ascii="宋体" w:hAnsi="宋体" w:eastAsia="宋体" w:cs="仿宋_GB2312"/>
                <w:color w:val="auto"/>
                <w:kern w:val="2"/>
                <w:sz w:val="24"/>
                <w:szCs w:val="24"/>
                <w:highlight w:val="none"/>
                <w:lang w:val="en-US" w:eastAsia="zh-CN"/>
              </w:rPr>
              <w:t>竞标响应</w:t>
            </w:r>
            <w:bookmarkEnd w:id="57"/>
            <w:bookmarkEnd w:id="58"/>
            <w:bookmarkEnd w:id="59"/>
            <w:bookmarkEnd w:id="60"/>
            <w:bookmarkEnd w:id="61"/>
            <w:bookmarkEnd w:id="62"/>
            <w:bookmarkEnd w:id="63"/>
            <w:bookmarkEnd w:id="64"/>
            <w:bookmarkEnd w:id="65"/>
          </w:p>
        </w:tc>
        <w:tc>
          <w:tcPr>
            <w:tcW w:w="1616" w:type="dxa"/>
            <w:noWrap w:val="0"/>
            <w:vAlign w:val="center"/>
          </w:tcPr>
          <w:p>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66" w:name="_Toc373333692"/>
            <w:bookmarkStart w:id="67" w:name="_Toc295404984"/>
            <w:bookmarkStart w:id="68" w:name="_Toc173066404"/>
            <w:bookmarkStart w:id="69" w:name="_Toc297193188"/>
            <w:bookmarkStart w:id="70" w:name="_Toc383699909"/>
            <w:bookmarkStart w:id="71" w:name="_Toc301781614"/>
            <w:bookmarkStart w:id="72" w:name="_Toc254970591"/>
            <w:bookmarkStart w:id="73" w:name="_Toc173211903"/>
            <w:bookmarkStart w:id="74" w:name="_Toc254970732"/>
            <w:r>
              <w:rPr>
                <w:rFonts w:hint="eastAsia" w:ascii="宋体" w:hAnsi="宋体" w:eastAsia="宋体" w:cs="仿宋_GB2312"/>
                <w:color w:val="auto"/>
                <w:kern w:val="2"/>
                <w:sz w:val="24"/>
                <w:szCs w:val="24"/>
                <w:highlight w:val="none"/>
                <w:lang w:val="en-US" w:eastAsia="zh-CN"/>
              </w:rPr>
              <w:t>偏离</w:t>
            </w:r>
            <w:bookmarkEnd w:id="66"/>
            <w:bookmarkEnd w:id="67"/>
            <w:bookmarkEnd w:id="68"/>
            <w:bookmarkEnd w:id="69"/>
            <w:bookmarkEnd w:id="70"/>
            <w:bookmarkEnd w:id="71"/>
            <w:bookmarkEnd w:id="72"/>
            <w:bookmarkEnd w:id="73"/>
            <w:bookmarkEnd w:id="74"/>
            <w:bookmarkStart w:id="75" w:name="_Toc254970733"/>
            <w:bookmarkStart w:id="76" w:name="_Toc254970592"/>
            <w:bookmarkStart w:id="77" w:name="_Toc301781615"/>
            <w:bookmarkStart w:id="78" w:name="_Toc173066405"/>
            <w:bookmarkStart w:id="79" w:name="_Toc173211904"/>
            <w:bookmarkStart w:id="80" w:name="_Toc383699910"/>
            <w:bookmarkStart w:id="81" w:name="_Toc295404985"/>
            <w:bookmarkStart w:id="82" w:name="_Toc297193189"/>
            <w:bookmarkStart w:id="83" w:name="_Toc373333693"/>
            <w:r>
              <w:rPr>
                <w:rFonts w:hint="eastAsia" w:ascii="宋体" w:hAnsi="宋体" w:eastAsia="宋体" w:cs="仿宋_GB2312"/>
                <w:color w:val="auto"/>
                <w:kern w:val="2"/>
                <w:sz w:val="24"/>
                <w:szCs w:val="24"/>
                <w:highlight w:val="none"/>
                <w:lang w:val="en-US" w:eastAsia="zh-CN"/>
              </w:rPr>
              <w:t>说明</w:t>
            </w:r>
            <w:bookmarkEnd w:id="75"/>
            <w:bookmarkEnd w:id="76"/>
            <w:bookmarkEnd w:id="77"/>
            <w:bookmarkEnd w:id="78"/>
            <w:bookmarkEnd w:id="79"/>
            <w:bookmarkEnd w:id="80"/>
            <w:bookmarkEnd w:id="81"/>
            <w:bookmarkEnd w:id="82"/>
            <w:bookmarkEnd w:id="83"/>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noWrap w:val="0"/>
            <w:vAlign w:val="center"/>
          </w:tcPr>
          <w:p>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84" w:name="_Toc383699911"/>
            <w:bookmarkStart w:id="85" w:name="_Toc173211905"/>
            <w:bookmarkStart w:id="86" w:name="_Toc254970593"/>
            <w:bookmarkStart w:id="87" w:name="_Toc173066406"/>
            <w:bookmarkStart w:id="88" w:name="_Toc301781616"/>
            <w:bookmarkStart w:id="89" w:name="_Toc297193190"/>
            <w:bookmarkStart w:id="90" w:name="_Toc295404986"/>
            <w:bookmarkStart w:id="91" w:name="_Toc254970734"/>
            <w:bookmarkStart w:id="92" w:name="_Toc373333694"/>
            <w:r>
              <w:rPr>
                <w:rFonts w:hint="eastAsia" w:ascii="宋体" w:hAnsi="宋体" w:eastAsia="宋体" w:cs="仿宋_GB2312"/>
                <w:color w:val="auto"/>
                <w:kern w:val="2"/>
                <w:sz w:val="24"/>
                <w:szCs w:val="24"/>
                <w:highlight w:val="none"/>
                <w:lang w:val="en-US" w:eastAsia="zh-CN"/>
              </w:rPr>
              <w:t>1</w:t>
            </w:r>
            <w:bookmarkEnd w:id="84"/>
            <w:bookmarkEnd w:id="85"/>
            <w:bookmarkEnd w:id="86"/>
            <w:bookmarkEnd w:id="87"/>
            <w:bookmarkEnd w:id="88"/>
            <w:bookmarkEnd w:id="89"/>
            <w:bookmarkEnd w:id="90"/>
            <w:bookmarkEnd w:id="91"/>
            <w:bookmarkEnd w:id="92"/>
          </w:p>
        </w:tc>
        <w:tc>
          <w:tcPr>
            <w:tcW w:w="992" w:type="dxa"/>
            <w:tcBorders>
              <w:right w:val="single" w:color="auto" w:sz="4" w:space="0"/>
            </w:tcBorders>
            <w:noWrap w:val="0"/>
            <w:vAlign w:val="center"/>
          </w:tcPr>
          <w:p>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3292" w:type="dxa"/>
            <w:tcBorders>
              <w:left w:val="single" w:color="auto" w:sz="4" w:space="0"/>
            </w:tcBorders>
            <w:noWrap w:val="0"/>
            <w:vAlign w:val="center"/>
          </w:tcPr>
          <w:p>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62" w:type="dxa"/>
            <w:noWrap w:val="0"/>
            <w:vAlign w:val="center"/>
          </w:tcPr>
          <w:p>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616" w:type="dxa"/>
            <w:noWrap w:val="0"/>
            <w:vAlign w:val="center"/>
          </w:tcPr>
          <w:p>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noWrap w:val="0"/>
            <w:vAlign w:val="center"/>
          </w:tcPr>
          <w:p>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93" w:name="_Toc301781617"/>
            <w:bookmarkStart w:id="94" w:name="_Toc254970735"/>
            <w:bookmarkStart w:id="95" w:name="_Toc383699912"/>
            <w:bookmarkStart w:id="96" w:name="_Toc297193191"/>
            <w:bookmarkStart w:id="97" w:name="_Toc173211906"/>
            <w:bookmarkStart w:id="98" w:name="_Toc173066407"/>
            <w:bookmarkStart w:id="99" w:name="_Toc254970594"/>
            <w:bookmarkStart w:id="100" w:name="_Toc373333695"/>
            <w:bookmarkStart w:id="101" w:name="_Toc295404987"/>
            <w:r>
              <w:rPr>
                <w:rFonts w:hint="eastAsia" w:ascii="宋体" w:hAnsi="宋体" w:eastAsia="宋体" w:cs="仿宋_GB2312"/>
                <w:color w:val="auto"/>
                <w:kern w:val="2"/>
                <w:sz w:val="24"/>
                <w:szCs w:val="24"/>
                <w:highlight w:val="none"/>
                <w:lang w:val="en-US" w:eastAsia="zh-CN"/>
              </w:rPr>
              <w:t>2</w:t>
            </w:r>
            <w:bookmarkEnd w:id="93"/>
            <w:bookmarkEnd w:id="94"/>
            <w:bookmarkEnd w:id="95"/>
            <w:bookmarkEnd w:id="96"/>
            <w:bookmarkEnd w:id="97"/>
            <w:bookmarkEnd w:id="98"/>
            <w:bookmarkEnd w:id="99"/>
            <w:bookmarkEnd w:id="100"/>
            <w:bookmarkEnd w:id="101"/>
          </w:p>
        </w:tc>
        <w:tc>
          <w:tcPr>
            <w:tcW w:w="992" w:type="dxa"/>
            <w:tcBorders>
              <w:right w:val="single" w:color="auto" w:sz="4" w:space="0"/>
            </w:tcBorders>
            <w:noWrap w:val="0"/>
            <w:vAlign w:val="center"/>
          </w:tcPr>
          <w:p>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3292" w:type="dxa"/>
            <w:tcBorders>
              <w:left w:val="single" w:color="auto" w:sz="4" w:space="0"/>
            </w:tcBorders>
            <w:noWrap w:val="0"/>
            <w:vAlign w:val="center"/>
          </w:tcPr>
          <w:p>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62" w:type="dxa"/>
            <w:noWrap w:val="0"/>
            <w:vAlign w:val="center"/>
          </w:tcPr>
          <w:p>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616" w:type="dxa"/>
            <w:noWrap w:val="0"/>
            <w:vAlign w:val="center"/>
          </w:tcPr>
          <w:p>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noWrap w:val="0"/>
            <w:vAlign w:val="center"/>
          </w:tcPr>
          <w:p>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02" w:name="_Toc383699913"/>
            <w:bookmarkStart w:id="103" w:name="_Toc295404988"/>
            <w:bookmarkStart w:id="104" w:name="_Toc173066408"/>
            <w:bookmarkStart w:id="105" w:name="_Toc297193192"/>
            <w:bookmarkStart w:id="106" w:name="_Toc254970595"/>
            <w:bookmarkStart w:id="107" w:name="_Toc301781618"/>
            <w:bookmarkStart w:id="108" w:name="_Toc254970736"/>
            <w:bookmarkStart w:id="109" w:name="_Toc173211907"/>
            <w:bookmarkStart w:id="110" w:name="_Toc373333696"/>
            <w:r>
              <w:rPr>
                <w:rFonts w:hint="eastAsia" w:ascii="宋体" w:hAnsi="宋体" w:eastAsia="宋体" w:cs="仿宋_GB2312"/>
                <w:color w:val="auto"/>
                <w:kern w:val="2"/>
                <w:sz w:val="24"/>
                <w:szCs w:val="24"/>
                <w:highlight w:val="none"/>
                <w:lang w:val="en-US" w:eastAsia="zh-CN"/>
              </w:rPr>
              <w:t>3</w:t>
            </w:r>
            <w:bookmarkEnd w:id="102"/>
            <w:bookmarkEnd w:id="103"/>
            <w:bookmarkEnd w:id="104"/>
            <w:bookmarkEnd w:id="105"/>
            <w:bookmarkEnd w:id="106"/>
            <w:bookmarkEnd w:id="107"/>
            <w:bookmarkEnd w:id="108"/>
            <w:bookmarkEnd w:id="109"/>
            <w:bookmarkEnd w:id="110"/>
          </w:p>
        </w:tc>
        <w:tc>
          <w:tcPr>
            <w:tcW w:w="992" w:type="dxa"/>
            <w:tcBorders>
              <w:right w:val="single" w:color="auto" w:sz="4" w:space="0"/>
            </w:tcBorders>
            <w:noWrap w:val="0"/>
            <w:vAlign w:val="center"/>
          </w:tcPr>
          <w:p>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3292" w:type="dxa"/>
            <w:tcBorders>
              <w:left w:val="single" w:color="auto" w:sz="4" w:space="0"/>
            </w:tcBorders>
            <w:noWrap w:val="0"/>
            <w:vAlign w:val="center"/>
          </w:tcPr>
          <w:p>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62" w:type="dxa"/>
            <w:noWrap w:val="0"/>
            <w:vAlign w:val="center"/>
          </w:tcPr>
          <w:p>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616" w:type="dxa"/>
            <w:noWrap w:val="0"/>
            <w:vAlign w:val="center"/>
          </w:tcPr>
          <w:p>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noWrap w:val="0"/>
            <w:vAlign w:val="center"/>
          </w:tcPr>
          <w:p>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11" w:name="_Toc295404989"/>
            <w:bookmarkStart w:id="112" w:name="_Toc297193193"/>
            <w:bookmarkStart w:id="113" w:name="_Toc173066409"/>
            <w:bookmarkStart w:id="114" w:name="_Toc383699914"/>
            <w:bookmarkStart w:id="115" w:name="_Toc301781619"/>
            <w:bookmarkStart w:id="116" w:name="_Toc373333697"/>
            <w:bookmarkStart w:id="117" w:name="_Toc254970596"/>
            <w:bookmarkStart w:id="118" w:name="_Toc173211908"/>
            <w:bookmarkStart w:id="119" w:name="_Toc254970737"/>
            <w:r>
              <w:rPr>
                <w:rFonts w:hint="eastAsia" w:ascii="宋体" w:hAnsi="宋体" w:eastAsia="宋体" w:cs="仿宋_GB2312"/>
                <w:color w:val="auto"/>
                <w:kern w:val="2"/>
                <w:sz w:val="24"/>
                <w:szCs w:val="24"/>
                <w:highlight w:val="none"/>
                <w:lang w:val="en-US" w:eastAsia="zh-CN"/>
              </w:rPr>
              <w:t>4</w:t>
            </w:r>
            <w:bookmarkEnd w:id="111"/>
            <w:bookmarkEnd w:id="112"/>
            <w:bookmarkEnd w:id="113"/>
            <w:bookmarkEnd w:id="114"/>
            <w:bookmarkEnd w:id="115"/>
            <w:bookmarkEnd w:id="116"/>
            <w:bookmarkEnd w:id="117"/>
            <w:bookmarkEnd w:id="118"/>
            <w:bookmarkEnd w:id="119"/>
          </w:p>
        </w:tc>
        <w:tc>
          <w:tcPr>
            <w:tcW w:w="992" w:type="dxa"/>
            <w:tcBorders>
              <w:right w:val="single" w:color="auto" w:sz="4" w:space="0"/>
            </w:tcBorders>
            <w:noWrap w:val="0"/>
            <w:vAlign w:val="center"/>
          </w:tcPr>
          <w:p>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3292" w:type="dxa"/>
            <w:tcBorders>
              <w:left w:val="single" w:color="auto" w:sz="4" w:space="0"/>
            </w:tcBorders>
            <w:noWrap w:val="0"/>
            <w:vAlign w:val="center"/>
          </w:tcPr>
          <w:p>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62" w:type="dxa"/>
            <w:noWrap w:val="0"/>
            <w:vAlign w:val="center"/>
          </w:tcPr>
          <w:p>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616" w:type="dxa"/>
            <w:noWrap w:val="0"/>
            <w:vAlign w:val="center"/>
          </w:tcPr>
          <w:p>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noWrap w:val="0"/>
            <w:vAlign w:val="center"/>
          </w:tcPr>
          <w:p>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20" w:name="_Toc173066410"/>
            <w:bookmarkStart w:id="121" w:name="_Toc173211909"/>
            <w:bookmarkStart w:id="122" w:name="_Toc297193194"/>
            <w:bookmarkStart w:id="123" w:name="_Toc301781620"/>
            <w:bookmarkStart w:id="124" w:name="_Toc383699915"/>
            <w:bookmarkStart w:id="125" w:name="_Toc254970738"/>
            <w:bookmarkStart w:id="126" w:name="_Toc295404990"/>
            <w:bookmarkStart w:id="127" w:name="_Toc254970597"/>
            <w:bookmarkStart w:id="128" w:name="_Toc373333698"/>
            <w:r>
              <w:rPr>
                <w:rFonts w:hint="eastAsia" w:ascii="宋体" w:hAnsi="宋体" w:eastAsia="宋体" w:cs="仿宋_GB2312"/>
                <w:color w:val="auto"/>
                <w:kern w:val="2"/>
                <w:sz w:val="24"/>
                <w:szCs w:val="24"/>
                <w:highlight w:val="none"/>
                <w:lang w:val="en-US" w:eastAsia="zh-CN"/>
              </w:rPr>
              <w:t>5</w:t>
            </w:r>
            <w:bookmarkEnd w:id="120"/>
            <w:bookmarkEnd w:id="121"/>
            <w:bookmarkEnd w:id="122"/>
            <w:bookmarkEnd w:id="123"/>
            <w:bookmarkEnd w:id="124"/>
            <w:bookmarkEnd w:id="125"/>
            <w:bookmarkEnd w:id="126"/>
            <w:bookmarkEnd w:id="127"/>
            <w:bookmarkEnd w:id="128"/>
          </w:p>
        </w:tc>
        <w:tc>
          <w:tcPr>
            <w:tcW w:w="992" w:type="dxa"/>
            <w:tcBorders>
              <w:right w:val="single" w:color="auto" w:sz="4" w:space="0"/>
            </w:tcBorders>
            <w:noWrap w:val="0"/>
            <w:vAlign w:val="center"/>
          </w:tcPr>
          <w:p>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3292" w:type="dxa"/>
            <w:tcBorders>
              <w:left w:val="single" w:color="auto" w:sz="4" w:space="0"/>
            </w:tcBorders>
            <w:noWrap w:val="0"/>
            <w:vAlign w:val="center"/>
          </w:tcPr>
          <w:p>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62" w:type="dxa"/>
            <w:noWrap w:val="0"/>
            <w:vAlign w:val="center"/>
          </w:tcPr>
          <w:p>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616" w:type="dxa"/>
            <w:noWrap w:val="0"/>
            <w:vAlign w:val="center"/>
          </w:tcPr>
          <w:p>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92" w:type="dxa"/>
            <w:noWrap w:val="0"/>
            <w:vAlign w:val="center"/>
          </w:tcPr>
          <w:p>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29" w:name="_Toc173211914"/>
            <w:bookmarkStart w:id="130" w:name="_Toc295404991"/>
            <w:bookmarkStart w:id="131" w:name="_Toc383699916"/>
            <w:bookmarkStart w:id="132" w:name="_Toc173066415"/>
            <w:bookmarkStart w:id="133" w:name="_Toc254970743"/>
            <w:bookmarkStart w:id="134" w:name="_Toc301781621"/>
            <w:bookmarkStart w:id="135" w:name="_Toc297193195"/>
            <w:bookmarkStart w:id="136" w:name="_Toc373333699"/>
            <w:bookmarkStart w:id="137" w:name="_Toc254970602"/>
            <w:r>
              <w:rPr>
                <w:rFonts w:hint="eastAsia" w:ascii="宋体" w:hAnsi="宋体" w:eastAsia="宋体" w:cs="仿宋_GB2312"/>
                <w:color w:val="auto"/>
                <w:kern w:val="2"/>
                <w:sz w:val="24"/>
                <w:szCs w:val="24"/>
                <w:highlight w:val="none"/>
                <w:lang w:val="en-US" w:eastAsia="zh-CN"/>
              </w:rPr>
              <w:t>…</w:t>
            </w:r>
            <w:bookmarkEnd w:id="129"/>
            <w:bookmarkEnd w:id="130"/>
            <w:bookmarkEnd w:id="131"/>
            <w:bookmarkEnd w:id="132"/>
            <w:bookmarkEnd w:id="133"/>
            <w:bookmarkEnd w:id="134"/>
            <w:bookmarkEnd w:id="135"/>
            <w:bookmarkEnd w:id="136"/>
            <w:bookmarkEnd w:id="137"/>
          </w:p>
        </w:tc>
        <w:tc>
          <w:tcPr>
            <w:tcW w:w="992" w:type="dxa"/>
            <w:tcBorders>
              <w:right w:val="single" w:color="auto" w:sz="4" w:space="0"/>
            </w:tcBorders>
            <w:noWrap w:val="0"/>
            <w:vAlign w:val="center"/>
          </w:tcPr>
          <w:p>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3292" w:type="dxa"/>
            <w:tcBorders>
              <w:left w:val="single" w:color="auto" w:sz="4" w:space="0"/>
            </w:tcBorders>
            <w:noWrap w:val="0"/>
            <w:vAlign w:val="center"/>
          </w:tcPr>
          <w:p>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62" w:type="dxa"/>
            <w:noWrap w:val="0"/>
            <w:vAlign w:val="center"/>
          </w:tcPr>
          <w:p>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616" w:type="dxa"/>
            <w:tcBorders>
              <w:right w:val="single" w:color="auto" w:sz="4" w:space="0"/>
            </w:tcBorders>
            <w:noWrap w:val="0"/>
            <w:vAlign w:val="center"/>
          </w:tcPr>
          <w:p>
            <w:pPr>
              <w:pStyle w:val="11"/>
              <w:spacing w:line="360"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bl>
    <w:p>
      <w:pPr>
        <w:adjustRightInd w:val="0"/>
        <w:spacing w:line="360" w:lineRule="auto"/>
        <w:contextualSpacing/>
        <w:rPr>
          <w:rFonts w:hint="eastAsia" w:ascii="宋体" w:hAnsi="宋体" w:cs="仿宋_GB2312"/>
          <w:color w:val="auto"/>
          <w:sz w:val="24"/>
          <w:highlight w:val="none"/>
        </w:rPr>
      </w:pPr>
    </w:p>
    <w:p>
      <w:pPr>
        <w:pStyle w:val="11"/>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pPr>
        <w:pStyle w:val="11"/>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说明：应对照磋商文件“第三章 采购需求”中的技术要求逐条作出明确响应，并作出偏离说明。</w:t>
      </w:r>
    </w:p>
    <w:p>
      <w:pPr>
        <w:pStyle w:val="11"/>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pPr>
        <w:spacing w:line="360" w:lineRule="auto"/>
        <w:ind w:right="-817" w:rightChars="-389"/>
        <w:contextualSpacing/>
        <w:rPr>
          <w:rFonts w:hint="eastAsia" w:ascii="宋体" w:hAnsi="宋体" w:cs="仿宋_GB2312"/>
          <w:color w:val="auto"/>
          <w:sz w:val="24"/>
          <w:highlight w:val="none"/>
        </w:rPr>
      </w:pPr>
    </w:p>
    <w:p>
      <w:pPr>
        <w:spacing w:line="360" w:lineRule="auto"/>
        <w:ind w:right="-817" w:rightChars="-389" w:firstLine="960" w:firstLineChars="4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                    </w:t>
      </w:r>
    </w:p>
    <w:p>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eastAsia="宋体" w:cs="宋体"/>
          <w:color w:val="auto"/>
          <w:sz w:val="24"/>
          <w:szCs w:val="24"/>
          <w:highlight w:val="none"/>
        </w:rPr>
        <w:t>电子签章</w:t>
      </w:r>
      <w:r>
        <w:rPr>
          <w:rFonts w:hint="eastAsia" w:ascii="宋体" w:hAnsi="宋体" w:cs="仿宋_GB2312"/>
          <w:color w:val="auto"/>
          <w:sz w:val="24"/>
          <w:highlight w:val="none"/>
        </w:rPr>
        <w:t xml:space="preserve">）：      </w:t>
      </w:r>
    </w:p>
    <w:p>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pPr>
        <w:snapToGrid w:val="0"/>
        <w:spacing w:before="156" w:beforeLines="50" w:after="50"/>
        <w:ind w:left="142"/>
        <w:jc w:val="left"/>
        <w:rPr>
          <w:rFonts w:hint="eastAsia" w:ascii="宋体" w:hAnsi="宋体"/>
          <w:b/>
          <w:color w:val="auto"/>
          <w:sz w:val="24"/>
          <w:highlight w:val="none"/>
        </w:rPr>
      </w:pPr>
      <w:r>
        <w:rPr>
          <w:rFonts w:ascii="宋体" w:hAnsi="宋体" w:cs="仿宋_GB2312"/>
          <w:color w:val="auto"/>
          <w:sz w:val="24"/>
          <w:highlight w:val="none"/>
        </w:rPr>
        <w:br w:type="page"/>
      </w:r>
    </w:p>
    <w:p>
      <w:pPr>
        <w:spacing w:line="360" w:lineRule="auto"/>
        <w:ind w:left="142"/>
        <w:contextualSpacing/>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lang w:val="en-US" w:eastAsia="zh-CN"/>
        </w:rPr>
        <w:t>10、</w:t>
      </w:r>
      <w:r>
        <w:rPr>
          <w:rFonts w:hint="eastAsia" w:ascii="方正小标宋简体" w:hAnsi="方正小标宋简体" w:eastAsia="方正小标宋简体" w:cs="方正小标宋简体"/>
          <w:bCs/>
          <w:color w:val="auto"/>
          <w:sz w:val="44"/>
          <w:szCs w:val="44"/>
          <w:highlight w:val="none"/>
        </w:rPr>
        <w:t>项目实施人员一览表</w:t>
      </w:r>
    </w:p>
    <w:p>
      <w:pPr>
        <w:pStyle w:val="13"/>
        <w:spacing w:line="360" w:lineRule="auto"/>
        <w:contextualSpacing/>
        <w:rPr>
          <w:rFonts w:hint="eastAsia"/>
          <w:color w:val="auto"/>
          <w:sz w:val="24"/>
          <w:szCs w:val="24"/>
          <w:highlight w:val="none"/>
        </w:rPr>
      </w:pPr>
      <w:r>
        <w:rPr>
          <w:rFonts w:hint="eastAsia"/>
          <w:color w:val="auto"/>
          <w:sz w:val="24"/>
          <w:szCs w:val="24"/>
          <w:highlight w:val="none"/>
        </w:rPr>
        <w:t>所竞分标：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20"/>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姓名</w:t>
            </w:r>
          </w:p>
        </w:tc>
        <w:tc>
          <w:tcPr>
            <w:tcW w:w="709" w:type="dxa"/>
            <w:noWrap w:val="0"/>
            <w:vAlign w:val="center"/>
          </w:tcPr>
          <w:p>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职务</w:t>
            </w:r>
          </w:p>
        </w:tc>
        <w:tc>
          <w:tcPr>
            <w:tcW w:w="1701" w:type="dxa"/>
            <w:noWrap w:val="0"/>
            <w:vAlign w:val="center"/>
          </w:tcPr>
          <w:p>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noWrap w:val="0"/>
            <w:vAlign w:val="center"/>
          </w:tcPr>
          <w:p>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证书编号</w:t>
            </w:r>
          </w:p>
        </w:tc>
        <w:tc>
          <w:tcPr>
            <w:tcW w:w="1698" w:type="dxa"/>
            <w:noWrap w:val="0"/>
            <w:vAlign w:val="center"/>
          </w:tcPr>
          <w:p>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参加本单位</w:t>
            </w:r>
          </w:p>
          <w:p>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工作时间</w:t>
            </w:r>
          </w:p>
        </w:tc>
        <w:tc>
          <w:tcPr>
            <w:tcW w:w="1843" w:type="dxa"/>
            <w:noWrap w:val="0"/>
            <w:vAlign w:val="center"/>
          </w:tcPr>
          <w:p>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auto"/>
              <w:contextualSpacing/>
              <w:jc w:val="center"/>
              <w:rPr>
                <w:rFonts w:hint="eastAsia" w:ascii="宋体" w:hAnsi="宋体"/>
                <w:color w:val="auto"/>
                <w:sz w:val="24"/>
                <w:szCs w:val="20"/>
                <w:highlight w:val="none"/>
              </w:rPr>
            </w:pPr>
          </w:p>
        </w:tc>
        <w:tc>
          <w:tcPr>
            <w:tcW w:w="709" w:type="dxa"/>
            <w:noWrap w:val="0"/>
            <w:vAlign w:val="center"/>
          </w:tcPr>
          <w:p>
            <w:pPr>
              <w:spacing w:line="360" w:lineRule="auto"/>
              <w:contextualSpacing/>
              <w:jc w:val="center"/>
              <w:rPr>
                <w:rFonts w:hint="eastAsia" w:ascii="宋体" w:hAnsi="宋体"/>
                <w:color w:val="auto"/>
                <w:sz w:val="24"/>
                <w:szCs w:val="20"/>
                <w:highlight w:val="none"/>
              </w:rPr>
            </w:pPr>
          </w:p>
        </w:tc>
        <w:tc>
          <w:tcPr>
            <w:tcW w:w="1701" w:type="dxa"/>
            <w:noWrap w:val="0"/>
            <w:vAlign w:val="center"/>
          </w:tcPr>
          <w:p>
            <w:pPr>
              <w:spacing w:line="360" w:lineRule="auto"/>
              <w:contextualSpacing/>
              <w:jc w:val="center"/>
              <w:rPr>
                <w:rFonts w:hint="eastAsia" w:ascii="宋体" w:hAnsi="宋体"/>
                <w:color w:val="auto"/>
                <w:sz w:val="24"/>
                <w:szCs w:val="20"/>
                <w:highlight w:val="none"/>
              </w:rPr>
            </w:pPr>
          </w:p>
        </w:tc>
        <w:tc>
          <w:tcPr>
            <w:tcW w:w="1420" w:type="dxa"/>
            <w:noWrap w:val="0"/>
            <w:vAlign w:val="center"/>
          </w:tcPr>
          <w:p>
            <w:pPr>
              <w:spacing w:line="360" w:lineRule="auto"/>
              <w:contextualSpacing/>
              <w:jc w:val="center"/>
              <w:rPr>
                <w:rFonts w:hint="eastAsia" w:ascii="宋体" w:hAnsi="宋体"/>
                <w:color w:val="auto"/>
                <w:sz w:val="24"/>
                <w:szCs w:val="20"/>
                <w:highlight w:val="none"/>
              </w:rPr>
            </w:pPr>
          </w:p>
        </w:tc>
        <w:tc>
          <w:tcPr>
            <w:tcW w:w="1698" w:type="dxa"/>
            <w:noWrap w:val="0"/>
            <w:vAlign w:val="center"/>
          </w:tcPr>
          <w:p>
            <w:pPr>
              <w:spacing w:line="360" w:lineRule="auto"/>
              <w:contextualSpacing/>
              <w:jc w:val="center"/>
              <w:rPr>
                <w:rFonts w:hint="eastAsia" w:ascii="宋体" w:hAnsi="宋体"/>
                <w:color w:val="auto"/>
                <w:sz w:val="24"/>
                <w:szCs w:val="20"/>
                <w:highlight w:val="none"/>
              </w:rPr>
            </w:pPr>
          </w:p>
        </w:tc>
        <w:tc>
          <w:tcPr>
            <w:tcW w:w="1843" w:type="dxa"/>
            <w:noWrap w:val="0"/>
            <w:vAlign w:val="center"/>
          </w:tcPr>
          <w:p>
            <w:pPr>
              <w:spacing w:line="360" w:lineRule="auto"/>
              <w:contextualSpacing/>
              <w:jc w:val="center"/>
              <w:rPr>
                <w:rFonts w:hint="eastAsia"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auto"/>
              <w:contextualSpacing/>
              <w:jc w:val="center"/>
              <w:rPr>
                <w:rFonts w:hint="eastAsia" w:ascii="宋体" w:hAnsi="宋体"/>
                <w:color w:val="auto"/>
                <w:sz w:val="24"/>
                <w:szCs w:val="20"/>
                <w:highlight w:val="none"/>
              </w:rPr>
            </w:pPr>
          </w:p>
        </w:tc>
        <w:tc>
          <w:tcPr>
            <w:tcW w:w="709" w:type="dxa"/>
            <w:noWrap w:val="0"/>
            <w:vAlign w:val="center"/>
          </w:tcPr>
          <w:p>
            <w:pPr>
              <w:spacing w:line="360" w:lineRule="auto"/>
              <w:contextualSpacing/>
              <w:jc w:val="center"/>
              <w:rPr>
                <w:rFonts w:hint="eastAsia" w:ascii="宋体" w:hAnsi="宋体"/>
                <w:color w:val="auto"/>
                <w:sz w:val="24"/>
                <w:szCs w:val="20"/>
                <w:highlight w:val="none"/>
              </w:rPr>
            </w:pPr>
          </w:p>
        </w:tc>
        <w:tc>
          <w:tcPr>
            <w:tcW w:w="1701" w:type="dxa"/>
            <w:noWrap w:val="0"/>
            <w:vAlign w:val="center"/>
          </w:tcPr>
          <w:p>
            <w:pPr>
              <w:spacing w:line="360" w:lineRule="auto"/>
              <w:contextualSpacing/>
              <w:jc w:val="center"/>
              <w:rPr>
                <w:rFonts w:hint="eastAsia" w:ascii="宋体" w:hAnsi="宋体"/>
                <w:color w:val="auto"/>
                <w:sz w:val="24"/>
                <w:szCs w:val="20"/>
                <w:highlight w:val="none"/>
              </w:rPr>
            </w:pPr>
          </w:p>
        </w:tc>
        <w:tc>
          <w:tcPr>
            <w:tcW w:w="1420" w:type="dxa"/>
            <w:noWrap w:val="0"/>
            <w:vAlign w:val="center"/>
          </w:tcPr>
          <w:p>
            <w:pPr>
              <w:spacing w:line="360" w:lineRule="auto"/>
              <w:contextualSpacing/>
              <w:jc w:val="center"/>
              <w:rPr>
                <w:rFonts w:hint="eastAsia" w:ascii="宋体" w:hAnsi="宋体"/>
                <w:color w:val="auto"/>
                <w:sz w:val="24"/>
                <w:szCs w:val="20"/>
                <w:highlight w:val="none"/>
              </w:rPr>
            </w:pPr>
          </w:p>
        </w:tc>
        <w:tc>
          <w:tcPr>
            <w:tcW w:w="1698" w:type="dxa"/>
            <w:noWrap w:val="0"/>
            <w:vAlign w:val="center"/>
          </w:tcPr>
          <w:p>
            <w:pPr>
              <w:spacing w:line="360" w:lineRule="auto"/>
              <w:contextualSpacing/>
              <w:jc w:val="center"/>
              <w:rPr>
                <w:rFonts w:hint="eastAsia" w:ascii="宋体" w:hAnsi="宋体"/>
                <w:color w:val="auto"/>
                <w:sz w:val="24"/>
                <w:szCs w:val="20"/>
                <w:highlight w:val="none"/>
              </w:rPr>
            </w:pPr>
          </w:p>
        </w:tc>
        <w:tc>
          <w:tcPr>
            <w:tcW w:w="1843" w:type="dxa"/>
            <w:noWrap w:val="0"/>
            <w:vAlign w:val="center"/>
          </w:tcPr>
          <w:p>
            <w:pPr>
              <w:spacing w:line="360" w:lineRule="auto"/>
              <w:contextualSpacing/>
              <w:jc w:val="center"/>
              <w:rPr>
                <w:rFonts w:hint="eastAsia"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auto"/>
              <w:contextualSpacing/>
              <w:jc w:val="center"/>
              <w:rPr>
                <w:rFonts w:hint="eastAsia" w:ascii="宋体" w:hAnsi="宋体"/>
                <w:color w:val="auto"/>
                <w:sz w:val="24"/>
                <w:szCs w:val="20"/>
                <w:highlight w:val="none"/>
              </w:rPr>
            </w:pPr>
          </w:p>
        </w:tc>
        <w:tc>
          <w:tcPr>
            <w:tcW w:w="709" w:type="dxa"/>
            <w:noWrap w:val="0"/>
            <w:vAlign w:val="center"/>
          </w:tcPr>
          <w:p>
            <w:pPr>
              <w:spacing w:line="360" w:lineRule="auto"/>
              <w:contextualSpacing/>
              <w:jc w:val="center"/>
              <w:rPr>
                <w:rFonts w:hint="eastAsia" w:ascii="宋体" w:hAnsi="宋体"/>
                <w:color w:val="auto"/>
                <w:sz w:val="24"/>
                <w:szCs w:val="20"/>
                <w:highlight w:val="none"/>
              </w:rPr>
            </w:pPr>
          </w:p>
        </w:tc>
        <w:tc>
          <w:tcPr>
            <w:tcW w:w="1701" w:type="dxa"/>
            <w:noWrap w:val="0"/>
            <w:vAlign w:val="center"/>
          </w:tcPr>
          <w:p>
            <w:pPr>
              <w:spacing w:line="360" w:lineRule="auto"/>
              <w:contextualSpacing/>
              <w:jc w:val="center"/>
              <w:rPr>
                <w:rFonts w:hint="eastAsia" w:ascii="宋体" w:hAnsi="宋体"/>
                <w:color w:val="auto"/>
                <w:sz w:val="24"/>
                <w:szCs w:val="20"/>
                <w:highlight w:val="none"/>
              </w:rPr>
            </w:pPr>
          </w:p>
        </w:tc>
        <w:tc>
          <w:tcPr>
            <w:tcW w:w="1420" w:type="dxa"/>
            <w:noWrap w:val="0"/>
            <w:vAlign w:val="center"/>
          </w:tcPr>
          <w:p>
            <w:pPr>
              <w:spacing w:line="360" w:lineRule="auto"/>
              <w:contextualSpacing/>
              <w:jc w:val="center"/>
              <w:rPr>
                <w:rFonts w:hint="eastAsia" w:ascii="宋体" w:hAnsi="宋体"/>
                <w:color w:val="auto"/>
                <w:sz w:val="24"/>
                <w:szCs w:val="20"/>
                <w:highlight w:val="none"/>
              </w:rPr>
            </w:pPr>
          </w:p>
        </w:tc>
        <w:tc>
          <w:tcPr>
            <w:tcW w:w="1698" w:type="dxa"/>
            <w:noWrap w:val="0"/>
            <w:vAlign w:val="center"/>
          </w:tcPr>
          <w:p>
            <w:pPr>
              <w:spacing w:line="360" w:lineRule="auto"/>
              <w:contextualSpacing/>
              <w:jc w:val="center"/>
              <w:rPr>
                <w:rFonts w:hint="eastAsia" w:ascii="宋体" w:hAnsi="宋体"/>
                <w:color w:val="auto"/>
                <w:sz w:val="24"/>
                <w:szCs w:val="20"/>
                <w:highlight w:val="none"/>
              </w:rPr>
            </w:pPr>
          </w:p>
        </w:tc>
        <w:tc>
          <w:tcPr>
            <w:tcW w:w="1843" w:type="dxa"/>
            <w:noWrap w:val="0"/>
            <w:vAlign w:val="center"/>
          </w:tcPr>
          <w:p>
            <w:pPr>
              <w:spacing w:line="360" w:lineRule="auto"/>
              <w:contextualSpacing/>
              <w:jc w:val="center"/>
              <w:rPr>
                <w:rFonts w:hint="eastAsia" w:ascii="宋体" w:hAnsi="宋体"/>
                <w:color w:val="auto"/>
                <w:sz w:val="24"/>
                <w:szCs w:val="20"/>
                <w:highlight w:val="none"/>
              </w:rPr>
            </w:pPr>
          </w:p>
        </w:tc>
      </w:tr>
    </w:tbl>
    <w:p>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在填写时，如本表格不适合供应商的实际情况，可根据本表格式自行制表填写。</w:t>
      </w:r>
    </w:p>
    <w:p>
      <w:pPr>
        <w:spacing w:line="360" w:lineRule="auto"/>
        <w:contextualSpacing/>
        <w:jc w:val="left"/>
        <w:rPr>
          <w:rFonts w:hint="eastAsia"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供应商应当附本表所列证书的复印件并加盖供应商公章。</w:t>
      </w:r>
    </w:p>
    <w:p>
      <w:pPr>
        <w:spacing w:line="360" w:lineRule="auto"/>
        <w:contextualSpacing/>
        <w:rPr>
          <w:rFonts w:hint="eastAsia" w:ascii="宋体" w:hAnsi="宋体"/>
          <w:color w:val="auto"/>
          <w:sz w:val="24"/>
          <w:highlight w:val="none"/>
        </w:rPr>
      </w:pPr>
    </w:p>
    <w:p>
      <w:pPr>
        <w:spacing w:line="360" w:lineRule="auto"/>
        <w:contextualSpacing/>
        <w:rPr>
          <w:rFonts w:hint="eastAsia"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pPr>
        <w:spacing w:line="360" w:lineRule="auto"/>
        <w:contextualSpacing/>
        <w:jc w:val="left"/>
        <w:rPr>
          <w:rFonts w:hint="eastAsia" w:ascii="宋体" w:hAnsi="宋体"/>
          <w:color w:val="auto"/>
          <w:sz w:val="24"/>
          <w:szCs w:val="20"/>
          <w:highlight w:val="none"/>
        </w:rPr>
      </w:pPr>
      <w:r>
        <w:rPr>
          <w:rFonts w:hint="eastAsia" w:ascii="宋体" w:hAnsi="宋体"/>
          <w:color w:val="auto"/>
          <w:spacing w:val="20"/>
          <w:sz w:val="24"/>
          <w:highlight w:val="none"/>
        </w:rPr>
        <w:t>供应商（</w:t>
      </w:r>
      <w:r>
        <w:rPr>
          <w:rFonts w:hint="eastAsia" w:ascii="宋体" w:hAnsi="宋体" w:eastAsia="宋体" w:cs="宋体"/>
          <w:color w:val="auto"/>
          <w:sz w:val="24"/>
          <w:szCs w:val="24"/>
          <w:highlight w:val="none"/>
        </w:rPr>
        <w:t>电子签章</w:t>
      </w:r>
      <w:r>
        <w:rPr>
          <w:rFonts w:hint="eastAsia" w:ascii="宋体" w:hAnsi="宋体"/>
          <w:color w:val="auto"/>
          <w:spacing w:val="20"/>
          <w:sz w:val="24"/>
          <w:highlight w:val="none"/>
        </w:rPr>
        <w:t>）：</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pPr>
        <w:snapToGrid w:val="0"/>
        <w:spacing w:before="50" w:after="156" w:afterLines="50"/>
        <w:jc w:val="left"/>
        <w:rPr>
          <w:rFonts w:hint="eastAsia" w:ascii="宋体" w:hAnsi="宋体"/>
          <w:color w:val="auto"/>
          <w:sz w:val="24"/>
          <w:szCs w:val="20"/>
          <w:highlight w:val="none"/>
        </w:rPr>
      </w:pPr>
    </w:p>
    <w:p>
      <w:pPr>
        <w:snapToGrid w:val="0"/>
        <w:spacing w:before="50" w:after="50" w:line="360" w:lineRule="auto"/>
        <w:ind w:right="-817" w:rightChars="-389" w:firstLine="5461" w:firstLineChars="1700"/>
        <w:rPr>
          <w:rFonts w:hint="eastAsia" w:ascii="仿宋_GB2312" w:hAnsi="仿宋_GB2312" w:eastAsia="仿宋_GB2312" w:cs="仿宋_GB2312"/>
          <w:b/>
          <w:color w:val="auto"/>
          <w:sz w:val="32"/>
          <w:szCs w:val="32"/>
          <w:highlight w:val="none"/>
        </w:rPr>
      </w:pPr>
    </w:p>
    <w:p>
      <w:pPr>
        <w:spacing w:line="360" w:lineRule="auto"/>
        <w:ind w:left="142"/>
        <w:contextualSpacing/>
        <w:jc w:val="left"/>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lang w:val="en-US" w:eastAsia="zh-CN"/>
        </w:rPr>
        <w:t>11、</w:t>
      </w:r>
      <w:r>
        <w:rPr>
          <w:rFonts w:hint="eastAsia" w:ascii="方正小标宋简体" w:hAnsi="方正小标宋简体" w:eastAsia="方正小标宋简体" w:cs="方正小标宋简体"/>
          <w:bCs/>
          <w:color w:val="auto"/>
          <w:sz w:val="44"/>
          <w:szCs w:val="44"/>
          <w:highlight w:val="none"/>
        </w:rPr>
        <w:t>对应采购需求的技术要求、商务要求提供的其他文件资料</w:t>
      </w:r>
    </w:p>
    <w:p>
      <w:pPr>
        <w:spacing w:line="360" w:lineRule="auto"/>
        <w:ind w:left="142"/>
        <w:contextualSpacing/>
        <w:jc w:val="left"/>
        <w:rPr>
          <w:rFonts w:hint="eastAsia" w:ascii="方正小标宋简体" w:hAnsi="方正小标宋简体" w:eastAsia="方正小标宋简体" w:cs="方正小标宋简体"/>
          <w:bCs/>
          <w:color w:val="auto"/>
          <w:sz w:val="44"/>
          <w:szCs w:val="44"/>
          <w:highlight w:val="none"/>
        </w:rPr>
      </w:pPr>
    </w:p>
    <w:p>
      <w:pPr>
        <w:spacing w:line="360" w:lineRule="auto"/>
        <w:ind w:left="142"/>
        <w:contextualSpacing/>
        <w:jc w:val="left"/>
        <w:rPr>
          <w:rFonts w:hint="eastAsia" w:ascii="宋体" w:hAnsi="宋体"/>
          <w:color w:val="auto"/>
          <w:szCs w:val="21"/>
          <w:highlight w:val="none"/>
        </w:rPr>
      </w:pPr>
      <w:r>
        <w:rPr>
          <w:rFonts w:hint="eastAsia" w:ascii="方正小标宋简体" w:hAnsi="方正小标宋简体" w:eastAsia="方正小标宋简体" w:cs="方正小标宋简体"/>
          <w:bCs/>
          <w:color w:val="auto"/>
          <w:sz w:val="44"/>
          <w:szCs w:val="44"/>
          <w:highlight w:val="none"/>
        </w:rPr>
        <w:t>12、供应商认为需要提供的其他有关资料</w:t>
      </w:r>
      <w:r>
        <w:rPr>
          <w:rFonts w:ascii="宋体" w:hAnsi="宋体"/>
          <w:b/>
          <w:bCs/>
          <w:color w:val="auto"/>
          <w:sz w:val="24"/>
          <w:highlight w:val="none"/>
        </w:rPr>
        <w:br w:type="page"/>
      </w:r>
      <w:r>
        <w:rPr>
          <w:rFonts w:hint="eastAsia" w:ascii="方正小标宋简体" w:hAnsi="方正小标宋简体" w:eastAsia="方正小标宋简体" w:cs="方正小标宋简体"/>
          <w:bCs/>
          <w:color w:val="auto"/>
          <w:sz w:val="44"/>
          <w:szCs w:val="44"/>
          <w:highlight w:val="none"/>
        </w:rPr>
        <w:t>其他文书、文件格式</w:t>
      </w:r>
    </w:p>
    <w:p>
      <w:pPr>
        <w:spacing w:line="360" w:lineRule="auto"/>
        <w:jc w:val="center"/>
        <w:rPr>
          <w:rFonts w:hint="eastAsia"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w:t>
      </w:r>
      <w:r>
        <w:rPr>
          <w:rFonts w:hint="eastAsia" w:ascii="方正小标宋简体" w:hAnsi="方正小标宋简体" w:eastAsia="方正小标宋简体" w:cs="方正小标宋简体"/>
          <w:color w:val="auto"/>
          <w:sz w:val="28"/>
          <w:szCs w:val="28"/>
          <w:highlight w:val="none"/>
        </w:rPr>
        <w:t>（格式）</w:t>
      </w:r>
    </w:p>
    <w:p>
      <w:pPr>
        <w:pStyle w:val="13"/>
        <w:keepNext w:val="0"/>
        <w:keepLines w:val="0"/>
        <w:pageBreakBefore w:val="0"/>
        <w:widowControl w:val="0"/>
        <w:kinsoku/>
        <w:wordWrap/>
        <w:overflowPunct/>
        <w:topLinePunct w:val="0"/>
        <w:autoSpaceDE/>
        <w:autoSpaceDN/>
        <w:bidi w:val="0"/>
        <w:adjustRightInd/>
        <w:snapToGrid/>
        <w:spacing w:line="440" w:lineRule="exact"/>
        <w:ind w:firstLine="482" w:firstLineChars="200"/>
        <w:contextualSpacing/>
        <w:textAlignment w:val="auto"/>
        <w:rPr>
          <w:rFonts w:hAnsi="宋体"/>
          <w:b/>
          <w:bCs/>
          <w:color w:val="auto"/>
          <w:sz w:val="24"/>
          <w:szCs w:val="24"/>
          <w:highlight w:val="none"/>
        </w:rPr>
      </w:pPr>
      <w:r>
        <w:rPr>
          <w:rFonts w:hint="eastAsia" w:hAnsi="宋体"/>
          <w:b/>
          <w:bCs/>
          <w:color w:val="auto"/>
          <w:sz w:val="24"/>
          <w:szCs w:val="24"/>
          <w:highlight w:val="none"/>
        </w:rPr>
        <w:t>一、质疑供应商基本信息：</w:t>
      </w:r>
    </w:p>
    <w:p>
      <w:pPr>
        <w:pStyle w:val="13"/>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3"/>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3"/>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3"/>
        <w:keepNext w:val="0"/>
        <w:keepLines w:val="0"/>
        <w:pageBreakBefore w:val="0"/>
        <w:widowControl w:val="0"/>
        <w:kinsoku/>
        <w:wordWrap/>
        <w:overflowPunct/>
        <w:topLinePunct w:val="0"/>
        <w:autoSpaceDE/>
        <w:autoSpaceDN/>
        <w:bidi w:val="0"/>
        <w:adjustRightInd/>
        <w:snapToGrid/>
        <w:spacing w:line="440" w:lineRule="exact"/>
        <w:ind w:firstLine="482" w:firstLineChars="200"/>
        <w:contextualSpacing/>
        <w:textAlignment w:val="auto"/>
        <w:rPr>
          <w:rFonts w:hint="eastAsia" w:hAnsi="宋体"/>
          <w:b/>
          <w:bCs/>
          <w:color w:val="auto"/>
          <w:sz w:val="24"/>
          <w:szCs w:val="24"/>
          <w:highlight w:val="none"/>
        </w:rPr>
      </w:pPr>
      <w:r>
        <w:rPr>
          <w:rFonts w:hint="eastAsia" w:hAnsi="宋体"/>
          <w:b/>
          <w:bCs/>
          <w:color w:val="auto"/>
          <w:sz w:val="24"/>
          <w:szCs w:val="24"/>
          <w:highlight w:val="none"/>
        </w:rPr>
        <w:t>二、质疑项目基本情况：</w:t>
      </w:r>
    </w:p>
    <w:p>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质疑事项：</w:t>
      </w:r>
    </w:p>
    <w:p>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352" w:firstLineChars="147"/>
        <w:contextualSpacing/>
        <w:textAlignment w:val="auto"/>
        <w:rPr>
          <w:rFonts w:hint="eastAsia"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352" w:firstLineChars="147"/>
        <w:contextualSpacing/>
        <w:textAlignment w:val="auto"/>
        <w:rPr>
          <w:rFonts w:hint="eastAsia" w:hAnsi="宋体"/>
          <w:color w:val="auto"/>
          <w:sz w:val="24"/>
          <w:szCs w:val="24"/>
          <w:highlight w:val="none"/>
        </w:rPr>
      </w:pPr>
      <w:r>
        <w:rPr>
          <w:rFonts w:hint="eastAsia" w:hAnsi="宋体"/>
          <w:color w:val="auto"/>
          <w:sz w:val="24"/>
          <w:szCs w:val="24"/>
          <w:highlight w:val="none"/>
        </w:rPr>
        <w:t xml:space="preserve">□采购过程   </w:t>
      </w:r>
    </w:p>
    <w:p>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352" w:firstLineChars="147"/>
        <w:contextualSpacing/>
        <w:textAlignment w:val="auto"/>
        <w:rPr>
          <w:rFonts w:hint="eastAsia" w:hAnsi="宋体"/>
          <w:bCs/>
          <w:color w:val="auto"/>
          <w:sz w:val="24"/>
          <w:szCs w:val="24"/>
          <w:highlight w:val="none"/>
          <w:u w:val="single"/>
        </w:rPr>
      </w:pPr>
      <w:r>
        <w:rPr>
          <w:rFonts w:hint="eastAsia" w:hAnsi="宋体"/>
          <w:color w:val="auto"/>
          <w:sz w:val="24"/>
          <w:szCs w:val="24"/>
          <w:highlight w:val="none"/>
        </w:rPr>
        <w:t xml:space="preserve">□成交结果   </w:t>
      </w:r>
    </w:p>
    <w:p>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6"/>
        <w:contextualSpacing/>
        <w:textAlignment w:val="auto"/>
        <w:rPr>
          <w:rFonts w:hint="eastAsia" w:hAnsi="宋体"/>
          <w:b/>
          <w:color w:val="auto"/>
          <w:sz w:val="24"/>
          <w:szCs w:val="24"/>
          <w:highlight w:val="none"/>
        </w:rPr>
      </w:pPr>
      <w:r>
        <w:rPr>
          <w:rFonts w:hint="eastAsia" w:hAnsi="宋体"/>
          <w:b/>
          <w:color w:val="auto"/>
          <w:sz w:val="24"/>
          <w:szCs w:val="24"/>
          <w:highlight w:val="none"/>
        </w:rPr>
        <w:t>三、质疑事项具体内容</w:t>
      </w:r>
    </w:p>
    <w:p>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质疑事项2</w:t>
      </w:r>
    </w:p>
    <w:p>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Ansi="宋体"/>
          <w:color w:val="auto"/>
          <w:sz w:val="24"/>
          <w:szCs w:val="24"/>
          <w:highlight w:val="none"/>
        </w:rPr>
        <w:t>……</w:t>
      </w:r>
    </w:p>
    <w:p>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四、与质疑事项相关的质疑请求：</w:t>
      </w:r>
    </w:p>
    <w:p>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352" w:firstLineChars="147"/>
        <w:contextualSpacing/>
        <w:textAlignment w:val="auto"/>
        <w:rPr>
          <w:rFonts w:hint="eastAsia" w:hAnsi="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spacing w:line="440" w:lineRule="exact"/>
        <w:ind w:left="25" w:leftChars="12" w:firstLine="472" w:firstLineChars="197"/>
        <w:contextualSpacing/>
        <w:textAlignment w:val="auto"/>
        <w:rPr>
          <w:rFonts w:hint="eastAsia" w:hAnsi="宋体"/>
          <w:color w:val="auto"/>
          <w:sz w:val="24"/>
          <w:szCs w:val="24"/>
          <w:highlight w:val="none"/>
        </w:rPr>
      </w:pPr>
      <w:r>
        <w:rPr>
          <w:rFonts w:hint="eastAsia" w:hAnsi="宋体"/>
          <w:color w:val="auto"/>
          <w:sz w:val="24"/>
          <w:szCs w:val="24"/>
          <w:highlight w:val="none"/>
        </w:rPr>
        <w:t>签字（签章）：                                       公章：</w:t>
      </w:r>
    </w:p>
    <w:p>
      <w:pPr>
        <w:pStyle w:val="13"/>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hAnsi="宋体"/>
          <w:b/>
          <w:color w:val="auto"/>
          <w:sz w:val="24"/>
          <w:szCs w:val="24"/>
          <w:highlight w:val="none"/>
        </w:rPr>
      </w:pPr>
      <w:r>
        <w:rPr>
          <w:rFonts w:hint="eastAsia" w:hAnsi="宋体"/>
          <w:color w:val="auto"/>
          <w:sz w:val="24"/>
          <w:szCs w:val="24"/>
          <w:highlight w:val="none"/>
        </w:rPr>
        <w:t>日期：</w:t>
      </w:r>
    </w:p>
    <w:p>
      <w:pPr>
        <w:pStyle w:val="13"/>
        <w:spacing w:line="360" w:lineRule="auto"/>
        <w:contextualSpacing/>
        <w:rPr>
          <w:rFonts w:hint="eastAsia" w:hAnsi="宋体"/>
          <w:b/>
          <w:color w:val="auto"/>
          <w:sz w:val="24"/>
          <w:szCs w:val="24"/>
          <w:highlight w:val="none"/>
        </w:rPr>
      </w:pPr>
      <w:r>
        <w:rPr>
          <w:rFonts w:hint="eastAsia" w:hAnsi="宋体"/>
          <w:b/>
          <w:color w:val="auto"/>
          <w:sz w:val="24"/>
          <w:szCs w:val="24"/>
          <w:highlight w:val="none"/>
        </w:rPr>
        <w:t>说明：</w:t>
      </w:r>
    </w:p>
    <w:p>
      <w:pPr>
        <w:pStyle w:val="13"/>
        <w:spacing w:line="360" w:lineRule="auto"/>
        <w:ind w:left="25" w:leftChars="12" w:firstLine="354" w:firstLineChars="147"/>
        <w:contextualSpacing/>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pPr>
        <w:pStyle w:val="13"/>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3"/>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pPr>
        <w:pStyle w:val="13"/>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pPr>
        <w:pStyle w:val="13"/>
        <w:spacing w:line="360" w:lineRule="auto"/>
        <w:ind w:left="25" w:leftChars="12" w:firstLine="354" w:firstLineChars="147"/>
        <w:contextualSpacing/>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pPr>
        <w:pStyle w:val="13"/>
        <w:snapToGrid w:val="0"/>
        <w:rPr>
          <w:rFonts w:hint="eastAsia"/>
          <w:b/>
          <w:color w:val="auto"/>
          <w:sz w:val="24"/>
          <w:szCs w:val="24"/>
          <w:highlight w:val="none"/>
        </w:rPr>
      </w:pPr>
    </w:p>
    <w:p>
      <w:pPr>
        <w:rPr>
          <w:rFonts w:hint="eastAsia"/>
          <w:color w:val="auto"/>
          <w:sz w:val="32"/>
          <w:szCs w:val="40"/>
          <w:highlight w:val="none"/>
        </w:rPr>
      </w:pPr>
    </w:p>
    <w:p>
      <w:pPr>
        <w:rPr>
          <w:rFonts w:hint="eastAsia"/>
          <w:color w:val="auto"/>
          <w:sz w:val="32"/>
          <w:szCs w:val="40"/>
          <w:highlight w:val="none"/>
        </w:rPr>
      </w:pPr>
    </w:p>
    <w:p>
      <w:pPr>
        <w:rPr>
          <w:rFonts w:hint="eastAsia"/>
          <w:color w:val="auto"/>
          <w:sz w:val="32"/>
          <w:szCs w:val="40"/>
          <w:highlight w:val="none"/>
        </w:rPr>
      </w:pPr>
    </w:p>
    <w:p>
      <w:pPr>
        <w:rPr>
          <w:rFonts w:hint="eastAsia"/>
          <w:color w:val="auto"/>
          <w:sz w:val="32"/>
          <w:szCs w:val="40"/>
          <w:highlight w:val="none"/>
        </w:rPr>
      </w:pPr>
    </w:p>
    <w:p>
      <w:pPr>
        <w:rPr>
          <w:rFonts w:hint="eastAsia"/>
          <w:color w:val="auto"/>
          <w:sz w:val="32"/>
          <w:szCs w:val="40"/>
          <w:highlight w:val="none"/>
        </w:rPr>
      </w:pPr>
    </w:p>
    <w:p>
      <w:pPr>
        <w:rPr>
          <w:rFonts w:hint="eastAsia"/>
          <w:color w:val="auto"/>
          <w:sz w:val="32"/>
          <w:szCs w:val="40"/>
          <w:highlight w:val="none"/>
        </w:rPr>
      </w:pPr>
    </w:p>
    <w:p>
      <w:pPr>
        <w:rPr>
          <w:rFonts w:hint="eastAsia"/>
          <w:color w:val="auto"/>
          <w:sz w:val="32"/>
          <w:szCs w:val="40"/>
          <w:highlight w:val="none"/>
        </w:rPr>
      </w:pPr>
    </w:p>
    <w:p>
      <w:pPr>
        <w:rPr>
          <w:rFonts w:hint="eastAsia"/>
          <w:color w:val="auto"/>
          <w:sz w:val="32"/>
          <w:szCs w:val="40"/>
          <w:highlight w:val="none"/>
        </w:rPr>
      </w:pPr>
    </w:p>
    <w:p>
      <w:pPr>
        <w:rPr>
          <w:rFonts w:hint="eastAsia"/>
          <w:color w:val="auto"/>
          <w:sz w:val="32"/>
          <w:szCs w:val="40"/>
          <w:highlight w:val="none"/>
        </w:rPr>
      </w:pPr>
    </w:p>
    <w:p>
      <w:pPr>
        <w:rPr>
          <w:rFonts w:hint="eastAsia"/>
          <w:color w:val="auto"/>
          <w:sz w:val="32"/>
          <w:szCs w:val="40"/>
          <w:highlight w:val="none"/>
        </w:rPr>
      </w:pPr>
    </w:p>
    <w:p>
      <w:pPr>
        <w:rPr>
          <w:rFonts w:hint="eastAsia"/>
          <w:color w:val="auto"/>
          <w:sz w:val="32"/>
          <w:szCs w:val="40"/>
          <w:highlight w:val="none"/>
        </w:rPr>
      </w:pPr>
    </w:p>
    <w:p>
      <w:pPr>
        <w:rPr>
          <w:rFonts w:hint="eastAsia"/>
          <w:color w:val="auto"/>
          <w:sz w:val="32"/>
          <w:szCs w:val="40"/>
          <w:highlight w:val="none"/>
        </w:rPr>
      </w:pPr>
    </w:p>
    <w:p>
      <w:pPr>
        <w:rPr>
          <w:rFonts w:hint="eastAsia"/>
          <w:color w:val="auto"/>
          <w:sz w:val="32"/>
          <w:szCs w:val="40"/>
          <w:highlight w:val="none"/>
        </w:rPr>
      </w:pPr>
    </w:p>
    <w:p>
      <w:pPr>
        <w:rPr>
          <w:rFonts w:hint="eastAsia"/>
          <w:color w:val="auto"/>
          <w:sz w:val="32"/>
          <w:szCs w:val="40"/>
          <w:highlight w:val="none"/>
        </w:rPr>
      </w:pPr>
    </w:p>
    <w:p>
      <w:pPr>
        <w:spacing w:line="360" w:lineRule="auto"/>
        <w:jc w:val="center"/>
        <w:rPr>
          <w:rFonts w:hint="eastAsia" w:ascii="方正小标宋简体" w:hAnsi="方正小标宋简体" w:eastAsia="方正小标宋简体" w:cs="方正小标宋简体"/>
          <w:color w:val="auto"/>
          <w:sz w:val="24"/>
          <w:highlight w:val="none"/>
        </w:rPr>
      </w:pPr>
      <w:r>
        <w:rPr>
          <w:rFonts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投诉书</w:t>
      </w:r>
      <w:r>
        <w:rPr>
          <w:rFonts w:hint="eastAsia" w:ascii="方正小标宋简体" w:hAnsi="方正小标宋简体" w:eastAsia="方正小标宋简体" w:cs="方正小标宋简体"/>
          <w:color w:val="auto"/>
          <w:sz w:val="28"/>
          <w:szCs w:val="28"/>
          <w:highlight w:val="none"/>
        </w:rPr>
        <w:t>（格式）</w:t>
      </w:r>
    </w:p>
    <w:p>
      <w:pPr>
        <w:pStyle w:val="13"/>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13"/>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3"/>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被投诉人1：</w:t>
      </w:r>
    </w:p>
    <w:p>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13"/>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被投诉人2：</w:t>
      </w:r>
    </w:p>
    <w:p>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w:t>
      </w:r>
    </w:p>
    <w:p>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pPr>
        <w:pStyle w:val="13"/>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13"/>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3"/>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pPr>
        <w:pStyle w:val="13"/>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pPr>
        <w:pStyle w:val="13"/>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pPr>
        <w:pStyle w:val="13"/>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pPr>
        <w:pStyle w:val="13"/>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pPr>
        <w:pStyle w:val="13"/>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竞争性磋商文件公告：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pPr>
        <w:pStyle w:val="13"/>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pPr>
        <w:pStyle w:val="13"/>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pPr>
        <w:pStyle w:val="13"/>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pPr>
        <w:pStyle w:val="13"/>
        <w:spacing w:line="360"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13"/>
        <w:spacing w:line="360" w:lineRule="auto"/>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pPr>
        <w:pStyle w:val="13"/>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pPr>
        <w:pStyle w:val="13"/>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pPr>
        <w:pStyle w:val="13"/>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pPr>
        <w:pStyle w:val="13"/>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13"/>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13"/>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pPr>
        <w:pStyle w:val="13"/>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pPr>
        <w:pStyle w:val="13"/>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pPr>
        <w:pStyle w:val="13"/>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pPr>
        <w:pStyle w:val="13"/>
        <w:spacing w:line="360" w:lineRule="auto"/>
        <w:ind w:left="25" w:leftChars="12" w:firstLine="352" w:firstLineChars="147"/>
        <w:rPr>
          <w:rFonts w:hint="eastAsia" w:hAnsi="宋体"/>
          <w:color w:val="auto"/>
          <w:sz w:val="24"/>
          <w:szCs w:val="24"/>
          <w:highlight w:val="none"/>
        </w:rPr>
      </w:pPr>
    </w:p>
    <w:p>
      <w:pPr>
        <w:pStyle w:val="13"/>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pPr>
        <w:pStyle w:val="13"/>
        <w:spacing w:line="360" w:lineRule="auto"/>
        <w:ind w:left="25" w:leftChars="12" w:firstLine="352" w:firstLineChars="147"/>
        <w:rPr>
          <w:rFonts w:hint="eastAsia" w:hAnsi="宋体"/>
          <w:color w:val="auto"/>
          <w:sz w:val="24"/>
          <w:szCs w:val="24"/>
          <w:highlight w:val="none"/>
        </w:rPr>
      </w:pPr>
    </w:p>
    <w:p>
      <w:pPr>
        <w:pStyle w:val="13"/>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pPr>
        <w:pStyle w:val="13"/>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 xml:space="preserve">                                                                                 </w:t>
      </w:r>
    </w:p>
    <w:p>
      <w:pPr>
        <w:pStyle w:val="13"/>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pPr>
        <w:pStyle w:val="13"/>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pPr>
        <w:pStyle w:val="13"/>
        <w:spacing w:line="360" w:lineRule="auto"/>
        <w:ind w:left="25" w:leftChars="12" w:firstLine="354" w:firstLineChars="147"/>
        <w:rPr>
          <w:rFonts w:hint="eastAsia"/>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bookmarkStart w:id="138" w:name="_Toc74323461"/>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color w:val="auto"/>
          <w:sz w:val="28"/>
          <w:szCs w:val="28"/>
          <w:highlight w:val="none"/>
        </w:rPr>
      </w:pPr>
      <w:r>
        <w:rPr>
          <w:rFonts w:hint="eastAsia"/>
          <w:color w:val="auto"/>
          <w:sz w:val="44"/>
          <w:szCs w:val="44"/>
          <w:highlight w:val="none"/>
        </w:rPr>
        <w:t>第六章</w:t>
      </w:r>
      <w:bookmarkEnd w:id="138"/>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color w:val="auto"/>
          <w:kern w:val="0"/>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color w:val="auto"/>
          <w:highlight w:val="none"/>
        </w:rPr>
      </w:pPr>
      <w:r>
        <w:rPr>
          <w:rFonts w:hint="eastAsia" w:ascii="Times New Roman" w:hAnsi="Times New Roman" w:eastAsia="方正小标宋_GBK" w:cs="Times New Roman"/>
          <w:color w:val="auto"/>
          <w:kern w:val="0"/>
          <w:sz w:val="44"/>
          <w:szCs w:val="44"/>
          <w:highlight w:val="none"/>
          <w:lang w:eastAsia="zh-CN"/>
        </w:rPr>
        <w:t>合同主要条款格式</w:t>
      </w:r>
    </w:p>
    <w:p>
      <w:pPr>
        <w:pStyle w:val="10"/>
        <w:rPr>
          <w:rFonts w:hint="default"/>
          <w:color w:val="auto"/>
          <w:highlight w:val="none"/>
          <w:lang w:val="en-US" w:eastAsia="zh-CN"/>
        </w:rPr>
      </w:pPr>
    </w:p>
    <w:p>
      <w:pPr>
        <w:pStyle w:val="13"/>
        <w:snapToGrid w:val="0"/>
        <w:jc w:val="center"/>
        <w:rPr>
          <w:rFonts w:ascii="Arial" w:hAnsi="Arial" w:cs="Arial"/>
          <w:b/>
          <w:color w:val="auto"/>
          <w:sz w:val="24"/>
          <w:szCs w:val="24"/>
          <w:highlight w:val="none"/>
        </w:rPr>
      </w:pPr>
      <w:bookmarkStart w:id="139" w:name="_Hlk77609480"/>
    </w:p>
    <w:bookmarkEnd w:id="139"/>
    <w:p>
      <w:pPr>
        <w:snapToGrid w:val="0"/>
        <w:jc w:val="center"/>
        <w:rPr>
          <w:rFonts w:ascii="宋体" w:hAnsi="宋体" w:cs="宋体"/>
          <w:b/>
          <w:bCs/>
          <w:color w:val="auto"/>
          <w:sz w:val="44"/>
          <w:szCs w:val="44"/>
          <w:highlight w:val="none"/>
        </w:rPr>
      </w:pPr>
    </w:p>
    <w:p>
      <w:pPr>
        <w:snapToGrid w:val="0"/>
        <w:spacing w:line="360" w:lineRule="exact"/>
        <w:ind w:right="480" w:firstLine="9120" w:firstLineChars="2850"/>
        <w:rPr>
          <w:rFonts w:ascii="宋体" w:hAnsi="宋体" w:cs="宋体"/>
          <w:bCs/>
          <w:color w:val="auto"/>
          <w:sz w:val="32"/>
          <w:szCs w:val="32"/>
          <w:highlight w:val="none"/>
        </w:rPr>
      </w:pPr>
    </w:p>
    <w:tbl>
      <w:tblPr>
        <w:tblStyle w:val="20"/>
        <w:tblW w:w="0" w:type="auto"/>
        <w:tblInd w:w="0" w:type="dxa"/>
        <w:tblLayout w:type="fixed"/>
        <w:tblCellMar>
          <w:top w:w="0" w:type="dxa"/>
          <w:left w:w="108" w:type="dxa"/>
          <w:bottom w:w="0" w:type="dxa"/>
          <w:right w:w="108" w:type="dxa"/>
        </w:tblCellMar>
      </w:tblPr>
      <w:tblGrid>
        <w:gridCol w:w="4170"/>
        <w:gridCol w:w="4302"/>
      </w:tblGrid>
      <w:tr>
        <w:tblPrEx>
          <w:tblCellMar>
            <w:top w:w="0" w:type="dxa"/>
            <w:left w:w="108" w:type="dxa"/>
            <w:bottom w:w="0" w:type="dxa"/>
            <w:right w:w="108" w:type="dxa"/>
          </w:tblCellMar>
        </w:tblPrEx>
        <w:trPr>
          <w:trHeight w:val="891" w:hRule="atLeast"/>
        </w:trPr>
        <w:tc>
          <w:tcPr>
            <w:tcW w:w="8472" w:type="dxa"/>
            <w:gridSpan w:val="2"/>
            <w:vAlign w:val="center"/>
          </w:tcPr>
          <w:p>
            <w:pPr>
              <w:wordWrap w:val="0"/>
              <w:autoSpaceDE w:val="0"/>
              <w:autoSpaceDN w:val="0"/>
              <w:adjustRightInd w:val="0"/>
              <w:ind w:firstLine="1440" w:firstLineChars="450"/>
              <w:rPr>
                <w:rFonts w:ascii="宋体" w:hAnsi="宋体" w:cs="宋体"/>
                <w:color w:val="auto"/>
                <w:kern w:val="0"/>
                <w:sz w:val="32"/>
                <w:szCs w:val="32"/>
                <w:highlight w:val="none"/>
              </w:rPr>
            </w:pPr>
          </w:p>
          <w:p>
            <w:pPr>
              <w:wordWrap w:val="0"/>
              <w:autoSpaceDE w:val="0"/>
              <w:autoSpaceDN w:val="0"/>
              <w:adjustRightInd w:val="0"/>
              <w:ind w:firstLine="1440" w:firstLineChars="450"/>
              <w:rPr>
                <w:rFonts w:ascii="宋体" w:hAnsi="宋体" w:cs="宋体"/>
                <w:color w:val="auto"/>
                <w:kern w:val="0"/>
                <w:sz w:val="32"/>
                <w:szCs w:val="32"/>
                <w:highlight w:val="none"/>
              </w:rPr>
            </w:pPr>
            <w:r>
              <w:rPr>
                <w:rFonts w:hint="eastAsia" w:ascii="宋体" w:hAnsi="宋体" w:cs="宋体"/>
                <w:color w:val="auto"/>
                <w:kern w:val="0"/>
                <w:sz w:val="32"/>
                <w:szCs w:val="32"/>
                <w:highlight w:val="none"/>
              </w:rPr>
              <w:t>合同名称：</w:t>
            </w:r>
          </w:p>
          <w:p>
            <w:pPr>
              <w:wordWrap w:val="0"/>
              <w:autoSpaceDE w:val="0"/>
              <w:autoSpaceDN w:val="0"/>
              <w:adjustRightInd w:val="0"/>
              <w:ind w:firstLine="1440" w:firstLineChars="450"/>
              <w:rPr>
                <w:rFonts w:ascii="宋体" w:hAnsi="宋体" w:cs="宋体"/>
                <w:color w:val="auto"/>
                <w:kern w:val="0"/>
                <w:sz w:val="32"/>
                <w:szCs w:val="32"/>
                <w:highlight w:val="none"/>
              </w:rPr>
            </w:pPr>
          </w:p>
          <w:p>
            <w:pPr>
              <w:wordWrap w:val="0"/>
              <w:autoSpaceDE w:val="0"/>
              <w:autoSpaceDN w:val="0"/>
              <w:adjustRightInd w:val="0"/>
              <w:ind w:firstLine="1440" w:firstLineChars="450"/>
              <w:rPr>
                <w:rFonts w:ascii="宋体" w:hAnsi="宋体" w:cs="宋体"/>
                <w:color w:val="auto"/>
                <w:kern w:val="0"/>
                <w:sz w:val="32"/>
                <w:szCs w:val="32"/>
                <w:highlight w:val="none"/>
              </w:rPr>
            </w:pPr>
            <w:r>
              <w:rPr>
                <w:rFonts w:hint="eastAsia" w:ascii="宋体" w:hAnsi="宋体" w:cs="宋体"/>
                <w:color w:val="auto"/>
                <w:kern w:val="0"/>
                <w:sz w:val="32"/>
                <w:szCs w:val="32"/>
                <w:highlight w:val="none"/>
              </w:rPr>
              <w:t>项目编号：</w:t>
            </w:r>
          </w:p>
          <w:p>
            <w:pPr>
              <w:wordWrap w:val="0"/>
              <w:autoSpaceDE w:val="0"/>
              <w:autoSpaceDN w:val="0"/>
              <w:adjustRightInd w:val="0"/>
              <w:ind w:firstLine="1440" w:firstLineChars="450"/>
              <w:rPr>
                <w:rFonts w:ascii="宋体" w:hAnsi="宋体" w:cs="宋体"/>
                <w:color w:val="auto"/>
                <w:kern w:val="0"/>
                <w:sz w:val="32"/>
                <w:szCs w:val="32"/>
                <w:highlight w:val="none"/>
              </w:rPr>
            </w:pPr>
          </w:p>
        </w:tc>
      </w:tr>
      <w:tr>
        <w:tblPrEx>
          <w:tblCellMar>
            <w:top w:w="0" w:type="dxa"/>
            <w:left w:w="108" w:type="dxa"/>
            <w:bottom w:w="0" w:type="dxa"/>
            <w:right w:w="108" w:type="dxa"/>
          </w:tblCellMar>
        </w:tblPrEx>
        <w:trPr>
          <w:trHeight w:val="505" w:hRule="atLeast"/>
        </w:trPr>
        <w:tc>
          <w:tcPr>
            <w:tcW w:w="8472" w:type="dxa"/>
            <w:gridSpan w:val="2"/>
            <w:vAlign w:val="center"/>
          </w:tcPr>
          <w:p>
            <w:pPr>
              <w:wordWrap w:val="0"/>
              <w:autoSpaceDE w:val="0"/>
              <w:autoSpaceDN w:val="0"/>
              <w:adjustRightInd w:val="0"/>
              <w:ind w:firstLine="1440" w:firstLineChars="450"/>
              <w:rPr>
                <w:rFonts w:ascii="宋体" w:hAnsi="宋体" w:cs="宋体"/>
                <w:color w:val="auto"/>
                <w:kern w:val="0"/>
                <w:sz w:val="32"/>
                <w:szCs w:val="32"/>
                <w:highlight w:val="none"/>
              </w:rPr>
            </w:pPr>
          </w:p>
          <w:p>
            <w:pPr>
              <w:wordWrap w:val="0"/>
              <w:autoSpaceDE w:val="0"/>
              <w:autoSpaceDN w:val="0"/>
              <w:adjustRightInd w:val="0"/>
              <w:ind w:firstLine="1440" w:firstLineChars="450"/>
              <w:rPr>
                <w:rFonts w:ascii="宋体" w:hAnsi="宋体" w:cs="宋体"/>
                <w:color w:val="auto"/>
                <w:kern w:val="0"/>
                <w:sz w:val="32"/>
                <w:szCs w:val="32"/>
                <w:highlight w:val="none"/>
              </w:rPr>
            </w:pPr>
            <w:r>
              <w:rPr>
                <w:rFonts w:hint="eastAsia" w:ascii="宋体" w:hAnsi="宋体" w:cs="宋体"/>
                <w:color w:val="auto"/>
                <w:kern w:val="0"/>
                <w:sz w:val="32"/>
                <w:szCs w:val="32"/>
                <w:highlight w:val="none"/>
              </w:rPr>
              <w:t>采购单位：广西医科大学第一附属医院</w:t>
            </w:r>
          </w:p>
          <w:p>
            <w:pPr>
              <w:wordWrap w:val="0"/>
              <w:autoSpaceDE w:val="0"/>
              <w:autoSpaceDN w:val="0"/>
              <w:adjustRightInd w:val="0"/>
              <w:ind w:firstLine="1440" w:firstLineChars="450"/>
              <w:rPr>
                <w:rFonts w:ascii="宋体" w:hAnsi="宋体" w:cs="宋体"/>
                <w:color w:val="auto"/>
                <w:kern w:val="0"/>
                <w:sz w:val="32"/>
                <w:szCs w:val="32"/>
                <w:highlight w:val="none"/>
              </w:rPr>
            </w:pPr>
          </w:p>
        </w:tc>
      </w:tr>
      <w:tr>
        <w:tblPrEx>
          <w:tblCellMar>
            <w:top w:w="0" w:type="dxa"/>
            <w:left w:w="108" w:type="dxa"/>
            <w:bottom w:w="0" w:type="dxa"/>
            <w:right w:w="108" w:type="dxa"/>
          </w:tblCellMar>
        </w:tblPrEx>
        <w:trPr>
          <w:trHeight w:val="427" w:hRule="atLeast"/>
        </w:trPr>
        <w:tc>
          <w:tcPr>
            <w:tcW w:w="8472" w:type="dxa"/>
            <w:gridSpan w:val="2"/>
            <w:vAlign w:val="center"/>
          </w:tcPr>
          <w:p>
            <w:pPr>
              <w:wordWrap w:val="0"/>
              <w:autoSpaceDE w:val="0"/>
              <w:autoSpaceDN w:val="0"/>
              <w:adjustRightInd w:val="0"/>
              <w:ind w:firstLine="1440" w:firstLineChars="450"/>
              <w:rPr>
                <w:rFonts w:ascii="宋体" w:hAnsi="宋体" w:cs="宋体"/>
                <w:color w:val="auto"/>
                <w:kern w:val="0"/>
                <w:sz w:val="32"/>
                <w:szCs w:val="32"/>
                <w:highlight w:val="none"/>
              </w:rPr>
            </w:pPr>
            <w:r>
              <w:rPr>
                <w:rFonts w:hint="eastAsia" w:ascii="宋体" w:hAnsi="宋体" w:cs="宋体"/>
                <w:color w:val="auto"/>
                <w:kern w:val="0"/>
                <w:sz w:val="32"/>
                <w:szCs w:val="32"/>
                <w:highlight w:val="none"/>
              </w:rPr>
              <w:t>供 应 商：</w:t>
            </w:r>
          </w:p>
          <w:p>
            <w:pPr>
              <w:wordWrap w:val="0"/>
              <w:autoSpaceDE w:val="0"/>
              <w:autoSpaceDN w:val="0"/>
              <w:adjustRightInd w:val="0"/>
              <w:ind w:firstLine="1440" w:firstLineChars="450"/>
              <w:rPr>
                <w:rFonts w:ascii="宋体" w:hAnsi="宋体" w:cs="宋体"/>
                <w:color w:val="auto"/>
                <w:kern w:val="0"/>
                <w:sz w:val="32"/>
                <w:szCs w:val="32"/>
                <w:highlight w:val="none"/>
              </w:rPr>
            </w:pPr>
          </w:p>
        </w:tc>
      </w:tr>
      <w:tr>
        <w:tblPrEx>
          <w:tblCellMar>
            <w:top w:w="0" w:type="dxa"/>
            <w:left w:w="108" w:type="dxa"/>
            <w:bottom w:w="0" w:type="dxa"/>
            <w:right w:w="108" w:type="dxa"/>
          </w:tblCellMar>
        </w:tblPrEx>
        <w:trPr>
          <w:trHeight w:val="894" w:hRule="atLeast"/>
        </w:trPr>
        <w:tc>
          <w:tcPr>
            <w:tcW w:w="4170" w:type="dxa"/>
            <w:vAlign w:val="center"/>
          </w:tcPr>
          <w:p>
            <w:pPr>
              <w:wordWrap w:val="0"/>
              <w:autoSpaceDE w:val="0"/>
              <w:autoSpaceDN w:val="0"/>
              <w:adjustRightInd w:val="0"/>
              <w:ind w:firstLine="1440" w:firstLineChars="450"/>
              <w:rPr>
                <w:rFonts w:ascii="宋体" w:hAnsi="宋体" w:cs="宋体"/>
                <w:color w:val="auto"/>
                <w:kern w:val="0"/>
                <w:sz w:val="32"/>
                <w:szCs w:val="32"/>
                <w:highlight w:val="none"/>
              </w:rPr>
            </w:pPr>
            <w:r>
              <w:rPr>
                <w:rFonts w:hint="eastAsia" w:ascii="宋体" w:hAnsi="宋体" w:cs="宋体"/>
                <w:color w:val="auto"/>
                <w:kern w:val="0"/>
                <w:sz w:val="32"/>
                <w:szCs w:val="32"/>
                <w:highlight w:val="none"/>
              </w:rPr>
              <w:t>签订时间：</w:t>
            </w:r>
          </w:p>
        </w:tc>
        <w:tc>
          <w:tcPr>
            <w:tcW w:w="4302" w:type="dxa"/>
            <w:vAlign w:val="center"/>
          </w:tcPr>
          <w:p>
            <w:pPr>
              <w:wordWrap w:val="0"/>
              <w:autoSpaceDE w:val="0"/>
              <w:autoSpaceDN w:val="0"/>
              <w:adjustRightInd w:val="0"/>
              <w:rPr>
                <w:rFonts w:ascii="宋体" w:hAnsi="宋体" w:cs="宋体"/>
                <w:color w:val="auto"/>
                <w:kern w:val="0"/>
                <w:sz w:val="32"/>
                <w:szCs w:val="32"/>
                <w:highlight w:val="none"/>
              </w:rPr>
            </w:pPr>
            <w:r>
              <w:rPr>
                <w:rFonts w:hint="eastAsia" w:ascii="宋体" w:hAnsi="宋体" w:cs="宋体"/>
                <w:color w:val="auto"/>
                <w:kern w:val="0"/>
                <w:sz w:val="32"/>
                <w:szCs w:val="32"/>
                <w:highlight w:val="none"/>
              </w:rPr>
              <w:t>年    月    日</w:t>
            </w:r>
          </w:p>
        </w:tc>
      </w:tr>
    </w:tbl>
    <w:p>
      <w:pPr>
        <w:snapToGrid w:val="0"/>
        <w:spacing w:line="360" w:lineRule="exact"/>
        <w:jc w:val="center"/>
        <w:rPr>
          <w:rFonts w:ascii="宋体" w:hAnsi="宋体" w:cs="宋体"/>
          <w:b/>
          <w:bCs/>
          <w:color w:val="auto"/>
          <w:sz w:val="18"/>
          <w:szCs w:val="18"/>
          <w:highlight w:val="none"/>
        </w:rPr>
      </w:pPr>
    </w:p>
    <w:p>
      <w:pPr>
        <w:snapToGrid w:val="0"/>
        <w:spacing w:line="360" w:lineRule="exact"/>
        <w:jc w:val="center"/>
        <w:rPr>
          <w:rFonts w:ascii="宋体" w:hAnsi="宋体" w:cs="宋体"/>
          <w:b/>
          <w:bCs/>
          <w:color w:val="auto"/>
          <w:sz w:val="18"/>
          <w:szCs w:val="18"/>
          <w:highlight w:val="none"/>
        </w:rPr>
      </w:pPr>
    </w:p>
    <w:p>
      <w:pPr>
        <w:snapToGrid w:val="0"/>
        <w:spacing w:line="360" w:lineRule="exact"/>
        <w:jc w:val="center"/>
        <w:rPr>
          <w:rFonts w:ascii="宋体" w:hAnsi="宋体" w:cs="宋体"/>
          <w:b/>
          <w:bCs/>
          <w:color w:val="auto"/>
          <w:sz w:val="18"/>
          <w:szCs w:val="18"/>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br w:type="page"/>
      </w:r>
    </w:p>
    <w:p>
      <w:pPr>
        <w:jc w:val="center"/>
        <w:rPr>
          <w:rFonts w:hint="eastAsia" w:ascii="黑体" w:hAnsi="黑体" w:eastAsia="黑体"/>
          <w:b/>
          <w:color w:val="auto"/>
          <w:sz w:val="44"/>
          <w:szCs w:val="44"/>
          <w:highlight w:val="none"/>
        </w:rPr>
      </w:pPr>
      <w:r>
        <w:rPr>
          <w:rFonts w:hint="eastAsia" w:ascii="黑体" w:hAnsi="黑体" w:eastAsia="黑体"/>
          <w:b/>
          <w:color w:val="auto"/>
          <w:sz w:val="44"/>
          <w:szCs w:val="44"/>
          <w:highlight w:val="none"/>
          <w:lang w:val="en-US" w:eastAsia="zh-Hans"/>
        </w:rPr>
        <w:t>信息</w:t>
      </w:r>
      <w:r>
        <w:rPr>
          <w:rFonts w:hint="eastAsia" w:ascii="黑体" w:hAnsi="黑体" w:eastAsia="黑体"/>
          <w:b/>
          <w:color w:val="auto"/>
          <w:sz w:val="44"/>
          <w:szCs w:val="44"/>
          <w:highlight w:val="none"/>
        </w:rPr>
        <w:t>服务</w:t>
      </w:r>
      <w:r>
        <w:rPr>
          <w:rFonts w:hint="eastAsia" w:ascii="黑体" w:hAnsi="黑体" w:eastAsia="黑体"/>
          <w:b/>
          <w:color w:val="auto"/>
          <w:sz w:val="44"/>
          <w:szCs w:val="44"/>
          <w:highlight w:val="none"/>
          <w:lang w:val="en-US" w:eastAsia="zh-Hans"/>
        </w:rPr>
        <w:t>类</w:t>
      </w:r>
      <w:r>
        <w:rPr>
          <w:rFonts w:hint="eastAsia" w:ascii="黑体" w:hAnsi="黑体" w:eastAsia="黑体"/>
          <w:b/>
          <w:color w:val="auto"/>
          <w:sz w:val="44"/>
          <w:szCs w:val="44"/>
          <w:highlight w:val="none"/>
        </w:rPr>
        <w:t>采购合同</w:t>
      </w:r>
    </w:p>
    <w:p>
      <w:pPr>
        <w:jc w:val="center"/>
        <w:rPr>
          <w:rFonts w:ascii="黑体" w:hAnsi="黑体" w:eastAsia="黑体"/>
          <w:b/>
          <w:color w:val="auto"/>
          <w:sz w:val="44"/>
          <w:szCs w:val="44"/>
          <w:highlight w:val="none"/>
        </w:rPr>
      </w:pPr>
      <w:r>
        <w:rPr>
          <w:rFonts w:hint="eastAsia" w:ascii="黑体" w:hAnsi="黑体" w:eastAsia="黑体"/>
          <w:b/>
          <w:color w:val="auto"/>
          <w:sz w:val="44"/>
          <w:szCs w:val="44"/>
          <w:highlight w:val="none"/>
        </w:rPr>
        <w:t xml:space="preserve"> </w:t>
      </w:r>
    </w:p>
    <w:p>
      <w:pPr>
        <w:tabs>
          <w:tab w:val="left" w:pos="720"/>
        </w:tabs>
        <w:spacing w:line="360" w:lineRule="auto"/>
        <w:jc w:val="left"/>
        <w:rPr>
          <w:rFonts w:hint="eastAsia" w:cs="宋体" w:asciiTheme="minorEastAsia" w:hAnsiTheme="minorEastAsia"/>
          <w:b/>
          <w:color w:val="auto"/>
          <w:sz w:val="24"/>
          <w:highlight w:val="none"/>
        </w:rPr>
      </w:pPr>
      <w:r>
        <w:rPr>
          <w:rFonts w:hint="eastAsia" w:cs="宋体" w:asciiTheme="minorEastAsia" w:hAnsiTheme="minorEastAsia"/>
          <w:b/>
          <w:color w:val="auto"/>
          <w:sz w:val="24"/>
          <w:highlight w:val="none"/>
        </w:rPr>
        <w:t>合同</w:t>
      </w:r>
      <w:r>
        <w:rPr>
          <w:rFonts w:cs="宋体" w:asciiTheme="minorEastAsia" w:hAnsiTheme="minorEastAsia"/>
          <w:b/>
          <w:color w:val="auto"/>
          <w:sz w:val="24"/>
          <w:highlight w:val="none"/>
        </w:rPr>
        <w:t>名称：</w:t>
      </w:r>
      <w:r>
        <w:rPr>
          <w:rFonts w:hint="eastAsia" w:cs="宋体" w:asciiTheme="minorEastAsia" w:hAnsiTheme="minorEastAsia"/>
          <w:b/>
          <w:color w:val="auto"/>
          <w:sz w:val="24"/>
          <w:highlight w:val="none"/>
        </w:rPr>
        <w:t xml:space="preserve"> </w:t>
      </w:r>
    </w:p>
    <w:p>
      <w:pPr>
        <w:tabs>
          <w:tab w:val="left" w:pos="720"/>
        </w:tabs>
        <w:spacing w:line="360" w:lineRule="auto"/>
        <w:jc w:val="left"/>
        <w:rPr>
          <w:rFonts w:cs="宋体" w:asciiTheme="minorEastAsia" w:hAnsiTheme="minorEastAsia"/>
          <w:b/>
          <w:color w:val="auto"/>
          <w:sz w:val="24"/>
          <w:highlight w:val="none"/>
        </w:rPr>
      </w:pPr>
      <w:r>
        <w:rPr>
          <w:rFonts w:hint="eastAsia" w:cs="宋体" w:asciiTheme="minorEastAsia" w:hAnsiTheme="minorEastAsia"/>
          <w:b/>
          <w:color w:val="auto"/>
          <w:sz w:val="24"/>
          <w:highlight w:val="none"/>
          <w:lang w:eastAsia="zh-CN"/>
        </w:rPr>
        <w:t>合同编号：</w:t>
      </w:r>
      <w:r>
        <w:rPr>
          <w:rFonts w:hint="eastAsia" w:cs="宋体" w:asciiTheme="minorEastAsia" w:hAnsiTheme="minorEastAsia"/>
          <w:b/>
          <w:color w:val="auto"/>
          <w:sz w:val="24"/>
          <w:highlight w:val="none"/>
        </w:rPr>
        <w:t xml:space="preserve">                          </w:t>
      </w:r>
    </w:p>
    <w:p>
      <w:pPr>
        <w:tabs>
          <w:tab w:val="left" w:pos="720"/>
        </w:tabs>
        <w:spacing w:line="360" w:lineRule="auto"/>
        <w:rPr>
          <w:rFonts w:cs="宋体" w:asciiTheme="minorEastAsia" w:hAnsiTheme="minorEastAsia"/>
          <w:b/>
          <w:color w:val="auto"/>
          <w:sz w:val="24"/>
          <w:highlight w:val="none"/>
        </w:rPr>
      </w:pPr>
      <w:r>
        <w:rPr>
          <w:rFonts w:hint="eastAsia" w:cs="宋体" w:asciiTheme="minorEastAsia" w:hAnsiTheme="minorEastAsia"/>
          <w:b/>
          <w:color w:val="auto"/>
          <w:sz w:val="24"/>
          <w:highlight w:val="none"/>
        </w:rPr>
        <w:t>甲方（采购方）：</w:t>
      </w:r>
      <w:r>
        <w:rPr>
          <w:rFonts w:hint="eastAsia" w:cs="宋体" w:asciiTheme="minorEastAsia" w:hAnsiTheme="minorEastAsia"/>
          <w:color w:val="auto"/>
          <w:sz w:val="24"/>
          <w:highlight w:val="none"/>
        </w:rPr>
        <w:t>广西医科大学第一附属医院</w:t>
      </w:r>
    </w:p>
    <w:p>
      <w:pPr>
        <w:tabs>
          <w:tab w:val="left" w:pos="720"/>
        </w:tabs>
        <w:spacing w:line="360" w:lineRule="auto"/>
        <w:rPr>
          <w:rFonts w:hint="eastAsia" w:cs="宋体" w:asciiTheme="minorEastAsia" w:hAnsiTheme="minorEastAsia"/>
          <w:b/>
          <w:color w:val="auto"/>
          <w:sz w:val="24"/>
          <w:highlight w:val="none"/>
        </w:rPr>
      </w:pPr>
      <w:r>
        <w:rPr>
          <w:rFonts w:hint="eastAsia" w:cs="宋体" w:asciiTheme="minorEastAsia" w:hAnsiTheme="minorEastAsia"/>
          <w:b/>
          <w:color w:val="auto"/>
          <w:sz w:val="24"/>
          <w:highlight w:val="none"/>
        </w:rPr>
        <w:t>乙方（供应方）：</w:t>
      </w:r>
    </w:p>
    <w:p>
      <w:pPr>
        <w:tabs>
          <w:tab w:val="left" w:pos="720"/>
        </w:tabs>
        <w:spacing w:line="360" w:lineRule="auto"/>
        <w:rPr>
          <w:rFonts w:hint="eastAsia" w:cs="宋体" w:asciiTheme="minorEastAsia" w:hAnsiTheme="minorEastAsia"/>
          <w:b/>
          <w:color w:val="auto"/>
          <w:sz w:val="24"/>
          <w:highlight w:val="none"/>
          <w:lang w:eastAsia="zh-CN"/>
        </w:rPr>
      </w:pPr>
      <w:r>
        <w:rPr>
          <w:rFonts w:hint="eastAsia" w:cs="宋体" w:asciiTheme="minorEastAsia" w:hAnsiTheme="minorEastAsia"/>
          <w:b/>
          <w:color w:val="auto"/>
          <w:sz w:val="24"/>
          <w:highlight w:val="none"/>
          <w:lang w:eastAsia="zh-CN"/>
        </w:rPr>
        <w:t>签订地点：</w:t>
      </w:r>
      <w:r>
        <w:rPr>
          <w:rFonts w:hint="eastAsia" w:cs="宋体" w:asciiTheme="minorEastAsia" w:hAnsiTheme="minorEastAsia"/>
          <w:b/>
          <w:color w:val="auto"/>
          <w:sz w:val="24"/>
          <w:highlight w:val="none"/>
          <w:lang w:val="en-US" w:eastAsia="zh-CN"/>
        </w:rPr>
        <w:t xml:space="preserve">                            </w:t>
      </w:r>
      <w:r>
        <w:rPr>
          <w:rFonts w:hint="eastAsia" w:cs="宋体" w:asciiTheme="minorEastAsia" w:hAnsiTheme="minorEastAsia"/>
          <w:b/>
          <w:color w:val="auto"/>
          <w:sz w:val="24"/>
          <w:highlight w:val="none"/>
          <w:lang w:eastAsia="zh-CN"/>
        </w:rPr>
        <w:t>签订时间：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tabs>
          <w:tab w:val="left" w:pos="6345"/>
        </w:tabs>
        <w:spacing w:line="360" w:lineRule="auto"/>
        <w:ind w:firstLine="480" w:firstLineChars="200"/>
        <w:rPr>
          <w:rFonts w:cs="宋体" w:asciiTheme="minorEastAsia" w:hAnsiTheme="minorEastAsia"/>
          <w:color w:val="auto"/>
          <w:sz w:val="24"/>
          <w:highlight w:val="none"/>
        </w:rPr>
      </w:pPr>
      <w:r>
        <w:rPr>
          <w:rFonts w:cs="宋体" w:asciiTheme="minorEastAsia" w:hAnsiTheme="minorEastAsia"/>
          <w:color w:val="auto"/>
          <w:sz w:val="24"/>
          <w:highlight w:val="none"/>
        </w:rPr>
        <w:tab/>
      </w:r>
    </w:p>
    <w:p>
      <w:pPr>
        <w:tabs>
          <w:tab w:val="left" w:pos="720"/>
        </w:tabs>
        <w:spacing w:line="360" w:lineRule="auto"/>
        <w:ind w:firstLine="480" w:firstLineChars="200"/>
        <w:rPr>
          <w:rFonts w:hint="eastAsia" w:cs="宋体" w:asciiTheme="minorEastAsia" w:hAnsiTheme="minorEastAsia"/>
          <w:color w:val="auto"/>
          <w:sz w:val="24"/>
          <w:highlight w:val="none"/>
          <w:lang w:eastAsia="zh-CN"/>
        </w:rPr>
      </w:pPr>
      <w:r>
        <w:rPr>
          <w:rFonts w:hint="eastAsia" w:cs="宋体" w:asciiTheme="minorEastAsia" w:hAnsiTheme="minorEastAsia"/>
          <w:color w:val="auto"/>
          <w:sz w:val="24"/>
          <w:highlight w:val="none"/>
        </w:rPr>
        <w:t>根据《中华人民共和国</w:t>
      </w:r>
      <w:r>
        <w:rPr>
          <w:rFonts w:hint="eastAsia" w:cs="宋体" w:asciiTheme="minorEastAsia" w:hAnsiTheme="minorEastAsia"/>
          <w:color w:val="auto"/>
          <w:sz w:val="24"/>
          <w:highlight w:val="none"/>
          <w:lang w:eastAsia="zh-CN"/>
        </w:rPr>
        <w:t>民法典</w:t>
      </w:r>
      <w:r>
        <w:rPr>
          <w:rFonts w:hint="eastAsia" w:cs="宋体" w:asciiTheme="minorEastAsia" w:hAnsiTheme="minorEastAsia"/>
          <w:color w:val="auto"/>
          <w:sz w:val="24"/>
          <w:highlight w:val="none"/>
        </w:rPr>
        <w:t>》</w:t>
      </w:r>
      <w:r>
        <w:rPr>
          <w:rFonts w:hint="eastAsia" w:cs="宋体" w:asciiTheme="minorEastAsia" w:hAnsiTheme="minorEastAsia"/>
          <w:color w:val="auto"/>
          <w:sz w:val="24"/>
          <w:highlight w:val="none"/>
          <w:lang w:eastAsia="zh-CN"/>
        </w:rPr>
        <w:t>、</w:t>
      </w:r>
      <w:r>
        <w:rPr>
          <w:rFonts w:hint="eastAsia" w:cs="宋体" w:asciiTheme="minorEastAsia" w:hAnsiTheme="minorEastAsia"/>
          <w:color w:val="auto"/>
          <w:sz w:val="24"/>
          <w:highlight w:val="none"/>
        </w:rPr>
        <w:t>《中华人民共和国</w:t>
      </w:r>
      <w:r>
        <w:rPr>
          <w:rFonts w:hint="eastAsia" w:cs="宋体" w:asciiTheme="minorEastAsia" w:hAnsiTheme="minorEastAsia"/>
          <w:color w:val="auto"/>
          <w:sz w:val="24"/>
          <w:highlight w:val="none"/>
          <w:lang w:eastAsia="zh-CN"/>
        </w:rPr>
        <w:t>政府采购</w:t>
      </w:r>
      <w:r>
        <w:rPr>
          <w:rFonts w:hint="eastAsia" w:cs="宋体" w:asciiTheme="minorEastAsia" w:hAnsiTheme="minorEastAsia"/>
          <w:color w:val="auto"/>
          <w:sz w:val="24"/>
          <w:highlight w:val="none"/>
        </w:rPr>
        <w:t>法》及广西壮族自治区关于政府采购的相关文件等规范性文件的规定，按照</w:t>
      </w:r>
      <w:r>
        <w:rPr>
          <w:rFonts w:hint="eastAsia" w:cs="宋体" w:asciiTheme="minorEastAsia" w:hAnsiTheme="minorEastAsia"/>
          <w:color w:val="auto"/>
          <w:sz w:val="24"/>
          <w:highlight w:val="none"/>
          <w:lang w:eastAsia="zh-CN"/>
        </w:rPr>
        <w:t>招投标文件/采购文件</w:t>
      </w:r>
      <w:r>
        <w:rPr>
          <w:rFonts w:hint="eastAsia" w:cs="宋体" w:asciiTheme="minorEastAsia" w:hAnsiTheme="minorEastAsia"/>
          <w:color w:val="auto"/>
          <w:sz w:val="24"/>
          <w:highlight w:val="none"/>
        </w:rPr>
        <w:t>规定条款和</w:t>
      </w:r>
      <w:r>
        <w:rPr>
          <w:rFonts w:hint="eastAsia" w:cs="宋体" w:asciiTheme="minorEastAsia" w:hAnsiTheme="minorEastAsia"/>
          <w:color w:val="auto"/>
          <w:sz w:val="24"/>
          <w:highlight w:val="none"/>
          <w:lang w:eastAsia="zh-CN"/>
        </w:rPr>
        <w:t>中标/成交</w:t>
      </w:r>
      <w:r>
        <w:rPr>
          <w:rFonts w:hint="eastAsia" w:cs="宋体" w:asciiTheme="minorEastAsia" w:hAnsiTheme="minorEastAsia"/>
          <w:color w:val="auto"/>
          <w:sz w:val="24"/>
          <w:highlight w:val="none"/>
        </w:rPr>
        <w:t>供应商承诺</w:t>
      </w:r>
      <w:r>
        <w:rPr>
          <w:rFonts w:hint="eastAsia" w:cs="宋体" w:asciiTheme="minorEastAsia" w:hAnsiTheme="minorEastAsia"/>
          <w:color w:val="auto"/>
          <w:sz w:val="24"/>
          <w:highlight w:val="none"/>
          <w:lang w:eastAsia="zh-CN"/>
        </w:rPr>
        <w:t>，</w:t>
      </w:r>
      <w:r>
        <w:rPr>
          <w:rFonts w:hint="eastAsia" w:cs="宋体" w:asciiTheme="minorEastAsia" w:hAnsiTheme="minorEastAsia"/>
          <w:color w:val="auto"/>
          <w:sz w:val="24"/>
          <w:highlight w:val="none"/>
        </w:rPr>
        <w:t>甲乙双方签订本合同</w:t>
      </w:r>
      <w:r>
        <w:rPr>
          <w:rFonts w:hint="eastAsia" w:cs="宋体" w:asciiTheme="minorEastAsia" w:hAnsiTheme="minorEastAsia"/>
          <w:color w:val="auto"/>
          <w:sz w:val="24"/>
          <w:highlight w:val="none"/>
          <w:lang w:eastAsia="zh-CN"/>
        </w:rPr>
        <w:t>。</w:t>
      </w:r>
    </w:p>
    <w:p>
      <w:pPr>
        <w:spacing w:line="360" w:lineRule="auto"/>
        <w:ind w:firstLine="482" w:firstLineChars="200"/>
        <w:rPr>
          <w:rFonts w:cs="宋体" w:asciiTheme="minorEastAsia" w:hAnsiTheme="minorEastAsia"/>
          <w:b/>
          <w:color w:val="auto"/>
          <w:sz w:val="24"/>
          <w:highlight w:val="none"/>
        </w:rPr>
      </w:pPr>
      <w:r>
        <w:rPr>
          <w:rFonts w:hint="eastAsia" w:cs="宋体" w:asciiTheme="minorEastAsia" w:hAnsiTheme="minorEastAsia"/>
          <w:b/>
          <w:color w:val="auto"/>
          <w:sz w:val="24"/>
          <w:highlight w:val="none"/>
        </w:rPr>
        <w:t>一、采购服务内容</w:t>
      </w:r>
    </w:p>
    <w:p>
      <w:pPr>
        <w:spacing w:line="360" w:lineRule="auto"/>
        <w:ind w:firstLine="570"/>
        <w:rPr>
          <w:rFonts w:cs="宋体" w:asciiTheme="minorEastAsia" w:hAnsiTheme="minorEastAsia"/>
          <w:color w:val="auto"/>
          <w:sz w:val="24"/>
          <w:highlight w:val="none"/>
        </w:rPr>
      </w:pPr>
      <w:r>
        <w:rPr>
          <w:rFonts w:hint="eastAsia" w:cs="宋体" w:asciiTheme="minorEastAsia" w:hAnsiTheme="minorEastAsia"/>
          <w:color w:val="auto"/>
          <w:sz w:val="24"/>
          <w:highlight w:val="none"/>
          <w:lang w:val="en-US" w:eastAsia="zh-CN"/>
        </w:rPr>
        <w:t>1</w:t>
      </w:r>
      <w:r>
        <w:rPr>
          <w:rFonts w:hint="eastAsia" w:cs="宋体" w:asciiTheme="minorEastAsia" w:hAnsiTheme="minorEastAsia"/>
          <w:color w:val="auto"/>
          <w:sz w:val="24"/>
          <w:highlight w:val="none"/>
        </w:rPr>
        <w:t>、甲方向乙方采购的服务内容为：</w:t>
      </w:r>
      <w:r>
        <w:rPr>
          <w:rFonts w:hint="eastAsia" w:cs="宋体" w:asciiTheme="minorEastAsia" w:hAnsiTheme="minorEastAsia"/>
          <w:color w:val="auto"/>
          <w:sz w:val="24"/>
          <w:highlight w:val="none"/>
          <w:u w:val="single"/>
        </w:rPr>
        <w:t xml:space="preserve">                    </w:t>
      </w:r>
      <w:r>
        <w:rPr>
          <w:rFonts w:hint="eastAsia" w:cs="宋体" w:asciiTheme="minorEastAsia" w:hAnsiTheme="minorEastAsia"/>
          <w:color w:val="auto"/>
          <w:sz w:val="24"/>
          <w:highlight w:val="none"/>
          <w:u w:val="single"/>
          <w:lang w:val="en-US" w:eastAsia="zh-CN"/>
        </w:rPr>
        <w:t xml:space="preserve">        </w:t>
      </w:r>
      <w:r>
        <w:rPr>
          <w:rFonts w:hint="eastAsia" w:cs="宋体" w:asciiTheme="minorEastAsia" w:hAnsiTheme="minorEastAsia"/>
          <w:color w:val="auto"/>
          <w:sz w:val="24"/>
          <w:highlight w:val="none"/>
          <w:u w:val="single"/>
        </w:rPr>
        <w:t xml:space="preserve">    </w:t>
      </w:r>
      <w:r>
        <w:rPr>
          <w:rFonts w:hint="eastAsia" w:cs="宋体" w:asciiTheme="minorEastAsia" w:hAnsiTheme="minorEastAsia"/>
          <w:color w:val="auto"/>
          <w:sz w:val="24"/>
          <w:highlight w:val="none"/>
        </w:rPr>
        <w:t>。</w:t>
      </w:r>
    </w:p>
    <w:p>
      <w:pPr>
        <w:spacing w:line="360" w:lineRule="auto"/>
        <w:ind w:firstLine="570"/>
        <w:rPr>
          <w:rFonts w:cs="宋体" w:asciiTheme="minorEastAsia" w:hAnsiTheme="minorEastAsia"/>
          <w:color w:val="auto"/>
          <w:sz w:val="24"/>
          <w:highlight w:val="none"/>
        </w:rPr>
      </w:pPr>
      <w:r>
        <w:rPr>
          <w:rFonts w:hint="eastAsia" w:cs="宋体" w:asciiTheme="minorEastAsia" w:hAnsiTheme="minorEastAsia"/>
          <w:color w:val="auto"/>
          <w:sz w:val="24"/>
          <w:highlight w:val="none"/>
        </w:rPr>
        <w:t>2、本合同项目下的服务期限为：</w:t>
      </w:r>
    </w:p>
    <w:p>
      <w:pPr>
        <w:spacing w:line="360" w:lineRule="auto"/>
        <w:ind w:firstLine="491" w:firstLineChars="205"/>
        <w:rPr>
          <w:rFonts w:cs="宋体" w:asciiTheme="minorEastAsia" w:hAnsiTheme="minorEastAsia"/>
          <w:color w:val="auto"/>
          <w:sz w:val="24"/>
          <w:highlight w:val="none"/>
        </w:rPr>
      </w:pPr>
      <w:r>
        <w:rPr>
          <w:rFonts w:hint="eastAsia" w:cs="宋体" w:asciiTheme="minorEastAsia" w:hAnsiTheme="minorEastAsia"/>
          <w:color w:val="auto"/>
          <w:sz w:val="24"/>
          <w:highlight w:val="none"/>
          <w:lang w:val="en-US" w:eastAsia="zh-CN"/>
        </w:rPr>
        <w:t>自验收合格之日起___年</w:t>
      </w:r>
      <w:r>
        <w:rPr>
          <w:rFonts w:hint="eastAsia" w:cs="宋体" w:asciiTheme="minorEastAsia" w:hAnsiTheme="minorEastAsia"/>
          <w:color w:val="auto"/>
          <w:sz w:val="24"/>
          <w:highlight w:val="none"/>
        </w:rPr>
        <w:t>。</w:t>
      </w:r>
    </w:p>
    <w:p>
      <w:pPr>
        <w:spacing w:line="360" w:lineRule="auto"/>
        <w:ind w:firstLine="494" w:firstLineChars="205"/>
        <w:rPr>
          <w:rFonts w:hint="default" w:eastAsia="宋体" w:cs="宋体" w:asciiTheme="minorEastAsia" w:hAnsiTheme="minorEastAsia"/>
          <w:b/>
          <w:color w:val="auto"/>
          <w:sz w:val="24"/>
          <w:highlight w:val="none"/>
          <w:lang w:val="en-US" w:eastAsia="zh-CN"/>
        </w:rPr>
      </w:pPr>
      <w:r>
        <w:rPr>
          <w:rFonts w:hint="eastAsia" w:cs="宋体" w:asciiTheme="minorEastAsia" w:hAnsiTheme="minorEastAsia"/>
          <w:b/>
          <w:color w:val="auto"/>
          <w:sz w:val="24"/>
          <w:highlight w:val="none"/>
        </w:rPr>
        <w:t>二、服务地点</w:t>
      </w:r>
      <w:r>
        <w:rPr>
          <w:rFonts w:hint="eastAsia" w:cs="宋体" w:asciiTheme="minorEastAsia" w:hAnsiTheme="minorEastAsia"/>
          <w:b/>
          <w:color w:val="auto"/>
          <w:sz w:val="24"/>
          <w:highlight w:val="none"/>
          <w:lang w:val="en-US" w:eastAsia="zh-CN"/>
        </w:rPr>
        <w:t>及联系人</w:t>
      </w:r>
    </w:p>
    <w:p>
      <w:pPr>
        <w:spacing w:line="360" w:lineRule="auto"/>
        <w:ind w:firstLine="570"/>
        <w:rPr>
          <w:rFonts w:hint="default" w:eastAsia="宋体"/>
          <w:color w:val="auto"/>
          <w:highlight w:val="none"/>
          <w:lang w:val="en-US" w:eastAsia="zh-CN"/>
        </w:rPr>
      </w:pPr>
      <w:r>
        <w:rPr>
          <w:rFonts w:hint="eastAsia" w:cs="宋体" w:asciiTheme="minorEastAsia" w:hAnsiTheme="minorEastAsia"/>
          <w:color w:val="auto"/>
          <w:sz w:val="24"/>
          <w:highlight w:val="none"/>
          <w:lang w:val="en-US" w:eastAsia="zh-CN"/>
        </w:rPr>
        <w:t>1、</w:t>
      </w:r>
      <w:r>
        <w:rPr>
          <w:rFonts w:hint="eastAsia" w:cs="宋体" w:asciiTheme="minorEastAsia" w:hAnsiTheme="minorEastAsia"/>
          <w:color w:val="auto"/>
          <w:sz w:val="24"/>
          <w:highlight w:val="none"/>
        </w:rPr>
        <w:t>服务地点：</w:t>
      </w:r>
      <w:r>
        <w:rPr>
          <w:rFonts w:hint="eastAsia" w:ascii="宋体" w:hAnsi="宋体" w:eastAsia="宋体" w:cs="宋体"/>
          <w:color w:val="auto"/>
          <w:sz w:val="24"/>
          <w:szCs w:val="24"/>
          <w:highlight w:val="none"/>
          <w:u w:val="single"/>
        </w:rPr>
        <w:t>广西医科大学第一附属医院指定地点，南宁市内。</w:t>
      </w:r>
    </w:p>
    <w:p>
      <w:pPr>
        <w:spacing w:line="360" w:lineRule="auto"/>
        <w:ind w:firstLine="570"/>
        <w:rPr>
          <w:rFonts w:hint="eastAsia" w:eastAsia="宋体" w:cs="宋体" w:asciiTheme="minorEastAsia" w:hAnsiTheme="minorEastAsia"/>
          <w:color w:val="auto"/>
          <w:sz w:val="24"/>
          <w:highlight w:val="none"/>
          <w:lang w:val="en-US" w:eastAsia="zh-CN"/>
        </w:rPr>
      </w:pPr>
      <w:r>
        <w:rPr>
          <w:rFonts w:hint="eastAsia" w:eastAsia="宋体" w:cs="宋体" w:asciiTheme="minorEastAsia" w:hAnsiTheme="minorEastAsia"/>
          <w:color w:val="auto"/>
          <w:sz w:val="24"/>
          <w:highlight w:val="none"/>
          <w:lang w:val="en-US" w:eastAsia="zh-CN"/>
        </w:rPr>
        <w:t>2、甲方指定服务联系人为</w:t>
      </w:r>
      <w:r>
        <w:rPr>
          <w:rFonts w:hint="eastAsia" w:eastAsia="宋体" w:cs="宋体" w:asciiTheme="minorEastAsia" w:hAnsiTheme="minorEastAsia"/>
          <w:color w:val="auto"/>
          <w:sz w:val="24"/>
          <w:highlight w:val="none"/>
          <w:u w:val="single"/>
          <w:lang w:val="en-US" w:eastAsia="zh-CN"/>
        </w:rPr>
        <w:t xml:space="preserve">                     </w:t>
      </w:r>
      <w:r>
        <w:rPr>
          <w:rFonts w:hint="eastAsia" w:eastAsia="宋体" w:cs="宋体" w:asciiTheme="minorEastAsia" w:hAnsiTheme="minorEastAsia"/>
          <w:color w:val="auto"/>
          <w:sz w:val="24"/>
          <w:highlight w:val="none"/>
          <w:lang w:val="en-US" w:eastAsia="zh-CN"/>
        </w:rPr>
        <w:t>，联系方式：</w:t>
      </w:r>
      <w:r>
        <w:rPr>
          <w:rFonts w:hint="eastAsia" w:eastAsia="宋体" w:cs="宋体" w:asciiTheme="minorEastAsia" w:hAnsiTheme="minorEastAsia"/>
          <w:color w:val="auto"/>
          <w:sz w:val="24"/>
          <w:highlight w:val="none"/>
          <w:u w:val="single"/>
          <w:lang w:val="en-US" w:eastAsia="zh-CN"/>
        </w:rPr>
        <w:t xml:space="preserve">                </w:t>
      </w:r>
      <w:r>
        <w:rPr>
          <w:rFonts w:hint="eastAsia" w:eastAsia="宋体" w:cs="宋体" w:asciiTheme="minorEastAsia" w:hAnsiTheme="minorEastAsia"/>
          <w:color w:val="auto"/>
          <w:sz w:val="24"/>
          <w:highlight w:val="none"/>
          <w:lang w:val="en-US" w:eastAsia="zh-CN"/>
        </w:rPr>
        <w:t>。</w:t>
      </w:r>
    </w:p>
    <w:p>
      <w:pPr>
        <w:spacing w:line="360" w:lineRule="auto"/>
        <w:ind w:firstLine="570"/>
        <w:rPr>
          <w:rFonts w:hint="default"/>
          <w:color w:val="auto"/>
          <w:highlight w:val="none"/>
          <w:lang w:val="en-US" w:eastAsia="zh-CN"/>
        </w:rPr>
      </w:pPr>
      <w:r>
        <w:rPr>
          <w:rFonts w:hint="eastAsia" w:eastAsia="宋体" w:cs="宋体" w:asciiTheme="minorEastAsia" w:hAnsiTheme="minorEastAsia"/>
          <w:color w:val="auto"/>
          <w:sz w:val="24"/>
          <w:highlight w:val="none"/>
          <w:lang w:val="en-US" w:eastAsia="zh-CN"/>
        </w:rPr>
        <w:t>3、乙方指定服务联系人为</w:t>
      </w:r>
      <w:r>
        <w:rPr>
          <w:rFonts w:hint="eastAsia" w:eastAsia="宋体" w:cs="宋体" w:asciiTheme="minorEastAsia" w:hAnsiTheme="minorEastAsia"/>
          <w:color w:val="auto"/>
          <w:sz w:val="24"/>
          <w:highlight w:val="none"/>
          <w:u w:val="single"/>
          <w:lang w:val="en-US" w:eastAsia="zh-CN"/>
        </w:rPr>
        <w:t xml:space="preserve">                      </w:t>
      </w:r>
      <w:r>
        <w:rPr>
          <w:rFonts w:hint="eastAsia" w:eastAsia="宋体" w:cs="宋体" w:asciiTheme="minorEastAsia" w:hAnsiTheme="minorEastAsia"/>
          <w:color w:val="auto"/>
          <w:sz w:val="24"/>
          <w:highlight w:val="none"/>
          <w:lang w:val="en-US" w:eastAsia="zh-CN"/>
        </w:rPr>
        <w:t>，联系方式：</w:t>
      </w:r>
      <w:r>
        <w:rPr>
          <w:rFonts w:hint="eastAsia" w:eastAsia="宋体" w:cs="宋体" w:asciiTheme="minorEastAsia" w:hAnsiTheme="minorEastAsia"/>
          <w:color w:val="auto"/>
          <w:sz w:val="24"/>
          <w:highlight w:val="none"/>
          <w:u w:val="single"/>
          <w:lang w:val="en-US" w:eastAsia="zh-CN"/>
        </w:rPr>
        <w:t xml:space="preserve">                   。</w:t>
      </w:r>
    </w:p>
    <w:p>
      <w:pPr>
        <w:spacing w:line="360" w:lineRule="auto"/>
        <w:ind w:firstLine="494" w:firstLineChars="205"/>
        <w:rPr>
          <w:rFonts w:hint="eastAsia" w:cs="宋体" w:asciiTheme="minorEastAsia" w:hAnsiTheme="minorEastAsia"/>
          <w:b/>
          <w:color w:val="auto"/>
          <w:sz w:val="24"/>
          <w:highlight w:val="none"/>
        </w:rPr>
      </w:pPr>
      <w:r>
        <w:rPr>
          <w:rFonts w:hint="eastAsia" w:cs="宋体" w:asciiTheme="minorEastAsia" w:hAnsiTheme="minorEastAsia"/>
          <w:b/>
          <w:color w:val="auto"/>
          <w:sz w:val="24"/>
          <w:highlight w:val="none"/>
        </w:rPr>
        <w:t>三、服务质量标准与验收方式</w:t>
      </w:r>
    </w:p>
    <w:p>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、乙方所提供的服务内容必须与</w:t>
      </w:r>
      <w:r>
        <w:rPr>
          <w:rFonts w:hint="eastAsia" w:ascii="宋体" w:hAnsi="宋体" w:eastAsia="宋体" w:cs="宋体"/>
          <w:color w:val="auto"/>
          <w:sz w:val="24"/>
          <w:szCs w:val="24"/>
          <w:highlight w:val="none"/>
          <w:lang w:eastAsia="zh-CN"/>
        </w:rPr>
        <w:t>招投标文件/采购文件</w:t>
      </w:r>
      <w:r>
        <w:rPr>
          <w:rFonts w:hint="eastAsia" w:ascii="宋体" w:hAnsi="宋体" w:eastAsia="宋体" w:cs="宋体"/>
          <w:color w:val="auto"/>
          <w:sz w:val="24"/>
          <w:szCs w:val="24"/>
          <w:highlight w:val="none"/>
        </w:rPr>
        <w:t>和承诺相一致</w:t>
      </w:r>
      <w:r>
        <w:rPr>
          <w:rFonts w:hint="eastAsia" w:ascii="宋体" w:hAnsi="宋体" w:eastAsia="宋体" w:cs="宋体"/>
          <w:color w:val="auto"/>
          <w:sz w:val="24"/>
          <w:szCs w:val="24"/>
          <w:highlight w:val="none"/>
          <w:lang w:eastAsia="zh-CN"/>
        </w:rPr>
        <w:t>，若不一致，甲方有权拒绝接受。</w:t>
      </w:r>
    </w:p>
    <w:p>
      <w:pPr>
        <w:wordWrap w:val="0"/>
        <w:spacing w:line="360" w:lineRule="auto"/>
        <w:ind w:firstLine="480" w:firstLineChars="200"/>
        <w:rPr>
          <w:rFonts w:hint="eastAsia"/>
          <w:color w:val="auto"/>
          <w:sz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交付时间：</w:t>
      </w:r>
      <w:r>
        <w:rPr>
          <w:rFonts w:hint="eastAsia" w:ascii="宋体" w:hAnsi="宋体" w:eastAsia="宋体" w:cs="宋体"/>
          <w:color w:val="auto"/>
          <w:sz w:val="24"/>
          <w:szCs w:val="24"/>
          <w:highlight w:val="none"/>
          <w:lang w:eastAsia="zh-CN"/>
        </w:rPr>
        <w:t>供应商自签订合同之日起</w:t>
      </w:r>
      <w:r>
        <w:rPr>
          <w:rFonts w:hint="eastAsia" w:ascii="宋体" w:hAnsi="宋体" w:cs="宋体"/>
          <w:color w:val="auto"/>
          <w:sz w:val="24"/>
          <w:szCs w:val="24"/>
          <w:highlight w:val="none"/>
          <w:lang w:val="en-US" w:eastAsia="zh-CN"/>
        </w:rPr>
        <w:t>120日内</w:t>
      </w:r>
      <w:r>
        <w:rPr>
          <w:rFonts w:hint="eastAsia" w:ascii="宋体" w:hAnsi="宋体" w:eastAsia="宋体" w:cs="宋体"/>
          <w:color w:val="auto"/>
          <w:sz w:val="24"/>
          <w:szCs w:val="24"/>
          <w:highlight w:val="none"/>
          <w:lang w:eastAsia="zh-CN"/>
        </w:rPr>
        <w:t>交货</w:t>
      </w:r>
      <w:r>
        <w:rPr>
          <w:rFonts w:hint="eastAsia" w:ascii="宋体" w:hAnsi="宋体" w:eastAsia="宋体" w:cs="宋体"/>
          <w:color w:val="auto"/>
          <w:sz w:val="24"/>
          <w:szCs w:val="24"/>
          <w:highlight w:val="none"/>
          <w:lang w:eastAsia="zh-CN"/>
        </w:rPr>
        <w:t>，并安装调试完毕且通过验收。若为进口、软件服务、大型、复杂或技术性强的设备，可依情况延长至180日历日。供应商应将所提供货物的装箱清单、质量检验证明书、用户手册、原厂保修卡、随机资料、工具和备品、备件等附于货物内交付给采购人，如有缺失应及时补齐，否则视为逾期交货。</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乙方交付服务成果前应对交付内容作出全面检查和对验收文件进行整理，并列出清单，作为甲方验收和使用的技术条件依据，检验的结果应交甲方。</w:t>
      </w:r>
      <w:r>
        <w:rPr>
          <w:rFonts w:hint="eastAsia" w:ascii="宋体" w:hAnsi="宋体" w:eastAsia="宋体" w:cs="宋体"/>
          <w:color w:val="auto"/>
          <w:sz w:val="24"/>
          <w:szCs w:val="24"/>
          <w:highlight w:val="none"/>
          <w:lang w:eastAsia="zh-CN"/>
        </w:rPr>
        <w:t>最终成果文档应包括但不限于：</w:t>
      </w:r>
      <w:r>
        <w:rPr>
          <w:rFonts w:hint="eastAsia" w:ascii="宋体" w:hAnsi="宋体" w:eastAsia="宋体" w:cs="宋体"/>
          <w:color w:val="auto"/>
          <w:sz w:val="24"/>
          <w:szCs w:val="24"/>
          <w:highlight w:val="none"/>
          <w:lang w:val="en-US" w:eastAsia="zh-CN"/>
        </w:rPr>
        <w:t>符合等保2.0相关技术标准要求、国家网络安全等级保护管理部门规范要求且公安机关认可的的网络安全等级保护测评报告</w:t>
      </w:r>
      <w:r>
        <w:rPr>
          <w:rFonts w:hint="eastAsia" w:ascii="宋体" w:hAnsi="宋体" w:eastAsia="宋体" w:cs="宋体"/>
          <w:color w:val="auto"/>
          <w:sz w:val="24"/>
          <w:szCs w:val="24"/>
          <w:highlight w:val="none"/>
          <w:lang w:eastAsia="zh-CN"/>
        </w:rPr>
        <w:t>。</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甲方应当在服务成果提交并安装、测试、检验、试运行完后</w:t>
      </w:r>
      <w:r>
        <w:rPr>
          <w:rFonts w:hint="default"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7</w:t>
      </w:r>
      <w:r>
        <w:rPr>
          <w:rFonts w:hint="default"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个工作日内进行验收</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甲方</w:t>
      </w:r>
      <w:r>
        <w:rPr>
          <w:rFonts w:hint="eastAsia" w:ascii="宋体" w:hAnsi="宋体" w:eastAsia="宋体" w:cs="宋体"/>
          <w:color w:val="auto"/>
          <w:sz w:val="24"/>
          <w:szCs w:val="24"/>
          <w:highlight w:val="none"/>
        </w:rPr>
        <w:t>逾期</w:t>
      </w:r>
      <w:r>
        <w:rPr>
          <w:rFonts w:hint="default"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7</w:t>
      </w:r>
      <w:r>
        <w:rPr>
          <w:rFonts w:hint="default"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Hans"/>
        </w:rPr>
        <w:t>个工作日</w:t>
      </w:r>
      <w:r>
        <w:rPr>
          <w:rFonts w:hint="eastAsia" w:ascii="宋体" w:hAnsi="宋体" w:eastAsia="宋体" w:cs="宋体"/>
          <w:color w:val="auto"/>
          <w:sz w:val="24"/>
          <w:szCs w:val="24"/>
          <w:highlight w:val="none"/>
        </w:rPr>
        <w:t>不验收的，乙方可视同验收合格</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但在合同验收期内难以发现的服务问题除外</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。验收合格后由甲乙双方签署验收单，在验收过程中发现乙方有违约问题，</w:t>
      </w:r>
      <w:r>
        <w:rPr>
          <w:rFonts w:hint="eastAsia" w:ascii="宋体" w:hAnsi="宋体" w:eastAsia="宋体" w:cs="宋体"/>
          <w:color w:val="auto"/>
          <w:sz w:val="24"/>
          <w:szCs w:val="24"/>
          <w:highlight w:val="none"/>
          <w:lang w:val="en-US" w:eastAsia="zh-Hans"/>
        </w:rPr>
        <w:t>乙方须承担违约责任，甲方</w:t>
      </w:r>
      <w:r>
        <w:rPr>
          <w:rFonts w:hint="eastAsia" w:ascii="宋体" w:hAnsi="宋体" w:eastAsia="宋体" w:cs="宋体"/>
          <w:color w:val="auto"/>
          <w:sz w:val="24"/>
          <w:szCs w:val="24"/>
          <w:highlight w:val="none"/>
        </w:rPr>
        <w:t>可暂缓资金结算，待违约问题解决后，方可办理资金结算事宜。</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甲方对验收有异议的，在验收后5个工作日内以书面形式向乙方提出，乙方应自收到甲方书面异议后</w:t>
      </w: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rPr>
        <w:t>日内及时予以解决。</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6、验收不通过的，根据甲方意见进行整改，直到验收通过为止，期间产生相关费用由乙方承担。</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7、如甲方有新系统上线，经双方友好沟通后，乙方需对新系统做上线前安全检测，费用包含在合同报价中。</w:t>
      </w:r>
    </w:p>
    <w:p>
      <w:pPr>
        <w:spacing w:line="360" w:lineRule="auto"/>
        <w:ind w:firstLine="482" w:firstLineChars="200"/>
        <w:rPr>
          <w:rFonts w:hint="eastAsia" w:cs="宋体" w:asciiTheme="minorEastAsia" w:hAnsiTheme="minorEastAsia"/>
          <w:b/>
          <w:color w:val="auto"/>
          <w:sz w:val="24"/>
          <w:highlight w:val="none"/>
        </w:rPr>
      </w:pPr>
      <w:r>
        <w:rPr>
          <w:rFonts w:hint="eastAsia" w:cs="宋体" w:asciiTheme="minorEastAsia" w:hAnsiTheme="minorEastAsia"/>
          <w:b/>
          <w:color w:val="auto"/>
          <w:sz w:val="24"/>
          <w:highlight w:val="none"/>
        </w:rPr>
        <w:t>四、服务费与支付方式</w:t>
      </w:r>
    </w:p>
    <w:p>
      <w:pPr>
        <w:pStyle w:val="13"/>
        <w:spacing w:line="360" w:lineRule="auto"/>
        <w:ind w:firstLine="480" w:firstLineChars="200"/>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lang w:val="en-US" w:eastAsia="zh-CN"/>
        </w:rPr>
        <w:t>1、</w:t>
      </w:r>
      <w:r>
        <w:rPr>
          <w:rFonts w:hint="eastAsia" w:cs="宋体" w:asciiTheme="minorEastAsia" w:hAnsiTheme="minorEastAsia"/>
          <w:color w:val="auto"/>
          <w:sz w:val="24"/>
          <w:szCs w:val="24"/>
          <w:highlight w:val="none"/>
        </w:rPr>
        <w:t>乙方完成本合同项下全部服务内容的服务费为人民币（大写）_____________元（</w:t>
      </w:r>
      <w:r>
        <w:rPr>
          <w:rFonts w:cs="宋体" w:asciiTheme="minorEastAsia" w:hAnsiTheme="minorEastAsia"/>
          <w:color w:val="auto"/>
          <w:sz w:val="24"/>
          <w:szCs w:val="24"/>
          <w:highlight w:val="none"/>
        </w:rPr>
        <w:t>¥</w:t>
      </w:r>
      <w:r>
        <w:rPr>
          <w:rFonts w:hint="eastAsia" w:cs="宋体" w:asciiTheme="minorEastAsia" w:hAnsiTheme="minorEastAsia"/>
          <w:color w:val="auto"/>
          <w:sz w:val="24"/>
          <w:szCs w:val="24"/>
          <w:highlight w:val="none"/>
        </w:rPr>
        <w:t>___________.00）。该服务费为包干价，即包括乙方完成本合同项下全部服务所涉及的全部费用</w:t>
      </w:r>
      <w:r>
        <w:rPr>
          <w:rFonts w:hint="eastAsia" w:cs="宋体" w:asciiTheme="minorEastAsia" w:hAnsiTheme="minorEastAsia"/>
          <w:color w:val="auto"/>
          <w:sz w:val="24"/>
          <w:szCs w:val="24"/>
          <w:highlight w:val="none"/>
          <w:lang w:eastAsia="zh-CN"/>
        </w:rPr>
        <w:t>及合同执行中相关的一切税费</w:t>
      </w:r>
      <w:r>
        <w:rPr>
          <w:rFonts w:hint="eastAsia" w:cs="宋体" w:asciiTheme="minorEastAsia" w:hAnsiTheme="minorEastAsia"/>
          <w:color w:val="auto"/>
          <w:sz w:val="24"/>
          <w:szCs w:val="24"/>
          <w:highlight w:val="none"/>
        </w:rPr>
        <w:t>，乙方不得以任何理由要求增加服务费或要求甲方另行支付其他任何费用。如</w:t>
      </w:r>
      <w:r>
        <w:rPr>
          <w:rFonts w:hint="eastAsia" w:cs="宋体" w:asciiTheme="minorEastAsia" w:hAnsiTheme="minorEastAsia"/>
          <w:color w:val="auto"/>
          <w:sz w:val="24"/>
          <w:szCs w:val="24"/>
          <w:highlight w:val="none"/>
          <w:lang w:eastAsia="zh-CN"/>
        </w:rPr>
        <w:t>招投标文件/采购文件</w:t>
      </w:r>
      <w:r>
        <w:rPr>
          <w:rFonts w:hint="eastAsia" w:cs="宋体" w:asciiTheme="minorEastAsia" w:hAnsiTheme="minorEastAsia"/>
          <w:color w:val="auto"/>
          <w:sz w:val="24"/>
          <w:szCs w:val="24"/>
          <w:highlight w:val="none"/>
        </w:rPr>
        <w:t>对其另有规定的，从其规定。</w:t>
      </w:r>
    </w:p>
    <w:p>
      <w:pPr>
        <w:pStyle w:val="13"/>
        <w:spacing w:line="360" w:lineRule="auto"/>
        <w:ind w:firstLine="480" w:firstLineChars="200"/>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lang w:val="en-US" w:eastAsia="zh-CN"/>
        </w:rPr>
        <w:t>2、</w:t>
      </w:r>
      <w:r>
        <w:rPr>
          <w:rFonts w:hint="eastAsia" w:cs="宋体" w:asciiTheme="minorEastAsia" w:hAnsiTheme="minorEastAsia"/>
          <w:color w:val="auto"/>
          <w:sz w:val="24"/>
          <w:szCs w:val="24"/>
          <w:highlight w:val="none"/>
        </w:rPr>
        <w:t>合同价款的调整方式：因国家政策方向变化引起工作量或工作内容变化的，合同当事人双方可根据市场价格协商确定变更合同价款，但所有补充合同的采购金额不得超过原合同采购金额的百分之十。</w:t>
      </w:r>
    </w:p>
    <w:p>
      <w:pPr>
        <w:pStyle w:val="13"/>
        <w:spacing w:line="360" w:lineRule="auto"/>
        <w:ind w:firstLine="480" w:firstLineChars="200"/>
        <w:rPr>
          <w:rFonts w:hint="eastAsia" w:cs="宋体" w:asciiTheme="minorEastAsia" w:hAnsiTheme="minorEastAsia"/>
          <w:color w:val="auto"/>
          <w:sz w:val="24"/>
          <w:szCs w:val="24"/>
          <w:highlight w:val="none"/>
          <w:u w:val="single"/>
          <w:lang w:val="en-US" w:eastAsia="zh-CN"/>
        </w:rPr>
      </w:pPr>
      <w:r>
        <w:rPr>
          <w:rFonts w:hint="eastAsia" w:cs="宋体" w:asciiTheme="minorEastAsia" w:hAnsiTheme="minorEastAsia"/>
          <w:color w:val="auto"/>
          <w:sz w:val="24"/>
          <w:szCs w:val="24"/>
          <w:highlight w:val="none"/>
          <w:lang w:val="en-US" w:eastAsia="zh-CN"/>
        </w:rPr>
        <w:t>3、资金性质：</w:t>
      </w:r>
      <w:r>
        <w:rPr>
          <w:rFonts w:hint="eastAsia" w:cs="宋体" w:asciiTheme="minorEastAsia" w:hAnsiTheme="minorEastAsia"/>
          <w:color w:val="auto"/>
          <w:sz w:val="24"/>
          <w:szCs w:val="24"/>
          <w:highlight w:val="none"/>
          <w:u w:val="single"/>
          <w:lang w:val="en-US" w:eastAsia="zh-CN"/>
        </w:rPr>
        <w:t>财政性资金</w:t>
      </w:r>
    </w:p>
    <w:p>
      <w:pPr>
        <w:pStyle w:val="13"/>
        <w:spacing w:line="360" w:lineRule="auto"/>
        <w:ind w:firstLine="480" w:firstLineChars="200"/>
        <w:rPr>
          <w:rFonts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u w:val="none"/>
          <w:lang w:val="en-US" w:eastAsia="zh-CN"/>
        </w:rPr>
        <w:t>4、付款方式：</w:t>
      </w:r>
      <w:r>
        <w:rPr>
          <w:rFonts w:hint="eastAsia" w:cs="宋体" w:asciiTheme="minorEastAsia" w:hAnsiTheme="minorEastAsia"/>
          <w:color w:val="auto"/>
          <w:sz w:val="24"/>
          <w:szCs w:val="24"/>
          <w:highlight w:val="none"/>
        </w:rPr>
        <w:t>服务费按以下第</w:t>
      </w:r>
      <w:r>
        <w:rPr>
          <w:rFonts w:hint="eastAsia" w:cs="宋体" w:asciiTheme="minorEastAsia" w:hAnsiTheme="minorEastAsia"/>
          <w:color w:val="auto"/>
          <w:sz w:val="24"/>
          <w:szCs w:val="24"/>
          <w:highlight w:val="none"/>
          <w:u w:val="single"/>
          <w:lang w:val="en-US" w:eastAsia="zh-CN"/>
        </w:rPr>
        <w:t xml:space="preserve"> </w:t>
      </w:r>
      <w:r>
        <w:rPr>
          <w:rFonts w:hint="eastAsia" w:cs="宋体" w:asciiTheme="minorEastAsia" w:hAnsiTheme="minorEastAsia"/>
          <w:color w:val="auto"/>
          <w:sz w:val="24"/>
          <w:szCs w:val="24"/>
          <w:highlight w:val="none"/>
          <w:u w:val="single"/>
          <w:lang w:eastAsia="zh-CN"/>
        </w:rPr>
        <w:t>（二）</w:t>
      </w:r>
      <w:r>
        <w:rPr>
          <w:rFonts w:hint="eastAsia" w:cs="宋体" w:asciiTheme="minorEastAsia" w:hAnsiTheme="minorEastAsia"/>
          <w:color w:val="auto"/>
          <w:sz w:val="24"/>
          <w:szCs w:val="24"/>
          <w:highlight w:val="none"/>
          <w:u w:val="single"/>
          <w:lang w:val="en-US" w:eastAsia="zh-CN"/>
        </w:rPr>
        <w:t xml:space="preserve"> </w:t>
      </w:r>
      <w:r>
        <w:rPr>
          <w:rFonts w:hint="eastAsia" w:cs="宋体" w:asciiTheme="minorEastAsia" w:hAnsiTheme="minorEastAsia"/>
          <w:color w:val="auto"/>
          <w:sz w:val="24"/>
          <w:szCs w:val="24"/>
          <w:highlight w:val="none"/>
        </w:rPr>
        <w:t>种方式支付：</w:t>
      </w:r>
    </w:p>
    <w:p>
      <w:pPr>
        <w:spacing w:line="360" w:lineRule="auto"/>
        <w:ind w:left="560"/>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lang w:eastAsia="zh-CN"/>
        </w:rPr>
        <w:t>（一）</w:t>
      </w:r>
      <w:r>
        <w:rPr>
          <w:rFonts w:hint="eastAsia" w:cs="宋体" w:asciiTheme="minorEastAsia" w:hAnsiTheme="minorEastAsia"/>
          <w:color w:val="auto"/>
          <w:kern w:val="0"/>
          <w:sz w:val="24"/>
          <w:highlight w:val="none"/>
        </w:rPr>
        <w:t>一次性付款：</w:t>
      </w:r>
    </w:p>
    <w:p>
      <w:pPr>
        <w:spacing w:line="360" w:lineRule="auto"/>
        <w:ind w:firstLine="480" w:firstLineChars="200"/>
        <w:rPr>
          <w:rFonts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甲方在乙方的服务成果经验收确认为合格之日起</w:t>
      </w:r>
      <w:r>
        <w:rPr>
          <w:rFonts w:hint="eastAsia" w:cs="宋体" w:asciiTheme="minorEastAsia" w:hAnsiTheme="minorEastAsia"/>
          <w:color w:val="auto"/>
          <w:sz w:val="24"/>
          <w:szCs w:val="24"/>
          <w:highlight w:val="none"/>
        </w:rPr>
        <w:t>_____</w:t>
      </w:r>
      <w:r>
        <w:rPr>
          <w:rFonts w:hint="eastAsia" w:cs="宋体" w:asciiTheme="minorEastAsia" w:hAnsiTheme="minorEastAsia"/>
          <w:color w:val="auto"/>
          <w:kern w:val="0"/>
          <w:sz w:val="24"/>
          <w:highlight w:val="none"/>
        </w:rPr>
        <w:t>日内，乙方开具相应金额的发票给甲方，甲方在收到发票后</w:t>
      </w:r>
      <w:r>
        <w:rPr>
          <w:rFonts w:hint="eastAsia" w:cs="宋体" w:asciiTheme="minorEastAsia" w:hAnsiTheme="minorEastAsia"/>
          <w:color w:val="auto"/>
          <w:sz w:val="24"/>
          <w:szCs w:val="24"/>
          <w:highlight w:val="none"/>
        </w:rPr>
        <w:t>_____</w:t>
      </w:r>
      <w:r>
        <w:rPr>
          <w:rFonts w:hint="eastAsia" w:cs="宋体" w:asciiTheme="minorEastAsia" w:hAnsiTheme="minorEastAsia"/>
          <w:color w:val="auto"/>
          <w:kern w:val="0"/>
          <w:sz w:val="24"/>
          <w:highlight w:val="none"/>
        </w:rPr>
        <w:t>日内一次性足额付清全部服务费。</w:t>
      </w:r>
    </w:p>
    <w:p>
      <w:pPr>
        <w:numPr>
          <w:ilvl w:val="0"/>
          <w:numId w:val="8"/>
        </w:numPr>
        <w:spacing w:line="360" w:lineRule="auto"/>
        <w:ind w:left="560"/>
        <w:rPr>
          <w:rFonts w:hint="eastAsia" w:cs="宋体" w:asciiTheme="minorEastAsia" w:hAnsiTheme="minorEastAsia"/>
          <w:color w:val="auto"/>
          <w:kern w:val="0"/>
          <w:sz w:val="24"/>
          <w:highlight w:val="none"/>
        </w:rPr>
      </w:pPr>
      <w:r>
        <w:rPr>
          <w:rFonts w:hint="eastAsia" w:cs="宋体" w:asciiTheme="minorEastAsia" w:hAnsiTheme="minorEastAsia"/>
          <w:color w:val="auto"/>
          <w:kern w:val="0"/>
          <w:sz w:val="24"/>
          <w:highlight w:val="none"/>
        </w:rPr>
        <w:t>分期支付：</w:t>
      </w:r>
    </w:p>
    <w:p>
      <w:pPr>
        <w:keepNext w:val="0"/>
        <w:keepLines w:val="0"/>
        <w:pageBreakBefore w:val="0"/>
        <w:numPr>
          <w:ilvl w:val="0"/>
          <w:numId w:val="0"/>
        </w:numPr>
        <w:kinsoku/>
        <w:wordWrap/>
        <w:overflowPunct/>
        <w:topLinePunct w:val="0"/>
        <w:autoSpaceDE/>
        <w:autoSpaceDN/>
        <w:bidi w:val="0"/>
        <w:adjustRightInd/>
        <w:spacing w:line="3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第一期：合同生效后10个工作日内甲方向乙方支付合同款</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0%做为预付款，乙方按照合同要求进场实施；</w:t>
      </w:r>
    </w:p>
    <w:p>
      <w:pPr>
        <w:keepNext w:val="0"/>
        <w:keepLines w:val="0"/>
        <w:pageBreakBefore w:val="0"/>
        <w:kinsoku/>
        <w:wordWrap/>
        <w:overflowPunct/>
        <w:topLinePunct w:val="0"/>
        <w:autoSpaceDE/>
        <w:autoSpaceDN/>
        <w:bidi w:val="0"/>
        <w:adjustRightInd/>
        <w:spacing w:line="3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第二期：系统上线、安装调试并验收合格后，凭双方签署验收合格证，乙方开具全额增值税发票给甲方，甲方支付至总合同金额的95%。</w:t>
      </w:r>
    </w:p>
    <w:p>
      <w:pPr>
        <w:numPr>
          <w:ilvl w:val="0"/>
          <w:numId w:val="0"/>
        </w:numPr>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sz w:val="24"/>
          <w:szCs w:val="24"/>
          <w:highlight w:val="none"/>
          <w:lang w:val="en-US" w:eastAsia="zh-CN"/>
        </w:rPr>
        <w:t>第三期：经采购人验收配套服务符合合同约定，并办理相关确认手续后10个工作日内，采购人支付至总合同金额的100%。</w:t>
      </w:r>
    </w:p>
    <w:p>
      <w:pPr>
        <w:pStyle w:val="13"/>
        <w:spacing w:line="360" w:lineRule="auto"/>
        <w:ind w:firstLine="480" w:firstLineChars="20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如未按国家要求开具增值税发票，一旦发现乙方提供虚假发票，除须向甲方补开合法发票外，须赔偿甲方发票票面金额一倍的违约金，且甲方有权终止合同，乙方不得提出异议，因终止合同而产生的一切损失均由乙方承担。</w:t>
      </w:r>
    </w:p>
    <w:p>
      <w:pPr>
        <w:spacing w:line="360" w:lineRule="auto"/>
        <w:ind w:firstLine="482" w:firstLineChars="200"/>
        <w:rPr>
          <w:rFonts w:hint="eastAsia" w:cs="宋体" w:asciiTheme="minorEastAsia" w:hAnsiTheme="minorEastAsia"/>
          <w:b/>
          <w:color w:val="auto"/>
          <w:sz w:val="24"/>
          <w:highlight w:val="none"/>
        </w:rPr>
      </w:pPr>
      <w:r>
        <w:rPr>
          <w:rFonts w:hint="eastAsia" w:cs="宋体" w:asciiTheme="minorEastAsia" w:hAnsiTheme="minorEastAsia"/>
          <w:b/>
          <w:color w:val="auto"/>
          <w:sz w:val="24"/>
          <w:highlight w:val="none"/>
        </w:rPr>
        <w:t>五、双方权利和义务</w:t>
      </w:r>
    </w:p>
    <w:p>
      <w:pPr>
        <w:numPr>
          <w:ilvl w:val="0"/>
          <w:numId w:val="9"/>
        </w:numPr>
        <w:snapToGrid w:val="0"/>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甲方的权力和义务</w:t>
      </w:r>
    </w:p>
    <w:p>
      <w:pPr>
        <w:pStyle w:val="10"/>
        <w:numPr>
          <w:ilvl w:val="1"/>
          <w:numId w:val="9"/>
        </w:numPr>
        <w:spacing w:line="360" w:lineRule="auto"/>
        <w:ind w:left="420" w:lef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在实施过程中甲方根据需要及时向乙方提供项目有关背景资料。</w:t>
      </w:r>
    </w:p>
    <w:p>
      <w:pPr>
        <w:numPr>
          <w:ilvl w:val="1"/>
          <w:numId w:val="9"/>
        </w:numPr>
        <w:spacing w:line="360" w:lineRule="auto"/>
        <w:ind w:left="420" w:lef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甲方应选派人员参加项目的全过程，配合乙方人员进行项目实施。</w:t>
      </w:r>
    </w:p>
    <w:p>
      <w:pPr>
        <w:pStyle w:val="10"/>
        <w:numPr>
          <w:ilvl w:val="1"/>
          <w:numId w:val="9"/>
        </w:numPr>
        <w:spacing w:line="360" w:lineRule="auto"/>
        <w:ind w:left="420" w:lef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甲方指派的项目负责人，全权代表甲方进行项目实施协调工作，并对乙方提交的项目过程文档进行签字确认。</w:t>
      </w:r>
    </w:p>
    <w:p>
      <w:pPr>
        <w:numPr>
          <w:ilvl w:val="1"/>
          <w:numId w:val="9"/>
        </w:numPr>
        <w:spacing w:line="360" w:lineRule="auto"/>
        <w:ind w:left="420" w:lef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按照合同约定向乙方支付合同款项。</w:t>
      </w:r>
    </w:p>
    <w:p>
      <w:pPr>
        <w:pStyle w:val="10"/>
        <w:numPr>
          <w:ilvl w:val="1"/>
          <w:numId w:val="9"/>
        </w:numPr>
        <w:spacing w:line="360" w:lineRule="auto"/>
        <w:ind w:left="420" w:lef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甲方负责组织项目验收。</w:t>
      </w:r>
    </w:p>
    <w:p>
      <w:pPr>
        <w:numPr>
          <w:ilvl w:val="0"/>
          <w:numId w:val="9"/>
        </w:numPr>
        <w:spacing w:line="360" w:lineRule="auto"/>
        <w:ind w:left="0"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乙方的权力和义务</w:t>
      </w:r>
    </w:p>
    <w:p>
      <w:pPr>
        <w:pStyle w:val="10"/>
        <w:numPr>
          <w:ilvl w:val="1"/>
          <w:numId w:val="9"/>
        </w:numPr>
        <w:spacing w:line="360" w:lineRule="auto"/>
        <w:ind w:left="420" w:lef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依据合同规定的内容，做好项目的实施工作，协助甲方做好项目管理工作。</w:t>
      </w:r>
    </w:p>
    <w:p>
      <w:pPr>
        <w:numPr>
          <w:ilvl w:val="1"/>
          <w:numId w:val="9"/>
        </w:numPr>
        <w:spacing w:line="360" w:lineRule="auto"/>
        <w:ind w:left="420" w:lef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根据项目需要，合理组织技术力量，按时完成甲方提供的各项工作任务。</w:t>
      </w:r>
    </w:p>
    <w:p>
      <w:pPr>
        <w:pStyle w:val="10"/>
        <w:numPr>
          <w:ilvl w:val="1"/>
          <w:numId w:val="9"/>
        </w:numPr>
        <w:spacing w:line="360" w:lineRule="auto"/>
        <w:ind w:left="420" w:lef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收集提供本项目相关资料，按照项目实施计划及时向甲方提交项目过程文档。</w:t>
      </w:r>
    </w:p>
    <w:p>
      <w:pPr>
        <w:pStyle w:val="10"/>
        <w:numPr>
          <w:ilvl w:val="1"/>
          <w:numId w:val="9"/>
        </w:numPr>
        <w:spacing w:line="360" w:lineRule="auto"/>
        <w:ind w:left="420" w:lef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配合甲方进行项目验收。</w:t>
      </w:r>
    </w:p>
    <w:p>
      <w:pPr>
        <w:pStyle w:val="10"/>
        <w:numPr>
          <w:ilvl w:val="1"/>
          <w:numId w:val="9"/>
        </w:numPr>
        <w:spacing w:line="360" w:lineRule="auto"/>
        <w:ind w:left="420" w:lef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乙方因项目负责人及技术人员调整或流动、技术设施故障，或因注销、吊销、经营困难等原因，无法完成本合同项目的，须及时书面通知甲方，并退还甲方已支付的全部费用。如给甲方造成额外损失的，由乙方另行赔偿。</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3.乙方承诺</w:t>
      </w:r>
    </w:p>
    <w:p>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3.1乙方需为本项目的实施提供足够的技术力量支持，保证项目的顺利进行，并按期完成。</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3.2</w:t>
      </w:r>
      <w:r>
        <w:rPr>
          <w:rFonts w:hint="eastAsia" w:ascii="宋体" w:hAnsi="宋体" w:eastAsia="宋体" w:cs="宋体"/>
          <w:color w:val="auto"/>
          <w:sz w:val="24"/>
          <w:szCs w:val="24"/>
          <w:highlight w:val="none"/>
        </w:rPr>
        <w:t>乙方应按</w:t>
      </w:r>
      <w:r>
        <w:rPr>
          <w:rFonts w:hint="eastAsia" w:ascii="宋体" w:hAnsi="宋体" w:eastAsia="宋体" w:cs="宋体"/>
          <w:color w:val="auto"/>
          <w:sz w:val="24"/>
          <w:szCs w:val="24"/>
          <w:highlight w:val="none"/>
          <w:lang w:eastAsia="zh-CN"/>
        </w:rPr>
        <w:t>招投标文件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采购文件规定的时间向甲方提供服务的有关技术资料。</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3.3乙方在履行合同期间应遵守甲方出台的各项制度、规范、标准和流程等。</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3.4、开放接口供其他系统同步数据，及与其他系统接口个性化开发。费用应包含在报价中。</w:t>
      </w:r>
    </w:p>
    <w:p>
      <w:pPr>
        <w:spacing w:line="360" w:lineRule="auto"/>
        <w:ind w:firstLine="48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4"/>
          <w:szCs w:val="24"/>
          <w:highlight w:val="none"/>
          <w:lang w:val="en-US" w:eastAsia="zh-CN"/>
        </w:rPr>
        <w:t>3.2、若采购方新建院区或新增医联体医院,系统部署延伸至新建院区或新增医联体医院需保证新建院区或新增医联体医院内软件建设标准同原部署院区设计软件标准一致(费用应包含在报价中)。</w:t>
      </w:r>
    </w:p>
    <w:p>
      <w:pPr>
        <w:pStyle w:val="14"/>
        <w:rPr>
          <w:rFonts w:hint="eastAsia"/>
          <w:color w:val="auto"/>
          <w:highlight w:val="none"/>
          <w:lang w:val="en-US" w:eastAsia="zh-CN"/>
        </w:rPr>
      </w:pPr>
    </w:p>
    <w:p>
      <w:pPr>
        <w:spacing w:line="360" w:lineRule="auto"/>
        <w:ind w:firstLine="482" w:firstLineChars="200"/>
        <w:rPr>
          <w:rFonts w:hint="eastAsia" w:cs="宋体" w:asciiTheme="minorEastAsia" w:hAnsiTheme="minorEastAsia"/>
          <w:b/>
          <w:color w:val="auto"/>
          <w:sz w:val="24"/>
          <w:highlight w:val="none"/>
          <w:lang w:eastAsia="zh-CN"/>
        </w:rPr>
      </w:pPr>
      <w:r>
        <w:rPr>
          <w:rFonts w:hint="eastAsia" w:cs="宋体" w:asciiTheme="minorEastAsia" w:hAnsiTheme="minorEastAsia"/>
          <w:b/>
          <w:color w:val="auto"/>
          <w:sz w:val="24"/>
          <w:highlight w:val="none"/>
          <w:lang w:eastAsia="zh-CN"/>
        </w:rPr>
        <w:t>六、履约保证金</w:t>
      </w:r>
    </w:p>
    <w:p>
      <w:pPr>
        <w:autoSpaceDE w:val="0"/>
        <w:autoSpaceDN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本项目不收取履约保证金。</w:t>
      </w:r>
    </w:p>
    <w:p>
      <w:pPr>
        <w:autoSpaceDE w:val="0"/>
        <w:autoSpaceDN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本项目收取履约保证金，具体规定如下：</w:t>
      </w:r>
    </w:p>
    <w:p>
      <w:pPr>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乙方选择以</w:t>
      </w:r>
      <w:r>
        <w:rPr>
          <w:rFonts w:hint="eastAsia" w:ascii="宋体" w:hAnsi="宋体" w:eastAsia="宋体" w:cs="宋体"/>
          <w:color w:val="auto"/>
          <w:kern w:val="2"/>
          <w:sz w:val="24"/>
          <w:szCs w:val="24"/>
          <w:highlight w:val="none"/>
          <w:u w:val="single"/>
          <w:lang w:val="en-US" w:eastAsia="zh-CN" w:bidi="ar-SA"/>
        </w:rPr>
        <w:t>支票/汇票/本票/电汇（选择其一）</w:t>
      </w:r>
      <w:r>
        <w:rPr>
          <w:rFonts w:hint="eastAsia" w:ascii="宋体" w:hAnsi="宋体" w:eastAsia="宋体" w:cs="宋体"/>
          <w:color w:val="auto"/>
          <w:kern w:val="2"/>
          <w:sz w:val="24"/>
          <w:szCs w:val="24"/>
          <w:highlight w:val="none"/>
          <w:lang w:val="en-US" w:eastAsia="zh-CN" w:bidi="ar-SA"/>
        </w:rPr>
        <w:t>等非现金形式提交履约保证金。乙方在合同签订后10个工作日内向甲方提交履约保证金，履约保证金为合同总金额的</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%（注：履约保证金不超过政府采购合同金额的</w:t>
      </w:r>
      <w:r>
        <w:rPr>
          <w:rFonts w:hint="eastAsia" w:ascii="宋体" w:hAnsi="宋体" w:eastAsia="宋体" w:cs="宋体"/>
          <w:color w:val="auto"/>
          <w:kern w:val="2"/>
          <w:sz w:val="24"/>
          <w:szCs w:val="24"/>
          <w:highlight w:val="none"/>
          <w:u w:val="single"/>
          <w:lang w:val="en-US" w:eastAsia="zh-CN" w:bidi="ar-SA"/>
        </w:rPr>
        <w:t>5%</w:t>
      </w:r>
      <w:r>
        <w:rPr>
          <w:rFonts w:hint="eastAsia" w:ascii="宋体" w:hAnsi="宋体" w:eastAsia="宋体" w:cs="宋体"/>
          <w:color w:val="auto"/>
          <w:kern w:val="2"/>
          <w:sz w:val="24"/>
          <w:szCs w:val="24"/>
          <w:highlight w:val="none"/>
          <w:lang w:val="en-US" w:eastAsia="zh-CN" w:bidi="ar-SA"/>
        </w:rPr>
        <w:t>，对中小企业收取的保证金数额不得超过政府采购采购合同金额的2%），共计人民币：_______________元（人民币大写：_______________）。</w:t>
      </w:r>
    </w:p>
    <w:p>
      <w:pPr>
        <w:snapToGrid w:val="0"/>
        <w:spacing w:line="360" w:lineRule="auto"/>
        <w:ind w:firstLine="480" w:firstLineChars="200"/>
        <w:rPr>
          <w:rFonts w:hint="eastAsia" w:ascii="宋体" w:hAnsi="宋体" w:eastAsia="宋体" w:cs="宋体"/>
          <w:b/>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如乙方在合同期内违反约定，甲方需扣除乙方相应款项时，则相应款项从履约保证金中扣除，扣除款项累计超过履约保证金数额的由乙方另行支付。项目验收合格后，若乙方在合同期内没有违约行为，由乙方提出申请，甲方履行完必要的审批手续后，返还乙方履约保证金。</w:t>
      </w:r>
    </w:p>
    <w:p>
      <w:pPr>
        <w:spacing w:line="360" w:lineRule="auto"/>
        <w:ind w:firstLine="482" w:firstLineChars="200"/>
        <w:rPr>
          <w:rFonts w:hint="eastAsia" w:cs="宋体" w:asciiTheme="minorEastAsia" w:hAnsiTheme="minorEastAsia"/>
          <w:b/>
          <w:color w:val="auto"/>
          <w:sz w:val="24"/>
          <w:highlight w:val="none"/>
          <w:lang w:eastAsia="zh-CN"/>
        </w:rPr>
      </w:pPr>
      <w:r>
        <w:rPr>
          <w:rFonts w:hint="eastAsia" w:cs="宋体" w:asciiTheme="minorEastAsia" w:hAnsiTheme="minorEastAsia"/>
          <w:b/>
          <w:color w:val="auto"/>
          <w:sz w:val="24"/>
          <w:highlight w:val="none"/>
          <w:lang w:eastAsia="zh-CN"/>
        </w:rPr>
        <w:t>七、项目的分、转包</w:t>
      </w:r>
    </w:p>
    <w:p>
      <w:pPr>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本合同项目应当由乙方独立完成，未经甲方书面许可，禁止转包和分包。如违反此条款，甲方有权立即解除本合同，乙方</w:t>
      </w:r>
      <w:r>
        <w:rPr>
          <w:rFonts w:hint="eastAsia" w:ascii="宋体" w:hAnsi="宋体" w:eastAsia="宋体" w:cs="宋体"/>
          <w:color w:val="auto"/>
          <w:kern w:val="2"/>
          <w:sz w:val="24"/>
          <w:szCs w:val="24"/>
          <w:highlight w:val="none"/>
          <w:lang w:val="en-US" w:eastAsia="zh-Hans" w:bidi="ar-SA"/>
        </w:rPr>
        <w:t>除按合同约定总价的</w:t>
      </w:r>
      <w:r>
        <w:rPr>
          <w:rFonts w:hint="default" w:ascii="宋体" w:hAnsi="宋体" w:eastAsia="宋体" w:cs="宋体"/>
          <w:color w:val="auto"/>
          <w:kern w:val="2"/>
          <w:sz w:val="24"/>
          <w:szCs w:val="24"/>
          <w:highlight w:val="none"/>
          <w:lang w:eastAsia="zh-Hans" w:bidi="ar-SA"/>
        </w:rPr>
        <w:t>30%</w:t>
      </w:r>
      <w:r>
        <w:rPr>
          <w:rFonts w:hint="eastAsia" w:ascii="宋体" w:hAnsi="宋体" w:eastAsia="宋体" w:cs="宋体"/>
          <w:color w:val="auto"/>
          <w:kern w:val="2"/>
          <w:sz w:val="24"/>
          <w:szCs w:val="24"/>
          <w:highlight w:val="none"/>
          <w:lang w:val="en-US" w:eastAsia="zh-Hans" w:bidi="ar-SA"/>
        </w:rPr>
        <w:t>向甲方支付违约金外，还需向甲方</w:t>
      </w:r>
      <w:r>
        <w:rPr>
          <w:rFonts w:hint="eastAsia" w:ascii="宋体" w:hAnsi="宋体" w:eastAsia="宋体" w:cs="宋体"/>
          <w:color w:val="auto"/>
          <w:kern w:val="2"/>
          <w:sz w:val="24"/>
          <w:szCs w:val="24"/>
          <w:highlight w:val="none"/>
          <w:lang w:val="en-US" w:eastAsia="zh-CN" w:bidi="ar-SA"/>
        </w:rPr>
        <w:t>退还甲方支付的全部费用，并赔偿甲方为此发生的全部损失。</w:t>
      </w:r>
    </w:p>
    <w:p>
      <w:pPr>
        <w:spacing w:line="360" w:lineRule="auto"/>
        <w:ind w:firstLine="482" w:firstLineChars="200"/>
        <w:rPr>
          <w:rFonts w:hint="eastAsia" w:cs="宋体" w:asciiTheme="minorEastAsia" w:hAnsiTheme="minorEastAsia"/>
          <w:b/>
          <w:color w:val="auto"/>
          <w:sz w:val="24"/>
          <w:highlight w:val="none"/>
          <w:lang w:eastAsia="zh-CN"/>
        </w:rPr>
      </w:pPr>
      <w:r>
        <w:rPr>
          <w:rFonts w:hint="eastAsia" w:cs="宋体" w:asciiTheme="minorEastAsia" w:hAnsiTheme="minorEastAsia"/>
          <w:b/>
          <w:color w:val="auto"/>
          <w:sz w:val="24"/>
          <w:highlight w:val="none"/>
          <w:lang w:eastAsia="zh-CN"/>
        </w:rPr>
        <w:t>八、违约责任</w:t>
      </w:r>
    </w:p>
    <w:p>
      <w:pPr>
        <w:spacing w:line="360" w:lineRule="auto"/>
        <w:ind w:firstLine="480" w:firstLineChars="200"/>
        <w:rPr>
          <w:rFonts w:hint="eastAsia" w:cs="宋体" w:asciiTheme="minorEastAsia" w:hAnsiTheme="minorEastAsia"/>
          <w:color w:val="auto"/>
          <w:sz w:val="24"/>
          <w:highlight w:val="none"/>
        </w:rPr>
      </w:pPr>
      <w:r>
        <w:rPr>
          <w:rFonts w:hint="eastAsia" w:cs="宋体" w:asciiTheme="minorEastAsia" w:hAnsiTheme="minorEastAsia"/>
          <w:color w:val="auto"/>
          <w:sz w:val="24"/>
          <w:highlight w:val="none"/>
        </w:rPr>
        <w:t>1.乙方不能在规定期限内完成本项目实施，乙方应当承担违约责任，每逾期一天，应向甲方支付合同总金额0.5‰的违约金。逾期15日未完成合同约定工作的，甲方给予乙方书面警告，逾期30日仍未完成工作的，甲方有权单方解除合同。</w:t>
      </w:r>
    </w:p>
    <w:p>
      <w:pPr>
        <w:spacing w:line="360" w:lineRule="auto"/>
        <w:ind w:firstLine="480" w:firstLineChars="200"/>
        <w:rPr>
          <w:rFonts w:hint="eastAsia" w:cs="宋体" w:asciiTheme="minorEastAsia" w:hAnsiTheme="minorEastAsia"/>
          <w:color w:val="auto"/>
          <w:sz w:val="24"/>
          <w:highlight w:val="none"/>
        </w:rPr>
      </w:pPr>
      <w:r>
        <w:rPr>
          <w:rFonts w:hint="eastAsia" w:cs="宋体" w:asciiTheme="minorEastAsia" w:hAnsiTheme="minorEastAsia"/>
          <w:color w:val="auto"/>
          <w:sz w:val="24"/>
          <w:highlight w:val="none"/>
        </w:rPr>
        <w:t>2.甲方如无正当理由，不按合同规定的付款方式和时间向乙方支付合同所规定的款项，从规定付款之日起，每逾期一天，甲方应向乙方支付未支付合同金额的0.1‰的违约金，但违约金不应超过</w:t>
      </w:r>
      <w:r>
        <w:rPr>
          <w:rFonts w:hint="eastAsia" w:cs="宋体" w:asciiTheme="minorEastAsia" w:hAnsiTheme="minorEastAsia"/>
          <w:color w:val="auto"/>
          <w:sz w:val="24"/>
          <w:highlight w:val="none"/>
          <w:lang w:val="en-US" w:eastAsia="zh-Hans"/>
        </w:rPr>
        <w:t>欠付款项</w:t>
      </w:r>
      <w:r>
        <w:rPr>
          <w:rFonts w:hint="eastAsia" w:cs="宋体" w:asciiTheme="minorEastAsia" w:hAnsiTheme="minorEastAsia"/>
          <w:color w:val="auto"/>
          <w:sz w:val="24"/>
          <w:highlight w:val="none"/>
        </w:rPr>
        <w:t>金额的5%，在此期间合同照常履行。</w:t>
      </w:r>
    </w:p>
    <w:p>
      <w:pPr>
        <w:spacing w:line="360" w:lineRule="auto"/>
        <w:ind w:firstLine="480" w:firstLineChars="200"/>
        <w:rPr>
          <w:rFonts w:hint="default" w:cs="宋体" w:asciiTheme="minorEastAsia" w:hAnsiTheme="minorEastAsia" w:eastAsiaTheme="minorEastAsia"/>
          <w:color w:val="auto"/>
          <w:sz w:val="24"/>
          <w:highlight w:val="none"/>
          <w:lang w:val="en-US" w:eastAsia="zh-Hans"/>
        </w:rPr>
      </w:pPr>
      <w:r>
        <w:rPr>
          <w:rFonts w:hint="eastAsia" w:cs="宋体" w:asciiTheme="minorEastAsia" w:hAnsiTheme="minorEastAsia"/>
          <w:color w:val="auto"/>
          <w:sz w:val="24"/>
          <w:highlight w:val="none"/>
        </w:rPr>
        <w:t>3.如乙方未按合同要求完成服务项目，乙方应负责按合同约定的内容进行整改，并在30日内整改完毕，逾期未整改完毕，则每天支付合同款5‰的逾期违约金。</w:t>
      </w:r>
      <w:r>
        <w:rPr>
          <w:rFonts w:hint="eastAsia" w:cs="宋体" w:asciiTheme="minorEastAsia" w:hAnsiTheme="minorEastAsia"/>
          <w:color w:val="auto"/>
          <w:sz w:val="24"/>
          <w:highlight w:val="none"/>
          <w:lang w:val="en-US" w:eastAsia="zh-Hans"/>
        </w:rPr>
        <w:t>超过</w:t>
      </w:r>
      <w:r>
        <w:rPr>
          <w:rFonts w:hint="default" w:cs="宋体" w:asciiTheme="minorEastAsia" w:hAnsiTheme="minorEastAsia"/>
          <w:color w:val="auto"/>
          <w:sz w:val="24"/>
          <w:highlight w:val="none"/>
          <w:u w:val="single"/>
          <w:lang w:eastAsia="zh-Hans"/>
        </w:rPr>
        <w:t xml:space="preserve">   </w:t>
      </w:r>
      <w:r>
        <w:rPr>
          <w:rFonts w:hint="eastAsia" w:cs="宋体" w:asciiTheme="minorEastAsia" w:hAnsiTheme="minorEastAsia"/>
          <w:color w:val="auto"/>
          <w:sz w:val="24"/>
          <w:highlight w:val="none"/>
          <w:u w:val="single"/>
          <w:lang w:val="en-US" w:eastAsia="zh-CN"/>
        </w:rPr>
        <w:t>60</w:t>
      </w:r>
      <w:r>
        <w:rPr>
          <w:rFonts w:hint="default" w:cs="宋体" w:asciiTheme="minorEastAsia" w:hAnsiTheme="minorEastAsia"/>
          <w:color w:val="auto"/>
          <w:sz w:val="24"/>
          <w:highlight w:val="none"/>
          <w:u w:val="single"/>
          <w:lang w:eastAsia="zh-Hans"/>
        </w:rPr>
        <w:t xml:space="preserve">    </w:t>
      </w:r>
      <w:r>
        <w:rPr>
          <w:rFonts w:hint="eastAsia" w:cs="宋体" w:asciiTheme="minorEastAsia" w:hAnsiTheme="minorEastAsia"/>
          <w:color w:val="auto"/>
          <w:sz w:val="24"/>
          <w:highlight w:val="none"/>
          <w:lang w:val="en-US" w:eastAsia="zh-Hans"/>
        </w:rPr>
        <w:t>日，甲方有权单方解除合同，乙方应向甲方赔偿相应损失。</w:t>
      </w:r>
    </w:p>
    <w:p>
      <w:pPr>
        <w:pStyle w:val="8"/>
        <w:spacing w:line="360" w:lineRule="auto"/>
        <w:ind w:firstLine="480" w:firstLineChars="200"/>
        <w:rPr>
          <w:rFonts w:hint="eastAsia" w:cs="宋体" w:asciiTheme="minorEastAsia" w:hAnsiTheme="minorEastAsia"/>
          <w:color w:val="auto"/>
          <w:sz w:val="24"/>
          <w:highlight w:val="none"/>
        </w:rPr>
      </w:pPr>
      <w:r>
        <w:rPr>
          <w:rFonts w:hint="eastAsia" w:cs="宋体" w:asciiTheme="minorEastAsia" w:hAnsiTheme="minorEastAsia"/>
          <w:color w:val="auto"/>
          <w:sz w:val="24"/>
          <w:highlight w:val="none"/>
        </w:rPr>
        <w:t>4.如乙方不能按合同要求完成本项目的，应当承担合同金额</w:t>
      </w:r>
      <w:r>
        <w:rPr>
          <w:rFonts w:hint="default" w:cs="宋体" w:asciiTheme="minorEastAsia" w:hAnsiTheme="minorEastAsia"/>
          <w:color w:val="auto"/>
          <w:sz w:val="24"/>
          <w:highlight w:val="none"/>
          <w:u w:val="single"/>
        </w:rPr>
        <w:t xml:space="preserve">   </w:t>
      </w:r>
      <w:r>
        <w:rPr>
          <w:rFonts w:hint="eastAsia" w:cs="宋体" w:asciiTheme="minorEastAsia" w:hAnsiTheme="minorEastAsia"/>
          <w:color w:val="auto"/>
          <w:sz w:val="24"/>
          <w:highlight w:val="none"/>
          <w:u w:val="single"/>
          <w:lang w:val="en-US" w:eastAsia="zh-CN"/>
        </w:rPr>
        <w:t>20</w:t>
      </w:r>
      <w:r>
        <w:rPr>
          <w:rFonts w:hint="default" w:cs="宋体" w:asciiTheme="minorEastAsia" w:hAnsiTheme="minorEastAsia"/>
          <w:color w:val="auto"/>
          <w:sz w:val="24"/>
          <w:highlight w:val="none"/>
          <w:u w:val="single"/>
        </w:rPr>
        <w:t xml:space="preserve">   </w:t>
      </w:r>
      <w:r>
        <w:rPr>
          <w:rFonts w:hint="eastAsia" w:cs="宋体" w:asciiTheme="minorEastAsia" w:hAnsiTheme="minorEastAsia"/>
          <w:color w:val="auto"/>
          <w:sz w:val="24"/>
          <w:highlight w:val="none"/>
        </w:rPr>
        <w:t>%的违约金，并赔偿给甲方造成的直接损失，同时甲方有权单方解除合同。</w:t>
      </w:r>
    </w:p>
    <w:p>
      <w:pPr>
        <w:spacing w:line="360" w:lineRule="auto"/>
        <w:ind w:firstLine="480" w:firstLineChars="200"/>
        <w:rPr>
          <w:rFonts w:hint="eastAsia" w:cs="宋体" w:asciiTheme="minorEastAsia" w:hAnsiTheme="minorEastAsia"/>
          <w:color w:val="auto"/>
          <w:sz w:val="24"/>
          <w:highlight w:val="none"/>
        </w:rPr>
      </w:pPr>
      <w:r>
        <w:rPr>
          <w:rFonts w:hint="eastAsia" w:cs="宋体" w:asciiTheme="minorEastAsia" w:hAnsiTheme="minorEastAsia"/>
          <w:color w:val="auto"/>
          <w:sz w:val="24"/>
          <w:highlight w:val="none"/>
        </w:rPr>
        <w:t>5.如甲方违反本合同约定的义务，应当赔偿乙方的相关损失及因追索损失而支出的包括但不限于律师费、仲裁费、</w:t>
      </w:r>
      <w:r>
        <w:rPr>
          <w:rFonts w:hint="eastAsia" w:cs="宋体" w:asciiTheme="minorEastAsia" w:hAnsiTheme="minorEastAsia"/>
          <w:color w:val="auto"/>
          <w:sz w:val="24"/>
          <w:highlight w:val="none"/>
          <w:lang w:val="en-US" w:eastAsia="zh-Hans"/>
        </w:rPr>
        <w:t>诉讼费、</w:t>
      </w:r>
      <w:r>
        <w:rPr>
          <w:rFonts w:hint="eastAsia" w:cs="宋体" w:asciiTheme="minorEastAsia" w:hAnsiTheme="minorEastAsia"/>
          <w:color w:val="auto"/>
          <w:sz w:val="24"/>
          <w:highlight w:val="none"/>
        </w:rPr>
        <w:t xml:space="preserve">保全费、保全责任保险费、公证费、交通差旅费等在内的相关费用。 </w:t>
      </w:r>
    </w:p>
    <w:p>
      <w:pPr>
        <w:spacing w:line="360" w:lineRule="auto"/>
        <w:ind w:firstLine="480" w:firstLineChars="200"/>
        <w:rPr>
          <w:rFonts w:hint="eastAsia" w:cs="宋体" w:asciiTheme="minorEastAsia" w:hAnsiTheme="minorEastAsia"/>
          <w:color w:val="auto"/>
          <w:sz w:val="24"/>
          <w:highlight w:val="none"/>
        </w:rPr>
      </w:pPr>
      <w:r>
        <w:rPr>
          <w:rFonts w:hint="eastAsia" w:cs="宋体" w:asciiTheme="minorEastAsia" w:hAnsiTheme="minorEastAsia"/>
          <w:color w:val="auto"/>
          <w:sz w:val="24"/>
          <w:highlight w:val="none"/>
        </w:rPr>
        <w:t>6.乙方提供的服务如侵犯了第三方合法权益而引发的任何纠纷或诉讼，均由乙方负责交涉并承担全部责任。</w:t>
      </w:r>
    </w:p>
    <w:p>
      <w:pPr>
        <w:spacing w:line="360" w:lineRule="auto"/>
        <w:ind w:firstLine="480" w:firstLineChars="200"/>
        <w:rPr>
          <w:rFonts w:hint="eastAsia" w:cs="宋体" w:asciiTheme="minorEastAsia" w:hAnsiTheme="minorEastAsia"/>
          <w:color w:val="auto"/>
          <w:sz w:val="24"/>
          <w:highlight w:val="none"/>
        </w:rPr>
      </w:pPr>
      <w:r>
        <w:rPr>
          <w:rFonts w:hint="eastAsia" w:cs="宋体" w:asciiTheme="minorEastAsia" w:hAnsiTheme="minorEastAsia"/>
          <w:color w:val="auto"/>
          <w:sz w:val="24"/>
          <w:highlight w:val="none"/>
        </w:rPr>
        <w:t>7.乙方未按本合同和投标文件（响应文件）中规定的服务承诺提供售后服务的，乙方应按本合同合计金额</w:t>
      </w:r>
      <w:r>
        <w:rPr>
          <w:rFonts w:hint="eastAsia" w:cs="宋体" w:asciiTheme="minorEastAsia" w:hAnsiTheme="minorEastAsia"/>
          <w:color w:val="auto"/>
          <w:sz w:val="24"/>
          <w:highlight w:val="none"/>
          <w:u w:val="single"/>
        </w:rPr>
        <w:t xml:space="preserve"> </w:t>
      </w:r>
      <w:r>
        <w:rPr>
          <w:rFonts w:hint="default" w:cs="宋体" w:asciiTheme="minorEastAsia" w:hAnsiTheme="minorEastAsia"/>
          <w:color w:val="auto"/>
          <w:sz w:val="24"/>
          <w:highlight w:val="none"/>
          <w:u w:val="single"/>
        </w:rPr>
        <w:t xml:space="preserve">  </w:t>
      </w:r>
      <w:r>
        <w:rPr>
          <w:rFonts w:hint="eastAsia" w:cs="宋体" w:asciiTheme="minorEastAsia" w:hAnsiTheme="minorEastAsia"/>
          <w:color w:val="auto"/>
          <w:sz w:val="24"/>
          <w:highlight w:val="none"/>
          <w:u w:val="single"/>
          <w:lang w:val="en-US" w:eastAsia="zh-CN"/>
        </w:rPr>
        <w:t>20</w:t>
      </w:r>
      <w:r>
        <w:rPr>
          <w:rFonts w:hint="default" w:cs="宋体" w:asciiTheme="minorEastAsia" w:hAnsiTheme="minorEastAsia"/>
          <w:color w:val="auto"/>
          <w:sz w:val="24"/>
          <w:highlight w:val="none"/>
          <w:u w:val="single"/>
        </w:rPr>
        <w:t xml:space="preserve">    </w:t>
      </w:r>
      <w:r>
        <w:rPr>
          <w:rFonts w:hint="eastAsia" w:cs="宋体" w:asciiTheme="minorEastAsia" w:hAnsiTheme="minorEastAsia"/>
          <w:color w:val="auto"/>
          <w:sz w:val="24"/>
          <w:highlight w:val="none"/>
        </w:rPr>
        <w:t>%向甲方支付违约金。</w:t>
      </w:r>
    </w:p>
    <w:p>
      <w:pPr>
        <w:spacing w:line="360" w:lineRule="auto"/>
        <w:ind w:firstLine="482" w:firstLineChars="200"/>
        <w:rPr>
          <w:rFonts w:hint="eastAsia" w:cs="宋体" w:asciiTheme="minorEastAsia" w:hAnsiTheme="minorEastAsia"/>
          <w:b/>
          <w:color w:val="auto"/>
          <w:sz w:val="24"/>
          <w:highlight w:val="none"/>
          <w:lang w:eastAsia="zh-CN"/>
        </w:rPr>
      </w:pPr>
      <w:r>
        <w:rPr>
          <w:rFonts w:hint="eastAsia" w:cs="宋体" w:asciiTheme="minorEastAsia" w:hAnsiTheme="minorEastAsia"/>
          <w:b/>
          <w:color w:val="auto"/>
          <w:sz w:val="24"/>
          <w:highlight w:val="none"/>
          <w:lang w:eastAsia="zh-CN"/>
        </w:rPr>
        <w:t>九、不可抗力事件处理</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在合同有效期内，任何一方因不可抗力事件导致不能履行合同，则合同履行期可延长，其延长期与不可抗力影响期相同。</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不可抗力事件发生后，应立即通知对方，并寄送有关权威机构出具的证明。</w:t>
      </w:r>
    </w:p>
    <w:p>
      <w:pPr>
        <w:snapToGrid w:val="0"/>
        <w:spacing w:line="360" w:lineRule="auto"/>
        <w:ind w:firstLine="480" w:firstLineChars="200"/>
        <w:rPr>
          <w:rFonts w:hint="eastAsia" w:cs="宋体" w:asciiTheme="minorEastAsia" w:hAnsiTheme="minorEastAsia"/>
          <w:b/>
          <w:color w:val="auto"/>
          <w:sz w:val="24"/>
          <w:highlight w:val="none"/>
          <w:lang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不可抗力事件延续120天以上，双方应通过友好协商，确定是否继续履行合同。</w:t>
      </w:r>
    </w:p>
    <w:p>
      <w:pPr>
        <w:spacing w:line="360" w:lineRule="auto"/>
        <w:ind w:firstLine="482" w:firstLineChars="200"/>
        <w:rPr>
          <w:rFonts w:hint="eastAsia" w:cs="宋体" w:asciiTheme="minorEastAsia" w:hAnsiTheme="minorEastAsia"/>
          <w:b/>
          <w:color w:val="auto"/>
          <w:sz w:val="24"/>
          <w:highlight w:val="none"/>
          <w:lang w:eastAsia="zh-CN"/>
        </w:rPr>
      </w:pPr>
      <w:r>
        <w:rPr>
          <w:rFonts w:hint="eastAsia" w:cs="宋体" w:asciiTheme="minorEastAsia" w:hAnsiTheme="minorEastAsia"/>
          <w:b/>
          <w:color w:val="auto"/>
          <w:sz w:val="24"/>
          <w:highlight w:val="none"/>
          <w:lang w:eastAsia="zh-CN"/>
        </w:rPr>
        <w:t>十、知识产权归属</w:t>
      </w:r>
    </w:p>
    <w:p>
      <w:pPr>
        <w:tabs>
          <w:tab w:val="left" w:pos="900"/>
        </w:tabs>
        <w:spacing w:line="360" w:lineRule="auto"/>
        <w:ind w:firstLine="480" w:firstLineChars="200"/>
        <w:rPr>
          <w:rFonts w:hint="eastAsia" w:cs="宋体" w:asciiTheme="minorEastAsia" w:hAnsiTheme="minorEastAsia"/>
          <w:color w:val="auto"/>
          <w:sz w:val="24"/>
          <w:highlight w:val="none"/>
          <w:lang w:val="en-US" w:eastAsia="zh-CN"/>
        </w:rPr>
      </w:pPr>
      <w:r>
        <w:rPr>
          <w:rFonts w:hint="eastAsia" w:cs="宋体" w:asciiTheme="minorEastAsia" w:hAnsiTheme="minorEastAsia"/>
          <w:color w:val="auto"/>
          <w:sz w:val="24"/>
          <w:highlight w:val="none"/>
          <w:lang w:val="en-US" w:eastAsia="zh-CN"/>
        </w:rPr>
        <w:t>1.自本合同生效之日起，对与本项目相关的由甲方委托乙方提供的项目成果及文档的知识产权和所有权归属甲方。</w:t>
      </w:r>
    </w:p>
    <w:p>
      <w:pPr>
        <w:tabs>
          <w:tab w:val="left" w:pos="900"/>
        </w:tabs>
        <w:spacing w:line="360" w:lineRule="auto"/>
        <w:ind w:firstLine="480" w:firstLineChars="200"/>
        <w:rPr>
          <w:rFonts w:hint="eastAsia" w:cs="宋体" w:asciiTheme="minorEastAsia" w:hAnsiTheme="minorEastAsia"/>
          <w:color w:val="auto"/>
          <w:sz w:val="24"/>
          <w:highlight w:val="none"/>
          <w:lang w:val="en-US" w:eastAsia="zh-CN"/>
        </w:rPr>
      </w:pPr>
      <w:r>
        <w:rPr>
          <w:rFonts w:hint="eastAsia" w:cs="宋体" w:asciiTheme="minorEastAsia" w:hAnsiTheme="minorEastAsia"/>
          <w:color w:val="auto"/>
          <w:sz w:val="24"/>
          <w:highlight w:val="none"/>
          <w:lang w:val="en-US" w:eastAsia="zh-CN"/>
        </w:rPr>
        <w:t>2.乙方履行本合同时，不得侵犯第三方的相关权利，包括所有权、使用权及知识产权等权利，如涉及到侵犯第三方相关权利的，由乙方自行负责解决并承担所有责任，如因此给甲方造成损失的，由乙方向甲方全额赔付。</w:t>
      </w:r>
    </w:p>
    <w:p>
      <w:pPr>
        <w:spacing w:line="360" w:lineRule="auto"/>
        <w:ind w:firstLine="482" w:firstLineChars="200"/>
        <w:rPr>
          <w:rFonts w:hint="eastAsia" w:cs="宋体" w:asciiTheme="minorEastAsia" w:hAnsiTheme="minorEastAsia"/>
          <w:b/>
          <w:color w:val="auto"/>
          <w:sz w:val="24"/>
          <w:highlight w:val="none"/>
          <w:lang w:eastAsia="zh-CN"/>
        </w:rPr>
      </w:pPr>
      <w:r>
        <w:rPr>
          <w:rFonts w:hint="eastAsia" w:cs="宋体" w:asciiTheme="minorEastAsia" w:hAnsiTheme="minorEastAsia"/>
          <w:b/>
          <w:color w:val="auto"/>
          <w:sz w:val="24"/>
          <w:highlight w:val="none"/>
          <w:lang w:eastAsia="zh-CN"/>
        </w:rPr>
        <w:t>十一、保密条款</w:t>
      </w:r>
    </w:p>
    <w:p>
      <w:pPr>
        <w:pStyle w:val="1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具体详见合同附件《信息安全保密协议书》。</w:t>
      </w:r>
    </w:p>
    <w:p>
      <w:pPr>
        <w:spacing w:line="360" w:lineRule="auto"/>
        <w:ind w:firstLine="482" w:firstLineChars="200"/>
        <w:rPr>
          <w:rFonts w:hint="eastAsia" w:cs="宋体" w:asciiTheme="minorEastAsia" w:hAnsiTheme="minorEastAsia"/>
          <w:b/>
          <w:color w:val="auto"/>
          <w:sz w:val="24"/>
          <w:highlight w:val="none"/>
          <w:lang w:eastAsia="zh-CN"/>
        </w:rPr>
      </w:pPr>
      <w:r>
        <w:rPr>
          <w:rFonts w:hint="eastAsia" w:cs="宋体" w:asciiTheme="minorEastAsia" w:hAnsiTheme="minorEastAsia"/>
          <w:b/>
          <w:color w:val="auto"/>
          <w:sz w:val="24"/>
          <w:highlight w:val="none"/>
          <w:lang w:eastAsia="zh-CN"/>
        </w:rPr>
        <w:t>十二、争议解决</w:t>
      </w:r>
    </w:p>
    <w:p>
      <w:pPr>
        <w:spacing w:line="360" w:lineRule="auto"/>
        <w:ind w:firstLine="480" w:firstLineChars="200"/>
        <w:rPr>
          <w:rFonts w:hint="eastAsia" w:cs="宋体" w:asciiTheme="minorEastAsia" w:hAnsiTheme="minorEastAsia"/>
          <w:color w:val="auto"/>
          <w:sz w:val="24"/>
          <w:highlight w:val="none"/>
        </w:rPr>
      </w:pPr>
      <w:r>
        <w:rPr>
          <w:rFonts w:hint="eastAsia" w:cs="宋体" w:asciiTheme="minorEastAsia" w:hAnsiTheme="minorEastAsia"/>
          <w:color w:val="auto"/>
          <w:sz w:val="24"/>
          <w:highlight w:val="none"/>
        </w:rPr>
        <w:t>本合同执行过程中发生的任何争议，如双方不能通过友好协商解决，向甲方所在地人民法院起诉，</w:t>
      </w:r>
      <w:r>
        <w:rPr>
          <w:rFonts w:hint="eastAsia" w:cs="宋体" w:asciiTheme="minorEastAsia" w:hAnsiTheme="minorEastAsia"/>
          <w:color w:val="auto"/>
          <w:sz w:val="24"/>
          <w:highlight w:val="none"/>
          <w:lang w:val="en-US" w:eastAsia="zh-CN"/>
        </w:rPr>
        <w:t>律师费、仲裁费、诉讼费、保全费、保全责任保险费、公证费、交通差旅费</w:t>
      </w:r>
      <w:r>
        <w:rPr>
          <w:rFonts w:hint="eastAsia" w:cs="宋体" w:asciiTheme="minorEastAsia" w:hAnsiTheme="minorEastAsia"/>
          <w:color w:val="auto"/>
          <w:sz w:val="24"/>
          <w:highlight w:val="none"/>
        </w:rPr>
        <w:t>等</w:t>
      </w:r>
      <w:r>
        <w:rPr>
          <w:rFonts w:hint="eastAsia" w:cs="宋体" w:asciiTheme="minorEastAsia" w:hAnsiTheme="minorEastAsia"/>
          <w:color w:val="auto"/>
          <w:sz w:val="24"/>
          <w:highlight w:val="none"/>
          <w:lang w:val="en-US" w:eastAsia="zh-CN"/>
        </w:rPr>
        <w:t>追偿</w:t>
      </w:r>
      <w:r>
        <w:rPr>
          <w:rFonts w:hint="eastAsia" w:cs="宋体" w:asciiTheme="minorEastAsia" w:hAnsiTheme="minorEastAsia"/>
          <w:color w:val="auto"/>
          <w:sz w:val="24"/>
          <w:highlight w:val="none"/>
        </w:rPr>
        <w:t>费用</w:t>
      </w:r>
      <w:r>
        <w:rPr>
          <w:rFonts w:hint="eastAsia" w:cs="宋体" w:asciiTheme="minorEastAsia" w:hAnsiTheme="minorEastAsia"/>
          <w:color w:val="auto"/>
          <w:sz w:val="24"/>
          <w:highlight w:val="none"/>
          <w:lang w:val="en-US" w:eastAsia="zh-CN"/>
        </w:rPr>
        <w:t>全</w:t>
      </w:r>
      <w:r>
        <w:rPr>
          <w:rFonts w:hint="eastAsia" w:cs="宋体" w:asciiTheme="minorEastAsia" w:hAnsiTheme="minorEastAsia"/>
          <w:color w:val="auto"/>
          <w:sz w:val="24"/>
          <w:highlight w:val="none"/>
        </w:rPr>
        <w:t>由败诉方承担。</w:t>
      </w:r>
    </w:p>
    <w:p>
      <w:pPr>
        <w:spacing w:line="360" w:lineRule="auto"/>
        <w:ind w:firstLine="482" w:firstLineChars="200"/>
        <w:rPr>
          <w:rFonts w:hint="eastAsia" w:cs="宋体" w:asciiTheme="minorEastAsia" w:hAnsiTheme="minorEastAsia"/>
          <w:b/>
          <w:color w:val="auto"/>
          <w:sz w:val="24"/>
          <w:highlight w:val="none"/>
          <w:lang w:eastAsia="zh-CN"/>
        </w:rPr>
      </w:pPr>
      <w:r>
        <w:rPr>
          <w:rFonts w:hint="eastAsia" w:cs="宋体" w:asciiTheme="minorEastAsia" w:hAnsiTheme="minorEastAsia"/>
          <w:b/>
          <w:color w:val="auto"/>
          <w:sz w:val="24"/>
          <w:highlight w:val="none"/>
          <w:lang w:eastAsia="zh-CN"/>
        </w:rPr>
        <w:t>十三、合同的变更、终止与转让</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1.双方协商一致，可以对本合同进行补充、修改或变更。</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对本合同的补充、修改或变更必须以书面形式进行。补充、修改或变更的协议的签订及生效方式与本合同的签订及生效方式相同。</w:t>
      </w:r>
    </w:p>
    <w:p>
      <w:pPr>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双方签订的补充协议以及修改或变更的条款与本合同具有同等法律效力。</w:t>
      </w:r>
    </w:p>
    <w:p>
      <w:pPr>
        <w:spacing w:line="360" w:lineRule="auto"/>
        <w:ind w:firstLine="482" w:firstLineChars="200"/>
        <w:rPr>
          <w:rFonts w:hint="eastAsia" w:cs="宋体" w:asciiTheme="minorEastAsia" w:hAnsiTheme="minorEastAsia"/>
          <w:b/>
          <w:color w:val="auto"/>
          <w:sz w:val="24"/>
          <w:highlight w:val="none"/>
          <w:lang w:eastAsia="zh-CN"/>
        </w:rPr>
      </w:pPr>
      <w:r>
        <w:rPr>
          <w:rFonts w:hint="eastAsia" w:cs="宋体" w:asciiTheme="minorEastAsia" w:hAnsiTheme="minorEastAsia"/>
          <w:b/>
          <w:color w:val="auto"/>
          <w:sz w:val="24"/>
          <w:highlight w:val="none"/>
          <w:lang w:eastAsia="zh-CN"/>
        </w:rPr>
        <w:t>十四、其它</w:t>
      </w:r>
    </w:p>
    <w:p>
      <w:pPr>
        <w:spacing w:line="360" w:lineRule="auto"/>
        <w:ind w:firstLine="480" w:firstLineChars="200"/>
        <w:rPr>
          <w:rFonts w:cs="宋体" w:asciiTheme="minorEastAsia" w:hAnsiTheme="minorEastAsia"/>
          <w:b/>
          <w:color w:val="auto"/>
          <w:sz w:val="24"/>
          <w:highlight w:val="none"/>
        </w:rPr>
      </w:pPr>
      <w:r>
        <w:rPr>
          <w:rFonts w:hint="eastAsia" w:cs="宋体" w:asciiTheme="minorEastAsia" w:hAnsiTheme="minorEastAsia"/>
          <w:color w:val="auto"/>
          <w:sz w:val="24"/>
          <w:highlight w:val="none"/>
        </w:rPr>
        <w:t>1、本合同所有附件、双方在本合同履行过程中签署确认的文件（包括会议纪要、补充协议、往来信函）为本合同的有效组成部分。</w:t>
      </w:r>
    </w:p>
    <w:p>
      <w:pPr>
        <w:spacing w:line="360" w:lineRule="auto"/>
        <w:ind w:firstLine="470" w:firstLineChars="196"/>
        <w:rPr>
          <w:rFonts w:asciiTheme="minorEastAsia" w:hAnsiTheme="minorEastAsia"/>
          <w:color w:val="auto"/>
          <w:sz w:val="24"/>
          <w:highlight w:val="none"/>
        </w:rPr>
      </w:pPr>
      <w:r>
        <w:rPr>
          <w:rFonts w:hint="eastAsia" w:cs="宋体" w:asciiTheme="minorEastAsia" w:hAnsiTheme="minorEastAsia"/>
          <w:color w:val="auto"/>
          <w:sz w:val="24"/>
          <w:highlight w:val="none"/>
        </w:rPr>
        <w:t>2</w:t>
      </w:r>
      <w:r>
        <w:rPr>
          <w:rFonts w:cs="宋体" w:asciiTheme="minorEastAsia" w:hAnsiTheme="minorEastAsia"/>
          <w:color w:val="auto"/>
          <w:sz w:val="24"/>
          <w:highlight w:val="none"/>
        </w:rPr>
        <w:t>、</w:t>
      </w:r>
      <w:r>
        <w:rPr>
          <w:rFonts w:hint="eastAsia" w:asciiTheme="minorEastAsia" w:hAnsiTheme="minorEastAsia"/>
          <w:color w:val="auto"/>
          <w:sz w:val="24"/>
          <w:highlight w:val="none"/>
        </w:rPr>
        <w:t>本合同一式</w:t>
      </w:r>
      <w:r>
        <w:rPr>
          <w:rFonts w:hint="eastAsia" w:asciiTheme="minorEastAsia" w:hAnsiTheme="minorEastAsia"/>
          <w:color w:val="auto"/>
          <w:sz w:val="24"/>
          <w:highlight w:val="none"/>
          <w:u w:val="single"/>
          <w:lang w:val="en-US" w:eastAsia="zh-CN"/>
        </w:rPr>
        <w:t>柒</w:t>
      </w:r>
      <w:r>
        <w:rPr>
          <w:rFonts w:hint="eastAsia" w:asciiTheme="minorEastAsia" w:hAnsiTheme="minorEastAsia"/>
          <w:color w:val="auto"/>
          <w:sz w:val="24"/>
          <w:highlight w:val="none"/>
        </w:rPr>
        <w:t>份，</w:t>
      </w:r>
      <w:r>
        <w:rPr>
          <w:rFonts w:asciiTheme="minorEastAsia" w:hAnsiTheme="minorEastAsia"/>
          <w:color w:val="auto"/>
          <w:sz w:val="24"/>
          <w:highlight w:val="none"/>
        </w:rPr>
        <w:t>甲</w:t>
      </w:r>
      <w:r>
        <w:rPr>
          <w:rFonts w:hint="eastAsia" w:asciiTheme="minorEastAsia" w:hAnsiTheme="minorEastAsia"/>
          <w:color w:val="auto"/>
          <w:sz w:val="24"/>
          <w:highlight w:val="none"/>
        </w:rPr>
        <w:t>方执</w:t>
      </w:r>
      <w:r>
        <w:rPr>
          <w:rFonts w:hint="eastAsia" w:asciiTheme="minorEastAsia" w:hAnsiTheme="minorEastAsia"/>
          <w:color w:val="auto"/>
          <w:sz w:val="24"/>
          <w:highlight w:val="none"/>
          <w:u w:val="none"/>
        </w:rPr>
        <w:t>叁份</w:t>
      </w:r>
      <w:r>
        <w:rPr>
          <w:rFonts w:asciiTheme="minorEastAsia" w:hAnsiTheme="minorEastAsia"/>
          <w:color w:val="auto"/>
          <w:sz w:val="24"/>
          <w:highlight w:val="none"/>
          <w:u w:val="none"/>
        </w:rPr>
        <w:t>，</w:t>
      </w:r>
      <w:r>
        <w:rPr>
          <w:rFonts w:hint="eastAsia" w:asciiTheme="minorEastAsia" w:hAnsiTheme="minorEastAsia"/>
          <w:color w:val="auto"/>
          <w:sz w:val="24"/>
          <w:highlight w:val="none"/>
          <w:u w:val="none"/>
        </w:rPr>
        <w:t>乙</w:t>
      </w:r>
      <w:r>
        <w:rPr>
          <w:rFonts w:asciiTheme="minorEastAsia" w:hAnsiTheme="minorEastAsia"/>
          <w:color w:val="auto"/>
          <w:sz w:val="24"/>
          <w:highlight w:val="none"/>
          <w:u w:val="none"/>
        </w:rPr>
        <w:t>方</w:t>
      </w:r>
      <w:r>
        <w:rPr>
          <w:rFonts w:hint="eastAsia" w:asciiTheme="minorEastAsia" w:hAnsiTheme="minorEastAsia"/>
          <w:color w:val="auto"/>
          <w:sz w:val="24"/>
          <w:highlight w:val="none"/>
          <w:u w:val="none"/>
        </w:rPr>
        <w:t>执</w:t>
      </w:r>
      <w:r>
        <w:rPr>
          <w:rFonts w:asciiTheme="minorEastAsia" w:hAnsiTheme="minorEastAsia"/>
          <w:color w:val="auto"/>
          <w:sz w:val="24"/>
          <w:highlight w:val="none"/>
          <w:u w:val="none"/>
        </w:rPr>
        <w:t>壹</w:t>
      </w:r>
      <w:r>
        <w:rPr>
          <w:rFonts w:hint="eastAsia" w:asciiTheme="minorEastAsia" w:hAnsiTheme="minorEastAsia"/>
          <w:color w:val="auto"/>
          <w:sz w:val="24"/>
          <w:highlight w:val="none"/>
          <w:u w:val="none"/>
        </w:rPr>
        <w:t>份，</w:t>
      </w:r>
      <w:r>
        <w:rPr>
          <w:rFonts w:hint="eastAsia" w:asciiTheme="minorEastAsia" w:hAnsiTheme="minorEastAsia"/>
          <w:color w:val="auto"/>
          <w:sz w:val="24"/>
          <w:highlight w:val="none"/>
          <w:u w:val="none"/>
          <w:lang w:val="en-US" w:eastAsia="zh-CN"/>
        </w:rPr>
        <w:t>招标代理机构贰份，</w:t>
      </w:r>
      <w:r>
        <w:rPr>
          <w:rFonts w:hint="eastAsia" w:asciiTheme="minorEastAsia" w:hAnsiTheme="minorEastAsia"/>
          <w:color w:val="auto"/>
          <w:sz w:val="24"/>
          <w:highlight w:val="none"/>
        </w:rPr>
        <w:t>经甲、乙双方各自授权代表签字并加盖双方各自公章或合同专用章后生效。</w:t>
      </w:r>
    </w:p>
    <w:p>
      <w:pPr>
        <w:wordWrap w:val="0"/>
        <w:snapToGrid w:val="0"/>
        <w:spacing w:line="360" w:lineRule="auto"/>
        <w:ind w:firstLine="420" w:firstLineChars="200"/>
        <w:rPr>
          <w:rFonts w:hint="eastAsia" w:ascii="宋体" w:hAnsi="宋体" w:eastAsia="宋体" w:cs="宋体"/>
          <w:color w:val="auto"/>
          <w:sz w:val="21"/>
          <w:szCs w:val="21"/>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8"/>
        <w:gridCol w:w="4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甲方</w:t>
            </w:r>
            <w:r>
              <w:rPr>
                <w:rFonts w:hint="eastAsia" w:ascii="宋体" w:hAnsi="宋体" w:cs="宋体"/>
                <w:b/>
                <w:bCs/>
                <w:color w:val="auto"/>
                <w:sz w:val="22"/>
                <w:szCs w:val="22"/>
                <w:highlight w:val="none"/>
              </w:rPr>
              <w:t>（章）</w:t>
            </w:r>
            <w:r>
              <w:rPr>
                <w:rFonts w:hint="eastAsia" w:ascii="宋体" w:hAnsi="宋体" w:eastAsia="宋体" w:cs="宋体"/>
                <w:b/>
                <w:bCs/>
                <w:color w:val="auto"/>
                <w:szCs w:val="21"/>
                <w:highlight w:val="none"/>
              </w:rPr>
              <w:t xml:space="preserve"> </w:t>
            </w:r>
            <w:r>
              <w:rPr>
                <w:rFonts w:hint="eastAsia" w:ascii="宋体" w:hAnsi="宋体" w:cs="宋体"/>
                <w:b/>
                <w:bCs/>
                <w:color w:val="auto"/>
                <w:szCs w:val="21"/>
                <w:highlight w:val="none"/>
                <w:lang w:eastAsia="zh-CN"/>
              </w:rPr>
              <w:t>广西医科大学第一附属医院</w:t>
            </w:r>
            <w:r>
              <w:rPr>
                <w:rFonts w:hint="eastAsia" w:ascii="宋体" w:hAnsi="宋体" w:eastAsia="宋体" w:cs="宋体"/>
                <w:b/>
                <w:bCs/>
                <w:color w:val="auto"/>
                <w:szCs w:val="21"/>
                <w:highlight w:val="none"/>
              </w:rPr>
              <w:t xml:space="preserve">    </w:t>
            </w:r>
            <w:r>
              <w:rPr>
                <w:rFonts w:hint="eastAsia" w:ascii="宋体" w:hAnsi="宋体" w:eastAsia="宋体" w:cs="宋体"/>
                <w:color w:val="auto"/>
                <w:szCs w:val="21"/>
                <w:highlight w:val="none"/>
              </w:rPr>
              <w:t xml:space="preserve">    </w:t>
            </w:r>
          </w:p>
          <w:p>
            <w:pPr>
              <w:snapToGrid w:val="0"/>
              <w:spacing w:before="120" w:line="360" w:lineRule="auto"/>
              <w:ind w:firstLine="945" w:firstLineChars="4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48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乙方</w:t>
            </w:r>
            <w:r>
              <w:rPr>
                <w:rFonts w:hint="eastAsia" w:ascii="宋体" w:hAnsi="宋体" w:cs="宋体"/>
                <w:b/>
                <w:bCs/>
                <w:color w:val="auto"/>
                <w:sz w:val="22"/>
                <w:szCs w:val="22"/>
                <w:highlight w:val="none"/>
              </w:rPr>
              <w:t>（章）</w:t>
            </w:r>
            <w:r>
              <w:rPr>
                <w:rFonts w:hint="eastAsia" w:ascii="宋体" w:hAnsi="宋体" w:eastAsia="宋体" w:cs="宋体"/>
                <w:color w:val="auto"/>
                <w:szCs w:val="21"/>
                <w:highlight w:val="none"/>
              </w:rPr>
              <w:t xml:space="preserve">              </w:t>
            </w:r>
          </w:p>
          <w:p>
            <w:pPr>
              <w:snapToGrid w:val="0"/>
              <w:spacing w:before="120"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单位地址：广西南宁市双拥路6号</w:t>
            </w:r>
          </w:p>
        </w:tc>
        <w:tc>
          <w:tcPr>
            <w:tcW w:w="48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48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c>
          <w:tcPr>
            <w:tcW w:w="48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电话：0771-5356387</w:t>
            </w:r>
          </w:p>
        </w:tc>
        <w:tc>
          <w:tcPr>
            <w:tcW w:w="48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48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lang w:eastAsia="zh-CN"/>
              </w:rPr>
              <w:t>广西南宁建行医科大支行</w:t>
            </w:r>
          </w:p>
        </w:tc>
        <w:tc>
          <w:tcPr>
            <w:tcW w:w="48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lang w:val="en-US" w:eastAsia="zh-CN"/>
              </w:rPr>
              <w:t>4500 1604 5600 5050 1061</w:t>
            </w:r>
          </w:p>
        </w:tc>
        <w:tc>
          <w:tcPr>
            <w:tcW w:w="48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8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bl>
    <w:p>
      <w:pPr>
        <w:spacing w:line="360" w:lineRule="auto"/>
        <w:rPr>
          <w:rFonts w:asciiTheme="minorEastAsia" w:hAnsiTheme="minorEastAsia"/>
          <w:color w:val="auto"/>
          <w:sz w:val="24"/>
          <w:highlight w:val="none"/>
        </w:rPr>
      </w:pPr>
    </w:p>
    <w:p>
      <w:pPr>
        <w:rPr>
          <w:rFonts w:hint="eastAsia"/>
          <w:color w:val="auto"/>
          <w:highlight w:val="none"/>
          <w:lang w:val="en-US" w:eastAsia="zh-CN"/>
        </w:rPr>
      </w:pPr>
    </w:p>
    <w:p>
      <w:pPr>
        <w:rPr>
          <w:color w:val="auto"/>
          <w:highlight w:val="none"/>
        </w:rPr>
      </w:pPr>
    </w:p>
    <w:p>
      <w:pPr>
        <w:spacing w:before="120" w:line="320" w:lineRule="atLeast"/>
        <w:jc w:val="left"/>
        <w:outlineLvl w:val="1"/>
        <w:rPr>
          <w:rFonts w:ascii="Arial" w:hAnsi="Arial" w:cs="Arial"/>
          <w:b/>
          <w:bCs/>
          <w:color w:val="auto"/>
          <w:kern w:val="0"/>
          <w:szCs w:val="21"/>
          <w:highlight w:val="none"/>
        </w:rPr>
      </w:pPr>
    </w:p>
    <w:p>
      <w:pPr>
        <w:rPr>
          <w:rFonts w:ascii="Arial" w:hAnsi="Arial" w:cs="Arial"/>
          <w:b/>
          <w:bCs/>
          <w:color w:val="auto"/>
          <w:kern w:val="0"/>
          <w:szCs w:val="21"/>
          <w:highlight w:val="none"/>
        </w:rPr>
      </w:pPr>
      <w:r>
        <w:rPr>
          <w:rFonts w:ascii="Arial" w:hAnsi="Arial" w:cs="Arial"/>
          <w:b/>
          <w:bCs/>
          <w:color w:val="auto"/>
          <w:kern w:val="0"/>
          <w:szCs w:val="21"/>
          <w:highlight w:val="none"/>
        </w:rPr>
        <w:br w:type="page"/>
      </w:r>
    </w:p>
    <w:p>
      <w:pPr>
        <w:spacing w:before="120" w:line="320" w:lineRule="atLeast"/>
        <w:jc w:val="left"/>
        <w:outlineLvl w:val="1"/>
        <w:rPr>
          <w:rFonts w:ascii="Arial" w:hAnsi="Arial" w:cs="Arial"/>
          <w:b/>
          <w:bCs/>
          <w:color w:val="auto"/>
          <w:kern w:val="0"/>
          <w:szCs w:val="21"/>
          <w:highlight w:val="none"/>
        </w:rPr>
      </w:pPr>
      <w:r>
        <w:rPr>
          <w:rFonts w:ascii="Arial" w:hAnsi="Arial" w:cs="Arial"/>
          <w:b/>
          <w:bCs/>
          <w:color w:val="auto"/>
          <w:kern w:val="0"/>
          <w:szCs w:val="21"/>
          <w:highlight w:val="none"/>
        </w:rPr>
        <w:t>合同附件1</w:t>
      </w:r>
    </w:p>
    <w:p>
      <w:pPr>
        <w:snapToGrid w:val="0"/>
        <w:spacing w:line="360" w:lineRule="exact"/>
        <w:jc w:val="center"/>
        <w:rPr>
          <w:rFonts w:ascii="Arial" w:hAnsi="Arial" w:cs="Arial"/>
          <w:b/>
          <w:bCs/>
          <w:color w:val="auto"/>
          <w:szCs w:val="21"/>
          <w:highlight w:val="none"/>
        </w:rPr>
      </w:pPr>
      <w:bookmarkStart w:id="140" w:name="_Hlk80978015"/>
    </w:p>
    <w:p>
      <w:pPr>
        <w:snapToGrid w:val="0"/>
        <w:spacing w:line="360" w:lineRule="exact"/>
        <w:jc w:val="center"/>
        <w:rPr>
          <w:rFonts w:ascii="Arial" w:hAnsi="Arial" w:cs="Arial"/>
          <w:b/>
          <w:bCs/>
          <w:color w:val="auto"/>
          <w:szCs w:val="21"/>
          <w:highlight w:val="none"/>
        </w:rPr>
      </w:pPr>
      <w:bookmarkStart w:id="141" w:name="_Hlk77607667"/>
      <w:r>
        <w:rPr>
          <w:rFonts w:ascii="Arial" w:hAnsi="Arial" w:cs="Arial"/>
          <w:b/>
          <w:bCs/>
          <w:color w:val="auto"/>
          <w:szCs w:val="21"/>
          <w:highlight w:val="none"/>
        </w:rPr>
        <w:t>履约验收方案</w:t>
      </w:r>
    </w:p>
    <w:p>
      <w:pPr>
        <w:widowControl/>
        <w:jc w:val="left"/>
        <w:rPr>
          <w:rFonts w:ascii="Arial" w:hAnsi="Arial" w:cs="Arial"/>
          <w:color w:val="auto"/>
          <w:szCs w:val="21"/>
          <w:highlight w:val="none"/>
        </w:rPr>
      </w:pPr>
    </w:p>
    <w:p>
      <w:pPr>
        <w:pStyle w:val="32"/>
        <w:ind w:firstLineChars="0"/>
        <w:rPr>
          <w:rFonts w:ascii="Arial" w:hAnsi="Arial" w:eastAsia="宋体" w:cs="Arial"/>
          <w:color w:val="auto"/>
          <w:kern w:val="2"/>
          <w:sz w:val="21"/>
          <w:szCs w:val="21"/>
          <w:highlight w:val="none"/>
        </w:rPr>
      </w:pPr>
    </w:p>
    <w:p>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1.履约验收工作参加人员</w:t>
      </w:r>
    </w:p>
    <w:p>
      <w:pPr>
        <w:spacing w:before="120" w:line="320" w:lineRule="exact"/>
        <w:jc w:val="left"/>
        <w:rPr>
          <w:rFonts w:ascii="Arial" w:hAnsi="Arial" w:cs="Arial"/>
          <w:color w:val="auto"/>
          <w:szCs w:val="21"/>
          <w:highlight w:val="none"/>
        </w:rPr>
      </w:pPr>
      <w:r>
        <w:rPr>
          <w:rFonts w:ascii="Arial" w:hAnsi="Arial" w:cs="Arial"/>
          <w:b/>
          <w:bCs/>
          <w:color w:val="auto"/>
          <w:szCs w:val="21"/>
          <w:highlight w:val="none"/>
        </w:rPr>
        <w:t>1.1履约验收主体单位</w:t>
      </w:r>
    </w:p>
    <w:p>
      <w:pPr>
        <w:spacing w:before="120" w:line="320" w:lineRule="exact"/>
        <w:ind w:firstLine="420" w:firstLineChars="200"/>
        <w:jc w:val="left"/>
        <w:rPr>
          <w:rFonts w:ascii="Arial" w:hAnsi="Arial" w:cs="Arial"/>
          <w:color w:val="auto"/>
          <w:szCs w:val="21"/>
          <w:highlight w:val="none"/>
          <w:u w:val="single"/>
        </w:rPr>
      </w:pPr>
      <w:r>
        <w:rPr>
          <w:rStyle w:val="26"/>
          <w:rFonts w:ascii="Arial" w:hAnsi="Arial" w:cs="Arial"/>
          <w:color w:val="auto"/>
          <w:highlight w:val="none"/>
        </w:rPr>
        <w:t>采购人或采购人委托的机构</w:t>
      </w:r>
    </w:p>
    <w:p>
      <w:pPr>
        <w:spacing w:before="120" w:line="320" w:lineRule="exact"/>
        <w:jc w:val="left"/>
        <w:rPr>
          <w:rFonts w:ascii="Arial" w:hAnsi="Arial" w:cs="Arial"/>
          <w:color w:val="auto"/>
          <w:szCs w:val="21"/>
          <w:highlight w:val="none"/>
        </w:rPr>
      </w:pPr>
      <w:r>
        <w:rPr>
          <w:rFonts w:ascii="Arial" w:hAnsi="Arial" w:cs="Arial"/>
          <w:b/>
          <w:bCs/>
          <w:color w:val="auto"/>
          <w:szCs w:val="21"/>
          <w:highlight w:val="none"/>
        </w:rPr>
        <w:t>1.2履约验收参加人员</w:t>
      </w:r>
    </w:p>
    <w:p>
      <w:pPr>
        <w:spacing w:before="120" w:line="320" w:lineRule="exact"/>
        <w:ind w:firstLine="420" w:firstLineChars="200"/>
        <w:jc w:val="left"/>
        <w:rPr>
          <w:rFonts w:ascii="Arial" w:hAnsi="Arial" w:cs="Arial"/>
          <w:color w:val="auto"/>
          <w:szCs w:val="21"/>
          <w:highlight w:val="none"/>
          <w:u w:val="single"/>
        </w:rPr>
      </w:pPr>
      <w:r>
        <w:rPr>
          <w:rFonts w:ascii="Arial" w:hAnsi="Arial" w:cs="Arial"/>
          <w:color w:val="auto"/>
          <w:highlight w:val="none"/>
        </w:rPr>
        <w:t>采购人代表、委托机构代表、中标人代表及采购人邀请的其他人员</w:t>
      </w:r>
    </w:p>
    <w:p>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2.履约验收时间</w:t>
      </w:r>
    </w:p>
    <w:p>
      <w:pPr>
        <w:spacing w:before="120" w:line="320" w:lineRule="exact"/>
        <w:ind w:firstLine="630" w:firstLineChars="300"/>
        <w:jc w:val="left"/>
        <w:rPr>
          <w:rFonts w:ascii="Arial" w:hAnsi="Arial" w:cs="Arial"/>
          <w:color w:val="auto"/>
          <w:szCs w:val="21"/>
          <w:highlight w:val="none"/>
        </w:rPr>
      </w:pPr>
      <w:r>
        <w:rPr>
          <w:rFonts w:ascii="Arial" w:hAnsi="Arial" w:cs="Arial"/>
          <w:color w:val="auto"/>
          <w:szCs w:val="21"/>
          <w:highlight w:val="none"/>
        </w:rPr>
        <w:t>年月日</w:t>
      </w:r>
    </w:p>
    <w:p>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3.履约验收地点</w:t>
      </w:r>
    </w:p>
    <w:p>
      <w:pPr>
        <w:spacing w:before="120" w:line="320" w:lineRule="exact"/>
        <w:jc w:val="left"/>
        <w:rPr>
          <w:rFonts w:ascii="Arial" w:hAnsi="Arial" w:cs="Arial"/>
          <w:color w:val="auto"/>
          <w:szCs w:val="21"/>
          <w:highlight w:val="none"/>
        </w:rPr>
      </w:pPr>
      <w:r>
        <w:rPr>
          <w:rFonts w:ascii="Arial" w:hAnsi="Arial" w:cs="Arial"/>
          <w:color w:val="auto"/>
          <w:szCs w:val="21"/>
          <w:highlight w:val="none"/>
        </w:rPr>
        <w:t>广西南宁市双拥路6号</w:t>
      </w:r>
    </w:p>
    <w:p>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4.履约验收方式</w:t>
      </w:r>
    </w:p>
    <w:p>
      <w:pPr>
        <w:spacing w:before="120" w:line="320" w:lineRule="exact"/>
        <w:jc w:val="left"/>
        <w:rPr>
          <w:rFonts w:ascii="Arial" w:hAnsi="Arial" w:cs="Arial"/>
          <w:b/>
          <w:bCs/>
          <w:color w:val="auto"/>
          <w:szCs w:val="21"/>
          <w:highlight w:val="none"/>
        </w:rPr>
      </w:pPr>
      <w:r>
        <w:rPr>
          <w:rFonts w:ascii="Arial" w:hAnsi="Arial" w:cs="Arial"/>
          <w:color w:val="auto"/>
          <w:szCs w:val="21"/>
          <w:highlight w:val="none"/>
        </w:rPr>
        <w:t>采购人自行验收</w:t>
      </w:r>
    </w:p>
    <w:p>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5.履约验收程序</w:t>
      </w:r>
    </w:p>
    <w:p>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5.1成立验收小组</w:t>
      </w:r>
    </w:p>
    <w:p>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5.2量化验收标准</w:t>
      </w:r>
    </w:p>
    <w:p>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5.3组织验收</w:t>
      </w:r>
    </w:p>
    <w:p>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5.4出具验收报告</w:t>
      </w:r>
    </w:p>
    <w:p>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5.5验收结果公告</w:t>
      </w:r>
    </w:p>
    <w:p>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5.6验收资料归档</w:t>
      </w:r>
    </w:p>
    <w:p>
      <w:pPr>
        <w:spacing w:before="120" w:line="320" w:lineRule="exact"/>
        <w:ind w:firstLine="420" w:firstLineChars="200"/>
        <w:jc w:val="left"/>
        <w:rPr>
          <w:rFonts w:ascii="Arial" w:hAnsi="Arial" w:cs="Arial"/>
          <w:color w:val="auto"/>
          <w:szCs w:val="21"/>
          <w:highlight w:val="none"/>
        </w:rPr>
      </w:pPr>
      <w:r>
        <w:rPr>
          <w:rFonts w:ascii="Arial" w:hAnsi="Arial" w:cs="Arial"/>
          <w:color w:val="auto"/>
          <w:szCs w:val="21"/>
          <w:highlight w:val="none"/>
        </w:rPr>
        <w:t>采购合同项目完成验收后，采购人整理好验收原始记录、验收书等资料后妥善保管，不得变造、隐匿或者销毁，验收资料保存期为采购结束之日起至少保存15年。</w:t>
      </w:r>
    </w:p>
    <w:p>
      <w:pPr>
        <w:spacing w:before="120" w:line="320" w:lineRule="exact"/>
        <w:jc w:val="left"/>
        <w:rPr>
          <w:rFonts w:ascii="Arial" w:hAnsi="Arial" w:cs="Arial"/>
          <w:b/>
          <w:bCs/>
          <w:iCs/>
          <w:color w:val="auto"/>
          <w:szCs w:val="21"/>
          <w:highlight w:val="none"/>
        </w:rPr>
      </w:pPr>
      <w:r>
        <w:rPr>
          <w:rFonts w:ascii="Arial" w:hAnsi="Arial" w:cs="Arial"/>
          <w:b/>
          <w:bCs/>
          <w:color w:val="auto"/>
          <w:szCs w:val="21"/>
          <w:highlight w:val="none"/>
        </w:rPr>
        <w:t>6.履约验收内容</w:t>
      </w:r>
    </w:p>
    <w:p>
      <w:pPr>
        <w:spacing w:before="120" w:line="320" w:lineRule="exact"/>
        <w:jc w:val="left"/>
        <w:rPr>
          <w:rFonts w:ascii="Arial" w:hAnsi="Arial" w:cs="Arial"/>
          <w:iCs/>
          <w:color w:val="auto"/>
          <w:szCs w:val="21"/>
          <w:highlight w:val="none"/>
        </w:rPr>
      </w:pPr>
      <w:r>
        <w:rPr>
          <w:rFonts w:ascii="Arial" w:hAnsi="Arial" w:cs="Arial"/>
          <w:b/>
          <w:bCs/>
          <w:color w:val="auto"/>
          <w:szCs w:val="21"/>
          <w:highlight w:val="none"/>
        </w:rPr>
        <w:t>6.1商务验收内容</w:t>
      </w:r>
    </w:p>
    <w:p>
      <w:pPr>
        <w:spacing w:before="120" w:line="320" w:lineRule="exact"/>
        <w:ind w:firstLine="420" w:firstLineChars="200"/>
        <w:jc w:val="left"/>
        <w:rPr>
          <w:rFonts w:ascii="Arial" w:hAnsi="Arial" w:eastAsia="Microsoft YaHei UI" w:cs="Arial"/>
          <w:color w:val="auto"/>
          <w:szCs w:val="21"/>
          <w:highlight w:val="none"/>
          <w:u w:val="single"/>
        </w:rPr>
      </w:pPr>
      <w:r>
        <w:rPr>
          <w:rFonts w:ascii="Arial" w:hAnsi="Arial" w:cs="Arial"/>
          <w:color w:val="auto"/>
          <w:szCs w:val="21"/>
          <w:highlight w:val="none"/>
        </w:rPr>
        <w:t>对采购标的交付的情况、财务和服务要求，包括交付（实施）的时间（期限）和地点（范围），付款条件（进度和方式），包装和运输，售后服务，保险等进行验收。</w:t>
      </w:r>
    </w:p>
    <w:p>
      <w:pPr>
        <w:spacing w:before="120" w:line="320" w:lineRule="exact"/>
        <w:jc w:val="left"/>
        <w:rPr>
          <w:rFonts w:ascii="Arial" w:hAnsi="Arial" w:cs="Arial"/>
          <w:iCs/>
          <w:color w:val="auto"/>
          <w:szCs w:val="21"/>
          <w:highlight w:val="none"/>
        </w:rPr>
      </w:pPr>
      <w:r>
        <w:rPr>
          <w:rFonts w:ascii="Arial" w:hAnsi="Arial" w:cs="Arial"/>
          <w:b/>
          <w:bCs/>
          <w:color w:val="auto"/>
          <w:szCs w:val="21"/>
          <w:highlight w:val="none"/>
        </w:rPr>
        <w:t>6.2技术验收内容</w:t>
      </w:r>
    </w:p>
    <w:p>
      <w:pPr>
        <w:spacing w:before="120" w:line="320" w:lineRule="exact"/>
        <w:ind w:firstLine="420" w:firstLineChars="200"/>
        <w:jc w:val="left"/>
        <w:rPr>
          <w:rFonts w:ascii="Arial" w:hAnsi="Arial" w:cs="Arial"/>
          <w:color w:val="auto"/>
          <w:szCs w:val="21"/>
          <w:highlight w:val="none"/>
          <w:u w:val="single"/>
        </w:rPr>
      </w:pPr>
      <w:r>
        <w:rPr>
          <w:rFonts w:ascii="Arial" w:hAnsi="Arial" w:cs="Arial"/>
          <w:color w:val="auto"/>
          <w:szCs w:val="21"/>
          <w:highlight w:val="none"/>
        </w:rPr>
        <w:t>对采购标的的功能和质量要求，包括性能、材料、结构、外观、安全，或者服务内容和标准等进行验收。</w:t>
      </w:r>
    </w:p>
    <w:p>
      <w:pPr>
        <w:spacing w:before="120" w:line="320" w:lineRule="exact"/>
        <w:jc w:val="left"/>
        <w:rPr>
          <w:rFonts w:ascii="Arial" w:hAnsi="Arial" w:cs="Arial"/>
          <w:b/>
          <w:bCs/>
          <w:color w:val="auto"/>
          <w:szCs w:val="21"/>
          <w:highlight w:val="none"/>
        </w:rPr>
      </w:pPr>
      <w:r>
        <w:rPr>
          <w:rFonts w:ascii="Arial" w:hAnsi="Arial" w:cs="Arial"/>
          <w:b/>
          <w:bCs/>
          <w:color w:val="auto"/>
          <w:szCs w:val="21"/>
          <w:highlight w:val="none"/>
        </w:rPr>
        <w:t>7.履约验收标准</w:t>
      </w:r>
    </w:p>
    <w:p>
      <w:pPr>
        <w:pStyle w:val="32"/>
        <w:spacing w:before="120" w:line="320" w:lineRule="exact"/>
        <w:ind w:firstLine="420"/>
        <w:rPr>
          <w:rFonts w:ascii="Arial" w:hAnsi="Arial" w:eastAsia="宋体" w:cs="Arial"/>
          <w:color w:val="auto"/>
          <w:sz w:val="21"/>
          <w:szCs w:val="21"/>
          <w:highlight w:val="none"/>
        </w:rPr>
      </w:pPr>
      <w:r>
        <w:rPr>
          <w:rFonts w:ascii="Arial" w:hAnsi="Arial" w:eastAsia="宋体" w:cs="Arial"/>
          <w:color w:val="auto"/>
          <w:sz w:val="21"/>
          <w:szCs w:val="21"/>
          <w:highlight w:val="none"/>
        </w:rPr>
        <w:t>货物（服务）类验收标准：</w:t>
      </w:r>
    </w:p>
    <w:p>
      <w:pPr>
        <w:pStyle w:val="32"/>
        <w:spacing w:before="120" w:line="320" w:lineRule="exact"/>
        <w:ind w:firstLine="420"/>
        <w:rPr>
          <w:rFonts w:ascii="Arial" w:hAnsi="Arial" w:cs="Arial"/>
          <w:color w:val="auto"/>
          <w:sz w:val="21"/>
          <w:szCs w:val="21"/>
          <w:highlight w:val="none"/>
        </w:rPr>
      </w:pPr>
      <w:r>
        <w:rPr>
          <w:rFonts w:ascii="Arial" w:hAnsi="Arial" w:cs="Arial" w:eastAsiaTheme="minorEastAsia"/>
          <w:color w:val="auto"/>
          <w:sz w:val="21"/>
          <w:szCs w:val="21"/>
          <w:highlight w:val="none"/>
        </w:rPr>
        <w:t>（1）中标（成交）</w:t>
      </w:r>
      <w:r>
        <w:rPr>
          <w:rFonts w:hint="eastAsia" w:ascii="Arial" w:hAnsi="Arial" w:cs="Arial" w:eastAsiaTheme="minorEastAsia"/>
          <w:color w:val="auto"/>
          <w:sz w:val="21"/>
          <w:szCs w:val="21"/>
          <w:highlight w:val="none"/>
          <w:lang w:eastAsia="zh-CN"/>
        </w:rPr>
        <w:t>竞标人</w:t>
      </w:r>
      <w:r>
        <w:rPr>
          <w:rFonts w:ascii="Arial" w:hAnsi="Arial" w:cs="Arial" w:eastAsiaTheme="minorEastAsia"/>
          <w:color w:val="auto"/>
          <w:sz w:val="21"/>
          <w:szCs w:val="21"/>
          <w:highlight w:val="none"/>
        </w:rPr>
        <w:t>应提供完备的技术或服务资料、装箱单和合格证等，并派遣专业人员进行现场安装调试。验收合格条件如下：</w:t>
      </w:r>
    </w:p>
    <w:p>
      <w:pPr>
        <w:spacing w:before="120" w:line="320" w:lineRule="exact"/>
        <w:rPr>
          <w:rFonts w:ascii="Arial" w:hAnsi="Arial" w:cs="Arial"/>
          <w:color w:val="auto"/>
          <w:szCs w:val="21"/>
          <w:highlight w:val="none"/>
        </w:rPr>
      </w:pPr>
      <w:r>
        <w:rPr>
          <w:rFonts w:ascii="Arial" w:hAnsi="Arial" w:cs="Arial"/>
          <w:color w:val="auto"/>
          <w:szCs w:val="21"/>
          <w:highlight w:val="none"/>
        </w:rPr>
        <w:t>货物或服务技术参数与</w:t>
      </w:r>
      <w:r>
        <w:rPr>
          <w:rFonts w:hint="eastAsia" w:ascii="Arial" w:hAnsi="Arial" w:cs="Arial"/>
          <w:color w:val="auto"/>
          <w:szCs w:val="21"/>
          <w:highlight w:val="none"/>
        </w:rPr>
        <w:t>竞标文件</w:t>
      </w:r>
      <w:r>
        <w:rPr>
          <w:rFonts w:ascii="Arial" w:hAnsi="Arial" w:cs="Arial"/>
          <w:color w:val="auto"/>
          <w:szCs w:val="21"/>
          <w:highlight w:val="none"/>
        </w:rPr>
        <w:t>中响应表或证明材料一致，性能或指标达到规定的标准。否则，以实际货物或服务技术参数与</w:t>
      </w:r>
      <w:r>
        <w:rPr>
          <w:rFonts w:hint="eastAsia" w:ascii="Arial" w:hAnsi="Arial" w:cs="Arial"/>
          <w:color w:val="auto"/>
          <w:szCs w:val="21"/>
          <w:highlight w:val="none"/>
        </w:rPr>
        <w:t>竞标文件</w:t>
      </w:r>
      <w:r>
        <w:rPr>
          <w:rFonts w:ascii="Arial" w:hAnsi="Arial" w:cs="Arial"/>
          <w:color w:val="auto"/>
          <w:szCs w:val="21"/>
          <w:highlight w:val="none"/>
        </w:rPr>
        <w:t>响应表参数或证明材料比较，按如下情况处理：</w:t>
      </w:r>
    </w:p>
    <w:p>
      <w:pPr>
        <w:spacing w:before="120" w:line="320" w:lineRule="exact"/>
        <w:rPr>
          <w:rFonts w:ascii="Arial" w:hAnsi="Arial" w:cs="Arial"/>
          <w:color w:val="auto"/>
          <w:szCs w:val="21"/>
          <w:highlight w:val="none"/>
        </w:rPr>
      </w:pPr>
      <w:r>
        <w:rPr>
          <w:rFonts w:hint="eastAsia" w:ascii="宋体" w:hAnsi="宋体" w:cs="宋体"/>
          <w:color w:val="auto"/>
          <w:szCs w:val="21"/>
          <w:highlight w:val="none"/>
        </w:rPr>
        <w:t>①</w:t>
      </w:r>
      <w:r>
        <w:rPr>
          <w:rFonts w:hint="eastAsia" w:ascii="Arial" w:hAnsi="Arial" w:cs="Arial"/>
          <w:color w:val="auto"/>
          <w:szCs w:val="21"/>
          <w:highlight w:val="none"/>
          <w:lang w:eastAsia="zh-CN"/>
        </w:rPr>
        <w:t>竞标人</w:t>
      </w:r>
      <w:r>
        <w:rPr>
          <w:rFonts w:hint="eastAsia" w:ascii="Arial" w:hAnsi="Arial" w:cs="Arial"/>
          <w:color w:val="auto"/>
          <w:szCs w:val="21"/>
          <w:highlight w:val="none"/>
        </w:rPr>
        <w:t>竞标文件</w:t>
      </w:r>
      <w:r>
        <w:rPr>
          <w:rFonts w:ascii="Arial" w:hAnsi="Arial" w:cs="Arial"/>
          <w:color w:val="auto"/>
          <w:szCs w:val="21"/>
          <w:highlight w:val="none"/>
        </w:rPr>
        <w:t>响应表或证明材料中满足或优于的技术参数，在验收时实际不满足技术参数要求的，视为供货商违约，采购人有权终止合同拒收货物，并追究</w:t>
      </w:r>
      <w:r>
        <w:rPr>
          <w:rFonts w:hint="eastAsia" w:ascii="Arial" w:hAnsi="Arial" w:cs="Arial"/>
          <w:color w:val="auto"/>
          <w:szCs w:val="21"/>
          <w:highlight w:val="none"/>
          <w:lang w:eastAsia="zh-CN"/>
        </w:rPr>
        <w:t>竞标人</w:t>
      </w:r>
      <w:r>
        <w:rPr>
          <w:rFonts w:ascii="Arial" w:hAnsi="Arial" w:cs="Arial"/>
          <w:color w:val="auto"/>
          <w:szCs w:val="21"/>
          <w:highlight w:val="none"/>
        </w:rPr>
        <w:t>责任，同时报财政部门备案。</w:t>
      </w:r>
    </w:p>
    <w:p>
      <w:pPr>
        <w:spacing w:before="120" w:line="320" w:lineRule="exact"/>
        <w:rPr>
          <w:rFonts w:ascii="Arial" w:hAnsi="Arial" w:cs="Arial"/>
          <w:color w:val="auto"/>
          <w:szCs w:val="21"/>
          <w:highlight w:val="none"/>
        </w:rPr>
      </w:pPr>
      <w:r>
        <w:rPr>
          <w:rFonts w:hint="eastAsia" w:ascii="宋体" w:hAnsi="宋体" w:cs="宋体"/>
          <w:color w:val="auto"/>
          <w:szCs w:val="21"/>
          <w:highlight w:val="none"/>
        </w:rPr>
        <w:t>②</w:t>
      </w:r>
      <w:r>
        <w:rPr>
          <w:rFonts w:hint="eastAsia" w:ascii="Arial" w:hAnsi="Arial" w:cs="Arial"/>
          <w:color w:val="auto"/>
          <w:szCs w:val="21"/>
          <w:highlight w:val="none"/>
          <w:lang w:eastAsia="zh-CN"/>
        </w:rPr>
        <w:t>竞标人</w:t>
      </w:r>
      <w:r>
        <w:rPr>
          <w:rFonts w:hint="eastAsia" w:ascii="Arial" w:hAnsi="Arial" w:cs="Arial"/>
          <w:color w:val="auto"/>
          <w:szCs w:val="21"/>
          <w:highlight w:val="none"/>
        </w:rPr>
        <w:t>竞标文件</w:t>
      </w:r>
      <w:r>
        <w:rPr>
          <w:rFonts w:ascii="Arial" w:hAnsi="Arial" w:cs="Arial"/>
          <w:color w:val="auto"/>
          <w:szCs w:val="21"/>
          <w:highlight w:val="none"/>
        </w:rPr>
        <w:t>响应表或证明材料中优于的技术参数，在验收时实际仅满足并未优于技术参数要求的，视为供货商违约，采购人有权终止合同拒收货物，并追究</w:t>
      </w:r>
      <w:r>
        <w:rPr>
          <w:rFonts w:hint="eastAsia" w:ascii="Arial" w:hAnsi="Arial" w:cs="Arial"/>
          <w:color w:val="auto"/>
          <w:szCs w:val="21"/>
          <w:highlight w:val="none"/>
          <w:lang w:eastAsia="zh-CN"/>
        </w:rPr>
        <w:t>竞标人</w:t>
      </w:r>
      <w:r>
        <w:rPr>
          <w:rFonts w:ascii="Arial" w:hAnsi="Arial" w:cs="Arial"/>
          <w:color w:val="auto"/>
          <w:szCs w:val="21"/>
          <w:highlight w:val="none"/>
        </w:rPr>
        <w:t>责任，同时报财政部门备案。</w:t>
      </w:r>
    </w:p>
    <w:p>
      <w:pPr>
        <w:spacing w:before="120" w:line="320" w:lineRule="exact"/>
        <w:rPr>
          <w:rFonts w:ascii="Arial" w:hAnsi="Arial" w:cs="Arial"/>
          <w:color w:val="auto"/>
          <w:szCs w:val="21"/>
          <w:highlight w:val="none"/>
        </w:rPr>
      </w:pPr>
      <w:r>
        <w:rPr>
          <w:rFonts w:hint="eastAsia" w:ascii="宋体" w:hAnsi="宋体" w:cs="宋体"/>
          <w:color w:val="auto"/>
          <w:szCs w:val="21"/>
          <w:highlight w:val="none"/>
        </w:rPr>
        <w:t>③</w:t>
      </w:r>
      <w:r>
        <w:rPr>
          <w:rFonts w:hint="eastAsia" w:ascii="Arial" w:hAnsi="Arial" w:cs="Arial"/>
          <w:color w:val="auto"/>
          <w:szCs w:val="21"/>
          <w:highlight w:val="none"/>
          <w:lang w:eastAsia="zh-CN"/>
        </w:rPr>
        <w:t>竞标人</w:t>
      </w:r>
      <w:r>
        <w:rPr>
          <w:rFonts w:hint="eastAsia" w:ascii="Arial" w:hAnsi="Arial" w:cs="Arial"/>
          <w:color w:val="auto"/>
          <w:szCs w:val="21"/>
          <w:highlight w:val="none"/>
        </w:rPr>
        <w:t>竞标文件</w:t>
      </w:r>
      <w:r>
        <w:rPr>
          <w:rFonts w:ascii="Arial" w:hAnsi="Arial" w:cs="Arial"/>
          <w:color w:val="auto"/>
          <w:szCs w:val="21"/>
          <w:highlight w:val="none"/>
        </w:rPr>
        <w:t xml:space="preserve">响应表或证明材料中不满足的技术参数，在验收时实际满足技术参数的要求，以满足技术参数的要求验收。 </w:t>
      </w:r>
    </w:p>
    <w:p>
      <w:pPr>
        <w:spacing w:before="120" w:line="320" w:lineRule="exact"/>
        <w:rPr>
          <w:rFonts w:ascii="Arial" w:hAnsi="Arial" w:cs="Arial"/>
          <w:color w:val="auto"/>
          <w:szCs w:val="21"/>
          <w:highlight w:val="none"/>
        </w:rPr>
      </w:pPr>
      <w:r>
        <w:rPr>
          <w:rFonts w:hint="eastAsia" w:ascii="宋体" w:hAnsi="宋体" w:cs="宋体"/>
          <w:color w:val="auto"/>
          <w:szCs w:val="21"/>
          <w:highlight w:val="none"/>
        </w:rPr>
        <w:t>④</w:t>
      </w:r>
      <w:r>
        <w:rPr>
          <w:rFonts w:hint="eastAsia" w:ascii="Arial" w:hAnsi="Arial" w:cs="Arial"/>
          <w:color w:val="auto"/>
          <w:szCs w:val="21"/>
          <w:highlight w:val="none"/>
          <w:lang w:eastAsia="zh-CN"/>
        </w:rPr>
        <w:t>竞标人</w:t>
      </w:r>
      <w:r>
        <w:rPr>
          <w:rFonts w:hint="eastAsia" w:ascii="Arial" w:hAnsi="Arial" w:cs="Arial"/>
          <w:color w:val="auto"/>
          <w:szCs w:val="21"/>
          <w:highlight w:val="none"/>
        </w:rPr>
        <w:t>竞标文件</w:t>
      </w:r>
      <w:r>
        <w:rPr>
          <w:rFonts w:ascii="Arial" w:hAnsi="Arial" w:cs="Arial"/>
          <w:color w:val="auto"/>
          <w:szCs w:val="21"/>
          <w:highlight w:val="none"/>
        </w:rPr>
        <w:t>响应表或证明材料中满足的技术参数，在验收时实际优于技术参数的要求，以满足技术参数的要求验收。</w:t>
      </w:r>
    </w:p>
    <w:p>
      <w:pPr>
        <w:spacing w:before="120" w:line="320" w:lineRule="exact"/>
        <w:rPr>
          <w:rFonts w:ascii="Arial" w:hAnsi="Arial" w:cs="Arial"/>
          <w:color w:val="auto"/>
          <w:szCs w:val="21"/>
          <w:highlight w:val="none"/>
        </w:rPr>
      </w:pPr>
      <w:r>
        <w:rPr>
          <w:rFonts w:hint="eastAsia" w:ascii="宋体" w:hAnsi="宋体" w:cs="宋体"/>
          <w:color w:val="auto"/>
          <w:szCs w:val="21"/>
          <w:highlight w:val="none"/>
        </w:rPr>
        <w:t>⑤</w:t>
      </w:r>
      <w:r>
        <w:rPr>
          <w:rFonts w:hint="eastAsia" w:ascii="Arial" w:hAnsi="Arial" w:cs="Arial"/>
          <w:color w:val="auto"/>
          <w:szCs w:val="21"/>
          <w:highlight w:val="none"/>
          <w:lang w:eastAsia="zh-CN"/>
        </w:rPr>
        <w:t>竞标人</w:t>
      </w:r>
      <w:r>
        <w:rPr>
          <w:rFonts w:hint="eastAsia" w:ascii="Arial" w:hAnsi="Arial" w:cs="Arial"/>
          <w:color w:val="auto"/>
          <w:szCs w:val="21"/>
          <w:highlight w:val="none"/>
        </w:rPr>
        <w:t>竞标文件</w:t>
      </w:r>
      <w:r>
        <w:rPr>
          <w:rFonts w:ascii="Arial" w:hAnsi="Arial" w:cs="Arial"/>
          <w:color w:val="auto"/>
          <w:szCs w:val="21"/>
          <w:highlight w:val="none"/>
        </w:rPr>
        <w:t>响应表或证明材料中优于的技术参数，在验收时实际也优于技术参数的要求，但没有达到响应表或证明材料中优于的程度，由采购人与</w:t>
      </w:r>
      <w:r>
        <w:rPr>
          <w:rFonts w:hint="eastAsia" w:ascii="Arial" w:hAnsi="Arial" w:cs="Arial"/>
          <w:color w:val="auto"/>
          <w:szCs w:val="21"/>
          <w:highlight w:val="none"/>
          <w:lang w:eastAsia="zh-CN"/>
        </w:rPr>
        <w:t>竞标人</w:t>
      </w:r>
      <w:r>
        <w:rPr>
          <w:rFonts w:ascii="Arial" w:hAnsi="Arial" w:cs="Arial"/>
          <w:color w:val="auto"/>
          <w:szCs w:val="21"/>
          <w:highlight w:val="none"/>
        </w:rPr>
        <w:t>协商按是否满足要求验收。</w:t>
      </w:r>
    </w:p>
    <w:p>
      <w:pPr>
        <w:spacing w:before="120" w:line="320" w:lineRule="exact"/>
        <w:rPr>
          <w:rFonts w:ascii="Arial" w:hAnsi="Arial" w:cs="Arial"/>
          <w:color w:val="auto"/>
          <w:szCs w:val="21"/>
          <w:highlight w:val="none"/>
        </w:rPr>
      </w:pPr>
      <w:r>
        <w:rPr>
          <w:rFonts w:hint="eastAsia" w:ascii="宋体" w:hAnsi="宋体" w:cs="宋体"/>
          <w:color w:val="auto"/>
          <w:szCs w:val="21"/>
          <w:highlight w:val="none"/>
        </w:rPr>
        <w:t>⑥</w:t>
      </w:r>
      <w:r>
        <w:rPr>
          <w:rFonts w:ascii="Arial" w:hAnsi="Arial" w:cs="Arial"/>
          <w:color w:val="auto"/>
          <w:szCs w:val="21"/>
          <w:highlight w:val="none"/>
        </w:rPr>
        <w:t>实际货物与响应货物型号不一致的，验收时不论实际是优于还是满足技术参数的要求，采购人均有权终止合同拒收货物。如影响货物或服务的使用、质量、档次及采购人需求的，还可视为供货商违约，追究</w:t>
      </w:r>
      <w:r>
        <w:rPr>
          <w:rFonts w:hint="eastAsia" w:ascii="Arial" w:hAnsi="Arial" w:cs="Arial"/>
          <w:color w:val="auto"/>
          <w:szCs w:val="21"/>
          <w:highlight w:val="none"/>
          <w:lang w:eastAsia="zh-CN"/>
        </w:rPr>
        <w:t>竞标人</w:t>
      </w:r>
      <w:r>
        <w:rPr>
          <w:rFonts w:ascii="Arial" w:hAnsi="Arial" w:cs="Arial"/>
          <w:color w:val="auto"/>
          <w:szCs w:val="21"/>
          <w:highlight w:val="none"/>
        </w:rPr>
        <w:t>责任，同时报财政部门备案。</w:t>
      </w:r>
    </w:p>
    <w:p>
      <w:pPr>
        <w:spacing w:before="120" w:line="320" w:lineRule="exact"/>
        <w:ind w:firstLine="420" w:firstLineChars="200"/>
        <w:jc w:val="left"/>
        <w:rPr>
          <w:rFonts w:ascii="Arial" w:hAnsi="Arial" w:cs="Arial"/>
          <w:color w:val="auto"/>
          <w:szCs w:val="21"/>
          <w:highlight w:val="none"/>
        </w:rPr>
      </w:pPr>
      <w:r>
        <w:rPr>
          <w:rFonts w:ascii="Arial" w:hAnsi="Arial" w:cs="Arial"/>
          <w:color w:val="auto"/>
          <w:szCs w:val="21"/>
          <w:highlight w:val="none"/>
        </w:rPr>
        <w:t>（2）技术资料、装箱单、合格证等资料齐全。</w:t>
      </w:r>
    </w:p>
    <w:p>
      <w:pPr>
        <w:spacing w:before="120" w:line="320" w:lineRule="exact"/>
        <w:ind w:firstLine="420" w:firstLineChars="200"/>
        <w:jc w:val="left"/>
        <w:rPr>
          <w:rFonts w:ascii="Arial" w:hAnsi="Arial" w:cs="Arial"/>
          <w:color w:val="auto"/>
          <w:szCs w:val="21"/>
          <w:highlight w:val="none"/>
        </w:rPr>
      </w:pPr>
      <w:r>
        <w:rPr>
          <w:rFonts w:ascii="Arial" w:hAnsi="Arial" w:cs="Arial"/>
          <w:color w:val="auto"/>
          <w:szCs w:val="21"/>
          <w:highlight w:val="none"/>
        </w:rPr>
        <w:t>（3）在测试或试运行期间所出现的问题得到解决，并运行或工作正常。</w:t>
      </w:r>
    </w:p>
    <w:p>
      <w:pPr>
        <w:spacing w:before="120" w:line="320" w:lineRule="exact"/>
        <w:ind w:firstLine="420" w:firstLineChars="200"/>
        <w:jc w:val="left"/>
        <w:rPr>
          <w:rFonts w:ascii="Arial" w:hAnsi="Arial" w:cs="Arial"/>
          <w:color w:val="auto"/>
          <w:szCs w:val="21"/>
          <w:highlight w:val="none"/>
        </w:rPr>
      </w:pPr>
      <w:r>
        <w:rPr>
          <w:rFonts w:ascii="Arial" w:hAnsi="Arial" w:cs="Arial"/>
          <w:color w:val="auto"/>
          <w:szCs w:val="21"/>
          <w:highlight w:val="none"/>
        </w:rPr>
        <w:t>（4）在规定时间内完成交货及验收，并经采购人确认。</w:t>
      </w:r>
    </w:p>
    <w:p>
      <w:pPr>
        <w:spacing w:before="120" w:line="320" w:lineRule="exact"/>
        <w:ind w:firstLine="420" w:firstLineChars="200"/>
        <w:jc w:val="left"/>
        <w:rPr>
          <w:rFonts w:ascii="Arial" w:hAnsi="Arial" w:cs="Arial"/>
          <w:color w:val="auto"/>
          <w:szCs w:val="21"/>
          <w:highlight w:val="none"/>
        </w:rPr>
      </w:pPr>
      <w:r>
        <w:rPr>
          <w:rFonts w:ascii="Arial" w:hAnsi="Arial" w:cs="Arial"/>
          <w:color w:val="auto"/>
          <w:szCs w:val="21"/>
          <w:highlight w:val="none"/>
        </w:rPr>
        <w:t>（5）货物或服务在安装调试并试运行符合要求后，才作为最终验收。</w:t>
      </w:r>
    </w:p>
    <w:p>
      <w:pPr>
        <w:spacing w:before="120" w:line="320" w:lineRule="exact"/>
        <w:ind w:firstLine="420" w:firstLineChars="200"/>
        <w:jc w:val="left"/>
        <w:rPr>
          <w:rFonts w:ascii="Arial" w:hAnsi="Arial" w:cs="Arial"/>
          <w:color w:val="auto"/>
          <w:szCs w:val="21"/>
          <w:highlight w:val="none"/>
        </w:rPr>
      </w:pPr>
      <w:r>
        <w:rPr>
          <w:rFonts w:ascii="Arial" w:hAnsi="Arial" w:cs="Arial"/>
          <w:color w:val="auto"/>
          <w:szCs w:val="21"/>
          <w:highlight w:val="none"/>
        </w:rPr>
        <w:t>（6）中标人提供的货物或服务未达到招标文件规定要求，且对采购人造成损失的，由中标人承担一切责任，并赔偿所造成的损失。</w:t>
      </w:r>
    </w:p>
    <w:p>
      <w:pPr>
        <w:spacing w:before="120" w:line="320" w:lineRule="exact"/>
        <w:ind w:firstLine="420" w:firstLineChars="200"/>
        <w:jc w:val="left"/>
        <w:rPr>
          <w:rFonts w:ascii="Arial" w:hAnsi="Arial" w:cs="Arial"/>
          <w:color w:val="auto"/>
          <w:szCs w:val="21"/>
          <w:highlight w:val="none"/>
        </w:rPr>
      </w:pPr>
      <w:r>
        <w:rPr>
          <w:rFonts w:ascii="Arial" w:hAnsi="Arial" w:cs="Arial"/>
          <w:color w:val="auto"/>
          <w:szCs w:val="21"/>
          <w:highlight w:val="none"/>
        </w:rPr>
        <w:t>（7）采购人需要制造商对中标人交付的产品或服务（包括质量、参数等）进行确认的，制造商应予以配合并出具书面意见，相关配合事项由中标人与制造商协调。</w:t>
      </w:r>
    </w:p>
    <w:p>
      <w:pPr>
        <w:spacing w:before="120" w:line="320" w:lineRule="exact"/>
        <w:ind w:firstLine="420" w:firstLineChars="200"/>
        <w:jc w:val="left"/>
        <w:rPr>
          <w:rFonts w:ascii="Arial" w:hAnsi="Arial" w:cs="Arial"/>
          <w:color w:val="auto"/>
          <w:szCs w:val="21"/>
          <w:highlight w:val="none"/>
        </w:rPr>
      </w:pPr>
      <w:r>
        <w:rPr>
          <w:rFonts w:ascii="Arial" w:hAnsi="Arial" w:cs="Arial"/>
          <w:color w:val="auto"/>
          <w:szCs w:val="21"/>
          <w:highlight w:val="none"/>
        </w:rPr>
        <w:t>（8）产品包装材料归采购人所有。</w:t>
      </w:r>
    </w:p>
    <w:p>
      <w:pPr>
        <w:spacing w:before="120" w:line="320" w:lineRule="exact"/>
        <w:ind w:firstLine="420" w:firstLineChars="200"/>
        <w:jc w:val="left"/>
        <w:rPr>
          <w:rFonts w:ascii="Arial" w:hAnsi="Arial" w:cs="Arial"/>
          <w:color w:val="auto"/>
          <w:szCs w:val="21"/>
          <w:highlight w:val="none"/>
        </w:rPr>
      </w:pPr>
      <w:r>
        <w:rPr>
          <w:rFonts w:ascii="Arial" w:hAnsi="Arial" w:cs="Arial"/>
          <w:color w:val="auto"/>
          <w:szCs w:val="21"/>
          <w:highlight w:val="none"/>
        </w:rPr>
        <w:t>（9）政府采购合同约定的其他要求及</w:t>
      </w:r>
      <w:r>
        <w:rPr>
          <w:rFonts w:hint="eastAsia" w:ascii="Arial" w:hAnsi="Arial" w:cs="Arial"/>
          <w:color w:val="auto"/>
          <w:szCs w:val="21"/>
          <w:highlight w:val="none"/>
        </w:rPr>
        <w:t>竞标文件</w:t>
      </w:r>
      <w:r>
        <w:rPr>
          <w:rFonts w:ascii="Arial" w:hAnsi="Arial" w:cs="Arial"/>
          <w:color w:val="auto"/>
          <w:szCs w:val="21"/>
          <w:highlight w:val="none"/>
        </w:rPr>
        <w:t>响应的其他标准。</w:t>
      </w:r>
    </w:p>
    <w:p>
      <w:pPr>
        <w:spacing w:before="120" w:line="320" w:lineRule="exact"/>
        <w:ind w:firstLine="420" w:firstLineChars="200"/>
        <w:jc w:val="left"/>
        <w:rPr>
          <w:rFonts w:ascii="Arial" w:hAnsi="Arial" w:cs="Arial"/>
          <w:color w:val="auto"/>
          <w:szCs w:val="21"/>
          <w:highlight w:val="none"/>
        </w:rPr>
      </w:pPr>
      <w:r>
        <w:rPr>
          <w:rFonts w:ascii="Arial" w:hAnsi="Arial" w:cs="Arial"/>
          <w:color w:val="auto"/>
          <w:szCs w:val="21"/>
          <w:highlight w:val="none"/>
        </w:rPr>
        <w:t>工程类验收标准：</w:t>
      </w:r>
    </w:p>
    <w:p>
      <w:pPr>
        <w:spacing w:before="120" w:line="320" w:lineRule="exact"/>
        <w:ind w:firstLine="420" w:firstLineChars="200"/>
        <w:jc w:val="left"/>
        <w:rPr>
          <w:rFonts w:ascii="Arial" w:hAnsi="Arial" w:cs="Arial"/>
          <w:b/>
          <w:bCs/>
          <w:color w:val="auto"/>
          <w:szCs w:val="21"/>
          <w:highlight w:val="none"/>
        </w:rPr>
      </w:pPr>
      <w:r>
        <w:rPr>
          <w:rFonts w:ascii="Arial" w:hAnsi="Arial" w:cs="Arial"/>
          <w:color w:val="auto"/>
          <w:szCs w:val="21"/>
          <w:highlight w:val="none"/>
        </w:rPr>
        <w:t>符合行业管理部门规定的标准及规范，达到工程项目设计的要求并通过项目最终竣工验收。</w:t>
      </w:r>
    </w:p>
    <w:p>
      <w:pPr>
        <w:spacing w:before="120" w:line="320" w:lineRule="exact"/>
        <w:jc w:val="left"/>
        <w:rPr>
          <w:rFonts w:hint="eastAsia"/>
          <w:color w:val="auto"/>
          <w:highlight w:val="none"/>
        </w:rPr>
      </w:pPr>
      <w:r>
        <w:rPr>
          <w:rFonts w:ascii="Arial" w:hAnsi="Arial" w:cs="Arial"/>
          <w:b/>
          <w:bCs/>
          <w:color w:val="auto"/>
          <w:szCs w:val="21"/>
          <w:highlight w:val="none"/>
        </w:rPr>
        <w:t>8.履约验收其他事项</w:t>
      </w:r>
      <w:bookmarkEnd w:id="140"/>
      <w:bookmarkEnd w:id="141"/>
    </w:p>
    <w:sectPr>
      <w:footerReference r:id="rId11" w:type="default"/>
      <w:pgSz w:w="11906" w:h="16838"/>
      <w:pgMar w:top="1440" w:right="1361" w:bottom="1701"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BFB0EB9-73CE-4C6E-A0F4-2E7D76A7AF11}"/>
  </w:font>
  <w:font w:name="黑体">
    <w:panose1 w:val="02010609060101010101"/>
    <w:charset w:val="86"/>
    <w:family w:val="auto"/>
    <w:pitch w:val="default"/>
    <w:sig w:usb0="800002BF" w:usb1="38CF7CFA" w:usb2="00000016" w:usb3="00000000" w:csb0="00040001" w:csb1="00000000"/>
    <w:embedRegular r:id="rId2" w:fontKey="{2FB46730-55C0-48B4-9F6D-52B26D770243}"/>
  </w:font>
  <w:font w:name="Courier New">
    <w:panose1 w:val="02070309020205020404"/>
    <w:charset w:val="01"/>
    <w:family w:val="modern"/>
    <w:pitch w:val="default"/>
    <w:sig w:usb0="E0002AFF" w:usb1="C0007843" w:usb2="00000009" w:usb3="00000000" w:csb0="400001FF" w:csb1="FFFF0000"/>
    <w:embedRegular r:id="rId3" w:fontKey="{3D94ED48-619C-45D7-A048-40675AD08A2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663561D6-F3F7-40FE-BE6E-979FE5B21C5E}"/>
  </w:font>
  <w:font w:name="方正小标宋简体">
    <w:panose1 w:val="02000000000000000000"/>
    <w:charset w:val="86"/>
    <w:family w:val="script"/>
    <w:pitch w:val="default"/>
    <w:sig w:usb0="00000001" w:usb1="08000000" w:usb2="00000000" w:usb3="00000000" w:csb0="00040000" w:csb1="00000000"/>
    <w:embedRegular r:id="rId5" w:fontKey="{6F3BA55E-FD1F-4BFE-BE14-6D34BA078B39}"/>
  </w:font>
  <w:font w:name="微软雅黑">
    <w:panose1 w:val="020B0503020204020204"/>
    <w:charset w:val="86"/>
    <w:family w:val="auto"/>
    <w:pitch w:val="default"/>
    <w:sig w:usb0="80000287" w:usb1="280F3C52" w:usb2="00000016" w:usb3="00000000" w:csb0="0004001F" w:csb1="00000000"/>
    <w:embedRegular r:id="rId6" w:fontKey="{2A9D18BE-24C7-43AE-9483-BF66AFD332B6}"/>
  </w:font>
  <w:font w:name="Wingdings 2">
    <w:panose1 w:val="05020102010507070707"/>
    <w:charset w:val="02"/>
    <w:family w:val="auto"/>
    <w:pitch w:val="default"/>
    <w:sig w:usb0="00000000" w:usb1="00000000" w:usb2="00000000" w:usb3="00000000" w:csb0="80000000" w:csb1="00000000"/>
    <w:embedRegular r:id="rId7" w:fontKey="{16F85D24-8880-4293-AFBB-45E96B0BE753}"/>
  </w:font>
  <w:font w:name="Arial Unicode MS">
    <w:panose1 w:val="020B0604020202020204"/>
    <w:charset w:val="86"/>
    <w:family w:val="roman"/>
    <w:pitch w:val="default"/>
    <w:sig w:usb0="FFFFFFFF" w:usb1="E9FFFFFF" w:usb2="0000003F" w:usb3="00000000" w:csb0="603F01FF" w:csb1="FFFF0000"/>
    <w:embedRegular r:id="rId8" w:fontKey="{646F25F1-F9D6-4D8A-B741-322FD8194A07}"/>
  </w:font>
  <w:font w:name="仿宋">
    <w:panose1 w:val="02010609060101010101"/>
    <w:charset w:val="86"/>
    <w:family w:val="auto"/>
    <w:pitch w:val="default"/>
    <w:sig w:usb0="800002BF" w:usb1="38CF7CFA" w:usb2="00000016" w:usb3="00000000" w:csb0="00040001" w:csb1="00000000"/>
    <w:embedRegular r:id="rId9" w:fontKey="{2B2F4573-8381-4A0C-9B9B-F5F2389DA361}"/>
  </w:font>
  <w:font w:name="方正小标宋_GBK">
    <w:panose1 w:val="02000000000000000000"/>
    <w:charset w:val="86"/>
    <w:family w:val="script"/>
    <w:pitch w:val="default"/>
    <w:sig w:usb0="A00002BF" w:usb1="38CF7CFA" w:usb2="00082016" w:usb3="00000000" w:csb0="00040001" w:csb1="00000000"/>
    <w:embedRegular r:id="rId10" w:fontKey="{AEF9FC03-46E1-4CCE-A1F1-0D44AC625A5F}"/>
  </w:font>
  <w:font w:name="Microsoft YaHei UI">
    <w:altName w:val="宋体"/>
    <w:panose1 w:val="020B0503020204020204"/>
    <w:charset w:val="86"/>
    <w:family w:val="swiss"/>
    <w:pitch w:val="default"/>
    <w:sig w:usb0="00000000" w:usb1="00000000" w:usb2="00000016" w:usb3="00000000" w:csb0="0004001F" w:csb1="00000000"/>
    <w:embedRegular r:id="rId11" w:fontKey="{A745579E-8826-492F-87DF-F1F4A05F7C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jc w:val="center"/>
      <w:rPr>
        <w:rStyle w:val="24"/>
        <w:rFonts w:hint="eastAsia"/>
      </w:rPr>
    </w:pPr>
    <w:r>
      <w:fldChar w:fldCharType="begin"/>
    </w:r>
    <w:r>
      <w:rPr>
        <w:rStyle w:val="24"/>
      </w:rPr>
      <w:instrText xml:space="preserve">PAGE  </w:instrText>
    </w:r>
    <w:r>
      <w:fldChar w:fldCharType="separate"/>
    </w:r>
    <w:r>
      <w:rPr>
        <w:rStyle w:val="24"/>
      </w:rPr>
      <w:t>21</w:t>
    </w:r>
    <w:r>
      <w:fldChar w:fldCharType="end"/>
    </w:r>
  </w:p>
  <w:p>
    <w:pPr>
      <w:pStyle w:val="1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rPr>
        <w:rStyle w:val="24"/>
      </w:rPr>
      <w:t>1</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39"/>
        <w:tab w:val="clear" w:pos="4153"/>
      </w:tabs>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15</w:t>
                    </w:r>
                    <w:r>
                      <w:fldChar w:fldCharType="end"/>
                    </w:r>
                  </w:p>
                </w:txbxContent>
              </v:textbox>
            </v:shape>
          </w:pict>
        </mc:Fallback>
      </mc:AlternateConten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2EFCF"/>
    <w:multiLevelType w:val="singleLevel"/>
    <w:tmpl w:val="A552EFCF"/>
    <w:lvl w:ilvl="0" w:tentative="0">
      <w:start w:val="8"/>
      <w:numFmt w:val="decimal"/>
      <w:suff w:val="nothing"/>
      <w:lvlText w:val="%1、"/>
      <w:lvlJc w:val="left"/>
    </w:lvl>
  </w:abstractNum>
  <w:abstractNum w:abstractNumId="1">
    <w:nsid w:val="B50C08C3"/>
    <w:multiLevelType w:val="singleLevel"/>
    <w:tmpl w:val="B50C08C3"/>
    <w:lvl w:ilvl="0" w:tentative="0">
      <w:start w:val="1"/>
      <w:numFmt w:val="decimal"/>
      <w:suff w:val="nothing"/>
      <w:lvlText w:val="%1、"/>
      <w:lvlJc w:val="left"/>
    </w:lvl>
  </w:abstractNum>
  <w:abstractNum w:abstractNumId="2">
    <w:nsid w:val="B55DA6AF"/>
    <w:multiLevelType w:val="multilevel"/>
    <w:tmpl w:val="B55DA6AF"/>
    <w:lvl w:ilvl="0" w:tentative="0">
      <w:start w:val="1"/>
      <w:numFmt w:val="decimal"/>
      <w:lvlText w:val="%1."/>
      <w:lvlJc w:val="left"/>
      <w:pPr>
        <w:tabs>
          <w:tab w:val="left" w:pos="312"/>
        </w:tabs>
      </w:pPr>
    </w:lvl>
    <w:lvl w:ilvl="1" w:tentative="0">
      <w:start w:val="1"/>
      <w:numFmt w:val="decimal"/>
      <w:suff w:val="space"/>
      <w:lvlText w:val="%1.%2"/>
      <w:lvlJc w:val="left"/>
      <w:pPr>
        <w:ind w:left="420" w:leftChars="0" w:firstLine="0" w:firstLineChars="0"/>
      </w:pPr>
      <w:rPr>
        <w:rFonts w:hint="default"/>
      </w:rPr>
    </w:lvl>
    <w:lvl w:ilvl="2" w:tentative="0">
      <w:start w:val="1"/>
      <w:numFmt w:val="decimal"/>
      <w:suff w:val="space"/>
      <w:lvlText w:val="%1.%2.%3"/>
      <w:lvlJc w:val="left"/>
      <w:pPr>
        <w:ind w:left="420" w:leftChars="0" w:firstLine="0" w:firstLineChars="0"/>
      </w:pPr>
      <w:rPr>
        <w:rFonts w:hint="default"/>
      </w:rPr>
    </w:lvl>
    <w:lvl w:ilvl="3" w:tentative="0">
      <w:start w:val="1"/>
      <w:numFmt w:val="decimal"/>
      <w:suff w:val="space"/>
      <w:lvlText w:val="%1.%2.%3.%4"/>
      <w:lvlJc w:val="left"/>
      <w:pPr>
        <w:ind w:left="420" w:leftChars="0" w:firstLine="0" w:firstLineChars="0"/>
      </w:pPr>
      <w:rPr>
        <w:rFonts w:hint="default"/>
      </w:rPr>
    </w:lvl>
    <w:lvl w:ilvl="4" w:tentative="0">
      <w:start w:val="1"/>
      <w:numFmt w:val="decimal"/>
      <w:suff w:val="space"/>
      <w:lvlText w:val="%1.%2.%3.%4.%5"/>
      <w:lvlJc w:val="left"/>
      <w:pPr>
        <w:ind w:left="420" w:leftChars="0" w:firstLine="0" w:firstLineChars="0"/>
      </w:pPr>
      <w:rPr>
        <w:rFonts w:hint="default"/>
      </w:rPr>
    </w:lvl>
    <w:lvl w:ilvl="5" w:tentative="0">
      <w:start w:val="1"/>
      <w:numFmt w:val="decimal"/>
      <w:suff w:val="space"/>
      <w:lvlText w:val="%1.%2.%3.%4.%5.%6"/>
      <w:lvlJc w:val="left"/>
      <w:pPr>
        <w:ind w:left="420" w:leftChars="0" w:firstLine="0" w:firstLineChars="0"/>
      </w:pPr>
      <w:rPr>
        <w:rFonts w:hint="default"/>
      </w:rPr>
    </w:lvl>
    <w:lvl w:ilvl="6" w:tentative="0">
      <w:start w:val="1"/>
      <w:numFmt w:val="decimal"/>
      <w:suff w:val="space"/>
      <w:lvlText w:val="%1.%2.%3.%4.%5.%6.%7"/>
      <w:lvlJc w:val="left"/>
      <w:pPr>
        <w:ind w:left="420" w:leftChars="0" w:firstLine="0" w:firstLineChars="0"/>
      </w:pPr>
      <w:rPr>
        <w:rFonts w:hint="default"/>
      </w:rPr>
    </w:lvl>
    <w:lvl w:ilvl="7" w:tentative="0">
      <w:start w:val="1"/>
      <w:numFmt w:val="decimal"/>
      <w:suff w:val="space"/>
      <w:lvlText w:val="%1.%2.%3.%4.%5.%6.%7.%8"/>
      <w:lvlJc w:val="left"/>
      <w:pPr>
        <w:ind w:left="420" w:leftChars="0" w:firstLine="0" w:firstLineChars="0"/>
      </w:pPr>
      <w:rPr>
        <w:rFonts w:hint="default"/>
      </w:rPr>
    </w:lvl>
    <w:lvl w:ilvl="8" w:tentative="0">
      <w:start w:val="1"/>
      <w:numFmt w:val="decimal"/>
      <w:suff w:val="space"/>
      <w:lvlText w:val="%1.%2.%3.%4.%5.%6.%7.%8.%9"/>
      <w:lvlJc w:val="left"/>
      <w:pPr>
        <w:ind w:left="420" w:leftChars="0" w:firstLine="0" w:firstLineChars="0"/>
      </w:pPr>
      <w:rPr>
        <w:rFonts w:hint="default"/>
      </w:rPr>
    </w:lvl>
  </w:abstractNum>
  <w:abstractNum w:abstractNumId="3">
    <w:nsid w:val="C9C39040"/>
    <w:multiLevelType w:val="singleLevel"/>
    <w:tmpl w:val="C9C39040"/>
    <w:lvl w:ilvl="0" w:tentative="0">
      <w:start w:val="1"/>
      <w:numFmt w:val="decimal"/>
      <w:lvlText w:val="(%1)"/>
      <w:lvlJc w:val="left"/>
      <w:pPr>
        <w:ind w:left="425" w:hanging="425"/>
      </w:pPr>
      <w:rPr>
        <w:rFonts w:hint="default"/>
      </w:rPr>
    </w:lvl>
  </w:abstractNum>
  <w:abstractNum w:abstractNumId="4">
    <w:nsid w:val="2F82D806"/>
    <w:multiLevelType w:val="singleLevel"/>
    <w:tmpl w:val="2F82D806"/>
    <w:lvl w:ilvl="0" w:tentative="0">
      <w:start w:val="1"/>
      <w:numFmt w:val="decimal"/>
      <w:lvlText w:val="(%1)"/>
      <w:lvlJc w:val="left"/>
      <w:pPr>
        <w:ind w:left="425" w:hanging="425"/>
      </w:pPr>
      <w:rPr>
        <w:rFonts w:hint="default"/>
      </w:rPr>
    </w:lvl>
  </w:abstractNum>
  <w:abstractNum w:abstractNumId="5">
    <w:nsid w:val="368E3FF0"/>
    <w:multiLevelType w:val="singleLevel"/>
    <w:tmpl w:val="368E3FF0"/>
    <w:lvl w:ilvl="0" w:tentative="0">
      <w:start w:val="1"/>
      <w:numFmt w:val="decimal"/>
      <w:suff w:val="nothing"/>
      <w:lvlText w:val="%1、"/>
      <w:lvlJc w:val="left"/>
      <w:pPr>
        <w:ind w:left="160" w:leftChars="0" w:firstLine="0" w:firstLineChars="0"/>
      </w:pPr>
    </w:lvl>
  </w:abstractNum>
  <w:abstractNum w:abstractNumId="6">
    <w:nsid w:val="39291585"/>
    <w:multiLevelType w:val="singleLevel"/>
    <w:tmpl w:val="39291585"/>
    <w:lvl w:ilvl="0" w:tentative="0">
      <w:start w:val="2"/>
      <w:numFmt w:val="chineseCounting"/>
      <w:suff w:val="nothing"/>
      <w:lvlText w:val="（%1）"/>
      <w:lvlJc w:val="left"/>
      <w:rPr>
        <w:rFonts w:hint="eastAsia"/>
      </w:rPr>
    </w:lvl>
  </w:abstractNum>
  <w:abstractNum w:abstractNumId="7">
    <w:nsid w:val="41917C6E"/>
    <w:multiLevelType w:val="singleLevel"/>
    <w:tmpl w:val="41917C6E"/>
    <w:lvl w:ilvl="0" w:tentative="0">
      <w:start w:val="2"/>
      <w:numFmt w:val="decimal"/>
      <w:lvlText w:val="%1."/>
      <w:lvlJc w:val="left"/>
      <w:pPr>
        <w:tabs>
          <w:tab w:val="left" w:pos="312"/>
        </w:tabs>
      </w:pPr>
    </w:lvl>
  </w:abstractNum>
  <w:abstractNum w:abstractNumId="8">
    <w:nsid w:val="6B10026A"/>
    <w:multiLevelType w:val="singleLevel"/>
    <w:tmpl w:val="6B10026A"/>
    <w:lvl w:ilvl="0" w:tentative="0">
      <w:start w:val="2"/>
      <w:numFmt w:val="chineseCounting"/>
      <w:suff w:val="nothing"/>
      <w:lvlText w:val="%1、"/>
      <w:lvlJc w:val="left"/>
      <w:rPr>
        <w:rFonts w:hint="eastAsia"/>
      </w:rPr>
    </w:lvl>
  </w:abstractNum>
  <w:num w:numId="1">
    <w:abstractNumId w:val="8"/>
  </w:num>
  <w:num w:numId="2">
    <w:abstractNumId w:val="1"/>
  </w:num>
  <w:num w:numId="3">
    <w:abstractNumId w:val="3"/>
  </w:num>
  <w:num w:numId="4">
    <w:abstractNumId w:val="7"/>
  </w:num>
  <w:num w:numId="5">
    <w:abstractNumId w:val="4"/>
  </w:num>
  <w:num w:numId="6">
    <w:abstractNumId w:val="5"/>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ZmJjMTU0NWFiZWY0MzZhNWMwNWFhMDI0NWE1OWIifQ=="/>
  </w:docVars>
  <w:rsids>
    <w:rsidRoot w:val="00172A27"/>
    <w:rsid w:val="0020060D"/>
    <w:rsid w:val="00C60C95"/>
    <w:rsid w:val="01097CE8"/>
    <w:rsid w:val="010E78FF"/>
    <w:rsid w:val="017243CE"/>
    <w:rsid w:val="0183453D"/>
    <w:rsid w:val="01E943A0"/>
    <w:rsid w:val="01EA178D"/>
    <w:rsid w:val="01EE19B6"/>
    <w:rsid w:val="01F32541"/>
    <w:rsid w:val="0256755B"/>
    <w:rsid w:val="02602EF3"/>
    <w:rsid w:val="02673568"/>
    <w:rsid w:val="0276001D"/>
    <w:rsid w:val="027E0AC4"/>
    <w:rsid w:val="02BF77F6"/>
    <w:rsid w:val="02E85F72"/>
    <w:rsid w:val="035842BD"/>
    <w:rsid w:val="03721321"/>
    <w:rsid w:val="03CE7FC5"/>
    <w:rsid w:val="040D577E"/>
    <w:rsid w:val="04167F5A"/>
    <w:rsid w:val="042C05EC"/>
    <w:rsid w:val="045455DA"/>
    <w:rsid w:val="0482288A"/>
    <w:rsid w:val="04842AA6"/>
    <w:rsid w:val="04AB3B8E"/>
    <w:rsid w:val="05065269"/>
    <w:rsid w:val="05D90BCF"/>
    <w:rsid w:val="05F06081"/>
    <w:rsid w:val="06691F53"/>
    <w:rsid w:val="066E7569"/>
    <w:rsid w:val="069D4FF4"/>
    <w:rsid w:val="06B86353"/>
    <w:rsid w:val="06ED3F6C"/>
    <w:rsid w:val="071E2D3E"/>
    <w:rsid w:val="0728421F"/>
    <w:rsid w:val="072E0AA7"/>
    <w:rsid w:val="075732D4"/>
    <w:rsid w:val="07D24783"/>
    <w:rsid w:val="07E15B19"/>
    <w:rsid w:val="07EA2C20"/>
    <w:rsid w:val="07F833B9"/>
    <w:rsid w:val="08063FB5"/>
    <w:rsid w:val="087139A6"/>
    <w:rsid w:val="08760957"/>
    <w:rsid w:val="089E3A0A"/>
    <w:rsid w:val="090D3FDA"/>
    <w:rsid w:val="091B4016"/>
    <w:rsid w:val="09711E93"/>
    <w:rsid w:val="098D5F59"/>
    <w:rsid w:val="09DF42DA"/>
    <w:rsid w:val="0AB029F6"/>
    <w:rsid w:val="0ABB4D47"/>
    <w:rsid w:val="0B330F46"/>
    <w:rsid w:val="0B8E7D91"/>
    <w:rsid w:val="0BF16C73"/>
    <w:rsid w:val="0C477618"/>
    <w:rsid w:val="0C4B5C57"/>
    <w:rsid w:val="0C7E08A9"/>
    <w:rsid w:val="0CE92B40"/>
    <w:rsid w:val="0D1150F2"/>
    <w:rsid w:val="0D437684"/>
    <w:rsid w:val="0D5B0EA5"/>
    <w:rsid w:val="0D8E036B"/>
    <w:rsid w:val="0DC84294"/>
    <w:rsid w:val="0DE6696B"/>
    <w:rsid w:val="0E1C5B1C"/>
    <w:rsid w:val="0E302745"/>
    <w:rsid w:val="0E556A8F"/>
    <w:rsid w:val="0E9B2EC6"/>
    <w:rsid w:val="0EC82645"/>
    <w:rsid w:val="0ECF2BB4"/>
    <w:rsid w:val="0F36499C"/>
    <w:rsid w:val="0F3864DD"/>
    <w:rsid w:val="0F3D5116"/>
    <w:rsid w:val="0F777EAB"/>
    <w:rsid w:val="0FA514BA"/>
    <w:rsid w:val="0FA92FB7"/>
    <w:rsid w:val="0FD74A33"/>
    <w:rsid w:val="10645539"/>
    <w:rsid w:val="106A0DA2"/>
    <w:rsid w:val="10A047C3"/>
    <w:rsid w:val="10DA102E"/>
    <w:rsid w:val="113C3B89"/>
    <w:rsid w:val="114710E3"/>
    <w:rsid w:val="11BC387F"/>
    <w:rsid w:val="11F03528"/>
    <w:rsid w:val="120D1119"/>
    <w:rsid w:val="12103BCB"/>
    <w:rsid w:val="128F63E7"/>
    <w:rsid w:val="12942106"/>
    <w:rsid w:val="12B4541E"/>
    <w:rsid w:val="13313751"/>
    <w:rsid w:val="134A310C"/>
    <w:rsid w:val="136234C0"/>
    <w:rsid w:val="13916645"/>
    <w:rsid w:val="13DD7ADC"/>
    <w:rsid w:val="14074B59"/>
    <w:rsid w:val="143D320A"/>
    <w:rsid w:val="1468384A"/>
    <w:rsid w:val="14F679D2"/>
    <w:rsid w:val="15335974"/>
    <w:rsid w:val="155362A8"/>
    <w:rsid w:val="15910B7E"/>
    <w:rsid w:val="15AB60E4"/>
    <w:rsid w:val="16046F64"/>
    <w:rsid w:val="167852A0"/>
    <w:rsid w:val="178169D1"/>
    <w:rsid w:val="178564C1"/>
    <w:rsid w:val="178A5C0C"/>
    <w:rsid w:val="17992E49"/>
    <w:rsid w:val="179C1CD1"/>
    <w:rsid w:val="17A53977"/>
    <w:rsid w:val="17A70B2D"/>
    <w:rsid w:val="17BF37AC"/>
    <w:rsid w:val="17F13B56"/>
    <w:rsid w:val="182E55FF"/>
    <w:rsid w:val="18526B94"/>
    <w:rsid w:val="188C1028"/>
    <w:rsid w:val="18B04BD5"/>
    <w:rsid w:val="18E56FAA"/>
    <w:rsid w:val="194014CF"/>
    <w:rsid w:val="19575C3B"/>
    <w:rsid w:val="197A71AE"/>
    <w:rsid w:val="199B1FCC"/>
    <w:rsid w:val="19EA6AAF"/>
    <w:rsid w:val="1A5E1A3A"/>
    <w:rsid w:val="1A654388"/>
    <w:rsid w:val="1B165A69"/>
    <w:rsid w:val="1B316012"/>
    <w:rsid w:val="1B8A679C"/>
    <w:rsid w:val="1BC752FA"/>
    <w:rsid w:val="1BE53653"/>
    <w:rsid w:val="1BE85270"/>
    <w:rsid w:val="1C093B64"/>
    <w:rsid w:val="1C7D1276"/>
    <w:rsid w:val="1CC37D08"/>
    <w:rsid w:val="1CF30371"/>
    <w:rsid w:val="1D1E3640"/>
    <w:rsid w:val="1D427949"/>
    <w:rsid w:val="1D5F5A06"/>
    <w:rsid w:val="1D82362E"/>
    <w:rsid w:val="1E045F0D"/>
    <w:rsid w:val="1E71397C"/>
    <w:rsid w:val="1E960FB4"/>
    <w:rsid w:val="1F106FB8"/>
    <w:rsid w:val="1F4E10DC"/>
    <w:rsid w:val="1F6B41EE"/>
    <w:rsid w:val="1F903C55"/>
    <w:rsid w:val="1FAA11BB"/>
    <w:rsid w:val="1FC41C5A"/>
    <w:rsid w:val="1FEF6BB0"/>
    <w:rsid w:val="203942EC"/>
    <w:rsid w:val="205365A0"/>
    <w:rsid w:val="20E62773"/>
    <w:rsid w:val="20EA3839"/>
    <w:rsid w:val="210216E4"/>
    <w:rsid w:val="212A0801"/>
    <w:rsid w:val="216845DE"/>
    <w:rsid w:val="21893052"/>
    <w:rsid w:val="21976CF6"/>
    <w:rsid w:val="219C0CA4"/>
    <w:rsid w:val="221C3EC6"/>
    <w:rsid w:val="22360AFE"/>
    <w:rsid w:val="223D7744"/>
    <w:rsid w:val="22567981"/>
    <w:rsid w:val="22896798"/>
    <w:rsid w:val="228D6B72"/>
    <w:rsid w:val="229901A2"/>
    <w:rsid w:val="22D374A7"/>
    <w:rsid w:val="23300FEF"/>
    <w:rsid w:val="236839CB"/>
    <w:rsid w:val="23737B15"/>
    <w:rsid w:val="23B917C7"/>
    <w:rsid w:val="23CD191B"/>
    <w:rsid w:val="23F85897"/>
    <w:rsid w:val="23FB26CF"/>
    <w:rsid w:val="24166262"/>
    <w:rsid w:val="2423778D"/>
    <w:rsid w:val="246D6C5B"/>
    <w:rsid w:val="249D12EE"/>
    <w:rsid w:val="24DB29D4"/>
    <w:rsid w:val="252B5F80"/>
    <w:rsid w:val="25E22D30"/>
    <w:rsid w:val="269775E0"/>
    <w:rsid w:val="26A02F44"/>
    <w:rsid w:val="27585FCE"/>
    <w:rsid w:val="27817875"/>
    <w:rsid w:val="27892B16"/>
    <w:rsid w:val="27A110F5"/>
    <w:rsid w:val="27AC5CEC"/>
    <w:rsid w:val="27DD1EAF"/>
    <w:rsid w:val="27EE1E60"/>
    <w:rsid w:val="28041684"/>
    <w:rsid w:val="2829733C"/>
    <w:rsid w:val="28AB1AFF"/>
    <w:rsid w:val="28DF17A9"/>
    <w:rsid w:val="28F25980"/>
    <w:rsid w:val="2912392D"/>
    <w:rsid w:val="29802F8C"/>
    <w:rsid w:val="29824F56"/>
    <w:rsid w:val="299824CF"/>
    <w:rsid w:val="29C137C7"/>
    <w:rsid w:val="2AD43590"/>
    <w:rsid w:val="2AE80BD1"/>
    <w:rsid w:val="2AFA0B1C"/>
    <w:rsid w:val="2AFB4FC0"/>
    <w:rsid w:val="2B013C59"/>
    <w:rsid w:val="2B304E80"/>
    <w:rsid w:val="2BB57B30"/>
    <w:rsid w:val="2C0734F1"/>
    <w:rsid w:val="2C143087"/>
    <w:rsid w:val="2C1B6F9C"/>
    <w:rsid w:val="2C317AAC"/>
    <w:rsid w:val="2C8B2374"/>
    <w:rsid w:val="2CBD566A"/>
    <w:rsid w:val="2CDC672B"/>
    <w:rsid w:val="2CF73565"/>
    <w:rsid w:val="2D285E15"/>
    <w:rsid w:val="2D80355B"/>
    <w:rsid w:val="2DBF6F8B"/>
    <w:rsid w:val="2DE41D28"/>
    <w:rsid w:val="2E5A3DAC"/>
    <w:rsid w:val="2E70537D"/>
    <w:rsid w:val="2E921FEC"/>
    <w:rsid w:val="2F1C5505"/>
    <w:rsid w:val="2F320885"/>
    <w:rsid w:val="2F364819"/>
    <w:rsid w:val="2F370591"/>
    <w:rsid w:val="2F6E2B2F"/>
    <w:rsid w:val="2F963509"/>
    <w:rsid w:val="2FA379D4"/>
    <w:rsid w:val="2FBB15F2"/>
    <w:rsid w:val="2FEE5C6D"/>
    <w:rsid w:val="3015753B"/>
    <w:rsid w:val="30711881"/>
    <w:rsid w:val="30C23E8A"/>
    <w:rsid w:val="30C9346B"/>
    <w:rsid w:val="313C58AE"/>
    <w:rsid w:val="316E7C65"/>
    <w:rsid w:val="31951040"/>
    <w:rsid w:val="31B21E64"/>
    <w:rsid w:val="31B25CAD"/>
    <w:rsid w:val="31B725B2"/>
    <w:rsid w:val="31C3610C"/>
    <w:rsid w:val="31EB11BF"/>
    <w:rsid w:val="32242045"/>
    <w:rsid w:val="323E74A0"/>
    <w:rsid w:val="32C30BE6"/>
    <w:rsid w:val="332075CB"/>
    <w:rsid w:val="332435CC"/>
    <w:rsid w:val="335F0AF4"/>
    <w:rsid w:val="336631F3"/>
    <w:rsid w:val="33791178"/>
    <w:rsid w:val="337D24B8"/>
    <w:rsid w:val="339E3FB0"/>
    <w:rsid w:val="33E265A5"/>
    <w:rsid w:val="33E85AC1"/>
    <w:rsid w:val="33EF4F96"/>
    <w:rsid w:val="34050C5E"/>
    <w:rsid w:val="34377754"/>
    <w:rsid w:val="35055043"/>
    <w:rsid w:val="352020BB"/>
    <w:rsid w:val="35492DCC"/>
    <w:rsid w:val="35642417"/>
    <w:rsid w:val="35867B7C"/>
    <w:rsid w:val="35CB5E3A"/>
    <w:rsid w:val="366E1015"/>
    <w:rsid w:val="36723C5D"/>
    <w:rsid w:val="36A75FFC"/>
    <w:rsid w:val="36F24BE2"/>
    <w:rsid w:val="37865C12"/>
    <w:rsid w:val="378C0D4E"/>
    <w:rsid w:val="37DE7D4A"/>
    <w:rsid w:val="37F039D3"/>
    <w:rsid w:val="38A547BD"/>
    <w:rsid w:val="38AA6EBD"/>
    <w:rsid w:val="38D26C34"/>
    <w:rsid w:val="3998288C"/>
    <w:rsid w:val="39B32F0A"/>
    <w:rsid w:val="39E44E71"/>
    <w:rsid w:val="39F76FB2"/>
    <w:rsid w:val="3A064DE8"/>
    <w:rsid w:val="3A712D0D"/>
    <w:rsid w:val="3AC973AD"/>
    <w:rsid w:val="3AFB5B22"/>
    <w:rsid w:val="3B1D063B"/>
    <w:rsid w:val="3B6444BC"/>
    <w:rsid w:val="3B8A3C9A"/>
    <w:rsid w:val="3CB245CB"/>
    <w:rsid w:val="3CC33464"/>
    <w:rsid w:val="3CF67395"/>
    <w:rsid w:val="3D3305EA"/>
    <w:rsid w:val="3D884009"/>
    <w:rsid w:val="3DC93F58"/>
    <w:rsid w:val="3DD60AC0"/>
    <w:rsid w:val="3E163127"/>
    <w:rsid w:val="3E3721DB"/>
    <w:rsid w:val="3E893DD5"/>
    <w:rsid w:val="3E8D6099"/>
    <w:rsid w:val="3EB72B54"/>
    <w:rsid w:val="3ECE4715"/>
    <w:rsid w:val="3ED23E32"/>
    <w:rsid w:val="3EF26282"/>
    <w:rsid w:val="3F0A35CC"/>
    <w:rsid w:val="3F2C52F0"/>
    <w:rsid w:val="3F4023D9"/>
    <w:rsid w:val="40A73FA7"/>
    <w:rsid w:val="41286617"/>
    <w:rsid w:val="412E01EF"/>
    <w:rsid w:val="414C7ECC"/>
    <w:rsid w:val="41720FB5"/>
    <w:rsid w:val="417A3722"/>
    <w:rsid w:val="41B810BD"/>
    <w:rsid w:val="41D40AAE"/>
    <w:rsid w:val="41EA36EC"/>
    <w:rsid w:val="424741EF"/>
    <w:rsid w:val="42CF77DD"/>
    <w:rsid w:val="42F779C3"/>
    <w:rsid w:val="430D368B"/>
    <w:rsid w:val="431B66AF"/>
    <w:rsid w:val="43355A7E"/>
    <w:rsid w:val="438F5E4E"/>
    <w:rsid w:val="43DD4E0B"/>
    <w:rsid w:val="43E53CC0"/>
    <w:rsid w:val="444924A1"/>
    <w:rsid w:val="446A09FE"/>
    <w:rsid w:val="447D55F1"/>
    <w:rsid w:val="44C47D79"/>
    <w:rsid w:val="44FF0DB1"/>
    <w:rsid w:val="45196317"/>
    <w:rsid w:val="454A4714"/>
    <w:rsid w:val="45796DB6"/>
    <w:rsid w:val="45AB24C8"/>
    <w:rsid w:val="4600208E"/>
    <w:rsid w:val="46094D80"/>
    <w:rsid w:val="467A509E"/>
    <w:rsid w:val="469B15A4"/>
    <w:rsid w:val="46FF1184"/>
    <w:rsid w:val="47003182"/>
    <w:rsid w:val="47136D96"/>
    <w:rsid w:val="47CD3675"/>
    <w:rsid w:val="47F47CB4"/>
    <w:rsid w:val="48B01D2B"/>
    <w:rsid w:val="493B49B5"/>
    <w:rsid w:val="494F67AB"/>
    <w:rsid w:val="497E2BEC"/>
    <w:rsid w:val="49A81A17"/>
    <w:rsid w:val="49B22D26"/>
    <w:rsid w:val="4AB40482"/>
    <w:rsid w:val="4B495010"/>
    <w:rsid w:val="4B50680B"/>
    <w:rsid w:val="4B68066B"/>
    <w:rsid w:val="4B876FC6"/>
    <w:rsid w:val="4BA97459"/>
    <w:rsid w:val="4C081C8E"/>
    <w:rsid w:val="4CC21042"/>
    <w:rsid w:val="4CDB6926"/>
    <w:rsid w:val="4CDF2B66"/>
    <w:rsid w:val="4D061C78"/>
    <w:rsid w:val="4D126C1A"/>
    <w:rsid w:val="4DC952B1"/>
    <w:rsid w:val="4DCC2A97"/>
    <w:rsid w:val="4E625F93"/>
    <w:rsid w:val="4EB86BA1"/>
    <w:rsid w:val="4F1D2EA8"/>
    <w:rsid w:val="4F45511C"/>
    <w:rsid w:val="4F5E1EA9"/>
    <w:rsid w:val="4F815A58"/>
    <w:rsid w:val="5030545B"/>
    <w:rsid w:val="5032028D"/>
    <w:rsid w:val="507A1C34"/>
    <w:rsid w:val="50807A31"/>
    <w:rsid w:val="50AF02CC"/>
    <w:rsid w:val="50BF1283"/>
    <w:rsid w:val="50DC0DD5"/>
    <w:rsid w:val="5107796B"/>
    <w:rsid w:val="517448D5"/>
    <w:rsid w:val="5184720E"/>
    <w:rsid w:val="52AF2D51"/>
    <w:rsid w:val="52D65847"/>
    <w:rsid w:val="52F263F9"/>
    <w:rsid w:val="530E2D6E"/>
    <w:rsid w:val="530E3233"/>
    <w:rsid w:val="538057B3"/>
    <w:rsid w:val="53F25416"/>
    <w:rsid w:val="53F52795"/>
    <w:rsid w:val="540C7047"/>
    <w:rsid w:val="54520EFE"/>
    <w:rsid w:val="546B1FBF"/>
    <w:rsid w:val="548C19E4"/>
    <w:rsid w:val="54D758A7"/>
    <w:rsid w:val="5556750C"/>
    <w:rsid w:val="55A1776B"/>
    <w:rsid w:val="55B160F8"/>
    <w:rsid w:val="55C67DF5"/>
    <w:rsid w:val="560A518C"/>
    <w:rsid w:val="576C677A"/>
    <w:rsid w:val="577864C7"/>
    <w:rsid w:val="57D80EF9"/>
    <w:rsid w:val="58845D45"/>
    <w:rsid w:val="58F23326"/>
    <w:rsid w:val="5972088D"/>
    <w:rsid w:val="598002BB"/>
    <w:rsid w:val="59C81C62"/>
    <w:rsid w:val="5A484A49"/>
    <w:rsid w:val="5A7E37F0"/>
    <w:rsid w:val="5AF96577"/>
    <w:rsid w:val="5B1511BB"/>
    <w:rsid w:val="5B551FAD"/>
    <w:rsid w:val="5B721E85"/>
    <w:rsid w:val="5B8878FB"/>
    <w:rsid w:val="5BB37A5B"/>
    <w:rsid w:val="5C6A7000"/>
    <w:rsid w:val="5D131446"/>
    <w:rsid w:val="5D186A5C"/>
    <w:rsid w:val="5D60364A"/>
    <w:rsid w:val="5D736B83"/>
    <w:rsid w:val="5DD27696"/>
    <w:rsid w:val="5DE30E18"/>
    <w:rsid w:val="5E5D1D90"/>
    <w:rsid w:val="5E946B56"/>
    <w:rsid w:val="5EA15519"/>
    <w:rsid w:val="5EC547CD"/>
    <w:rsid w:val="5EC8350D"/>
    <w:rsid w:val="5ED01E9B"/>
    <w:rsid w:val="5F2B43FF"/>
    <w:rsid w:val="5F366A5E"/>
    <w:rsid w:val="5F7169A1"/>
    <w:rsid w:val="5FCA5F60"/>
    <w:rsid w:val="600B4A36"/>
    <w:rsid w:val="602B1229"/>
    <w:rsid w:val="602E5843"/>
    <w:rsid w:val="604C38E0"/>
    <w:rsid w:val="60567FC7"/>
    <w:rsid w:val="60575AEE"/>
    <w:rsid w:val="607B17DC"/>
    <w:rsid w:val="609B59DA"/>
    <w:rsid w:val="609D1752"/>
    <w:rsid w:val="60AE7E03"/>
    <w:rsid w:val="60C813E2"/>
    <w:rsid w:val="60FA03FF"/>
    <w:rsid w:val="612E51D7"/>
    <w:rsid w:val="61480B6C"/>
    <w:rsid w:val="61630BEE"/>
    <w:rsid w:val="616D6585"/>
    <w:rsid w:val="61A60B5E"/>
    <w:rsid w:val="61DA0784"/>
    <w:rsid w:val="61E17D65"/>
    <w:rsid w:val="62065A1D"/>
    <w:rsid w:val="62456545"/>
    <w:rsid w:val="62767AAD"/>
    <w:rsid w:val="6277148A"/>
    <w:rsid w:val="62E301B6"/>
    <w:rsid w:val="630F1249"/>
    <w:rsid w:val="63281D9A"/>
    <w:rsid w:val="63414F5F"/>
    <w:rsid w:val="63556314"/>
    <w:rsid w:val="63C45248"/>
    <w:rsid w:val="641E79ED"/>
    <w:rsid w:val="64254D2C"/>
    <w:rsid w:val="643E149E"/>
    <w:rsid w:val="64942E6C"/>
    <w:rsid w:val="64EC0EFA"/>
    <w:rsid w:val="65077AE2"/>
    <w:rsid w:val="651D1B33"/>
    <w:rsid w:val="65DC0F6F"/>
    <w:rsid w:val="65DF2BAC"/>
    <w:rsid w:val="66747DFB"/>
    <w:rsid w:val="667D46F4"/>
    <w:rsid w:val="6692128C"/>
    <w:rsid w:val="66AE7E43"/>
    <w:rsid w:val="670A1D8E"/>
    <w:rsid w:val="67444D56"/>
    <w:rsid w:val="675477D5"/>
    <w:rsid w:val="67CB3049"/>
    <w:rsid w:val="67D22E92"/>
    <w:rsid w:val="682E2033"/>
    <w:rsid w:val="685272C6"/>
    <w:rsid w:val="686F7E78"/>
    <w:rsid w:val="68C83A2C"/>
    <w:rsid w:val="697D0373"/>
    <w:rsid w:val="697F058F"/>
    <w:rsid w:val="69DD52B6"/>
    <w:rsid w:val="6A1801A8"/>
    <w:rsid w:val="6A1E2575"/>
    <w:rsid w:val="6A2E5B11"/>
    <w:rsid w:val="6A674B7F"/>
    <w:rsid w:val="6A77340C"/>
    <w:rsid w:val="6A870AC9"/>
    <w:rsid w:val="6A9E2C97"/>
    <w:rsid w:val="6ADF18F7"/>
    <w:rsid w:val="6AE8743C"/>
    <w:rsid w:val="6B176781"/>
    <w:rsid w:val="6B2A570B"/>
    <w:rsid w:val="6B347157"/>
    <w:rsid w:val="6B3C3D63"/>
    <w:rsid w:val="6B560E7C"/>
    <w:rsid w:val="6B56531F"/>
    <w:rsid w:val="6B680BAF"/>
    <w:rsid w:val="6B80514F"/>
    <w:rsid w:val="6BEA5A68"/>
    <w:rsid w:val="6D2F7BD6"/>
    <w:rsid w:val="6D3B2A1F"/>
    <w:rsid w:val="6D7F429F"/>
    <w:rsid w:val="6DEF1C47"/>
    <w:rsid w:val="6E1F7C4B"/>
    <w:rsid w:val="6E697118"/>
    <w:rsid w:val="6E6D4454"/>
    <w:rsid w:val="6E781A51"/>
    <w:rsid w:val="6F1150E7"/>
    <w:rsid w:val="6F4C6D0C"/>
    <w:rsid w:val="6F673835"/>
    <w:rsid w:val="6F6D491A"/>
    <w:rsid w:val="6F9D1C52"/>
    <w:rsid w:val="6FA523D2"/>
    <w:rsid w:val="70181812"/>
    <w:rsid w:val="70271038"/>
    <w:rsid w:val="709217A3"/>
    <w:rsid w:val="70BD335F"/>
    <w:rsid w:val="70E3390A"/>
    <w:rsid w:val="71044E34"/>
    <w:rsid w:val="715F6134"/>
    <w:rsid w:val="71665B90"/>
    <w:rsid w:val="71E82A49"/>
    <w:rsid w:val="72B62B48"/>
    <w:rsid w:val="736507F6"/>
    <w:rsid w:val="73B9074D"/>
    <w:rsid w:val="73DF27A6"/>
    <w:rsid w:val="73E86D31"/>
    <w:rsid w:val="7419513C"/>
    <w:rsid w:val="74387CB8"/>
    <w:rsid w:val="743A4C28"/>
    <w:rsid w:val="74915AA9"/>
    <w:rsid w:val="74B70075"/>
    <w:rsid w:val="7507768A"/>
    <w:rsid w:val="750E120F"/>
    <w:rsid w:val="75114065"/>
    <w:rsid w:val="75184DC0"/>
    <w:rsid w:val="7521074C"/>
    <w:rsid w:val="75510906"/>
    <w:rsid w:val="760C31AA"/>
    <w:rsid w:val="76257BFD"/>
    <w:rsid w:val="770C2D36"/>
    <w:rsid w:val="77473E26"/>
    <w:rsid w:val="77707769"/>
    <w:rsid w:val="777C3ED8"/>
    <w:rsid w:val="77861FB4"/>
    <w:rsid w:val="77B533CE"/>
    <w:rsid w:val="77B7148D"/>
    <w:rsid w:val="77C10136"/>
    <w:rsid w:val="77DC6BAC"/>
    <w:rsid w:val="780222EB"/>
    <w:rsid w:val="784645C5"/>
    <w:rsid w:val="785A1D20"/>
    <w:rsid w:val="78D2453A"/>
    <w:rsid w:val="78D43D28"/>
    <w:rsid w:val="78E35D19"/>
    <w:rsid w:val="790E2D96"/>
    <w:rsid w:val="79295693"/>
    <w:rsid w:val="793A6280"/>
    <w:rsid w:val="7A4C6E3E"/>
    <w:rsid w:val="7B195F1B"/>
    <w:rsid w:val="7B445194"/>
    <w:rsid w:val="7B547823"/>
    <w:rsid w:val="7B597342"/>
    <w:rsid w:val="7B5F3D7C"/>
    <w:rsid w:val="7B612EBC"/>
    <w:rsid w:val="7B744583"/>
    <w:rsid w:val="7B821819"/>
    <w:rsid w:val="7B892BA7"/>
    <w:rsid w:val="7B9A68BC"/>
    <w:rsid w:val="7BBD4F47"/>
    <w:rsid w:val="7BEC3136"/>
    <w:rsid w:val="7C300A92"/>
    <w:rsid w:val="7C5807CC"/>
    <w:rsid w:val="7C9A0DE4"/>
    <w:rsid w:val="7CD95DB0"/>
    <w:rsid w:val="7CEF7382"/>
    <w:rsid w:val="7D316D38"/>
    <w:rsid w:val="7D4A45B8"/>
    <w:rsid w:val="7D6A07B6"/>
    <w:rsid w:val="7D752545"/>
    <w:rsid w:val="7E074257"/>
    <w:rsid w:val="7E6E5AB0"/>
    <w:rsid w:val="7E881B98"/>
    <w:rsid w:val="7FD67DEA"/>
    <w:rsid w:val="7FFC1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autoRedefine/>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5">
    <w:name w:val="heading 5"/>
    <w:basedOn w:val="1"/>
    <w:next w:val="6"/>
    <w:autoRedefine/>
    <w:qFormat/>
    <w:uiPriority w:val="9"/>
    <w:pPr>
      <w:keepNext/>
      <w:keepLines/>
      <w:spacing w:before="280" w:after="290" w:line="376" w:lineRule="auto"/>
      <w:outlineLvl w:val="4"/>
    </w:pPr>
    <w:rPr>
      <w:b/>
      <w:bCs/>
      <w:sz w:val="28"/>
      <w:szCs w:val="28"/>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index 8"/>
    <w:basedOn w:val="1"/>
    <w:next w:val="1"/>
    <w:autoRedefine/>
    <w:qFormat/>
    <w:uiPriority w:val="0"/>
    <w:pPr>
      <w:ind w:left="2940"/>
    </w:pPr>
  </w:style>
  <w:style w:type="paragraph" w:styleId="8">
    <w:name w:val="annotation text"/>
    <w:basedOn w:val="1"/>
    <w:autoRedefine/>
    <w:qFormat/>
    <w:uiPriority w:val="0"/>
    <w:pPr>
      <w:jc w:val="left"/>
    </w:pPr>
  </w:style>
  <w:style w:type="paragraph" w:styleId="9">
    <w:name w:val="Body Text 3"/>
    <w:basedOn w:val="1"/>
    <w:autoRedefine/>
    <w:unhideWhenUsed/>
    <w:qFormat/>
    <w:uiPriority w:val="99"/>
    <w:pPr>
      <w:spacing w:after="120"/>
    </w:pPr>
    <w:rPr>
      <w:sz w:val="16"/>
      <w:szCs w:val="16"/>
    </w:rPr>
  </w:style>
  <w:style w:type="paragraph" w:styleId="10">
    <w:name w:val="Body Text"/>
    <w:basedOn w:val="1"/>
    <w:next w:val="1"/>
    <w:autoRedefine/>
    <w:unhideWhenUsed/>
    <w:qFormat/>
    <w:uiPriority w:val="0"/>
    <w:pPr>
      <w:spacing w:after="120"/>
    </w:pPr>
  </w:style>
  <w:style w:type="paragraph" w:styleId="11">
    <w:name w:val="Body Text Indent"/>
    <w:basedOn w:val="1"/>
    <w:autoRedefine/>
    <w:qFormat/>
    <w:uiPriority w:val="0"/>
    <w:pPr>
      <w:ind w:firstLine="830" w:firstLineChars="352"/>
    </w:pPr>
    <w:rPr>
      <w:rFonts w:ascii="仿宋_GB2312" w:eastAsia="仿宋_GB2312"/>
      <w:kern w:val="0"/>
      <w:sz w:val="32"/>
      <w:szCs w:val="20"/>
    </w:rPr>
  </w:style>
  <w:style w:type="paragraph" w:styleId="12">
    <w:name w:val="List 2"/>
    <w:basedOn w:val="1"/>
    <w:autoRedefine/>
    <w:unhideWhenUsed/>
    <w:qFormat/>
    <w:uiPriority w:val="99"/>
    <w:pPr>
      <w:ind w:left="100" w:leftChars="200" w:hanging="200" w:hangingChars="200"/>
      <w:contextualSpacing/>
    </w:pPr>
  </w:style>
  <w:style w:type="paragraph" w:styleId="13">
    <w:name w:val="Plain Text"/>
    <w:basedOn w:val="1"/>
    <w:autoRedefine/>
    <w:qFormat/>
    <w:uiPriority w:val="0"/>
    <w:rPr>
      <w:rFonts w:ascii="宋体" w:hAnsi="Courier New"/>
      <w:kern w:val="0"/>
      <w:sz w:val="20"/>
      <w:szCs w:val="21"/>
    </w:rPr>
  </w:style>
  <w:style w:type="paragraph" w:styleId="14">
    <w:name w:val="footer"/>
    <w:basedOn w:val="1"/>
    <w:next w:val="1"/>
    <w:autoRedefine/>
    <w:unhideWhenUsed/>
    <w:qFormat/>
    <w:uiPriority w:val="99"/>
    <w:pPr>
      <w:tabs>
        <w:tab w:val="center" w:pos="4153"/>
        <w:tab w:val="right" w:pos="8306"/>
      </w:tabs>
      <w:snapToGrid w:val="0"/>
      <w:jc w:val="left"/>
    </w:pPr>
    <w:rPr>
      <w:kern w:val="0"/>
      <w:sz w:val="18"/>
      <w:szCs w:val="18"/>
    </w:rPr>
  </w:style>
  <w:style w:type="paragraph" w:styleId="15">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autoRedefine/>
    <w:unhideWhenUsed/>
    <w:qFormat/>
    <w:uiPriority w:val="39"/>
  </w:style>
  <w:style w:type="paragraph" w:styleId="17">
    <w:name w:val="toc 2"/>
    <w:basedOn w:val="1"/>
    <w:next w:val="1"/>
    <w:autoRedefine/>
    <w:unhideWhenUsed/>
    <w:qFormat/>
    <w:uiPriority w:val="39"/>
    <w:pPr>
      <w:tabs>
        <w:tab w:val="right" w:leader="dot" w:pos="8296"/>
      </w:tabs>
      <w:ind w:left="420" w:leftChars="200"/>
    </w:pPr>
  </w:style>
  <w:style w:type="paragraph" w:styleId="1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9">
    <w:name w:val="Body Text First Indent 2"/>
    <w:basedOn w:val="11"/>
    <w:autoRedefine/>
    <w:unhideWhenUsed/>
    <w:qFormat/>
    <w:uiPriority w:val="99"/>
    <w:pPr>
      <w:spacing w:after="120"/>
      <w:ind w:left="420" w:leftChars="200" w:firstLine="420" w:firstLineChars="200"/>
    </w:pPr>
    <w:rPr>
      <w:rFonts w:ascii="Times New Roman" w:eastAsia="宋体"/>
      <w:kern w:val="2"/>
      <w:sz w:val="21"/>
      <w:szCs w:val="24"/>
    </w:rPr>
  </w:style>
  <w:style w:type="table" w:styleId="21">
    <w:name w:val="Table Grid"/>
    <w:basedOn w:val="2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page number"/>
    <w:basedOn w:val="22"/>
    <w:autoRedefine/>
    <w:qFormat/>
    <w:uiPriority w:val="0"/>
  </w:style>
  <w:style w:type="character" w:styleId="25">
    <w:name w:val="Hyperlink"/>
    <w:autoRedefine/>
    <w:unhideWhenUsed/>
    <w:qFormat/>
    <w:uiPriority w:val="99"/>
    <w:rPr>
      <w:color w:val="0000FF"/>
      <w:u w:val="single"/>
    </w:rPr>
  </w:style>
  <w:style w:type="character" w:styleId="26">
    <w:name w:val="annotation reference"/>
    <w:autoRedefine/>
    <w:qFormat/>
    <w:uiPriority w:val="0"/>
    <w:rPr>
      <w:sz w:val="21"/>
      <w:szCs w:val="21"/>
    </w:rPr>
  </w:style>
  <w:style w:type="paragraph" w:customStyle="1" w:styleId="2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表格文字"/>
    <w:basedOn w:val="29"/>
    <w:autoRedefine/>
    <w:qFormat/>
    <w:uiPriority w:val="99"/>
    <w:pPr>
      <w:spacing w:before="25" w:after="25"/>
      <w:jc w:val="left"/>
    </w:pPr>
    <w:rPr>
      <w:bCs/>
      <w:spacing w:val="10"/>
      <w:kern w:val="0"/>
      <w:sz w:val="24"/>
    </w:rPr>
  </w:style>
  <w:style w:type="paragraph" w:customStyle="1" w:styleId="29">
    <w:name w:val="表格文字（两侧对齐）"/>
    <w:basedOn w:val="1"/>
    <w:autoRedefine/>
    <w:qFormat/>
    <w:uiPriority w:val="0"/>
    <w:pPr>
      <w:spacing w:line="240" w:lineRule="auto"/>
    </w:pPr>
    <w:rPr>
      <w:rFonts w:ascii="Calibri" w:hAnsi="Calibri" w:cs="Times New Roman"/>
      <w:kern w:val="0"/>
      <w:sz w:val="20"/>
    </w:rPr>
  </w:style>
  <w:style w:type="paragraph" w:customStyle="1" w:styleId="30">
    <w:name w:val="列出段落1"/>
    <w:basedOn w:val="1"/>
    <w:autoRedefine/>
    <w:qFormat/>
    <w:uiPriority w:val="34"/>
    <w:pPr>
      <w:ind w:firstLine="420" w:firstLineChars="200"/>
    </w:pPr>
  </w:style>
  <w:style w:type="paragraph" w:customStyle="1" w:styleId="31">
    <w:name w:val="样式1"/>
    <w:basedOn w:val="1"/>
    <w:autoRedefine/>
    <w:qFormat/>
    <w:uiPriority w:val="0"/>
    <w:pPr>
      <w:spacing w:before="120" w:after="120" w:line="300" w:lineRule="auto"/>
    </w:pPr>
    <w:rPr>
      <w:rFonts w:ascii="宋体" w:hAnsi="宋体"/>
      <w:b/>
      <w:sz w:val="24"/>
      <w:szCs w:val="20"/>
    </w:rPr>
  </w:style>
  <w:style w:type="paragraph" w:customStyle="1" w:styleId="32">
    <w:name w:val="正文-2字符首行缩进"/>
    <w:basedOn w:val="1"/>
    <w:autoRedefine/>
    <w:qFormat/>
    <w:uiPriority w:val="0"/>
    <w:pPr>
      <w:widowControl/>
      <w:spacing w:line="360" w:lineRule="auto"/>
      <w:ind w:firstLine="200" w:firstLineChars="200"/>
    </w:pPr>
    <w:rPr>
      <w:rFonts w:ascii="仿宋_GB2312" w:hAnsi="Calibri" w:eastAsia="仿宋_GB2312"/>
      <w:kern w:val="0"/>
      <w:sz w:val="28"/>
      <w:szCs w:val="22"/>
    </w:rPr>
  </w:style>
  <w:style w:type="paragraph" w:styleId="33">
    <w:name w:val="List Paragraph"/>
    <w:basedOn w:val="1"/>
    <w:autoRedefine/>
    <w:qFormat/>
    <w:uiPriority w:val="34"/>
    <w:pPr>
      <w:ind w:firstLine="420" w:firstLineChars="200"/>
    </w:pPr>
  </w:style>
  <w:style w:type="paragraph" w:customStyle="1" w:styleId="34">
    <w:name w:val="列表段落1"/>
    <w:basedOn w:val="1"/>
    <w:autoRedefine/>
    <w:qFormat/>
    <w:uiPriority w:val="0"/>
    <w:pPr>
      <w:spacing w:after="240" w:line="240" w:lineRule="auto"/>
      <w:ind w:left="720" w:firstLine="360"/>
      <w:contextualSpacing/>
    </w:pPr>
    <w:rPr>
      <w:rFonts w:ascii="Calibri" w:hAnsi="Calibri" w:eastAsia="宋体" w:cs="Times New Roman"/>
      <w:sz w:val="22"/>
      <w:szCs w:val="2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82</Pages>
  <Words>47391</Words>
  <Characters>49899</Characters>
  <Lines>0</Lines>
  <Paragraphs>0</Paragraphs>
  <TotalTime>2</TotalTime>
  <ScaleCrop>false</ScaleCrop>
  <LinksUpToDate>false</LinksUpToDate>
  <CharactersWithSpaces>54886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2020-11-27T02:06:00Z</dcterms:created>
  <dc:creator>lenovo1</dc:creator>
  <cp:lastModifiedBy>Administrator</cp:lastModifiedBy>
  <dcterms:modified xsi:type="dcterms:W3CDTF">2024-05-16T00:29:24Z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8A331AD168764351BD744BC165F6B4C1_13</vt:lpwstr>
  </property>
</Properties>
</file>