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color w:val="auto"/>
          <w:sz w:val="44"/>
          <w:szCs w:val="44"/>
          <w:highlight w:val="none"/>
        </w:rPr>
      </w:pPr>
      <w:bookmarkStart w:id="0" w:name="_Toc10319"/>
      <w:bookmarkStart w:id="1" w:name="_Toc7014_WPSOffice_Level1"/>
      <w:r>
        <w:rPr>
          <w:rFonts w:hint="eastAsia" w:ascii="宋体" w:hAnsi="宋体" w:eastAsia="宋体" w:cs="宋体"/>
          <w:b/>
          <w:color w:val="auto"/>
          <w:sz w:val="52"/>
          <w:highlight w:val="none"/>
          <w:lang w:val="en-US" w:eastAsia="zh-CN"/>
        </w:rPr>
        <w:t xml:space="preserve"> </w:t>
      </w:r>
      <w:r>
        <w:rPr>
          <w:rFonts w:hint="eastAsia" w:ascii="宋体" w:hAnsi="宋体" w:cs="宋体"/>
          <w:b/>
          <w:color w:val="auto"/>
          <w:sz w:val="56"/>
          <w:szCs w:val="56"/>
          <w:highlight w:val="none"/>
          <w:lang w:eastAsia="zh-CN"/>
        </w:rPr>
        <w:t>广西天罡工程项目管理有限公司</w:t>
      </w:r>
    </w:p>
    <w:p>
      <w:pPr>
        <w:pStyle w:val="17"/>
        <w:rPr>
          <w:rFonts w:hint="eastAsia" w:ascii="宋体" w:hAnsi="宋体" w:eastAsia="宋体" w:cs="宋体"/>
          <w:b/>
          <w:bCs/>
          <w:color w:val="auto"/>
          <w:sz w:val="52"/>
          <w:szCs w:val="52"/>
          <w:highlight w:val="none"/>
        </w:rPr>
      </w:pPr>
    </w:p>
    <w:p>
      <w:pPr>
        <w:pStyle w:val="17"/>
        <w:rPr>
          <w:rFonts w:hint="eastAsia" w:ascii="宋体" w:hAnsi="宋体" w:eastAsia="宋体" w:cs="宋体"/>
          <w:b/>
          <w:bCs/>
          <w:color w:val="auto"/>
          <w:sz w:val="52"/>
          <w:szCs w:val="52"/>
          <w:highlight w:val="none"/>
        </w:rPr>
      </w:pPr>
    </w:p>
    <w:p>
      <w:pPr>
        <w:pStyle w:val="17"/>
        <w:rPr>
          <w:rFonts w:hint="eastAsia" w:ascii="宋体" w:hAnsi="宋体" w:eastAsia="宋体" w:cs="宋体"/>
          <w:b/>
          <w:bCs/>
          <w:color w:val="auto"/>
          <w:sz w:val="52"/>
          <w:szCs w:val="52"/>
          <w:highlight w:val="none"/>
        </w:rPr>
      </w:pPr>
    </w:p>
    <w:p>
      <w:pPr>
        <w:ind w:left="558" w:right="683"/>
        <w:jc w:val="center"/>
        <w:rPr>
          <w:rFonts w:hint="eastAsia" w:ascii="宋体" w:hAnsi="宋体" w:eastAsia="宋体" w:cs="宋体"/>
          <w:b/>
          <w:color w:val="auto"/>
          <w:sz w:val="56"/>
          <w:szCs w:val="56"/>
          <w:highlight w:val="none"/>
        </w:rPr>
      </w:pPr>
      <w:r>
        <w:rPr>
          <w:rFonts w:hint="eastAsia" w:ascii="宋体" w:hAnsi="宋体" w:eastAsia="宋体" w:cs="宋体"/>
          <w:b/>
          <w:color w:val="auto"/>
          <w:spacing w:val="93"/>
          <w:sz w:val="56"/>
          <w:szCs w:val="56"/>
          <w:highlight w:val="none"/>
        </w:rPr>
        <w:t>竞争性磋商文件</w:t>
      </w:r>
    </w:p>
    <w:p>
      <w:pPr>
        <w:jc w:val="center"/>
        <w:rPr>
          <w:rFonts w:hint="eastAsia" w:ascii="宋体" w:hAnsi="宋体" w:eastAsia="宋体" w:cs="宋体"/>
          <w:b/>
          <w:bCs/>
          <w:color w:val="auto"/>
          <w:sz w:val="52"/>
          <w:szCs w:val="52"/>
          <w:highlight w:val="none"/>
        </w:rPr>
      </w:pPr>
    </w:p>
    <w:p>
      <w:pPr>
        <w:jc w:val="center"/>
        <w:rPr>
          <w:rFonts w:hint="eastAsia" w:ascii="宋体" w:hAnsi="宋体" w:eastAsia="宋体" w:cs="宋体"/>
          <w:b/>
          <w:bCs/>
          <w:color w:val="auto"/>
          <w:sz w:val="52"/>
          <w:szCs w:val="52"/>
          <w:highlight w:val="none"/>
        </w:rPr>
      </w:pPr>
    </w:p>
    <w:p>
      <w:pPr>
        <w:jc w:val="center"/>
        <w:rPr>
          <w:rFonts w:hint="eastAsia" w:ascii="宋体" w:hAnsi="宋体" w:eastAsia="宋体" w:cs="宋体"/>
          <w:b/>
          <w:bCs/>
          <w:color w:val="auto"/>
          <w:sz w:val="52"/>
          <w:szCs w:val="52"/>
          <w:highlight w:val="none"/>
        </w:rPr>
      </w:pPr>
    </w:p>
    <w:p>
      <w:pPr>
        <w:ind w:left="3200" w:hanging="3200" w:hangingChars="1000"/>
        <w:jc w:val="left"/>
        <w:rPr>
          <w:rFonts w:hint="default" w:ascii="宋体" w:hAnsi="宋体" w:eastAsia="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项 目 名 称：</w:t>
      </w:r>
      <w:r>
        <w:rPr>
          <w:rFonts w:hint="eastAsia" w:ascii="宋体" w:hAnsi="宋体" w:cs="宋体"/>
          <w:b w:val="0"/>
          <w:bCs w:val="0"/>
          <w:color w:val="auto"/>
          <w:sz w:val="32"/>
          <w:szCs w:val="32"/>
          <w:highlight w:val="none"/>
          <w:lang w:eastAsia="zh-CN"/>
        </w:rPr>
        <w:t>广西商业技师学院烹饪实训材料供应商采购</w:t>
      </w:r>
    </w:p>
    <w:p>
      <w:pPr>
        <w:rPr>
          <w:rFonts w:hint="eastAsia" w:ascii="宋体" w:hAnsi="宋体" w:eastAsia="宋体" w:cs="宋体"/>
          <w:b w:val="0"/>
          <w:bCs w:val="0"/>
          <w:color w:val="auto"/>
          <w:sz w:val="32"/>
          <w:szCs w:val="32"/>
          <w:highlight w:val="none"/>
          <w:lang w:eastAsia="zh-CN"/>
        </w:rPr>
      </w:pPr>
      <w:r>
        <w:rPr>
          <w:rFonts w:hint="eastAsia" w:ascii="宋体" w:hAnsi="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项 目 编 号：</w:t>
      </w:r>
      <w:r>
        <w:rPr>
          <w:rFonts w:hint="eastAsia" w:ascii="宋体" w:hAnsi="宋体" w:cs="宋体"/>
          <w:b w:val="0"/>
          <w:bCs w:val="0"/>
          <w:color w:val="auto"/>
          <w:sz w:val="32"/>
          <w:szCs w:val="32"/>
          <w:highlight w:val="none"/>
          <w:lang w:eastAsia="zh-CN"/>
        </w:rPr>
        <w:t>GXZC2024-C3-002956-GXTG</w:t>
      </w:r>
    </w:p>
    <w:p>
      <w:pPr>
        <w:ind w:firstLine="1600" w:firstLineChars="500"/>
        <w:rPr>
          <w:rFonts w:hint="eastAsia" w:ascii="宋体" w:hAnsi="宋体" w:eastAsia="宋体" w:cs="宋体"/>
          <w:color w:val="auto"/>
          <w:sz w:val="32"/>
          <w:szCs w:val="32"/>
          <w:highlight w:val="none"/>
        </w:rPr>
      </w:pPr>
    </w:p>
    <w:p>
      <w:pPr>
        <w:jc w:val="center"/>
        <w:rPr>
          <w:rFonts w:hint="eastAsia" w:ascii="宋体" w:hAnsi="宋体" w:eastAsia="宋体" w:cs="宋体"/>
          <w:color w:val="auto"/>
          <w:sz w:val="32"/>
          <w:szCs w:val="32"/>
          <w:highlight w:val="none"/>
        </w:rPr>
      </w:pPr>
    </w:p>
    <w:p>
      <w:pPr>
        <w:jc w:val="both"/>
        <w:rPr>
          <w:rFonts w:hint="eastAsia" w:ascii="宋体" w:hAnsi="宋体" w:eastAsia="宋体" w:cs="宋体"/>
          <w:color w:val="auto"/>
          <w:sz w:val="32"/>
          <w:szCs w:val="32"/>
          <w:highlight w:val="none"/>
        </w:rPr>
      </w:pPr>
    </w:p>
    <w:p>
      <w:pPr>
        <w:pStyle w:val="17"/>
        <w:rPr>
          <w:rFonts w:hint="eastAsia"/>
          <w:color w:val="auto"/>
          <w:highlight w:val="none"/>
        </w:rPr>
      </w:pPr>
    </w:p>
    <w:p>
      <w:pPr>
        <w:jc w:val="both"/>
        <w:rPr>
          <w:rFonts w:hint="eastAsia" w:ascii="宋体" w:hAnsi="宋体" w:eastAsia="宋体" w:cs="宋体"/>
          <w:color w:val="auto"/>
          <w:sz w:val="32"/>
          <w:szCs w:val="32"/>
          <w:highlight w:val="none"/>
        </w:rPr>
      </w:pPr>
    </w:p>
    <w:p>
      <w:pPr>
        <w:ind w:firstLine="1600" w:firstLineChars="50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采购代理机构：</w:t>
      </w:r>
      <w:r>
        <w:rPr>
          <w:rFonts w:hint="eastAsia" w:ascii="宋体" w:hAnsi="宋体" w:cs="宋体"/>
          <w:color w:val="auto"/>
          <w:sz w:val="32"/>
          <w:szCs w:val="32"/>
          <w:highlight w:val="none"/>
          <w:lang w:eastAsia="zh-CN"/>
        </w:rPr>
        <w:t>广西天罡工程项目管理有限公司</w:t>
      </w:r>
    </w:p>
    <w:p>
      <w:pPr>
        <w:pStyle w:val="10"/>
        <w:rPr>
          <w:rFonts w:hint="eastAsia" w:ascii="宋体" w:hAnsi="宋体" w:eastAsia="宋体" w:cs="宋体"/>
          <w:color w:val="auto"/>
          <w:highlight w:val="none"/>
        </w:rPr>
      </w:pPr>
    </w:p>
    <w:p>
      <w:pPr>
        <w:ind w:firstLine="3840" w:firstLineChars="1200"/>
        <w:rPr>
          <w:rFonts w:hint="eastAsia" w:ascii="宋体" w:hAnsi="宋体" w:eastAsia="宋体" w:cs="宋体"/>
          <w:color w:val="auto"/>
          <w:sz w:val="48"/>
          <w:szCs w:val="48"/>
          <w:highlight w:val="none"/>
          <w:lang w:val="en-US" w:eastAsia="zh-CN"/>
        </w:rPr>
        <w:sectPr>
          <w:footerReference r:id="rId4" w:type="first"/>
          <w:footerReference r:id="rId3" w:type="default"/>
          <w:pgSz w:w="11906" w:h="16838"/>
          <w:pgMar w:top="1440" w:right="935" w:bottom="1440" w:left="777" w:header="851" w:footer="992" w:gutter="0"/>
          <w:pgNumType w:fmt="numberInDash" w:start="1"/>
          <w:cols w:space="720" w:num="1"/>
          <w:rtlGutter w:val="0"/>
          <w:docGrid w:type="linesAndChars" w:linePitch="312" w:charSpace="0"/>
        </w:sectPr>
      </w:pPr>
      <w:r>
        <w:rPr>
          <w:rFonts w:hint="eastAsia" w:ascii="宋体" w:hAnsi="宋体" w:cs="宋体"/>
          <w:color w:val="auto"/>
          <w:sz w:val="32"/>
          <w:szCs w:val="32"/>
          <w:highlight w:val="none"/>
          <w:lang w:eastAsia="zh-CN"/>
        </w:rPr>
        <w:t>202</w:t>
      </w:r>
      <w:r>
        <w:rPr>
          <w:rFonts w:hint="eastAsia" w:ascii="宋体" w:hAnsi="宋体" w:cs="宋体"/>
          <w:color w:val="auto"/>
          <w:sz w:val="32"/>
          <w:szCs w:val="32"/>
          <w:highlight w:val="none"/>
          <w:lang w:val="en-US" w:eastAsia="zh-CN"/>
        </w:rPr>
        <w:t>4</w:t>
      </w:r>
      <w:r>
        <w:rPr>
          <w:rFonts w:hint="eastAsia" w:ascii="宋体" w:hAnsi="宋体" w:cs="宋体"/>
          <w:color w:val="auto"/>
          <w:sz w:val="32"/>
          <w:szCs w:val="32"/>
          <w:highlight w:val="none"/>
          <w:lang w:eastAsia="zh-CN"/>
        </w:rPr>
        <w:t>年</w:t>
      </w:r>
      <w:r>
        <w:rPr>
          <w:rFonts w:hint="eastAsia" w:ascii="宋体" w:hAnsi="宋体" w:cs="宋体"/>
          <w:color w:val="auto"/>
          <w:sz w:val="32"/>
          <w:szCs w:val="32"/>
          <w:highlight w:val="none"/>
          <w:lang w:val="en-US" w:eastAsia="zh-CN"/>
        </w:rPr>
        <w:t>4</w:t>
      </w:r>
      <w:r>
        <w:rPr>
          <w:rFonts w:hint="eastAsia" w:ascii="宋体" w:hAnsi="宋体" w:cs="宋体"/>
          <w:color w:val="auto"/>
          <w:sz w:val="32"/>
          <w:szCs w:val="32"/>
          <w:highlight w:val="none"/>
          <w:lang w:eastAsia="zh-CN"/>
        </w:rPr>
        <w:t>月</w:t>
      </w:r>
    </w:p>
    <w:p>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目</w:t>
      </w: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lang w:val="zh-CN"/>
        </w:rPr>
        <w:t>录</w:t>
      </w:r>
    </w:p>
    <w:p>
      <w:pPr>
        <w:pStyle w:val="19"/>
        <w:tabs>
          <w:tab w:val="right" w:leader="dot" w:pos="10194"/>
        </w:tabs>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TOC \o "1-1" \h \u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_Toc17502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color w:val="auto"/>
          <w:sz w:val="30"/>
          <w:szCs w:val="30"/>
          <w:highlight w:val="none"/>
        </w:rPr>
        <w:t>第一章 竞争性磋商公告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_Toc17502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pPr>
        <w:pStyle w:val="19"/>
        <w:tabs>
          <w:tab w:val="right" w:leader="dot" w:pos="10194"/>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_Toc8849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color w:val="auto"/>
          <w:sz w:val="30"/>
          <w:szCs w:val="30"/>
          <w:highlight w:val="none"/>
          <w:lang w:eastAsia="zh-CN"/>
        </w:rPr>
        <w:t>第二章</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供应商须知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_Toc8849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4</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pPr>
        <w:pStyle w:val="19"/>
        <w:tabs>
          <w:tab w:val="right" w:leader="dot" w:pos="10194"/>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_Toc10892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color w:val="auto"/>
          <w:sz w:val="30"/>
          <w:szCs w:val="30"/>
          <w:highlight w:val="none"/>
          <w:lang w:eastAsia="zh-CN"/>
        </w:rPr>
        <w:t>第三章</w:t>
      </w:r>
      <w:r>
        <w:rPr>
          <w:rFonts w:hint="eastAsia" w:ascii="宋体" w:hAnsi="宋体" w:eastAsia="宋体" w:cs="宋体"/>
          <w:color w:val="auto"/>
          <w:sz w:val="30"/>
          <w:szCs w:val="30"/>
          <w:highlight w:val="none"/>
        </w:rPr>
        <w:t xml:space="preserve"> 采购需求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_Toc10892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22</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pPr>
        <w:pStyle w:val="19"/>
        <w:tabs>
          <w:tab w:val="right" w:leader="dot" w:pos="10194"/>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_Toc24716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color w:val="auto"/>
          <w:sz w:val="30"/>
          <w:szCs w:val="30"/>
          <w:highlight w:val="none"/>
          <w:lang w:eastAsia="zh-CN"/>
        </w:rPr>
        <w:t>第四章</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评审办法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_Toc24716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27</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pPr>
        <w:pStyle w:val="19"/>
        <w:tabs>
          <w:tab w:val="right" w:leader="dot" w:pos="10194"/>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_Toc25360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color w:val="auto"/>
          <w:sz w:val="30"/>
          <w:szCs w:val="30"/>
          <w:highlight w:val="none"/>
          <w:lang w:eastAsia="zh-CN"/>
        </w:rPr>
        <w:t>第五章</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采购合同（合同主要条款及格式）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_Toc25360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31</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pPr>
        <w:pStyle w:val="19"/>
        <w:tabs>
          <w:tab w:val="right" w:leader="dot" w:pos="10194"/>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rPr>
        <w:fldChar w:fldCharType="begin"/>
      </w:r>
      <w:r>
        <w:rPr>
          <w:rFonts w:hint="eastAsia" w:ascii="宋体" w:hAnsi="宋体" w:eastAsia="宋体" w:cs="宋体"/>
          <w:bCs/>
          <w:color w:val="auto"/>
          <w:sz w:val="30"/>
          <w:szCs w:val="30"/>
          <w:highlight w:val="none"/>
        </w:rPr>
        <w:instrText xml:space="preserve"> HYPERLINK \l _Toc16171 </w:instrText>
      </w:r>
      <w:r>
        <w:rPr>
          <w:rFonts w:hint="eastAsia" w:ascii="宋体" w:hAnsi="宋体" w:eastAsia="宋体" w:cs="宋体"/>
          <w:bCs/>
          <w:color w:val="auto"/>
          <w:sz w:val="30"/>
          <w:szCs w:val="30"/>
          <w:highlight w:val="none"/>
        </w:rPr>
        <w:fldChar w:fldCharType="separate"/>
      </w:r>
      <w:r>
        <w:rPr>
          <w:rFonts w:hint="eastAsia" w:ascii="宋体" w:hAnsi="宋体" w:eastAsia="宋体" w:cs="宋体"/>
          <w:color w:val="auto"/>
          <w:sz w:val="30"/>
          <w:szCs w:val="30"/>
          <w:highlight w:val="none"/>
        </w:rPr>
        <w:t>第六章  响应文件（格式）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_Toc16171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35</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rPr>
        <w:fldChar w:fldCharType="end"/>
      </w:r>
    </w:p>
    <w:p>
      <w:pPr>
        <w:jc w:val="center"/>
        <w:rPr>
          <w:rFonts w:hint="eastAsia" w:ascii="宋体" w:hAnsi="宋体" w:eastAsia="宋体" w:cs="宋体"/>
          <w:b/>
          <w:bCs/>
          <w:color w:val="auto"/>
          <w:sz w:val="32"/>
          <w:szCs w:val="32"/>
          <w:highlight w:val="none"/>
        </w:rPr>
      </w:pPr>
      <w:r>
        <w:rPr>
          <w:rFonts w:hint="eastAsia" w:ascii="宋体" w:hAnsi="宋体" w:eastAsia="宋体" w:cs="宋体"/>
          <w:bCs/>
          <w:color w:val="auto"/>
          <w:sz w:val="30"/>
          <w:szCs w:val="30"/>
          <w:highlight w:val="none"/>
        </w:rPr>
        <w:fldChar w:fldCharType="end"/>
      </w:r>
    </w:p>
    <w:p>
      <w:pPr>
        <w:rPr>
          <w:rFonts w:hint="eastAsia" w:ascii="宋体" w:hAnsi="宋体" w:eastAsia="宋体" w:cs="宋体"/>
          <w:b/>
          <w:bCs/>
          <w:color w:val="auto"/>
          <w:sz w:val="32"/>
          <w:szCs w:val="32"/>
          <w:highlight w:val="none"/>
        </w:rPr>
        <w:sectPr>
          <w:footerReference r:id="rId5" w:type="default"/>
          <w:pgSz w:w="11906" w:h="16838"/>
          <w:pgMar w:top="1440" w:right="935" w:bottom="1440" w:left="777" w:header="851" w:footer="992" w:gutter="0"/>
          <w:pgNumType w:fmt="numberInDash"/>
          <w:cols w:space="720" w:num="1"/>
          <w:rtlGutter w:val="0"/>
          <w:docGrid w:type="linesAndChars" w:linePitch="312" w:charSpace="0"/>
        </w:sectPr>
      </w:pPr>
    </w:p>
    <w:p>
      <w:pPr>
        <w:pStyle w:val="3"/>
        <w:numPr>
          <w:ilvl w:val="0"/>
          <w:numId w:val="1"/>
        </w:numPr>
        <w:bidi w:val="0"/>
        <w:rPr>
          <w:rFonts w:hint="eastAsia"/>
          <w:color w:val="auto"/>
          <w:highlight w:val="none"/>
        </w:rPr>
      </w:pPr>
      <w:bookmarkStart w:id="2" w:name="_Toc35393797"/>
      <w:bookmarkStart w:id="3" w:name="_Toc17502"/>
      <w:bookmarkStart w:id="4" w:name="_Toc28359011"/>
      <w:bookmarkStart w:id="5" w:name="_Toc26809"/>
      <w:bookmarkStart w:id="6" w:name="_Toc29067"/>
      <w:bookmarkStart w:id="7" w:name="_Toc30170"/>
      <w:r>
        <w:rPr>
          <w:rFonts w:hint="eastAsia"/>
          <w:color w:val="auto"/>
          <w:highlight w:val="none"/>
        </w:rPr>
        <w:t>竞争性磋商公告</w:t>
      </w:r>
      <w:bookmarkEnd w:id="2"/>
      <w:bookmarkEnd w:id="3"/>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p>
    <w:tbl>
      <w:tblPr>
        <w:tblStyle w:val="25"/>
        <w:tblpPr w:leftFromText="180" w:rightFromText="180" w:vertAnchor="text" w:tblpX="38" w:tblpY="134"/>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2" w:hRule="atLeast"/>
        </w:trPr>
        <w:tc>
          <w:tcPr>
            <w:tcW w:w="9620"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广西商业技师学院烹饪实训材料供应商采购</w:t>
            </w:r>
            <w:r>
              <w:rPr>
                <w:rFonts w:hint="eastAsia" w:ascii="宋体" w:hAnsi="宋体" w:eastAsia="宋体" w:cs="宋体"/>
                <w:color w:val="auto"/>
                <w:sz w:val="21"/>
                <w:szCs w:val="21"/>
                <w:highlight w:val="none"/>
              </w:rPr>
              <w:t>的潜在供应商应在“政采云”平台（https://www.zcygov.cn）获取</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文件，并于</w:t>
            </w:r>
            <w:r>
              <w:rPr>
                <w:rFonts w:hint="eastAsia" w:ascii="宋体" w:hAnsi="宋体" w:cs="宋体"/>
                <w:color w:val="auto"/>
                <w:sz w:val="21"/>
                <w:szCs w:val="21"/>
                <w:highlight w:val="none"/>
                <w:u w:val="single"/>
                <w:lang w:eastAsia="zh-CN"/>
              </w:rPr>
              <w:t>2024年</w:t>
            </w:r>
            <w:r>
              <w:rPr>
                <w:rFonts w:hint="eastAsia" w:ascii="宋体" w:hAnsi="宋体" w:cs="宋体"/>
                <w:color w:val="auto"/>
                <w:sz w:val="21"/>
                <w:szCs w:val="21"/>
                <w:highlight w:val="none"/>
                <w:u w:val="single"/>
                <w:lang w:val="en-US" w:eastAsia="zh-CN"/>
              </w:rPr>
              <w:t>4</w:t>
            </w:r>
            <w:r>
              <w:rPr>
                <w:rFonts w:hint="eastAsia" w:ascii="宋体" w:hAnsi="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18</w:t>
            </w:r>
            <w:r>
              <w:rPr>
                <w:rFonts w:hint="eastAsia" w:ascii="宋体" w:hAnsi="宋体" w:cs="宋体"/>
                <w:color w:val="auto"/>
                <w:sz w:val="21"/>
                <w:szCs w:val="21"/>
                <w:highlight w:val="none"/>
                <w:u w:val="single"/>
                <w:lang w:eastAsia="zh-CN"/>
              </w:rPr>
              <w:t>日</w:t>
            </w:r>
            <w:r>
              <w:rPr>
                <w:rFonts w:hint="eastAsia" w:ascii="宋体" w:hAnsi="宋体" w:cs="宋体"/>
                <w:bCs/>
                <w:color w:val="auto"/>
                <w:sz w:val="21"/>
                <w:szCs w:val="21"/>
                <w:highlight w:val="none"/>
                <w:u w:val="single"/>
                <w:lang w:val="en-US" w:eastAsia="zh-CN"/>
              </w:rPr>
              <w:t>9</w:t>
            </w:r>
            <w:r>
              <w:rPr>
                <w:rFonts w:hint="eastAsia" w:ascii="宋体" w:hAnsi="宋体" w:eastAsia="宋体" w:cs="宋体"/>
                <w:bCs/>
                <w:color w:val="auto"/>
                <w:sz w:val="21"/>
                <w:szCs w:val="21"/>
                <w:highlight w:val="none"/>
                <w:u w:val="single"/>
              </w:rPr>
              <w:t>时</w:t>
            </w:r>
            <w:r>
              <w:rPr>
                <w:rFonts w:hint="eastAsia" w:ascii="宋体" w:hAnsi="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bookmarkStart w:id="8" w:name="_Toc28359089"/>
      <w:bookmarkStart w:id="9" w:name="_Toc35393629"/>
      <w:bookmarkStart w:id="10" w:name="_Toc28359012"/>
      <w:bookmarkStart w:id="11" w:name="_Toc35393798"/>
      <w:r>
        <w:rPr>
          <w:rFonts w:hint="eastAsia" w:ascii="宋体" w:hAnsi="宋体" w:eastAsia="宋体" w:cs="宋体"/>
          <w:color w:val="auto"/>
          <w:sz w:val="21"/>
          <w:szCs w:val="21"/>
          <w:highlight w:val="none"/>
        </w:rPr>
        <w:t>一、项目基本情况</w:t>
      </w:r>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GXZC2024-C3-002956-GXTG</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广西商业技师学院烹饪实训材料供应商采购</w:t>
      </w:r>
      <w:r>
        <w:rPr>
          <w:rFonts w:hint="eastAsia" w:ascii="宋体" w:hAnsi="宋体" w:eastAsia="宋体" w:cs="宋体"/>
          <w:color w:val="auto"/>
          <w:sz w:val="21"/>
          <w:szCs w:val="21"/>
          <w:highlight w:val="none"/>
        </w:rPr>
        <w:t xml:space="preserve"> </w:t>
      </w:r>
    </w:p>
    <w:p>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采购方式：竞争性磋商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w:t>
      </w:r>
      <w:r>
        <w:rPr>
          <w:rFonts w:hint="eastAsia" w:ascii="宋体" w:hAnsi="宋体" w:eastAsia="宋体" w:cs="宋体"/>
          <w:b w:val="0"/>
          <w:bCs w:val="0"/>
          <w:color w:val="auto"/>
          <w:sz w:val="21"/>
          <w:szCs w:val="21"/>
          <w:highlight w:val="none"/>
        </w:rPr>
        <w:t>人民币</w:t>
      </w:r>
      <w:r>
        <w:rPr>
          <w:rFonts w:hint="eastAsia" w:ascii="宋体" w:hAnsi="宋体" w:cs="宋体"/>
          <w:b w:val="0"/>
          <w:bCs w:val="0"/>
          <w:color w:val="auto"/>
          <w:sz w:val="21"/>
          <w:szCs w:val="21"/>
          <w:highlight w:val="none"/>
          <w:lang w:eastAsia="zh-CN"/>
        </w:rPr>
        <w:t>贰佰壹拾万元整（¥2100000.00元）</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b/>
          <w:bCs/>
          <w:color w:val="auto"/>
          <w:sz w:val="21"/>
          <w:szCs w:val="21"/>
          <w:highlight w:val="none"/>
        </w:rPr>
        <w:t>采购需求</w:t>
      </w:r>
      <w:r>
        <w:rPr>
          <w:rFonts w:hint="eastAsia" w:ascii="宋体" w:hAnsi="宋体" w:eastAsia="宋体" w:cs="宋体"/>
          <w:color w:val="auto"/>
          <w:sz w:val="21"/>
          <w:szCs w:val="21"/>
          <w:highlight w:val="none"/>
        </w:rPr>
        <w:t>：</w:t>
      </w:r>
    </w:p>
    <w:tbl>
      <w:tblPr>
        <w:tblStyle w:val="24"/>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593"/>
        <w:gridCol w:w="1039"/>
        <w:gridCol w:w="1114"/>
        <w:gridCol w:w="3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25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名称</w:t>
            </w:r>
          </w:p>
        </w:tc>
        <w:tc>
          <w:tcPr>
            <w:tcW w:w="103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11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单位</w:t>
            </w:r>
          </w:p>
        </w:tc>
        <w:tc>
          <w:tcPr>
            <w:tcW w:w="323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介绍、用途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7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5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广西商业技师学院烹饪实训材料供应商采购</w:t>
            </w:r>
          </w:p>
        </w:tc>
        <w:tc>
          <w:tcPr>
            <w:tcW w:w="103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caps w:val="0"/>
                <w:color w:val="auto"/>
                <w:spacing w:val="0"/>
                <w:sz w:val="21"/>
                <w:szCs w:val="21"/>
                <w:highlight w:val="none"/>
                <w:lang w:val="en-US" w:eastAsia="zh-CN"/>
              </w:rPr>
              <w:t>1</w:t>
            </w:r>
          </w:p>
        </w:tc>
        <w:tc>
          <w:tcPr>
            <w:tcW w:w="111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323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供应</w:t>
            </w:r>
            <w:r>
              <w:rPr>
                <w:rFonts w:hint="eastAsia" w:ascii="宋体" w:hAnsi="宋体" w:cs="宋体"/>
                <w:color w:val="auto"/>
                <w:sz w:val="21"/>
                <w:szCs w:val="21"/>
                <w:highlight w:val="none"/>
                <w:lang w:eastAsia="zh-CN"/>
              </w:rPr>
              <w:t>广西商业技师学院烹饪实训材料。</w:t>
            </w:r>
          </w:p>
        </w:tc>
      </w:tr>
    </w:tbl>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采购需求的详细内容，详见竞争性磋商文件。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合同履行期限：自签订合同之日起至服务满</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年整</w:t>
      </w:r>
      <w:r>
        <w:rPr>
          <w:rFonts w:hint="eastAsia" w:ascii="宋体" w:hAnsi="宋体" w:eastAsia="宋体" w:cs="宋体"/>
          <w:color w:val="auto"/>
          <w:sz w:val="21"/>
          <w:szCs w:val="21"/>
          <w:highlight w:val="none"/>
          <w:lang w:eastAsia="zh-CN"/>
        </w:rPr>
        <w:t>为止。</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本项目不接受联合体参与磋商。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bookmarkStart w:id="12" w:name="_Toc35393799"/>
      <w:bookmarkStart w:id="13" w:name="_Toc28359090"/>
      <w:bookmarkStart w:id="14" w:name="_Toc28359013"/>
      <w:bookmarkStart w:id="15" w:name="_Toc35393630"/>
      <w:r>
        <w:rPr>
          <w:rFonts w:hint="eastAsia" w:ascii="宋体" w:hAnsi="宋体" w:eastAsia="宋体" w:cs="宋体"/>
          <w:color w:val="auto"/>
          <w:sz w:val="21"/>
          <w:szCs w:val="21"/>
          <w:highlight w:val="none"/>
        </w:rPr>
        <w:t>二、申请人的资格要求：</w:t>
      </w:r>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pPr>
        <w:spacing w:line="440" w:lineRule="exact"/>
        <w:ind w:firstLine="420" w:firstLineChars="200"/>
        <w:rPr>
          <w:rFonts w:hint="eastAsia" w:ascii="宋体" w:hAnsi="宋体" w:eastAsia="宋体" w:cs="宋体"/>
          <w:b/>
          <w:bCs/>
          <w:color w:val="auto"/>
          <w:sz w:val="21"/>
          <w:szCs w:val="21"/>
          <w:highlight w:val="none"/>
          <w:lang w:eastAsia="zh-CN"/>
        </w:rPr>
      </w:pPr>
      <w:bookmarkStart w:id="16" w:name="_Toc28359014"/>
      <w:bookmarkStart w:id="17" w:name="_Toc28359091"/>
      <w:r>
        <w:rPr>
          <w:rFonts w:hint="eastAsia" w:ascii="宋体" w:hAnsi="宋体" w:eastAsia="宋体" w:cs="宋体"/>
          <w:color w:val="auto"/>
          <w:sz w:val="21"/>
          <w:szCs w:val="21"/>
          <w:highlight w:val="none"/>
        </w:rPr>
        <w:t>3.落实政府采购政策需满足的资格要求：本项目属于专门面向</w:t>
      </w:r>
      <w:r>
        <w:rPr>
          <w:rFonts w:hint="eastAsia" w:ascii="宋体" w:hAnsi="宋体" w:cs="宋体"/>
          <w:color w:val="auto"/>
          <w:sz w:val="21"/>
          <w:szCs w:val="21"/>
          <w:highlight w:val="none"/>
          <w:lang w:eastAsia="zh-CN"/>
        </w:rPr>
        <w:t>小微</w:t>
      </w:r>
      <w:r>
        <w:rPr>
          <w:rFonts w:hint="eastAsia" w:ascii="宋体" w:hAnsi="宋体" w:eastAsia="宋体" w:cs="宋体"/>
          <w:color w:val="auto"/>
          <w:sz w:val="21"/>
          <w:szCs w:val="21"/>
          <w:highlight w:val="none"/>
        </w:rPr>
        <w:t>企业采购的项目</w:t>
      </w:r>
      <w:r>
        <w:rPr>
          <w:rFonts w:hint="eastAsia" w:ascii="宋体" w:hAnsi="宋体" w:eastAsia="宋体" w:cs="宋体"/>
          <w:b w:val="0"/>
          <w:bCs w:val="0"/>
          <w:color w:val="auto"/>
          <w:sz w:val="21"/>
          <w:szCs w:val="21"/>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rPr>
        <w:t>4.本项目的特定资格要求：</w:t>
      </w:r>
      <w:bookmarkStart w:id="18" w:name="_Toc35393631"/>
      <w:bookmarkStart w:id="19" w:name="_Toc35393800"/>
      <w:r>
        <w:rPr>
          <w:rFonts w:hint="eastAsia" w:ascii="宋体" w:hAnsi="宋体" w:eastAsia="宋体" w:cs="宋体"/>
          <w:b w:val="0"/>
          <w:bCs w:val="0"/>
          <w:color w:val="auto"/>
          <w:sz w:val="21"/>
          <w:szCs w:val="21"/>
          <w:highlight w:val="none"/>
          <w:lang w:eastAsia="zh-CN"/>
        </w:rPr>
        <w:t>无。</w:t>
      </w:r>
    </w:p>
    <w:bookmarkEnd w:id="16"/>
    <w:bookmarkEnd w:id="17"/>
    <w:bookmarkEnd w:id="18"/>
    <w:bookmarkEnd w:id="19"/>
    <w:p>
      <w:pPr>
        <w:rPr>
          <w:rFonts w:hint="eastAsia" w:ascii="宋体" w:hAnsi="宋体" w:eastAsia="宋体" w:cs="宋体"/>
          <w:color w:val="auto"/>
          <w:sz w:val="21"/>
          <w:szCs w:val="21"/>
          <w:highlight w:val="none"/>
        </w:rPr>
      </w:pPr>
      <w:bookmarkStart w:id="20" w:name="_Toc35393792"/>
      <w:bookmarkStart w:id="21" w:name="_Toc35393623"/>
      <w:bookmarkStart w:id="22" w:name="_Toc35393805"/>
      <w:bookmarkStart w:id="23" w:name="_Toc35393636"/>
      <w:bookmarkStart w:id="24" w:name="_Toc28359095"/>
      <w:bookmarkStart w:id="25" w:name="_Toc28359018"/>
      <w:r>
        <w:rPr>
          <w:rFonts w:hint="eastAsia" w:ascii="宋体" w:hAnsi="宋体" w:eastAsia="宋体" w:cs="宋体"/>
          <w:color w:val="auto"/>
          <w:sz w:val="21"/>
          <w:szCs w:val="21"/>
          <w:highlight w:val="none"/>
        </w:rPr>
        <w:t>三、获取</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w:t>
      </w:r>
      <w:bookmarkEnd w:id="20"/>
      <w:bookmarkEnd w:id="21"/>
    </w:p>
    <w:p>
      <w:pPr>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文件获取时间：</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日</w:t>
      </w:r>
      <w:r>
        <w:rPr>
          <w:rFonts w:hint="eastAsia" w:ascii="宋体" w:hAnsi="宋体" w:eastAsia="宋体" w:cs="宋体"/>
          <w:color w:val="auto"/>
          <w:sz w:val="21"/>
          <w:szCs w:val="21"/>
          <w:highlight w:val="none"/>
        </w:rPr>
        <w:t>至</w:t>
      </w:r>
      <w:r>
        <w:rPr>
          <w:rFonts w:hint="eastAsia" w:ascii="宋体" w:hAnsi="宋体" w:cs="宋体"/>
          <w:color w:val="auto"/>
          <w:sz w:val="21"/>
          <w:szCs w:val="21"/>
          <w:highlight w:val="none"/>
          <w:lang w:eastAsia="zh-CN"/>
        </w:rPr>
        <w:t>2024年</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pPr>
        <w:rPr>
          <w:rFonts w:hint="eastAsia" w:ascii="宋体" w:hAnsi="宋体" w:eastAsia="宋体" w:cs="宋体"/>
          <w:color w:val="auto"/>
          <w:sz w:val="21"/>
          <w:szCs w:val="21"/>
          <w:highlight w:val="none"/>
        </w:rPr>
      </w:pPr>
      <w:bookmarkStart w:id="26" w:name="_Toc28359082"/>
      <w:bookmarkStart w:id="27" w:name="_Toc28359005"/>
      <w:bookmarkStart w:id="28" w:name="_Toc35393624"/>
      <w:bookmarkStart w:id="29" w:name="_Toc35393793"/>
      <w:r>
        <w:rPr>
          <w:rFonts w:hint="eastAsia" w:ascii="宋体" w:hAnsi="宋体" w:cs="宋体"/>
          <w:color w:val="auto"/>
          <w:sz w:val="21"/>
          <w:szCs w:val="21"/>
          <w:highlight w:val="none"/>
          <w:lang w:val="en-US" w:eastAsia="zh-CN"/>
        </w:rPr>
        <w:t xml:space="preserve">    2.</w:t>
      </w:r>
      <w:r>
        <w:rPr>
          <w:rFonts w:hint="eastAsia" w:ascii="宋体" w:hAnsi="宋体" w:eastAsia="宋体" w:cs="宋体"/>
          <w:color w:val="auto"/>
          <w:sz w:val="21"/>
          <w:szCs w:val="21"/>
          <w:highlight w:val="none"/>
        </w:rPr>
        <w:t>地点（网址）：“政采云”平台（www.zcygov.cn）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3.</w:t>
      </w:r>
      <w:r>
        <w:rPr>
          <w:rFonts w:hint="eastAsia" w:ascii="宋体" w:hAnsi="宋体" w:eastAsia="宋体" w:cs="宋体"/>
          <w:color w:val="auto"/>
          <w:sz w:val="21"/>
          <w:szCs w:val="21"/>
          <w:highlight w:val="none"/>
        </w:rPr>
        <w:t>方式：潜在供应商登录“政采云”平台（www.zcygov.cn）免费获取竞争性磋商文件电子版。供应商应在“政采云”平台进行“申请获取采购文件”操作，否则，将导致无法在线编制响应文件并参与竞标，其不利后果由供应商自行承担。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4.</w:t>
      </w:r>
      <w:r>
        <w:rPr>
          <w:rFonts w:hint="eastAsia" w:ascii="宋体" w:hAnsi="宋体" w:eastAsia="宋体" w:cs="宋体"/>
          <w:color w:val="auto"/>
          <w:sz w:val="21"/>
          <w:szCs w:val="21"/>
          <w:highlight w:val="none"/>
        </w:rPr>
        <w:t>售价（元）：0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bookmarkEnd w:id="26"/>
      <w:bookmarkEnd w:id="27"/>
      <w:r>
        <w:rPr>
          <w:rFonts w:hint="eastAsia" w:ascii="宋体" w:hAnsi="宋体" w:eastAsia="宋体" w:cs="宋体"/>
          <w:color w:val="auto"/>
          <w:sz w:val="21"/>
          <w:szCs w:val="21"/>
          <w:highlight w:val="none"/>
          <w:lang w:eastAsia="zh-CN"/>
        </w:rPr>
        <w:t>提交</w:t>
      </w:r>
      <w:r>
        <w:rPr>
          <w:rFonts w:hint="eastAsia" w:ascii="宋体" w:hAnsi="宋体" w:eastAsia="宋体" w:cs="宋体"/>
          <w:color w:val="auto"/>
          <w:sz w:val="21"/>
          <w:szCs w:val="21"/>
          <w:highlight w:val="none"/>
        </w:rPr>
        <w:t>时间和地点</w:t>
      </w:r>
      <w:bookmarkEnd w:id="28"/>
      <w:bookmarkEnd w:id="29"/>
    </w:p>
    <w:p>
      <w:pPr>
        <w:spacing w:line="38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截止</w:t>
      </w:r>
      <w:r>
        <w:rPr>
          <w:rFonts w:hint="eastAsia" w:ascii="宋体" w:hAnsi="宋体" w:eastAsia="宋体" w:cs="宋体"/>
          <w:bCs/>
          <w:color w:val="auto"/>
          <w:sz w:val="21"/>
          <w:szCs w:val="21"/>
          <w:highlight w:val="none"/>
        </w:rPr>
        <w:t>时间：</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lang w:val="en-US" w:eastAsia="zh-CN"/>
        </w:rPr>
        <w:t>09</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sz w:val="21"/>
          <w:szCs w:val="21"/>
          <w:highlight w:val="none"/>
        </w:rPr>
        <w:t>北京时间）。</w:t>
      </w:r>
    </w:p>
    <w:p>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点：通过政采云平台实行在线</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五、开启</w:t>
      </w:r>
    </w:p>
    <w:p>
      <w:pPr>
        <w:spacing w:line="34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eastAsia="zh-CN"/>
        </w:rPr>
        <w:t>2024年</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lang w:val="en-US" w:eastAsia="zh-CN"/>
        </w:rPr>
        <w:t>09</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北京时间）截标后。</w:t>
      </w:r>
    </w:p>
    <w:p>
      <w:pPr>
        <w:spacing w:line="34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地点：通过政采云平台实行在线解密开启。</w:t>
      </w:r>
    </w:p>
    <w:p>
      <w:pPr>
        <w:rPr>
          <w:rFonts w:hint="eastAsia" w:ascii="宋体" w:hAnsi="宋体" w:eastAsia="宋体" w:cs="宋体"/>
          <w:color w:val="auto"/>
          <w:sz w:val="21"/>
          <w:szCs w:val="21"/>
          <w:highlight w:val="none"/>
        </w:rPr>
      </w:pPr>
      <w:bookmarkStart w:id="30" w:name="_Toc35393625"/>
      <w:bookmarkStart w:id="31" w:name="_Toc35393794"/>
      <w:bookmarkStart w:id="32" w:name="_Toc28359007"/>
      <w:bookmarkStart w:id="33" w:name="_Toc28359084"/>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、公告期限</w:t>
      </w:r>
      <w:bookmarkEnd w:id="30"/>
      <w:bookmarkEnd w:id="31"/>
      <w:bookmarkEnd w:id="32"/>
      <w:bookmarkEnd w:id="33"/>
    </w:p>
    <w:p>
      <w:pPr>
        <w:spacing w:line="3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p>
    <w:p>
      <w:pPr>
        <w:rPr>
          <w:rFonts w:hint="eastAsia" w:ascii="宋体" w:hAnsi="宋体" w:eastAsia="宋体" w:cs="宋体"/>
          <w:color w:val="auto"/>
          <w:sz w:val="21"/>
          <w:szCs w:val="21"/>
          <w:highlight w:val="none"/>
        </w:rPr>
      </w:pPr>
      <w:bookmarkStart w:id="34" w:name="_Toc35393626"/>
      <w:bookmarkStart w:id="35" w:name="_Toc35393795"/>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、其他补充事宜</w:t>
      </w:r>
      <w:bookmarkEnd w:id="34"/>
      <w:bookmarkEnd w:id="35"/>
    </w:p>
    <w:p>
      <w:pPr>
        <w:numPr>
          <w:ilvl w:val="0"/>
          <w:numId w:val="0"/>
        </w:numPr>
        <w:spacing w:line="38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本项目无需缴纳</w:t>
      </w:r>
      <w:r>
        <w:rPr>
          <w:rFonts w:hint="eastAsia" w:ascii="宋体" w:hAnsi="宋体" w:eastAsia="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rPr>
        <w:t>保证金。</w:t>
      </w:r>
    </w:p>
    <w:p>
      <w:pPr>
        <w:numPr>
          <w:ilvl w:val="0"/>
          <w:numId w:val="0"/>
        </w:num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本项目信息发布媒体：</w:t>
      </w:r>
    </w:p>
    <w:p>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中国政府采购网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http://www.ccgp.gov.cn</w:t>
      </w:r>
      <w:r>
        <w:rPr>
          <w:rFonts w:hint="eastAsia" w:ascii="宋体" w:hAnsi="宋体" w:eastAsia="宋体" w:cs="宋体"/>
          <w:color w:val="auto"/>
          <w:sz w:val="21"/>
          <w:szCs w:val="21"/>
          <w:highlight w:val="none"/>
          <w:lang w:eastAsia="zh-CN"/>
        </w:rPr>
        <w:t>）</w:t>
      </w:r>
    </w:p>
    <w:p>
      <w:pPr>
        <w:spacing w:line="3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广西壮族自治区政府采购网（http://www.ccgp-guangxi.gov.cn/</w:t>
      </w:r>
      <w:r>
        <w:rPr>
          <w:rFonts w:hint="eastAsia" w:ascii="宋体" w:hAnsi="宋体" w:eastAsia="宋体" w:cs="宋体"/>
          <w:color w:val="auto"/>
          <w:sz w:val="21"/>
          <w:szCs w:val="21"/>
          <w:highlight w:val="none"/>
          <w:lang w:eastAsia="zh-CN"/>
        </w:rPr>
        <w:t>）</w:t>
      </w:r>
    </w:p>
    <w:p>
      <w:pPr>
        <w:spacing w:line="3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桂林市政府采购网（zfcg.czj.guilin.gov.cn）</w:t>
      </w:r>
    </w:p>
    <w:p>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全国公共资源交易平台(广西•桂林)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http://ggzy.jgswj.gxzf.gov.cn/glggzy/</w:t>
      </w:r>
      <w:r>
        <w:rPr>
          <w:rFonts w:hint="eastAsia" w:ascii="宋体" w:hAnsi="宋体" w:eastAsia="宋体" w:cs="宋体"/>
          <w:color w:val="auto"/>
          <w:sz w:val="21"/>
          <w:szCs w:val="21"/>
          <w:highlight w:val="none"/>
          <w:lang w:eastAsia="zh-CN"/>
        </w:rPr>
        <w:t>）</w:t>
      </w:r>
    </w:p>
    <w:p>
      <w:pPr>
        <w:pStyle w:val="39"/>
        <w:numPr>
          <w:ilvl w:val="0"/>
          <w:numId w:val="2"/>
        </w:numPr>
        <w:ind w:left="-60" w:leftChars="0" w:firstLine="48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响应文件解密时间：截标时间后</w:t>
      </w:r>
      <w:r>
        <w:rPr>
          <w:rFonts w:hint="eastAsia" w:ascii="宋体" w:hAnsi="宋体" w:eastAsia="宋体" w:cs="宋体"/>
          <w:color w:val="auto"/>
          <w:sz w:val="21"/>
          <w:szCs w:val="21"/>
          <w:highlight w:val="none"/>
          <w:u w:val="single"/>
        </w:rPr>
        <w:t>30</w:t>
      </w:r>
      <w:r>
        <w:rPr>
          <w:rFonts w:hint="eastAsia" w:ascii="宋体" w:hAnsi="宋体" w:eastAsia="宋体" w:cs="宋体"/>
          <w:color w:val="auto"/>
          <w:sz w:val="21"/>
          <w:szCs w:val="21"/>
          <w:highlight w:val="none"/>
        </w:rPr>
        <w:t>分钟内（</w:t>
      </w:r>
      <w:r>
        <w:rPr>
          <w:rFonts w:hint="eastAsia" w:ascii="宋体" w:hAnsi="宋体" w:cs="宋体"/>
          <w:color w:val="auto"/>
          <w:sz w:val="21"/>
          <w:szCs w:val="21"/>
          <w:highlight w:val="none"/>
          <w:u w:val="single"/>
          <w:lang w:eastAsia="zh-CN"/>
        </w:rPr>
        <w:t>2024年</w:t>
      </w:r>
      <w:r>
        <w:rPr>
          <w:rFonts w:hint="eastAsia" w:ascii="宋体" w:hAnsi="宋体" w:cs="宋体"/>
          <w:color w:val="auto"/>
          <w:sz w:val="21"/>
          <w:szCs w:val="21"/>
          <w:highlight w:val="none"/>
          <w:u w:val="single"/>
          <w:lang w:val="en-US" w:eastAsia="zh-CN"/>
        </w:rPr>
        <w:t>4</w:t>
      </w:r>
      <w:r>
        <w:rPr>
          <w:rFonts w:hint="eastAsia" w:ascii="宋体" w:hAnsi="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18</w:t>
      </w:r>
      <w:r>
        <w:rPr>
          <w:rFonts w:hint="eastAsia" w:ascii="宋体" w:hAnsi="宋体" w:cs="宋体"/>
          <w:color w:val="auto"/>
          <w:sz w:val="21"/>
          <w:szCs w:val="21"/>
          <w:highlight w:val="none"/>
          <w:u w:val="single"/>
          <w:lang w:eastAsia="zh-CN"/>
        </w:rPr>
        <w:t>日</w:t>
      </w:r>
      <w:r>
        <w:rPr>
          <w:rFonts w:hint="eastAsia" w:ascii="宋体" w:hAnsi="宋体" w:eastAsia="宋体" w:cs="宋体"/>
          <w:color w:val="auto"/>
          <w:sz w:val="21"/>
          <w:szCs w:val="21"/>
          <w:highlight w:val="none"/>
          <w:u w:val="single"/>
        </w:rPr>
        <w:t>上午</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lang w:val="en-US" w:eastAsia="zh-CN"/>
        </w:rPr>
        <w:t>时</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US" w:eastAsia="zh-CN"/>
        </w:rPr>
        <w:t>0分</w:t>
      </w:r>
      <w:r>
        <w:rPr>
          <w:rFonts w:hint="eastAsia" w:ascii="宋体" w:hAnsi="宋体" w:eastAsia="宋体" w:cs="宋体"/>
          <w:color w:val="auto"/>
          <w:sz w:val="21"/>
          <w:szCs w:val="21"/>
          <w:highlight w:val="none"/>
          <w:u w:val="single"/>
          <w:lang w:eastAsia="zh-CN"/>
        </w:rPr>
        <w:t>至</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lang w:val="en-US" w:eastAsia="zh-CN"/>
        </w:rPr>
        <w:t>时</w:t>
      </w:r>
      <w:r>
        <w:rPr>
          <w:rFonts w:hint="eastAsia" w:ascii="宋体"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lang w:val="en-US" w:eastAsia="zh-CN"/>
        </w:rPr>
        <w:t>0分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供应商可以登录政采云平台，用“项目采购-开标评标”功能进行解密</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4.本项目需要落实的政府采购政策：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4.1《政府采购促进中小企业发展管理办法》（财库[2020]46号）；本项目属于专门面向</w:t>
      </w:r>
      <w:r>
        <w:rPr>
          <w:rFonts w:hint="eastAsia" w:ascii="宋体" w:hAnsi="宋体" w:cs="宋体"/>
          <w:color w:val="auto"/>
          <w:kern w:val="0"/>
          <w:sz w:val="21"/>
          <w:szCs w:val="21"/>
          <w:highlight w:val="none"/>
          <w:lang w:val="en-US" w:eastAsia="zh-CN" w:bidi="ar-SA"/>
        </w:rPr>
        <w:t>小微</w:t>
      </w:r>
      <w:r>
        <w:rPr>
          <w:rFonts w:hint="eastAsia" w:ascii="宋体" w:hAnsi="宋体" w:eastAsia="宋体" w:cs="宋体"/>
          <w:color w:val="auto"/>
          <w:kern w:val="0"/>
          <w:sz w:val="21"/>
          <w:szCs w:val="21"/>
          <w:highlight w:val="none"/>
          <w:lang w:val="en-US" w:eastAsia="zh-CN" w:bidi="ar-SA"/>
        </w:rPr>
        <w:t>企业采购。</w:t>
      </w:r>
      <w:r>
        <w:rPr>
          <w:rFonts w:hint="eastAsia" w:ascii="宋体" w:hAnsi="宋体" w:eastAsia="宋体" w:cs="宋体"/>
          <w:color w:val="auto"/>
          <w:kern w:val="0"/>
          <w:sz w:val="21"/>
          <w:szCs w:val="21"/>
          <w:highlight w:val="none"/>
          <w:lang w:val="en-US" w:eastAsia="zh-CN" w:bidi="ar-SA"/>
        </w:rPr>
        <w:br w:type="textWrapping"/>
      </w:r>
      <w:r>
        <w:rPr>
          <w:rFonts w:hint="eastAsia" w:ascii="宋体" w:hAnsi="宋体" w:eastAsia="宋体" w:cs="宋体"/>
          <w:color w:val="auto"/>
          <w:kern w:val="0"/>
          <w:sz w:val="21"/>
          <w:szCs w:val="21"/>
          <w:highlight w:val="none"/>
          <w:lang w:val="en-US" w:eastAsia="zh-CN" w:bidi="ar-SA"/>
        </w:rPr>
        <w:t xml:space="preserve">    4.2《关于政府采购支持监狱企业发展有关问题的通知》（财库[2014]68号）。 </w:t>
      </w:r>
      <w:r>
        <w:rPr>
          <w:rFonts w:hint="eastAsia" w:ascii="宋体" w:hAnsi="宋体" w:eastAsia="宋体" w:cs="宋体"/>
          <w:color w:val="auto"/>
          <w:kern w:val="0"/>
          <w:sz w:val="21"/>
          <w:szCs w:val="21"/>
          <w:highlight w:val="none"/>
          <w:lang w:val="en-US" w:eastAsia="zh-CN" w:bidi="ar-SA"/>
        </w:rPr>
        <w:br w:type="textWrapping"/>
      </w:r>
      <w:r>
        <w:rPr>
          <w:rFonts w:hint="eastAsia" w:ascii="宋体" w:hAnsi="宋体" w:eastAsia="宋体" w:cs="宋体"/>
          <w:color w:val="auto"/>
          <w:kern w:val="0"/>
          <w:sz w:val="21"/>
          <w:szCs w:val="21"/>
          <w:highlight w:val="none"/>
          <w:lang w:val="en-US" w:eastAsia="zh-CN" w:bidi="ar-SA"/>
        </w:rPr>
        <w:t xml:space="preserve">    4.3《关于促进残疾人就业政府采购政策的通知》（财库[2017]141号）。</w:t>
      </w:r>
    </w:p>
    <w:p>
      <w:pPr>
        <w:pStyle w:val="17"/>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    5.本项目所属行业为“</w:t>
      </w:r>
      <w:r>
        <w:rPr>
          <w:rFonts w:hint="eastAsia" w:ascii="宋体" w:hAnsi="宋体" w:cs="宋体"/>
          <w:color w:val="auto"/>
          <w:kern w:val="0"/>
          <w:sz w:val="21"/>
          <w:szCs w:val="21"/>
          <w:highlight w:val="none"/>
          <w:lang w:val="en-US" w:eastAsia="zh-CN" w:bidi="ar-SA"/>
        </w:rPr>
        <w:t>餐饮业或批发业</w:t>
      </w:r>
      <w:r>
        <w:rPr>
          <w:rFonts w:hint="eastAsia" w:ascii="宋体" w:hAnsi="宋体" w:eastAsia="宋体" w:cs="宋体"/>
          <w:color w:val="auto"/>
          <w:kern w:val="0"/>
          <w:sz w:val="21"/>
          <w:szCs w:val="21"/>
          <w:highlight w:val="none"/>
          <w:lang w:val="en-US" w:eastAsia="zh-CN" w:bidi="ar-SA"/>
        </w:rPr>
        <w:t>”。</w:t>
      </w:r>
    </w:p>
    <w:p>
      <w:pPr>
        <w:spacing w:line="4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资格条件特别说明：</w:t>
      </w:r>
    </w:p>
    <w:p>
      <w:pPr>
        <w:spacing w:line="4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firstLine="420"/>
        <w:rPr>
          <w:rFonts w:ascii="宋体" w:hAnsi="宋体" w:cs="宋体"/>
          <w:color w:val="auto"/>
          <w:sz w:val="21"/>
          <w:szCs w:val="24"/>
          <w:highlight w:val="none"/>
        </w:rPr>
      </w:pPr>
      <w:r>
        <w:rPr>
          <w:rFonts w:hint="eastAsia" w:ascii="宋体" w:hAnsi="宋体" w:cs="宋体"/>
          <w:color w:val="auto"/>
          <w:sz w:val="21"/>
          <w:szCs w:val="24"/>
          <w:highlight w:val="none"/>
        </w:rPr>
        <w:t>（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spacing w:line="400" w:lineRule="exact"/>
        <w:ind w:left="420" w:leftChars="200" w:firstLine="0" w:firstLineChars="0"/>
        <w:rPr>
          <w:rFonts w:ascii="宋体" w:hAnsi="宋体" w:cs="宋体"/>
          <w:bCs/>
          <w:color w:val="auto"/>
          <w:sz w:val="21"/>
          <w:szCs w:val="21"/>
          <w:highlight w:val="none"/>
        </w:rPr>
      </w:pPr>
      <w:r>
        <w:rPr>
          <w:rFonts w:hint="eastAsia" w:ascii="宋体" w:hAnsi="宋体" w:cs="宋体"/>
          <w:bCs/>
          <w:color w:val="auto"/>
          <w:sz w:val="21"/>
          <w:szCs w:val="21"/>
          <w:highlight w:val="none"/>
          <w:lang w:val="en-US" w:eastAsia="zh-CN"/>
        </w:rPr>
        <w:t>7.</w:t>
      </w:r>
      <w:r>
        <w:rPr>
          <w:rFonts w:ascii="宋体" w:hAnsi="宋体" w:cs="宋体"/>
          <w:bCs/>
          <w:color w:val="auto"/>
          <w:sz w:val="21"/>
          <w:szCs w:val="21"/>
          <w:highlight w:val="none"/>
        </w:rPr>
        <w:t>“</w:t>
      </w:r>
      <w:r>
        <w:rPr>
          <w:rFonts w:hint="eastAsia" w:ascii="宋体" w:hAnsi="宋体" w:cs="宋体"/>
          <w:bCs/>
          <w:color w:val="auto"/>
          <w:sz w:val="21"/>
          <w:szCs w:val="21"/>
          <w:highlight w:val="none"/>
        </w:rPr>
        <w:t>政采云</w:t>
      </w:r>
      <w:r>
        <w:rPr>
          <w:rFonts w:ascii="宋体" w:hAnsi="宋体" w:cs="宋体"/>
          <w:bCs/>
          <w:color w:val="auto"/>
          <w:sz w:val="21"/>
          <w:szCs w:val="21"/>
          <w:highlight w:val="none"/>
        </w:rPr>
        <w:t>”</w:t>
      </w:r>
      <w:r>
        <w:rPr>
          <w:rFonts w:hint="eastAsia" w:ascii="宋体" w:hAnsi="宋体" w:cs="宋体"/>
          <w:bCs/>
          <w:color w:val="auto"/>
          <w:sz w:val="21"/>
          <w:szCs w:val="21"/>
          <w:highlight w:val="none"/>
        </w:rPr>
        <w:t>平台电子竞标相关事宜：</w:t>
      </w:r>
    </w:p>
    <w:p>
      <w:pPr>
        <w:adjustRightInd w:val="0"/>
        <w:snapToGrid w:val="0"/>
        <w:spacing w:line="400" w:lineRule="exact"/>
        <w:ind w:firstLine="420"/>
        <w:rPr>
          <w:rFonts w:ascii="宋体" w:hAnsi="宋体" w:cs="宋体"/>
          <w:bCs/>
          <w:color w:val="auto"/>
          <w:sz w:val="21"/>
          <w:szCs w:val="21"/>
          <w:highlight w:val="none"/>
        </w:rPr>
      </w:pPr>
      <w:r>
        <w:rPr>
          <w:rFonts w:hint="eastAsia" w:ascii="宋体" w:hAnsi="宋体" w:cs="宋体"/>
          <w:bCs/>
          <w:color w:val="auto"/>
          <w:sz w:val="21"/>
          <w:szCs w:val="21"/>
          <w:highlight w:val="none"/>
        </w:rPr>
        <w:t>（1）本项目实行全流程电子化采购，供应商通过“政采云”平台参与电子竞标，并应做好以下相关准备工作：①在“政采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电子签章或电子签名；③下载“广西壮族自治区全流程电子招投标项目管理系统--供应商客户端”（操作方法详见广西壮族自治区政府采购网—办事服务—下载专区，以下称“政采云电子投标客户端”）并安装成功，供应商应当在响应文件提交截止时间前在“政采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电子竞标或竞标失败的，造成的一切后果，由供应商自行承担。</w:t>
      </w:r>
    </w:p>
    <w:p>
      <w:pPr>
        <w:adjustRightInd w:val="0"/>
        <w:snapToGrid w:val="0"/>
        <w:spacing w:line="400" w:lineRule="exact"/>
        <w:ind w:firstLine="420"/>
        <w:rPr>
          <w:rFonts w:ascii="宋体" w:hAnsi="宋体" w:cs="宋体"/>
          <w:bCs/>
          <w:color w:val="auto"/>
          <w:sz w:val="21"/>
          <w:szCs w:val="21"/>
          <w:highlight w:val="none"/>
        </w:rPr>
      </w:pPr>
      <w:r>
        <w:rPr>
          <w:rFonts w:hint="eastAsia" w:ascii="宋体" w:hAnsi="宋体" w:cs="宋体"/>
          <w:bCs/>
          <w:color w:val="auto"/>
          <w:sz w:val="21"/>
          <w:szCs w:val="21"/>
          <w:highlight w:val="none"/>
        </w:rPr>
        <w:t>（2）电子竞标具体操作流程参考《政府采购项目电子交易管理操作指南-供应商》（详见桂林市政府采购网—采购资讯—重要通知）；如遇平台技术问题详询</w:t>
      </w:r>
      <w:r>
        <w:rPr>
          <w:rFonts w:hint="eastAsia" w:ascii="宋体" w:hAnsi="宋体" w:cs="宋体"/>
          <w:bCs/>
          <w:color w:val="auto"/>
          <w:sz w:val="21"/>
          <w:szCs w:val="21"/>
          <w:highlight w:val="none"/>
          <w:lang w:val="en-US" w:eastAsia="zh-CN"/>
        </w:rPr>
        <w:t>95763</w:t>
      </w:r>
      <w:r>
        <w:rPr>
          <w:rFonts w:hint="eastAsia" w:ascii="宋体" w:hAnsi="宋体" w:cs="宋体"/>
          <w:bCs/>
          <w:color w:val="auto"/>
          <w:sz w:val="21"/>
          <w:szCs w:val="21"/>
          <w:highlight w:val="none"/>
        </w:rPr>
        <w:t>。</w:t>
      </w:r>
    </w:p>
    <w:p>
      <w:pPr>
        <w:adjustRightInd w:val="0"/>
        <w:snapToGrid w:val="0"/>
        <w:spacing w:line="400" w:lineRule="exact"/>
        <w:ind w:firstLine="420"/>
        <w:rPr>
          <w:color w:val="auto"/>
          <w:highlight w:val="none"/>
        </w:rPr>
      </w:pPr>
      <w:r>
        <w:rPr>
          <w:rFonts w:hint="eastAsia" w:ascii="宋体" w:hAnsi="宋体" w:cs="宋体"/>
          <w:bCs/>
          <w:color w:val="auto"/>
          <w:sz w:val="21"/>
          <w:szCs w:val="21"/>
          <w:highlight w:val="none"/>
        </w:rPr>
        <w:t>（3）</w:t>
      </w:r>
      <w:r>
        <w:rPr>
          <w:rFonts w:hint="eastAsia" w:ascii="宋体" w:hAnsi="宋体" w:cs="宋体"/>
          <w:color w:val="auto"/>
          <w:kern w:val="0"/>
          <w:sz w:val="21"/>
          <w:szCs w:val="21"/>
          <w:highlight w:val="none"/>
        </w:rPr>
        <w:t>电子响应文件的制作、加密、</w:t>
      </w:r>
      <w:r>
        <w:rPr>
          <w:rFonts w:hint="eastAsia" w:ascii="宋体" w:hAnsi="宋体" w:cs="宋体"/>
          <w:color w:val="auto"/>
          <w:sz w:val="21"/>
          <w:szCs w:val="21"/>
          <w:highlight w:val="none"/>
        </w:rPr>
        <w:t>提交、解密等相关事宜详见第二章 “供应商须知”。</w:t>
      </w:r>
    </w:p>
    <w:p>
      <w:pPr>
        <w:spacing w:line="5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八</w:t>
      </w:r>
      <w:r>
        <w:rPr>
          <w:rFonts w:hint="eastAsia" w:ascii="宋体" w:hAnsi="宋体" w:eastAsia="宋体" w:cs="宋体"/>
          <w:b/>
          <w:color w:val="auto"/>
          <w:sz w:val="21"/>
          <w:szCs w:val="21"/>
          <w:highlight w:val="none"/>
        </w:rPr>
        <w:t>、</w:t>
      </w:r>
      <w:bookmarkEnd w:id="22"/>
      <w:bookmarkEnd w:id="23"/>
      <w:bookmarkEnd w:id="24"/>
      <w:bookmarkEnd w:id="25"/>
      <w:r>
        <w:rPr>
          <w:rFonts w:hint="eastAsia" w:ascii="宋体" w:hAnsi="宋体" w:eastAsia="宋体" w:cs="宋体"/>
          <w:b/>
          <w:color w:val="auto"/>
          <w:sz w:val="21"/>
          <w:szCs w:val="21"/>
          <w:highlight w:val="none"/>
        </w:rPr>
        <w:t>凡对本次采购提出询问，请按以下方式联系。</w:t>
      </w:r>
      <w:bookmarkStart w:id="36" w:name="_Toc28359019"/>
      <w:bookmarkStart w:id="37" w:name="_Toc35393806"/>
      <w:bookmarkStart w:id="38" w:name="_Toc28359096"/>
      <w:bookmarkStart w:id="39" w:name="_Toc35393637"/>
    </w:p>
    <w:p>
      <w:pPr>
        <w:spacing w:line="5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1.采购人信息</w:t>
      </w:r>
      <w:bookmarkEnd w:id="36"/>
      <w:bookmarkEnd w:id="37"/>
      <w:bookmarkEnd w:id="38"/>
      <w:bookmarkEnd w:id="39"/>
    </w:p>
    <w:p>
      <w:pPr>
        <w:spacing w:line="500" w:lineRule="exact"/>
        <w:ind w:firstLine="420" w:firstLineChars="200"/>
        <w:jc w:val="left"/>
        <w:rPr>
          <w:rFonts w:hint="eastAsia" w:ascii="宋体" w:hAnsi="宋体" w:eastAsia="宋体" w:cs="宋体"/>
          <w:color w:val="auto"/>
          <w:sz w:val="21"/>
          <w:szCs w:val="21"/>
          <w:highlight w:val="none"/>
        </w:rPr>
      </w:pPr>
      <w:bookmarkStart w:id="40" w:name="_Toc28359020"/>
      <w:bookmarkStart w:id="41" w:name="_Toc35393807"/>
      <w:bookmarkStart w:id="42" w:name="_Toc28359097"/>
      <w:bookmarkStart w:id="43" w:name="_Toc35393638"/>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广西商业技师学院</w:t>
      </w:r>
    </w:p>
    <w:p>
      <w:pPr>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b w:val="0"/>
          <w:color w:val="auto"/>
          <w:kern w:val="0"/>
          <w:sz w:val="21"/>
          <w:szCs w:val="21"/>
          <w:highlight w:val="none"/>
          <w:lang w:val="en-US" w:eastAsia="zh-CN" w:bidi="ar"/>
        </w:rPr>
        <w:t>桂林市秀峰区九华路18号</w:t>
      </w:r>
    </w:p>
    <w:p>
      <w:pPr>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b w:val="0"/>
          <w:color w:val="auto"/>
          <w:kern w:val="0"/>
          <w:sz w:val="21"/>
          <w:szCs w:val="21"/>
          <w:highlight w:val="none"/>
          <w:lang w:val="en-US" w:eastAsia="zh-CN" w:bidi="ar"/>
        </w:rPr>
        <w:t>0773-2693893</w:t>
      </w:r>
      <w:bookmarkStart w:id="239" w:name="_GoBack"/>
      <w:bookmarkEnd w:id="239"/>
    </w:p>
    <w:p>
      <w:pPr>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bookmarkEnd w:id="40"/>
      <w:bookmarkEnd w:id="41"/>
      <w:bookmarkEnd w:id="42"/>
      <w:bookmarkEnd w:id="43"/>
    </w:p>
    <w:p>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称：广西天罡工程项目管理有限公司</w:t>
      </w:r>
    </w:p>
    <w:p>
      <w:pPr>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址：桂林市七星区七里店路108号桂林国家大学科技园2栋2单元5楼</w:t>
      </w:r>
    </w:p>
    <w:p>
      <w:pPr>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联系方式：0773-5896688</w:t>
      </w:r>
    </w:p>
    <w:p>
      <w:pPr>
        <w:spacing w:line="500" w:lineRule="exact"/>
        <w:ind w:firstLine="420" w:firstLineChars="200"/>
        <w:jc w:val="left"/>
        <w:rPr>
          <w:rFonts w:hint="eastAsia" w:ascii="宋体" w:hAnsi="宋体" w:eastAsia="宋体" w:cs="宋体"/>
          <w:color w:val="auto"/>
          <w:sz w:val="21"/>
          <w:szCs w:val="21"/>
          <w:highlight w:val="none"/>
        </w:rPr>
      </w:pPr>
      <w:bookmarkStart w:id="44" w:name="_Toc28359021"/>
      <w:bookmarkStart w:id="45" w:name="_Toc28359098"/>
      <w:bookmarkStart w:id="46" w:name="_Toc35393639"/>
      <w:bookmarkStart w:id="47" w:name="_Toc35393808"/>
      <w:r>
        <w:rPr>
          <w:rFonts w:hint="eastAsia" w:ascii="宋体" w:hAnsi="宋体" w:eastAsia="宋体" w:cs="宋体"/>
          <w:color w:val="auto"/>
          <w:sz w:val="21"/>
          <w:szCs w:val="21"/>
          <w:highlight w:val="none"/>
        </w:rPr>
        <w:t>3.项目联系方式</w:t>
      </w:r>
      <w:bookmarkEnd w:id="44"/>
      <w:bookmarkEnd w:id="45"/>
      <w:bookmarkEnd w:id="46"/>
      <w:bookmarkEnd w:id="47"/>
    </w:p>
    <w:p>
      <w:pPr>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eastAsia="zh-CN"/>
        </w:rPr>
        <w:t>张</w:t>
      </w:r>
      <w:r>
        <w:rPr>
          <w:rFonts w:hint="eastAsia" w:ascii="宋体" w:hAnsi="宋体" w:eastAsia="宋体" w:cs="宋体"/>
          <w:color w:val="auto"/>
          <w:sz w:val="21"/>
          <w:szCs w:val="21"/>
          <w:highlight w:val="none"/>
        </w:rPr>
        <w:t>工</w:t>
      </w:r>
    </w:p>
    <w:p>
      <w:pPr>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话：0773-5896688</w:t>
      </w:r>
    </w:p>
    <w:p>
      <w:pPr>
        <w:pStyle w:val="10"/>
        <w:spacing w:line="500" w:lineRule="exact"/>
        <w:rPr>
          <w:rFonts w:hint="eastAsia" w:ascii="宋体" w:hAnsi="宋体" w:eastAsia="宋体" w:cs="宋体"/>
          <w:color w:val="auto"/>
          <w:sz w:val="21"/>
          <w:szCs w:val="21"/>
          <w:highlight w:val="none"/>
        </w:rPr>
      </w:pPr>
    </w:p>
    <w:p>
      <w:pPr>
        <w:pStyle w:val="10"/>
        <w:spacing w:line="500" w:lineRule="exact"/>
        <w:rPr>
          <w:rFonts w:hint="eastAsia" w:ascii="宋体" w:hAnsi="宋体" w:eastAsia="宋体" w:cs="宋体"/>
          <w:color w:val="auto"/>
          <w:sz w:val="21"/>
          <w:szCs w:val="21"/>
          <w:highlight w:val="none"/>
        </w:rPr>
      </w:pPr>
    </w:p>
    <w:p>
      <w:pPr>
        <w:spacing w:line="500" w:lineRule="exact"/>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广西天罡工程项目管理有限公司</w:t>
      </w:r>
    </w:p>
    <w:p>
      <w:pPr>
        <w:spacing w:line="500" w:lineRule="exact"/>
        <w:jc w:val="right"/>
        <w:rPr>
          <w:rFonts w:hint="eastAsia" w:ascii="宋体" w:hAnsi="宋体" w:eastAsia="宋体" w:cs="宋体"/>
          <w:color w:val="auto"/>
          <w:sz w:val="21"/>
          <w:szCs w:val="21"/>
          <w:highlight w:val="none"/>
          <w:lang w:val="en-US"/>
        </w:rPr>
        <w:sectPr>
          <w:footerReference r:id="rId6" w:type="default"/>
          <w:pgSz w:w="11906" w:h="16838"/>
          <w:pgMar w:top="1304" w:right="924" w:bottom="851" w:left="1797" w:header="737" w:footer="567" w:gutter="0"/>
          <w:pgNumType w:fmt="decimal" w:start="1"/>
          <w:cols w:space="720" w:num="1"/>
          <w:docGrid w:type="lines" w:linePitch="312" w:charSpace="0"/>
        </w:sectPr>
      </w:pP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日</w:t>
      </w:r>
    </w:p>
    <w:p>
      <w:pPr>
        <w:pStyle w:val="3"/>
        <w:bidi w:val="0"/>
        <w:rPr>
          <w:rFonts w:hint="eastAsia"/>
          <w:color w:val="auto"/>
          <w:highlight w:val="none"/>
        </w:rPr>
      </w:pPr>
      <w:bookmarkStart w:id="48" w:name="_Toc10668"/>
      <w:bookmarkStart w:id="49" w:name="_Toc8849"/>
      <w:r>
        <w:rPr>
          <w:rFonts w:hint="eastAsia"/>
          <w:color w:val="auto"/>
          <w:highlight w:val="none"/>
          <w:lang w:eastAsia="zh-CN"/>
        </w:rPr>
        <w:t>第二章</w:t>
      </w:r>
      <w:r>
        <w:rPr>
          <w:rFonts w:hint="eastAsia"/>
          <w:color w:val="auto"/>
          <w:highlight w:val="none"/>
          <w:lang w:val="en-US" w:eastAsia="zh-CN"/>
        </w:rPr>
        <w:t xml:space="preserve">  </w:t>
      </w:r>
      <w:r>
        <w:rPr>
          <w:rFonts w:hint="eastAsia"/>
          <w:color w:val="auto"/>
          <w:highlight w:val="none"/>
        </w:rPr>
        <w:t>供应商须知</w:t>
      </w:r>
      <w:bookmarkEnd w:id="0"/>
      <w:bookmarkEnd w:id="1"/>
      <w:bookmarkEnd w:id="48"/>
      <w:bookmarkEnd w:id="49"/>
      <w:bookmarkStart w:id="50" w:name="_Toc13547"/>
      <w:bookmarkStart w:id="51" w:name="_Toc25063"/>
      <w:bookmarkStart w:id="52" w:name="_Toc9508"/>
    </w:p>
    <w:p>
      <w:pPr>
        <w:pStyle w:val="3"/>
        <w:keepNext/>
        <w:keepLines/>
        <w:pageBreakBefore w:val="0"/>
        <w:widowControl w:val="0"/>
        <w:numPr>
          <w:ilvl w:val="0"/>
          <w:numId w:val="0"/>
        </w:numPr>
        <w:kinsoku/>
        <w:wordWrap/>
        <w:overflowPunct/>
        <w:topLinePunct w:val="0"/>
        <w:autoSpaceDE/>
        <w:autoSpaceDN/>
        <w:bidi w:val="0"/>
        <w:adjustRightInd/>
        <w:snapToGrid/>
        <w:spacing w:line="400" w:lineRule="exact"/>
        <w:ind w:left="425" w:leftChars="0"/>
        <w:jc w:val="center"/>
        <w:textAlignment w:val="auto"/>
        <w:rPr>
          <w:rFonts w:hint="eastAsia" w:ascii="宋体" w:hAnsi="宋体" w:eastAsia="宋体" w:cs="宋体"/>
          <w:b/>
          <w:bCs w:val="0"/>
          <w:color w:val="auto"/>
          <w:sz w:val="24"/>
          <w:szCs w:val="24"/>
          <w:highlight w:val="none"/>
        </w:rPr>
      </w:pPr>
      <w:bookmarkStart w:id="53" w:name="_Toc15488"/>
      <w:r>
        <w:rPr>
          <w:rFonts w:hint="eastAsia" w:ascii="宋体" w:hAnsi="宋体" w:eastAsia="宋体" w:cs="宋体"/>
          <w:b/>
          <w:bCs w:val="0"/>
          <w:color w:val="auto"/>
          <w:sz w:val="24"/>
          <w:szCs w:val="24"/>
          <w:highlight w:val="none"/>
        </w:rPr>
        <w:t>供 应 商 须 知 前 附 表</w:t>
      </w:r>
      <w:bookmarkEnd w:id="50"/>
      <w:bookmarkEnd w:id="51"/>
      <w:bookmarkEnd w:id="52"/>
      <w:bookmarkEnd w:id="53"/>
    </w:p>
    <w:tbl>
      <w:tblPr>
        <w:tblStyle w:val="24"/>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652"/>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4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65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7035"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4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65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7035" w:type="dxa"/>
            <w:vAlign w:val="top"/>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广西商业技师学院烹饪实训材料供应商采购</w:t>
            </w:r>
          </w:p>
          <w:p>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lang w:eastAsia="zh-CN"/>
              </w:rPr>
              <w:t>：GXZC2024-C3-002956-GXTG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4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5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w:t>
            </w:r>
          </w:p>
        </w:tc>
        <w:tc>
          <w:tcPr>
            <w:tcW w:w="70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3.落实政府采购政策需满足的资格要求：</w:t>
            </w:r>
            <w:r>
              <w:rPr>
                <w:rFonts w:hint="eastAsia" w:ascii="宋体" w:hAnsi="宋体" w:eastAsia="宋体" w:cs="宋体"/>
                <w:color w:val="auto"/>
                <w:sz w:val="21"/>
                <w:szCs w:val="21"/>
                <w:highlight w:val="none"/>
              </w:rPr>
              <w:t>本项目属于专门面向</w:t>
            </w:r>
            <w:r>
              <w:rPr>
                <w:rFonts w:hint="eastAsia" w:ascii="宋体" w:hAnsi="宋体" w:cs="宋体"/>
                <w:color w:val="auto"/>
                <w:sz w:val="21"/>
                <w:szCs w:val="21"/>
                <w:highlight w:val="none"/>
                <w:lang w:eastAsia="zh-CN"/>
              </w:rPr>
              <w:t>小微</w:t>
            </w:r>
            <w:r>
              <w:rPr>
                <w:rFonts w:hint="eastAsia" w:ascii="宋体" w:hAnsi="宋体" w:eastAsia="宋体" w:cs="宋体"/>
                <w:color w:val="auto"/>
                <w:sz w:val="21"/>
                <w:szCs w:val="21"/>
                <w:highlight w:val="none"/>
              </w:rPr>
              <w:t>企业采购的项目</w:t>
            </w:r>
            <w:r>
              <w:rPr>
                <w:rFonts w:hint="eastAsia" w:ascii="宋体" w:hAnsi="宋体" w:eastAsia="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4.本项目的特定资格要求：</w:t>
            </w:r>
            <w:r>
              <w:rPr>
                <w:rFonts w:hint="eastAsia" w:ascii="宋体" w:hAnsi="宋体" w:eastAsia="宋体" w:cs="宋体"/>
                <w:color w:val="auto"/>
                <w:szCs w:val="21"/>
                <w:highlight w:val="none"/>
                <w:lang w:eastAsia="zh-CN"/>
              </w:rPr>
              <w:t>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3.5.</w:t>
            </w:r>
            <w:r>
              <w:rPr>
                <w:rFonts w:hint="eastAsia" w:ascii="宋体" w:hAnsi="宋体" w:eastAsia="宋体" w:cs="宋体"/>
                <w:color w:val="auto"/>
                <w:szCs w:val="21"/>
                <w:highlight w:val="none"/>
              </w:rPr>
              <w:t>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4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65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磋商费用</w:t>
            </w:r>
          </w:p>
        </w:tc>
        <w:tc>
          <w:tcPr>
            <w:tcW w:w="7035"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不论磋商结果如何，供应商均应自行承担所有与磋商有关的全部费用。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42" w:type="dxa"/>
            <w:vAlign w:val="center"/>
          </w:tcPr>
          <w:p>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13</w:t>
            </w:r>
          </w:p>
        </w:tc>
        <w:tc>
          <w:tcPr>
            <w:tcW w:w="1652" w:type="dxa"/>
            <w:vAlign w:val="center"/>
          </w:tcPr>
          <w:p>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rPr>
              <w:t>磋商报价及采购预算金额</w:t>
            </w:r>
          </w:p>
        </w:tc>
        <w:tc>
          <w:tcPr>
            <w:tcW w:w="70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磋商报价应按磋</w:t>
            </w:r>
            <w:r>
              <w:rPr>
                <w:rFonts w:hint="eastAsia" w:ascii="宋体" w:hAnsi="宋体" w:eastAsia="宋体" w:cs="宋体"/>
                <w:b w:val="0"/>
                <w:bCs w:val="0"/>
                <w:color w:val="auto"/>
                <w:szCs w:val="21"/>
                <w:highlight w:val="none"/>
              </w:rPr>
              <w:t>商</w:t>
            </w:r>
            <w:r>
              <w:rPr>
                <w:rFonts w:hint="eastAsia" w:ascii="宋体" w:hAnsi="宋体" w:eastAsia="宋体" w:cs="宋体"/>
                <w:b w:val="0"/>
                <w:bCs w:val="0"/>
                <w:color w:val="auto"/>
                <w:sz w:val="21"/>
                <w:szCs w:val="21"/>
                <w:highlight w:val="none"/>
                <w:u w:val="none"/>
                <w:lang w:eastAsia="zh-CN"/>
              </w:rPr>
              <w:t>文件中相关附表格式填写。</w:t>
            </w:r>
            <w:r>
              <w:rPr>
                <w:rFonts w:hint="eastAsia" w:ascii="宋体" w:hAnsi="宋体" w:eastAsia="宋体" w:cs="宋体"/>
                <w:b/>
                <w:bCs/>
                <w:color w:val="auto"/>
                <w:sz w:val="21"/>
                <w:szCs w:val="21"/>
                <w:highlight w:val="none"/>
                <w:u w:val="none"/>
                <w:lang w:eastAsia="zh-CN"/>
              </w:rPr>
              <w:t>采购预算金额人民币</w:t>
            </w:r>
            <w:r>
              <w:rPr>
                <w:rFonts w:hint="eastAsia" w:ascii="宋体" w:hAnsi="宋体" w:cs="宋体"/>
                <w:b/>
                <w:bCs/>
                <w:color w:val="auto"/>
                <w:sz w:val="21"/>
                <w:szCs w:val="21"/>
                <w:highlight w:val="none"/>
                <w:u w:val="none"/>
                <w:lang w:eastAsia="zh-CN"/>
              </w:rPr>
              <w:t>贰佰壹拾万元整（¥2100000.00元）</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供应商报价</w:t>
            </w:r>
            <w:r>
              <w:rPr>
                <w:rFonts w:hint="eastAsia" w:ascii="宋体" w:hAnsi="宋体" w:eastAsia="宋体" w:cs="宋体"/>
                <w:color w:val="auto"/>
                <w:kern w:val="0"/>
                <w:szCs w:val="21"/>
                <w:highlight w:val="none"/>
              </w:rPr>
              <w:t>超出采购预算金额的，响应文件按无效处理。</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13.2供应商必须就“采购需求”中所有内容作完整唯一报价，否则，其响应文件无效；响应文件只允许有一个报价，有选择的或有条件的报价将不予接受。</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w:t>
            </w:r>
            <w:r>
              <w:rPr>
                <w:rFonts w:hint="eastAsia" w:ascii="宋体" w:hAnsi="宋体" w:eastAsia="宋体" w:cs="宋体"/>
                <w:color w:val="auto"/>
                <w:kern w:val="0"/>
                <w:szCs w:val="21"/>
                <w:highlight w:val="none"/>
              </w:rPr>
              <w:t>供应商应在规定时间内</w:t>
            </w:r>
            <w:r>
              <w:rPr>
                <w:rFonts w:hint="eastAsia" w:ascii="宋体" w:hAnsi="宋体" w:eastAsia="宋体" w:cs="宋体"/>
                <w:color w:val="auto"/>
                <w:kern w:val="0"/>
                <w:szCs w:val="21"/>
                <w:highlight w:val="none"/>
                <w:lang w:eastAsia="zh-CN"/>
              </w:rPr>
              <w:t>在政采云系统上</w:t>
            </w:r>
            <w:r>
              <w:rPr>
                <w:rFonts w:hint="eastAsia" w:ascii="宋体" w:hAnsi="宋体" w:eastAsia="宋体" w:cs="宋体"/>
                <w:color w:val="auto"/>
                <w:kern w:val="0"/>
                <w:szCs w:val="21"/>
                <w:highlight w:val="none"/>
              </w:rPr>
              <w:t>提交最后报价，</w:t>
            </w:r>
            <w:r>
              <w:rPr>
                <w:rFonts w:hint="eastAsia" w:ascii="宋体" w:hAnsi="宋体" w:eastAsia="宋体" w:cs="宋体"/>
                <w:color w:val="auto"/>
                <w:kern w:val="0"/>
                <w:szCs w:val="21"/>
                <w:highlight w:val="none"/>
                <w:lang w:eastAsia="zh-CN"/>
              </w:rPr>
              <w:t>超出评委设定的最后报价时限或其</w:t>
            </w:r>
            <w:r>
              <w:rPr>
                <w:rFonts w:hint="eastAsia" w:ascii="宋体" w:hAnsi="宋体" w:eastAsia="宋体" w:cs="宋体"/>
                <w:color w:val="auto"/>
                <w:kern w:val="0"/>
                <w:szCs w:val="21"/>
                <w:highlight w:val="none"/>
              </w:rPr>
              <w:t>最后报价超出采购预算导致已通过评审的响应文件无效的，按供应商在提交响应文件截止时间后撤回响应文件处理。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42" w:type="dxa"/>
            <w:vAlign w:val="center"/>
          </w:tcPr>
          <w:p>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14.1</w:t>
            </w:r>
          </w:p>
        </w:tc>
        <w:tc>
          <w:tcPr>
            <w:tcW w:w="1652" w:type="dxa"/>
            <w:vAlign w:val="center"/>
          </w:tcPr>
          <w:p>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响应文件有效期</w:t>
            </w:r>
          </w:p>
        </w:tc>
        <w:tc>
          <w:tcPr>
            <w:tcW w:w="7035" w:type="dxa"/>
            <w:vAlign w:val="top"/>
          </w:tcPr>
          <w:p>
            <w:pPr>
              <w:tabs>
                <w:tab w:val="left" w:pos="130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响应文件递交截止时间之日起90天，有效期不足的响应文件将被拒绝。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42" w:type="dxa"/>
            <w:vAlign w:val="center"/>
          </w:tcPr>
          <w:p>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15</w:t>
            </w:r>
          </w:p>
        </w:tc>
        <w:tc>
          <w:tcPr>
            <w:tcW w:w="1652" w:type="dxa"/>
            <w:vAlign w:val="center"/>
          </w:tcPr>
          <w:p>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保证金</w:t>
            </w:r>
          </w:p>
        </w:tc>
        <w:tc>
          <w:tcPr>
            <w:tcW w:w="7035" w:type="dxa"/>
            <w:vAlign w:val="top"/>
          </w:tcPr>
          <w:p>
            <w:pPr>
              <w:tabs>
                <w:tab w:val="left" w:pos="130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本项目无需缴纳磋商保证金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942" w:type="dxa"/>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1652" w:type="dxa"/>
            <w:vAlign w:val="center"/>
          </w:tcPr>
          <w:p>
            <w:pPr>
              <w:pStyle w:val="5"/>
              <w:spacing w:before="0" w:after="0" w:line="360" w:lineRule="auto"/>
              <w:jc w:val="center"/>
              <w:rPr>
                <w:rFonts w:hint="eastAsia" w:ascii="宋体" w:hAnsi="宋体" w:eastAsia="宋体" w:cs="宋体"/>
                <w:b w:val="0"/>
                <w:bCs/>
                <w:color w:val="auto"/>
                <w:sz w:val="21"/>
                <w:szCs w:val="21"/>
                <w:highlight w:val="none"/>
                <w:lang w:eastAsia="zh-CN"/>
              </w:rPr>
            </w:pPr>
            <w:bookmarkStart w:id="54" w:name="_Toc27452"/>
            <w:bookmarkStart w:id="55" w:name="_Toc19911"/>
            <w:r>
              <w:rPr>
                <w:rFonts w:hint="eastAsia" w:ascii="宋体" w:hAnsi="宋体" w:eastAsia="宋体" w:cs="宋体"/>
                <w:b w:val="0"/>
                <w:bCs/>
                <w:color w:val="auto"/>
                <w:sz w:val="21"/>
                <w:szCs w:val="21"/>
                <w:highlight w:val="none"/>
              </w:rPr>
              <w:t>竞争性</w:t>
            </w:r>
            <w:r>
              <w:rPr>
                <w:rFonts w:hint="eastAsia" w:ascii="宋体" w:hAnsi="宋体" w:eastAsia="宋体" w:cs="宋体"/>
                <w:b w:val="0"/>
                <w:bCs/>
                <w:color w:val="auto"/>
                <w:sz w:val="21"/>
                <w:szCs w:val="21"/>
                <w:highlight w:val="none"/>
                <w:lang w:eastAsia="zh-CN"/>
              </w:rPr>
              <w:t>磋商</w:t>
            </w:r>
            <w:r>
              <w:rPr>
                <w:rFonts w:hint="eastAsia" w:ascii="宋体" w:hAnsi="宋体" w:eastAsia="宋体" w:cs="宋体"/>
                <w:b w:val="0"/>
                <w:bCs/>
                <w:color w:val="auto"/>
                <w:sz w:val="21"/>
                <w:szCs w:val="21"/>
                <w:highlight w:val="none"/>
              </w:rPr>
              <w:t>响应文件的</w:t>
            </w:r>
            <w:r>
              <w:rPr>
                <w:rFonts w:hint="eastAsia" w:ascii="宋体" w:hAnsi="宋体" w:eastAsia="宋体" w:cs="宋体"/>
                <w:b w:val="0"/>
                <w:bCs/>
                <w:color w:val="auto"/>
                <w:sz w:val="21"/>
                <w:szCs w:val="21"/>
                <w:highlight w:val="none"/>
                <w:lang w:eastAsia="zh-CN"/>
              </w:rPr>
              <w:t>制作</w:t>
            </w:r>
            <w:bookmarkEnd w:id="54"/>
            <w:bookmarkEnd w:id="55"/>
          </w:p>
          <w:p>
            <w:pPr>
              <w:spacing w:line="360" w:lineRule="auto"/>
              <w:jc w:val="center"/>
              <w:rPr>
                <w:rFonts w:hint="eastAsia" w:ascii="宋体" w:hAnsi="宋体" w:eastAsia="宋体" w:cs="宋体"/>
                <w:color w:val="auto"/>
                <w:szCs w:val="21"/>
                <w:highlight w:val="none"/>
                <w:lang w:eastAsia="zh-CN"/>
              </w:rPr>
            </w:pPr>
          </w:p>
        </w:tc>
        <w:tc>
          <w:tcPr>
            <w:tcW w:w="7035"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 xml:space="preserve">响应文件中须加盖供应商公章部分均采用 </w:t>
            </w:r>
            <w:r>
              <w:rPr>
                <w:rFonts w:hint="eastAsia" w:ascii="宋体" w:hAnsi="宋体" w:cs="宋体"/>
                <w:color w:val="auto"/>
                <w:szCs w:val="21"/>
                <w:highlight w:val="none"/>
                <w:lang w:eastAsia="zh-CN"/>
              </w:rPr>
              <w:t>CA 证书签章</w:t>
            </w:r>
            <w:r>
              <w:rPr>
                <w:rFonts w:hint="eastAsia" w:ascii="宋体" w:hAnsi="宋体" w:eastAsia="宋体" w:cs="宋体"/>
                <w:color w:val="auto"/>
                <w:szCs w:val="21"/>
                <w:highlight w:val="none"/>
              </w:rPr>
              <w:t>，并根据“政府采购项目电子交易管理操作指南-供应商”及本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响应文件被误读、漏读，或者在按采购文件规定的部位查找不到相关内容的，由供应商自行承担。</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16.2</w:t>
            </w:r>
            <w:r>
              <w:rPr>
                <w:rFonts w:hint="eastAsia" w:ascii="宋体" w:hAnsi="宋体" w:eastAsia="宋体" w:cs="宋体"/>
                <w:color w:val="auto"/>
                <w:szCs w:val="21"/>
                <w:highlight w:val="none"/>
              </w:rPr>
              <w:t>供应商法人（负责人）或授权代表持有政采云个人</w:t>
            </w:r>
            <w:r>
              <w:rPr>
                <w:rFonts w:hint="eastAsia" w:ascii="宋体" w:hAnsi="宋体" w:cs="宋体"/>
                <w:color w:val="auto"/>
                <w:szCs w:val="21"/>
                <w:highlight w:val="none"/>
                <w:lang w:eastAsia="zh-CN"/>
              </w:rPr>
              <w:t>CA证书签章</w:t>
            </w:r>
            <w:r>
              <w:rPr>
                <w:rFonts w:hint="eastAsia" w:ascii="宋体" w:hAnsi="宋体" w:eastAsia="宋体" w:cs="宋体"/>
                <w:color w:val="auto"/>
                <w:szCs w:val="21"/>
                <w:highlight w:val="none"/>
              </w:rPr>
              <w:t>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w:t>
            </w:r>
            <w:r>
              <w:rPr>
                <w:rFonts w:hint="eastAsia" w:ascii="宋体" w:hAnsi="宋体" w:cs="宋体"/>
                <w:color w:val="auto"/>
                <w:szCs w:val="21"/>
                <w:highlight w:val="none"/>
                <w:lang w:eastAsia="zh-CN"/>
              </w:rPr>
              <w:t>CA证书签章</w:t>
            </w:r>
            <w:r>
              <w:rPr>
                <w:rFonts w:hint="eastAsia" w:ascii="宋体" w:hAnsi="宋体" w:eastAsia="宋体" w:cs="宋体"/>
                <w:color w:val="auto"/>
                <w:szCs w:val="21"/>
                <w:highlight w:val="none"/>
              </w:rPr>
              <w:t>，没有办理政采云个人</w:t>
            </w:r>
            <w:r>
              <w:rPr>
                <w:rFonts w:hint="eastAsia" w:ascii="宋体" w:hAnsi="宋体" w:cs="宋体"/>
                <w:color w:val="auto"/>
                <w:szCs w:val="21"/>
                <w:highlight w:val="none"/>
                <w:lang w:eastAsia="zh-CN"/>
              </w:rPr>
              <w:t>CA证书签章</w:t>
            </w:r>
            <w:r>
              <w:rPr>
                <w:rFonts w:hint="eastAsia" w:ascii="宋体" w:hAnsi="宋体" w:eastAsia="宋体" w:cs="宋体"/>
                <w:color w:val="auto"/>
                <w:szCs w:val="21"/>
                <w:highlight w:val="none"/>
              </w:rPr>
              <w:t>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的格式上传即可。</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cs="宋体"/>
                <w:color w:val="auto"/>
                <w:szCs w:val="21"/>
                <w:highlight w:val="none"/>
                <w:lang w:val="en-US" w:eastAsia="zh-CN"/>
              </w:rPr>
              <w:t>CA证书签章</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w:t>
            </w:r>
            <w:r>
              <w:rPr>
                <w:rFonts w:hint="eastAsia" w:ascii="宋体" w:hAnsi="宋体" w:eastAsia="宋体" w:cs="宋体"/>
                <w:color w:val="auto"/>
                <w:szCs w:val="21"/>
                <w:highlight w:val="none"/>
                <w:lang w:eastAsia="zh-CN"/>
              </w:rPr>
              <w:t xml:space="preserve">磋商前准备 </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16.4.2</w:t>
            </w:r>
            <w:r>
              <w:rPr>
                <w:rFonts w:hint="eastAsia" w:ascii="宋体" w:hAnsi="宋体" w:eastAsia="宋体" w:cs="宋体"/>
                <w:color w:val="auto"/>
                <w:szCs w:val="21"/>
                <w:highlight w:val="none"/>
                <w:lang w:eastAsia="zh-CN"/>
              </w:rPr>
              <w:t xml:space="preserve">各供应商应在截标前应确保成为政采云平台正式注册入库供应商，并完成 CA 数字证书申领。因未注册入库、未办理 CA 数字证书等原因造成无法磋商或磋商失败等后果由供应商自行承担。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16.4.3</w:t>
            </w:r>
            <w:r>
              <w:rPr>
                <w:rFonts w:hint="eastAsia" w:ascii="宋体" w:hAnsi="宋体" w:eastAsia="宋体" w:cs="宋体"/>
                <w:color w:val="auto"/>
                <w:szCs w:val="21"/>
                <w:highlight w:val="none"/>
                <w:lang w:eastAsia="zh-CN"/>
              </w:rPr>
              <w:t xml:space="preserve">供应商将政采云电子交易客户端下载、安装完成后，可通过账号密码或 CA 登录客户端进行响应文件制作。客户端请至网站下载专区查看，如有问题可拨打政采云客户服务热线 </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lang w:eastAsia="zh-CN"/>
              </w:rPr>
              <w:t xml:space="preserve"> 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94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p>
        </w:tc>
        <w:tc>
          <w:tcPr>
            <w:tcW w:w="165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w:t>
            </w:r>
          </w:p>
        </w:tc>
        <w:tc>
          <w:tcPr>
            <w:tcW w:w="7035"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于</w:t>
            </w:r>
            <w:r>
              <w:rPr>
                <w:rFonts w:hint="eastAsia" w:ascii="宋体" w:hAnsi="宋体" w:cs="宋体"/>
                <w:color w:val="auto"/>
                <w:sz w:val="21"/>
                <w:szCs w:val="21"/>
                <w:highlight w:val="none"/>
                <w:u w:val="single"/>
                <w:lang w:eastAsia="zh-CN"/>
              </w:rPr>
              <w:t>2024年</w:t>
            </w:r>
            <w:r>
              <w:rPr>
                <w:rFonts w:hint="eastAsia" w:ascii="宋体" w:hAnsi="宋体" w:cs="宋体"/>
                <w:color w:val="auto"/>
                <w:sz w:val="21"/>
                <w:szCs w:val="21"/>
                <w:highlight w:val="none"/>
                <w:u w:val="single"/>
                <w:lang w:val="en-US" w:eastAsia="zh-CN"/>
              </w:rPr>
              <w:t>4</w:t>
            </w:r>
            <w:r>
              <w:rPr>
                <w:rFonts w:hint="eastAsia" w:ascii="宋体" w:hAnsi="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18</w:t>
            </w:r>
            <w:r>
              <w:rPr>
                <w:rFonts w:hint="eastAsia" w:ascii="宋体" w:hAnsi="宋体" w:cs="宋体"/>
                <w:color w:val="auto"/>
                <w:sz w:val="21"/>
                <w:szCs w:val="21"/>
                <w:highlight w:val="none"/>
                <w:u w:val="single"/>
                <w:lang w:eastAsia="zh-CN"/>
              </w:rPr>
              <w:t>日</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lang w:val="en-US" w:eastAsia="zh-CN"/>
              </w:rPr>
              <w:t>时</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分</w:t>
            </w:r>
            <w:r>
              <w:rPr>
                <w:rFonts w:hint="eastAsia" w:ascii="宋体" w:hAnsi="宋体" w:eastAsia="宋体" w:cs="宋体"/>
                <w:color w:val="auto"/>
                <w:szCs w:val="21"/>
                <w:highlight w:val="none"/>
              </w:rPr>
              <w:t>之前将电子磋商响应文件上传到政采云平台。应按照本项目磋商文件和政采云平台的要求编制、加密传输磋商响应文件。供应商在使用系统进行投标的过程中遇到涉及平台使用的任何问题，可致电政采云平台技术支持热线咨询，联系方式：</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vAlign w:val="center"/>
          </w:tcPr>
          <w:p>
            <w:pPr>
              <w:spacing w:line="360" w:lineRule="auto"/>
              <w:jc w:val="center"/>
              <w:rPr>
                <w:rFonts w:hint="eastAsia" w:ascii="宋体" w:hAnsi="宋体" w:eastAsia="宋体" w:cs="宋体"/>
                <w:color w:val="auto"/>
                <w:position w:val="-2"/>
                <w:szCs w:val="21"/>
                <w:highlight w:val="none"/>
                <w:lang w:eastAsia="zh-CN"/>
              </w:rPr>
            </w:pPr>
            <w:r>
              <w:rPr>
                <w:rFonts w:hint="eastAsia" w:ascii="宋体" w:hAnsi="宋体" w:eastAsia="宋体" w:cs="宋体"/>
                <w:color w:val="auto"/>
                <w:position w:val="-2"/>
                <w:szCs w:val="21"/>
                <w:highlight w:val="none"/>
                <w:lang w:val="en-US" w:eastAsia="zh-CN"/>
              </w:rPr>
              <w:t>9</w:t>
            </w:r>
          </w:p>
        </w:tc>
        <w:tc>
          <w:tcPr>
            <w:tcW w:w="942" w:type="dxa"/>
            <w:vAlign w:val="center"/>
          </w:tcPr>
          <w:p>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18.2</w:t>
            </w:r>
          </w:p>
        </w:tc>
        <w:tc>
          <w:tcPr>
            <w:tcW w:w="1652" w:type="dxa"/>
            <w:vAlign w:val="center"/>
          </w:tcPr>
          <w:p>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lang w:eastAsia="zh-CN"/>
              </w:rPr>
              <w:t>磋商响应文件解密时间</w:t>
            </w:r>
          </w:p>
        </w:tc>
        <w:tc>
          <w:tcPr>
            <w:tcW w:w="7035" w:type="dxa"/>
            <w:vAlign w:val="center"/>
          </w:tcPr>
          <w:p>
            <w:pPr>
              <w:pStyle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磋商响应文件解密时间</w:t>
            </w:r>
            <w:r>
              <w:rPr>
                <w:rFonts w:hint="eastAsia" w:ascii="宋体" w:hAnsi="宋体" w:eastAsia="宋体" w:cs="宋体"/>
                <w:b w:val="0"/>
                <w:bCs w:val="0"/>
                <w:color w:val="auto"/>
                <w:kern w:val="2"/>
                <w:highlight w:val="none"/>
                <w:lang w:eastAsia="zh-CN"/>
              </w:rPr>
              <w:t>：截标时间后</w:t>
            </w:r>
            <w:r>
              <w:rPr>
                <w:rFonts w:hint="eastAsia" w:ascii="宋体" w:hAnsi="宋体" w:eastAsia="宋体" w:cs="宋体"/>
                <w:b w:val="0"/>
                <w:bCs w:val="0"/>
                <w:color w:val="auto"/>
                <w:kern w:val="2"/>
                <w:highlight w:val="none"/>
                <w:u w:val="single"/>
                <w:lang w:eastAsia="zh-CN"/>
              </w:rPr>
              <w:t>30</w:t>
            </w:r>
            <w:r>
              <w:rPr>
                <w:rFonts w:hint="eastAsia" w:ascii="宋体" w:hAnsi="宋体" w:eastAsia="宋体" w:cs="宋体"/>
                <w:b w:val="0"/>
                <w:bCs w:val="0"/>
                <w:color w:val="auto"/>
                <w:kern w:val="2"/>
                <w:highlight w:val="none"/>
                <w:lang w:eastAsia="zh-CN"/>
              </w:rPr>
              <w:t>分钟内（</w:t>
            </w:r>
            <w:r>
              <w:rPr>
                <w:rFonts w:hint="eastAsia" w:ascii="宋体" w:hAnsi="宋体" w:cs="宋体"/>
                <w:color w:val="auto"/>
                <w:sz w:val="21"/>
                <w:szCs w:val="21"/>
                <w:highlight w:val="none"/>
                <w:u w:val="single"/>
                <w:lang w:eastAsia="zh-CN"/>
              </w:rPr>
              <w:t>2024年</w:t>
            </w:r>
            <w:r>
              <w:rPr>
                <w:rFonts w:hint="eastAsia" w:ascii="宋体" w:hAnsi="宋体" w:cs="宋体"/>
                <w:color w:val="auto"/>
                <w:sz w:val="21"/>
                <w:szCs w:val="21"/>
                <w:highlight w:val="none"/>
                <w:u w:val="single"/>
                <w:lang w:val="en-US" w:eastAsia="zh-CN"/>
              </w:rPr>
              <w:t>4</w:t>
            </w:r>
            <w:r>
              <w:rPr>
                <w:rFonts w:hint="eastAsia" w:ascii="宋体" w:hAnsi="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18</w:t>
            </w:r>
            <w:r>
              <w:rPr>
                <w:rFonts w:hint="eastAsia" w:ascii="宋体" w:hAnsi="宋体" w:cs="宋体"/>
                <w:color w:val="auto"/>
                <w:sz w:val="21"/>
                <w:szCs w:val="21"/>
                <w:highlight w:val="none"/>
                <w:u w:val="single"/>
                <w:lang w:eastAsia="zh-CN"/>
              </w:rPr>
              <w:t>日</w:t>
            </w:r>
            <w:r>
              <w:rPr>
                <w:rFonts w:hint="eastAsia" w:ascii="宋体" w:hAnsi="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lang w:val="en-US" w:eastAsia="zh-CN"/>
              </w:rPr>
              <w:t>时</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分</w:t>
            </w:r>
            <w:r>
              <w:rPr>
                <w:rFonts w:hint="eastAsia" w:ascii="宋体" w:hAnsi="宋体" w:eastAsia="宋体" w:cs="宋体"/>
                <w:b w:val="0"/>
                <w:bCs w:val="0"/>
                <w:color w:val="auto"/>
                <w:kern w:val="2"/>
                <w:highlight w:val="none"/>
                <w:u w:val="single"/>
                <w:lang w:eastAsia="zh-CN"/>
              </w:rPr>
              <w:t>至</w:t>
            </w:r>
            <w:r>
              <w:rPr>
                <w:rFonts w:hint="eastAsia" w:ascii="宋体" w:hAnsi="宋体" w:cs="宋体"/>
                <w:b w:val="0"/>
                <w:bCs w:val="0"/>
                <w:color w:val="auto"/>
                <w:kern w:val="2"/>
                <w:highlight w:val="none"/>
                <w:u w:val="single"/>
                <w:lang w:val="en-US" w:eastAsia="zh-CN"/>
              </w:rPr>
              <w:t>10</w:t>
            </w:r>
            <w:r>
              <w:rPr>
                <w:rFonts w:hint="eastAsia" w:ascii="宋体" w:hAnsi="宋体" w:eastAsia="宋体" w:cs="宋体"/>
                <w:b w:val="0"/>
                <w:bCs w:val="0"/>
                <w:color w:val="auto"/>
                <w:kern w:val="2"/>
                <w:highlight w:val="none"/>
                <w:u w:val="single"/>
                <w:lang w:eastAsia="zh-CN"/>
              </w:rPr>
              <w:t>时</w:t>
            </w:r>
            <w:r>
              <w:rPr>
                <w:rFonts w:hint="eastAsia" w:ascii="宋体" w:hAnsi="宋体" w:cs="宋体"/>
                <w:b w:val="0"/>
                <w:bCs w:val="0"/>
                <w:color w:val="auto"/>
                <w:kern w:val="2"/>
                <w:highlight w:val="none"/>
                <w:u w:val="single"/>
                <w:lang w:val="en-US" w:eastAsia="zh-CN"/>
              </w:rPr>
              <w:t>00</w:t>
            </w:r>
            <w:r>
              <w:rPr>
                <w:rFonts w:hint="eastAsia" w:ascii="宋体" w:hAnsi="宋体" w:eastAsia="宋体" w:cs="宋体"/>
                <w:b w:val="0"/>
                <w:bCs w:val="0"/>
                <w:color w:val="auto"/>
                <w:kern w:val="2"/>
                <w:highlight w:val="none"/>
                <w:u w:val="single"/>
                <w:lang w:eastAsia="zh-CN"/>
              </w:rPr>
              <w:t>分</w:t>
            </w:r>
            <w:r>
              <w:rPr>
                <w:rFonts w:hint="eastAsia" w:ascii="宋体" w:hAnsi="宋体" w:eastAsia="宋体" w:cs="宋体"/>
                <w:b w:val="0"/>
                <w:bCs w:val="0"/>
                <w:color w:val="auto"/>
                <w:kern w:val="2"/>
                <w:highlight w:val="none"/>
                <w:lang w:eastAsia="zh-CN"/>
              </w:rPr>
              <w:t>)磋商供应商可以登录政采云平台，用“项目采购-开标评标”功能进行解密</w:t>
            </w:r>
            <w:r>
              <w:rPr>
                <w:rFonts w:hint="eastAsia" w:ascii="宋体" w:hAnsi="宋体" w:eastAsia="宋体" w:cs="宋体"/>
                <w:color w:val="auto"/>
                <w:highlight w:val="none"/>
                <w:lang w:eastAsia="zh-CN"/>
              </w:rPr>
              <w:t>磋商响应文件</w:t>
            </w:r>
            <w:r>
              <w:rPr>
                <w:rFonts w:hint="eastAsia" w:ascii="宋体" w:hAnsi="宋体" w:eastAsia="宋体" w:cs="宋体"/>
                <w:b w:val="0"/>
                <w:bCs w:val="0"/>
                <w:color w:val="auto"/>
                <w:kern w:val="2"/>
                <w:highlight w:val="none"/>
                <w:lang w:eastAsia="zh-CN"/>
              </w:rPr>
              <w:t>。</w:t>
            </w:r>
            <w:r>
              <w:rPr>
                <w:rFonts w:hint="eastAsia" w:ascii="宋体" w:hAnsi="宋体" w:eastAsia="宋体" w:cs="宋体"/>
                <w:b/>
                <w:bCs/>
                <w:color w:val="auto"/>
                <w:kern w:val="2"/>
                <w:sz w:val="21"/>
                <w:szCs w:val="21"/>
                <w:highlight w:val="none"/>
                <w:lang w:eastAsia="zh-CN"/>
              </w:rPr>
              <w:t>若</w:t>
            </w:r>
            <w:r>
              <w:rPr>
                <w:rFonts w:hint="eastAsia" w:ascii="宋体" w:hAnsi="宋体" w:eastAsia="宋体" w:cs="宋体"/>
                <w:b/>
                <w:bCs/>
                <w:color w:val="auto"/>
                <w:sz w:val="21"/>
                <w:szCs w:val="21"/>
                <w:highlight w:val="none"/>
                <w:lang w:eastAsia="zh-CN"/>
              </w:rPr>
              <w:t>磋商供应商</w:t>
            </w:r>
            <w:r>
              <w:rPr>
                <w:rFonts w:hint="eastAsia" w:ascii="宋体" w:hAnsi="宋体" w:eastAsia="宋体" w:cs="宋体"/>
                <w:b/>
                <w:bCs/>
                <w:color w:val="auto"/>
                <w:kern w:val="2"/>
                <w:sz w:val="21"/>
                <w:szCs w:val="21"/>
                <w:highlight w:val="none"/>
                <w:lang w:eastAsia="zh-CN"/>
              </w:rPr>
              <w:t>在规定时间内无法解密或解密失败，</w:t>
            </w:r>
            <w:r>
              <w:rPr>
                <w:rFonts w:ascii="宋体" w:hAnsi="宋体" w:cs="宋体"/>
                <w:b/>
                <w:bCs/>
                <w:color w:val="auto"/>
                <w:kern w:val="0"/>
                <w:sz w:val="21"/>
                <w:szCs w:val="21"/>
                <w:highlight w:val="none"/>
              </w:rPr>
              <w:t>视为供应商放弃</w:t>
            </w:r>
            <w:r>
              <w:rPr>
                <w:rFonts w:hint="eastAsia" w:ascii="宋体" w:hAnsi="宋体" w:cs="宋体"/>
                <w:b/>
                <w:bCs/>
                <w:color w:val="auto"/>
                <w:kern w:val="0"/>
                <w:sz w:val="21"/>
                <w:szCs w:val="21"/>
                <w:highlight w:val="none"/>
              </w:rPr>
              <w:t>磋商</w:t>
            </w:r>
            <w:r>
              <w:rPr>
                <w:rFonts w:hint="eastAsia" w:ascii="宋体" w:hAnsi="宋体" w:eastAsia="宋体" w:cs="宋体"/>
                <w:b/>
                <w:bCs/>
                <w:color w:val="auto"/>
                <w:kern w:val="2"/>
                <w:sz w:val="21"/>
                <w:szCs w:val="21"/>
                <w:highlight w:val="none"/>
                <w:lang w:val="en-US" w:eastAsia="zh-CN" w:bidi="ar-SA"/>
              </w:rPr>
              <w:t>，造成响应无效的后果由供应商自行承担。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942" w:type="dxa"/>
            <w:vAlign w:val="center"/>
          </w:tcPr>
          <w:p>
            <w:pPr>
              <w:spacing w:line="360" w:lineRule="auto"/>
              <w:ind w:firstLine="105" w:firstLineChars="50"/>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19.1</w:t>
            </w:r>
          </w:p>
        </w:tc>
        <w:tc>
          <w:tcPr>
            <w:tcW w:w="165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磋商小组组成</w:t>
            </w:r>
          </w:p>
        </w:tc>
        <w:tc>
          <w:tcPr>
            <w:tcW w:w="7035" w:type="dxa"/>
            <w:vAlign w:val="center"/>
          </w:tcPr>
          <w:p>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94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w:t>
            </w:r>
          </w:p>
        </w:tc>
        <w:tc>
          <w:tcPr>
            <w:tcW w:w="165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磋商时间、地点、人员</w:t>
            </w:r>
          </w:p>
        </w:tc>
        <w:tc>
          <w:tcPr>
            <w:tcW w:w="7035" w:type="dxa"/>
            <w:vAlign w:val="top"/>
          </w:tcPr>
          <w:p>
            <w:pPr>
              <w:spacing w:line="360" w:lineRule="auto"/>
              <w:ind w:left="315" w:hanging="315" w:hanging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19.2.1磋商时间：响应文件递交截止时间后。</w:t>
            </w:r>
          </w:p>
          <w:p>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19.2.2磋商地点：本项目需要磋商供应商代表在截标当天截标后，按磋商小组要求及时登陆政采云平台等候在线磋商</w:t>
            </w:r>
            <w:r>
              <w:rPr>
                <w:rFonts w:hint="eastAsia" w:ascii="宋体" w:hAnsi="宋体" w:eastAsia="宋体" w:cs="宋体"/>
                <w:color w:val="auto"/>
                <w:szCs w:val="21"/>
                <w:highlight w:val="none"/>
                <w:lang w:eastAsia="zh-CN"/>
              </w:rPr>
              <w:t>。</w:t>
            </w:r>
          </w:p>
          <w:p>
            <w:pPr>
              <w:spacing w:line="360" w:lineRule="auto"/>
              <w:ind w:left="15" w:hanging="14" w:hangingChars="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19.2.3磋商参加人员：供应商法定代表人、负责人、自然人或相应的委托代</w:t>
            </w:r>
            <w:r>
              <w:rPr>
                <w:rFonts w:hint="eastAsia" w:ascii="宋体" w:hAnsi="宋体" w:eastAsia="宋体" w:cs="宋体"/>
                <w:color w:val="auto"/>
                <w:szCs w:val="21"/>
                <w:highlight w:val="none"/>
                <w:u w:val="none"/>
              </w:rPr>
              <w:t>理人持有效身份证原件</w:t>
            </w:r>
            <w:r>
              <w:rPr>
                <w:rFonts w:hint="eastAsia" w:ascii="宋体" w:hAnsi="宋体" w:eastAsia="宋体" w:cs="宋体"/>
                <w:color w:val="auto"/>
                <w:szCs w:val="21"/>
                <w:highlight w:val="none"/>
                <w:u w:val="none"/>
                <w:lang w:eastAsia="zh-CN"/>
              </w:rPr>
              <w:t>和供应商政采云平台</w:t>
            </w:r>
            <w:r>
              <w:rPr>
                <w:rFonts w:hint="eastAsia" w:ascii="宋体" w:hAnsi="宋体" w:eastAsia="宋体" w:cs="宋体"/>
                <w:color w:val="auto"/>
                <w:szCs w:val="21"/>
                <w:highlight w:val="none"/>
                <w:u w:val="none"/>
                <w:lang w:val="en-US" w:eastAsia="zh-CN"/>
              </w:rPr>
              <w:t>CA数字证书</w:t>
            </w:r>
            <w:r>
              <w:rPr>
                <w:rFonts w:hint="eastAsia" w:ascii="宋体" w:hAnsi="宋体" w:eastAsia="宋体" w:cs="宋体"/>
                <w:color w:val="auto"/>
                <w:szCs w:val="21"/>
                <w:highlight w:val="none"/>
              </w:rPr>
              <w:t>参加磋商。请供应商按时到达指定地点等候磋商。</w:t>
            </w:r>
          </w:p>
          <w:p>
            <w:pPr>
              <w:tabs>
                <w:tab w:val="left" w:pos="114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19.2.4响应文件递交截止时间后，由磋商小组在评标室内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开启响应文件。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94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p>
        </w:tc>
        <w:tc>
          <w:tcPr>
            <w:tcW w:w="1652" w:type="dxa"/>
            <w:vAlign w:val="center"/>
          </w:tcPr>
          <w:p>
            <w:pPr>
              <w:pStyle w:val="16"/>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评审办法</w:t>
            </w:r>
          </w:p>
        </w:tc>
        <w:tc>
          <w:tcPr>
            <w:tcW w:w="7035" w:type="dxa"/>
            <w:vAlign w:val="center"/>
          </w:tcPr>
          <w:p>
            <w:pPr>
              <w:tabs>
                <w:tab w:val="left" w:pos="11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具体详见第四章评审办法。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94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65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w:t>
            </w:r>
          </w:p>
        </w:tc>
        <w:tc>
          <w:tcPr>
            <w:tcW w:w="7035" w:type="dxa"/>
            <w:vAlign w:val="center"/>
          </w:tcPr>
          <w:p>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w:t>
            </w:r>
            <w:r>
              <w:rPr>
                <w:rFonts w:hint="eastAsia"/>
                <w:color w:val="auto"/>
                <w:highlight w:val="none"/>
                <w:lang w:eastAsia="zh-CN"/>
              </w:rPr>
              <w:t>号</w:t>
            </w:r>
            <w:r>
              <w:rPr>
                <w:rFonts w:hint="eastAsia" w:ascii="宋体" w:hAnsi="宋体" w:eastAsia="宋体" w:cs="宋体"/>
                <w:color w:val="auto"/>
                <w:szCs w:val="21"/>
                <w:highlight w:val="none"/>
              </w:rPr>
              <w:t>），由采购代理机构对第一成交候选人进行信用查询：</w:t>
            </w:r>
          </w:p>
          <w:p>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⑴查询渠道：“信用中国”网站(www.creditchina.gov.cn)、中国政府采购网(www.ccgp.gov.cn)等；</w:t>
            </w:r>
          </w:p>
          <w:p>
            <w:pPr>
              <w:spacing w:line="360" w:lineRule="auto"/>
              <w:ind w:left="315" w:hanging="315" w:hanging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⑵查询时间：成交通知书发出前；</w:t>
            </w:r>
          </w:p>
          <w:p>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⑶信用信息查询记录和证据留存方式：在查询网站中直接打印查询记录，打印材料作为采购活动资料保存；</w:t>
            </w:r>
          </w:p>
          <w:p>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94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165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成交结果公告</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及成交通知书</w:t>
            </w:r>
          </w:p>
        </w:tc>
        <w:tc>
          <w:tcPr>
            <w:tcW w:w="7035" w:type="dxa"/>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27.2在发布成交公告的同时，采购代理机构向成交供应商发出成交通知书。成交供应商自接到通知之日起七个工作日内，办理成交通知书领取手续。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62" w:type="dxa"/>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94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65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035" w:type="dxa"/>
            <w:vAlign w:val="center"/>
          </w:tcPr>
          <w:p>
            <w:pPr>
              <w:keepNext w:val="0"/>
              <w:keepLines w:val="0"/>
              <w:widowControl/>
              <w:suppressLineNumbers w:val="0"/>
              <w:jc w:val="left"/>
              <w:rPr>
                <w:rFonts w:hint="eastAsia" w:ascii="宋体" w:hAnsi="宋体" w:eastAsia="宋体" w:cs="宋体"/>
                <w:color w:val="auto"/>
                <w:szCs w:val="21"/>
                <w:highlight w:val="none"/>
              </w:rPr>
            </w:pPr>
            <w:r>
              <w:rPr>
                <w:rFonts w:hint="eastAsia" w:ascii="宋体" w:hAnsi="宋体" w:cs="宋体"/>
                <w:bCs/>
                <w:color w:val="auto"/>
                <w:kern w:val="0"/>
                <w:szCs w:val="21"/>
                <w:highlight w:val="none"/>
              </w:rPr>
              <w:t>履约保证金金额：3万元。成交供应商在与采购人签订合同前将履约保证金以支票、汇票、本票或者金融机构、担保机构出具的保函等非现金形式提交至采购人指定账户。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94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165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w:t>
            </w:r>
          </w:p>
        </w:tc>
        <w:tc>
          <w:tcPr>
            <w:tcW w:w="7035" w:type="dxa"/>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发出之日起</w:t>
            </w:r>
            <w:r>
              <w:rPr>
                <w:rFonts w:hint="eastAsia" w:ascii="宋体" w:hAnsi="宋体" w:cs="宋体"/>
                <w:bCs/>
                <w:color w:val="auto"/>
                <w:kern w:val="0"/>
                <w:szCs w:val="21"/>
                <w:highlight w:val="none"/>
                <w:lang w:eastAsia="zh-CN"/>
              </w:rPr>
              <w:t>八个工作</w:t>
            </w:r>
            <w:r>
              <w:rPr>
                <w:rFonts w:hint="eastAsia" w:ascii="宋体" w:hAnsi="宋体" w:eastAsia="宋体" w:cs="宋体"/>
                <w:bCs/>
                <w:color w:val="auto"/>
                <w:kern w:val="0"/>
                <w:szCs w:val="21"/>
                <w:highlight w:val="none"/>
                <w:lang w:eastAsia="zh-CN"/>
              </w:rPr>
              <w:t>日</w:t>
            </w:r>
            <w:r>
              <w:rPr>
                <w:rFonts w:hint="eastAsia" w:ascii="宋体" w:hAnsi="宋体" w:eastAsia="宋体" w:cs="宋体"/>
                <w:bCs/>
                <w:color w:val="auto"/>
                <w:kern w:val="0"/>
                <w:szCs w:val="21"/>
                <w:highlight w:val="none"/>
              </w:rPr>
              <w:t>内签订合同</w:t>
            </w:r>
            <w:r>
              <w:rPr>
                <w:rFonts w:hint="eastAsia" w:ascii="宋体" w:hAnsi="宋体" w:eastAsia="宋体" w:cs="宋体"/>
                <w:color w:val="auto"/>
                <w:highlight w:val="none"/>
              </w:rPr>
              <w:t>。</w:t>
            </w:r>
            <w:r>
              <w:rPr>
                <w:rFonts w:hint="eastAsia" w:ascii="宋体" w:hAnsi="宋体" w:eastAsia="宋体" w:cs="宋体"/>
                <w:color w:val="auto"/>
                <w:szCs w:val="21"/>
                <w:highlight w:val="none"/>
              </w:rPr>
              <w:t>成交供应商领取成交通知书后，应按规定与采购人签订合同。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w:t>
            </w:r>
          </w:p>
        </w:tc>
        <w:tc>
          <w:tcPr>
            <w:tcW w:w="94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w:t>
            </w:r>
          </w:p>
        </w:tc>
        <w:tc>
          <w:tcPr>
            <w:tcW w:w="165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合同备案存档</w:t>
            </w:r>
          </w:p>
        </w:tc>
        <w:tc>
          <w:tcPr>
            <w:tcW w:w="7035"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宋体" w:hAnsi="宋体" w:cs="宋体"/>
                <w:color w:val="auto"/>
                <w:highlight w:val="none"/>
                <w:lang w:eastAsia="zh-CN"/>
              </w:rPr>
              <w:t>广西天罡工程项目管理有限公司</w:t>
            </w:r>
            <w:r>
              <w:rPr>
                <w:rFonts w:hint="eastAsia" w:ascii="宋体" w:hAnsi="宋体" w:eastAsia="宋体" w:cs="宋体"/>
                <w:color w:val="auto"/>
                <w:highlight w:val="none"/>
              </w:rPr>
              <w:t>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w:t>
            </w:r>
          </w:p>
        </w:tc>
        <w:tc>
          <w:tcPr>
            <w:tcW w:w="94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65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7035" w:type="dxa"/>
            <w:vAlign w:val="top"/>
          </w:tcPr>
          <w:p>
            <w:pPr>
              <w:spacing w:line="360" w:lineRule="auto"/>
              <w:rPr>
                <w:rFonts w:hint="eastAsia" w:ascii="宋体" w:hAnsi="宋体" w:eastAsia="宋体" w:cs="宋体"/>
                <w:color w:val="auto"/>
                <w:szCs w:val="21"/>
                <w:highlight w:val="none"/>
              </w:rPr>
            </w:pPr>
            <w:r>
              <w:rPr>
                <w:rFonts w:hint="eastAsia" w:ascii="宋体" w:hAnsi="宋体"/>
                <w:color w:val="auto"/>
                <w:szCs w:val="21"/>
                <w:highlight w:val="none"/>
              </w:rPr>
              <w:t>本项目代理服务费按本须知第3</w:t>
            </w:r>
            <w:r>
              <w:rPr>
                <w:rFonts w:hint="eastAsia" w:ascii="宋体" w:hAnsi="宋体"/>
                <w:color w:val="auto"/>
                <w:szCs w:val="21"/>
                <w:highlight w:val="none"/>
                <w:lang w:val="en-US" w:eastAsia="zh-CN"/>
              </w:rPr>
              <w:t>0</w:t>
            </w:r>
            <w:r>
              <w:rPr>
                <w:rFonts w:hint="eastAsia" w:ascii="宋体" w:hAnsi="宋体"/>
                <w:color w:val="auto"/>
                <w:szCs w:val="21"/>
                <w:highlight w:val="none"/>
              </w:rPr>
              <w:t>.2条“代理服务收费标准”中</w:t>
            </w:r>
            <w:r>
              <w:rPr>
                <w:rFonts w:hint="eastAsia" w:ascii="宋体" w:hAnsi="宋体"/>
                <w:color w:val="auto"/>
                <w:szCs w:val="21"/>
                <w:highlight w:val="none"/>
                <w:lang w:val="en-US" w:eastAsia="zh-CN"/>
              </w:rPr>
              <w:t>服务</w:t>
            </w:r>
            <w:r>
              <w:rPr>
                <w:rFonts w:hint="eastAsia" w:ascii="宋体" w:hAnsi="宋体"/>
                <w:color w:val="auto"/>
                <w:szCs w:val="21"/>
                <w:highlight w:val="none"/>
              </w:rPr>
              <w:t>类收费标准计算，由成交供应商在领取成交通知书前，向采购代理机构一次性支付（不足人民币</w:t>
            </w:r>
            <w:r>
              <w:rPr>
                <w:rFonts w:hint="eastAsia" w:ascii="宋体" w:hAnsi="宋体"/>
                <w:color w:val="auto"/>
                <w:szCs w:val="21"/>
                <w:highlight w:val="none"/>
                <w:lang w:val="en-US" w:eastAsia="zh-CN"/>
              </w:rPr>
              <w:t>6</w:t>
            </w:r>
            <w:r>
              <w:rPr>
                <w:rFonts w:hint="eastAsia" w:ascii="宋体" w:hAnsi="宋体"/>
                <w:color w:val="auto"/>
                <w:szCs w:val="21"/>
                <w:highlight w:val="none"/>
              </w:rPr>
              <w:t>000元的，按</w:t>
            </w:r>
            <w:r>
              <w:rPr>
                <w:rFonts w:hint="eastAsia" w:ascii="宋体" w:hAnsi="宋体"/>
                <w:color w:val="auto"/>
                <w:szCs w:val="21"/>
                <w:highlight w:val="none"/>
                <w:lang w:val="en-US" w:eastAsia="zh-CN"/>
              </w:rPr>
              <w:t>6</w:t>
            </w:r>
            <w:r>
              <w:rPr>
                <w:rFonts w:hint="eastAsia" w:ascii="宋体" w:hAnsi="宋体"/>
                <w:color w:val="auto"/>
                <w:szCs w:val="21"/>
                <w:highlight w:val="none"/>
              </w:rPr>
              <w:t>000元支付）。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94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65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解释权</w:t>
            </w:r>
          </w:p>
        </w:tc>
        <w:tc>
          <w:tcPr>
            <w:tcW w:w="7035" w:type="dxa"/>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94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65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监督管理机构</w:t>
            </w:r>
          </w:p>
        </w:tc>
        <w:tc>
          <w:tcPr>
            <w:tcW w:w="7035" w:type="dxa"/>
            <w:vAlign w:val="center"/>
          </w:tcPr>
          <w:p>
            <w:pPr>
              <w:spacing w:line="340" w:lineRule="exact"/>
              <w:ind w:firstLine="0" w:firstLineChars="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广西壮族自治区政府采购监督管理处</w:t>
            </w:r>
            <w:r>
              <w:rPr>
                <w:rFonts w:hint="eastAsia" w:ascii="宋体" w:hAnsi="宋体" w:cs="宋体"/>
                <w:color w:val="auto"/>
                <w:kern w:val="0"/>
                <w:sz w:val="21"/>
                <w:szCs w:val="21"/>
                <w:highlight w:val="none"/>
              </w:rPr>
              <w:t xml:space="preserve">          </w:t>
            </w:r>
          </w:p>
          <w:p>
            <w:pPr>
              <w:spacing w:line="340" w:lineRule="exact"/>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rPr>
              <w:t>联系电话：</w:t>
            </w:r>
            <w:r>
              <w:rPr>
                <w:rFonts w:hint="eastAsia" w:ascii="宋体" w:hAnsi="宋体" w:cs="宋体"/>
                <w:color w:val="auto"/>
                <w:kern w:val="0"/>
                <w:sz w:val="21"/>
                <w:szCs w:val="21"/>
                <w:highlight w:val="none"/>
                <w:lang w:eastAsia="zh-CN"/>
              </w:rPr>
              <w:t>0771-5339851</w:t>
            </w:r>
          </w:p>
        </w:tc>
      </w:tr>
    </w:tbl>
    <w:p>
      <w:pPr>
        <w:rPr>
          <w:rFonts w:hint="eastAsia" w:ascii="宋体" w:hAnsi="宋体" w:eastAsia="宋体" w:cs="宋体"/>
          <w:color w:val="auto"/>
          <w:highlight w:val="none"/>
        </w:rPr>
      </w:pPr>
    </w:p>
    <w:p>
      <w:pPr>
        <w:pStyle w:val="4"/>
        <w:jc w:val="center"/>
        <w:rPr>
          <w:rFonts w:hint="eastAsia" w:ascii="宋体" w:hAnsi="宋体" w:eastAsia="宋体" w:cs="宋体"/>
          <w:b/>
          <w:bCs w:val="0"/>
          <w:color w:val="auto"/>
          <w:szCs w:val="28"/>
          <w:highlight w:val="none"/>
        </w:rPr>
      </w:pPr>
      <w:bookmarkStart w:id="56" w:name="_Toc10058"/>
      <w:bookmarkStart w:id="57" w:name="_Toc22792"/>
    </w:p>
    <w:p>
      <w:pPr>
        <w:pStyle w:val="4"/>
        <w:jc w:val="center"/>
        <w:rPr>
          <w:rFonts w:hint="eastAsia" w:ascii="宋体" w:hAnsi="宋体" w:eastAsia="宋体" w:cs="宋体"/>
          <w:b/>
          <w:bCs w:val="0"/>
          <w:color w:val="auto"/>
          <w:szCs w:val="28"/>
          <w:highlight w:val="none"/>
        </w:rPr>
      </w:pPr>
    </w:p>
    <w:p>
      <w:pPr>
        <w:pStyle w:val="4"/>
        <w:jc w:val="center"/>
        <w:rPr>
          <w:rFonts w:hint="eastAsia" w:ascii="宋体" w:hAnsi="宋体" w:eastAsia="宋体" w:cs="宋体"/>
          <w:b/>
          <w:bCs w:val="0"/>
          <w:color w:val="auto"/>
          <w:szCs w:val="28"/>
          <w:highlight w:val="none"/>
        </w:rPr>
      </w:pPr>
    </w:p>
    <w:p>
      <w:pPr>
        <w:pStyle w:val="4"/>
        <w:ind w:left="0" w:leftChars="0" w:firstLine="0" w:firstLineChars="0"/>
        <w:jc w:val="both"/>
        <w:rPr>
          <w:rFonts w:hint="eastAsia" w:ascii="宋体" w:hAnsi="宋体" w:eastAsia="宋体" w:cs="宋体"/>
          <w:b/>
          <w:bCs w:val="0"/>
          <w:color w:val="auto"/>
          <w:szCs w:val="28"/>
          <w:highlight w:val="none"/>
        </w:rPr>
      </w:pPr>
    </w:p>
    <w:p>
      <w:pPr>
        <w:rPr>
          <w:rFonts w:hint="eastAsia" w:ascii="宋体" w:hAnsi="宋体" w:eastAsia="宋体" w:cs="宋体"/>
          <w:b/>
          <w:bCs w:val="0"/>
          <w:color w:val="auto"/>
          <w:szCs w:val="28"/>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17"/>
        <w:rPr>
          <w:rFonts w:hint="eastAsia" w:ascii="宋体" w:hAnsi="宋体" w:eastAsia="宋体" w:cs="宋体"/>
          <w:b/>
          <w:bCs w:val="0"/>
          <w:color w:val="auto"/>
          <w:szCs w:val="28"/>
          <w:highlight w:val="none"/>
        </w:rPr>
      </w:pPr>
    </w:p>
    <w:p>
      <w:pPr>
        <w:pStyle w:val="17"/>
        <w:rPr>
          <w:rFonts w:hint="eastAsia" w:ascii="宋体" w:hAnsi="宋体" w:eastAsia="宋体" w:cs="宋体"/>
          <w:b/>
          <w:bCs w:val="0"/>
          <w:color w:val="auto"/>
          <w:szCs w:val="28"/>
          <w:highlight w:val="none"/>
        </w:rPr>
      </w:pPr>
    </w:p>
    <w:p>
      <w:pPr>
        <w:pStyle w:val="4"/>
        <w:jc w:val="center"/>
        <w:rPr>
          <w:rFonts w:hint="eastAsia" w:ascii="宋体" w:hAnsi="宋体" w:eastAsia="宋体" w:cs="宋体"/>
          <w:b/>
          <w:bCs w:val="0"/>
          <w:color w:val="auto"/>
          <w:szCs w:val="28"/>
          <w:highlight w:val="none"/>
        </w:rPr>
      </w:pPr>
      <w:r>
        <w:rPr>
          <w:rFonts w:hint="eastAsia" w:ascii="宋体" w:hAnsi="宋体" w:eastAsia="宋体" w:cs="宋体"/>
          <w:b/>
          <w:bCs w:val="0"/>
          <w:color w:val="auto"/>
          <w:szCs w:val="28"/>
          <w:highlight w:val="none"/>
        </w:rPr>
        <w:t>一、总则</w:t>
      </w:r>
      <w:bookmarkEnd w:id="56"/>
      <w:bookmarkEnd w:id="57"/>
    </w:p>
    <w:p>
      <w:pPr>
        <w:pStyle w:val="5"/>
        <w:spacing w:before="0" w:after="0" w:line="360" w:lineRule="auto"/>
        <w:ind w:firstLine="422" w:firstLineChars="200"/>
        <w:rPr>
          <w:rFonts w:hint="eastAsia" w:ascii="宋体" w:hAnsi="宋体" w:eastAsia="宋体" w:cs="宋体"/>
          <w:color w:val="auto"/>
          <w:sz w:val="21"/>
          <w:szCs w:val="21"/>
          <w:highlight w:val="none"/>
        </w:rPr>
      </w:pPr>
      <w:bookmarkStart w:id="58" w:name="_Toc6626"/>
      <w:bookmarkStart w:id="59" w:name="_Toc24721"/>
      <w:r>
        <w:rPr>
          <w:rFonts w:hint="eastAsia" w:ascii="宋体" w:hAnsi="宋体" w:eastAsia="宋体" w:cs="宋体"/>
          <w:color w:val="auto"/>
          <w:sz w:val="21"/>
          <w:szCs w:val="21"/>
          <w:highlight w:val="none"/>
        </w:rPr>
        <w:t>1. 适应范围</w:t>
      </w:r>
      <w:bookmarkEnd w:id="58"/>
      <w:bookmarkEnd w:id="59"/>
    </w:p>
    <w:p>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项目名称及项目编号：</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Cs w:val="21"/>
          <w:highlight w:val="none"/>
          <w:lang w:eastAsia="zh-CN"/>
        </w:rPr>
        <w:t>广西商业技师学院烹饪实训材料供应商采购</w:t>
      </w:r>
      <w:r>
        <w:rPr>
          <w:rFonts w:hint="eastAsia" w:ascii="宋体" w:hAnsi="宋体" w:eastAsia="宋体" w:cs="宋体"/>
          <w:color w:val="auto"/>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GXZC2024-C3-002956-GXTG</w:t>
      </w:r>
    </w:p>
    <w:p>
      <w:pPr>
        <w:spacing w:line="36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1.2本竞争性磋商文件（以下简称磋商文件）适用于本磋商项目的磋商、评审、合同履约、验收、付款等行为（法律、法规另有规定的，从其规定）。</w:t>
      </w:r>
    </w:p>
    <w:p>
      <w:pPr>
        <w:pStyle w:val="5"/>
        <w:spacing w:before="0" w:after="0" w:line="360" w:lineRule="auto"/>
        <w:ind w:firstLine="422" w:firstLineChars="200"/>
        <w:rPr>
          <w:rFonts w:hint="eastAsia" w:ascii="宋体" w:hAnsi="宋体" w:eastAsia="宋体" w:cs="宋体"/>
          <w:color w:val="auto"/>
          <w:sz w:val="21"/>
          <w:szCs w:val="21"/>
          <w:highlight w:val="none"/>
        </w:rPr>
      </w:pPr>
      <w:bookmarkStart w:id="60" w:name="_Toc28336"/>
      <w:bookmarkStart w:id="61" w:name="_Toc3355"/>
      <w:r>
        <w:rPr>
          <w:rFonts w:hint="eastAsia" w:ascii="宋体" w:hAnsi="宋体" w:eastAsia="宋体" w:cs="宋体"/>
          <w:color w:val="auto"/>
          <w:sz w:val="21"/>
          <w:szCs w:val="21"/>
          <w:highlight w:val="none"/>
        </w:rPr>
        <w:t>2. 定义</w:t>
      </w:r>
      <w:bookmarkEnd w:id="60"/>
      <w:bookmarkEnd w:id="61"/>
    </w:p>
    <w:p>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2.1“供应商”是指符合本次采购项目的供应商资格并提交响应文件、参加磋商的供应商。如果该供应商在本次磋商中成交，即成为“成交供应商”。</w:t>
      </w:r>
    </w:p>
    <w:p>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2.2“货物”系指按磋商文件规定，供应商须向采购人提供的一切设备、保险、税金、备品备件、工具、手册及其它有关技术资料和材料。</w:t>
      </w:r>
    </w:p>
    <w:p>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2.3“服务”系指按磋商文件规定，供应商须承担的安装、调试、技术协助、校准、培训、技术指导以及其他类似的义务。</w:t>
      </w:r>
    </w:p>
    <w:p>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2.4“项目”系指供应商按磋商文件规定向采购人提供的货物和服务。</w:t>
      </w:r>
    </w:p>
    <w:p>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2.5“书面形式”包括信函、</w:t>
      </w:r>
      <w:r>
        <w:rPr>
          <w:rFonts w:hint="eastAsia" w:ascii="宋体" w:hAnsi="宋体" w:cs="宋体"/>
          <w:color w:val="auto"/>
          <w:szCs w:val="21"/>
          <w:highlight w:val="none"/>
          <w:lang w:eastAsia="zh-CN"/>
        </w:rPr>
        <w:t>电子邮件</w:t>
      </w:r>
      <w:r>
        <w:rPr>
          <w:rFonts w:hint="eastAsia" w:ascii="宋体" w:hAnsi="宋体" w:eastAsia="宋体" w:cs="宋体"/>
          <w:color w:val="auto"/>
          <w:szCs w:val="21"/>
          <w:highlight w:val="none"/>
        </w:rPr>
        <w:t>、电报等。</w:t>
      </w:r>
    </w:p>
    <w:p>
      <w:pPr>
        <w:spacing w:line="360" w:lineRule="exact"/>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u w:val="single"/>
        </w:rPr>
        <w:t>2.</w:t>
      </w:r>
      <w:r>
        <w:rPr>
          <w:rFonts w:hint="eastAsia" w:ascii="宋体" w:hAnsi="宋体" w:cs="宋体"/>
          <w:b/>
          <w:color w:val="auto"/>
          <w:sz w:val="21"/>
          <w:szCs w:val="21"/>
          <w:highlight w:val="none"/>
          <w:u w:val="single"/>
          <w:lang w:val="en-US" w:eastAsia="zh-CN"/>
        </w:rPr>
        <w:t>6实质性要求：“采购需求”中的所有</w:t>
      </w:r>
      <w:r>
        <w:rPr>
          <w:rFonts w:hint="eastAsia" w:ascii="宋体" w:hAnsi="宋体" w:eastAsia="宋体" w:cs="宋体"/>
          <w:b/>
          <w:color w:val="auto"/>
          <w:sz w:val="21"/>
          <w:szCs w:val="21"/>
          <w:highlight w:val="none"/>
          <w:u w:val="single"/>
          <w:lang w:val="en-US" w:eastAsia="zh-CN"/>
        </w:rPr>
        <w:t>内容均为实质性要求</w:t>
      </w:r>
      <w:r>
        <w:rPr>
          <w:rFonts w:hint="eastAsia" w:ascii="宋体" w:hAnsi="宋体" w:cs="宋体"/>
          <w:b/>
          <w:color w:val="auto"/>
          <w:sz w:val="21"/>
          <w:szCs w:val="21"/>
          <w:highlight w:val="none"/>
          <w:u w:val="single"/>
          <w:lang w:val="en-US" w:eastAsia="zh-CN"/>
        </w:rPr>
        <w:t>，</w:t>
      </w:r>
      <w:r>
        <w:rPr>
          <w:rFonts w:hint="eastAsia" w:ascii="宋体" w:hAnsi="宋体" w:cs="宋体"/>
          <w:b/>
          <w:color w:val="auto"/>
          <w:szCs w:val="21"/>
          <w:highlight w:val="none"/>
          <w:u w:val="single"/>
        </w:rPr>
        <w:t>不允许负偏离，否则</w:t>
      </w:r>
      <w:r>
        <w:rPr>
          <w:rFonts w:hint="eastAsia" w:ascii="宋体" w:hAnsi="宋体" w:cs="宋体"/>
          <w:b/>
          <w:color w:val="auto"/>
          <w:szCs w:val="21"/>
          <w:highlight w:val="none"/>
          <w:u w:val="single"/>
          <w:lang w:eastAsia="zh-CN"/>
        </w:rPr>
        <w:t>响应</w:t>
      </w:r>
      <w:r>
        <w:rPr>
          <w:rFonts w:hint="eastAsia" w:ascii="宋体" w:hAnsi="宋体" w:cs="宋体"/>
          <w:b/>
          <w:color w:val="auto"/>
          <w:szCs w:val="21"/>
          <w:highlight w:val="none"/>
          <w:u w:val="single"/>
        </w:rPr>
        <w:t>无效</w:t>
      </w:r>
      <w:r>
        <w:rPr>
          <w:rFonts w:hint="eastAsia" w:ascii="宋体" w:hAnsi="宋体" w:eastAsia="宋体" w:cs="宋体"/>
          <w:b/>
          <w:color w:val="auto"/>
          <w:sz w:val="21"/>
          <w:szCs w:val="21"/>
          <w:highlight w:val="none"/>
          <w:u w:val="single"/>
          <w:lang w:val="en-US" w:eastAsia="zh-CN"/>
        </w:rPr>
        <w:t>。</w:t>
      </w:r>
    </w:p>
    <w:p>
      <w:pPr>
        <w:pStyle w:val="5"/>
        <w:spacing w:before="0" w:after="0" w:line="360" w:lineRule="auto"/>
        <w:ind w:firstLine="422" w:firstLineChars="200"/>
        <w:rPr>
          <w:rFonts w:hint="eastAsia" w:ascii="宋体" w:hAnsi="宋体" w:eastAsia="宋体" w:cs="宋体"/>
          <w:color w:val="auto"/>
          <w:sz w:val="21"/>
          <w:szCs w:val="21"/>
          <w:highlight w:val="none"/>
        </w:rPr>
      </w:pPr>
      <w:bookmarkStart w:id="62" w:name="_Toc23631"/>
      <w:bookmarkStart w:id="63" w:name="_Toc25441"/>
      <w:r>
        <w:rPr>
          <w:rFonts w:hint="eastAsia" w:ascii="宋体" w:hAnsi="宋体" w:eastAsia="宋体" w:cs="宋体"/>
          <w:color w:val="auto"/>
          <w:sz w:val="21"/>
          <w:szCs w:val="21"/>
          <w:highlight w:val="none"/>
        </w:rPr>
        <w:t>3. 供应商资格</w:t>
      </w:r>
      <w:bookmarkEnd w:id="62"/>
      <w:bookmarkEnd w:id="63"/>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rPr>
      </w:pPr>
      <w:bookmarkStart w:id="64" w:name="_Toc16496"/>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3.落实政府采购政策需满足的资格要求：</w:t>
      </w:r>
      <w:r>
        <w:rPr>
          <w:rFonts w:hint="eastAsia" w:ascii="宋体" w:hAnsi="宋体" w:eastAsia="宋体" w:cs="宋体"/>
          <w:color w:val="auto"/>
          <w:sz w:val="21"/>
          <w:szCs w:val="21"/>
          <w:highlight w:val="none"/>
        </w:rPr>
        <w:t>本项目属于专门面向</w:t>
      </w:r>
      <w:r>
        <w:rPr>
          <w:rFonts w:hint="eastAsia" w:ascii="宋体" w:hAnsi="宋体" w:cs="宋体"/>
          <w:color w:val="auto"/>
          <w:sz w:val="21"/>
          <w:szCs w:val="21"/>
          <w:highlight w:val="none"/>
          <w:lang w:eastAsia="zh-CN"/>
        </w:rPr>
        <w:t>小微</w:t>
      </w:r>
      <w:r>
        <w:rPr>
          <w:rFonts w:hint="eastAsia" w:ascii="宋体" w:hAnsi="宋体" w:eastAsia="宋体" w:cs="宋体"/>
          <w:color w:val="auto"/>
          <w:sz w:val="21"/>
          <w:szCs w:val="21"/>
          <w:highlight w:val="none"/>
        </w:rPr>
        <w:t>企业采购的项目。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4.本项目的特定资格要求：</w:t>
      </w:r>
      <w:r>
        <w:rPr>
          <w:rFonts w:hint="eastAsia" w:ascii="宋体" w:hAnsi="宋体" w:eastAsia="宋体" w:cs="宋体"/>
          <w:color w:val="auto"/>
          <w:szCs w:val="21"/>
          <w:highlight w:val="none"/>
          <w:lang w:eastAsia="zh-CN"/>
        </w:rPr>
        <w:t>无。</w:t>
      </w:r>
    </w:p>
    <w:p>
      <w:pPr>
        <w:pStyle w:val="14"/>
        <w:rPr>
          <w:rFonts w:hint="eastAsia"/>
          <w:color w:val="auto"/>
          <w:highlight w:val="none"/>
          <w:lang w:val="en-US" w:eastAsia="zh-CN"/>
        </w:rPr>
      </w:pPr>
      <w:r>
        <w:rPr>
          <w:rFonts w:hint="eastAsia" w:ascii="宋体" w:hAnsi="宋体" w:eastAsia="宋体" w:cs="宋体"/>
          <w:b/>
          <w:bCs/>
          <w:color w:val="auto"/>
          <w:szCs w:val="21"/>
          <w:highlight w:val="none"/>
          <w:lang w:val="en-US" w:eastAsia="zh-CN"/>
        </w:rPr>
        <w:t>3.5.</w:t>
      </w:r>
      <w:r>
        <w:rPr>
          <w:rFonts w:hint="eastAsia" w:ascii="宋体" w:hAnsi="宋体" w:eastAsia="宋体" w:cs="宋体"/>
          <w:b/>
          <w:bCs/>
          <w:color w:val="auto"/>
          <w:szCs w:val="21"/>
          <w:highlight w:val="none"/>
        </w:rPr>
        <w:t>本项目不接受联合体</w:t>
      </w:r>
      <w:r>
        <w:rPr>
          <w:rFonts w:hint="eastAsia" w:ascii="宋体" w:hAnsi="宋体" w:eastAsia="宋体" w:cs="宋体"/>
          <w:color w:val="auto"/>
          <w:szCs w:val="21"/>
          <w:highlight w:val="none"/>
        </w:rPr>
        <w:t>。</w:t>
      </w:r>
    </w:p>
    <w:p>
      <w:pPr>
        <w:pStyle w:val="5"/>
        <w:spacing w:before="0" w:after="0" w:line="360" w:lineRule="auto"/>
        <w:ind w:firstLine="422" w:firstLineChars="200"/>
        <w:rPr>
          <w:rFonts w:hint="eastAsia" w:ascii="宋体" w:hAnsi="宋体" w:eastAsia="宋体" w:cs="宋体"/>
          <w:color w:val="auto"/>
          <w:sz w:val="21"/>
          <w:szCs w:val="21"/>
          <w:highlight w:val="none"/>
        </w:rPr>
      </w:pPr>
      <w:bookmarkStart w:id="65" w:name="_Toc15983"/>
      <w:r>
        <w:rPr>
          <w:rFonts w:hint="eastAsia" w:ascii="宋体" w:hAnsi="宋体" w:eastAsia="宋体" w:cs="宋体"/>
          <w:color w:val="auto"/>
          <w:sz w:val="21"/>
          <w:szCs w:val="21"/>
          <w:highlight w:val="none"/>
        </w:rPr>
        <w:t>4. 磋商费用</w:t>
      </w:r>
      <w:bookmarkEnd w:id="64"/>
      <w:bookmarkEnd w:id="65"/>
    </w:p>
    <w:p>
      <w:pPr>
        <w:tabs>
          <w:tab w:val="left" w:pos="1635"/>
        </w:tabs>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不论磋商结果如何，供应商均应自行承担所有与磋商有关的全部费用。</w:t>
      </w:r>
    </w:p>
    <w:p>
      <w:pPr>
        <w:pStyle w:val="5"/>
        <w:numPr>
          <w:ilvl w:val="0"/>
          <w:numId w:val="3"/>
        </w:numPr>
        <w:spacing w:before="0" w:after="0" w:line="360" w:lineRule="auto"/>
        <w:ind w:firstLine="422" w:firstLineChars="200"/>
        <w:rPr>
          <w:rFonts w:hint="eastAsia" w:ascii="宋体" w:hAnsi="宋体" w:eastAsia="宋体" w:cs="宋体"/>
          <w:color w:val="auto"/>
          <w:sz w:val="21"/>
          <w:szCs w:val="21"/>
          <w:highlight w:val="none"/>
        </w:rPr>
      </w:pPr>
      <w:bookmarkStart w:id="66" w:name="_Toc6933"/>
      <w:bookmarkStart w:id="67" w:name="_Toc31376"/>
      <w:r>
        <w:rPr>
          <w:rFonts w:hint="eastAsia" w:ascii="宋体" w:hAnsi="宋体" w:eastAsia="宋体" w:cs="宋体"/>
          <w:color w:val="auto"/>
          <w:sz w:val="21"/>
          <w:szCs w:val="21"/>
          <w:highlight w:val="none"/>
        </w:rPr>
        <w:t>联合体要求</w:t>
      </w:r>
      <w:bookmarkEnd w:id="66"/>
      <w:bookmarkEnd w:id="67"/>
    </w:p>
    <w:p>
      <w:pPr>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本项目不接受联合体参与磋商</w:t>
      </w:r>
    </w:p>
    <w:p>
      <w:pPr>
        <w:pStyle w:val="5"/>
        <w:spacing w:before="0" w:after="0" w:line="360" w:lineRule="auto"/>
        <w:ind w:firstLine="422" w:firstLineChars="200"/>
        <w:rPr>
          <w:rFonts w:hint="eastAsia" w:ascii="宋体" w:hAnsi="宋体" w:eastAsia="宋体" w:cs="宋体"/>
          <w:color w:val="auto"/>
          <w:sz w:val="21"/>
          <w:szCs w:val="21"/>
          <w:highlight w:val="none"/>
        </w:rPr>
      </w:pPr>
      <w:bookmarkStart w:id="68" w:name="_Toc16359"/>
      <w:bookmarkStart w:id="69" w:name="_Toc4152"/>
      <w:r>
        <w:rPr>
          <w:rFonts w:hint="eastAsia" w:ascii="宋体" w:hAnsi="宋体" w:eastAsia="宋体" w:cs="宋体"/>
          <w:color w:val="auto"/>
          <w:sz w:val="21"/>
          <w:szCs w:val="21"/>
          <w:highlight w:val="none"/>
        </w:rPr>
        <w:t>6. 质疑和投诉</w:t>
      </w:r>
      <w:bookmarkEnd w:id="68"/>
      <w:bookmarkEnd w:id="69"/>
      <w:r>
        <w:rPr>
          <w:rFonts w:hint="eastAsia" w:ascii="宋体" w:hAnsi="宋体" w:eastAsia="宋体" w:cs="宋体"/>
          <w:color w:val="auto"/>
          <w:sz w:val="21"/>
          <w:szCs w:val="21"/>
          <w:highlight w:val="none"/>
        </w:rPr>
        <w:tab/>
      </w:r>
    </w:p>
    <w:p>
      <w:pPr>
        <w:tabs>
          <w:tab w:val="left" w:pos="2190"/>
        </w:tabs>
        <w:spacing w:line="360" w:lineRule="exact"/>
        <w:ind w:firstLine="435"/>
        <w:rPr>
          <w:rFonts w:hint="eastAsia" w:ascii="宋体" w:hAnsi="宋体" w:eastAsia="宋体" w:cs="宋体"/>
          <w:color w:val="auto"/>
          <w:szCs w:val="21"/>
          <w:highlight w:val="none"/>
          <w:u w:val="none"/>
        </w:rPr>
      </w:pPr>
      <w:bookmarkStart w:id="70" w:name="_Toc26087"/>
      <w:bookmarkStart w:id="71" w:name="_Toc8195"/>
      <w:r>
        <w:rPr>
          <w:rFonts w:hint="eastAsia" w:ascii="宋体" w:hAnsi="宋体" w:eastAsia="宋体" w:cs="宋体"/>
          <w:color w:val="auto"/>
          <w:szCs w:val="21"/>
          <w:highlight w:val="none"/>
          <w:u w:val="none"/>
        </w:rPr>
        <w:t>6.1供应对政府采购活动事项有疑问的，可以向采购人提出询问。</w:t>
      </w:r>
    </w:p>
    <w:p>
      <w:pPr>
        <w:tabs>
          <w:tab w:val="left" w:pos="2190"/>
        </w:tabs>
        <w:spacing w:line="360" w:lineRule="exact"/>
        <w:ind w:firstLine="435"/>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6.2供应商认为磋商文件使自己的合法权益受到损害的，应当在竞争性磋商公告期限届满之日起七个工作日内，以书面形式向采购代理机构（</w:t>
      </w:r>
      <w:r>
        <w:rPr>
          <w:rFonts w:hint="eastAsia" w:ascii="宋体" w:hAnsi="宋体" w:cs="宋体"/>
          <w:color w:val="auto"/>
          <w:szCs w:val="21"/>
          <w:highlight w:val="none"/>
          <w:u w:val="none"/>
          <w:lang w:eastAsia="zh-CN"/>
        </w:rPr>
        <w:t>广西天罡工程项目管理有限公司</w:t>
      </w:r>
      <w:r>
        <w:rPr>
          <w:rFonts w:hint="eastAsia" w:ascii="宋体" w:hAnsi="宋体" w:eastAsia="宋体" w:cs="宋体"/>
          <w:color w:val="auto"/>
          <w:szCs w:val="21"/>
          <w:highlight w:val="none"/>
          <w:u w:val="none"/>
        </w:rPr>
        <w:t>）提出质疑。供应商认为采购过程或成交结果使自己的合法权益受到损害的，应当在各采购程序环节结束之日起七个工作日内，以书面形式向采购代理机构（</w:t>
      </w:r>
      <w:r>
        <w:rPr>
          <w:rFonts w:hint="eastAsia" w:ascii="宋体" w:hAnsi="宋体" w:cs="宋体"/>
          <w:color w:val="auto"/>
          <w:szCs w:val="21"/>
          <w:highlight w:val="none"/>
          <w:u w:val="none"/>
          <w:lang w:eastAsia="zh-CN"/>
        </w:rPr>
        <w:t>广西天罡工程项目管理有限公司</w:t>
      </w:r>
      <w:r>
        <w:rPr>
          <w:rFonts w:hint="eastAsia" w:ascii="宋体" w:hAnsi="宋体" w:eastAsia="宋体" w:cs="宋体"/>
          <w:color w:val="auto"/>
          <w:szCs w:val="21"/>
          <w:highlight w:val="none"/>
          <w:u w:val="none"/>
        </w:rPr>
        <w:t>）提出质疑。采购代理机构应认真做好质疑处理工作。</w:t>
      </w:r>
    </w:p>
    <w:p>
      <w:pPr>
        <w:tabs>
          <w:tab w:val="left" w:pos="2190"/>
        </w:tabs>
        <w:spacing w:line="360" w:lineRule="exact"/>
        <w:ind w:firstLine="435"/>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6.3供应商对采购代理机构的质疑答复不满意或者采购代理机构未在规定的时间内作出答复的，可以在答复期满后十五个工作日内向本级财政部门投诉。</w:t>
      </w:r>
    </w:p>
    <w:p>
      <w:pPr>
        <w:tabs>
          <w:tab w:val="left" w:pos="2190"/>
        </w:tabs>
        <w:spacing w:line="360" w:lineRule="exact"/>
        <w:ind w:firstLine="435"/>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pPr>
        <w:tabs>
          <w:tab w:val="left" w:pos="2190"/>
        </w:tabs>
        <w:spacing w:line="360" w:lineRule="exact"/>
        <w:ind w:firstLine="420" w:firstLineChars="20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6.5质疑联系</w:t>
      </w:r>
      <w:r>
        <w:rPr>
          <w:rFonts w:hint="eastAsia" w:ascii="宋体" w:hAnsi="宋体" w:cs="宋体"/>
          <w:color w:val="auto"/>
          <w:szCs w:val="21"/>
          <w:highlight w:val="none"/>
          <w:u w:val="none"/>
          <w:lang w:eastAsia="zh-CN"/>
        </w:rPr>
        <w:t>方式详见公告。</w:t>
      </w:r>
    </w:p>
    <w:p>
      <w:pPr>
        <w:pageBreakBefore w:val="0"/>
        <w:widowControl w:val="0"/>
        <w:kinsoku/>
        <w:wordWrap/>
        <w:overflowPunct/>
        <w:topLinePunct w:val="0"/>
        <w:bidi w:val="0"/>
        <w:spacing w:line="400" w:lineRule="exact"/>
        <w:ind w:firstLine="420" w:firstLineChars="200"/>
        <w:textAlignment w:val="auto"/>
        <w:rPr>
          <w:rFonts w:ascii="宋体" w:hAnsi="宋体" w:cs="宋体"/>
          <w:color w:val="auto"/>
          <w:kern w:val="0"/>
          <w:sz w:val="21"/>
          <w:szCs w:val="21"/>
          <w:highlight w:val="none"/>
        </w:rPr>
      </w:pPr>
      <w:r>
        <w:rPr>
          <w:rFonts w:hint="eastAsia" w:ascii="宋体" w:hAnsi="宋体" w:eastAsia="宋体" w:cs="宋体"/>
          <w:color w:val="auto"/>
          <w:szCs w:val="21"/>
          <w:highlight w:val="none"/>
          <w:u w:val="none"/>
        </w:rPr>
        <w:t>6.6 投诉联系部门：</w:t>
      </w:r>
      <w:bookmarkEnd w:id="70"/>
      <w:bookmarkEnd w:id="71"/>
      <w:r>
        <w:rPr>
          <w:rFonts w:hint="eastAsia" w:ascii="宋体" w:hAnsi="宋体" w:cs="宋体"/>
          <w:color w:val="auto"/>
          <w:szCs w:val="21"/>
          <w:highlight w:val="none"/>
          <w:u w:val="none"/>
          <w:lang w:eastAsia="zh-CN"/>
        </w:rPr>
        <w:t>广西壮族自治区政府采购监督管理处</w:t>
      </w:r>
      <w:r>
        <w:rPr>
          <w:rFonts w:hint="eastAsia" w:ascii="宋体" w:hAnsi="宋体" w:cs="宋体"/>
          <w:color w:val="auto"/>
          <w:kern w:val="0"/>
          <w:sz w:val="21"/>
          <w:szCs w:val="21"/>
          <w:highlight w:val="none"/>
        </w:rPr>
        <w:t xml:space="preserve">   联系电话：</w:t>
      </w:r>
      <w:r>
        <w:rPr>
          <w:rFonts w:hint="eastAsia" w:ascii="宋体" w:hAnsi="宋体" w:cs="宋体"/>
          <w:color w:val="auto"/>
          <w:szCs w:val="21"/>
          <w:highlight w:val="none"/>
          <w:u w:val="none"/>
          <w:lang w:eastAsia="zh-CN"/>
        </w:rPr>
        <w:t>0771-5339851</w:t>
      </w:r>
    </w:p>
    <w:p>
      <w:pPr>
        <w:pStyle w:val="39"/>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6.7 供应商在法定质疑期内应当一次性提出针对同一采购程序环节的质疑。</w:t>
      </w:r>
    </w:p>
    <w:p>
      <w:pPr>
        <w:pStyle w:val="39"/>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6.8 不在法定质疑期内提出的质疑函可以拒收。不符合要求的质疑函在法定质疑期内及时补充完整，否则作质疑不成立处理。</w:t>
      </w:r>
    </w:p>
    <w:p>
      <w:pPr>
        <w:pStyle w:val="5"/>
        <w:spacing w:before="0" w:after="0" w:line="360" w:lineRule="auto"/>
        <w:ind w:firstLine="422" w:firstLineChars="200"/>
        <w:rPr>
          <w:rFonts w:hint="eastAsia" w:ascii="宋体" w:hAnsi="宋体" w:eastAsia="宋体" w:cs="宋体"/>
          <w:color w:val="auto"/>
          <w:sz w:val="21"/>
          <w:szCs w:val="21"/>
          <w:highlight w:val="none"/>
        </w:rPr>
      </w:pPr>
      <w:bookmarkStart w:id="72" w:name="_Toc13910"/>
      <w:bookmarkStart w:id="73" w:name="_Toc6998"/>
      <w:r>
        <w:rPr>
          <w:rFonts w:hint="eastAsia" w:ascii="宋体" w:hAnsi="宋体" w:eastAsia="宋体" w:cs="宋体"/>
          <w:color w:val="auto"/>
          <w:sz w:val="21"/>
          <w:szCs w:val="21"/>
          <w:highlight w:val="none"/>
        </w:rPr>
        <w:t>7. 转包与分包</w:t>
      </w:r>
      <w:bookmarkEnd w:id="72"/>
      <w:bookmarkEnd w:id="73"/>
    </w:p>
    <w:p>
      <w:pPr>
        <w:tabs>
          <w:tab w:val="left" w:pos="2190"/>
        </w:tabs>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本项目不允许转包。</w:t>
      </w:r>
    </w:p>
    <w:p>
      <w:pPr>
        <w:tabs>
          <w:tab w:val="left" w:pos="2190"/>
        </w:tabs>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本项目不可以分包。</w:t>
      </w:r>
    </w:p>
    <w:p>
      <w:pPr>
        <w:pStyle w:val="5"/>
        <w:spacing w:before="0" w:after="0" w:line="360" w:lineRule="auto"/>
        <w:ind w:firstLine="422" w:firstLineChars="200"/>
        <w:rPr>
          <w:rFonts w:hint="eastAsia" w:ascii="宋体" w:hAnsi="宋体" w:eastAsia="宋体" w:cs="宋体"/>
          <w:color w:val="auto"/>
          <w:sz w:val="21"/>
          <w:szCs w:val="21"/>
          <w:highlight w:val="none"/>
        </w:rPr>
      </w:pPr>
      <w:bookmarkStart w:id="74" w:name="_Toc3368"/>
      <w:bookmarkStart w:id="75" w:name="_Toc9415"/>
      <w:r>
        <w:rPr>
          <w:rFonts w:hint="eastAsia" w:ascii="宋体" w:hAnsi="宋体" w:eastAsia="宋体" w:cs="宋体"/>
          <w:color w:val="auto"/>
          <w:sz w:val="21"/>
          <w:szCs w:val="21"/>
          <w:highlight w:val="none"/>
        </w:rPr>
        <w:t>8. 特别说明</w:t>
      </w:r>
      <w:bookmarkEnd w:id="74"/>
      <w:bookmarkEnd w:id="75"/>
    </w:p>
    <w:p>
      <w:pPr>
        <w:tabs>
          <w:tab w:val="left" w:pos="1635"/>
        </w:tabs>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8.1关联供应商不得参加同一合同项下政府采购活动，否则响应文件将被视为无效：</w:t>
      </w:r>
    </w:p>
    <w:p>
      <w:pPr>
        <w:tabs>
          <w:tab w:val="left" w:pos="1635"/>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（1）单位负责人为同一人或者存在直接控股、管理关系的，不得参加同一合同项下的政府采购活动。</w:t>
      </w:r>
    </w:p>
    <w:p>
      <w:pPr>
        <w:tabs>
          <w:tab w:val="left" w:pos="1635"/>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）为本采购项目提供整体设计、规范编制或者项目管理、监理、检测等服务的供应商，不得再参加本次采购活动。</w:t>
      </w:r>
    </w:p>
    <w:p>
      <w:pPr>
        <w:tabs>
          <w:tab w:val="left" w:pos="1635"/>
        </w:tabs>
        <w:spacing w:line="360" w:lineRule="exact"/>
        <w:ind w:firstLine="435"/>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8.2</w:t>
      </w:r>
      <w:r>
        <w:rPr>
          <w:rFonts w:hint="eastAsia" w:ascii="宋体" w:hAnsi="宋体" w:eastAsia="宋体" w:cs="宋体"/>
          <w:b/>
          <w:bCs/>
          <w:color w:val="auto"/>
          <w:szCs w:val="21"/>
          <w:highlight w:val="none"/>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p>
      <w:pPr>
        <w:pStyle w:val="10"/>
        <w:rPr>
          <w:rFonts w:hint="eastAsia" w:ascii="宋体" w:hAnsi="宋体" w:eastAsia="宋体" w:cs="宋体"/>
          <w:color w:val="auto"/>
          <w:highlight w:val="none"/>
        </w:rPr>
      </w:pPr>
    </w:p>
    <w:p>
      <w:pPr>
        <w:pStyle w:val="4"/>
        <w:jc w:val="center"/>
        <w:rPr>
          <w:rFonts w:hint="eastAsia" w:ascii="宋体" w:hAnsi="宋体" w:eastAsia="宋体" w:cs="宋体"/>
          <w:b/>
          <w:bCs w:val="0"/>
          <w:color w:val="auto"/>
          <w:szCs w:val="28"/>
          <w:highlight w:val="none"/>
        </w:rPr>
      </w:pPr>
      <w:bookmarkStart w:id="76" w:name="_Toc8933"/>
      <w:bookmarkStart w:id="77" w:name="_Toc22498"/>
      <w:r>
        <w:rPr>
          <w:rFonts w:hint="eastAsia" w:ascii="宋体" w:hAnsi="宋体" w:eastAsia="宋体" w:cs="宋体"/>
          <w:b/>
          <w:bCs w:val="0"/>
          <w:color w:val="auto"/>
          <w:szCs w:val="28"/>
          <w:highlight w:val="none"/>
        </w:rPr>
        <w:t>二、磋商文件</w:t>
      </w:r>
      <w:bookmarkEnd w:id="76"/>
      <w:bookmarkEnd w:id="77"/>
    </w:p>
    <w:p>
      <w:pPr>
        <w:pStyle w:val="5"/>
        <w:spacing w:before="0" w:after="0" w:line="360" w:lineRule="auto"/>
        <w:ind w:firstLine="422" w:firstLineChars="200"/>
        <w:rPr>
          <w:rFonts w:hint="eastAsia" w:ascii="宋体" w:hAnsi="宋体" w:eastAsia="宋体" w:cs="宋体"/>
          <w:color w:val="auto"/>
          <w:sz w:val="21"/>
          <w:szCs w:val="21"/>
          <w:highlight w:val="none"/>
          <w:lang w:val="pt-BR"/>
        </w:rPr>
      </w:pPr>
      <w:bookmarkStart w:id="78" w:name="_Toc20523"/>
      <w:bookmarkStart w:id="79" w:name="_Toc18964"/>
      <w:r>
        <w:rPr>
          <w:rFonts w:hint="eastAsia" w:ascii="宋体" w:hAnsi="宋体" w:eastAsia="宋体" w:cs="宋体"/>
          <w:color w:val="auto"/>
          <w:sz w:val="21"/>
          <w:szCs w:val="21"/>
          <w:highlight w:val="none"/>
          <w:lang w:val="pt-BR"/>
        </w:rPr>
        <w:t xml:space="preserve">9. </w:t>
      </w:r>
      <w:r>
        <w:rPr>
          <w:rFonts w:hint="eastAsia" w:ascii="宋体" w:hAnsi="宋体" w:eastAsia="宋体" w:cs="宋体"/>
          <w:color w:val="auto"/>
          <w:sz w:val="21"/>
          <w:szCs w:val="21"/>
          <w:highlight w:val="none"/>
        </w:rPr>
        <w:t>磋商文件的构成</w:t>
      </w:r>
      <w:bookmarkEnd w:id="78"/>
      <w:bookmarkEnd w:id="79"/>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（3）采购需求</w:t>
      </w:r>
      <w:r>
        <w:rPr>
          <w:rFonts w:hint="eastAsia" w:ascii="宋体" w:hAnsi="宋体" w:eastAsia="宋体" w:cs="宋体"/>
          <w:bCs/>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（5）采购合同（合同主要条款及格式）；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（6）响应文件（格式）。</w:t>
      </w:r>
    </w:p>
    <w:p>
      <w:pPr>
        <w:pStyle w:val="5"/>
        <w:spacing w:before="0" w:after="0" w:line="360" w:lineRule="auto"/>
        <w:ind w:firstLine="422" w:firstLineChars="200"/>
        <w:rPr>
          <w:rFonts w:hint="eastAsia" w:ascii="宋体" w:hAnsi="宋体" w:eastAsia="宋体" w:cs="宋体"/>
          <w:color w:val="auto"/>
          <w:sz w:val="21"/>
          <w:szCs w:val="21"/>
          <w:highlight w:val="none"/>
        </w:rPr>
      </w:pPr>
      <w:bookmarkStart w:id="80" w:name="_Toc1452"/>
      <w:bookmarkStart w:id="81" w:name="_Toc9103"/>
      <w:r>
        <w:rPr>
          <w:rFonts w:hint="eastAsia" w:ascii="宋体" w:hAnsi="宋体" w:eastAsia="宋体" w:cs="宋体"/>
          <w:color w:val="auto"/>
          <w:sz w:val="21"/>
          <w:szCs w:val="21"/>
          <w:highlight w:val="none"/>
        </w:rPr>
        <w:t>10. 磋商文件的澄清与修改</w:t>
      </w:r>
      <w:bookmarkEnd w:id="80"/>
      <w:bookmarkEnd w:id="81"/>
    </w:p>
    <w:p>
      <w:pPr>
        <w:spacing w:line="360" w:lineRule="auto"/>
        <w:ind w:left="420" w:left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提交首次响应文件截止之日前，采购代理机构可以对已发出的磋商文件进行必要澄清、答复、修改或补充，澄清或者修改的内容可能影响响应文件编制的，澄清或者修改的内容作为磋商文件的组成部分。采购代理机构应当在提交首次响应文件递交截止时间</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前在本项目竞争性磋商公告发布的同一媒体上发布更正公告，不足</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的，应当顺延首次响应文件递交截止时间。</w:t>
      </w:r>
    </w:p>
    <w:p>
      <w:pPr>
        <w:spacing w:line="360" w:lineRule="auto"/>
        <w:ind w:left="420" w:left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10.2</w:t>
      </w:r>
      <w:r>
        <w:rPr>
          <w:rFonts w:hint="eastAsia" w:ascii="宋体" w:hAnsi="宋体" w:eastAsia="宋体" w:cs="宋体"/>
          <w:b/>
          <w:bCs/>
          <w:color w:val="auto"/>
          <w:szCs w:val="21"/>
          <w:highlight w:val="none"/>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pPr>
        <w:spacing w:line="360" w:lineRule="auto"/>
        <w:ind w:left="420" w:left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10.3澄清或者修改的内容为磋商文件的组成部分。当澄清或者修改通知就同一内容的表述不一致时，以最后发出的文件为准。</w:t>
      </w:r>
    </w:p>
    <w:p>
      <w:pPr>
        <w:spacing w:line="360" w:lineRule="auto"/>
        <w:ind w:left="420" w:left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磋商文件的澄清或者修改都应该通过本项目采购代理机构以法定形式发布，采购人非通过本机构，不得擅自澄清或者修改磋商文件。</w:t>
      </w:r>
    </w:p>
    <w:p>
      <w:pPr>
        <w:spacing w:line="360" w:lineRule="auto"/>
        <w:ind w:left="420" w:left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10.5采购单位可以视采购具体情况，延长响应文件截止时间和磋商时间，在本项目竞争性磋商公告发布的同一媒体上发布变更公告。</w:t>
      </w:r>
    </w:p>
    <w:p>
      <w:pPr>
        <w:pStyle w:val="39"/>
        <w:rPr>
          <w:rFonts w:hint="eastAsia" w:ascii="宋体" w:hAnsi="宋体" w:eastAsia="宋体" w:cs="宋体"/>
          <w:color w:val="auto"/>
          <w:highlight w:val="none"/>
        </w:rPr>
      </w:pPr>
    </w:p>
    <w:p>
      <w:pPr>
        <w:pStyle w:val="4"/>
        <w:jc w:val="center"/>
        <w:rPr>
          <w:rFonts w:hint="eastAsia" w:ascii="宋体" w:hAnsi="宋体" w:eastAsia="宋体" w:cs="宋体"/>
          <w:b/>
          <w:bCs w:val="0"/>
          <w:color w:val="auto"/>
          <w:szCs w:val="28"/>
          <w:highlight w:val="none"/>
        </w:rPr>
      </w:pPr>
      <w:bookmarkStart w:id="82" w:name="_Toc20830"/>
      <w:bookmarkStart w:id="83" w:name="_Toc20641"/>
      <w:r>
        <w:rPr>
          <w:rFonts w:hint="eastAsia" w:ascii="宋体" w:hAnsi="宋体" w:eastAsia="宋体" w:cs="宋体"/>
          <w:b/>
          <w:bCs w:val="0"/>
          <w:color w:val="auto"/>
          <w:szCs w:val="28"/>
          <w:highlight w:val="none"/>
        </w:rPr>
        <w:t>三、竞争性磋商响应文件的编制</w:t>
      </w:r>
      <w:bookmarkEnd w:id="82"/>
      <w:bookmarkEnd w:id="83"/>
    </w:p>
    <w:p>
      <w:pPr>
        <w:pStyle w:val="5"/>
        <w:spacing w:before="0" w:after="0" w:line="360" w:lineRule="auto"/>
        <w:ind w:firstLine="422" w:firstLineChars="200"/>
        <w:rPr>
          <w:rFonts w:hint="eastAsia" w:ascii="宋体" w:hAnsi="宋体" w:eastAsia="宋体" w:cs="宋体"/>
          <w:b/>
          <w:color w:val="auto"/>
          <w:sz w:val="21"/>
          <w:szCs w:val="21"/>
          <w:highlight w:val="none"/>
          <w:lang w:val="en-US" w:eastAsia="zh-CN"/>
        </w:rPr>
      </w:pPr>
      <w:bookmarkStart w:id="84" w:name="_Toc772"/>
      <w:r>
        <w:rPr>
          <w:rFonts w:hint="eastAsia" w:ascii="宋体" w:hAnsi="宋体" w:eastAsia="宋体" w:cs="宋体"/>
          <w:b/>
          <w:color w:val="auto"/>
          <w:sz w:val="21"/>
          <w:szCs w:val="21"/>
          <w:highlight w:val="none"/>
          <w:lang w:val="en-US" w:eastAsia="zh-CN"/>
        </w:rPr>
        <w:t>11.竞争性磋商响应文件编制基本要求</w:t>
      </w:r>
      <w:bookmarkEnd w:id="84"/>
    </w:p>
    <w:p>
      <w:p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 本项目实行电子投标，供应商应准备电子磋商响应文件：</w:t>
      </w:r>
    </w:p>
    <w:p>
      <w:p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 xml:space="preserve">11.1.1 电子响应文件按政采云平台要求及本磋商文件要求制作、加密并递交。具体操作流程可参考《政府采购项目电子交易管理操作指南-供应商》，指南可在 “http://www.ccgp-guangxi.gov.cn/PurchaseAdvisory/ImportantNotice/2866753.html”下载。 </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竞争性磋商响应文件（以下简称响应文件）的组成及要求</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2.1</w:t>
      </w:r>
      <w:r>
        <w:rPr>
          <w:rFonts w:hint="eastAsia" w:ascii="宋体" w:hAnsi="宋体" w:eastAsia="宋体" w:cs="宋体"/>
          <w:b/>
          <w:bCs/>
          <w:color w:val="auto"/>
          <w:szCs w:val="21"/>
          <w:highlight w:val="none"/>
        </w:rPr>
        <w:t>响应文件组成【格式见第六章“响应文件（格式）”】</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资格性响应证明材料：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（1）供应商相应的法定代表人、负责人、自然人身份证正反两面复印件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①如供应商为截标时间前60日以内成立的公司，可以提供供应商与委托代理人签订的劳动合同复印件代替社保证明复印件；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②如供应商为事业单位，可以提供事业单位机构编制管理证复印件或事业单位机构为其发放工资的工资条复印件代替社保证明复印件；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③如委托代理人为免缴纳社保人员，提供免缴纳社保的证明材料复印件及供应商与委托代理人签订的劳动合同复印件代替社保证明复印件。</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【属自然人的应提供由县级以上（含县级）社会养老保险经办机构出具的自然人本人及委托代理人所交纳的响应文件递交截止时间前半年内任意连续三个月社保证明复印件</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（委托代理时必须提供；如为联合体的，授权委托书原件须由牵头人出具）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（3）供应商参加政府采购活动前3年内在经营活动中没有重大违法记录及有关信用信息的书面声明</w:t>
      </w:r>
      <w:r>
        <w:rPr>
          <w:rFonts w:hint="eastAsia" w:ascii="宋体" w:hAnsi="宋体" w:eastAsia="宋体" w:cs="宋体"/>
          <w:b/>
          <w:bCs/>
          <w:color w:val="auto"/>
          <w:szCs w:val="21"/>
          <w:highlight w:val="none"/>
        </w:rPr>
        <w:t>（必须提供）；</w:t>
      </w:r>
    </w:p>
    <w:p>
      <w:pPr>
        <w:numPr>
          <w:ilvl w:val="0"/>
          <w:numId w:val="4"/>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供应商的法人或者其他组织营业执照等证明文件复印件</w:t>
      </w:r>
      <w:r>
        <w:rPr>
          <w:rFonts w:hint="eastAsia" w:ascii="宋体" w:hAnsi="宋体" w:eastAsia="宋体" w:cs="宋体"/>
          <w:b/>
          <w:bCs/>
          <w:color w:val="auto"/>
          <w:szCs w:val="21"/>
          <w:highlight w:val="none"/>
        </w:rPr>
        <w:t>（必须提供，自然人除外）；</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numPr>
          <w:ilvl w:val="0"/>
          <w:numId w:val="0"/>
        </w:numPr>
        <w:spacing w:line="420" w:lineRule="exact"/>
        <w:ind w:firstLine="420" w:firstLineChars="200"/>
        <w:rPr>
          <w:rFonts w:hint="eastAsia"/>
          <w:color w:val="auto"/>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cs="宋体"/>
          <w:color w:val="auto"/>
          <w:szCs w:val="21"/>
          <w:highlight w:val="none"/>
          <w:lang w:eastAsia="zh-CN"/>
        </w:rPr>
        <w:t>小微</w:t>
      </w:r>
      <w:r>
        <w:rPr>
          <w:rFonts w:hint="eastAsia" w:ascii="宋体" w:hAnsi="宋体" w:eastAsia="宋体" w:cs="宋体"/>
          <w:color w:val="auto"/>
          <w:szCs w:val="21"/>
          <w:highlight w:val="none"/>
        </w:rPr>
        <w:t>企业的证明材料</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【属于</w:t>
      </w:r>
      <w:r>
        <w:rPr>
          <w:rFonts w:hint="eastAsia" w:ascii="宋体" w:hAnsi="宋体" w:cs="宋体"/>
          <w:color w:val="auto"/>
          <w:szCs w:val="21"/>
          <w:highlight w:val="none"/>
          <w:lang w:eastAsia="zh-CN"/>
        </w:rPr>
        <w:t>中小</w:t>
      </w:r>
      <w:r>
        <w:rPr>
          <w:rFonts w:hint="eastAsia" w:ascii="宋体" w:hAnsi="宋体" w:eastAsia="宋体" w:cs="宋体"/>
          <w:color w:val="auto"/>
          <w:szCs w:val="21"/>
          <w:highlight w:val="none"/>
        </w:rPr>
        <w:t>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[2017]213号）执行）】</w:t>
      </w:r>
      <w:r>
        <w:rPr>
          <w:rFonts w:hint="eastAsia" w:ascii="宋体" w:hAnsi="宋体" w:eastAsia="宋体" w:cs="宋体"/>
          <w:color w:val="auto"/>
          <w:szCs w:val="21"/>
          <w:highlight w:val="none"/>
          <w:lang w:eastAsia="zh-CN"/>
        </w:rPr>
        <w:t>。</w:t>
      </w:r>
    </w:p>
    <w:p>
      <w:pPr>
        <w:pStyle w:val="11"/>
        <w:ind w:left="0" w:leftChars="0" w:firstLine="422"/>
        <w:rPr>
          <w:rFonts w:hint="eastAsia" w:ascii="宋体" w:hAnsi="宋体" w:eastAsia="宋体" w:cs="宋体"/>
          <w:color w:val="auto"/>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符合性响应证明材料：</w:t>
      </w:r>
    </w:p>
    <w:p>
      <w:pPr>
        <w:pStyle w:val="4"/>
        <w:ind w:leftChars="200" w:hanging="147" w:hangingChars="70"/>
        <w:rPr>
          <w:rFonts w:hint="eastAsia" w:ascii="宋体" w:hAnsi="宋体" w:eastAsia="宋体" w:cs="宋体"/>
          <w:color w:val="auto"/>
          <w:szCs w:val="21"/>
          <w:highlight w:val="none"/>
        </w:rPr>
      </w:pPr>
      <w:bookmarkStart w:id="85" w:name="_Toc16312"/>
      <w:bookmarkStart w:id="86" w:name="_Toc2809"/>
      <w:bookmarkStart w:id="87" w:name="_Toc28932"/>
      <w:r>
        <w:rPr>
          <w:rFonts w:hint="eastAsia" w:ascii="宋体" w:hAnsi="宋体" w:eastAsia="宋体" w:cs="宋体"/>
          <w:bCs w:val="0"/>
          <w:color w:val="auto"/>
          <w:sz w:val="21"/>
          <w:szCs w:val="21"/>
          <w:highlight w:val="none"/>
          <w:lang w:val="en-US"/>
        </w:rPr>
        <w:t>（1）响应函（格式见附件）</w:t>
      </w:r>
      <w:r>
        <w:rPr>
          <w:rFonts w:hint="eastAsia" w:ascii="宋体" w:hAnsi="宋体" w:eastAsia="宋体" w:cs="宋体"/>
          <w:b/>
          <w:color w:val="auto"/>
          <w:sz w:val="21"/>
          <w:szCs w:val="21"/>
          <w:highlight w:val="none"/>
          <w:lang w:val="en-US"/>
        </w:rPr>
        <w:t>（必须提供）</w:t>
      </w:r>
      <w:bookmarkEnd w:id="85"/>
      <w:r>
        <w:rPr>
          <w:rFonts w:hint="eastAsia" w:ascii="宋体" w:hAnsi="宋体" w:eastAsia="宋体" w:cs="宋体"/>
          <w:b/>
          <w:color w:val="auto"/>
          <w:sz w:val="21"/>
          <w:szCs w:val="21"/>
          <w:highlight w:val="none"/>
          <w:lang w:val="en-US" w:eastAsia="zh-CN"/>
        </w:rPr>
        <w:t>；</w:t>
      </w:r>
      <w:bookmarkEnd w:id="86"/>
      <w:bookmarkEnd w:id="87"/>
    </w:p>
    <w:p>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）磋商报价表（格式见附件）</w:t>
      </w:r>
      <w:r>
        <w:rPr>
          <w:rFonts w:hint="eastAsia" w:ascii="宋体" w:hAnsi="宋体" w:eastAsia="宋体" w:cs="宋体"/>
          <w:b/>
          <w:bCs/>
          <w:color w:val="auto"/>
          <w:szCs w:val="21"/>
          <w:highlight w:val="none"/>
        </w:rPr>
        <w:t>（必须提供）；</w:t>
      </w:r>
    </w:p>
    <w:p>
      <w:pPr>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采购需求响应说明表</w:t>
      </w:r>
      <w:r>
        <w:rPr>
          <w:rFonts w:hint="eastAsia" w:ascii="宋体" w:hAnsi="宋体" w:eastAsia="宋体" w:cs="宋体"/>
          <w:color w:val="auto"/>
          <w:szCs w:val="21"/>
          <w:highlight w:val="none"/>
        </w:rPr>
        <w:t>（格式见附件）</w:t>
      </w:r>
      <w:r>
        <w:rPr>
          <w:rFonts w:hint="eastAsia" w:ascii="宋体" w:hAnsi="宋体" w:eastAsia="宋体" w:cs="宋体"/>
          <w:b/>
          <w:bCs/>
          <w:color w:val="auto"/>
          <w:szCs w:val="21"/>
          <w:highlight w:val="none"/>
        </w:rPr>
        <w:t>(必须提供)；</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售后服务承诺书</w:t>
      </w:r>
      <w:r>
        <w:rPr>
          <w:rFonts w:hint="eastAsia" w:ascii="宋体" w:hAnsi="宋体" w:eastAsia="宋体" w:cs="宋体"/>
          <w:color w:val="auto"/>
          <w:szCs w:val="21"/>
          <w:highlight w:val="none"/>
        </w:rPr>
        <w:t>（格式见附件）</w:t>
      </w:r>
      <w:r>
        <w:rPr>
          <w:rFonts w:hint="eastAsia" w:ascii="宋体" w:hAnsi="宋体" w:eastAsia="宋体" w:cs="宋体"/>
          <w:b/>
          <w:bCs/>
          <w:color w:val="auto"/>
          <w:szCs w:val="21"/>
          <w:highlight w:val="none"/>
        </w:rPr>
        <w:t>（必须提供）</w:t>
      </w:r>
      <w:r>
        <w:rPr>
          <w:rFonts w:hint="eastAsia" w:ascii="宋体" w:hAnsi="宋体" w:cs="宋体"/>
          <w:b/>
          <w:bCs/>
          <w:color w:val="auto"/>
          <w:szCs w:val="21"/>
          <w:highlight w:val="none"/>
          <w:lang w:eastAsia="zh-CN"/>
        </w:rPr>
        <w:t>。</w:t>
      </w:r>
    </w:p>
    <w:p>
      <w:pPr>
        <w:pStyle w:val="11"/>
        <w:ind w:left="0" w:leftChars="0"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1.3</w:t>
      </w:r>
      <w:r>
        <w:rPr>
          <w:rFonts w:hint="eastAsia" w:ascii="宋体" w:hAnsi="宋体" w:eastAsia="宋体" w:cs="宋体"/>
          <w:b/>
          <w:bCs/>
          <w:color w:val="auto"/>
          <w:szCs w:val="21"/>
          <w:highlight w:val="none"/>
        </w:rPr>
        <w:t>其他有效证明材料</w:t>
      </w:r>
    </w:p>
    <w:p>
      <w:pPr>
        <w:spacing w:line="360" w:lineRule="auto"/>
        <w:ind w:firstLine="420" w:firstLineChars="20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项目实施人员一览表（格式见附件）</w:t>
      </w:r>
      <w:r>
        <w:rPr>
          <w:rFonts w:hint="eastAsia" w:ascii="宋体" w:hAnsi="宋体" w:eastAsia="宋体" w:cs="宋体"/>
          <w:b/>
          <w:bCs/>
          <w:color w:val="auto"/>
          <w:szCs w:val="21"/>
          <w:highlight w:val="none"/>
        </w:rPr>
        <w:t>（如有，请提供</w:t>
      </w:r>
      <w:r>
        <w:rPr>
          <w:rFonts w:hint="eastAsia" w:ascii="宋体" w:hAnsi="宋体" w:cs="宋体"/>
          <w:b/>
          <w:bCs/>
          <w:color w:val="auto"/>
          <w:szCs w:val="21"/>
          <w:highlight w:val="none"/>
          <w:lang w:eastAsia="zh-CN"/>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）“采购需求”需提供的有效证明文件</w:t>
      </w:r>
      <w:r>
        <w:rPr>
          <w:rFonts w:hint="eastAsia" w:ascii="宋体" w:hAnsi="宋体" w:eastAsia="宋体" w:cs="宋体"/>
          <w:b/>
          <w:bCs/>
          <w:color w:val="auto"/>
          <w:szCs w:val="21"/>
          <w:highlight w:val="none"/>
        </w:rPr>
        <w:t>（如有，请提供）；</w:t>
      </w:r>
    </w:p>
    <w:p>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w:t>
      </w:r>
      <w:r>
        <w:rPr>
          <w:rFonts w:hint="eastAsia" w:ascii="宋体" w:hAnsi="宋体" w:cs="宋体"/>
          <w:color w:val="auto"/>
          <w:szCs w:val="21"/>
          <w:highlight w:val="none"/>
          <w:lang w:eastAsia="zh-CN"/>
        </w:rPr>
        <w:t>2019年1月1日</w:t>
      </w:r>
      <w:r>
        <w:rPr>
          <w:rFonts w:hint="eastAsia" w:ascii="宋体" w:hAnsi="宋体" w:eastAsia="宋体" w:cs="宋体"/>
          <w:color w:val="auto"/>
          <w:szCs w:val="21"/>
          <w:highlight w:val="none"/>
        </w:rPr>
        <w:t>以来具有同类</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的业绩相关证明材料（无不良记录，以</w:t>
      </w:r>
      <w:r>
        <w:rPr>
          <w:rFonts w:hint="eastAsia" w:ascii="宋体" w:hAnsi="宋体" w:cs="宋体"/>
          <w:color w:val="auto"/>
          <w:szCs w:val="21"/>
          <w:highlight w:val="none"/>
          <w:lang w:eastAsia="zh-CN"/>
        </w:rPr>
        <w:t>中标</w:t>
      </w:r>
      <w:r>
        <w:rPr>
          <w:rFonts w:hint="eastAsia" w:ascii="宋体" w:hAnsi="宋体" w:eastAsia="宋体" w:cs="宋体"/>
          <w:color w:val="auto"/>
          <w:szCs w:val="21"/>
          <w:highlight w:val="none"/>
        </w:rPr>
        <w:t>、成交通知书或签订的合同为准，并能清晰反映</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的名称、</w:t>
      </w:r>
      <w:r>
        <w:rPr>
          <w:rFonts w:hint="eastAsia" w:ascii="宋体" w:hAnsi="宋体" w:eastAsia="宋体" w:cs="宋体"/>
          <w:color w:val="auto"/>
          <w:szCs w:val="21"/>
          <w:highlight w:val="none"/>
          <w:lang w:eastAsia="zh-CN"/>
        </w:rPr>
        <w:t>采购内容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、采购时间</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（如有，请提供）；</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供应商可结合本项目的评审办法视自身情况自行提交其它相关证明材料。</w:t>
      </w:r>
    </w:p>
    <w:p>
      <w:pPr>
        <w:spacing w:line="400" w:lineRule="exact"/>
        <w:ind w:firstLine="42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供应商</w:t>
      </w:r>
      <w:r>
        <w:rPr>
          <w:rFonts w:hint="eastAsia" w:ascii="宋体" w:hAnsi="宋体" w:eastAsia="宋体" w:cs="宋体"/>
          <w:b/>
          <w:bCs/>
          <w:color w:val="auto"/>
          <w:highlight w:val="none"/>
        </w:rPr>
        <w:t>提供的以上相关证明材料属于“必须提供”的文件应加盖</w:t>
      </w:r>
      <w:r>
        <w:rPr>
          <w:rFonts w:hint="eastAsia" w:ascii="宋体" w:hAnsi="宋体" w:eastAsia="宋体" w:cs="宋体"/>
          <w:b/>
          <w:bCs/>
          <w:color w:val="auto"/>
          <w:highlight w:val="none"/>
          <w:lang w:eastAsia="zh-CN"/>
        </w:rPr>
        <w:t>磋商</w:t>
      </w:r>
      <w:r>
        <w:rPr>
          <w:rFonts w:hint="eastAsia" w:ascii="宋体" w:hAnsi="宋体" w:eastAsia="宋体" w:cs="宋体"/>
          <w:b/>
          <w:bCs/>
          <w:color w:val="auto"/>
          <w:highlight w:val="none"/>
        </w:rPr>
        <w:t>供应商CA证书签章</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自然人</w:t>
      </w:r>
      <w:r>
        <w:rPr>
          <w:rFonts w:hint="eastAsia" w:ascii="宋体" w:hAnsi="宋体" w:eastAsia="宋体" w:cs="宋体"/>
          <w:b/>
          <w:bCs/>
          <w:color w:val="auto"/>
          <w:highlight w:val="none"/>
          <w:lang w:eastAsia="zh-CN"/>
        </w:rPr>
        <w:t>签字或</w:t>
      </w:r>
      <w:r>
        <w:rPr>
          <w:rFonts w:hint="eastAsia" w:ascii="宋体" w:hAnsi="宋体" w:eastAsia="宋体" w:cs="宋体"/>
          <w:b/>
          <w:bCs/>
          <w:color w:val="auto"/>
          <w:highlight w:val="none"/>
          <w:lang w:val="en-US" w:eastAsia="zh-CN"/>
        </w:rPr>
        <w:t>个人</w:t>
      </w:r>
      <w:r>
        <w:rPr>
          <w:rFonts w:hint="eastAsia" w:ascii="宋体" w:hAnsi="宋体" w:cs="宋体"/>
          <w:b/>
          <w:bCs/>
          <w:color w:val="auto"/>
          <w:highlight w:val="none"/>
          <w:lang w:eastAsia="zh-CN"/>
        </w:rPr>
        <w:t>CA证书签章</w:t>
      </w:r>
      <w:r>
        <w:rPr>
          <w:rFonts w:hint="eastAsia" w:ascii="宋体" w:hAnsi="宋体" w:eastAsia="宋体" w:cs="宋体"/>
          <w:b/>
          <w:bCs/>
          <w:color w:val="auto"/>
          <w:highlight w:val="none"/>
        </w:rPr>
        <w:t>，否则</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rPr>
        <w:t>供应商应按竞争性磋商文件第六章“响应文件（格式）”编制响应文件。</w:t>
      </w:r>
    </w:p>
    <w:p>
      <w:pPr>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特别说明：</w:t>
      </w:r>
    </w:p>
    <w:p>
      <w:pPr>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（1）响</w:t>
      </w:r>
      <w:r>
        <w:rPr>
          <w:rFonts w:hint="eastAsia" w:ascii="宋体" w:hAnsi="宋体" w:eastAsia="宋体" w:cs="宋体"/>
          <w:b/>
          <w:color w:val="auto"/>
          <w:szCs w:val="21"/>
          <w:highlight w:val="none"/>
        </w:rPr>
        <w:t>应文件（电子响应文件），其中电子响应文件中所须加盖公章部分均采用</w:t>
      </w:r>
      <w:r>
        <w:rPr>
          <w:rFonts w:hint="eastAsia" w:ascii="宋体" w:hAnsi="宋体" w:cs="宋体"/>
          <w:b/>
          <w:color w:val="auto"/>
          <w:szCs w:val="21"/>
          <w:highlight w:val="none"/>
          <w:lang w:eastAsia="zh-CN"/>
        </w:rPr>
        <w:t>CA证书签章</w:t>
      </w:r>
      <w:r>
        <w:rPr>
          <w:rFonts w:hint="eastAsia" w:ascii="宋体" w:hAnsi="宋体" w:eastAsia="宋体" w:cs="宋体"/>
          <w:b/>
          <w:color w:val="auto"/>
          <w:szCs w:val="21"/>
          <w:highlight w:val="none"/>
        </w:rPr>
        <w:t>。若磋商文件中有专门标注的某关联点，并要求供应商在电子投标系统中作出磋商响应的，如供应商未对关联点进行响应或者在响应文件其它内容进行描述，造成电子评审不能查询的责任由供应商自行承担。</w:t>
      </w:r>
    </w:p>
    <w:p>
      <w:pPr>
        <w:numPr>
          <w:ilvl w:val="0"/>
          <w:numId w:val="5"/>
        </w:numPr>
        <w:spacing w:line="360" w:lineRule="exact"/>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lang w:eastAsia="zh-CN"/>
        </w:rPr>
        <w:t>磋商文件</w:t>
      </w:r>
      <w:r>
        <w:rPr>
          <w:rFonts w:hint="eastAsia" w:ascii="宋体" w:hAnsi="宋体" w:eastAsia="宋体" w:cs="宋体"/>
          <w:b/>
          <w:bCs/>
          <w:color w:val="auto"/>
          <w:szCs w:val="21"/>
          <w:highlight w:val="none"/>
        </w:rPr>
        <w:t>要求法定代表人（负责人）或委托代理人签字的部分必须签字然后扫描或者拍照做成 pdf 格式上传</w:t>
      </w:r>
      <w:r>
        <w:rPr>
          <w:rFonts w:hint="eastAsia" w:ascii="宋体" w:hAnsi="宋体" w:eastAsia="宋体" w:cs="宋体"/>
          <w:b/>
          <w:bCs/>
          <w:color w:val="auto"/>
          <w:szCs w:val="21"/>
          <w:highlight w:val="none"/>
          <w:lang w:eastAsia="zh-CN"/>
        </w:rPr>
        <w:t>（或加盖个人</w:t>
      </w:r>
      <w:r>
        <w:rPr>
          <w:rFonts w:hint="eastAsia" w:ascii="宋体" w:hAnsi="宋体" w:cs="宋体"/>
          <w:b/>
          <w:bCs/>
          <w:color w:val="auto"/>
          <w:szCs w:val="21"/>
          <w:highlight w:val="none"/>
          <w:lang w:val="en-US" w:eastAsia="zh-CN"/>
        </w:rPr>
        <w:t>CA证书签章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，无签字的视为</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无效。</w:t>
      </w:r>
    </w:p>
    <w:p>
      <w:pPr>
        <w:pStyle w:val="5"/>
        <w:spacing w:before="0" w:after="0" w:line="360" w:lineRule="auto"/>
        <w:ind w:firstLine="422" w:firstLineChars="200"/>
        <w:rPr>
          <w:rFonts w:hint="eastAsia" w:ascii="宋体" w:hAnsi="宋体" w:eastAsia="宋体" w:cs="宋体"/>
          <w:color w:val="auto"/>
          <w:sz w:val="21"/>
          <w:szCs w:val="21"/>
          <w:highlight w:val="none"/>
        </w:rPr>
      </w:pPr>
      <w:bookmarkStart w:id="88" w:name="_Toc6845"/>
      <w:bookmarkStart w:id="89" w:name="_Toc2180"/>
      <w:r>
        <w:rPr>
          <w:rFonts w:hint="eastAsia" w:ascii="宋体" w:hAnsi="宋体" w:eastAsia="宋体" w:cs="宋体"/>
          <w:color w:val="auto"/>
          <w:sz w:val="21"/>
          <w:szCs w:val="21"/>
          <w:highlight w:val="none"/>
        </w:rPr>
        <w:t>12. 响应文件的语言及计量</w:t>
      </w:r>
      <w:bookmarkEnd w:id="88"/>
      <w:bookmarkEnd w:id="89"/>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pPr>
        <w:pStyle w:val="5"/>
        <w:spacing w:before="0" w:after="0" w:line="360" w:lineRule="auto"/>
        <w:ind w:firstLine="422" w:firstLineChars="200"/>
        <w:rPr>
          <w:rFonts w:hint="eastAsia" w:ascii="宋体" w:hAnsi="宋体" w:eastAsia="宋体" w:cs="宋体"/>
          <w:color w:val="auto"/>
          <w:sz w:val="21"/>
          <w:szCs w:val="21"/>
          <w:highlight w:val="none"/>
        </w:rPr>
      </w:pPr>
      <w:bookmarkStart w:id="90" w:name="_Toc30930"/>
      <w:bookmarkStart w:id="91" w:name="_Toc10838"/>
      <w:r>
        <w:rPr>
          <w:rFonts w:hint="eastAsia" w:ascii="宋体" w:hAnsi="宋体" w:eastAsia="宋体" w:cs="宋体"/>
          <w:color w:val="auto"/>
          <w:sz w:val="21"/>
          <w:szCs w:val="21"/>
          <w:highlight w:val="none"/>
        </w:rPr>
        <w:t>13. 磋商报价及采购预算金额</w:t>
      </w:r>
      <w:bookmarkEnd w:id="90"/>
      <w:bookmarkEnd w:id="91"/>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磋商报价应按磋商文件中相关附表格式填写。采购预算金额（人民币）：</w:t>
      </w:r>
      <w:r>
        <w:rPr>
          <w:rFonts w:hint="eastAsia" w:ascii="宋体" w:hAnsi="宋体" w:eastAsia="宋体" w:cs="宋体"/>
          <w:b/>
          <w:bCs/>
          <w:color w:val="auto"/>
          <w:szCs w:val="21"/>
          <w:highlight w:val="none"/>
          <w:u w:val="single"/>
        </w:rPr>
        <w:t>预算金额：人民币</w:t>
      </w:r>
      <w:r>
        <w:rPr>
          <w:rFonts w:hint="eastAsia" w:ascii="宋体" w:hAnsi="宋体" w:cs="宋体"/>
          <w:b/>
          <w:bCs/>
          <w:color w:val="auto"/>
          <w:szCs w:val="21"/>
          <w:highlight w:val="none"/>
          <w:u w:val="single"/>
          <w:lang w:eastAsia="zh-CN"/>
        </w:rPr>
        <w:t>贰佰壹拾万元整（¥2100000.00元）</w:t>
      </w:r>
      <w:r>
        <w:rPr>
          <w:rFonts w:hint="eastAsia" w:ascii="宋体" w:hAnsi="宋体" w:eastAsia="宋体" w:cs="宋体"/>
          <w:b w:val="0"/>
          <w:bCs w:val="0"/>
          <w:color w:val="auto"/>
          <w:szCs w:val="21"/>
          <w:highlight w:val="none"/>
          <w:u w:val="none"/>
        </w:rPr>
        <w:t>。</w:t>
      </w:r>
      <w:r>
        <w:rPr>
          <w:rFonts w:hint="eastAsia" w:ascii="宋体" w:hAnsi="宋体" w:eastAsia="宋体" w:cs="宋体"/>
          <w:color w:val="auto"/>
          <w:szCs w:val="21"/>
          <w:highlight w:val="none"/>
        </w:rPr>
        <w:t>报价超过相应采购预算金额的，响应文件按无效处理。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13.2供应商必须就“采购需求”中所竞所有内容作完整唯一报价，否则，其响应文件无效。响应文件只允许有一个报价，有选择的或有条件的报价将不予接受。</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13.3 </w:t>
      </w:r>
      <w:r>
        <w:rPr>
          <w:rFonts w:hint="eastAsia" w:ascii="宋体" w:hAnsi="宋体" w:cs="宋体"/>
          <w:color w:val="auto"/>
          <w:spacing w:val="-6"/>
          <w:sz w:val="21"/>
          <w:szCs w:val="21"/>
          <w:highlight w:val="none"/>
          <w:lang w:eastAsia="zh-CN"/>
        </w:rPr>
        <w:t>磋商</w:t>
      </w:r>
      <w:r>
        <w:rPr>
          <w:rFonts w:hint="eastAsia" w:ascii="宋体" w:hAnsi="宋体" w:eastAsia="宋体" w:cs="宋体"/>
          <w:color w:val="auto"/>
          <w:sz w:val="21"/>
          <w:szCs w:val="21"/>
          <w:highlight w:val="none"/>
        </w:rPr>
        <w:t>报价指本次招标采购范围内</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价款、</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随配标准附件、包装、运输、装卸、保险、税金、及其他所有成本费用的总和；</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综合考虑在报价中。</w:t>
      </w:r>
    </w:p>
    <w:p>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13.4供应商应在规定时间内在政采云系统上提交最后报价，超出评委设定的最后报价时限或其最后报价超出采购预算导致已通过评审的响应文件无效的，按供应商在提交响应文件截止时间后撤回响应文件处理。</w:t>
      </w:r>
    </w:p>
    <w:p>
      <w:pPr>
        <w:pStyle w:val="5"/>
        <w:spacing w:before="0" w:after="0" w:line="360" w:lineRule="auto"/>
        <w:ind w:firstLine="422" w:firstLineChars="200"/>
        <w:rPr>
          <w:rFonts w:hint="eastAsia" w:ascii="宋体" w:hAnsi="宋体" w:eastAsia="宋体" w:cs="宋体"/>
          <w:color w:val="auto"/>
          <w:sz w:val="21"/>
          <w:szCs w:val="21"/>
          <w:highlight w:val="none"/>
        </w:rPr>
      </w:pPr>
      <w:bookmarkStart w:id="92" w:name="_Toc27015"/>
      <w:bookmarkStart w:id="93" w:name="_Toc26881"/>
      <w:r>
        <w:rPr>
          <w:rFonts w:hint="eastAsia" w:ascii="宋体" w:hAnsi="宋体" w:eastAsia="宋体" w:cs="宋体"/>
          <w:color w:val="auto"/>
          <w:sz w:val="21"/>
          <w:szCs w:val="21"/>
          <w:highlight w:val="none"/>
        </w:rPr>
        <w:t>14. 响应文件有效期</w:t>
      </w:r>
      <w:bookmarkEnd w:id="92"/>
      <w:bookmarkEnd w:id="93"/>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响应文件有效期：响应文件递交截止时间之日起90天，有效期不足的响应文件将被拒绝。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出现特殊情况下，需要延长响应文件有效期的，采购代理机构</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通知供应商延长响应文件有效期。供应商同意延长的，但不能修改响应文件。供应商拒绝延长的，其响应文件无效。</w:t>
      </w:r>
    </w:p>
    <w:p>
      <w:pPr>
        <w:pStyle w:val="5"/>
        <w:spacing w:before="0" w:after="0" w:line="360" w:lineRule="auto"/>
        <w:ind w:firstLine="422" w:firstLineChars="200"/>
        <w:rPr>
          <w:rFonts w:hint="eastAsia" w:ascii="宋体" w:hAnsi="宋体" w:eastAsia="宋体" w:cs="宋体"/>
          <w:color w:val="auto"/>
          <w:sz w:val="21"/>
          <w:szCs w:val="21"/>
          <w:highlight w:val="none"/>
        </w:rPr>
      </w:pPr>
      <w:bookmarkStart w:id="94" w:name="_Toc24706"/>
      <w:bookmarkStart w:id="95" w:name="_Toc22602"/>
      <w:r>
        <w:rPr>
          <w:rFonts w:hint="eastAsia" w:ascii="宋体" w:hAnsi="宋体" w:eastAsia="宋体" w:cs="宋体"/>
          <w:color w:val="auto"/>
          <w:sz w:val="21"/>
          <w:szCs w:val="21"/>
          <w:highlight w:val="none"/>
        </w:rPr>
        <w:t>15. 保证金</w:t>
      </w:r>
      <w:bookmarkEnd w:id="94"/>
      <w:bookmarkEnd w:id="95"/>
    </w:p>
    <w:p>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本项目无需缴纳磋商保证金。</w:t>
      </w:r>
    </w:p>
    <w:p>
      <w:pPr>
        <w:pStyle w:val="5"/>
        <w:spacing w:before="0" w:after="0" w:line="360" w:lineRule="auto"/>
        <w:ind w:firstLine="422" w:firstLineChars="200"/>
        <w:rPr>
          <w:rFonts w:hint="eastAsia" w:ascii="宋体" w:hAnsi="宋体" w:eastAsia="宋体" w:cs="宋体"/>
          <w:color w:val="auto"/>
          <w:sz w:val="21"/>
          <w:szCs w:val="21"/>
          <w:highlight w:val="none"/>
          <w:lang w:eastAsia="zh-CN"/>
        </w:rPr>
      </w:pPr>
      <w:bookmarkStart w:id="96" w:name="_Toc387"/>
      <w:bookmarkStart w:id="97" w:name="_Toc8815"/>
      <w:r>
        <w:rPr>
          <w:rFonts w:hint="eastAsia" w:ascii="宋体" w:hAnsi="宋体" w:eastAsia="宋体" w:cs="宋体"/>
          <w:color w:val="auto"/>
          <w:sz w:val="21"/>
          <w:szCs w:val="21"/>
          <w:highlight w:val="none"/>
        </w:rPr>
        <w:t>16. 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响应文件的</w:t>
      </w:r>
      <w:bookmarkEnd w:id="96"/>
      <w:r>
        <w:rPr>
          <w:rFonts w:hint="eastAsia" w:ascii="宋体" w:hAnsi="宋体" w:eastAsia="宋体" w:cs="宋体"/>
          <w:color w:val="auto"/>
          <w:sz w:val="21"/>
          <w:szCs w:val="21"/>
          <w:highlight w:val="none"/>
          <w:lang w:eastAsia="zh-CN"/>
        </w:rPr>
        <w:t>制作</w:t>
      </w:r>
      <w:bookmarkEnd w:id="97"/>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 xml:space="preserve">响应文件中须加盖供应商公章部分均采用 </w:t>
      </w:r>
      <w:r>
        <w:rPr>
          <w:rFonts w:hint="eastAsia" w:ascii="宋体" w:hAnsi="宋体" w:cs="宋体"/>
          <w:color w:val="auto"/>
          <w:szCs w:val="21"/>
          <w:highlight w:val="none"/>
          <w:lang w:eastAsia="zh-CN"/>
        </w:rPr>
        <w:t>CA 证书签章</w:t>
      </w:r>
      <w:r>
        <w:rPr>
          <w:rFonts w:hint="eastAsia" w:ascii="宋体" w:hAnsi="宋体" w:eastAsia="宋体" w:cs="宋体"/>
          <w:color w:val="auto"/>
          <w:szCs w:val="21"/>
          <w:highlight w:val="none"/>
        </w:rPr>
        <w:t>，并根据“政府采购项目电子交易管理操作指南-供应商” 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漏读，或者在按采购文件规定的部位查找不到相关内容的，由供应商自行承担。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16.2</w:t>
      </w:r>
      <w:r>
        <w:rPr>
          <w:rFonts w:hint="eastAsia" w:ascii="宋体" w:hAnsi="宋体" w:eastAsia="宋体" w:cs="宋体"/>
          <w:color w:val="auto"/>
          <w:szCs w:val="21"/>
          <w:highlight w:val="none"/>
        </w:rPr>
        <w:t>供应商法人（负责人）或授权代表持有政采云个人</w:t>
      </w:r>
      <w:r>
        <w:rPr>
          <w:rFonts w:hint="eastAsia" w:ascii="宋体" w:hAnsi="宋体" w:cs="宋体"/>
          <w:color w:val="auto"/>
          <w:szCs w:val="21"/>
          <w:highlight w:val="none"/>
          <w:lang w:eastAsia="zh-CN"/>
        </w:rPr>
        <w:t>CA证书签章</w:t>
      </w:r>
      <w:r>
        <w:rPr>
          <w:rFonts w:hint="eastAsia" w:ascii="宋体" w:hAnsi="宋体" w:eastAsia="宋体" w:cs="宋体"/>
          <w:color w:val="auto"/>
          <w:szCs w:val="21"/>
          <w:highlight w:val="none"/>
        </w:rPr>
        <w:t>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w:t>
      </w:r>
      <w:r>
        <w:rPr>
          <w:rFonts w:hint="eastAsia" w:ascii="宋体" w:hAnsi="宋体" w:cs="宋体"/>
          <w:color w:val="auto"/>
          <w:szCs w:val="21"/>
          <w:highlight w:val="none"/>
          <w:lang w:eastAsia="zh-CN"/>
        </w:rPr>
        <w:t>CA证书签章</w:t>
      </w:r>
      <w:r>
        <w:rPr>
          <w:rFonts w:hint="eastAsia" w:ascii="宋体" w:hAnsi="宋体" w:eastAsia="宋体" w:cs="宋体"/>
          <w:color w:val="auto"/>
          <w:szCs w:val="21"/>
          <w:highlight w:val="none"/>
        </w:rPr>
        <w:t>，没有办理政采云个人</w:t>
      </w:r>
      <w:r>
        <w:rPr>
          <w:rFonts w:hint="eastAsia" w:ascii="宋体" w:hAnsi="宋体" w:cs="宋体"/>
          <w:color w:val="auto"/>
          <w:szCs w:val="21"/>
          <w:highlight w:val="none"/>
          <w:lang w:eastAsia="zh-CN"/>
        </w:rPr>
        <w:t>CA证书签章</w:t>
      </w:r>
      <w:r>
        <w:rPr>
          <w:rFonts w:hint="eastAsia" w:ascii="宋体" w:hAnsi="宋体" w:eastAsia="宋体" w:cs="宋体"/>
          <w:color w:val="auto"/>
          <w:szCs w:val="21"/>
          <w:highlight w:val="none"/>
        </w:rPr>
        <w:t>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的格式上传即可。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cs="宋体"/>
          <w:color w:val="auto"/>
          <w:szCs w:val="21"/>
          <w:highlight w:val="none"/>
          <w:lang w:val="en-US" w:eastAsia="zh-CN"/>
        </w:rPr>
        <w:t>CA证书签章</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w:t>
      </w:r>
      <w:r>
        <w:rPr>
          <w:rFonts w:hint="eastAsia" w:ascii="宋体" w:hAnsi="宋体" w:eastAsia="宋体" w:cs="宋体"/>
          <w:color w:val="auto"/>
          <w:szCs w:val="21"/>
          <w:highlight w:val="none"/>
          <w:lang w:eastAsia="zh-CN"/>
        </w:rPr>
        <w:t xml:space="preserve">磋商前准备 </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16.4.2</w:t>
      </w:r>
      <w:r>
        <w:rPr>
          <w:rFonts w:hint="eastAsia" w:ascii="宋体" w:hAnsi="宋体" w:eastAsia="宋体" w:cs="宋体"/>
          <w:color w:val="auto"/>
          <w:szCs w:val="21"/>
          <w:highlight w:val="none"/>
          <w:lang w:eastAsia="zh-CN"/>
        </w:rPr>
        <w:t xml:space="preserve">各供应商应在截标前应确保成为政采云平台正式注册入库供应商，并完成 CA 数字证书申领。因未注册入库、未办理 CA 数字证书等原因造成无法磋商或磋商失败等后果由供应商自行承担。 </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16.4.3</w:t>
      </w:r>
      <w:r>
        <w:rPr>
          <w:rFonts w:hint="eastAsia" w:ascii="宋体" w:hAnsi="宋体" w:eastAsia="宋体" w:cs="宋体"/>
          <w:color w:val="auto"/>
          <w:szCs w:val="21"/>
          <w:highlight w:val="none"/>
          <w:lang w:eastAsia="zh-CN"/>
        </w:rPr>
        <w:t xml:space="preserve">供应商将政采云电子交易客户端下载、安装完成后，可通过账号密码或 CA 登录客户端进行响应文件制作。客户端请至网站下载专区查看，如有问题可拨打政采云客户服务热线 </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lang w:eastAsia="zh-CN"/>
        </w:rPr>
        <w:t xml:space="preserve"> 进行咨询。</w:t>
      </w:r>
    </w:p>
    <w:p>
      <w:pPr>
        <w:pStyle w:val="5"/>
        <w:spacing w:before="0" w:after="0" w:line="360" w:lineRule="auto"/>
        <w:ind w:firstLine="422" w:firstLineChars="200"/>
        <w:rPr>
          <w:rFonts w:hint="eastAsia" w:ascii="宋体" w:hAnsi="宋体" w:eastAsia="宋体" w:cs="宋体"/>
          <w:color w:val="auto"/>
          <w:sz w:val="21"/>
          <w:szCs w:val="21"/>
          <w:highlight w:val="none"/>
        </w:rPr>
      </w:pPr>
      <w:bookmarkStart w:id="98" w:name="_Toc8570"/>
      <w:r>
        <w:rPr>
          <w:rFonts w:hint="eastAsia" w:ascii="宋体" w:hAnsi="宋体" w:eastAsia="宋体" w:cs="宋体"/>
          <w:color w:val="auto"/>
          <w:sz w:val="21"/>
          <w:szCs w:val="21"/>
          <w:highlight w:val="none"/>
        </w:rPr>
        <w:t>17. 响应文件的修改和撤回</w:t>
      </w:r>
      <w:bookmarkEnd w:id="98"/>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17.1 </w:t>
      </w:r>
      <w:r>
        <w:rPr>
          <w:rFonts w:hint="eastAsia" w:ascii="宋体" w:hAnsi="宋体" w:eastAsia="宋体" w:cs="宋体"/>
          <w:color w:val="auto"/>
          <w:szCs w:val="21"/>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在响应文件递交截止时间后的响应文件有效期内，供应商不得撤回其响应文件。</w:t>
      </w:r>
    </w:p>
    <w:p>
      <w:pPr>
        <w:pStyle w:val="5"/>
        <w:spacing w:before="0" w:after="0" w:line="360" w:lineRule="auto"/>
        <w:ind w:firstLine="422" w:firstLineChars="200"/>
        <w:rPr>
          <w:rFonts w:hint="eastAsia" w:ascii="宋体" w:hAnsi="宋体" w:eastAsia="宋体" w:cs="宋体"/>
          <w:color w:val="auto"/>
          <w:sz w:val="21"/>
          <w:szCs w:val="21"/>
          <w:highlight w:val="none"/>
          <w:lang w:eastAsia="zh-CN"/>
        </w:rPr>
      </w:pPr>
      <w:bookmarkStart w:id="99" w:name="_Toc30156"/>
      <w:bookmarkStart w:id="100" w:name="_Toc27030"/>
      <w:r>
        <w:rPr>
          <w:rFonts w:hint="eastAsia" w:ascii="宋体" w:hAnsi="宋体" w:eastAsia="宋体" w:cs="宋体"/>
          <w:color w:val="auto"/>
          <w:sz w:val="21"/>
          <w:szCs w:val="21"/>
          <w:highlight w:val="none"/>
        </w:rPr>
        <w:t>18. 响应文件的递交</w:t>
      </w:r>
      <w:r>
        <w:rPr>
          <w:rFonts w:hint="eastAsia" w:ascii="宋体" w:hAnsi="宋体" w:eastAsia="宋体" w:cs="宋体"/>
          <w:color w:val="auto"/>
          <w:sz w:val="21"/>
          <w:szCs w:val="21"/>
          <w:highlight w:val="none"/>
          <w:lang w:eastAsia="zh-CN"/>
        </w:rPr>
        <w:t>和解密</w:t>
      </w:r>
      <w:bookmarkEnd w:id="99"/>
      <w:bookmarkEnd w:id="10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18.1响应文件递交截止时间</w:t>
      </w:r>
      <w:r>
        <w:rPr>
          <w:rFonts w:hint="eastAsia" w:ascii="宋体" w:hAnsi="宋体" w:eastAsia="宋体" w:cs="宋体"/>
          <w:color w:val="auto"/>
          <w:szCs w:val="21"/>
          <w:highlight w:val="none"/>
          <w:lang w:eastAsia="zh-CN"/>
        </w:rPr>
        <w:t>：于</w:t>
      </w:r>
      <w:r>
        <w:rPr>
          <w:rFonts w:hint="eastAsia" w:ascii="宋体" w:hAnsi="宋体" w:cs="宋体"/>
          <w:color w:val="auto"/>
          <w:sz w:val="21"/>
          <w:szCs w:val="21"/>
          <w:highlight w:val="none"/>
          <w:u w:val="single"/>
          <w:lang w:eastAsia="zh-CN"/>
        </w:rPr>
        <w:t>2024年</w:t>
      </w:r>
      <w:r>
        <w:rPr>
          <w:rFonts w:hint="eastAsia" w:ascii="宋体" w:hAnsi="宋体" w:cs="宋体"/>
          <w:color w:val="auto"/>
          <w:sz w:val="21"/>
          <w:szCs w:val="21"/>
          <w:highlight w:val="none"/>
          <w:u w:val="single"/>
          <w:lang w:val="en-US" w:eastAsia="zh-CN"/>
        </w:rPr>
        <w:t>4</w:t>
      </w:r>
      <w:r>
        <w:rPr>
          <w:rFonts w:hint="eastAsia" w:ascii="宋体" w:hAnsi="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18</w:t>
      </w:r>
      <w:r>
        <w:rPr>
          <w:rFonts w:hint="eastAsia" w:ascii="宋体" w:hAnsi="宋体" w:cs="宋体"/>
          <w:color w:val="auto"/>
          <w:sz w:val="21"/>
          <w:szCs w:val="21"/>
          <w:highlight w:val="none"/>
          <w:u w:val="single"/>
          <w:lang w:eastAsia="zh-CN"/>
        </w:rPr>
        <w:t>日</w:t>
      </w:r>
      <w:r>
        <w:rPr>
          <w:rFonts w:hint="eastAsia" w:ascii="宋体" w:hAnsi="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lang w:val="en-US" w:eastAsia="zh-CN"/>
        </w:rPr>
        <w:t>时</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分</w:t>
      </w:r>
      <w:r>
        <w:rPr>
          <w:rFonts w:hint="eastAsia" w:ascii="宋体" w:hAnsi="宋体" w:eastAsia="宋体" w:cs="宋体"/>
          <w:color w:val="auto"/>
          <w:szCs w:val="21"/>
          <w:highlight w:val="none"/>
        </w:rPr>
        <w:t>之前将电子磋商响应文件上传到政采云平台。应按照本项目磋商文件和政采云平台的要求编制、加密传输磋商响应文件。供应商在使用系统进行投标的过程中遇到涉及平台使用的任何问题，可致电政采云平台技术支持热线咨询，联系方式：</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Cs w:val="21"/>
          <w:highlight w:val="none"/>
        </w:rPr>
        <w:t>18.2磋商响应文件解密时间：截标时间后</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分钟内（</w:t>
      </w:r>
      <w:r>
        <w:rPr>
          <w:rFonts w:hint="eastAsia" w:ascii="宋体" w:hAnsi="宋体" w:cs="宋体"/>
          <w:color w:val="auto"/>
          <w:sz w:val="21"/>
          <w:szCs w:val="21"/>
          <w:highlight w:val="none"/>
          <w:u w:val="single"/>
          <w:lang w:eastAsia="zh-CN"/>
        </w:rPr>
        <w:t>2024年</w:t>
      </w:r>
      <w:r>
        <w:rPr>
          <w:rFonts w:hint="eastAsia" w:ascii="宋体" w:hAnsi="宋体" w:cs="宋体"/>
          <w:color w:val="auto"/>
          <w:sz w:val="21"/>
          <w:szCs w:val="21"/>
          <w:highlight w:val="none"/>
          <w:u w:val="single"/>
          <w:lang w:val="en-US" w:eastAsia="zh-CN"/>
        </w:rPr>
        <w:t>4</w:t>
      </w:r>
      <w:r>
        <w:rPr>
          <w:rFonts w:hint="eastAsia" w:ascii="宋体" w:hAnsi="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18</w:t>
      </w:r>
      <w:r>
        <w:rPr>
          <w:rFonts w:hint="eastAsia" w:ascii="宋体" w:hAnsi="宋体" w:cs="宋体"/>
          <w:color w:val="auto"/>
          <w:sz w:val="21"/>
          <w:szCs w:val="21"/>
          <w:highlight w:val="none"/>
          <w:u w:val="single"/>
          <w:lang w:eastAsia="zh-CN"/>
        </w:rPr>
        <w:t>日</w:t>
      </w:r>
      <w:r>
        <w:rPr>
          <w:rFonts w:hint="eastAsia" w:ascii="宋体" w:hAnsi="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lang w:val="en-US" w:eastAsia="zh-CN"/>
        </w:rPr>
        <w:t>时</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分</w:t>
      </w:r>
      <w:r>
        <w:rPr>
          <w:rFonts w:hint="eastAsia" w:ascii="宋体" w:hAnsi="宋体" w:eastAsia="宋体" w:cs="宋体"/>
          <w:color w:val="auto"/>
          <w:szCs w:val="21"/>
          <w:highlight w:val="none"/>
          <w:u w:val="single"/>
        </w:rPr>
        <w:t>至</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时</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)磋商供应商可以登录政采云平台，用“项目采购-开标评标”功能进行解密磋商文件。</w:t>
      </w:r>
      <w:r>
        <w:rPr>
          <w:rFonts w:ascii="宋体" w:hAnsi="宋体" w:cs="宋体"/>
          <w:b/>
          <w:bCs/>
          <w:color w:val="auto"/>
          <w:kern w:val="0"/>
          <w:sz w:val="21"/>
          <w:szCs w:val="21"/>
          <w:highlight w:val="none"/>
        </w:rPr>
        <w:t>若供应商在上述规定的时间内无法解密或解密失败的，视为供应商放弃</w:t>
      </w:r>
      <w:r>
        <w:rPr>
          <w:rFonts w:hint="eastAsia" w:ascii="宋体" w:hAnsi="宋体" w:cs="宋体"/>
          <w:b/>
          <w:bCs/>
          <w:color w:val="auto"/>
          <w:kern w:val="0"/>
          <w:sz w:val="21"/>
          <w:szCs w:val="21"/>
          <w:highlight w:val="none"/>
        </w:rPr>
        <w:t>磋商</w:t>
      </w:r>
      <w:r>
        <w:rPr>
          <w:rFonts w:hint="eastAsia" w:ascii="宋体" w:hAnsi="宋体" w:eastAsia="宋体" w:cs="宋体"/>
          <w:b/>
          <w:bCs/>
          <w:color w:val="auto"/>
          <w:kern w:val="2"/>
          <w:sz w:val="21"/>
          <w:szCs w:val="21"/>
          <w:highlight w:val="none"/>
          <w:lang w:val="en-US" w:eastAsia="zh-CN" w:bidi="ar-SA"/>
        </w:rPr>
        <w:t>，造成响应无效的后果由供应商自行承担。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除竞争性磋商文件另有规定外，供应商所递交的响应文件不予退还。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18.4 </w:t>
      </w:r>
      <w:r>
        <w:rPr>
          <w:rFonts w:hint="eastAsia" w:ascii="宋体" w:hAnsi="宋体" w:eastAsia="宋体" w:cs="宋体"/>
          <w:color w:val="auto"/>
          <w:szCs w:val="21"/>
          <w:highlight w:val="none"/>
        </w:rPr>
        <w:t>电子响应文件的相关说明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（1）供应商进行电子投标应安装客户端软件，并按照采购文件和电子交易平台的要求编制并加密</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响应文件。供应商未按规定加密的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响应文件，电子交易平台将拒收。供应商应当在</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截止时间前完成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响应文件的传输递交，并可以补充、修改或者撤回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响应文件。补充或者修改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响应文件的，应当先行撤回原文件，补充、修改后重新传输递交。</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截止时间前未完成传输的，视为撤回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截止时间后递交的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 xml:space="preserve">响应文件，电子交易平台将拒收。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p>
    <w:p>
      <w:pPr>
        <w:pStyle w:val="4"/>
        <w:jc w:val="center"/>
        <w:rPr>
          <w:rFonts w:hint="eastAsia" w:ascii="宋体" w:hAnsi="宋体" w:eastAsia="宋体" w:cs="宋体"/>
          <w:b/>
          <w:bCs w:val="0"/>
          <w:color w:val="auto"/>
          <w:szCs w:val="28"/>
          <w:highlight w:val="none"/>
        </w:rPr>
      </w:pPr>
      <w:bookmarkStart w:id="101" w:name="_Toc2433"/>
      <w:bookmarkStart w:id="102" w:name="_Toc18044"/>
      <w:r>
        <w:rPr>
          <w:rFonts w:hint="eastAsia" w:ascii="宋体" w:hAnsi="宋体" w:eastAsia="宋体" w:cs="宋体"/>
          <w:b/>
          <w:bCs w:val="0"/>
          <w:color w:val="auto"/>
          <w:szCs w:val="28"/>
          <w:highlight w:val="none"/>
        </w:rPr>
        <w:t>四、竞争性磋商（简称磋商）与评审</w:t>
      </w:r>
      <w:bookmarkEnd w:id="101"/>
      <w:bookmarkEnd w:id="102"/>
    </w:p>
    <w:p>
      <w:pPr>
        <w:pStyle w:val="5"/>
        <w:spacing w:before="0" w:after="0" w:line="360" w:lineRule="auto"/>
        <w:ind w:firstLine="422" w:firstLineChars="200"/>
        <w:rPr>
          <w:rFonts w:hint="eastAsia" w:ascii="宋体" w:hAnsi="宋体" w:eastAsia="宋体" w:cs="宋体"/>
          <w:color w:val="auto"/>
          <w:sz w:val="21"/>
          <w:szCs w:val="21"/>
          <w:highlight w:val="none"/>
        </w:rPr>
      </w:pPr>
      <w:bookmarkStart w:id="103" w:name="_Toc16714"/>
      <w:bookmarkStart w:id="104" w:name="_Toc31588"/>
      <w:r>
        <w:rPr>
          <w:rFonts w:hint="eastAsia" w:ascii="宋体" w:hAnsi="宋体" w:eastAsia="宋体" w:cs="宋体"/>
          <w:color w:val="auto"/>
          <w:sz w:val="21"/>
          <w:szCs w:val="21"/>
          <w:highlight w:val="none"/>
        </w:rPr>
        <w:t>19. 磋商小组组成及磋商时间、地点、人员</w:t>
      </w:r>
      <w:bookmarkEnd w:id="103"/>
      <w:bookmarkEnd w:id="104"/>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磋商小组组成：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 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磋商时间、地点、人员：</w:t>
      </w:r>
    </w:p>
    <w:p>
      <w:pPr>
        <w:spacing w:line="360" w:lineRule="auto"/>
        <w:ind w:firstLine="420" w:firstLineChars="200"/>
        <w:rPr>
          <w:rFonts w:hint="eastAsia" w:ascii="宋体" w:hAnsi="宋体" w:eastAsia="宋体" w:cs="宋体"/>
          <w:color w:val="auto"/>
          <w:szCs w:val="21"/>
          <w:highlight w:val="none"/>
        </w:rPr>
      </w:pPr>
      <w:bookmarkStart w:id="105" w:name="_Toc9878"/>
      <w:r>
        <w:rPr>
          <w:rFonts w:hint="eastAsia" w:ascii="宋体" w:hAnsi="宋体" w:eastAsia="宋体" w:cs="宋体"/>
          <w:color w:val="auto"/>
          <w:szCs w:val="21"/>
          <w:highlight w:val="none"/>
        </w:rPr>
        <w:t>19.2.1磋商时间：响应文件递交截止时间后。</w:t>
      </w:r>
      <w:bookmarkEnd w:id="105"/>
    </w:p>
    <w:p>
      <w:pPr>
        <w:spacing w:line="360" w:lineRule="auto"/>
        <w:ind w:firstLine="420" w:firstLineChars="200"/>
        <w:rPr>
          <w:rFonts w:hint="eastAsia" w:ascii="宋体" w:hAnsi="宋体" w:eastAsia="宋体" w:cs="宋体"/>
          <w:color w:val="auto"/>
          <w:szCs w:val="21"/>
          <w:highlight w:val="none"/>
          <w:lang w:eastAsia="zh-CN"/>
        </w:rPr>
      </w:pPr>
      <w:bookmarkStart w:id="106" w:name="_Toc29268"/>
      <w:r>
        <w:rPr>
          <w:rFonts w:hint="eastAsia" w:ascii="宋体" w:hAnsi="宋体" w:eastAsia="宋体" w:cs="宋体"/>
          <w:color w:val="auto"/>
          <w:szCs w:val="21"/>
          <w:highlight w:val="none"/>
          <w:lang w:val="en-US" w:eastAsia="zh-CN"/>
        </w:rPr>
        <w:t>19.2.2磋商地点</w:t>
      </w:r>
      <w:r>
        <w:rPr>
          <w:rFonts w:hint="eastAsia" w:ascii="宋体" w:hAnsi="宋体" w:eastAsia="宋体" w:cs="宋体"/>
          <w:color w:val="auto"/>
          <w:szCs w:val="21"/>
          <w:highlight w:val="none"/>
        </w:rPr>
        <w:t>：</w:t>
      </w:r>
      <w:bookmarkEnd w:id="106"/>
      <w:r>
        <w:rPr>
          <w:rFonts w:hint="eastAsia" w:ascii="宋体" w:hAnsi="宋体" w:eastAsia="宋体" w:cs="宋体"/>
          <w:color w:val="auto"/>
          <w:szCs w:val="21"/>
          <w:highlight w:val="none"/>
        </w:rPr>
        <w:t>本项目需要磋商供应商代表在截标当天截标后，按磋商小组要求及时登陆政采云平台等候在线磋商</w:t>
      </w:r>
      <w:r>
        <w:rPr>
          <w:rFonts w:hint="eastAsia" w:ascii="宋体" w:hAnsi="宋体" w:eastAsia="宋体" w:cs="宋体"/>
          <w:color w:val="auto"/>
          <w:szCs w:val="21"/>
          <w:highlight w:val="none"/>
          <w:lang w:eastAsia="zh-CN"/>
        </w:rPr>
        <w:t>。</w:t>
      </w:r>
    </w:p>
    <w:p>
      <w:pPr>
        <w:spacing w:line="360" w:lineRule="auto"/>
        <w:ind w:firstLine="420" w:firstLineChars="200"/>
        <w:rPr>
          <w:rFonts w:hint="eastAsia" w:ascii="宋体" w:hAnsi="宋体" w:eastAsia="宋体" w:cs="宋体"/>
          <w:b w:val="0"/>
          <w:bCs/>
          <w:color w:val="auto"/>
          <w:sz w:val="21"/>
          <w:szCs w:val="21"/>
          <w:highlight w:val="none"/>
        </w:rPr>
      </w:pPr>
      <w:bookmarkStart w:id="107" w:name="_Toc21307"/>
      <w:r>
        <w:rPr>
          <w:rFonts w:hint="eastAsia" w:ascii="宋体" w:hAnsi="宋体" w:eastAsia="宋体" w:cs="宋体"/>
          <w:color w:val="auto"/>
          <w:szCs w:val="21"/>
          <w:highlight w:val="none"/>
        </w:rPr>
        <w:t>19</w:t>
      </w:r>
      <w:r>
        <w:rPr>
          <w:rFonts w:hint="eastAsia" w:ascii="宋体" w:hAnsi="宋体" w:eastAsia="宋体" w:cs="宋体"/>
          <w:b w:val="0"/>
          <w:bCs/>
          <w:color w:val="auto"/>
          <w:sz w:val="21"/>
          <w:szCs w:val="21"/>
          <w:highlight w:val="none"/>
        </w:rPr>
        <w:t>.2.3磋商参加人员：供应商法定代表人、负责人、自然人或相应的委托代理人持</w:t>
      </w:r>
      <w:r>
        <w:rPr>
          <w:rFonts w:hint="eastAsia" w:ascii="宋体" w:hAnsi="宋体" w:eastAsia="宋体" w:cs="宋体"/>
          <w:b w:val="0"/>
          <w:bCs/>
          <w:color w:val="auto"/>
          <w:sz w:val="21"/>
          <w:szCs w:val="21"/>
          <w:highlight w:val="none"/>
          <w:u w:val="single"/>
        </w:rPr>
        <w:t>有效身份证原件</w:t>
      </w:r>
      <w:r>
        <w:rPr>
          <w:rFonts w:hint="eastAsia" w:ascii="宋体" w:hAnsi="宋体" w:eastAsia="宋体" w:cs="宋体"/>
          <w:b w:val="0"/>
          <w:bCs/>
          <w:color w:val="auto"/>
          <w:sz w:val="21"/>
          <w:szCs w:val="21"/>
          <w:highlight w:val="none"/>
        </w:rPr>
        <w:t>和供应商</w:t>
      </w:r>
      <w:r>
        <w:rPr>
          <w:rFonts w:hint="eastAsia" w:ascii="宋体" w:hAnsi="宋体" w:eastAsia="宋体" w:cs="宋体"/>
          <w:b w:val="0"/>
          <w:bCs/>
          <w:color w:val="auto"/>
          <w:sz w:val="21"/>
          <w:szCs w:val="21"/>
          <w:highlight w:val="none"/>
          <w:u w:val="single"/>
        </w:rPr>
        <w:t>政采云平台CA数字证书</w:t>
      </w:r>
      <w:r>
        <w:rPr>
          <w:rFonts w:hint="eastAsia" w:ascii="宋体" w:hAnsi="宋体" w:eastAsia="宋体" w:cs="宋体"/>
          <w:b w:val="0"/>
          <w:bCs/>
          <w:color w:val="auto"/>
          <w:sz w:val="21"/>
          <w:szCs w:val="21"/>
          <w:highlight w:val="none"/>
        </w:rPr>
        <w:t>参加磋商。请供应商按时到达指定地点等候磋商。</w:t>
      </w:r>
      <w:bookmarkEnd w:id="107"/>
    </w:p>
    <w:p>
      <w:pPr>
        <w:spacing w:line="360" w:lineRule="auto"/>
        <w:ind w:firstLine="420" w:firstLineChars="200"/>
        <w:rPr>
          <w:rFonts w:hint="eastAsia" w:ascii="宋体" w:hAnsi="宋体" w:eastAsia="宋体" w:cs="宋体"/>
          <w:b w:val="0"/>
          <w:bCs/>
          <w:color w:val="auto"/>
          <w:sz w:val="21"/>
          <w:szCs w:val="21"/>
          <w:highlight w:val="none"/>
        </w:rPr>
      </w:pPr>
      <w:bookmarkStart w:id="108" w:name="_Toc6288"/>
      <w:r>
        <w:rPr>
          <w:rFonts w:hint="eastAsia" w:ascii="宋体" w:hAnsi="宋体" w:eastAsia="宋体" w:cs="宋体"/>
          <w:b w:val="0"/>
          <w:bCs/>
          <w:color w:val="auto"/>
          <w:sz w:val="21"/>
          <w:szCs w:val="21"/>
          <w:highlight w:val="none"/>
        </w:rPr>
        <w:t>19.2.4响应文件递交截止时间后，由磋商小组在评标室内线上开启响应文件。</w:t>
      </w:r>
      <w:bookmarkEnd w:id="108"/>
    </w:p>
    <w:p>
      <w:pPr>
        <w:pStyle w:val="5"/>
        <w:spacing w:before="0" w:after="0" w:line="360" w:lineRule="auto"/>
        <w:ind w:firstLine="422" w:firstLineChars="200"/>
        <w:rPr>
          <w:rFonts w:hint="eastAsia" w:ascii="宋体" w:hAnsi="宋体" w:eastAsia="宋体" w:cs="宋体"/>
          <w:color w:val="auto"/>
          <w:sz w:val="21"/>
          <w:szCs w:val="21"/>
          <w:highlight w:val="none"/>
        </w:rPr>
      </w:pPr>
      <w:bookmarkStart w:id="109" w:name="_Toc25258"/>
      <w:bookmarkStart w:id="110" w:name="_Toc18640"/>
      <w:r>
        <w:rPr>
          <w:rFonts w:hint="eastAsia" w:ascii="宋体" w:hAnsi="宋体" w:eastAsia="宋体" w:cs="宋体"/>
          <w:color w:val="auto"/>
          <w:sz w:val="21"/>
          <w:szCs w:val="21"/>
          <w:highlight w:val="none"/>
        </w:rPr>
        <w:t>20. 评审原则</w:t>
      </w:r>
      <w:bookmarkEnd w:id="109"/>
      <w:bookmarkEnd w:id="11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磋商小组必须坚持公平、公正、科学和择优的原则。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评审办法：综合评分法，具体详见第四章评审办法。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磋商小组应按磋商文件进行评审，不得擅自更改评审办法。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在评审过程中，磋商小组任何人不得对某个供应商发表任何倾向性意见，不得向其他磋商小组成员明示或者暗示自己的评审意见。</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 响应文件最后报价出现前后不一致的，除竞争性磋商文件另有规定外，按照下列规定修正：</w:t>
      </w:r>
    </w:p>
    <w:p>
      <w:pPr>
        <w:pStyle w:val="40"/>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highlight w:val="none"/>
        </w:rPr>
        <w:t>响应文件中磋商报价表内容与响应文件中相应内容不一致的，以最后磋商报价表为准；</w:t>
      </w:r>
    </w:p>
    <w:p>
      <w:pPr>
        <w:pStyle w:val="40"/>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 xml:space="preserve"> 大写金额和小写金额不一致的，以大写金额为准；</w:t>
      </w:r>
    </w:p>
    <w:p>
      <w:pPr>
        <w:pStyle w:val="40"/>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 xml:space="preserve"> 单价金额小数点或者百分比有明显错位的，以报价表的总价为准，并修改单价；</w:t>
      </w:r>
    </w:p>
    <w:p>
      <w:pPr>
        <w:pStyle w:val="40"/>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(4) </w:t>
      </w:r>
      <w:r>
        <w:rPr>
          <w:rFonts w:hint="eastAsia" w:ascii="宋体" w:hAnsi="宋体" w:eastAsia="宋体" w:cs="宋体"/>
          <w:color w:val="auto"/>
          <w:highlight w:val="none"/>
        </w:rPr>
        <w:t>总价金额与按单价汇总金额不一致的，以单价金额计算结果为准。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pPr>
        <w:pStyle w:val="5"/>
        <w:spacing w:before="0" w:after="0" w:line="360" w:lineRule="auto"/>
        <w:ind w:firstLine="422" w:firstLineChars="200"/>
        <w:rPr>
          <w:rFonts w:hint="eastAsia" w:ascii="宋体" w:hAnsi="宋体" w:eastAsia="宋体" w:cs="宋体"/>
          <w:color w:val="auto"/>
          <w:sz w:val="21"/>
          <w:szCs w:val="21"/>
          <w:highlight w:val="none"/>
        </w:rPr>
      </w:pPr>
      <w:bookmarkStart w:id="111" w:name="_Toc1312"/>
      <w:bookmarkStart w:id="112" w:name="_Toc27193"/>
      <w:r>
        <w:rPr>
          <w:rFonts w:hint="eastAsia" w:ascii="宋体" w:hAnsi="宋体" w:eastAsia="宋体" w:cs="宋体"/>
          <w:color w:val="auto"/>
          <w:sz w:val="21"/>
          <w:szCs w:val="21"/>
          <w:highlight w:val="none"/>
        </w:rPr>
        <w:t>21. 评审程序及磋商要求</w:t>
      </w:r>
      <w:bookmarkEnd w:id="111"/>
      <w:bookmarkEnd w:id="112"/>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21.1磋商小组成员的通讯工具或相关电子设备交由桂林市公共资源交易中心统一保管后到达评标室，采购代理机构核实磋商小组成员身份，告知回避要求，宣布评审工作纪律和程序，推选磋商小组组长。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21.3 磋商小组依据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 </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21.4.1 查询渠道：《国家企业信用信息公示系统》（网址：www.gsxt.gov.cn/index.html）</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21.4.2 审查流程：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（1）进入《国家企业信用信息公示系统》（网址：www.gsxt.gov.cn/index.html），输入企业名称，进入企业信息主页面；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（2）查看主页“股东及出资信息”栏，或年报中的“股东及出资信息”栏信息；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（3）将各供应商的股东及出资信息进行比对，得出审查结论；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（4）将相关资料作为评审资料打印存档。</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21.5 磋商小组如发现供应商提供的证明文件不齐全或不符合规定格式的，应一次性告知供应商，供应商应在规定的时间内</w:t>
      </w:r>
      <w:r>
        <w:rPr>
          <w:rFonts w:hint="eastAsia" w:ascii="宋体" w:hAnsi="宋体" w:eastAsia="宋体" w:cs="宋体"/>
          <w:b/>
          <w:bCs/>
          <w:color w:val="auto"/>
          <w:szCs w:val="21"/>
          <w:highlight w:val="none"/>
          <w:lang w:eastAsia="zh-CN"/>
        </w:rPr>
        <w:t>线上</w:t>
      </w:r>
      <w:r>
        <w:rPr>
          <w:rFonts w:hint="eastAsia" w:ascii="宋体" w:hAnsi="宋体" w:eastAsia="宋体" w:cs="宋体"/>
          <w:b/>
          <w:bCs/>
          <w:color w:val="auto"/>
          <w:szCs w:val="21"/>
          <w:highlight w:val="none"/>
        </w:rPr>
        <w:t>补正或更正。</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 澄清、说明或者更正不得超出响应文件的范围或者改变响应文件的实质性内容。澄清、说明或者更正应由其法定代表人或相应的授权委托代表签字</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lang w:val="en-US" w:eastAsia="zh-CN"/>
        </w:rPr>
        <w:t>个人</w:t>
      </w:r>
      <w:r>
        <w:rPr>
          <w:rFonts w:hint="eastAsia" w:ascii="宋体" w:hAnsi="宋体" w:cs="宋体"/>
          <w:color w:val="auto"/>
          <w:highlight w:val="none"/>
          <w:lang w:val="en-US" w:eastAsia="zh-CN"/>
        </w:rPr>
        <w:t>CA证书签章</w:t>
      </w:r>
      <w:r>
        <w:rPr>
          <w:rFonts w:hint="eastAsia" w:ascii="宋体" w:hAnsi="宋体" w:eastAsia="宋体" w:cs="宋体"/>
          <w:color w:val="auto"/>
          <w:highlight w:val="none"/>
          <w:lang w:val="en-US" w:eastAsia="zh-CN"/>
        </w:rPr>
        <w:t>)</w:t>
      </w:r>
      <w:r>
        <w:rPr>
          <w:rFonts w:hint="eastAsia" w:ascii="宋体" w:hAnsi="宋体" w:eastAsia="宋体" w:cs="宋体"/>
          <w:color w:val="auto"/>
          <w:szCs w:val="21"/>
          <w:highlight w:val="none"/>
        </w:rPr>
        <w:t>或者加</w:t>
      </w:r>
      <w:r>
        <w:rPr>
          <w:rFonts w:hint="eastAsia" w:ascii="宋体" w:hAnsi="宋体" w:eastAsia="宋体" w:cs="宋体"/>
          <w:b w:val="0"/>
          <w:bCs w:val="0"/>
          <w:color w:val="auto"/>
          <w:szCs w:val="21"/>
          <w:highlight w:val="none"/>
        </w:rPr>
        <w:t>盖</w:t>
      </w:r>
      <w:r>
        <w:rPr>
          <w:rFonts w:hint="eastAsia" w:ascii="宋体" w:hAnsi="宋体"/>
          <w:b w:val="0"/>
          <w:bCs w:val="0"/>
          <w:color w:val="auto"/>
          <w:sz w:val="21"/>
          <w:szCs w:val="21"/>
          <w:highlight w:val="none"/>
        </w:rPr>
        <w:t>供应商CA证书签章</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根据磋商文件规定的程序、评定成交的标准等事项与实质性响应竞争性磋商文件要求的供应商进行磋商。未实质性响应磋商文件的响应文件按无效处理，磋商小组应当告知有关供应商。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磋商小组所有成员应当按已确定的磋商顺序集中与单一供应商分别进行磋商，并给予所有实质性响应竞争性磋商文件要求的供应商平等的磋商机会。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磋商中，磋商小组不得透露与磋商有关的其他供应商的技术资料、价格和其他信息。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磋商小组对磋商过程和重要磋商内容进行记录，磋商双方在记录上签字确认。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对磋商文件作出的实质性变动是磋商文件的有效组成部分，磋商小组应当及时</w:t>
      </w:r>
      <w:r>
        <w:rPr>
          <w:rFonts w:hint="eastAsia" w:ascii="宋体" w:hAnsi="宋体" w:eastAsia="宋体" w:cs="宋体"/>
          <w:color w:val="auto"/>
          <w:szCs w:val="21"/>
          <w:highlight w:val="none"/>
          <w:lang w:eastAsia="zh-CN"/>
        </w:rPr>
        <w:t>通过政采云平台同时</w:t>
      </w:r>
      <w:r>
        <w:rPr>
          <w:rFonts w:hint="eastAsia" w:ascii="宋体" w:hAnsi="宋体" w:eastAsia="宋体" w:cs="宋体"/>
          <w:color w:val="auto"/>
          <w:szCs w:val="21"/>
          <w:highlight w:val="none"/>
        </w:rPr>
        <w:t xml:space="preserve">通知所有参加磋商的供应商。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供应商应当按照磋商文件的变动情况和磋商小组的要求重新提交响应文件，并由其法定代表人、负责人、</w:t>
      </w:r>
      <w:r>
        <w:rPr>
          <w:rFonts w:hint="eastAsia" w:ascii="宋体" w:hAnsi="宋体" w:eastAsia="宋体" w:cs="宋体"/>
          <w:color w:val="auto"/>
          <w:szCs w:val="21"/>
          <w:highlight w:val="none"/>
          <w:lang w:eastAsia="zh-CN"/>
        </w:rPr>
        <w:t>自然人或相应的授权委托代表签字（个人</w:t>
      </w:r>
      <w:r>
        <w:rPr>
          <w:rFonts w:hint="eastAsia" w:ascii="宋体" w:hAnsi="宋体" w:cs="宋体"/>
          <w:color w:val="auto"/>
          <w:szCs w:val="21"/>
          <w:highlight w:val="none"/>
          <w:lang w:val="en-US" w:eastAsia="zh-CN"/>
        </w:rPr>
        <w:t>CA证书签章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或者加盖</w:t>
      </w:r>
      <w:r>
        <w:rPr>
          <w:rFonts w:hint="eastAsia" w:ascii="宋体" w:hAnsi="宋体"/>
          <w:b w:val="0"/>
          <w:bCs w:val="0"/>
          <w:color w:val="auto"/>
          <w:sz w:val="21"/>
          <w:szCs w:val="21"/>
          <w:highlight w:val="none"/>
        </w:rPr>
        <w:t>供应商CA证书签章</w:t>
      </w:r>
      <w:r>
        <w:rPr>
          <w:rFonts w:hint="eastAsia" w:ascii="宋体" w:hAnsi="宋体" w:eastAsia="宋体" w:cs="宋体"/>
          <w:color w:val="auto"/>
          <w:szCs w:val="21"/>
          <w:highlight w:val="none"/>
        </w:rPr>
        <w:t xml:space="preserve">。逾时不交的，视同放弃磋商。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21.9 第二轮磋商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CA证书签章</w:t>
      </w:r>
      <w:r>
        <w:rPr>
          <w:rFonts w:hint="eastAsia" w:ascii="宋体" w:hAnsi="宋体" w:eastAsia="宋体" w:cs="宋体"/>
          <w:color w:val="auto"/>
          <w:szCs w:val="21"/>
          <w:highlight w:val="none"/>
          <w:lang w:val="en-US" w:eastAsia="zh-CN"/>
        </w:rPr>
        <w:t>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磋商后，供应商根据磋商小组统一整理的书面磋商记录要求做出书面承诺，并由其法定代表人或授权代表签字或者加盖公章</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CA证书签章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后按时</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lang w:val="en-US" w:eastAsia="zh-CN"/>
        </w:rPr>
        <w:t>提交</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21.10 在采购过程中符合竞争要求的供应商或者报价未超过采购预算的供应商不足 3 家的，采购人或者采购代理机构应当终止竞争性磋商采购活动。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 最后报价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21.11.1 磋商文件能够详细列明采购标的的技术、服务要求的，磋商结束后，磋商小组应当要求所有继续参加磋商的供应商在规定时间内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提交最后报价，提交最后报价的供应商不得少于 3 家。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21.11.3 根据《财政部关于政府采购竞争性磋商采购方式管理暂行办法有关问题的补充通知》</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财库〔2014〕214 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提交最后报价；采购过程中符合要求的供应商（社会资本）只有 1 家的，采购人或者采购代理机构应当终止竞争性磋商采购活动，发布项目终止公告并说明原因，重新开展采购活动。 </w:t>
      </w:r>
    </w:p>
    <w:p>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21.11.4 根据《政府采购竞争性磋商采购方式管理暂行办法》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财库〔2014〕214 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w:t>
      </w:r>
      <w:r>
        <w:rPr>
          <w:rFonts w:hint="eastAsia" w:ascii="宋体" w:hAnsi="宋体" w:eastAsia="宋体" w:cs="宋体"/>
          <w:b/>
          <w:bCs/>
          <w:color w:val="auto"/>
          <w:szCs w:val="21"/>
          <w:highlight w:val="none"/>
        </w:rPr>
        <w:t xml:space="preserve">最后报价是供应商响应文件的有效组成部分。 </w:t>
      </w:r>
      <w:r>
        <w:rPr>
          <w:rFonts w:hint="eastAsia" w:ascii="宋体" w:hAnsi="宋体" w:eastAsia="宋体" w:cs="宋体"/>
          <w:color w:val="auto"/>
          <w:szCs w:val="21"/>
          <w:highlight w:val="none"/>
        </w:rPr>
        <w:t>符合本办法(财库〔2014〕214号)第三条第四项情形的，提交最后报价的供应商可以为2家。</w:t>
      </w:r>
      <w:r>
        <w:rPr>
          <w:rFonts w:hint="eastAsia" w:ascii="宋体" w:hAnsi="宋体" w:eastAsia="宋体" w:cs="宋体"/>
          <w:b/>
          <w:bCs/>
          <w:color w:val="auto"/>
          <w:szCs w:val="21"/>
          <w:highlight w:val="none"/>
        </w:rPr>
        <w:t>（财库〔2014〕214号文第三条第四项：市场竞争不充分的科研项目，以及需要扶持的科技成果转化项目。）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21.12 已提交响应文件的供应商，在提交最后报价之前，可以根据磋商情况书面退出磋商。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未书面退出磋商的供应商在规定时间内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提交最后报价，其最后报价超出采购预算导致已通过评审的响应文件无效的，按供应商在提交响应文件截止时间后撤回响应文件处理。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21.13 评审报告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21.14 在评审过程中出现法律法规和磋商文件均没有明确规定的情形时，由磋商小组现场协商解决，协商不一致的，由全体磋商小组投票表决，以得票率二分之一以上磋商小组成员的意见为准。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21.15 采购代理机构发现磋商小组有明显的违规倾向或歧视现象，或不按评审办法进行，或其他不正常行为的，应当及时制止。如制止无效，应及时向</w:t>
      </w:r>
      <w:r>
        <w:rPr>
          <w:rFonts w:hint="eastAsia" w:ascii="宋体" w:hAnsi="宋体" w:cs="宋体"/>
          <w:color w:val="auto"/>
          <w:szCs w:val="21"/>
          <w:highlight w:val="none"/>
          <w:lang w:eastAsia="zh-CN"/>
        </w:rPr>
        <w:t>广西壮族自治区政府采购监督管理处</w:t>
      </w:r>
      <w:r>
        <w:rPr>
          <w:rFonts w:hint="eastAsia" w:ascii="宋体" w:hAnsi="宋体" w:eastAsia="宋体" w:cs="宋体"/>
          <w:color w:val="auto"/>
          <w:szCs w:val="21"/>
          <w:highlight w:val="none"/>
        </w:rPr>
        <w:t>报告。</w:t>
      </w:r>
    </w:p>
    <w:p>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szCs w:val="21"/>
          <w:highlight w:val="none"/>
        </w:rPr>
        <w:t>21.16 本采购项目的评审依据为竞争性磋商文件和竞争性磋商响应文件，采用的评审方法为</w:t>
      </w:r>
      <w:r>
        <w:rPr>
          <w:rFonts w:hint="eastAsia" w:ascii="宋体" w:hAnsi="宋体" w:eastAsia="宋体" w:cs="宋体"/>
          <w:b/>
          <w:bCs/>
          <w:color w:val="auto"/>
          <w:szCs w:val="21"/>
          <w:highlight w:val="none"/>
        </w:rPr>
        <w:t>综合评分法。</w:t>
      </w:r>
    </w:p>
    <w:p>
      <w:pPr>
        <w:spacing w:line="400" w:lineRule="exact"/>
        <w:ind w:firstLine="422" w:firstLineChars="200"/>
        <w:rPr>
          <w:rFonts w:hint="eastAsia" w:ascii="宋体" w:hAnsi="宋体" w:eastAsia="宋体" w:cs="宋体"/>
          <w:b/>
          <w:bCs/>
          <w:color w:val="auto"/>
          <w:sz w:val="21"/>
          <w:szCs w:val="21"/>
          <w:highlight w:val="none"/>
        </w:rPr>
      </w:pPr>
      <w:bookmarkStart w:id="113" w:name="_Toc2766"/>
      <w:bookmarkStart w:id="114" w:name="_Toc21715"/>
      <w:r>
        <w:rPr>
          <w:rFonts w:hint="eastAsia" w:ascii="宋体" w:hAnsi="宋体" w:cs="宋体"/>
          <w:b/>
          <w:bCs/>
          <w:color w:val="auto"/>
          <w:sz w:val="21"/>
          <w:szCs w:val="21"/>
          <w:highlight w:val="none"/>
          <w:lang w:val="en-US" w:eastAsia="zh-CN"/>
        </w:rPr>
        <w:t>22.</w:t>
      </w:r>
      <w:r>
        <w:rPr>
          <w:rFonts w:hint="eastAsia" w:ascii="宋体" w:hAnsi="宋体" w:eastAsia="宋体" w:cs="宋体"/>
          <w:b/>
          <w:bCs/>
          <w:color w:val="auto"/>
          <w:sz w:val="21"/>
          <w:szCs w:val="21"/>
          <w:highlight w:val="none"/>
        </w:rPr>
        <w:t>推荐成交候选供应商原则</w:t>
      </w:r>
    </w:p>
    <w:p>
      <w:pPr>
        <w:spacing w:line="4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22.1</w:t>
      </w:r>
      <w:r>
        <w:rPr>
          <w:rFonts w:hint="eastAsia" w:ascii="宋体" w:hAnsi="宋体" w:eastAsia="宋体" w:cs="宋体"/>
          <w:b w:val="0"/>
          <w:bCs w:val="0"/>
          <w:color w:val="auto"/>
          <w:sz w:val="21"/>
          <w:szCs w:val="21"/>
          <w:highlight w:val="none"/>
        </w:rPr>
        <w:t>磋商小组应当根据综合评分情况，按照综合得分由高到低顺序推荐成交候选供应商，并编写评审报告。磋商小组根据综合得分由高到低排列次序，若得分相同时，</w:t>
      </w:r>
      <w:r>
        <w:rPr>
          <w:rFonts w:hint="eastAsia" w:ascii="宋体" w:hAnsi="宋体" w:cs="宋体"/>
          <w:b w:val="0"/>
          <w:bCs w:val="0"/>
          <w:color w:val="auto"/>
          <w:sz w:val="21"/>
          <w:szCs w:val="21"/>
          <w:highlight w:val="none"/>
          <w:lang w:eastAsia="zh-CN"/>
        </w:rPr>
        <w:t>依次按照服务方案、服务保障、履约能力得分</w:t>
      </w:r>
      <w:r>
        <w:rPr>
          <w:rFonts w:hint="eastAsia" w:ascii="宋体" w:hAnsi="宋体" w:eastAsia="宋体" w:cs="宋体"/>
          <w:b w:val="0"/>
          <w:bCs w:val="0"/>
          <w:color w:val="auto"/>
          <w:sz w:val="21"/>
          <w:szCs w:val="21"/>
          <w:highlight w:val="none"/>
        </w:rPr>
        <w:t>由高到低顺序排列。</w:t>
      </w:r>
    </w:p>
    <w:p>
      <w:pPr>
        <w:spacing w:line="4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22.2</w:t>
      </w:r>
      <w:r>
        <w:rPr>
          <w:rFonts w:hint="eastAsia" w:ascii="宋体" w:hAnsi="宋体" w:eastAsia="宋体" w:cs="宋体"/>
          <w:b w:val="0"/>
          <w:bCs w:val="0"/>
          <w:color w:val="auto"/>
          <w:sz w:val="21"/>
          <w:szCs w:val="21"/>
          <w:highlight w:val="none"/>
        </w:rPr>
        <w:t>采购单位应当确定磋商小组推荐排名第一的成交候选人为成交供应商。</w:t>
      </w:r>
    </w:p>
    <w:p>
      <w:pPr>
        <w:spacing w:line="4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22.3</w:t>
      </w:r>
      <w:r>
        <w:rPr>
          <w:rFonts w:hint="eastAsia" w:ascii="宋体" w:hAnsi="宋体" w:eastAsia="宋体" w:cs="宋体"/>
          <w:b w:val="0"/>
          <w:bCs w:val="0"/>
          <w:color w:val="auto"/>
          <w:sz w:val="21"/>
          <w:szCs w:val="21"/>
          <w:highlight w:val="none"/>
        </w:rPr>
        <w:t>排名第一的成交候选人放弃成交、因不可抗力提出不能履行合同，或者磋商文件规定应当提交履约保证金而在规定的期限内未能提交的，采购单位可以确定排名第二的成交候选人为成交供应商。</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sectPr>
          <w:footerReference r:id="rId7" w:type="default"/>
          <w:pgSz w:w="11906" w:h="16838"/>
          <w:pgMar w:top="1134" w:right="1134" w:bottom="1134" w:left="1134" w:header="851" w:footer="992" w:gutter="0"/>
          <w:pgNumType w:fmt="decimal"/>
          <w:cols w:space="720" w:num="1"/>
          <w:docGrid w:type="lines" w:linePitch="312" w:charSpace="0"/>
        </w:sectPr>
      </w:pPr>
      <w:r>
        <w:rPr>
          <w:rFonts w:hint="eastAsia" w:ascii="宋体" w:hAnsi="宋体" w:cs="宋体"/>
          <w:b w:val="0"/>
          <w:bCs w:val="0"/>
          <w:color w:val="auto"/>
          <w:sz w:val="21"/>
          <w:szCs w:val="21"/>
          <w:highlight w:val="none"/>
          <w:lang w:val="en-US" w:eastAsia="zh-CN"/>
        </w:rPr>
        <w:t xml:space="preserve">    22.4</w:t>
      </w:r>
      <w:r>
        <w:rPr>
          <w:rFonts w:hint="eastAsia" w:ascii="宋体" w:hAnsi="宋体" w:eastAsia="宋体" w:cs="宋体"/>
          <w:b w:val="0"/>
          <w:bCs w:val="0"/>
          <w:color w:val="auto"/>
          <w:sz w:val="21"/>
          <w:szCs w:val="21"/>
          <w:highlight w:val="none"/>
        </w:rPr>
        <w:t>排名第二的成交候选人因前款规定的同样原因不能签订合同的，采购单位可以确定排名第三的成交候选人为成交供应商。</w:t>
      </w:r>
    </w:p>
    <w:p>
      <w:pPr>
        <w:pStyle w:val="5"/>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属于下列情况之一者，响应文件无效</w:t>
      </w:r>
      <w:bookmarkEnd w:id="113"/>
      <w:bookmarkEnd w:id="114"/>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（1）未按磋商文件规定完整</w:t>
      </w:r>
      <w:r>
        <w:rPr>
          <w:rFonts w:hint="eastAsia" w:ascii="宋体" w:hAnsi="宋体" w:eastAsia="宋体" w:cs="宋体"/>
          <w:color w:val="auto"/>
          <w:szCs w:val="21"/>
          <w:highlight w:val="none"/>
          <w:lang w:val="en-US" w:eastAsia="zh-CN"/>
        </w:rPr>
        <w:t>线上</w:t>
      </w:r>
      <w:r>
        <w:rPr>
          <w:rFonts w:hint="eastAsia" w:ascii="宋体" w:hAnsi="宋体" w:eastAsia="宋体" w:cs="宋体"/>
          <w:color w:val="auto"/>
          <w:szCs w:val="21"/>
          <w:highlight w:val="none"/>
        </w:rPr>
        <w:t>提交响应文件或未按规定要求</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（2）不具备磋商文件规定的资格要求的；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（3）响应文件未按磋商文件的内容和要求编制，或提供虚假材料的；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w:t>
      </w:r>
      <w:r>
        <w:rPr>
          <w:rFonts w:hint="eastAsia" w:ascii="宋体" w:hAnsi="宋体" w:cs="宋体"/>
          <w:color w:val="auto"/>
          <w:szCs w:val="21"/>
          <w:highlight w:val="none"/>
          <w:lang w:eastAsia="zh-CN"/>
        </w:rPr>
        <w:t>售后</w:t>
      </w:r>
      <w:r>
        <w:rPr>
          <w:rFonts w:hint="eastAsia" w:ascii="宋体" w:hAnsi="宋体" w:eastAsia="宋体" w:cs="宋体"/>
          <w:color w:val="auto"/>
          <w:szCs w:val="21"/>
          <w:highlight w:val="none"/>
        </w:rPr>
        <w:t>服务</w:t>
      </w:r>
      <w:r>
        <w:rPr>
          <w:rFonts w:hint="eastAsia" w:ascii="宋体" w:hAnsi="宋体" w:cs="宋体"/>
          <w:color w:val="auto"/>
          <w:szCs w:val="21"/>
          <w:highlight w:val="none"/>
          <w:lang w:eastAsia="zh-CN"/>
        </w:rPr>
        <w:t>承诺</w:t>
      </w:r>
      <w:r>
        <w:rPr>
          <w:rFonts w:hint="eastAsia" w:ascii="宋体" w:hAnsi="宋体" w:eastAsia="宋体" w:cs="宋体"/>
          <w:color w:val="auto"/>
          <w:szCs w:val="21"/>
          <w:highlight w:val="none"/>
        </w:rPr>
        <w:t>不能满足磋商文件要求的；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（5）供应商未就“采购需求”中的所有内容作完整唯一报价的，或报价超出采购预算总金额的；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（6）未在磋商小组规定的时间内提交响应文件(包括最后报价)的；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（7）超越了按照法律法规规定必须获得行政许可或者行政审批的经营范围的；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（8）未满足磋商文件实质性要求的或者响应文件有采购人不能接受的附加条件的；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（9）响应文件实质性要求未做变动，供应商最后报价高于第一次报价的；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（10）不符合法律、法规和磋商文件规定的其他实质性要求和条件的。</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供应商有下列情形之一的视为供应商相互串通磋商，响应文件将被视为无效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（1）不同供应商的响应文件由同一单位或者个人编制；或不同供应商报名的IP地址一致的；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（4）不同供应商的响应文件异常一致或竞标报价呈规律性差异；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w:t>
      </w:r>
      <w:r>
        <w:rPr>
          <w:rFonts w:hint="eastAsia" w:ascii="宋体" w:hAnsi="宋体" w:cs="宋体"/>
          <w:color w:val="auto"/>
          <w:szCs w:val="21"/>
          <w:highlight w:val="none"/>
          <w:lang w:eastAsia="zh-CN"/>
        </w:rPr>
        <w:t>编</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p>
    <w:p>
      <w:pPr>
        <w:pStyle w:val="5"/>
        <w:spacing w:before="0" w:after="0" w:line="360" w:lineRule="auto"/>
        <w:ind w:firstLine="422" w:firstLineChars="200"/>
        <w:rPr>
          <w:rFonts w:hint="eastAsia" w:ascii="宋体" w:hAnsi="宋体" w:eastAsia="宋体" w:cs="宋体"/>
          <w:color w:val="auto"/>
          <w:sz w:val="21"/>
          <w:szCs w:val="21"/>
          <w:highlight w:val="none"/>
        </w:rPr>
      </w:pPr>
      <w:bookmarkStart w:id="115" w:name="_Toc20770"/>
      <w:bookmarkStart w:id="116" w:name="_Toc5714"/>
      <w:r>
        <w:rPr>
          <w:rFonts w:hint="eastAsia" w:ascii="宋体" w:hAnsi="宋体" w:eastAsia="宋体" w:cs="宋体"/>
          <w:color w:val="auto"/>
          <w:sz w:val="21"/>
          <w:szCs w:val="21"/>
          <w:highlight w:val="none"/>
        </w:rPr>
        <w:t>24. 出现下列情形之一的，采购人或者采购代理机构应当终止竞争性磋商采购活动，发布项目终止公告并说明原因，重新开展采购活动</w:t>
      </w:r>
      <w:bookmarkEnd w:id="115"/>
      <w:bookmarkEnd w:id="116"/>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（2）出现影响采购公正的违法、违规行为的； </w:t>
      </w:r>
    </w:p>
    <w:p>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（3）在采购过程中符合竞争要求的供应商或者报价未超过采购预算的供应商不足3家的。</w:t>
      </w:r>
      <w:r>
        <w:rPr>
          <w:rFonts w:hint="eastAsia" w:ascii="宋体" w:hAnsi="宋体" w:eastAsia="宋体" w:cs="宋体"/>
          <w:b/>
          <w:bCs/>
          <w:color w:val="auto"/>
          <w:szCs w:val="21"/>
          <w:highlight w:val="none"/>
        </w:rPr>
        <w:t xml:space="preserve">（除财库〔2014〕214 号《政府采购竞争性磋商采购方式管理暂行办法》第二十一条第三款规定的情形外） </w:t>
      </w:r>
    </w:p>
    <w:p>
      <w:pPr>
        <w:pStyle w:val="5"/>
        <w:spacing w:before="0" w:after="0" w:line="360" w:lineRule="auto"/>
        <w:ind w:firstLine="422" w:firstLineChars="200"/>
        <w:rPr>
          <w:rFonts w:hint="eastAsia" w:ascii="宋体" w:hAnsi="宋体" w:eastAsia="宋体" w:cs="宋体"/>
          <w:color w:val="auto"/>
          <w:sz w:val="21"/>
          <w:szCs w:val="21"/>
          <w:highlight w:val="none"/>
        </w:rPr>
      </w:pPr>
      <w:bookmarkStart w:id="117" w:name="_Toc32461"/>
      <w:bookmarkStart w:id="118" w:name="_Toc19105"/>
      <w:r>
        <w:rPr>
          <w:rFonts w:hint="eastAsia" w:ascii="宋体" w:hAnsi="宋体" w:eastAsia="宋体" w:cs="宋体"/>
          <w:color w:val="auto"/>
          <w:sz w:val="21"/>
          <w:szCs w:val="21"/>
          <w:highlight w:val="none"/>
        </w:rPr>
        <w:t>25. 磋商过程的监控</w:t>
      </w:r>
      <w:bookmarkEnd w:id="117"/>
      <w:bookmarkEnd w:id="118"/>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本项目磋商过程实行全程录音、录像监控，供应商在磋商过程中所进行的试图影响磋商结果的不公正活动，可能导致其磋商被拒绝。</w:t>
      </w:r>
    </w:p>
    <w:p>
      <w:pPr>
        <w:pStyle w:val="5"/>
        <w:numPr>
          <w:ilvl w:val="0"/>
          <w:numId w:val="6"/>
        </w:numPr>
        <w:spacing w:before="0" w:after="0" w:line="360" w:lineRule="auto"/>
        <w:ind w:firstLine="422" w:firstLineChars="200"/>
        <w:rPr>
          <w:rFonts w:hint="eastAsia" w:ascii="宋体" w:hAnsi="宋体" w:eastAsia="宋体" w:cs="宋体"/>
          <w:color w:val="auto"/>
          <w:sz w:val="21"/>
          <w:szCs w:val="21"/>
          <w:highlight w:val="none"/>
        </w:rPr>
      </w:pPr>
      <w:bookmarkStart w:id="119" w:name="_Toc32457"/>
      <w:bookmarkStart w:id="120" w:name="_Toc14787"/>
      <w:r>
        <w:rPr>
          <w:rFonts w:hint="eastAsia" w:ascii="宋体" w:hAnsi="宋体" w:eastAsia="宋体" w:cs="宋体"/>
          <w:color w:val="auto"/>
          <w:sz w:val="21"/>
          <w:szCs w:val="21"/>
          <w:highlight w:val="none"/>
        </w:rPr>
        <w:t>信用查询</w:t>
      </w:r>
      <w:bookmarkEnd w:id="119"/>
      <w:bookmarkEnd w:id="12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桂财采〔2016〕37号</w:t>
      </w:r>
      <w:r>
        <w:rPr>
          <w:rFonts w:hint="eastAsia"/>
          <w:color w:val="auto"/>
          <w:highlight w:val="none"/>
          <w:lang w:eastAsia="zh-CN"/>
        </w:rPr>
        <w:t>）</w:t>
      </w:r>
      <w:r>
        <w:rPr>
          <w:rFonts w:hint="eastAsia" w:ascii="宋体" w:hAnsi="宋体" w:eastAsia="宋体" w:cs="宋体"/>
          <w:color w:val="auto"/>
          <w:szCs w:val="21"/>
          <w:highlight w:val="none"/>
        </w:rPr>
        <w:t>，采购代理机构对成交人的成交资格进行信用查询：</w:t>
      </w:r>
    </w:p>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（1）查询渠道：“信用中国”网站(www.creditchina.gov.cn)、中国政府采购网(www.ccgp.gov.cn)等；</w:t>
      </w:r>
    </w:p>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（2）查询时间：成交通知书发出前；</w:t>
      </w:r>
    </w:p>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（3）信用信息查询记录和证据留存方式：在查询网站中直接打印查询记录，打印材料作为采购活动资料保存。</w:t>
      </w:r>
    </w:p>
    <w:p>
      <w:pPr>
        <w:pageBreakBefore w:val="0"/>
        <w:widowControl w:val="0"/>
        <w:kinsoku/>
        <w:wordWrap/>
        <w:overflowPunct/>
        <w:topLinePunct w:val="0"/>
        <w:autoSpaceDE/>
        <w:autoSpaceDN/>
        <w:bidi w:val="0"/>
        <w:adjustRightInd/>
        <w:snapToGrid/>
        <w:spacing w:line="360" w:lineRule="auto"/>
        <w:ind w:left="0" w:leftChars="0" w:right="0" w:rightChars="0" w:firstLine="210" w:firstLineChars="1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5"/>
        <w:pageBreakBefore w:val="0"/>
        <w:widowControl w:val="0"/>
        <w:kinsoku/>
        <w:wordWrap/>
        <w:overflowPunct/>
        <w:topLinePunct w:val="0"/>
        <w:autoSpaceDE/>
        <w:autoSpaceDN/>
        <w:bidi w:val="0"/>
        <w:adjustRightInd/>
        <w:snapToGrid/>
        <w:spacing w:before="0" w:after="0" w:line="360" w:lineRule="auto"/>
        <w:ind w:left="0" w:leftChars="0" w:right="0" w:rightChars="0" w:firstLine="422" w:firstLineChars="200"/>
        <w:jc w:val="both"/>
        <w:textAlignment w:val="auto"/>
        <w:rPr>
          <w:rFonts w:hint="eastAsia" w:ascii="宋体" w:hAnsi="宋体" w:eastAsia="宋体" w:cs="宋体"/>
          <w:color w:val="auto"/>
          <w:sz w:val="21"/>
          <w:szCs w:val="21"/>
          <w:highlight w:val="none"/>
        </w:rPr>
      </w:pPr>
      <w:bookmarkStart w:id="121" w:name="_Toc9438"/>
      <w:bookmarkStart w:id="122" w:name="_Toc778"/>
      <w:r>
        <w:rPr>
          <w:rFonts w:hint="eastAsia" w:ascii="宋体" w:hAnsi="宋体" w:eastAsia="宋体" w:cs="宋体"/>
          <w:color w:val="auto"/>
          <w:sz w:val="21"/>
          <w:szCs w:val="21"/>
          <w:highlight w:val="none"/>
        </w:rPr>
        <w:t>27. 成交结果公告及成交通知书</w:t>
      </w:r>
      <w:bookmarkEnd w:id="121"/>
      <w:bookmarkEnd w:id="122"/>
    </w:p>
    <w:p>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 在发布成交公告的同时，采购代理机构向成交供应商发出成交通知书。成交供应商自接到通知之日起七个工作日内，办理成交通知书领取手续。</w:t>
      </w:r>
    </w:p>
    <w:p>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采购代理机构无义务向未成交的供应商解释未成交原因和退还响应文件。</w:t>
      </w:r>
    </w:p>
    <w:p>
      <w:pPr>
        <w:pStyle w:val="4"/>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b/>
          <w:bCs w:val="0"/>
          <w:color w:val="auto"/>
          <w:szCs w:val="28"/>
          <w:highlight w:val="none"/>
        </w:rPr>
      </w:pPr>
      <w:bookmarkStart w:id="123" w:name="_Toc25593"/>
      <w:bookmarkStart w:id="124" w:name="_Toc19479"/>
      <w:r>
        <w:rPr>
          <w:rFonts w:hint="eastAsia" w:ascii="宋体" w:hAnsi="宋体" w:eastAsia="宋体" w:cs="宋体"/>
          <w:b/>
          <w:bCs w:val="0"/>
          <w:color w:val="auto"/>
          <w:szCs w:val="28"/>
          <w:highlight w:val="none"/>
        </w:rPr>
        <w:t>五、签订合同</w:t>
      </w:r>
      <w:bookmarkEnd w:id="123"/>
      <w:bookmarkEnd w:id="124"/>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highlight w:val="none"/>
          <w:lang w:eastAsia="zh-CN"/>
        </w:rPr>
      </w:pPr>
      <w:bookmarkStart w:id="125" w:name="_Toc26520"/>
      <w:bookmarkStart w:id="126" w:name="_Toc2100"/>
      <w:r>
        <w:rPr>
          <w:rFonts w:hint="eastAsia"/>
          <w:b/>
          <w:bCs/>
          <w:color w:val="auto"/>
          <w:highlight w:val="none"/>
        </w:rPr>
        <w:t>28. 履约保证金</w:t>
      </w:r>
      <w:bookmarkEnd w:id="125"/>
      <w:bookmarkEnd w:id="126"/>
      <w:r>
        <w:rPr>
          <w:rFonts w:hint="eastAsia"/>
          <w:b/>
          <w:bCs/>
          <w:color w:val="auto"/>
          <w:highlight w:val="none"/>
          <w:lang w:eastAsia="zh-CN"/>
        </w:rPr>
        <w:t>：</w:t>
      </w:r>
    </w:p>
    <w:p>
      <w:pPr>
        <w:pStyle w:val="16"/>
        <w:spacing w:line="380" w:lineRule="exact"/>
        <w:ind w:left="6" w:leftChars="3"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28.1履约保证金金额:3万元。成交供应商在与采购人签订合同前将履约保证金以支票、汇票、本票或者金融机构、担保机构出具的保函等非现金形式提交至采购人指定账户。</w:t>
      </w:r>
    </w:p>
    <w:p>
      <w:pPr>
        <w:pStyle w:val="16"/>
        <w:spacing w:line="380" w:lineRule="exact"/>
        <w:ind w:left="6" w:leftChars="3"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如果成交供应商没能按上述第2</w:t>
      </w:r>
      <w:r>
        <w:rPr>
          <w:rFonts w:hint="eastAsia" w:hAnsi="宋体" w:cs="宋体"/>
          <w:color w:val="auto"/>
          <w:szCs w:val="21"/>
          <w:highlight w:val="none"/>
          <w:lang w:val="en-US" w:eastAsia="zh-CN"/>
        </w:rPr>
        <w:t>8</w:t>
      </w:r>
      <w:r>
        <w:rPr>
          <w:rFonts w:hint="eastAsia" w:ascii="宋体" w:hAnsi="宋体" w:eastAsia="宋体" w:cs="宋体"/>
          <w:color w:val="auto"/>
          <w:szCs w:val="21"/>
          <w:highlight w:val="none"/>
        </w:rPr>
        <w:t>.1款规定执行，采购代理机构将上报</w:t>
      </w:r>
      <w:r>
        <w:rPr>
          <w:rFonts w:hint="eastAsia" w:hAnsi="宋体" w:cs="宋体"/>
          <w:color w:val="auto"/>
          <w:szCs w:val="21"/>
          <w:highlight w:val="none"/>
          <w:lang w:eastAsia="zh-CN"/>
        </w:rPr>
        <w:t>广西壮族自治区政府采购监督管理处</w:t>
      </w:r>
      <w:r>
        <w:rPr>
          <w:rFonts w:hint="eastAsia" w:ascii="宋体" w:hAnsi="宋体" w:eastAsia="宋体" w:cs="宋体"/>
          <w:color w:val="auto"/>
          <w:szCs w:val="21"/>
          <w:highlight w:val="none"/>
        </w:rPr>
        <w:t>，取消该成交资格，其保证金不予退还，并有权授予第二成交候选供应商为成交供应商资格或重新组织采购。</w:t>
      </w:r>
    </w:p>
    <w:p>
      <w:pPr>
        <w:pStyle w:val="16"/>
        <w:spacing w:line="380" w:lineRule="exact"/>
        <w:ind w:left="2" w:leftChars="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.3</w:t>
      </w:r>
      <w:r>
        <w:rPr>
          <w:rFonts w:hint="eastAsia" w:ascii="宋体" w:hAnsi="宋体" w:cs="宋体"/>
          <w:b w:val="0"/>
          <w:bCs/>
          <w:color w:val="auto"/>
          <w:szCs w:val="21"/>
          <w:highlight w:val="none"/>
          <w:lang w:eastAsia="zh-CN"/>
        </w:rPr>
        <w:t>项目验收合格后，</w:t>
      </w:r>
      <w:r>
        <w:rPr>
          <w:rFonts w:hint="eastAsia" w:ascii="宋体" w:hAnsi="宋体" w:cs="宋体"/>
          <w:b w:val="0"/>
          <w:bCs/>
          <w:color w:val="auto"/>
          <w:szCs w:val="21"/>
          <w:highlight w:val="none"/>
          <w:lang w:val="en-US" w:eastAsia="zh-CN"/>
        </w:rPr>
        <w:t>成交供应商</w:t>
      </w:r>
      <w:r>
        <w:rPr>
          <w:rFonts w:hint="eastAsia" w:ascii="宋体" w:hAnsi="宋体" w:cs="宋体"/>
          <w:b w:val="0"/>
          <w:bCs/>
          <w:color w:val="auto"/>
          <w:szCs w:val="21"/>
          <w:highlight w:val="none"/>
          <w:lang w:eastAsia="zh-CN"/>
        </w:rPr>
        <w:t>凭履约保证金</w:t>
      </w:r>
      <w:r>
        <w:rPr>
          <w:rFonts w:hint="eastAsia" w:hAnsi="宋体" w:cs="宋体"/>
          <w:b w:val="0"/>
          <w:bCs/>
          <w:color w:val="auto"/>
          <w:szCs w:val="21"/>
          <w:highlight w:val="none"/>
          <w:lang w:eastAsia="zh-CN"/>
        </w:rPr>
        <w:t>退还申请书、采购合同（原件）、验收报告（原件）和履约保证金银行回执单复印件</w:t>
      </w:r>
      <w:r>
        <w:rPr>
          <w:rFonts w:hint="eastAsia" w:ascii="宋体" w:hAnsi="宋体" w:cs="宋体"/>
          <w:b w:val="0"/>
          <w:bCs/>
          <w:color w:val="auto"/>
          <w:szCs w:val="21"/>
          <w:highlight w:val="none"/>
          <w:lang w:eastAsia="zh-CN"/>
        </w:rPr>
        <w:t>办理履约保证金退款手续，</w:t>
      </w:r>
      <w:r>
        <w:rPr>
          <w:rFonts w:hint="eastAsia" w:ascii="宋体" w:hAnsi="宋体" w:cs="宋体"/>
          <w:b w:val="0"/>
          <w:bCs/>
          <w:color w:val="auto"/>
          <w:szCs w:val="21"/>
          <w:highlight w:val="none"/>
          <w:lang w:val="en-US" w:eastAsia="zh-CN"/>
        </w:rPr>
        <w:t>采购人</w:t>
      </w:r>
      <w:r>
        <w:rPr>
          <w:rFonts w:hint="eastAsia" w:ascii="宋体" w:hAnsi="宋体" w:cs="宋体"/>
          <w:b w:val="0"/>
          <w:bCs/>
          <w:color w:val="auto"/>
          <w:szCs w:val="21"/>
          <w:highlight w:val="none"/>
          <w:lang w:eastAsia="zh-CN"/>
        </w:rPr>
        <w:t>将履约保证金（无息）退还给成交供应商。如成交供应商不按双方签订的合同规定履约，则没收其全部履约保证金，履约保证金不足以赔偿损失的，按实际损失赔偿。</w:t>
      </w:r>
    </w:p>
    <w:p>
      <w:pPr>
        <w:pStyle w:val="16"/>
        <w:spacing w:line="380" w:lineRule="exact"/>
        <w:ind w:left="6" w:leftChars="3" w:firstLine="420" w:firstLineChars="200"/>
        <w:rPr>
          <w:rFonts w:hint="eastAsia" w:ascii="宋体" w:hAnsi="宋体" w:eastAsia="宋体" w:cs="宋体"/>
          <w:b/>
          <w:color w:val="auto"/>
          <w:szCs w:val="21"/>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.4 在履约保证金到期退还前，若成交供应商的开户名称、开户银行、账号有变动的，以书面形式通知</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，否则由此产生的后果由成交供应商自负。</w:t>
      </w:r>
    </w:p>
    <w:p>
      <w:pPr>
        <w:pStyle w:val="17"/>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b/>
          <w:bCs/>
          <w:color w:val="auto"/>
          <w:highlight w:val="none"/>
        </w:rPr>
      </w:pPr>
      <w:bookmarkStart w:id="127" w:name="_Toc4956"/>
      <w:bookmarkStart w:id="128" w:name="_Toc1023"/>
      <w:r>
        <w:rPr>
          <w:rFonts w:hint="eastAsia"/>
          <w:b/>
          <w:bCs/>
          <w:color w:val="auto"/>
          <w:highlight w:val="none"/>
        </w:rPr>
        <w:t>29. 签订合同</w:t>
      </w:r>
      <w:bookmarkEnd w:id="127"/>
      <w:bookmarkEnd w:id="128"/>
    </w:p>
    <w:p>
      <w:pPr>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29.1 签订合同时间：</w:t>
      </w:r>
      <w:r>
        <w:rPr>
          <w:rFonts w:hint="eastAsia" w:ascii="宋体" w:hAnsi="宋体" w:eastAsia="宋体" w:cs="宋体"/>
          <w:b/>
          <w:bCs/>
          <w:color w:val="auto"/>
          <w:szCs w:val="21"/>
          <w:highlight w:val="none"/>
          <w:lang w:eastAsia="zh-CN"/>
        </w:rPr>
        <w:t>成交通知书</w:t>
      </w:r>
      <w:r>
        <w:rPr>
          <w:rFonts w:hint="eastAsia" w:ascii="宋体" w:hAnsi="宋体" w:eastAsia="宋体" w:cs="宋体"/>
          <w:b/>
          <w:bCs/>
          <w:color w:val="auto"/>
          <w:szCs w:val="21"/>
          <w:highlight w:val="none"/>
        </w:rPr>
        <w:t>发出之日起</w:t>
      </w:r>
      <w:r>
        <w:rPr>
          <w:rFonts w:hint="eastAsia" w:ascii="宋体" w:hAnsi="宋体" w:cs="宋体"/>
          <w:b/>
          <w:bCs/>
          <w:color w:val="auto"/>
          <w:szCs w:val="21"/>
          <w:highlight w:val="none"/>
          <w:lang w:eastAsia="zh-CN"/>
        </w:rPr>
        <w:t>八个工作</w:t>
      </w:r>
      <w:r>
        <w:rPr>
          <w:rFonts w:hint="eastAsia" w:ascii="宋体" w:hAnsi="宋体" w:eastAsia="宋体" w:cs="宋体"/>
          <w:b/>
          <w:bCs/>
          <w:color w:val="auto"/>
          <w:szCs w:val="21"/>
          <w:highlight w:val="none"/>
        </w:rPr>
        <w:t>日内签订合同。成交供应商领取成交通知书后，应按规定与采购人签订合同。</w:t>
      </w:r>
    </w:p>
    <w:p>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（1）成交后不与采购人签订合同的（不可抗力除外）；</w:t>
      </w:r>
    </w:p>
    <w:p>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（2）将成交项目转让给他人，或者在响应文件中未说明，且未经采购人同意，将成交项目分包给他人的；</w:t>
      </w:r>
    </w:p>
    <w:p>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29.3 合同备案存档：</w:t>
      </w:r>
      <w:r>
        <w:rPr>
          <w:rFonts w:hint="eastAsia" w:ascii="宋体" w:hAnsi="宋体" w:eastAsia="宋体" w:cs="宋体"/>
          <w:color w:val="auto"/>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宋体" w:hAnsi="宋体" w:cs="宋体"/>
          <w:color w:val="auto"/>
          <w:highlight w:val="none"/>
          <w:lang w:eastAsia="zh-CN"/>
        </w:rPr>
        <w:t>广西天罡工程项目管理有限公司</w:t>
      </w:r>
      <w:r>
        <w:rPr>
          <w:rFonts w:hint="eastAsia" w:ascii="宋体" w:hAnsi="宋体" w:eastAsia="宋体" w:cs="宋体"/>
          <w:color w:val="auto"/>
          <w:highlight w:val="none"/>
        </w:rPr>
        <w:t>存档。</w:t>
      </w:r>
    </w:p>
    <w:p>
      <w:pPr>
        <w:pStyle w:val="4"/>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b/>
          <w:bCs w:val="0"/>
          <w:color w:val="auto"/>
          <w:szCs w:val="28"/>
          <w:highlight w:val="none"/>
        </w:rPr>
      </w:pPr>
      <w:bookmarkStart w:id="129" w:name="_Toc16348"/>
      <w:bookmarkStart w:id="130" w:name="_Toc24170"/>
      <w:r>
        <w:rPr>
          <w:rFonts w:hint="eastAsia" w:ascii="宋体" w:hAnsi="宋体" w:eastAsia="宋体" w:cs="宋体"/>
          <w:b/>
          <w:bCs w:val="0"/>
          <w:color w:val="auto"/>
          <w:szCs w:val="28"/>
          <w:highlight w:val="none"/>
        </w:rPr>
        <w:t>六、其他事项</w:t>
      </w:r>
      <w:bookmarkEnd w:id="129"/>
      <w:bookmarkEnd w:id="130"/>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highlight w:val="none"/>
        </w:rPr>
      </w:pPr>
      <w:bookmarkStart w:id="131" w:name="_Toc2872"/>
      <w:bookmarkStart w:id="132" w:name="_Toc28647"/>
      <w:r>
        <w:rPr>
          <w:rFonts w:hint="eastAsia"/>
          <w:b/>
          <w:bCs/>
          <w:color w:val="auto"/>
          <w:highlight w:val="none"/>
        </w:rPr>
        <w:t>30. 采购代理服务费</w:t>
      </w:r>
      <w:bookmarkEnd w:id="131"/>
      <w:bookmarkEnd w:id="132"/>
    </w:p>
    <w:p>
      <w:pPr>
        <w:spacing w:line="380" w:lineRule="exact"/>
        <w:ind w:firstLine="420" w:firstLineChars="200"/>
        <w:rPr>
          <w:rFonts w:hint="eastAsia"/>
          <w:color w:val="auto"/>
          <w:szCs w:val="21"/>
          <w:highlight w:val="none"/>
        </w:rPr>
      </w:pPr>
      <w:bookmarkStart w:id="133" w:name="_Toc8271"/>
      <w:bookmarkStart w:id="134" w:name="_Toc12374"/>
      <w:r>
        <w:rPr>
          <w:rFonts w:hint="eastAsia" w:ascii="宋体" w:hAnsi="宋体"/>
          <w:color w:val="auto"/>
          <w:szCs w:val="21"/>
          <w:highlight w:val="none"/>
        </w:rPr>
        <w:t>3</w:t>
      </w:r>
      <w:r>
        <w:rPr>
          <w:rFonts w:hint="eastAsia" w:ascii="宋体" w:hAnsi="宋体"/>
          <w:color w:val="auto"/>
          <w:szCs w:val="21"/>
          <w:highlight w:val="none"/>
          <w:lang w:val="en-US" w:eastAsia="zh-CN"/>
        </w:rPr>
        <w:t>0</w:t>
      </w:r>
      <w:r>
        <w:rPr>
          <w:rFonts w:hint="eastAsia" w:ascii="宋体" w:hAnsi="宋体"/>
          <w:color w:val="auto"/>
          <w:szCs w:val="21"/>
          <w:highlight w:val="none"/>
        </w:rPr>
        <w:t>.1代理服务费：本项目代理服务费按本须知第30.2条“代理服务收费标准”中</w:t>
      </w:r>
      <w:r>
        <w:rPr>
          <w:rFonts w:hint="eastAsia" w:ascii="宋体" w:hAnsi="宋体"/>
          <w:color w:val="auto"/>
          <w:szCs w:val="21"/>
          <w:highlight w:val="none"/>
          <w:lang w:eastAsia="zh-CN"/>
        </w:rPr>
        <w:t>服务</w:t>
      </w:r>
      <w:r>
        <w:rPr>
          <w:rFonts w:hint="eastAsia" w:ascii="宋体" w:hAnsi="宋体"/>
          <w:color w:val="auto"/>
          <w:szCs w:val="21"/>
          <w:highlight w:val="none"/>
        </w:rPr>
        <w:t>类收费标准计算，由成交供应商在领取成交通知书前，向采购代理机构一次性支付（不足人民币</w:t>
      </w:r>
      <w:r>
        <w:rPr>
          <w:rFonts w:hint="eastAsia" w:ascii="宋体" w:hAnsi="宋体"/>
          <w:color w:val="auto"/>
          <w:szCs w:val="21"/>
          <w:highlight w:val="none"/>
          <w:lang w:val="en-US" w:eastAsia="zh-CN"/>
        </w:rPr>
        <w:t>6</w:t>
      </w:r>
      <w:r>
        <w:rPr>
          <w:rFonts w:hint="eastAsia" w:ascii="宋体" w:hAnsi="宋体"/>
          <w:color w:val="auto"/>
          <w:szCs w:val="21"/>
          <w:highlight w:val="none"/>
        </w:rPr>
        <w:t>000元的，按</w:t>
      </w:r>
      <w:r>
        <w:rPr>
          <w:rFonts w:hint="eastAsia" w:ascii="宋体" w:hAnsi="宋体"/>
          <w:color w:val="auto"/>
          <w:szCs w:val="21"/>
          <w:highlight w:val="none"/>
          <w:lang w:val="en-US" w:eastAsia="zh-CN"/>
        </w:rPr>
        <w:t>6</w:t>
      </w:r>
      <w:r>
        <w:rPr>
          <w:rFonts w:hint="eastAsia" w:ascii="宋体" w:hAnsi="宋体"/>
          <w:color w:val="auto"/>
          <w:szCs w:val="21"/>
          <w:highlight w:val="none"/>
        </w:rPr>
        <w:t>000元支付）。</w:t>
      </w:r>
    </w:p>
    <w:p>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30.2代理服务收费标准：</w:t>
      </w:r>
    </w:p>
    <w:tbl>
      <w:tblPr>
        <w:tblStyle w:val="24"/>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2880" w:type="dxa"/>
            <w:vAlign w:val="top"/>
          </w:tcPr>
          <w:p>
            <w:pPr>
              <w:pStyle w:val="16"/>
              <w:spacing w:line="380" w:lineRule="exact"/>
              <w:ind w:left="25"/>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5" name="直线 2"/>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gFT&#10;NNYAAAAIAQAADwAAAAAAAAABACAAAAAiAAAAZHJzL2Rvd25yZXYueG1sUEsBAhQAFAAAAAgAh07i&#10;QGaSiS7rAQAA4AMAAA4AAAAAAAAAAQAgAAAAJQEAAGRycy9lMm9Eb2MueG1sUEsFBgAAAAAGAAYA&#10;WQEAAIIFAAAAAA==&#10;">
                      <v:fill on="f" focussize="0,0"/>
                      <v:stroke color="#000000" joinstyle="round"/>
                      <v:imagedata o:title=""/>
                      <o:lock v:ext="edit" aspectratio="f"/>
                    </v:line>
                  </w:pict>
                </mc:Fallback>
              </mc:AlternateContent>
            </w:r>
            <w:r>
              <w:rPr>
                <w:rFonts w:hint="eastAsia" w:hAnsi="宋体"/>
                <w:color w:val="auto"/>
                <w:highlight w:val="none"/>
              </w:rPr>
              <w:t>费率           服务类型</w:t>
            </w:r>
          </w:p>
          <w:p>
            <w:pPr>
              <w:pStyle w:val="16"/>
              <w:spacing w:line="380" w:lineRule="exact"/>
              <w:ind w:left="25"/>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6" name="直线 3"/>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A6vRNYAAAAIAQAADwAAAAAAAAABACAAAAAiAAAAZHJzL2Rvd25yZXYueG1sUEsBAhQAFAAAAAgA&#10;h07iQNumqZbuAQAA4AMAAA4AAAAAAAAAAQAgAAAAJQEAAGRycy9lMm9Eb2MueG1sUEsFBgAAAAAG&#10;AAYAWQEAAIUFAAAAAA==&#10;">
                      <v:fill on="f" focussize="0,0"/>
                      <v:stroke color="#000000" joinstyle="round"/>
                      <v:imagedata o:title=""/>
                      <o:lock v:ext="edit" aspectratio="f"/>
                    </v:line>
                  </w:pict>
                </mc:Fallback>
              </mc:AlternateContent>
            </w:r>
          </w:p>
          <w:p>
            <w:pPr>
              <w:pStyle w:val="16"/>
              <w:spacing w:line="380" w:lineRule="exact"/>
              <w:ind w:left="25"/>
              <w:rPr>
                <w:rFonts w:hint="eastAsia" w:hAnsi="宋体"/>
                <w:color w:val="auto"/>
                <w:highlight w:val="none"/>
              </w:rPr>
            </w:pPr>
            <w:r>
              <w:rPr>
                <w:rFonts w:hint="eastAsia" w:hAnsi="宋体"/>
                <w:color w:val="auto"/>
                <w:highlight w:val="none"/>
              </w:rPr>
              <w:t>成交金额</w:t>
            </w:r>
          </w:p>
        </w:tc>
        <w:tc>
          <w:tcPr>
            <w:tcW w:w="1841" w:type="dxa"/>
            <w:vAlign w:val="center"/>
          </w:tcPr>
          <w:p>
            <w:pPr>
              <w:pStyle w:val="16"/>
              <w:spacing w:line="380" w:lineRule="exact"/>
              <w:ind w:left="25"/>
              <w:jc w:val="center"/>
              <w:rPr>
                <w:rFonts w:hint="eastAsia" w:hAnsi="宋体"/>
                <w:color w:val="auto"/>
                <w:highlight w:val="none"/>
              </w:rPr>
            </w:pPr>
            <w:r>
              <w:rPr>
                <w:rFonts w:hint="eastAsia" w:hAnsi="宋体"/>
                <w:color w:val="auto"/>
                <w:highlight w:val="none"/>
              </w:rPr>
              <w:t>货物采购</w:t>
            </w:r>
          </w:p>
        </w:tc>
        <w:tc>
          <w:tcPr>
            <w:tcW w:w="1992" w:type="dxa"/>
            <w:vAlign w:val="center"/>
          </w:tcPr>
          <w:p>
            <w:pPr>
              <w:pStyle w:val="16"/>
              <w:spacing w:line="380" w:lineRule="exact"/>
              <w:ind w:left="25"/>
              <w:jc w:val="center"/>
              <w:rPr>
                <w:rFonts w:hint="eastAsia" w:hAnsi="宋体"/>
                <w:color w:val="auto"/>
                <w:highlight w:val="none"/>
              </w:rPr>
            </w:pPr>
            <w:r>
              <w:rPr>
                <w:rFonts w:hint="eastAsia" w:hAnsi="宋体"/>
                <w:color w:val="auto"/>
                <w:highlight w:val="none"/>
              </w:rPr>
              <w:t>服务采购</w:t>
            </w:r>
          </w:p>
        </w:tc>
        <w:tc>
          <w:tcPr>
            <w:tcW w:w="2293" w:type="dxa"/>
            <w:vAlign w:val="center"/>
          </w:tcPr>
          <w:p>
            <w:pPr>
              <w:pStyle w:val="16"/>
              <w:spacing w:line="380" w:lineRule="exact"/>
              <w:ind w:left="25"/>
              <w:jc w:val="center"/>
              <w:rPr>
                <w:rFonts w:hint="eastAsia" w:hAnsi="宋体"/>
                <w:color w:val="auto"/>
                <w:highlight w:val="none"/>
              </w:rPr>
            </w:pPr>
            <w:r>
              <w:rPr>
                <w:rFonts w:hint="eastAsia" w:hAnsi="宋体"/>
                <w:color w:val="auto"/>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vAlign w:val="top"/>
          </w:tcPr>
          <w:p>
            <w:pPr>
              <w:pStyle w:val="16"/>
              <w:spacing w:line="380" w:lineRule="exact"/>
              <w:ind w:left="25"/>
              <w:rPr>
                <w:rFonts w:hint="eastAsia" w:hAnsi="宋体"/>
                <w:color w:val="auto"/>
                <w:highlight w:val="none"/>
              </w:rPr>
            </w:pPr>
            <w:r>
              <w:rPr>
                <w:rFonts w:hint="eastAsia" w:hAnsi="宋体"/>
                <w:color w:val="auto"/>
                <w:highlight w:val="none"/>
              </w:rPr>
              <w:t>100万元以下</w:t>
            </w:r>
          </w:p>
        </w:tc>
        <w:tc>
          <w:tcPr>
            <w:tcW w:w="1841" w:type="dxa"/>
            <w:vAlign w:val="top"/>
          </w:tcPr>
          <w:p>
            <w:pPr>
              <w:pStyle w:val="43"/>
              <w:spacing w:line="380" w:lineRule="exact"/>
              <w:ind w:left="25"/>
              <w:jc w:val="center"/>
              <w:rPr>
                <w:rFonts w:hint="eastAsia" w:ascii="宋体" w:hAnsi="宋体"/>
                <w:color w:val="auto"/>
                <w:highlight w:val="none"/>
              </w:rPr>
            </w:pPr>
            <w:r>
              <w:rPr>
                <w:rFonts w:hint="eastAsia" w:ascii="宋体" w:hAnsi="宋体"/>
                <w:color w:val="auto"/>
                <w:highlight w:val="none"/>
              </w:rPr>
              <w:t>1.5%</w:t>
            </w:r>
          </w:p>
        </w:tc>
        <w:tc>
          <w:tcPr>
            <w:tcW w:w="1992" w:type="dxa"/>
            <w:vAlign w:val="top"/>
          </w:tcPr>
          <w:p>
            <w:pPr>
              <w:pStyle w:val="43"/>
              <w:spacing w:line="380" w:lineRule="exact"/>
              <w:ind w:left="25"/>
              <w:jc w:val="center"/>
              <w:rPr>
                <w:rFonts w:hint="eastAsia" w:ascii="宋体" w:hAnsi="宋体"/>
                <w:color w:val="auto"/>
                <w:highlight w:val="none"/>
              </w:rPr>
            </w:pPr>
            <w:r>
              <w:rPr>
                <w:rFonts w:hint="eastAsia" w:ascii="宋体" w:hAnsi="宋体"/>
                <w:color w:val="auto"/>
                <w:highlight w:val="none"/>
              </w:rPr>
              <w:t>1.5%</w:t>
            </w:r>
          </w:p>
        </w:tc>
        <w:tc>
          <w:tcPr>
            <w:tcW w:w="2293" w:type="dxa"/>
            <w:vAlign w:val="top"/>
          </w:tcPr>
          <w:p>
            <w:pPr>
              <w:pStyle w:val="43"/>
              <w:spacing w:line="380" w:lineRule="exact"/>
              <w:ind w:left="25"/>
              <w:jc w:val="center"/>
              <w:rPr>
                <w:rFonts w:hint="eastAsia" w:ascii="宋体" w:hAnsi="宋体"/>
                <w:color w:val="auto"/>
                <w:highlight w:val="none"/>
              </w:rPr>
            </w:pPr>
            <w:r>
              <w:rPr>
                <w:rFonts w:hint="eastAsia" w:ascii="宋体" w:hAnsi="宋体"/>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vAlign w:val="top"/>
          </w:tcPr>
          <w:p>
            <w:pPr>
              <w:pStyle w:val="16"/>
              <w:spacing w:line="380" w:lineRule="exact"/>
              <w:ind w:left="25"/>
              <w:rPr>
                <w:rFonts w:hint="eastAsia" w:hAnsi="宋体"/>
                <w:color w:val="auto"/>
                <w:highlight w:val="none"/>
              </w:rPr>
            </w:pPr>
            <w:r>
              <w:rPr>
                <w:rFonts w:hint="eastAsia" w:hAnsi="宋体"/>
                <w:color w:val="auto"/>
                <w:highlight w:val="none"/>
              </w:rPr>
              <w:t>100～500万元</w:t>
            </w:r>
          </w:p>
        </w:tc>
        <w:tc>
          <w:tcPr>
            <w:tcW w:w="1841" w:type="dxa"/>
            <w:vAlign w:val="top"/>
          </w:tcPr>
          <w:p>
            <w:pPr>
              <w:pStyle w:val="43"/>
              <w:spacing w:line="380" w:lineRule="exact"/>
              <w:ind w:left="25"/>
              <w:jc w:val="center"/>
              <w:rPr>
                <w:rFonts w:hint="eastAsia" w:ascii="宋体" w:hAnsi="宋体"/>
                <w:color w:val="auto"/>
                <w:highlight w:val="none"/>
              </w:rPr>
            </w:pPr>
            <w:r>
              <w:rPr>
                <w:rFonts w:hint="eastAsia" w:ascii="宋体" w:hAnsi="宋体"/>
                <w:color w:val="auto"/>
                <w:highlight w:val="none"/>
              </w:rPr>
              <w:t>1.1%</w:t>
            </w:r>
          </w:p>
        </w:tc>
        <w:tc>
          <w:tcPr>
            <w:tcW w:w="1992" w:type="dxa"/>
            <w:vAlign w:val="top"/>
          </w:tcPr>
          <w:p>
            <w:pPr>
              <w:pStyle w:val="43"/>
              <w:spacing w:line="380" w:lineRule="exact"/>
              <w:ind w:left="25"/>
              <w:jc w:val="center"/>
              <w:rPr>
                <w:rFonts w:hint="eastAsia" w:ascii="宋体" w:hAnsi="宋体"/>
                <w:color w:val="auto"/>
                <w:highlight w:val="none"/>
              </w:rPr>
            </w:pPr>
            <w:r>
              <w:rPr>
                <w:rFonts w:hint="eastAsia" w:ascii="宋体" w:hAnsi="宋体"/>
                <w:color w:val="auto"/>
                <w:highlight w:val="none"/>
              </w:rPr>
              <w:t>0.8%</w:t>
            </w:r>
          </w:p>
        </w:tc>
        <w:tc>
          <w:tcPr>
            <w:tcW w:w="2293" w:type="dxa"/>
            <w:vAlign w:val="top"/>
          </w:tcPr>
          <w:p>
            <w:pPr>
              <w:pStyle w:val="43"/>
              <w:spacing w:line="380" w:lineRule="exact"/>
              <w:ind w:left="25"/>
              <w:jc w:val="center"/>
              <w:rPr>
                <w:rFonts w:hint="eastAsia" w:ascii="宋体" w:hAnsi="宋体"/>
                <w:color w:val="auto"/>
                <w:highlight w:val="none"/>
              </w:rPr>
            </w:pPr>
            <w:r>
              <w:rPr>
                <w:rFonts w:hint="eastAsia" w:ascii="宋体" w:hAnsi="宋体"/>
                <w:color w:val="auto"/>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vAlign w:val="top"/>
          </w:tcPr>
          <w:p>
            <w:pPr>
              <w:pStyle w:val="16"/>
              <w:spacing w:line="380" w:lineRule="exact"/>
              <w:ind w:left="25"/>
              <w:rPr>
                <w:rFonts w:hint="eastAsia" w:hAnsi="宋体"/>
                <w:color w:val="auto"/>
                <w:highlight w:val="none"/>
              </w:rPr>
            </w:pPr>
            <w:r>
              <w:rPr>
                <w:rFonts w:hint="eastAsia" w:hAnsi="宋体"/>
                <w:color w:val="auto"/>
                <w:highlight w:val="none"/>
              </w:rPr>
              <w:t>500～1000万元</w:t>
            </w:r>
          </w:p>
        </w:tc>
        <w:tc>
          <w:tcPr>
            <w:tcW w:w="1841" w:type="dxa"/>
            <w:vAlign w:val="top"/>
          </w:tcPr>
          <w:p>
            <w:pPr>
              <w:pStyle w:val="16"/>
              <w:spacing w:line="380" w:lineRule="exact"/>
              <w:ind w:left="25"/>
              <w:jc w:val="center"/>
              <w:rPr>
                <w:rFonts w:hint="eastAsia" w:hAnsi="宋体"/>
                <w:color w:val="auto"/>
                <w:highlight w:val="none"/>
              </w:rPr>
            </w:pPr>
            <w:r>
              <w:rPr>
                <w:rFonts w:hint="eastAsia" w:hAnsi="宋体"/>
                <w:color w:val="auto"/>
                <w:highlight w:val="none"/>
              </w:rPr>
              <w:t>0.8%</w:t>
            </w:r>
          </w:p>
        </w:tc>
        <w:tc>
          <w:tcPr>
            <w:tcW w:w="1992" w:type="dxa"/>
            <w:vAlign w:val="top"/>
          </w:tcPr>
          <w:p>
            <w:pPr>
              <w:pStyle w:val="16"/>
              <w:spacing w:line="380" w:lineRule="exact"/>
              <w:ind w:left="25"/>
              <w:jc w:val="center"/>
              <w:rPr>
                <w:rFonts w:hint="eastAsia" w:hAnsi="宋体"/>
                <w:color w:val="auto"/>
                <w:highlight w:val="none"/>
              </w:rPr>
            </w:pPr>
            <w:r>
              <w:rPr>
                <w:rFonts w:hint="eastAsia" w:hAnsi="宋体"/>
                <w:color w:val="auto"/>
                <w:highlight w:val="none"/>
              </w:rPr>
              <w:t>0.45%</w:t>
            </w:r>
          </w:p>
        </w:tc>
        <w:tc>
          <w:tcPr>
            <w:tcW w:w="2293" w:type="dxa"/>
            <w:vAlign w:val="top"/>
          </w:tcPr>
          <w:p>
            <w:pPr>
              <w:pStyle w:val="16"/>
              <w:spacing w:line="380" w:lineRule="exact"/>
              <w:ind w:left="25"/>
              <w:jc w:val="center"/>
              <w:rPr>
                <w:rFonts w:hint="eastAsia" w:hAnsi="宋体"/>
                <w:color w:val="auto"/>
                <w:highlight w:val="none"/>
              </w:rPr>
            </w:pPr>
            <w:r>
              <w:rPr>
                <w:rFonts w:hint="eastAsia" w:hAnsi="宋体"/>
                <w:color w:val="auto"/>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vAlign w:val="top"/>
          </w:tcPr>
          <w:p>
            <w:pPr>
              <w:pStyle w:val="16"/>
              <w:spacing w:line="380" w:lineRule="exact"/>
              <w:ind w:left="25"/>
              <w:rPr>
                <w:rFonts w:hint="eastAsia" w:hAnsi="宋体"/>
                <w:color w:val="auto"/>
                <w:highlight w:val="none"/>
              </w:rPr>
            </w:pPr>
            <w:r>
              <w:rPr>
                <w:rFonts w:hint="eastAsia" w:hAnsi="宋体"/>
                <w:color w:val="auto"/>
                <w:highlight w:val="none"/>
              </w:rPr>
              <w:t>1000～5000万元</w:t>
            </w:r>
          </w:p>
        </w:tc>
        <w:tc>
          <w:tcPr>
            <w:tcW w:w="1841" w:type="dxa"/>
            <w:vAlign w:val="top"/>
          </w:tcPr>
          <w:p>
            <w:pPr>
              <w:pStyle w:val="16"/>
              <w:spacing w:line="380" w:lineRule="exact"/>
              <w:ind w:left="25"/>
              <w:jc w:val="center"/>
              <w:rPr>
                <w:rFonts w:hint="eastAsia" w:hAnsi="宋体"/>
                <w:color w:val="auto"/>
                <w:highlight w:val="none"/>
              </w:rPr>
            </w:pPr>
            <w:r>
              <w:rPr>
                <w:rFonts w:hint="eastAsia" w:hAnsi="宋体"/>
                <w:color w:val="auto"/>
                <w:highlight w:val="none"/>
              </w:rPr>
              <w:t>0.5%</w:t>
            </w:r>
          </w:p>
        </w:tc>
        <w:tc>
          <w:tcPr>
            <w:tcW w:w="1992" w:type="dxa"/>
            <w:vAlign w:val="top"/>
          </w:tcPr>
          <w:p>
            <w:pPr>
              <w:pStyle w:val="16"/>
              <w:spacing w:line="380" w:lineRule="exact"/>
              <w:ind w:left="25"/>
              <w:jc w:val="center"/>
              <w:rPr>
                <w:rFonts w:hint="eastAsia" w:hAnsi="宋体"/>
                <w:color w:val="auto"/>
                <w:highlight w:val="none"/>
              </w:rPr>
            </w:pPr>
            <w:r>
              <w:rPr>
                <w:rFonts w:hint="eastAsia" w:hAnsi="宋体"/>
                <w:color w:val="auto"/>
                <w:highlight w:val="none"/>
              </w:rPr>
              <w:t>0.25%</w:t>
            </w:r>
          </w:p>
        </w:tc>
        <w:tc>
          <w:tcPr>
            <w:tcW w:w="2293" w:type="dxa"/>
            <w:vAlign w:val="top"/>
          </w:tcPr>
          <w:p>
            <w:pPr>
              <w:pStyle w:val="16"/>
              <w:spacing w:line="380" w:lineRule="exact"/>
              <w:ind w:left="25"/>
              <w:jc w:val="center"/>
              <w:rPr>
                <w:rFonts w:hint="eastAsia" w:hAnsi="宋体"/>
                <w:color w:val="auto"/>
                <w:highlight w:val="none"/>
              </w:rPr>
            </w:pPr>
            <w:r>
              <w:rPr>
                <w:rFonts w:hint="eastAsia" w:hAnsi="宋体"/>
                <w:color w:val="auto"/>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vAlign w:val="top"/>
          </w:tcPr>
          <w:p>
            <w:pPr>
              <w:pStyle w:val="16"/>
              <w:spacing w:line="380" w:lineRule="exact"/>
              <w:ind w:left="25"/>
              <w:rPr>
                <w:rFonts w:hint="eastAsia" w:hAnsi="宋体"/>
                <w:color w:val="auto"/>
                <w:highlight w:val="none"/>
              </w:rPr>
            </w:pPr>
            <w:r>
              <w:rPr>
                <w:rFonts w:hint="eastAsia" w:hAnsi="宋体"/>
                <w:color w:val="auto"/>
                <w:highlight w:val="none"/>
              </w:rPr>
              <w:t>5000万元～1亿元</w:t>
            </w:r>
          </w:p>
        </w:tc>
        <w:tc>
          <w:tcPr>
            <w:tcW w:w="1841" w:type="dxa"/>
            <w:vAlign w:val="top"/>
          </w:tcPr>
          <w:p>
            <w:pPr>
              <w:pStyle w:val="16"/>
              <w:spacing w:line="380" w:lineRule="exact"/>
              <w:ind w:left="25"/>
              <w:jc w:val="center"/>
              <w:rPr>
                <w:rFonts w:hint="eastAsia" w:hAnsi="宋体"/>
                <w:color w:val="auto"/>
                <w:highlight w:val="none"/>
              </w:rPr>
            </w:pPr>
            <w:r>
              <w:rPr>
                <w:rFonts w:hint="eastAsia" w:hAnsi="宋体"/>
                <w:color w:val="auto"/>
                <w:highlight w:val="none"/>
              </w:rPr>
              <w:t>0.25%</w:t>
            </w:r>
          </w:p>
        </w:tc>
        <w:tc>
          <w:tcPr>
            <w:tcW w:w="1992" w:type="dxa"/>
            <w:vAlign w:val="top"/>
          </w:tcPr>
          <w:p>
            <w:pPr>
              <w:pStyle w:val="16"/>
              <w:spacing w:line="380" w:lineRule="exact"/>
              <w:ind w:left="25"/>
              <w:jc w:val="center"/>
              <w:rPr>
                <w:rFonts w:hint="eastAsia" w:hAnsi="宋体"/>
                <w:color w:val="auto"/>
                <w:highlight w:val="none"/>
              </w:rPr>
            </w:pPr>
            <w:r>
              <w:rPr>
                <w:rFonts w:hint="eastAsia" w:hAnsi="宋体"/>
                <w:color w:val="auto"/>
                <w:highlight w:val="none"/>
              </w:rPr>
              <w:t>0.1%</w:t>
            </w:r>
          </w:p>
        </w:tc>
        <w:tc>
          <w:tcPr>
            <w:tcW w:w="2293" w:type="dxa"/>
            <w:vAlign w:val="top"/>
          </w:tcPr>
          <w:p>
            <w:pPr>
              <w:pStyle w:val="16"/>
              <w:spacing w:line="380" w:lineRule="exact"/>
              <w:ind w:left="25"/>
              <w:jc w:val="center"/>
              <w:rPr>
                <w:rFonts w:hint="eastAsia" w:hAnsi="宋体"/>
                <w:color w:val="auto"/>
                <w:highlight w:val="none"/>
              </w:rPr>
            </w:pPr>
            <w:r>
              <w:rPr>
                <w:rFonts w:hint="eastAsia" w:hAnsi="宋体"/>
                <w:color w:val="auto"/>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vAlign w:val="top"/>
          </w:tcPr>
          <w:p>
            <w:pPr>
              <w:pStyle w:val="16"/>
              <w:spacing w:line="380" w:lineRule="exact"/>
              <w:ind w:left="25"/>
              <w:rPr>
                <w:rFonts w:hint="eastAsia" w:hAnsi="宋体"/>
                <w:color w:val="auto"/>
                <w:highlight w:val="none"/>
              </w:rPr>
            </w:pPr>
            <w:r>
              <w:rPr>
                <w:rFonts w:hint="eastAsia" w:hAnsi="宋体"/>
                <w:color w:val="auto"/>
                <w:highlight w:val="none"/>
              </w:rPr>
              <w:t>1～5亿元</w:t>
            </w:r>
          </w:p>
        </w:tc>
        <w:tc>
          <w:tcPr>
            <w:tcW w:w="1841" w:type="dxa"/>
            <w:vAlign w:val="top"/>
          </w:tcPr>
          <w:p>
            <w:pPr>
              <w:pStyle w:val="16"/>
              <w:spacing w:line="380" w:lineRule="exact"/>
              <w:ind w:left="25"/>
              <w:jc w:val="center"/>
              <w:rPr>
                <w:rFonts w:hint="eastAsia" w:hAnsi="宋体"/>
                <w:color w:val="auto"/>
                <w:highlight w:val="none"/>
              </w:rPr>
            </w:pPr>
            <w:r>
              <w:rPr>
                <w:rFonts w:hint="eastAsia" w:hAnsi="宋体"/>
                <w:color w:val="auto"/>
                <w:highlight w:val="none"/>
              </w:rPr>
              <w:t>0.05%</w:t>
            </w:r>
          </w:p>
        </w:tc>
        <w:tc>
          <w:tcPr>
            <w:tcW w:w="1992" w:type="dxa"/>
            <w:vAlign w:val="top"/>
          </w:tcPr>
          <w:p>
            <w:pPr>
              <w:pStyle w:val="16"/>
              <w:spacing w:line="380" w:lineRule="exact"/>
              <w:ind w:left="25"/>
              <w:jc w:val="center"/>
              <w:rPr>
                <w:rFonts w:hint="eastAsia" w:hAnsi="宋体"/>
                <w:color w:val="auto"/>
                <w:highlight w:val="none"/>
              </w:rPr>
            </w:pPr>
            <w:r>
              <w:rPr>
                <w:rFonts w:hint="eastAsia" w:hAnsi="宋体"/>
                <w:color w:val="auto"/>
                <w:highlight w:val="none"/>
              </w:rPr>
              <w:t>0.05%</w:t>
            </w:r>
          </w:p>
        </w:tc>
        <w:tc>
          <w:tcPr>
            <w:tcW w:w="2293" w:type="dxa"/>
            <w:vAlign w:val="top"/>
          </w:tcPr>
          <w:p>
            <w:pPr>
              <w:pStyle w:val="16"/>
              <w:spacing w:line="380" w:lineRule="exact"/>
              <w:ind w:left="25"/>
              <w:jc w:val="center"/>
              <w:rPr>
                <w:rFonts w:hint="eastAsia" w:hAnsi="宋体"/>
                <w:color w:val="auto"/>
                <w:highlight w:val="none"/>
              </w:rPr>
            </w:pPr>
            <w:r>
              <w:rPr>
                <w:rFonts w:hint="eastAsia" w:hAnsi="宋体"/>
                <w:color w:val="auto"/>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vAlign w:val="top"/>
          </w:tcPr>
          <w:p>
            <w:pPr>
              <w:pStyle w:val="16"/>
              <w:spacing w:line="380" w:lineRule="exact"/>
              <w:ind w:left="25"/>
              <w:rPr>
                <w:rFonts w:hint="eastAsia" w:hAnsi="宋体"/>
                <w:color w:val="auto"/>
                <w:highlight w:val="none"/>
              </w:rPr>
            </w:pPr>
            <w:r>
              <w:rPr>
                <w:rFonts w:hint="eastAsia" w:hAnsi="宋体"/>
                <w:color w:val="auto"/>
                <w:highlight w:val="none"/>
              </w:rPr>
              <w:t>5～10亿元</w:t>
            </w:r>
          </w:p>
        </w:tc>
        <w:tc>
          <w:tcPr>
            <w:tcW w:w="1841" w:type="dxa"/>
            <w:vAlign w:val="top"/>
          </w:tcPr>
          <w:p>
            <w:pPr>
              <w:pStyle w:val="16"/>
              <w:spacing w:line="380" w:lineRule="exact"/>
              <w:ind w:left="25"/>
              <w:jc w:val="center"/>
              <w:rPr>
                <w:rFonts w:hint="eastAsia" w:hAnsi="宋体"/>
                <w:color w:val="auto"/>
                <w:highlight w:val="none"/>
              </w:rPr>
            </w:pPr>
            <w:r>
              <w:rPr>
                <w:rFonts w:hint="eastAsia" w:hAnsi="宋体"/>
                <w:color w:val="auto"/>
                <w:highlight w:val="none"/>
              </w:rPr>
              <w:t>0.035%</w:t>
            </w:r>
          </w:p>
        </w:tc>
        <w:tc>
          <w:tcPr>
            <w:tcW w:w="1992" w:type="dxa"/>
            <w:vAlign w:val="top"/>
          </w:tcPr>
          <w:p>
            <w:pPr>
              <w:pStyle w:val="16"/>
              <w:spacing w:line="380" w:lineRule="exact"/>
              <w:ind w:left="25"/>
              <w:jc w:val="center"/>
              <w:rPr>
                <w:rFonts w:hint="eastAsia" w:hAnsi="宋体"/>
                <w:color w:val="auto"/>
                <w:highlight w:val="none"/>
              </w:rPr>
            </w:pPr>
            <w:r>
              <w:rPr>
                <w:rFonts w:hint="eastAsia" w:hAnsi="宋体"/>
                <w:color w:val="auto"/>
                <w:highlight w:val="none"/>
              </w:rPr>
              <w:t>0.035%</w:t>
            </w:r>
          </w:p>
        </w:tc>
        <w:tc>
          <w:tcPr>
            <w:tcW w:w="2293" w:type="dxa"/>
            <w:vAlign w:val="top"/>
          </w:tcPr>
          <w:p>
            <w:pPr>
              <w:pStyle w:val="16"/>
              <w:spacing w:line="380" w:lineRule="exact"/>
              <w:ind w:left="25"/>
              <w:jc w:val="center"/>
              <w:rPr>
                <w:rFonts w:hAnsi="宋体"/>
                <w:color w:val="auto"/>
                <w:highlight w:val="none"/>
              </w:rPr>
            </w:pPr>
            <w:r>
              <w:rPr>
                <w:rFonts w:hint="eastAsia" w:hAnsi="宋体"/>
                <w:color w:val="auto"/>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vAlign w:val="top"/>
          </w:tcPr>
          <w:p>
            <w:pPr>
              <w:pStyle w:val="16"/>
              <w:spacing w:line="380" w:lineRule="exact"/>
              <w:ind w:left="25"/>
              <w:rPr>
                <w:rFonts w:hint="eastAsia" w:hAnsi="宋体"/>
                <w:color w:val="auto"/>
                <w:highlight w:val="none"/>
              </w:rPr>
            </w:pPr>
            <w:r>
              <w:rPr>
                <w:rFonts w:hint="eastAsia" w:hAnsi="宋体"/>
                <w:color w:val="auto"/>
                <w:highlight w:val="none"/>
              </w:rPr>
              <w:t>10～50亿元</w:t>
            </w:r>
          </w:p>
        </w:tc>
        <w:tc>
          <w:tcPr>
            <w:tcW w:w="1841" w:type="dxa"/>
            <w:vAlign w:val="top"/>
          </w:tcPr>
          <w:p>
            <w:pPr>
              <w:pStyle w:val="16"/>
              <w:spacing w:line="380" w:lineRule="exact"/>
              <w:ind w:left="25"/>
              <w:jc w:val="center"/>
              <w:rPr>
                <w:rFonts w:hint="eastAsia" w:hAnsi="宋体"/>
                <w:color w:val="auto"/>
                <w:highlight w:val="none"/>
              </w:rPr>
            </w:pPr>
            <w:r>
              <w:rPr>
                <w:rFonts w:hint="eastAsia" w:hAnsi="宋体"/>
                <w:color w:val="auto"/>
                <w:highlight w:val="none"/>
              </w:rPr>
              <w:t>0.008%</w:t>
            </w:r>
          </w:p>
        </w:tc>
        <w:tc>
          <w:tcPr>
            <w:tcW w:w="1992" w:type="dxa"/>
            <w:vAlign w:val="top"/>
          </w:tcPr>
          <w:p>
            <w:pPr>
              <w:pStyle w:val="16"/>
              <w:spacing w:line="380" w:lineRule="exact"/>
              <w:ind w:left="25"/>
              <w:jc w:val="center"/>
              <w:rPr>
                <w:rFonts w:hAnsi="宋体"/>
                <w:color w:val="auto"/>
                <w:highlight w:val="none"/>
              </w:rPr>
            </w:pPr>
            <w:r>
              <w:rPr>
                <w:rFonts w:hint="eastAsia" w:hAnsi="宋体"/>
                <w:color w:val="auto"/>
                <w:highlight w:val="none"/>
              </w:rPr>
              <w:t>0.008%</w:t>
            </w:r>
          </w:p>
        </w:tc>
        <w:tc>
          <w:tcPr>
            <w:tcW w:w="2293" w:type="dxa"/>
            <w:vAlign w:val="top"/>
          </w:tcPr>
          <w:p>
            <w:pPr>
              <w:pStyle w:val="16"/>
              <w:spacing w:line="380" w:lineRule="exact"/>
              <w:ind w:left="25"/>
              <w:jc w:val="center"/>
              <w:rPr>
                <w:rFonts w:hAnsi="宋体"/>
                <w:color w:val="auto"/>
                <w:highlight w:val="none"/>
              </w:rPr>
            </w:pPr>
            <w:r>
              <w:rPr>
                <w:rFonts w:hint="eastAsia" w:hAnsi="宋体"/>
                <w:color w:val="auto"/>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vAlign w:val="top"/>
          </w:tcPr>
          <w:p>
            <w:pPr>
              <w:pStyle w:val="16"/>
              <w:spacing w:line="380" w:lineRule="exact"/>
              <w:ind w:left="25"/>
              <w:rPr>
                <w:rFonts w:hint="eastAsia" w:hAnsi="宋体"/>
                <w:color w:val="auto"/>
                <w:highlight w:val="none"/>
              </w:rPr>
            </w:pPr>
            <w:r>
              <w:rPr>
                <w:rFonts w:hint="eastAsia" w:hAnsi="宋体"/>
                <w:color w:val="auto"/>
                <w:highlight w:val="none"/>
              </w:rPr>
              <w:t>50～100亿元</w:t>
            </w:r>
          </w:p>
        </w:tc>
        <w:tc>
          <w:tcPr>
            <w:tcW w:w="1841" w:type="dxa"/>
            <w:vAlign w:val="top"/>
          </w:tcPr>
          <w:p>
            <w:pPr>
              <w:pStyle w:val="16"/>
              <w:spacing w:line="380" w:lineRule="exact"/>
              <w:ind w:left="25"/>
              <w:jc w:val="center"/>
              <w:rPr>
                <w:rFonts w:hint="eastAsia" w:hAnsi="宋体"/>
                <w:color w:val="auto"/>
                <w:highlight w:val="none"/>
              </w:rPr>
            </w:pPr>
            <w:r>
              <w:rPr>
                <w:rFonts w:hint="eastAsia" w:hAnsi="宋体"/>
                <w:color w:val="auto"/>
                <w:highlight w:val="none"/>
              </w:rPr>
              <w:t>0.006%</w:t>
            </w:r>
          </w:p>
        </w:tc>
        <w:tc>
          <w:tcPr>
            <w:tcW w:w="1992" w:type="dxa"/>
            <w:vAlign w:val="top"/>
          </w:tcPr>
          <w:p>
            <w:pPr>
              <w:pStyle w:val="16"/>
              <w:spacing w:line="380" w:lineRule="exact"/>
              <w:ind w:left="25"/>
              <w:jc w:val="center"/>
              <w:rPr>
                <w:rFonts w:hAnsi="宋体"/>
                <w:color w:val="auto"/>
                <w:highlight w:val="none"/>
              </w:rPr>
            </w:pPr>
            <w:r>
              <w:rPr>
                <w:rFonts w:hint="eastAsia" w:hAnsi="宋体"/>
                <w:color w:val="auto"/>
                <w:highlight w:val="none"/>
              </w:rPr>
              <w:t>0.006%</w:t>
            </w:r>
          </w:p>
        </w:tc>
        <w:tc>
          <w:tcPr>
            <w:tcW w:w="2293" w:type="dxa"/>
            <w:vAlign w:val="top"/>
          </w:tcPr>
          <w:p>
            <w:pPr>
              <w:pStyle w:val="16"/>
              <w:spacing w:line="380" w:lineRule="exact"/>
              <w:ind w:left="25"/>
              <w:jc w:val="center"/>
              <w:rPr>
                <w:rFonts w:hAnsi="宋体"/>
                <w:color w:val="auto"/>
                <w:highlight w:val="none"/>
              </w:rPr>
            </w:pPr>
            <w:r>
              <w:rPr>
                <w:rFonts w:hint="eastAsia" w:hAnsi="宋体"/>
                <w:color w:val="auto"/>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vAlign w:val="top"/>
          </w:tcPr>
          <w:p>
            <w:pPr>
              <w:pStyle w:val="16"/>
              <w:spacing w:line="380" w:lineRule="exact"/>
              <w:ind w:left="25"/>
              <w:rPr>
                <w:rFonts w:hint="eastAsia" w:hAnsi="宋体"/>
                <w:color w:val="auto"/>
                <w:highlight w:val="none"/>
              </w:rPr>
            </w:pPr>
            <w:r>
              <w:rPr>
                <w:rFonts w:hint="eastAsia" w:hAnsi="宋体"/>
                <w:color w:val="auto"/>
                <w:highlight w:val="none"/>
              </w:rPr>
              <w:t>100亿以上</w:t>
            </w:r>
          </w:p>
        </w:tc>
        <w:tc>
          <w:tcPr>
            <w:tcW w:w="1841" w:type="dxa"/>
            <w:vAlign w:val="top"/>
          </w:tcPr>
          <w:p>
            <w:pPr>
              <w:pStyle w:val="16"/>
              <w:spacing w:line="380" w:lineRule="exact"/>
              <w:ind w:left="25"/>
              <w:jc w:val="center"/>
              <w:rPr>
                <w:rFonts w:hint="eastAsia" w:hAnsi="宋体"/>
                <w:color w:val="auto"/>
                <w:highlight w:val="none"/>
              </w:rPr>
            </w:pPr>
            <w:r>
              <w:rPr>
                <w:rFonts w:hint="eastAsia" w:hAnsi="宋体"/>
                <w:color w:val="auto"/>
                <w:highlight w:val="none"/>
              </w:rPr>
              <w:t>0.004%</w:t>
            </w:r>
          </w:p>
        </w:tc>
        <w:tc>
          <w:tcPr>
            <w:tcW w:w="1992" w:type="dxa"/>
            <w:vAlign w:val="top"/>
          </w:tcPr>
          <w:p>
            <w:pPr>
              <w:pStyle w:val="16"/>
              <w:spacing w:line="380" w:lineRule="exact"/>
              <w:ind w:left="25"/>
              <w:jc w:val="center"/>
              <w:rPr>
                <w:rFonts w:hAnsi="宋体"/>
                <w:color w:val="auto"/>
                <w:highlight w:val="none"/>
              </w:rPr>
            </w:pPr>
            <w:r>
              <w:rPr>
                <w:rFonts w:hint="eastAsia" w:hAnsi="宋体"/>
                <w:color w:val="auto"/>
                <w:highlight w:val="none"/>
              </w:rPr>
              <w:t>0.004%</w:t>
            </w:r>
          </w:p>
        </w:tc>
        <w:tc>
          <w:tcPr>
            <w:tcW w:w="2293" w:type="dxa"/>
            <w:vAlign w:val="top"/>
          </w:tcPr>
          <w:p>
            <w:pPr>
              <w:pStyle w:val="16"/>
              <w:spacing w:line="380" w:lineRule="exact"/>
              <w:ind w:left="25"/>
              <w:jc w:val="center"/>
              <w:rPr>
                <w:rFonts w:hAnsi="宋体"/>
                <w:color w:val="auto"/>
                <w:highlight w:val="none"/>
              </w:rPr>
            </w:pPr>
            <w:r>
              <w:rPr>
                <w:rFonts w:hint="eastAsia" w:hAnsi="宋体"/>
                <w:color w:val="auto"/>
                <w:highlight w:val="none"/>
              </w:rPr>
              <w:t>0.004%</w:t>
            </w:r>
          </w:p>
        </w:tc>
      </w:tr>
    </w:tbl>
    <w:p>
      <w:pPr>
        <w:pStyle w:val="16"/>
        <w:spacing w:line="380" w:lineRule="exact"/>
        <w:ind w:left="25"/>
        <w:rPr>
          <w:rFonts w:hint="eastAsia" w:hAnsi="宋体"/>
          <w:color w:val="auto"/>
          <w:highlight w:val="none"/>
        </w:rPr>
      </w:pPr>
      <w:r>
        <w:rPr>
          <w:rFonts w:hint="eastAsia" w:hAnsi="宋体"/>
          <w:color w:val="auto"/>
          <w:highlight w:val="none"/>
        </w:rPr>
        <w:t>注：代理服务收费按差额定率累进法计算。</w:t>
      </w:r>
    </w:p>
    <w:p>
      <w:pPr>
        <w:spacing w:line="380" w:lineRule="exact"/>
        <w:ind w:firstLine="422" w:firstLineChars="200"/>
        <w:rPr>
          <w:rFonts w:hint="eastAsia" w:ascii="宋体" w:hAnsi="宋体"/>
          <w:b/>
          <w:color w:val="auto"/>
          <w:highlight w:val="none"/>
        </w:rPr>
      </w:pPr>
      <w:r>
        <w:rPr>
          <w:rFonts w:hint="eastAsia" w:ascii="宋体" w:hAnsi="宋体"/>
          <w:b/>
          <w:color w:val="auto"/>
          <w:highlight w:val="none"/>
        </w:rPr>
        <w:t>采购代理机构银行账户：</w:t>
      </w:r>
    </w:p>
    <w:p>
      <w:pPr>
        <w:spacing w:line="380" w:lineRule="exact"/>
        <w:ind w:firstLine="42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账户名称：广西天罡工程项目管理有限公司</w:t>
      </w:r>
    </w:p>
    <w:p>
      <w:pPr>
        <w:spacing w:line="380" w:lineRule="exact"/>
        <w:ind w:firstLine="42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开户银行：</w:t>
      </w:r>
      <w:r>
        <w:rPr>
          <w:rFonts w:hint="default" w:ascii="宋体" w:hAnsi="宋体" w:eastAsia="宋体" w:cs="宋体"/>
          <w:b w:val="0"/>
          <w:bCs/>
          <w:color w:val="auto"/>
          <w:highlight w:val="none"/>
          <w:lang w:val="en-US" w:eastAsia="zh-CN"/>
        </w:rPr>
        <w:t>中国建设银行股份有限公司南宁安吉路支行</w:t>
      </w:r>
    </w:p>
    <w:p>
      <w:pPr>
        <w:rPr>
          <w:rFonts w:hint="eastAsia"/>
          <w:color w:val="auto"/>
          <w:highlight w:val="none"/>
        </w:rPr>
      </w:pPr>
      <w:r>
        <w:rPr>
          <w:rFonts w:hint="eastAsia" w:ascii="宋体" w:hAnsi="宋体" w:eastAsia="宋体" w:cs="宋体"/>
          <w:b w:val="0"/>
          <w:bCs/>
          <w:color w:val="auto"/>
          <w:highlight w:val="none"/>
          <w:lang w:val="en-US" w:eastAsia="zh-CN"/>
        </w:rPr>
        <w:t xml:space="preserve">    </w:t>
      </w:r>
      <w:r>
        <w:rPr>
          <w:rFonts w:hint="eastAsia" w:ascii="宋体" w:hAnsi="宋体" w:eastAsia="宋体" w:cs="宋体"/>
          <w:b w:val="0"/>
          <w:bCs/>
          <w:color w:val="auto"/>
          <w:highlight w:val="none"/>
        </w:rPr>
        <w:t>银行账号：</w:t>
      </w:r>
      <w:r>
        <w:rPr>
          <w:rFonts w:hint="default" w:ascii="宋体" w:hAnsi="宋体" w:eastAsia="宋体" w:cs="宋体"/>
          <w:b w:val="0"/>
          <w:bCs/>
          <w:color w:val="auto"/>
          <w:highlight w:val="none"/>
          <w:lang w:val="en-US" w:eastAsia="zh-CN"/>
        </w:rPr>
        <w:t>4505 0160 4771 0966 9988</w:t>
      </w:r>
      <w:r>
        <w:rPr>
          <w:rFonts w:hint="eastAsia" w:hAnsi="宋体"/>
          <w:color w:val="auto"/>
          <w:highlight w:val="none"/>
        </w:rPr>
        <w:t xml:space="preserve">           </w:t>
      </w:r>
    </w:p>
    <w:p>
      <w:pPr>
        <w:keepNext w:val="0"/>
        <w:keepLines w:val="0"/>
        <w:pageBreakBefore w:val="0"/>
        <w:widowControl w:val="0"/>
        <w:numPr>
          <w:ilvl w:val="0"/>
          <w:numId w:val="7"/>
        </w:numPr>
        <w:kinsoku/>
        <w:wordWrap/>
        <w:overflowPunct/>
        <w:topLinePunct w:val="0"/>
        <w:autoSpaceDE/>
        <w:autoSpaceDN/>
        <w:bidi w:val="0"/>
        <w:adjustRightInd/>
        <w:spacing w:line="288" w:lineRule="auto"/>
        <w:ind w:firstLine="422" w:firstLineChars="200"/>
        <w:textAlignment w:val="auto"/>
        <w:rPr>
          <w:rFonts w:hint="eastAsia"/>
          <w:color w:val="auto"/>
          <w:highlight w:val="none"/>
        </w:rPr>
      </w:pPr>
      <w:r>
        <w:rPr>
          <w:rStyle w:val="41"/>
          <w:rFonts w:hint="eastAsia" w:ascii="宋体" w:hAnsi="宋体" w:eastAsia="宋体" w:cs="宋体"/>
          <w:color w:val="auto"/>
          <w:sz w:val="21"/>
          <w:szCs w:val="21"/>
          <w:highlight w:val="none"/>
        </w:rPr>
        <w:t>解释权</w:t>
      </w:r>
      <w:bookmarkEnd w:id="133"/>
      <w:bookmarkEnd w:id="134"/>
      <w:r>
        <w:rPr>
          <w:rFonts w:hint="eastAsia" w:ascii="宋体" w:hAnsi="宋体" w:eastAsia="宋体" w:cs="宋体"/>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pPr>
        <w:keepNext w:val="0"/>
        <w:keepLines w:val="0"/>
        <w:pageBreakBefore w:val="0"/>
        <w:widowControl w:val="0"/>
        <w:kinsoku/>
        <w:wordWrap/>
        <w:overflowPunct/>
        <w:topLinePunct w:val="0"/>
        <w:autoSpaceDE/>
        <w:autoSpaceDN/>
        <w:bidi w:val="0"/>
        <w:adjustRightInd/>
        <w:spacing w:line="360" w:lineRule="exact"/>
        <w:ind w:firstLine="0" w:firstLineChars="0"/>
        <w:textAlignment w:val="auto"/>
        <w:rPr>
          <w:rFonts w:ascii="宋体" w:hAnsi="宋体" w:cs="宋体"/>
          <w:color w:val="auto"/>
          <w:kern w:val="0"/>
          <w:sz w:val="21"/>
          <w:szCs w:val="21"/>
          <w:highlight w:val="none"/>
          <w:lang w:val="en-US"/>
        </w:rPr>
      </w:pPr>
      <w:bookmarkStart w:id="135" w:name="_Toc24443"/>
      <w:r>
        <w:rPr>
          <w:rStyle w:val="41"/>
          <w:rFonts w:hint="eastAsia" w:ascii="宋体" w:hAnsi="宋体" w:cs="宋体"/>
          <w:color w:val="auto"/>
          <w:sz w:val="21"/>
          <w:szCs w:val="21"/>
          <w:highlight w:val="none"/>
          <w:lang w:val="en-US" w:eastAsia="zh-CN"/>
        </w:rPr>
        <w:t xml:space="preserve">    </w:t>
      </w:r>
      <w:r>
        <w:rPr>
          <w:rStyle w:val="41"/>
          <w:rFonts w:hint="eastAsia" w:ascii="宋体" w:hAnsi="宋体" w:eastAsia="宋体" w:cs="宋体"/>
          <w:color w:val="auto"/>
          <w:sz w:val="21"/>
          <w:szCs w:val="21"/>
          <w:highlight w:val="none"/>
        </w:rPr>
        <w:t>32. 监督管理机构</w:t>
      </w:r>
      <w:bookmarkEnd w:id="135"/>
      <w:r>
        <w:rPr>
          <w:rFonts w:hint="eastAsia" w:ascii="宋体" w:hAnsi="宋体" w:eastAsia="宋体" w:cs="宋体"/>
          <w:color w:val="auto"/>
          <w:szCs w:val="21"/>
          <w:highlight w:val="none"/>
        </w:rPr>
        <w:t>：</w:t>
      </w:r>
      <w:r>
        <w:rPr>
          <w:rFonts w:hint="eastAsia" w:ascii="宋体" w:hAnsi="宋体" w:cs="宋体"/>
          <w:b w:val="0"/>
          <w:color w:val="auto"/>
          <w:sz w:val="20"/>
          <w:szCs w:val="20"/>
          <w:highlight w:val="none"/>
          <w:lang w:eastAsia="zh-CN"/>
        </w:rPr>
        <w:t>广西壮族自治区政府采购监督管理处</w:t>
      </w:r>
      <w:r>
        <w:rPr>
          <w:rFonts w:hint="eastAsia" w:ascii="宋体" w:hAnsi="宋体" w:cs="宋体"/>
          <w:color w:val="auto"/>
          <w:kern w:val="0"/>
          <w:sz w:val="21"/>
          <w:szCs w:val="21"/>
          <w:highlight w:val="none"/>
        </w:rPr>
        <w:t xml:space="preserve">       联系电话：</w:t>
      </w:r>
      <w:r>
        <w:rPr>
          <w:rFonts w:hint="eastAsia" w:ascii="宋体" w:hAnsi="宋体" w:cs="宋体"/>
          <w:color w:val="auto"/>
          <w:kern w:val="0"/>
          <w:sz w:val="21"/>
          <w:szCs w:val="21"/>
          <w:highlight w:val="none"/>
          <w:lang w:eastAsia="zh-CN"/>
        </w:rPr>
        <w:t>0771-5339851</w:t>
      </w:r>
    </w:p>
    <w:p>
      <w:pPr>
        <w:pStyle w:val="11"/>
        <w:numPr>
          <w:ilvl w:val="0"/>
          <w:numId w:val="0"/>
        </w:numPr>
        <w:ind w:leftChars="400"/>
        <w:rPr>
          <w:rFonts w:hint="eastAsia"/>
          <w:color w:val="auto"/>
          <w:highlight w:val="none"/>
        </w:rPr>
      </w:pPr>
      <w:bookmarkStart w:id="136" w:name="_Toc29649"/>
      <w:bookmarkStart w:id="137" w:name="_Toc10892"/>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ind w:leftChars="400"/>
        <w:rPr>
          <w:rFonts w:hint="eastAsia"/>
          <w:color w:val="auto"/>
          <w:highlight w:val="none"/>
        </w:rPr>
      </w:pPr>
    </w:p>
    <w:p>
      <w:pPr>
        <w:pStyle w:val="11"/>
        <w:numPr>
          <w:ilvl w:val="0"/>
          <w:numId w:val="0"/>
        </w:numPr>
        <w:rPr>
          <w:rFonts w:hint="eastAsia"/>
          <w:color w:val="auto"/>
          <w:highlight w:val="none"/>
        </w:rPr>
      </w:pPr>
    </w:p>
    <w:p>
      <w:pPr>
        <w:pStyle w:val="3"/>
        <w:bidi w:val="0"/>
        <w:jc w:val="both"/>
        <w:rPr>
          <w:rFonts w:hint="eastAsia"/>
          <w:color w:val="auto"/>
          <w:highlight w:val="none"/>
          <w:lang w:eastAsia="zh-CN"/>
        </w:rPr>
      </w:pPr>
    </w:p>
    <w:p>
      <w:pPr>
        <w:rPr>
          <w:rFonts w:hint="eastAsia"/>
          <w:color w:val="auto"/>
          <w:highlight w:val="none"/>
          <w:lang w:eastAsia="zh-CN"/>
        </w:rPr>
      </w:pPr>
    </w:p>
    <w:p>
      <w:pPr>
        <w:pStyle w:val="17"/>
        <w:rPr>
          <w:rFonts w:hint="eastAsia"/>
          <w:color w:val="auto"/>
          <w:highlight w:val="none"/>
          <w:lang w:eastAsia="zh-CN"/>
        </w:rPr>
      </w:pPr>
    </w:p>
    <w:p>
      <w:pPr>
        <w:pStyle w:val="3"/>
        <w:adjustRightInd w:val="0"/>
        <w:snapToGrid w:val="0"/>
        <w:spacing w:line="440" w:lineRule="exact"/>
        <w:ind w:firstLine="1084" w:firstLineChars="300"/>
        <w:rPr>
          <w:rFonts w:hint="eastAsia" w:eastAsia="宋体"/>
          <w:color w:val="auto"/>
          <w:highlight w:val="none"/>
          <w:lang w:eastAsia="zh-CN"/>
        </w:rPr>
      </w:pPr>
      <w:bookmarkStart w:id="138" w:name="_Toc22353"/>
      <w:bookmarkStart w:id="139" w:name="_Toc24601"/>
      <w:r>
        <w:rPr>
          <w:rFonts w:hint="eastAsia"/>
          <w:color w:val="auto"/>
          <w:highlight w:val="none"/>
          <w:lang w:eastAsia="zh-CN"/>
        </w:rPr>
        <w:t>第三章</w:t>
      </w:r>
      <w:r>
        <w:rPr>
          <w:rFonts w:hint="eastAsia"/>
          <w:color w:val="auto"/>
          <w:highlight w:val="none"/>
          <w:lang w:val="en-US" w:eastAsia="zh-CN"/>
        </w:rPr>
        <w:t xml:space="preserve">  采购需求</w:t>
      </w:r>
    </w:p>
    <w:p>
      <w:pPr>
        <w:adjustRightInd w:val="0"/>
        <w:snapToGrid w:val="0"/>
        <w:spacing w:line="440" w:lineRule="exact"/>
        <w:ind w:firstLine="632" w:firstLineChars="300"/>
        <w:rPr>
          <w:rFonts w:hint="eastAsia" w:ascii="宋体" w:hAnsi="宋体" w:cs="宋体"/>
          <w:b/>
          <w:color w:val="auto"/>
          <w:kern w:val="0"/>
          <w:szCs w:val="21"/>
          <w:highlight w:val="none"/>
        </w:rPr>
      </w:pPr>
      <w:r>
        <w:rPr>
          <w:rFonts w:hint="eastAsia" w:ascii="宋体" w:hAnsi="宋体" w:cs="宋体"/>
          <w:b/>
          <w:color w:val="auto"/>
          <w:kern w:val="0"/>
          <w:szCs w:val="21"/>
          <w:highlight w:val="none"/>
        </w:rPr>
        <w:t>一、服务内容及相关要求</w:t>
      </w:r>
    </w:p>
    <w:p>
      <w:pPr>
        <w:adjustRightInd w:val="0"/>
        <w:snapToGrid w:val="0"/>
        <w:spacing w:line="400" w:lineRule="exact"/>
        <w:ind w:firstLine="211" w:firstLineChars="100"/>
        <w:rPr>
          <w:rFonts w:hint="eastAsia" w:ascii="宋体" w:hAnsi="宋体" w:eastAsia="宋体" w:cs="宋体"/>
          <w:color w:val="auto"/>
          <w:spacing w:val="2"/>
          <w:szCs w:val="21"/>
          <w:highlight w:val="none"/>
        </w:rPr>
      </w:pPr>
      <w:r>
        <w:rPr>
          <w:rFonts w:hint="eastAsia" w:ascii="宋体" w:hAnsi="宋体" w:cs="宋体"/>
          <w:b/>
          <w:bCs/>
          <w:color w:val="auto"/>
          <w:szCs w:val="21"/>
          <w:highlight w:val="none"/>
        </w:rPr>
        <w:t>（一）</w:t>
      </w:r>
      <w:r>
        <w:rPr>
          <w:rFonts w:hint="eastAsia" w:ascii="宋体" w:hAnsi="宋体" w:cs="宋体"/>
          <w:color w:val="auto"/>
          <w:szCs w:val="21"/>
          <w:highlight w:val="none"/>
        </w:rPr>
        <w:t>项目概况：</w:t>
      </w:r>
      <w:r>
        <w:rPr>
          <w:rFonts w:hint="eastAsia" w:ascii="宋体" w:hAnsi="宋体" w:eastAsia="宋体" w:cs="宋体"/>
          <w:color w:val="auto"/>
          <w:spacing w:val="2"/>
          <w:szCs w:val="21"/>
          <w:highlight w:val="none"/>
        </w:rPr>
        <w:t>本项目为</w:t>
      </w:r>
      <w:r>
        <w:rPr>
          <w:rFonts w:hint="eastAsia" w:ascii="宋体" w:hAnsi="宋体" w:cs="宋体"/>
          <w:color w:val="auto"/>
          <w:spacing w:val="2"/>
          <w:szCs w:val="21"/>
          <w:highlight w:val="none"/>
          <w:lang w:eastAsia="zh-CN"/>
        </w:rPr>
        <w:t>广西商业技师学院烹饪实训材料供应商采购</w:t>
      </w:r>
      <w:r>
        <w:rPr>
          <w:rFonts w:hint="eastAsia" w:ascii="宋体" w:hAnsi="宋体" w:eastAsia="宋体" w:cs="宋体"/>
          <w:color w:val="auto"/>
          <w:spacing w:val="2"/>
          <w:szCs w:val="21"/>
          <w:highlight w:val="none"/>
        </w:rPr>
        <w:t>。</w:t>
      </w:r>
      <w:r>
        <w:rPr>
          <w:rFonts w:hint="eastAsia" w:ascii="宋体" w:hAnsi="宋体" w:cs="宋体"/>
          <w:color w:val="auto"/>
          <w:spacing w:val="2"/>
          <w:szCs w:val="21"/>
          <w:highlight w:val="none"/>
          <w:lang w:eastAsia="zh-CN"/>
        </w:rPr>
        <w:t>供应商</w:t>
      </w:r>
      <w:r>
        <w:rPr>
          <w:rFonts w:hint="eastAsia" w:ascii="宋体" w:hAnsi="宋体" w:eastAsia="宋体" w:cs="宋体"/>
          <w:color w:val="auto"/>
          <w:spacing w:val="2"/>
          <w:szCs w:val="21"/>
          <w:highlight w:val="none"/>
        </w:rPr>
        <w:t>提供</w:t>
      </w:r>
      <w:r>
        <w:rPr>
          <w:rFonts w:hint="eastAsia" w:ascii="宋体" w:hAnsi="宋体" w:cs="宋体"/>
          <w:color w:val="auto"/>
          <w:spacing w:val="2"/>
          <w:szCs w:val="21"/>
          <w:highlight w:val="none"/>
          <w:lang w:eastAsia="zh-CN"/>
        </w:rPr>
        <w:t>烹饪实训材料</w:t>
      </w:r>
      <w:r>
        <w:rPr>
          <w:rFonts w:hint="eastAsia" w:ascii="宋体" w:hAnsi="宋体" w:eastAsia="宋体" w:cs="宋体"/>
          <w:color w:val="auto"/>
          <w:spacing w:val="2"/>
          <w:szCs w:val="21"/>
          <w:highlight w:val="none"/>
        </w:rPr>
        <w:t>配送服务能确保采购人所需物品采购顺畅、规范</w:t>
      </w:r>
      <w:r>
        <w:rPr>
          <w:rFonts w:hint="eastAsia" w:ascii="宋体" w:hAnsi="宋体" w:cs="宋体"/>
          <w:color w:val="auto"/>
          <w:spacing w:val="2"/>
          <w:szCs w:val="21"/>
          <w:highlight w:val="none"/>
        </w:rPr>
        <w:t>，</w:t>
      </w:r>
      <w:r>
        <w:rPr>
          <w:rFonts w:hint="eastAsia" w:ascii="宋体" w:hAnsi="宋体" w:cs="宋体"/>
          <w:color w:val="auto"/>
          <w:spacing w:val="2"/>
          <w:szCs w:val="21"/>
          <w:highlight w:val="none"/>
          <w:lang w:eastAsia="zh-CN"/>
        </w:rPr>
        <w:t>服务期限</w:t>
      </w:r>
      <w:r>
        <w:rPr>
          <w:rFonts w:hint="eastAsia" w:ascii="宋体" w:hAnsi="宋体" w:cs="宋体"/>
          <w:color w:val="auto"/>
          <w:spacing w:val="2"/>
          <w:szCs w:val="21"/>
          <w:highlight w:val="none"/>
          <w:lang w:val="en-US" w:eastAsia="zh-CN"/>
        </w:rPr>
        <w:t>1年</w:t>
      </w:r>
      <w:r>
        <w:rPr>
          <w:rFonts w:hint="eastAsia" w:ascii="宋体" w:hAnsi="宋体" w:eastAsia="宋体" w:cs="宋体"/>
          <w:color w:val="auto"/>
          <w:spacing w:val="2"/>
          <w:szCs w:val="21"/>
          <w:highlight w:val="none"/>
        </w:rPr>
        <w:t>，</w:t>
      </w:r>
      <w:r>
        <w:rPr>
          <w:rFonts w:hint="eastAsia" w:ascii="宋体" w:hAnsi="宋体" w:cs="宋体"/>
          <w:color w:val="auto"/>
          <w:spacing w:val="2"/>
          <w:szCs w:val="21"/>
          <w:highlight w:val="none"/>
        </w:rPr>
        <w:t>结算金额按</w:t>
      </w:r>
      <w:r>
        <w:rPr>
          <w:rFonts w:hint="eastAsia" w:ascii="宋体" w:hAnsi="宋体" w:cs="宋体"/>
          <w:color w:val="auto"/>
          <w:spacing w:val="2"/>
          <w:szCs w:val="21"/>
          <w:highlight w:val="none"/>
          <w:lang w:eastAsia="zh-CN"/>
        </w:rPr>
        <w:t>服务</w:t>
      </w:r>
      <w:r>
        <w:rPr>
          <w:rFonts w:hint="eastAsia" w:ascii="宋体" w:hAnsi="宋体" w:cs="宋体"/>
          <w:color w:val="auto"/>
          <w:spacing w:val="2"/>
          <w:szCs w:val="21"/>
          <w:highlight w:val="none"/>
        </w:rPr>
        <w:t>年</w:t>
      </w:r>
      <w:r>
        <w:rPr>
          <w:rFonts w:hint="eastAsia" w:ascii="宋体" w:hAnsi="宋体" w:cs="宋体"/>
          <w:color w:val="auto"/>
          <w:spacing w:val="2"/>
          <w:szCs w:val="21"/>
          <w:highlight w:val="none"/>
          <w:lang w:eastAsia="zh-CN"/>
        </w:rPr>
        <w:t>限</w:t>
      </w:r>
      <w:r>
        <w:rPr>
          <w:rFonts w:hint="eastAsia" w:ascii="宋体" w:hAnsi="宋体" w:cs="宋体"/>
          <w:color w:val="auto"/>
          <w:spacing w:val="2"/>
          <w:szCs w:val="21"/>
          <w:highlight w:val="none"/>
        </w:rPr>
        <w:t>内实际采购量的金额为准。</w:t>
      </w:r>
      <w:r>
        <w:rPr>
          <w:rFonts w:hint="eastAsia" w:ascii="宋体" w:hAnsi="宋体" w:eastAsia="宋体" w:cs="宋体"/>
          <w:color w:val="auto"/>
          <w:spacing w:val="2"/>
          <w:szCs w:val="21"/>
          <w:highlight w:val="none"/>
        </w:rPr>
        <w:t>并严格遵守国家及相关食品安全、卫生等法律法规及保障要求，确保采购合同服务期限内，采购人所需的食品品质、供应及时。</w:t>
      </w:r>
    </w:p>
    <w:p>
      <w:pPr>
        <w:widowControl/>
        <w:snapToGrid w:val="0"/>
        <w:spacing w:line="400" w:lineRule="exact"/>
        <w:ind w:firstLine="214" w:firstLineChars="100"/>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lang w:eastAsia="zh-CN"/>
        </w:rPr>
        <w:t>（二）</w:t>
      </w:r>
      <w:r>
        <w:rPr>
          <w:rFonts w:hint="eastAsia" w:ascii="宋体" w:hAnsi="宋体" w:eastAsia="宋体" w:cs="宋体"/>
          <w:color w:val="auto"/>
          <w:spacing w:val="2"/>
          <w:szCs w:val="21"/>
          <w:highlight w:val="none"/>
        </w:rPr>
        <w:t>采购人职责：</w:t>
      </w:r>
    </w:p>
    <w:p>
      <w:pPr>
        <w:widowControl/>
        <w:snapToGrid w:val="0"/>
        <w:spacing w:line="400" w:lineRule="exact"/>
        <w:ind w:firstLine="633" w:firstLineChars="296"/>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1、提供计划。采购人</w:t>
      </w:r>
      <w:r>
        <w:rPr>
          <w:rFonts w:hint="eastAsia" w:ascii="宋体" w:hAnsi="宋体" w:cs="宋体"/>
          <w:color w:val="auto"/>
          <w:spacing w:val="2"/>
          <w:szCs w:val="21"/>
          <w:highlight w:val="none"/>
          <w:lang w:val="en-US" w:eastAsia="zh-CN"/>
        </w:rPr>
        <w:t>每日17:30之前</w:t>
      </w:r>
      <w:r>
        <w:rPr>
          <w:rFonts w:hint="eastAsia" w:ascii="宋体" w:hAnsi="宋体" w:eastAsia="宋体" w:cs="宋体"/>
          <w:color w:val="auto"/>
          <w:spacing w:val="2"/>
          <w:szCs w:val="21"/>
          <w:highlight w:val="none"/>
        </w:rPr>
        <w:t>报次日采购计划，并提出具体的规格、数量及包装要求，</w:t>
      </w:r>
      <w:r>
        <w:rPr>
          <w:rFonts w:hint="eastAsia" w:ascii="宋体" w:hAnsi="宋体" w:cs="宋体"/>
          <w:color w:val="auto"/>
          <w:spacing w:val="2"/>
          <w:szCs w:val="21"/>
          <w:highlight w:val="none"/>
          <w:lang w:eastAsia="zh-CN"/>
        </w:rPr>
        <w:t>成交供应商应在次日上午</w:t>
      </w:r>
      <w:r>
        <w:rPr>
          <w:rFonts w:hint="eastAsia" w:ascii="宋体" w:hAnsi="宋体" w:cs="宋体"/>
          <w:color w:val="auto"/>
          <w:spacing w:val="2"/>
          <w:szCs w:val="21"/>
          <w:highlight w:val="none"/>
          <w:lang w:val="en-US" w:eastAsia="zh-CN"/>
        </w:rPr>
        <w:t>7:30，下午14:30前将采购人所需物品按质按量送到采购人指定地点。</w:t>
      </w:r>
      <w:r>
        <w:rPr>
          <w:rFonts w:hint="eastAsia" w:ascii="宋体" w:hAnsi="宋体" w:eastAsia="宋体" w:cs="宋体"/>
          <w:color w:val="auto"/>
          <w:spacing w:val="2"/>
          <w:szCs w:val="21"/>
          <w:highlight w:val="none"/>
        </w:rPr>
        <w:t>如需临时增加品种、数量、或改变送达时限和地点，由采购人的专管员通过电话与</w:t>
      </w:r>
      <w:r>
        <w:rPr>
          <w:rFonts w:hint="eastAsia" w:ascii="宋体" w:hAnsi="宋体" w:eastAsia="宋体" w:cs="宋体"/>
          <w:color w:val="auto"/>
          <w:spacing w:val="2"/>
          <w:szCs w:val="21"/>
          <w:highlight w:val="none"/>
          <w:lang w:eastAsia="zh-CN"/>
        </w:rPr>
        <w:t>成交供应商</w:t>
      </w:r>
      <w:r>
        <w:rPr>
          <w:rFonts w:hint="eastAsia" w:ascii="宋体" w:hAnsi="宋体" w:eastAsia="宋体" w:cs="宋体"/>
          <w:color w:val="auto"/>
          <w:spacing w:val="2"/>
          <w:szCs w:val="21"/>
          <w:highlight w:val="none"/>
        </w:rPr>
        <w:t>联系，</w:t>
      </w:r>
      <w:r>
        <w:rPr>
          <w:rFonts w:hint="eastAsia" w:ascii="宋体" w:hAnsi="宋体" w:eastAsia="宋体" w:cs="宋体"/>
          <w:color w:val="auto"/>
          <w:spacing w:val="2"/>
          <w:szCs w:val="21"/>
          <w:highlight w:val="none"/>
          <w:lang w:eastAsia="zh-CN"/>
        </w:rPr>
        <w:t>成交供应商</w:t>
      </w:r>
      <w:r>
        <w:rPr>
          <w:rFonts w:hint="eastAsia" w:ascii="宋体" w:hAnsi="宋体" w:eastAsia="宋体" w:cs="宋体"/>
          <w:color w:val="auto"/>
          <w:spacing w:val="2"/>
          <w:szCs w:val="21"/>
          <w:highlight w:val="none"/>
        </w:rPr>
        <w:t>根据要求必须组织供应。</w:t>
      </w:r>
    </w:p>
    <w:p>
      <w:pPr>
        <w:widowControl/>
        <w:snapToGrid w:val="0"/>
        <w:spacing w:line="400" w:lineRule="exact"/>
        <w:ind w:firstLine="633" w:firstLineChars="296"/>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2、按时结算。采购人按照合同时间，及时向</w:t>
      </w:r>
      <w:r>
        <w:rPr>
          <w:rFonts w:hint="eastAsia" w:ascii="宋体" w:hAnsi="宋体" w:eastAsia="宋体" w:cs="宋体"/>
          <w:color w:val="auto"/>
          <w:spacing w:val="2"/>
          <w:szCs w:val="21"/>
          <w:highlight w:val="none"/>
          <w:lang w:eastAsia="zh-CN"/>
        </w:rPr>
        <w:t>成交供应商</w:t>
      </w:r>
      <w:r>
        <w:rPr>
          <w:rFonts w:hint="eastAsia" w:ascii="宋体" w:hAnsi="宋体" w:eastAsia="宋体" w:cs="宋体"/>
          <w:color w:val="auto"/>
          <w:spacing w:val="2"/>
          <w:szCs w:val="21"/>
          <w:highlight w:val="none"/>
        </w:rPr>
        <w:t>结算有关款项，如遇特殊情况不能按时结算时，需主动说明原因，并告知具体的结算时间。</w:t>
      </w:r>
    </w:p>
    <w:p>
      <w:pPr>
        <w:widowControl/>
        <w:snapToGrid w:val="0"/>
        <w:spacing w:line="400" w:lineRule="exact"/>
        <w:ind w:firstLine="633" w:firstLineChars="296"/>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3、检查数量、质量。采购人对提供的采购物品的数量、质量及包装等进行实时检查监督，发现问题及时通报</w:t>
      </w:r>
      <w:r>
        <w:rPr>
          <w:rFonts w:hint="eastAsia" w:ascii="宋体" w:hAnsi="宋体" w:eastAsia="宋体" w:cs="宋体"/>
          <w:color w:val="auto"/>
          <w:spacing w:val="2"/>
          <w:szCs w:val="21"/>
          <w:highlight w:val="none"/>
          <w:lang w:eastAsia="zh-CN"/>
        </w:rPr>
        <w:t>成交供应商</w:t>
      </w:r>
      <w:r>
        <w:rPr>
          <w:rFonts w:hint="eastAsia" w:ascii="宋体" w:hAnsi="宋体" w:eastAsia="宋体" w:cs="宋体"/>
          <w:color w:val="auto"/>
          <w:spacing w:val="2"/>
          <w:szCs w:val="21"/>
          <w:highlight w:val="none"/>
        </w:rPr>
        <w:t>处理。</w:t>
      </w:r>
    </w:p>
    <w:p>
      <w:pPr>
        <w:adjustRightInd w:val="0"/>
        <w:snapToGrid w:val="0"/>
        <w:spacing w:line="400" w:lineRule="exact"/>
        <w:ind w:firstLine="210" w:firstLineChars="1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三</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服务要求：</w:t>
      </w:r>
    </w:p>
    <w:p>
      <w:pPr>
        <w:adjustRightInd w:val="0"/>
        <w:snapToGrid w:val="0"/>
        <w:spacing w:line="400" w:lineRule="exact"/>
        <w:ind w:firstLine="630" w:firstLineChars="3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1、按计划送货。</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必须按计划组织供应，并完整、正确填写采购单，产品由采购人</w:t>
      </w:r>
      <w:r>
        <w:rPr>
          <w:rFonts w:hint="eastAsia" w:ascii="Times New Roman" w:hAnsi="Times New Roman" w:eastAsia="宋体" w:cs="Times New Roman"/>
          <w:color w:val="auto"/>
          <w:highlight w:val="none"/>
          <w:lang w:eastAsia="zh-CN"/>
        </w:rPr>
        <w:t>验收</w:t>
      </w:r>
      <w:r>
        <w:rPr>
          <w:rFonts w:hint="eastAsia" w:ascii="Times New Roman" w:hAnsi="Times New Roman" w:eastAsia="宋体" w:cs="Times New Roman"/>
          <w:color w:val="auto"/>
          <w:highlight w:val="none"/>
        </w:rPr>
        <w:t>，验收无误后，双方在物品验收单上签字确认。</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不得随意更改供应计划，确因客观原因个别品种无法满足需求时，</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必须</w:t>
      </w:r>
      <w:r>
        <w:rPr>
          <w:rFonts w:hint="eastAsia" w:cs="Times New Roman"/>
          <w:color w:val="auto"/>
          <w:highlight w:val="none"/>
          <w:lang w:eastAsia="zh-CN"/>
        </w:rPr>
        <w:t>在接到计划单当晚</w:t>
      </w:r>
      <w:r>
        <w:rPr>
          <w:rFonts w:hint="eastAsia" w:cs="Times New Roman"/>
          <w:color w:val="auto"/>
          <w:highlight w:val="none"/>
          <w:lang w:val="en-US" w:eastAsia="zh-CN"/>
        </w:rPr>
        <w:t>21:00前</w:t>
      </w:r>
      <w:r>
        <w:rPr>
          <w:rFonts w:hint="eastAsia" w:ascii="Times New Roman" w:hAnsi="Times New Roman" w:eastAsia="宋体" w:cs="Times New Roman"/>
          <w:color w:val="auto"/>
          <w:highlight w:val="none"/>
        </w:rPr>
        <w:t>与采购人协商，经允许后方可更换品种。</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不能按时组织供应且事先未主动与采购人达成协议，造成采购人不能正常使用或造成损失的，视为</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违约，由</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按食品市场调查价格进行赔偿；如造成严重后果的，采购人可无条件终止合同，该</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履约保证金不子退还。</w:t>
      </w:r>
    </w:p>
    <w:p>
      <w:pPr>
        <w:adjustRightInd w:val="0"/>
        <w:snapToGrid w:val="0"/>
        <w:spacing w:line="400" w:lineRule="exact"/>
        <w:ind w:firstLine="630" w:firstLineChars="3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2、确保质量。</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提供的食品必须达到采购人提出的质量要求，所有食品必须经过检验检疫合格后方可供应采购人。</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提供的食品质量达不到规定标准，采购人有权拒绝接受，如因使用</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的质量不合格的食品，造成人员食物中毒或产生其他不适症状，</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必须承担由此产生的一切经济、法律责任，同时无条件终止合同及拒付当月货款，</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履约保证金不子退还。</w:t>
      </w:r>
    </w:p>
    <w:p>
      <w:pPr>
        <w:adjustRightInd w:val="0"/>
        <w:snapToGrid w:val="0"/>
        <w:spacing w:line="400" w:lineRule="exact"/>
        <w:ind w:firstLine="630" w:firstLineChars="3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3、数量问题。</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所供应的生鲜类食品、散装食品出现缺斤少两（正常耗损除外）、腐烂变质等情况，将按照所缺重量、变质重量产品供应金额的三倍进行赔偿；预包装食品出现数量与订单不符、产品质量不达标、产品为假冒伪劣产品等违法行为，将按照所缺数量、不合格产品或假冒伪劣产品供应金额的三倍进行赔偿，并将以上违法经营行为上报工商部门，对</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进行查处。假冒伪劣产品或检验检疫不合格或腐烂变质等产品，金额超过一万元的，采购人将无条件终止合同，并保留司法诉讼杈利。</w:t>
      </w:r>
    </w:p>
    <w:p>
      <w:pPr>
        <w:adjustRightInd w:val="0"/>
        <w:snapToGrid w:val="0"/>
        <w:spacing w:line="400" w:lineRule="exact"/>
        <w:ind w:firstLine="630" w:firstLineChars="3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提供信息。</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每天供应的食品必须出示电脑打印的票据，每半月提供一份当季所供食品价格参考明细表（含电子版），便于采购人管控。</w:t>
      </w:r>
    </w:p>
    <w:p>
      <w:pPr>
        <w:adjustRightInd w:val="0"/>
        <w:snapToGrid w:val="0"/>
        <w:spacing w:line="400" w:lineRule="exact"/>
        <w:ind w:firstLine="630" w:firstLineChars="3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5</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接受监督。</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必须自觉配合采购人有关部门对所供应物资的质量、价格、卫生标淮等进行监督，并做到热情周到，耐心细致，有问必答，有疑必释。</w:t>
      </w:r>
    </w:p>
    <w:p>
      <w:pPr>
        <w:numPr>
          <w:ilvl w:val="0"/>
          <w:numId w:val="8"/>
        </w:numPr>
        <w:adjustRightInd w:val="0"/>
        <w:snapToGrid w:val="0"/>
        <w:spacing w:line="400" w:lineRule="exact"/>
        <w:ind w:firstLine="630" w:firstLineChars="3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服从管理。</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的服务人员，配送车辆进人采购人区域时，必须严格遵守采购人的管理规定，自觉接受采购人相关部门及人员的检查和盘问。</w:t>
      </w:r>
    </w:p>
    <w:p>
      <w:pPr>
        <w:numPr>
          <w:ilvl w:val="0"/>
          <w:numId w:val="8"/>
        </w:numPr>
        <w:adjustRightInd w:val="0"/>
        <w:snapToGrid w:val="0"/>
        <w:spacing w:line="400" w:lineRule="exact"/>
        <w:ind w:firstLine="630" w:firstLineChars="300"/>
        <w:rPr>
          <w:rFonts w:hint="eastAsia" w:eastAsia="宋体" w:cs="Times New Roman"/>
          <w:i w:val="0"/>
          <w:caps w:val="0"/>
          <w:color w:val="auto"/>
          <w:spacing w:val="0"/>
          <w:kern w:val="2"/>
          <w:sz w:val="21"/>
          <w:szCs w:val="24"/>
          <w:highlight w:val="none"/>
          <w:shd w:val="clear"/>
          <w:lang w:val="en-US" w:eastAsia="zh-CN" w:bidi="ar"/>
        </w:rPr>
      </w:pPr>
      <w:r>
        <w:rPr>
          <w:rFonts w:hint="eastAsia" w:cs="Times New Roman"/>
          <w:i w:val="0"/>
          <w:caps w:val="0"/>
          <w:color w:val="auto"/>
          <w:spacing w:val="0"/>
          <w:kern w:val="2"/>
          <w:sz w:val="21"/>
          <w:szCs w:val="24"/>
          <w:highlight w:val="none"/>
          <w:shd w:val="clear"/>
          <w:lang w:val="en-US" w:eastAsia="zh-CN" w:bidi="ar"/>
        </w:rPr>
        <w:t>成交</w:t>
      </w:r>
      <w:r>
        <w:rPr>
          <w:rFonts w:hint="eastAsia" w:eastAsia="宋体" w:cs="Times New Roman"/>
          <w:i w:val="0"/>
          <w:caps w:val="0"/>
          <w:color w:val="auto"/>
          <w:spacing w:val="0"/>
          <w:kern w:val="2"/>
          <w:sz w:val="21"/>
          <w:szCs w:val="24"/>
          <w:highlight w:val="none"/>
          <w:shd w:val="clear"/>
          <w:lang w:val="en-US" w:eastAsia="zh-CN" w:bidi="ar"/>
        </w:rPr>
        <w:t>供应商作为学院</w:t>
      </w:r>
      <w:r>
        <w:rPr>
          <w:rFonts w:hint="eastAsia" w:cs="Times New Roman"/>
          <w:i w:val="0"/>
          <w:caps w:val="0"/>
          <w:color w:val="auto"/>
          <w:spacing w:val="0"/>
          <w:kern w:val="2"/>
          <w:sz w:val="21"/>
          <w:szCs w:val="24"/>
          <w:highlight w:val="none"/>
          <w:shd w:val="clear"/>
          <w:lang w:val="en-US" w:eastAsia="zh-CN" w:bidi="ar"/>
        </w:rPr>
        <w:t>食材供应商</w:t>
      </w:r>
      <w:r>
        <w:rPr>
          <w:rFonts w:hint="eastAsia" w:eastAsia="宋体" w:cs="Times New Roman"/>
          <w:i w:val="0"/>
          <w:caps w:val="0"/>
          <w:color w:val="auto"/>
          <w:spacing w:val="0"/>
          <w:kern w:val="2"/>
          <w:sz w:val="21"/>
          <w:szCs w:val="24"/>
          <w:highlight w:val="none"/>
          <w:shd w:val="clear"/>
          <w:lang w:val="en-US" w:eastAsia="zh-CN" w:bidi="ar"/>
        </w:rPr>
        <w:t>，应根据每年自治区财政厅下发的政府采购脱贫地区农副产品相关工作要求，按规定实施采购。</w:t>
      </w:r>
    </w:p>
    <w:p>
      <w:pPr>
        <w:numPr>
          <w:ilvl w:val="-1"/>
          <w:numId w:val="0"/>
        </w:numPr>
        <w:adjustRightInd w:val="0"/>
        <w:snapToGrid w:val="0"/>
        <w:spacing w:line="400" w:lineRule="exact"/>
        <w:ind w:firstLine="0" w:firstLineChars="0"/>
        <w:rPr>
          <w:rFonts w:hint="eastAsia" w:ascii="Times New Roman" w:hAnsi="Times New Roman" w:eastAsia="宋体" w:cs="Times New Roman"/>
          <w:color w:val="auto"/>
          <w:highlight w:val="none"/>
        </w:rPr>
      </w:pPr>
      <w:r>
        <w:rPr>
          <w:rFonts w:hint="eastAsia"/>
          <w:color w:val="auto"/>
          <w:highlight w:val="none"/>
          <w:lang w:val="en-US" w:eastAsia="zh-CN"/>
        </w:rPr>
        <w:t xml:space="preserve"> </w:t>
      </w:r>
      <w:r>
        <w:rPr>
          <w:rFonts w:hint="eastAsia"/>
          <w:color w:val="auto"/>
          <w:highlight w:val="none"/>
          <w:lang w:eastAsia="zh-CN"/>
        </w:rPr>
        <w:t>（</w:t>
      </w:r>
      <w:r>
        <w:rPr>
          <w:rFonts w:hint="eastAsia" w:ascii="Times New Roman" w:hAnsi="Times New Roman" w:eastAsia="宋体" w:cs="Times New Roman"/>
          <w:color w:val="auto"/>
          <w:highlight w:val="none"/>
          <w:lang w:eastAsia="zh-CN"/>
        </w:rPr>
        <w:t>四）</w:t>
      </w:r>
      <w:r>
        <w:rPr>
          <w:rFonts w:hint="eastAsia" w:ascii="Times New Roman" w:hAnsi="Times New Roman" w:eastAsia="宋体" w:cs="Times New Roman"/>
          <w:color w:val="auto"/>
          <w:highlight w:val="none"/>
        </w:rPr>
        <w:t>配送方式要求</w:t>
      </w:r>
    </w:p>
    <w:p>
      <w:pPr>
        <w:adjustRightInd w:val="0"/>
        <w:snapToGrid w:val="0"/>
        <w:spacing w:line="400" w:lineRule="exact"/>
        <w:ind w:firstLine="630" w:firstLineChars="300"/>
        <w:rPr>
          <w:rFonts w:hint="eastAsia" w:ascii="Times New Roman" w:hAnsi="Times New Roman" w:eastAsia="宋体" w:cs="Times New Roman"/>
          <w:color w:val="auto"/>
          <w:highlight w:val="none"/>
        </w:rPr>
      </w:pPr>
      <w:r>
        <w:rPr>
          <w:rFonts w:hint="eastAsia" w:cs="Times New Roman"/>
          <w:color w:val="auto"/>
          <w:highlight w:val="none"/>
          <w:lang w:val="en-US" w:eastAsia="zh-CN"/>
        </w:rPr>
        <w:t>1、</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必须至少配备1辆专门为采购人进行食品配送服务的车辆</w:t>
      </w:r>
      <w:r>
        <w:rPr>
          <w:rFonts w:hint="eastAsia" w:cs="Times New Roman"/>
          <w:color w:val="auto"/>
          <w:highlight w:val="none"/>
          <w:lang w:eastAsia="zh-CN"/>
        </w:rPr>
        <w:t>。</w:t>
      </w:r>
      <w:r>
        <w:rPr>
          <w:rFonts w:hint="eastAsia" w:ascii="Times New Roman" w:hAnsi="Times New Roman" w:eastAsia="宋体" w:cs="Times New Roman"/>
          <w:color w:val="auto"/>
          <w:highlight w:val="none"/>
        </w:rPr>
        <w:t>（</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于</w:t>
      </w:r>
      <w:r>
        <w:rPr>
          <w:rFonts w:hint="eastAsia" w:cs="Times New Roman"/>
          <w:color w:val="auto"/>
          <w:highlight w:val="none"/>
          <w:lang w:eastAsia="zh-CN"/>
        </w:rPr>
        <w:t>响应文件</w:t>
      </w:r>
      <w:r>
        <w:rPr>
          <w:rFonts w:hint="eastAsia" w:ascii="Times New Roman" w:hAnsi="Times New Roman" w:eastAsia="宋体" w:cs="Times New Roman"/>
          <w:color w:val="auto"/>
          <w:highlight w:val="none"/>
        </w:rPr>
        <w:t>中必须提供拟投人本项目的食品配送车辆一览表及相应图片）。</w:t>
      </w:r>
    </w:p>
    <w:p>
      <w:pPr>
        <w:adjustRightInd w:val="0"/>
        <w:spacing w:line="400" w:lineRule="exact"/>
        <w:ind w:firstLine="630" w:firstLineChars="300"/>
        <w:rPr>
          <w:rFonts w:hint="eastAsia"/>
          <w:color w:val="auto"/>
          <w:highlight w:val="none"/>
          <w:lang w:eastAsia="zh-CN"/>
        </w:rPr>
      </w:pPr>
      <w:r>
        <w:rPr>
          <w:rFonts w:hint="eastAsia" w:cs="Times New Roman"/>
          <w:color w:val="auto"/>
          <w:highlight w:val="none"/>
          <w:lang w:val="en-US" w:eastAsia="zh-CN"/>
        </w:rPr>
        <w:t>2、</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送货车辆必须手续齐全，司机必须持有相应车辆驾驶执照。采取免费送货上门的服务方式，根据采购的数量分类包装，于每天</w:t>
      </w:r>
      <w:r>
        <w:rPr>
          <w:rFonts w:hint="eastAsia" w:ascii="宋体" w:hAnsi="宋体" w:cs="宋体"/>
          <w:color w:val="auto"/>
          <w:spacing w:val="2"/>
          <w:szCs w:val="21"/>
          <w:highlight w:val="none"/>
          <w:lang w:eastAsia="zh-CN"/>
        </w:rPr>
        <w:t>上午</w:t>
      </w:r>
      <w:r>
        <w:rPr>
          <w:rFonts w:hint="eastAsia" w:ascii="宋体" w:hAnsi="宋体" w:cs="宋体"/>
          <w:color w:val="auto"/>
          <w:spacing w:val="2"/>
          <w:szCs w:val="21"/>
          <w:highlight w:val="none"/>
          <w:lang w:val="en-US" w:eastAsia="zh-CN"/>
        </w:rPr>
        <w:t>7:30，下午14:30</w:t>
      </w:r>
      <w:r>
        <w:rPr>
          <w:rFonts w:hint="eastAsia" w:ascii="Times New Roman" w:hAnsi="Times New Roman" w:eastAsia="宋体" w:cs="Times New Roman"/>
          <w:color w:val="auto"/>
          <w:highlight w:val="none"/>
        </w:rPr>
        <w:t>前送到采购人指定地点。采购人有紧急采购需求时，</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必须有专人负责与采购人进行协商配送的相关事宜，并提供免费送货服务</w:t>
      </w:r>
      <w:r>
        <w:rPr>
          <w:rFonts w:hint="eastAsia" w:ascii="Times New Roman" w:hAnsi="Times New Roman" w:eastAsia="宋体" w:cs="Times New Roman"/>
          <w:color w:val="auto"/>
          <w:highlight w:val="none"/>
          <w:lang w:eastAsia="zh-CN"/>
        </w:rPr>
        <w:t>。</w:t>
      </w:r>
    </w:p>
    <w:p>
      <w:pPr>
        <w:adjustRightInd w:val="0"/>
        <w:snapToGrid w:val="0"/>
        <w:spacing w:line="400" w:lineRule="exact"/>
        <w:ind w:firstLine="210" w:firstLineChars="1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（五）</w:t>
      </w:r>
      <w:r>
        <w:rPr>
          <w:rFonts w:hint="eastAsia" w:ascii="Times New Roman" w:hAnsi="Times New Roman" w:eastAsia="宋体" w:cs="Times New Roman"/>
          <w:color w:val="auto"/>
          <w:highlight w:val="none"/>
        </w:rPr>
        <w:t>配送质</w:t>
      </w:r>
      <w:r>
        <w:rPr>
          <w:rFonts w:hint="eastAsia" w:ascii="Times New Roman" w:hAnsi="Times New Roman" w:eastAsia="宋体" w:cs="Times New Roman"/>
          <w:color w:val="auto"/>
          <w:highlight w:val="none"/>
          <w:lang w:eastAsia="zh-CN"/>
        </w:rPr>
        <w:t>量</w:t>
      </w:r>
      <w:r>
        <w:rPr>
          <w:rFonts w:hint="eastAsia" w:ascii="Times New Roman" w:hAnsi="Times New Roman" w:eastAsia="宋体" w:cs="Times New Roman"/>
          <w:color w:val="auto"/>
          <w:highlight w:val="none"/>
        </w:rPr>
        <w:t>要求</w:t>
      </w:r>
    </w:p>
    <w:p>
      <w:pPr>
        <w:adjustRightInd w:val="0"/>
        <w:snapToGrid w:val="0"/>
        <w:spacing w:line="360" w:lineRule="auto"/>
        <w:ind w:left="210" w:leftChars="100" w:firstLine="525" w:firstLineChars="25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所有供应食品必须符合 《中华人民共和国食品安全法》、</w:t>
      </w:r>
      <w:r>
        <w:rPr>
          <w:rFonts w:hint="eastAsia" w:ascii="Times New Roman" w:hAnsi="Times New Roman" w:eastAsia="宋体" w:cs="Times New Roman"/>
          <w:color w:val="auto"/>
          <w:highlight w:val="none"/>
          <w:lang w:eastAsia="zh-CN"/>
        </w:rPr>
        <w:t>《中华人民共和国消费者权益保护法》、</w:t>
      </w:r>
      <w:r>
        <w:rPr>
          <w:rFonts w:hint="eastAsia" w:ascii="Times New Roman" w:hAnsi="Times New Roman" w:eastAsia="宋体" w:cs="Times New Roman"/>
          <w:color w:val="auto"/>
          <w:highlight w:val="none"/>
        </w:rPr>
        <w:t>《中华人民共和国农产品质量安全法》、《中华人民共和国食品安全法实施条例》和其他对食品安全有关要求，确保饮食安全，严禁供应假冒伪劣产品和过期食品。</w:t>
      </w:r>
    </w:p>
    <w:p>
      <w:pPr>
        <w:adjustRightInd w:val="0"/>
        <w:snapToGrid w:val="0"/>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如发现假冒伪劣、以次充好产品或替代产品，</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应承担全部法律责任。</w:t>
      </w:r>
    </w:p>
    <w:p>
      <w:pPr>
        <w:adjustRightInd w:val="0"/>
        <w:snapToGrid w:val="0"/>
        <w:spacing w:line="360" w:lineRule="auto"/>
        <w:ind w:left="0" w:leftChars="0" w:firstLine="630" w:firstLineChars="3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、供应商必须严格按照采购人的要求、标准采购货品。</w:t>
      </w:r>
      <w:r>
        <w:rPr>
          <w:rFonts w:hint="eastAsia" w:ascii="宋体" w:hAnsi="宋体" w:cs="宋体"/>
          <w:color w:val="auto"/>
          <w:szCs w:val="21"/>
          <w:highlight w:val="none"/>
        </w:rPr>
        <w:t>提供的所有产品须经</w:t>
      </w:r>
      <w:r>
        <w:rPr>
          <w:rFonts w:hint="eastAsia" w:ascii="宋体" w:hAnsi="宋体" w:cs="宋体"/>
          <w:color w:val="auto"/>
          <w:szCs w:val="21"/>
          <w:highlight w:val="none"/>
          <w:lang w:eastAsia="zh-CN"/>
        </w:rPr>
        <w:t>采购人</w:t>
      </w:r>
    </w:p>
    <w:p>
      <w:pPr>
        <w:adjustRightInd w:val="0"/>
        <w:snapToGrid w:val="0"/>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验收，验收不合格的，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有权当即拒收，</w:t>
      </w:r>
      <w:r>
        <w:rPr>
          <w:rFonts w:hint="eastAsia" w:ascii="宋体" w:hAnsi="宋体" w:cs="宋体"/>
          <w:color w:val="auto"/>
          <w:szCs w:val="21"/>
          <w:highlight w:val="none"/>
          <w:lang w:eastAsia="zh-CN"/>
        </w:rPr>
        <w:t>成交供应商应按采购人要求在一小时之内进</w:t>
      </w:r>
      <w:r>
        <w:rPr>
          <w:rFonts w:hint="eastAsia" w:ascii="宋体" w:hAnsi="宋体" w:cs="宋体"/>
          <w:color w:val="auto"/>
          <w:szCs w:val="21"/>
          <w:highlight w:val="none"/>
          <w:lang w:val="en-US" w:eastAsia="zh-CN"/>
        </w:rPr>
        <w:t xml:space="preserve"> </w:t>
      </w:r>
    </w:p>
    <w:p>
      <w:pPr>
        <w:adjustRightInd w:val="0"/>
        <w:snapToGrid w:val="0"/>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行补货，如果因补货不及时或拖延、拒绝等原因造成实训课程延误的，每次罚款</w:t>
      </w:r>
      <w:r>
        <w:rPr>
          <w:rFonts w:hint="eastAsia" w:ascii="宋体" w:hAnsi="宋体" w:cs="宋体"/>
          <w:color w:val="auto"/>
          <w:szCs w:val="21"/>
          <w:highlight w:val="none"/>
          <w:lang w:val="en-US" w:eastAsia="zh-CN"/>
        </w:rPr>
        <w:t>200-500</w:t>
      </w:r>
    </w:p>
    <w:p>
      <w:pPr>
        <w:adjustRightInd w:val="0"/>
        <w:snapToGrid w:val="0"/>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元。成交供应商提供的货品因质量问题受到任课老师投诉，经双方确认的，每次罚款100</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 xml:space="preserve">  元。一个月出现3次类似情况的，采购人立即终止本合同且不承担任何责任。</w:t>
      </w:r>
    </w:p>
    <w:p>
      <w:pPr>
        <w:adjustRightInd w:val="0"/>
        <w:snapToGrid w:val="0"/>
        <w:spacing w:line="360" w:lineRule="auto"/>
        <w:ind w:left="210" w:leftChars="100" w:firstLine="525" w:firstLineChars="25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提前</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小时以上以电话或</w:t>
      </w:r>
      <w:r>
        <w:rPr>
          <w:rFonts w:hint="eastAsia" w:ascii="宋体" w:hAnsi="宋体" w:cs="宋体"/>
          <w:color w:val="auto"/>
          <w:szCs w:val="21"/>
          <w:highlight w:val="none"/>
          <w:lang w:eastAsia="zh-CN"/>
        </w:rPr>
        <w:t>电子邮件</w:t>
      </w:r>
      <w:r>
        <w:rPr>
          <w:rFonts w:hint="eastAsia" w:ascii="宋体" w:hAnsi="宋体" w:cs="宋体"/>
          <w:color w:val="auto"/>
          <w:szCs w:val="21"/>
          <w:highlight w:val="none"/>
        </w:rPr>
        <w:t>方式订货，应于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要求的时间内按订单、数量、品种、质量的要求准时送货到</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指定的地点，不能以任何理由推托，因未能按照要求供应</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所需产品的，应承担相应的经济赔偿责任。</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因</w:t>
      </w:r>
      <w:r>
        <w:rPr>
          <w:rFonts w:hint="eastAsia" w:ascii="宋体" w:hAnsi="宋体" w:cs="宋体"/>
          <w:color w:val="auto"/>
          <w:szCs w:val="21"/>
          <w:highlight w:val="none"/>
          <w:lang w:eastAsia="zh-CN"/>
        </w:rPr>
        <w:t>教学</w:t>
      </w:r>
      <w:r>
        <w:rPr>
          <w:rFonts w:hint="eastAsia" w:ascii="宋体" w:hAnsi="宋体" w:cs="宋体"/>
          <w:color w:val="auto"/>
          <w:szCs w:val="21"/>
          <w:highlight w:val="none"/>
        </w:rPr>
        <w:t>临时需要，可提前2小时通过电话或</w:t>
      </w:r>
      <w:r>
        <w:rPr>
          <w:rFonts w:hint="eastAsia" w:ascii="宋体" w:hAnsi="宋体" w:cs="宋体"/>
          <w:color w:val="auto"/>
          <w:szCs w:val="21"/>
          <w:highlight w:val="none"/>
          <w:lang w:eastAsia="zh-CN"/>
        </w:rPr>
        <w:t>电子邮件</w:t>
      </w:r>
      <w:r>
        <w:rPr>
          <w:rFonts w:hint="eastAsia" w:ascii="宋体" w:hAnsi="宋体" w:cs="宋体"/>
          <w:color w:val="auto"/>
          <w:szCs w:val="21"/>
          <w:highlight w:val="none"/>
        </w:rPr>
        <w:t>方式订货，在采购要求的时间内按订单数量送达。</w:t>
      </w:r>
    </w:p>
    <w:p>
      <w:pPr>
        <w:adjustRightInd w:val="0"/>
        <w:snapToGrid w:val="0"/>
        <w:spacing w:line="360" w:lineRule="auto"/>
        <w:ind w:left="210" w:leftChars="100" w:firstLine="525" w:firstLineChars="25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不能满足</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采购要求时，应以书面形式提前1个月通知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申请终止合同，经</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同意后方可终止履行合同。</w:t>
      </w:r>
    </w:p>
    <w:p>
      <w:pPr>
        <w:adjustRightInd w:val="0"/>
        <w:snapToGrid w:val="0"/>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如因产品质量问题引发食品卫生安全事故，将由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承担全部经济赔偿责任和法律责任。</w:t>
      </w:r>
    </w:p>
    <w:p>
      <w:pPr>
        <w:adjustRightInd w:val="0"/>
        <w:snapToGrid w:val="0"/>
        <w:spacing w:line="360" w:lineRule="auto"/>
        <w:ind w:left="210" w:leftChars="100" w:firstLine="525" w:firstLineChars="25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应自觉接受国家有关部门和</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的监督检查，在检查过程中如发现提供的产品存在质量安全问题，由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承担全部责任。</w:t>
      </w:r>
    </w:p>
    <w:p>
      <w:pPr>
        <w:adjustRightInd w:val="0"/>
        <w:snapToGrid w:val="0"/>
        <w:spacing w:line="360" w:lineRule="auto"/>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有权在不通知的情况下，不定期地将</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所供的产品抽样送质检部</w:t>
      </w:r>
      <w:r>
        <w:rPr>
          <w:rFonts w:hint="eastAsia" w:ascii="宋体" w:hAnsi="宋体" w:cs="宋体"/>
          <w:color w:val="auto"/>
          <w:szCs w:val="21"/>
          <w:highlight w:val="none"/>
          <w:lang w:val="en-US" w:eastAsia="zh-CN"/>
        </w:rPr>
        <w:t xml:space="preserve"> </w:t>
      </w:r>
    </w:p>
    <w:p>
      <w:pPr>
        <w:adjustRightInd w:val="0"/>
        <w:snapToGrid w:val="0"/>
        <w:spacing w:line="360" w:lineRule="auto"/>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门进行检验，若检验产品合格，质价相符，检验费用由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承担，若抽检不合格，检验</w:t>
      </w:r>
      <w:r>
        <w:rPr>
          <w:rFonts w:hint="eastAsia" w:ascii="宋体" w:hAnsi="宋体" w:cs="宋体"/>
          <w:color w:val="auto"/>
          <w:szCs w:val="21"/>
          <w:highlight w:val="none"/>
          <w:lang w:val="en-US" w:eastAsia="zh-CN"/>
        </w:rPr>
        <w:t xml:space="preserve"> </w:t>
      </w:r>
    </w:p>
    <w:p>
      <w:pPr>
        <w:adjustRightInd w:val="0"/>
        <w:snapToGrid w:val="0"/>
        <w:spacing w:line="360" w:lineRule="auto"/>
        <w:ind w:left="0" w:leftChars="0" w:firstLine="0" w:firstLineChars="0"/>
        <w:rPr>
          <w:rFonts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费用由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承担，并由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承担相应的损失和法律责任。</w:t>
      </w:r>
    </w:p>
    <w:p>
      <w:pPr>
        <w:adjustRightInd w:val="0"/>
        <w:snapToGrid w:val="0"/>
        <w:spacing w:line="360" w:lineRule="auto"/>
        <w:ind w:left="313" w:leftChars="149" w:firstLine="525" w:firstLineChars="250"/>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不得通过对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的从业人员采取吃请、送礼、贿赂等任何方式谋取不正当利益，一经发现，</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有权取消</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的供货资格，情节严重的移交司法机关处理。</w:t>
      </w:r>
    </w:p>
    <w:p>
      <w:pPr>
        <w:adjustRightInd w:val="0"/>
        <w:snapToGrid w:val="0"/>
        <w:spacing w:line="400" w:lineRule="exact"/>
        <w:ind w:firstLine="210" w:firstLineChars="1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（六）</w:t>
      </w:r>
      <w:r>
        <w:rPr>
          <w:rFonts w:hint="eastAsia" w:ascii="Times New Roman" w:hAnsi="Times New Roman" w:eastAsia="宋体" w:cs="Times New Roman"/>
          <w:color w:val="auto"/>
          <w:highlight w:val="none"/>
        </w:rPr>
        <w:t>配送流程要求：</w:t>
      </w:r>
    </w:p>
    <w:p>
      <w:pPr>
        <w:adjustRightInd w:val="0"/>
        <w:snapToGrid w:val="0"/>
        <w:spacing w:line="400" w:lineRule="exact"/>
        <w:ind w:firstLine="630" w:firstLineChars="300"/>
        <w:rPr>
          <w:rFonts w:hint="eastAsia" w:ascii="Times New Roman" w:hAnsi="Times New Roman" w:eastAsia="宋体" w:cs="Times New Roman"/>
          <w:color w:val="auto"/>
          <w:highlight w:val="none"/>
        </w:rPr>
      </w:pPr>
      <w:r>
        <w:rPr>
          <w:rFonts w:hint="eastAsia" w:cs="Times New Roman"/>
          <w:color w:val="auto"/>
          <w:highlight w:val="none"/>
          <w:lang w:val="en-US" w:eastAsia="zh-CN"/>
        </w:rPr>
        <w:t>1、</w:t>
      </w:r>
      <w:r>
        <w:rPr>
          <w:rFonts w:hint="eastAsia" w:ascii="Times New Roman" w:hAnsi="Times New Roman" w:eastAsia="宋体" w:cs="Times New Roman"/>
          <w:color w:val="auto"/>
          <w:highlight w:val="none"/>
        </w:rPr>
        <w:t>做好配送计划衔接。为确保食品产品数量，采购人与</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双方要做好计划街接，采购人应提前一天向</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报送次口采购计划，确定采购品种、数量及其他需要说明的事项；</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必须按照采购人提供的计划与时间要求等事项及时将产品配送到位。遇特殊情况，双方协商解决。</w:t>
      </w:r>
    </w:p>
    <w:p>
      <w:pPr>
        <w:adjustRightInd w:val="0"/>
        <w:snapToGrid w:val="0"/>
        <w:spacing w:line="400" w:lineRule="exact"/>
        <w:ind w:firstLine="630" w:firstLineChars="300"/>
        <w:rPr>
          <w:rFonts w:hint="eastAsia" w:ascii="Times New Roman" w:hAnsi="Times New Roman" w:eastAsia="宋体" w:cs="Times New Roman"/>
          <w:color w:val="auto"/>
          <w:highlight w:val="none"/>
        </w:rPr>
      </w:pPr>
      <w:r>
        <w:rPr>
          <w:rFonts w:hint="eastAsia" w:cs="Times New Roman"/>
          <w:color w:val="auto"/>
          <w:highlight w:val="none"/>
          <w:lang w:val="en-US" w:eastAsia="zh-CN"/>
        </w:rPr>
        <w:t>2、</w:t>
      </w:r>
      <w:r>
        <w:rPr>
          <w:rFonts w:hint="eastAsia" w:ascii="Times New Roman" w:hAnsi="Times New Roman" w:eastAsia="宋体" w:cs="Times New Roman"/>
          <w:color w:val="auto"/>
          <w:highlight w:val="none"/>
        </w:rPr>
        <w:t>部分食品如果采购人有要求的，必须提供初加工服务。</w:t>
      </w:r>
    </w:p>
    <w:p>
      <w:pPr>
        <w:adjustRightInd w:val="0"/>
        <w:snapToGrid w:val="0"/>
        <w:spacing w:line="400" w:lineRule="exact"/>
        <w:ind w:firstLine="210" w:firstLineChars="1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eastAsia="zh-CN"/>
        </w:rPr>
        <w:t>七</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eastAsia="zh-CN"/>
        </w:rPr>
        <w:t>食品配送范围及配送方式要求：</w:t>
      </w:r>
    </w:p>
    <w:p>
      <w:pPr>
        <w:adjustRightInd w:val="0"/>
        <w:snapToGrid w:val="0"/>
        <w:spacing w:line="400" w:lineRule="exact"/>
        <w:ind w:firstLine="630" w:firstLineChars="3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配送范围内部分食品名目、</w:t>
      </w:r>
      <w:r>
        <w:rPr>
          <w:rFonts w:hint="eastAsia" w:cs="Times New Roman"/>
          <w:color w:val="auto"/>
          <w:highlight w:val="none"/>
          <w:lang w:eastAsia="zh-CN"/>
        </w:rPr>
        <w:t>质量要求</w:t>
      </w:r>
      <w:r>
        <w:rPr>
          <w:rFonts w:hint="eastAsia" w:ascii="Times New Roman" w:hAnsi="Times New Roman" w:eastAsia="宋体" w:cs="Times New Roman"/>
          <w:color w:val="auto"/>
          <w:highlight w:val="none"/>
          <w:lang w:eastAsia="zh-CN"/>
        </w:rPr>
        <w:t>一览表（在项目实施过程中，采购人可以根据所需物品的实际情况调整）：</w:t>
      </w:r>
    </w:p>
    <w:tbl>
      <w:tblPr>
        <w:tblStyle w:val="24"/>
        <w:tblW w:w="96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888"/>
        <w:gridCol w:w="1114"/>
        <w:gridCol w:w="6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88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1114"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品名</w:t>
            </w:r>
          </w:p>
        </w:tc>
        <w:tc>
          <w:tcPr>
            <w:tcW w:w="6961"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质量要求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664" w:type="dxa"/>
            <w:vAlign w:val="center"/>
          </w:tcPr>
          <w:p>
            <w:pPr>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8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蔬菜类</w:t>
            </w:r>
          </w:p>
        </w:tc>
        <w:tc>
          <w:tcPr>
            <w:tcW w:w="1114"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蔬菜</w:t>
            </w:r>
          </w:p>
        </w:tc>
        <w:tc>
          <w:tcPr>
            <w:tcW w:w="6961" w:type="dxa"/>
            <w:vAlign w:val="center"/>
          </w:tcPr>
          <w:p>
            <w:pPr>
              <w:autoSpaceDE w:val="0"/>
              <w:autoSpaceDN w:val="0"/>
              <w:adjustRightInd w:val="0"/>
              <w:jc w:val="left"/>
              <w:rPr>
                <w:rFonts w:hint="eastAsia" w:ascii="宋体" w:hAnsi="宋体" w:cs="宋体"/>
                <w:color w:val="auto"/>
                <w:szCs w:val="21"/>
                <w:highlight w:val="none"/>
              </w:rPr>
            </w:pPr>
            <w:r>
              <w:rPr>
                <w:rFonts w:hint="eastAsia" w:ascii="宋体" w:hAnsi="宋体" w:cs="宋体"/>
                <w:color w:val="auto"/>
                <w:szCs w:val="21"/>
                <w:highlight w:val="none"/>
              </w:rPr>
              <w:t>1.叶子类蔬菜：叶面保存完整，新鲜，无烂叶；具有蔬菜固有的颜色和光泽；显示正常蔬菜的成熟度和新鲜度；蔬菜气味正常，没有腐败味和其他异味。</w:t>
            </w:r>
          </w:p>
          <w:p>
            <w:pPr>
              <w:autoSpaceDE w:val="0"/>
              <w:autoSpaceDN w:val="0"/>
              <w:adjustRightInd w:val="0"/>
              <w:jc w:val="left"/>
              <w:rPr>
                <w:rFonts w:hint="eastAsia" w:ascii="宋体" w:hAnsi="宋体" w:cs="宋体"/>
                <w:color w:val="auto"/>
                <w:szCs w:val="21"/>
                <w:highlight w:val="none"/>
              </w:rPr>
            </w:pPr>
            <w:r>
              <w:rPr>
                <w:rFonts w:hint="eastAsia" w:ascii="宋体" w:hAnsi="宋体" w:cs="宋体"/>
                <w:color w:val="auto"/>
                <w:szCs w:val="21"/>
                <w:highlight w:val="none"/>
              </w:rPr>
              <w:t>2.瓜果类：个体保存完整；具有瓜果固有的颜色和光泽；显示正常瓜果的成熟度和新鲜度；瓜果气味正常，没有腐败味和其他异味；个体个头及长度符合正常的瓜果尺寸；个体无畸形、个头无过度弯曲情况。</w:t>
            </w:r>
          </w:p>
          <w:p>
            <w:pPr>
              <w:autoSpaceDE w:val="0"/>
              <w:autoSpaceDN w:val="0"/>
              <w:adjustRightInd w:val="0"/>
              <w:jc w:val="left"/>
              <w:rPr>
                <w:rFonts w:hint="eastAsia" w:ascii="宋体" w:hAnsi="宋体" w:cs="宋体"/>
                <w:color w:val="auto"/>
                <w:szCs w:val="21"/>
                <w:highlight w:val="none"/>
              </w:rPr>
            </w:pPr>
            <w:r>
              <w:rPr>
                <w:rFonts w:hint="eastAsia" w:ascii="宋体" w:hAnsi="宋体" w:cs="宋体"/>
                <w:color w:val="auto"/>
                <w:szCs w:val="21"/>
                <w:highlight w:val="none"/>
              </w:rPr>
              <w:t>3.带叶蔬菜保证叶面色泽新鲜和形状完整，严禁提供摘采时间过长和变黄变质的蔬菜。</w:t>
            </w:r>
          </w:p>
          <w:p>
            <w:pPr>
              <w:autoSpaceDE w:val="0"/>
              <w:autoSpaceDN w:val="0"/>
              <w:adjustRightInd w:val="0"/>
              <w:jc w:val="left"/>
              <w:rPr>
                <w:rFonts w:hint="eastAsia" w:ascii="宋体" w:hAnsi="宋体" w:cs="宋体"/>
                <w:color w:val="auto"/>
                <w:szCs w:val="21"/>
                <w:highlight w:val="none"/>
              </w:rPr>
            </w:pPr>
            <w:r>
              <w:rPr>
                <w:rFonts w:hint="eastAsia" w:ascii="宋体" w:hAnsi="宋体" w:cs="宋体"/>
                <w:color w:val="auto"/>
                <w:szCs w:val="21"/>
                <w:highlight w:val="none"/>
              </w:rPr>
              <w:t>4.严禁使用国家法律法规明令禁止使用的有毒有害物质对蔬菜产品进行保鲜、包装和处理。</w:t>
            </w:r>
          </w:p>
          <w:p>
            <w:pPr>
              <w:autoSpaceDE w:val="0"/>
              <w:autoSpaceDN w:val="0"/>
              <w:adjustRightInd w:val="0"/>
              <w:jc w:val="left"/>
              <w:rPr>
                <w:rFonts w:hint="eastAsia" w:ascii="宋体" w:hAnsi="宋体" w:cs="宋体"/>
                <w:color w:val="auto"/>
                <w:szCs w:val="21"/>
                <w:highlight w:val="none"/>
              </w:rPr>
            </w:pPr>
            <w:r>
              <w:rPr>
                <w:rFonts w:hint="eastAsia" w:ascii="宋体" w:hAnsi="宋体" w:cs="宋体"/>
                <w:color w:val="auto"/>
                <w:szCs w:val="21"/>
                <w:highlight w:val="none"/>
              </w:rPr>
              <w:t>5.不得提供农药残留超标及变质、劣质的蔬菜。</w:t>
            </w:r>
          </w:p>
          <w:p>
            <w:pPr>
              <w:autoSpaceDE w:val="0"/>
              <w:autoSpaceDN w:val="0"/>
              <w:adjustRightInd w:val="0"/>
              <w:jc w:val="left"/>
              <w:rPr>
                <w:rFonts w:hint="eastAsia" w:ascii="宋体" w:hAnsi="宋体" w:cs="宋体"/>
                <w:color w:val="auto"/>
                <w:szCs w:val="21"/>
                <w:highlight w:val="none"/>
              </w:rPr>
            </w:pPr>
            <w:r>
              <w:rPr>
                <w:rFonts w:hint="eastAsia" w:ascii="宋体" w:hAnsi="宋体" w:cs="宋体"/>
                <w:color w:val="auto"/>
                <w:szCs w:val="21"/>
                <w:highlight w:val="none"/>
              </w:rPr>
              <w:t>6.所有蔬菜按时提交检测报告。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jc w:val="center"/>
        </w:trPr>
        <w:tc>
          <w:tcPr>
            <w:tcW w:w="664" w:type="dxa"/>
            <w:vAlign w:val="center"/>
          </w:tcPr>
          <w:p>
            <w:pPr>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8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鲜肉类</w:t>
            </w:r>
          </w:p>
        </w:tc>
        <w:tc>
          <w:tcPr>
            <w:tcW w:w="1114"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猪肉</w:t>
            </w:r>
          </w:p>
        </w:tc>
        <w:tc>
          <w:tcPr>
            <w:tcW w:w="6961"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1.必须符合鲜(冻)畜肉符合国家及行业相关标准，保证无异味、无霉烂变质。严禁提供伤残、污染或变质猪肉，私宰猪、黄膘猪、米猪、母猪以及各种病猪。</w:t>
            </w:r>
          </w:p>
          <w:p>
            <w:pPr>
              <w:rPr>
                <w:rFonts w:hint="eastAsia" w:ascii="宋体" w:hAnsi="宋体" w:cs="宋体"/>
                <w:color w:val="auto"/>
                <w:szCs w:val="21"/>
                <w:highlight w:val="none"/>
              </w:rPr>
            </w:pPr>
            <w:r>
              <w:rPr>
                <w:rFonts w:hint="eastAsia" w:ascii="宋体" w:hAnsi="宋体" w:cs="宋体"/>
                <w:color w:val="auto"/>
                <w:szCs w:val="21"/>
                <w:highlight w:val="none"/>
              </w:rPr>
              <w:t>2.新鲜猪肉的肌肉应色泽鲜红、有光泽、层次分明、肉质紧实、脂肪呈乳白色，骨头为白色或微黄色,无异味。</w:t>
            </w:r>
          </w:p>
          <w:p>
            <w:pPr>
              <w:rPr>
                <w:rFonts w:hint="eastAsia" w:ascii="宋体" w:hAnsi="宋体" w:cs="宋体"/>
                <w:color w:val="auto"/>
                <w:szCs w:val="21"/>
                <w:highlight w:val="none"/>
              </w:rPr>
            </w:pPr>
            <w:r>
              <w:rPr>
                <w:rFonts w:hint="eastAsia" w:ascii="宋体" w:hAnsi="宋体" w:cs="宋体"/>
                <w:color w:val="auto"/>
                <w:szCs w:val="21"/>
                <w:highlight w:val="none"/>
              </w:rPr>
              <w:t>3.猪肉外表微干或微浸润，切面应不渗水或不渗血水，反之则为注水猪肉。</w:t>
            </w:r>
          </w:p>
          <w:p>
            <w:pPr>
              <w:rPr>
                <w:rFonts w:hint="eastAsia" w:ascii="宋体" w:hAnsi="宋体" w:cs="宋体"/>
                <w:color w:val="auto"/>
                <w:szCs w:val="21"/>
                <w:highlight w:val="none"/>
              </w:rPr>
            </w:pPr>
            <w:r>
              <w:rPr>
                <w:rFonts w:hint="eastAsia" w:ascii="宋体" w:hAnsi="宋体" w:cs="宋体"/>
                <w:color w:val="auto"/>
                <w:szCs w:val="21"/>
                <w:highlight w:val="none"/>
              </w:rPr>
              <w:t>4.色泽：肌肉有光泽，颜色均匀，脂肪乳白色。组织状态：纤维清晰，有坚韧性，指压后凹陷立即恢复，肉质紧密，有坚韧性。</w:t>
            </w:r>
          </w:p>
          <w:p>
            <w:pPr>
              <w:rPr>
                <w:rFonts w:hint="eastAsia" w:ascii="宋体" w:hAnsi="宋体" w:cs="宋体"/>
                <w:color w:val="auto"/>
                <w:szCs w:val="21"/>
                <w:highlight w:val="none"/>
              </w:rPr>
            </w:pPr>
            <w:r>
              <w:rPr>
                <w:rFonts w:hint="eastAsia" w:ascii="宋体" w:hAnsi="宋体" w:cs="宋体"/>
                <w:color w:val="auto"/>
                <w:szCs w:val="21"/>
                <w:highlight w:val="none"/>
              </w:rPr>
              <w:t>5.所供每批次鲜肉必须有齐全的防疫检验证明合格证。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jc w:val="center"/>
        </w:trPr>
        <w:tc>
          <w:tcPr>
            <w:tcW w:w="664" w:type="dxa"/>
            <w:vAlign w:val="center"/>
          </w:tcPr>
          <w:p>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8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鲜家禽类</w:t>
            </w:r>
          </w:p>
        </w:tc>
        <w:tc>
          <w:tcPr>
            <w:tcW w:w="1114" w:type="dxa"/>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鸡、鸭</w:t>
            </w:r>
          </w:p>
        </w:tc>
        <w:tc>
          <w:tcPr>
            <w:tcW w:w="6961"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1.严禁提供由死鸡、死鸭、病鸡、病鸭宰杀的鸡鸭。</w:t>
            </w:r>
          </w:p>
          <w:p>
            <w:pPr>
              <w:rPr>
                <w:rFonts w:hint="eastAsia" w:ascii="宋体" w:hAnsi="宋体" w:cs="宋体"/>
                <w:color w:val="auto"/>
                <w:szCs w:val="21"/>
                <w:highlight w:val="none"/>
              </w:rPr>
            </w:pPr>
            <w:r>
              <w:rPr>
                <w:rFonts w:hint="eastAsia" w:ascii="宋体" w:hAnsi="宋体" w:cs="宋体"/>
                <w:color w:val="auto"/>
                <w:szCs w:val="21"/>
                <w:highlight w:val="none"/>
              </w:rPr>
              <w:t>2.严禁打水，在送货的过程中不能受到污染。</w:t>
            </w:r>
          </w:p>
          <w:p>
            <w:pPr>
              <w:rPr>
                <w:rFonts w:hint="eastAsia" w:ascii="宋体" w:hAnsi="宋体" w:cs="宋体"/>
                <w:color w:val="auto"/>
                <w:szCs w:val="21"/>
                <w:highlight w:val="none"/>
              </w:rPr>
            </w:pPr>
            <w:r>
              <w:rPr>
                <w:rFonts w:hint="eastAsia" w:ascii="宋体" w:hAnsi="宋体" w:cs="宋体"/>
                <w:color w:val="auto"/>
                <w:szCs w:val="21"/>
                <w:highlight w:val="none"/>
              </w:rPr>
              <w:t>3.要求皮面光滑、无毛，膛内清理干净，不留板油、肺以及喉管、气管等杂物；</w:t>
            </w:r>
          </w:p>
          <w:p>
            <w:pPr>
              <w:rPr>
                <w:rFonts w:hint="eastAsia" w:ascii="宋体" w:hAnsi="宋体" w:cs="宋体"/>
                <w:color w:val="auto"/>
                <w:szCs w:val="21"/>
                <w:highlight w:val="none"/>
              </w:rPr>
            </w:pPr>
            <w:r>
              <w:rPr>
                <w:rFonts w:hint="eastAsia" w:ascii="宋体" w:hAnsi="宋体" w:cs="宋体"/>
                <w:color w:val="auto"/>
                <w:szCs w:val="21"/>
                <w:highlight w:val="none"/>
              </w:rPr>
              <w:t>4.按照采购方要求进行粗加工的块状。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jc w:val="center"/>
        </w:trPr>
        <w:tc>
          <w:tcPr>
            <w:tcW w:w="664" w:type="dxa"/>
            <w:vAlign w:val="center"/>
          </w:tcPr>
          <w:p>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888" w:type="dxa"/>
            <w:vAlign w:val="center"/>
          </w:tcPr>
          <w:p>
            <w:pPr>
              <w:jc w:val="center"/>
              <w:rPr>
                <w:rFonts w:hint="eastAsia" w:ascii="宋体" w:hAnsi="宋体" w:cs="宋体"/>
                <w:color w:val="auto"/>
                <w:szCs w:val="21"/>
                <w:highlight w:val="none"/>
              </w:rPr>
            </w:pPr>
            <w:r>
              <w:rPr>
                <w:rFonts w:hint="eastAsia" w:ascii="宋体" w:hAnsi="宋体" w:cs="宋体"/>
                <w:bCs/>
                <w:color w:val="auto"/>
                <w:szCs w:val="21"/>
                <w:highlight w:val="none"/>
                <w:lang w:eastAsia="zh-CN"/>
              </w:rPr>
              <w:t>海鲜</w:t>
            </w:r>
            <w:r>
              <w:rPr>
                <w:rFonts w:hint="eastAsia" w:ascii="宋体" w:hAnsi="宋体" w:cs="宋体"/>
                <w:bCs/>
                <w:color w:val="auto"/>
                <w:szCs w:val="21"/>
                <w:highlight w:val="none"/>
              </w:rPr>
              <w:t>类</w:t>
            </w:r>
          </w:p>
        </w:tc>
        <w:tc>
          <w:tcPr>
            <w:tcW w:w="1114" w:type="dxa"/>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鱼</w:t>
            </w:r>
          </w:p>
        </w:tc>
        <w:tc>
          <w:tcPr>
            <w:tcW w:w="6961"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1.严禁提供由死鱼、病鱼、宰杀的鱼产品；</w:t>
            </w:r>
          </w:p>
          <w:p>
            <w:pPr>
              <w:rPr>
                <w:rFonts w:hint="eastAsia" w:ascii="宋体" w:hAnsi="宋体" w:cs="宋体"/>
                <w:color w:val="auto"/>
                <w:szCs w:val="21"/>
                <w:highlight w:val="none"/>
              </w:rPr>
            </w:pPr>
            <w:r>
              <w:rPr>
                <w:rFonts w:hint="eastAsia" w:ascii="宋体" w:hAnsi="宋体" w:cs="宋体"/>
                <w:color w:val="auto"/>
                <w:szCs w:val="21"/>
                <w:highlight w:val="none"/>
              </w:rPr>
              <w:t>2.在送货的过程中不能受到污染。</w:t>
            </w:r>
          </w:p>
          <w:p>
            <w:pPr>
              <w:rPr>
                <w:rFonts w:hint="eastAsia" w:ascii="宋体" w:hAnsi="宋体" w:cs="宋体"/>
                <w:color w:val="auto"/>
                <w:szCs w:val="21"/>
                <w:highlight w:val="none"/>
              </w:rPr>
            </w:pPr>
            <w:r>
              <w:rPr>
                <w:rFonts w:hint="eastAsia" w:ascii="宋体" w:hAnsi="宋体" w:cs="宋体"/>
                <w:color w:val="auto"/>
                <w:szCs w:val="21"/>
                <w:highlight w:val="none"/>
              </w:rPr>
              <w:t>3.要求皮面光滑，无外表损伤、膛内清理干净，等杂物；</w:t>
            </w:r>
          </w:p>
          <w:p>
            <w:pPr>
              <w:rPr>
                <w:rFonts w:hint="eastAsia" w:ascii="宋体" w:hAnsi="宋体" w:cs="宋体"/>
                <w:color w:val="auto"/>
                <w:szCs w:val="21"/>
                <w:highlight w:val="none"/>
              </w:rPr>
            </w:pPr>
            <w:r>
              <w:rPr>
                <w:rFonts w:hint="eastAsia" w:ascii="宋体" w:hAnsi="宋体" w:cs="宋体"/>
                <w:color w:val="auto"/>
                <w:szCs w:val="21"/>
                <w:highlight w:val="none"/>
              </w:rPr>
              <w:t>4.要求当天新鲜宰杀的，无异味，腐烂变味。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64" w:type="dxa"/>
            <w:vAlign w:val="center"/>
          </w:tcPr>
          <w:p>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88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禽蛋类</w:t>
            </w:r>
          </w:p>
        </w:tc>
        <w:tc>
          <w:tcPr>
            <w:tcW w:w="1114" w:type="dxa"/>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禽蛋</w:t>
            </w:r>
          </w:p>
        </w:tc>
        <w:tc>
          <w:tcPr>
            <w:tcW w:w="6961"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1.产品应具有禽蛋固有的色泽，产品个头大小均匀一致，蛋壳清洁完整无破裂。</w:t>
            </w:r>
          </w:p>
          <w:p>
            <w:pPr>
              <w:rPr>
                <w:rFonts w:hint="eastAsia" w:ascii="宋体" w:hAnsi="宋体" w:cs="宋体"/>
                <w:color w:val="auto"/>
                <w:szCs w:val="21"/>
                <w:highlight w:val="none"/>
              </w:rPr>
            </w:pPr>
            <w:r>
              <w:rPr>
                <w:rFonts w:hint="eastAsia" w:ascii="宋体" w:hAnsi="宋体" w:cs="宋体"/>
                <w:color w:val="auto"/>
                <w:szCs w:val="21"/>
                <w:highlight w:val="none"/>
              </w:rPr>
              <w:t>2.打开后蛋黄凸起、完整、有韧性，蛋白与蛋黄正常分离，蛋白澄清透明，稀稠分明，具有禽蛋固有的气味，无异味，变质等问题。</w:t>
            </w:r>
          </w:p>
          <w:p>
            <w:pPr>
              <w:rPr>
                <w:rFonts w:hint="eastAsia" w:ascii="宋体" w:hAnsi="宋体" w:cs="宋体"/>
                <w:color w:val="auto"/>
                <w:szCs w:val="21"/>
                <w:highlight w:val="none"/>
              </w:rPr>
            </w:pPr>
            <w:r>
              <w:rPr>
                <w:rFonts w:hint="eastAsia" w:ascii="宋体" w:hAnsi="宋体" w:cs="宋体"/>
                <w:color w:val="auto"/>
                <w:szCs w:val="21"/>
                <w:highlight w:val="none"/>
              </w:rPr>
              <w:t>3.蛋内不得有血块、黑点、杂质及其他组织异物。</w:t>
            </w:r>
          </w:p>
          <w:p>
            <w:pPr>
              <w:rPr>
                <w:rFonts w:hint="eastAsia" w:ascii="宋体" w:hAnsi="宋体" w:cs="宋体"/>
                <w:color w:val="auto"/>
                <w:szCs w:val="21"/>
                <w:highlight w:val="none"/>
              </w:rPr>
            </w:pPr>
            <w:r>
              <w:rPr>
                <w:rFonts w:hint="eastAsia" w:ascii="宋体" w:hAnsi="宋体" w:cs="宋体"/>
                <w:color w:val="auto"/>
                <w:szCs w:val="21"/>
                <w:highlight w:val="none"/>
              </w:rPr>
              <w:t>4.每板鸡蛋重量≥3.8斤，蛋塔皮重≤0.2斤。</w:t>
            </w:r>
          </w:p>
          <w:p>
            <w:pPr>
              <w:rPr>
                <w:rFonts w:hint="eastAsia" w:ascii="宋体" w:hAnsi="宋体" w:cs="宋体"/>
                <w:color w:val="auto"/>
                <w:szCs w:val="21"/>
                <w:highlight w:val="none"/>
              </w:rPr>
            </w:pPr>
            <w:r>
              <w:rPr>
                <w:rFonts w:hint="eastAsia" w:ascii="宋体" w:hAnsi="宋体" w:cs="宋体"/>
                <w:color w:val="auto"/>
                <w:szCs w:val="21"/>
                <w:highlight w:val="none"/>
              </w:rPr>
              <w:t>5.所供每批次鸡蛋必须有齐全的防疫检验证明合格证。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664" w:type="dxa"/>
            <w:vAlign w:val="center"/>
          </w:tcPr>
          <w:p>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88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粉面</w:t>
            </w:r>
          </w:p>
        </w:tc>
        <w:tc>
          <w:tcPr>
            <w:tcW w:w="1114" w:type="dxa"/>
            <w:vAlign w:val="center"/>
          </w:tcPr>
          <w:p>
            <w:pPr>
              <w:jc w:val="center"/>
              <w:rPr>
                <w:rFonts w:hint="eastAsia" w:ascii="宋体" w:hAnsi="宋体" w:cs="宋体"/>
                <w:bCs/>
                <w:color w:val="auto"/>
                <w:szCs w:val="21"/>
                <w:highlight w:val="none"/>
              </w:rPr>
            </w:pPr>
            <w:r>
              <w:rPr>
                <w:rFonts w:hint="eastAsia" w:ascii="宋体" w:hAnsi="宋体" w:cs="宋体"/>
                <w:color w:val="auto"/>
                <w:szCs w:val="21"/>
                <w:highlight w:val="none"/>
                <w:lang w:eastAsia="zh-CN"/>
              </w:rPr>
              <w:t>粉面</w:t>
            </w:r>
          </w:p>
        </w:tc>
        <w:tc>
          <w:tcPr>
            <w:tcW w:w="6961"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1.产品必须符合国家及行业相关标准，保证新鲜，无异味，外观白净；</w:t>
            </w:r>
          </w:p>
          <w:p>
            <w:pPr>
              <w:rPr>
                <w:rFonts w:hint="eastAsia" w:ascii="宋体" w:hAnsi="宋体" w:cs="宋体"/>
                <w:color w:val="auto"/>
                <w:szCs w:val="21"/>
                <w:highlight w:val="none"/>
              </w:rPr>
            </w:pPr>
            <w:r>
              <w:rPr>
                <w:rFonts w:hint="eastAsia" w:ascii="宋体" w:hAnsi="宋体" w:cs="宋体"/>
                <w:color w:val="auto"/>
                <w:szCs w:val="21"/>
                <w:highlight w:val="none"/>
              </w:rPr>
              <w:t>2.必须保证食用安全，绝无其它有害物质和添加剂的留存；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664" w:type="dxa"/>
            <w:vAlign w:val="center"/>
          </w:tcPr>
          <w:p>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7</w:t>
            </w:r>
          </w:p>
        </w:tc>
        <w:tc>
          <w:tcPr>
            <w:tcW w:w="88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干货、 调味品类</w:t>
            </w:r>
          </w:p>
        </w:tc>
        <w:tc>
          <w:tcPr>
            <w:tcW w:w="1114" w:type="dxa"/>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干货、 调味品</w:t>
            </w:r>
          </w:p>
        </w:tc>
        <w:tc>
          <w:tcPr>
            <w:tcW w:w="6961"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1.产品符合国家及行业相关标准，标明加工厂名称、品名、生产日期、 保质期或保存期，供货时的剩余保质期不少于二分之一，产品标准号等内容；</w:t>
            </w:r>
          </w:p>
          <w:p>
            <w:pPr>
              <w:rPr>
                <w:rFonts w:hint="eastAsia" w:ascii="宋体" w:hAnsi="宋体" w:cs="宋体"/>
                <w:color w:val="auto"/>
                <w:szCs w:val="21"/>
                <w:highlight w:val="none"/>
              </w:rPr>
            </w:pPr>
            <w:r>
              <w:rPr>
                <w:rFonts w:hint="eastAsia" w:ascii="宋体" w:hAnsi="宋体" w:cs="宋体"/>
                <w:color w:val="auto"/>
                <w:szCs w:val="21"/>
                <w:highlight w:val="none"/>
              </w:rPr>
              <w:t>2.生抽：颜色比较红、亮，有光泽、透明，把生抽倒在瓶子里后，摇一下，产生的泡沫非常细腻，保持持久，挂碗现象非常好，有一种发黏的感觉；</w:t>
            </w:r>
          </w:p>
          <w:p>
            <w:pPr>
              <w:rPr>
                <w:rFonts w:hint="eastAsia" w:ascii="宋体" w:hAnsi="宋体" w:cs="宋体"/>
                <w:color w:val="auto"/>
                <w:szCs w:val="21"/>
                <w:highlight w:val="none"/>
              </w:rPr>
            </w:pPr>
            <w:r>
              <w:rPr>
                <w:rFonts w:hint="eastAsia" w:ascii="宋体" w:hAnsi="宋体" w:cs="宋体"/>
                <w:color w:val="auto"/>
                <w:szCs w:val="21"/>
                <w:highlight w:val="none"/>
              </w:rPr>
              <w:t xml:space="preserve">3.醋：具有正常食醋的色泽、气味和滋味，不涩，无其他不良气味与异味，无浮物，不浑浊，无沉淀，无异物，无醋鳗、醋虱。 </w:t>
            </w:r>
          </w:p>
          <w:p>
            <w:pPr>
              <w:rPr>
                <w:rFonts w:hint="eastAsia" w:ascii="宋体" w:hAnsi="宋体" w:cs="宋体"/>
                <w:color w:val="auto"/>
                <w:szCs w:val="21"/>
                <w:highlight w:val="none"/>
              </w:rPr>
            </w:pPr>
            <w:r>
              <w:rPr>
                <w:rFonts w:hint="eastAsia" w:ascii="宋体" w:hAnsi="宋体" w:cs="宋体"/>
                <w:color w:val="auto"/>
                <w:szCs w:val="21"/>
                <w:highlight w:val="none"/>
              </w:rPr>
              <w:t>4.食盐：结晶整齐一致，坚硬光滑，呈透明或半透明，不结块，无反卤吸潮现象，无杂质，沾取少许尝试具有纯正的咸味；</w:t>
            </w:r>
          </w:p>
          <w:p>
            <w:pPr>
              <w:rPr>
                <w:rFonts w:hint="eastAsia" w:ascii="宋体" w:hAnsi="宋体" w:cs="宋体"/>
                <w:color w:val="auto"/>
                <w:szCs w:val="21"/>
                <w:highlight w:val="none"/>
              </w:rPr>
            </w:pPr>
            <w:r>
              <w:rPr>
                <w:rFonts w:hint="eastAsia" w:ascii="宋体" w:hAnsi="宋体" w:cs="宋体"/>
                <w:color w:val="auto"/>
                <w:szCs w:val="21"/>
                <w:highlight w:val="none"/>
              </w:rPr>
              <w:t>5.味精、鸡精等：结晶或粉末，具有特殊的鲜味，无异味，无肉眼可见杂质，无返卤吸潮现象。</w:t>
            </w:r>
          </w:p>
          <w:p>
            <w:pPr>
              <w:rPr>
                <w:rFonts w:hint="eastAsia" w:ascii="宋体" w:hAnsi="宋体" w:cs="宋体"/>
                <w:color w:val="auto"/>
                <w:szCs w:val="21"/>
                <w:highlight w:val="none"/>
              </w:rPr>
            </w:pPr>
            <w:r>
              <w:rPr>
                <w:rFonts w:hint="eastAsia" w:ascii="宋体" w:hAnsi="宋体" w:cs="宋体"/>
                <w:color w:val="auto"/>
                <w:szCs w:val="21"/>
                <w:highlight w:val="none"/>
              </w:rPr>
              <w:t xml:space="preserve">6.辣椒粉：呈干燥状，具有该香料科植物所特有的色、香、味，没有不纯正的气味和味道，无发霉或其他异味； </w:t>
            </w:r>
          </w:p>
          <w:p>
            <w:pPr>
              <w:rPr>
                <w:rFonts w:hint="eastAsia" w:ascii="宋体" w:hAnsi="宋体" w:cs="宋体"/>
                <w:color w:val="auto"/>
                <w:szCs w:val="21"/>
                <w:highlight w:val="none"/>
              </w:rPr>
            </w:pPr>
            <w:r>
              <w:rPr>
                <w:rFonts w:hint="eastAsia" w:ascii="宋体" w:hAnsi="宋体" w:cs="宋体"/>
                <w:color w:val="auto"/>
                <w:szCs w:val="21"/>
                <w:highlight w:val="none"/>
              </w:rPr>
              <w:t>7.其他调味品：具有固有色泽和香味，无污染、色泽、气味、口味正常，无异味或霉味（霉变），无杂质异物等。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664" w:type="dxa"/>
            <w:vAlign w:val="center"/>
          </w:tcPr>
          <w:p>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8</w:t>
            </w:r>
          </w:p>
        </w:tc>
        <w:tc>
          <w:tcPr>
            <w:tcW w:w="88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水果</w:t>
            </w:r>
            <w:r>
              <w:rPr>
                <w:rFonts w:hint="eastAsia" w:ascii="宋体" w:hAnsi="宋体" w:cs="宋体"/>
                <w:color w:val="auto"/>
                <w:szCs w:val="21"/>
                <w:highlight w:val="none"/>
              </w:rPr>
              <w:t>类</w:t>
            </w:r>
          </w:p>
        </w:tc>
        <w:tc>
          <w:tcPr>
            <w:tcW w:w="1114" w:type="dxa"/>
            <w:vAlign w:val="center"/>
          </w:tcPr>
          <w:p>
            <w:pPr>
              <w:jc w:val="center"/>
              <w:rPr>
                <w:rFonts w:hint="eastAsia" w:ascii="宋体" w:hAnsi="宋体" w:cs="宋体"/>
                <w:bCs/>
                <w:color w:val="auto"/>
                <w:szCs w:val="21"/>
                <w:highlight w:val="none"/>
              </w:rPr>
            </w:pPr>
            <w:r>
              <w:rPr>
                <w:rFonts w:hint="eastAsia" w:ascii="宋体" w:hAnsi="宋体" w:cs="宋体"/>
                <w:color w:val="auto"/>
                <w:szCs w:val="21"/>
                <w:highlight w:val="none"/>
                <w:lang w:eastAsia="zh-CN"/>
              </w:rPr>
              <w:t>水果</w:t>
            </w:r>
          </w:p>
        </w:tc>
        <w:tc>
          <w:tcPr>
            <w:tcW w:w="6961"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1.色泽自然、无霉变、产品质量在同类市场上中上水平。</w:t>
            </w:r>
          </w:p>
          <w:p>
            <w:pPr>
              <w:rPr>
                <w:rFonts w:hint="eastAsia" w:ascii="宋体" w:hAnsi="宋体" w:cs="宋体"/>
                <w:color w:val="auto"/>
                <w:szCs w:val="21"/>
                <w:highlight w:val="none"/>
              </w:rPr>
            </w:pPr>
            <w:r>
              <w:rPr>
                <w:rFonts w:hint="eastAsia" w:ascii="宋体" w:hAnsi="宋体" w:cs="宋体"/>
                <w:color w:val="auto"/>
                <w:szCs w:val="21"/>
                <w:highlight w:val="none"/>
              </w:rPr>
              <w:t>2.无霉变、无虫蛀。</w:t>
            </w:r>
          </w:p>
          <w:p>
            <w:pPr>
              <w:rPr>
                <w:rFonts w:hint="eastAsia" w:ascii="宋体" w:hAnsi="宋体" w:cs="宋体"/>
                <w:color w:val="auto"/>
                <w:szCs w:val="21"/>
                <w:highlight w:val="none"/>
              </w:rPr>
            </w:pPr>
            <w:r>
              <w:rPr>
                <w:rFonts w:hint="eastAsia" w:ascii="宋体" w:hAnsi="宋体" w:cs="宋体"/>
                <w:color w:val="auto"/>
                <w:szCs w:val="21"/>
                <w:highlight w:val="none"/>
              </w:rPr>
              <w:t>3.颗粒均匀，无异味。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664" w:type="dxa"/>
            <w:vAlign w:val="center"/>
          </w:tcPr>
          <w:p>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9</w:t>
            </w:r>
          </w:p>
        </w:tc>
        <w:tc>
          <w:tcPr>
            <w:tcW w:w="88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菜点装饰</w:t>
            </w:r>
            <w:r>
              <w:rPr>
                <w:rFonts w:hint="eastAsia" w:ascii="宋体" w:hAnsi="宋体" w:cs="宋体"/>
                <w:color w:val="auto"/>
                <w:szCs w:val="21"/>
                <w:highlight w:val="none"/>
              </w:rPr>
              <w:t>类</w:t>
            </w:r>
          </w:p>
        </w:tc>
        <w:tc>
          <w:tcPr>
            <w:tcW w:w="1114" w:type="dxa"/>
            <w:vAlign w:val="center"/>
          </w:tcPr>
          <w:p>
            <w:pPr>
              <w:jc w:val="center"/>
              <w:rPr>
                <w:rFonts w:hint="eastAsia" w:ascii="宋体" w:hAnsi="宋体" w:cs="宋体"/>
                <w:bCs/>
                <w:color w:val="auto"/>
                <w:szCs w:val="21"/>
                <w:highlight w:val="none"/>
              </w:rPr>
            </w:pPr>
            <w:r>
              <w:rPr>
                <w:rFonts w:hint="eastAsia" w:ascii="宋体" w:hAnsi="宋体" w:cs="宋体"/>
                <w:color w:val="auto"/>
                <w:szCs w:val="21"/>
                <w:highlight w:val="none"/>
                <w:lang w:eastAsia="zh-CN"/>
              </w:rPr>
              <w:t>菜点装饰的花草</w:t>
            </w:r>
          </w:p>
        </w:tc>
        <w:tc>
          <w:tcPr>
            <w:tcW w:w="6961"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1.色泽自然、无霉变、产品质量在同类市场上中上水平。</w:t>
            </w:r>
          </w:p>
          <w:p>
            <w:pPr>
              <w:rPr>
                <w:rFonts w:hint="eastAsia" w:ascii="宋体" w:hAnsi="宋体" w:cs="宋体"/>
                <w:color w:val="auto"/>
                <w:szCs w:val="21"/>
                <w:highlight w:val="none"/>
              </w:rPr>
            </w:pPr>
            <w:r>
              <w:rPr>
                <w:rFonts w:hint="eastAsia" w:ascii="宋体" w:hAnsi="宋体" w:cs="宋体"/>
                <w:color w:val="auto"/>
                <w:szCs w:val="21"/>
                <w:highlight w:val="none"/>
              </w:rPr>
              <w:t>2.无异味、无虫蛀。</w:t>
            </w:r>
          </w:p>
          <w:p>
            <w:pPr>
              <w:rPr>
                <w:rFonts w:hint="eastAsia" w:ascii="宋体" w:hAnsi="宋体" w:cs="宋体"/>
                <w:color w:val="auto"/>
                <w:szCs w:val="21"/>
                <w:highlight w:val="none"/>
              </w:rPr>
            </w:pPr>
          </w:p>
        </w:tc>
      </w:tr>
    </w:tbl>
    <w:p>
      <w:pPr>
        <w:adjustRightInd w:val="0"/>
        <w:snapToGrid w:val="0"/>
        <w:spacing w:line="360" w:lineRule="auto"/>
        <w:ind w:firstLine="210" w:firstLineChars="100"/>
        <w:rPr>
          <w:rFonts w:hint="eastAsia" w:ascii="宋体" w:hAnsi="宋体" w:cs="宋体"/>
          <w:b w:val="0"/>
          <w:bCs/>
          <w:color w:val="auto"/>
          <w:szCs w:val="21"/>
          <w:highlight w:val="none"/>
        </w:rPr>
      </w:pP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八</w:t>
      </w:r>
      <w:r>
        <w:rPr>
          <w:rFonts w:hint="eastAsia" w:ascii="宋体" w:hAnsi="宋体" w:cs="宋体"/>
          <w:b w:val="0"/>
          <w:bCs/>
          <w:color w:val="auto"/>
          <w:szCs w:val="21"/>
          <w:highlight w:val="none"/>
        </w:rPr>
        <w:t>）报价、结算方式：</w:t>
      </w:r>
    </w:p>
    <w:p>
      <w:pPr>
        <w:tabs>
          <w:tab w:val="left" w:pos="310"/>
        </w:tabs>
        <w:adjustRightInd w:val="0"/>
        <w:snapToGrid w:val="0"/>
        <w:spacing w:line="360" w:lineRule="auto"/>
        <w:ind w:firstLine="630" w:firstLineChars="300"/>
        <w:rPr>
          <w:rFonts w:hint="eastAsia" w:ascii="宋体" w:hAnsi="宋体" w:eastAsia="宋体" w:cs="宋体"/>
          <w:color w:val="auto"/>
          <w:szCs w:val="21"/>
          <w:highlight w:val="none"/>
          <w:lang w:val="en-US" w:eastAsia="zh-CN" w:bidi="zh-TW"/>
        </w:rPr>
      </w:pPr>
      <w:r>
        <w:rPr>
          <w:rFonts w:hint="eastAsia" w:ascii="宋体" w:hAnsi="宋体" w:eastAsia="宋体" w:cs="宋体"/>
          <w:color w:val="auto"/>
          <w:szCs w:val="21"/>
          <w:highlight w:val="none"/>
          <w:lang w:val="en-US" w:eastAsia="zh-CN" w:bidi="zh-TW"/>
        </w:rPr>
        <w:t>1、本项目按综合折扣率（%）方式进行报价</w:t>
      </w:r>
      <w:r>
        <w:rPr>
          <w:rFonts w:hint="eastAsia" w:ascii="宋体" w:hAnsi="宋体" w:eastAsia="宋体" w:cs="宋体"/>
          <w:color w:val="auto"/>
          <w:sz w:val="21"/>
          <w:szCs w:val="21"/>
          <w:highlight w:val="none"/>
        </w:rPr>
        <w:t>（即：</w:t>
      </w:r>
      <w:r>
        <w:rPr>
          <w:rFonts w:hint="eastAsia" w:ascii="宋体" w:hAnsi="宋体" w:eastAsia="宋体" w:cs="宋体"/>
          <w:color w:val="auto"/>
          <w:sz w:val="21"/>
          <w:szCs w:val="21"/>
          <w:highlight w:val="none"/>
          <w:lang w:eastAsia="zh-CN"/>
        </w:rPr>
        <w:t>结算金额=市场调查价格*综合折扣率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pPr>
        <w:tabs>
          <w:tab w:val="left" w:pos="310"/>
        </w:tabs>
        <w:adjustRightInd w:val="0"/>
        <w:snapToGrid w:val="0"/>
        <w:spacing w:line="360" w:lineRule="auto"/>
        <w:ind w:firstLine="630" w:firstLineChars="300"/>
        <w:rPr>
          <w:rFonts w:hint="eastAsia" w:ascii="宋体" w:hAnsi="宋体" w:eastAsia="宋体" w:cs="宋体"/>
          <w:color w:val="auto"/>
          <w:szCs w:val="21"/>
          <w:highlight w:val="none"/>
          <w:lang w:val="en-US" w:eastAsia="zh-CN" w:bidi="zh-TW"/>
        </w:rPr>
      </w:pPr>
      <w:r>
        <w:rPr>
          <w:rFonts w:hint="eastAsia" w:ascii="宋体" w:hAnsi="宋体" w:eastAsia="宋体" w:cs="宋体"/>
          <w:color w:val="auto"/>
          <w:szCs w:val="21"/>
          <w:highlight w:val="none"/>
          <w:lang w:val="en-US" w:eastAsia="zh-CN" w:bidi="zh-TW"/>
        </w:rPr>
        <w:t>2</w:t>
      </w:r>
      <w:r>
        <w:rPr>
          <w:rFonts w:hint="eastAsia" w:ascii="宋体" w:hAnsi="宋体" w:cs="宋体"/>
          <w:color w:val="auto"/>
          <w:szCs w:val="21"/>
          <w:highlight w:val="none"/>
          <w:lang w:val="en-US" w:eastAsia="zh-CN" w:bidi="zh-TW"/>
        </w:rPr>
        <w:t>、</w:t>
      </w:r>
      <w:r>
        <w:rPr>
          <w:rFonts w:hint="eastAsia" w:ascii="宋体" w:hAnsi="宋体" w:eastAsia="宋体" w:cs="宋体"/>
          <w:color w:val="auto"/>
          <w:szCs w:val="21"/>
          <w:highlight w:val="none"/>
          <w:lang w:val="en-US" w:eastAsia="zh-CN" w:bidi="zh-TW"/>
        </w:rPr>
        <w:t>本项目采用先供货后对账再结算方式，本项目无预付款。</w:t>
      </w:r>
    </w:p>
    <w:p>
      <w:pPr>
        <w:tabs>
          <w:tab w:val="left" w:pos="310"/>
        </w:tabs>
        <w:adjustRightInd w:val="0"/>
        <w:snapToGrid w:val="0"/>
        <w:spacing w:line="360" w:lineRule="auto"/>
        <w:ind w:firstLine="630" w:firstLineChars="300"/>
        <w:rPr>
          <w:rFonts w:hint="eastAsia" w:ascii="宋体" w:hAnsi="宋体" w:cs="宋体"/>
          <w:color w:val="auto"/>
          <w:szCs w:val="21"/>
          <w:highlight w:val="none"/>
          <w:lang w:val="en-US" w:eastAsia="zh-CN" w:bidi="zh-TW"/>
        </w:rPr>
      </w:pPr>
      <w:r>
        <w:rPr>
          <w:rFonts w:hint="eastAsia" w:ascii="宋体" w:hAnsi="宋体" w:eastAsia="宋体" w:cs="宋体"/>
          <w:color w:val="auto"/>
          <w:szCs w:val="21"/>
          <w:highlight w:val="none"/>
          <w:lang w:val="en-US" w:eastAsia="zh-CN" w:bidi="zh-TW"/>
        </w:rPr>
        <w:t>3</w:t>
      </w:r>
      <w:r>
        <w:rPr>
          <w:rFonts w:hint="eastAsia" w:ascii="宋体" w:hAnsi="宋体" w:cs="宋体"/>
          <w:color w:val="auto"/>
          <w:szCs w:val="21"/>
          <w:highlight w:val="none"/>
          <w:lang w:val="en-US" w:eastAsia="zh-CN" w:bidi="zh-TW"/>
        </w:rPr>
        <w:t>、</w:t>
      </w:r>
      <w:r>
        <w:rPr>
          <w:rFonts w:hint="eastAsia" w:ascii="宋体" w:hAnsi="宋体" w:eastAsia="宋体" w:cs="宋体"/>
          <w:color w:val="auto"/>
          <w:szCs w:val="21"/>
          <w:highlight w:val="none"/>
          <w:lang w:val="en-US" w:eastAsia="zh-CN" w:bidi="zh-TW"/>
        </w:rPr>
        <w:t>食材市场调查价格：由成交供应商每月进行一次市场调查，形成市场价格目录表提供给采购人，采购人根据其提供的市场价格目录表进行市场核价，双方按核查后的市场价格作为此期间市场调查价格。本项目市场调查地点为桂林市当地大型超市或农贸市场</w:t>
      </w:r>
      <w:r>
        <w:rPr>
          <w:rFonts w:hint="eastAsia" w:ascii="宋体" w:hAnsi="宋体" w:cs="宋体"/>
          <w:color w:val="auto"/>
          <w:szCs w:val="21"/>
          <w:highlight w:val="none"/>
          <w:lang w:val="en-US" w:eastAsia="zh-CN" w:bidi="zh-TW"/>
        </w:rPr>
        <w:t>。</w:t>
      </w:r>
    </w:p>
    <w:p>
      <w:pPr>
        <w:tabs>
          <w:tab w:val="left" w:pos="310"/>
        </w:tabs>
        <w:adjustRightInd w:val="0"/>
        <w:snapToGrid w:val="0"/>
        <w:spacing w:line="360" w:lineRule="auto"/>
        <w:ind w:firstLine="630" w:firstLineChars="300"/>
        <w:rPr>
          <w:rFonts w:hint="eastAsia" w:ascii="宋体" w:hAnsi="宋体" w:eastAsia="宋体" w:cs="宋体"/>
          <w:color w:val="auto"/>
          <w:szCs w:val="21"/>
          <w:highlight w:val="none"/>
          <w:lang w:val="zh-TW" w:eastAsia="zh-CN" w:bidi="zh-TW"/>
        </w:rPr>
      </w:pPr>
      <w:r>
        <w:rPr>
          <w:rFonts w:hint="eastAsia" w:ascii="宋体" w:hAnsi="宋体" w:eastAsia="宋体" w:cs="宋体"/>
          <w:color w:val="auto"/>
          <w:szCs w:val="21"/>
          <w:highlight w:val="none"/>
          <w:lang w:val="en-US" w:eastAsia="zh-CN" w:bidi="zh-TW"/>
        </w:rPr>
        <w:t>4、</w:t>
      </w:r>
      <w:r>
        <w:rPr>
          <w:rFonts w:hint="eastAsia" w:ascii="宋体" w:hAnsi="宋体" w:eastAsia="宋体" w:cs="宋体"/>
          <w:color w:val="auto"/>
          <w:szCs w:val="21"/>
          <w:highlight w:val="none"/>
          <w:lang w:val="zh-TW" w:eastAsia="zh-CN" w:bidi="zh-TW"/>
        </w:rPr>
        <w:t>供货协议期内的每一个定价周期，除消费物价指数（CPI）发生大幅波动等特殊情况除，不允许上调本定价周期内的物资协议价。</w:t>
      </w:r>
    </w:p>
    <w:p>
      <w:pPr>
        <w:widowControl/>
        <w:snapToGrid w:val="0"/>
        <w:spacing w:line="40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二</w:t>
      </w:r>
      <w:r>
        <w:rPr>
          <w:rFonts w:hint="eastAsia" w:ascii="宋体" w:hAnsi="宋体" w:cs="宋体"/>
          <w:b/>
          <w:bCs/>
          <w:color w:val="auto"/>
          <w:szCs w:val="21"/>
          <w:highlight w:val="none"/>
        </w:rPr>
        <w:t>、商务要求</w:t>
      </w:r>
    </w:p>
    <w:p>
      <w:pPr>
        <w:widowControl/>
        <w:snapToGrid w:val="0"/>
        <w:spacing w:line="400" w:lineRule="exact"/>
        <w:jc w:val="left"/>
        <w:rPr>
          <w:rFonts w:hint="eastAsia" w:ascii="宋体" w:hAnsi="宋体" w:cs="宋体"/>
          <w:b/>
          <w:color w:val="auto"/>
          <w:szCs w:val="21"/>
          <w:highlight w:val="none"/>
        </w:rPr>
      </w:pPr>
      <w:r>
        <w:rPr>
          <w:rFonts w:hint="eastAsia" w:ascii="宋体" w:hAnsi="宋体" w:cs="宋体"/>
          <w:b/>
          <w:bCs/>
          <w:color w:val="auto"/>
          <w:szCs w:val="21"/>
          <w:highlight w:val="none"/>
        </w:rPr>
        <w:t xml:space="preserve">   （一）</w:t>
      </w:r>
      <w:r>
        <w:rPr>
          <w:rFonts w:hint="eastAsia" w:ascii="宋体" w:hAnsi="宋体" w:cs="宋体"/>
          <w:b/>
          <w:color w:val="auto"/>
          <w:szCs w:val="21"/>
          <w:highlight w:val="none"/>
        </w:rPr>
        <w:t>服务时间及服务地点：</w:t>
      </w:r>
    </w:p>
    <w:p>
      <w:pPr>
        <w:widowControl/>
        <w:snapToGrid w:val="0"/>
        <w:spacing w:line="400" w:lineRule="exact"/>
        <w:jc w:val="left"/>
        <w:rPr>
          <w:rFonts w:hint="eastAsia" w:ascii="宋体" w:hAnsi="宋体" w:cs="宋体"/>
          <w:b/>
          <w:bCs/>
          <w:color w:val="auto"/>
          <w:szCs w:val="21"/>
          <w:highlight w:val="none"/>
        </w:rPr>
      </w:pPr>
      <w:r>
        <w:rPr>
          <w:rFonts w:hint="eastAsia" w:ascii="宋体" w:hAnsi="宋体" w:cs="宋体"/>
          <w:b/>
          <w:color w:val="auto"/>
          <w:szCs w:val="21"/>
          <w:highlight w:val="none"/>
        </w:rPr>
        <w:t xml:space="preserve">    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服务时间：</w:t>
      </w:r>
      <w:r>
        <w:rPr>
          <w:rFonts w:hint="eastAsia" w:ascii="宋体" w:hAnsi="宋体" w:cs="宋体"/>
          <w:b/>
          <w:bCs/>
          <w:color w:val="auto"/>
          <w:szCs w:val="21"/>
          <w:highlight w:val="none"/>
        </w:rPr>
        <w:t>自签订合同之日起至服务满</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年整</w:t>
      </w:r>
      <w:r>
        <w:rPr>
          <w:rFonts w:hint="eastAsia" w:ascii="宋体" w:hAnsi="宋体" w:cs="宋体"/>
          <w:b/>
          <w:bCs/>
          <w:color w:val="auto"/>
          <w:szCs w:val="21"/>
          <w:highlight w:val="none"/>
          <w:lang w:eastAsia="zh-CN"/>
        </w:rPr>
        <w:t>为止</w:t>
      </w:r>
      <w:r>
        <w:rPr>
          <w:rFonts w:hint="eastAsia" w:ascii="宋体" w:hAnsi="宋体" w:cs="宋体"/>
          <w:b/>
          <w:bCs/>
          <w:color w:val="auto"/>
          <w:szCs w:val="21"/>
          <w:highlight w:val="none"/>
        </w:rPr>
        <w:t>（具体实施日期以签订合同为准）。</w:t>
      </w:r>
    </w:p>
    <w:p>
      <w:pPr>
        <w:widowControl/>
        <w:snapToGrid w:val="0"/>
        <w:spacing w:line="400" w:lineRule="exact"/>
        <w:jc w:val="left"/>
        <w:rPr>
          <w:rFonts w:hint="eastAsia" w:ascii="宋体" w:hAnsi="宋体" w:cs="宋体"/>
          <w:b/>
          <w:color w:val="auto"/>
          <w:szCs w:val="21"/>
          <w:highlight w:val="none"/>
        </w:rPr>
      </w:pPr>
      <w:r>
        <w:rPr>
          <w:rFonts w:hint="eastAsia" w:ascii="宋体" w:hAnsi="宋体" w:cs="宋体"/>
          <w:b/>
          <w:bCs/>
          <w:color w:val="auto"/>
          <w:szCs w:val="21"/>
          <w:highlight w:val="none"/>
        </w:rPr>
        <w:t xml:space="preserve">    2</w:t>
      </w:r>
      <w:r>
        <w:rPr>
          <w:rFonts w:hint="eastAsia" w:ascii="宋体" w:hAnsi="宋体" w:cs="宋体"/>
          <w:b/>
          <w:bCs/>
          <w:color w:val="auto"/>
          <w:szCs w:val="21"/>
          <w:highlight w:val="none"/>
          <w:lang w:eastAsia="zh-CN"/>
        </w:rPr>
        <w:t>、</w:t>
      </w:r>
      <w:r>
        <w:rPr>
          <w:rFonts w:hint="eastAsia" w:ascii="宋体" w:hAnsi="宋体" w:cs="宋体"/>
          <w:b/>
          <w:color w:val="auto"/>
          <w:szCs w:val="21"/>
          <w:highlight w:val="none"/>
        </w:rPr>
        <w:t>服务地点：广西桂林市采购人指定地点。</w:t>
      </w:r>
    </w:p>
    <w:p>
      <w:pPr>
        <w:spacing w:line="400" w:lineRule="exact"/>
        <w:rPr>
          <w:rFonts w:hint="eastAsia" w:ascii="宋体" w:hAnsi="宋体" w:cs="宋体"/>
          <w:b/>
          <w:color w:val="auto"/>
          <w:kern w:val="0"/>
          <w:szCs w:val="21"/>
          <w:highlight w:val="none"/>
          <w:shd w:val="clear" w:color="auto" w:fill="FFFFFF"/>
        </w:rPr>
      </w:pPr>
      <w:r>
        <w:rPr>
          <w:rFonts w:hint="eastAsia" w:ascii="宋体" w:hAnsi="宋体" w:cs="宋体"/>
          <w:b/>
          <w:bCs/>
          <w:color w:val="auto"/>
          <w:szCs w:val="21"/>
          <w:highlight w:val="none"/>
        </w:rPr>
        <w:t xml:space="preserve">   （二）付款方式：</w:t>
      </w:r>
      <w:r>
        <w:rPr>
          <w:rFonts w:hint="eastAsia" w:ascii="宋体" w:hAnsi="宋体" w:cs="宋体"/>
          <w:b/>
          <w:bCs/>
          <w:color w:val="auto"/>
          <w:szCs w:val="21"/>
          <w:highlight w:val="none"/>
          <w:lang w:eastAsia="zh-CN"/>
        </w:rPr>
        <w:t>成交供应商</w:t>
      </w:r>
      <w:r>
        <w:rPr>
          <w:rFonts w:hint="eastAsia" w:ascii="宋体" w:hAnsi="宋体" w:eastAsia="宋体" w:cs="宋体"/>
          <w:b/>
          <w:bCs/>
          <w:color w:val="auto"/>
          <w:szCs w:val="21"/>
          <w:highlight w:val="none"/>
        </w:rPr>
        <w:t>每月10日前提供上个月供应货物等额发票及供货单据结算货款，</w:t>
      </w:r>
      <w:r>
        <w:rPr>
          <w:rFonts w:hint="eastAsia" w:ascii="宋体" w:hAnsi="宋体" w:eastAsia="宋体" w:cs="宋体"/>
          <w:b/>
          <w:bCs/>
          <w:color w:val="auto"/>
          <w:szCs w:val="21"/>
          <w:highlight w:val="none"/>
          <w:lang w:eastAsia="zh-CN"/>
        </w:rPr>
        <w:t>每月结</w:t>
      </w:r>
      <w:r>
        <w:rPr>
          <w:rFonts w:hint="eastAsia" w:ascii="宋体" w:hAnsi="宋体" w:eastAsia="宋体" w:cs="宋体"/>
          <w:b/>
          <w:bCs/>
          <w:color w:val="auto"/>
          <w:szCs w:val="21"/>
          <w:highlight w:val="none"/>
        </w:rPr>
        <w:t>算一次。采购人在收到等额发票及对账确认单据，并办理相关审核、审批手续后，拟在20个工作日内，以银行转账方式或者刷公务卡向</w:t>
      </w:r>
      <w:r>
        <w:rPr>
          <w:rFonts w:hint="eastAsia" w:ascii="宋体" w:hAnsi="宋体" w:eastAsia="宋体" w:cs="宋体"/>
          <w:b/>
          <w:bCs/>
          <w:color w:val="auto"/>
          <w:szCs w:val="21"/>
          <w:highlight w:val="none"/>
          <w:lang w:eastAsia="zh-CN"/>
        </w:rPr>
        <w:t>成交供应商</w:t>
      </w:r>
      <w:r>
        <w:rPr>
          <w:rFonts w:hint="eastAsia" w:ascii="宋体" w:hAnsi="宋体" w:eastAsia="宋体" w:cs="宋体"/>
          <w:b/>
          <w:bCs/>
          <w:color w:val="auto"/>
          <w:szCs w:val="21"/>
          <w:highlight w:val="none"/>
        </w:rPr>
        <w:t>付货款。</w:t>
      </w:r>
      <w:r>
        <w:rPr>
          <w:rFonts w:hint="eastAsia" w:ascii="宋体" w:hAnsi="宋体" w:eastAsia="宋体" w:cs="宋体"/>
          <w:b/>
          <w:bCs/>
          <w:color w:val="auto"/>
          <w:szCs w:val="21"/>
          <w:highlight w:val="none"/>
          <w:lang w:eastAsia="zh-CN"/>
        </w:rPr>
        <w:t>成交供应商</w:t>
      </w:r>
      <w:r>
        <w:rPr>
          <w:rFonts w:hint="eastAsia" w:ascii="宋体" w:hAnsi="宋体" w:eastAsia="宋体" w:cs="宋体"/>
          <w:b/>
          <w:bCs/>
          <w:color w:val="auto"/>
          <w:szCs w:val="21"/>
          <w:highlight w:val="none"/>
        </w:rPr>
        <w:t>须按时足额提供</w:t>
      </w:r>
      <w:r>
        <w:rPr>
          <w:rFonts w:hint="eastAsia" w:ascii="宋体" w:hAnsi="宋体" w:cs="宋体"/>
          <w:b/>
          <w:bCs/>
          <w:color w:val="auto"/>
          <w:szCs w:val="21"/>
          <w:highlight w:val="none"/>
          <w:lang w:eastAsia="zh-CN"/>
        </w:rPr>
        <w:t>增值税发票</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w:t>
      </w:r>
      <w:r>
        <w:rPr>
          <w:rFonts w:hint="eastAsia" w:ascii="宋体" w:hAnsi="宋体" w:eastAsia="宋体" w:cs="宋体"/>
          <w:b/>
          <w:bCs/>
          <w:color w:val="auto"/>
          <w:szCs w:val="21"/>
          <w:highlight w:val="none"/>
        </w:rPr>
        <w:t>则采购人有权拒绝付款而不构成违约。</w:t>
      </w:r>
      <w:r>
        <w:rPr>
          <w:rFonts w:hint="eastAsia" w:ascii="宋体" w:hAnsi="宋体" w:eastAsia="宋体" w:cs="宋体"/>
          <w:b/>
          <w:bCs/>
          <w:color w:val="auto"/>
          <w:szCs w:val="21"/>
          <w:highlight w:val="none"/>
          <w:lang w:eastAsia="zh-CN"/>
        </w:rPr>
        <w:t>成交供应商</w:t>
      </w:r>
      <w:r>
        <w:rPr>
          <w:rFonts w:hint="eastAsia" w:ascii="宋体" w:hAnsi="宋体" w:eastAsia="宋体" w:cs="宋体"/>
          <w:b/>
          <w:bCs/>
          <w:color w:val="auto"/>
          <w:szCs w:val="21"/>
          <w:highlight w:val="none"/>
        </w:rPr>
        <w:t>开具的发票必须真实、合法、 有效，如</w:t>
      </w:r>
      <w:r>
        <w:rPr>
          <w:rFonts w:hint="eastAsia" w:ascii="宋体" w:hAnsi="宋体" w:eastAsia="宋体" w:cs="宋体"/>
          <w:b/>
          <w:bCs/>
          <w:color w:val="auto"/>
          <w:szCs w:val="21"/>
          <w:highlight w:val="none"/>
          <w:lang w:eastAsia="zh-CN"/>
        </w:rPr>
        <w:t>成交供应商</w:t>
      </w:r>
      <w:r>
        <w:rPr>
          <w:rFonts w:hint="eastAsia" w:ascii="宋体" w:hAnsi="宋体" w:eastAsia="宋体" w:cs="宋体"/>
          <w:b/>
          <w:bCs/>
          <w:color w:val="auto"/>
          <w:szCs w:val="21"/>
          <w:highlight w:val="none"/>
        </w:rPr>
        <w:t>提供虚假发票，由此引发的一切责任由</w:t>
      </w:r>
      <w:r>
        <w:rPr>
          <w:rFonts w:hint="eastAsia" w:ascii="宋体" w:hAnsi="宋体" w:eastAsia="宋体" w:cs="宋体"/>
          <w:b/>
          <w:bCs/>
          <w:color w:val="auto"/>
          <w:szCs w:val="21"/>
          <w:highlight w:val="none"/>
          <w:lang w:eastAsia="zh-CN"/>
        </w:rPr>
        <w:t>成交供应商负责</w:t>
      </w:r>
      <w:r>
        <w:rPr>
          <w:rFonts w:hint="eastAsia" w:ascii="宋体" w:hAnsi="宋体" w:cs="宋体"/>
          <w:b/>
          <w:bCs/>
          <w:color w:val="auto"/>
          <w:szCs w:val="21"/>
          <w:highlight w:val="none"/>
        </w:rPr>
        <w:t>。</w:t>
      </w:r>
    </w:p>
    <w:p>
      <w:pPr>
        <w:widowControl/>
        <w:shd w:val="clear" w:color="auto" w:fill="FFFFFF"/>
        <w:spacing w:line="420" w:lineRule="exact"/>
        <w:rPr>
          <w:rFonts w:hint="eastAsia" w:ascii="宋体" w:hAnsi="宋体" w:cs="宋体"/>
          <w:b/>
          <w:bCs/>
          <w:color w:val="auto"/>
          <w:szCs w:val="21"/>
          <w:highlight w:val="none"/>
        </w:rPr>
      </w:pPr>
      <w:r>
        <w:rPr>
          <w:rFonts w:hint="eastAsia" w:ascii="宋体" w:hAnsi="宋体" w:cs="宋体"/>
          <w:b/>
          <w:color w:val="auto"/>
          <w:kern w:val="0"/>
          <w:szCs w:val="21"/>
          <w:highlight w:val="none"/>
          <w:shd w:val="clear" w:color="auto" w:fill="FFFFFF"/>
        </w:rPr>
        <w:t xml:space="preserve">   </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本项目采购预算金额为（人民币）：</w:t>
      </w:r>
      <w:r>
        <w:rPr>
          <w:rFonts w:hint="eastAsia" w:ascii="宋体" w:hAnsi="宋体" w:cs="宋体"/>
          <w:b/>
          <w:bCs/>
          <w:color w:val="auto"/>
          <w:szCs w:val="21"/>
          <w:highlight w:val="none"/>
          <w:lang w:eastAsia="zh-CN"/>
        </w:rPr>
        <w:t>贰佰壹拾万</w:t>
      </w:r>
      <w:r>
        <w:rPr>
          <w:rFonts w:hint="eastAsia" w:ascii="宋体" w:hAnsi="宋体" w:cs="宋体"/>
          <w:b/>
          <w:bCs/>
          <w:color w:val="auto"/>
          <w:szCs w:val="21"/>
          <w:highlight w:val="none"/>
        </w:rPr>
        <w:t>元整（￥</w:t>
      </w:r>
      <w:r>
        <w:rPr>
          <w:rFonts w:hint="eastAsia" w:ascii="宋体" w:hAnsi="宋体" w:cs="宋体"/>
          <w:b/>
          <w:bCs/>
          <w:color w:val="auto"/>
          <w:szCs w:val="21"/>
          <w:highlight w:val="none"/>
          <w:lang w:val="en-US" w:eastAsia="zh-CN"/>
        </w:rPr>
        <w:t>2100000</w:t>
      </w:r>
      <w:r>
        <w:rPr>
          <w:rFonts w:hint="eastAsia" w:ascii="宋体" w:hAnsi="宋体" w:cs="宋体"/>
          <w:b/>
          <w:bCs/>
          <w:color w:val="auto"/>
          <w:szCs w:val="21"/>
          <w:highlight w:val="none"/>
        </w:rPr>
        <w:t>.00），</w:t>
      </w:r>
      <w:r>
        <w:rPr>
          <w:rFonts w:hint="eastAsia" w:ascii="宋体" w:hAnsi="宋体" w:cs="宋体"/>
          <w:b/>
          <w:bCs/>
          <w:color w:val="auto"/>
          <w:szCs w:val="21"/>
          <w:highlight w:val="none"/>
          <w:lang w:eastAsia="zh-CN"/>
        </w:rPr>
        <w:t>磋商报价</w:t>
      </w:r>
      <w:r>
        <w:rPr>
          <w:rFonts w:hint="eastAsia" w:ascii="宋体" w:hAnsi="宋体" w:cs="宋体"/>
          <w:b/>
          <w:bCs/>
          <w:color w:val="auto"/>
          <w:szCs w:val="21"/>
          <w:highlight w:val="none"/>
        </w:rPr>
        <w:t>按综合折扣率报价，</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综合折扣率报价不得高于</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0%，否则</w:t>
      </w:r>
      <w:r>
        <w:rPr>
          <w:rFonts w:hint="eastAsia" w:ascii="宋体" w:hAnsi="宋体" w:cs="宋体"/>
          <w:b/>
          <w:bCs/>
          <w:color w:val="auto"/>
          <w:szCs w:val="21"/>
          <w:highlight w:val="none"/>
          <w:lang w:eastAsia="zh-CN"/>
        </w:rPr>
        <w:t>响应文件</w:t>
      </w:r>
      <w:r>
        <w:rPr>
          <w:rFonts w:hint="eastAsia" w:ascii="宋体" w:hAnsi="宋体" w:cs="宋体"/>
          <w:b/>
          <w:bCs/>
          <w:color w:val="auto"/>
          <w:szCs w:val="21"/>
          <w:highlight w:val="none"/>
        </w:rPr>
        <w:t>将被视为无效处理。</w:t>
      </w:r>
    </w:p>
    <w:p>
      <w:pPr>
        <w:spacing w:line="360" w:lineRule="exact"/>
        <w:ind w:firstLine="517" w:firstLineChars="245"/>
        <w:rPr>
          <w:rFonts w:hint="eastAsia" w:ascii="宋体" w:hAnsi="宋体" w:cs="宋体"/>
          <w:b/>
          <w:bCs/>
          <w:color w:val="auto"/>
          <w:szCs w:val="21"/>
          <w:highlight w:val="none"/>
        </w:rPr>
      </w:pPr>
      <w:r>
        <w:rPr>
          <w:rFonts w:hint="eastAsia" w:ascii="宋体" w:hAnsi="宋体" w:cs="宋体"/>
          <w:b/>
          <w:bCs/>
          <w:color w:val="auto"/>
          <w:szCs w:val="21"/>
          <w:highlight w:val="none"/>
        </w:rPr>
        <w:t>注：本“</w:t>
      </w:r>
      <w:r>
        <w:rPr>
          <w:rFonts w:hint="eastAsia" w:ascii="宋体" w:hAnsi="宋体" w:cs="宋体"/>
          <w:b/>
          <w:bCs/>
          <w:color w:val="auto"/>
          <w:szCs w:val="21"/>
          <w:highlight w:val="none"/>
          <w:lang w:eastAsia="zh-CN"/>
        </w:rPr>
        <w:t>采购</w:t>
      </w:r>
      <w:r>
        <w:rPr>
          <w:rFonts w:hint="eastAsia" w:ascii="宋体" w:hAnsi="宋体" w:cs="宋体"/>
          <w:b/>
          <w:bCs/>
          <w:color w:val="auto"/>
          <w:szCs w:val="21"/>
          <w:highlight w:val="none"/>
        </w:rPr>
        <w:t>需求”中的所有要求均为实质性要求。</w:t>
      </w:r>
    </w:p>
    <w:p>
      <w:pPr>
        <w:rPr>
          <w:color w:val="auto"/>
          <w:highlight w:val="none"/>
        </w:rPr>
      </w:pPr>
    </w:p>
    <w:bookmarkEnd w:id="136"/>
    <w:bookmarkEnd w:id="137"/>
    <w:bookmarkEnd w:id="138"/>
    <w:bookmarkEnd w:id="139"/>
    <w:p>
      <w:pPr>
        <w:pStyle w:val="11"/>
        <w:rPr>
          <w:rFonts w:hint="eastAsia"/>
          <w:color w:val="auto"/>
          <w:highlight w:val="none"/>
        </w:rPr>
      </w:pPr>
      <w:bookmarkStart w:id="140" w:name="_Toc24716"/>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3"/>
        <w:bidi w:val="0"/>
        <w:rPr>
          <w:rFonts w:hint="eastAsia"/>
          <w:color w:val="auto"/>
          <w:highlight w:val="none"/>
        </w:rPr>
      </w:pPr>
      <w:r>
        <w:rPr>
          <w:rFonts w:hint="eastAsia"/>
          <w:color w:val="auto"/>
          <w:highlight w:val="none"/>
          <w:lang w:eastAsia="zh-CN"/>
        </w:rPr>
        <w:t>第四章</w:t>
      </w:r>
      <w:r>
        <w:rPr>
          <w:rFonts w:hint="eastAsia"/>
          <w:color w:val="auto"/>
          <w:highlight w:val="none"/>
          <w:lang w:val="en-US" w:eastAsia="zh-CN"/>
        </w:rPr>
        <w:t xml:space="preserve"> </w:t>
      </w:r>
      <w:r>
        <w:rPr>
          <w:rFonts w:hint="eastAsia"/>
          <w:color w:val="auto"/>
          <w:highlight w:val="none"/>
        </w:rPr>
        <w:t>评审办法</w:t>
      </w:r>
      <w:bookmarkEnd w:id="140"/>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一、评审依据及方式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 评审依据：磋商小组以磋商文件和响应文件为评标依据，对磋商供应商的磋商报价、</w:t>
      </w:r>
      <w:r>
        <w:rPr>
          <w:rFonts w:hint="eastAsia" w:ascii="宋体" w:hAnsi="宋体" w:cs="宋体"/>
          <w:b w:val="0"/>
          <w:bCs w:val="0"/>
          <w:color w:val="auto"/>
          <w:sz w:val="21"/>
          <w:szCs w:val="21"/>
          <w:highlight w:val="none"/>
          <w:lang w:eastAsia="zh-CN"/>
        </w:rPr>
        <w:t>服务方案</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lang w:val="en-US" w:eastAsia="zh-CN"/>
        </w:rPr>
        <w:t>保障分、履约能力分</w:t>
      </w:r>
      <w:r>
        <w:rPr>
          <w:rFonts w:hint="eastAsia" w:ascii="宋体" w:hAnsi="宋体" w:eastAsia="宋体" w:cs="宋体"/>
          <w:b w:val="0"/>
          <w:bCs w:val="0"/>
          <w:color w:val="auto"/>
          <w:sz w:val="21"/>
          <w:szCs w:val="21"/>
          <w:highlight w:val="none"/>
        </w:rPr>
        <w:t>等几个方面内容按百分制打分。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 评审方式：以封闭方式进行评标。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 采购人和采购代理机构、磋商小组成员要严格遵守政府采购相关法律制度，依法履行各自职责，公正、客观、审慎地组织和参与评审工作。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二、评审办法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（一）对进入详评的，采用综合评分法。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（二）计分办法（按四舍五入取至小数点后二位）</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价格分………………………………………………………………………………………………</w:t>
      </w:r>
      <w:r>
        <w:rPr>
          <w:rFonts w:hint="eastAsia" w:ascii="宋体" w:hAnsi="宋体" w:eastAsia="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分</w:t>
      </w:r>
    </w:p>
    <w:p>
      <w:pPr>
        <w:numPr>
          <w:ilvl w:val="0"/>
          <w:numId w:val="0"/>
        </w:num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）满足磋商文件要求且最后报价最低</w:t>
      </w:r>
      <w:r>
        <w:rPr>
          <w:rFonts w:hint="eastAsia" w:ascii="宋体" w:hAnsi="宋体" w:eastAsia="宋体" w:cs="宋体"/>
          <w:color w:val="auto"/>
          <w:sz w:val="21"/>
          <w:szCs w:val="21"/>
          <w:highlight w:val="none"/>
          <w:lang w:eastAsia="zh-CN"/>
        </w:rPr>
        <w:t>（</w:t>
      </w:r>
      <w:r>
        <w:rPr>
          <w:rFonts w:hint="eastAsia" w:hAnsi="宋体" w:eastAsia="宋体" w:cs="宋体"/>
          <w:color w:val="auto"/>
          <w:sz w:val="21"/>
          <w:szCs w:val="21"/>
          <w:highlight w:val="none"/>
          <w:lang w:eastAsia="zh-CN"/>
        </w:rPr>
        <w:t>综合折扣率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的供应商的价格作为</w:t>
      </w:r>
      <w:r>
        <w:rPr>
          <w:rFonts w:hint="eastAsia" w:ascii="宋体" w:hAnsi="宋体" w:eastAsia="宋体" w:cs="宋体"/>
          <w:b/>
          <w:bCs/>
          <w:color w:val="auto"/>
          <w:sz w:val="21"/>
          <w:szCs w:val="21"/>
          <w:highlight w:val="none"/>
        </w:rPr>
        <w:t>磋商基准价</w:t>
      </w:r>
      <w:r>
        <w:rPr>
          <w:rFonts w:hint="eastAsia" w:ascii="宋体" w:hAnsi="宋体" w:eastAsia="宋体" w:cs="宋体"/>
          <w:color w:val="auto"/>
          <w:sz w:val="21"/>
          <w:szCs w:val="21"/>
          <w:highlight w:val="none"/>
        </w:rPr>
        <w:t>，其价格分为满分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pPr>
        <w:spacing w:line="400" w:lineRule="exact"/>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最低</w:t>
      </w:r>
      <w:r>
        <w:rPr>
          <w:rFonts w:hint="eastAsia" w:ascii="宋体" w:hAnsi="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评标报价</w:t>
      </w:r>
      <w:r>
        <w:rPr>
          <w:rFonts w:hint="eastAsia" w:hAnsi="宋体" w:eastAsia="宋体" w:cs="宋体"/>
          <w:color w:val="auto"/>
          <w:sz w:val="21"/>
          <w:szCs w:val="21"/>
          <w:highlight w:val="none"/>
          <w:lang w:eastAsia="zh-CN"/>
        </w:rPr>
        <w:t>综合折扣率</w:t>
      </w:r>
      <w:r>
        <w:rPr>
          <w:rFonts w:hint="eastAsia" w:ascii="宋体" w:hAnsi="宋体" w:eastAsia="宋体" w:cs="宋体"/>
          <w:b w:val="0"/>
          <w:bCs/>
          <w:color w:val="auto"/>
          <w:sz w:val="21"/>
          <w:szCs w:val="21"/>
          <w:highlight w:val="none"/>
        </w:rPr>
        <w:t xml:space="preserve"> </w:t>
      </w:r>
      <w:r>
        <w:rPr>
          <w:rFonts w:hint="eastAsia" w:ascii="宋体" w:hAnsi="宋体" w:eastAsia="宋体" w:cs="宋体"/>
          <w:color w:val="auto"/>
          <w:sz w:val="21"/>
          <w:szCs w:val="21"/>
          <w:highlight w:val="none"/>
        </w:rPr>
        <w:t xml:space="preserve">        </w:t>
      </w:r>
    </w:p>
    <w:p>
      <w:pPr>
        <w:spacing w:line="400" w:lineRule="exac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1714500</wp:posOffset>
                </wp:positionH>
                <wp:positionV relativeFrom="paragraph">
                  <wp:posOffset>129540</wp:posOffset>
                </wp:positionV>
                <wp:extent cx="220027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5pt;margin-top:10.2pt;height:0pt;width:173.25pt;z-index:251662336;mso-width-relative:page;mso-height-relative:page;" filled="f" stroked="t" coordsize="21600,21600" o:gfxdata="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IAeCnWAAAACQEAAA8AAAAAAAAAAQAgAAAAIgAAAGRycy9kb3ducmV2LnhtbFBL&#10;AQIUABQAAAAIAIdO4kAywhOQ+AEAAPIDAAAOAAAAAAAAAAEAIAAAACUBAABkcnMvZTJvRG9jLnht&#10;bFBLBQYAAAAABgAGAFkBAACPBQ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）磋商报价得分 =                                    　</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评标报价</w:t>
      </w:r>
      <w:r>
        <w:rPr>
          <w:rFonts w:hint="eastAsia" w:hAnsi="宋体" w:eastAsia="宋体" w:cs="宋体"/>
          <w:color w:val="auto"/>
          <w:sz w:val="21"/>
          <w:szCs w:val="21"/>
          <w:highlight w:val="none"/>
          <w:lang w:eastAsia="zh-CN"/>
        </w:rPr>
        <w:t>综合折扣率</w:t>
      </w:r>
      <w:r>
        <w:rPr>
          <w:rFonts w:hint="eastAsia" w:ascii="宋体" w:hAnsi="宋体" w:eastAsia="宋体" w:cs="宋体"/>
          <w:b w:val="0"/>
          <w:bCs w:val="0"/>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如供应商的最终报价明显低于其他通过符合性审查供应商的报价，有可能影响服务质量或者不能诚信履约的,磋商小组有权要求供应商在规定的时间内提供详细的成本核算的有关数据、清单及证明文件（包括采购成本、管理费用、人员成本构成、税收等所有成本和利润）。如果不提供或者提供的有关数据、清单及证明文件不完整或者所列的成本价格明显低于市场价的，磋商小组将其作为无效竞标处理。</w:t>
      </w:r>
    </w:p>
    <w:p>
      <w:pPr>
        <w:pStyle w:val="16"/>
        <w:spacing w:line="400" w:lineRule="exact"/>
        <w:ind w:firstLine="422" w:firstLineChars="200"/>
        <w:outlineLvl w:val="0"/>
        <w:rPr>
          <w:rFonts w:hint="eastAsia" w:ascii="宋体" w:hAnsi="宋体" w:eastAsia="宋体" w:cs="宋体"/>
          <w:color w:val="auto"/>
          <w:spacing w:val="-8"/>
          <w:sz w:val="21"/>
          <w:szCs w:val="21"/>
          <w:highlight w:val="none"/>
        </w:rPr>
      </w:pP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服</w:t>
      </w:r>
      <w:r>
        <w:rPr>
          <w:rFonts w:hint="eastAsia" w:ascii="宋体" w:hAnsi="宋体" w:eastAsia="宋体" w:cs="宋体"/>
          <w:b/>
          <w:bCs/>
          <w:color w:val="auto"/>
          <w:sz w:val="21"/>
          <w:szCs w:val="21"/>
          <w:highlight w:val="none"/>
          <w:lang w:eastAsia="zh-CN"/>
        </w:rPr>
        <w:t>务</w:t>
      </w:r>
      <w:r>
        <w:rPr>
          <w:rFonts w:hint="eastAsia" w:ascii="宋体" w:hAnsi="宋体" w:eastAsia="宋体" w:cs="宋体"/>
          <w:b/>
          <w:bCs/>
          <w:color w:val="auto"/>
          <w:sz w:val="21"/>
          <w:szCs w:val="21"/>
          <w:highlight w:val="none"/>
        </w:rPr>
        <w:t xml:space="preserve">方案分 </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w:t>
      </w:r>
      <w:r>
        <w:rPr>
          <w:rFonts w:hint="eastAsia" w:hAnsi="宋体" w:cs="宋体"/>
          <w:b/>
          <w:color w:val="auto"/>
          <w:sz w:val="21"/>
          <w:szCs w:val="21"/>
          <w:highlight w:val="none"/>
          <w:lang w:val="en-US" w:eastAsia="zh-CN"/>
        </w:rPr>
        <w:t>40</w:t>
      </w:r>
      <w:r>
        <w:rPr>
          <w:rFonts w:hint="eastAsia" w:ascii="宋体" w:hAnsi="宋体" w:eastAsia="宋体" w:cs="宋体"/>
          <w:b/>
          <w:color w:val="auto"/>
          <w:sz w:val="21"/>
          <w:szCs w:val="21"/>
          <w:highlight w:val="none"/>
        </w:rPr>
        <w:t>分</w:t>
      </w:r>
    </w:p>
    <w:p>
      <w:pPr>
        <w:pStyle w:val="16"/>
        <w:spacing w:line="400" w:lineRule="exact"/>
        <w:ind w:left="420" w:leftChars="200" w:firstLine="315" w:firstLineChars="15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eastAsia="zh-CN"/>
        </w:rPr>
        <w:t>磋商小组</w:t>
      </w:r>
      <w:r>
        <w:rPr>
          <w:rFonts w:hint="eastAsia" w:ascii="宋体" w:hAnsi="宋体" w:eastAsia="宋体" w:cs="宋体"/>
          <w:color w:val="auto"/>
          <w:sz w:val="21"/>
          <w:szCs w:val="21"/>
          <w:highlight w:val="none"/>
          <w:lang w:eastAsia="zh-CN"/>
        </w:rPr>
        <w:t>根据</w:t>
      </w:r>
      <w:r>
        <w:rPr>
          <w:rFonts w:hint="eastAsia" w:ascii="宋体" w:hAnsi="宋体" w:eastAsia="宋体" w:cs="宋体"/>
          <w:color w:val="auto"/>
          <w:sz w:val="21"/>
          <w:szCs w:val="21"/>
          <w:highlight w:val="none"/>
        </w:rPr>
        <w:t>供应商对本项目制定的保障规划、各项保障措施方案独立打分。（满分</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pStyle w:val="16"/>
        <w:spacing w:line="400" w:lineRule="exact"/>
        <w:ind w:left="420" w:leftChars="200" w:firstLine="525" w:firstLineChars="250"/>
        <w:outlineLvl w:val="0"/>
        <w:rPr>
          <w:rFonts w:hint="eastAsia" w:hAnsi="宋体" w:cs="宋体"/>
          <w:color w:val="auto"/>
          <w:sz w:val="21"/>
          <w:szCs w:val="21"/>
          <w:highlight w:val="none"/>
        </w:rPr>
      </w:pPr>
      <w:r>
        <w:rPr>
          <w:rFonts w:hint="eastAsia" w:hAnsi="宋体" w:cs="宋体"/>
          <w:color w:val="auto"/>
          <w:sz w:val="21"/>
          <w:szCs w:val="21"/>
          <w:highlight w:val="none"/>
        </w:rPr>
        <w:t>一档（</w:t>
      </w:r>
      <w:r>
        <w:rPr>
          <w:rFonts w:hint="eastAsia" w:hAnsi="宋体" w:cs="宋体"/>
          <w:color w:val="auto"/>
          <w:sz w:val="21"/>
          <w:szCs w:val="21"/>
          <w:highlight w:val="none"/>
          <w:lang w:val="en-US" w:eastAsia="zh-CN"/>
        </w:rPr>
        <w:t>0</w:t>
      </w:r>
      <w:r>
        <w:rPr>
          <w:rFonts w:hint="eastAsia" w:hAnsi="宋体" w:cs="宋体"/>
          <w:color w:val="auto"/>
          <w:sz w:val="21"/>
          <w:szCs w:val="21"/>
          <w:highlight w:val="none"/>
        </w:rPr>
        <w:t xml:space="preserve">分）： </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没有提供方案或方案不符合</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要求；</w:t>
      </w:r>
    </w:p>
    <w:p>
      <w:pPr>
        <w:pStyle w:val="16"/>
        <w:spacing w:line="400" w:lineRule="exact"/>
        <w:ind w:left="420" w:leftChars="200" w:firstLine="525" w:firstLineChars="250"/>
        <w:outlineLvl w:val="0"/>
        <w:rPr>
          <w:rFonts w:hint="eastAsia" w:eastAsia="宋体"/>
          <w:color w:val="auto"/>
          <w:highlight w:val="none"/>
          <w:lang w:eastAsia="zh-CN"/>
        </w:rPr>
      </w:pPr>
      <w:r>
        <w:rPr>
          <w:rFonts w:hint="eastAsia" w:hAnsi="宋体" w:cs="宋体"/>
          <w:color w:val="auto"/>
          <w:sz w:val="21"/>
          <w:szCs w:val="21"/>
          <w:highlight w:val="none"/>
        </w:rPr>
        <w:t>二档（</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分）</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提供方案</w:t>
      </w:r>
      <w:r>
        <w:rPr>
          <w:rFonts w:hint="eastAsia" w:hAnsi="宋体" w:cs="宋体"/>
          <w:color w:val="auto"/>
          <w:sz w:val="21"/>
          <w:szCs w:val="21"/>
          <w:highlight w:val="none"/>
          <w:lang w:val="en-US" w:eastAsia="zh-CN"/>
        </w:rPr>
        <w:t>仅</w:t>
      </w:r>
      <w:r>
        <w:rPr>
          <w:rFonts w:hint="eastAsia" w:hAnsi="宋体" w:cs="宋体"/>
          <w:color w:val="auto"/>
          <w:sz w:val="21"/>
          <w:szCs w:val="21"/>
          <w:highlight w:val="none"/>
        </w:rPr>
        <w:t>符合</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要求；</w:t>
      </w:r>
    </w:p>
    <w:p>
      <w:pPr>
        <w:pStyle w:val="16"/>
        <w:spacing w:line="400" w:lineRule="exact"/>
        <w:ind w:left="420" w:leftChars="200" w:firstLine="525" w:firstLineChars="250"/>
        <w:outlineLvl w:val="0"/>
        <w:rPr>
          <w:rFonts w:hint="eastAsia" w:hAnsi="宋体" w:cs="宋体"/>
          <w:color w:val="auto"/>
          <w:sz w:val="21"/>
          <w:szCs w:val="21"/>
          <w:highlight w:val="none"/>
        </w:rPr>
      </w:pPr>
      <w:r>
        <w:rPr>
          <w:rFonts w:hint="eastAsia" w:hAnsi="宋体" w:cs="宋体"/>
          <w:color w:val="auto"/>
          <w:sz w:val="21"/>
          <w:szCs w:val="21"/>
          <w:highlight w:val="none"/>
          <w:lang w:val="en-US" w:eastAsia="zh-CN"/>
        </w:rPr>
        <w:t>三</w:t>
      </w:r>
      <w:r>
        <w:rPr>
          <w:rFonts w:hint="eastAsia" w:hAnsi="宋体" w:cs="宋体"/>
          <w:color w:val="auto"/>
          <w:sz w:val="21"/>
          <w:szCs w:val="21"/>
          <w:highlight w:val="none"/>
        </w:rPr>
        <w:t>档（</w:t>
      </w:r>
      <w:r>
        <w:rPr>
          <w:rFonts w:hint="eastAsia" w:hAnsi="宋体" w:cs="宋体"/>
          <w:color w:val="auto"/>
          <w:sz w:val="21"/>
          <w:szCs w:val="21"/>
          <w:highlight w:val="none"/>
          <w:lang w:val="en-US" w:eastAsia="zh-CN"/>
        </w:rPr>
        <w:t>6</w:t>
      </w:r>
      <w:r>
        <w:rPr>
          <w:rFonts w:hint="eastAsia" w:hAnsi="宋体" w:cs="宋体"/>
          <w:color w:val="auto"/>
          <w:sz w:val="21"/>
          <w:szCs w:val="21"/>
          <w:highlight w:val="none"/>
        </w:rPr>
        <w:t>分）：</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的方案一般；</w:t>
      </w:r>
    </w:p>
    <w:p>
      <w:pPr>
        <w:pStyle w:val="16"/>
        <w:spacing w:line="400" w:lineRule="exact"/>
        <w:ind w:left="420" w:leftChars="200" w:firstLine="525" w:firstLineChars="250"/>
        <w:outlineLvl w:val="0"/>
        <w:rPr>
          <w:rFonts w:hint="eastAsia" w:hAnsi="宋体" w:cs="宋体"/>
          <w:color w:val="auto"/>
          <w:sz w:val="21"/>
          <w:szCs w:val="21"/>
          <w:highlight w:val="none"/>
        </w:rPr>
      </w:pPr>
      <w:r>
        <w:rPr>
          <w:rFonts w:hint="eastAsia" w:hAnsi="宋体" w:cs="宋体"/>
          <w:color w:val="auto"/>
          <w:sz w:val="21"/>
          <w:szCs w:val="21"/>
          <w:highlight w:val="none"/>
          <w:lang w:val="en-US" w:eastAsia="zh-CN"/>
        </w:rPr>
        <w:t>四</w:t>
      </w:r>
      <w:r>
        <w:rPr>
          <w:rFonts w:hint="eastAsia" w:ascii="Times New Roman" w:hAnsi="宋体" w:eastAsia="宋体" w:cs="宋体"/>
          <w:color w:val="auto"/>
          <w:sz w:val="21"/>
          <w:szCs w:val="21"/>
          <w:highlight w:val="none"/>
        </w:rPr>
        <w:t>档</w:t>
      </w:r>
      <w:r>
        <w:rPr>
          <w:rFonts w:hint="eastAsia" w:ascii="宋体" w:hAnsi="宋体" w:eastAsia="宋体" w:cs="宋体"/>
          <w:color w:val="auto"/>
          <w:kern w:val="2"/>
          <w:sz w:val="21"/>
          <w:szCs w:val="21"/>
          <w:highlight w:val="none"/>
          <w:lang w:val="en-US" w:eastAsia="zh-CN" w:bidi="ar-SA"/>
        </w:rPr>
        <w:t>（</w:t>
      </w:r>
      <w:r>
        <w:rPr>
          <w:rFonts w:hint="eastAsia"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分）：</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的方案完整，详细、实用</w:t>
      </w:r>
    </w:p>
    <w:p>
      <w:pPr>
        <w:pStyle w:val="16"/>
        <w:spacing w:line="400" w:lineRule="exact"/>
        <w:ind w:left="420" w:leftChars="200" w:firstLine="315" w:firstLineChars="15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hAnsi="宋体" w:cs="宋体"/>
          <w:color w:val="auto"/>
          <w:sz w:val="21"/>
          <w:szCs w:val="21"/>
          <w:highlight w:val="none"/>
          <w:lang w:eastAsia="zh-CN"/>
        </w:rPr>
        <w:t>磋商小组</w:t>
      </w:r>
      <w:r>
        <w:rPr>
          <w:rFonts w:hint="eastAsia" w:ascii="宋体" w:hAnsi="宋体" w:eastAsia="宋体" w:cs="宋体"/>
          <w:color w:val="auto"/>
          <w:sz w:val="21"/>
          <w:szCs w:val="21"/>
          <w:highlight w:val="none"/>
          <w:lang w:eastAsia="zh-CN"/>
        </w:rPr>
        <w:t>根据</w:t>
      </w:r>
      <w:r>
        <w:rPr>
          <w:rFonts w:hint="eastAsia" w:ascii="宋体" w:hAnsi="宋体" w:eastAsia="宋体" w:cs="宋体"/>
          <w:color w:val="auto"/>
          <w:sz w:val="21"/>
          <w:szCs w:val="21"/>
          <w:highlight w:val="none"/>
        </w:rPr>
        <w:t>供应商保证食品安全措施及售后服务和承诺方案情况独立打分。（满分</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pStyle w:val="16"/>
        <w:spacing w:line="400" w:lineRule="exact"/>
        <w:ind w:left="420" w:leftChars="200" w:firstLine="525" w:firstLineChars="250"/>
        <w:outlineLvl w:val="0"/>
        <w:rPr>
          <w:rFonts w:hint="eastAsia" w:ascii="宋体" w:hAnsi="宋体" w:eastAsia="宋体" w:cs="宋体"/>
          <w:color w:val="auto"/>
          <w:sz w:val="21"/>
          <w:szCs w:val="21"/>
          <w:highlight w:val="none"/>
        </w:rPr>
      </w:pPr>
      <w:r>
        <w:rPr>
          <w:rFonts w:hint="eastAsia" w:hAnsi="宋体" w:cs="宋体"/>
          <w:color w:val="auto"/>
          <w:sz w:val="21"/>
          <w:szCs w:val="21"/>
          <w:highlight w:val="none"/>
        </w:rPr>
        <w:t>一档（</w:t>
      </w:r>
      <w:r>
        <w:rPr>
          <w:rFonts w:hint="eastAsia" w:hAnsi="宋体" w:cs="宋体"/>
          <w:color w:val="auto"/>
          <w:sz w:val="21"/>
          <w:szCs w:val="21"/>
          <w:highlight w:val="none"/>
          <w:lang w:val="en-US" w:eastAsia="zh-CN"/>
        </w:rPr>
        <w:t>0</w:t>
      </w:r>
      <w:r>
        <w:rPr>
          <w:rFonts w:hint="eastAsia" w:hAnsi="宋体" w:cs="宋体"/>
          <w:color w:val="auto"/>
          <w:sz w:val="21"/>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没有提供方案或方案不符合</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p>
      <w:pPr>
        <w:pStyle w:val="16"/>
        <w:spacing w:line="400" w:lineRule="exact"/>
        <w:ind w:left="420" w:leftChars="200" w:firstLine="525" w:firstLineChars="250"/>
        <w:outlineLvl w:val="0"/>
        <w:rPr>
          <w:rFonts w:hint="eastAsia" w:eastAsia="宋体"/>
          <w:color w:val="auto"/>
          <w:highlight w:val="none"/>
          <w:lang w:eastAsia="zh-CN"/>
        </w:rPr>
      </w:pPr>
      <w:r>
        <w:rPr>
          <w:rFonts w:hint="eastAsia" w:hAnsi="宋体" w:cs="宋体"/>
          <w:color w:val="auto"/>
          <w:sz w:val="21"/>
          <w:szCs w:val="21"/>
          <w:highlight w:val="none"/>
        </w:rPr>
        <w:t>二档（</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分）</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提供方案</w:t>
      </w:r>
      <w:r>
        <w:rPr>
          <w:rFonts w:hint="eastAsia" w:hAnsi="宋体" w:cs="宋体"/>
          <w:color w:val="auto"/>
          <w:sz w:val="21"/>
          <w:szCs w:val="21"/>
          <w:highlight w:val="none"/>
          <w:lang w:val="en-US" w:eastAsia="zh-CN"/>
        </w:rPr>
        <w:t>仅</w:t>
      </w:r>
      <w:r>
        <w:rPr>
          <w:rFonts w:hint="eastAsia" w:hAnsi="宋体" w:cs="宋体"/>
          <w:color w:val="auto"/>
          <w:sz w:val="21"/>
          <w:szCs w:val="21"/>
          <w:highlight w:val="none"/>
        </w:rPr>
        <w:t>符合</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要求；</w:t>
      </w:r>
    </w:p>
    <w:p>
      <w:pPr>
        <w:pStyle w:val="16"/>
        <w:spacing w:line="400" w:lineRule="exact"/>
        <w:ind w:left="420" w:leftChars="200" w:firstLine="525" w:firstLineChars="250"/>
        <w:outlineLvl w:val="0"/>
        <w:rPr>
          <w:rFonts w:hint="eastAsia" w:hAnsi="宋体" w:cs="宋体"/>
          <w:color w:val="auto"/>
          <w:sz w:val="21"/>
          <w:szCs w:val="21"/>
          <w:highlight w:val="none"/>
        </w:rPr>
      </w:pPr>
      <w:r>
        <w:rPr>
          <w:rFonts w:hint="eastAsia" w:hAnsi="宋体" w:cs="宋体"/>
          <w:color w:val="auto"/>
          <w:sz w:val="21"/>
          <w:szCs w:val="21"/>
          <w:highlight w:val="none"/>
          <w:lang w:val="en-US" w:eastAsia="zh-CN"/>
        </w:rPr>
        <w:t>三</w:t>
      </w:r>
      <w:r>
        <w:rPr>
          <w:rFonts w:hint="eastAsia" w:hAnsi="宋体" w:cs="宋体"/>
          <w:color w:val="auto"/>
          <w:sz w:val="21"/>
          <w:szCs w:val="21"/>
          <w:highlight w:val="none"/>
        </w:rPr>
        <w:t>档（</w:t>
      </w:r>
      <w:r>
        <w:rPr>
          <w:rFonts w:hint="eastAsia" w:hAnsi="宋体" w:cs="宋体"/>
          <w:color w:val="auto"/>
          <w:sz w:val="21"/>
          <w:szCs w:val="21"/>
          <w:highlight w:val="none"/>
          <w:lang w:val="en-US" w:eastAsia="zh-CN"/>
        </w:rPr>
        <w:t>6</w:t>
      </w:r>
      <w:r>
        <w:rPr>
          <w:rFonts w:hint="eastAsia" w:hAnsi="宋体" w:cs="宋体"/>
          <w:color w:val="auto"/>
          <w:sz w:val="21"/>
          <w:szCs w:val="21"/>
          <w:highlight w:val="none"/>
        </w:rPr>
        <w:t>分）：</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的方案一般；</w:t>
      </w:r>
    </w:p>
    <w:p>
      <w:pPr>
        <w:pStyle w:val="16"/>
        <w:spacing w:line="400" w:lineRule="exact"/>
        <w:ind w:left="420" w:leftChars="200" w:firstLine="525" w:firstLineChars="250"/>
        <w:outlineLvl w:val="0"/>
        <w:rPr>
          <w:rFonts w:hint="eastAsia" w:hAnsi="宋体" w:cs="宋体"/>
          <w:color w:val="auto"/>
          <w:sz w:val="21"/>
          <w:szCs w:val="21"/>
          <w:highlight w:val="none"/>
        </w:rPr>
      </w:pPr>
      <w:r>
        <w:rPr>
          <w:rFonts w:hint="eastAsia" w:hAnsi="宋体" w:cs="宋体"/>
          <w:color w:val="auto"/>
          <w:sz w:val="21"/>
          <w:szCs w:val="21"/>
          <w:highlight w:val="none"/>
          <w:lang w:val="en-US" w:eastAsia="zh-CN"/>
        </w:rPr>
        <w:t>四</w:t>
      </w:r>
      <w:r>
        <w:rPr>
          <w:rFonts w:hint="eastAsia" w:ascii="Times New Roman" w:hAnsi="宋体" w:eastAsia="宋体" w:cs="宋体"/>
          <w:color w:val="auto"/>
          <w:sz w:val="21"/>
          <w:szCs w:val="21"/>
          <w:highlight w:val="none"/>
        </w:rPr>
        <w:t>档</w:t>
      </w:r>
      <w:r>
        <w:rPr>
          <w:rFonts w:hint="eastAsia" w:ascii="宋体" w:hAnsi="宋体" w:eastAsia="宋体" w:cs="宋体"/>
          <w:color w:val="auto"/>
          <w:kern w:val="2"/>
          <w:sz w:val="21"/>
          <w:szCs w:val="21"/>
          <w:highlight w:val="none"/>
          <w:lang w:val="en-US" w:eastAsia="zh-CN" w:bidi="ar-SA"/>
        </w:rPr>
        <w:t>（</w:t>
      </w:r>
      <w:r>
        <w:rPr>
          <w:rFonts w:hint="eastAsia"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分）：</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的方案完整，详细、实用</w:t>
      </w:r>
    </w:p>
    <w:p>
      <w:pPr>
        <w:pStyle w:val="16"/>
        <w:spacing w:line="400" w:lineRule="exact"/>
        <w:ind w:left="420" w:leftChars="200" w:firstLine="315" w:firstLineChars="15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hAnsi="宋体" w:cs="宋体"/>
          <w:color w:val="auto"/>
          <w:sz w:val="21"/>
          <w:szCs w:val="21"/>
          <w:highlight w:val="none"/>
          <w:lang w:eastAsia="zh-CN"/>
        </w:rPr>
        <w:t>磋商小组</w:t>
      </w:r>
      <w:r>
        <w:rPr>
          <w:rFonts w:hint="eastAsia" w:ascii="宋体" w:hAnsi="宋体" w:eastAsia="宋体" w:cs="宋体"/>
          <w:color w:val="auto"/>
          <w:sz w:val="21"/>
          <w:szCs w:val="21"/>
          <w:highlight w:val="none"/>
          <w:lang w:eastAsia="zh-CN"/>
        </w:rPr>
        <w:t>根据</w:t>
      </w:r>
      <w:r>
        <w:rPr>
          <w:rFonts w:hint="eastAsia" w:ascii="宋体" w:hAnsi="宋体" w:eastAsia="宋体" w:cs="宋体"/>
          <w:color w:val="auto"/>
          <w:sz w:val="21"/>
          <w:szCs w:val="21"/>
          <w:highlight w:val="none"/>
        </w:rPr>
        <w:t>供应商的各项内部管理制度独立打分。（满分</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pStyle w:val="16"/>
        <w:spacing w:line="400" w:lineRule="exact"/>
        <w:ind w:left="420" w:leftChars="200" w:firstLine="525" w:firstLineChars="250"/>
        <w:outlineLvl w:val="0"/>
        <w:rPr>
          <w:rFonts w:hint="eastAsia" w:hAnsi="宋体" w:cs="宋体"/>
          <w:color w:val="auto"/>
          <w:sz w:val="21"/>
          <w:szCs w:val="21"/>
          <w:highlight w:val="none"/>
        </w:rPr>
      </w:pPr>
      <w:r>
        <w:rPr>
          <w:rFonts w:hint="eastAsia" w:hAnsi="宋体" w:cs="宋体"/>
          <w:color w:val="auto"/>
          <w:sz w:val="21"/>
          <w:szCs w:val="21"/>
          <w:highlight w:val="none"/>
        </w:rPr>
        <w:t>一档（</w:t>
      </w:r>
      <w:r>
        <w:rPr>
          <w:rFonts w:hint="eastAsia" w:hAnsi="宋体" w:cs="宋体"/>
          <w:color w:val="auto"/>
          <w:sz w:val="21"/>
          <w:szCs w:val="21"/>
          <w:highlight w:val="none"/>
          <w:lang w:val="en-US" w:eastAsia="zh-CN"/>
        </w:rPr>
        <w:t>0</w:t>
      </w:r>
      <w:r>
        <w:rPr>
          <w:rFonts w:hint="eastAsia" w:hAnsi="宋体" w:cs="宋体"/>
          <w:color w:val="auto"/>
          <w:sz w:val="21"/>
          <w:szCs w:val="21"/>
          <w:highlight w:val="none"/>
        </w:rPr>
        <w:t>分）</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没有提供管理制度或管理制度不符合</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要求；</w:t>
      </w:r>
    </w:p>
    <w:p>
      <w:pPr>
        <w:pStyle w:val="16"/>
        <w:spacing w:line="400" w:lineRule="exact"/>
        <w:ind w:left="420" w:leftChars="200" w:firstLine="525" w:firstLineChars="250"/>
        <w:outlineLvl w:val="0"/>
        <w:rPr>
          <w:rFonts w:hint="eastAsia" w:hAnsi="宋体" w:cs="宋体"/>
          <w:color w:val="auto"/>
          <w:sz w:val="21"/>
          <w:szCs w:val="21"/>
          <w:highlight w:val="none"/>
        </w:rPr>
      </w:pPr>
      <w:r>
        <w:rPr>
          <w:rFonts w:hint="eastAsia" w:hAnsi="宋体" w:cs="宋体"/>
          <w:color w:val="auto"/>
          <w:sz w:val="21"/>
          <w:szCs w:val="21"/>
          <w:highlight w:val="none"/>
        </w:rPr>
        <w:t>二档（</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分）</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提供管理制度或管理制度</w:t>
      </w:r>
      <w:r>
        <w:rPr>
          <w:rFonts w:hint="eastAsia" w:hAnsi="宋体" w:cs="宋体"/>
          <w:color w:val="auto"/>
          <w:sz w:val="21"/>
          <w:szCs w:val="21"/>
          <w:highlight w:val="none"/>
          <w:lang w:val="en-US" w:eastAsia="zh-CN"/>
        </w:rPr>
        <w:t>仅</w:t>
      </w:r>
      <w:r>
        <w:rPr>
          <w:rFonts w:hint="eastAsia" w:hAnsi="宋体" w:cs="宋体"/>
          <w:color w:val="auto"/>
          <w:sz w:val="21"/>
          <w:szCs w:val="21"/>
          <w:highlight w:val="none"/>
        </w:rPr>
        <w:t>符合</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要求；</w:t>
      </w:r>
    </w:p>
    <w:p>
      <w:pPr>
        <w:pStyle w:val="16"/>
        <w:spacing w:line="400" w:lineRule="exact"/>
        <w:ind w:left="420" w:leftChars="200" w:firstLine="525" w:firstLineChars="250"/>
        <w:outlineLvl w:val="0"/>
        <w:rPr>
          <w:rFonts w:hint="eastAsia" w:hAnsi="宋体" w:cs="宋体"/>
          <w:color w:val="auto"/>
          <w:sz w:val="21"/>
          <w:szCs w:val="21"/>
          <w:highlight w:val="none"/>
        </w:rPr>
      </w:pPr>
      <w:r>
        <w:rPr>
          <w:rFonts w:hint="eastAsia" w:hAnsi="宋体" w:cs="宋体"/>
          <w:color w:val="auto"/>
          <w:sz w:val="21"/>
          <w:szCs w:val="21"/>
          <w:highlight w:val="none"/>
          <w:lang w:val="en-US" w:eastAsia="zh-CN"/>
        </w:rPr>
        <w:t>三</w:t>
      </w:r>
      <w:r>
        <w:rPr>
          <w:rFonts w:hint="eastAsia" w:hAnsi="宋体" w:cs="宋体"/>
          <w:color w:val="auto"/>
          <w:sz w:val="21"/>
          <w:szCs w:val="21"/>
          <w:highlight w:val="none"/>
        </w:rPr>
        <w:t>档（</w:t>
      </w:r>
      <w:r>
        <w:rPr>
          <w:rFonts w:hint="eastAsia" w:hAnsi="宋体" w:cs="宋体"/>
          <w:color w:val="auto"/>
          <w:sz w:val="21"/>
          <w:szCs w:val="21"/>
          <w:highlight w:val="none"/>
          <w:lang w:val="en-US" w:eastAsia="zh-CN"/>
        </w:rPr>
        <w:t>6</w:t>
      </w:r>
      <w:r>
        <w:rPr>
          <w:rFonts w:hint="eastAsia" w:hAnsi="宋体" w:cs="宋体"/>
          <w:color w:val="auto"/>
          <w:sz w:val="21"/>
          <w:szCs w:val="21"/>
          <w:highlight w:val="none"/>
        </w:rPr>
        <w:t>分）：</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提供的各项管理制度较全面，较完整，较完善，可行性较好但缺少针对性；</w:t>
      </w:r>
    </w:p>
    <w:p>
      <w:pPr>
        <w:pStyle w:val="16"/>
        <w:spacing w:line="400" w:lineRule="exact"/>
        <w:ind w:left="420" w:leftChars="200" w:firstLine="525" w:firstLineChars="250"/>
        <w:outlineLvl w:val="0"/>
        <w:rPr>
          <w:rFonts w:hint="eastAsia" w:hAnsi="宋体" w:cs="宋体"/>
          <w:color w:val="auto"/>
          <w:sz w:val="21"/>
          <w:szCs w:val="21"/>
          <w:highlight w:val="none"/>
        </w:rPr>
      </w:pPr>
      <w:r>
        <w:rPr>
          <w:rFonts w:hint="eastAsia" w:hAnsi="宋体" w:cs="宋体"/>
          <w:color w:val="auto"/>
          <w:sz w:val="21"/>
          <w:szCs w:val="21"/>
          <w:highlight w:val="none"/>
        </w:rPr>
        <w:t>三档（</w:t>
      </w:r>
      <w:r>
        <w:rPr>
          <w:rFonts w:hint="eastAsia" w:hAnsi="宋体" w:cs="宋体"/>
          <w:color w:val="auto"/>
          <w:sz w:val="21"/>
          <w:szCs w:val="21"/>
          <w:highlight w:val="none"/>
          <w:lang w:val="en-US" w:eastAsia="zh-CN"/>
        </w:rPr>
        <w:t>10</w:t>
      </w:r>
      <w:r>
        <w:rPr>
          <w:rFonts w:hint="eastAsia" w:hAnsi="宋体" w:cs="宋体"/>
          <w:color w:val="auto"/>
          <w:sz w:val="21"/>
          <w:szCs w:val="21"/>
          <w:highlight w:val="none"/>
        </w:rPr>
        <w:t>分）：</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提供的各项管理制度全面，完整，完善，可行性高，实用性强，针对性强。</w:t>
      </w:r>
    </w:p>
    <w:p>
      <w:pPr>
        <w:pStyle w:val="16"/>
        <w:spacing w:line="400" w:lineRule="exact"/>
        <w:ind w:firstLine="630" w:firstLineChars="3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hAnsi="宋体" w:cs="宋体"/>
          <w:color w:val="auto"/>
          <w:sz w:val="21"/>
          <w:szCs w:val="21"/>
          <w:highlight w:val="none"/>
          <w:lang w:eastAsia="zh-CN"/>
        </w:rPr>
        <w:t>磋商小组</w:t>
      </w:r>
      <w:r>
        <w:rPr>
          <w:rFonts w:hint="eastAsia" w:ascii="宋体" w:hAnsi="宋体" w:eastAsia="宋体" w:cs="宋体"/>
          <w:color w:val="auto"/>
          <w:kern w:val="0"/>
          <w:sz w:val="21"/>
          <w:szCs w:val="21"/>
          <w:highlight w:val="none"/>
          <w:lang w:eastAsia="zh-CN"/>
        </w:rPr>
        <w:t>根据</w:t>
      </w:r>
      <w:r>
        <w:rPr>
          <w:rFonts w:hint="eastAsia" w:ascii="宋体" w:hAnsi="宋体" w:eastAsia="宋体" w:cs="宋体"/>
          <w:color w:val="auto"/>
          <w:kern w:val="0"/>
          <w:sz w:val="21"/>
          <w:szCs w:val="21"/>
          <w:highlight w:val="none"/>
        </w:rPr>
        <w:t>供应商</w:t>
      </w:r>
      <w:r>
        <w:rPr>
          <w:rFonts w:hint="eastAsia" w:ascii="宋体" w:hAnsi="宋体" w:eastAsia="宋体" w:cs="宋体"/>
          <w:color w:val="auto"/>
          <w:kern w:val="0"/>
          <w:sz w:val="21"/>
          <w:szCs w:val="21"/>
          <w:highlight w:val="none"/>
          <w:lang w:eastAsia="zh-CN"/>
        </w:rPr>
        <w:t>提供的</w:t>
      </w:r>
      <w:r>
        <w:rPr>
          <w:rFonts w:hint="eastAsia" w:ascii="宋体" w:hAnsi="宋体" w:eastAsia="宋体" w:cs="宋体"/>
          <w:color w:val="auto"/>
          <w:kern w:val="0"/>
          <w:sz w:val="21"/>
          <w:szCs w:val="21"/>
          <w:highlight w:val="none"/>
        </w:rPr>
        <w:t>应急处置方案独立打分（满分</w:t>
      </w:r>
      <w:r>
        <w:rPr>
          <w:rFonts w:hint="eastAsia"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p>
      <w:pPr>
        <w:pStyle w:val="16"/>
        <w:spacing w:line="400" w:lineRule="exact"/>
        <w:ind w:firstLine="840" w:firstLineChars="400"/>
        <w:rPr>
          <w:rFonts w:hint="eastAsia" w:hAnsi="宋体" w:cs="宋体"/>
          <w:color w:val="auto"/>
          <w:sz w:val="21"/>
          <w:szCs w:val="21"/>
          <w:highlight w:val="none"/>
        </w:rPr>
      </w:pPr>
      <w:r>
        <w:rPr>
          <w:rFonts w:hint="eastAsia" w:hAnsi="宋体" w:cs="宋体"/>
          <w:color w:val="auto"/>
          <w:sz w:val="21"/>
          <w:szCs w:val="21"/>
          <w:highlight w:val="none"/>
        </w:rPr>
        <w:t>一档（</w:t>
      </w:r>
      <w:r>
        <w:rPr>
          <w:rFonts w:hint="eastAsia" w:hAnsi="宋体" w:cs="宋体"/>
          <w:color w:val="auto"/>
          <w:sz w:val="21"/>
          <w:szCs w:val="21"/>
          <w:highlight w:val="none"/>
          <w:lang w:val="en-US" w:eastAsia="zh-CN"/>
        </w:rPr>
        <w:t>3</w:t>
      </w:r>
      <w:r>
        <w:rPr>
          <w:rFonts w:hint="eastAsia" w:hAnsi="宋体" w:cs="宋体"/>
          <w:color w:val="auto"/>
          <w:sz w:val="21"/>
          <w:szCs w:val="21"/>
          <w:highlight w:val="none"/>
        </w:rPr>
        <w:t>分）：</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提供应急处理预案或应急处理预案</w:t>
      </w:r>
      <w:r>
        <w:rPr>
          <w:rFonts w:hint="eastAsia" w:hAnsi="宋体" w:cs="宋体"/>
          <w:color w:val="auto"/>
          <w:sz w:val="21"/>
          <w:szCs w:val="21"/>
          <w:highlight w:val="none"/>
          <w:lang w:val="en-US" w:eastAsia="zh-CN"/>
        </w:rPr>
        <w:t>仅</w:t>
      </w:r>
      <w:r>
        <w:rPr>
          <w:rFonts w:hint="eastAsia" w:hAnsi="宋体" w:cs="宋体"/>
          <w:color w:val="auto"/>
          <w:sz w:val="21"/>
          <w:szCs w:val="21"/>
          <w:highlight w:val="none"/>
        </w:rPr>
        <w:t>符合</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 xml:space="preserve">要求； </w:t>
      </w:r>
    </w:p>
    <w:p>
      <w:pPr>
        <w:pStyle w:val="16"/>
        <w:spacing w:line="400" w:lineRule="exact"/>
        <w:ind w:firstLine="840" w:firstLineChars="400"/>
        <w:rPr>
          <w:rFonts w:hint="eastAsia" w:hAnsi="宋体" w:cs="宋体"/>
          <w:color w:val="auto"/>
          <w:sz w:val="21"/>
          <w:szCs w:val="21"/>
          <w:highlight w:val="none"/>
        </w:rPr>
      </w:pPr>
      <w:r>
        <w:rPr>
          <w:rFonts w:hint="eastAsia" w:hAnsi="宋体" w:cs="宋体"/>
          <w:color w:val="auto"/>
          <w:sz w:val="21"/>
          <w:szCs w:val="21"/>
          <w:highlight w:val="none"/>
        </w:rPr>
        <w:t>二档（</w:t>
      </w:r>
      <w:r>
        <w:rPr>
          <w:rFonts w:hint="eastAsia" w:hAnsi="宋体" w:cs="宋体"/>
          <w:color w:val="auto"/>
          <w:sz w:val="21"/>
          <w:szCs w:val="21"/>
          <w:highlight w:val="none"/>
          <w:lang w:val="en-US" w:eastAsia="zh-CN"/>
        </w:rPr>
        <w:t>6</w:t>
      </w:r>
      <w:r>
        <w:rPr>
          <w:rFonts w:hint="eastAsia" w:hAnsi="宋体" w:cs="宋体"/>
          <w:color w:val="auto"/>
          <w:sz w:val="21"/>
          <w:szCs w:val="21"/>
          <w:highlight w:val="none"/>
        </w:rPr>
        <w:t>分）：</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应急处理预案的内容比较简单，不够全面；</w:t>
      </w:r>
    </w:p>
    <w:p>
      <w:pPr>
        <w:pStyle w:val="16"/>
        <w:spacing w:line="400" w:lineRule="exact"/>
        <w:ind w:firstLine="840" w:firstLineChars="400"/>
        <w:rPr>
          <w:rFonts w:hint="eastAsia" w:hAnsi="宋体" w:cs="宋体"/>
          <w:color w:val="auto"/>
          <w:kern w:val="0"/>
          <w:sz w:val="21"/>
          <w:szCs w:val="21"/>
          <w:highlight w:val="none"/>
        </w:rPr>
      </w:pPr>
      <w:r>
        <w:rPr>
          <w:rFonts w:hint="eastAsia" w:hAnsi="宋体" w:cs="宋体"/>
          <w:color w:val="auto"/>
          <w:sz w:val="21"/>
          <w:szCs w:val="21"/>
          <w:highlight w:val="none"/>
          <w:lang w:val="en-US" w:eastAsia="zh-CN"/>
        </w:rPr>
        <w:t>三</w:t>
      </w:r>
      <w:r>
        <w:rPr>
          <w:rFonts w:hint="eastAsia" w:hAnsi="宋体" w:cs="宋体"/>
          <w:color w:val="auto"/>
          <w:sz w:val="21"/>
          <w:szCs w:val="21"/>
          <w:highlight w:val="none"/>
        </w:rPr>
        <w:t>档（</w:t>
      </w:r>
      <w:r>
        <w:rPr>
          <w:rFonts w:hint="eastAsia" w:hAnsi="宋体" w:cs="宋体"/>
          <w:color w:val="auto"/>
          <w:sz w:val="21"/>
          <w:szCs w:val="21"/>
          <w:highlight w:val="none"/>
          <w:lang w:val="en-US" w:eastAsia="zh-CN"/>
        </w:rPr>
        <w:t>10</w:t>
      </w:r>
      <w:r>
        <w:rPr>
          <w:rFonts w:hint="eastAsia" w:hAnsi="宋体" w:cs="宋体"/>
          <w:color w:val="auto"/>
          <w:sz w:val="21"/>
          <w:szCs w:val="21"/>
          <w:highlight w:val="none"/>
        </w:rPr>
        <w:t>分）：</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应急处理预案内容的具体、全面、详尽、可行性高</w:t>
      </w:r>
      <w:r>
        <w:rPr>
          <w:rFonts w:hint="eastAsia" w:hAnsi="宋体" w:cs="宋体"/>
          <w:color w:val="auto"/>
          <w:kern w:val="0"/>
          <w:sz w:val="21"/>
          <w:szCs w:val="21"/>
          <w:highlight w:val="none"/>
        </w:rPr>
        <w:t>。</w:t>
      </w:r>
    </w:p>
    <w:p>
      <w:pPr>
        <w:pStyle w:val="16"/>
        <w:spacing w:line="400" w:lineRule="exact"/>
        <w:ind w:firstLine="413" w:firstLineChars="196"/>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3、服务保障分……………………………………………………………………………………………</w:t>
      </w:r>
      <w:r>
        <w:rPr>
          <w:rFonts w:hint="eastAsia"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p>
      <w:pPr>
        <w:pStyle w:val="16"/>
        <w:spacing w:line="400" w:lineRule="exact"/>
        <w:ind w:firstLine="411" w:firstLineChars="196"/>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提供拟投入</w:t>
      </w:r>
      <w:r>
        <w:rPr>
          <w:rFonts w:hint="eastAsia" w:ascii="宋体" w:hAnsi="宋体" w:eastAsia="宋体" w:cs="宋体"/>
          <w:color w:val="auto"/>
          <w:sz w:val="21"/>
          <w:szCs w:val="21"/>
          <w:highlight w:val="none"/>
          <w:lang w:eastAsia="zh-CN"/>
        </w:rPr>
        <w:t>本项目</w:t>
      </w:r>
      <w:r>
        <w:rPr>
          <w:rFonts w:hint="eastAsia" w:hAnsi="宋体" w:cs="宋体"/>
          <w:color w:val="auto"/>
          <w:sz w:val="21"/>
          <w:szCs w:val="21"/>
          <w:highlight w:val="none"/>
          <w:lang w:eastAsia="zh-CN"/>
        </w:rPr>
        <w:t>服务</w:t>
      </w:r>
      <w:r>
        <w:rPr>
          <w:rFonts w:hint="eastAsia" w:ascii="宋体" w:hAnsi="宋体" w:eastAsia="宋体" w:cs="宋体"/>
          <w:color w:val="auto"/>
          <w:sz w:val="21"/>
          <w:szCs w:val="21"/>
          <w:highlight w:val="none"/>
          <w:lang w:eastAsia="zh-CN"/>
        </w:rPr>
        <w:t>人员具有食品安全管理员证书</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食品检验员证书、</w:t>
      </w:r>
      <w:r>
        <w:rPr>
          <w:rFonts w:hint="eastAsia" w:hAnsi="宋体" w:cs="宋体"/>
          <w:color w:val="auto"/>
          <w:sz w:val="21"/>
          <w:szCs w:val="21"/>
          <w:highlight w:val="none"/>
          <w:lang w:eastAsia="zh-CN"/>
        </w:rPr>
        <w:t>以及</w:t>
      </w:r>
      <w:r>
        <w:rPr>
          <w:rFonts w:hint="eastAsia" w:hAnsi="宋体" w:cs="宋体"/>
          <w:color w:val="auto"/>
          <w:sz w:val="21"/>
          <w:szCs w:val="21"/>
          <w:highlight w:val="none"/>
          <w:lang w:val="en-US" w:eastAsia="zh-CN"/>
        </w:rPr>
        <w:t>健康证明的，</w:t>
      </w:r>
      <w:r>
        <w:rPr>
          <w:rFonts w:hint="eastAsia" w:hAnsi="宋体" w:eastAsia="宋体" w:cs="宋体"/>
          <w:color w:val="auto"/>
          <w:sz w:val="21"/>
          <w:szCs w:val="21"/>
          <w:highlight w:val="none"/>
          <w:lang w:val="en-US" w:eastAsia="zh-CN"/>
        </w:rPr>
        <w:t>满分</w:t>
      </w:r>
      <w:r>
        <w:rPr>
          <w:rFonts w:hint="eastAsia" w:hAnsi="宋体" w:cs="宋体"/>
          <w:color w:val="auto"/>
          <w:sz w:val="21"/>
          <w:szCs w:val="21"/>
          <w:highlight w:val="none"/>
          <w:lang w:val="en-US" w:eastAsia="zh-CN"/>
        </w:rPr>
        <w:t>4</w:t>
      </w:r>
      <w:r>
        <w:rPr>
          <w:rFonts w:hint="eastAsia"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(成交后采购人现场核查）</w:t>
      </w:r>
      <w:r>
        <w:rPr>
          <w:rFonts w:hint="eastAsia" w:ascii="宋体" w:hAnsi="宋体" w:eastAsia="宋体" w:cs="宋体"/>
          <w:color w:val="auto"/>
          <w:sz w:val="21"/>
          <w:szCs w:val="21"/>
          <w:highlight w:val="none"/>
        </w:rPr>
        <w:t>。</w:t>
      </w:r>
    </w:p>
    <w:p>
      <w:pPr>
        <w:pStyle w:val="16"/>
        <w:spacing w:line="400" w:lineRule="exact"/>
        <w:ind w:firstLine="411" w:firstLineChars="196"/>
        <w:outlineLvl w:val="0"/>
        <w:rPr>
          <w:rFonts w:hint="eastAsia" w:hAnsi="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）供应商为本项目配置</w:t>
      </w:r>
      <w:r>
        <w:rPr>
          <w:rFonts w:hint="eastAsia" w:hAnsi="宋体" w:cs="宋体"/>
          <w:color w:val="auto"/>
          <w:sz w:val="21"/>
          <w:szCs w:val="21"/>
          <w:highlight w:val="none"/>
          <w:lang w:eastAsia="zh-CN"/>
        </w:rPr>
        <w:t>专用</w:t>
      </w:r>
      <w:r>
        <w:rPr>
          <w:rFonts w:hint="eastAsia" w:hAnsi="宋体" w:cs="宋体"/>
          <w:color w:val="auto"/>
          <w:sz w:val="21"/>
          <w:szCs w:val="21"/>
          <w:highlight w:val="none"/>
          <w:lang w:val="en-US" w:eastAsia="zh-CN"/>
        </w:rPr>
        <w:t>车辆的得2分。</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提供</w:t>
      </w:r>
      <w:r>
        <w:rPr>
          <w:rFonts w:hint="eastAsia" w:hAnsi="宋体" w:cs="宋体"/>
          <w:color w:val="auto"/>
          <w:kern w:val="2"/>
          <w:sz w:val="21"/>
          <w:szCs w:val="21"/>
          <w:highlight w:val="none"/>
          <w:lang w:val="en-US" w:eastAsia="zh-CN" w:bidi="ar-SA"/>
        </w:rPr>
        <w:t>车辆图片、</w:t>
      </w:r>
      <w:r>
        <w:rPr>
          <w:rFonts w:hint="eastAsia" w:ascii="宋体" w:hAnsi="宋体" w:cs="宋体"/>
          <w:color w:val="auto"/>
          <w:kern w:val="2"/>
          <w:sz w:val="21"/>
          <w:szCs w:val="21"/>
          <w:highlight w:val="none"/>
          <w:lang w:val="en-US" w:eastAsia="zh-CN" w:bidi="ar-SA"/>
        </w:rPr>
        <w:t>有效的车辆行驶证复印件或者机动车登记证书</w:t>
      </w:r>
      <w:r>
        <w:rPr>
          <w:rFonts w:hint="eastAsia" w:hAnsi="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w:t>
      </w:r>
    </w:p>
    <w:p>
      <w:pPr>
        <w:pStyle w:val="16"/>
        <w:spacing w:line="400" w:lineRule="exact"/>
        <w:ind w:firstLine="411" w:firstLineChars="196"/>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）供应商</w:t>
      </w:r>
      <w:r>
        <w:rPr>
          <w:rFonts w:hint="eastAsia" w:hAnsi="宋体" w:cs="宋体"/>
          <w:color w:val="auto"/>
          <w:sz w:val="21"/>
          <w:szCs w:val="21"/>
          <w:highlight w:val="none"/>
          <w:lang w:eastAsia="zh-CN"/>
        </w:rPr>
        <w:t>承诺为该项目</w:t>
      </w:r>
      <w:r>
        <w:rPr>
          <w:rFonts w:hint="eastAsia" w:ascii="宋体" w:hAnsi="宋体" w:eastAsia="宋体" w:cs="宋体"/>
          <w:color w:val="auto"/>
          <w:sz w:val="21"/>
          <w:szCs w:val="21"/>
          <w:highlight w:val="none"/>
          <w:lang w:eastAsia="zh-CN"/>
        </w:rPr>
        <w:t>购买食品安全责任险</w:t>
      </w:r>
      <w:r>
        <w:rPr>
          <w:rFonts w:hint="eastAsia" w:hAnsi="宋体" w:cs="宋体"/>
          <w:color w:val="auto"/>
          <w:sz w:val="21"/>
          <w:szCs w:val="21"/>
          <w:highlight w:val="none"/>
          <w:lang w:eastAsia="zh-CN"/>
        </w:rPr>
        <w:t>的记</w:t>
      </w:r>
      <w:r>
        <w:rPr>
          <w:rFonts w:hint="eastAsia" w:hAnsi="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食品安全责任险</w:t>
      </w:r>
      <w:r>
        <w:rPr>
          <w:rFonts w:hint="eastAsia" w:hAnsi="宋体" w:cs="宋体"/>
          <w:color w:val="auto"/>
          <w:sz w:val="21"/>
          <w:szCs w:val="21"/>
          <w:highlight w:val="none"/>
          <w:lang w:eastAsia="zh-CN"/>
        </w:rPr>
        <w:t>金额在</w:t>
      </w:r>
      <w:r>
        <w:rPr>
          <w:rFonts w:hint="eastAsia" w:hAnsi="宋体" w:cs="宋体"/>
          <w:color w:val="auto"/>
          <w:sz w:val="21"/>
          <w:szCs w:val="21"/>
          <w:highlight w:val="none"/>
          <w:lang w:val="en-US" w:eastAsia="zh-CN"/>
        </w:rPr>
        <w:t>500万（含）以上的记2分</w:t>
      </w:r>
    </w:p>
    <w:p>
      <w:pPr>
        <w:pStyle w:val="16"/>
        <w:spacing w:line="400" w:lineRule="exact"/>
        <w:ind w:firstLine="413" w:firstLineChars="196"/>
        <w:outlineLvl w:val="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4、</w:t>
      </w:r>
      <w:r>
        <w:rPr>
          <w:rFonts w:hint="eastAsia" w:hAnsi="宋体" w:cs="宋体"/>
          <w:b/>
          <w:bCs/>
          <w:color w:val="auto"/>
          <w:sz w:val="21"/>
          <w:szCs w:val="21"/>
          <w:highlight w:val="none"/>
          <w:lang w:eastAsia="zh-CN"/>
        </w:rPr>
        <w:t>履约</w:t>
      </w:r>
      <w:r>
        <w:rPr>
          <w:rFonts w:hint="eastAsia" w:ascii="宋体" w:hAnsi="宋体" w:eastAsia="宋体" w:cs="宋体"/>
          <w:b/>
          <w:bCs/>
          <w:color w:val="auto"/>
          <w:sz w:val="21"/>
          <w:szCs w:val="21"/>
          <w:highlight w:val="none"/>
          <w:lang w:eastAsia="zh-CN"/>
        </w:rPr>
        <w:t>能力分…………………………………………………………………………………………</w:t>
      </w:r>
      <w:r>
        <w:rPr>
          <w:rFonts w:hint="eastAsia"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lang w:eastAsia="zh-CN"/>
        </w:rPr>
        <w:t>分</w:t>
      </w:r>
    </w:p>
    <w:p>
      <w:pPr>
        <w:pStyle w:val="9"/>
        <w:spacing w:beforeLines="0" w:afterLines="0" w:line="40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（1）供应商通过ISO9000国际质量管理体系认证、供应商通过</w:t>
      </w:r>
      <w:r>
        <w:rPr>
          <w:rFonts w:hint="eastAsia" w:ascii="宋体" w:hAnsi="宋体" w:cs="宋体"/>
          <w:color w:val="auto"/>
          <w:sz w:val="21"/>
          <w:szCs w:val="21"/>
          <w:highlight w:val="none"/>
          <w:lang w:val="en-US" w:eastAsia="zh-CN"/>
        </w:rPr>
        <w:t>ISO22000食品安全管理体系认证证书、</w:t>
      </w:r>
      <w:r>
        <w:rPr>
          <w:rFonts w:hint="eastAsia" w:ascii="宋体" w:hAnsi="宋体" w:eastAsia="宋体" w:cs="宋体"/>
          <w:color w:val="auto"/>
          <w:sz w:val="21"/>
          <w:szCs w:val="21"/>
          <w:highlight w:val="none"/>
          <w:lang w:eastAsia="zh-CN"/>
        </w:rPr>
        <w:t>供应商通过ISO14001环境管理体系认证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供应商通过</w:t>
      </w:r>
      <w:r>
        <w:rPr>
          <w:rFonts w:hint="eastAsia" w:ascii="宋体" w:hAnsi="宋体" w:cs="宋体"/>
          <w:color w:val="auto"/>
          <w:sz w:val="21"/>
          <w:szCs w:val="21"/>
          <w:highlight w:val="none"/>
          <w:lang w:val="en-US" w:eastAsia="zh-CN"/>
        </w:rPr>
        <w:t>45001</w:t>
      </w:r>
      <w:r>
        <w:rPr>
          <w:rFonts w:hint="eastAsia" w:ascii="宋体" w:hAnsi="宋体" w:eastAsia="宋体" w:cs="宋体"/>
          <w:color w:val="auto"/>
          <w:sz w:val="21"/>
          <w:szCs w:val="21"/>
          <w:highlight w:val="none"/>
          <w:lang w:val="en-US" w:eastAsia="zh-CN"/>
        </w:rPr>
        <w:t>职业健康与安全体系认证证书</w:t>
      </w:r>
      <w:r>
        <w:rPr>
          <w:rFonts w:hint="eastAsia" w:ascii="宋体" w:hAnsi="宋体" w:cs="宋体"/>
          <w:color w:val="auto"/>
          <w:sz w:val="21"/>
          <w:szCs w:val="21"/>
          <w:highlight w:val="none"/>
          <w:lang w:val="en-US" w:eastAsia="zh-CN"/>
        </w:rPr>
        <w:t>认证证书、</w:t>
      </w:r>
      <w:r>
        <w:rPr>
          <w:rFonts w:hint="eastAsia" w:ascii="宋体" w:hAnsi="宋体" w:eastAsia="宋体" w:cs="宋体"/>
          <w:color w:val="auto"/>
          <w:sz w:val="21"/>
          <w:szCs w:val="21"/>
          <w:highlight w:val="none"/>
          <w:lang w:eastAsia="zh-CN"/>
        </w:rPr>
        <w:t>供应商通过</w:t>
      </w:r>
      <w:r>
        <w:rPr>
          <w:rFonts w:hint="eastAsia" w:ascii="宋体" w:hAnsi="宋体" w:cs="宋体"/>
          <w:color w:val="auto"/>
          <w:sz w:val="21"/>
          <w:szCs w:val="21"/>
          <w:highlight w:val="none"/>
          <w:lang w:val="en-US" w:eastAsia="zh-CN"/>
        </w:rPr>
        <w:t>HACCP</w:t>
      </w:r>
      <w:r>
        <w:rPr>
          <w:rFonts w:hint="eastAsia" w:ascii="宋体" w:hAnsi="宋体" w:eastAsia="宋体" w:cs="宋体"/>
          <w:color w:val="auto"/>
          <w:sz w:val="21"/>
          <w:szCs w:val="21"/>
          <w:highlight w:val="none"/>
          <w:lang w:val="en-US" w:eastAsia="zh-CN"/>
        </w:rPr>
        <w:t>危害分析与关键控制点</w:t>
      </w:r>
      <w:r>
        <w:rPr>
          <w:rFonts w:hint="eastAsia" w:ascii="宋体" w:hAnsi="宋体" w:cs="宋体"/>
          <w:color w:val="auto"/>
          <w:sz w:val="21"/>
          <w:szCs w:val="21"/>
          <w:highlight w:val="none"/>
          <w:lang w:val="en-US" w:eastAsia="zh-CN"/>
        </w:rPr>
        <w:t>体系认证证书</w:t>
      </w:r>
      <w:r>
        <w:rPr>
          <w:rFonts w:hint="eastAsia" w:ascii="宋体" w:hAnsi="宋体" w:eastAsia="宋体" w:cs="宋体"/>
          <w:color w:val="auto"/>
          <w:sz w:val="21"/>
          <w:szCs w:val="21"/>
          <w:highlight w:val="none"/>
          <w:lang w:eastAsia="zh-CN"/>
        </w:rPr>
        <w:t>且有效的，每提供一项得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分，满分</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(成交后采购人现场核查）</w:t>
      </w:r>
    </w:p>
    <w:p>
      <w:pPr>
        <w:pStyle w:val="16"/>
        <w:spacing w:line="400" w:lineRule="exact"/>
        <w:ind w:firstLine="411" w:firstLineChars="196"/>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）供应商</w:t>
      </w:r>
      <w:r>
        <w:rPr>
          <w:rFonts w:hint="eastAsia" w:hAnsi="宋体" w:cs="宋体"/>
          <w:bCs/>
          <w:color w:val="auto"/>
          <w:sz w:val="21"/>
          <w:szCs w:val="21"/>
          <w:highlight w:val="none"/>
          <w:lang w:val="en-US" w:eastAsia="zh-CN"/>
        </w:rPr>
        <w:t>近五年类似项目业绩</w:t>
      </w:r>
      <w:r>
        <w:rPr>
          <w:rFonts w:hint="eastAsia" w:hAnsi="宋体" w:cs="宋体"/>
          <w:bCs/>
          <w:color w:val="auto"/>
          <w:sz w:val="21"/>
          <w:szCs w:val="21"/>
          <w:highlight w:val="none"/>
        </w:rPr>
        <w:t>，每</w:t>
      </w:r>
      <w:r>
        <w:rPr>
          <w:rFonts w:hint="eastAsia" w:hAnsi="宋体" w:cs="宋体"/>
          <w:bCs/>
          <w:color w:val="auto"/>
          <w:sz w:val="21"/>
          <w:szCs w:val="21"/>
          <w:highlight w:val="none"/>
          <w:lang w:eastAsia="zh-CN"/>
        </w:rPr>
        <w:t>提供</w:t>
      </w:r>
      <w:r>
        <w:rPr>
          <w:rFonts w:hint="eastAsia" w:hAnsi="宋体" w:cs="宋体"/>
          <w:bCs/>
          <w:color w:val="auto"/>
          <w:sz w:val="21"/>
          <w:szCs w:val="21"/>
          <w:highlight w:val="none"/>
        </w:rPr>
        <w:t>一个业绩得</w:t>
      </w:r>
      <w:r>
        <w:rPr>
          <w:rFonts w:hint="eastAsia" w:hAnsi="宋体" w:cs="宋体"/>
          <w:bCs/>
          <w:color w:val="auto"/>
          <w:sz w:val="21"/>
          <w:szCs w:val="21"/>
          <w:highlight w:val="none"/>
          <w:lang w:val="en-US" w:eastAsia="zh-CN"/>
        </w:rPr>
        <w:t>3</w:t>
      </w:r>
      <w:r>
        <w:rPr>
          <w:rFonts w:hint="eastAsia" w:hAnsi="宋体" w:cs="宋体"/>
          <w:bCs/>
          <w:color w:val="auto"/>
          <w:sz w:val="21"/>
          <w:szCs w:val="21"/>
          <w:highlight w:val="none"/>
        </w:rPr>
        <w:t>分，满分</w:t>
      </w:r>
      <w:r>
        <w:rPr>
          <w:rFonts w:hint="eastAsia" w:hAnsi="宋体" w:cs="宋体"/>
          <w:bCs/>
          <w:color w:val="auto"/>
          <w:sz w:val="21"/>
          <w:szCs w:val="21"/>
          <w:highlight w:val="none"/>
          <w:lang w:val="en-US" w:eastAsia="zh-CN"/>
        </w:rPr>
        <w:t>6</w:t>
      </w:r>
      <w:r>
        <w:rPr>
          <w:rFonts w:hint="eastAsia" w:hAnsi="宋体" w:cs="宋体"/>
          <w:bCs/>
          <w:color w:val="auto"/>
          <w:sz w:val="21"/>
          <w:szCs w:val="21"/>
          <w:highlight w:val="none"/>
        </w:rPr>
        <w:t>分；(</w:t>
      </w:r>
      <w:r>
        <w:rPr>
          <w:rFonts w:hint="eastAsia" w:hAnsi="宋体" w:cs="宋体"/>
          <w:bCs/>
          <w:color w:val="auto"/>
          <w:sz w:val="21"/>
          <w:szCs w:val="21"/>
          <w:highlight w:val="none"/>
          <w:lang w:eastAsia="zh-CN"/>
        </w:rPr>
        <w:t>响应文件</w:t>
      </w:r>
      <w:r>
        <w:rPr>
          <w:rFonts w:hint="eastAsia" w:hAnsi="宋体" w:cs="宋体"/>
          <w:bCs/>
          <w:color w:val="auto"/>
          <w:sz w:val="21"/>
          <w:szCs w:val="21"/>
          <w:highlight w:val="none"/>
        </w:rPr>
        <w:t>中提供中标</w:t>
      </w:r>
      <w:r>
        <w:rPr>
          <w:rFonts w:hint="eastAsia" w:hAnsi="宋体" w:cs="宋体"/>
          <w:bCs/>
          <w:color w:val="auto"/>
          <w:sz w:val="21"/>
          <w:szCs w:val="21"/>
          <w:highlight w:val="none"/>
          <w:lang w:val="en-US" w:eastAsia="zh-CN"/>
        </w:rPr>
        <w:t>通知书或</w:t>
      </w:r>
      <w:r>
        <w:rPr>
          <w:rFonts w:hint="eastAsia" w:hAnsi="宋体" w:cs="宋体"/>
          <w:bCs/>
          <w:color w:val="auto"/>
          <w:sz w:val="21"/>
          <w:szCs w:val="21"/>
          <w:highlight w:val="none"/>
        </w:rPr>
        <w:t>合同复印件</w:t>
      </w:r>
      <w:r>
        <w:rPr>
          <w:rFonts w:hint="eastAsia" w:ascii="宋体" w:hAnsi="宋体" w:eastAsia="宋体" w:cs="宋体"/>
          <w:color w:val="auto"/>
          <w:sz w:val="21"/>
          <w:szCs w:val="21"/>
          <w:highlight w:val="none"/>
          <w:lang w:val="en-US" w:eastAsia="zh-CN"/>
        </w:rPr>
        <w:t>）</w:t>
      </w:r>
    </w:p>
    <w:p>
      <w:pPr>
        <w:pStyle w:val="16"/>
        <w:spacing w:line="400" w:lineRule="exact"/>
        <w:ind w:firstLine="411" w:firstLineChars="196"/>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）供应商</w:t>
      </w:r>
      <w:r>
        <w:rPr>
          <w:rFonts w:hint="eastAsia" w:hAnsi="宋体" w:cs="宋体"/>
          <w:bCs/>
          <w:color w:val="auto"/>
          <w:sz w:val="21"/>
          <w:szCs w:val="21"/>
          <w:highlight w:val="none"/>
          <w:lang w:val="en-US" w:eastAsia="zh-CN"/>
        </w:rPr>
        <w:t>近五年经营获得相关荣誉证书</w:t>
      </w:r>
      <w:r>
        <w:rPr>
          <w:rFonts w:hint="eastAsia" w:hAnsi="宋体" w:cs="宋体"/>
          <w:bCs/>
          <w:color w:val="auto"/>
          <w:sz w:val="21"/>
          <w:szCs w:val="21"/>
          <w:highlight w:val="none"/>
        </w:rPr>
        <w:t>，每</w:t>
      </w:r>
      <w:r>
        <w:rPr>
          <w:rFonts w:hint="eastAsia" w:hAnsi="宋体" w:cs="宋体"/>
          <w:bCs/>
          <w:color w:val="auto"/>
          <w:sz w:val="21"/>
          <w:szCs w:val="21"/>
          <w:highlight w:val="none"/>
          <w:lang w:eastAsia="zh-CN"/>
        </w:rPr>
        <w:t>提供</w:t>
      </w:r>
      <w:r>
        <w:rPr>
          <w:rFonts w:hint="eastAsia" w:hAnsi="宋体" w:cs="宋体"/>
          <w:bCs/>
          <w:color w:val="auto"/>
          <w:sz w:val="21"/>
          <w:szCs w:val="21"/>
          <w:highlight w:val="none"/>
        </w:rPr>
        <w:t>一个业绩得</w:t>
      </w:r>
      <w:r>
        <w:rPr>
          <w:rFonts w:hint="eastAsia" w:hAnsi="宋体" w:cs="宋体"/>
          <w:bCs/>
          <w:color w:val="auto"/>
          <w:sz w:val="21"/>
          <w:szCs w:val="21"/>
          <w:highlight w:val="none"/>
          <w:lang w:val="en-US" w:eastAsia="zh-CN"/>
        </w:rPr>
        <w:t>1</w:t>
      </w:r>
      <w:r>
        <w:rPr>
          <w:rFonts w:hint="eastAsia" w:hAnsi="宋体" w:cs="宋体"/>
          <w:bCs/>
          <w:color w:val="auto"/>
          <w:sz w:val="21"/>
          <w:szCs w:val="21"/>
          <w:highlight w:val="none"/>
        </w:rPr>
        <w:t>分，满分</w:t>
      </w:r>
      <w:r>
        <w:rPr>
          <w:rFonts w:hint="eastAsia" w:hAnsi="宋体" w:cs="宋体"/>
          <w:bCs/>
          <w:color w:val="auto"/>
          <w:sz w:val="21"/>
          <w:szCs w:val="21"/>
          <w:highlight w:val="none"/>
          <w:lang w:val="en-US" w:eastAsia="zh-CN"/>
        </w:rPr>
        <w:t>4</w:t>
      </w:r>
      <w:r>
        <w:rPr>
          <w:rFonts w:hint="eastAsia" w:hAnsi="宋体" w:cs="宋体"/>
          <w:bCs/>
          <w:color w:val="auto"/>
          <w:sz w:val="21"/>
          <w:szCs w:val="21"/>
          <w:highlight w:val="none"/>
        </w:rPr>
        <w:t>分；(</w:t>
      </w:r>
      <w:r>
        <w:rPr>
          <w:rFonts w:hint="eastAsia" w:hAnsi="宋体" w:cs="宋体"/>
          <w:bCs/>
          <w:color w:val="auto"/>
          <w:sz w:val="21"/>
          <w:szCs w:val="21"/>
          <w:highlight w:val="none"/>
          <w:lang w:eastAsia="zh-CN"/>
        </w:rPr>
        <w:t>响应文件</w:t>
      </w:r>
      <w:r>
        <w:rPr>
          <w:rFonts w:hint="eastAsia" w:hAnsi="宋体" w:cs="宋体"/>
          <w:bCs/>
          <w:color w:val="auto"/>
          <w:sz w:val="21"/>
          <w:szCs w:val="21"/>
          <w:highlight w:val="none"/>
        </w:rPr>
        <w:t>中提供</w:t>
      </w:r>
      <w:r>
        <w:rPr>
          <w:rFonts w:hint="eastAsia" w:hAnsi="宋体" w:cs="宋体"/>
          <w:bCs/>
          <w:color w:val="auto"/>
          <w:sz w:val="21"/>
          <w:szCs w:val="21"/>
          <w:highlight w:val="none"/>
          <w:lang w:eastAsia="zh-CN"/>
        </w:rPr>
        <w:t>荣誉影印件或</w:t>
      </w:r>
      <w:r>
        <w:rPr>
          <w:rFonts w:hint="eastAsia" w:hAnsi="宋体" w:cs="宋体"/>
          <w:bCs/>
          <w:color w:val="auto"/>
          <w:sz w:val="21"/>
          <w:szCs w:val="21"/>
          <w:highlight w:val="none"/>
        </w:rPr>
        <w:t>复印件</w:t>
      </w:r>
      <w:r>
        <w:rPr>
          <w:rFonts w:hint="eastAsia" w:ascii="宋体" w:hAnsi="宋体" w:eastAsia="宋体" w:cs="宋体"/>
          <w:color w:val="auto"/>
          <w:sz w:val="21"/>
          <w:szCs w:val="21"/>
          <w:highlight w:val="none"/>
          <w:lang w:val="en-US" w:eastAsia="zh-CN"/>
        </w:rPr>
        <w:t>）</w:t>
      </w:r>
    </w:p>
    <w:p>
      <w:pPr>
        <w:pStyle w:val="16"/>
        <w:spacing w:line="400" w:lineRule="exact"/>
        <w:ind w:firstLine="411" w:firstLineChars="196"/>
        <w:outlineLvl w:val="0"/>
        <w:rPr>
          <w:rFonts w:hint="default" w:ascii="宋体" w:hAnsi="宋体" w:eastAsia="宋体" w:cs="宋体"/>
          <w:b/>
          <w:bCs/>
          <w:color w:val="auto"/>
          <w:sz w:val="21"/>
          <w:szCs w:val="21"/>
          <w:highlight w:val="none"/>
          <w:lang w:val="en-US" w:eastAsia="zh-CN"/>
        </w:rPr>
      </w:pPr>
      <w:r>
        <w:rPr>
          <w:rFonts w:hint="eastAsia" w:hAnsi="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5.综合得分＝1+2+3</w:t>
      </w:r>
      <w:r>
        <w:rPr>
          <w:rFonts w:hint="eastAsia" w:ascii="宋体" w:hAnsi="宋体" w:cs="宋体"/>
          <w:b/>
          <w:bCs/>
          <w:color w:val="auto"/>
          <w:sz w:val="21"/>
          <w:szCs w:val="21"/>
          <w:highlight w:val="none"/>
          <w:lang w:val="en-US" w:eastAsia="zh-CN"/>
        </w:rPr>
        <w:t>+4</w:t>
      </w:r>
    </w:p>
    <w:p>
      <w:pPr>
        <w:spacing w:line="4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三、推荐成交候选供应商原则</w:t>
      </w:r>
    </w:p>
    <w:p>
      <w:pPr>
        <w:spacing w:line="400" w:lineRule="exact"/>
        <w:ind w:firstLine="422" w:firstLineChars="200"/>
        <w:rPr>
          <w:rFonts w:hint="eastAsia" w:ascii="宋体" w:hAnsi="宋体" w:eastAsia="宋体" w:cs="宋体"/>
          <w:b/>
          <w:bCs/>
          <w:color w:val="auto"/>
          <w:sz w:val="21"/>
          <w:szCs w:val="21"/>
          <w:highlight w:val="none"/>
        </w:rPr>
      </w:pPr>
      <w:bookmarkStart w:id="141" w:name="_Hlk94172922"/>
      <w:r>
        <w:rPr>
          <w:rFonts w:hint="eastAsia" w:ascii="宋体" w:hAnsi="宋体" w:eastAsia="宋体" w:cs="宋体"/>
          <w:b/>
          <w:bCs/>
          <w:color w:val="auto"/>
          <w:sz w:val="21"/>
          <w:szCs w:val="21"/>
          <w:highlight w:val="none"/>
        </w:rPr>
        <w:t>（1）磋商小组应当根据综合评分情况，按照综合得分由高到低顺序推荐成交候选供应商，并编写评审报告。磋商小组根据综合得分由高到低排列次序，若得分相同时，</w:t>
      </w:r>
      <w:r>
        <w:rPr>
          <w:rFonts w:hint="eastAsia" w:ascii="宋体" w:hAnsi="宋体" w:cs="宋体"/>
          <w:b/>
          <w:bCs/>
          <w:color w:val="auto"/>
          <w:sz w:val="21"/>
          <w:szCs w:val="21"/>
          <w:highlight w:val="none"/>
          <w:lang w:eastAsia="zh-CN"/>
        </w:rPr>
        <w:t>依次按照服务方案、服务保障、履约能力得分</w:t>
      </w:r>
      <w:r>
        <w:rPr>
          <w:rFonts w:hint="eastAsia" w:ascii="宋体" w:hAnsi="宋体" w:eastAsia="宋体" w:cs="宋体"/>
          <w:b/>
          <w:bCs/>
          <w:color w:val="auto"/>
          <w:sz w:val="21"/>
          <w:szCs w:val="21"/>
          <w:highlight w:val="none"/>
        </w:rPr>
        <w:t>由高到低顺序排列。</w:t>
      </w:r>
    </w:p>
    <w:p>
      <w:pPr>
        <w:spacing w:line="4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（2）采购单位应当确定磋商小组推荐排名第一的成交候选人为成交供应商。</w:t>
      </w:r>
    </w:p>
    <w:p>
      <w:pPr>
        <w:spacing w:line="4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（3）排名第一的成交候选人放弃成交、因不可抗力提出不能履行合同，或者磋商文件规定应当提交履约保证金而在规定的期限内未能提交的，采购单位可以确定排名第二的成交候选人为成交供应商。</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sectPr>
          <w:pgSz w:w="11906" w:h="16838"/>
          <w:pgMar w:top="1134" w:right="1134" w:bottom="1134" w:left="1134" w:header="851" w:footer="992" w:gutter="0"/>
          <w:pgNumType w:fmt="decimal"/>
          <w:cols w:space="720" w:num="1"/>
          <w:docGrid w:type="lines" w:linePitch="312" w:charSpace="0"/>
        </w:sectPr>
      </w:pP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（4）排名第二的成交候选人因前款规定的同样原因不能签订合同的，采购单位可以确定排名第三的成交候选人为成交供应商。</w:t>
      </w:r>
      <w:bookmarkEnd w:id="141"/>
    </w:p>
    <w:p>
      <w:pPr>
        <w:keepNext w:val="0"/>
        <w:keepLines w:val="0"/>
        <w:pageBreakBefore w:val="0"/>
        <w:kinsoku/>
        <w:wordWrap/>
        <w:overflowPunct/>
        <w:topLinePunct w:val="0"/>
        <w:autoSpaceDE/>
        <w:autoSpaceDN/>
        <w:bidi w:val="0"/>
        <w:snapToGrid/>
        <w:spacing w:line="280" w:lineRule="exact"/>
        <w:ind w:right="0" w:rightChars="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p>
    <w:p>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142" w:name="_Toc28361_WPSOffice_Level2"/>
      <w:r>
        <w:rPr>
          <w:rFonts w:hint="eastAsia" w:ascii="宋体" w:hAnsi="宋体" w:eastAsia="宋体" w:cs="宋体"/>
          <w:b/>
          <w:bCs/>
          <w:color w:val="auto"/>
          <w:kern w:val="0"/>
          <w:sz w:val="30"/>
          <w:szCs w:val="30"/>
          <w:highlight w:val="none"/>
        </w:rPr>
        <w:t>统计上大中小微型企业划分标准</w:t>
      </w:r>
      <w:bookmarkEnd w:id="142"/>
    </w:p>
    <w:tbl>
      <w:tblPr>
        <w:tblStyle w:val="2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FFFFFF"/>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FFFFFF"/>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r>
              <w:rPr>
                <w:rFonts w:hint="eastAsia" w:ascii="宋体" w:hAnsi="宋体" w:eastAsia="宋体" w:cs="宋体"/>
                <w:b/>
                <w:bCs/>
                <w:color w:val="auto"/>
                <w:kern w:val="0"/>
                <w:sz w:val="18"/>
                <w:szCs w:val="18"/>
                <w:highlight w:val="none"/>
              </w:rPr>
              <w:br w:type="textWrapping"/>
            </w:r>
            <w:r>
              <w:rPr>
                <w:rFonts w:hint="eastAsia" w:ascii="宋体" w:hAnsi="宋体" w:eastAsia="宋体" w:cs="宋体"/>
                <w:b/>
                <w:bCs/>
                <w:color w:val="auto"/>
                <w:kern w:val="0"/>
                <w:sz w:val="18"/>
                <w:szCs w:val="18"/>
                <w:highlight w:val="none"/>
              </w:rPr>
              <w:t>单位</w:t>
            </w:r>
          </w:p>
        </w:tc>
        <w:tc>
          <w:tcPr>
            <w:tcW w:w="1125" w:type="dxa"/>
            <w:shd w:val="clear" w:color="auto" w:fill="FFFFFF"/>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FFFFFF"/>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FFFFFF"/>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FFFFFF"/>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auto"/>
          <w:spacing w:val="8"/>
          <w:kern w:val="0"/>
          <w:sz w:val="24"/>
          <w:highlight w:val="none"/>
        </w:rPr>
      </w:pPr>
    </w:p>
    <w:p>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auto"/>
          <w:spacing w:val="8"/>
          <w:kern w:val="0"/>
          <w:sz w:val="24"/>
          <w:highlight w:val="none"/>
        </w:rPr>
      </w:pPr>
      <w:r>
        <w:rPr>
          <w:rFonts w:hint="eastAsia" w:ascii="宋体" w:hAnsi="宋体" w:eastAsia="宋体" w:cs="宋体"/>
          <w:color w:val="auto"/>
          <w:spacing w:val="8"/>
          <w:kern w:val="0"/>
          <w:sz w:val="24"/>
          <w:highlight w:val="none"/>
        </w:rPr>
        <w:t>说明：</w:t>
      </w:r>
    </w:p>
    <w:p>
      <w:pPr>
        <w:pStyle w:val="16"/>
        <w:keepNext w:val="0"/>
        <w:keepLines w:val="0"/>
        <w:pageBreakBefore w:val="0"/>
        <w:kinsoku/>
        <w:wordWrap/>
        <w:overflowPunct/>
        <w:topLinePunct w:val="0"/>
        <w:autoSpaceDE/>
        <w:autoSpaceDN/>
        <w:bidi w:val="0"/>
        <w:adjustRightInd w:val="0"/>
        <w:snapToGrid/>
        <w:spacing w:beforeLines="0" w:afterLines="0" w:line="280" w:lineRule="exact"/>
        <w:ind w:right="0" w:rightChars="0" w:firstLine="512" w:firstLineChars="200"/>
        <w:contextualSpacing/>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1.大型、中型和小型企业须同时满足所列指标的下限，否则下划一档；微型企业只须满足所列指标中的一项即可。</w:t>
      </w:r>
    </w:p>
    <w:p>
      <w:pPr>
        <w:pStyle w:val="16"/>
        <w:keepNext w:val="0"/>
        <w:keepLines w:val="0"/>
        <w:pageBreakBefore w:val="0"/>
        <w:kinsoku/>
        <w:wordWrap/>
        <w:overflowPunct/>
        <w:topLinePunct w:val="0"/>
        <w:autoSpaceDE/>
        <w:autoSpaceDN/>
        <w:bidi w:val="0"/>
        <w:adjustRightInd w:val="0"/>
        <w:snapToGrid/>
        <w:spacing w:beforeLines="0" w:afterLines="0" w:line="280" w:lineRule="exact"/>
        <w:ind w:right="0" w:rightChars="0" w:firstLine="512" w:firstLineChars="200"/>
        <w:contextualSpacing/>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6"/>
        <w:keepNext w:val="0"/>
        <w:keepLines w:val="0"/>
        <w:pageBreakBefore w:val="0"/>
        <w:kinsoku/>
        <w:wordWrap/>
        <w:overflowPunct/>
        <w:topLinePunct w:val="0"/>
        <w:autoSpaceDE/>
        <w:autoSpaceDN/>
        <w:bidi w:val="0"/>
        <w:snapToGrid/>
        <w:spacing w:beforeLines="0" w:afterLines="0" w:line="280" w:lineRule="exact"/>
        <w:ind w:right="0" w:rightChars="0" w:firstLine="512" w:firstLineChars="200"/>
        <w:textAlignment w:val="auto"/>
        <w:outlineLvl w:val="9"/>
        <w:rPr>
          <w:rFonts w:hint="eastAsia" w:ascii="宋体" w:hAnsi="宋体" w:eastAsia="宋体" w:cs="宋体"/>
          <w:color w:val="auto"/>
          <w:spacing w:val="8"/>
          <w:kern w:val="0"/>
          <w:sz w:val="24"/>
          <w:szCs w:val="24"/>
          <w:highlight w:val="none"/>
        </w:rPr>
        <w:sectPr>
          <w:pgSz w:w="11906" w:h="16838"/>
          <w:pgMar w:top="1500" w:right="1134" w:bottom="1258" w:left="1134" w:header="720" w:footer="720" w:gutter="0"/>
          <w:pgNumType w:fmt="decimal"/>
          <w:cols w:space="720" w:num="1"/>
          <w:titlePg/>
          <w:docGrid w:type="linesAndChars" w:linePitch="331" w:charSpace="0"/>
        </w:sectPr>
      </w:pPr>
      <w:r>
        <w:rPr>
          <w:rFonts w:hint="eastAsia" w:ascii="宋体" w:hAnsi="宋体" w:eastAsia="宋体" w:cs="宋体"/>
          <w:color w:val="auto"/>
          <w:spacing w:val="8"/>
          <w:kern w:val="0"/>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43" w:name="_Toc8466"/>
      <w:bookmarkStart w:id="144" w:name="_Toc4774"/>
    </w:p>
    <w:p>
      <w:pPr>
        <w:pStyle w:val="3"/>
        <w:bidi w:val="0"/>
        <w:rPr>
          <w:rFonts w:hint="eastAsia"/>
          <w:color w:val="auto"/>
          <w:highlight w:val="none"/>
        </w:rPr>
      </w:pPr>
      <w:bookmarkStart w:id="145" w:name="_Toc5351"/>
      <w:bookmarkStart w:id="146" w:name="_Toc25360"/>
      <w:r>
        <w:rPr>
          <w:rFonts w:hint="eastAsia"/>
          <w:color w:val="auto"/>
          <w:highlight w:val="none"/>
          <w:lang w:eastAsia="zh-CN"/>
        </w:rPr>
        <w:t>第五章</w:t>
      </w:r>
      <w:r>
        <w:rPr>
          <w:rFonts w:hint="eastAsia"/>
          <w:color w:val="auto"/>
          <w:highlight w:val="none"/>
          <w:lang w:val="en-US" w:eastAsia="zh-CN"/>
        </w:rPr>
        <w:t xml:space="preserve"> </w:t>
      </w:r>
      <w:r>
        <w:rPr>
          <w:rFonts w:hint="eastAsia"/>
          <w:color w:val="auto"/>
          <w:highlight w:val="none"/>
        </w:rPr>
        <w:t>采购合同（合同主要条款及格式）</w:t>
      </w:r>
      <w:bookmarkEnd w:id="143"/>
      <w:bookmarkEnd w:id="144"/>
      <w:bookmarkEnd w:id="145"/>
      <w:bookmarkEnd w:id="146"/>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auto"/>
          <w:sz w:val="21"/>
          <w:szCs w:val="21"/>
          <w:highlight w:val="none"/>
          <w:lang w:eastAsia="zh-CN"/>
        </w:rPr>
      </w:pPr>
      <w:bookmarkStart w:id="147" w:name="_Toc24269"/>
      <w:bookmarkStart w:id="148" w:name="_Toc10014"/>
      <w:bookmarkStart w:id="149" w:name="_Toc5077"/>
      <w:r>
        <w:rPr>
          <w:rFonts w:hint="eastAsia" w:ascii="宋体" w:hAnsi="宋体" w:eastAsia="宋体" w:cs="宋体"/>
          <w:color w:val="auto"/>
          <w:sz w:val="21"/>
          <w:szCs w:val="21"/>
          <w:highlight w:val="none"/>
          <w:lang w:eastAsia="zh-CN"/>
        </w:rPr>
        <w:t>合同编号：</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广西商业技师学院烹饪实训材料供应商采购</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GXZC2024-C3-002956-GXTG</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eastAsia="zh-CN"/>
        </w:rPr>
        <w:t>广西商业技师学院</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（成交供应商）</w:t>
      </w:r>
    </w:p>
    <w:p>
      <w:pPr>
        <w:keepNext w:val="0"/>
        <w:keepLines w:val="0"/>
        <w:widowControl/>
        <w:suppressLineNumbers w:val="0"/>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w:t>
      </w:r>
      <w:r>
        <w:rPr>
          <w:rFonts w:hint="eastAsia" w:ascii="宋体" w:hAnsi="宋体" w:eastAsia="宋体" w:cs="宋体"/>
          <w:color w:val="auto"/>
          <w:highlight w:val="none"/>
          <w:lang w:val="en-US" w:eastAsia="zh-CN"/>
        </w:rPr>
        <w:t>《中华人民共和国政府采购法实施条例》</w:t>
      </w:r>
      <w:r>
        <w:rPr>
          <w:rFonts w:hint="eastAsia" w:ascii="宋体" w:hAnsi="宋体" w:eastAsia="宋体" w:cs="宋体"/>
          <w:color w:val="auto"/>
          <w:highlight w:val="none"/>
        </w:rPr>
        <w:t>《中华人民共和国</w:t>
      </w:r>
      <w:r>
        <w:rPr>
          <w:rFonts w:hint="eastAsia" w:ascii="宋体" w:hAnsi="宋体" w:eastAsia="宋体" w:cs="宋体"/>
          <w:color w:val="auto"/>
          <w:highlight w:val="none"/>
          <w:lang w:val="en-US" w:eastAsia="zh-CN"/>
        </w:rPr>
        <w:t>民法典</w:t>
      </w:r>
      <w:r>
        <w:rPr>
          <w:rFonts w:hint="eastAsia" w:ascii="宋体" w:hAnsi="宋体" w:eastAsia="宋体" w:cs="宋体"/>
          <w:color w:val="auto"/>
          <w:highlight w:val="none"/>
        </w:rPr>
        <w:t>》等法律、法规规定，按照竞争性磋商文件（以下简称磋商文件）、竞争性磋商响应文件（以下简称响应文件）规定条款和成交供应商的承诺、甲乙双方签订本合同。</w:t>
      </w:r>
    </w:p>
    <w:p>
      <w:pPr>
        <w:pStyle w:val="4"/>
        <w:bidi w:val="0"/>
        <w:ind w:left="567" w:leftChars="200" w:hanging="147" w:hangingChars="70"/>
        <w:rPr>
          <w:rFonts w:hint="eastAsia" w:ascii="宋体" w:hAnsi="宋体" w:eastAsia="宋体" w:cs="宋体"/>
          <w:b/>
          <w:bCs w:val="0"/>
          <w:color w:val="auto"/>
          <w:sz w:val="21"/>
          <w:szCs w:val="21"/>
          <w:highlight w:val="none"/>
        </w:rPr>
      </w:pPr>
      <w:bookmarkStart w:id="150" w:name="_Toc30275"/>
      <w:bookmarkStart w:id="151" w:name="_Toc20217"/>
      <w:bookmarkStart w:id="152" w:name="_Toc845"/>
      <w:r>
        <w:rPr>
          <w:rFonts w:hint="eastAsia" w:ascii="宋体" w:hAnsi="宋体" w:eastAsia="宋体" w:cs="宋体"/>
          <w:b/>
          <w:bCs w:val="0"/>
          <w:color w:val="auto"/>
          <w:sz w:val="21"/>
          <w:szCs w:val="21"/>
          <w:highlight w:val="none"/>
        </w:rPr>
        <w:t>第一条 合同文件</w:t>
      </w:r>
      <w:bookmarkEnd w:id="150"/>
      <w:bookmarkEnd w:id="151"/>
      <w:bookmarkEnd w:id="152"/>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1、本合同所附下列文件是构成本合同不可分割的部分：</w:t>
      </w: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（1）成交供应商提交的</w:t>
      </w:r>
      <w:r>
        <w:rPr>
          <w:rFonts w:hint="eastAsia" w:ascii="宋体" w:hAnsi="宋体" w:eastAsia="宋体" w:cs="宋体"/>
          <w:color w:val="auto"/>
          <w:szCs w:val="21"/>
          <w:highlight w:val="none"/>
        </w:rPr>
        <w:t>磋商</w:t>
      </w:r>
      <w:r>
        <w:rPr>
          <w:rFonts w:hint="eastAsia" w:ascii="宋体" w:hAnsi="宋体" w:eastAsia="宋体" w:cs="宋体"/>
          <w:color w:val="auto"/>
          <w:highlight w:val="none"/>
        </w:rPr>
        <w:t>报价表、</w:t>
      </w:r>
      <w:r>
        <w:rPr>
          <w:rFonts w:hint="eastAsia" w:ascii="宋体" w:hAnsi="宋体" w:eastAsia="宋体" w:cs="宋体"/>
          <w:color w:val="auto"/>
          <w:szCs w:val="21"/>
          <w:highlight w:val="none"/>
        </w:rPr>
        <w:t>针对本项目的服务</w:t>
      </w:r>
      <w:r>
        <w:rPr>
          <w:rFonts w:hint="eastAsia" w:ascii="宋体" w:hAnsi="宋体" w:eastAsia="宋体" w:cs="宋体"/>
          <w:color w:val="auto"/>
          <w:szCs w:val="21"/>
          <w:highlight w:val="none"/>
          <w:lang w:eastAsia="zh-CN"/>
        </w:rPr>
        <w:t>承诺书</w:t>
      </w:r>
      <w:r>
        <w:rPr>
          <w:rFonts w:hint="eastAsia" w:ascii="宋体" w:hAnsi="宋体" w:eastAsia="宋体" w:cs="宋体"/>
          <w:color w:val="auto"/>
          <w:highlight w:val="none"/>
        </w:rPr>
        <w:t>；</w:t>
      </w: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（2）成交通知书；</w:t>
      </w: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（3）本合同协议书及有关补充资料；</w:t>
      </w: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（4）磋商文件的条款要求。</w:t>
      </w:r>
    </w:p>
    <w:p>
      <w:pPr>
        <w:tabs>
          <w:tab w:val="left" w:pos="130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2、合同价金额包括：服务过程中相关的一切费用。</w:t>
      </w:r>
    </w:p>
    <w:p>
      <w:pPr>
        <w:pStyle w:val="4"/>
        <w:bidi w:val="0"/>
        <w:ind w:left="567" w:leftChars="200" w:hanging="147" w:hangingChars="70"/>
        <w:rPr>
          <w:rFonts w:hint="eastAsia" w:ascii="宋体" w:hAnsi="宋体" w:eastAsia="宋体" w:cs="宋体"/>
          <w:b/>
          <w:bCs w:val="0"/>
          <w:color w:val="auto"/>
          <w:sz w:val="21"/>
          <w:szCs w:val="21"/>
          <w:highlight w:val="none"/>
        </w:rPr>
      </w:pPr>
      <w:bookmarkStart w:id="153" w:name="_Toc25572"/>
      <w:bookmarkStart w:id="154" w:name="_Toc6972"/>
      <w:bookmarkStart w:id="155" w:name="_Toc28710"/>
      <w:r>
        <w:rPr>
          <w:rFonts w:hint="eastAsia" w:ascii="宋体" w:hAnsi="宋体" w:eastAsia="宋体" w:cs="宋体"/>
          <w:b/>
          <w:bCs w:val="0"/>
          <w:color w:val="auto"/>
          <w:sz w:val="21"/>
          <w:szCs w:val="21"/>
          <w:highlight w:val="none"/>
        </w:rPr>
        <w:t>第二条　合同金额</w:t>
      </w:r>
      <w:bookmarkEnd w:id="153"/>
      <w:bookmarkEnd w:id="154"/>
      <w:bookmarkEnd w:id="155"/>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根据《成交通知书》的成交内容，合同的总金额为：（大写）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pPr>
        <w:pStyle w:val="4"/>
        <w:bidi w:val="0"/>
        <w:ind w:left="567" w:leftChars="200" w:hanging="147" w:hangingChars="70"/>
        <w:rPr>
          <w:rFonts w:hint="eastAsia" w:ascii="宋体" w:hAnsi="宋体" w:eastAsia="宋体" w:cs="宋体"/>
          <w:b/>
          <w:bCs w:val="0"/>
          <w:color w:val="auto"/>
          <w:sz w:val="21"/>
          <w:szCs w:val="21"/>
          <w:highlight w:val="none"/>
        </w:rPr>
      </w:pPr>
      <w:bookmarkStart w:id="156" w:name="_Toc5557"/>
      <w:bookmarkStart w:id="157" w:name="_Toc9581"/>
      <w:bookmarkStart w:id="158" w:name="_Toc16138"/>
      <w:r>
        <w:rPr>
          <w:rFonts w:hint="eastAsia" w:ascii="宋体" w:hAnsi="宋体" w:eastAsia="宋体" w:cs="宋体"/>
          <w:b/>
          <w:bCs w:val="0"/>
          <w:color w:val="auto"/>
          <w:sz w:val="21"/>
          <w:szCs w:val="21"/>
          <w:highlight w:val="none"/>
        </w:rPr>
        <w:t>第三条  服务保证</w:t>
      </w:r>
      <w:bookmarkEnd w:id="156"/>
      <w:bookmarkEnd w:id="157"/>
      <w:bookmarkEnd w:id="158"/>
    </w:p>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成交供应商应按</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和承诺</w:t>
      </w:r>
      <w:r>
        <w:rPr>
          <w:rFonts w:hint="eastAsia" w:ascii="宋体" w:hAnsi="宋体" w:eastAsia="宋体" w:cs="宋体"/>
          <w:color w:val="auto"/>
          <w:szCs w:val="21"/>
          <w:highlight w:val="none"/>
        </w:rPr>
        <w:t>规定的服务</w:t>
      </w:r>
      <w:r>
        <w:rPr>
          <w:rFonts w:hint="eastAsia" w:ascii="宋体" w:hAnsi="宋体" w:eastAsia="宋体" w:cs="宋体"/>
          <w:color w:val="auto"/>
          <w:szCs w:val="21"/>
          <w:highlight w:val="none"/>
          <w:lang w:eastAsia="zh-CN"/>
        </w:rPr>
        <w:t>内容</w:t>
      </w:r>
      <w:r>
        <w:rPr>
          <w:rFonts w:hint="eastAsia" w:ascii="宋体" w:hAnsi="宋体" w:eastAsia="宋体" w:cs="宋体"/>
          <w:color w:val="auto"/>
          <w:szCs w:val="21"/>
          <w:highlight w:val="none"/>
        </w:rPr>
        <w:t>向采购人提供相应服务。</w:t>
      </w:r>
    </w:p>
    <w:p>
      <w:pPr>
        <w:pStyle w:val="4"/>
        <w:bidi w:val="0"/>
        <w:ind w:left="567" w:leftChars="200" w:hanging="147" w:hangingChars="70"/>
        <w:rPr>
          <w:rFonts w:hint="eastAsia" w:ascii="宋体" w:hAnsi="宋体" w:eastAsia="宋体" w:cs="宋体"/>
          <w:b/>
          <w:bCs w:val="0"/>
          <w:color w:val="auto"/>
          <w:sz w:val="21"/>
          <w:szCs w:val="21"/>
          <w:highlight w:val="none"/>
        </w:rPr>
      </w:pPr>
      <w:bookmarkStart w:id="159" w:name="_Toc8669"/>
      <w:bookmarkStart w:id="160" w:name="_Toc16565"/>
      <w:bookmarkStart w:id="161" w:name="_Toc25056"/>
      <w:r>
        <w:rPr>
          <w:rFonts w:hint="eastAsia" w:ascii="宋体" w:hAnsi="宋体" w:eastAsia="宋体" w:cs="宋体"/>
          <w:b/>
          <w:bCs w:val="0"/>
          <w:color w:val="auto"/>
          <w:sz w:val="21"/>
          <w:szCs w:val="21"/>
          <w:highlight w:val="none"/>
        </w:rPr>
        <w:t>第四条  服务期限</w:t>
      </w:r>
      <w:bookmarkEnd w:id="159"/>
      <w:bookmarkEnd w:id="160"/>
      <w:bookmarkEnd w:id="161"/>
    </w:p>
    <w:p>
      <w:pPr>
        <w:spacing w:line="360" w:lineRule="auto"/>
        <w:ind w:firstLine="411" w:firstLineChars="196"/>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服务期限:</w:t>
      </w:r>
      <w:r>
        <w:rPr>
          <w:rFonts w:hint="eastAsia" w:ascii="宋体" w:hAnsi="宋体" w:eastAsia="宋体" w:cs="宋体"/>
          <w:color w:val="auto"/>
          <w:szCs w:val="21"/>
          <w:highlight w:val="none"/>
          <w:u w:val="non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p>
    <w:p>
      <w:pPr>
        <w:pStyle w:val="4"/>
        <w:bidi w:val="0"/>
        <w:ind w:left="567" w:leftChars="200" w:hanging="147" w:hangingChars="70"/>
        <w:rPr>
          <w:rFonts w:hint="eastAsia" w:ascii="宋体" w:hAnsi="宋体" w:eastAsia="宋体" w:cs="宋体"/>
          <w:b/>
          <w:bCs w:val="0"/>
          <w:color w:val="auto"/>
          <w:sz w:val="21"/>
          <w:szCs w:val="21"/>
          <w:highlight w:val="none"/>
        </w:rPr>
      </w:pPr>
      <w:bookmarkStart w:id="162" w:name="_Toc25521"/>
      <w:bookmarkStart w:id="163" w:name="_Toc3282"/>
      <w:bookmarkStart w:id="164" w:name="_Toc15179"/>
      <w:r>
        <w:rPr>
          <w:rFonts w:hint="eastAsia" w:ascii="宋体" w:hAnsi="宋体" w:eastAsia="宋体" w:cs="宋体"/>
          <w:b/>
          <w:bCs w:val="0"/>
          <w:color w:val="auto"/>
          <w:sz w:val="21"/>
          <w:szCs w:val="21"/>
          <w:highlight w:val="none"/>
        </w:rPr>
        <w:t>第五条  交付</w:t>
      </w:r>
      <w:bookmarkEnd w:id="162"/>
      <w:bookmarkEnd w:id="163"/>
      <w:bookmarkEnd w:id="164"/>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1、服务时间</w:t>
      </w:r>
      <w:r>
        <w:rPr>
          <w:rFonts w:hint="eastAsia" w:ascii="宋体" w:hAnsi="宋体" w:eastAsia="宋体" w:cs="宋体"/>
          <w:color w:val="auto"/>
          <w:szCs w:val="21"/>
          <w:highlight w:val="none"/>
          <w:u w:val="single"/>
        </w:rPr>
        <w:t>自签订合同之日起至服务满</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年整</w:t>
      </w:r>
      <w:r>
        <w:rPr>
          <w:rFonts w:hint="eastAsia" w:ascii="宋体" w:hAnsi="宋体" w:eastAsia="宋体" w:cs="宋体"/>
          <w:color w:val="auto"/>
          <w:szCs w:val="21"/>
          <w:highlight w:val="none"/>
          <w:u w:val="single"/>
          <w:lang w:eastAsia="zh-CN"/>
        </w:rPr>
        <w:t>为止</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rPr>
        <w:t>采购人指定地点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2、成交供应商提供不符合磋商文件、响应文件和本合同规定的服务，采购人有权拒绝接受。</w:t>
      </w:r>
    </w:p>
    <w:p>
      <w:pPr>
        <w:pStyle w:val="4"/>
        <w:bidi w:val="0"/>
        <w:ind w:left="567" w:leftChars="200" w:hanging="147" w:hangingChars="70"/>
        <w:rPr>
          <w:rFonts w:hint="eastAsia" w:ascii="宋体" w:hAnsi="宋体" w:eastAsia="宋体" w:cs="宋体"/>
          <w:b/>
          <w:bCs w:val="0"/>
          <w:color w:val="auto"/>
          <w:sz w:val="21"/>
          <w:szCs w:val="21"/>
          <w:highlight w:val="none"/>
        </w:rPr>
      </w:pPr>
      <w:bookmarkStart w:id="165" w:name="_Toc22519"/>
      <w:bookmarkStart w:id="166" w:name="_Toc8253"/>
      <w:bookmarkStart w:id="167" w:name="_Toc21969"/>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六</w:t>
      </w:r>
      <w:r>
        <w:rPr>
          <w:rFonts w:hint="eastAsia" w:ascii="宋体" w:hAnsi="宋体" w:eastAsia="宋体" w:cs="宋体"/>
          <w:b/>
          <w:bCs w:val="0"/>
          <w:color w:val="auto"/>
          <w:sz w:val="21"/>
          <w:szCs w:val="21"/>
          <w:highlight w:val="none"/>
        </w:rPr>
        <w:t>条  税费</w:t>
      </w:r>
      <w:bookmarkEnd w:id="165"/>
      <w:bookmarkEnd w:id="166"/>
      <w:bookmarkEnd w:id="167"/>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本合同执行中相关的一切税费均由成交供应商负担。</w:t>
      </w:r>
    </w:p>
    <w:p>
      <w:pPr>
        <w:pStyle w:val="4"/>
        <w:bidi w:val="0"/>
        <w:ind w:left="567" w:leftChars="200" w:hanging="147" w:hangingChars="70"/>
        <w:rPr>
          <w:rFonts w:hint="eastAsia" w:ascii="宋体" w:hAnsi="宋体" w:eastAsia="宋体" w:cs="宋体"/>
          <w:b/>
          <w:bCs w:val="0"/>
          <w:color w:val="auto"/>
          <w:sz w:val="21"/>
          <w:szCs w:val="21"/>
          <w:highlight w:val="none"/>
        </w:rPr>
      </w:pPr>
      <w:bookmarkStart w:id="168" w:name="_Toc11829"/>
      <w:bookmarkStart w:id="169" w:name="_Toc31516"/>
      <w:bookmarkStart w:id="170" w:name="_Toc29885"/>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七</w:t>
      </w:r>
      <w:r>
        <w:rPr>
          <w:rFonts w:hint="eastAsia" w:ascii="宋体" w:hAnsi="宋体" w:eastAsia="宋体" w:cs="宋体"/>
          <w:b/>
          <w:bCs w:val="0"/>
          <w:color w:val="auto"/>
          <w:sz w:val="21"/>
          <w:szCs w:val="21"/>
          <w:highlight w:val="none"/>
        </w:rPr>
        <w:t>条  付款方式</w:t>
      </w:r>
      <w:bookmarkEnd w:id="168"/>
      <w:bookmarkEnd w:id="169"/>
      <w:bookmarkEnd w:id="170"/>
    </w:p>
    <w:p>
      <w:pPr>
        <w:spacing w:line="400" w:lineRule="exact"/>
        <w:rPr>
          <w:rFonts w:hint="eastAsia"/>
          <w:color w:val="auto"/>
          <w:highlight w:val="none"/>
        </w:rPr>
      </w:pPr>
      <w:r>
        <w:rPr>
          <w:rFonts w:hint="eastAsia" w:ascii="宋体" w:hAnsi="宋体" w:cs="宋体"/>
          <w:color w:val="auto"/>
          <w:szCs w:val="21"/>
          <w:highlight w:val="none"/>
          <w:lang w:val="en-US" w:eastAsia="zh-CN"/>
        </w:rPr>
        <w:t xml:space="preserve">   </w:t>
      </w:r>
      <w:r>
        <w:rPr>
          <w:rFonts w:hint="eastAsia" w:ascii="宋体" w:hAnsi="宋体" w:cs="宋体"/>
          <w:b/>
          <w:bCs/>
          <w:color w:val="auto"/>
          <w:szCs w:val="21"/>
          <w:highlight w:val="none"/>
          <w:lang w:eastAsia="zh-CN"/>
        </w:rPr>
        <w:t>成交供应商</w:t>
      </w:r>
      <w:r>
        <w:rPr>
          <w:rFonts w:hint="eastAsia" w:ascii="宋体" w:hAnsi="宋体" w:eastAsia="宋体" w:cs="宋体"/>
          <w:b/>
          <w:bCs/>
          <w:color w:val="auto"/>
          <w:szCs w:val="21"/>
          <w:highlight w:val="none"/>
        </w:rPr>
        <w:t>每月10日前提供上个月供应货物等额发票及供货单据结算货款，</w:t>
      </w:r>
      <w:r>
        <w:rPr>
          <w:rFonts w:hint="eastAsia" w:ascii="宋体" w:hAnsi="宋体" w:eastAsia="宋体" w:cs="宋体"/>
          <w:b/>
          <w:bCs/>
          <w:color w:val="auto"/>
          <w:szCs w:val="21"/>
          <w:highlight w:val="none"/>
          <w:lang w:eastAsia="zh-CN"/>
        </w:rPr>
        <w:t>每月结</w:t>
      </w:r>
      <w:r>
        <w:rPr>
          <w:rFonts w:hint="eastAsia" w:ascii="宋体" w:hAnsi="宋体" w:eastAsia="宋体" w:cs="宋体"/>
          <w:b/>
          <w:bCs/>
          <w:color w:val="auto"/>
          <w:szCs w:val="21"/>
          <w:highlight w:val="none"/>
        </w:rPr>
        <w:t>算一次。采购人在收到等额发票及对账确认单据，并办理相关审核、审批手续后，拟在20个工作日内，以银行转账方式或者刷公务卡向</w:t>
      </w:r>
      <w:r>
        <w:rPr>
          <w:rFonts w:hint="eastAsia" w:ascii="宋体" w:hAnsi="宋体" w:eastAsia="宋体" w:cs="宋体"/>
          <w:b/>
          <w:bCs/>
          <w:color w:val="auto"/>
          <w:szCs w:val="21"/>
          <w:highlight w:val="none"/>
          <w:lang w:eastAsia="zh-CN"/>
        </w:rPr>
        <w:t>成交供应商</w:t>
      </w:r>
      <w:r>
        <w:rPr>
          <w:rFonts w:hint="eastAsia" w:ascii="宋体" w:hAnsi="宋体" w:eastAsia="宋体" w:cs="宋体"/>
          <w:b/>
          <w:bCs/>
          <w:color w:val="auto"/>
          <w:szCs w:val="21"/>
          <w:highlight w:val="none"/>
        </w:rPr>
        <w:t>付货款。</w:t>
      </w:r>
      <w:r>
        <w:rPr>
          <w:rFonts w:hint="eastAsia" w:ascii="宋体" w:hAnsi="宋体" w:eastAsia="宋体" w:cs="宋体"/>
          <w:b/>
          <w:bCs/>
          <w:color w:val="auto"/>
          <w:szCs w:val="21"/>
          <w:highlight w:val="none"/>
          <w:lang w:eastAsia="zh-CN"/>
        </w:rPr>
        <w:t>成交供应商</w:t>
      </w:r>
      <w:r>
        <w:rPr>
          <w:rFonts w:hint="eastAsia" w:ascii="宋体" w:hAnsi="宋体" w:eastAsia="宋体" w:cs="宋体"/>
          <w:b/>
          <w:bCs/>
          <w:color w:val="auto"/>
          <w:szCs w:val="21"/>
          <w:highlight w:val="none"/>
        </w:rPr>
        <w:t>须按时足额提供</w:t>
      </w:r>
      <w:r>
        <w:rPr>
          <w:rFonts w:hint="eastAsia" w:ascii="宋体" w:hAnsi="宋体" w:cs="宋体"/>
          <w:b/>
          <w:bCs/>
          <w:color w:val="auto"/>
          <w:szCs w:val="21"/>
          <w:highlight w:val="none"/>
          <w:lang w:eastAsia="zh-CN"/>
        </w:rPr>
        <w:t>增值税发票</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w:t>
      </w:r>
      <w:r>
        <w:rPr>
          <w:rFonts w:hint="eastAsia" w:ascii="宋体" w:hAnsi="宋体" w:eastAsia="宋体" w:cs="宋体"/>
          <w:b/>
          <w:bCs/>
          <w:color w:val="auto"/>
          <w:szCs w:val="21"/>
          <w:highlight w:val="none"/>
        </w:rPr>
        <w:t>则采购人有权拒绝付款而不构成违约。</w:t>
      </w:r>
      <w:r>
        <w:rPr>
          <w:rFonts w:hint="eastAsia" w:ascii="宋体" w:hAnsi="宋体" w:eastAsia="宋体" w:cs="宋体"/>
          <w:b/>
          <w:bCs/>
          <w:color w:val="auto"/>
          <w:szCs w:val="21"/>
          <w:highlight w:val="none"/>
          <w:lang w:eastAsia="zh-CN"/>
        </w:rPr>
        <w:t>成交供应商</w:t>
      </w:r>
      <w:r>
        <w:rPr>
          <w:rFonts w:hint="eastAsia" w:ascii="宋体" w:hAnsi="宋体" w:eastAsia="宋体" w:cs="宋体"/>
          <w:b/>
          <w:bCs/>
          <w:color w:val="auto"/>
          <w:szCs w:val="21"/>
          <w:highlight w:val="none"/>
        </w:rPr>
        <w:t>开具的发票必须真实、合法、 有效，如</w:t>
      </w:r>
      <w:r>
        <w:rPr>
          <w:rFonts w:hint="eastAsia" w:ascii="宋体" w:hAnsi="宋体" w:eastAsia="宋体" w:cs="宋体"/>
          <w:b/>
          <w:bCs/>
          <w:color w:val="auto"/>
          <w:szCs w:val="21"/>
          <w:highlight w:val="none"/>
          <w:lang w:eastAsia="zh-CN"/>
        </w:rPr>
        <w:t>成交供应商</w:t>
      </w:r>
      <w:r>
        <w:rPr>
          <w:rFonts w:hint="eastAsia" w:ascii="宋体" w:hAnsi="宋体" w:eastAsia="宋体" w:cs="宋体"/>
          <w:b/>
          <w:bCs/>
          <w:color w:val="auto"/>
          <w:szCs w:val="21"/>
          <w:highlight w:val="none"/>
        </w:rPr>
        <w:t>提供虚假发票，由此引发的一切责任由</w:t>
      </w:r>
      <w:r>
        <w:rPr>
          <w:rFonts w:hint="eastAsia" w:ascii="宋体" w:hAnsi="宋体" w:eastAsia="宋体" w:cs="宋体"/>
          <w:b/>
          <w:bCs/>
          <w:color w:val="auto"/>
          <w:szCs w:val="21"/>
          <w:highlight w:val="none"/>
          <w:lang w:eastAsia="zh-CN"/>
        </w:rPr>
        <w:t>成交供应商负责</w:t>
      </w:r>
      <w:r>
        <w:rPr>
          <w:rFonts w:hint="eastAsia" w:ascii="宋体" w:hAnsi="宋体" w:cs="宋体"/>
          <w:b/>
          <w:bCs/>
          <w:color w:val="auto"/>
          <w:szCs w:val="21"/>
          <w:highlight w:val="none"/>
        </w:rPr>
        <w:t>。</w:t>
      </w:r>
    </w:p>
    <w:p>
      <w:pPr>
        <w:widowControl/>
        <w:spacing w:line="400" w:lineRule="exact"/>
        <w:ind w:firstLine="422" w:firstLineChars="201"/>
        <w:jc w:val="left"/>
        <w:rPr>
          <w:rFonts w:ascii="宋体" w:hAnsi="宋体" w:cs="宋体"/>
          <w:color w:val="auto"/>
          <w:kern w:val="0"/>
          <w:szCs w:val="21"/>
          <w:highlight w:val="none"/>
        </w:rPr>
      </w:pPr>
      <w:bookmarkStart w:id="171" w:name="_Toc25711"/>
      <w:bookmarkStart w:id="172" w:name="_Toc2652"/>
      <w:bookmarkStart w:id="173" w:name="_Toc7272"/>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八</w:t>
      </w:r>
      <w:r>
        <w:rPr>
          <w:rFonts w:hint="eastAsia" w:ascii="宋体" w:hAnsi="宋体" w:eastAsia="宋体" w:cs="宋体"/>
          <w:b/>
          <w:bCs w:val="0"/>
          <w:color w:val="auto"/>
          <w:sz w:val="21"/>
          <w:szCs w:val="21"/>
          <w:highlight w:val="none"/>
        </w:rPr>
        <w:t xml:space="preserve">条 </w:t>
      </w:r>
      <w:r>
        <w:rPr>
          <w:rFonts w:hint="eastAsia" w:ascii="宋体" w:hAnsi="宋体" w:cs="宋体"/>
          <w:color w:val="auto"/>
          <w:kern w:val="0"/>
          <w:szCs w:val="21"/>
          <w:highlight w:val="none"/>
        </w:rPr>
        <w:t xml:space="preserve"> </w:t>
      </w:r>
      <w:r>
        <w:rPr>
          <w:rFonts w:hint="eastAsia" w:ascii="宋体" w:hAnsi="宋体" w:eastAsia="宋体" w:cs="宋体"/>
          <w:b/>
          <w:bCs w:val="0"/>
          <w:color w:val="auto"/>
          <w:sz w:val="21"/>
          <w:szCs w:val="21"/>
          <w:highlight w:val="none"/>
          <w:lang w:eastAsia="zh-CN"/>
        </w:rPr>
        <w:t>履约保证金</w:t>
      </w:r>
    </w:p>
    <w:p>
      <w:pPr>
        <w:bidi w:val="0"/>
        <w:ind w:firstLine="1260" w:firstLineChars="600"/>
        <w:jc w:val="left"/>
        <w:rPr>
          <w:rFonts w:hint="eastAsia"/>
          <w:b/>
          <w:bCs/>
          <w:color w:val="auto"/>
          <w:highlight w:val="none"/>
          <w:lang w:val="en-US" w:eastAsia="zh-CN"/>
        </w:rPr>
      </w:pPr>
      <w:r>
        <w:rPr>
          <w:rFonts w:hint="eastAsia"/>
          <w:b/>
          <w:bCs/>
          <w:color w:val="auto"/>
          <w:highlight w:val="none"/>
          <w:lang w:val="en-US" w:eastAsia="zh-CN"/>
        </w:rPr>
        <w:t>无。</w:t>
      </w:r>
    </w:p>
    <w:p>
      <w:pPr>
        <w:pStyle w:val="4"/>
        <w:bidi w:val="0"/>
        <w:ind w:left="567" w:leftChars="200" w:hanging="147" w:hangingChars="7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w:t>
      </w:r>
      <w:r>
        <w:rPr>
          <w:rFonts w:hint="eastAsia" w:ascii="宋体" w:hAnsi="宋体" w:cs="宋体"/>
          <w:b/>
          <w:bCs w:val="0"/>
          <w:color w:val="auto"/>
          <w:sz w:val="21"/>
          <w:szCs w:val="21"/>
          <w:highlight w:val="none"/>
          <w:lang w:eastAsia="zh-CN"/>
        </w:rPr>
        <w:t>九</w:t>
      </w:r>
      <w:r>
        <w:rPr>
          <w:rFonts w:hint="eastAsia" w:ascii="宋体" w:hAnsi="宋体" w:eastAsia="宋体" w:cs="宋体"/>
          <w:b/>
          <w:bCs w:val="0"/>
          <w:color w:val="auto"/>
          <w:sz w:val="21"/>
          <w:szCs w:val="21"/>
          <w:highlight w:val="none"/>
        </w:rPr>
        <w:t xml:space="preserve">条  </w:t>
      </w:r>
      <w:bookmarkEnd w:id="171"/>
      <w:bookmarkEnd w:id="172"/>
      <w:bookmarkEnd w:id="173"/>
      <w:r>
        <w:rPr>
          <w:rFonts w:hint="eastAsia" w:ascii="宋体" w:hAnsi="宋体" w:eastAsia="宋体" w:cs="宋体"/>
          <w:b/>
          <w:bCs w:val="0"/>
          <w:color w:val="auto"/>
          <w:sz w:val="21"/>
          <w:szCs w:val="21"/>
          <w:highlight w:val="none"/>
          <w:lang w:val="en-US" w:eastAsia="zh-CN"/>
        </w:rPr>
        <w:t>质量要求及违约处理</w:t>
      </w:r>
    </w:p>
    <w:p>
      <w:pPr>
        <w:adjustRightInd w:val="0"/>
        <w:snapToGrid w:val="0"/>
        <w:spacing w:line="360" w:lineRule="auto"/>
        <w:ind w:left="210" w:leftChars="100" w:firstLine="525" w:firstLineChars="25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所有供应食品必须符合 《中华人民共和国食品安全法》、</w:t>
      </w:r>
      <w:r>
        <w:rPr>
          <w:rFonts w:hint="eastAsia" w:ascii="Times New Roman" w:hAnsi="Times New Roman" w:eastAsia="宋体" w:cs="Times New Roman"/>
          <w:color w:val="auto"/>
          <w:highlight w:val="none"/>
          <w:lang w:eastAsia="zh-CN"/>
        </w:rPr>
        <w:t>《中华人民共和国消费者权益保护法》、</w:t>
      </w:r>
      <w:r>
        <w:rPr>
          <w:rFonts w:hint="eastAsia" w:ascii="Times New Roman" w:hAnsi="Times New Roman" w:eastAsia="宋体" w:cs="Times New Roman"/>
          <w:color w:val="auto"/>
          <w:highlight w:val="none"/>
        </w:rPr>
        <w:t>《中华人民共和国农产品质量安全法》、《中华人民共和国食品安全法实施条例》和其他对食品安全有关要求，确保饮食安全，严禁供应假冒伪劣产品和过期食品。</w:t>
      </w:r>
    </w:p>
    <w:p>
      <w:pPr>
        <w:adjustRightInd w:val="0"/>
        <w:snapToGrid w:val="0"/>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如发现假冒伪劣、以次充好产品或替代产品，</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应承担全部法律责任。</w:t>
      </w:r>
    </w:p>
    <w:p>
      <w:pPr>
        <w:adjustRightInd w:val="0"/>
        <w:snapToGrid w:val="0"/>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、供应商必须严格按照采购人的要求、标准采购货品。</w:t>
      </w:r>
      <w:r>
        <w:rPr>
          <w:rFonts w:hint="eastAsia" w:ascii="宋体" w:hAnsi="宋体" w:cs="宋体"/>
          <w:color w:val="auto"/>
          <w:szCs w:val="21"/>
          <w:highlight w:val="none"/>
        </w:rPr>
        <w:t>提供的所有产品须经</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验收，验收不合格的，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有权当即拒收，</w:t>
      </w:r>
      <w:r>
        <w:rPr>
          <w:rFonts w:hint="eastAsia" w:ascii="宋体" w:hAnsi="宋体" w:cs="宋体"/>
          <w:color w:val="auto"/>
          <w:szCs w:val="21"/>
          <w:highlight w:val="none"/>
          <w:lang w:eastAsia="zh-CN"/>
        </w:rPr>
        <w:t>成交供应商应按采购人要求在一小时之内进行补货，如果因补货不及时或拖延、拒绝等原因造成实训课程延误的，每次罚款</w:t>
      </w:r>
      <w:r>
        <w:rPr>
          <w:rFonts w:hint="eastAsia" w:ascii="宋体" w:hAnsi="宋体" w:cs="宋体"/>
          <w:color w:val="auto"/>
          <w:szCs w:val="21"/>
          <w:highlight w:val="none"/>
          <w:lang w:val="en-US" w:eastAsia="zh-CN"/>
        </w:rPr>
        <w:t>200-500元。成交供应商提供的货品因质量问题受到任课老师投诉，经双方确认的，每次罚款100元。一个月出现3次类似情况的，采购人立即终止本合同且不承担任何责任。</w:t>
      </w:r>
    </w:p>
    <w:p>
      <w:pPr>
        <w:adjustRightInd w:val="0"/>
        <w:snapToGrid w:val="0"/>
        <w:spacing w:line="360" w:lineRule="auto"/>
        <w:ind w:left="210" w:leftChars="100" w:firstLine="525" w:firstLineChars="25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提前</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小时以上以电话或</w:t>
      </w:r>
      <w:r>
        <w:rPr>
          <w:rFonts w:hint="eastAsia" w:ascii="宋体" w:hAnsi="宋体" w:cs="宋体"/>
          <w:color w:val="auto"/>
          <w:szCs w:val="21"/>
          <w:highlight w:val="none"/>
          <w:lang w:eastAsia="zh-CN"/>
        </w:rPr>
        <w:t>电子邮件</w:t>
      </w:r>
      <w:r>
        <w:rPr>
          <w:rFonts w:hint="eastAsia" w:ascii="宋体" w:hAnsi="宋体" w:cs="宋体"/>
          <w:color w:val="auto"/>
          <w:szCs w:val="21"/>
          <w:highlight w:val="none"/>
        </w:rPr>
        <w:t>方式订货，应于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要求的时间内按订单、数量、品种、质量的要求准时送货到</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指定的地点，不能以任何理由推托，因未能按照要求供应</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所需产品的，应承担相应的经济赔偿责任。</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因</w:t>
      </w:r>
      <w:r>
        <w:rPr>
          <w:rFonts w:hint="eastAsia" w:ascii="宋体" w:hAnsi="宋体" w:cs="宋体"/>
          <w:color w:val="auto"/>
          <w:szCs w:val="21"/>
          <w:highlight w:val="none"/>
          <w:lang w:eastAsia="zh-CN"/>
        </w:rPr>
        <w:t>教学</w:t>
      </w:r>
      <w:r>
        <w:rPr>
          <w:rFonts w:hint="eastAsia" w:ascii="宋体" w:hAnsi="宋体" w:cs="宋体"/>
          <w:color w:val="auto"/>
          <w:szCs w:val="21"/>
          <w:highlight w:val="none"/>
        </w:rPr>
        <w:t>临时需要，可提前2小时通过电话或</w:t>
      </w:r>
      <w:r>
        <w:rPr>
          <w:rFonts w:hint="eastAsia" w:ascii="宋体" w:hAnsi="宋体" w:cs="宋体"/>
          <w:color w:val="auto"/>
          <w:szCs w:val="21"/>
          <w:highlight w:val="none"/>
          <w:lang w:eastAsia="zh-CN"/>
        </w:rPr>
        <w:t>电子邮件</w:t>
      </w:r>
      <w:r>
        <w:rPr>
          <w:rFonts w:hint="eastAsia" w:ascii="宋体" w:hAnsi="宋体" w:cs="宋体"/>
          <w:color w:val="auto"/>
          <w:szCs w:val="21"/>
          <w:highlight w:val="none"/>
        </w:rPr>
        <w:t>方式订货，在采购要求的时间内按订单数量送达。</w:t>
      </w:r>
    </w:p>
    <w:p>
      <w:pPr>
        <w:adjustRightInd w:val="0"/>
        <w:snapToGrid w:val="0"/>
        <w:spacing w:line="360" w:lineRule="auto"/>
        <w:ind w:left="210" w:leftChars="100" w:firstLine="525" w:firstLineChars="25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不能满足</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采购要求时，应以书面形式提前1个月通知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申请终止合同，经</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同意后方可终止履行合同。</w:t>
      </w:r>
    </w:p>
    <w:p>
      <w:pPr>
        <w:adjustRightInd w:val="0"/>
        <w:snapToGrid w:val="0"/>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如因产品质量问题引发食品卫生安全事故，将由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承担全部经济赔偿责任和法律责任。</w:t>
      </w:r>
    </w:p>
    <w:p>
      <w:pPr>
        <w:adjustRightInd w:val="0"/>
        <w:snapToGrid w:val="0"/>
        <w:spacing w:line="360" w:lineRule="auto"/>
        <w:ind w:left="210" w:leftChars="100" w:firstLine="525" w:firstLineChars="25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应自觉接受国家有关部门和</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的监督检查，在检查过程中如发现提供的产品存在质量安全问题，由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承担全部责任。</w:t>
      </w:r>
    </w:p>
    <w:p>
      <w:pPr>
        <w:adjustRightInd w:val="0"/>
        <w:snapToGrid w:val="0"/>
        <w:spacing w:line="360" w:lineRule="auto"/>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有权在不通知的情况下，不定期地将</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所供的产品抽样送质检部</w:t>
      </w:r>
      <w:r>
        <w:rPr>
          <w:rFonts w:hint="eastAsia" w:ascii="宋体" w:hAnsi="宋体" w:cs="宋体"/>
          <w:color w:val="auto"/>
          <w:szCs w:val="21"/>
          <w:highlight w:val="none"/>
          <w:lang w:val="en-US" w:eastAsia="zh-CN"/>
        </w:rPr>
        <w:t xml:space="preserve"> </w:t>
      </w:r>
    </w:p>
    <w:p>
      <w:pPr>
        <w:adjustRightInd w:val="0"/>
        <w:snapToGrid w:val="0"/>
        <w:spacing w:line="360" w:lineRule="auto"/>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门进行检验，若检验产品合格，质价相符，检验费用由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承担，若抽检不合格，检验</w:t>
      </w:r>
      <w:r>
        <w:rPr>
          <w:rFonts w:hint="eastAsia" w:ascii="宋体" w:hAnsi="宋体" w:cs="宋体"/>
          <w:color w:val="auto"/>
          <w:szCs w:val="21"/>
          <w:highlight w:val="none"/>
          <w:lang w:val="en-US" w:eastAsia="zh-CN"/>
        </w:rPr>
        <w:t xml:space="preserve"> </w:t>
      </w:r>
    </w:p>
    <w:p>
      <w:pPr>
        <w:adjustRightInd w:val="0"/>
        <w:snapToGrid w:val="0"/>
        <w:spacing w:line="360" w:lineRule="auto"/>
        <w:ind w:left="0" w:leftChars="0" w:firstLine="0" w:firstLineChars="0"/>
        <w:rPr>
          <w:rFonts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费用由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承担，并由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承担相应的损失和法律责任。</w:t>
      </w:r>
    </w:p>
    <w:p>
      <w:pPr>
        <w:adjustRightInd w:val="0"/>
        <w:snapToGrid w:val="0"/>
        <w:spacing w:line="360" w:lineRule="auto"/>
        <w:ind w:left="312" w:leftChars="149" w:firstLine="525" w:firstLineChars="250"/>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不得通过对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的从业人员采取吃请、送礼、贿赂等任何方式谋取不正当利益，一经发现，</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有权取消</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的供货资格，情节严重的移交司法机关处理。</w:t>
      </w:r>
    </w:p>
    <w:p>
      <w:pPr>
        <w:pStyle w:val="4"/>
        <w:bidi w:val="0"/>
        <w:ind w:left="567" w:leftChars="200" w:hanging="147" w:hangingChars="70"/>
        <w:rPr>
          <w:rFonts w:hint="eastAsia" w:ascii="宋体" w:hAnsi="宋体" w:eastAsia="宋体" w:cs="宋体"/>
          <w:b/>
          <w:bCs w:val="0"/>
          <w:color w:val="auto"/>
          <w:sz w:val="21"/>
          <w:szCs w:val="21"/>
          <w:highlight w:val="none"/>
        </w:rPr>
      </w:pPr>
      <w:bookmarkStart w:id="174" w:name="_Toc1538"/>
      <w:bookmarkStart w:id="175" w:name="_Toc16745"/>
      <w:bookmarkStart w:id="176" w:name="_Toc8363"/>
      <w:r>
        <w:rPr>
          <w:rFonts w:hint="eastAsia" w:ascii="宋体" w:hAnsi="宋体" w:eastAsia="宋体" w:cs="宋体"/>
          <w:b/>
          <w:bCs w:val="0"/>
          <w:color w:val="auto"/>
          <w:sz w:val="21"/>
          <w:szCs w:val="21"/>
          <w:highlight w:val="none"/>
        </w:rPr>
        <w:t>第</w:t>
      </w:r>
      <w:r>
        <w:rPr>
          <w:rFonts w:hint="eastAsia" w:ascii="宋体" w:hAnsi="宋体" w:cs="宋体"/>
          <w:b/>
          <w:bCs w:val="0"/>
          <w:color w:val="auto"/>
          <w:sz w:val="21"/>
          <w:szCs w:val="21"/>
          <w:highlight w:val="none"/>
          <w:lang w:eastAsia="zh-CN"/>
        </w:rPr>
        <w:t>十</w:t>
      </w:r>
      <w:r>
        <w:rPr>
          <w:rFonts w:hint="eastAsia" w:ascii="宋体" w:hAnsi="宋体" w:eastAsia="宋体" w:cs="宋体"/>
          <w:b/>
          <w:bCs w:val="0"/>
          <w:color w:val="auto"/>
          <w:sz w:val="21"/>
          <w:szCs w:val="21"/>
          <w:highlight w:val="none"/>
        </w:rPr>
        <w:t>条  不可抗力事件处理</w:t>
      </w:r>
      <w:bookmarkEnd w:id="174"/>
      <w:bookmarkEnd w:id="175"/>
      <w:bookmarkEnd w:id="176"/>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1、在合同有效期内，成交供应商因不可抗力事件导致不能履行合同，则合同履行期可延长，其延长期与不可抗力影响期相同。</w:t>
      </w:r>
    </w:p>
    <w:p>
      <w:pPr>
        <w:numPr>
          <w:ilvl w:val="0"/>
          <w:numId w:val="9"/>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不可抗力事件发生后，应立即通知对方，并寄送有关权威机构出具的证明。</w:t>
      </w:r>
    </w:p>
    <w:p>
      <w:pPr>
        <w:numPr>
          <w:ilvl w:val="0"/>
          <w:numId w:val="9"/>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不可抗力事件延续一百二十天以上，双方应通过友好协商，确定是否继续履行合同。</w:t>
      </w:r>
    </w:p>
    <w:p>
      <w:pPr>
        <w:pStyle w:val="4"/>
        <w:bidi w:val="0"/>
        <w:ind w:left="567" w:leftChars="200" w:hanging="147" w:hangingChars="70"/>
        <w:rPr>
          <w:rFonts w:hint="eastAsia" w:ascii="宋体" w:hAnsi="宋体" w:eastAsia="宋体" w:cs="宋体"/>
          <w:b/>
          <w:bCs w:val="0"/>
          <w:color w:val="auto"/>
          <w:sz w:val="21"/>
          <w:szCs w:val="21"/>
          <w:highlight w:val="none"/>
        </w:rPr>
      </w:pPr>
      <w:bookmarkStart w:id="177" w:name="_Toc7311"/>
      <w:bookmarkStart w:id="178" w:name="_Toc12796"/>
      <w:bookmarkStart w:id="179" w:name="_Toc8638"/>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十</w:t>
      </w:r>
      <w:r>
        <w:rPr>
          <w:rFonts w:hint="eastAsia" w:ascii="宋体" w:hAnsi="宋体" w:cs="宋体"/>
          <w:b/>
          <w:bCs w:val="0"/>
          <w:color w:val="auto"/>
          <w:sz w:val="21"/>
          <w:szCs w:val="21"/>
          <w:highlight w:val="none"/>
          <w:lang w:eastAsia="zh-CN"/>
        </w:rPr>
        <w:t>一</w:t>
      </w:r>
      <w:r>
        <w:rPr>
          <w:rFonts w:hint="eastAsia" w:ascii="宋体" w:hAnsi="宋体" w:eastAsia="宋体" w:cs="宋体"/>
          <w:b/>
          <w:bCs w:val="0"/>
          <w:color w:val="auto"/>
          <w:sz w:val="21"/>
          <w:szCs w:val="21"/>
          <w:highlight w:val="none"/>
        </w:rPr>
        <w:t>条  合同争议解决</w:t>
      </w:r>
      <w:bookmarkEnd w:id="177"/>
      <w:bookmarkEnd w:id="178"/>
      <w:bookmarkEnd w:id="179"/>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1、因服务问题发生争议的，应邀请国家认可的相关机构进行鉴定。服务符合要求的，鉴定费由采购人承担；服务不符合要求的，鉴定费由成交供应商承担。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2、因履行本合同引起的或与本合同有关的争议，甲乙双方应首先通过友好协商解决，如果协商不能解决，可向</w:t>
      </w:r>
      <w:r>
        <w:rPr>
          <w:rStyle w:val="47"/>
          <w:rFonts w:hint="eastAsia" w:ascii="宋体" w:hAnsi="宋体" w:cs="宋体"/>
          <w:color w:val="auto"/>
          <w:szCs w:val="21"/>
          <w:highlight w:val="none"/>
        </w:rPr>
        <w:t>项目所在地</w:t>
      </w:r>
      <w:r>
        <w:rPr>
          <w:rStyle w:val="47"/>
          <w:rFonts w:hint="eastAsia" w:ascii="宋体" w:hAnsi="宋体" w:cs="宋体"/>
          <w:color w:val="auto"/>
          <w:szCs w:val="21"/>
          <w:highlight w:val="none"/>
          <w:lang w:eastAsia="zh-CN"/>
        </w:rPr>
        <w:t>人</w:t>
      </w:r>
      <w:r>
        <w:rPr>
          <w:rFonts w:hint="eastAsia" w:ascii="宋体" w:hAnsi="宋体" w:eastAsia="宋体" w:cs="宋体"/>
          <w:color w:val="auto"/>
          <w:szCs w:val="21"/>
          <w:highlight w:val="none"/>
        </w:rPr>
        <w:t>民法院提起诉讼。</w:t>
      </w:r>
    </w:p>
    <w:p>
      <w:pPr>
        <w:spacing w:line="360" w:lineRule="auto"/>
        <w:ind w:left="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pPr>
        <w:pStyle w:val="4"/>
        <w:bidi w:val="0"/>
        <w:ind w:left="567" w:leftChars="200" w:hanging="147" w:hangingChars="70"/>
        <w:rPr>
          <w:rFonts w:hint="eastAsia" w:ascii="宋体" w:hAnsi="宋体" w:eastAsia="宋体" w:cs="宋体"/>
          <w:b/>
          <w:bCs w:val="0"/>
          <w:color w:val="auto"/>
          <w:sz w:val="21"/>
          <w:szCs w:val="21"/>
          <w:highlight w:val="none"/>
        </w:rPr>
      </w:pPr>
      <w:bookmarkStart w:id="180" w:name="_Toc26285"/>
      <w:bookmarkStart w:id="181" w:name="_Toc27483"/>
      <w:bookmarkStart w:id="182" w:name="_Toc17823"/>
      <w:r>
        <w:rPr>
          <w:rFonts w:hint="eastAsia" w:ascii="宋体" w:hAnsi="宋体" w:eastAsia="宋体" w:cs="宋体"/>
          <w:b/>
          <w:bCs w:val="0"/>
          <w:color w:val="auto"/>
          <w:sz w:val="21"/>
          <w:szCs w:val="21"/>
          <w:highlight w:val="none"/>
        </w:rPr>
        <w:t>第十</w:t>
      </w:r>
      <w:r>
        <w:rPr>
          <w:rFonts w:hint="eastAsia" w:ascii="宋体" w:hAnsi="宋体" w:cs="宋体"/>
          <w:b/>
          <w:bCs w:val="0"/>
          <w:color w:val="auto"/>
          <w:sz w:val="21"/>
          <w:szCs w:val="21"/>
          <w:highlight w:val="none"/>
          <w:lang w:eastAsia="zh-CN"/>
        </w:rPr>
        <w:t>二</w:t>
      </w:r>
      <w:r>
        <w:rPr>
          <w:rFonts w:hint="eastAsia" w:ascii="宋体" w:hAnsi="宋体" w:eastAsia="宋体" w:cs="宋体"/>
          <w:b/>
          <w:bCs w:val="0"/>
          <w:color w:val="auto"/>
          <w:sz w:val="21"/>
          <w:szCs w:val="21"/>
          <w:highlight w:val="none"/>
        </w:rPr>
        <w:t>条  合同生效及其它</w:t>
      </w:r>
      <w:bookmarkEnd w:id="180"/>
      <w:bookmarkEnd w:id="181"/>
      <w:bookmarkEnd w:id="182"/>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1、合同经甲乙双方法定代表人或授权代表签字并加盖单位公章后生效。</w:t>
      </w:r>
    </w:p>
    <w:p>
      <w:pPr>
        <w:spacing w:line="360" w:lineRule="auto"/>
        <w:ind w:firstLine="420" w:firstLineChars="200"/>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2、合同执行中涉及采购资金和采购内容修改或补充的，需</w:t>
      </w:r>
      <w:r>
        <w:rPr>
          <w:rFonts w:hint="eastAsia" w:ascii="宋体" w:hAnsi="宋体" w:cs="宋体"/>
          <w:color w:val="auto"/>
          <w:szCs w:val="21"/>
          <w:highlight w:val="none"/>
          <w:lang w:eastAsia="zh-CN"/>
        </w:rPr>
        <w:t>本级</w:t>
      </w:r>
      <w:r>
        <w:rPr>
          <w:rFonts w:hint="eastAsia" w:ascii="宋体" w:hAnsi="宋体" w:eastAsia="宋体" w:cs="宋体"/>
          <w:color w:val="auto"/>
          <w:szCs w:val="21"/>
          <w:highlight w:val="none"/>
        </w:rPr>
        <w:t>财政部门审批，并签订书面补充协议报</w:t>
      </w:r>
      <w:r>
        <w:rPr>
          <w:rFonts w:hint="eastAsia" w:ascii="宋体" w:hAnsi="宋体" w:eastAsia="宋体" w:cs="宋体"/>
          <w:color w:val="auto"/>
          <w:highlight w:val="none"/>
          <w:lang w:val="en-US" w:eastAsia="zh-CN"/>
        </w:rPr>
        <w:t>本级财政部门</w:t>
      </w:r>
      <w:r>
        <w:rPr>
          <w:rFonts w:hint="eastAsia" w:ascii="宋体" w:hAnsi="宋体" w:eastAsia="宋体" w:cs="宋体"/>
          <w:color w:val="auto"/>
          <w:szCs w:val="21"/>
          <w:highlight w:val="none"/>
        </w:rPr>
        <w:t>备案，方可作为主合同不可分割的一部分。</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3、合同到期后，采购人对中标人配送服务进行满意度评估（满意度大于90%）、无重大过失行为等方面进行调查，双方自愿协商续签2年合同。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、本合同未尽事宜，遵照《</w:t>
      </w:r>
      <w:r>
        <w:rPr>
          <w:rFonts w:hint="eastAsia" w:ascii="宋体" w:hAnsi="宋体" w:eastAsia="宋体" w:cs="宋体"/>
          <w:color w:val="auto"/>
          <w:szCs w:val="21"/>
          <w:highlight w:val="none"/>
          <w:lang w:val="en-US" w:eastAsia="zh-CN"/>
        </w:rPr>
        <w:t>中华人民共和国民法典</w:t>
      </w:r>
      <w:r>
        <w:rPr>
          <w:rFonts w:hint="eastAsia" w:ascii="宋体" w:hAnsi="宋体" w:eastAsia="宋体" w:cs="宋体"/>
          <w:color w:val="auto"/>
          <w:szCs w:val="21"/>
          <w:highlight w:val="none"/>
        </w:rPr>
        <w:t>》有关条文执行。</w:t>
      </w:r>
    </w:p>
    <w:p>
      <w:pPr>
        <w:pStyle w:val="4"/>
        <w:bidi w:val="0"/>
        <w:ind w:left="567" w:leftChars="200" w:hanging="147" w:hangingChars="70"/>
        <w:rPr>
          <w:rFonts w:hint="eastAsia" w:ascii="宋体" w:hAnsi="宋体" w:eastAsia="宋体" w:cs="宋体"/>
          <w:b/>
          <w:bCs w:val="0"/>
          <w:color w:val="auto"/>
          <w:sz w:val="21"/>
          <w:szCs w:val="21"/>
          <w:highlight w:val="none"/>
        </w:rPr>
      </w:pPr>
      <w:bookmarkStart w:id="183" w:name="_Toc7824"/>
      <w:bookmarkStart w:id="184" w:name="_Toc31438"/>
      <w:bookmarkStart w:id="185" w:name="_Toc12956"/>
      <w:r>
        <w:rPr>
          <w:rFonts w:hint="eastAsia" w:ascii="宋体" w:hAnsi="宋体" w:eastAsia="宋体" w:cs="宋体"/>
          <w:b/>
          <w:bCs w:val="0"/>
          <w:color w:val="auto"/>
          <w:sz w:val="21"/>
          <w:szCs w:val="21"/>
          <w:highlight w:val="none"/>
        </w:rPr>
        <w:t>第十</w:t>
      </w:r>
      <w:r>
        <w:rPr>
          <w:rFonts w:hint="eastAsia" w:ascii="宋体" w:hAnsi="宋体" w:cs="宋体"/>
          <w:b/>
          <w:bCs w:val="0"/>
          <w:color w:val="auto"/>
          <w:sz w:val="21"/>
          <w:szCs w:val="21"/>
          <w:highlight w:val="none"/>
          <w:lang w:eastAsia="zh-CN"/>
        </w:rPr>
        <w:t>三</w:t>
      </w:r>
      <w:r>
        <w:rPr>
          <w:rFonts w:hint="eastAsia" w:ascii="宋体" w:hAnsi="宋体" w:eastAsia="宋体" w:cs="宋体"/>
          <w:b/>
          <w:bCs w:val="0"/>
          <w:color w:val="auto"/>
          <w:sz w:val="21"/>
          <w:szCs w:val="21"/>
          <w:highlight w:val="none"/>
        </w:rPr>
        <w:t>条  合同的变更、终止与转让</w:t>
      </w:r>
      <w:bookmarkEnd w:id="183"/>
      <w:bookmarkEnd w:id="184"/>
      <w:bookmarkEnd w:id="185"/>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1、除《中华人民共和国政府采购法》第五十条规定的情形外，本合同一经签订，甲乙双方不得擅自变更，中止或终止。</w:t>
      </w:r>
    </w:p>
    <w:p>
      <w:pPr>
        <w:numPr>
          <w:ilvl w:val="0"/>
          <w:numId w:val="1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成交供应商不得擅自转让其应履行的合同义务。</w:t>
      </w:r>
    </w:p>
    <w:p>
      <w:pPr>
        <w:pStyle w:val="4"/>
        <w:bidi w:val="0"/>
        <w:ind w:left="567" w:leftChars="200" w:hanging="147" w:hangingChars="70"/>
        <w:rPr>
          <w:rFonts w:hint="eastAsia" w:ascii="宋体" w:hAnsi="宋体" w:eastAsia="宋体" w:cs="宋体"/>
          <w:b/>
          <w:bCs w:val="0"/>
          <w:color w:val="auto"/>
          <w:sz w:val="21"/>
          <w:szCs w:val="21"/>
          <w:highlight w:val="none"/>
        </w:rPr>
      </w:pPr>
      <w:bookmarkStart w:id="186" w:name="_Toc14327"/>
      <w:bookmarkStart w:id="187" w:name="_Toc32608"/>
      <w:bookmarkStart w:id="188" w:name="_Toc31091"/>
      <w:r>
        <w:rPr>
          <w:rFonts w:hint="eastAsia" w:ascii="宋体" w:hAnsi="宋体" w:eastAsia="宋体" w:cs="宋体"/>
          <w:b/>
          <w:bCs w:val="0"/>
          <w:color w:val="auto"/>
          <w:sz w:val="21"/>
          <w:szCs w:val="21"/>
          <w:highlight w:val="none"/>
        </w:rPr>
        <w:t>第十</w:t>
      </w:r>
      <w:r>
        <w:rPr>
          <w:rFonts w:hint="eastAsia" w:ascii="宋体" w:hAnsi="宋体" w:cs="宋体"/>
          <w:b/>
          <w:bCs w:val="0"/>
          <w:color w:val="auto"/>
          <w:sz w:val="21"/>
          <w:szCs w:val="21"/>
          <w:highlight w:val="none"/>
          <w:lang w:eastAsia="zh-CN"/>
        </w:rPr>
        <w:t>四</w:t>
      </w:r>
      <w:r>
        <w:rPr>
          <w:rFonts w:hint="eastAsia" w:ascii="宋体" w:hAnsi="宋体" w:eastAsia="宋体" w:cs="宋体"/>
          <w:b/>
          <w:bCs w:val="0"/>
          <w:color w:val="auto"/>
          <w:sz w:val="21"/>
          <w:szCs w:val="21"/>
          <w:highlight w:val="none"/>
        </w:rPr>
        <w:t>条  签订本合同依据</w:t>
      </w:r>
      <w:bookmarkEnd w:id="186"/>
      <w:bookmarkEnd w:id="187"/>
      <w:bookmarkEnd w:id="188"/>
    </w:p>
    <w:p>
      <w:pPr>
        <w:spacing w:line="360" w:lineRule="auto"/>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w:t>
      </w:r>
    </w:p>
    <w:p>
      <w:pPr>
        <w:spacing w:line="360" w:lineRule="auto"/>
        <w:ind w:left="224" w:leftChars="107"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2、成交供应商</w:t>
      </w:r>
      <w:r>
        <w:rPr>
          <w:rFonts w:hint="eastAsia" w:ascii="宋体" w:hAnsi="宋体" w:eastAsia="宋体" w:cs="宋体"/>
          <w:color w:val="auto"/>
          <w:szCs w:val="21"/>
          <w:highlight w:val="none"/>
          <w:lang w:eastAsia="zh-CN"/>
        </w:rPr>
        <w:t>的响应（或应答）文件；</w:t>
      </w:r>
    </w:p>
    <w:p>
      <w:pPr>
        <w:spacing w:line="360" w:lineRule="auto"/>
        <w:ind w:left="224" w:leftChars="107"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承诺书；</w:t>
      </w:r>
    </w:p>
    <w:p>
      <w:pPr>
        <w:spacing w:line="360" w:lineRule="auto"/>
        <w:ind w:left="224" w:leftChars="107"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磋商中的磋商记录；</w:t>
      </w:r>
    </w:p>
    <w:p>
      <w:pPr>
        <w:spacing w:line="360" w:lineRule="auto"/>
        <w:ind w:left="224" w:leftChars="107"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、成交通知书。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本合同甲乙双方签字盖章后生效，一式</w:t>
      </w:r>
      <w:r>
        <w:rPr>
          <w:rFonts w:hint="eastAsia" w:ascii="宋体" w:hAnsi="宋体" w:cs="宋体"/>
          <w:color w:val="auto"/>
          <w:highlight w:val="none"/>
          <w:lang w:val="en-US" w:eastAsia="zh-CN"/>
        </w:rPr>
        <w:t>六</w:t>
      </w:r>
      <w:r>
        <w:rPr>
          <w:rFonts w:hint="eastAsia" w:ascii="宋体" w:hAnsi="宋体" w:eastAsia="宋体" w:cs="宋体"/>
          <w:color w:val="auto"/>
          <w:highlight w:val="none"/>
        </w:rPr>
        <w:t>份，具有同等法律效力，甲乙双方各持</w:t>
      </w:r>
      <w:r>
        <w:rPr>
          <w:rFonts w:hint="eastAsia" w:ascii="宋体" w:hAnsi="宋体" w:cs="宋体"/>
          <w:color w:val="auto"/>
          <w:highlight w:val="none"/>
          <w:lang w:val="en-US" w:eastAsia="zh-CN"/>
        </w:rPr>
        <w:t>二</w:t>
      </w:r>
      <w:r>
        <w:rPr>
          <w:rFonts w:hint="eastAsia" w:ascii="宋体" w:hAnsi="宋体" w:eastAsia="宋体" w:cs="宋体"/>
          <w:color w:val="auto"/>
          <w:highlight w:val="none"/>
        </w:rPr>
        <w:t>份。双方自签订之日起</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个工作日内，乙方将合同原件</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份交采购代理机构。采购人于合同签订之日起</w:t>
      </w: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个工作日内将</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份合同原件送</w:t>
      </w:r>
      <w:r>
        <w:rPr>
          <w:rFonts w:hint="eastAsia" w:ascii="宋体" w:hAnsi="宋体" w:eastAsia="宋体" w:cs="宋体"/>
          <w:color w:val="auto"/>
          <w:highlight w:val="none"/>
          <w:lang w:val="en-US" w:eastAsia="zh-CN"/>
        </w:rPr>
        <w:t>本级财政部门</w:t>
      </w:r>
      <w:r>
        <w:rPr>
          <w:rFonts w:hint="eastAsia" w:ascii="宋体" w:hAnsi="宋体" w:eastAsia="宋体" w:cs="宋体"/>
          <w:color w:val="auto"/>
          <w:highlight w:val="none"/>
        </w:rPr>
        <w:t>备案。</w:t>
      </w: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采购人名称（公章）：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成交供应商名称（公章）：</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p>
    <w:p>
      <w:pPr>
        <w:tabs>
          <w:tab w:val="left" w:pos="4680"/>
        </w:tabs>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p>
    <w:p>
      <w:pPr>
        <w:tabs>
          <w:tab w:val="left" w:pos="5040"/>
        </w:tabs>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电   话： </w:t>
      </w:r>
      <w:r>
        <w:rPr>
          <w:rFonts w:hint="eastAsia" w:ascii="宋体" w:hAnsi="宋体" w:eastAsia="宋体" w:cs="宋体"/>
          <w:color w:val="auto"/>
          <w:szCs w:val="21"/>
          <w:highlight w:val="none"/>
          <w:u w:val="single"/>
        </w:rPr>
        <w:t xml:space="preserve">                                  </w:t>
      </w:r>
    </w:p>
    <w:p>
      <w:pPr>
        <w:tabs>
          <w:tab w:val="left" w:pos="50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abs>
          <w:tab w:val="left" w:pos="50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abs>
          <w:tab w:val="left" w:pos="50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abs>
          <w:tab w:val="left" w:pos="5040"/>
        </w:tabs>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bidi w:val="0"/>
        <w:rPr>
          <w:rFonts w:hint="eastAsia"/>
          <w:color w:val="auto"/>
          <w:highlight w:val="none"/>
        </w:rPr>
      </w:pPr>
    </w:p>
    <w:p>
      <w:pPr>
        <w:rPr>
          <w:rFonts w:hint="eastAsia" w:ascii="宋体" w:hAnsi="宋体" w:eastAsia="宋体" w:cs="宋体"/>
          <w:b/>
          <w:bCs/>
          <w:color w:val="auto"/>
          <w:kern w:val="44"/>
          <w:sz w:val="32"/>
          <w:szCs w:val="32"/>
          <w:highlight w:val="none"/>
        </w:rPr>
      </w:pPr>
    </w:p>
    <w:p>
      <w:pPr>
        <w:pStyle w:val="2"/>
        <w:rPr>
          <w:rFonts w:hint="eastAsia" w:ascii="宋体" w:hAnsi="宋体" w:eastAsia="宋体" w:cs="宋体"/>
          <w:b/>
          <w:bCs/>
          <w:color w:val="auto"/>
          <w:kern w:val="44"/>
          <w:sz w:val="32"/>
          <w:szCs w:val="32"/>
          <w:highlight w:val="none"/>
        </w:rPr>
      </w:pPr>
    </w:p>
    <w:p>
      <w:pPr>
        <w:pStyle w:val="2"/>
        <w:rPr>
          <w:rFonts w:hint="eastAsia" w:ascii="宋体" w:hAnsi="宋体" w:eastAsia="宋体" w:cs="宋体"/>
          <w:b/>
          <w:bCs/>
          <w:color w:val="auto"/>
          <w:kern w:val="44"/>
          <w:sz w:val="32"/>
          <w:szCs w:val="32"/>
          <w:highlight w:val="none"/>
        </w:rPr>
      </w:pPr>
    </w:p>
    <w:p>
      <w:pPr>
        <w:pStyle w:val="2"/>
        <w:rPr>
          <w:rFonts w:hint="eastAsia" w:ascii="宋体" w:hAnsi="宋体" w:eastAsia="宋体" w:cs="宋体"/>
          <w:b/>
          <w:bCs/>
          <w:color w:val="auto"/>
          <w:kern w:val="44"/>
          <w:sz w:val="32"/>
          <w:szCs w:val="32"/>
          <w:highlight w:val="none"/>
        </w:rPr>
      </w:pPr>
    </w:p>
    <w:p>
      <w:pPr>
        <w:pStyle w:val="2"/>
        <w:rPr>
          <w:rFonts w:hint="eastAsia" w:ascii="宋体" w:hAnsi="宋体" w:eastAsia="宋体" w:cs="宋体"/>
          <w:b/>
          <w:bCs/>
          <w:color w:val="auto"/>
          <w:kern w:val="44"/>
          <w:sz w:val="32"/>
          <w:szCs w:val="32"/>
          <w:highlight w:val="none"/>
        </w:rPr>
      </w:pPr>
    </w:p>
    <w:p>
      <w:pPr>
        <w:pStyle w:val="2"/>
        <w:rPr>
          <w:rFonts w:hint="eastAsia" w:ascii="宋体" w:hAnsi="宋体" w:eastAsia="宋体" w:cs="宋体"/>
          <w:b/>
          <w:bCs/>
          <w:color w:val="auto"/>
          <w:kern w:val="44"/>
          <w:sz w:val="32"/>
          <w:szCs w:val="32"/>
          <w:highlight w:val="none"/>
        </w:rPr>
      </w:pPr>
    </w:p>
    <w:p>
      <w:pPr>
        <w:pStyle w:val="2"/>
        <w:rPr>
          <w:rFonts w:hint="eastAsia" w:ascii="宋体" w:hAnsi="宋体" w:eastAsia="宋体" w:cs="宋体"/>
          <w:b/>
          <w:bCs/>
          <w:color w:val="auto"/>
          <w:kern w:val="44"/>
          <w:sz w:val="32"/>
          <w:szCs w:val="32"/>
          <w:highlight w:val="none"/>
        </w:rPr>
      </w:pPr>
    </w:p>
    <w:p>
      <w:pPr>
        <w:pStyle w:val="2"/>
        <w:rPr>
          <w:rFonts w:hint="eastAsia" w:ascii="宋体" w:hAnsi="宋体" w:eastAsia="宋体" w:cs="宋体"/>
          <w:b/>
          <w:bCs/>
          <w:color w:val="auto"/>
          <w:kern w:val="44"/>
          <w:sz w:val="32"/>
          <w:szCs w:val="32"/>
          <w:highlight w:val="none"/>
        </w:rPr>
      </w:pPr>
    </w:p>
    <w:p>
      <w:pPr>
        <w:pStyle w:val="2"/>
        <w:rPr>
          <w:rFonts w:hint="eastAsia" w:ascii="宋体" w:hAnsi="宋体" w:eastAsia="宋体" w:cs="宋体"/>
          <w:b/>
          <w:bCs/>
          <w:color w:val="auto"/>
          <w:kern w:val="44"/>
          <w:sz w:val="32"/>
          <w:szCs w:val="32"/>
          <w:highlight w:val="none"/>
        </w:rPr>
      </w:pPr>
    </w:p>
    <w:p>
      <w:pPr>
        <w:pStyle w:val="2"/>
        <w:rPr>
          <w:rFonts w:hint="eastAsia" w:ascii="宋体" w:hAnsi="宋体" w:eastAsia="宋体" w:cs="宋体"/>
          <w:b/>
          <w:bCs/>
          <w:color w:val="auto"/>
          <w:kern w:val="44"/>
          <w:sz w:val="32"/>
          <w:szCs w:val="32"/>
          <w:highlight w:val="none"/>
        </w:rPr>
      </w:pPr>
    </w:p>
    <w:p>
      <w:pPr>
        <w:pStyle w:val="2"/>
        <w:rPr>
          <w:rFonts w:hint="eastAsia" w:ascii="宋体" w:hAnsi="宋体" w:eastAsia="宋体" w:cs="宋体"/>
          <w:b/>
          <w:bCs/>
          <w:color w:val="auto"/>
          <w:kern w:val="44"/>
          <w:sz w:val="32"/>
          <w:szCs w:val="32"/>
          <w:highlight w:val="none"/>
        </w:rPr>
      </w:pPr>
    </w:p>
    <w:p>
      <w:pPr>
        <w:pStyle w:val="3"/>
        <w:bidi w:val="0"/>
        <w:jc w:val="center"/>
        <w:rPr>
          <w:rFonts w:hint="eastAsia"/>
          <w:color w:val="auto"/>
          <w:highlight w:val="none"/>
        </w:rPr>
      </w:pPr>
      <w:bookmarkStart w:id="189" w:name="_Toc16171"/>
      <w:r>
        <w:rPr>
          <w:rFonts w:hint="eastAsia"/>
          <w:color w:val="auto"/>
          <w:highlight w:val="none"/>
        </w:rPr>
        <w:t xml:space="preserve">第六章  </w:t>
      </w:r>
      <w:bookmarkEnd w:id="147"/>
      <w:bookmarkEnd w:id="148"/>
      <w:bookmarkStart w:id="190" w:name="_Toc13185"/>
      <w:r>
        <w:rPr>
          <w:rFonts w:hint="eastAsia"/>
          <w:color w:val="auto"/>
          <w:highlight w:val="none"/>
        </w:rPr>
        <w:t>响应文件（格式）</w:t>
      </w:r>
      <w:bookmarkEnd w:id="149"/>
      <w:bookmarkEnd w:id="189"/>
      <w:bookmarkEnd w:id="190"/>
    </w:p>
    <w:p>
      <w:pPr>
        <w:rPr>
          <w:rFonts w:hint="eastAsia" w:ascii="宋体" w:hAnsi="宋体" w:eastAsia="宋体" w:cs="宋体"/>
          <w:color w:val="auto"/>
          <w:highlight w:val="none"/>
        </w:rPr>
      </w:pPr>
    </w:p>
    <w:p>
      <w:pPr>
        <w:pStyle w:val="16"/>
        <w:jc w:val="both"/>
        <w:rPr>
          <w:rFonts w:hint="eastAsia" w:ascii="宋体" w:hAnsi="宋体" w:eastAsia="宋体" w:cs="宋体"/>
          <w:b/>
          <w:color w:val="auto"/>
          <w:sz w:val="32"/>
          <w:highlight w:val="none"/>
          <w:lang w:eastAsia="zh-CN"/>
        </w:rPr>
      </w:pPr>
      <w:bookmarkStart w:id="191" w:name="_Toc18351"/>
      <w:bookmarkStart w:id="192" w:name="_Toc497927069"/>
      <w:bookmarkStart w:id="193" w:name="_Toc21496"/>
      <w:r>
        <w:rPr>
          <w:rFonts w:hint="eastAsia" w:ascii="宋体" w:hAnsi="宋体" w:eastAsia="宋体" w:cs="宋体"/>
          <w:b/>
          <w:color w:val="auto"/>
          <w:sz w:val="32"/>
          <w:highlight w:val="none"/>
          <w:lang w:eastAsia="zh-CN"/>
        </w:rPr>
        <w:t>一、响应文件袋（盒、箱）标记</w:t>
      </w:r>
      <w:bookmarkEnd w:id="191"/>
      <w:bookmarkEnd w:id="192"/>
      <w:bookmarkEnd w:id="193"/>
    </w:p>
    <w:p>
      <w:pPr>
        <w:adjustRightInd w:val="0"/>
        <w:snapToGrid w:val="0"/>
        <w:rPr>
          <w:rFonts w:hint="eastAsia" w:ascii="宋体" w:hAnsi="宋体" w:eastAsia="宋体" w:cs="宋体"/>
          <w:b/>
          <w:color w:val="auto"/>
          <w:sz w:val="44"/>
          <w:szCs w:val="44"/>
          <w:highlight w:val="none"/>
        </w:rPr>
      </w:pPr>
    </w:p>
    <w:p>
      <w:pPr>
        <w:pStyle w:val="39"/>
        <w:rPr>
          <w:rFonts w:hint="eastAsia" w:ascii="宋体" w:hAnsi="宋体" w:eastAsia="宋体" w:cs="宋体"/>
          <w:color w:val="auto"/>
          <w:highlight w:val="none"/>
        </w:rPr>
      </w:pPr>
    </w:p>
    <w:p>
      <w:pPr>
        <w:snapToGrid w:val="0"/>
        <w:spacing w:before="156" w:beforeLines="50" w:after="5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 应 文 件</w:t>
      </w:r>
    </w:p>
    <w:p>
      <w:pPr>
        <w:snapToGrid w:val="0"/>
        <w:spacing w:before="156" w:beforeLines="50" w:after="50"/>
        <w:ind w:firstLine="480" w:firstLineChars="150"/>
        <w:jc w:val="both"/>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lang w:val="en-US" w:eastAsia="zh-CN"/>
        </w:rPr>
        <w:t xml:space="preserve">                       </w:t>
      </w:r>
    </w:p>
    <w:p>
      <w:pPr>
        <w:snapToGrid w:val="0"/>
        <w:spacing w:before="156" w:beforeLines="50" w:after="50"/>
        <w:ind w:firstLine="420" w:firstLineChars="150"/>
        <w:rPr>
          <w:rFonts w:hint="eastAsia" w:ascii="宋体" w:hAnsi="宋体" w:eastAsia="宋体" w:cs="宋体"/>
          <w:b/>
          <w:color w:val="auto"/>
          <w:sz w:val="28"/>
          <w:szCs w:val="28"/>
          <w:highlight w:val="none"/>
        </w:rPr>
      </w:pPr>
    </w:p>
    <w:p>
      <w:pPr>
        <w:snapToGrid w:val="0"/>
        <w:spacing w:before="156" w:beforeLines="50" w:after="50"/>
        <w:ind w:firstLine="420" w:firstLineChars="150"/>
        <w:rPr>
          <w:rFonts w:hint="eastAsia" w:ascii="宋体" w:hAnsi="宋体" w:eastAsia="宋体" w:cs="宋体"/>
          <w:b/>
          <w:color w:val="auto"/>
          <w:sz w:val="28"/>
          <w:szCs w:val="28"/>
          <w:highlight w:val="none"/>
        </w:rPr>
      </w:pPr>
    </w:p>
    <w:p>
      <w:pPr>
        <w:snapToGrid w:val="0"/>
        <w:spacing w:before="156" w:beforeLines="50" w:after="50"/>
        <w:jc w:val="center"/>
        <w:rPr>
          <w:rFonts w:hint="eastAsia" w:ascii="宋体" w:hAnsi="宋体" w:eastAsia="宋体" w:cs="宋体"/>
          <w:b/>
          <w:bCs w:val="0"/>
          <w:color w:val="auto"/>
          <w:sz w:val="28"/>
          <w:szCs w:val="28"/>
          <w:highlight w:val="none"/>
          <w:u w:val="single"/>
          <w:lang w:eastAsia="zh-CN"/>
        </w:rPr>
      </w:pPr>
      <w:r>
        <w:rPr>
          <w:rFonts w:hint="eastAsia" w:ascii="宋体" w:hAnsi="宋体" w:eastAsia="宋体" w:cs="宋体"/>
          <w:b/>
          <w:bCs w:val="0"/>
          <w:color w:val="auto"/>
          <w:sz w:val="28"/>
          <w:szCs w:val="28"/>
          <w:highlight w:val="none"/>
        </w:rPr>
        <w:t>项目名称：</w:t>
      </w:r>
      <w:r>
        <w:rPr>
          <w:rFonts w:hint="eastAsia" w:ascii="宋体" w:hAnsi="宋体" w:cs="宋体"/>
          <w:b/>
          <w:bCs/>
          <w:color w:val="auto"/>
          <w:sz w:val="28"/>
          <w:szCs w:val="28"/>
          <w:highlight w:val="none"/>
          <w:u w:val="single"/>
          <w:lang w:eastAsia="zh-CN"/>
        </w:rPr>
        <w:t>广西商业技师学院烹饪实训材料供应商采购</w:t>
      </w:r>
    </w:p>
    <w:p>
      <w:pPr>
        <w:snapToGrid w:val="0"/>
        <w:spacing w:before="156" w:beforeLines="50" w:after="50"/>
        <w:ind w:firstLine="2693" w:firstLineChars="962"/>
        <w:rPr>
          <w:rFonts w:hint="eastAsia" w:ascii="宋体" w:hAnsi="宋体" w:eastAsia="宋体" w:cs="宋体"/>
          <w:b/>
          <w:bCs w:val="0"/>
          <w:color w:val="auto"/>
          <w:sz w:val="28"/>
          <w:szCs w:val="28"/>
          <w:highlight w:val="none"/>
        </w:rPr>
      </w:pPr>
    </w:p>
    <w:p>
      <w:pPr>
        <w:snapToGrid w:val="0"/>
        <w:spacing w:before="156" w:beforeLines="50" w:after="50"/>
        <w:jc w:val="both"/>
        <w:rPr>
          <w:rFonts w:hint="eastAsia" w:ascii="宋体" w:hAnsi="宋体" w:eastAsia="宋体" w:cs="宋体"/>
          <w:b/>
          <w:bCs w:val="0"/>
          <w:color w:val="auto"/>
          <w:sz w:val="28"/>
          <w:szCs w:val="28"/>
          <w:highlight w:val="none"/>
          <w:lang w:eastAsia="zh-CN"/>
        </w:rPr>
      </w:pPr>
      <w:r>
        <w:rPr>
          <w:rFonts w:hint="eastAsia" w:ascii="宋体" w:hAnsi="宋体" w:cs="宋体"/>
          <w:b/>
          <w:bCs w:val="0"/>
          <w:color w:val="auto"/>
          <w:sz w:val="28"/>
          <w:szCs w:val="28"/>
          <w:highlight w:val="none"/>
          <w:lang w:val="en-US" w:eastAsia="zh-CN"/>
        </w:rPr>
        <w:t xml:space="preserve">                  </w:t>
      </w:r>
      <w:r>
        <w:rPr>
          <w:rFonts w:hint="eastAsia" w:ascii="宋体" w:hAnsi="宋体" w:eastAsia="宋体" w:cs="宋体"/>
          <w:b/>
          <w:bCs w:val="0"/>
          <w:color w:val="auto"/>
          <w:sz w:val="28"/>
          <w:szCs w:val="28"/>
          <w:highlight w:val="none"/>
        </w:rPr>
        <w:t>项目编号：</w:t>
      </w:r>
      <w:r>
        <w:rPr>
          <w:rFonts w:hint="eastAsia" w:ascii="宋体" w:hAnsi="宋体" w:cs="宋体"/>
          <w:b/>
          <w:bCs w:val="0"/>
          <w:color w:val="auto"/>
          <w:sz w:val="28"/>
          <w:szCs w:val="28"/>
          <w:highlight w:val="none"/>
          <w:u w:val="single"/>
          <w:lang w:eastAsia="zh-CN"/>
        </w:rPr>
        <w:t>GXZC2024-C3-002956-GXTG</w:t>
      </w:r>
    </w:p>
    <w:p>
      <w:pPr>
        <w:rPr>
          <w:rFonts w:hint="eastAsia" w:ascii="宋体" w:hAnsi="宋体" w:eastAsia="宋体" w:cs="宋体"/>
          <w:b/>
          <w:color w:val="auto"/>
          <w:highlight w:val="none"/>
        </w:rPr>
      </w:pPr>
    </w:p>
    <w:p>
      <w:pPr>
        <w:pStyle w:val="39"/>
        <w:rPr>
          <w:rFonts w:hint="eastAsia" w:ascii="宋体" w:hAnsi="宋体" w:eastAsia="宋体" w:cs="宋体"/>
          <w:b/>
          <w:color w:val="auto"/>
          <w:sz w:val="28"/>
          <w:szCs w:val="28"/>
          <w:highlight w:val="none"/>
        </w:rPr>
      </w:pPr>
    </w:p>
    <w:p>
      <w:pPr>
        <w:pStyle w:val="39"/>
        <w:rPr>
          <w:rFonts w:hint="eastAsia" w:ascii="宋体" w:hAnsi="宋体" w:eastAsia="宋体" w:cs="宋体"/>
          <w:b/>
          <w:color w:val="auto"/>
          <w:sz w:val="28"/>
          <w:szCs w:val="28"/>
          <w:highlight w:val="none"/>
        </w:rPr>
      </w:pPr>
    </w:p>
    <w:p>
      <w:pPr>
        <w:snapToGrid w:val="0"/>
        <w:spacing w:before="156" w:beforeLines="50" w:after="50"/>
        <w:rPr>
          <w:rFonts w:hint="eastAsia" w:ascii="宋体" w:hAnsi="宋体" w:eastAsia="宋体" w:cs="宋体"/>
          <w:b/>
          <w:color w:val="auto"/>
          <w:sz w:val="28"/>
          <w:szCs w:val="28"/>
          <w:highlight w:val="none"/>
          <w:u w:val="single"/>
        </w:rPr>
      </w:pPr>
      <w:r>
        <w:rPr>
          <w:rFonts w:hint="eastAsia" w:ascii="宋体" w:hAnsi="宋体" w:cs="宋体"/>
          <w:b/>
          <w:color w:val="auto"/>
          <w:sz w:val="28"/>
          <w:szCs w:val="28"/>
          <w:highlight w:val="none"/>
          <w:lang w:val="en-US" w:eastAsia="zh-CN"/>
        </w:rPr>
        <w:t xml:space="preserve">  </w:t>
      </w:r>
      <w:r>
        <w:rPr>
          <w:rFonts w:hint="eastAsia" w:ascii="宋体" w:hAnsi="宋体" w:cs="宋体"/>
          <w:b w:val="0"/>
          <w:bCs/>
          <w:color w:val="auto"/>
          <w:sz w:val="28"/>
          <w:szCs w:val="28"/>
          <w:highlight w:val="none"/>
          <w:lang w:val="en-US" w:eastAsia="zh-CN"/>
        </w:rPr>
        <w:t xml:space="preserve"> </w:t>
      </w:r>
      <w:r>
        <w:rPr>
          <w:rFonts w:hint="eastAsia" w:ascii="宋体" w:hAnsi="宋体" w:eastAsia="宋体" w:cs="宋体"/>
          <w:b w:val="0"/>
          <w:bCs/>
          <w:color w:val="auto"/>
          <w:sz w:val="28"/>
          <w:szCs w:val="28"/>
          <w:highlight w:val="none"/>
        </w:rPr>
        <w:t>采购代理机构：</w:t>
      </w:r>
      <w:r>
        <w:rPr>
          <w:rFonts w:hint="eastAsia" w:ascii="宋体" w:hAnsi="宋体" w:eastAsia="宋体" w:cs="宋体"/>
          <w:b w:val="0"/>
          <w:bCs/>
          <w:color w:val="auto"/>
          <w:sz w:val="28"/>
          <w:szCs w:val="28"/>
          <w:highlight w:val="none"/>
          <w:u w:val="single"/>
        </w:rPr>
        <w:t xml:space="preserve"> </w:t>
      </w:r>
      <w:r>
        <w:rPr>
          <w:rFonts w:hint="eastAsia" w:ascii="宋体" w:hAnsi="宋体" w:cs="宋体"/>
          <w:b w:val="0"/>
          <w:bCs/>
          <w:color w:val="auto"/>
          <w:sz w:val="28"/>
          <w:szCs w:val="28"/>
          <w:highlight w:val="none"/>
          <w:u w:val="single"/>
          <w:lang w:eastAsia="zh-CN"/>
        </w:rPr>
        <w:t>广西天罡工程项目管理有限公司</w:t>
      </w:r>
      <w:r>
        <w:rPr>
          <w:rFonts w:hint="eastAsia" w:ascii="宋体" w:hAnsi="宋体" w:eastAsia="宋体" w:cs="宋体"/>
          <w:b w:val="0"/>
          <w:bCs/>
          <w:color w:val="auto"/>
          <w:sz w:val="28"/>
          <w:szCs w:val="28"/>
          <w:highlight w:val="none"/>
          <w:u w:val="single"/>
        </w:rPr>
        <w:t xml:space="preserve">   </w:t>
      </w:r>
    </w:p>
    <w:p>
      <w:pPr>
        <w:pStyle w:val="12"/>
        <w:ind w:left="980" w:hanging="560" w:hangingChars="200"/>
        <w:rPr>
          <w:rFonts w:hint="eastAsia" w:ascii="宋体" w:hAnsi="宋体" w:eastAsia="宋体" w:cs="宋体"/>
          <w:bCs/>
          <w:color w:val="auto"/>
          <w:sz w:val="28"/>
          <w:szCs w:val="28"/>
          <w:highlight w:val="none"/>
        </w:rPr>
      </w:pPr>
      <w:bookmarkStart w:id="194" w:name="_Toc20319_WPSOffice_Level2"/>
      <w:bookmarkStart w:id="195" w:name="_Toc4932_WPSOffice_Level2"/>
      <w:r>
        <w:rPr>
          <w:rFonts w:hint="eastAsia" w:ascii="宋体" w:hAnsi="宋体" w:eastAsia="宋体" w:cs="宋体"/>
          <w:bCs/>
          <w:color w:val="auto"/>
          <w:sz w:val="28"/>
          <w:szCs w:val="28"/>
          <w:highlight w:val="none"/>
          <w:lang w:eastAsia="zh-CN"/>
        </w:rPr>
        <w:t>磋商供应商</w:t>
      </w:r>
      <w:r>
        <w:rPr>
          <w:rFonts w:hint="eastAsia" w:ascii="宋体" w:hAnsi="宋体" w:eastAsia="宋体" w:cs="宋体"/>
          <w:bCs/>
          <w:color w:val="auto"/>
          <w:sz w:val="28"/>
          <w:szCs w:val="28"/>
          <w:highlight w:val="none"/>
          <w:lang w:val="en-US" w:eastAsia="zh-CN"/>
        </w:rPr>
        <w:t>[(</w:t>
      </w:r>
      <w:r>
        <w:rPr>
          <w:rFonts w:hint="eastAsia" w:ascii="宋体" w:hAnsi="宋体" w:cs="宋体"/>
          <w:bCs/>
          <w:color w:val="auto"/>
          <w:sz w:val="28"/>
          <w:szCs w:val="28"/>
          <w:highlight w:val="none"/>
          <w:lang w:val="en-US" w:eastAsia="zh-CN"/>
        </w:rPr>
        <w:t>CA证书签章</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、自然人除外</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 xml:space="preserve">                       </w:t>
      </w:r>
      <w:bookmarkEnd w:id="194"/>
      <w:bookmarkEnd w:id="195"/>
      <w:r>
        <w:rPr>
          <w:rFonts w:hint="eastAsia" w:ascii="宋体" w:hAnsi="宋体" w:eastAsia="宋体" w:cs="宋体"/>
          <w:bCs/>
          <w:color w:val="auto"/>
          <w:sz w:val="28"/>
          <w:szCs w:val="28"/>
          <w:highlight w:val="none"/>
          <w:u w:val="single"/>
        </w:rPr>
        <w:t xml:space="preserve">       </w:t>
      </w:r>
    </w:p>
    <w:p>
      <w:pPr>
        <w:pStyle w:val="16"/>
        <w:spacing w:line="320" w:lineRule="exact"/>
        <w:ind w:firstLine="420"/>
        <w:rPr>
          <w:rFonts w:hint="eastAsia" w:ascii="宋体" w:hAnsi="宋体" w:eastAsia="宋体" w:cs="宋体"/>
          <w:color w:val="auto"/>
          <w:sz w:val="28"/>
          <w:szCs w:val="28"/>
          <w:highlight w:val="none"/>
          <w:lang w:val="en-US" w:eastAsia="zh-CN"/>
        </w:rPr>
      </w:pPr>
      <w:bookmarkStart w:id="196" w:name="_Toc9622_WPSOffice_Level2"/>
      <w:bookmarkStart w:id="197" w:name="_Toc32056_WPSOffice_Level2"/>
      <w:r>
        <w:rPr>
          <w:rFonts w:hint="eastAsia" w:ascii="宋体" w:hAnsi="宋体" w:eastAsia="宋体" w:cs="宋体"/>
          <w:color w:val="auto"/>
          <w:sz w:val="28"/>
          <w:szCs w:val="28"/>
          <w:highlight w:val="none"/>
        </w:rPr>
        <w:t>法定代表人、负责人、自然人或相应的委托代理人签字</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或盖章</w:t>
      </w:r>
      <w:r>
        <w:rPr>
          <w:rFonts w:hint="eastAsia" w:ascii="宋体" w:hAnsi="宋体" w:eastAsia="宋体" w:cs="宋体"/>
          <w:color w:val="auto"/>
          <w:sz w:val="28"/>
          <w:szCs w:val="28"/>
          <w:highlight w:val="none"/>
          <w:lang w:val="en-US" w:eastAsia="zh-CN"/>
        </w:rPr>
        <w:t>(</w:t>
      </w:r>
      <w:r>
        <w:rPr>
          <w:rFonts w:hint="eastAsia" w:hAnsi="宋体" w:cs="宋体"/>
          <w:color w:val="auto"/>
          <w:sz w:val="28"/>
          <w:szCs w:val="28"/>
          <w:highlight w:val="none"/>
          <w:lang w:val="en-US" w:eastAsia="zh-CN"/>
        </w:rPr>
        <w:t>CA证书签章</w:t>
      </w:r>
      <w:r>
        <w:rPr>
          <w:rFonts w:hint="eastAsia" w:ascii="宋体" w:hAnsi="宋体" w:eastAsia="宋体" w:cs="宋体"/>
          <w:color w:val="auto"/>
          <w:sz w:val="28"/>
          <w:szCs w:val="28"/>
          <w:highlight w:val="none"/>
          <w:lang w:val="en-US" w:eastAsia="zh-CN"/>
        </w:rPr>
        <w:t>)]</w:t>
      </w:r>
    </w:p>
    <w:p>
      <w:pPr>
        <w:pStyle w:val="12"/>
        <w:ind w:left="980" w:hanging="560" w:hanging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（属自然人的应在签名处加盖大拇指指印</w:t>
      </w:r>
      <w:r>
        <w:rPr>
          <w:rFonts w:hint="eastAsia" w:ascii="宋体" w:hAnsi="宋体" w:eastAsia="宋体" w:cs="宋体"/>
          <w:color w:val="auto"/>
          <w:sz w:val="28"/>
          <w:szCs w:val="28"/>
          <w:highlight w:val="none"/>
          <w:lang w:eastAsia="zh-CN"/>
        </w:rPr>
        <w:t>或</w:t>
      </w:r>
      <w:r>
        <w:rPr>
          <w:rFonts w:hint="eastAsia" w:ascii="宋体" w:hAnsi="宋体" w:eastAsia="宋体" w:cs="宋体"/>
          <w:color w:val="auto"/>
          <w:sz w:val="28"/>
          <w:szCs w:val="28"/>
          <w:highlight w:val="none"/>
          <w:lang w:val="en-US" w:eastAsia="zh-CN"/>
        </w:rPr>
        <w:t>个人</w:t>
      </w:r>
      <w:r>
        <w:rPr>
          <w:rFonts w:hint="eastAsia" w:ascii="宋体" w:hAnsi="宋体" w:cs="宋体"/>
          <w:color w:val="auto"/>
          <w:sz w:val="28"/>
          <w:szCs w:val="28"/>
          <w:highlight w:val="none"/>
          <w:lang w:val="en-US" w:eastAsia="zh-CN"/>
        </w:rPr>
        <w:t>CA证书签章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pPr>
        <w:pStyle w:val="12"/>
        <w:ind w:left="980" w:hanging="560" w:hangingChars="200"/>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联系电话：</w:t>
      </w:r>
      <w:bookmarkEnd w:id="196"/>
      <w:bookmarkEnd w:id="197"/>
      <w:r>
        <w:rPr>
          <w:rFonts w:hint="eastAsia" w:ascii="宋体" w:hAnsi="宋体" w:eastAsia="宋体" w:cs="宋体"/>
          <w:bCs/>
          <w:color w:val="auto"/>
          <w:sz w:val="28"/>
          <w:szCs w:val="28"/>
          <w:highlight w:val="none"/>
          <w:u w:val="single"/>
        </w:rPr>
        <w:t xml:space="preserve">                                                </w:t>
      </w:r>
    </w:p>
    <w:p>
      <w:pPr>
        <w:pStyle w:val="12"/>
        <w:ind w:left="980" w:hanging="560" w:hangingChars="200"/>
        <w:rPr>
          <w:rFonts w:hint="eastAsia" w:ascii="宋体" w:hAnsi="宋体" w:eastAsia="宋体" w:cs="宋体"/>
          <w:bCs/>
          <w:color w:val="auto"/>
          <w:sz w:val="28"/>
          <w:szCs w:val="28"/>
          <w:highlight w:val="none"/>
        </w:rPr>
        <w:sectPr>
          <w:pgSz w:w="11906" w:h="16838"/>
          <w:pgMar w:top="1500" w:right="1134" w:bottom="1258" w:left="1134" w:header="720" w:footer="720" w:gutter="0"/>
          <w:pgNumType w:fmt="decimal"/>
          <w:cols w:space="720" w:num="1"/>
          <w:titlePg/>
          <w:docGrid w:type="linesAndChars" w:linePitch="331" w:charSpace="0"/>
        </w:sectPr>
      </w:pPr>
      <w:bookmarkStart w:id="198" w:name="_Toc15933_WPSOffice_Level2"/>
      <w:bookmarkStart w:id="199" w:name="_Toc26465_WPSOffice_Level2"/>
      <w:r>
        <w:rPr>
          <w:rFonts w:hint="eastAsia" w:ascii="宋体" w:hAnsi="宋体" w:eastAsia="宋体" w:cs="宋体"/>
          <w:bCs/>
          <w:color w:val="auto"/>
          <w:sz w:val="28"/>
          <w:szCs w:val="28"/>
          <w:highlight w:val="none"/>
        </w:rPr>
        <w:t>日期：</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bookmarkEnd w:id="198"/>
      <w:bookmarkEnd w:id="199"/>
    </w:p>
    <w:p>
      <w:pPr>
        <w:numPr>
          <w:ilvl w:val="0"/>
          <w:numId w:val="0"/>
        </w:numPr>
        <w:rPr>
          <w:rFonts w:hint="eastAsia" w:ascii="宋体" w:hAnsi="宋体" w:eastAsia="宋体" w:cs="宋体"/>
          <w:b/>
          <w:bCs/>
          <w:color w:val="auto"/>
          <w:sz w:val="32"/>
          <w:szCs w:val="32"/>
          <w:highlight w:val="none"/>
        </w:rPr>
      </w:pPr>
      <w:bookmarkStart w:id="200" w:name="_Toc19430"/>
      <w:bookmarkStart w:id="201" w:name="_Toc497927070"/>
      <w:bookmarkStart w:id="202" w:name="_Toc21615"/>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响应文件组成</w:t>
      </w:r>
      <w:bookmarkEnd w:id="200"/>
      <w:bookmarkEnd w:id="201"/>
      <w:bookmarkEnd w:id="202"/>
    </w:p>
    <w:p>
      <w:pPr>
        <w:pStyle w:val="10"/>
        <w:numPr>
          <w:ilvl w:val="0"/>
          <w:numId w:val="0"/>
        </w:numPr>
        <w:rPr>
          <w:rFonts w:hint="eastAsia" w:ascii="宋体" w:hAnsi="宋体" w:eastAsia="宋体" w:cs="宋体"/>
          <w:color w:val="auto"/>
          <w:highlight w:val="none"/>
        </w:rPr>
      </w:pPr>
    </w:p>
    <w:p>
      <w:pPr>
        <w:pStyle w:val="10"/>
        <w:numPr>
          <w:ilvl w:val="0"/>
          <w:numId w:val="0"/>
        </w:numPr>
        <w:rPr>
          <w:rFonts w:hint="eastAsia" w:ascii="宋体" w:hAnsi="宋体" w:eastAsia="宋体" w:cs="宋体"/>
          <w:color w:val="auto"/>
          <w:highlight w:val="none"/>
        </w:rPr>
      </w:pPr>
    </w:p>
    <w:p>
      <w:pPr>
        <w:numPr>
          <w:ilvl w:val="0"/>
          <w:numId w:val="0"/>
        </w:numPr>
        <w:spacing w:line="400" w:lineRule="exact"/>
        <w:rPr>
          <w:rFonts w:hint="eastAsia" w:ascii="宋体" w:hAnsi="宋体" w:eastAsia="宋体" w:cs="宋体"/>
          <w:b/>
          <w:bCs/>
          <w:color w:val="auto"/>
          <w:sz w:val="28"/>
          <w:szCs w:val="28"/>
          <w:highlight w:val="none"/>
        </w:rPr>
      </w:pPr>
    </w:p>
    <w:p>
      <w:pPr>
        <w:pStyle w:val="10"/>
        <w:rPr>
          <w:rFonts w:hint="eastAsia" w:ascii="宋体" w:hAnsi="宋体" w:eastAsia="宋体" w:cs="宋体"/>
          <w:b/>
          <w:bCs/>
          <w:color w:val="auto"/>
          <w:sz w:val="28"/>
          <w:szCs w:val="28"/>
          <w:highlight w:val="none"/>
          <w:lang w:eastAsia="zh-CN"/>
        </w:rPr>
      </w:pPr>
    </w:p>
    <w:p>
      <w:pPr>
        <w:numPr>
          <w:ilvl w:val="0"/>
          <w:numId w:val="11"/>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pPr>
        <w:pStyle w:val="10"/>
        <w:rPr>
          <w:rFonts w:hint="eastAsia" w:ascii="宋体" w:hAnsi="宋体" w:eastAsia="宋体" w:cs="宋体"/>
          <w:b/>
          <w:bCs/>
          <w:color w:val="auto"/>
          <w:sz w:val="28"/>
          <w:szCs w:val="28"/>
          <w:highlight w:val="none"/>
        </w:rPr>
      </w:pPr>
    </w:p>
    <w:p>
      <w:pPr>
        <w:pStyle w:val="10"/>
        <w:rPr>
          <w:rFonts w:hint="eastAsia" w:ascii="宋体" w:hAnsi="宋体" w:eastAsia="宋体" w:cs="宋体"/>
          <w:b/>
          <w:bCs/>
          <w:color w:val="auto"/>
          <w:sz w:val="28"/>
          <w:szCs w:val="28"/>
          <w:highlight w:val="none"/>
        </w:rPr>
      </w:pPr>
    </w:p>
    <w:p>
      <w:pPr>
        <w:numPr>
          <w:ilvl w:val="0"/>
          <w:numId w:val="11"/>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pPr>
        <w:pStyle w:val="10"/>
        <w:rPr>
          <w:rFonts w:hint="eastAsia" w:ascii="宋体" w:hAnsi="宋体" w:eastAsia="宋体" w:cs="宋体"/>
          <w:b/>
          <w:bCs/>
          <w:color w:val="auto"/>
          <w:sz w:val="28"/>
          <w:szCs w:val="28"/>
          <w:highlight w:val="none"/>
        </w:rPr>
      </w:pPr>
    </w:p>
    <w:p>
      <w:pPr>
        <w:pStyle w:val="10"/>
        <w:rPr>
          <w:rFonts w:hint="eastAsia" w:ascii="宋体" w:hAnsi="宋体" w:eastAsia="宋体" w:cs="宋体"/>
          <w:b/>
          <w:bCs/>
          <w:color w:val="auto"/>
          <w:sz w:val="28"/>
          <w:szCs w:val="28"/>
          <w:highlight w:val="none"/>
        </w:rPr>
      </w:pPr>
    </w:p>
    <w:p>
      <w:pPr>
        <w:numPr>
          <w:ilvl w:val="0"/>
          <w:numId w:val="11"/>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pPr>
        <w:pStyle w:val="39"/>
        <w:rPr>
          <w:rFonts w:hint="eastAsia" w:ascii="宋体" w:hAnsi="宋体" w:eastAsia="宋体" w:cs="宋体"/>
          <w:color w:val="auto"/>
          <w:highlight w:val="none"/>
        </w:rPr>
      </w:pPr>
    </w:p>
    <w:p>
      <w:pPr>
        <w:tabs>
          <w:tab w:val="left" w:pos="5040"/>
        </w:tabs>
        <w:spacing w:line="400" w:lineRule="exact"/>
        <w:rPr>
          <w:rFonts w:hint="eastAsia" w:ascii="宋体" w:hAnsi="宋体" w:eastAsia="宋体" w:cs="宋体"/>
          <w:color w:val="auto"/>
          <w:szCs w:val="21"/>
          <w:highlight w:val="none"/>
        </w:rPr>
      </w:pPr>
    </w:p>
    <w:p>
      <w:pPr>
        <w:pStyle w:val="10"/>
        <w:rPr>
          <w:rFonts w:hint="eastAsia" w:ascii="宋体" w:hAnsi="宋体" w:eastAsia="宋体" w:cs="宋体"/>
          <w:color w:val="auto"/>
          <w:szCs w:val="21"/>
          <w:highlight w:val="none"/>
        </w:rPr>
      </w:pPr>
    </w:p>
    <w:p>
      <w:pPr>
        <w:pStyle w:val="10"/>
        <w:rPr>
          <w:rFonts w:hint="eastAsia" w:ascii="宋体" w:hAnsi="宋体" w:eastAsia="宋体" w:cs="宋体"/>
          <w:color w:val="auto"/>
          <w:szCs w:val="21"/>
          <w:highlight w:val="none"/>
        </w:rPr>
      </w:pPr>
    </w:p>
    <w:p>
      <w:pPr>
        <w:pStyle w:val="10"/>
        <w:rPr>
          <w:rFonts w:hint="eastAsia" w:ascii="宋体" w:hAnsi="宋体" w:eastAsia="宋体" w:cs="宋体"/>
          <w:color w:val="auto"/>
          <w:szCs w:val="21"/>
          <w:highlight w:val="none"/>
        </w:rPr>
      </w:pPr>
    </w:p>
    <w:p>
      <w:pPr>
        <w:pStyle w:val="10"/>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39"/>
        <w:rPr>
          <w:rFonts w:hint="eastAsia" w:ascii="宋体" w:hAnsi="宋体" w:eastAsia="宋体" w:cs="宋体"/>
          <w:color w:val="auto"/>
          <w:szCs w:val="21"/>
          <w:highlight w:val="none"/>
        </w:rPr>
      </w:pPr>
    </w:p>
    <w:p>
      <w:pPr>
        <w:pStyle w:val="39"/>
        <w:rPr>
          <w:rFonts w:hint="eastAsia" w:ascii="宋体" w:hAnsi="宋体" w:eastAsia="宋体" w:cs="宋体"/>
          <w:color w:val="auto"/>
          <w:szCs w:val="21"/>
          <w:highlight w:val="none"/>
        </w:rPr>
      </w:pPr>
    </w:p>
    <w:p>
      <w:pPr>
        <w:pStyle w:val="39"/>
        <w:rPr>
          <w:rFonts w:hint="eastAsia" w:ascii="宋体" w:hAnsi="宋体" w:eastAsia="宋体" w:cs="宋体"/>
          <w:color w:val="auto"/>
          <w:szCs w:val="21"/>
          <w:highlight w:val="none"/>
        </w:rPr>
      </w:pPr>
    </w:p>
    <w:p>
      <w:pPr>
        <w:pStyle w:val="39"/>
        <w:rPr>
          <w:rFonts w:hint="eastAsia" w:ascii="宋体" w:hAnsi="宋体" w:eastAsia="宋体" w:cs="宋体"/>
          <w:color w:val="auto"/>
          <w:szCs w:val="21"/>
          <w:highlight w:val="none"/>
        </w:rPr>
      </w:pPr>
    </w:p>
    <w:p>
      <w:pPr>
        <w:pStyle w:val="39"/>
        <w:rPr>
          <w:rFonts w:hint="eastAsia" w:ascii="宋体" w:hAnsi="宋体" w:eastAsia="宋体" w:cs="宋体"/>
          <w:color w:val="auto"/>
          <w:szCs w:val="21"/>
          <w:highlight w:val="none"/>
        </w:rPr>
      </w:pPr>
    </w:p>
    <w:p>
      <w:pPr>
        <w:pStyle w:val="39"/>
        <w:rPr>
          <w:rFonts w:hint="eastAsia" w:ascii="宋体" w:hAnsi="宋体" w:eastAsia="宋体" w:cs="宋体"/>
          <w:color w:val="auto"/>
          <w:szCs w:val="21"/>
          <w:highlight w:val="none"/>
        </w:rPr>
      </w:pPr>
    </w:p>
    <w:p>
      <w:pPr>
        <w:pStyle w:val="39"/>
        <w:rPr>
          <w:rFonts w:hint="eastAsia" w:ascii="宋体" w:hAnsi="宋体" w:eastAsia="宋体" w:cs="宋体"/>
          <w:color w:val="auto"/>
          <w:szCs w:val="21"/>
          <w:highlight w:val="none"/>
        </w:rPr>
      </w:pPr>
    </w:p>
    <w:p>
      <w:pPr>
        <w:pStyle w:val="39"/>
        <w:rPr>
          <w:rFonts w:hint="eastAsia" w:ascii="宋体" w:hAnsi="宋体" w:eastAsia="宋体" w:cs="宋体"/>
          <w:color w:val="auto"/>
          <w:szCs w:val="21"/>
          <w:highlight w:val="none"/>
        </w:rPr>
      </w:pPr>
    </w:p>
    <w:p>
      <w:pPr>
        <w:pStyle w:val="39"/>
        <w:rPr>
          <w:rFonts w:hint="eastAsia" w:ascii="宋体" w:hAnsi="宋体" w:eastAsia="宋体" w:cs="宋体"/>
          <w:color w:val="auto"/>
          <w:szCs w:val="21"/>
          <w:highlight w:val="none"/>
        </w:rPr>
      </w:pPr>
    </w:p>
    <w:p>
      <w:pPr>
        <w:pStyle w:val="39"/>
        <w:rPr>
          <w:rFonts w:hint="eastAsia" w:ascii="宋体" w:hAnsi="宋体" w:eastAsia="宋体" w:cs="宋体"/>
          <w:color w:val="auto"/>
          <w:szCs w:val="21"/>
          <w:highlight w:val="none"/>
        </w:rPr>
      </w:pPr>
    </w:p>
    <w:p>
      <w:pPr>
        <w:pStyle w:val="39"/>
        <w:rPr>
          <w:rFonts w:hint="eastAsia" w:ascii="宋体" w:hAnsi="宋体" w:eastAsia="宋体" w:cs="宋体"/>
          <w:color w:val="auto"/>
          <w:szCs w:val="21"/>
          <w:highlight w:val="none"/>
        </w:rPr>
      </w:pPr>
    </w:p>
    <w:p>
      <w:pPr>
        <w:pStyle w:val="39"/>
        <w:rPr>
          <w:rFonts w:hint="eastAsia" w:ascii="宋体" w:hAnsi="宋体" w:eastAsia="宋体" w:cs="宋体"/>
          <w:color w:val="auto"/>
          <w:szCs w:val="21"/>
          <w:highlight w:val="none"/>
        </w:rPr>
      </w:pPr>
    </w:p>
    <w:p>
      <w:pPr>
        <w:pStyle w:val="39"/>
        <w:rPr>
          <w:rFonts w:hint="eastAsia" w:ascii="宋体" w:hAnsi="宋体" w:eastAsia="宋体" w:cs="宋体"/>
          <w:color w:val="auto"/>
          <w:szCs w:val="21"/>
          <w:highlight w:val="none"/>
        </w:rPr>
      </w:pPr>
    </w:p>
    <w:p>
      <w:pPr>
        <w:pStyle w:val="39"/>
        <w:rPr>
          <w:rFonts w:hint="eastAsia" w:ascii="宋体" w:hAnsi="宋体" w:eastAsia="宋体" w:cs="宋体"/>
          <w:color w:val="auto"/>
          <w:szCs w:val="21"/>
          <w:highlight w:val="none"/>
        </w:rPr>
      </w:pPr>
    </w:p>
    <w:p>
      <w:pPr>
        <w:pStyle w:val="39"/>
        <w:rPr>
          <w:rFonts w:hint="eastAsia" w:ascii="宋体" w:hAnsi="宋体" w:eastAsia="宋体" w:cs="宋体"/>
          <w:color w:val="auto"/>
          <w:szCs w:val="21"/>
          <w:highlight w:val="none"/>
        </w:rPr>
      </w:pPr>
    </w:p>
    <w:p>
      <w:pPr>
        <w:rPr>
          <w:rFonts w:hint="eastAsia" w:ascii="宋体" w:hAnsi="宋体" w:eastAsia="宋体" w:cs="宋体"/>
          <w:color w:val="auto"/>
          <w:highlight w:val="none"/>
          <w:lang w:eastAsia="zh-CN"/>
        </w:rPr>
      </w:pPr>
      <w:bookmarkStart w:id="203" w:name="_Toc7185"/>
      <w:bookmarkStart w:id="204" w:name="_Toc11067"/>
      <w:bookmarkStart w:id="205" w:name="_Toc497927071"/>
    </w:p>
    <w:p>
      <w:pPr>
        <w:pStyle w:val="6"/>
        <w:numPr>
          <w:ilvl w:val="0"/>
          <w:numId w:val="0"/>
        </w:num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eastAsia="zh-CN"/>
        </w:rPr>
        <w:t>一</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资格性响应证明材料目录</w:t>
      </w:r>
      <w:bookmarkEnd w:id="203"/>
      <w:bookmarkEnd w:id="204"/>
      <w:bookmarkEnd w:id="205"/>
    </w:p>
    <w:p>
      <w:pPr>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.供应商相应的法定代表人、负责人、自然人身份证正反两面复印件</w:t>
      </w:r>
      <w:r>
        <w:rPr>
          <w:rFonts w:hint="eastAsia" w:ascii="宋体" w:hAnsi="宋体" w:eastAsia="宋体" w:cs="宋体"/>
          <w:b/>
          <w:bCs/>
          <w:color w:val="auto"/>
          <w:sz w:val="24"/>
          <w:highlight w:val="none"/>
        </w:rPr>
        <w:t>（必须提供）</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.供应商的授权委托书原件、委托代理人身份证正反面复印件以及由县级以上（含县级）社会养老保险经办机构出具的供应商为委托代理人交纳的响应文件递交截止时间前半年内任意连续三个月社保证明复印件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除供应商为以下三种情形的：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如供应商为截标时间前60日以内成立的公司，可以提供供应商与委托代理人签订的劳动合同复印件代替社保证明复印件；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（2）如供应商为事业单位，可以提供事业单位机构编制管理证复印件或事业单位机构为其发放工资的工资条复印件代替社保证明复印件；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（3）如委托代理人为免缴纳社保人员，提供免缴纳社保的证明材料复印件及供应商与委托代理人签订的劳动合同复印件代替社保证明复印件。</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属</w:t>
      </w:r>
      <w:r>
        <w:rPr>
          <w:rFonts w:hint="eastAsia" w:ascii="宋体" w:hAnsi="宋体" w:eastAsia="宋体" w:cs="宋体"/>
          <w:b/>
          <w:bCs/>
          <w:color w:val="auto"/>
          <w:sz w:val="24"/>
          <w:highlight w:val="none"/>
        </w:rPr>
        <w:t>自然人的应提供由县级以上（含县级）社会养老保险经办机构出具的自然人本人及委托代理人所交纳的响应文件递交截止时间前半年内任意连续三个月社保证明复印件</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（委托代理时必须提供）</w:t>
      </w:r>
      <w:r>
        <w:rPr>
          <w:rFonts w:hint="eastAsia" w:ascii="宋体" w:hAnsi="宋体" w:eastAsia="宋体" w:cs="宋体"/>
          <w:b/>
          <w:bCs/>
          <w:color w:val="auto"/>
          <w:sz w:val="24"/>
          <w:highlight w:val="none"/>
          <w:lang w:eastAsia="zh-CN"/>
        </w:rPr>
        <w:t>；</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.供应商参加政府采购活动前3年内在经营活动中没有重大违法记录及有关信用信息的书面声明</w:t>
      </w:r>
      <w:r>
        <w:rPr>
          <w:rFonts w:hint="eastAsia" w:ascii="宋体" w:hAnsi="宋体" w:eastAsia="宋体" w:cs="宋体"/>
          <w:b/>
          <w:bCs/>
          <w:color w:val="auto"/>
          <w:sz w:val="24"/>
          <w:highlight w:val="none"/>
        </w:rPr>
        <w:t>（必须提供）；</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.供应商的法人或者其他组织营业执照等证明文件复印件</w:t>
      </w:r>
      <w:r>
        <w:rPr>
          <w:rFonts w:hint="eastAsia" w:ascii="宋体" w:hAnsi="宋体" w:eastAsia="宋体" w:cs="宋体"/>
          <w:b/>
          <w:bCs/>
          <w:color w:val="auto"/>
          <w:sz w:val="24"/>
          <w:highlight w:val="none"/>
        </w:rPr>
        <w:t>（必须提供，自然人除外）；</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w:t>
      </w:r>
      <w:r>
        <w:rPr>
          <w:rFonts w:hint="eastAsia" w:ascii="宋体" w:hAnsi="宋体" w:cs="宋体"/>
          <w:color w:val="auto"/>
          <w:sz w:val="24"/>
          <w:szCs w:val="24"/>
          <w:highlight w:val="none"/>
          <w:lang w:eastAsia="zh-CN"/>
        </w:rPr>
        <w:t>小微</w:t>
      </w:r>
      <w:r>
        <w:rPr>
          <w:rFonts w:hint="eastAsia" w:ascii="宋体" w:hAnsi="宋体" w:eastAsia="宋体" w:cs="宋体"/>
          <w:color w:val="auto"/>
          <w:sz w:val="24"/>
          <w:szCs w:val="24"/>
          <w:highlight w:val="none"/>
        </w:rPr>
        <w:t>企业的证明材料</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【属于</w:t>
      </w:r>
      <w:r>
        <w:rPr>
          <w:rFonts w:hint="eastAsia" w:ascii="宋体" w:hAnsi="宋体" w:cs="宋体"/>
          <w:color w:val="auto"/>
          <w:sz w:val="24"/>
          <w:szCs w:val="24"/>
          <w:highlight w:val="none"/>
          <w:lang w:eastAsia="zh-CN"/>
        </w:rPr>
        <w:t>中小</w:t>
      </w:r>
      <w:r>
        <w:rPr>
          <w:rFonts w:hint="eastAsia" w:ascii="宋体" w:hAnsi="宋体" w:eastAsia="宋体" w:cs="宋体"/>
          <w:color w:val="auto"/>
          <w:sz w:val="24"/>
          <w:szCs w:val="24"/>
          <w:highlight w:val="none"/>
        </w:rPr>
        <w:t>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[2017]213号）执行）】</w:t>
      </w:r>
      <w:r>
        <w:rPr>
          <w:rFonts w:hint="eastAsia" w:ascii="宋体" w:hAnsi="宋体" w:eastAsia="宋体" w:cs="宋体"/>
          <w:b w:val="0"/>
          <w:bCs w:val="0"/>
          <w:color w:val="auto"/>
          <w:sz w:val="24"/>
          <w:szCs w:val="24"/>
          <w:highlight w:val="none"/>
          <w:lang w:val="en-US" w:eastAsia="zh-CN"/>
        </w:rPr>
        <w:t>。</w:t>
      </w:r>
    </w:p>
    <w:p>
      <w:pPr>
        <w:pStyle w:val="23"/>
        <w:rPr>
          <w:rFonts w:hint="eastAsia" w:ascii="宋体" w:hAnsi="宋体" w:eastAsia="宋体" w:cs="宋体"/>
          <w:b w:val="0"/>
          <w:bCs w:val="0"/>
          <w:color w:val="auto"/>
          <w:sz w:val="24"/>
          <w:szCs w:val="24"/>
          <w:highlight w:val="none"/>
          <w:lang w:val="en-US" w:eastAsia="zh-CN"/>
        </w:rPr>
      </w:pPr>
    </w:p>
    <w:p>
      <w:pPr>
        <w:pStyle w:val="23"/>
        <w:rPr>
          <w:rFonts w:hint="eastAsia" w:ascii="宋体" w:hAnsi="宋体" w:eastAsia="宋体" w:cs="宋体"/>
          <w:b w:val="0"/>
          <w:bCs w:val="0"/>
          <w:color w:val="auto"/>
          <w:sz w:val="24"/>
          <w:szCs w:val="24"/>
          <w:highlight w:val="none"/>
          <w:lang w:val="en-US" w:eastAsia="zh-CN"/>
        </w:rPr>
      </w:pPr>
    </w:p>
    <w:p>
      <w:pPr>
        <w:pStyle w:val="23"/>
        <w:rPr>
          <w:rFonts w:hint="eastAsia" w:ascii="宋体" w:hAnsi="宋体" w:eastAsia="宋体" w:cs="宋体"/>
          <w:b w:val="0"/>
          <w:bCs w:val="0"/>
          <w:color w:val="auto"/>
          <w:sz w:val="24"/>
          <w:szCs w:val="24"/>
          <w:highlight w:val="none"/>
          <w:lang w:val="en-US" w:eastAsia="zh-CN"/>
        </w:rPr>
      </w:pPr>
    </w:p>
    <w:p>
      <w:pPr>
        <w:pStyle w:val="23"/>
        <w:rPr>
          <w:rFonts w:hint="eastAsia" w:ascii="宋体" w:hAnsi="宋体" w:eastAsia="宋体" w:cs="宋体"/>
          <w:b w:val="0"/>
          <w:bCs w:val="0"/>
          <w:color w:val="auto"/>
          <w:sz w:val="24"/>
          <w:szCs w:val="24"/>
          <w:highlight w:val="none"/>
          <w:lang w:val="en-US" w:eastAsia="zh-CN"/>
        </w:rPr>
      </w:pPr>
    </w:p>
    <w:p>
      <w:pPr>
        <w:pStyle w:val="23"/>
        <w:rPr>
          <w:rFonts w:hint="eastAsia" w:ascii="宋体" w:hAnsi="宋体" w:eastAsia="宋体" w:cs="宋体"/>
          <w:b w:val="0"/>
          <w:bCs w:val="0"/>
          <w:color w:val="auto"/>
          <w:sz w:val="24"/>
          <w:szCs w:val="24"/>
          <w:highlight w:val="none"/>
          <w:lang w:val="en-US" w:eastAsia="zh-CN"/>
        </w:rPr>
      </w:pPr>
    </w:p>
    <w:p>
      <w:pPr>
        <w:pStyle w:val="16"/>
        <w:rPr>
          <w:rFonts w:hint="eastAsia" w:ascii="宋体" w:hAnsi="宋体" w:eastAsia="宋体" w:cs="宋体"/>
          <w:b/>
          <w:color w:val="auto"/>
          <w:sz w:val="32"/>
          <w:highlight w:val="none"/>
        </w:rPr>
      </w:pPr>
    </w:p>
    <w:p>
      <w:pPr>
        <w:pStyle w:val="8"/>
        <w:rPr>
          <w:rFonts w:hint="eastAsia"/>
          <w:color w:val="auto"/>
          <w:highlight w:val="none"/>
        </w:rPr>
      </w:pPr>
    </w:p>
    <w:p>
      <w:pPr>
        <w:pStyle w:val="16"/>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pPr>
        <w:pStyle w:val="16"/>
        <w:ind w:firstLine="627" w:firstLineChars="196"/>
        <w:jc w:val="center"/>
        <w:rPr>
          <w:rFonts w:hint="eastAsia" w:ascii="宋体" w:hAnsi="宋体" w:eastAsia="宋体" w:cs="宋体"/>
          <w:b/>
          <w:color w:val="auto"/>
          <w:sz w:val="32"/>
          <w:highlight w:val="none"/>
        </w:rPr>
      </w:pPr>
      <w:bookmarkStart w:id="206" w:name="_Toc964_WPSOffice_Level1"/>
      <w:bookmarkStart w:id="207" w:name="_Toc5420_WPSOffice_Level1"/>
      <w:r>
        <w:rPr>
          <w:rFonts w:hint="eastAsia" w:ascii="宋体" w:hAnsi="宋体" w:eastAsia="宋体" w:cs="宋体"/>
          <w:b/>
          <w:color w:val="auto"/>
          <w:sz w:val="32"/>
          <w:highlight w:val="none"/>
        </w:rPr>
        <w:t>授权委托书（格式一）</w:t>
      </w:r>
      <w:bookmarkEnd w:id="206"/>
      <w:bookmarkEnd w:id="207"/>
    </w:p>
    <w:p>
      <w:pPr>
        <w:pStyle w:val="16"/>
        <w:rPr>
          <w:rFonts w:hint="eastAsia" w:ascii="宋体" w:hAnsi="宋体" w:eastAsia="宋体" w:cs="宋体"/>
          <w:color w:val="auto"/>
          <w:highlight w:val="none"/>
        </w:rPr>
      </w:pPr>
    </w:p>
    <w:p>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广西天罡工程项目管理有限公司</w:t>
      </w:r>
      <w:r>
        <w:rPr>
          <w:rFonts w:hint="eastAsia" w:ascii="宋体" w:hAnsi="宋体" w:eastAsia="宋体" w:cs="宋体"/>
          <w:color w:val="auto"/>
          <w:szCs w:val="21"/>
          <w:highlight w:val="none"/>
          <w:u w:val="single"/>
        </w:rPr>
        <w:t xml:space="preserve"> </w:t>
      </w:r>
    </w:p>
    <w:p>
      <w:pPr>
        <w:spacing w:line="400" w:lineRule="exact"/>
        <w:rPr>
          <w:rFonts w:hint="eastAsia" w:ascii="宋体" w:hAnsi="宋体" w:eastAsia="宋体" w:cs="宋体"/>
          <w:color w:val="auto"/>
          <w:szCs w:val="21"/>
          <w:highlight w:val="none"/>
        </w:rPr>
      </w:pPr>
    </w:p>
    <w:p>
      <w:pPr>
        <w:pStyle w:val="16"/>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pPr>
        <w:pStyle w:val="16"/>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pPr>
        <w:pStyle w:val="16"/>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pPr>
        <w:pStyle w:val="16"/>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pPr>
        <w:spacing w:line="400" w:lineRule="exact"/>
        <w:ind w:firstLine="420" w:firstLineChars="200"/>
        <w:rPr>
          <w:rFonts w:hint="eastAsia" w:ascii="宋体" w:hAnsi="宋体" w:eastAsia="宋体" w:cs="宋体"/>
          <w:color w:val="auto"/>
          <w:kern w:val="0"/>
          <w:highlight w:val="none"/>
        </w:rPr>
      </w:pP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pPr>
        <w:spacing w:line="400" w:lineRule="exact"/>
        <w:ind w:firstLine="420" w:firstLineChars="200"/>
        <w:rPr>
          <w:rFonts w:hint="eastAsia" w:ascii="宋体" w:hAnsi="宋体" w:eastAsia="宋体" w:cs="宋体"/>
          <w:color w:val="auto"/>
          <w:szCs w:val="21"/>
          <w:highlight w:val="none"/>
        </w:rPr>
      </w:pPr>
    </w:p>
    <w:p>
      <w:pPr>
        <w:spacing w:line="400" w:lineRule="exact"/>
        <w:ind w:firstLine="420" w:firstLineChars="200"/>
        <w:rPr>
          <w:rFonts w:hint="eastAsia" w:ascii="宋体" w:hAnsi="宋体" w:eastAsia="宋体" w:cs="宋体"/>
          <w:color w:val="auto"/>
          <w:szCs w:val="21"/>
          <w:highlight w:val="none"/>
        </w:rPr>
      </w:pPr>
    </w:p>
    <w:p>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CA证书签章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pPr>
        <w:snapToGrid w:val="0"/>
        <w:spacing w:line="400" w:lineRule="exact"/>
        <w:ind w:firstLine="420"/>
        <w:rPr>
          <w:rFonts w:hint="eastAsia" w:ascii="宋体" w:hAnsi="宋体" w:eastAsia="宋体" w:cs="宋体"/>
          <w:color w:val="auto"/>
          <w:szCs w:val="21"/>
          <w:highlight w:val="none"/>
        </w:rPr>
      </w:pPr>
    </w:p>
    <w:p>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cs="宋体"/>
          <w:color w:val="auto"/>
          <w:szCs w:val="21"/>
          <w:highlight w:val="none"/>
          <w:lang w:val="en-US" w:eastAsia="zh-CN"/>
        </w:rPr>
        <w:t>CA证书签章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napToGrid w:val="0"/>
        <w:spacing w:line="400" w:lineRule="exact"/>
        <w:ind w:firstLine="420"/>
        <w:rPr>
          <w:rFonts w:hint="eastAsia" w:ascii="宋体" w:hAnsi="宋体" w:eastAsia="宋体" w:cs="宋体"/>
          <w:color w:val="auto"/>
          <w:szCs w:val="21"/>
          <w:highlight w:val="none"/>
        </w:rPr>
      </w:pPr>
    </w:p>
    <w:p>
      <w:pPr>
        <w:pStyle w:val="10"/>
        <w:rPr>
          <w:rFonts w:hint="eastAsia" w:ascii="宋体" w:hAnsi="宋体" w:eastAsia="宋体" w:cs="宋体"/>
          <w:color w:val="auto"/>
          <w:highlight w:val="none"/>
        </w:rPr>
      </w:pPr>
    </w:p>
    <w:p>
      <w:pPr>
        <w:pStyle w:val="16"/>
        <w:spacing w:line="340" w:lineRule="exact"/>
        <w:ind w:firstLine="480" w:firstLineChars="200"/>
        <w:rPr>
          <w:rFonts w:hint="eastAsia" w:ascii="宋体" w:hAnsi="宋体" w:eastAsia="宋体" w:cs="宋体"/>
          <w:b/>
          <w:color w:val="auto"/>
          <w:sz w:val="24"/>
          <w:highlight w:val="none"/>
          <w:lang w:val="en-US" w:eastAsia="zh-CN"/>
        </w:rPr>
        <w:sectPr>
          <w:pgSz w:w="11906" w:h="16838"/>
          <w:pgMar w:top="1500" w:right="1134" w:bottom="1258" w:left="1134" w:header="720" w:footer="720" w:gutter="0"/>
          <w:pgNumType w:fmt="decimal"/>
          <w:cols w:space="720" w:num="1"/>
          <w:titlePg/>
          <w:docGrid w:type="linesAndChars" w:linePitch="331" w:charSpace="0"/>
        </w:sectPr>
      </w:pPr>
      <w:r>
        <w:rPr>
          <w:rFonts w:hint="eastAsia" w:ascii="宋体" w:hAnsi="宋体" w:eastAsia="宋体" w:cs="宋体"/>
          <w:b/>
          <w:color w:val="auto"/>
          <w:sz w:val="24"/>
          <w:highlight w:val="none"/>
          <w:lang w:val="en-US" w:eastAsia="zh-CN"/>
        </w:rPr>
        <w:t>注：</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的授权委托书原件、委托代理人身份证正反面复印件以及由县级以上（含县级）社会养老保险经办机构出具的</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为委托代理人交纳的开标截止时间前半年内任意连续三个月社保证明复印件（如</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为截标时间前60日以内成立的公司，可以提供</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与委托代理人签订的劳动合同复印件代替社保证明复印件；如</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为事业单位，可以提供事业单位机构编制管理证复印件或事业单位机构为其发放工资的工资条复印件代替社保证明复印件；如委托代理人为免缴纳社保人员，提供免缴纳社保的证明材料复印件及</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与委托代理人签订的劳动合同复印件代替社保证明复印件）委托代理时必须提供。</w:t>
      </w:r>
    </w:p>
    <w:p>
      <w:pPr>
        <w:pStyle w:val="16"/>
        <w:jc w:val="center"/>
        <w:rPr>
          <w:rFonts w:hint="eastAsia" w:ascii="宋体" w:hAnsi="宋体" w:eastAsia="宋体" w:cs="宋体"/>
          <w:b/>
          <w:color w:val="auto"/>
          <w:sz w:val="32"/>
          <w:highlight w:val="none"/>
        </w:rPr>
      </w:pPr>
      <w:bookmarkStart w:id="208" w:name="_Toc6975_WPSOffice_Level1"/>
      <w:bookmarkStart w:id="209" w:name="_Toc21370_WPSOffice_Level1"/>
      <w:r>
        <w:rPr>
          <w:rFonts w:hint="eastAsia" w:ascii="宋体" w:hAnsi="宋体" w:eastAsia="宋体" w:cs="宋体"/>
          <w:b/>
          <w:color w:val="auto"/>
          <w:sz w:val="32"/>
          <w:highlight w:val="none"/>
        </w:rPr>
        <w:t>授权委托书（格式二）</w:t>
      </w:r>
      <w:bookmarkEnd w:id="208"/>
      <w:bookmarkEnd w:id="209"/>
    </w:p>
    <w:p>
      <w:pPr>
        <w:pStyle w:val="16"/>
        <w:jc w:val="both"/>
        <w:rPr>
          <w:rFonts w:hint="eastAsia" w:ascii="宋体" w:hAnsi="宋体" w:eastAsia="宋体" w:cs="宋体"/>
          <w:b/>
          <w:color w:val="auto"/>
          <w:sz w:val="32"/>
          <w:highlight w:val="none"/>
        </w:rPr>
      </w:pPr>
    </w:p>
    <w:p>
      <w:pPr>
        <w:pStyle w:val="16"/>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广西天罡工程项目管理有限公司</w:t>
      </w:r>
      <w:r>
        <w:rPr>
          <w:rFonts w:hint="eastAsia" w:ascii="宋体" w:hAnsi="宋体" w:eastAsia="宋体" w:cs="宋体"/>
          <w:color w:val="auto"/>
          <w:szCs w:val="21"/>
          <w:highlight w:val="none"/>
          <w:u w:val="single"/>
        </w:rPr>
        <w:t xml:space="preserve"> </w:t>
      </w:r>
    </w:p>
    <w:p>
      <w:pPr>
        <w:rPr>
          <w:rFonts w:hint="eastAsia" w:ascii="宋体" w:hAnsi="宋体" w:eastAsia="宋体" w:cs="宋体"/>
          <w:color w:val="auto"/>
          <w:highlight w:val="none"/>
        </w:rPr>
      </w:pPr>
    </w:p>
    <w:p>
      <w:pPr>
        <w:pStyle w:val="16"/>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pPr>
        <w:pStyle w:val="16"/>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pPr>
        <w:pStyle w:val="16"/>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pPr>
        <w:pStyle w:val="16"/>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pPr>
        <w:spacing w:line="340" w:lineRule="exact"/>
        <w:ind w:firstLine="420" w:firstLineChars="200"/>
        <w:rPr>
          <w:rFonts w:hint="eastAsia" w:ascii="宋体" w:hAnsi="宋体" w:eastAsia="宋体" w:cs="宋体"/>
          <w:color w:val="auto"/>
          <w:kern w:val="0"/>
          <w:highlight w:val="none"/>
        </w:rPr>
      </w:pPr>
    </w:p>
    <w:p>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pPr>
        <w:spacing w:line="340" w:lineRule="exact"/>
        <w:ind w:firstLine="420" w:firstLineChars="200"/>
        <w:rPr>
          <w:rFonts w:hint="eastAsia" w:ascii="宋体" w:hAnsi="宋体" w:eastAsia="宋体" w:cs="宋体"/>
          <w:color w:val="auto"/>
          <w:szCs w:val="21"/>
          <w:highlight w:val="none"/>
        </w:rPr>
      </w:pPr>
    </w:p>
    <w:p>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cs="宋体"/>
          <w:color w:val="auto"/>
          <w:szCs w:val="21"/>
          <w:highlight w:val="none"/>
          <w:lang w:val="en-US" w:eastAsia="zh-CN"/>
        </w:rPr>
        <w:t>CA证书签章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Style w:val="16"/>
        <w:spacing w:line="400" w:lineRule="exact"/>
        <w:ind w:left="420" w:leftChars="200"/>
        <w:rPr>
          <w:rFonts w:hint="eastAsia" w:ascii="宋体" w:hAnsi="宋体" w:eastAsia="宋体" w:cs="宋体"/>
          <w:color w:val="auto"/>
          <w:szCs w:val="21"/>
          <w:highlight w:val="none"/>
        </w:rPr>
      </w:pPr>
    </w:p>
    <w:p>
      <w:pPr>
        <w:pStyle w:val="16"/>
        <w:spacing w:line="400" w:lineRule="exact"/>
        <w:rPr>
          <w:rFonts w:hint="eastAsia" w:ascii="宋体" w:hAnsi="宋体" w:eastAsia="宋体" w:cs="宋体"/>
          <w:b/>
          <w:color w:val="auto"/>
          <w:szCs w:val="21"/>
          <w:highlight w:val="none"/>
        </w:rPr>
        <w:sectPr>
          <w:pgSz w:w="11906" w:h="16838"/>
          <w:pgMar w:top="1500" w:right="1134" w:bottom="1258" w:left="1134" w:header="720" w:footer="720" w:gutter="0"/>
          <w:pgNumType w:fmt="decimal"/>
          <w:cols w:space="720" w:num="1"/>
          <w:titlePg/>
          <w:docGrid w:type="linesAndChars" w:linePitch="331" w:charSpace="0"/>
        </w:sectPr>
      </w:pPr>
      <w:r>
        <w:rPr>
          <w:rFonts w:hint="eastAsia" w:ascii="宋体" w:hAnsi="宋体" w:eastAsia="宋体" w:cs="宋体"/>
          <w:b/>
          <w:color w:val="auto"/>
          <w:szCs w:val="21"/>
          <w:highlight w:val="none"/>
        </w:rPr>
        <w:t>附：委托代理人身份证正反面复印件</w:t>
      </w:r>
    </w:p>
    <w:p>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pPr>
        <w:pStyle w:val="16"/>
        <w:spacing w:line="400" w:lineRule="exact"/>
        <w:ind w:left="420" w:leftChars="200" w:firstLine="156"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pPr>
        <w:pStyle w:val="16"/>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pPr>
        <w:pStyle w:val="16"/>
        <w:spacing w:line="400" w:lineRule="exact"/>
        <w:jc w:val="center"/>
        <w:rPr>
          <w:rFonts w:hint="eastAsia" w:ascii="宋体" w:hAnsi="宋体" w:eastAsia="宋体" w:cs="宋体"/>
          <w:b/>
          <w:color w:val="auto"/>
          <w:sz w:val="32"/>
          <w:szCs w:val="32"/>
          <w:highlight w:val="none"/>
        </w:rPr>
      </w:pPr>
      <w:bookmarkStart w:id="210" w:name="_Toc30304_WPSOffice_Level1"/>
      <w:bookmarkStart w:id="211" w:name="_Toc30890_WPSOffice_Level1"/>
      <w:r>
        <w:rPr>
          <w:rFonts w:hint="eastAsia" w:ascii="宋体" w:hAnsi="宋体" w:eastAsia="宋体" w:cs="宋体"/>
          <w:b/>
          <w:color w:val="auto"/>
          <w:sz w:val="32"/>
          <w:szCs w:val="32"/>
          <w:highlight w:val="none"/>
        </w:rPr>
        <w:t>声   明</w:t>
      </w:r>
      <w:bookmarkEnd w:id="210"/>
      <w:bookmarkEnd w:id="211"/>
    </w:p>
    <w:p>
      <w:pPr>
        <w:pStyle w:val="16"/>
        <w:spacing w:line="400" w:lineRule="exact"/>
        <w:jc w:val="both"/>
        <w:rPr>
          <w:rFonts w:hint="eastAsia" w:ascii="宋体" w:hAnsi="宋体" w:eastAsia="宋体" w:cs="宋体"/>
          <w:b/>
          <w:color w:val="auto"/>
          <w:sz w:val="32"/>
          <w:szCs w:val="32"/>
          <w:highlight w:val="none"/>
        </w:rPr>
      </w:pPr>
    </w:p>
    <w:p>
      <w:pPr>
        <w:pStyle w:val="16"/>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广西天罡工程项目管理有限公司</w:t>
      </w:r>
      <w:r>
        <w:rPr>
          <w:rFonts w:hint="eastAsia" w:ascii="宋体" w:hAnsi="宋体" w:eastAsia="宋体" w:cs="宋体"/>
          <w:color w:val="auto"/>
          <w:szCs w:val="21"/>
          <w:highlight w:val="none"/>
          <w:u w:val="single"/>
        </w:rPr>
        <w:t xml:space="preserve"> </w:t>
      </w:r>
    </w:p>
    <w:p>
      <w:pPr>
        <w:rPr>
          <w:rFonts w:hint="eastAsia" w:ascii="宋体" w:hAnsi="宋体" w:eastAsia="宋体" w:cs="宋体"/>
          <w:color w:val="auto"/>
          <w:szCs w:val="21"/>
          <w:highlight w:val="none"/>
          <w:u w:val="single"/>
        </w:rPr>
      </w:pPr>
    </w:p>
    <w:p>
      <w:pPr>
        <w:pStyle w:val="10"/>
        <w:rPr>
          <w:rFonts w:hint="eastAsia" w:ascii="宋体" w:hAnsi="宋体" w:eastAsia="宋体" w:cs="宋体"/>
          <w:color w:val="auto"/>
          <w:highlight w:val="none"/>
        </w:rPr>
      </w:pPr>
    </w:p>
    <w:p>
      <w:pPr>
        <w:pStyle w:val="16"/>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rPr>
          <w:rFonts w:hint="eastAsia" w:ascii="宋体" w:hAnsi="宋体" w:eastAsia="宋体" w:cs="宋体"/>
          <w:color w:val="auto"/>
          <w:highlight w:val="none"/>
        </w:rPr>
      </w:pPr>
    </w:p>
    <w:p>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CA证书签章</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cs="宋体"/>
          <w:color w:val="auto"/>
          <w:szCs w:val="21"/>
          <w:highlight w:val="none"/>
          <w:lang w:val="en-US" w:eastAsia="zh-CN"/>
        </w:rPr>
        <w:t>CA证书签章</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pPr>
        <w:pStyle w:val="16"/>
        <w:ind w:firstLine="3990" w:firstLineChars="1900"/>
        <w:rPr>
          <w:rFonts w:hint="eastAsia" w:ascii="宋体" w:hAnsi="宋体" w:eastAsia="宋体" w:cs="宋体"/>
          <w:color w:val="auto"/>
          <w:highlight w:val="none"/>
          <w:u w:val="single"/>
        </w:rPr>
        <w:sectPr>
          <w:pgSz w:w="11906" w:h="16838"/>
          <w:pgMar w:top="1500" w:right="1134" w:bottom="1258" w:left="1134" w:header="720" w:footer="720" w:gutter="0"/>
          <w:pgNumType w:fmt="decimal"/>
          <w:cols w:space="720" w:num="1"/>
          <w:titlePg/>
          <w:docGrid w:type="linesAndChars" w:linePitch="331" w:charSpace="0"/>
        </w:sect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 xml:space="preserve">                 </w:t>
      </w:r>
    </w:p>
    <w:p>
      <w:pPr>
        <w:pStyle w:val="16"/>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.供应商的法人或者其他组织营业执照等证明文件复印件（必须提供，自然人除外）；</w:t>
      </w:r>
    </w:p>
    <w:p>
      <w:pPr>
        <w:tabs>
          <w:tab w:val="left" w:pos="1305"/>
        </w:tabs>
        <w:spacing w:line="340" w:lineRule="exact"/>
        <w:rPr>
          <w:rFonts w:hint="eastAsia" w:ascii="宋体" w:hAnsi="宋体" w:eastAsia="宋体" w:cs="宋体"/>
          <w:b/>
          <w:color w:val="auto"/>
          <w:szCs w:val="21"/>
          <w:highlight w:val="none"/>
        </w:rPr>
      </w:pPr>
    </w:p>
    <w:p>
      <w:pPr>
        <w:tabs>
          <w:tab w:val="left" w:pos="1305"/>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；供应商为事业单位，应提供有效的“事业单位法人证书”；供应商为非企业专业服务机构的，应提供执业许可证等证明文件；供应商为个体工商户，应提供有效的“个体工商户营业执照”。</w:t>
      </w:r>
    </w:p>
    <w:p>
      <w:pPr>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numPr>
          <w:ilvl w:val="0"/>
          <w:numId w:val="0"/>
        </w:numPr>
        <w:jc w:val="both"/>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5.供应商为</w:t>
      </w:r>
      <w:r>
        <w:rPr>
          <w:rFonts w:hint="eastAsia" w:ascii="宋体" w:hAnsi="宋体" w:cs="宋体"/>
          <w:b/>
          <w:color w:val="auto"/>
          <w:kern w:val="2"/>
          <w:sz w:val="28"/>
          <w:szCs w:val="28"/>
          <w:highlight w:val="none"/>
          <w:lang w:val="en-US" w:eastAsia="zh-CN" w:bidi="ar-SA"/>
        </w:rPr>
        <w:t>小微</w:t>
      </w:r>
      <w:r>
        <w:rPr>
          <w:rFonts w:hint="eastAsia" w:ascii="宋体" w:hAnsi="宋体" w:eastAsia="宋体" w:cs="宋体"/>
          <w:b/>
          <w:color w:val="auto"/>
          <w:kern w:val="2"/>
          <w:sz w:val="28"/>
          <w:szCs w:val="28"/>
          <w:highlight w:val="none"/>
          <w:lang w:val="en-US" w:eastAsia="zh-CN" w:bidi="ar-SA"/>
        </w:rPr>
        <w:t>企业的证明材料（必须提供）【属于</w:t>
      </w:r>
      <w:r>
        <w:rPr>
          <w:rFonts w:hint="eastAsia" w:ascii="宋体" w:hAnsi="宋体" w:cs="宋体"/>
          <w:b/>
          <w:color w:val="auto"/>
          <w:kern w:val="2"/>
          <w:sz w:val="28"/>
          <w:szCs w:val="28"/>
          <w:highlight w:val="none"/>
          <w:lang w:val="en-US" w:eastAsia="zh-CN" w:bidi="ar-SA"/>
        </w:rPr>
        <w:t>中小</w:t>
      </w:r>
      <w:r>
        <w:rPr>
          <w:rFonts w:hint="eastAsia" w:ascii="宋体" w:hAnsi="宋体" w:eastAsia="宋体" w:cs="宋体"/>
          <w:b/>
          <w:color w:val="auto"/>
          <w:kern w:val="2"/>
          <w:sz w:val="28"/>
          <w:szCs w:val="28"/>
          <w:highlight w:val="none"/>
          <w:lang w:val="en-US" w:eastAsia="zh-CN" w:bidi="ar-SA"/>
        </w:rPr>
        <w:t>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[2017]213号）执行）】</w:t>
      </w:r>
    </w:p>
    <w:p>
      <w:pPr>
        <w:pStyle w:val="46"/>
        <w:spacing w:line="360" w:lineRule="auto"/>
        <w:rPr>
          <w:rFonts w:hint="eastAsia" w:ascii="宋体" w:hAnsi="宋体" w:cs="宋体"/>
          <w:b/>
          <w:color w:val="auto"/>
          <w:kern w:val="0"/>
          <w:sz w:val="28"/>
          <w:szCs w:val="28"/>
          <w:highlight w:val="none"/>
        </w:rPr>
      </w:pPr>
    </w:p>
    <w:p>
      <w:pPr>
        <w:tabs>
          <w:tab w:val="left" w:pos="1305"/>
        </w:tabs>
        <w:spacing w:line="380" w:lineRule="exact"/>
        <w:rPr>
          <w:rFonts w:hint="eastAsia" w:ascii="宋体" w:hAnsi="宋体" w:eastAsia="宋体" w:cs="宋体"/>
          <w:b/>
          <w:bCs/>
          <w:color w:val="auto"/>
          <w:sz w:val="32"/>
          <w:szCs w:val="32"/>
          <w:highlight w:val="none"/>
        </w:rPr>
      </w:pPr>
    </w:p>
    <w:p>
      <w:pPr>
        <w:tabs>
          <w:tab w:val="left" w:pos="1305"/>
        </w:tabs>
        <w:spacing w:line="380" w:lineRule="exact"/>
        <w:ind w:firstLine="2880" w:firstLineChars="9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中小企业声明函（格式）</w:t>
      </w:r>
    </w:p>
    <w:p>
      <w:pPr>
        <w:tabs>
          <w:tab w:val="left" w:pos="1305"/>
        </w:tabs>
        <w:spacing w:line="380" w:lineRule="exact"/>
        <w:ind w:firstLine="420" w:firstLineChars="200"/>
        <w:rPr>
          <w:rFonts w:hint="eastAsia" w:ascii="宋体" w:hAnsi="宋体" w:eastAsia="宋体" w:cs="宋体"/>
          <w:b/>
          <w:bCs/>
          <w:color w:val="auto"/>
          <w:szCs w:val="20"/>
          <w:highlight w:val="none"/>
        </w:rPr>
      </w:pPr>
    </w:p>
    <w:p>
      <w:pPr>
        <w:pStyle w:val="7"/>
        <w:spacing w:line="500" w:lineRule="exact"/>
        <w:ind w:left="-199" w:leftChars="-95"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本公司郑重声明，根据《政府采购促进中小企业发展管理办法》（财库﹝2020﹞46号）的规定，本公司参加</w:t>
      </w:r>
      <w:r>
        <w:rPr>
          <w:rFonts w:hint="eastAsia" w:ascii="宋体" w:hAnsi="宋体" w:eastAsia="宋体" w:cs="宋体"/>
          <w:color w:val="auto"/>
          <w:kern w:val="0"/>
          <w:sz w:val="24"/>
          <w:szCs w:val="24"/>
          <w:highlight w:val="none"/>
          <w:u w:val="single"/>
        </w:rPr>
        <w:t xml:space="preserve"> （单位名称） </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 xml:space="preserve"> （项目名称） </w:t>
      </w:r>
      <w:r>
        <w:rPr>
          <w:rFonts w:hint="eastAsia" w:ascii="宋体" w:hAnsi="宋体" w:eastAsia="宋体" w:cs="宋体"/>
          <w:color w:val="auto"/>
          <w:kern w:val="0"/>
          <w:sz w:val="24"/>
          <w:szCs w:val="24"/>
          <w:highlight w:val="none"/>
        </w:rPr>
        <w:t>采购活动，服务全部由符合政策要求的中小企业承接。相关企业（含联合体中的中小企业（如有）、签订分包意向协议的中小企业（如有））的具体情况如下：</w:t>
      </w:r>
    </w:p>
    <w:p>
      <w:pPr>
        <w:pStyle w:val="7"/>
        <w:spacing w:line="500" w:lineRule="exact"/>
        <w:ind w:left="-138" w:leftChars="-66"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u w:val="single"/>
        </w:rPr>
        <w:t xml:space="preserve"> （标的名称） </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pacing w:val="0"/>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bidi="ar-SA"/>
        </w:rPr>
        <w:t>承接企业</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u w:val="single"/>
        </w:rPr>
        <w:t xml:space="preserve"> （企业名称） </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 xml:space="preserve"> （中型企业、小型企业、微型企业） </w:t>
      </w:r>
      <w:r>
        <w:rPr>
          <w:rFonts w:hint="eastAsia" w:ascii="宋体" w:hAnsi="宋体" w:eastAsia="宋体" w:cs="宋体"/>
          <w:color w:val="auto"/>
          <w:kern w:val="0"/>
          <w:sz w:val="24"/>
          <w:szCs w:val="24"/>
          <w:highlight w:val="none"/>
        </w:rPr>
        <w:t>；</w:t>
      </w:r>
    </w:p>
    <w:p>
      <w:pPr>
        <w:pStyle w:val="7"/>
        <w:spacing w:line="500" w:lineRule="exact"/>
        <w:ind w:left="-199" w:leftChars="-95" w:firstLine="530" w:firstLineChars="22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pPr>
        <w:pStyle w:val="7"/>
        <w:spacing w:line="5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本企业对上述声明内容的真实性负责。如有虚假，将依法承担相应责任。</w:t>
      </w:r>
    </w:p>
    <w:p>
      <w:pPr>
        <w:pStyle w:val="7"/>
        <w:ind w:firstLine="3120" w:firstLineChars="1300"/>
        <w:rPr>
          <w:rFonts w:hint="eastAsia" w:ascii="宋体" w:hAnsi="宋体" w:eastAsia="宋体" w:cs="宋体"/>
          <w:b/>
          <w:bCs/>
          <w:color w:val="auto"/>
          <w:kern w:val="0"/>
          <w:sz w:val="24"/>
          <w:szCs w:val="24"/>
          <w:highlight w:val="none"/>
        </w:rPr>
      </w:pPr>
    </w:p>
    <w:p>
      <w:pPr>
        <w:pStyle w:val="7"/>
        <w:ind w:firstLine="3120" w:firstLineChars="1300"/>
        <w:rPr>
          <w:rFonts w:hint="eastAsia" w:ascii="宋体" w:hAnsi="宋体" w:eastAsia="宋体" w:cs="宋体"/>
          <w:b/>
          <w:bCs/>
          <w:color w:val="auto"/>
          <w:kern w:val="0"/>
          <w:sz w:val="24"/>
          <w:szCs w:val="24"/>
          <w:highlight w:val="none"/>
          <w:u w:val="single"/>
        </w:rPr>
      </w:pPr>
      <w:r>
        <w:rPr>
          <w:rFonts w:hint="eastAsia" w:ascii="宋体" w:hAnsi="宋体" w:eastAsia="宋体" w:cs="宋体"/>
          <w:b/>
          <w:bCs/>
          <w:color w:val="auto"/>
          <w:kern w:val="0"/>
          <w:sz w:val="24"/>
          <w:szCs w:val="24"/>
          <w:highlight w:val="none"/>
        </w:rPr>
        <w:t>企业名称（盖章）：</w:t>
      </w:r>
      <w:r>
        <w:rPr>
          <w:rFonts w:hint="eastAsia" w:ascii="宋体" w:hAnsi="宋体" w:eastAsia="宋体" w:cs="宋体"/>
          <w:b/>
          <w:bCs/>
          <w:color w:val="auto"/>
          <w:kern w:val="0"/>
          <w:sz w:val="24"/>
          <w:szCs w:val="24"/>
          <w:highlight w:val="none"/>
          <w:u w:val="single"/>
        </w:rPr>
        <w:t xml:space="preserve">              </w:t>
      </w:r>
    </w:p>
    <w:p>
      <w:pPr>
        <w:pStyle w:val="7"/>
        <w:ind w:firstLine="3120" w:firstLineChars="13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日 期：   年   月   日</w:t>
      </w:r>
    </w:p>
    <w:p>
      <w:pPr>
        <w:rPr>
          <w:rFonts w:hint="eastAsia" w:ascii="宋体" w:hAnsi="宋体" w:eastAsia="宋体" w:cs="宋体"/>
          <w:color w:val="auto"/>
          <w:sz w:val="24"/>
          <w:szCs w:val="24"/>
          <w:highlight w:val="none"/>
        </w:rPr>
      </w:pPr>
    </w:p>
    <w:p>
      <w:pPr>
        <w:pStyle w:val="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vertAlign w:val="superscript"/>
        </w:rPr>
        <w:t xml:space="preserve">1  </w:t>
      </w:r>
      <w:r>
        <w:rPr>
          <w:rFonts w:hint="eastAsia" w:ascii="宋体" w:hAnsi="宋体" w:eastAsia="宋体" w:cs="宋体"/>
          <w:color w:val="auto"/>
          <w:kern w:val="0"/>
          <w:sz w:val="24"/>
          <w:szCs w:val="24"/>
          <w:highlight w:val="none"/>
        </w:rPr>
        <w:t>从业人员、营业收入、资产总额填报上一年度数据，无上一年度数据的新成立企业可不填报。</w:t>
      </w:r>
    </w:p>
    <w:p>
      <w:pPr>
        <w:bidi w:val="0"/>
        <w:rPr>
          <w:rFonts w:hint="eastAsia"/>
          <w:color w:val="auto"/>
          <w:highlight w:val="none"/>
          <w:lang w:val="en-US" w:eastAsia="zh-CN"/>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numPr>
          <w:ilvl w:val="0"/>
          <w:numId w:val="0"/>
        </w:numPr>
        <w:ind w:left="420" w:leftChars="0"/>
        <w:jc w:val="center"/>
        <w:rPr>
          <w:rFonts w:hint="eastAsia" w:ascii="宋体" w:hAnsi="宋体" w:cs="宋体"/>
          <w:b/>
          <w:bCs/>
          <w:color w:val="auto"/>
          <w:sz w:val="32"/>
          <w:szCs w:val="32"/>
          <w:highlight w:val="none"/>
          <w:lang w:eastAsia="zh-CN"/>
        </w:rPr>
        <w:sectPr>
          <w:pgSz w:w="11906" w:h="16838"/>
          <w:pgMar w:top="1440" w:right="935" w:bottom="1440" w:left="777" w:header="851" w:footer="992" w:gutter="0"/>
          <w:pgNumType w:fmt="decimal"/>
          <w:cols w:space="720" w:num="1"/>
          <w:rtlGutter w:val="0"/>
          <w:docGrid w:type="linesAndChars" w:linePitch="312" w:charSpace="0"/>
        </w:sectPr>
      </w:pPr>
    </w:p>
    <w:p>
      <w:pPr>
        <w:numPr>
          <w:ilvl w:val="0"/>
          <w:numId w:val="0"/>
        </w:numPr>
        <w:ind w:left="420" w:leftChars="0"/>
        <w:jc w:val="center"/>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p>
    <w:p>
      <w:pPr>
        <w:numPr>
          <w:ilvl w:val="0"/>
          <w:numId w:val="12"/>
        </w:numPr>
        <w:spacing w:line="360" w:lineRule="auto"/>
        <w:ind w:left="-60" w:leftChars="0" w:firstLine="48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响应函</w:t>
      </w:r>
      <w:r>
        <w:rPr>
          <w:rFonts w:hint="eastAsia" w:ascii="宋体" w:hAnsi="宋体" w:eastAsia="宋体" w:cs="宋体"/>
          <w:b/>
          <w:bCs/>
          <w:color w:val="auto"/>
          <w:sz w:val="24"/>
          <w:highlight w:val="none"/>
        </w:rPr>
        <w:t>（格式见附件）（必须提供</w:t>
      </w:r>
      <w:r>
        <w:rPr>
          <w:color w:val="auto"/>
          <w:highlight w:val="none"/>
        </w:rPr>
        <w:t>）</w:t>
      </w:r>
      <w:r>
        <w:rPr>
          <w:rFonts w:hint="eastAsia" w:ascii="宋体" w:hAnsi="宋体" w:eastAsia="宋体" w:cs="宋体"/>
          <w:b/>
          <w:bCs/>
          <w:color w:val="auto"/>
          <w:sz w:val="24"/>
          <w:highlight w:val="none"/>
          <w:lang w:eastAsia="zh-CN"/>
        </w:rPr>
        <w:t>；</w:t>
      </w:r>
    </w:p>
    <w:p>
      <w:pPr>
        <w:spacing w:line="360" w:lineRule="auto"/>
        <w:rPr>
          <w:rFonts w:hint="default" w:ascii="宋体" w:hAnsi="宋体" w:eastAsia="宋体" w:cs="宋体"/>
          <w:color w:val="auto"/>
          <w:sz w:val="24"/>
          <w:highlight w:val="none"/>
          <w:lang w:val="en-US" w:eastAsia="zh-CN"/>
        </w:rPr>
      </w:pPr>
    </w:p>
    <w:p>
      <w:pPr>
        <w:numPr>
          <w:ilvl w:val="0"/>
          <w:numId w:val="12"/>
        </w:numPr>
        <w:spacing w:line="360" w:lineRule="auto"/>
        <w:ind w:left="-60" w:leftChars="0" w:firstLine="480" w:firstLineChars="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磋商报价表</w:t>
      </w:r>
      <w:r>
        <w:rPr>
          <w:rFonts w:hint="eastAsia" w:ascii="宋体" w:hAnsi="宋体" w:eastAsia="宋体" w:cs="宋体"/>
          <w:b/>
          <w:bCs/>
          <w:color w:val="auto"/>
          <w:sz w:val="24"/>
          <w:highlight w:val="none"/>
        </w:rPr>
        <w:t>（格式见附件）（必须提供）；</w:t>
      </w:r>
    </w:p>
    <w:p>
      <w:pPr>
        <w:pStyle w:val="10"/>
        <w:rPr>
          <w:rFonts w:hint="eastAsia" w:ascii="宋体" w:hAnsi="宋体" w:eastAsia="宋体" w:cs="宋体"/>
          <w:color w:val="auto"/>
          <w:highlight w:val="none"/>
        </w:rPr>
      </w:pPr>
    </w:p>
    <w:p>
      <w:pPr>
        <w:numPr>
          <w:ilvl w:val="0"/>
          <w:numId w:val="12"/>
        </w:numPr>
        <w:spacing w:line="360" w:lineRule="auto"/>
        <w:ind w:left="-60" w:leftChars="0" w:firstLine="480" w:firstLineChars="0"/>
        <w:rPr>
          <w:rFonts w:hint="eastAsia" w:ascii="宋体" w:hAnsi="宋体" w:eastAsia="宋体" w:cs="宋体"/>
          <w:color w:val="auto"/>
          <w:sz w:val="24"/>
          <w:highlight w:val="none"/>
        </w:rPr>
      </w:pPr>
      <w:r>
        <w:rPr>
          <w:rFonts w:hint="eastAsia" w:ascii="宋体" w:hAnsi="宋体" w:cs="宋体"/>
          <w:color w:val="auto"/>
          <w:sz w:val="24"/>
          <w:highlight w:val="none"/>
          <w:lang w:eastAsia="zh-CN"/>
        </w:rPr>
        <w:t>采购需求响应说明表</w:t>
      </w:r>
      <w:r>
        <w:rPr>
          <w:rFonts w:hint="eastAsia" w:ascii="宋体" w:hAnsi="宋体" w:eastAsia="宋体" w:cs="宋体"/>
          <w:b/>
          <w:bCs/>
          <w:color w:val="auto"/>
          <w:sz w:val="24"/>
          <w:highlight w:val="none"/>
        </w:rPr>
        <w:t>（格式见附件）（必须提供）；</w:t>
      </w:r>
    </w:p>
    <w:p>
      <w:pPr>
        <w:pStyle w:val="10"/>
        <w:rPr>
          <w:rFonts w:hint="eastAsia" w:ascii="宋体" w:hAnsi="宋体" w:eastAsia="宋体" w:cs="宋体"/>
          <w:color w:val="auto"/>
          <w:highlight w:val="none"/>
        </w:rPr>
      </w:pPr>
    </w:p>
    <w:p>
      <w:pPr>
        <w:numPr>
          <w:ilvl w:val="0"/>
          <w:numId w:val="12"/>
        </w:numPr>
        <w:spacing w:line="360" w:lineRule="auto"/>
        <w:ind w:left="-60" w:leftChars="0" w:firstLine="480" w:firstLineChars="0"/>
        <w:rPr>
          <w:rFonts w:hint="eastAsia" w:ascii="宋体" w:hAnsi="宋体" w:eastAsia="宋体" w:cs="宋体"/>
          <w:b/>
          <w:bCs/>
          <w:color w:val="auto"/>
          <w:sz w:val="24"/>
          <w:highlight w:val="none"/>
        </w:rPr>
      </w:pPr>
      <w:r>
        <w:rPr>
          <w:rFonts w:hint="eastAsia" w:ascii="宋体" w:hAnsi="宋体" w:cs="宋体"/>
          <w:color w:val="auto"/>
          <w:sz w:val="24"/>
          <w:highlight w:val="none"/>
          <w:lang w:eastAsia="zh-CN"/>
        </w:rPr>
        <w:t>售后服务承诺书</w:t>
      </w:r>
      <w:r>
        <w:rPr>
          <w:rFonts w:hint="eastAsia" w:ascii="宋体" w:hAnsi="宋体" w:eastAsia="宋体" w:cs="宋体"/>
          <w:b/>
          <w:bCs/>
          <w:color w:val="auto"/>
          <w:sz w:val="24"/>
          <w:highlight w:val="none"/>
        </w:rPr>
        <w:t>（格式见附件）（必须提供）</w:t>
      </w:r>
      <w:r>
        <w:rPr>
          <w:rFonts w:hint="eastAsia" w:ascii="宋体" w:hAnsi="宋体" w:cs="宋体"/>
          <w:b/>
          <w:bCs/>
          <w:color w:val="auto"/>
          <w:sz w:val="24"/>
          <w:highlight w:val="none"/>
          <w:lang w:eastAsia="zh-CN"/>
        </w:rPr>
        <w:t>。</w:t>
      </w:r>
    </w:p>
    <w:p>
      <w:pPr>
        <w:pStyle w:val="39"/>
        <w:rPr>
          <w:rFonts w:hint="eastAsia" w:ascii="宋体" w:hAnsi="宋体" w:eastAsia="宋体" w:cs="宋体"/>
          <w:color w:val="auto"/>
          <w:highlight w:val="none"/>
        </w:rPr>
      </w:pPr>
    </w:p>
    <w:p>
      <w:pPr>
        <w:pStyle w:val="39"/>
        <w:rPr>
          <w:rFonts w:hint="eastAsia" w:ascii="宋体" w:hAnsi="宋体" w:eastAsia="宋体" w:cs="宋体"/>
          <w:color w:val="auto"/>
          <w:highlight w:val="none"/>
        </w:rPr>
      </w:pPr>
    </w:p>
    <w:p>
      <w:pPr>
        <w:pStyle w:val="39"/>
        <w:rPr>
          <w:rFonts w:hint="eastAsia" w:ascii="宋体" w:hAnsi="宋体" w:eastAsia="宋体" w:cs="宋体"/>
          <w:color w:val="auto"/>
          <w:highlight w:val="none"/>
        </w:rPr>
      </w:pPr>
    </w:p>
    <w:p>
      <w:pPr>
        <w:pStyle w:val="39"/>
        <w:rPr>
          <w:rFonts w:hint="eastAsia" w:ascii="宋体" w:hAnsi="宋体" w:eastAsia="宋体" w:cs="宋体"/>
          <w:color w:val="auto"/>
          <w:highlight w:val="none"/>
        </w:rPr>
      </w:pPr>
    </w:p>
    <w:p>
      <w:pPr>
        <w:pStyle w:val="39"/>
        <w:rPr>
          <w:rFonts w:hint="eastAsia" w:ascii="宋体" w:hAnsi="宋体" w:eastAsia="宋体" w:cs="宋体"/>
          <w:color w:val="auto"/>
          <w:highlight w:val="none"/>
        </w:rPr>
      </w:pPr>
    </w:p>
    <w:p>
      <w:pPr>
        <w:pStyle w:val="39"/>
        <w:rPr>
          <w:rFonts w:hint="eastAsia" w:ascii="宋体" w:hAnsi="宋体" w:eastAsia="宋体" w:cs="宋体"/>
          <w:color w:val="auto"/>
          <w:highlight w:val="none"/>
        </w:rPr>
      </w:pPr>
    </w:p>
    <w:p>
      <w:pPr>
        <w:pStyle w:val="39"/>
        <w:rPr>
          <w:rFonts w:hint="eastAsia" w:ascii="宋体" w:hAnsi="宋体" w:eastAsia="宋体" w:cs="宋体"/>
          <w:color w:val="auto"/>
          <w:highlight w:val="none"/>
        </w:rPr>
      </w:pPr>
    </w:p>
    <w:p>
      <w:pPr>
        <w:pStyle w:val="39"/>
        <w:rPr>
          <w:rFonts w:hint="eastAsia" w:ascii="宋体" w:hAnsi="宋体" w:eastAsia="宋体" w:cs="宋体"/>
          <w:color w:val="auto"/>
          <w:highlight w:val="none"/>
        </w:rPr>
      </w:pPr>
    </w:p>
    <w:p>
      <w:pPr>
        <w:pStyle w:val="39"/>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6"/>
        <w:numPr>
          <w:ilvl w:val="0"/>
          <w:numId w:val="0"/>
        </w:numPr>
        <w:spacing w:line="340" w:lineRule="exact"/>
        <w:rPr>
          <w:rFonts w:hint="eastAsia" w:ascii="宋体" w:hAnsi="宋体" w:eastAsia="宋体" w:cs="宋体"/>
          <w:b/>
          <w:color w:val="auto"/>
          <w:sz w:val="28"/>
          <w:szCs w:val="28"/>
          <w:highlight w:val="none"/>
          <w:lang w:val="en-US" w:eastAsia="zh-CN"/>
        </w:rPr>
      </w:pPr>
    </w:p>
    <w:p>
      <w:pPr>
        <w:pStyle w:val="16"/>
        <w:numPr>
          <w:ilvl w:val="0"/>
          <w:numId w:val="0"/>
        </w:numPr>
        <w:spacing w:line="340" w:lineRule="exact"/>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10"/>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10"/>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10"/>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10"/>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4"/>
        <w:rPr>
          <w:rFonts w:hint="eastAsia"/>
          <w:color w:val="auto"/>
          <w:highlight w:val="none"/>
          <w:lang w:val="en-US" w:eastAsia="zh-CN"/>
        </w:rPr>
      </w:pPr>
    </w:p>
    <w:p>
      <w:pPr>
        <w:pStyle w:val="10"/>
        <w:rPr>
          <w:rFonts w:hint="eastAsia"/>
          <w:color w:val="auto"/>
          <w:highlight w:val="none"/>
          <w:lang w:val="en-US" w:eastAsia="zh-CN"/>
        </w:rPr>
      </w:pPr>
    </w:p>
    <w:p>
      <w:pPr>
        <w:numPr>
          <w:ilvl w:val="0"/>
          <w:numId w:val="0"/>
        </w:numPr>
        <w:spacing w:line="400" w:lineRule="exact"/>
        <w:rPr>
          <w:rFonts w:hint="eastAsia" w:ascii="宋体" w:hAnsi="宋体" w:eastAsia="宋体" w:cs="宋体"/>
          <w:b/>
          <w:bCs/>
          <w:color w:val="auto"/>
          <w:sz w:val="28"/>
          <w:szCs w:val="28"/>
          <w:highlight w:val="none"/>
        </w:rPr>
      </w:pPr>
      <w:bookmarkStart w:id="212" w:name="_Toc497927072"/>
      <w:bookmarkStart w:id="213" w:name="_Toc17617"/>
      <w:bookmarkStart w:id="214" w:name="_Toc12920"/>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212"/>
      <w:bookmarkEnd w:id="213"/>
      <w:bookmarkEnd w:id="214"/>
    </w:p>
    <w:p>
      <w:pPr>
        <w:pStyle w:val="39"/>
        <w:rPr>
          <w:rFonts w:hint="eastAsia" w:ascii="宋体" w:hAnsi="宋体" w:eastAsia="宋体" w:cs="宋体"/>
          <w:color w:val="auto"/>
          <w:highlight w:val="none"/>
        </w:rPr>
      </w:pPr>
    </w:p>
    <w:p>
      <w:pPr>
        <w:pStyle w:val="16"/>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pPr>
        <w:pStyle w:val="16"/>
        <w:ind w:firstLine="800" w:firstLineChars="250"/>
        <w:jc w:val="center"/>
        <w:rPr>
          <w:rFonts w:hint="eastAsia" w:ascii="宋体" w:hAnsi="宋体" w:eastAsia="宋体" w:cs="宋体"/>
          <w:b/>
          <w:color w:val="auto"/>
          <w:sz w:val="32"/>
          <w:highlight w:val="none"/>
        </w:rPr>
      </w:pPr>
      <w:bookmarkStart w:id="215" w:name="_Toc17832_WPSOffice_Level1"/>
      <w:bookmarkStart w:id="216" w:name="_Toc7273_WPSOffice_Level1"/>
      <w:r>
        <w:rPr>
          <w:rFonts w:hint="eastAsia" w:ascii="宋体" w:hAnsi="宋体" w:eastAsia="宋体" w:cs="宋体"/>
          <w:b/>
          <w:color w:val="auto"/>
          <w:sz w:val="32"/>
          <w:highlight w:val="none"/>
        </w:rPr>
        <w:t>响 应 函 （格 式）</w:t>
      </w:r>
      <w:bookmarkEnd w:id="215"/>
      <w:bookmarkEnd w:id="216"/>
    </w:p>
    <w:p>
      <w:pPr>
        <w:spacing w:line="240" w:lineRule="exact"/>
        <w:jc w:val="center"/>
        <w:rPr>
          <w:rFonts w:hint="eastAsia" w:ascii="宋体" w:hAnsi="宋体" w:eastAsia="宋体" w:cs="宋体"/>
          <w:color w:val="auto"/>
          <w:sz w:val="32"/>
          <w:highlight w:val="none"/>
        </w:rPr>
      </w:pPr>
    </w:p>
    <w:p>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广西天罡工程项目管理有限公司</w:t>
      </w:r>
    </w:p>
    <w:p>
      <w:pPr>
        <w:spacing w:line="400" w:lineRule="exact"/>
        <w:rPr>
          <w:rFonts w:hint="eastAsia" w:ascii="宋体" w:hAnsi="宋体" w:eastAsia="宋体" w:cs="宋体"/>
          <w:color w:val="auto"/>
          <w:szCs w:val="21"/>
          <w:highlight w:val="none"/>
        </w:rPr>
      </w:pPr>
    </w:p>
    <w:p>
      <w:pPr>
        <w:pStyle w:val="16"/>
        <w:spacing w:line="36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pPr>
        <w:pStyle w:val="16"/>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pPr>
        <w:pStyle w:val="16"/>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 按磋商文件采购需求和磋商报价表：</w:t>
      </w:r>
    </w:p>
    <w:p>
      <w:pPr>
        <w:pStyle w:val="16"/>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磋商总报价</w:t>
      </w:r>
      <w:r>
        <w:rPr>
          <w:rFonts w:hint="eastAsia" w:hAnsi="宋体" w:cs="宋体"/>
          <w:color w:val="auto"/>
          <w:highlight w:val="none"/>
          <w:lang w:eastAsia="zh-CN"/>
        </w:rPr>
        <w:t>（</w:t>
      </w:r>
      <w:r>
        <w:rPr>
          <w:rFonts w:hint="eastAsia" w:ascii="宋体" w:hAnsi="宋体" w:cs="宋体"/>
          <w:color w:val="auto"/>
          <w:sz w:val="21"/>
          <w:szCs w:val="21"/>
          <w:highlight w:val="none"/>
          <w:lang w:val="en-US" w:eastAsia="zh-CN"/>
        </w:rPr>
        <w:t>综合折扣率</w:t>
      </w:r>
      <w:r>
        <w:rPr>
          <w:rFonts w:hint="eastAsia" w:hAnsi="宋体" w:cs="宋体"/>
          <w:color w:val="auto"/>
          <w:highlight w:val="none"/>
          <w:lang w:eastAsia="zh-CN"/>
        </w:rPr>
        <w:t>）</w:t>
      </w:r>
      <w:r>
        <w:rPr>
          <w:rFonts w:hint="eastAsia" w:hAnsi="宋体" w:cs="宋体"/>
          <w:color w:val="auto"/>
          <w:highlight w:val="none"/>
          <w:u w:val="single"/>
          <w:lang w:val="en-US" w:eastAsia="zh-CN"/>
        </w:rPr>
        <w:t xml:space="preserve">      </w:t>
      </w:r>
      <w:r>
        <w:rPr>
          <w:rFonts w:hint="eastAsia" w:hAnsi="宋体" w:cs="宋体"/>
          <w:color w:val="auto"/>
          <w:highlight w:val="non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eastAsia="宋体" w:cs="宋体"/>
          <w:color w:val="auto"/>
          <w:highlight w:val="none"/>
        </w:rPr>
        <w:t>。</w:t>
      </w:r>
    </w:p>
    <w:p>
      <w:pPr>
        <w:pStyle w:val="16"/>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pPr>
        <w:pStyle w:val="16"/>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pPr>
        <w:pStyle w:val="16"/>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4. 响应文件有效期为</w:t>
      </w:r>
      <w:r>
        <w:rPr>
          <w:rFonts w:hint="eastAsia" w:ascii="宋体" w:hAnsi="宋体" w:eastAsia="宋体" w:cs="宋体"/>
          <w:color w:val="auto"/>
          <w:szCs w:val="21"/>
          <w:highlight w:val="none"/>
        </w:rPr>
        <w:t>响应文件递交截止时间之日起90天。</w:t>
      </w:r>
    </w:p>
    <w:p>
      <w:pPr>
        <w:pStyle w:val="16"/>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5. 如我方成交：</w:t>
      </w:r>
    </w:p>
    <w:p>
      <w:pPr>
        <w:pStyle w:val="16"/>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pPr>
        <w:pStyle w:val="16"/>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（2）我方承诺按照磋商文件规定递交履约担保。</w:t>
      </w:r>
    </w:p>
    <w:p>
      <w:pPr>
        <w:pStyle w:val="16"/>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（3）我方承诺本响应文件至本项目合同履行完毕止均保持有效，按磋商文件及政府采购法律、法规的规定履行合同责任和义务。</w:t>
      </w:r>
    </w:p>
    <w:p>
      <w:pPr>
        <w:pStyle w:val="16"/>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pPr>
        <w:rPr>
          <w:rFonts w:hint="eastAsia" w:ascii="宋体" w:hAnsi="宋体" w:eastAsia="宋体" w:cs="宋体"/>
          <w:color w:val="auto"/>
          <w:sz w:val="21"/>
          <w:szCs w:val="21"/>
          <w:highlight w:val="none"/>
        </w:rPr>
      </w:pPr>
    </w:p>
    <w:p>
      <w:pPr>
        <w:pStyle w:val="16"/>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w:t>
      </w:r>
      <w:r>
        <w:rPr>
          <w:rFonts w:hint="eastAsia" w:hAnsi="宋体" w:cs="宋体"/>
          <w:color w:val="auto"/>
          <w:sz w:val="21"/>
          <w:szCs w:val="21"/>
          <w:highlight w:val="none"/>
          <w:lang w:eastAsia="zh-CN"/>
        </w:rPr>
        <w:t>电子邮件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pStyle w:val="16"/>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pPr>
        <w:pStyle w:val="16"/>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pPr>
        <w:pStyle w:val="16"/>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p>
      <w:pPr>
        <w:pStyle w:val="16"/>
        <w:spacing w:line="320" w:lineRule="exact"/>
        <w:ind w:firstLine="42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供应商[(</w:t>
      </w:r>
      <w:r>
        <w:rPr>
          <w:rFonts w:hint="eastAsia" w:hAnsi="宋体" w:cs="宋体"/>
          <w:bCs/>
          <w:color w:val="auto"/>
          <w:sz w:val="21"/>
          <w:szCs w:val="21"/>
          <w:highlight w:val="none"/>
          <w:lang w:val="en-US" w:eastAsia="zh-CN"/>
        </w:rPr>
        <w:t>CA证书签章</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、自然人除外</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p>
    <w:p>
      <w:pPr>
        <w:pStyle w:val="16"/>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法定代表人、负责人、自然人或相应的委托代理人签字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或盖章</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CA证书签章</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（属自然人的应在签名处加盖大拇指指印</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个人</w:t>
      </w:r>
      <w:r>
        <w:rPr>
          <w:rFonts w:hint="eastAsia" w:hAnsi="宋体" w:cs="宋体"/>
          <w:color w:val="auto"/>
          <w:sz w:val="21"/>
          <w:szCs w:val="21"/>
          <w:highlight w:val="none"/>
          <w:lang w:val="en-US" w:eastAsia="zh-CN"/>
        </w:rPr>
        <w:t>CA证书签章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pStyle w:val="16"/>
        <w:spacing w:line="320" w:lineRule="exact"/>
        <w:ind w:firstLine="420"/>
        <w:rPr>
          <w:rFonts w:hint="eastAsia" w:ascii="宋体" w:hAnsi="宋体" w:eastAsia="宋体" w:cs="宋体"/>
          <w:color w:val="auto"/>
          <w:sz w:val="21"/>
          <w:szCs w:val="21"/>
          <w:highlight w:val="none"/>
        </w:rPr>
        <w:sectPr>
          <w:pgSz w:w="11906" w:h="16838"/>
          <w:pgMar w:top="1440" w:right="935" w:bottom="1440" w:left="777" w:header="851" w:footer="992" w:gutter="0"/>
          <w:pgNumType w:fmt="decimal"/>
          <w:cols w:space="720" w:num="1"/>
          <w:rtlGutter w:val="0"/>
          <w:docGrid w:type="linesAndChars" w:linePitch="312" w:charSpace="0"/>
        </w:sectPr>
      </w:pPr>
      <w:r>
        <w:rPr>
          <w:rFonts w:hint="eastAsia" w:ascii="宋体" w:hAnsi="宋体" w:eastAsia="宋体" w:cs="宋体"/>
          <w:bCs/>
          <w:color w:val="auto"/>
          <w:sz w:val="21"/>
          <w:szCs w:val="21"/>
          <w:highlight w:val="none"/>
        </w:rPr>
        <w:t>响应</w:t>
      </w:r>
      <w:r>
        <w:rPr>
          <w:rFonts w:hint="eastAsia" w:ascii="宋体" w:hAnsi="宋体" w:eastAsia="宋体" w:cs="宋体"/>
          <w:color w:val="auto"/>
          <w:sz w:val="21"/>
          <w:szCs w:val="21"/>
          <w:highlight w:val="none"/>
        </w:rPr>
        <w:t>日期：</w:t>
      </w:r>
    </w:p>
    <w:p>
      <w:pPr>
        <w:pStyle w:val="16"/>
        <w:numPr>
          <w:ilvl w:val="0"/>
          <w:numId w:val="0"/>
        </w:numPr>
        <w:spacing w:line="340" w:lineRule="exact"/>
        <w:rPr>
          <w:rFonts w:hint="eastAsia" w:ascii="宋体" w:hAnsi="宋体" w:eastAsia="宋体" w:cs="宋体"/>
          <w:color w:val="auto"/>
          <w:highlight w:val="none"/>
        </w:rPr>
      </w:pP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磋商报价表（必须提供）；</w:t>
      </w:r>
    </w:p>
    <w:p>
      <w:pPr>
        <w:pStyle w:val="16"/>
        <w:spacing w:line="320" w:lineRule="exact"/>
        <w:jc w:val="left"/>
        <w:rPr>
          <w:rFonts w:hint="eastAsia" w:ascii="宋体" w:hAnsi="宋体" w:eastAsia="宋体" w:cs="宋体"/>
          <w:b/>
          <w:color w:val="auto"/>
          <w:sz w:val="28"/>
          <w:szCs w:val="28"/>
          <w:highlight w:val="none"/>
        </w:rPr>
      </w:pPr>
    </w:p>
    <w:p>
      <w:pPr>
        <w:pStyle w:val="8"/>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b/>
          <w:bCs/>
          <w:color w:val="auto"/>
          <w:sz w:val="30"/>
          <w:szCs w:val="30"/>
          <w:highlight w:val="none"/>
        </w:rPr>
        <w:t>附件：</w:t>
      </w:r>
    </w:p>
    <w:p>
      <w:pPr>
        <w:pStyle w:val="16"/>
        <w:keepNext w:val="0"/>
        <w:keepLines w:val="0"/>
        <w:pageBreakBefore w:val="0"/>
        <w:widowControl w:val="0"/>
        <w:kinsoku/>
        <w:wordWrap/>
        <w:overflowPunct/>
        <w:topLinePunct w:val="0"/>
        <w:autoSpaceDE/>
        <w:autoSpaceDN/>
        <w:bidi w:val="0"/>
        <w:adjustRightInd/>
        <w:snapToGrid/>
        <w:spacing w:line="480" w:lineRule="exact"/>
        <w:ind w:left="420"/>
        <w:jc w:val="center"/>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磋商报价表（格式）</w:t>
      </w:r>
    </w:p>
    <w:tbl>
      <w:tblPr>
        <w:tblStyle w:val="24"/>
        <w:tblW w:w="96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9"/>
        <w:gridCol w:w="2958"/>
        <w:gridCol w:w="1197"/>
        <w:gridCol w:w="1295"/>
        <w:gridCol w:w="1847"/>
        <w:gridCol w:w="17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669" w:type="dxa"/>
            <w:tcBorders>
              <w:top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295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w:t>
            </w:r>
            <w:r>
              <w:rPr>
                <w:rFonts w:hint="eastAsia" w:ascii="宋体" w:hAnsi="宋体" w:cs="宋体"/>
                <w:color w:val="auto"/>
                <w:sz w:val="21"/>
                <w:szCs w:val="21"/>
                <w:highlight w:val="none"/>
                <w:lang w:eastAsia="zh-CN"/>
              </w:rPr>
              <w:t>项目</w:t>
            </w:r>
            <w:r>
              <w:rPr>
                <w:rFonts w:hint="eastAsia" w:ascii="宋体" w:hAnsi="宋体" w:eastAsia="宋体" w:cs="宋体"/>
                <w:color w:val="auto"/>
                <w:sz w:val="21"/>
                <w:szCs w:val="21"/>
                <w:highlight w:val="none"/>
              </w:rPr>
              <w:t>名称</w:t>
            </w:r>
          </w:p>
        </w:tc>
        <w:tc>
          <w:tcPr>
            <w:tcW w:w="11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8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综合折扣率（%）</w:t>
            </w:r>
          </w:p>
        </w:tc>
        <w:tc>
          <w:tcPr>
            <w:tcW w:w="1706" w:type="dxa"/>
            <w:tcBorders>
              <w:top w:val="single" w:color="auto" w:sz="4" w:space="0"/>
              <w:bottom w:val="single" w:color="auto" w:sz="4" w:space="0"/>
            </w:tcBorders>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exact"/>
        </w:trPr>
        <w:tc>
          <w:tcPr>
            <w:tcW w:w="669"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9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广西商业技师学院烹饪实训材料供应商采购</w:t>
            </w: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项</w:t>
            </w:r>
          </w:p>
        </w:tc>
        <w:tc>
          <w:tcPr>
            <w:tcW w:w="18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
                <w:bCs/>
                <w:color w:val="auto"/>
                <w:sz w:val="21"/>
                <w:szCs w:val="21"/>
                <w:highlight w:val="none"/>
              </w:rPr>
            </w:pPr>
          </w:p>
        </w:tc>
        <w:tc>
          <w:tcPr>
            <w:tcW w:w="1706" w:type="dxa"/>
            <w:tcBorders>
              <w:top w:val="single" w:color="auto" w:sz="4" w:space="0"/>
              <w:bottom w:val="single" w:color="auto" w:sz="4" w:space="0"/>
            </w:tcBorders>
            <w:vAlign w:val="center"/>
          </w:tcPr>
          <w:p>
            <w:pPr>
              <w:spacing w:line="300" w:lineRule="exact"/>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2" w:type="dxa"/>
            <w:gridSpan w:val="6"/>
            <w:tcBorders>
              <w:top w:val="single" w:color="auto" w:sz="4" w:space="0"/>
              <w:bottom w:val="single" w:color="auto" w:sz="4" w:space="0"/>
            </w:tcBorders>
            <w:vAlign w:val="center"/>
          </w:tcPr>
          <w:p>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r>
              <w:rPr>
                <w:rFonts w:hint="eastAsia" w:ascii="宋体" w:hAnsi="宋体" w:cs="宋体"/>
                <w:color w:val="auto"/>
                <w:spacing w:val="-6"/>
                <w:sz w:val="21"/>
                <w:szCs w:val="21"/>
                <w:highlight w:val="none"/>
                <w:lang w:eastAsia="zh-CN"/>
              </w:rPr>
              <w:t>磋商</w:t>
            </w:r>
            <w:r>
              <w:rPr>
                <w:rFonts w:hint="eastAsia" w:ascii="宋体" w:hAnsi="宋体" w:eastAsia="宋体" w:cs="宋体"/>
                <w:color w:val="auto"/>
                <w:sz w:val="21"/>
                <w:szCs w:val="21"/>
                <w:highlight w:val="none"/>
              </w:rPr>
              <w:t>报价指本次招标采购范围内</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价款、</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随配标准附件、包装、运输、装卸、保险、税金、及其他所有成本费用的总和；</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综合考虑在报价中。</w:t>
            </w:r>
          </w:p>
        </w:tc>
      </w:tr>
    </w:tbl>
    <w:p>
      <w:pPr>
        <w:spacing w:line="340" w:lineRule="exact"/>
        <w:rPr>
          <w:rFonts w:hint="eastAsia" w:ascii="宋体" w:hAnsi="宋体" w:eastAsia="宋体" w:cs="宋体"/>
          <w:color w:val="auto"/>
          <w:szCs w:val="21"/>
          <w:highlight w:val="none"/>
        </w:rPr>
      </w:pPr>
    </w:p>
    <w:p>
      <w:pPr>
        <w:spacing w:line="340" w:lineRule="exact"/>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CA证书签章</w:t>
      </w:r>
      <w:r>
        <w:rPr>
          <w:rFonts w:hint="eastAsia" w:ascii="宋体" w:hAnsi="宋体" w:eastAsia="宋体" w:cs="宋体"/>
          <w:color w:val="auto"/>
          <w:szCs w:val="21"/>
          <w:highlight w:val="none"/>
        </w:rPr>
        <w:t>，自然人除外）：</w:t>
      </w:r>
      <w:r>
        <w:rPr>
          <w:rFonts w:hint="eastAsia" w:ascii="宋体" w:hAnsi="宋体" w:eastAsia="宋体" w:cs="宋体"/>
          <w:color w:val="auto"/>
          <w:szCs w:val="21"/>
          <w:highlight w:val="none"/>
          <w:u w:val="single"/>
        </w:rPr>
        <w:t xml:space="preserve">                                        </w:t>
      </w:r>
    </w:p>
    <w:p>
      <w:pPr>
        <w:spacing w:line="340" w:lineRule="exact"/>
        <w:rPr>
          <w:rFonts w:hint="eastAsia" w:ascii="宋体" w:hAnsi="宋体" w:eastAsia="宋体" w:cs="宋体"/>
          <w:color w:val="auto"/>
          <w:szCs w:val="21"/>
          <w:highlight w:val="none"/>
          <w:u w:val="single"/>
        </w:rPr>
      </w:pPr>
      <w:r>
        <w:rPr>
          <w:rFonts w:hint="eastAsia" w:ascii="宋体" w:hAnsi="宋体" w:eastAsia="宋体" w:cs="宋体"/>
          <w:color w:val="auto"/>
          <w:highlight w:val="none"/>
        </w:rPr>
        <w:t>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cs="宋体"/>
          <w:color w:val="auto"/>
          <w:highlight w:val="none"/>
          <w:lang w:val="en-US" w:eastAsia="zh-CN"/>
        </w:rPr>
        <w:t>CA证书签章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cs="宋体"/>
          <w:color w:val="auto"/>
          <w:highlight w:val="none"/>
          <w:lang w:val="en-US" w:eastAsia="zh-CN"/>
        </w:rPr>
        <w:t>CA证书签章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pPr>
        <w:tabs>
          <w:tab w:val="left" w:pos="1305"/>
        </w:tabs>
        <w:spacing w:line="340" w:lineRule="exact"/>
        <w:rPr>
          <w:rFonts w:hint="eastAsia" w:ascii="宋体" w:hAnsi="宋体" w:eastAsia="宋体" w:cs="宋体"/>
          <w:bCs/>
          <w:color w:val="auto"/>
          <w:sz w:val="21"/>
          <w:szCs w:val="21"/>
          <w:highlight w:val="none"/>
        </w:rPr>
      </w:pPr>
    </w:p>
    <w:p>
      <w:pPr>
        <w:tabs>
          <w:tab w:val="left" w:pos="1305"/>
        </w:tabs>
        <w:spacing w:line="3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b/>
          <w:bCs/>
          <w:color w:val="auto"/>
          <w:sz w:val="21"/>
          <w:szCs w:val="21"/>
          <w:highlight w:val="none"/>
        </w:rPr>
        <w:t>：</w:t>
      </w:r>
      <w:r>
        <w:rPr>
          <w:rFonts w:hint="eastAsia" w:ascii="宋体" w:hAnsi="宋体" w:eastAsia="宋体" w:cs="宋体"/>
          <w:bCs/>
          <w:color w:val="auto"/>
          <w:sz w:val="21"/>
          <w:szCs w:val="21"/>
          <w:highlight w:val="none"/>
        </w:rPr>
        <w:t>1.各</w:t>
      </w:r>
      <w:r>
        <w:rPr>
          <w:rFonts w:hint="eastAsia" w:ascii="宋体" w:hAnsi="宋体" w:cs="宋体"/>
          <w:color w:val="auto"/>
          <w:szCs w:val="21"/>
          <w:highlight w:val="none"/>
          <w:lang w:eastAsia="zh-CN"/>
        </w:rPr>
        <w:t>供应商</w:t>
      </w:r>
      <w:r>
        <w:rPr>
          <w:rFonts w:hint="eastAsia" w:ascii="宋体" w:hAnsi="宋体" w:eastAsia="宋体" w:cs="宋体"/>
          <w:color w:val="auto"/>
          <w:sz w:val="21"/>
          <w:szCs w:val="21"/>
          <w:highlight w:val="none"/>
        </w:rPr>
        <w:t>必须作完整唯一报价，否则，其投标将被拒绝。</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只允许有一个报价。</w:t>
      </w:r>
    </w:p>
    <w:p>
      <w:pPr>
        <w:pStyle w:val="16"/>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Cs w:val="21"/>
          <w:highlight w:val="none"/>
          <w:lang w:eastAsia="zh-CN"/>
        </w:rPr>
        <w:t>供应商</w:t>
      </w:r>
      <w:r>
        <w:rPr>
          <w:rFonts w:hint="eastAsia" w:ascii="宋体" w:hAnsi="宋体" w:eastAsia="宋体" w:cs="宋体"/>
          <w:color w:val="auto"/>
          <w:sz w:val="21"/>
          <w:szCs w:val="21"/>
          <w:highlight w:val="none"/>
        </w:rPr>
        <w:t>应根据所投</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如实填写</w:t>
      </w:r>
      <w:r>
        <w:rPr>
          <w:rFonts w:hint="eastAsia" w:hAnsi="宋体" w:cs="宋体"/>
          <w:color w:val="auto"/>
          <w:sz w:val="21"/>
          <w:szCs w:val="21"/>
          <w:highlight w:val="none"/>
          <w:lang w:eastAsia="zh-CN"/>
        </w:rPr>
        <w:t>磋商报价</w:t>
      </w:r>
      <w:r>
        <w:rPr>
          <w:rFonts w:hint="eastAsia" w:ascii="宋体" w:hAnsi="宋体" w:eastAsia="宋体" w:cs="宋体"/>
          <w:color w:val="auto"/>
          <w:sz w:val="21"/>
          <w:szCs w:val="21"/>
          <w:highlight w:val="none"/>
        </w:rPr>
        <w:t>表</w:t>
      </w:r>
      <w:r>
        <w:rPr>
          <w:rFonts w:hint="eastAsia" w:ascii="宋体" w:hAnsi="宋体" w:eastAsia="宋体" w:cs="宋体"/>
          <w:bCs/>
          <w:color w:val="auto"/>
          <w:sz w:val="21"/>
          <w:szCs w:val="21"/>
          <w:highlight w:val="none"/>
        </w:rPr>
        <w:t>的各项内容。</w:t>
      </w:r>
    </w:p>
    <w:p>
      <w:pPr>
        <w:ind w:firstLine="420" w:firstLineChars="200"/>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highlight w:val="none"/>
          <w:lang w:eastAsia="zh-CN"/>
        </w:rPr>
        <w:t>磋商</w:t>
      </w:r>
      <w:r>
        <w:rPr>
          <w:rFonts w:hint="eastAsia" w:ascii="宋体" w:hAnsi="宋体" w:eastAsia="宋体" w:cs="宋体"/>
          <w:color w:val="auto"/>
          <w:highlight w:val="none"/>
        </w:rPr>
        <w:t>报价表须由法定代表人负责人、自然人或相应的委托代理人签字或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cs="宋体"/>
          <w:color w:val="auto"/>
          <w:highlight w:val="none"/>
          <w:lang w:val="en-US" w:eastAsia="zh-CN"/>
        </w:rPr>
        <w:t>CA证书签章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cs="宋体"/>
          <w:color w:val="auto"/>
          <w:highlight w:val="none"/>
          <w:lang w:val="en-US" w:eastAsia="zh-CN"/>
        </w:rPr>
        <w:t>CA证书签章</w:t>
      </w:r>
      <w:r>
        <w:rPr>
          <w:rFonts w:hint="eastAsia" w:ascii="宋体" w:hAnsi="宋体" w:eastAsia="宋体" w:cs="宋体"/>
          <w:color w:val="auto"/>
          <w:highlight w:val="none"/>
        </w:rPr>
        <w:t>）并加盖</w:t>
      </w:r>
      <w:r>
        <w:rPr>
          <w:rFonts w:hint="eastAsia" w:ascii="宋体" w:hAnsi="宋体" w:cs="宋体"/>
          <w:color w:val="auto"/>
          <w:highlight w:val="none"/>
          <w:lang w:eastAsia="zh-CN"/>
        </w:rPr>
        <w:t>供应商</w:t>
      </w:r>
      <w:r>
        <w:rPr>
          <w:rFonts w:hint="eastAsia" w:ascii="宋体" w:hAnsi="宋体" w:cs="宋体"/>
          <w:color w:val="auto"/>
          <w:highlight w:val="none"/>
          <w:lang w:val="en-US" w:eastAsia="zh-CN"/>
        </w:rPr>
        <w:t>CA证书签章</w:t>
      </w:r>
      <w:r>
        <w:rPr>
          <w:rFonts w:hint="eastAsia" w:ascii="宋体" w:hAnsi="宋体" w:eastAsia="宋体" w:cs="宋体"/>
          <w:color w:val="auto"/>
          <w:highlight w:val="none"/>
        </w:rPr>
        <w:t>（自然人除外）。</w:t>
      </w:r>
      <w:r>
        <w:rPr>
          <w:rFonts w:hint="eastAsia" w:ascii="宋体" w:hAnsi="宋体" w:eastAsia="宋体" w:cs="宋体"/>
          <w:b/>
          <w:color w:val="auto"/>
          <w:highlight w:val="none"/>
        </w:rPr>
        <w:t>当本表由多页构成时，需逐页加盖</w:t>
      </w:r>
      <w:r>
        <w:rPr>
          <w:rFonts w:hint="eastAsia" w:ascii="宋体" w:hAnsi="宋体" w:cs="宋体"/>
          <w:b/>
          <w:color w:val="auto"/>
          <w:highlight w:val="none"/>
          <w:lang w:eastAsia="zh-CN"/>
        </w:rPr>
        <w:t>供应商</w:t>
      </w:r>
      <w:r>
        <w:rPr>
          <w:rFonts w:hint="eastAsia" w:ascii="宋体" w:hAnsi="宋体" w:cs="宋体"/>
          <w:b/>
          <w:color w:val="auto"/>
          <w:highlight w:val="none"/>
          <w:lang w:val="en-US" w:eastAsia="zh-CN"/>
        </w:rPr>
        <w:t>CA证书签章</w:t>
      </w:r>
      <w:r>
        <w:rPr>
          <w:rFonts w:hint="eastAsia" w:ascii="宋体" w:hAnsi="宋体" w:eastAsia="宋体" w:cs="宋体"/>
          <w:b/>
          <w:color w:val="auto"/>
          <w:highlight w:val="none"/>
        </w:rPr>
        <w:t>（属自然人的须逐页签字</w:t>
      </w:r>
      <w:r>
        <w:rPr>
          <w:rFonts w:hint="eastAsia" w:ascii="宋体" w:hAnsi="宋体" w:eastAsia="宋体" w:cs="宋体"/>
          <w:b/>
          <w:color w:val="auto"/>
          <w:highlight w:val="none"/>
          <w:lang w:eastAsia="zh-CN"/>
        </w:rPr>
        <w:t>或个人</w:t>
      </w:r>
      <w:r>
        <w:rPr>
          <w:rFonts w:hint="eastAsia" w:ascii="宋体" w:hAnsi="宋体" w:cs="宋体"/>
          <w:b/>
          <w:color w:val="auto"/>
          <w:highlight w:val="none"/>
          <w:lang w:val="en-US" w:eastAsia="zh-CN"/>
        </w:rPr>
        <w:t>CA证书签章</w:t>
      </w:r>
      <w:r>
        <w:rPr>
          <w:rFonts w:hint="eastAsia" w:ascii="宋体" w:hAnsi="宋体" w:eastAsia="宋体" w:cs="宋体"/>
          <w:b/>
          <w:color w:val="auto"/>
          <w:highlight w:val="none"/>
        </w:rPr>
        <w:t>）</w:t>
      </w:r>
    </w:p>
    <w:p>
      <w:pPr>
        <w:rPr>
          <w:rFonts w:hint="eastAsia" w:ascii="宋体" w:hAnsi="宋体" w:eastAsia="宋体" w:cs="宋体"/>
          <w:b/>
          <w:bCs/>
          <w:color w:val="auto"/>
          <w:sz w:val="32"/>
          <w:szCs w:val="32"/>
          <w:highlight w:val="none"/>
        </w:rPr>
      </w:pPr>
    </w:p>
    <w:p>
      <w:pPr>
        <w:pStyle w:val="9"/>
        <w:rPr>
          <w:rFonts w:hint="eastAsia" w:ascii="宋体" w:hAnsi="宋体" w:eastAsia="宋体" w:cs="宋体"/>
          <w:color w:val="auto"/>
          <w:highlight w:val="none"/>
        </w:rPr>
        <w:sectPr>
          <w:pgSz w:w="11906" w:h="16838"/>
          <w:pgMar w:top="1440" w:right="935" w:bottom="1440" w:left="777" w:header="851" w:footer="992" w:gutter="0"/>
          <w:pgNumType w:fmt="decimal"/>
          <w:cols w:space="720" w:num="1"/>
          <w:rtlGutter w:val="0"/>
          <w:docGrid w:type="linesAndChars" w:linePitch="312" w:charSpace="0"/>
        </w:sectPr>
      </w:pPr>
    </w:p>
    <w:p>
      <w:pPr>
        <w:pStyle w:val="16"/>
        <w:numPr>
          <w:ilvl w:val="0"/>
          <w:numId w:val="0"/>
        </w:numPr>
        <w:spacing w:line="340" w:lineRule="exact"/>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3.</w:t>
      </w:r>
      <w:r>
        <w:rPr>
          <w:rFonts w:hint="eastAsia" w:hAnsi="宋体" w:cs="宋体"/>
          <w:b/>
          <w:color w:val="auto"/>
          <w:sz w:val="28"/>
          <w:szCs w:val="28"/>
          <w:highlight w:val="none"/>
          <w:lang w:eastAsia="zh-CN"/>
        </w:rPr>
        <w:t>采购需求响应说明表</w:t>
      </w:r>
      <w:r>
        <w:rPr>
          <w:rFonts w:hint="eastAsia" w:ascii="宋体" w:hAnsi="宋体" w:eastAsia="宋体" w:cs="宋体"/>
          <w:b/>
          <w:color w:val="auto"/>
          <w:sz w:val="28"/>
          <w:szCs w:val="28"/>
          <w:highlight w:val="none"/>
          <w:lang w:eastAsia="zh-CN"/>
        </w:rPr>
        <w:t>（格式见附件）</w:t>
      </w:r>
      <w:r>
        <w:rPr>
          <w:rFonts w:hint="eastAsia" w:ascii="宋体" w:hAnsi="宋体" w:eastAsia="宋体" w:cs="宋体"/>
          <w:b/>
          <w:color w:val="auto"/>
          <w:sz w:val="28"/>
          <w:szCs w:val="28"/>
          <w:highlight w:val="none"/>
        </w:rPr>
        <w:t>(必须提供)；</w:t>
      </w:r>
    </w:p>
    <w:p>
      <w:pPr>
        <w:rPr>
          <w:rFonts w:hint="eastAsia" w:ascii="宋体" w:hAnsi="宋体" w:eastAsia="宋体" w:cs="宋体"/>
          <w:color w:val="auto"/>
          <w:highlight w:val="none"/>
        </w:rPr>
      </w:pPr>
    </w:p>
    <w:p>
      <w:pPr>
        <w:pStyle w:val="16"/>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pPr>
        <w:spacing w:line="5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bl>
      <w:tblPr>
        <w:tblStyle w:val="24"/>
        <w:tblW w:w="10193" w:type="dxa"/>
        <w:tblInd w:w="8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0"/>
        <w:gridCol w:w="1666"/>
        <w:gridCol w:w="2154"/>
        <w:gridCol w:w="2250"/>
        <w:gridCol w:w="1805"/>
        <w:gridCol w:w="161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0"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666" w:type="dxa"/>
            <w:vAlign w:val="center"/>
          </w:tcPr>
          <w:p>
            <w:pPr>
              <w:jc w:val="center"/>
              <w:rPr>
                <w:rFonts w:hint="eastAsia" w:ascii="宋体" w:hAnsi="宋体" w:eastAsia="宋体" w:cs="宋体"/>
                <w:color w:val="auto"/>
                <w:highlight w:val="none"/>
                <w:lang w:eastAsia="zh-CN"/>
              </w:rPr>
            </w:pPr>
            <w:bookmarkStart w:id="217" w:name="_Toc254970589"/>
            <w:bookmarkStart w:id="218" w:name="_Toc173066402"/>
            <w:bookmarkStart w:id="219" w:name="_Toc254970730"/>
            <w:bookmarkStart w:id="220" w:name="_Toc173211901"/>
            <w:r>
              <w:rPr>
                <w:rFonts w:hint="eastAsia" w:ascii="宋体" w:hAnsi="宋体" w:cs="宋体"/>
                <w:color w:val="auto"/>
                <w:highlight w:val="none"/>
                <w:lang w:eastAsia="zh-CN"/>
              </w:rPr>
              <w:t>货物名称</w:t>
            </w:r>
          </w:p>
        </w:tc>
        <w:tc>
          <w:tcPr>
            <w:tcW w:w="2154"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竞争性磋商文件要求</w:t>
            </w:r>
            <w:bookmarkEnd w:id="217"/>
            <w:bookmarkEnd w:id="218"/>
            <w:bookmarkEnd w:id="219"/>
            <w:bookmarkEnd w:id="220"/>
          </w:p>
        </w:tc>
        <w:tc>
          <w:tcPr>
            <w:tcW w:w="2250" w:type="dxa"/>
            <w:vAlign w:val="center"/>
          </w:tcPr>
          <w:p>
            <w:pPr>
              <w:jc w:val="center"/>
              <w:rPr>
                <w:rFonts w:hint="eastAsia" w:ascii="宋体" w:hAnsi="宋体" w:eastAsia="宋体" w:cs="宋体"/>
                <w:color w:val="auto"/>
                <w:highlight w:val="none"/>
              </w:rPr>
            </w:pPr>
            <w:bookmarkStart w:id="221" w:name="_Toc173211902"/>
            <w:bookmarkStart w:id="222" w:name="_Toc254970590"/>
            <w:bookmarkStart w:id="223" w:name="_Toc173066403"/>
            <w:bookmarkStart w:id="224" w:name="_Toc254970731"/>
            <w:r>
              <w:rPr>
                <w:rFonts w:hint="eastAsia" w:ascii="宋体" w:hAnsi="宋体" w:eastAsia="宋体" w:cs="宋体"/>
                <w:color w:val="auto"/>
                <w:highlight w:val="none"/>
              </w:rPr>
              <w:t>竞争性磋商响应文件具体响应</w:t>
            </w:r>
            <w:bookmarkEnd w:id="221"/>
            <w:bookmarkEnd w:id="222"/>
            <w:bookmarkEnd w:id="223"/>
            <w:bookmarkEnd w:id="224"/>
          </w:p>
        </w:tc>
        <w:tc>
          <w:tcPr>
            <w:tcW w:w="1805" w:type="dxa"/>
            <w:vAlign w:val="center"/>
          </w:tcPr>
          <w:p>
            <w:pPr>
              <w:jc w:val="center"/>
              <w:rPr>
                <w:rFonts w:hint="eastAsia" w:ascii="宋体" w:hAnsi="宋体" w:eastAsia="宋体" w:cs="宋体"/>
                <w:color w:val="auto"/>
                <w:highlight w:val="none"/>
              </w:rPr>
            </w:pPr>
            <w:bookmarkStart w:id="225" w:name="_Toc173211903"/>
            <w:bookmarkStart w:id="226" w:name="_Toc254970591"/>
            <w:bookmarkStart w:id="227" w:name="_Toc173066404"/>
            <w:bookmarkStart w:id="228" w:name="_Toc254970732"/>
            <w:r>
              <w:rPr>
                <w:rFonts w:hint="eastAsia" w:ascii="宋体" w:hAnsi="宋体" w:eastAsia="宋体" w:cs="宋体"/>
                <w:color w:val="auto"/>
                <w:highlight w:val="none"/>
              </w:rPr>
              <w:t>响应/偏离</w:t>
            </w:r>
            <w:bookmarkEnd w:id="225"/>
            <w:bookmarkEnd w:id="226"/>
            <w:bookmarkEnd w:id="227"/>
            <w:bookmarkEnd w:id="228"/>
          </w:p>
        </w:tc>
        <w:tc>
          <w:tcPr>
            <w:tcW w:w="1618" w:type="dxa"/>
            <w:vAlign w:val="center"/>
          </w:tcPr>
          <w:p>
            <w:pPr>
              <w:jc w:val="center"/>
              <w:rPr>
                <w:rFonts w:hint="eastAsia" w:ascii="宋体" w:hAnsi="宋体" w:eastAsia="宋体" w:cs="宋体"/>
                <w:color w:val="auto"/>
                <w:highlight w:val="none"/>
              </w:rPr>
            </w:pPr>
            <w:bookmarkStart w:id="229" w:name="_Toc254970592"/>
            <w:bookmarkStart w:id="230" w:name="_Toc173211904"/>
            <w:bookmarkStart w:id="231" w:name="_Toc254970733"/>
            <w:bookmarkStart w:id="232" w:name="_Toc173066405"/>
            <w:r>
              <w:rPr>
                <w:rFonts w:hint="eastAsia" w:ascii="宋体" w:hAnsi="宋体" w:eastAsia="宋体" w:cs="宋体"/>
                <w:color w:val="auto"/>
                <w:highlight w:val="none"/>
              </w:rPr>
              <w:t>说明</w:t>
            </w:r>
            <w:bookmarkEnd w:id="229"/>
            <w:bookmarkEnd w:id="230"/>
            <w:bookmarkEnd w:id="231"/>
            <w:bookmarkEnd w:id="232"/>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0"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666"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2154"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2250"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1805"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1618"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0"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666"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2154"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2250"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1805"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1618"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0"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666"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2154"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2250"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1805"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1618"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700"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666"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2154"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2250" w:type="dxa"/>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1805" w:type="dxa"/>
            <w:tcBorders>
              <w:right w:val="single" w:color="auto" w:sz="4" w:space="0"/>
            </w:tcBorders>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c>
          <w:tcPr>
            <w:tcW w:w="1618" w:type="dxa"/>
            <w:tcBorders>
              <w:left w:val="single" w:color="auto" w:sz="4" w:space="0"/>
            </w:tcBorders>
            <w:vAlign w:val="center"/>
          </w:tcPr>
          <w:p>
            <w:pPr>
              <w:adjustRightInd w:val="0"/>
              <w:snapToGrid w:val="0"/>
              <w:spacing w:line="300" w:lineRule="auto"/>
              <w:jc w:val="center"/>
              <w:outlineLvl w:val="0"/>
              <w:rPr>
                <w:rFonts w:hint="eastAsia" w:ascii="宋体" w:hAnsi="宋体" w:eastAsia="宋体" w:cs="宋体"/>
                <w:color w:val="auto"/>
                <w:szCs w:val="21"/>
                <w:highlight w:val="none"/>
              </w:rPr>
            </w:pPr>
          </w:p>
        </w:tc>
      </w:tr>
    </w:tbl>
    <w:p>
      <w:pPr>
        <w:spacing w:line="340" w:lineRule="exact"/>
        <w:rPr>
          <w:rFonts w:hint="eastAsia" w:ascii="宋体" w:hAnsi="宋体" w:eastAsia="宋体" w:cs="宋体"/>
          <w:color w:val="auto"/>
          <w:szCs w:val="21"/>
          <w:highlight w:val="none"/>
        </w:rPr>
      </w:pPr>
    </w:p>
    <w:p>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CA证书签章</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cs="宋体"/>
          <w:color w:val="auto"/>
          <w:szCs w:val="21"/>
          <w:highlight w:val="none"/>
          <w:lang w:val="en-US" w:eastAsia="zh-CN"/>
        </w:rPr>
        <w:t>CA证书签章</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pPr>
        <w:spacing w:line="340" w:lineRule="exact"/>
        <w:rPr>
          <w:rFonts w:hint="eastAsia" w:ascii="宋体" w:hAnsi="宋体" w:eastAsia="宋体" w:cs="宋体"/>
          <w:color w:val="auto"/>
          <w:highlight w:val="none"/>
        </w:rPr>
      </w:pPr>
    </w:p>
    <w:p>
      <w:pPr>
        <w:snapToGrid w:val="0"/>
        <w:spacing w:line="400" w:lineRule="exact"/>
        <w:ind w:firstLine="1680" w:firstLineChars="800"/>
        <w:rPr>
          <w:rFonts w:hint="eastAsia" w:ascii="宋体" w:hAnsi="宋体" w:eastAsia="宋体" w:cs="宋体"/>
          <w:color w:val="auto"/>
          <w:highlight w:val="none"/>
        </w:rPr>
      </w:pPr>
    </w:p>
    <w:p>
      <w:pPr>
        <w:snapToGrid w:val="0"/>
        <w:spacing w:line="400" w:lineRule="exact"/>
        <w:ind w:firstLine="1680" w:firstLineChars="800"/>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pPr>
        <w:ind w:firstLine="1890" w:firstLineChars="900"/>
        <w:rPr>
          <w:rFonts w:hint="eastAsia" w:ascii="宋体" w:hAnsi="宋体" w:eastAsia="宋体" w:cs="宋体"/>
          <w:color w:val="auto"/>
          <w:highlight w:val="none"/>
          <w:u w:val="single"/>
        </w:rPr>
      </w:pPr>
    </w:p>
    <w:p>
      <w:pPr>
        <w:ind w:firstLine="1890" w:firstLineChars="900"/>
        <w:rPr>
          <w:rFonts w:hint="eastAsia" w:ascii="宋体" w:hAnsi="宋体" w:eastAsia="宋体" w:cs="宋体"/>
          <w:color w:val="auto"/>
          <w:highlight w:val="none"/>
          <w:u w:val="single"/>
        </w:rPr>
      </w:pPr>
    </w:p>
    <w:p>
      <w:pPr>
        <w:spacing w:line="400" w:lineRule="exact"/>
        <w:ind w:left="982" w:leftChars="200" w:hanging="562" w:hanging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w:t>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eastAsia="zh-CN"/>
        </w:rPr>
        <w:t>采购需求响应说明表</w:t>
      </w:r>
      <w:r>
        <w:rPr>
          <w:rFonts w:hint="eastAsia" w:ascii="宋体" w:hAnsi="宋体" w:eastAsia="宋体" w:cs="宋体"/>
          <w:b/>
          <w:color w:val="auto"/>
          <w:sz w:val="24"/>
          <w:highlight w:val="none"/>
        </w:rPr>
        <w:t>”</w:t>
      </w:r>
      <w:r>
        <w:rPr>
          <w:rFonts w:hint="eastAsia" w:ascii="宋体" w:hAnsi="宋体" w:cs="宋体"/>
          <w:b/>
          <w:color w:val="auto"/>
          <w:sz w:val="24"/>
          <w:highlight w:val="none"/>
          <w:lang w:eastAsia="zh-CN"/>
        </w:rPr>
        <w:t>包含商务要求，</w:t>
      </w:r>
      <w:r>
        <w:rPr>
          <w:rFonts w:hint="eastAsia" w:ascii="宋体" w:hAnsi="宋体" w:eastAsia="宋体" w:cs="宋体"/>
          <w:b/>
          <w:color w:val="auto"/>
          <w:sz w:val="24"/>
          <w:highlight w:val="none"/>
        </w:rPr>
        <w:t>各项内容必须如实填写。</w:t>
      </w:r>
    </w:p>
    <w:p>
      <w:pPr>
        <w:spacing w:line="400" w:lineRule="exact"/>
        <w:ind w:firstLine="964" w:firstLineChars="400"/>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2.当本表由多页构成时，需逐页加盖</w:t>
      </w: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供应商CA证书签章（属自然人的须逐页签字</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lang w:val="en-US" w:eastAsia="zh-CN"/>
        </w:rPr>
        <w:t>个人</w:t>
      </w:r>
      <w:r>
        <w:rPr>
          <w:rFonts w:hint="eastAsia" w:ascii="宋体" w:hAnsi="宋体" w:cs="宋体"/>
          <w:b/>
          <w:color w:val="auto"/>
          <w:sz w:val="24"/>
          <w:highlight w:val="none"/>
          <w:lang w:val="en-US" w:eastAsia="zh-CN"/>
        </w:rPr>
        <w:t>CA证书签章</w:t>
      </w:r>
      <w:r>
        <w:rPr>
          <w:rFonts w:hint="eastAsia" w:ascii="宋体" w:hAnsi="宋体" w:eastAsia="宋体" w:cs="宋体"/>
          <w:b/>
          <w:color w:val="auto"/>
          <w:sz w:val="24"/>
          <w:highlight w:val="none"/>
        </w:rPr>
        <w:t>）。</w:t>
      </w: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9"/>
        <w:rPr>
          <w:rFonts w:hint="eastAsia" w:ascii="宋体" w:hAnsi="宋体" w:eastAsia="宋体" w:cs="宋体"/>
          <w:color w:val="auto"/>
          <w:highlight w:val="none"/>
        </w:rPr>
      </w:pPr>
    </w:p>
    <w:p>
      <w:pPr>
        <w:pStyle w:val="39"/>
        <w:rPr>
          <w:rFonts w:hint="eastAsia" w:ascii="宋体" w:hAnsi="宋体" w:eastAsia="宋体" w:cs="宋体"/>
          <w:color w:val="auto"/>
          <w:highlight w:val="none"/>
        </w:rPr>
      </w:pPr>
    </w:p>
    <w:p>
      <w:pPr>
        <w:pStyle w:val="39"/>
        <w:rPr>
          <w:rFonts w:hint="eastAsia" w:ascii="宋体" w:hAnsi="宋体" w:eastAsia="宋体" w:cs="宋体"/>
          <w:color w:val="auto"/>
          <w:highlight w:val="none"/>
        </w:rPr>
      </w:pPr>
    </w:p>
    <w:p>
      <w:pPr>
        <w:pStyle w:val="39"/>
        <w:rPr>
          <w:rFonts w:hint="eastAsia" w:ascii="宋体" w:hAnsi="宋体" w:eastAsia="宋体" w:cs="宋体"/>
          <w:color w:val="auto"/>
          <w:highlight w:val="none"/>
        </w:rPr>
      </w:pPr>
    </w:p>
    <w:p>
      <w:pPr>
        <w:pStyle w:val="39"/>
        <w:rPr>
          <w:rFonts w:hint="eastAsia" w:ascii="宋体" w:hAnsi="宋体" w:eastAsia="宋体" w:cs="宋体"/>
          <w:color w:val="auto"/>
          <w:highlight w:val="none"/>
        </w:rPr>
      </w:pPr>
    </w:p>
    <w:p>
      <w:pPr>
        <w:pStyle w:val="39"/>
        <w:rPr>
          <w:rFonts w:hint="eastAsia" w:ascii="宋体" w:hAnsi="宋体" w:eastAsia="宋体" w:cs="宋体"/>
          <w:color w:val="auto"/>
          <w:highlight w:val="none"/>
        </w:rPr>
      </w:pPr>
    </w:p>
    <w:p>
      <w:pPr>
        <w:pStyle w:val="39"/>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1"/>
        <w:rPr>
          <w:rFonts w:hint="eastAsia"/>
          <w:color w:val="auto"/>
          <w:highlight w:val="none"/>
        </w:rPr>
      </w:pPr>
    </w:p>
    <w:p>
      <w:pPr>
        <w:pStyle w:val="10"/>
        <w:rPr>
          <w:rFonts w:hint="eastAsia" w:ascii="宋体" w:hAnsi="宋体" w:eastAsia="宋体" w:cs="宋体"/>
          <w:color w:val="auto"/>
          <w:highlight w:val="none"/>
        </w:rPr>
      </w:pPr>
    </w:p>
    <w:p>
      <w:pPr>
        <w:pStyle w:val="16"/>
        <w:numPr>
          <w:ilvl w:val="0"/>
          <w:numId w:val="0"/>
        </w:numPr>
        <w:spacing w:line="340" w:lineRule="exact"/>
        <w:ind w:leftChars="0"/>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w:t>
      </w:r>
      <w:r>
        <w:rPr>
          <w:rFonts w:hint="eastAsia" w:hAnsi="宋体" w:cs="宋体"/>
          <w:b/>
          <w:color w:val="auto"/>
          <w:sz w:val="28"/>
          <w:szCs w:val="28"/>
          <w:highlight w:val="none"/>
          <w:lang w:eastAsia="zh-CN"/>
        </w:rPr>
        <w:t>售后服务承诺书</w:t>
      </w:r>
      <w:r>
        <w:rPr>
          <w:rFonts w:hint="eastAsia" w:ascii="宋体" w:hAnsi="宋体" w:eastAsia="宋体" w:cs="宋体"/>
          <w:b/>
          <w:color w:val="auto"/>
          <w:sz w:val="28"/>
          <w:szCs w:val="28"/>
          <w:highlight w:val="none"/>
        </w:rPr>
        <w:t>（必须提供）；</w:t>
      </w:r>
    </w:p>
    <w:p>
      <w:pPr>
        <w:rPr>
          <w:rFonts w:hint="eastAsia" w:ascii="宋体" w:hAnsi="宋体" w:eastAsia="宋体" w:cs="宋体"/>
          <w:color w:val="auto"/>
          <w:highlight w:val="none"/>
        </w:rPr>
      </w:pPr>
    </w:p>
    <w:p>
      <w:pPr>
        <w:pStyle w:val="16"/>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pPr>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6"/>
        <w:spacing w:line="340" w:lineRule="exact"/>
        <w:jc w:val="center"/>
        <w:rPr>
          <w:rFonts w:hint="eastAsia" w:ascii="宋体" w:hAnsi="宋体" w:eastAsia="宋体" w:cs="宋体"/>
          <w:b/>
          <w:color w:val="auto"/>
          <w:sz w:val="32"/>
          <w:szCs w:val="32"/>
          <w:highlight w:val="none"/>
        </w:rPr>
      </w:pPr>
      <w:r>
        <w:rPr>
          <w:rFonts w:hint="eastAsia" w:hAnsi="宋体" w:cs="宋体"/>
          <w:b/>
          <w:color w:val="auto"/>
          <w:sz w:val="32"/>
          <w:szCs w:val="32"/>
          <w:highlight w:val="none"/>
          <w:lang w:eastAsia="zh-CN"/>
        </w:rPr>
        <w:t>售后服务承诺书</w:t>
      </w:r>
      <w:r>
        <w:rPr>
          <w:rFonts w:hint="eastAsia" w:ascii="宋体" w:hAnsi="宋体" w:eastAsia="宋体" w:cs="宋体"/>
          <w:b/>
          <w:color w:val="auto"/>
          <w:sz w:val="32"/>
          <w:szCs w:val="32"/>
          <w:highlight w:val="none"/>
        </w:rPr>
        <w:t>（格式）</w:t>
      </w:r>
    </w:p>
    <w:p>
      <w:pPr>
        <w:pStyle w:val="16"/>
        <w:spacing w:line="340" w:lineRule="exact"/>
        <w:jc w:val="center"/>
        <w:rPr>
          <w:rFonts w:hint="eastAsia" w:ascii="宋体" w:hAnsi="宋体" w:eastAsia="宋体" w:cs="宋体"/>
          <w:b/>
          <w:color w:val="auto"/>
          <w:sz w:val="32"/>
          <w:szCs w:val="32"/>
          <w:highlight w:val="none"/>
        </w:rPr>
      </w:pPr>
    </w:p>
    <w:p>
      <w:pPr>
        <w:pStyle w:val="16"/>
        <w:spacing w:line="340" w:lineRule="exact"/>
        <w:jc w:val="center"/>
        <w:rPr>
          <w:rFonts w:hint="eastAsia" w:ascii="宋体" w:hAnsi="宋体" w:eastAsia="宋体" w:cs="宋体"/>
          <w:b/>
          <w:color w:val="auto"/>
          <w:sz w:val="32"/>
          <w:szCs w:val="32"/>
          <w:highlight w:val="none"/>
        </w:rPr>
      </w:pPr>
    </w:p>
    <w:p>
      <w:pPr>
        <w:pStyle w:val="16"/>
        <w:spacing w:line="340" w:lineRule="exact"/>
        <w:jc w:val="center"/>
        <w:rPr>
          <w:rFonts w:hint="eastAsia" w:ascii="宋体" w:hAnsi="宋体" w:eastAsia="宋体" w:cs="宋体"/>
          <w:b/>
          <w:color w:val="auto"/>
          <w:sz w:val="32"/>
          <w:szCs w:val="32"/>
          <w:highlight w:val="none"/>
        </w:rPr>
      </w:pPr>
    </w:p>
    <w:p>
      <w:pPr>
        <w:rPr>
          <w:rFonts w:hint="eastAsia" w:ascii="宋体" w:hAnsi="宋体" w:eastAsia="宋体" w:cs="宋体"/>
          <w:b/>
          <w:color w:val="auto"/>
          <w:sz w:val="32"/>
          <w:szCs w:val="32"/>
          <w:highlight w:val="none"/>
        </w:rPr>
      </w:pPr>
    </w:p>
    <w:p>
      <w:pPr>
        <w:pStyle w:val="10"/>
        <w:rPr>
          <w:rFonts w:hint="eastAsia" w:ascii="宋体" w:hAnsi="宋体" w:eastAsia="宋体" w:cs="宋体"/>
          <w:color w:val="auto"/>
          <w:highlight w:val="none"/>
        </w:rPr>
      </w:pPr>
    </w:p>
    <w:p>
      <w:pPr>
        <w:pStyle w:val="10"/>
        <w:rPr>
          <w:rFonts w:hint="eastAsia" w:ascii="宋体" w:hAnsi="宋体" w:eastAsia="宋体" w:cs="宋体"/>
          <w:b/>
          <w:color w:val="auto"/>
          <w:sz w:val="32"/>
          <w:szCs w:val="32"/>
          <w:highlight w:val="none"/>
        </w:rPr>
      </w:pPr>
    </w:p>
    <w:p>
      <w:pPr>
        <w:pStyle w:val="16"/>
        <w:spacing w:line="340" w:lineRule="exact"/>
        <w:jc w:val="center"/>
        <w:rPr>
          <w:rFonts w:hint="eastAsia" w:ascii="宋体" w:hAnsi="宋体" w:eastAsia="宋体" w:cs="宋体"/>
          <w:b/>
          <w:color w:val="auto"/>
          <w:sz w:val="32"/>
          <w:szCs w:val="32"/>
          <w:highlight w:val="none"/>
        </w:rPr>
      </w:pPr>
    </w:p>
    <w:p>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CA证书签章</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cs="宋体"/>
          <w:color w:val="auto"/>
          <w:szCs w:val="21"/>
          <w:highlight w:val="none"/>
          <w:lang w:val="en-US" w:eastAsia="zh-CN"/>
        </w:rPr>
        <w:t>CA证书签章</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pPr>
        <w:bidi w:val="0"/>
        <w:rPr>
          <w:rFonts w:hint="eastAsia"/>
          <w:color w:val="auto"/>
          <w:highlight w:val="none"/>
        </w:rPr>
      </w:pPr>
    </w:p>
    <w:p>
      <w:pPr>
        <w:snapToGrid w:val="0"/>
        <w:spacing w:line="400" w:lineRule="exact"/>
        <w:ind w:firstLine="1680" w:firstLineChars="800"/>
        <w:rPr>
          <w:rFonts w:hint="eastAsia" w:ascii="宋体" w:hAnsi="宋体" w:eastAsia="宋体" w:cs="宋体"/>
          <w:color w:val="auto"/>
          <w:highlight w:val="none"/>
          <w:u w:val="single"/>
        </w:rPr>
        <w:sectPr>
          <w:pgSz w:w="11906" w:h="16838"/>
          <w:pgMar w:top="1440" w:right="935" w:bottom="1440" w:left="777" w:header="851" w:footer="992" w:gutter="0"/>
          <w:pgNumType w:fmt="decimal"/>
          <w:cols w:space="720" w:num="1"/>
          <w:rtlGutter w:val="0"/>
          <w:docGrid w:type="lines" w:linePitch="312" w:charSpace="0"/>
        </w:sect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宋体" w:hAnsi="宋体" w:eastAsia="宋体" w:cs="宋体"/>
          <w:color w:val="auto"/>
          <w:szCs w:val="21"/>
          <w:highlight w:val="none"/>
        </w:rPr>
      </w:pPr>
      <w:bookmarkStart w:id="233" w:name="_Toc28672"/>
      <w:bookmarkStart w:id="234" w:name="_Toc497927084"/>
      <w:bookmarkStart w:id="235" w:name="_Toc9339"/>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233"/>
      <w:bookmarkEnd w:id="234"/>
      <w:bookmarkEnd w:id="235"/>
    </w:p>
    <w:p>
      <w:pPr>
        <w:spacing w:line="360" w:lineRule="auto"/>
        <w:ind w:firstLine="480" w:firstLineChars="200"/>
        <w:rPr>
          <w:rFonts w:hint="eastAsia" w:ascii="宋体" w:hAnsi="宋体" w:eastAsia="宋体" w:cs="宋体"/>
          <w:b/>
          <w:bCs/>
          <w:color w:val="auto"/>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项目实施人员一览表</w:t>
      </w:r>
      <w:r>
        <w:rPr>
          <w:rFonts w:hint="eastAsia" w:ascii="宋体" w:hAnsi="宋体" w:eastAsia="宋体" w:cs="宋体"/>
          <w:b w:val="0"/>
          <w:bCs w:val="0"/>
          <w:color w:val="auto"/>
          <w:sz w:val="24"/>
          <w:highlight w:val="none"/>
        </w:rPr>
        <w:t>（格式见附件）</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如有，请提供</w:t>
      </w:r>
      <w:r>
        <w:rPr>
          <w:rFonts w:hint="eastAsia" w:ascii="宋体" w:hAnsi="宋体" w:cs="宋体"/>
          <w:b/>
          <w:bCs/>
          <w:color w:val="auto"/>
          <w:sz w:val="24"/>
          <w:highlight w:val="none"/>
          <w:lang w:eastAsia="zh-CN"/>
        </w:rPr>
        <w:t>）</w:t>
      </w:r>
    </w:p>
    <w:p>
      <w:pPr>
        <w:numPr>
          <w:ilvl w:val="0"/>
          <w:numId w:val="0"/>
        </w:numPr>
        <w:spacing w:line="360" w:lineRule="auto"/>
        <w:ind w:firstLine="480" w:firstLineChars="200"/>
        <w:jc w:val="left"/>
        <w:rPr>
          <w:rFonts w:hint="eastAsia" w:ascii="宋体" w:hAnsi="宋体" w:eastAsia="宋体" w:cs="宋体"/>
          <w:b/>
          <w:bCs/>
          <w:color w:val="auto"/>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“采购需求”需提供的有效证明文件</w:t>
      </w:r>
      <w:r>
        <w:rPr>
          <w:rFonts w:hint="eastAsia" w:ascii="宋体" w:hAnsi="宋体" w:eastAsia="宋体" w:cs="宋体"/>
          <w:b/>
          <w:bCs/>
          <w:color w:val="auto"/>
          <w:sz w:val="24"/>
          <w:highlight w:val="none"/>
        </w:rPr>
        <w:t>（如有，请提供）；</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w:t>
      </w:r>
      <w:r>
        <w:rPr>
          <w:rFonts w:hint="eastAsia" w:ascii="宋体" w:hAnsi="宋体" w:cs="宋体"/>
          <w:color w:val="auto"/>
          <w:sz w:val="24"/>
          <w:highlight w:val="none"/>
          <w:lang w:eastAsia="zh-CN"/>
        </w:rPr>
        <w:t>2019年1月1日</w:t>
      </w:r>
      <w:r>
        <w:rPr>
          <w:rFonts w:hint="eastAsia" w:ascii="宋体" w:hAnsi="宋体" w:eastAsia="宋体" w:cs="宋体"/>
          <w:color w:val="auto"/>
          <w:sz w:val="24"/>
          <w:highlight w:val="none"/>
        </w:rPr>
        <w:t>以来具有同类</w:t>
      </w:r>
      <w:r>
        <w:rPr>
          <w:rFonts w:hint="eastAsia" w:ascii="宋体" w:hAnsi="宋体" w:cs="宋体"/>
          <w:color w:val="auto"/>
          <w:sz w:val="24"/>
          <w:highlight w:val="none"/>
          <w:lang w:eastAsia="zh-CN"/>
        </w:rPr>
        <w:t>项目</w:t>
      </w:r>
      <w:r>
        <w:rPr>
          <w:rFonts w:hint="eastAsia" w:ascii="宋体" w:hAnsi="宋体" w:eastAsia="宋体" w:cs="宋体"/>
          <w:color w:val="auto"/>
          <w:sz w:val="24"/>
          <w:highlight w:val="none"/>
        </w:rPr>
        <w:t>业绩相关证明材料（无不良记录，以</w:t>
      </w:r>
      <w:r>
        <w:rPr>
          <w:rFonts w:hint="eastAsia" w:ascii="宋体" w:hAnsi="宋体" w:cs="宋体"/>
          <w:color w:val="auto"/>
          <w:sz w:val="24"/>
          <w:highlight w:val="none"/>
          <w:lang w:eastAsia="zh-CN"/>
        </w:rPr>
        <w:t>中标</w:t>
      </w:r>
      <w:r>
        <w:rPr>
          <w:rFonts w:hint="eastAsia" w:ascii="宋体" w:hAnsi="宋体" w:eastAsia="宋体" w:cs="宋体"/>
          <w:color w:val="auto"/>
          <w:sz w:val="24"/>
          <w:highlight w:val="none"/>
        </w:rPr>
        <w:t>、成交通知书或签订的合同为准，并能清晰反映</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的名称、</w:t>
      </w:r>
      <w:r>
        <w:rPr>
          <w:rFonts w:hint="eastAsia" w:ascii="宋体" w:hAnsi="宋体" w:eastAsia="宋体" w:cs="宋体"/>
          <w:color w:val="auto"/>
          <w:sz w:val="24"/>
          <w:highlight w:val="none"/>
          <w:lang w:eastAsia="zh-CN"/>
        </w:rPr>
        <w:t>采购内容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金额</w:t>
      </w:r>
      <w:r>
        <w:rPr>
          <w:rFonts w:hint="eastAsia" w:ascii="宋体" w:hAnsi="宋体" w:eastAsia="宋体" w:cs="宋体"/>
          <w:color w:val="auto"/>
          <w:sz w:val="24"/>
          <w:highlight w:val="none"/>
          <w:lang w:eastAsia="zh-CN"/>
        </w:rPr>
        <w:t>、采购时间</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（如有，请提供）；</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供应商可结合本项目的评审办法视自身情况自行提交其它相关证明材料。</w:t>
      </w:r>
    </w:p>
    <w:p>
      <w:pPr>
        <w:spacing w:line="360" w:lineRule="auto"/>
        <w:ind w:firstLine="480" w:firstLineChars="200"/>
        <w:rPr>
          <w:rFonts w:hint="eastAsia" w:ascii="宋体" w:hAnsi="宋体" w:eastAsia="宋体" w:cs="宋体"/>
          <w:color w:val="auto"/>
          <w:sz w:val="24"/>
          <w:highlight w:val="none"/>
        </w:rPr>
      </w:pPr>
    </w:p>
    <w:p>
      <w:pPr>
        <w:pStyle w:val="39"/>
        <w:rPr>
          <w:rFonts w:hint="eastAsia" w:ascii="宋体" w:hAnsi="宋体" w:eastAsia="宋体" w:cs="宋体"/>
          <w:b/>
          <w:bCs/>
          <w:color w:val="auto"/>
          <w:sz w:val="24"/>
          <w:highlight w:val="none"/>
        </w:rPr>
      </w:pPr>
    </w:p>
    <w:p>
      <w:pPr>
        <w:pStyle w:val="39"/>
        <w:rPr>
          <w:rFonts w:hint="eastAsia" w:ascii="宋体" w:hAnsi="宋体" w:eastAsia="宋体" w:cs="宋体"/>
          <w:b/>
          <w:bCs/>
          <w:color w:val="auto"/>
          <w:sz w:val="24"/>
          <w:highlight w:val="none"/>
        </w:rPr>
      </w:pPr>
    </w:p>
    <w:p>
      <w:pPr>
        <w:pStyle w:val="39"/>
        <w:rPr>
          <w:rFonts w:hint="eastAsia" w:ascii="宋体" w:hAnsi="宋体" w:eastAsia="宋体" w:cs="宋体"/>
          <w:b/>
          <w:bCs/>
          <w:color w:val="auto"/>
          <w:sz w:val="24"/>
          <w:highlight w:val="none"/>
        </w:rPr>
      </w:pPr>
    </w:p>
    <w:p>
      <w:pPr>
        <w:pStyle w:val="39"/>
        <w:rPr>
          <w:rFonts w:hint="eastAsia" w:ascii="宋体" w:hAnsi="宋体" w:eastAsia="宋体" w:cs="宋体"/>
          <w:b/>
          <w:bCs/>
          <w:color w:val="auto"/>
          <w:sz w:val="24"/>
          <w:highlight w:val="none"/>
        </w:rPr>
      </w:pPr>
    </w:p>
    <w:p>
      <w:pPr>
        <w:pStyle w:val="39"/>
        <w:rPr>
          <w:rFonts w:hint="eastAsia" w:ascii="宋体" w:hAnsi="宋体" w:eastAsia="宋体" w:cs="宋体"/>
          <w:b/>
          <w:bCs/>
          <w:color w:val="auto"/>
          <w:sz w:val="24"/>
          <w:highlight w:val="none"/>
        </w:rPr>
      </w:pPr>
    </w:p>
    <w:p>
      <w:pPr>
        <w:pStyle w:val="39"/>
        <w:rPr>
          <w:rFonts w:hint="eastAsia" w:ascii="宋体" w:hAnsi="宋体" w:eastAsia="宋体" w:cs="宋体"/>
          <w:b/>
          <w:bCs/>
          <w:color w:val="auto"/>
          <w:sz w:val="24"/>
          <w:highlight w:val="none"/>
        </w:rPr>
      </w:pPr>
    </w:p>
    <w:p>
      <w:pPr>
        <w:pStyle w:val="39"/>
        <w:rPr>
          <w:rFonts w:hint="eastAsia" w:ascii="宋体" w:hAnsi="宋体" w:eastAsia="宋体" w:cs="宋体"/>
          <w:b/>
          <w:bCs/>
          <w:color w:val="auto"/>
          <w:sz w:val="24"/>
          <w:highlight w:val="none"/>
        </w:rPr>
      </w:pPr>
    </w:p>
    <w:p>
      <w:pPr>
        <w:pStyle w:val="39"/>
        <w:rPr>
          <w:rFonts w:hint="eastAsia" w:ascii="宋体" w:hAnsi="宋体" w:eastAsia="宋体" w:cs="宋体"/>
          <w:b/>
          <w:bCs/>
          <w:color w:val="auto"/>
          <w:sz w:val="24"/>
          <w:highlight w:val="none"/>
        </w:rPr>
      </w:pPr>
    </w:p>
    <w:p>
      <w:pPr>
        <w:pStyle w:val="2"/>
        <w:ind w:left="0" w:leftChars="0" w:firstLine="0" w:firstLineChars="0"/>
        <w:rPr>
          <w:rFonts w:hint="eastAsia" w:ascii="宋体" w:hAnsi="宋体" w:eastAsia="宋体" w:cs="宋体"/>
          <w:b/>
          <w:color w:val="auto"/>
          <w:kern w:val="2"/>
          <w:sz w:val="28"/>
          <w:szCs w:val="28"/>
          <w:highlight w:val="none"/>
          <w:lang w:val="en-US" w:eastAsia="zh-CN" w:bidi="ar-SA"/>
        </w:rPr>
      </w:pPr>
    </w:p>
    <w:p>
      <w:pPr>
        <w:pStyle w:val="2"/>
        <w:ind w:left="0" w:leftChars="0" w:firstLine="0" w:firstLineChars="0"/>
        <w:rPr>
          <w:rFonts w:hint="eastAsia" w:ascii="宋体" w:hAnsi="宋体" w:eastAsia="宋体" w:cs="宋体"/>
          <w:b/>
          <w:color w:val="auto"/>
          <w:kern w:val="2"/>
          <w:sz w:val="28"/>
          <w:szCs w:val="28"/>
          <w:highlight w:val="none"/>
          <w:lang w:val="en-US" w:eastAsia="zh-CN" w:bidi="ar-SA"/>
        </w:rPr>
      </w:pPr>
    </w:p>
    <w:p>
      <w:pPr>
        <w:pStyle w:val="2"/>
        <w:ind w:left="0" w:leftChars="0" w:firstLine="0" w:firstLineChars="0"/>
        <w:rPr>
          <w:rFonts w:hint="eastAsia" w:ascii="宋体" w:hAnsi="宋体" w:eastAsia="宋体" w:cs="宋体"/>
          <w:b/>
          <w:color w:val="auto"/>
          <w:kern w:val="2"/>
          <w:sz w:val="28"/>
          <w:szCs w:val="28"/>
          <w:highlight w:val="none"/>
          <w:lang w:val="en-US" w:eastAsia="zh-CN" w:bidi="ar-SA"/>
        </w:rPr>
      </w:pPr>
    </w:p>
    <w:p>
      <w:pPr>
        <w:pStyle w:val="2"/>
        <w:ind w:left="0" w:leftChars="0" w:firstLine="0" w:firstLineChars="0"/>
        <w:rPr>
          <w:rFonts w:hint="eastAsia" w:ascii="宋体" w:hAnsi="宋体" w:eastAsia="宋体" w:cs="宋体"/>
          <w:b/>
          <w:color w:val="auto"/>
          <w:kern w:val="2"/>
          <w:sz w:val="28"/>
          <w:szCs w:val="28"/>
          <w:highlight w:val="none"/>
          <w:lang w:val="en-US" w:eastAsia="zh-CN" w:bidi="ar-SA"/>
        </w:rPr>
      </w:pPr>
    </w:p>
    <w:p>
      <w:pPr>
        <w:pStyle w:val="2"/>
        <w:ind w:left="0" w:leftChars="0" w:firstLine="0" w:firstLineChars="0"/>
        <w:rPr>
          <w:rFonts w:hint="eastAsia" w:ascii="宋体" w:hAnsi="宋体" w:eastAsia="宋体" w:cs="宋体"/>
          <w:b/>
          <w:color w:val="auto"/>
          <w:kern w:val="2"/>
          <w:sz w:val="28"/>
          <w:szCs w:val="28"/>
          <w:highlight w:val="none"/>
          <w:lang w:val="en-US" w:eastAsia="zh-CN" w:bidi="ar-SA"/>
        </w:rPr>
      </w:pPr>
    </w:p>
    <w:p>
      <w:pPr>
        <w:pStyle w:val="2"/>
        <w:ind w:left="0" w:leftChars="0" w:firstLine="0" w:firstLineChars="0"/>
        <w:rPr>
          <w:rFonts w:hint="eastAsia" w:ascii="宋体" w:hAnsi="宋体" w:eastAsia="宋体" w:cs="宋体"/>
          <w:b/>
          <w:color w:val="auto"/>
          <w:kern w:val="2"/>
          <w:sz w:val="28"/>
          <w:szCs w:val="28"/>
          <w:highlight w:val="none"/>
          <w:lang w:val="en-US" w:eastAsia="zh-CN" w:bidi="ar-SA"/>
        </w:rPr>
      </w:pPr>
    </w:p>
    <w:p>
      <w:pPr>
        <w:pStyle w:val="2"/>
        <w:ind w:left="0" w:leftChars="0" w:firstLine="0" w:firstLineChars="0"/>
        <w:rPr>
          <w:rFonts w:hint="eastAsia" w:ascii="宋体" w:hAnsi="宋体" w:eastAsia="宋体" w:cs="宋体"/>
          <w:b/>
          <w:color w:val="auto"/>
          <w:kern w:val="2"/>
          <w:sz w:val="28"/>
          <w:szCs w:val="28"/>
          <w:highlight w:val="none"/>
          <w:lang w:val="en-US" w:eastAsia="zh-CN" w:bidi="ar-SA"/>
        </w:rPr>
      </w:pPr>
    </w:p>
    <w:p>
      <w:pPr>
        <w:pStyle w:val="2"/>
        <w:ind w:left="0" w:leftChars="0" w:firstLine="0" w:firstLineChars="0"/>
        <w:rPr>
          <w:rFonts w:hint="eastAsia" w:ascii="宋体" w:hAnsi="宋体" w:eastAsia="宋体" w:cs="宋体"/>
          <w:b/>
          <w:color w:val="auto"/>
          <w:kern w:val="2"/>
          <w:sz w:val="28"/>
          <w:szCs w:val="28"/>
          <w:highlight w:val="none"/>
          <w:lang w:val="en-US" w:eastAsia="zh-CN" w:bidi="ar-SA"/>
        </w:rPr>
      </w:pPr>
    </w:p>
    <w:p>
      <w:pPr>
        <w:pStyle w:val="2"/>
        <w:ind w:left="0" w:leftChars="0" w:firstLine="0" w:firstLineChars="0"/>
        <w:rPr>
          <w:rFonts w:hint="eastAsia" w:ascii="宋体" w:hAnsi="宋体" w:eastAsia="宋体" w:cs="宋体"/>
          <w:b/>
          <w:color w:val="auto"/>
          <w:kern w:val="2"/>
          <w:sz w:val="28"/>
          <w:szCs w:val="28"/>
          <w:highlight w:val="none"/>
          <w:lang w:val="en-US" w:eastAsia="zh-CN" w:bidi="ar-SA"/>
        </w:rPr>
      </w:pPr>
    </w:p>
    <w:p>
      <w:pPr>
        <w:pStyle w:val="2"/>
        <w:ind w:left="0" w:leftChars="0" w:firstLine="0" w:firstLineChars="0"/>
        <w:rPr>
          <w:rFonts w:hint="eastAsia" w:ascii="宋体" w:hAnsi="宋体" w:eastAsia="宋体" w:cs="宋体"/>
          <w:b/>
          <w:color w:val="auto"/>
          <w:kern w:val="2"/>
          <w:sz w:val="28"/>
          <w:szCs w:val="28"/>
          <w:highlight w:val="none"/>
          <w:lang w:val="en-US" w:eastAsia="zh-CN" w:bidi="ar-SA"/>
        </w:rPr>
      </w:pPr>
    </w:p>
    <w:p>
      <w:pPr>
        <w:pStyle w:val="2"/>
        <w:ind w:left="0" w:leftChars="0" w:firstLine="0" w:firstLineChars="0"/>
        <w:rPr>
          <w:rFonts w:hint="eastAsia" w:ascii="宋体" w:hAnsi="宋体" w:eastAsia="宋体" w:cs="宋体"/>
          <w:b/>
          <w:color w:val="auto"/>
          <w:kern w:val="2"/>
          <w:sz w:val="28"/>
          <w:szCs w:val="28"/>
          <w:highlight w:val="none"/>
          <w:lang w:val="en-US" w:eastAsia="zh-CN" w:bidi="ar-SA"/>
        </w:rPr>
      </w:pPr>
    </w:p>
    <w:p>
      <w:pPr>
        <w:pStyle w:val="2"/>
        <w:ind w:left="0" w:leftChars="0" w:firstLine="0" w:firstLineChars="0"/>
        <w:rPr>
          <w:rFonts w:hint="eastAsia" w:ascii="宋体" w:hAnsi="宋体" w:eastAsia="宋体" w:cs="宋体"/>
          <w:b/>
          <w:color w:val="auto"/>
          <w:kern w:val="2"/>
          <w:sz w:val="28"/>
          <w:szCs w:val="28"/>
          <w:highlight w:val="none"/>
          <w:lang w:val="en-US" w:eastAsia="zh-CN" w:bidi="ar-SA"/>
        </w:rPr>
      </w:pPr>
    </w:p>
    <w:p>
      <w:pPr>
        <w:pStyle w:val="16"/>
        <w:spacing w:line="340" w:lineRule="exact"/>
        <w:rPr>
          <w:rFonts w:hint="eastAsia" w:hAnsi="宋体" w:cs="宋体"/>
          <w:b/>
          <w:color w:val="auto"/>
          <w:kern w:val="2"/>
          <w:sz w:val="28"/>
          <w:szCs w:val="28"/>
          <w:highlight w:val="none"/>
          <w:lang w:val="en-US" w:eastAsia="zh-CN" w:bidi="ar-SA"/>
        </w:rPr>
      </w:pPr>
    </w:p>
    <w:p>
      <w:pPr>
        <w:pStyle w:val="16"/>
        <w:spacing w:line="340" w:lineRule="exact"/>
        <w:rPr>
          <w:rFonts w:hint="eastAsia" w:ascii="宋体" w:hAnsi="宋体" w:eastAsia="宋体" w:cs="宋体"/>
          <w:b/>
          <w:color w:val="auto"/>
          <w:sz w:val="28"/>
          <w:szCs w:val="28"/>
          <w:highlight w:val="none"/>
        </w:rPr>
      </w:pPr>
      <w:r>
        <w:rPr>
          <w:rFonts w:hint="eastAsia" w:hAnsi="宋体" w:cs="宋体"/>
          <w:b/>
          <w:color w:val="auto"/>
          <w:kern w:val="2"/>
          <w:sz w:val="28"/>
          <w:szCs w:val="28"/>
          <w:highlight w:val="none"/>
          <w:lang w:val="en-US" w:eastAsia="zh-CN" w:bidi="ar-SA"/>
        </w:rPr>
        <w:t>1.</w:t>
      </w:r>
      <w:r>
        <w:rPr>
          <w:rFonts w:hint="eastAsia" w:ascii="宋体" w:hAnsi="宋体" w:eastAsia="宋体" w:cs="宋体"/>
          <w:b/>
          <w:color w:val="auto"/>
          <w:kern w:val="2"/>
          <w:sz w:val="28"/>
          <w:szCs w:val="28"/>
          <w:highlight w:val="none"/>
          <w:lang w:val="en-US" w:eastAsia="zh-CN" w:bidi="ar-SA"/>
        </w:rPr>
        <w:t>项目实施人员一览表 （如有，请提供</w:t>
      </w:r>
      <w:r>
        <w:rPr>
          <w:rFonts w:hint="eastAsia" w:hAnsi="宋体" w:cs="宋体"/>
          <w:b/>
          <w:color w:val="auto"/>
          <w:kern w:val="2"/>
          <w:sz w:val="28"/>
          <w:szCs w:val="28"/>
          <w:highlight w:val="none"/>
          <w:lang w:val="en-US" w:eastAsia="zh-CN" w:bidi="ar-SA"/>
        </w:rPr>
        <w:t>）</w:t>
      </w:r>
    </w:p>
    <w:p>
      <w:pPr>
        <w:rPr>
          <w:rFonts w:hint="eastAsia" w:ascii="宋体" w:hAnsi="宋体" w:eastAsia="宋体" w:cs="宋体"/>
          <w:color w:val="auto"/>
          <w:highlight w:val="none"/>
        </w:rPr>
      </w:pPr>
    </w:p>
    <w:p>
      <w:pPr>
        <w:pStyle w:val="16"/>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p>
    <w:p>
      <w:pPr>
        <w:pStyle w:val="16"/>
        <w:ind w:firstLine="472" w:firstLineChars="147"/>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项目实施人员一览表（格式）</w:t>
      </w:r>
    </w:p>
    <w:tbl>
      <w:tblPr>
        <w:tblStyle w:val="24"/>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050"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66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专业技术资格</w:t>
            </w:r>
          </w:p>
        </w:tc>
        <w:tc>
          <w:tcPr>
            <w:tcW w:w="1200"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2550" w:type="dxa"/>
            <w:vAlign w:val="center"/>
          </w:tcPr>
          <w:p>
            <w:pPr>
              <w:spacing w:line="40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参加本单位工作时间</w:t>
            </w:r>
          </w:p>
        </w:tc>
        <w:tc>
          <w:tcPr>
            <w:tcW w:w="2610"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top"/>
          </w:tcPr>
          <w:p>
            <w:pPr>
              <w:spacing w:line="400" w:lineRule="exact"/>
              <w:rPr>
                <w:rFonts w:hint="eastAsia" w:ascii="宋体" w:hAnsi="宋体" w:eastAsia="宋体" w:cs="宋体"/>
                <w:color w:val="auto"/>
                <w:szCs w:val="21"/>
                <w:highlight w:val="none"/>
              </w:rPr>
            </w:pPr>
          </w:p>
        </w:tc>
        <w:tc>
          <w:tcPr>
            <w:tcW w:w="1050" w:type="dxa"/>
            <w:vAlign w:val="top"/>
          </w:tcPr>
          <w:p>
            <w:pPr>
              <w:spacing w:line="400" w:lineRule="exact"/>
              <w:rPr>
                <w:rFonts w:hint="eastAsia" w:ascii="宋体" w:hAnsi="宋体" w:eastAsia="宋体" w:cs="宋体"/>
                <w:color w:val="auto"/>
                <w:szCs w:val="21"/>
                <w:highlight w:val="none"/>
              </w:rPr>
            </w:pPr>
          </w:p>
        </w:tc>
        <w:tc>
          <w:tcPr>
            <w:tcW w:w="1665" w:type="dxa"/>
            <w:vAlign w:val="top"/>
          </w:tcPr>
          <w:p>
            <w:pPr>
              <w:spacing w:line="400" w:lineRule="exact"/>
              <w:rPr>
                <w:rFonts w:hint="eastAsia" w:ascii="宋体" w:hAnsi="宋体" w:eastAsia="宋体" w:cs="宋体"/>
                <w:color w:val="auto"/>
                <w:szCs w:val="21"/>
                <w:highlight w:val="none"/>
              </w:rPr>
            </w:pPr>
          </w:p>
        </w:tc>
        <w:tc>
          <w:tcPr>
            <w:tcW w:w="1200" w:type="dxa"/>
            <w:vAlign w:val="top"/>
          </w:tcPr>
          <w:p>
            <w:pPr>
              <w:spacing w:line="400" w:lineRule="exact"/>
              <w:rPr>
                <w:rFonts w:hint="eastAsia" w:ascii="宋体" w:hAnsi="宋体" w:eastAsia="宋体" w:cs="宋体"/>
                <w:color w:val="auto"/>
                <w:szCs w:val="21"/>
                <w:highlight w:val="none"/>
              </w:rPr>
            </w:pPr>
          </w:p>
        </w:tc>
        <w:tc>
          <w:tcPr>
            <w:tcW w:w="2550" w:type="dxa"/>
            <w:vAlign w:val="top"/>
          </w:tcPr>
          <w:p>
            <w:pPr>
              <w:spacing w:line="400" w:lineRule="exact"/>
              <w:rPr>
                <w:rFonts w:hint="eastAsia" w:ascii="宋体" w:hAnsi="宋体" w:eastAsia="宋体" w:cs="宋体"/>
                <w:color w:val="auto"/>
                <w:szCs w:val="21"/>
                <w:highlight w:val="none"/>
              </w:rPr>
            </w:pPr>
          </w:p>
        </w:tc>
        <w:tc>
          <w:tcPr>
            <w:tcW w:w="2610" w:type="dxa"/>
            <w:vAlign w:val="top"/>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top"/>
          </w:tcPr>
          <w:p>
            <w:pPr>
              <w:spacing w:line="400" w:lineRule="exact"/>
              <w:rPr>
                <w:rFonts w:hint="eastAsia" w:ascii="宋体" w:hAnsi="宋体" w:eastAsia="宋体" w:cs="宋体"/>
                <w:color w:val="auto"/>
                <w:szCs w:val="21"/>
                <w:highlight w:val="none"/>
              </w:rPr>
            </w:pPr>
          </w:p>
        </w:tc>
        <w:tc>
          <w:tcPr>
            <w:tcW w:w="1050" w:type="dxa"/>
            <w:vAlign w:val="top"/>
          </w:tcPr>
          <w:p>
            <w:pPr>
              <w:spacing w:line="400" w:lineRule="exact"/>
              <w:rPr>
                <w:rFonts w:hint="eastAsia" w:ascii="宋体" w:hAnsi="宋体" w:eastAsia="宋体" w:cs="宋体"/>
                <w:color w:val="auto"/>
                <w:szCs w:val="21"/>
                <w:highlight w:val="none"/>
              </w:rPr>
            </w:pPr>
          </w:p>
        </w:tc>
        <w:tc>
          <w:tcPr>
            <w:tcW w:w="1665" w:type="dxa"/>
            <w:vAlign w:val="top"/>
          </w:tcPr>
          <w:p>
            <w:pPr>
              <w:spacing w:line="400" w:lineRule="exact"/>
              <w:rPr>
                <w:rFonts w:hint="eastAsia" w:ascii="宋体" w:hAnsi="宋体" w:eastAsia="宋体" w:cs="宋体"/>
                <w:color w:val="auto"/>
                <w:szCs w:val="21"/>
                <w:highlight w:val="none"/>
              </w:rPr>
            </w:pPr>
          </w:p>
        </w:tc>
        <w:tc>
          <w:tcPr>
            <w:tcW w:w="1200" w:type="dxa"/>
            <w:vAlign w:val="top"/>
          </w:tcPr>
          <w:p>
            <w:pPr>
              <w:spacing w:line="400" w:lineRule="exact"/>
              <w:rPr>
                <w:rFonts w:hint="eastAsia" w:ascii="宋体" w:hAnsi="宋体" w:eastAsia="宋体" w:cs="宋体"/>
                <w:color w:val="auto"/>
                <w:szCs w:val="21"/>
                <w:highlight w:val="none"/>
              </w:rPr>
            </w:pPr>
          </w:p>
        </w:tc>
        <w:tc>
          <w:tcPr>
            <w:tcW w:w="2550" w:type="dxa"/>
            <w:vAlign w:val="top"/>
          </w:tcPr>
          <w:p>
            <w:pPr>
              <w:spacing w:line="400" w:lineRule="exact"/>
              <w:rPr>
                <w:rFonts w:hint="eastAsia" w:ascii="宋体" w:hAnsi="宋体" w:eastAsia="宋体" w:cs="宋体"/>
                <w:color w:val="auto"/>
                <w:szCs w:val="21"/>
                <w:highlight w:val="none"/>
              </w:rPr>
            </w:pPr>
          </w:p>
        </w:tc>
        <w:tc>
          <w:tcPr>
            <w:tcW w:w="2610" w:type="dxa"/>
            <w:vAlign w:val="top"/>
          </w:tcPr>
          <w:p>
            <w:pPr>
              <w:spacing w:line="400" w:lineRule="exact"/>
              <w:rPr>
                <w:rFonts w:hint="eastAsia" w:ascii="宋体" w:hAnsi="宋体" w:eastAsia="宋体" w:cs="宋体"/>
                <w:color w:val="auto"/>
                <w:szCs w:val="21"/>
                <w:highlight w:val="none"/>
              </w:rPr>
            </w:pPr>
          </w:p>
        </w:tc>
      </w:tr>
    </w:tbl>
    <w:p>
      <w:pPr>
        <w:spacing w:line="400" w:lineRule="exact"/>
        <w:rPr>
          <w:rFonts w:hint="eastAsia" w:ascii="宋体" w:hAnsi="宋体" w:eastAsia="宋体" w:cs="宋体"/>
          <w:color w:val="auto"/>
          <w:szCs w:val="21"/>
          <w:highlight w:val="none"/>
        </w:rPr>
      </w:pPr>
    </w:p>
    <w:p>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CA证书签章</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cs="宋体"/>
          <w:color w:val="auto"/>
          <w:szCs w:val="21"/>
          <w:highlight w:val="none"/>
          <w:lang w:val="en-US" w:eastAsia="zh-CN"/>
        </w:rPr>
        <w:t>CA证书签章</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pPr>
        <w:bidi w:val="0"/>
        <w:rPr>
          <w:rFonts w:hint="eastAsia"/>
          <w:color w:val="auto"/>
          <w:highlight w:val="none"/>
        </w:rPr>
      </w:pPr>
    </w:p>
    <w:p>
      <w:pPr>
        <w:snapToGrid w:val="0"/>
        <w:spacing w:line="400" w:lineRule="exact"/>
        <w:ind w:firstLine="1680" w:firstLineChars="800"/>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pPr>
        <w:pStyle w:val="10"/>
        <w:rPr>
          <w:rFonts w:hint="eastAsia" w:ascii="宋体" w:hAnsi="宋体" w:eastAsia="宋体" w:cs="宋体"/>
          <w:color w:val="auto"/>
          <w:highlight w:val="none"/>
        </w:rPr>
      </w:pPr>
    </w:p>
    <w:p>
      <w:pPr>
        <w:spacing w:line="360" w:lineRule="auto"/>
        <w:rPr>
          <w:rFonts w:hint="eastAsia" w:ascii="宋体" w:hAnsi="宋体" w:eastAsia="宋体" w:cs="宋体"/>
          <w:b/>
          <w:bCs/>
          <w:color w:val="auto"/>
          <w:sz w:val="24"/>
          <w:highlight w:val="none"/>
        </w:rPr>
        <w:sectPr>
          <w:pgSz w:w="11906" w:h="16838"/>
          <w:pgMar w:top="1440" w:right="935" w:bottom="1440" w:left="777" w:header="851" w:footer="992" w:gutter="0"/>
          <w:pgNumType w:fmt="decimal"/>
          <w:cols w:space="720" w:num="1"/>
          <w:rtlGutter w:val="0"/>
          <w:docGrid w:type="lines" w:linePitch="312" w:charSpace="0"/>
        </w:sectPr>
      </w:pPr>
      <w:r>
        <w:rPr>
          <w:rFonts w:hint="eastAsia" w:ascii="宋体" w:hAnsi="宋体" w:eastAsia="宋体" w:cs="宋体"/>
          <w:b/>
          <w:bCs/>
          <w:color w:val="auto"/>
          <w:sz w:val="24"/>
          <w:highlight w:val="none"/>
        </w:rPr>
        <w:t>注：供应商根据自身情况结合本项目自行制定</w:t>
      </w:r>
    </w:p>
    <w:p>
      <w:pPr>
        <w:pStyle w:val="16"/>
        <w:numPr>
          <w:ilvl w:val="0"/>
          <w:numId w:val="0"/>
        </w:numPr>
        <w:spacing w:line="340" w:lineRule="exact"/>
        <w:ind w:left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2.</w:t>
      </w:r>
      <w:r>
        <w:rPr>
          <w:rFonts w:hint="eastAsia" w:ascii="宋体" w:hAnsi="宋体" w:eastAsia="宋体" w:cs="宋体"/>
          <w:b/>
          <w:bCs w:val="0"/>
          <w:color w:val="auto"/>
          <w:sz w:val="28"/>
          <w:szCs w:val="28"/>
          <w:highlight w:val="none"/>
        </w:rPr>
        <w:t>“采购需求”需提供的有效证明文件（如有，请提供）；</w:t>
      </w:r>
    </w:p>
    <w:p>
      <w:pPr>
        <w:pStyle w:val="10"/>
        <w:rPr>
          <w:rFonts w:hint="eastAsia" w:ascii="宋体" w:hAnsi="宋体" w:eastAsia="宋体" w:cs="宋体"/>
          <w:b/>
          <w:bCs w:val="0"/>
          <w:color w:val="auto"/>
          <w:highlight w:val="none"/>
        </w:rPr>
      </w:pPr>
    </w:p>
    <w:p>
      <w:pPr>
        <w:pStyle w:val="11"/>
        <w:rPr>
          <w:rFonts w:hint="eastAsia" w:ascii="宋体" w:hAnsi="宋体" w:eastAsia="宋体" w:cs="宋体"/>
          <w:b/>
          <w:bCs w:val="0"/>
          <w:color w:val="auto"/>
          <w:highlight w:val="none"/>
        </w:rPr>
      </w:pPr>
    </w:p>
    <w:p>
      <w:pPr>
        <w:pStyle w:val="11"/>
        <w:rPr>
          <w:rFonts w:hint="eastAsia" w:ascii="宋体" w:hAnsi="宋体" w:eastAsia="宋体" w:cs="宋体"/>
          <w:b/>
          <w:bCs w:val="0"/>
          <w:color w:val="auto"/>
          <w:highlight w:val="none"/>
        </w:rPr>
      </w:pPr>
    </w:p>
    <w:p>
      <w:pPr>
        <w:pStyle w:val="16"/>
        <w:numPr>
          <w:ilvl w:val="0"/>
          <w:numId w:val="0"/>
        </w:numPr>
        <w:spacing w:line="340" w:lineRule="exact"/>
        <w:ind w:leftChars="0"/>
        <w:rPr>
          <w:rFonts w:hint="eastAsia" w:ascii="宋体" w:hAnsi="宋体" w:eastAsia="宋体" w:cs="宋体"/>
          <w:b/>
          <w:bCs w:val="0"/>
          <w:color w:val="auto"/>
          <w:sz w:val="28"/>
          <w:szCs w:val="28"/>
          <w:highlight w:val="none"/>
          <w:lang w:val="en-US" w:eastAsia="zh-CN"/>
        </w:rPr>
      </w:pPr>
      <w:bookmarkStart w:id="236" w:name="_Toc3052"/>
      <w:bookmarkStart w:id="237" w:name="_Toc497927090"/>
      <w:bookmarkStart w:id="238" w:name="_Toc10161"/>
    </w:p>
    <w:p>
      <w:pPr>
        <w:pStyle w:val="16"/>
        <w:numPr>
          <w:ilvl w:val="0"/>
          <w:numId w:val="0"/>
        </w:numPr>
        <w:spacing w:line="340" w:lineRule="exact"/>
        <w:ind w:left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3.</w:t>
      </w:r>
      <w:r>
        <w:rPr>
          <w:rFonts w:hint="eastAsia" w:ascii="宋体" w:hAnsi="宋体" w:eastAsia="宋体" w:cs="宋体"/>
          <w:b/>
          <w:bCs w:val="0"/>
          <w:color w:val="auto"/>
          <w:sz w:val="28"/>
          <w:szCs w:val="28"/>
          <w:highlight w:val="none"/>
        </w:rPr>
        <w:t>供应商</w:t>
      </w:r>
      <w:r>
        <w:rPr>
          <w:rFonts w:hint="eastAsia" w:hAnsi="宋体" w:cs="宋体"/>
          <w:b/>
          <w:bCs w:val="0"/>
          <w:color w:val="auto"/>
          <w:sz w:val="28"/>
          <w:szCs w:val="28"/>
          <w:highlight w:val="none"/>
          <w:lang w:eastAsia="zh-CN"/>
        </w:rPr>
        <w:t>2019年1月1日</w:t>
      </w:r>
      <w:r>
        <w:rPr>
          <w:rFonts w:hint="eastAsia" w:ascii="宋体" w:hAnsi="宋体" w:eastAsia="宋体" w:cs="宋体"/>
          <w:b/>
          <w:bCs w:val="0"/>
          <w:color w:val="auto"/>
          <w:sz w:val="28"/>
          <w:szCs w:val="28"/>
          <w:highlight w:val="none"/>
        </w:rPr>
        <w:t>以来具有同类</w:t>
      </w:r>
      <w:r>
        <w:rPr>
          <w:rFonts w:hint="eastAsia" w:hAnsi="宋体" w:cs="宋体"/>
          <w:b/>
          <w:bCs w:val="0"/>
          <w:color w:val="auto"/>
          <w:sz w:val="28"/>
          <w:szCs w:val="28"/>
          <w:highlight w:val="none"/>
          <w:lang w:eastAsia="zh-CN"/>
        </w:rPr>
        <w:t>项目</w:t>
      </w:r>
      <w:r>
        <w:rPr>
          <w:rFonts w:hint="eastAsia" w:ascii="宋体" w:hAnsi="宋体" w:eastAsia="宋体" w:cs="宋体"/>
          <w:b/>
          <w:bCs w:val="0"/>
          <w:color w:val="auto"/>
          <w:sz w:val="28"/>
          <w:szCs w:val="28"/>
          <w:highlight w:val="none"/>
        </w:rPr>
        <w:t>业绩相关证明材料（无不良记录，以</w:t>
      </w:r>
      <w:r>
        <w:rPr>
          <w:rFonts w:hint="eastAsia" w:hAnsi="宋体" w:cs="宋体"/>
          <w:b/>
          <w:bCs w:val="0"/>
          <w:color w:val="auto"/>
          <w:sz w:val="28"/>
          <w:szCs w:val="28"/>
          <w:highlight w:val="none"/>
          <w:lang w:eastAsia="zh-CN"/>
        </w:rPr>
        <w:t>中标</w:t>
      </w:r>
      <w:r>
        <w:rPr>
          <w:rFonts w:hint="eastAsia" w:ascii="宋体" w:hAnsi="宋体" w:eastAsia="宋体" w:cs="宋体"/>
          <w:b/>
          <w:bCs w:val="0"/>
          <w:color w:val="auto"/>
          <w:sz w:val="28"/>
          <w:szCs w:val="28"/>
          <w:highlight w:val="none"/>
        </w:rPr>
        <w:t>、成交通知书或签订的合同为准，并能清晰反映</w:t>
      </w:r>
      <w:r>
        <w:rPr>
          <w:rFonts w:hint="eastAsia" w:ascii="宋体" w:hAnsi="宋体" w:eastAsia="宋体" w:cs="宋体"/>
          <w:b/>
          <w:bCs w:val="0"/>
          <w:color w:val="auto"/>
          <w:sz w:val="28"/>
          <w:szCs w:val="28"/>
          <w:highlight w:val="none"/>
          <w:lang w:eastAsia="zh-CN"/>
        </w:rPr>
        <w:t>项目</w:t>
      </w:r>
      <w:r>
        <w:rPr>
          <w:rFonts w:hint="eastAsia" w:ascii="宋体" w:hAnsi="宋体" w:eastAsia="宋体" w:cs="宋体"/>
          <w:b/>
          <w:bCs w:val="0"/>
          <w:color w:val="auto"/>
          <w:sz w:val="28"/>
          <w:szCs w:val="28"/>
          <w:highlight w:val="none"/>
        </w:rPr>
        <w:t>的名称、</w:t>
      </w:r>
      <w:r>
        <w:rPr>
          <w:rFonts w:hint="eastAsia" w:ascii="宋体" w:hAnsi="宋体" w:eastAsia="宋体" w:cs="宋体"/>
          <w:b/>
          <w:bCs w:val="0"/>
          <w:color w:val="auto"/>
          <w:sz w:val="28"/>
          <w:szCs w:val="28"/>
          <w:highlight w:val="none"/>
          <w:lang w:eastAsia="zh-CN"/>
        </w:rPr>
        <w:t>采购内容</w:t>
      </w:r>
      <w:r>
        <w:rPr>
          <w:rFonts w:hint="eastAsia" w:ascii="宋体" w:hAnsi="宋体" w:eastAsia="宋体" w:cs="宋体"/>
          <w:b/>
          <w:bCs w:val="0"/>
          <w:color w:val="auto"/>
          <w:sz w:val="28"/>
          <w:szCs w:val="28"/>
          <w:highlight w:val="none"/>
        </w:rPr>
        <w:t>、</w:t>
      </w:r>
      <w:r>
        <w:rPr>
          <w:rFonts w:hint="eastAsia" w:ascii="宋体" w:hAnsi="宋体" w:eastAsia="宋体" w:cs="宋体"/>
          <w:b/>
          <w:bCs w:val="0"/>
          <w:color w:val="auto"/>
          <w:sz w:val="28"/>
          <w:szCs w:val="28"/>
          <w:highlight w:val="none"/>
          <w:lang w:eastAsia="zh-CN"/>
        </w:rPr>
        <w:t>采购</w:t>
      </w:r>
      <w:r>
        <w:rPr>
          <w:rFonts w:hint="eastAsia" w:ascii="宋体" w:hAnsi="宋体" w:eastAsia="宋体" w:cs="宋体"/>
          <w:b/>
          <w:bCs w:val="0"/>
          <w:color w:val="auto"/>
          <w:sz w:val="28"/>
          <w:szCs w:val="28"/>
          <w:highlight w:val="none"/>
        </w:rPr>
        <w:t>金额</w:t>
      </w:r>
      <w:r>
        <w:rPr>
          <w:rFonts w:hint="eastAsia" w:ascii="宋体" w:hAnsi="宋体" w:eastAsia="宋体" w:cs="宋体"/>
          <w:b/>
          <w:bCs w:val="0"/>
          <w:color w:val="auto"/>
          <w:sz w:val="28"/>
          <w:szCs w:val="28"/>
          <w:highlight w:val="none"/>
          <w:lang w:eastAsia="zh-CN"/>
        </w:rPr>
        <w:t>、采购时间</w:t>
      </w:r>
      <w:r>
        <w:rPr>
          <w:rFonts w:hint="eastAsia" w:ascii="宋体" w:hAnsi="宋体" w:eastAsia="宋体" w:cs="宋体"/>
          <w:b/>
          <w:bCs w:val="0"/>
          <w:color w:val="auto"/>
          <w:sz w:val="28"/>
          <w:szCs w:val="28"/>
          <w:highlight w:val="none"/>
        </w:rPr>
        <w:t>）（如有，请提供）；</w:t>
      </w:r>
      <w:bookmarkEnd w:id="236"/>
      <w:bookmarkEnd w:id="237"/>
      <w:bookmarkEnd w:id="238"/>
    </w:p>
    <w:p>
      <w:pPr>
        <w:pStyle w:val="16"/>
        <w:numPr>
          <w:ilvl w:val="0"/>
          <w:numId w:val="0"/>
        </w:numPr>
        <w:spacing w:line="340" w:lineRule="exact"/>
        <w:ind w:leftChars="0"/>
        <w:rPr>
          <w:rFonts w:hint="eastAsia" w:ascii="宋体" w:hAnsi="宋体" w:eastAsia="宋体" w:cs="宋体"/>
          <w:b/>
          <w:color w:val="auto"/>
          <w:sz w:val="28"/>
          <w:szCs w:val="28"/>
          <w:highlight w:val="none"/>
          <w:lang w:val="en-US" w:eastAsia="zh-CN"/>
        </w:rPr>
      </w:pPr>
    </w:p>
    <w:p>
      <w:pPr>
        <w:pStyle w:val="16"/>
        <w:numPr>
          <w:ilvl w:val="0"/>
          <w:numId w:val="0"/>
        </w:numPr>
        <w:spacing w:line="340" w:lineRule="exact"/>
        <w:ind w:leftChars="0"/>
        <w:rPr>
          <w:rFonts w:hint="eastAsia" w:ascii="宋体" w:hAnsi="宋体" w:eastAsia="宋体" w:cs="宋体"/>
          <w:b/>
          <w:color w:val="auto"/>
          <w:sz w:val="28"/>
          <w:szCs w:val="28"/>
          <w:highlight w:val="none"/>
          <w:lang w:val="en-US" w:eastAsia="zh-CN"/>
        </w:rPr>
      </w:pPr>
    </w:p>
    <w:p>
      <w:pPr>
        <w:rPr>
          <w:rFonts w:hint="eastAsia"/>
          <w:color w:val="auto"/>
          <w:highlight w:val="none"/>
          <w:lang w:val="en-US" w:eastAsia="zh-CN"/>
        </w:rPr>
      </w:pPr>
    </w:p>
    <w:p>
      <w:pPr>
        <w:pStyle w:val="16"/>
        <w:numPr>
          <w:ilvl w:val="0"/>
          <w:numId w:val="0"/>
        </w:numPr>
        <w:spacing w:line="340" w:lineRule="exact"/>
        <w:ind w:leftChars="0"/>
        <w:rPr>
          <w:rFonts w:hint="eastAsia" w:ascii="宋体" w:hAnsi="宋体" w:eastAsia="宋体" w:cs="宋体"/>
          <w:b/>
          <w:color w:val="auto"/>
          <w:sz w:val="28"/>
          <w:szCs w:val="28"/>
          <w:highlight w:val="none"/>
          <w:lang w:val="en-US" w:eastAsia="zh-CN"/>
        </w:rPr>
      </w:pPr>
    </w:p>
    <w:p>
      <w:pPr>
        <w:pStyle w:val="16"/>
        <w:numPr>
          <w:ilvl w:val="0"/>
          <w:numId w:val="0"/>
        </w:numPr>
        <w:spacing w:line="340" w:lineRule="exact"/>
        <w:ind w:leftChars="0"/>
        <w:rPr>
          <w:rFonts w:hint="eastAsia" w:ascii="宋体" w:hAnsi="宋体" w:eastAsia="宋体" w:cs="宋体"/>
          <w:color w:val="auto"/>
          <w:highlight w:val="none"/>
        </w:rPr>
      </w:pPr>
      <w:r>
        <w:rPr>
          <w:rFonts w:hint="eastAsia"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w:t>
      </w:r>
      <w:r>
        <w:rPr>
          <w:rFonts w:hint="eastAsia" w:ascii="宋体" w:hAnsi="宋体" w:eastAsia="宋体" w:cs="宋体"/>
          <w:b/>
          <w:bCs w:val="0"/>
          <w:color w:val="auto"/>
          <w:sz w:val="28"/>
          <w:szCs w:val="28"/>
          <w:highlight w:val="none"/>
        </w:rPr>
        <w:t>供应商可结合本项目的评审办法视自身情况自行提交其它相关证明材料。</w:t>
      </w:r>
      <w:r>
        <w:rPr>
          <w:rFonts w:hint="eastAsia" w:ascii="宋体" w:hAnsi="宋体" w:eastAsia="宋体" w:cs="宋体"/>
          <w:b/>
          <w:bCs w:val="0"/>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highlight w:val="none"/>
          <w:lang w:val="en-US" w:eastAsia="zh-CN"/>
        </w:rPr>
        <w:t xml:space="preserve">      </w:t>
      </w:r>
    </w:p>
    <w:p>
      <w:pPr>
        <w:rPr>
          <w:rFonts w:hint="eastAsia" w:ascii="宋体" w:hAnsi="宋体" w:eastAsia="宋体" w:cs="宋体"/>
          <w:color w:val="auto"/>
          <w:highlight w:val="none"/>
        </w:rPr>
      </w:pPr>
    </w:p>
    <w:sectPr>
      <w:pgSz w:w="11906" w:h="16838"/>
      <w:pgMar w:top="1440" w:right="935" w:bottom="1440" w:left="77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CF58C"/>
    <w:multiLevelType w:val="singleLevel"/>
    <w:tmpl w:val="BB4CF58C"/>
    <w:lvl w:ilvl="0" w:tentative="0">
      <w:start w:val="2"/>
      <w:numFmt w:val="decimal"/>
      <w:suff w:val="nothing"/>
      <w:lvlText w:val="（%1）"/>
      <w:lvlJc w:val="left"/>
    </w:lvl>
  </w:abstractNum>
  <w:abstractNum w:abstractNumId="1">
    <w:nsid w:val="023DC6C4"/>
    <w:multiLevelType w:val="singleLevel"/>
    <w:tmpl w:val="023DC6C4"/>
    <w:lvl w:ilvl="0" w:tentative="0">
      <w:start w:val="4"/>
      <w:numFmt w:val="decimal"/>
      <w:suff w:val="nothing"/>
      <w:lvlText w:val="（%1）"/>
      <w:lvlJc w:val="left"/>
    </w:lvl>
  </w:abstractNum>
  <w:abstractNum w:abstractNumId="2">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3">
    <w:nsid w:val="1FD97BE0"/>
    <w:multiLevelType w:val="singleLevel"/>
    <w:tmpl w:val="1FD97BE0"/>
    <w:lvl w:ilvl="0" w:tentative="0">
      <w:start w:val="1"/>
      <w:numFmt w:val="chineseCounting"/>
      <w:suff w:val="nothing"/>
      <w:lvlText w:val="（%1）"/>
      <w:lvlJc w:val="left"/>
      <w:rPr>
        <w:rFonts w:hint="eastAsia"/>
      </w:rPr>
    </w:lvl>
  </w:abstractNum>
  <w:abstractNum w:abstractNumId="4">
    <w:nsid w:val="2EBEB4BA"/>
    <w:multiLevelType w:val="singleLevel"/>
    <w:tmpl w:val="2EBEB4BA"/>
    <w:lvl w:ilvl="0" w:tentative="0">
      <w:start w:val="26"/>
      <w:numFmt w:val="decimal"/>
      <w:suff w:val="space"/>
      <w:lvlText w:val="%1."/>
      <w:lvlJc w:val="left"/>
    </w:lvl>
  </w:abstractNum>
  <w:abstractNum w:abstractNumId="5">
    <w:nsid w:val="393ADA10"/>
    <w:multiLevelType w:val="singleLevel"/>
    <w:tmpl w:val="393ADA10"/>
    <w:lvl w:ilvl="0" w:tentative="0">
      <w:start w:val="31"/>
      <w:numFmt w:val="decimal"/>
      <w:suff w:val="space"/>
      <w:lvlText w:val="%1."/>
      <w:lvlJc w:val="left"/>
    </w:lvl>
  </w:abstractNum>
  <w:abstractNum w:abstractNumId="6">
    <w:nsid w:val="5FDE38C3"/>
    <w:multiLevelType w:val="singleLevel"/>
    <w:tmpl w:val="5FDE38C3"/>
    <w:lvl w:ilvl="0" w:tentative="0">
      <w:start w:val="1"/>
      <w:numFmt w:val="decimal"/>
      <w:suff w:val="nothing"/>
      <w:lvlText w:val="%1．"/>
      <w:lvlJc w:val="left"/>
      <w:pPr>
        <w:ind w:left="-60" w:firstLine="400"/>
      </w:pPr>
      <w:rPr>
        <w:rFonts w:hint="default"/>
        <w:b w:val="0"/>
        <w:bCs w:val="0"/>
      </w:rPr>
    </w:lvl>
  </w:abstractNum>
  <w:abstractNum w:abstractNumId="7">
    <w:nsid w:val="620B07F5"/>
    <w:multiLevelType w:val="singleLevel"/>
    <w:tmpl w:val="620B07F5"/>
    <w:lvl w:ilvl="0" w:tentative="0">
      <w:start w:val="3"/>
      <w:numFmt w:val="decimal"/>
      <w:suff w:val="nothing"/>
      <w:lvlText w:val="%1."/>
      <w:lvlJc w:val="left"/>
      <w:pPr>
        <w:ind w:left="-60"/>
      </w:pPr>
    </w:lvl>
  </w:abstractNum>
  <w:abstractNum w:abstractNumId="8">
    <w:nsid w:val="65DE9352"/>
    <w:multiLevelType w:val="singleLevel"/>
    <w:tmpl w:val="65DE9352"/>
    <w:lvl w:ilvl="0" w:tentative="0">
      <w:start w:val="6"/>
      <w:numFmt w:val="decimal"/>
      <w:suff w:val="nothing"/>
      <w:lvlText w:val="%1、"/>
      <w:lvlJc w:val="left"/>
    </w:lvl>
  </w:abstractNum>
  <w:abstractNum w:abstractNumId="9">
    <w:nsid w:val="6611ED40"/>
    <w:multiLevelType w:val="multilevel"/>
    <w:tmpl w:val="6611ED40"/>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6611ED4B"/>
    <w:multiLevelType w:val="multilevel"/>
    <w:tmpl w:val="6611ED4B"/>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1">
    <w:nsid w:val="6AD43707"/>
    <w:multiLevelType w:val="singleLevel"/>
    <w:tmpl w:val="6AD43707"/>
    <w:lvl w:ilvl="0" w:tentative="0">
      <w:start w:val="5"/>
      <w:numFmt w:val="decimal"/>
      <w:suff w:val="space"/>
      <w:lvlText w:val="%1."/>
      <w:lvlJc w:val="left"/>
    </w:lvl>
  </w:abstractNum>
  <w:num w:numId="1">
    <w:abstractNumId w:val="2"/>
  </w:num>
  <w:num w:numId="2">
    <w:abstractNumId w:val="7"/>
  </w:num>
  <w:num w:numId="3">
    <w:abstractNumId w:val="11"/>
  </w:num>
  <w:num w:numId="4">
    <w:abstractNumId w:val="1"/>
  </w:num>
  <w:num w:numId="5">
    <w:abstractNumId w:val="0"/>
  </w:num>
  <w:num w:numId="6">
    <w:abstractNumId w:val="4"/>
  </w:num>
  <w:num w:numId="7">
    <w:abstractNumId w:val="5"/>
  </w:num>
  <w:num w:numId="8">
    <w:abstractNumId w:val="8"/>
  </w:num>
  <w:num w:numId="9">
    <w:abstractNumId w:val="9"/>
    <w:lvlOverride w:ilvl="0">
      <w:startOverride w:val="2"/>
    </w:lvlOverride>
  </w:num>
  <w:num w:numId="10">
    <w:abstractNumId w:val="10"/>
    <w:lvlOverride w:ilvl="0">
      <w:startOverride w:val="2"/>
    </w:lvlOverride>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ZWI0N2Y0ZjU5YzVjZThmOGM0OTdjZGU1NTliN2QifQ=="/>
  </w:docVars>
  <w:rsids>
    <w:rsidRoot w:val="00000000"/>
    <w:rsid w:val="00361260"/>
    <w:rsid w:val="0059276D"/>
    <w:rsid w:val="00B65E05"/>
    <w:rsid w:val="00BE3755"/>
    <w:rsid w:val="0100033D"/>
    <w:rsid w:val="013C3125"/>
    <w:rsid w:val="01B62CA7"/>
    <w:rsid w:val="01D84888"/>
    <w:rsid w:val="020405D6"/>
    <w:rsid w:val="021E1981"/>
    <w:rsid w:val="02B95509"/>
    <w:rsid w:val="02F50BB3"/>
    <w:rsid w:val="030932D4"/>
    <w:rsid w:val="03246CD1"/>
    <w:rsid w:val="036C7E00"/>
    <w:rsid w:val="0377595E"/>
    <w:rsid w:val="03C12FE4"/>
    <w:rsid w:val="03F02E9E"/>
    <w:rsid w:val="040E5E88"/>
    <w:rsid w:val="04602F95"/>
    <w:rsid w:val="047A66B3"/>
    <w:rsid w:val="04A27D7C"/>
    <w:rsid w:val="05075F25"/>
    <w:rsid w:val="051031AE"/>
    <w:rsid w:val="052633D9"/>
    <w:rsid w:val="05585D54"/>
    <w:rsid w:val="056469EE"/>
    <w:rsid w:val="059742FC"/>
    <w:rsid w:val="05A0109D"/>
    <w:rsid w:val="05A11D2B"/>
    <w:rsid w:val="05CA7217"/>
    <w:rsid w:val="05D00CBD"/>
    <w:rsid w:val="05E82D27"/>
    <w:rsid w:val="060C5A1F"/>
    <w:rsid w:val="0633580E"/>
    <w:rsid w:val="06486645"/>
    <w:rsid w:val="065000D1"/>
    <w:rsid w:val="065B15E4"/>
    <w:rsid w:val="0661304C"/>
    <w:rsid w:val="06996022"/>
    <w:rsid w:val="06E71E07"/>
    <w:rsid w:val="06F600DF"/>
    <w:rsid w:val="070723E2"/>
    <w:rsid w:val="070C1155"/>
    <w:rsid w:val="07513EF5"/>
    <w:rsid w:val="076C2901"/>
    <w:rsid w:val="0780268E"/>
    <w:rsid w:val="078646DF"/>
    <w:rsid w:val="0787419E"/>
    <w:rsid w:val="07E3000E"/>
    <w:rsid w:val="07FC7407"/>
    <w:rsid w:val="08027E93"/>
    <w:rsid w:val="081712C5"/>
    <w:rsid w:val="0838251A"/>
    <w:rsid w:val="083F7130"/>
    <w:rsid w:val="08697D35"/>
    <w:rsid w:val="086C7886"/>
    <w:rsid w:val="08812F2B"/>
    <w:rsid w:val="08CE08D5"/>
    <w:rsid w:val="08CF462B"/>
    <w:rsid w:val="098106A1"/>
    <w:rsid w:val="09BA72C3"/>
    <w:rsid w:val="0A0A6A80"/>
    <w:rsid w:val="0A101F26"/>
    <w:rsid w:val="0A114758"/>
    <w:rsid w:val="0AA70314"/>
    <w:rsid w:val="0AE07DB7"/>
    <w:rsid w:val="0B0006DF"/>
    <w:rsid w:val="0B523F25"/>
    <w:rsid w:val="0B6E26C2"/>
    <w:rsid w:val="0B77423C"/>
    <w:rsid w:val="0BC03CFE"/>
    <w:rsid w:val="0C0C54AC"/>
    <w:rsid w:val="0C221581"/>
    <w:rsid w:val="0C2A21CD"/>
    <w:rsid w:val="0C790059"/>
    <w:rsid w:val="0C82011B"/>
    <w:rsid w:val="0C9C22B2"/>
    <w:rsid w:val="0DD67C92"/>
    <w:rsid w:val="0DE93DD0"/>
    <w:rsid w:val="0DF62709"/>
    <w:rsid w:val="0DFF77AE"/>
    <w:rsid w:val="0E256439"/>
    <w:rsid w:val="0E3331BF"/>
    <w:rsid w:val="0E667A8A"/>
    <w:rsid w:val="0E68189B"/>
    <w:rsid w:val="0E69033F"/>
    <w:rsid w:val="0EA12625"/>
    <w:rsid w:val="0EBA28D2"/>
    <w:rsid w:val="0EEE4008"/>
    <w:rsid w:val="0F152394"/>
    <w:rsid w:val="0F2738C4"/>
    <w:rsid w:val="0F6846F6"/>
    <w:rsid w:val="0F6B6C1D"/>
    <w:rsid w:val="0F9049B9"/>
    <w:rsid w:val="0F9633C9"/>
    <w:rsid w:val="0FBF6929"/>
    <w:rsid w:val="0FEF20FC"/>
    <w:rsid w:val="0FF85BE5"/>
    <w:rsid w:val="103656CA"/>
    <w:rsid w:val="10471B26"/>
    <w:rsid w:val="10934E21"/>
    <w:rsid w:val="11037A5C"/>
    <w:rsid w:val="110660A6"/>
    <w:rsid w:val="113D7A32"/>
    <w:rsid w:val="11CA3C1A"/>
    <w:rsid w:val="11FB02FE"/>
    <w:rsid w:val="1260763B"/>
    <w:rsid w:val="12A64995"/>
    <w:rsid w:val="12BA1B28"/>
    <w:rsid w:val="12BF4B9D"/>
    <w:rsid w:val="12F77F8C"/>
    <w:rsid w:val="13C94A07"/>
    <w:rsid w:val="13D36C5E"/>
    <w:rsid w:val="142F2333"/>
    <w:rsid w:val="144C6ED2"/>
    <w:rsid w:val="14771A6A"/>
    <w:rsid w:val="14817FDA"/>
    <w:rsid w:val="14B0225D"/>
    <w:rsid w:val="1506135C"/>
    <w:rsid w:val="1519733C"/>
    <w:rsid w:val="154B61B2"/>
    <w:rsid w:val="155F0303"/>
    <w:rsid w:val="1567360E"/>
    <w:rsid w:val="156B61A7"/>
    <w:rsid w:val="158B71E0"/>
    <w:rsid w:val="15A76465"/>
    <w:rsid w:val="16D87D6E"/>
    <w:rsid w:val="16FA6C98"/>
    <w:rsid w:val="170B353F"/>
    <w:rsid w:val="1725189E"/>
    <w:rsid w:val="173C6FEB"/>
    <w:rsid w:val="176F0A16"/>
    <w:rsid w:val="17725C28"/>
    <w:rsid w:val="17733A06"/>
    <w:rsid w:val="177523D1"/>
    <w:rsid w:val="1784346D"/>
    <w:rsid w:val="17DA4C80"/>
    <w:rsid w:val="182A4348"/>
    <w:rsid w:val="184F13F4"/>
    <w:rsid w:val="187B1AFF"/>
    <w:rsid w:val="18926767"/>
    <w:rsid w:val="18EB151D"/>
    <w:rsid w:val="191106C7"/>
    <w:rsid w:val="194E3524"/>
    <w:rsid w:val="195D26D4"/>
    <w:rsid w:val="199063F6"/>
    <w:rsid w:val="19B65BE7"/>
    <w:rsid w:val="1A41745E"/>
    <w:rsid w:val="1A976FFA"/>
    <w:rsid w:val="1AC60298"/>
    <w:rsid w:val="1ACF7806"/>
    <w:rsid w:val="1ADF7C99"/>
    <w:rsid w:val="1B3E54F1"/>
    <w:rsid w:val="1B5606C4"/>
    <w:rsid w:val="1B7758FD"/>
    <w:rsid w:val="1B992F08"/>
    <w:rsid w:val="1BB45520"/>
    <w:rsid w:val="1CA0458E"/>
    <w:rsid w:val="1CCC06F6"/>
    <w:rsid w:val="1CEA0CE2"/>
    <w:rsid w:val="1D1207F7"/>
    <w:rsid w:val="1D4674DC"/>
    <w:rsid w:val="1D6F3520"/>
    <w:rsid w:val="1DD37610"/>
    <w:rsid w:val="1DE34B94"/>
    <w:rsid w:val="1E002D45"/>
    <w:rsid w:val="1E1B70BC"/>
    <w:rsid w:val="1E3F5366"/>
    <w:rsid w:val="1E7526A1"/>
    <w:rsid w:val="1E7B4119"/>
    <w:rsid w:val="1E83250E"/>
    <w:rsid w:val="1EB6799F"/>
    <w:rsid w:val="1ED91680"/>
    <w:rsid w:val="1EF3295A"/>
    <w:rsid w:val="1EFC46D7"/>
    <w:rsid w:val="1F0A153D"/>
    <w:rsid w:val="1F1403CE"/>
    <w:rsid w:val="1F1C25A1"/>
    <w:rsid w:val="1F2533FE"/>
    <w:rsid w:val="1F2F6111"/>
    <w:rsid w:val="1F765A53"/>
    <w:rsid w:val="1F81104A"/>
    <w:rsid w:val="1FE74446"/>
    <w:rsid w:val="20075BE8"/>
    <w:rsid w:val="20081198"/>
    <w:rsid w:val="200D1786"/>
    <w:rsid w:val="201044E2"/>
    <w:rsid w:val="203F3F27"/>
    <w:rsid w:val="20841A36"/>
    <w:rsid w:val="20E41252"/>
    <w:rsid w:val="210545EA"/>
    <w:rsid w:val="211F672C"/>
    <w:rsid w:val="213B25BD"/>
    <w:rsid w:val="214D2418"/>
    <w:rsid w:val="219A423A"/>
    <w:rsid w:val="219D6A85"/>
    <w:rsid w:val="21FD749A"/>
    <w:rsid w:val="2228666C"/>
    <w:rsid w:val="22347DFE"/>
    <w:rsid w:val="225455FE"/>
    <w:rsid w:val="226076E5"/>
    <w:rsid w:val="228A64F0"/>
    <w:rsid w:val="22966C59"/>
    <w:rsid w:val="22AD2360"/>
    <w:rsid w:val="22C6291C"/>
    <w:rsid w:val="22DB26BB"/>
    <w:rsid w:val="23736488"/>
    <w:rsid w:val="23847F75"/>
    <w:rsid w:val="238F5D2E"/>
    <w:rsid w:val="23E3790D"/>
    <w:rsid w:val="25212425"/>
    <w:rsid w:val="25573C2A"/>
    <w:rsid w:val="2579524A"/>
    <w:rsid w:val="261A7F80"/>
    <w:rsid w:val="261D76C7"/>
    <w:rsid w:val="262B6BA5"/>
    <w:rsid w:val="26380D40"/>
    <w:rsid w:val="26462E7B"/>
    <w:rsid w:val="26942FFE"/>
    <w:rsid w:val="26B73C0C"/>
    <w:rsid w:val="26C43618"/>
    <w:rsid w:val="26D125D4"/>
    <w:rsid w:val="26D315AB"/>
    <w:rsid w:val="26EE7D79"/>
    <w:rsid w:val="27C47BCD"/>
    <w:rsid w:val="2805387D"/>
    <w:rsid w:val="28534CC7"/>
    <w:rsid w:val="285C68C6"/>
    <w:rsid w:val="2862619B"/>
    <w:rsid w:val="28780465"/>
    <w:rsid w:val="287F16DC"/>
    <w:rsid w:val="28C979C3"/>
    <w:rsid w:val="293C306E"/>
    <w:rsid w:val="295139F9"/>
    <w:rsid w:val="295C7D1E"/>
    <w:rsid w:val="29E7117B"/>
    <w:rsid w:val="2A1C4B42"/>
    <w:rsid w:val="2AA13905"/>
    <w:rsid w:val="2AE013C4"/>
    <w:rsid w:val="2AF240E7"/>
    <w:rsid w:val="2B1E540E"/>
    <w:rsid w:val="2B336409"/>
    <w:rsid w:val="2B5D374A"/>
    <w:rsid w:val="2BD769AA"/>
    <w:rsid w:val="2C126F23"/>
    <w:rsid w:val="2C3A1E97"/>
    <w:rsid w:val="2CB865F9"/>
    <w:rsid w:val="2D535187"/>
    <w:rsid w:val="2D7366E1"/>
    <w:rsid w:val="2D8E6E18"/>
    <w:rsid w:val="2F2D13BF"/>
    <w:rsid w:val="2F6E1B09"/>
    <w:rsid w:val="2FB344DB"/>
    <w:rsid w:val="304406B6"/>
    <w:rsid w:val="30493046"/>
    <w:rsid w:val="305557A2"/>
    <w:rsid w:val="30E37FF0"/>
    <w:rsid w:val="30F26942"/>
    <w:rsid w:val="31143E67"/>
    <w:rsid w:val="311A0404"/>
    <w:rsid w:val="318A035C"/>
    <w:rsid w:val="31BD6652"/>
    <w:rsid w:val="31BF7BF7"/>
    <w:rsid w:val="32563766"/>
    <w:rsid w:val="325B2B9E"/>
    <w:rsid w:val="326A2B93"/>
    <w:rsid w:val="326C208D"/>
    <w:rsid w:val="32B057EA"/>
    <w:rsid w:val="32BC60A7"/>
    <w:rsid w:val="32C84B2E"/>
    <w:rsid w:val="33073FC8"/>
    <w:rsid w:val="33196C24"/>
    <w:rsid w:val="337A3E72"/>
    <w:rsid w:val="33B2209F"/>
    <w:rsid w:val="33ED7B1F"/>
    <w:rsid w:val="34145B06"/>
    <w:rsid w:val="34327344"/>
    <w:rsid w:val="3457424D"/>
    <w:rsid w:val="34600E6E"/>
    <w:rsid w:val="348852A1"/>
    <w:rsid w:val="34A0439B"/>
    <w:rsid w:val="34CB73E4"/>
    <w:rsid w:val="35033E7C"/>
    <w:rsid w:val="3518676F"/>
    <w:rsid w:val="35196C10"/>
    <w:rsid w:val="35253297"/>
    <w:rsid w:val="35445BF0"/>
    <w:rsid w:val="35810C58"/>
    <w:rsid w:val="361D365C"/>
    <w:rsid w:val="36206B3D"/>
    <w:rsid w:val="36313623"/>
    <w:rsid w:val="36531214"/>
    <w:rsid w:val="369E0EF6"/>
    <w:rsid w:val="36EB5B5C"/>
    <w:rsid w:val="37085392"/>
    <w:rsid w:val="375E31F0"/>
    <w:rsid w:val="375E791B"/>
    <w:rsid w:val="378873BF"/>
    <w:rsid w:val="37BD7DDF"/>
    <w:rsid w:val="37C061AF"/>
    <w:rsid w:val="37DD26B8"/>
    <w:rsid w:val="37E640D7"/>
    <w:rsid w:val="37F13AF8"/>
    <w:rsid w:val="386A0F99"/>
    <w:rsid w:val="386E7642"/>
    <w:rsid w:val="389153B5"/>
    <w:rsid w:val="38CF0CDC"/>
    <w:rsid w:val="38F45E6A"/>
    <w:rsid w:val="39175C11"/>
    <w:rsid w:val="39224F11"/>
    <w:rsid w:val="3955343C"/>
    <w:rsid w:val="398E625D"/>
    <w:rsid w:val="39957F50"/>
    <w:rsid w:val="39AA42C1"/>
    <w:rsid w:val="39F3485B"/>
    <w:rsid w:val="3A1A4E71"/>
    <w:rsid w:val="3A305F5F"/>
    <w:rsid w:val="3A33544D"/>
    <w:rsid w:val="3AA22453"/>
    <w:rsid w:val="3ABF7840"/>
    <w:rsid w:val="3ACF550A"/>
    <w:rsid w:val="3B37322C"/>
    <w:rsid w:val="3B641BF0"/>
    <w:rsid w:val="3B721655"/>
    <w:rsid w:val="3B947B1C"/>
    <w:rsid w:val="3C282E96"/>
    <w:rsid w:val="3CBD7C21"/>
    <w:rsid w:val="3D046180"/>
    <w:rsid w:val="3D297F36"/>
    <w:rsid w:val="3DA86969"/>
    <w:rsid w:val="3DDA73FC"/>
    <w:rsid w:val="3DEA0E8F"/>
    <w:rsid w:val="3E05017A"/>
    <w:rsid w:val="3E2F7914"/>
    <w:rsid w:val="3E6445CE"/>
    <w:rsid w:val="3E6E4482"/>
    <w:rsid w:val="3E7B2030"/>
    <w:rsid w:val="3F49162A"/>
    <w:rsid w:val="3F63314B"/>
    <w:rsid w:val="3F972CBA"/>
    <w:rsid w:val="40313B62"/>
    <w:rsid w:val="40676DC7"/>
    <w:rsid w:val="40A502F3"/>
    <w:rsid w:val="40CC37C8"/>
    <w:rsid w:val="40E06BFA"/>
    <w:rsid w:val="41017AF4"/>
    <w:rsid w:val="41166258"/>
    <w:rsid w:val="41E33EDC"/>
    <w:rsid w:val="41E922D5"/>
    <w:rsid w:val="41FF7786"/>
    <w:rsid w:val="427A0DB5"/>
    <w:rsid w:val="42983C5A"/>
    <w:rsid w:val="429F0D52"/>
    <w:rsid w:val="42C61DC7"/>
    <w:rsid w:val="42C942ED"/>
    <w:rsid w:val="42DF397A"/>
    <w:rsid w:val="43482915"/>
    <w:rsid w:val="43750A80"/>
    <w:rsid w:val="437F3405"/>
    <w:rsid w:val="43A12EC8"/>
    <w:rsid w:val="43BE409B"/>
    <w:rsid w:val="43D97B7C"/>
    <w:rsid w:val="43F9794F"/>
    <w:rsid w:val="444921E8"/>
    <w:rsid w:val="444D4548"/>
    <w:rsid w:val="44531B89"/>
    <w:rsid w:val="44E4748A"/>
    <w:rsid w:val="451B2540"/>
    <w:rsid w:val="4537152D"/>
    <w:rsid w:val="45482A0E"/>
    <w:rsid w:val="4548351D"/>
    <w:rsid w:val="454A4A52"/>
    <w:rsid w:val="456A3C90"/>
    <w:rsid w:val="456D1381"/>
    <w:rsid w:val="45853583"/>
    <w:rsid w:val="459F34E1"/>
    <w:rsid w:val="45AD7AAF"/>
    <w:rsid w:val="460162E2"/>
    <w:rsid w:val="462C5B9A"/>
    <w:rsid w:val="467C2696"/>
    <w:rsid w:val="46B02CAC"/>
    <w:rsid w:val="46B27839"/>
    <w:rsid w:val="46D9282A"/>
    <w:rsid w:val="4722660E"/>
    <w:rsid w:val="4822043E"/>
    <w:rsid w:val="483076CD"/>
    <w:rsid w:val="483F0499"/>
    <w:rsid w:val="48557468"/>
    <w:rsid w:val="48A34A79"/>
    <w:rsid w:val="48E70A52"/>
    <w:rsid w:val="48FA1296"/>
    <w:rsid w:val="49091911"/>
    <w:rsid w:val="49C90D84"/>
    <w:rsid w:val="49D00811"/>
    <w:rsid w:val="49D41AA0"/>
    <w:rsid w:val="4AC9458D"/>
    <w:rsid w:val="4B0E0E93"/>
    <w:rsid w:val="4B6052BB"/>
    <w:rsid w:val="4B8D047F"/>
    <w:rsid w:val="4BD021A8"/>
    <w:rsid w:val="4BE3441A"/>
    <w:rsid w:val="4C0D4CE7"/>
    <w:rsid w:val="4C2674A9"/>
    <w:rsid w:val="4C9065A1"/>
    <w:rsid w:val="4D032D39"/>
    <w:rsid w:val="4D085C18"/>
    <w:rsid w:val="4D147255"/>
    <w:rsid w:val="4D2301D4"/>
    <w:rsid w:val="4D337A52"/>
    <w:rsid w:val="4D7808E2"/>
    <w:rsid w:val="4DBD0245"/>
    <w:rsid w:val="4DD74C2E"/>
    <w:rsid w:val="4DF07841"/>
    <w:rsid w:val="4E242371"/>
    <w:rsid w:val="4E314CF4"/>
    <w:rsid w:val="4E3F5A59"/>
    <w:rsid w:val="4E417E90"/>
    <w:rsid w:val="4E4671CA"/>
    <w:rsid w:val="4E5C54C6"/>
    <w:rsid w:val="4E8F7CF4"/>
    <w:rsid w:val="4EE10922"/>
    <w:rsid w:val="4F3B47E8"/>
    <w:rsid w:val="4F3E5B72"/>
    <w:rsid w:val="4F882F35"/>
    <w:rsid w:val="4F9C74D5"/>
    <w:rsid w:val="4FE679A7"/>
    <w:rsid w:val="4FE840E6"/>
    <w:rsid w:val="50010753"/>
    <w:rsid w:val="50090D09"/>
    <w:rsid w:val="500B71A4"/>
    <w:rsid w:val="50755E6C"/>
    <w:rsid w:val="50795EBC"/>
    <w:rsid w:val="50AB1A62"/>
    <w:rsid w:val="50BF6BE8"/>
    <w:rsid w:val="51183C80"/>
    <w:rsid w:val="511C22AE"/>
    <w:rsid w:val="51456CD1"/>
    <w:rsid w:val="522A7FC1"/>
    <w:rsid w:val="52C46D79"/>
    <w:rsid w:val="52DD37A9"/>
    <w:rsid w:val="53372935"/>
    <w:rsid w:val="539A2957"/>
    <w:rsid w:val="53A5652C"/>
    <w:rsid w:val="53C646E4"/>
    <w:rsid w:val="53C876EF"/>
    <w:rsid w:val="53DE45D6"/>
    <w:rsid w:val="549C3D50"/>
    <w:rsid w:val="54A07F9F"/>
    <w:rsid w:val="54A85C20"/>
    <w:rsid w:val="55054AAE"/>
    <w:rsid w:val="551C7020"/>
    <w:rsid w:val="552A1E7A"/>
    <w:rsid w:val="55362244"/>
    <w:rsid w:val="554E1AE0"/>
    <w:rsid w:val="558A20A7"/>
    <w:rsid w:val="562422F7"/>
    <w:rsid w:val="564E4C07"/>
    <w:rsid w:val="5657153E"/>
    <w:rsid w:val="5695591B"/>
    <w:rsid w:val="56A428CB"/>
    <w:rsid w:val="56CC0D48"/>
    <w:rsid w:val="56D22183"/>
    <w:rsid w:val="56D90887"/>
    <w:rsid w:val="56F541D8"/>
    <w:rsid w:val="56F90C53"/>
    <w:rsid w:val="56FC38DD"/>
    <w:rsid w:val="57104C56"/>
    <w:rsid w:val="575E5568"/>
    <w:rsid w:val="577F1FDA"/>
    <w:rsid w:val="579C1EFF"/>
    <w:rsid w:val="57A94647"/>
    <w:rsid w:val="57F50615"/>
    <w:rsid w:val="58033C1C"/>
    <w:rsid w:val="58257BB0"/>
    <w:rsid w:val="582676AE"/>
    <w:rsid w:val="587670CA"/>
    <w:rsid w:val="58B95791"/>
    <w:rsid w:val="58DB5A41"/>
    <w:rsid w:val="591C178D"/>
    <w:rsid w:val="59323D77"/>
    <w:rsid w:val="59541E79"/>
    <w:rsid w:val="59BA1FB8"/>
    <w:rsid w:val="59FA4F0F"/>
    <w:rsid w:val="5A7D67B6"/>
    <w:rsid w:val="5A9D6FB9"/>
    <w:rsid w:val="5B9242D5"/>
    <w:rsid w:val="5BA37FCD"/>
    <w:rsid w:val="5BAD5E9A"/>
    <w:rsid w:val="5BF37E30"/>
    <w:rsid w:val="5C002948"/>
    <w:rsid w:val="5C3D0E1E"/>
    <w:rsid w:val="5D056076"/>
    <w:rsid w:val="5D1A0A26"/>
    <w:rsid w:val="5D25114A"/>
    <w:rsid w:val="5D31207E"/>
    <w:rsid w:val="5D5749EC"/>
    <w:rsid w:val="5D7E0FB5"/>
    <w:rsid w:val="5D9D5E1D"/>
    <w:rsid w:val="5DA56B37"/>
    <w:rsid w:val="5DAA2507"/>
    <w:rsid w:val="5E1F5AE8"/>
    <w:rsid w:val="5E5A1881"/>
    <w:rsid w:val="5E822A4A"/>
    <w:rsid w:val="5E847F27"/>
    <w:rsid w:val="5E985640"/>
    <w:rsid w:val="5EB23D46"/>
    <w:rsid w:val="5EC956D2"/>
    <w:rsid w:val="5ECE3E1C"/>
    <w:rsid w:val="5ED722CD"/>
    <w:rsid w:val="5F243F29"/>
    <w:rsid w:val="5F757C38"/>
    <w:rsid w:val="5F7808AE"/>
    <w:rsid w:val="5FFB42B6"/>
    <w:rsid w:val="6035290D"/>
    <w:rsid w:val="60371E35"/>
    <w:rsid w:val="60514499"/>
    <w:rsid w:val="60A223A0"/>
    <w:rsid w:val="60A87B16"/>
    <w:rsid w:val="60AC2370"/>
    <w:rsid w:val="60B345D4"/>
    <w:rsid w:val="610A7E58"/>
    <w:rsid w:val="612D212E"/>
    <w:rsid w:val="61685397"/>
    <w:rsid w:val="617B0AAB"/>
    <w:rsid w:val="61B32C73"/>
    <w:rsid w:val="61C138E8"/>
    <w:rsid w:val="61E569E0"/>
    <w:rsid w:val="61FD78BE"/>
    <w:rsid w:val="62297241"/>
    <w:rsid w:val="625A0317"/>
    <w:rsid w:val="62651044"/>
    <w:rsid w:val="629E6C38"/>
    <w:rsid w:val="62DE7630"/>
    <w:rsid w:val="62F86379"/>
    <w:rsid w:val="63045A1F"/>
    <w:rsid w:val="63053D62"/>
    <w:rsid w:val="634B4E22"/>
    <w:rsid w:val="634E7139"/>
    <w:rsid w:val="636B5EBC"/>
    <w:rsid w:val="63CA40E4"/>
    <w:rsid w:val="63E5565A"/>
    <w:rsid w:val="64264F51"/>
    <w:rsid w:val="645B3B68"/>
    <w:rsid w:val="64606C85"/>
    <w:rsid w:val="64DF2B43"/>
    <w:rsid w:val="652248D5"/>
    <w:rsid w:val="655F37A1"/>
    <w:rsid w:val="657123B4"/>
    <w:rsid w:val="65AE1BAE"/>
    <w:rsid w:val="664A2E5F"/>
    <w:rsid w:val="664D5EC2"/>
    <w:rsid w:val="66BF4765"/>
    <w:rsid w:val="66EB62DE"/>
    <w:rsid w:val="67003A73"/>
    <w:rsid w:val="67386876"/>
    <w:rsid w:val="67506908"/>
    <w:rsid w:val="67531E2F"/>
    <w:rsid w:val="675B4115"/>
    <w:rsid w:val="67763D4A"/>
    <w:rsid w:val="67A01F82"/>
    <w:rsid w:val="67EB1AD0"/>
    <w:rsid w:val="68393E58"/>
    <w:rsid w:val="683A528F"/>
    <w:rsid w:val="68AA48DA"/>
    <w:rsid w:val="68AC2CF6"/>
    <w:rsid w:val="68D54792"/>
    <w:rsid w:val="68D82D9A"/>
    <w:rsid w:val="68E459C1"/>
    <w:rsid w:val="690A0C77"/>
    <w:rsid w:val="690D6D80"/>
    <w:rsid w:val="69400D4D"/>
    <w:rsid w:val="69625C3B"/>
    <w:rsid w:val="6991631B"/>
    <w:rsid w:val="69960D5D"/>
    <w:rsid w:val="699E685E"/>
    <w:rsid w:val="69AA1981"/>
    <w:rsid w:val="6A000436"/>
    <w:rsid w:val="6A1663A2"/>
    <w:rsid w:val="6A212E7F"/>
    <w:rsid w:val="6A376637"/>
    <w:rsid w:val="6A8D7902"/>
    <w:rsid w:val="6B3029F3"/>
    <w:rsid w:val="6B6A0368"/>
    <w:rsid w:val="6B8E2363"/>
    <w:rsid w:val="6B9246C9"/>
    <w:rsid w:val="6BB3513A"/>
    <w:rsid w:val="6BD66A37"/>
    <w:rsid w:val="6C1C48C2"/>
    <w:rsid w:val="6C234897"/>
    <w:rsid w:val="6C7960AB"/>
    <w:rsid w:val="6C8113CB"/>
    <w:rsid w:val="6C884F7A"/>
    <w:rsid w:val="6C973CB0"/>
    <w:rsid w:val="6C9C7F3A"/>
    <w:rsid w:val="6CE35466"/>
    <w:rsid w:val="6D1B431A"/>
    <w:rsid w:val="6D204ADF"/>
    <w:rsid w:val="6D3A00F9"/>
    <w:rsid w:val="6D6D2C0B"/>
    <w:rsid w:val="6D802707"/>
    <w:rsid w:val="6DBA4C92"/>
    <w:rsid w:val="6E1D034A"/>
    <w:rsid w:val="6E516D5B"/>
    <w:rsid w:val="6ECC5A01"/>
    <w:rsid w:val="6EF14839"/>
    <w:rsid w:val="6F26561E"/>
    <w:rsid w:val="6F435211"/>
    <w:rsid w:val="6F462634"/>
    <w:rsid w:val="6F684E41"/>
    <w:rsid w:val="6F6C36F5"/>
    <w:rsid w:val="6F954E80"/>
    <w:rsid w:val="6F9F0634"/>
    <w:rsid w:val="6FC92EBD"/>
    <w:rsid w:val="7026759E"/>
    <w:rsid w:val="7078428E"/>
    <w:rsid w:val="70B86D64"/>
    <w:rsid w:val="70D56AB2"/>
    <w:rsid w:val="70F52DB1"/>
    <w:rsid w:val="71474634"/>
    <w:rsid w:val="715C1A0D"/>
    <w:rsid w:val="71670655"/>
    <w:rsid w:val="718E1589"/>
    <w:rsid w:val="71966EF5"/>
    <w:rsid w:val="71AE3EAF"/>
    <w:rsid w:val="71D3089A"/>
    <w:rsid w:val="72477CBE"/>
    <w:rsid w:val="72684D25"/>
    <w:rsid w:val="732A0A91"/>
    <w:rsid w:val="73376B76"/>
    <w:rsid w:val="7361609C"/>
    <w:rsid w:val="7363305A"/>
    <w:rsid w:val="73823E65"/>
    <w:rsid w:val="738F426C"/>
    <w:rsid w:val="73994D87"/>
    <w:rsid w:val="73BD7849"/>
    <w:rsid w:val="74341EB6"/>
    <w:rsid w:val="744B61C8"/>
    <w:rsid w:val="74781549"/>
    <w:rsid w:val="7484505F"/>
    <w:rsid w:val="74B6604D"/>
    <w:rsid w:val="74C928C8"/>
    <w:rsid w:val="74E527D3"/>
    <w:rsid w:val="74EE250C"/>
    <w:rsid w:val="75682F59"/>
    <w:rsid w:val="757645E6"/>
    <w:rsid w:val="75CE7E20"/>
    <w:rsid w:val="766005C6"/>
    <w:rsid w:val="766B38BD"/>
    <w:rsid w:val="76C318DA"/>
    <w:rsid w:val="77493659"/>
    <w:rsid w:val="77DD0911"/>
    <w:rsid w:val="77F02C20"/>
    <w:rsid w:val="78010DC2"/>
    <w:rsid w:val="78372EEC"/>
    <w:rsid w:val="78846CF5"/>
    <w:rsid w:val="78927A51"/>
    <w:rsid w:val="78A52E33"/>
    <w:rsid w:val="78C41E6C"/>
    <w:rsid w:val="793821A5"/>
    <w:rsid w:val="79792225"/>
    <w:rsid w:val="79B75EA3"/>
    <w:rsid w:val="79D7223F"/>
    <w:rsid w:val="79F67086"/>
    <w:rsid w:val="7A2B119E"/>
    <w:rsid w:val="7A347AB3"/>
    <w:rsid w:val="7A4F7F19"/>
    <w:rsid w:val="7A547154"/>
    <w:rsid w:val="7A7E4CD5"/>
    <w:rsid w:val="7AA2418C"/>
    <w:rsid w:val="7AA31C11"/>
    <w:rsid w:val="7AB928EB"/>
    <w:rsid w:val="7ACB713A"/>
    <w:rsid w:val="7ADA5FD2"/>
    <w:rsid w:val="7AED7EAE"/>
    <w:rsid w:val="7B2C57EF"/>
    <w:rsid w:val="7B384B5D"/>
    <w:rsid w:val="7B5B4C8B"/>
    <w:rsid w:val="7B7948F1"/>
    <w:rsid w:val="7B910D5D"/>
    <w:rsid w:val="7BA5334A"/>
    <w:rsid w:val="7C0E48E3"/>
    <w:rsid w:val="7C3E7E36"/>
    <w:rsid w:val="7C417FE9"/>
    <w:rsid w:val="7C533FE0"/>
    <w:rsid w:val="7CC0215D"/>
    <w:rsid w:val="7D3F2FEA"/>
    <w:rsid w:val="7D751253"/>
    <w:rsid w:val="7D983576"/>
    <w:rsid w:val="7DA34B71"/>
    <w:rsid w:val="7DA908E3"/>
    <w:rsid w:val="7DBD540F"/>
    <w:rsid w:val="7E657767"/>
    <w:rsid w:val="7E6C7772"/>
    <w:rsid w:val="7E6E0110"/>
    <w:rsid w:val="7E7146EC"/>
    <w:rsid w:val="7E8A54C7"/>
    <w:rsid w:val="7EF62354"/>
    <w:rsid w:val="7F132354"/>
    <w:rsid w:val="7F1C2150"/>
    <w:rsid w:val="7F3E6D8A"/>
    <w:rsid w:val="7F911CC9"/>
    <w:rsid w:val="7FE16D34"/>
    <w:rsid w:val="7FE358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480" w:lineRule="auto"/>
      <w:jc w:val="center"/>
      <w:outlineLvl w:val="0"/>
    </w:pPr>
    <w:rPr>
      <w:rFonts w:ascii="Times New Roman" w:hAnsi="Times New Roman" w:eastAsia="宋体"/>
      <w:b/>
      <w:bCs/>
      <w:kern w:val="44"/>
      <w:sz w:val="36"/>
      <w:szCs w:val="44"/>
    </w:rPr>
  </w:style>
  <w:style w:type="paragraph" w:styleId="4">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5">
    <w:name w:val="heading 3"/>
    <w:basedOn w:val="1"/>
    <w:next w:val="1"/>
    <w:link w:val="41"/>
    <w:qFormat/>
    <w:uiPriority w:val="0"/>
    <w:pPr>
      <w:keepNext/>
      <w:keepLines/>
      <w:spacing w:before="260" w:beforeLines="0" w:beforeAutospacing="0" w:after="260" w:afterLines="0" w:afterAutospacing="0" w:line="240" w:lineRule="auto"/>
      <w:outlineLvl w:val="2"/>
    </w:pPr>
    <w:rPr>
      <w:rFonts w:ascii="Calibri" w:hAnsi="Calibri" w:eastAsia="宋体"/>
      <w:b/>
      <w:sz w:val="32"/>
    </w:rPr>
  </w:style>
  <w:style w:type="paragraph" w:styleId="6">
    <w:name w:val="heading 4"/>
    <w:basedOn w:val="1"/>
    <w:next w:val="1"/>
    <w:qFormat/>
    <w:uiPriority w:val="0"/>
    <w:pPr>
      <w:keepNext/>
      <w:spacing w:before="240" w:after="60"/>
      <w:outlineLvl w:val="3"/>
    </w:pPr>
    <w:rPr>
      <w:b/>
      <w:bCs/>
      <w:sz w:val="28"/>
      <w:szCs w:val="28"/>
    </w:rPr>
  </w:style>
  <w:style w:type="character" w:default="1" w:styleId="26">
    <w:name w:val="Default Paragraph Font"/>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spacing w:line="360" w:lineRule="auto"/>
      <w:ind w:firstLine="480" w:firstLineChars="200"/>
    </w:pPr>
    <w:rPr>
      <w:rFonts w:ascii="宋体" w:hAnsi="宋体"/>
      <w:kern w:val="0"/>
      <w:sz w:val="24"/>
    </w:rPr>
  </w:style>
  <w:style w:type="paragraph" w:styleId="7">
    <w:name w:val="table of authorities"/>
    <w:basedOn w:val="1"/>
    <w:next w:val="1"/>
    <w:autoRedefine/>
    <w:qFormat/>
    <w:uiPriority w:val="0"/>
    <w:pPr>
      <w:ind w:left="420" w:leftChars="200"/>
    </w:pPr>
  </w:style>
  <w:style w:type="paragraph" w:styleId="8">
    <w:name w:val="index 8"/>
    <w:basedOn w:val="1"/>
    <w:next w:val="1"/>
    <w:autoRedefine/>
    <w:qFormat/>
    <w:uiPriority w:val="0"/>
    <w:pPr>
      <w:ind w:left="2940"/>
    </w:pPr>
  </w:style>
  <w:style w:type="paragraph" w:styleId="9">
    <w:name w:val="annotation text"/>
    <w:basedOn w:val="1"/>
    <w:autoRedefine/>
    <w:qFormat/>
    <w:uiPriority w:val="0"/>
    <w:pPr>
      <w:jc w:val="left"/>
    </w:pPr>
  </w:style>
  <w:style w:type="paragraph" w:styleId="10">
    <w:name w:val="Body Text"/>
    <w:basedOn w:val="1"/>
    <w:next w:val="11"/>
    <w:autoRedefine/>
    <w:qFormat/>
    <w:uiPriority w:val="0"/>
  </w:style>
  <w:style w:type="paragraph" w:styleId="11">
    <w:name w:val="Body Text First Indent 2"/>
    <w:basedOn w:val="12"/>
    <w:autoRedefine/>
    <w:unhideWhenUsed/>
    <w:qFormat/>
    <w:uiPriority w:val="99"/>
    <w:pPr>
      <w:ind w:firstLine="420" w:firstLineChars="200"/>
    </w:pPr>
  </w:style>
  <w:style w:type="paragraph" w:styleId="12">
    <w:name w:val="Body Text Indent"/>
    <w:basedOn w:val="1"/>
    <w:next w:val="13"/>
    <w:autoRedefine/>
    <w:qFormat/>
    <w:uiPriority w:val="0"/>
    <w:pPr>
      <w:spacing w:after="120"/>
      <w:ind w:left="420" w:leftChars="200"/>
    </w:pPr>
  </w:style>
  <w:style w:type="paragraph" w:styleId="13">
    <w:name w:val="envelope return"/>
    <w:basedOn w:val="1"/>
    <w:autoRedefine/>
    <w:qFormat/>
    <w:uiPriority w:val="0"/>
    <w:pPr>
      <w:snapToGrid w:val="0"/>
    </w:pPr>
    <w:rPr>
      <w:rFonts w:ascii="Arial" w:hAnsi="Arial"/>
    </w:rPr>
  </w:style>
  <w:style w:type="paragraph" w:styleId="14">
    <w:name w:val="Block Text"/>
    <w:basedOn w:val="1"/>
    <w:autoRedefine/>
    <w:qFormat/>
    <w:uiPriority w:val="0"/>
    <w:pPr>
      <w:adjustRightInd w:val="0"/>
      <w:spacing w:line="240" w:lineRule="auto"/>
      <w:ind w:left="420" w:right="33" w:firstLine="0" w:firstLineChars="0"/>
      <w:jc w:val="left"/>
      <w:textAlignment w:val="baseline"/>
    </w:pPr>
    <w:rPr>
      <w:rFonts w:ascii="Times New Roman" w:hAnsi="Times New Roman"/>
      <w:kern w:val="0"/>
      <w:szCs w:val="20"/>
    </w:rPr>
  </w:style>
  <w:style w:type="paragraph" w:styleId="15">
    <w:name w:val="toc 3"/>
    <w:basedOn w:val="1"/>
    <w:next w:val="1"/>
    <w:autoRedefine/>
    <w:unhideWhenUsed/>
    <w:qFormat/>
    <w:uiPriority w:val="39"/>
    <w:pPr>
      <w:ind w:left="840" w:leftChars="400"/>
    </w:pPr>
  </w:style>
  <w:style w:type="paragraph" w:styleId="16">
    <w:name w:val="Plain Text"/>
    <w:basedOn w:val="1"/>
    <w:next w:val="8"/>
    <w:autoRedefine/>
    <w:qFormat/>
    <w:uiPriority w:val="99"/>
    <w:rPr>
      <w:rFonts w:ascii="宋体" w:hAnsi="Courier New"/>
      <w:szCs w:val="20"/>
    </w:rPr>
  </w:style>
  <w:style w:type="paragraph" w:styleId="17">
    <w:name w:val="footer"/>
    <w:basedOn w:val="1"/>
    <w:autoRedefine/>
    <w:qFormat/>
    <w:uiPriority w:val="99"/>
    <w:pPr>
      <w:tabs>
        <w:tab w:val="center" w:pos="4153"/>
        <w:tab w:val="right" w:pos="8306"/>
      </w:tabs>
      <w:snapToGrid w:val="0"/>
      <w:jc w:val="left"/>
    </w:pPr>
    <w:rPr>
      <w:sz w:val="18"/>
      <w:szCs w:val="18"/>
    </w:rPr>
  </w:style>
  <w:style w:type="paragraph" w:styleId="1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style>
  <w:style w:type="paragraph" w:styleId="20">
    <w:name w:val="toc 2"/>
    <w:basedOn w:val="1"/>
    <w:next w:val="1"/>
    <w:autoRedefine/>
    <w:unhideWhenUsed/>
    <w:qFormat/>
    <w:uiPriority w:val="39"/>
    <w:pPr>
      <w:ind w:left="420" w:leftChars="200"/>
    </w:pPr>
  </w:style>
  <w:style w:type="paragraph" w:styleId="21">
    <w:name w:val="List 4"/>
    <w:basedOn w:val="1"/>
    <w:autoRedefine/>
    <w:qFormat/>
    <w:uiPriority w:val="0"/>
    <w:pPr>
      <w:ind w:left="100" w:leftChars="600" w:hanging="200" w:hangingChars="200"/>
      <w:contextualSpacing/>
    </w:pPr>
  </w:style>
  <w:style w:type="paragraph" w:styleId="2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3">
    <w:name w:val="Body Text First Indent"/>
    <w:basedOn w:val="10"/>
    <w:autoRedefine/>
    <w:qFormat/>
    <w:uiPriority w:val="0"/>
    <w:pPr>
      <w:ind w:firstLine="420" w:firstLineChars="100"/>
    </w:pPr>
    <w:rPr>
      <w:rFonts w:ascii="Times New Roman" w:hAnsi="Times New Roman"/>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style>
  <w:style w:type="character" w:styleId="28">
    <w:name w:val="FollowedHyperlink"/>
    <w:basedOn w:val="26"/>
    <w:qFormat/>
    <w:uiPriority w:val="0"/>
    <w:rPr>
      <w:color w:val="800080"/>
      <w:u w:val="none"/>
    </w:rPr>
  </w:style>
  <w:style w:type="character" w:styleId="29">
    <w:name w:val="Emphasis"/>
    <w:basedOn w:val="26"/>
    <w:qFormat/>
    <w:uiPriority w:val="0"/>
  </w:style>
  <w:style w:type="character" w:styleId="30">
    <w:name w:val="HTML Definition"/>
    <w:basedOn w:val="26"/>
    <w:qFormat/>
    <w:uiPriority w:val="0"/>
  </w:style>
  <w:style w:type="character" w:styleId="31">
    <w:name w:val="HTML Typewriter"/>
    <w:basedOn w:val="26"/>
    <w:qFormat/>
    <w:uiPriority w:val="0"/>
    <w:rPr>
      <w:rFonts w:ascii="monospace" w:hAnsi="monospace" w:eastAsia="monospace" w:cs="monospace"/>
      <w:sz w:val="20"/>
    </w:rPr>
  </w:style>
  <w:style w:type="character" w:styleId="32">
    <w:name w:val="HTML Acronym"/>
    <w:basedOn w:val="26"/>
    <w:qFormat/>
    <w:uiPriority w:val="0"/>
  </w:style>
  <w:style w:type="character" w:styleId="33">
    <w:name w:val="HTML Variable"/>
    <w:basedOn w:val="26"/>
    <w:qFormat/>
    <w:uiPriority w:val="0"/>
  </w:style>
  <w:style w:type="character" w:styleId="34">
    <w:name w:val="Hyperlink"/>
    <w:basedOn w:val="26"/>
    <w:qFormat/>
    <w:uiPriority w:val="0"/>
    <w:rPr>
      <w:color w:val="0000FF"/>
      <w:u w:val="none"/>
    </w:rPr>
  </w:style>
  <w:style w:type="character" w:styleId="35">
    <w:name w:val="HTML Code"/>
    <w:basedOn w:val="26"/>
    <w:qFormat/>
    <w:uiPriority w:val="0"/>
    <w:rPr>
      <w:rFonts w:hint="default" w:ascii="monospace" w:hAnsi="monospace" w:eastAsia="monospace" w:cs="monospace"/>
      <w:sz w:val="20"/>
    </w:rPr>
  </w:style>
  <w:style w:type="character" w:styleId="36">
    <w:name w:val="HTML Cite"/>
    <w:basedOn w:val="26"/>
    <w:qFormat/>
    <w:uiPriority w:val="0"/>
  </w:style>
  <w:style w:type="character" w:styleId="37">
    <w:name w:val="HTML Keyboard"/>
    <w:basedOn w:val="26"/>
    <w:qFormat/>
    <w:uiPriority w:val="0"/>
    <w:rPr>
      <w:rFonts w:hint="default" w:ascii="monospace" w:hAnsi="monospace" w:eastAsia="monospace" w:cs="monospace"/>
      <w:sz w:val="20"/>
    </w:rPr>
  </w:style>
  <w:style w:type="character" w:styleId="38">
    <w:name w:val="HTML Sample"/>
    <w:basedOn w:val="26"/>
    <w:qFormat/>
    <w:uiPriority w:val="0"/>
    <w:rPr>
      <w:rFonts w:hint="default" w:ascii="monospace" w:hAnsi="monospace" w:eastAsia="monospace" w:cs="monospace"/>
    </w:rPr>
  </w:style>
  <w:style w:type="paragraph" w:customStyle="1" w:styleId="39">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
    <w:name w:val="List Paragraph"/>
    <w:basedOn w:val="1"/>
    <w:qFormat/>
    <w:uiPriority w:val="99"/>
    <w:pPr>
      <w:ind w:firstLine="420" w:firstLineChars="200"/>
    </w:pPr>
    <w:rPr>
      <w:rFonts w:ascii="Times New Roman" w:hAnsi="Times New Roman"/>
    </w:rPr>
  </w:style>
  <w:style w:type="character" w:customStyle="1" w:styleId="41">
    <w:name w:val="标题 3 字符"/>
    <w:link w:val="5"/>
    <w:qFormat/>
    <w:uiPriority w:val="0"/>
    <w:rPr>
      <w:rFonts w:ascii="Calibri" w:hAnsi="Calibri" w:eastAsia="宋体"/>
      <w:b/>
      <w:sz w:val="32"/>
    </w:rPr>
  </w:style>
  <w:style w:type="paragraph" w:customStyle="1" w:styleId="42">
    <w:name w:val="Char1 Char Char Char Char Char Char"/>
    <w:basedOn w:val="1"/>
    <w:qFormat/>
    <w:uiPriority w:val="0"/>
    <w:rPr>
      <w:rFonts w:ascii="Tahoma" w:hAnsi="Tahoma"/>
      <w:sz w:val="24"/>
      <w:szCs w:val="20"/>
    </w:rPr>
  </w:style>
  <w:style w:type="paragraph" w:customStyle="1" w:styleId="43">
    <w:name w:val="Char"/>
    <w:basedOn w:val="1"/>
    <w:qFormat/>
    <w:uiPriority w:val="0"/>
  </w:style>
  <w:style w:type="character" w:customStyle="1" w:styleId="44">
    <w:name w:val="font21"/>
    <w:basedOn w:val="26"/>
    <w:qFormat/>
    <w:uiPriority w:val="0"/>
    <w:rPr>
      <w:rFonts w:hint="eastAsia" w:ascii="宋体" w:hAnsi="宋体" w:eastAsia="宋体" w:cs="宋体"/>
      <w:color w:val="000000"/>
      <w:sz w:val="21"/>
      <w:szCs w:val="21"/>
      <w:u w:val="none"/>
    </w:rPr>
  </w:style>
  <w:style w:type="character" w:customStyle="1" w:styleId="45">
    <w:name w:val="font01"/>
    <w:basedOn w:val="26"/>
    <w:qFormat/>
    <w:uiPriority w:val="0"/>
    <w:rPr>
      <w:rFonts w:hint="default" w:ascii="Calibri" w:hAnsi="Calibri" w:cs="Calibri"/>
      <w:color w:val="000000"/>
      <w:sz w:val="21"/>
      <w:szCs w:val="21"/>
      <w:u w:val="none"/>
    </w:rPr>
  </w:style>
  <w:style w:type="paragraph" w:customStyle="1" w:styleId="46">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7">
    <w:name w:val="NormalCharacter"/>
    <w:semiHidden/>
    <w:qFormat/>
    <w:uiPriority w:val="0"/>
  </w:style>
  <w:style w:type="paragraph" w:customStyle="1" w:styleId="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49">
    <w:name w:val="null3"/>
    <w:qFormat/>
    <w:uiPriority w:val="0"/>
    <w:rPr>
      <w:rFonts w:hint="eastAsia" w:ascii="Calibri" w:hAnsi="Calibri" w:eastAsia="宋体" w:cs="Times New Roman"/>
      <w:sz w:val="21"/>
      <w:szCs w:val="22"/>
      <w:lang w:val="en-US" w:eastAsia="zh-Hans" w:bidi="ar-SA"/>
    </w:rPr>
  </w:style>
  <w:style w:type="paragraph" w:customStyle="1" w:styleId="50">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34759</Words>
  <Characters>37599</Characters>
  <Lines>0</Lines>
  <Paragraphs>0</Paragraphs>
  <TotalTime>2</TotalTime>
  <ScaleCrop>false</ScaleCrop>
  <LinksUpToDate>false</LinksUpToDate>
  <CharactersWithSpaces>40660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2021-07-09T04:30:00Z</dcterms:created>
  <dc:creator>Administrator</dc:creator>
  <cp:lastModifiedBy>Administrator</cp:lastModifiedBy>
  <cp:lastPrinted>2024-01-25T07:29:00Z</cp:lastPrinted>
  <dcterms:modified xsi:type="dcterms:W3CDTF">2024-04-07T01:27:29Z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51FEC1FC368A4D89BDF16B9E9CF9C48A</vt:lpwstr>
  </property>
</Properties>
</file>