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line="360" w:lineRule="auto"/>
        <w:jc w:val="center"/>
        <w:rPr>
          <w:rFonts w:hint="eastAsia"/>
          <w:color w:val="auto"/>
          <w:sz w:val="52"/>
          <w:szCs w:val="52"/>
          <w:highlight w:val="none"/>
        </w:rPr>
      </w:pPr>
    </w:p>
    <w:p>
      <w:pPr>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广西科联招标中心有限公司</w:t>
      </w:r>
    </w:p>
    <w:p>
      <w:pPr>
        <w:jc w:val="center"/>
        <w:rPr>
          <w:rFonts w:hint="eastAsia" w:ascii="宋体" w:hAnsi="宋体" w:cs="宋体"/>
          <w:b/>
          <w:color w:val="auto"/>
          <w:sz w:val="32"/>
          <w:szCs w:val="32"/>
          <w:highlight w:val="none"/>
        </w:rPr>
      </w:pPr>
    </w:p>
    <w:p>
      <w:pPr>
        <w:jc w:val="center"/>
        <w:rPr>
          <w:rFonts w:hint="eastAsia"/>
          <w:color w:val="auto"/>
          <w:highlight w:val="none"/>
        </w:rPr>
      </w:pPr>
    </w:p>
    <w:p>
      <w:pPr>
        <w:jc w:val="center"/>
        <w:rPr>
          <w:rFonts w:hint="eastAsia" w:ascii="宋体" w:hAnsi="宋体" w:cs="宋体"/>
          <w:b/>
          <w:bCs/>
          <w:color w:val="auto"/>
          <w:kern w:val="0"/>
          <w:sz w:val="30"/>
          <w:szCs w:val="30"/>
          <w:highlight w:val="none"/>
        </w:rPr>
      </w:pPr>
    </w:p>
    <w:p>
      <w:pPr>
        <w:pStyle w:val="24"/>
        <w:jc w:val="center"/>
        <w:rPr>
          <w:rFonts w:hint="eastAsia"/>
          <w:color w:val="auto"/>
          <w:highlight w:val="none"/>
        </w:rPr>
      </w:pPr>
    </w:p>
    <w:p>
      <w:pPr>
        <w:spacing w:before="240" w:beforeLines="100" w:after="120" w:afterLines="50"/>
        <w:jc w:val="center"/>
        <w:rPr>
          <w:rFonts w:hint="eastAsia" w:ascii="宋体" w:hAnsi="宋体" w:eastAsia="宋体" w:cs="宋体"/>
          <w:b/>
          <w:color w:val="auto"/>
          <w:sz w:val="44"/>
          <w:szCs w:val="44"/>
          <w:highlight w:val="none"/>
        </w:rPr>
      </w:pPr>
      <w:r>
        <w:rPr>
          <w:rFonts w:hint="eastAsia" w:ascii="宋体" w:hAnsi="宋体" w:eastAsia="宋体" w:cs="宋体"/>
          <w:color w:val="auto"/>
          <w:spacing w:val="116"/>
          <w:sz w:val="52"/>
          <w:highlight w:val="none"/>
        </w:rPr>
        <w:t xml:space="preserve"> </w:t>
      </w:r>
      <w:r>
        <w:rPr>
          <w:rFonts w:hint="eastAsia" w:ascii="宋体" w:hAnsi="宋体" w:eastAsia="宋体" w:cs="宋体"/>
          <w:b/>
          <w:bCs/>
          <w:color w:val="auto"/>
          <w:spacing w:val="100"/>
          <w:sz w:val="84"/>
          <w:szCs w:val="84"/>
          <w:highlight w:val="none"/>
        </w:rPr>
        <w:t>竞争性磋商文</w:t>
      </w:r>
      <w:r>
        <w:rPr>
          <w:rFonts w:hint="eastAsia" w:ascii="宋体" w:hAnsi="宋体" w:eastAsia="宋体" w:cs="宋体"/>
          <w:b/>
          <w:bCs/>
          <w:color w:val="auto"/>
          <w:sz w:val="84"/>
          <w:szCs w:val="84"/>
          <w:highlight w:val="none"/>
        </w:rPr>
        <w:t>件</w:t>
      </w:r>
    </w:p>
    <w:p>
      <w:pPr>
        <w:spacing w:before="240" w:beforeLines="100" w:after="120" w:afterLines="5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（全流程电子化评标）</w:t>
      </w:r>
    </w:p>
    <w:p>
      <w:pPr>
        <w:jc w:val="center"/>
        <w:rPr>
          <w:rFonts w:hint="eastAsia" w:ascii="宋体" w:hAnsi="宋体" w:cs="宋体"/>
          <w:b/>
          <w:color w:val="auto"/>
          <w:sz w:val="32"/>
          <w:szCs w:val="32"/>
          <w:highlight w:val="none"/>
        </w:rPr>
      </w:pPr>
    </w:p>
    <w:p>
      <w:pPr>
        <w:jc w:val="center"/>
        <w:rPr>
          <w:rFonts w:hint="eastAsia"/>
          <w:color w:val="auto"/>
          <w:highlight w:val="none"/>
        </w:rPr>
      </w:pPr>
    </w:p>
    <w:p>
      <w:pPr>
        <w:jc w:val="center"/>
        <w:rPr>
          <w:rFonts w:hint="eastAsia" w:ascii="宋体" w:hAnsi="宋体" w:cs="宋体"/>
          <w:b/>
          <w:bCs/>
          <w:color w:val="auto"/>
          <w:kern w:val="0"/>
          <w:sz w:val="30"/>
          <w:szCs w:val="30"/>
          <w:highlight w:val="none"/>
        </w:rPr>
      </w:pPr>
    </w:p>
    <w:p>
      <w:pPr>
        <w:pStyle w:val="24"/>
        <w:jc w:val="center"/>
        <w:rPr>
          <w:rFonts w:hint="eastAsia"/>
          <w:color w:val="auto"/>
          <w:highlight w:val="none"/>
        </w:rPr>
      </w:pPr>
    </w:p>
    <w:p>
      <w:pPr>
        <w:snapToGrid w:val="0"/>
        <w:spacing w:before="50" w:after="120" w:line="360" w:lineRule="auto"/>
        <w:jc w:val="center"/>
        <w:rPr>
          <w:rFonts w:hint="eastAsia" w:ascii="宋体" w:hAnsi="宋体" w:eastAsia="宋体" w:cs="宋体"/>
          <w:b/>
          <w:bCs/>
          <w:color w:val="auto"/>
          <w:kern w:val="0"/>
          <w:sz w:val="30"/>
          <w:szCs w:val="30"/>
          <w:highlight w:val="none"/>
          <w:lang w:eastAsia="zh-CN"/>
        </w:rPr>
      </w:pPr>
      <w:r>
        <w:rPr>
          <w:rFonts w:hint="eastAsia" w:ascii="宋体" w:hAnsi="宋体" w:cs="宋体"/>
          <w:b/>
          <w:bCs/>
          <w:color w:val="auto"/>
          <w:kern w:val="0"/>
          <w:sz w:val="30"/>
          <w:szCs w:val="30"/>
          <w:highlight w:val="none"/>
        </w:rPr>
        <w:t>项目</w:t>
      </w:r>
      <w:r>
        <w:rPr>
          <w:rFonts w:hint="eastAsia" w:ascii="宋体" w:hAnsi="宋体" w:cs="宋体"/>
          <w:b/>
          <w:bCs/>
          <w:color w:val="auto"/>
          <w:w w:val="95"/>
          <w:kern w:val="0"/>
          <w:sz w:val="30"/>
          <w:szCs w:val="30"/>
          <w:highlight w:val="none"/>
        </w:rPr>
        <w:t>名称</w:t>
      </w:r>
      <w:r>
        <w:rPr>
          <w:rFonts w:hint="eastAsia" w:ascii="宋体" w:hAnsi="宋体" w:cs="宋体"/>
          <w:b/>
          <w:bCs/>
          <w:color w:val="auto"/>
          <w:kern w:val="0"/>
          <w:sz w:val="30"/>
          <w:szCs w:val="30"/>
          <w:highlight w:val="none"/>
        </w:rPr>
        <w:t>：</w:t>
      </w:r>
      <w:r>
        <w:rPr>
          <w:rFonts w:hint="eastAsia" w:ascii="宋体" w:hAnsi="宋体" w:cs="宋体"/>
          <w:b/>
          <w:bCs/>
          <w:color w:val="auto"/>
          <w:kern w:val="0"/>
          <w:sz w:val="30"/>
          <w:szCs w:val="30"/>
          <w:highlight w:val="none"/>
          <w:lang w:eastAsia="zh-CN"/>
        </w:rPr>
        <w:t>广西壮族自治区工伤保险结余基金审计服务项目</w:t>
      </w:r>
    </w:p>
    <w:p>
      <w:pPr>
        <w:snapToGrid w:val="0"/>
        <w:spacing w:before="50" w:after="120" w:line="360" w:lineRule="auto"/>
        <w:jc w:val="center"/>
        <w:rPr>
          <w:rFonts w:hint="eastAsia" w:ascii="宋体" w:hAnsi="宋体" w:eastAsia="宋体" w:cs="宋体"/>
          <w:b/>
          <w:bCs/>
          <w:color w:val="auto"/>
          <w:kern w:val="0"/>
          <w:sz w:val="30"/>
          <w:szCs w:val="30"/>
          <w:highlight w:val="none"/>
          <w:lang w:eastAsia="zh-CN"/>
        </w:rPr>
      </w:pPr>
      <w:r>
        <w:rPr>
          <w:rFonts w:hint="eastAsia" w:ascii="宋体" w:hAnsi="宋体" w:cs="宋体"/>
          <w:b/>
          <w:bCs/>
          <w:color w:val="auto"/>
          <w:kern w:val="0"/>
          <w:sz w:val="30"/>
          <w:szCs w:val="30"/>
          <w:highlight w:val="none"/>
        </w:rPr>
        <w:t>项目编号：</w:t>
      </w:r>
      <w:r>
        <w:rPr>
          <w:rFonts w:hint="eastAsia" w:ascii="宋体" w:hAnsi="宋体" w:cs="宋体"/>
          <w:b/>
          <w:bCs/>
          <w:color w:val="auto"/>
          <w:kern w:val="0"/>
          <w:sz w:val="30"/>
          <w:szCs w:val="30"/>
          <w:highlight w:val="none"/>
          <w:lang w:eastAsia="zh-CN"/>
        </w:rPr>
        <w:t>GXZC2024-C3-003319-KLZB</w:t>
      </w:r>
    </w:p>
    <w:p>
      <w:pPr>
        <w:jc w:val="center"/>
        <w:rPr>
          <w:rFonts w:hint="eastAsia" w:ascii="宋体" w:hAnsi="宋体" w:cs="宋体"/>
          <w:b/>
          <w:color w:val="auto"/>
          <w:sz w:val="32"/>
          <w:szCs w:val="32"/>
          <w:highlight w:val="none"/>
        </w:rPr>
      </w:pPr>
    </w:p>
    <w:p>
      <w:pPr>
        <w:jc w:val="center"/>
        <w:rPr>
          <w:rFonts w:hint="eastAsia"/>
          <w:color w:val="auto"/>
          <w:highlight w:val="none"/>
        </w:rPr>
      </w:pPr>
    </w:p>
    <w:p>
      <w:pPr>
        <w:jc w:val="center"/>
        <w:rPr>
          <w:rFonts w:hint="eastAsia" w:ascii="宋体" w:hAnsi="宋体" w:cs="宋体"/>
          <w:b/>
          <w:bCs/>
          <w:color w:val="auto"/>
          <w:kern w:val="0"/>
          <w:sz w:val="30"/>
          <w:szCs w:val="30"/>
          <w:highlight w:val="none"/>
        </w:rPr>
      </w:pPr>
    </w:p>
    <w:p>
      <w:pPr>
        <w:pStyle w:val="24"/>
        <w:jc w:val="center"/>
        <w:rPr>
          <w:rFonts w:hint="eastAsia"/>
          <w:color w:val="auto"/>
          <w:highlight w:val="none"/>
        </w:rPr>
      </w:pPr>
    </w:p>
    <w:p>
      <w:pPr>
        <w:pStyle w:val="24"/>
        <w:jc w:val="center"/>
        <w:rPr>
          <w:rFonts w:hint="eastAsia" w:ascii="宋体" w:hAnsi="宋体" w:cs="宋体"/>
          <w:b/>
          <w:bCs/>
          <w:color w:val="auto"/>
          <w:sz w:val="30"/>
          <w:szCs w:val="30"/>
          <w:highlight w:val="none"/>
        </w:rPr>
      </w:pPr>
    </w:p>
    <w:p>
      <w:pPr>
        <w:jc w:val="center"/>
        <w:rPr>
          <w:rFonts w:hint="eastAsia"/>
          <w:color w:val="auto"/>
          <w:highlight w:val="none"/>
        </w:rPr>
      </w:pPr>
    </w:p>
    <w:p>
      <w:pPr>
        <w:snapToGrid w:val="0"/>
        <w:spacing w:before="50" w:after="120" w:line="360" w:lineRule="auto"/>
        <w:jc w:val="center"/>
        <w:rPr>
          <w:rFonts w:hint="eastAsia" w:ascii="宋体" w:hAnsi="宋体" w:eastAsia="宋体" w:cs="宋体"/>
          <w:b/>
          <w:bCs/>
          <w:color w:val="auto"/>
          <w:kern w:val="0"/>
          <w:sz w:val="30"/>
          <w:szCs w:val="30"/>
          <w:highlight w:val="none"/>
          <w:lang w:eastAsia="zh-CN"/>
        </w:rPr>
      </w:pPr>
      <w:r>
        <w:rPr>
          <w:rFonts w:hint="eastAsia" w:ascii="宋体" w:hAnsi="宋体" w:cs="宋体"/>
          <w:b/>
          <w:bCs/>
          <w:color w:val="auto"/>
          <w:kern w:val="0"/>
          <w:sz w:val="30"/>
          <w:szCs w:val="30"/>
          <w:highlight w:val="none"/>
        </w:rPr>
        <w:t>采购人：</w:t>
      </w:r>
      <w:r>
        <w:rPr>
          <w:rFonts w:hint="eastAsia" w:ascii="宋体" w:hAnsi="宋体" w:cs="宋体"/>
          <w:b/>
          <w:bCs/>
          <w:color w:val="auto"/>
          <w:kern w:val="0"/>
          <w:sz w:val="30"/>
          <w:szCs w:val="30"/>
          <w:highlight w:val="none"/>
          <w:lang w:eastAsia="zh-CN"/>
        </w:rPr>
        <w:t>广西壮族自治区人力资源和社会保障厅</w:t>
      </w:r>
    </w:p>
    <w:p>
      <w:pPr>
        <w:snapToGrid w:val="0"/>
        <w:spacing w:before="50" w:after="120" w:line="360" w:lineRule="auto"/>
        <w:jc w:val="cente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采购代理机构：</w:t>
      </w:r>
      <w:bookmarkStart w:id="0" w:name="PO_3000001866_PM031"/>
      <w:r>
        <w:rPr>
          <w:rFonts w:hint="eastAsia" w:ascii="宋体" w:hAnsi="宋体" w:cs="宋体"/>
          <w:b/>
          <w:bCs/>
          <w:color w:val="auto"/>
          <w:kern w:val="0"/>
          <w:sz w:val="30"/>
          <w:szCs w:val="30"/>
          <w:highlight w:val="none"/>
        </w:rPr>
        <w:t>广西科联招标中心有限公司</w:t>
      </w:r>
      <w:bookmarkEnd w:id="0"/>
    </w:p>
    <w:p>
      <w:pPr>
        <w:pStyle w:val="24"/>
        <w:jc w:val="center"/>
        <w:rPr>
          <w:rFonts w:hint="eastAsia"/>
          <w:color w:val="auto"/>
          <w:highlight w:val="none"/>
        </w:rPr>
      </w:pPr>
    </w:p>
    <w:p>
      <w:pPr>
        <w:jc w:val="center"/>
        <w:rPr>
          <w:rFonts w:hint="eastAsia"/>
          <w:color w:val="auto"/>
          <w:highlight w:val="none"/>
        </w:rPr>
      </w:pPr>
    </w:p>
    <w:p>
      <w:pPr>
        <w:snapToGrid w:val="0"/>
        <w:spacing w:before="50" w:after="120" w:line="360" w:lineRule="auto"/>
        <w:jc w:val="center"/>
        <w:rPr>
          <w:rFonts w:hint="eastAsia" w:ascii="宋体" w:hAnsi="宋体" w:eastAsia="宋体" w:cs="宋体"/>
          <w:b/>
          <w:bCs/>
          <w:color w:val="auto"/>
          <w:w w:val="95"/>
          <w:kern w:val="0"/>
          <w:sz w:val="30"/>
          <w:szCs w:val="30"/>
          <w:highlight w:val="none"/>
          <w:lang w:eastAsia="zh-CN"/>
        </w:rPr>
      </w:pPr>
      <w:r>
        <w:rPr>
          <w:rFonts w:hint="eastAsia" w:ascii="宋体" w:hAnsi="宋体" w:cs="宋体"/>
          <w:b/>
          <w:bCs/>
          <w:color w:val="auto"/>
          <w:w w:val="95"/>
          <w:kern w:val="0"/>
          <w:sz w:val="30"/>
          <w:szCs w:val="30"/>
          <w:highlight w:val="none"/>
        </w:rPr>
        <w:t xml:space="preserve"> </w:t>
      </w:r>
      <w:r>
        <w:rPr>
          <w:rFonts w:hint="eastAsia" w:ascii="宋体" w:hAnsi="宋体" w:cs="宋体"/>
          <w:b/>
          <w:bCs/>
          <w:color w:val="auto"/>
          <w:w w:val="95"/>
          <w:kern w:val="0"/>
          <w:sz w:val="30"/>
          <w:szCs w:val="30"/>
          <w:highlight w:val="none"/>
          <w:lang w:eastAsia="zh-CN"/>
        </w:rPr>
        <w:t>2024年5月16日</w:t>
      </w:r>
    </w:p>
    <w:p>
      <w:pPr>
        <w:pStyle w:val="14"/>
        <w:ind w:firstLine="803"/>
        <w:jc w:val="center"/>
        <w:rPr>
          <w:rFonts w:hint="eastAsia" w:ascii="宋体" w:hAnsi="宋体" w:cs="宋体"/>
          <w:b/>
          <w:bCs/>
          <w:color w:val="auto"/>
          <w:w w:val="95"/>
          <w:sz w:val="30"/>
          <w:szCs w:val="30"/>
          <w:highlight w:val="none"/>
        </w:rPr>
        <w:sectPr>
          <w:headerReference r:id="rId3" w:type="default"/>
          <w:footerReference r:id="rId4" w:type="default"/>
          <w:footerReference r:id="rId5" w:type="even"/>
          <w:pgSz w:w="11911" w:h="16838"/>
          <w:pgMar w:top="1134" w:right="1134" w:bottom="1134" w:left="1134" w:header="720" w:footer="720" w:gutter="0"/>
          <w:pgNumType w:start="1"/>
          <w:cols w:space="720" w:num="1"/>
          <w:titlePg/>
          <w:docGrid w:linePitch="331" w:charSpace="0"/>
        </w:sectPr>
      </w:pPr>
    </w:p>
    <w:p>
      <w:pPr>
        <w:spacing w:before="360" w:beforeLines="150" w:after="360" w:afterLines="150" w:line="360" w:lineRule="auto"/>
        <w:jc w:val="center"/>
        <w:rPr>
          <w:rFonts w:hint="eastAsia"/>
          <w:b/>
          <w:color w:val="auto"/>
          <w:sz w:val="44"/>
          <w:szCs w:val="44"/>
          <w:highlight w:val="none"/>
        </w:rPr>
      </w:pPr>
      <w:r>
        <w:rPr>
          <w:rFonts w:hint="eastAsia"/>
          <w:b/>
          <w:color w:val="auto"/>
          <w:sz w:val="44"/>
          <w:szCs w:val="44"/>
          <w:highlight w:val="none"/>
        </w:rPr>
        <w:t>目   录</w:t>
      </w:r>
    </w:p>
    <w:p>
      <w:pPr>
        <w:spacing w:line="400" w:lineRule="exact"/>
        <w:jc w:val="center"/>
        <w:rPr>
          <w:rFonts w:hint="eastAsia"/>
          <w:b/>
          <w:color w:val="auto"/>
          <w:sz w:val="44"/>
          <w:szCs w:val="44"/>
          <w:highlight w:val="none"/>
        </w:rPr>
      </w:pPr>
    </w:p>
    <w:p>
      <w:pPr>
        <w:pStyle w:val="26"/>
        <w:tabs>
          <w:tab w:val="right" w:leader="dot" w:pos="9643"/>
        </w:tabs>
        <w:spacing w:line="480" w:lineRule="auto"/>
        <w:rPr>
          <w:rFonts w:hint="eastAsia" w:ascii="宋体" w:hAnsi="宋体" w:cs="宋体"/>
          <w:b/>
          <w:bCs/>
          <w:color w:val="auto"/>
          <w:sz w:val="32"/>
          <w:szCs w:val="32"/>
          <w:highlight w:val="none"/>
          <w:lang w:val="en-US" w:eastAsia="zh-CN"/>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TOC \o "1-1" \h \u </w:instrText>
      </w:r>
      <w:r>
        <w:rPr>
          <w:rFonts w:hint="eastAsia" w:ascii="宋体" w:hAnsi="宋体" w:cs="宋体"/>
          <w:b/>
          <w:bCs/>
          <w:color w:val="auto"/>
          <w:sz w:val="24"/>
          <w:highlight w:val="none"/>
        </w:rPr>
        <w:fldChar w:fldCharType="separate"/>
      </w:r>
      <w:r>
        <w:rPr>
          <w:color w:val="auto"/>
          <w:highlight w:val="none"/>
        </w:rPr>
        <w:fldChar w:fldCharType="begin"/>
      </w:r>
      <w:r>
        <w:rPr>
          <w:color w:val="auto"/>
          <w:highlight w:val="none"/>
        </w:rPr>
        <w:instrText xml:space="preserve"> HYPERLINK \l "_Toc32264" </w:instrText>
      </w:r>
      <w:r>
        <w:rPr>
          <w:color w:val="auto"/>
          <w:highlight w:val="none"/>
        </w:rPr>
        <w:fldChar w:fldCharType="separate"/>
      </w:r>
      <w:r>
        <w:rPr>
          <w:rFonts w:hint="eastAsia" w:ascii="宋体" w:hAnsi="宋体" w:cs="宋体"/>
          <w:b/>
          <w:bCs/>
          <w:color w:val="auto"/>
          <w:sz w:val="32"/>
          <w:szCs w:val="32"/>
          <w:highlight w:val="none"/>
          <w:lang w:val="en-US" w:eastAsia="zh-CN"/>
        </w:rPr>
        <w:t>第一章  竞争性磋</w:t>
      </w:r>
      <w:bookmarkStart w:id="1" w:name="_Hlt135924181"/>
      <w:r>
        <w:rPr>
          <w:rFonts w:hint="eastAsia" w:ascii="宋体" w:hAnsi="宋体" w:cs="宋体"/>
          <w:b/>
          <w:bCs/>
          <w:color w:val="auto"/>
          <w:sz w:val="32"/>
          <w:szCs w:val="32"/>
          <w:highlight w:val="none"/>
          <w:lang w:val="en-US" w:eastAsia="zh-CN"/>
        </w:rPr>
        <w:t>商</w:t>
      </w:r>
      <w:bookmarkEnd w:id="1"/>
      <w:r>
        <w:rPr>
          <w:rFonts w:hint="eastAsia" w:ascii="宋体" w:hAnsi="宋体" w:cs="宋体"/>
          <w:b/>
          <w:bCs/>
          <w:color w:val="auto"/>
          <w:sz w:val="32"/>
          <w:szCs w:val="32"/>
          <w:highlight w:val="none"/>
          <w:lang w:val="en-US" w:eastAsia="zh-CN"/>
        </w:rPr>
        <w:t>公告</w:t>
      </w:r>
      <w:r>
        <w:rPr>
          <w:rFonts w:hint="eastAsia" w:ascii="宋体" w:hAnsi="宋体" w:cs="宋体"/>
          <w:b/>
          <w:bCs/>
          <w:color w:val="auto"/>
          <w:sz w:val="32"/>
          <w:szCs w:val="32"/>
          <w:highlight w:val="none"/>
          <w:lang w:val="en-US" w:eastAsia="zh-CN"/>
        </w:rPr>
        <w:tab/>
      </w:r>
      <w:r>
        <w:rPr>
          <w:rFonts w:hint="eastAsia" w:ascii="宋体" w:hAnsi="宋体" w:cs="宋体"/>
          <w:b/>
          <w:bCs/>
          <w:color w:val="auto"/>
          <w:sz w:val="32"/>
          <w:szCs w:val="32"/>
          <w:highlight w:val="none"/>
          <w:lang w:val="en-US" w:eastAsia="zh-CN"/>
        </w:rPr>
        <w:fldChar w:fldCharType="begin"/>
      </w:r>
      <w:r>
        <w:rPr>
          <w:rFonts w:hint="eastAsia" w:ascii="宋体" w:hAnsi="宋体" w:cs="宋体"/>
          <w:b/>
          <w:bCs/>
          <w:color w:val="auto"/>
          <w:sz w:val="32"/>
          <w:szCs w:val="32"/>
          <w:highlight w:val="none"/>
          <w:lang w:val="en-US" w:eastAsia="zh-CN"/>
        </w:rPr>
        <w:instrText xml:space="preserve"> PAGEREF _Toc32264 </w:instrText>
      </w:r>
      <w:r>
        <w:rPr>
          <w:rFonts w:hint="eastAsia" w:ascii="宋体" w:hAnsi="宋体" w:cs="宋体"/>
          <w:b/>
          <w:bCs/>
          <w:color w:val="auto"/>
          <w:sz w:val="32"/>
          <w:szCs w:val="32"/>
          <w:highlight w:val="none"/>
          <w:lang w:val="en-US" w:eastAsia="zh-CN"/>
        </w:rPr>
        <w:fldChar w:fldCharType="separate"/>
      </w:r>
      <w:r>
        <w:rPr>
          <w:rFonts w:hint="eastAsia" w:ascii="宋体" w:hAnsi="宋体" w:cs="宋体"/>
          <w:b/>
          <w:bCs/>
          <w:color w:val="auto"/>
          <w:sz w:val="32"/>
          <w:szCs w:val="32"/>
          <w:highlight w:val="none"/>
          <w:lang w:val="en-US" w:eastAsia="zh-CN"/>
        </w:rPr>
        <w:t>3</w:t>
      </w:r>
      <w:r>
        <w:rPr>
          <w:rFonts w:hint="eastAsia" w:ascii="宋体" w:hAnsi="宋体" w:cs="宋体"/>
          <w:b/>
          <w:bCs/>
          <w:color w:val="auto"/>
          <w:sz w:val="32"/>
          <w:szCs w:val="32"/>
          <w:highlight w:val="none"/>
          <w:lang w:val="en-US" w:eastAsia="zh-CN"/>
        </w:rPr>
        <w:fldChar w:fldCharType="end"/>
      </w:r>
      <w:r>
        <w:rPr>
          <w:rFonts w:hint="eastAsia" w:ascii="宋体" w:hAnsi="宋体" w:cs="宋体"/>
          <w:b/>
          <w:bCs/>
          <w:color w:val="auto"/>
          <w:sz w:val="32"/>
          <w:szCs w:val="32"/>
          <w:highlight w:val="none"/>
          <w:lang w:val="en-US" w:eastAsia="zh-CN"/>
        </w:rPr>
        <w:fldChar w:fldCharType="end"/>
      </w:r>
    </w:p>
    <w:p>
      <w:pPr>
        <w:pStyle w:val="26"/>
        <w:tabs>
          <w:tab w:val="right" w:leader="dot" w:pos="9643"/>
        </w:tabs>
        <w:spacing w:line="480" w:lineRule="auto"/>
        <w:rPr>
          <w:rFonts w:hint="eastAsia" w:ascii="宋体" w:hAnsi="宋体" w:cs="宋体"/>
          <w:b/>
          <w:bCs/>
          <w:color w:val="auto"/>
          <w:sz w:val="32"/>
          <w:szCs w:val="32"/>
          <w:highlight w:val="none"/>
          <w:lang w:val="en-US" w:eastAsia="zh-CN"/>
        </w:rPr>
      </w:pPr>
      <w:r>
        <w:rPr>
          <w:color w:val="auto"/>
          <w:highlight w:val="none"/>
        </w:rPr>
        <w:fldChar w:fldCharType="begin"/>
      </w:r>
      <w:r>
        <w:rPr>
          <w:color w:val="auto"/>
          <w:highlight w:val="none"/>
        </w:rPr>
        <w:instrText xml:space="preserve"> HYPERLINK \l "_Toc26836" </w:instrText>
      </w:r>
      <w:r>
        <w:rPr>
          <w:color w:val="auto"/>
          <w:highlight w:val="none"/>
        </w:rPr>
        <w:fldChar w:fldCharType="separate"/>
      </w:r>
      <w:r>
        <w:rPr>
          <w:rFonts w:hint="eastAsia" w:ascii="宋体" w:hAnsi="宋体" w:cs="宋体"/>
          <w:b/>
          <w:bCs/>
          <w:color w:val="auto"/>
          <w:sz w:val="32"/>
          <w:szCs w:val="32"/>
          <w:highlight w:val="none"/>
          <w:lang w:val="en-US" w:eastAsia="zh-CN"/>
        </w:rPr>
        <w:t>第二章  采购需</w:t>
      </w:r>
      <w:bookmarkStart w:id="2" w:name="_Hlt137127195"/>
      <w:r>
        <w:rPr>
          <w:rFonts w:hint="eastAsia" w:ascii="宋体" w:hAnsi="宋体" w:cs="宋体"/>
          <w:b/>
          <w:bCs/>
          <w:color w:val="auto"/>
          <w:sz w:val="32"/>
          <w:szCs w:val="32"/>
          <w:highlight w:val="none"/>
          <w:lang w:val="en-US" w:eastAsia="zh-CN"/>
        </w:rPr>
        <w:t>求</w:t>
      </w:r>
      <w:bookmarkEnd w:id="2"/>
      <w:r>
        <w:rPr>
          <w:rFonts w:hint="eastAsia" w:ascii="宋体" w:hAnsi="宋体" w:cs="宋体"/>
          <w:b/>
          <w:bCs/>
          <w:color w:val="auto"/>
          <w:sz w:val="32"/>
          <w:szCs w:val="32"/>
          <w:highlight w:val="none"/>
          <w:lang w:val="en-US" w:eastAsia="zh-CN"/>
        </w:rPr>
        <w:tab/>
      </w:r>
      <w:r>
        <w:rPr>
          <w:rFonts w:hint="eastAsia" w:ascii="宋体" w:hAnsi="宋体" w:cs="宋体"/>
          <w:b/>
          <w:bCs/>
          <w:color w:val="auto"/>
          <w:sz w:val="32"/>
          <w:szCs w:val="32"/>
          <w:highlight w:val="none"/>
          <w:lang w:val="en-US" w:eastAsia="zh-CN"/>
        </w:rPr>
        <w:fldChar w:fldCharType="begin"/>
      </w:r>
      <w:r>
        <w:rPr>
          <w:rFonts w:hint="eastAsia" w:ascii="宋体" w:hAnsi="宋体" w:cs="宋体"/>
          <w:b/>
          <w:bCs/>
          <w:color w:val="auto"/>
          <w:sz w:val="32"/>
          <w:szCs w:val="32"/>
          <w:highlight w:val="none"/>
          <w:lang w:val="en-US" w:eastAsia="zh-CN"/>
        </w:rPr>
        <w:instrText xml:space="preserve"> PAGEREF _Toc26836 </w:instrText>
      </w:r>
      <w:r>
        <w:rPr>
          <w:rFonts w:hint="eastAsia" w:ascii="宋体" w:hAnsi="宋体" w:cs="宋体"/>
          <w:b/>
          <w:bCs/>
          <w:color w:val="auto"/>
          <w:sz w:val="32"/>
          <w:szCs w:val="32"/>
          <w:highlight w:val="none"/>
          <w:lang w:val="en-US" w:eastAsia="zh-CN"/>
        </w:rPr>
        <w:fldChar w:fldCharType="separate"/>
      </w:r>
      <w:r>
        <w:rPr>
          <w:rFonts w:hint="eastAsia" w:ascii="宋体" w:hAnsi="宋体" w:cs="宋体"/>
          <w:b/>
          <w:bCs/>
          <w:color w:val="auto"/>
          <w:sz w:val="32"/>
          <w:szCs w:val="32"/>
          <w:highlight w:val="none"/>
          <w:lang w:val="en-US" w:eastAsia="zh-CN"/>
        </w:rPr>
        <w:t>6</w:t>
      </w:r>
      <w:r>
        <w:rPr>
          <w:rFonts w:hint="eastAsia" w:ascii="宋体" w:hAnsi="宋体" w:cs="宋体"/>
          <w:b/>
          <w:bCs/>
          <w:color w:val="auto"/>
          <w:sz w:val="32"/>
          <w:szCs w:val="32"/>
          <w:highlight w:val="none"/>
          <w:lang w:val="en-US" w:eastAsia="zh-CN"/>
        </w:rPr>
        <w:fldChar w:fldCharType="end"/>
      </w:r>
      <w:r>
        <w:rPr>
          <w:rFonts w:hint="eastAsia" w:ascii="宋体" w:hAnsi="宋体" w:cs="宋体"/>
          <w:b/>
          <w:bCs/>
          <w:color w:val="auto"/>
          <w:sz w:val="32"/>
          <w:szCs w:val="32"/>
          <w:highlight w:val="none"/>
          <w:lang w:val="en-US" w:eastAsia="zh-CN"/>
        </w:rPr>
        <w:fldChar w:fldCharType="end"/>
      </w:r>
    </w:p>
    <w:p>
      <w:pPr>
        <w:pStyle w:val="26"/>
        <w:tabs>
          <w:tab w:val="right" w:leader="dot" w:pos="9643"/>
        </w:tabs>
        <w:spacing w:line="480" w:lineRule="auto"/>
        <w:rPr>
          <w:rFonts w:hint="eastAsia" w:ascii="宋体" w:hAnsi="宋体" w:cs="宋体"/>
          <w:b/>
          <w:bCs/>
          <w:color w:val="auto"/>
          <w:sz w:val="32"/>
          <w:szCs w:val="32"/>
          <w:highlight w:val="none"/>
          <w:lang w:val="en-US" w:eastAsia="zh-CN"/>
        </w:rPr>
      </w:pPr>
      <w:r>
        <w:rPr>
          <w:color w:val="auto"/>
          <w:highlight w:val="none"/>
        </w:rPr>
        <w:fldChar w:fldCharType="begin"/>
      </w:r>
      <w:r>
        <w:rPr>
          <w:color w:val="auto"/>
          <w:highlight w:val="none"/>
        </w:rPr>
        <w:instrText xml:space="preserve"> HYPERLINK \l "_Toc2072" </w:instrText>
      </w:r>
      <w:r>
        <w:rPr>
          <w:color w:val="auto"/>
          <w:highlight w:val="none"/>
        </w:rPr>
        <w:fldChar w:fldCharType="separate"/>
      </w:r>
      <w:r>
        <w:rPr>
          <w:rFonts w:hint="eastAsia" w:ascii="宋体" w:hAnsi="宋体" w:cs="宋体"/>
          <w:b/>
          <w:bCs/>
          <w:color w:val="auto"/>
          <w:sz w:val="32"/>
          <w:szCs w:val="32"/>
          <w:highlight w:val="none"/>
          <w:lang w:val="en-US" w:eastAsia="zh-CN"/>
        </w:rPr>
        <w:t>第三章  供应</w:t>
      </w:r>
      <w:bookmarkStart w:id="3" w:name="_Hlt135905307"/>
      <w:r>
        <w:rPr>
          <w:rFonts w:hint="eastAsia" w:ascii="宋体" w:hAnsi="宋体" w:cs="宋体"/>
          <w:b/>
          <w:bCs/>
          <w:color w:val="auto"/>
          <w:sz w:val="32"/>
          <w:szCs w:val="32"/>
          <w:highlight w:val="none"/>
          <w:lang w:val="en-US" w:eastAsia="zh-CN"/>
        </w:rPr>
        <w:t>商</w:t>
      </w:r>
      <w:bookmarkEnd w:id="3"/>
      <w:r>
        <w:rPr>
          <w:rFonts w:hint="eastAsia" w:ascii="宋体" w:hAnsi="宋体" w:cs="宋体"/>
          <w:b/>
          <w:bCs/>
          <w:color w:val="auto"/>
          <w:sz w:val="32"/>
          <w:szCs w:val="32"/>
          <w:highlight w:val="none"/>
          <w:lang w:val="en-US" w:eastAsia="zh-CN"/>
        </w:rPr>
        <w:t>须知</w:t>
      </w:r>
      <w:r>
        <w:rPr>
          <w:rFonts w:hint="eastAsia" w:ascii="宋体" w:hAnsi="宋体" w:cs="宋体"/>
          <w:b/>
          <w:bCs/>
          <w:color w:val="auto"/>
          <w:sz w:val="32"/>
          <w:szCs w:val="32"/>
          <w:highlight w:val="none"/>
          <w:lang w:val="en-US" w:eastAsia="zh-CN"/>
        </w:rPr>
        <w:tab/>
      </w:r>
      <w:r>
        <w:rPr>
          <w:rFonts w:hint="eastAsia" w:ascii="宋体" w:hAnsi="宋体" w:cs="宋体"/>
          <w:b/>
          <w:bCs/>
          <w:color w:val="auto"/>
          <w:sz w:val="32"/>
          <w:szCs w:val="32"/>
          <w:highlight w:val="none"/>
          <w:lang w:val="en-US" w:eastAsia="zh-CN"/>
        </w:rPr>
        <w:fldChar w:fldCharType="begin"/>
      </w:r>
      <w:r>
        <w:rPr>
          <w:rFonts w:hint="eastAsia" w:ascii="宋体" w:hAnsi="宋体" w:cs="宋体"/>
          <w:b/>
          <w:bCs/>
          <w:color w:val="auto"/>
          <w:sz w:val="32"/>
          <w:szCs w:val="32"/>
          <w:highlight w:val="none"/>
          <w:lang w:val="en-US" w:eastAsia="zh-CN"/>
        </w:rPr>
        <w:instrText xml:space="preserve"> PAGEREF _Toc2072 </w:instrText>
      </w:r>
      <w:r>
        <w:rPr>
          <w:rFonts w:hint="eastAsia" w:ascii="宋体" w:hAnsi="宋体" w:cs="宋体"/>
          <w:b/>
          <w:bCs/>
          <w:color w:val="auto"/>
          <w:sz w:val="32"/>
          <w:szCs w:val="32"/>
          <w:highlight w:val="none"/>
          <w:lang w:val="en-US" w:eastAsia="zh-CN"/>
        </w:rPr>
        <w:fldChar w:fldCharType="separate"/>
      </w:r>
      <w:r>
        <w:rPr>
          <w:rFonts w:hint="eastAsia" w:ascii="宋体" w:hAnsi="宋体" w:cs="宋体"/>
          <w:b/>
          <w:bCs/>
          <w:color w:val="auto"/>
          <w:sz w:val="32"/>
          <w:szCs w:val="32"/>
          <w:highlight w:val="none"/>
          <w:lang w:val="en-US" w:eastAsia="zh-CN"/>
        </w:rPr>
        <w:t>10</w:t>
      </w:r>
      <w:r>
        <w:rPr>
          <w:rFonts w:hint="eastAsia" w:ascii="宋体" w:hAnsi="宋体" w:cs="宋体"/>
          <w:b/>
          <w:bCs/>
          <w:color w:val="auto"/>
          <w:sz w:val="32"/>
          <w:szCs w:val="32"/>
          <w:highlight w:val="none"/>
          <w:lang w:val="en-US" w:eastAsia="zh-CN"/>
        </w:rPr>
        <w:fldChar w:fldCharType="end"/>
      </w:r>
      <w:r>
        <w:rPr>
          <w:rFonts w:hint="eastAsia" w:ascii="宋体" w:hAnsi="宋体" w:cs="宋体"/>
          <w:b/>
          <w:bCs/>
          <w:color w:val="auto"/>
          <w:sz w:val="32"/>
          <w:szCs w:val="32"/>
          <w:highlight w:val="none"/>
          <w:lang w:val="en-US" w:eastAsia="zh-CN"/>
        </w:rPr>
        <w:fldChar w:fldCharType="end"/>
      </w:r>
    </w:p>
    <w:p>
      <w:pPr>
        <w:pStyle w:val="26"/>
        <w:tabs>
          <w:tab w:val="right" w:leader="dot" w:pos="9643"/>
        </w:tabs>
        <w:spacing w:line="480" w:lineRule="auto"/>
        <w:rPr>
          <w:rFonts w:hint="eastAsia" w:ascii="宋体" w:hAnsi="宋体" w:cs="宋体"/>
          <w:b/>
          <w:bCs/>
          <w:color w:val="auto"/>
          <w:sz w:val="32"/>
          <w:szCs w:val="32"/>
          <w:highlight w:val="none"/>
          <w:lang w:val="en-US" w:eastAsia="zh-CN"/>
        </w:rPr>
      </w:pPr>
      <w:r>
        <w:rPr>
          <w:color w:val="auto"/>
          <w:highlight w:val="none"/>
        </w:rPr>
        <w:fldChar w:fldCharType="begin"/>
      </w:r>
      <w:r>
        <w:rPr>
          <w:color w:val="auto"/>
          <w:highlight w:val="none"/>
        </w:rPr>
        <w:instrText xml:space="preserve"> HYPERLINK \l "_Toc1088" </w:instrText>
      </w:r>
      <w:r>
        <w:rPr>
          <w:color w:val="auto"/>
          <w:highlight w:val="none"/>
        </w:rPr>
        <w:fldChar w:fldCharType="separate"/>
      </w:r>
      <w:r>
        <w:rPr>
          <w:rFonts w:hint="eastAsia" w:ascii="宋体" w:hAnsi="宋体" w:cs="宋体"/>
          <w:b/>
          <w:bCs/>
          <w:color w:val="auto"/>
          <w:sz w:val="32"/>
          <w:szCs w:val="32"/>
          <w:highlight w:val="none"/>
          <w:lang w:val="en-US" w:eastAsia="zh-CN"/>
        </w:rPr>
        <w:t>第四章  评审程序、评审方法和评审标准</w:t>
      </w:r>
      <w:r>
        <w:rPr>
          <w:rFonts w:hint="eastAsia" w:ascii="宋体" w:hAnsi="宋体" w:cs="宋体"/>
          <w:b/>
          <w:bCs/>
          <w:color w:val="auto"/>
          <w:sz w:val="32"/>
          <w:szCs w:val="32"/>
          <w:highlight w:val="none"/>
          <w:lang w:val="en-US" w:eastAsia="zh-CN"/>
        </w:rPr>
        <w:tab/>
      </w:r>
      <w:r>
        <w:rPr>
          <w:rFonts w:hint="eastAsia" w:ascii="宋体" w:hAnsi="宋体" w:cs="宋体"/>
          <w:b/>
          <w:bCs/>
          <w:color w:val="auto"/>
          <w:sz w:val="32"/>
          <w:szCs w:val="32"/>
          <w:highlight w:val="none"/>
          <w:lang w:val="en-US" w:eastAsia="zh-CN"/>
        </w:rPr>
        <w:fldChar w:fldCharType="begin"/>
      </w:r>
      <w:r>
        <w:rPr>
          <w:rFonts w:hint="eastAsia" w:ascii="宋体" w:hAnsi="宋体" w:cs="宋体"/>
          <w:b/>
          <w:bCs/>
          <w:color w:val="auto"/>
          <w:sz w:val="32"/>
          <w:szCs w:val="32"/>
          <w:highlight w:val="none"/>
          <w:lang w:val="en-US" w:eastAsia="zh-CN"/>
        </w:rPr>
        <w:instrText xml:space="preserve"> PAGEREF _Toc1088 </w:instrText>
      </w:r>
      <w:r>
        <w:rPr>
          <w:rFonts w:hint="eastAsia" w:ascii="宋体" w:hAnsi="宋体" w:cs="宋体"/>
          <w:b/>
          <w:bCs/>
          <w:color w:val="auto"/>
          <w:sz w:val="32"/>
          <w:szCs w:val="32"/>
          <w:highlight w:val="none"/>
          <w:lang w:val="en-US" w:eastAsia="zh-CN"/>
        </w:rPr>
        <w:fldChar w:fldCharType="separate"/>
      </w:r>
      <w:r>
        <w:rPr>
          <w:rFonts w:hint="eastAsia" w:ascii="宋体" w:hAnsi="宋体" w:cs="宋体"/>
          <w:b/>
          <w:bCs/>
          <w:color w:val="auto"/>
          <w:sz w:val="32"/>
          <w:szCs w:val="32"/>
          <w:highlight w:val="none"/>
          <w:lang w:val="en-US" w:eastAsia="zh-CN"/>
        </w:rPr>
        <w:t>29</w:t>
      </w:r>
      <w:r>
        <w:rPr>
          <w:rFonts w:hint="eastAsia" w:ascii="宋体" w:hAnsi="宋体" w:cs="宋体"/>
          <w:b/>
          <w:bCs/>
          <w:color w:val="auto"/>
          <w:sz w:val="32"/>
          <w:szCs w:val="32"/>
          <w:highlight w:val="none"/>
          <w:lang w:val="en-US" w:eastAsia="zh-CN"/>
        </w:rPr>
        <w:fldChar w:fldCharType="end"/>
      </w:r>
      <w:r>
        <w:rPr>
          <w:rFonts w:hint="eastAsia" w:ascii="宋体" w:hAnsi="宋体" w:cs="宋体"/>
          <w:b/>
          <w:bCs/>
          <w:color w:val="auto"/>
          <w:sz w:val="32"/>
          <w:szCs w:val="32"/>
          <w:highlight w:val="none"/>
          <w:lang w:val="en-US" w:eastAsia="zh-CN"/>
        </w:rPr>
        <w:fldChar w:fldCharType="end"/>
      </w:r>
    </w:p>
    <w:p>
      <w:pPr>
        <w:pStyle w:val="26"/>
        <w:tabs>
          <w:tab w:val="right" w:leader="dot" w:pos="9643"/>
        </w:tabs>
        <w:spacing w:line="480" w:lineRule="auto"/>
        <w:rPr>
          <w:rFonts w:hint="eastAsia" w:ascii="宋体" w:hAnsi="宋体" w:cs="宋体"/>
          <w:b/>
          <w:bCs/>
          <w:color w:val="auto"/>
          <w:sz w:val="32"/>
          <w:szCs w:val="32"/>
          <w:highlight w:val="none"/>
          <w:lang w:val="en-US" w:eastAsia="zh-CN"/>
        </w:rPr>
      </w:pPr>
      <w:r>
        <w:rPr>
          <w:color w:val="auto"/>
          <w:highlight w:val="none"/>
        </w:rPr>
        <w:fldChar w:fldCharType="begin"/>
      </w:r>
      <w:r>
        <w:rPr>
          <w:color w:val="auto"/>
          <w:highlight w:val="none"/>
        </w:rPr>
        <w:instrText xml:space="preserve"> HYPERLINK \l "_Toc22302" </w:instrText>
      </w:r>
      <w:r>
        <w:rPr>
          <w:color w:val="auto"/>
          <w:highlight w:val="none"/>
        </w:rPr>
        <w:fldChar w:fldCharType="separate"/>
      </w:r>
      <w:r>
        <w:rPr>
          <w:rFonts w:hint="eastAsia" w:ascii="宋体" w:hAnsi="宋体" w:cs="宋体"/>
          <w:b/>
          <w:bCs/>
          <w:color w:val="auto"/>
          <w:sz w:val="32"/>
          <w:szCs w:val="32"/>
          <w:highlight w:val="none"/>
          <w:lang w:val="en-US" w:eastAsia="zh-CN"/>
        </w:rPr>
        <w:t>第五章  响应文</w:t>
      </w:r>
      <w:bookmarkStart w:id="4" w:name="_Hlt135897174"/>
      <w:bookmarkStart w:id="5" w:name="_Hlt135897173"/>
      <w:r>
        <w:rPr>
          <w:rFonts w:hint="eastAsia" w:ascii="宋体" w:hAnsi="宋体" w:cs="宋体"/>
          <w:b/>
          <w:bCs/>
          <w:color w:val="auto"/>
          <w:sz w:val="32"/>
          <w:szCs w:val="32"/>
          <w:highlight w:val="none"/>
          <w:lang w:val="en-US" w:eastAsia="zh-CN"/>
        </w:rPr>
        <w:t>件</w:t>
      </w:r>
      <w:bookmarkEnd w:id="4"/>
      <w:bookmarkEnd w:id="5"/>
      <w:r>
        <w:rPr>
          <w:rFonts w:hint="eastAsia" w:ascii="宋体" w:hAnsi="宋体" w:cs="宋体"/>
          <w:b/>
          <w:bCs/>
          <w:color w:val="auto"/>
          <w:sz w:val="32"/>
          <w:szCs w:val="32"/>
          <w:highlight w:val="none"/>
          <w:lang w:val="en-US" w:eastAsia="zh-CN"/>
        </w:rPr>
        <w:t>格式</w:t>
      </w:r>
      <w:r>
        <w:rPr>
          <w:rFonts w:hint="eastAsia" w:ascii="宋体" w:hAnsi="宋体" w:cs="宋体"/>
          <w:b/>
          <w:bCs/>
          <w:color w:val="auto"/>
          <w:sz w:val="32"/>
          <w:szCs w:val="32"/>
          <w:highlight w:val="none"/>
          <w:lang w:val="en-US" w:eastAsia="zh-CN"/>
        </w:rPr>
        <w:tab/>
      </w:r>
      <w:r>
        <w:rPr>
          <w:rFonts w:hint="eastAsia" w:ascii="宋体" w:hAnsi="宋体" w:cs="宋体"/>
          <w:b/>
          <w:bCs/>
          <w:color w:val="auto"/>
          <w:sz w:val="32"/>
          <w:szCs w:val="32"/>
          <w:highlight w:val="none"/>
          <w:lang w:val="en-US" w:eastAsia="zh-CN"/>
        </w:rPr>
        <w:fldChar w:fldCharType="begin"/>
      </w:r>
      <w:r>
        <w:rPr>
          <w:rFonts w:hint="eastAsia" w:ascii="宋体" w:hAnsi="宋体" w:cs="宋体"/>
          <w:b/>
          <w:bCs/>
          <w:color w:val="auto"/>
          <w:sz w:val="32"/>
          <w:szCs w:val="32"/>
          <w:highlight w:val="none"/>
          <w:lang w:val="en-US" w:eastAsia="zh-CN"/>
        </w:rPr>
        <w:instrText xml:space="preserve"> PAGEREF _Toc22302 </w:instrText>
      </w:r>
      <w:r>
        <w:rPr>
          <w:rFonts w:hint="eastAsia" w:ascii="宋体" w:hAnsi="宋体" w:cs="宋体"/>
          <w:b/>
          <w:bCs/>
          <w:color w:val="auto"/>
          <w:sz w:val="32"/>
          <w:szCs w:val="32"/>
          <w:highlight w:val="none"/>
          <w:lang w:val="en-US" w:eastAsia="zh-CN"/>
        </w:rPr>
        <w:fldChar w:fldCharType="separate"/>
      </w:r>
      <w:r>
        <w:rPr>
          <w:rFonts w:hint="eastAsia" w:ascii="宋体" w:hAnsi="宋体" w:cs="宋体"/>
          <w:b/>
          <w:bCs/>
          <w:color w:val="auto"/>
          <w:sz w:val="32"/>
          <w:szCs w:val="32"/>
          <w:highlight w:val="none"/>
          <w:lang w:val="en-US" w:eastAsia="zh-CN"/>
        </w:rPr>
        <w:t>37</w:t>
      </w:r>
      <w:r>
        <w:rPr>
          <w:rFonts w:hint="eastAsia" w:ascii="宋体" w:hAnsi="宋体" w:cs="宋体"/>
          <w:b/>
          <w:bCs/>
          <w:color w:val="auto"/>
          <w:sz w:val="32"/>
          <w:szCs w:val="32"/>
          <w:highlight w:val="none"/>
          <w:lang w:val="en-US" w:eastAsia="zh-CN"/>
        </w:rPr>
        <w:fldChar w:fldCharType="end"/>
      </w:r>
      <w:r>
        <w:rPr>
          <w:rFonts w:hint="eastAsia" w:ascii="宋体" w:hAnsi="宋体" w:cs="宋体"/>
          <w:b/>
          <w:bCs/>
          <w:color w:val="auto"/>
          <w:sz w:val="32"/>
          <w:szCs w:val="32"/>
          <w:highlight w:val="none"/>
          <w:lang w:val="en-US" w:eastAsia="zh-CN"/>
        </w:rPr>
        <w:fldChar w:fldCharType="end"/>
      </w:r>
    </w:p>
    <w:p>
      <w:pPr>
        <w:pStyle w:val="26"/>
        <w:tabs>
          <w:tab w:val="right" w:leader="dot" w:pos="9643"/>
        </w:tabs>
        <w:spacing w:line="480" w:lineRule="auto"/>
        <w:rPr>
          <w:rFonts w:hint="eastAsia" w:ascii="宋体" w:hAnsi="宋体" w:cs="宋体"/>
          <w:b/>
          <w:bCs/>
          <w:color w:val="auto"/>
          <w:sz w:val="32"/>
          <w:szCs w:val="32"/>
          <w:highlight w:val="none"/>
          <w:lang w:val="en-US" w:eastAsia="zh-CN"/>
        </w:rPr>
      </w:pPr>
      <w:r>
        <w:rPr>
          <w:color w:val="auto"/>
          <w:highlight w:val="none"/>
        </w:rPr>
        <w:fldChar w:fldCharType="begin"/>
      </w:r>
      <w:r>
        <w:rPr>
          <w:color w:val="auto"/>
          <w:highlight w:val="none"/>
        </w:rPr>
        <w:instrText xml:space="preserve"> HYPERLINK \l "_Toc18676" </w:instrText>
      </w:r>
      <w:r>
        <w:rPr>
          <w:color w:val="auto"/>
          <w:highlight w:val="none"/>
        </w:rPr>
        <w:fldChar w:fldCharType="separate"/>
      </w:r>
      <w:r>
        <w:rPr>
          <w:rFonts w:hint="eastAsia" w:ascii="宋体" w:hAnsi="宋体" w:cs="宋体"/>
          <w:b/>
          <w:bCs/>
          <w:color w:val="auto"/>
          <w:sz w:val="32"/>
          <w:szCs w:val="32"/>
          <w:highlight w:val="none"/>
          <w:lang w:val="en-US" w:eastAsia="zh-CN"/>
        </w:rPr>
        <w:t>第六章  合同</w:t>
      </w:r>
      <w:bookmarkStart w:id="6" w:name="_Hlt137127063"/>
      <w:bookmarkStart w:id="7" w:name="_Hlt137127064"/>
      <w:bookmarkStart w:id="8" w:name="_Hlt135924190"/>
      <w:r>
        <w:rPr>
          <w:rFonts w:hint="eastAsia" w:ascii="宋体" w:hAnsi="宋体" w:cs="宋体"/>
          <w:b/>
          <w:bCs/>
          <w:color w:val="auto"/>
          <w:sz w:val="32"/>
          <w:szCs w:val="32"/>
          <w:highlight w:val="none"/>
          <w:lang w:val="en-US" w:eastAsia="zh-CN"/>
        </w:rPr>
        <w:t>文</w:t>
      </w:r>
      <w:bookmarkEnd w:id="6"/>
      <w:bookmarkEnd w:id="7"/>
      <w:bookmarkEnd w:id="8"/>
      <w:bookmarkStart w:id="9" w:name="_Hlt135924167"/>
      <w:bookmarkStart w:id="10" w:name="_Hlt135924166"/>
      <w:r>
        <w:rPr>
          <w:rFonts w:hint="eastAsia" w:ascii="宋体" w:hAnsi="宋体" w:cs="宋体"/>
          <w:b/>
          <w:bCs/>
          <w:color w:val="auto"/>
          <w:sz w:val="32"/>
          <w:szCs w:val="32"/>
          <w:highlight w:val="none"/>
          <w:lang w:val="en-US" w:eastAsia="zh-CN"/>
        </w:rPr>
        <w:t>本</w:t>
      </w:r>
      <w:bookmarkEnd w:id="9"/>
      <w:bookmarkEnd w:id="10"/>
      <w:r>
        <w:rPr>
          <w:rFonts w:hint="eastAsia" w:ascii="宋体" w:hAnsi="宋体" w:cs="宋体"/>
          <w:b/>
          <w:bCs/>
          <w:color w:val="auto"/>
          <w:sz w:val="32"/>
          <w:szCs w:val="32"/>
          <w:highlight w:val="none"/>
          <w:lang w:val="en-US" w:eastAsia="zh-CN"/>
        </w:rPr>
        <w:tab/>
      </w:r>
      <w:r>
        <w:rPr>
          <w:rFonts w:hint="eastAsia" w:ascii="宋体" w:hAnsi="宋体" w:cs="宋体"/>
          <w:b/>
          <w:bCs/>
          <w:color w:val="auto"/>
          <w:sz w:val="32"/>
          <w:szCs w:val="32"/>
          <w:highlight w:val="none"/>
          <w:lang w:val="en-US" w:eastAsia="zh-CN"/>
        </w:rPr>
        <w:fldChar w:fldCharType="begin"/>
      </w:r>
      <w:r>
        <w:rPr>
          <w:rFonts w:hint="eastAsia" w:ascii="宋体" w:hAnsi="宋体" w:cs="宋体"/>
          <w:b/>
          <w:bCs/>
          <w:color w:val="auto"/>
          <w:sz w:val="32"/>
          <w:szCs w:val="32"/>
          <w:highlight w:val="none"/>
          <w:lang w:val="en-US" w:eastAsia="zh-CN"/>
        </w:rPr>
        <w:instrText xml:space="preserve"> PAGEREF _Toc18676 </w:instrText>
      </w:r>
      <w:r>
        <w:rPr>
          <w:rFonts w:hint="eastAsia" w:ascii="宋体" w:hAnsi="宋体" w:cs="宋体"/>
          <w:b/>
          <w:bCs/>
          <w:color w:val="auto"/>
          <w:sz w:val="32"/>
          <w:szCs w:val="32"/>
          <w:highlight w:val="none"/>
          <w:lang w:val="en-US" w:eastAsia="zh-CN"/>
        </w:rPr>
        <w:fldChar w:fldCharType="separate"/>
      </w:r>
      <w:r>
        <w:rPr>
          <w:rFonts w:hint="eastAsia" w:ascii="宋体" w:hAnsi="宋体" w:cs="宋体"/>
          <w:b/>
          <w:bCs/>
          <w:color w:val="auto"/>
          <w:sz w:val="32"/>
          <w:szCs w:val="32"/>
          <w:highlight w:val="none"/>
          <w:lang w:val="en-US" w:eastAsia="zh-CN"/>
        </w:rPr>
        <w:t>66</w:t>
      </w:r>
      <w:r>
        <w:rPr>
          <w:rFonts w:hint="eastAsia" w:ascii="宋体" w:hAnsi="宋体" w:cs="宋体"/>
          <w:b/>
          <w:bCs/>
          <w:color w:val="auto"/>
          <w:sz w:val="32"/>
          <w:szCs w:val="32"/>
          <w:highlight w:val="none"/>
          <w:lang w:val="en-US" w:eastAsia="zh-CN"/>
        </w:rPr>
        <w:fldChar w:fldCharType="end"/>
      </w:r>
      <w:r>
        <w:rPr>
          <w:rFonts w:hint="eastAsia" w:ascii="宋体" w:hAnsi="宋体" w:cs="宋体"/>
          <w:b/>
          <w:bCs/>
          <w:color w:val="auto"/>
          <w:sz w:val="32"/>
          <w:szCs w:val="32"/>
          <w:highlight w:val="none"/>
          <w:lang w:val="en-US" w:eastAsia="zh-CN"/>
        </w:rPr>
        <w:fldChar w:fldCharType="end"/>
      </w:r>
    </w:p>
    <w:p>
      <w:pPr>
        <w:pStyle w:val="26"/>
        <w:tabs>
          <w:tab w:val="right" w:leader="dot" w:pos="9643"/>
        </w:tabs>
        <w:spacing w:line="480" w:lineRule="auto"/>
        <w:rPr>
          <w:b/>
          <w:bCs/>
          <w:color w:val="auto"/>
          <w:sz w:val="32"/>
          <w:szCs w:val="32"/>
          <w:highlight w:val="none"/>
          <w:lang w:val="en-US" w:eastAsia="zh-CN"/>
        </w:rPr>
      </w:pPr>
      <w:r>
        <w:rPr>
          <w:color w:val="auto"/>
          <w:highlight w:val="none"/>
        </w:rPr>
        <w:fldChar w:fldCharType="begin"/>
      </w:r>
      <w:r>
        <w:rPr>
          <w:color w:val="auto"/>
          <w:highlight w:val="none"/>
        </w:rPr>
        <w:instrText xml:space="preserve"> HYPERLINK \l "_Toc13011" </w:instrText>
      </w:r>
      <w:r>
        <w:rPr>
          <w:color w:val="auto"/>
          <w:highlight w:val="none"/>
        </w:rPr>
        <w:fldChar w:fldCharType="separate"/>
      </w:r>
      <w:r>
        <w:rPr>
          <w:rFonts w:hint="eastAsia" w:ascii="宋体" w:hAnsi="宋体" w:cs="宋体"/>
          <w:b/>
          <w:bCs/>
          <w:color w:val="auto"/>
          <w:sz w:val="32"/>
          <w:szCs w:val="32"/>
          <w:highlight w:val="none"/>
          <w:lang w:val="en-US" w:eastAsia="zh-CN"/>
        </w:rPr>
        <w:t>第七章  质疑、投诉</w:t>
      </w:r>
      <w:bookmarkStart w:id="11" w:name="_Hlt137580638"/>
      <w:bookmarkStart w:id="12" w:name="_Hlt137580637"/>
      <w:r>
        <w:rPr>
          <w:rFonts w:hint="eastAsia" w:ascii="宋体" w:hAnsi="宋体" w:cs="宋体"/>
          <w:b/>
          <w:bCs/>
          <w:color w:val="auto"/>
          <w:sz w:val="32"/>
          <w:szCs w:val="32"/>
          <w:highlight w:val="none"/>
          <w:lang w:val="en-US" w:eastAsia="zh-CN"/>
        </w:rPr>
        <w:t>材</w:t>
      </w:r>
      <w:bookmarkEnd w:id="11"/>
      <w:bookmarkEnd w:id="12"/>
      <w:r>
        <w:rPr>
          <w:rFonts w:hint="eastAsia" w:ascii="宋体" w:hAnsi="宋体" w:cs="宋体"/>
          <w:b/>
          <w:bCs/>
          <w:color w:val="auto"/>
          <w:sz w:val="32"/>
          <w:szCs w:val="32"/>
          <w:highlight w:val="none"/>
          <w:lang w:val="en-US" w:eastAsia="zh-CN"/>
        </w:rPr>
        <w:t>料格式</w:t>
      </w:r>
      <w:r>
        <w:rPr>
          <w:rFonts w:hint="eastAsia" w:ascii="宋体" w:hAnsi="宋体" w:cs="宋体"/>
          <w:b/>
          <w:bCs/>
          <w:color w:val="auto"/>
          <w:sz w:val="32"/>
          <w:szCs w:val="32"/>
          <w:highlight w:val="none"/>
          <w:lang w:val="en-US" w:eastAsia="zh-CN"/>
        </w:rPr>
        <w:tab/>
      </w:r>
      <w:r>
        <w:rPr>
          <w:rFonts w:hint="eastAsia" w:ascii="宋体" w:hAnsi="宋体" w:cs="宋体"/>
          <w:b/>
          <w:bCs/>
          <w:color w:val="auto"/>
          <w:sz w:val="32"/>
          <w:szCs w:val="32"/>
          <w:highlight w:val="none"/>
          <w:lang w:val="en-US" w:eastAsia="zh-CN"/>
        </w:rPr>
        <w:fldChar w:fldCharType="begin"/>
      </w:r>
      <w:r>
        <w:rPr>
          <w:rFonts w:hint="eastAsia" w:ascii="宋体" w:hAnsi="宋体" w:cs="宋体"/>
          <w:b/>
          <w:bCs/>
          <w:color w:val="auto"/>
          <w:sz w:val="32"/>
          <w:szCs w:val="32"/>
          <w:highlight w:val="none"/>
          <w:lang w:val="en-US" w:eastAsia="zh-CN"/>
        </w:rPr>
        <w:instrText xml:space="preserve"> PAGEREF _Toc13011 </w:instrText>
      </w:r>
      <w:r>
        <w:rPr>
          <w:rFonts w:hint="eastAsia" w:ascii="宋体" w:hAnsi="宋体" w:cs="宋体"/>
          <w:b/>
          <w:bCs/>
          <w:color w:val="auto"/>
          <w:sz w:val="32"/>
          <w:szCs w:val="32"/>
          <w:highlight w:val="none"/>
          <w:lang w:val="en-US" w:eastAsia="zh-CN"/>
        </w:rPr>
        <w:fldChar w:fldCharType="separate"/>
      </w:r>
      <w:r>
        <w:rPr>
          <w:rFonts w:hint="eastAsia" w:ascii="宋体" w:hAnsi="宋体" w:cs="宋体"/>
          <w:b/>
          <w:bCs/>
          <w:color w:val="auto"/>
          <w:sz w:val="32"/>
          <w:szCs w:val="32"/>
          <w:highlight w:val="none"/>
          <w:lang w:val="en-US" w:eastAsia="zh-CN"/>
        </w:rPr>
        <w:t>71</w:t>
      </w:r>
      <w:r>
        <w:rPr>
          <w:rFonts w:hint="eastAsia" w:ascii="宋体" w:hAnsi="宋体" w:cs="宋体"/>
          <w:b/>
          <w:bCs/>
          <w:color w:val="auto"/>
          <w:sz w:val="32"/>
          <w:szCs w:val="32"/>
          <w:highlight w:val="none"/>
          <w:lang w:val="en-US" w:eastAsia="zh-CN"/>
        </w:rPr>
        <w:fldChar w:fldCharType="end"/>
      </w:r>
      <w:r>
        <w:rPr>
          <w:rFonts w:hint="eastAsia" w:ascii="宋体" w:hAnsi="宋体" w:cs="宋体"/>
          <w:b/>
          <w:bCs/>
          <w:color w:val="auto"/>
          <w:sz w:val="32"/>
          <w:szCs w:val="32"/>
          <w:highlight w:val="none"/>
          <w:lang w:val="en-US" w:eastAsia="zh-CN"/>
        </w:rPr>
        <w:fldChar w:fldCharType="end"/>
      </w:r>
    </w:p>
    <w:p>
      <w:pPr>
        <w:pStyle w:val="28"/>
        <w:spacing w:line="480" w:lineRule="auto"/>
        <w:rPr>
          <w:rFonts w:hint="eastAsia"/>
          <w:b/>
          <w:color w:val="auto"/>
          <w:sz w:val="32"/>
          <w:szCs w:val="32"/>
          <w:highlight w:val="none"/>
        </w:rPr>
      </w:pPr>
      <w:r>
        <w:rPr>
          <w:rFonts w:hint="eastAsia" w:ascii="宋体" w:hAnsi="宋体" w:cs="宋体"/>
          <w:b/>
          <w:bCs/>
          <w:color w:val="auto"/>
          <w:sz w:val="24"/>
          <w:highlight w:val="none"/>
        </w:rPr>
        <w:fldChar w:fldCharType="end"/>
      </w:r>
    </w:p>
    <w:p>
      <w:pPr>
        <w:spacing w:line="400" w:lineRule="exact"/>
        <w:rPr>
          <w:rFonts w:hint="eastAsia"/>
          <w:b/>
          <w:color w:val="auto"/>
          <w:sz w:val="32"/>
          <w:szCs w:val="32"/>
          <w:highlight w:val="none"/>
        </w:rPr>
        <w:sectPr>
          <w:headerReference r:id="rId7" w:type="first"/>
          <w:footerReference r:id="rId9" w:type="first"/>
          <w:headerReference r:id="rId6" w:type="default"/>
          <w:footerReference r:id="rId8" w:type="default"/>
          <w:pgSz w:w="11911" w:h="16838"/>
          <w:pgMar w:top="1134" w:right="1134" w:bottom="1134" w:left="1134" w:header="720" w:footer="720" w:gutter="0"/>
          <w:cols w:space="720" w:num="1"/>
          <w:docGrid w:linePitch="312" w:charSpace="0"/>
        </w:sectPr>
      </w:pPr>
    </w:p>
    <w:p>
      <w:pPr>
        <w:pStyle w:val="3"/>
        <w:spacing w:before="360" w:after="360" w:line="400" w:lineRule="exact"/>
        <w:jc w:val="center"/>
        <w:rPr>
          <w:rFonts w:hint="eastAsia" w:ascii="Calibri" w:hAnsi="Calibri"/>
          <w:color w:val="auto"/>
          <w:highlight w:val="none"/>
        </w:rPr>
      </w:pPr>
      <w:bookmarkStart w:id="13" w:name="_Toc80886925"/>
      <w:bookmarkStart w:id="14" w:name="_Toc11989"/>
      <w:bookmarkStart w:id="15" w:name="_Toc11382"/>
      <w:bookmarkStart w:id="16" w:name="_Toc18838"/>
      <w:bookmarkStart w:id="17" w:name="_Toc12242"/>
      <w:bookmarkStart w:id="18" w:name="_Toc32264"/>
      <w:bookmarkStart w:id="19" w:name="_Toc27000"/>
      <w:bookmarkStart w:id="20" w:name="_Toc15624"/>
      <w:r>
        <w:rPr>
          <w:rFonts w:hint="eastAsia" w:ascii="Calibri" w:hAnsi="Calibri"/>
          <w:color w:val="auto"/>
          <w:highlight w:val="none"/>
        </w:rPr>
        <w:t>第一章 竞争性磋商公告</w:t>
      </w:r>
      <w:bookmarkEnd w:id="13"/>
      <w:bookmarkEnd w:id="14"/>
      <w:bookmarkEnd w:id="15"/>
      <w:bookmarkEnd w:id="16"/>
      <w:bookmarkEnd w:id="17"/>
      <w:bookmarkEnd w:id="18"/>
      <w:bookmarkEnd w:id="19"/>
      <w:bookmarkEnd w:id="20"/>
      <w:bookmarkStart w:id="21" w:name="_Toc35393623"/>
      <w:bookmarkStart w:id="22" w:name="_Toc28359012"/>
      <w:bookmarkStart w:id="23" w:name="_Toc35393792"/>
      <w:bookmarkStart w:id="24" w:name="_Toc35393629"/>
      <w:bookmarkStart w:id="25" w:name="_Toc28359004"/>
      <w:bookmarkStart w:id="26" w:name="_Toc44229878"/>
      <w:bookmarkStart w:id="27" w:name="_Toc28359081"/>
      <w:bookmarkStart w:id="28" w:name="_Toc28359089"/>
      <w:bookmarkStart w:id="29" w:name="_Toc35393798"/>
    </w:p>
    <w:p>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广西科联招标中心有限公司关于</w:t>
      </w:r>
      <w:r>
        <w:rPr>
          <w:rFonts w:hint="eastAsia" w:ascii="宋体" w:hAnsi="宋体" w:cs="宋体"/>
          <w:b/>
          <w:color w:val="auto"/>
          <w:sz w:val="36"/>
          <w:szCs w:val="36"/>
          <w:highlight w:val="none"/>
          <w:lang w:eastAsia="zh-CN"/>
        </w:rPr>
        <w:t>广西壮族自治区工伤保险结余基金审计服务项目</w:t>
      </w:r>
      <w:r>
        <w:rPr>
          <w:rFonts w:hint="eastAsia" w:ascii="宋体" w:hAnsi="宋体" w:eastAsia="宋体" w:cs="宋体"/>
          <w:b/>
          <w:color w:val="auto"/>
          <w:sz w:val="36"/>
          <w:szCs w:val="36"/>
          <w:highlight w:val="none"/>
        </w:rPr>
        <w:t>（</w:t>
      </w:r>
      <w:r>
        <w:rPr>
          <w:rFonts w:hint="eastAsia" w:ascii="宋体" w:hAnsi="宋体" w:cs="宋体"/>
          <w:b/>
          <w:color w:val="auto"/>
          <w:sz w:val="36"/>
          <w:szCs w:val="36"/>
          <w:highlight w:val="none"/>
          <w:lang w:eastAsia="zh-CN"/>
        </w:rPr>
        <w:t>GXZC2024-C3-003319-KLZB</w:t>
      </w:r>
      <w:r>
        <w:rPr>
          <w:rFonts w:hint="eastAsia" w:ascii="宋体" w:hAnsi="宋体" w:eastAsia="宋体" w:cs="宋体"/>
          <w:b/>
          <w:color w:val="auto"/>
          <w:sz w:val="36"/>
          <w:szCs w:val="36"/>
          <w:highlight w:val="none"/>
        </w:rPr>
        <w:t>）的竞争性磋商公告</w:t>
      </w:r>
    </w:p>
    <w:p>
      <w:pPr>
        <w:pStyle w:val="24"/>
        <w:rPr>
          <w:color w:val="auto"/>
          <w:highlight w:val="none"/>
        </w:rPr>
      </w:pPr>
    </w:p>
    <w:bookmarkEnd w:id="21"/>
    <w:bookmarkEnd w:id="22"/>
    <w:bookmarkEnd w:id="23"/>
    <w:bookmarkEnd w:id="24"/>
    <w:bookmarkEnd w:id="25"/>
    <w:bookmarkEnd w:id="26"/>
    <w:bookmarkEnd w:id="27"/>
    <w:bookmarkEnd w:id="28"/>
    <w:bookmarkEnd w:id="29"/>
    <w:tbl>
      <w:tblPr>
        <w:tblStyle w:val="32"/>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9" w:type="dxa"/>
          </w:tcPr>
          <w:p>
            <w:pPr>
              <w:spacing w:line="360" w:lineRule="auto"/>
              <w:rPr>
                <w:rFonts w:hint="eastAsia"/>
                <w:color w:val="auto"/>
                <w:szCs w:val="21"/>
                <w:highlight w:val="none"/>
              </w:rPr>
            </w:pPr>
            <w:r>
              <w:rPr>
                <w:rFonts w:hint="eastAsia"/>
                <w:color w:val="auto"/>
                <w:szCs w:val="21"/>
                <w:highlight w:val="none"/>
              </w:rPr>
              <w:t>项目概况：</w:t>
            </w:r>
          </w:p>
          <w:p>
            <w:pPr>
              <w:spacing w:line="360" w:lineRule="auto"/>
              <w:ind w:firstLine="420" w:firstLineChars="200"/>
              <w:rPr>
                <w:rFonts w:hint="eastAsia" w:ascii="黑体" w:hAnsi="黑体" w:eastAsia="黑体" w:cs="宋体"/>
                <w:bCs/>
                <w:color w:val="auto"/>
                <w:sz w:val="24"/>
                <w:highlight w:val="none"/>
              </w:rPr>
            </w:pPr>
            <w:r>
              <w:rPr>
                <w:rFonts w:hint="eastAsia" w:ascii="宋体" w:hAnsi="宋体" w:cs="宋体"/>
                <w:color w:val="auto"/>
                <w:szCs w:val="21"/>
                <w:highlight w:val="none"/>
                <w:u w:val="single"/>
                <w:lang w:eastAsia="zh-CN"/>
              </w:rPr>
              <w:t>广西壮族自治区工伤保险结余基金审计服务项目</w:t>
            </w:r>
            <w:r>
              <w:rPr>
                <w:rFonts w:hint="eastAsia" w:ascii="宋体" w:hAnsi="宋体" w:eastAsia="宋体" w:cs="宋体"/>
                <w:color w:val="auto"/>
                <w:szCs w:val="21"/>
                <w:highlight w:val="none"/>
              </w:rPr>
              <w:t>采购项目的潜在供应商应在</w:t>
            </w:r>
            <w:r>
              <w:rPr>
                <w:rFonts w:hint="eastAsia" w:ascii="宋体" w:hAnsi="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获取采购文件，并于</w:t>
            </w:r>
            <w:r>
              <w:rPr>
                <w:rFonts w:hint="eastAsia" w:ascii="宋体" w:hAnsi="宋体" w:eastAsia="宋体" w:cs="宋体"/>
                <w:color w:val="auto"/>
                <w:szCs w:val="21"/>
                <w:highlight w:val="none"/>
                <w:lang w:eastAsia="zh-CN"/>
              </w:rPr>
              <w:t>2024年</w:t>
            </w:r>
            <w:r>
              <w:rPr>
                <w:rFonts w:hint="eastAsia" w:ascii="宋体" w:hAnsi="宋体" w:cs="宋体"/>
                <w:color w:val="auto"/>
                <w:szCs w:val="21"/>
                <w:highlight w:val="none"/>
                <w:lang w:eastAsia="zh-CN"/>
              </w:rPr>
              <w:t>5月27日09:00:00</w:t>
            </w:r>
            <w:r>
              <w:rPr>
                <w:rFonts w:hint="eastAsia" w:ascii="宋体" w:hAnsi="宋体" w:eastAsia="宋体" w:cs="宋体"/>
                <w:color w:val="auto"/>
                <w:szCs w:val="21"/>
                <w:highlight w:val="none"/>
              </w:rPr>
              <w:t>（北京时间）前提交响应文件。</w:t>
            </w:r>
          </w:p>
        </w:tc>
      </w:tr>
    </w:tbl>
    <w:p>
      <w:pPr>
        <w:spacing w:line="39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一、项目基本情况</w:t>
      </w:r>
    </w:p>
    <w:p>
      <w:pPr>
        <w:spacing w:line="360" w:lineRule="auto"/>
        <w:ind w:firstLine="422" w:firstLineChars="200"/>
        <w:rPr>
          <w:rFonts w:hint="eastAsia" w:ascii="宋体" w:hAnsi="宋体" w:eastAsia="宋体" w:cs="Times New Roman"/>
          <w:color w:val="auto"/>
          <w:szCs w:val="21"/>
          <w:highlight w:val="none"/>
          <w:lang w:eastAsia="zh-CN"/>
        </w:rPr>
      </w:pPr>
      <w:r>
        <w:rPr>
          <w:rFonts w:hint="eastAsia" w:ascii="宋体" w:hAnsi="宋体" w:eastAsia="宋体" w:cs="Times New Roman"/>
          <w:b/>
          <w:bCs/>
          <w:color w:val="auto"/>
          <w:szCs w:val="21"/>
          <w:highlight w:val="none"/>
        </w:rPr>
        <w:t>项目编号：</w:t>
      </w:r>
      <w:r>
        <w:rPr>
          <w:rFonts w:hint="eastAsia" w:ascii="宋体" w:hAnsi="宋体" w:cs="Times New Roman"/>
          <w:color w:val="auto"/>
          <w:szCs w:val="21"/>
          <w:highlight w:val="none"/>
          <w:lang w:eastAsia="zh-CN"/>
        </w:rPr>
        <w:t>GXZC2024-C3-003319-KLZB</w:t>
      </w:r>
    </w:p>
    <w:p>
      <w:pPr>
        <w:spacing w:line="360" w:lineRule="auto"/>
        <w:ind w:firstLine="422" w:firstLineChars="200"/>
        <w:rPr>
          <w:rFonts w:hint="eastAsia" w:ascii="宋体" w:hAnsi="宋体" w:eastAsia="宋体" w:cs="Times New Roman"/>
          <w:color w:val="auto"/>
          <w:szCs w:val="21"/>
          <w:highlight w:val="none"/>
          <w:lang w:eastAsia="zh-CN"/>
        </w:rPr>
      </w:pPr>
      <w:r>
        <w:rPr>
          <w:rFonts w:hint="eastAsia" w:ascii="宋体" w:hAnsi="宋体" w:eastAsia="宋体" w:cs="Times New Roman"/>
          <w:b/>
          <w:bCs/>
          <w:color w:val="auto"/>
          <w:szCs w:val="21"/>
          <w:highlight w:val="none"/>
        </w:rPr>
        <w:t>项目名称：</w:t>
      </w:r>
      <w:r>
        <w:rPr>
          <w:rFonts w:hint="eastAsia" w:ascii="宋体" w:hAnsi="宋体" w:cs="Times New Roman"/>
          <w:color w:val="auto"/>
          <w:szCs w:val="21"/>
          <w:highlight w:val="none"/>
          <w:lang w:eastAsia="zh-CN"/>
        </w:rPr>
        <w:t>广西壮族自治区工伤保险结余基金审计服务项目</w:t>
      </w:r>
    </w:p>
    <w:p>
      <w:pPr>
        <w:spacing w:line="360" w:lineRule="auto"/>
        <w:ind w:firstLine="422" w:firstLineChars="200"/>
        <w:rPr>
          <w:rFonts w:hint="eastAsia" w:ascii="宋体" w:hAnsi="宋体" w:eastAsia="宋体" w:cs="Times New Roman"/>
          <w:color w:val="auto"/>
          <w:szCs w:val="21"/>
          <w:highlight w:val="none"/>
        </w:rPr>
      </w:pPr>
      <w:r>
        <w:rPr>
          <w:rFonts w:hint="eastAsia" w:ascii="宋体" w:hAnsi="宋体" w:eastAsia="宋体" w:cs="Times New Roman"/>
          <w:b/>
          <w:bCs/>
          <w:color w:val="auto"/>
          <w:szCs w:val="21"/>
          <w:highlight w:val="none"/>
        </w:rPr>
        <w:t>采购方式：</w:t>
      </w:r>
      <w:r>
        <w:rPr>
          <w:rFonts w:hint="eastAsia" w:ascii="宋体" w:hAnsi="宋体" w:eastAsia="宋体" w:cs="Times New Roman"/>
          <w:color w:val="auto"/>
          <w:szCs w:val="21"/>
          <w:highlight w:val="none"/>
        </w:rPr>
        <w:t>竞争性磋商</w:t>
      </w:r>
    </w:p>
    <w:p>
      <w:pPr>
        <w:spacing w:line="360" w:lineRule="auto"/>
        <w:ind w:firstLine="422" w:firstLineChars="200"/>
        <w:rPr>
          <w:rFonts w:hint="eastAsia" w:ascii="宋体" w:hAnsi="宋体" w:eastAsia="宋体" w:cs="Times New Roman"/>
          <w:color w:val="auto"/>
          <w:szCs w:val="21"/>
          <w:highlight w:val="none"/>
        </w:rPr>
      </w:pPr>
      <w:r>
        <w:rPr>
          <w:rFonts w:hint="eastAsia" w:ascii="宋体" w:hAnsi="宋体" w:eastAsia="宋体" w:cs="Times New Roman"/>
          <w:b/>
          <w:bCs/>
          <w:color w:val="auto"/>
          <w:szCs w:val="21"/>
          <w:highlight w:val="none"/>
        </w:rPr>
        <w:t>预算金额（元）</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1500000</w:t>
      </w:r>
      <w:r>
        <w:rPr>
          <w:rFonts w:hint="eastAsia" w:ascii="宋体" w:hAnsi="宋体" w:eastAsia="宋体" w:cs="Times New Roman"/>
          <w:color w:val="auto"/>
          <w:szCs w:val="21"/>
          <w:highlight w:val="none"/>
        </w:rPr>
        <w:t>.00</w:t>
      </w:r>
    </w:p>
    <w:p>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采购需求：</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标项名称:广西壮族自治区工伤保险结余基金审计服务</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数量:1</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预算金额（元）:</w:t>
      </w:r>
      <w:r>
        <w:rPr>
          <w:rFonts w:hint="eastAsia" w:ascii="宋体" w:hAnsi="宋体" w:cs="Times New Roman"/>
          <w:color w:val="auto"/>
          <w:szCs w:val="21"/>
          <w:highlight w:val="none"/>
          <w:lang w:val="en-US" w:eastAsia="zh-CN"/>
        </w:rPr>
        <w:t>1500000</w:t>
      </w:r>
      <w:r>
        <w:rPr>
          <w:rFonts w:hint="eastAsia" w:ascii="宋体" w:hAnsi="宋体" w:eastAsia="宋体" w:cs="Times New Roman"/>
          <w:color w:val="auto"/>
          <w:szCs w:val="21"/>
          <w:highlight w:val="none"/>
        </w:rPr>
        <w:t>.00</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简要规格描述或项目基本概况介绍、用途：广西壮族自治区工伤保险结余基金审计服务</w:t>
      </w:r>
      <w:r>
        <w:rPr>
          <w:rFonts w:hint="eastAsia" w:ascii="宋体" w:hAnsi="宋体" w:cs="Times New Roman"/>
          <w:color w:val="auto"/>
          <w:szCs w:val="21"/>
          <w:highlight w:val="none"/>
          <w:lang w:val="en-US" w:eastAsia="zh-CN"/>
        </w:rPr>
        <w:t>1项</w:t>
      </w:r>
      <w:r>
        <w:rPr>
          <w:rFonts w:hint="eastAsia" w:ascii="宋体" w:hAnsi="宋体" w:eastAsia="宋体" w:cs="Times New Roman"/>
          <w:color w:val="auto"/>
          <w:szCs w:val="21"/>
          <w:highlight w:val="none"/>
        </w:rPr>
        <w:t>，详见</w:t>
      </w:r>
      <w:r>
        <w:rPr>
          <w:rFonts w:hint="eastAsia" w:cs="Times New Roman"/>
          <w:color w:val="auto"/>
          <w:highlight w:val="none"/>
          <w:lang w:eastAsia="zh-CN"/>
        </w:rPr>
        <w:t>竞争性磋商公告</w:t>
      </w:r>
      <w:r>
        <w:rPr>
          <w:rFonts w:hint="eastAsia" w:ascii="宋体" w:hAnsi="宋体" w:eastAsia="宋体" w:cs="Times New Roman"/>
          <w:color w:val="auto"/>
          <w:szCs w:val="21"/>
          <w:highlight w:val="none"/>
        </w:rPr>
        <w:t>附件</w:t>
      </w:r>
      <w:r>
        <w:rPr>
          <w:rFonts w:hint="eastAsia" w:ascii="宋体" w:hAnsi="宋体" w:eastAsia="宋体" w:cs="Times New Roman"/>
          <w:color w:val="auto"/>
          <w:szCs w:val="21"/>
          <w:highlight w:val="none"/>
          <w:lang w:val="en-US" w:eastAsia="zh-CN"/>
        </w:rPr>
        <w:t>采购文件</w:t>
      </w:r>
      <w:r>
        <w:rPr>
          <w:rFonts w:hint="eastAsia" w:ascii="宋体" w:hAnsi="宋体" w:eastAsia="宋体" w:cs="Times New Roman"/>
          <w:color w:val="auto"/>
          <w:szCs w:val="21"/>
          <w:highlight w:val="none"/>
        </w:rPr>
        <w:t>。</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最高限价（如有）：/</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合同履约期限：</w:t>
      </w:r>
      <w:r>
        <w:rPr>
          <w:rFonts w:hint="eastAsia" w:ascii="宋体" w:hAnsi="宋体" w:eastAsia="宋体" w:cs="宋体"/>
          <w:color w:val="auto"/>
          <w:szCs w:val="21"/>
          <w:highlight w:val="none"/>
        </w:rPr>
        <w:t>自签订合同之日起，60天内完成审计并出具审计报告和整改建议详细报告(含电子版和一式五份纸质版）。审计单位拟出审计初步意见(审计报告征求意见稿)后，充分征求采购人及被审计单位意见，根据反馈意见形成最终审计报告。</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本标项（否）接受联合体竞标</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备注：无</w:t>
      </w:r>
    </w:p>
    <w:p>
      <w:pPr>
        <w:spacing w:line="390" w:lineRule="exact"/>
        <w:ind w:firstLine="482" w:firstLineChars="200"/>
        <w:rPr>
          <w:rFonts w:hint="eastAsia" w:ascii="宋体" w:hAnsi="宋体" w:eastAsia="宋体" w:cs="宋体"/>
          <w:b/>
          <w:bCs/>
          <w:color w:val="auto"/>
          <w:sz w:val="24"/>
          <w:highlight w:val="none"/>
        </w:rPr>
      </w:pPr>
      <w:bookmarkStart w:id="30" w:name="_Toc44229879"/>
      <w:bookmarkStart w:id="31" w:name="_Toc35393799"/>
      <w:bookmarkStart w:id="32" w:name="_Toc28359013"/>
      <w:bookmarkStart w:id="33" w:name="_Toc28359090"/>
      <w:bookmarkStart w:id="34" w:name="_Toc35393630"/>
      <w:r>
        <w:rPr>
          <w:rFonts w:hint="eastAsia" w:ascii="宋体" w:hAnsi="宋体" w:eastAsia="宋体" w:cs="宋体"/>
          <w:b/>
          <w:bCs/>
          <w:color w:val="auto"/>
          <w:sz w:val="24"/>
          <w:highlight w:val="none"/>
        </w:rPr>
        <w:t>二、申请人的资格</w:t>
      </w:r>
      <w:bookmarkEnd w:id="30"/>
      <w:bookmarkEnd w:id="31"/>
      <w:bookmarkEnd w:id="32"/>
      <w:bookmarkEnd w:id="33"/>
      <w:bookmarkEnd w:id="34"/>
      <w:r>
        <w:rPr>
          <w:rFonts w:hint="eastAsia" w:ascii="宋体" w:hAnsi="宋体" w:eastAsia="宋体" w:cs="宋体"/>
          <w:b/>
          <w:bCs/>
          <w:color w:val="auto"/>
          <w:sz w:val="24"/>
          <w:highlight w:val="none"/>
        </w:rPr>
        <w:t>要求</w:t>
      </w:r>
    </w:p>
    <w:p>
      <w:pPr>
        <w:spacing w:line="39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pPr>
        <w:spacing w:line="39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2.落实政府采购政策需满足的资格要求：</w:t>
      </w:r>
      <w:r>
        <w:rPr>
          <w:rFonts w:hint="eastAsia" w:ascii="宋体" w:hAnsi="宋体"/>
          <w:color w:val="auto"/>
          <w:szCs w:val="21"/>
          <w:highlight w:val="none"/>
          <w:lang w:val="en-US" w:eastAsia="zh-CN"/>
        </w:rPr>
        <w:t>无</w:t>
      </w:r>
      <w:r>
        <w:rPr>
          <w:rFonts w:hint="eastAsia" w:ascii="宋体" w:hAnsi="宋体"/>
          <w:color w:val="auto"/>
          <w:szCs w:val="21"/>
          <w:highlight w:val="none"/>
        </w:rPr>
        <w:t>；</w:t>
      </w:r>
    </w:p>
    <w:p>
      <w:pPr>
        <w:spacing w:line="39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3.本项目的特定资格要求：【分标1】具有国家主管部门颁发的有效的会计师事务所执业证书。</w:t>
      </w:r>
    </w:p>
    <w:p>
      <w:pPr>
        <w:spacing w:line="39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三、获取采购文件</w:t>
      </w:r>
    </w:p>
    <w:p>
      <w:pPr>
        <w:spacing w:line="390" w:lineRule="exact"/>
        <w:ind w:firstLine="420" w:firstLineChars="200"/>
        <w:rPr>
          <w:rFonts w:hint="eastAsia" w:ascii="宋体" w:hAnsi="宋体" w:cs="宋体"/>
          <w:bCs/>
          <w:color w:val="auto"/>
          <w:kern w:val="0"/>
          <w:szCs w:val="21"/>
          <w:highlight w:val="none"/>
        </w:rPr>
      </w:pPr>
      <w:bookmarkStart w:id="35" w:name="_Toc28359082"/>
      <w:bookmarkStart w:id="36" w:name="_Toc35393624"/>
      <w:bookmarkStart w:id="37" w:name="_Toc35393793"/>
      <w:bookmarkStart w:id="38" w:name="_Toc28359005"/>
      <w:r>
        <w:rPr>
          <w:rFonts w:hint="eastAsia" w:ascii="宋体" w:hAnsi="宋体" w:cs="宋体"/>
          <w:bCs/>
          <w:color w:val="auto"/>
          <w:kern w:val="0"/>
          <w:szCs w:val="21"/>
          <w:highlight w:val="none"/>
        </w:rPr>
        <w:t>时间：</w:t>
      </w:r>
      <w:r>
        <w:rPr>
          <w:rFonts w:hint="eastAsia" w:ascii="宋体" w:hAnsi="宋体" w:cs="宋体"/>
          <w:bCs/>
          <w:color w:val="auto"/>
          <w:kern w:val="0"/>
          <w:szCs w:val="21"/>
          <w:highlight w:val="none"/>
          <w:lang w:eastAsia="zh-CN"/>
        </w:rPr>
        <w:t>2024年5月16日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lang w:eastAsia="zh-CN"/>
        </w:rPr>
        <w:t>2024年5月23日</w:t>
      </w:r>
      <w:r>
        <w:rPr>
          <w:rFonts w:hint="eastAsia" w:ascii="宋体" w:hAnsi="宋体" w:cs="宋体"/>
          <w:bCs/>
          <w:color w:val="auto"/>
          <w:kern w:val="0"/>
          <w:szCs w:val="21"/>
          <w:highlight w:val="none"/>
        </w:rPr>
        <w:t>，每天上午00:00至11:59，下午12:00至23:59（北京时间，法定节假日除外）；</w:t>
      </w:r>
    </w:p>
    <w:p>
      <w:pPr>
        <w:spacing w:line="39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bCs/>
          <w:color w:val="auto"/>
          <w:kern w:val="0"/>
          <w:szCs w:val="21"/>
          <w:highlight w:val="none"/>
        </w:rPr>
        <w:t>地点（网址）：</w:t>
      </w:r>
      <w:r>
        <w:rPr>
          <w:rFonts w:hint="eastAsia" w:ascii="宋体" w:hAnsi="宋体" w:cs="宋体"/>
          <w:color w:val="auto"/>
          <w:szCs w:val="21"/>
          <w:highlight w:val="none"/>
          <w:lang w:eastAsia="zh-CN"/>
        </w:rPr>
        <w:t>广西政府采购云平台（https://www.gcy.zfcg.gxzf.gov.cn/）</w:t>
      </w:r>
    </w:p>
    <w:p>
      <w:pPr>
        <w:pStyle w:val="14"/>
        <w:spacing w:line="390" w:lineRule="exact"/>
        <w:rPr>
          <w:rFonts w:hint="eastAsia" w:ascii="宋体" w:hAnsi="宋体" w:eastAsia="宋体" w:cs="宋体"/>
          <w:b/>
          <w:bCs/>
          <w:color w:val="auto"/>
          <w:sz w:val="24"/>
          <w:highlight w:val="none"/>
        </w:rPr>
      </w:pPr>
      <w:r>
        <w:rPr>
          <w:rFonts w:hint="eastAsia" w:ascii="宋体" w:hAnsi="宋体" w:cs="宋体"/>
          <w:color w:val="auto"/>
          <w:szCs w:val="21"/>
          <w:highlight w:val="none"/>
        </w:rPr>
        <w:t>　　方式：网上下载。本</w:t>
      </w:r>
      <w:r>
        <w:rPr>
          <w:rFonts w:hint="eastAsia" w:ascii="宋体" w:hAnsi="宋体" w:eastAsia="宋体" w:cs="宋体"/>
          <w:color w:val="auto"/>
          <w:szCs w:val="21"/>
          <w:highlight w:val="none"/>
        </w:rPr>
        <w:t>项目不发放纸质</w:t>
      </w: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文件，潜在供应商可自行登录广西政府采购云平台</w:t>
      </w:r>
      <w:r>
        <w:rPr>
          <w:rFonts w:hint="eastAsia" w:ascii="宋体" w:hAnsi="宋体" w:cs="宋体"/>
          <w:color w:val="auto"/>
          <w:szCs w:val="21"/>
          <w:highlight w:val="none"/>
          <w:lang w:val="en-US" w:eastAsia="zh-CN"/>
        </w:rPr>
        <w:t>获取</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，电子</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制作需要基于广西政府采购云平台获取的采购文件编制。</w:t>
      </w:r>
    </w:p>
    <w:p>
      <w:pPr>
        <w:snapToGrid w:val="0"/>
        <w:spacing w:line="39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售价（元）：0</w:t>
      </w:r>
    </w:p>
    <w:p>
      <w:pPr>
        <w:spacing w:line="39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bookmarkEnd w:id="35"/>
      <w:bookmarkEnd w:id="36"/>
      <w:bookmarkEnd w:id="37"/>
      <w:bookmarkEnd w:id="38"/>
      <w:r>
        <w:rPr>
          <w:rFonts w:hint="eastAsia" w:ascii="宋体" w:hAnsi="宋体" w:eastAsia="宋体" w:cs="宋体"/>
          <w:b/>
          <w:bCs/>
          <w:color w:val="auto"/>
          <w:sz w:val="24"/>
          <w:highlight w:val="none"/>
        </w:rPr>
        <w:t>响应文件提交</w:t>
      </w:r>
    </w:p>
    <w:p>
      <w:pPr>
        <w:spacing w:line="39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1、首次响应文件提交截止时间</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eastAsia="zh-CN"/>
        </w:rPr>
        <w:t>2024年</w:t>
      </w:r>
      <w:r>
        <w:rPr>
          <w:rFonts w:hint="eastAsia" w:ascii="宋体" w:hAnsi="宋体" w:cs="宋体"/>
          <w:bCs/>
          <w:color w:val="auto"/>
          <w:szCs w:val="21"/>
          <w:highlight w:val="none"/>
          <w:lang w:eastAsia="zh-CN"/>
        </w:rPr>
        <w:t>5月27日</w:t>
      </w:r>
      <w:r>
        <w:rPr>
          <w:rFonts w:hint="eastAsia" w:ascii="宋体" w:hAnsi="宋体" w:eastAsia="宋体" w:cs="宋体"/>
          <w:bCs/>
          <w:color w:val="auto"/>
          <w:szCs w:val="21"/>
          <w:highlight w:val="none"/>
          <w:lang w:eastAsia="zh-CN"/>
        </w:rPr>
        <w:t>09:00:00</w:t>
      </w:r>
      <w:r>
        <w:rPr>
          <w:rFonts w:hint="eastAsia" w:ascii="宋体" w:hAnsi="宋体" w:eastAsia="宋体" w:cs="宋体"/>
          <w:bCs/>
          <w:color w:val="auto"/>
          <w:szCs w:val="21"/>
          <w:highlight w:val="none"/>
        </w:rPr>
        <w:t>（北京时间）</w:t>
      </w:r>
    </w:p>
    <w:p>
      <w:pPr>
        <w:spacing w:line="39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2、首次响应文件提交地点： </w:t>
      </w:r>
      <w:r>
        <w:rPr>
          <w:rFonts w:hint="eastAsia" w:ascii="宋体" w:hAnsi="宋体" w:eastAsia="宋体" w:cs="宋体"/>
          <w:color w:val="auto"/>
          <w:szCs w:val="21"/>
          <w:highlight w:val="none"/>
          <w:lang w:eastAsia="zh-CN"/>
        </w:rPr>
        <w:t>广西政府采购云平台（https://www.gcy.zfcg.gxzf.gov.cn/）</w:t>
      </w:r>
    </w:p>
    <w:p>
      <w:pPr>
        <w:spacing w:line="39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五、开启（首次响应文件开启时间）</w:t>
      </w:r>
    </w:p>
    <w:p>
      <w:pPr>
        <w:spacing w:line="39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时间：</w:t>
      </w:r>
      <w:r>
        <w:rPr>
          <w:rFonts w:hint="eastAsia" w:ascii="宋体" w:hAnsi="宋体" w:eastAsia="宋体" w:cs="宋体"/>
          <w:color w:val="auto"/>
          <w:szCs w:val="21"/>
          <w:highlight w:val="none"/>
          <w:lang w:eastAsia="zh-CN"/>
        </w:rPr>
        <w:t>2024年</w:t>
      </w:r>
      <w:r>
        <w:rPr>
          <w:rFonts w:hint="eastAsia" w:ascii="宋体" w:hAnsi="宋体" w:cs="宋体"/>
          <w:color w:val="auto"/>
          <w:szCs w:val="21"/>
          <w:highlight w:val="none"/>
          <w:lang w:eastAsia="zh-CN"/>
        </w:rPr>
        <w:t>5月27日</w:t>
      </w:r>
      <w:r>
        <w:rPr>
          <w:rFonts w:hint="eastAsia" w:ascii="宋体" w:hAnsi="宋体" w:eastAsia="宋体" w:cs="宋体"/>
          <w:color w:val="auto"/>
          <w:szCs w:val="21"/>
          <w:highlight w:val="none"/>
          <w:lang w:eastAsia="zh-CN"/>
        </w:rPr>
        <w:t>09:00:00</w:t>
      </w:r>
      <w:r>
        <w:rPr>
          <w:rFonts w:hint="eastAsia" w:ascii="宋体" w:hAnsi="宋体" w:eastAsia="宋体" w:cs="宋体"/>
          <w:bCs/>
          <w:color w:val="auto"/>
          <w:szCs w:val="21"/>
          <w:highlight w:val="none"/>
        </w:rPr>
        <w:t>（北京时间）</w:t>
      </w:r>
      <w:r>
        <w:rPr>
          <w:rFonts w:hint="eastAsia" w:ascii="宋体" w:hAnsi="宋体" w:eastAsia="宋体" w:cs="宋体"/>
          <w:color w:val="auto"/>
          <w:szCs w:val="21"/>
          <w:highlight w:val="none"/>
        </w:rPr>
        <w:t>后</w:t>
      </w:r>
    </w:p>
    <w:p>
      <w:pPr>
        <w:spacing w:line="39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地点：</w:t>
      </w:r>
      <w:r>
        <w:rPr>
          <w:rFonts w:hint="eastAsia" w:ascii="宋体" w:hAnsi="宋体" w:eastAsia="宋体" w:cs="宋体"/>
          <w:color w:val="auto"/>
          <w:szCs w:val="21"/>
          <w:highlight w:val="none"/>
          <w:lang w:eastAsia="zh-CN"/>
        </w:rPr>
        <w:t>广西政府采购云平台电子开标大厅</w:t>
      </w:r>
    </w:p>
    <w:p>
      <w:pPr>
        <w:spacing w:line="390" w:lineRule="exact"/>
        <w:ind w:firstLine="482" w:firstLineChars="200"/>
        <w:rPr>
          <w:rFonts w:hint="eastAsia" w:ascii="宋体" w:hAnsi="宋体" w:eastAsia="宋体" w:cs="宋体"/>
          <w:b/>
          <w:bCs/>
          <w:color w:val="auto"/>
          <w:sz w:val="24"/>
          <w:highlight w:val="none"/>
        </w:rPr>
      </w:pPr>
      <w:bookmarkStart w:id="39" w:name="_Toc28359084"/>
      <w:bookmarkStart w:id="40" w:name="_Toc28359007"/>
      <w:bookmarkStart w:id="41" w:name="_Toc35393794"/>
      <w:bookmarkStart w:id="42" w:name="_Toc35393625"/>
      <w:r>
        <w:rPr>
          <w:rFonts w:hint="eastAsia" w:ascii="宋体" w:hAnsi="宋体" w:eastAsia="宋体" w:cs="宋体"/>
          <w:b/>
          <w:bCs/>
          <w:color w:val="auto"/>
          <w:sz w:val="24"/>
          <w:highlight w:val="none"/>
        </w:rPr>
        <w:t>六、公告期限</w:t>
      </w:r>
      <w:bookmarkEnd w:id="39"/>
      <w:bookmarkEnd w:id="40"/>
      <w:bookmarkEnd w:id="41"/>
      <w:bookmarkEnd w:id="42"/>
    </w:p>
    <w:p>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自本公告发布之日起3个工作日。</w:t>
      </w:r>
    </w:p>
    <w:p>
      <w:pPr>
        <w:spacing w:line="390" w:lineRule="exact"/>
        <w:ind w:firstLine="482" w:firstLineChars="200"/>
        <w:rPr>
          <w:rFonts w:hint="eastAsia" w:ascii="宋体" w:hAnsi="宋体" w:eastAsia="宋体" w:cs="宋体"/>
          <w:b/>
          <w:bCs/>
          <w:color w:val="auto"/>
          <w:sz w:val="24"/>
          <w:highlight w:val="none"/>
        </w:rPr>
      </w:pPr>
      <w:bookmarkStart w:id="43" w:name="_Toc35393795"/>
      <w:bookmarkStart w:id="44" w:name="_Toc35393626"/>
      <w:r>
        <w:rPr>
          <w:rFonts w:hint="eastAsia" w:ascii="宋体" w:hAnsi="宋体" w:eastAsia="宋体" w:cs="宋体"/>
          <w:b/>
          <w:bCs/>
          <w:color w:val="auto"/>
          <w:sz w:val="24"/>
          <w:highlight w:val="none"/>
        </w:rPr>
        <w:t>七、其他补充事宜</w:t>
      </w:r>
      <w:bookmarkEnd w:id="43"/>
      <w:bookmarkEnd w:id="44"/>
    </w:p>
    <w:p>
      <w:pPr>
        <w:spacing w:line="390" w:lineRule="exact"/>
        <w:ind w:firstLine="420" w:firstLineChars="200"/>
        <w:rPr>
          <w:rFonts w:hint="eastAsia" w:ascii="宋体" w:hAnsi="宋体" w:cs="宋体"/>
          <w:color w:val="auto"/>
          <w:kern w:val="0"/>
          <w:szCs w:val="21"/>
          <w:highlight w:val="none"/>
          <w:lang w:val="en-US" w:eastAsia="zh-CN"/>
        </w:rPr>
      </w:pPr>
      <w:bookmarkStart w:id="45" w:name="_Hlk37429585"/>
      <w:r>
        <w:rPr>
          <w:rFonts w:hint="eastAsia" w:ascii="宋体" w:hAnsi="宋体" w:cs="宋体"/>
          <w:color w:val="auto"/>
          <w:kern w:val="0"/>
          <w:szCs w:val="21"/>
          <w:highlight w:val="none"/>
          <w:lang w:val="en-US" w:eastAsia="zh-CN"/>
        </w:rPr>
        <w:t>1.磋商保证金：</w:t>
      </w:r>
    </w:p>
    <w:p>
      <w:pPr>
        <w:spacing w:line="390" w:lineRule="exact"/>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磋商保证金金额：¥15000.00元</w:t>
      </w:r>
    </w:p>
    <w:p>
      <w:pPr>
        <w:spacing w:line="390" w:lineRule="exact"/>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磋商保证金的缴纳方式：银行转账、支票、汇票、本票或者金融机构、担保机构出具的保函等非现金形式提交。采用银行转账方式的，在首次响应文件提交截止时间前交至采购代理机构指定账户并且到账；缴纳磋商保证金指定账户的信息：</w:t>
      </w:r>
    </w:p>
    <w:p>
      <w:pPr>
        <w:spacing w:line="390" w:lineRule="exact"/>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开户名称：广西科联招标中心有限公司</w:t>
      </w:r>
    </w:p>
    <w:p>
      <w:pPr>
        <w:spacing w:line="390" w:lineRule="exact"/>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开户银行：招商银行南宁市双拥路支行</w:t>
      </w:r>
    </w:p>
    <w:p>
      <w:pPr>
        <w:spacing w:line="390" w:lineRule="exact"/>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银行账号：7719011969103333000006696</w:t>
      </w:r>
    </w:p>
    <w:p>
      <w:pPr>
        <w:spacing w:line="390" w:lineRule="exact"/>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开户行行号：308611000112</w:t>
      </w:r>
    </w:p>
    <w:p>
      <w:pPr>
        <w:spacing w:line="390" w:lineRule="exact"/>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采用支票、汇票、本票或者保函等方式的，在首次响应文件提交截止时间前，供应商必须提交单独密封的支票、汇票、本票或者保函等原件给采购代理机构。否则视为无效磋商保证金。</w:t>
      </w:r>
    </w:p>
    <w:p>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w:t>
      </w:r>
      <w:bookmarkStart w:id="46" w:name="_Hlk37429595"/>
      <w:r>
        <w:rPr>
          <w:rFonts w:hint="eastAsia" w:ascii="宋体" w:hAnsi="宋体" w:eastAsia="宋体" w:cs="宋体"/>
          <w:color w:val="auto"/>
          <w:kern w:val="0"/>
          <w:szCs w:val="21"/>
          <w:highlight w:val="none"/>
        </w:rPr>
        <w:t>网上查询地址</w:t>
      </w:r>
    </w:p>
    <w:bookmarkEnd w:id="45"/>
    <w:bookmarkEnd w:id="46"/>
    <w:p>
      <w:pPr>
        <w:spacing w:line="390" w:lineRule="exact"/>
        <w:ind w:firstLine="420" w:firstLineChars="200"/>
        <w:rPr>
          <w:rFonts w:hint="eastAsia" w:ascii="宋体" w:hAnsi="宋体" w:eastAsia="宋体" w:cs="宋体"/>
          <w:color w:val="auto"/>
          <w:kern w:val="0"/>
          <w:szCs w:val="21"/>
          <w:highlight w:val="none"/>
        </w:rPr>
      </w:pPr>
      <w:bookmarkStart w:id="47" w:name="_Hlk37429674"/>
      <w:r>
        <w:rPr>
          <w:rFonts w:hint="eastAsia" w:ascii="宋体" w:hAnsi="宋体" w:cs="宋体"/>
          <w:color w:val="auto"/>
          <w:kern w:val="0"/>
          <w:szCs w:val="21"/>
          <w:highlight w:val="none"/>
          <w:lang w:eastAsia="zh-CN"/>
        </w:rPr>
        <w:t>http://www.ccgp-guangxi.gov.cn/（中国政府采购网广西分网）</w:t>
      </w:r>
      <w:r>
        <w:rPr>
          <w:rFonts w:hint="eastAsia" w:ascii="宋体" w:hAnsi="宋体" w:eastAsia="宋体" w:cs="宋体"/>
          <w:color w:val="auto"/>
          <w:kern w:val="0"/>
          <w:szCs w:val="21"/>
          <w:highlight w:val="none"/>
        </w:rPr>
        <w:t>。</w:t>
      </w:r>
    </w:p>
    <w:bookmarkEnd w:id="47"/>
    <w:p>
      <w:pPr>
        <w:spacing w:line="39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 本项目需要落实的政府采购政策</w:t>
      </w:r>
    </w:p>
    <w:p>
      <w:pPr>
        <w:spacing w:line="39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pPr>
        <w:spacing w:line="39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pPr>
        <w:spacing w:line="39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pPr>
        <w:spacing w:line="39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pPr>
        <w:spacing w:line="39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pPr>
        <w:spacing w:line="39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9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spacing w:line="390" w:lineRule="exact"/>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.在线竞标的有关说明：</w:t>
      </w:r>
    </w:p>
    <w:p>
      <w:pPr>
        <w:spacing w:line="39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（1）响应文件提交方式：本项目为全流程电子化项目，通过</w:t>
      </w:r>
      <w:r>
        <w:rPr>
          <w:rFonts w:hint="eastAsia" w:ascii="宋体" w:hAnsi="宋体" w:cs="宋体"/>
          <w:color w:val="auto"/>
          <w:kern w:val="0"/>
          <w:szCs w:val="21"/>
          <w:highlight w:val="none"/>
          <w:lang w:eastAsia="zh-CN"/>
        </w:rPr>
        <w:t>广西政府采购云平台（https://www.gcy.zfcg.gxzf.gov.cn/）</w:t>
      </w:r>
      <w:r>
        <w:rPr>
          <w:rFonts w:hint="eastAsia" w:ascii="宋体" w:hAnsi="宋体" w:cs="宋体"/>
          <w:color w:val="auto"/>
          <w:kern w:val="0"/>
          <w:szCs w:val="21"/>
          <w:highlight w:val="none"/>
        </w:rPr>
        <w:t>实行在线电子响应，</w:t>
      </w:r>
      <w:r>
        <w:rPr>
          <w:rFonts w:hint="eastAsia"/>
          <w:color w:val="auto"/>
          <w:highlight w:val="none"/>
        </w:rPr>
        <w:t>供应商应先安装广西政府采购云平台新版客户端（新版客户端下载路径：广西政府采购网（访问地址http://zfcg.gxzf.gov.cn/）—办事服务—下载专区</w:t>
      </w:r>
      <w:r>
        <w:rPr>
          <w:rFonts w:hint="eastAsia"/>
          <w:color w:val="auto"/>
          <w:highlight w:val="none"/>
          <w:lang w:eastAsia="zh-CN"/>
        </w:rPr>
        <w:t>）</w:t>
      </w:r>
      <w:r>
        <w:rPr>
          <w:rFonts w:hint="eastAsia" w:ascii="宋体" w:hAnsi="宋体" w:cs="宋体"/>
          <w:color w:val="auto"/>
          <w:kern w:val="0"/>
          <w:szCs w:val="21"/>
          <w:highlight w:val="none"/>
        </w:rPr>
        <w:t>，并按照本项目采购文件和</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的要求编制、加密后在响应文件提交截止时间前通过网络上传至</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供应商在</w:t>
      </w:r>
      <w:r>
        <w:rPr>
          <w:rFonts w:hint="eastAsia" w:ascii="宋体" w:hAnsi="宋体" w:cs="宋体"/>
          <w:b/>
          <w:bCs/>
          <w:color w:val="auto"/>
          <w:kern w:val="0"/>
          <w:szCs w:val="21"/>
          <w:highlight w:val="none"/>
          <w:lang w:eastAsia="zh-CN"/>
        </w:rPr>
        <w:t>广西政府采购云平台</w:t>
      </w:r>
      <w:r>
        <w:rPr>
          <w:rFonts w:hint="eastAsia" w:ascii="宋体" w:hAnsi="宋体" w:cs="宋体"/>
          <w:b/>
          <w:bCs/>
          <w:color w:val="auto"/>
          <w:kern w:val="0"/>
          <w:szCs w:val="21"/>
          <w:highlight w:val="none"/>
        </w:rPr>
        <w:t>提交电子版响应文件时，请填写参加远程开标活动经办人联系方式</w:t>
      </w:r>
      <w:r>
        <w:rPr>
          <w:rFonts w:hint="eastAsia" w:ascii="宋体" w:hAnsi="宋体" w:cs="宋体"/>
          <w:color w:val="auto"/>
          <w:kern w:val="0"/>
          <w:szCs w:val="21"/>
          <w:highlight w:val="none"/>
        </w:rPr>
        <w:t>。</w:t>
      </w:r>
    </w:p>
    <w:p>
      <w:pPr>
        <w:spacing w:line="39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（2）未进行网上注册并办理数字证书（CA认证）的供应商将无法参与本项目政府采购活动，潜在供应商应当在首次响应文件提交截止时间前，完成电子交易平台上的CA数字证书办理及响应文件的提交。</w:t>
      </w:r>
    </w:p>
    <w:p>
      <w:pPr>
        <w:spacing w:line="39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pPr>
        <w:spacing w:line="390" w:lineRule="exact"/>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文件提交截止时间前未完成上传、递交的，视为撤回响应文件。响应文件提交截止时间以后上传递交的响应文件的，</w:t>
      </w:r>
      <w:r>
        <w:rPr>
          <w:rFonts w:hint="eastAsia" w:ascii="宋体" w:hAnsi="宋体" w:cs="宋体"/>
          <w:b/>
          <w:bCs/>
          <w:color w:val="auto"/>
          <w:kern w:val="0"/>
          <w:szCs w:val="21"/>
          <w:highlight w:val="none"/>
          <w:lang w:eastAsia="zh-CN"/>
        </w:rPr>
        <w:t>广西政府采购云平台</w:t>
      </w:r>
      <w:r>
        <w:rPr>
          <w:rFonts w:hint="eastAsia" w:ascii="宋体" w:hAnsi="宋体" w:cs="宋体"/>
          <w:b/>
          <w:bCs/>
          <w:color w:val="auto"/>
          <w:kern w:val="0"/>
          <w:szCs w:val="21"/>
          <w:highlight w:val="none"/>
        </w:rPr>
        <w:t>将予以拒收。</w:t>
      </w:r>
    </w:p>
    <w:p>
      <w:pPr>
        <w:spacing w:line="39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（4）CA证书在线解密：首次响应文件开启时，需要供应商携带制作响应文件时用来加密的有效数字证书（CA认证）登录</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电子开标大厅现场按规定时间对加密的响应文件进行解密。</w:t>
      </w:r>
    </w:p>
    <w:p>
      <w:pPr>
        <w:spacing w:line="39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（5）供应商需要在具备有摄像头及语音功能且互联网网络状况良好的电脑登录</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远程开标大厅参与本次磋商，否则后果自负。</w:t>
      </w:r>
    </w:p>
    <w:p>
      <w:pPr>
        <w:spacing w:line="39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.若对项目采购电子交易系统操作有疑问，可登录</w:t>
      </w:r>
      <w:r>
        <w:rPr>
          <w:rFonts w:hint="eastAsia" w:ascii="宋体" w:hAnsi="宋体" w:cs="宋体"/>
          <w:color w:val="auto"/>
          <w:kern w:val="0"/>
          <w:szCs w:val="21"/>
          <w:highlight w:val="none"/>
          <w:lang w:eastAsia="zh-CN"/>
        </w:rPr>
        <w:t>广西政府采购云平台（https://www.gcy.zfcg.gxzf.gov.cn/）</w:t>
      </w:r>
      <w:r>
        <w:rPr>
          <w:rFonts w:hint="eastAsia" w:ascii="宋体" w:hAnsi="宋体" w:cs="宋体"/>
          <w:color w:val="auto"/>
          <w:kern w:val="0"/>
          <w:szCs w:val="21"/>
          <w:highlight w:val="none"/>
        </w:rPr>
        <w:t>，点击右侧咨询小采，获取采小蜜智能服务管家帮助，或拨打</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 xml:space="preserve">服务热线95763获取热线服务帮助。 </w:t>
      </w:r>
    </w:p>
    <w:p>
      <w:pPr>
        <w:spacing w:line="390" w:lineRule="exact"/>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en-US" w:eastAsia="zh-CN"/>
        </w:rPr>
        <w:t>采购意向公示链接：</w:t>
      </w:r>
    </w:p>
    <w:p>
      <w:pPr>
        <w:spacing w:line="39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http://www.ccgp-guangxi.gov.cn/site/detail?parentId=66601&amp;articleId=OGxEQ/bjiNtgTEh4FF7yJA==</w:t>
      </w:r>
    </w:p>
    <w:p>
      <w:pPr>
        <w:spacing w:line="390" w:lineRule="exact"/>
        <w:ind w:firstLine="482" w:firstLineChars="200"/>
        <w:rPr>
          <w:rFonts w:hint="eastAsia" w:ascii="黑体" w:hAnsi="黑体" w:eastAsia="黑体" w:cs="宋体"/>
          <w:bCs/>
          <w:color w:val="auto"/>
          <w:sz w:val="24"/>
          <w:highlight w:val="none"/>
        </w:rPr>
      </w:pPr>
      <w:r>
        <w:rPr>
          <w:rFonts w:hint="eastAsia" w:ascii="黑体" w:hAnsi="黑体" w:eastAsia="黑体" w:cs="宋体"/>
          <w:b/>
          <w:color w:val="auto"/>
          <w:kern w:val="44"/>
          <w:sz w:val="24"/>
          <w:highlight w:val="none"/>
        </w:rPr>
        <w:t>八、凡对本次采购提出询问，请按</w:t>
      </w:r>
      <w:r>
        <w:rPr>
          <w:rFonts w:ascii="黑体" w:hAnsi="黑体" w:eastAsia="黑体" w:cs="宋体"/>
          <w:b/>
          <w:color w:val="auto"/>
          <w:kern w:val="44"/>
          <w:sz w:val="24"/>
          <w:highlight w:val="none"/>
        </w:rPr>
        <w:t>以下方式</w:t>
      </w:r>
      <w:r>
        <w:rPr>
          <w:rFonts w:hint="eastAsia" w:ascii="黑体" w:hAnsi="黑体" w:eastAsia="黑体" w:cs="宋体"/>
          <w:b/>
          <w:color w:val="auto"/>
          <w:kern w:val="44"/>
          <w:sz w:val="24"/>
          <w:highlight w:val="none"/>
        </w:rPr>
        <w:t>联系。</w:t>
      </w:r>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1.采购人信息</w:t>
      </w:r>
    </w:p>
    <w:p>
      <w:pPr>
        <w:spacing w:line="360" w:lineRule="auto"/>
        <w:ind w:firstLine="630" w:firstLineChars="3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名称：</w:t>
      </w:r>
      <w:r>
        <w:rPr>
          <w:rFonts w:hint="eastAsia" w:ascii="宋体" w:hAnsi="宋体" w:cs="宋体"/>
          <w:color w:val="auto"/>
          <w:kern w:val="0"/>
          <w:szCs w:val="21"/>
          <w:highlight w:val="none"/>
          <w:lang w:eastAsia="zh-CN"/>
        </w:rPr>
        <w:t>广西壮族自治区人力资源和社会保障厅</w:t>
      </w:r>
    </w:p>
    <w:p>
      <w:pPr>
        <w:spacing w:line="360" w:lineRule="auto"/>
        <w:ind w:firstLine="630" w:firstLineChars="3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地址：</w:t>
      </w:r>
      <w:r>
        <w:rPr>
          <w:rFonts w:hint="eastAsia" w:ascii="宋体" w:hAnsi="宋体" w:cs="宋体"/>
          <w:color w:val="auto"/>
          <w:kern w:val="0"/>
          <w:szCs w:val="21"/>
          <w:highlight w:val="none"/>
          <w:lang w:eastAsia="zh-CN"/>
        </w:rPr>
        <w:t>广西南宁市青秀区星湖路北二里2-1号</w:t>
      </w:r>
    </w:p>
    <w:p>
      <w:pPr>
        <w:spacing w:line="360" w:lineRule="auto"/>
        <w:ind w:firstLine="630" w:firstLineChars="3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项目联系人：</w:t>
      </w:r>
      <w:r>
        <w:rPr>
          <w:rFonts w:hint="eastAsia" w:ascii="宋体" w:hAnsi="宋体" w:cs="宋体"/>
          <w:color w:val="auto"/>
          <w:kern w:val="0"/>
          <w:szCs w:val="21"/>
          <w:highlight w:val="none"/>
          <w:lang w:eastAsia="zh-CN"/>
        </w:rPr>
        <w:t>周建良</w:t>
      </w:r>
    </w:p>
    <w:p>
      <w:pPr>
        <w:spacing w:line="360" w:lineRule="auto"/>
        <w:ind w:firstLine="630" w:firstLineChars="3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项目联系方式：</w:t>
      </w:r>
      <w:r>
        <w:rPr>
          <w:rFonts w:hint="eastAsia" w:ascii="宋体" w:hAnsi="宋体" w:cs="宋体"/>
          <w:color w:val="auto"/>
          <w:kern w:val="0"/>
          <w:szCs w:val="21"/>
          <w:highlight w:val="none"/>
          <w:lang w:eastAsia="zh-CN"/>
        </w:rPr>
        <w:t>0771-5855927</w:t>
      </w:r>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2.采购代理机构信息</w:t>
      </w:r>
    </w:p>
    <w:p>
      <w:pPr>
        <w:spacing w:line="360" w:lineRule="auto"/>
        <w:ind w:firstLine="630" w:firstLineChars="3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w:t>
      </w:r>
      <w:bookmarkStart w:id="48" w:name="PO_3000001866_PM031_1"/>
      <w:r>
        <w:rPr>
          <w:rFonts w:hint="eastAsia" w:ascii="宋体" w:hAnsi="宋体" w:eastAsia="宋体" w:cs="宋体"/>
          <w:color w:val="auto"/>
          <w:kern w:val="0"/>
          <w:szCs w:val="21"/>
          <w:highlight w:val="none"/>
        </w:rPr>
        <w:t>广西科联招标中心有限公司</w:t>
      </w:r>
      <w:bookmarkEnd w:id="48"/>
    </w:p>
    <w:p>
      <w:pPr>
        <w:spacing w:line="360" w:lineRule="auto"/>
        <w:ind w:firstLine="630" w:firstLineChars="3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w:t>
      </w:r>
      <w:bookmarkStart w:id="49" w:name="PO_3000001866_PM035_1"/>
      <w:r>
        <w:rPr>
          <w:rFonts w:hint="eastAsia" w:ascii="宋体" w:hAnsi="宋体" w:eastAsia="宋体" w:cs="宋体"/>
          <w:color w:val="auto"/>
          <w:kern w:val="0"/>
          <w:szCs w:val="21"/>
          <w:highlight w:val="none"/>
        </w:rPr>
        <w:t>广西南宁市大学东路170号</w:t>
      </w:r>
      <w:bookmarkEnd w:id="49"/>
    </w:p>
    <w:p>
      <w:pPr>
        <w:spacing w:line="360" w:lineRule="auto"/>
        <w:ind w:firstLine="630" w:firstLineChars="3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项目联系人：韦毅锋</w:t>
      </w:r>
    </w:p>
    <w:p>
      <w:pPr>
        <w:spacing w:line="360" w:lineRule="auto"/>
        <w:ind w:firstLine="630" w:firstLineChars="300"/>
        <w:rPr>
          <w:rFonts w:hint="eastAsia" w:eastAsia="宋体"/>
          <w:color w:val="auto"/>
          <w:sz w:val="32"/>
          <w:szCs w:val="32"/>
          <w:highlight w:val="none"/>
          <w:lang w:eastAsia="zh-CN"/>
        </w:rPr>
      </w:pPr>
      <w:r>
        <w:rPr>
          <w:rFonts w:hint="eastAsia" w:ascii="宋体" w:hAnsi="宋体" w:eastAsia="宋体" w:cs="宋体"/>
          <w:color w:val="auto"/>
          <w:kern w:val="0"/>
          <w:szCs w:val="21"/>
          <w:highlight w:val="none"/>
        </w:rPr>
        <w:t>项目联系方式：0771-2203982</w:t>
      </w:r>
    </w:p>
    <w:p>
      <w:pPr>
        <w:rPr>
          <w:rFonts w:hint="eastAsia" w:ascii="Cambria" w:hAnsi="Cambria"/>
          <w:bCs w:val="0"/>
          <w:color w:val="auto"/>
          <w:sz w:val="32"/>
          <w:szCs w:val="32"/>
          <w:highlight w:val="none"/>
        </w:rPr>
      </w:pPr>
      <w:bookmarkStart w:id="50" w:name="_Toc80886926"/>
      <w:bookmarkStart w:id="51" w:name="_Toc22325"/>
      <w:bookmarkStart w:id="52" w:name="_Toc11093"/>
      <w:bookmarkStart w:id="53" w:name="_Toc26836"/>
      <w:bookmarkStart w:id="54" w:name="_Toc9127"/>
      <w:bookmarkStart w:id="55" w:name="_Toc25520"/>
      <w:bookmarkStart w:id="56" w:name="_Toc7184"/>
      <w:bookmarkStart w:id="57" w:name="_Toc22760"/>
      <w:r>
        <w:rPr>
          <w:rFonts w:hint="eastAsia" w:ascii="Cambria" w:hAnsi="Cambria"/>
          <w:bCs w:val="0"/>
          <w:color w:val="auto"/>
          <w:sz w:val="32"/>
          <w:szCs w:val="32"/>
          <w:highlight w:val="none"/>
        </w:rPr>
        <w:br w:type="page"/>
      </w:r>
    </w:p>
    <w:p>
      <w:pPr>
        <w:pStyle w:val="3"/>
        <w:spacing w:before="100" w:after="90" w:line="240" w:lineRule="auto"/>
        <w:jc w:val="center"/>
        <w:rPr>
          <w:rFonts w:hint="eastAsia" w:ascii="Cambria" w:hAnsi="Cambria"/>
          <w:bCs w:val="0"/>
          <w:color w:val="auto"/>
          <w:sz w:val="32"/>
          <w:szCs w:val="32"/>
          <w:highlight w:val="none"/>
        </w:rPr>
      </w:pPr>
      <w:r>
        <w:rPr>
          <w:rFonts w:hint="eastAsia" w:ascii="Cambria" w:hAnsi="Cambria"/>
          <w:bCs w:val="0"/>
          <w:color w:val="auto"/>
          <w:sz w:val="32"/>
          <w:szCs w:val="32"/>
          <w:highlight w:val="none"/>
        </w:rPr>
        <w:t>第二章 采购需求</w:t>
      </w:r>
      <w:bookmarkEnd w:id="50"/>
      <w:bookmarkEnd w:id="51"/>
      <w:bookmarkEnd w:id="52"/>
      <w:bookmarkEnd w:id="53"/>
      <w:bookmarkEnd w:id="54"/>
      <w:bookmarkEnd w:id="55"/>
      <w:bookmarkEnd w:id="56"/>
    </w:p>
    <w:bookmarkEnd w:id="57"/>
    <w:p>
      <w:pPr>
        <w:spacing w:line="450" w:lineRule="exact"/>
        <w:jc w:val="left"/>
        <w:rPr>
          <w:rFonts w:hint="eastAsia" w:cs="宋体"/>
          <w:b/>
          <w:bCs/>
          <w:color w:val="auto"/>
          <w:szCs w:val="21"/>
          <w:highlight w:val="none"/>
        </w:rPr>
      </w:pPr>
      <w:r>
        <w:rPr>
          <w:rFonts w:hint="eastAsia" w:cs="宋体"/>
          <w:b/>
          <w:bCs/>
          <w:color w:val="auto"/>
          <w:szCs w:val="21"/>
          <w:highlight w:val="none"/>
        </w:rPr>
        <w:t>说明：</w:t>
      </w:r>
    </w:p>
    <w:p>
      <w:pPr>
        <w:spacing w:line="450" w:lineRule="exact"/>
        <w:ind w:firstLine="420" w:firstLineChars="200"/>
        <w:jc w:val="left"/>
        <w:rPr>
          <w:rFonts w:hint="eastAsia" w:ascii="宋体" w:hAnsi="宋体" w:cs="宋体"/>
          <w:color w:val="auto"/>
          <w:szCs w:val="21"/>
          <w:highlight w:val="none"/>
        </w:rPr>
      </w:pPr>
      <w:r>
        <w:rPr>
          <w:rFonts w:hint="eastAsia" w:ascii="宋体" w:hAnsi="宋体" w:cs="宋体"/>
          <w:color w:val="auto"/>
          <w:highlight w:val="none"/>
        </w:rPr>
        <w:t>1、为落实政府采购政策需满足的要求：</w:t>
      </w:r>
    </w:p>
    <w:p>
      <w:pPr>
        <w:spacing w:line="45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（1）本竞争性磋商文件所称中小企业必须符合《政府采购促进中小企业发展管理办法》（财库〔2020〕46号）的规定。</w:t>
      </w:r>
    </w:p>
    <w:p>
      <w:pPr>
        <w:spacing w:line="45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有效期内的节能产品认证证书复印件（加盖供应商公章），</w:t>
      </w:r>
      <w:r>
        <w:rPr>
          <w:rFonts w:hint="eastAsia" w:ascii="宋体" w:hAnsi="宋体" w:cs="宋体"/>
          <w:b/>
          <w:bCs/>
          <w:color w:val="auto"/>
          <w:szCs w:val="21"/>
          <w:highlight w:val="none"/>
        </w:rPr>
        <w:t>否则响应文件按无效处理</w:t>
      </w:r>
      <w:r>
        <w:rPr>
          <w:rFonts w:hint="eastAsia" w:ascii="宋体" w:hAnsi="宋体" w:cs="宋体"/>
          <w:color w:val="auto"/>
          <w:szCs w:val="21"/>
          <w:highlight w:val="none"/>
        </w:rPr>
        <w:t xml:space="preserve">。如本项目包含的配套货物属于品目清单内非标注“★”的产品时，应优先采购，具体详见“第四章 </w:t>
      </w:r>
      <w:r>
        <w:rPr>
          <w:rStyle w:val="39"/>
          <w:rFonts w:hint="eastAsia" w:ascii="宋体" w:hAnsi="宋体" w:cs="宋体"/>
          <w:color w:val="auto"/>
          <w:highlight w:val="none"/>
        </w:rPr>
        <w:t>评审程序、评审方法和评审标准</w:t>
      </w:r>
      <w:r>
        <w:rPr>
          <w:rFonts w:hint="eastAsia" w:ascii="宋体" w:hAnsi="宋体" w:cs="宋体"/>
          <w:color w:val="auto"/>
          <w:szCs w:val="21"/>
          <w:highlight w:val="none"/>
        </w:rPr>
        <w:t>”。</w:t>
      </w:r>
    </w:p>
    <w:p>
      <w:pPr>
        <w:spacing w:line="450" w:lineRule="exact"/>
        <w:ind w:firstLine="413" w:firstLineChars="196"/>
        <w:rPr>
          <w:rFonts w:hint="eastAsia" w:ascii="宋体" w:hAnsi="宋体" w:cs="宋体"/>
          <w:b/>
          <w:bCs/>
          <w:color w:val="auto"/>
          <w:szCs w:val="21"/>
          <w:highlight w:val="none"/>
        </w:rPr>
      </w:pPr>
      <w:r>
        <w:rPr>
          <w:rFonts w:hint="eastAsia" w:ascii="宋体" w:hAnsi="宋体" w:cs="宋体"/>
          <w:b/>
          <w:bCs/>
          <w:color w:val="auto"/>
          <w:szCs w:val="21"/>
          <w:highlight w:val="none"/>
        </w:rPr>
        <w:t>2、“实质性要求”是指磋商文件中已经指明不满足响应文件则按无效响应处理的条款，或者不能负偏离的条款，或者采购需求中带“▲”的条款。</w:t>
      </w:r>
    </w:p>
    <w:p>
      <w:pPr>
        <w:pStyle w:val="14"/>
        <w:spacing w:line="450" w:lineRule="exact"/>
        <w:ind w:firstLine="420" w:firstLineChars="200"/>
        <w:rPr>
          <w:rFonts w:hint="eastAsia" w:ascii="宋体" w:hAnsi="宋体" w:cs="宋体"/>
          <w:color w:val="auto"/>
          <w:highlight w:val="none"/>
        </w:rPr>
      </w:pPr>
      <w:r>
        <w:rPr>
          <w:rFonts w:hint="eastAsia" w:ascii="宋体" w:hAnsi="宋体" w:cs="宋体"/>
          <w:color w:val="auto"/>
          <w:highlight w:val="none"/>
        </w:rPr>
        <w:t>3、如竞标产品存在侵犯他人的知识产权或者专利成果行为的，应承担相应法律责任。</w:t>
      </w:r>
    </w:p>
    <w:p>
      <w:pPr>
        <w:pStyle w:val="14"/>
        <w:spacing w:line="450" w:lineRule="exact"/>
        <w:ind w:firstLine="420" w:firstLineChars="200"/>
        <w:rPr>
          <w:rFonts w:hint="eastAsia"/>
          <w:color w:val="auto"/>
          <w:highlight w:val="none"/>
        </w:rPr>
      </w:pPr>
      <w:r>
        <w:rPr>
          <w:rFonts w:hint="eastAsia" w:ascii="宋体" w:hAnsi="宋体" w:cs="宋体"/>
          <w:color w:val="auto"/>
          <w:szCs w:val="21"/>
          <w:highlight w:val="none"/>
        </w:rPr>
        <w:t>4、</w:t>
      </w:r>
      <w:r>
        <w:rPr>
          <w:rFonts w:hint="eastAsia"/>
          <w:color w:val="auto"/>
          <w:highlight w:val="none"/>
        </w:rPr>
        <w:t>供应商必须自行为其竞标产品侵犯他人的知识产权或者专利成果的行为承担相应法律责任。</w:t>
      </w:r>
    </w:p>
    <w:p>
      <w:pPr>
        <w:pStyle w:val="14"/>
        <w:spacing w:line="450" w:lineRule="exact"/>
        <w:ind w:firstLine="420" w:firstLineChars="200"/>
        <w:rPr>
          <w:rFonts w:hint="default" w:ascii="宋体" w:hAnsi="宋体" w:eastAsia="宋体" w:cs="宋体"/>
          <w:i/>
          <w:iCs/>
          <w:color w:val="auto"/>
          <w:highlight w:val="none"/>
          <w:u w:val="single"/>
          <w:lang w:val="en-US" w:eastAsia="zh-CN"/>
        </w:rPr>
      </w:pPr>
      <w:r>
        <w:rPr>
          <w:rFonts w:hint="eastAsia" w:ascii="宋体" w:hAnsi="宋体" w:cs="宋体"/>
          <w:color w:val="auto"/>
          <w:highlight w:val="none"/>
        </w:rPr>
        <w:t>5、采购标的对应的中小企业划分标准所属行业名称：</w:t>
      </w:r>
      <w:r>
        <w:rPr>
          <w:rFonts w:hint="eastAsia" w:ascii="宋体" w:hAnsi="宋体" w:cs="宋体"/>
          <w:b/>
          <w:bCs/>
          <w:color w:val="auto"/>
          <w:szCs w:val="21"/>
          <w:highlight w:val="none"/>
          <w:u w:val="single"/>
          <w:lang w:val="en-US" w:eastAsia="zh-CN"/>
        </w:rPr>
        <w:t>租赁和商务服务业。</w:t>
      </w:r>
    </w:p>
    <w:p>
      <w:pPr>
        <w:widowControl w:val="0"/>
        <w:spacing w:line="450" w:lineRule="exact"/>
        <w:ind w:firstLine="420" w:firstLineChars="200"/>
        <w:jc w:val="left"/>
        <w:rPr>
          <w:rFonts w:hint="eastAsia" w:ascii="宋体" w:hAnsi="宋体" w:eastAsia="宋体" w:cs="宋体"/>
          <w:i/>
          <w:iCs/>
          <w:color w:val="auto"/>
          <w:kern w:val="2"/>
          <w:sz w:val="21"/>
          <w:szCs w:val="24"/>
          <w:highlight w:val="none"/>
          <w:u w:val="single"/>
          <w:lang w:val="en-US" w:eastAsia="zh-CN" w:bidi="ar-SA"/>
        </w:rPr>
      </w:pPr>
    </w:p>
    <w:tbl>
      <w:tblPr>
        <w:tblStyle w:val="32"/>
        <w:tblW w:w="9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596"/>
        <w:gridCol w:w="1136"/>
        <w:gridCol w:w="944"/>
        <w:gridCol w:w="6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650" w:type="dxa"/>
            <w:gridSpan w:val="5"/>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宋体" w:hAnsi="宋体" w:eastAsia="宋体" w:cs="宋体"/>
                <w:color w:val="auto"/>
                <w:szCs w:val="21"/>
                <w:highlight w:val="none"/>
                <w:lang w:eastAsia="zh-CN"/>
              </w:rPr>
            </w:pPr>
            <w:r>
              <w:rPr>
                <w:rFonts w:hint="eastAsia" w:ascii="宋体" w:hAnsi="宋体" w:eastAsia="宋体" w:cs="宋体"/>
                <w:b/>
                <w:bCs/>
                <w:color w:val="auto"/>
                <w:szCs w:val="21"/>
                <w:highlight w:val="none"/>
              </w:rPr>
              <w:t>分标：</w:t>
            </w:r>
            <w:r>
              <w:rPr>
                <w:rFonts w:hint="eastAsia" w:ascii="宋体" w:hAnsi="宋体" w:eastAsia="宋体" w:cs="宋体"/>
                <w:b/>
                <w:bCs/>
                <w:color w:val="auto"/>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vMerge w:val="restart"/>
            <w:tcBorders>
              <w:top w:val="single" w:color="auto" w:sz="4" w:space="0"/>
            </w:tcBorders>
            <w:noWrap w:val="0"/>
            <w:vAlign w:val="center"/>
          </w:tcPr>
          <w:p>
            <w:pPr>
              <w:spacing w:line="38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需求一览表</w:t>
            </w:r>
          </w:p>
        </w:tc>
        <w:tc>
          <w:tcPr>
            <w:tcW w:w="596" w:type="dxa"/>
            <w:tcBorders>
              <w:top w:val="single" w:color="auto" w:sz="4" w:space="0"/>
            </w:tcBorders>
            <w:noWrap w:val="0"/>
            <w:vAlign w:val="center"/>
          </w:tcPr>
          <w:p>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136" w:type="dxa"/>
            <w:tcBorders>
              <w:top w:val="single" w:color="auto" w:sz="4" w:space="0"/>
            </w:tcBorders>
            <w:noWrap w:val="0"/>
            <w:vAlign w:val="center"/>
          </w:tcPr>
          <w:p>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标的名称</w:t>
            </w:r>
          </w:p>
        </w:tc>
        <w:tc>
          <w:tcPr>
            <w:tcW w:w="944" w:type="dxa"/>
            <w:tcBorders>
              <w:top w:val="single" w:color="auto" w:sz="4" w:space="0"/>
            </w:tcBorders>
            <w:noWrap w:val="0"/>
            <w:vAlign w:val="center"/>
          </w:tcPr>
          <w:p>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数量及单位</w:t>
            </w:r>
          </w:p>
        </w:tc>
        <w:tc>
          <w:tcPr>
            <w:tcW w:w="6551" w:type="dxa"/>
            <w:tcBorders>
              <w:top w:val="single" w:color="auto" w:sz="4" w:space="0"/>
            </w:tcBorders>
            <w:noWrap w:val="0"/>
            <w:vAlign w:val="center"/>
          </w:tcPr>
          <w:p>
            <w:pPr>
              <w:spacing w:line="38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3" w:type="dxa"/>
            <w:vMerge w:val="continue"/>
            <w:noWrap w:val="0"/>
            <w:vAlign w:val="center"/>
          </w:tcPr>
          <w:p>
            <w:pPr>
              <w:spacing w:line="380" w:lineRule="exact"/>
              <w:jc w:val="center"/>
              <w:rPr>
                <w:rFonts w:hint="eastAsia" w:ascii="宋体" w:hAnsi="宋体" w:eastAsia="宋体" w:cs="宋体"/>
                <w:color w:val="auto"/>
                <w:szCs w:val="21"/>
                <w:highlight w:val="none"/>
              </w:rPr>
            </w:pPr>
          </w:p>
        </w:tc>
        <w:tc>
          <w:tcPr>
            <w:tcW w:w="596" w:type="dxa"/>
            <w:noWrap w:val="0"/>
            <w:vAlign w:val="center"/>
          </w:tcPr>
          <w:p>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36" w:type="dxa"/>
            <w:noWrap w:val="0"/>
            <w:vAlign w:val="center"/>
          </w:tcPr>
          <w:p>
            <w:pPr>
              <w:pageBreakBefore w:val="0"/>
              <w:kinsoku/>
              <w:wordWrap/>
              <w:overflowPunct/>
              <w:topLinePunct w:val="0"/>
              <w:autoSpaceDE/>
              <w:autoSpaceDN/>
              <w:bidi w:val="0"/>
              <w:snapToGrid w:val="0"/>
              <w:spacing w:line="360" w:lineRule="auto"/>
              <w:jc w:val="center"/>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广西壮族自治区工伤保险结余基金审计服务</w:t>
            </w:r>
          </w:p>
        </w:tc>
        <w:tc>
          <w:tcPr>
            <w:tcW w:w="944" w:type="dxa"/>
            <w:noWrap w:val="0"/>
            <w:vAlign w:val="center"/>
          </w:tcPr>
          <w:p>
            <w:pPr>
              <w:pageBreakBefore w:val="0"/>
              <w:kinsoku/>
              <w:wordWrap/>
              <w:overflowPunct/>
              <w:topLinePunct w:val="0"/>
              <w:autoSpaceDE/>
              <w:autoSpaceDN/>
              <w:bidi w:val="0"/>
              <w:snapToGrid w:val="0"/>
              <w:spacing w:line="360" w:lineRule="auto"/>
              <w:jc w:val="center"/>
              <w:outlineLvl w:val="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1项</w:t>
            </w:r>
          </w:p>
        </w:tc>
        <w:tc>
          <w:tcPr>
            <w:tcW w:w="655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审计</w:t>
            </w:r>
            <w:r>
              <w:rPr>
                <w:rFonts w:hint="eastAsia" w:ascii="宋体" w:hAnsi="宋体" w:eastAsia="宋体" w:cs="宋体"/>
                <w:b/>
                <w:bCs/>
                <w:color w:val="auto"/>
                <w:szCs w:val="21"/>
                <w:highlight w:val="none"/>
              </w:rPr>
              <w:t>内容</w:t>
            </w:r>
            <w:r>
              <w:rPr>
                <w:rFonts w:hint="eastAsia" w:ascii="宋体" w:hAnsi="宋体" w:eastAsia="宋体" w:cs="宋体"/>
                <w:b/>
                <w:bCs/>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审计2009-2024年自治区本级及14个设区市实施市级统筹以来历年工伤保险收支情况，核实收入、支出、历年欠费、工伤保险基金专帐管理等情况。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审计2009-2024年自治区本级及14个设区市工伤保险基金支付工亡一次性待遇情况，核实工亡人员信息、工亡待遇支付信息等情况。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审计对象</w:t>
            </w:r>
            <w:r>
              <w:rPr>
                <w:rFonts w:hint="eastAsia" w:ascii="宋体" w:hAnsi="宋体" w:eastAsia="宋体" w:cs="宋体"/>
                <w:b/>
                <w:bCs/>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审计对象为自治区社保中心及14个设区市人民政府。</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服务要求：</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1、按时完成审计工作，出具各审计报告。</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2、应严格按照财政部和财政厅相关法规、政策文件的有关规定及要求，客观、公正地开展审计工作，按时按质按量提供服务，独立、客观、公正地出具审计报告并对审计报告的真实性、完整性、合规性负责。</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3、要求项目投入人员有相应的执业资格，且具有履行合同所必需的设备和专业技术能力。组成15个检查组，每组审计人员不少于10人，每组10个工作日内完成检查任务。</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4、所有参与审计人员应依法参加社会保险。团队成员要严格遵守采购人的保密、安全、工作纪律等各项要求。</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5、供应商必须承诺成交后对负责本项目的人员不得随意更换，若要换人，须经采购人同意认可；</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审计组进驻被审计单位前，应了解被审计单位基本情况，编制审计工作方案并提交采购人，明确审计策略、重要会计问题及重点审计领域、审计工作进度及时间、审计小组组成及人员分工、审计重要性及审计风险等；</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7、审计过程形成的工作底稿，采购人有权查阅并复印留存；</w:t>
            </w:r>
          </w:p>
          <w:p>
            <w:pPr>
              <w:spacing w:line="360" w:lineRule="auto"/>
              <w:rPr>
                <w:rFonts w:hint="eastAsia" w:ascii="Times New Roman" w:hAnsi="Times New Roman" w:eastAsia="宋体" w:cs="Times New Roman"/>
                <w:color w:val="auto"/>
                <w:highlight w:val="none"/>
              </w:rPr>
            </w:pPr>
            <w:r>
              <w:rPr>
                <w:rFonts w:hint="eastAsia" w:ascii="宋体" w:hAnsi="宋体" w:eastAsia="宋体" w:cs="宋体"/>
                <w:color w:val="auto"/>
                <w:highlight w:val="none"/>
                <w:lang w:val="en-US" w:eastAsia="zh-CN"/>
              </w:rPr>
              <w:t>8、成交供应商不得将审计项目转交第三方完成。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noWrap w:val="0"/>
            <w:vAlign w:val="center"/>
          </w:tcPr>
          <w:p>
            <w:pPr>
              <w:widowControl w:val="0"/>
              <w:snapToGrid w:val="0"/>
              <w:spacing w:line="360" w:lineRule="exact"/>
              <w:jc w:val="center"/>
              <w:rPr>
                <w:rFonts w:hint="eastAsia" w:ascii="宋体" w:hAnsi="宋体" w:eastAsia="宋体" w:cs="宋体"/>
                <w:color w:val="auto"/>
                <w:kern w:val="0"/>
                <w:sz w:val="18"/>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商务条款</w:t>
            </w:r>
          </w:p>
        </w:tc>
        <w:tc>
          <w:tcPr>
            <w:tcW w:w="9227" w:type="dxa"/>
            <w:gridSpan w:val="4"/>
            <w:noWrap w:val="0"/>
            <w:vAlign w:val="center"/>
          </w:tcPr>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一、合同签订期：</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自成交通知书发出之日起25日内。</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二、项目完成时间：</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自签订合同之日起，60天内完成审计并出具审计报告和整改建议详细报告(含电子版和一式五份纸质版）。审计单位拟出审计初步意见(审计报告征求意见稿)后，充分征求采购人及被审计单位意见，根据反馈意见形成最终审计报告。</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三、售后服务处理问题响应时间：</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在所有服务成果交付采购人之日起12个月内为后续维护期，在此期间接到采购人处理问题通知后4小时内响应，8小时内到达采购人指定现场处理，并在12小时内处理好常规性问题。</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四、服务地点：</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广西南宁市采购人指定地点。</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五、审计报告提交地点：</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广西南宁市青秀区星湖路北二里2-1号。</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六、付款方式：</w:t>
            </w:r>
          </w:p>
          <w:p>
            <w:pPr>
              <w:snapToGrid w:val="0"/>
              <w:spacing w:line="440" w:lineRule="exact"/>
              <w:rPr>
                <w:rFonts w:hint="eastAsia" w:ascii="Times New Roman" w:hAnsi="Times New Roman" w:eastAsia="宋体" w:cs="Times New Roman"/>
                <w:color w:val="auto"/>
                <w:highlight w:val="none"/>
                <w:lang w:val="en-US" w:eastAsia="zh-CN"/>
              </w:rPr>
            </w:pPr>
            <w:r>
              <w:rPr>
                <w:rFonts w:hint="eastAsia" w:ascii="宋体" w:hAnsi="宋体" w:eastAsia="宋体" w:cs="宋体"/>
                <w:color w:val="auto"/>
                <w:highlight w:val="none"/>
                <w:lang w:val="en-US" w:eastAsia="zh-CN"/>
              </w:rPr>
              <w:t>签订合同之日起10个工作日内，乙方缴纳履约保证金并提供初步方案给甲方，甲方一次性支付合同金额的90%，项目完成后10个工作日内支付合同金额的10%；乙方应在付款前开具对应金额的合法发票给甲方。</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七、其他要求：</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1、成交供应商应遵守“诚信、公正、精业、进取”的原则，做好各类资料的整理、归集工作，审计材料装订成册。</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2、供应商请在竞争性磋商响应文件里提供详细的服务方案，内容包括但不限于：项目现状分析、服务目标及思路、重难点分析及解决、服务细节及拟投入人员名单及证明文件等方面。</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成交供应商在实施项目过程中的交通费、差旅费、住宿费、伙食费、通讯费等自理，所有费用均包含在磋商报价中，不再另做结算。成交供应商实施项目审计工作期间如出现审计人员人身、财产安全事故、损失等由成交供应商全部负责，采购人不负任何责任；</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4、根据保密需要，除签订合同外，成交供应商与采购人须单独签订保密协议，所有审计人员须签廉洁自律承诺书。</w:t>
            </w:r>
          </w:p>
        </w:tc>
      </w:tr>
    </w:tbl>
    <w:p>
      <w:pPr>
        <w:rPr>
          <w:rFonts w:ascii="Times New Roman" w:hAnsi="Times New Roman" w:eastAsia="宋体" w:cs="Times New Roman"/>
          <w:color w:val="auto"/>
          <w:highlight w:val="none"/>
        </w:rPr>
      </w:pPr>
    </w:p>
    <w:p>
      <w:pPr>
        <w:rPr>
          <w:rFonts w:hint="eastAsia" w:ascii="Arial Unicode MS" w:hAnsi="Arial Unicode MS" w:eastAsia="Arial Unicode MS" w:cs="Arial Unicode MS"/>
          <w:color w:val="auto"/>
          <w:sz w:val="32"/>
          <w:szCs w:val="32"/>
          <w:highlight w:val="none"/>
        </w:rPr>
      </w:pPr>
    </w:p>
    <w:p>
      <w:pPr>
        <w:rPr>
          <w:rFonts w:hint="eastAsia" w:ascii="宋体" w:hAnsi="宋体" w:eastAsia="宋体" w:cs="宋体"/>
          <w:color w:val="auto"/>
          <w:sz w:val="32"/>
          <w:szCs w:val="32"/>
          <w:highlight w:val="none"/>
        </w:rPr>
      </w:pPr>
      <w:bookmarkStart w:id="58" w:name="_Toc80886927"/>
      <w:bookmarkStart w:id="59" w:name="_Toc3319"/>
      <w:r>
        <w:rPr>
          <w:rFonts w:hint="eastAsia" w:ascii="宋体" w:hAnsi="宋体" w:eastAsia="宋体" w:cs="宋体"/>
          <w:color w:val="auto"/>
          <w:sz w:val="32"/>
          <w:szCs w:val="32"/>
          <w:highlight w:val="none"/>
        </w:rPr>
        <w:br w:type="page"/>
      </w:r>
    </w:p>
    <w:p>
      <w:pPr>
        <w:ind w:left="119"/>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附件1：</w:t>
      </w:r>
    </w:p>
    <w:p>
      <w:pPr>
        <w:widowControl/>
        <w:jc w:val="center"/>
        <w:rPr>
          <w:rFonts w:ascii="宋体" w:hAnsi="宋体" w:eastAsia="宋体" w:cs="宋体"/>
          <w:b/>
          <w:bCs/>
          <w:color w:val="auto"/>
          <w:kern w:val="0"/>
          <w:sz w:val="30"/>
          <w:szCs w:val="30"/>
          <w:highlight w:val="none"/>
        </w:rPr>
      </w:pPr>
      <w:bookmarkStart w:id="60" w:name="_Toc28361_WPSOffice_Level2"/>
      <w:r>
        <w:rPr>
          <w:rFonts w:hint="eastAsia" w:ascii="宋体" w:hAnsi="宋体" w:eastAsia="宋体" w:cs="宋体"/>
          <w:b/>
          <w:bCs/>
          <w:color w:val="auto"/>
          <w:kern w:val="0"/>
          <w:sz w:val="30"/>
          <w:szCs w:val="30"/>
          <w:highlight w:val="none"/>
        </w:rPr>
        <w:t>统计上大中小微型企业划分标准</w:t>
      </w:r>
      <w:bookmarkEnd w:id="60"/>
    </w:p>
    <w:tbl>
      <w:tblPr>
        <w:tblStyle w:val="32"/>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13" w:type="dxa"/>
            <w:noWrap/>
            <w:vAlign w:val="center"/>
          </w:tcPr>
          <w:p>
            <w:pPr>
              <w:widowControl/>
              <w:spacing w:line="280" w:lineRule="exact"/>
              <w:jc w:val="center"/>
              <w:rPr>
                <w:rFonts w:ascii="宋体" w:hAnsi="宋体" w:eastAsia="宋体" w:cs="宋体"/>
                <w:b/>
                <w:bCs/>
                <w:color w:val="auto"/>
                <w:kern w:val="0"/>
                <w:sz w:val="18"/>
                <w:szCs w:val="21"/>
                <w:highlight w:val="none"/>
              </w:rPr>
            </w:pPr>
            <w:r>
              <w:rPr>
                <w:rFonts w:hint="eastAsia" w:ascii="宋体" w:hAnsi="宋体" w:eastAsia="宋体" w:cs="宋体"/>
                <w:b/>
                <w:bCs/>
                <w:color w:val="auto"/>
                <w:kern w:val="0"/>
                <w:sz w:val="18"/>
                <w:szCs w:val="21"/>
                <w:highlight w:val="none"/>
              </w:rPr>
              <w:t>行业名称</w:t>
            </w:r>
          </w:p>
        </w:tc>
        <w:tc>
          <w:tcPr>
            <w:tcW w:w="1369" w:type="dxa"/>
            <w:noWrap/>
            <w:vAlign w:val="center"/>
          </w:tcPr>
          <w:p>
            <w:pPr>
              <w:widowControl/>
              <w:spacing w:line="280" w:lineRule="exact"/>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指标名称</w:t>
            </w:r>
          </w:p>
        </w:tc>
        <w:tc>
          <w:tcPr>
            <w:tcW w:w="709" w:type="dxa"/>
            <w:noWrap/>
            <w:vAlign w:val="center"/>
          </w:tcPr>
          <w:p>
            <w:pPr>
              <w:widowControl/>
              <w:spacing w:line="280" w:lineRule="exact"/>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计量单位</w:t>
            </w:r>
          </w:p>
        </w:tc>
        <w:tc>
          <w:tcPr>
            <w:tcW w:w="1125" w:type="dxa"/>
            <w:noWrap/>
            <w:vAlign w:val="center"/>
          </w:tcPr>
          <w:p>
            <w:pPr>
              <w:widowControl/>
              <w:spacing w:line="280" w:lineRule="exact"/>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大型</w:t>
            </w:r>
          </w:p>
        </w:tc>
        <w:tc>
          <w:tcPr>
            <w:tcW w:w="1701" w:type="dxa"/>
            <w:noWrap/>
            <w:vAlign w:val="center"/>
          </w:tcPr>
          <w:p>
            <w:pPr>
              <w:widowControl/>
              <w:spacing w:line="280" w:lineRule="exact"/>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中型</w:t>
            </w:r>
          </w:p>
        </w:tc>
        <w:tc>
          <w:tcPr>
            <w:tcW w:w="1426" w:type="dxa"/>
            <w:noWrap/>
            <w:vAlign w:val="center"/>
          </w:tcPr>
          <w:p>
            <w:pPr>
              <w:widowControl/>
              <w:spacing w:line="280" w:lineRule="exact"/>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小型</w:t>
            </w:r>
          </w:p>
        </w:tc>
        <w:tc>
          <w:tcPr>
            <w:tcW w:w="992" w:type="dxa"/>
            <w:noWrap/>
            <w:vAlign w:val="center"/>
          </w:tcPr>
          <w:p>
            <w:pPr>
              <w:widowControl/>
              <w:spacing w:line="280" w:lineRule="exact"/>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pPr>
              <w:rPr>
                <w:rFonts w:ascii="Times New Roman" w:hAnsi="Times New Roman" w:eastAsia="宋体" w:cs="Times New Roman"/>
                <w:color w:val="auto"/>
                <w:sz w:val="18"/>
                <w:szCs w:val="21"/>
                <w:highlight w:val="none"/>
              </w:rPr>
            </w:pPr>
            <w:r>
              <w:rPr>
                <w:rFonts w:hint="eastAsia" w:ascii="Times New Roman" w:hAnsi="Times New Roman" w:eastAsia="宋体" w:cs="Times New Roman"/>
                <w:color w:val="auto"/>
                <w:sz w:val="18"/>
                <w:szCs w:val="21"/>
                <w:highlight w:val="none"/>
              </w:rPr>
              <w:t>农、林、牧、渔业</w:t>
            </w:r>
          </w:p>
        </w:tc>
        <w:tc>
          <w:tcPr>
            <w:tcW w:w="136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992"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ascii="Times New Roman" w:hAnsi="Times New Roman" w:eastAsia="宋体" w:cs="Times New Roman"/>
                <w:color w:val="auto"/>
                <w:sz w:val="18"/>
                <w:szCs w:val="21"/>
                <w:highlight w:val="none"/>
              </w:rPr>
            </w:pPr>
            <w:r>
              <w:rPr>
                <w:rFonts w:hint="eastAsia" w:ascii="Times New Roman" w:hAnsi="Times New Roman" w:eastAsia="宋体" w:cs="Times New Roman"/>
                <w:color w:val="auto"/>
                <w:sz w:val="18"/>
                <w:szCs w:val="21"/>
                <w:highlight w:val="none"/>
              </w:rPr>
              <w:t>工业 *</w:t>
            </w:r>
          </w:p>
        </w:tc>
        <w:tc>
          <w:tcPr>
            <w:tcW w:w="136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ascii="Times New Roman" w:hAnsi="Times New Roman" w:eastAsia="宋体" w:cs="Times New Roman"/>
                <w:color w:val="auto"/>
                <w:sz w:val="18"/>
                <w:szCs w:val="21"/>
                <w:highlight w:val="none"/>
              </w:rPr>
            </w:pPr>
          </w:p>
        </w:tc>
        <w:tc>
          <w:tcPr>
            <w:tcW w:w="136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426"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992"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ascii="Times New Roman" w:hAnsi="Times New Roman" w:eastAsia="宋体" w:cs="Times New Roman"/>
                <w:color w:val="auto"/>
                <w:sz w:val="18"/>
                <w:szCs w:val="21"/>
                <w:highlight w:val="none"/>
              </w:rPr>
            </w:pPr>
            <w:r>
              <w:rPr>
                <w:rFonts w:hint="eastAsia" w:ascii="Times New Roman" w:hAnsi="Times New Roman" w:eastAsia="宋体" w:cs="Times New Roman"/>
                <w:color w:val="auto"/>
                <w:sz w:val="18"/>
                <w:szCs w:val="21"/>
                <w:highlight w:val="none"/>
              </w:rPr>
              <w:t>建筑业</w:t>
            </w:r>
          </w:p>
        </w:tc>
        <w:tc>
          <w:tcPr>
            <w:tcW w:w="136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Y≥80000</w:t>
            </w:r>
          </w:p>
        </w:tc>
        <w:tc>
          <w:tcPr>
            <w:tcW w:w="1701"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426"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992"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ascii="Times New Roman" w:hAnsi="Times New Roman" w:eastAsia="宋体" w:cs="Times New Roman"/>
                <w:color w:val="auto"/>
                <w:sz w:val="18"/>
                <w:szCs w:val="21"/>
                <w:highlight w:val="none"/>
              </w:rPr>
            </w:pPr>
          </w:p>
        </w:tc>
        <w:tc>
          <w:tcPr>
            <w:tcW w:w="136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Z≥80000</w:t>
            </w:r>
          </w:p>
        </w:tc>
        <w:tc>
          <w:tcPr>
            <w:tcW w:w="1701"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426"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992"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ascii="Times New Roman" w:hAnsi="Times New Roman" w:eastAsia="宋体" w:cs="Times New Roman"/>
                <w:color w:val="auto"/>
                <w:sz w:val="18"/>
                <w:szCs w:val="21"/>
                <w:highlight w:val="none"/>
              </w:rPr>
            </w:pPr>
            <w:r>
              <w:rPr>
                <w:rFonts w:hint="eastAsia" w:ascii="Times New Roman" w:hAnsi="Times New Roman" w:eastAsia="宋体" w:cs="Times New Roman"/>
                <w:color w:val="auto"/>
                <w:sz w:val="18"/>
                <w:szCs w:val="21"/>
                <w:highlight w:val="none"/>
              </w:rPr>
              <w:t>批发业</w:t>
            </w:r>
          </w:p>
        </w:tc>
        <w:tc>
          <w:tcPr>
            <w:tcW w:w="136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426"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992"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ascii="Times New Roman" w:hAnsi="Times New Roman" w:eastAsia="宋体" w:cs="Times New Roman"/>
                <w:color w:val="auto"/>
                <w:sz w:val="18"/>
                <w:szCs w:val="21"/>
                <w:highlight w:val="none"/>
              </w:rPr>
            </w:pPr>
          </w:p>
        </w:tc>
        <w:tc>
          <w:tcPr>
            <w:tcW w:w="136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426" w:type="dxa"/>
            <w:noWrap/>
            <w:vAlign w:val="center"/>
          </w:tcPr>
          <w:p>
            <w:pPr>
              <w:widowControl/>
              <w:spacing w:line="280" w:lineRule="exact"/>
              <w:ind w:left="-1" w:leftChars="-1" w:hanging="1"/>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992"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ascii="Times New Roman" w:hAnsi="Times New Roman" w:eastAsia="宋体" w:cs="Times New Roman"/>
                <w:color w:val="auto"/>
                <w:sz w:val="18"/>
                <w:szCs w:val="21"/>
                <w:highlight w:val="none"/>
              </w:rPr>
            </w:pPr>
            <w:r>
              <w:rPr>
                <w:rFonts w:hint="eastAsia" w:ascii="Times New Roman" w:hAnsi="Times New Roman" w:eastAsia="宋体" w:cs="Times New Roman"/>
                <w:color w:val="auto"/>
                <w:sz w:val="18"/>
                <w:szCs w:val="21"/>
                <w:highlight w:val="none"/>
              </w:rPr>
              <w:t>零售业</w:t>
            </w:r>
          </w:p>
        </w:tc>
        <w:tc>
          <w:tcPr>
            <w:tcW w:w="136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426" w:type="dxa"/>
            <w:noWrap/>
            <w:vAlign w:val="center"/>
          </w:tcPr>
          <w:p>
            <w:pPr>
              <w:widowControl/>
              <w:spacing w:line="280" w:lineRule="exact"/>
              <w:ind w:left="-1" w:leftChars="-1" w:hanging="1"/>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10≤X＜50 </w:t>
            </w:r>
          </w:p>
        </w:tc>
        <w:tc>
          <w:tcPr>
            <w:tcW w:w="992"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ascii="Times New Roman" w:hAnsi="Times New Roman" w:eastAsia="宋体" w:cs="Times New Roman"/>
                <w:color w:val="auto"/>
                <w:sz w:val="18"/>
                <w:szCs w:val="21"/>
                <w:highlight w:val="none"/>
              </w:rPr>
            </w:pPr>
          </w:p>
        </w:tc>
        <w:tc>
          <w:tcPr>
            <w:tcW w:w="136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noWrap/>
            <w:vAlign w:val="center"/>
          </w:tcPr>
          <w:p>
            <w:pPr>
              <w:widowControl/>
              <w:spacing w:line="280" w:lineRule="exact"/>
              <w:ind w:left="-1" w:leftChars="-1" w:hanging="1"/>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992"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ascii="Times New Roman" w:hAnsi="Times New Roman" w:eastAsia="宋体" w:cs="Times New Roman"/>
                <w:color w:val="auto"/>
                <w:sz w:val="18"/>
                <w:szCs w:val="21"/>
                <w:highlight w:val="none"/>
              </w:rPr>
            </w:pPr>
            <w:r>
              <w:rPr>
                <w:rFonts w:hint="eastAsia" w:ascii="Times New Roman" w:hAnsi="Times New Roman" w:eastAsia="宋体" w:cs="Times New Roman"/>
                <w:color w:val="auto"/>
                <w:sz w:val="18"/>
                <w:szCs w:val="21"/>
                <w:highlight w:val="none"/>
              </w:rPr>
              <w:t>交通运输业 *</w:t>
            </w:r>
          </w:p>
        </w:tc>
        <w:tc>
          <w:tcPr>
            <w:tcW w:w="136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ascii="Times New Roman" w:hAnsi="Times New Roman" w:eastAsia="宋体" w:cs="Times New Roman"/>
                <w:color w:val="auto"/>
                <w:sz w:val="18"/>
                <w:szCs w:val="21"/>
                <w:highlight w:val="none"/>
              </w:rPr>
            </w:pPr>
          </w:p>
        </w:tc>
        <w:tc>
          <w:tcPr>
            <w:tcW w:w="136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426"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992"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ascii="Times New Roman" w:hAnsi="Times New Roman" w:eastAsia="宋体" w:cs="Times New Roman"/>
                <w:color w:val="auto"/>
                <w:sz w:val="18"/>
                <w:szCs w:val="21"/>
                <w:highlight w:val="none"/>
              </w:rPr>
            </w:pPr>
            <w:r>
              <w:rPr>
                <w:rFonts w:hint="eastAsia" w:ascii="Times New Roman" w:hAnsi="Times New Roman" w:eastAsia="宋体" w:cs="Times New Roman"/>
                <w:color w:val="auto"/>
                <w:sz w:val="18"/>
                <w:szCs w:val="21"/>
                <w:highlight w:val="none"/>
              </w:rPr>
              <w:t>仓储业*</w:t>
            </w:r>
          </w:p>
        </w:tc>
        <w:tc>
          <w:tcPr>
            <w:tcW w:w="136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noWrap/>
            <w:vAlign w:val="center"/>
          </w:tcPr>
          <w:p>
            <w:pPr>
              <w:widowControl/>
              <w:spacing w:line="280" w:lineRule="exact"/>
              <w:ind w:left="1" w:leftChars="-51" w:hanging="108" w:hangingChars="6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426"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992"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ascii="Times New Roman" w:hAnsi="Times New Roman" w:eastAsia="宋体" w:cs="Times New Roman"/>
                <w:color w:val="auto"/>
                <w:sz w:val="18"/>
                <w:szCs w:val="21"/>
                <w:highlight w:val="none"/>
              </w:rPr>
            </w:pPr>
          </w:p>
        </w:tc>
        <w:tc>
          <w:tcPr>
            <w:tcW w:w="136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426"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ascii="Times New Roman" w:hAnsi="Times New Roman" w:eastAsia="宋体" w:cs="Times New Roman"/>
                <w:color w:val="auto"/>
                <w:sz w:val="18"/>
                <w:szCs w:val="21"/>
                <w:highlight w:val="none"/>
              </w:rPr>
            </w:pPr>
            <w:r>
              <w:rPr>
                <w:rFonts w:hint="eastAsia" w:ascii="Times New Roman" w:hAnsi="Times New Roman" w:eastAsia="宋体" w:cs="Times New Roman"/>
                <w:color w:val="auto"/>
                <w:sz w:val="18"/>
                <w:szCs w:val="21"/>
                <w:highlight w:val="none"/>
              </w:rPr>
              <w:t>邮政业</w:t>
            </w:r>
          </w:p>
        </w:tc>
        <w:tc>
          <w:tcPr>
            <w:tcW w:w="136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ascii="Times New Roman" w:hAnsi="Times New Roman" w:eastAsia="宋体" w:cs="Times New Roman"/>
                <w:color w:val="auto"/>
                <w:sz w:val="18"/>
                <w:szCs w:val="21"/>
                <w:highlight w:val="none"/>
              </w:rPr>
            </w:pPr>
          </w:p>
        </w:tc>
        <w:tc>
          <w:tcPr>
            <w:tcW w:w="136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426"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ascii="Times New Roman" w:hAnsi="Times New Roman" w:eastAsia="宋体" w:cs="Times New Roman"/>
                <w:color w:val="auto"/>
                <w:sz w:val="18"/>
                <w:szCs w:val="21"/>
                <w:highlight w:val="none"/>
              </w:rPr>
            </w:pPr>
            <w:r>
              <w:rPr>
                <w:rFonts w:hint="eastAsia" w:ascii="Times New Roman" w:hAnsi="Times New Roman" w:eastAsia="宋体" w:cs="Times New Roman"/>
                <w:color w:val="auto"/>
                <w:sz w:val="18"/>
                <w:szCs w:val="21"/>
                <w:highlight w:val="none"/>
              </w:rPr>
              <w:t>住宿业</w:t>
            </w:r>
          </w:p>
        </w:tc>
        <w:tc>
          <w:tcPr>
            <w:tcW w:w="136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ign w:val="center"/>
          </w:tcPr>
          <w:p>
            <w:pPr>
              <w:widowControl/>
              <w:spacing w:line="280" w:lineRule="exact"/>
              <w:ind w:left="1" w:leftChars="-51" w:hanging="108" w:hangingChars="6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ascii="Times New Roman" w:hAnsi="Times New Roman" w:eastAsia="宋体" w:cs="Times New Roman"/>
                <w:color w:val="auto"/>
                <w:sz w:val="18"/>
                <w:szCs w:val="21"/>
                <w:highlight w:val="none"/>
              </w:rPr>
            </w:pPr>
          </w:p>
        </w:tc>
        <w:tc>
          <w:tcPr>
            <w:tcW w:w="136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ascii="Times New Roman" w:hAnsi="Times New Roman" w:eastAsia="宋体" w:cs="Times New Roman"/>
                <w:color w:val="auto"/>
                <w:sz w:val="18"/>
                <w:szCs w:val="21"/>
                <w:highlight w:val="none"/>
              </w:rPr>
            </w:pPr>
            <w:r>
              <w:rPr>
                <w:rFonts w:hint="eastAsia" w:ascii="Times New Roman" w:hAnsi="Times New Roman" w:eastAsia="宋体" w:cs="Times New Roman"/>
                <w:color w:val="auto"/>
                <w:sz w:val="18"/>
                <w:szCs w:val="21"/>
                <w:highlight w:val="none"/>
              </w:rPr>
              <w:t>餐饮业</w:t>
            </w:r>
          </w:p>
        </w:tc>
        <w:tc>
          <w:tcPr>
            <w:tcW w:w="136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ign w:val="center"/>
          </w:tcPr>
          <w:p>
            <w:pPr>
              <w:widowControl/>
              <w:spacing w:line="280" w:lineRule="exact"/>
              <w:ind w:left="1" w:leftChars="-51" w:hanging="108" w:hangingChars="6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ascii="Times New Roman" w:hAnsi="Times New Roman" w:eastAsia="宋体" w:cs="Times New Roman"/>
                <w:color w:val="auto"/>
                <w:sz w:val="18"/>
                <w:szCs w:val="21"/>
                <w:highlight w:val="none"/>
              </w:rPr>
            </w:pPr>
          </w:p>
        </w:tc>
        <w:tc>
          <w:tcPr>
            <w:tcW w:w="136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ascii="Times New Roman" w:hAnsi="Times New Roman" w:eastAsia="宋体" w:cs="Times New Roman"/>
                <w:color w:val="auto"/>
                <w:sz w:val="18"/>
                <w:szCs w:val="21"/>
                <w:highlight w:val="none"/>
              </w:rPr>
            </w:pPr>
            <w:r>
              <w:rPr>
                <w:rFonts w:hint="eastAsia" w:ascii="Times New Roman" w:hAnsi="Times New Roman" w:eastAsia="宋体" w:cs="Times New Roman"/>
                <w:color w:val="auto"/>
                <w:sz w:val="18"/>
                <w:szCs w:val="21"/>
                <w:highlight w:val="none"/>
              </w:rPr>
              <w:t>信息传输业 *</w:t>
            </w:r>
          </w:p>
        </w:tc>
        <w:tc>
          <w:tcPr>
            <w:tcW w:w="136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X≥2000</w:t>
            </w:r>
          </w:p>
        </w:tc>
        <w:tc>
          <w:tcPr>
            <w:tcW w:w="1701"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426"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ascii="Times New Roman" w:hAnsi="Times New Roman" w:eastAsia="宋体" w:cs="Times New Roman"/>
                <w:color w:val="auto"/>
                <w:sz w:val="18"/>
                <w:szCs w:val="21"/>
                <w:highlight w:val="none"/>
              </w:rPr>
            </w:pPr>
          </w:p>
        </w:tc>
        <w:tc>
          <w:tcPr>
            <w:tcW w:w="136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Y≥100000</w:t>
            </w:r>
          </w:p>
        </w:tc>
        <w:tc>
          <w:tcPr>
            <w:tcW w:w="1701"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426"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ascii="Times New Roman" w:hAnsi="Times New Roman" w:eastAsia="宋体" w:cs="Times New Roman"/>
                <w:color w:val="auto"/>
                <w:sz w:val="18"/>
                <w:szCs w:val="21"/>
                <w:highlight w:val="none"/>
              </w:rPr>
            </w:pPr>
            <w:r>
              <w:rPr>
                <w:rFonts w:hint="eastAsia" w:ascii="Times New Roman" w:hAnsi="Times New Roman" w:eastAsia="宋体" w:cs="Times New Roman"/>
                <w:color w:val="auto"/>
                <w:sz w:val="18"/>
                <w:szCs w:val="21"/>
                <w:highlight w:val="none"/>
              </w:rPr>
              <w:t>软件和信息技术服务业</w:t>
            </w:r>
          </w:p>
        </w:tc>
        <w:tc>
          <w:tcPr>
            <w:tcW w:w="136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ign w:val="center"/>
          </w:tcPr>
          <w:p>
            <w:pPr>
              <w:widowControl/>
              <w:spacing w:line="280" w:lineRule="exact"/>
              <w:ind w:left="1" w:leftChars="-51" w:hanging="108" w:hangingChars="6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ascii="Times New Roman" w:hAnsi="Times New Roman" w:eastAsia="宋体" w:cs="Times New Roman"/>
                <w:color w:val="auto"/>
                <w:sz w:val="18"/>
                <w:szCs w:val="21"/>
                <w:highlight w:val="none"/>
              </w:rPr>
            </w:pPr>
          </w:p>
        </w:tc>
        <w:tc>
          <w:tcPr>
            <w:tcW w:w="136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426"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992"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ascii="Times New Roman" w:hAnsi="Times New Roman" w:eastAsia="宋体" w:cs="Times New Roman"/>
                <w:color w:val="auto"/>
                <w:sz w:val="18"/>
                <w:szCs w:val="21"/>
                <w:highlight w:val="none"/>
              </w:rPr>
            </w:pPr>
            <w:r>
              <w:rPr>
                <w:rFonts w:hint="eastAsia" w:ascii="Times New Roman" w:hAnsi="Times New Roman" w:eastAsia="宋体" w:cs="Times New Roman"/>
                <w:color w:val="auto"/>
                <w:sz w:val="18"/>
                <w:szCs w:val="21"/>
                <w:highlight w:val="none"/>
              </w:rPr>
              <w:t>房地产开发经营</w:t>
            </w:r>
          </w:p>
        </w:tc>
        <w:tc>
          <w:tcPr>
            <w:tcW w:w="136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Y≥200000</w:t>
            </w:r>
          </w:p>
        </w:tc>
        <w:tc>
          <w:tcPr>
            <w:tcW w:w="1701"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426"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ascii="Times New Roman" w:hAnsi="Times New Roman" w:eastAsia="宋体" w:cs="Times New Roman"/>
                <w:color w:val="auto"/>
                <w:sz w:val="18"/>
                <w:szCs w:val="21"/>
                <w:highlight w:val="none"/>
              </w:rPr>
            </w:pPr>
          </w:p>
        </w:tc>
        <w:tc>
          <w:tcPr>
            <w:tcW w:w="136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Z≥10000</w:t>
            </w:r>
          </w:p>
        </w:tc>
        <w:tc>
          <w:tcPr>
            <w:tcW w:w="1701"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426"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2000≤Z＜5000</w:t>
            </w:r>
          </w:p>
        </w:tc>
        <w:tc>
          <w:tcPr>
            <w:tcW w:w="992"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ascii="Times New Roman" w:hAnsi="Times New Roman" w:eastAsia="宋体" w:cs="Times New Roman"/>
                <w:color w:val="auto"/>
                <w:sz w:val="18"/>
                <w:szCs w:val="21"/>
                <w:highlight w:val="none"/>
              </w:rPr>
            </w:pPr>
            <w:r>
              <w:rPr>
                <w:rFonts w:hint="eastAsia" w:ascii="Times New Roman" w:hAnsi="Times New Roman" w:eastAsia="宋体" w:cs="Times New Roman"/>
                <w:color w:val="auto"/>
                <w:sz w:val="18"/>
                <w:szCs w:val="21"/>
                <w:highlight w:val="none"/>
              </w:rPr>
              <w:t>物业管理</w:t>
            </w:r>
          </w:p>
        </w:tc>
        <w:tc>
          <w:tcPr>
            <w:tcW w:w="136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992"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ascii="Times New Roman" w:hAnsi="Times New Roman" w:eastAsia="宋体" w:cs="Times New Roman"/>
                <w:color w:val="auto"/>
                <w:sz w:val="18"/>
                <w:szCs w:val="21"/>
                <w:highlight w:val="none"/>
              </w:rPr>
            </w:pPr>
          </w:p>
        </w:tc>
        <w:tc>
          <w:tcPr>
            <w:tcW w:w="136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Y≥5000</w:t>
            </w:r>
          </w:p>
        </w:tc>
        <w:tc>
          <w:tcPr>
            <w:tcW w:w="1701" w:type="dxa"/>
            <w:noWrap/>
            <w:vAlign w:val="center"/>
          </w:tcPr>
          <w:p>
            <w:pPr>
              <w:widowControl/>
              <w:spacing w:line="280" w:lineRule="exact"/>
              <w:ind w:left="1" w:leftChars="-51" w:hanging="108" w:hangingChars="6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426"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992"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ascii="Times New Roman" w:hAnsi="Times New Roman" w:eastAsia="宋体" w:cs="Times New Roman"/>
                <w:color w:val="auto"/>
                <w:sz w:val="18"/>
                <w:szCs w:val="21"/>
                <w:highlight w:val="none"/>
              </w:rPr>
            </w:pPr>
            <w:r>
              <w:rPr>
                <w:rFonts w:hint="eastAsia" w:ascii="Times New Roman" w:hAnsi="Times New Roman" w:eastAsia="宋体" w:cs="Times New Roman"/>
                <w:color w:val="auto"/>
                <w:sz w:val="18"/>
                <w:szCs w:val="21"/>
                <w:highlight w:val="none"/>
              </w:rPr>
              <w:t>租赁和商务服务业</w:t>
            </w:r>
          </w:p>
        </w:tc>
        <w:tc>
          <w:tcPr>
            <w:tcW w:w="136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ign w:val="center"/>
          </w:tcPr>
          <w:p>
            <w:pPr>
              <w:widowControl/>
              <w:spacing w:line="280" w:lineRule="exact"/>
              <w:ind w:left="1" w:leftChars="-51" w:hanging="108" w:hangingChars="6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ascii="Times New Roman" w:hAnsi="Times New Roman" w:eastAsia="宋体" w:cs="Times New Roman"/>
                <w:color w:val="auto"/>
                <w:sz w:val="18"/>
                <w:szCs w:val="21"/>
                <w:highlight w:val="none"/>
              </w:rPr>
            </w:pPr>
          </w:p>
        </w:tc>
        <w:tc>
          <w:tcPr>
            <w:tcW w:w="136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Z≥120000</w:t>
            </w:r>
          </w:p>
        </w:tc>
        <w:tc>
          <w:tcPr>
            <w:tcW w:w="1701"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426"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992"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pPr>
              <w:rPr>
                <w:rFonts w:ascii="Times New Roman" w:hAnsi="Times New Roman" w:eastAsia="宋体" w:cs="Times New Roman"/>
                <w:color w:val="auto"/>
                <w:sz w:val="18"/>
                <w:szCs w:val="21"/>
                <w:highlight w:val="none"/>
              </w:rPr>
            </w:pPr>
            <w:r>
              <w:rPr>
                <w:rFonts w:hint="eastAsia" w:ascii="Times New Roman" w:hAnsi="Times New Roman" w:eastAsia="宋体" w:cs="Times New Roman"/>
                <w:color w:val="auto"/>
                <w:sz w:val="18"/>
                <w:szCs w:val="21"/>
                <w:highlight w:val="none"/>
              </w:rPr>
              <w:t>其他未列明行业 *</w:t>
            </w:r>
          </w:p>
        </w:tc>
        <w:tc>
          <w:tcPr>
            <w:tcW w:w="136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ign w:val="center"/>
          </w:tcPr>
          <w:p>
            <w:pPr>
              <w:widowControl/>
              <w:spacing w:line="280" w:lineRule="exact"/>
              <w:ind w:left="1" w:leftChars="-51" w:hanging="108" w:hangingChars="6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说明：</w:t>
      </w:r>
    </w:p>
    <w:p>
      <w:pPr>
        <w:widowControl w:val="0"/>
        <w:adjustRightInd w:val="0"/>
        <w:ind w:firstLine="420" w:firstLineChars="200"/>
        <w:contextualSpacing/>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1.大型、中型和小型企业须同时满足所列指标的下限，否则下划一档。微型企业只须满足所列指标中的一项即可。</w:t>
      </w:r>
    </w:p>
    <w:p>
      <w:pPr>
        <w:widowControl w:val="0"/>
        <w:adjustRightInd w:val="0"/>
        <w:ind w:firstLine="420" w:firstLineChars="200"/>
        <w:contextualSpacing/>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val="0"/>
        <w:ind w:firstLine="420" w:firstLineChars="200"/>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3"/>
        <w:spacing w:line="480" w:lineRule="auto"/>
        <w:jc w:val="center"/>
        <w:rPr>
          <w:rFonts w:hint="eastAsia" w:ascii="Calibri" w:hAnsi="Calibri"/>
          <w:color w:val="auto"/>
          <w:highlight w:val="none"/>
        </w:rPr>
      </w:pPr>
      <w:bookmarkStart w:id="61" w:name="_Toc9239"/>
      <w:bookmarkStart w:id="62" w:name="_Toc13614"/>
      <w:bookmarkStart w:id="63" w:name="_Toc24174"/>
      <w:bookmarkStart w:id="64" w:name="_Toc19152"/>
      <w:bookmarkStart w:id="65" w:name="_Toc7704"/>
      <w:bookmarkStart w:id="66" w:name="_Toc2072"/>
      <w:r>
        <w:rPr>
          <w:rFonts w:hint="eastAsia" w:ascii="Cambria" w:hAnsi="Cambria"/>
          <w:bCs w:val="0"/>
          <w:color w:val="auto"/>
          <w:sz w:val="32"/>
          <w:szCs w:val="32"/>
          <w:highlight w:val="none"/>
        </w:rPr>
        <w:t>第三章 供应商须知</w:t>
      </w:r>
      <w:bookmarkEnd w:id="58"/>
      <w:bookmarkEnd w:id="59"/>
      <w:bookmarkEnd w:id="61"/>
      <w:bookmarkEnd w:id="62"/>
      <w:bookmarkEnd w:id="63"/>
      <w:bookmarkEnd w:id="64"/>
      <w:bookmarkEnd w:id="65"/>
      <w:bookmarkEnd w:id="66"/>
    </w:p>
    <w:p>
      <w:pPr>
        <w:pStyle w:val="4"/>
        <w:jc w:val="center"/>
        <w:rPr>
          <w:rFonts w:hint="eastAsia" w:ascii="宋体" w:hAnsi="宋体"/>
          <w:b w:val="0"/>
          <w:color w:val="auto"/>
          <w:highlight w:val="none"/>
        </w:rPr>
      </w:pPr>
      <w:bookmarkStart w:id="67" w:name="_Toc9482"/>
      <w:bookmarkStart w:id="68" w:name="_Toc30660"/>
      <w:bookmarkStart w:id="69" w:name="_Toc80886928"/>
      <w:r>
        <w:rPr>
          <w:rFonts w:hint="eastAsia" w:ascii="宋体" w:hAnsi="宋体"/>
          <w:b w:val="0"/>
          <w:color w:val="auto"/>
          <w:highlight w:val="none"/>
        </w:rPr>
        <w:t>第一节 供应商须知前附表</w:t>
      </w:r>
      <w:bookmarkEnd w:id="67"/>
      <w:bookmarkEnd w:id="68"/>
      <w:bookmarkEnd w:id="69"/>
    </w:p>
    <w:tbl>
      <w:tblPr>
        <w:tblStyle w:val="32"/>
        <w:tblW w:w="97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
        <w:gridCol w:w="2390"/>
        <w:gridCol w:w="6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63" w:type="dxa"/>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2390" w:type="dxa"/>
            <w:vAlign w:val="center"/>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条款内容</w:t>
            </w:r>
          </w:p>
        </w:tc>
        <w:tc>
          <w:tcPr>
            <w:tcW w:w="6416" w:type="dxa"/>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3.1</w:t>
            </w:r>
          </w:p>
        </w:tc>
        <w:tc>
          <w:tcPr>
            <w:tcW w:w="2390"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供应商资格条件</w:t>
            </w:r>
          </w:p>
        </w:tc>
        <w:tc>
          <w:tcPr>
            <w:tcW w:w="6416"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2390"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是否接受联合体竞标</w:t>
            </w:r>
          </w:p>
        </w:tc>
        <w:tc>
          <w:tcPr>
            <w:tcW w:w="6416" w:type="dxa"/>
            <w:vAlign w:val="center"/>
          </w:tcPr>
          <w:p>
            <w:pPr>
              <w:spacing w:line="360" w:lineRule="auto"/>
              <w:rPr>
                <w:rFonts w:hint="eastAsia" w:ascii="宋体" w:hAnsi="宋体" w:cs="宋体"/>
                <w:color w:val="auto"/>
                <w:szCs w:val="21"/>
                <w:highlight w:val="none"/>
              </w:rPr>
            </w:pPr>
            <w:bookmarkStart w:id="70" w:name="PO_3000001868_PM007"/>
            <w:r>
              <w:rPr>
                <w:rFonts w:hint="eastAsia" w:ascii="宋体" w:hAnsi="宋体" w:cs="宋体"/>
                <w:color w:val="auto"/>
                <w:szCs w:val="21"/>
                <w:highlight w:val="none"/>
              </w:rPr>
              <w:t>详见竞争性磋商公告</w:t>
            </w:r>
            <w:bookmarkEnd w:id="7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5.2</w:t>
            </w:r>
          </w:p>
        </w:tc>
        <w:tc>
          <w:tcPr>
            <w:tcW w:w="2390"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联合体竞标要求</w:t>
            </w:r>
          </w:p>
        </w:tc>
        <w:tc>
          <w:tcPr>
            <w:tcW w:w="6416" w:type="dxa"/>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6.1</w:t>
            </w:r>
          </w:p>
        </w:tc>
        <w:tc>
          <w:tcPr>
            <w:tcW w:w="2390"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是否允许分包</w:t>
            </w:r>
          </w:p>
        </w:tc>
        <w:tc>
          <w:tcPr>
            <w:tcW w:w="6416" w:type="dxa"/>
            <w:vAlign w:val="center"/>
          </w:tcPr>
          <w:p>
            <w:pPr>
              <w:pStyle w:val="14"/>
              <w:spacing w:line="360" w:lineRule="auto"/>
              <w:rPr>
                <w:rFonts w:hint="eastAsia" w:ascii="宋体" w:hAnsi="宋体" w:cs="宋体"/>
                <w:color w:val="auto"/>
                <w:szCs w:val="21"/>
                <w:highlight w:val="none"/>
              </w:rPr>
            </w:pPr>
            <w:r>
              <w:rPr>
                <w:rFonts w:hint="eastAsia" w:ascii="宋体" w:hAnsi="宋体" w:cs="宋体"/>
                <w:color w:val="auto"/>
                <w:szCs w:val="21"/>
                <w:highlight w:val="none"/>
              </w:rPr>
              <w:t>不允许分包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12.1.1</w:t>
            </w:r>
          </w:p>
        </w:tc>
        <w:tc>
          <w:tcPr>
            <w:tcW w:w="2390" w:type="dxa"/>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b/>
                <w:color w:val="auto"/>
                <w:szCs w:val="21"/>
                <w:highlight w:val="none"/>
              </w:rPr>
              <w:t>资格证明文件组成</w:t>
            </w:r>
          </w:p>
        </w:tc>
        <w:tc>
          <w:tcPr>
            <w:tcW w:w="6416" w:type="dxa"/>
            <w:vAlign w:val="center"/>
          </w:tcPr>
          <w:p>
            <w:pPr>
              <w:pStyle w:val="14"/>
              <w:spacing w:line="360" w:lineRule="auto"/>
              <w:rPr>
                <w:rFonts w:hint="eastAsia" w:ascii="宋体" w:hAnsi="宋体" w:cs="宋体"/>
                <w:color w:val="auto"/>
                <w:szCs w:val="21"/>
                <w:highlight w:val="none"/>
              </w:rPr>
            </w:pPr>
            <w:r>
              <w:rPr>
                <w:rFonts w:hint="eastAsia" w:ascii="宋体" w:hAnsi="宋体" w:cs="宋体"/>
                <w:color w:val="auto"/>
                <w:szCs w:val="21"/>
                <w:highlight w:val="none"/>
              </w:rPr>
              <w:t>1.供应商为法人或者其他组织的提供其营业执照等证明文件复印件（如营业执照或者事业单位法人证书或者执业许可证等），供应商为自然人的提供其有效身份证正反面复印件；（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2.供应商依法缴纳税收的相关材料（</w:t>
            </w:r>
            <w:r>
              <w:rPr>
                <w:rFonts w:hint="eastAsia" w:ascii="宋体" w:hAnsi="宋体" w:cs="宋体"/>
                <w:color w:val="auto"/>
                <w:szCs w:val="21"/>
                <w:highlight w:val="none"/>
                <w:u w:val="none"/>
                <w:lang w:val="en-US" w:eastAsia="zh-CN"/>
              </w:rPr>
              <w:t>提供税款所属时期为2024年1月至响应文件提交截止时间止的任意1个月</w:t>
            </w:r>
            <w:r>
              <w:rPr>
                <w:rFonts w:hint="eastAsia" w:ascii="宋体" w:hAnsi="宋体" w:cs="宋体"/>
                <w:color w:val="auto"/>
                <w:szCs w:val="21"/>
                <w:highlight w:val="none"/>
              </w:rPr>
              <w:t>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3.供应商依法缴纳社会保障资金的相关材料（</w:t>
            </w:r>
            <w:r>
              <w:rPr>
                <w:rFonts w:hint="eastAsia" w:ascii="宋体" w:hAnsi="宋体" w:cs="宋体"/>
                <w:color w:val="auto"/>
                <w:szCs w:val="21"/>
                <w:highlight w:val="none"/>
                <w:u w:val="none"/>
                <w:lang w:val="en-US" w:eastAsia="zh-CN"/>
              </w:rPr>
              <w:t>提供税款所属时期或缴费起始时间为2024年1月至响应文件提交截止时间止的任意1个月</w:t>
            </w:r>
            <w:r>
              <w:rPr>
                <w:rFonts w:hint="eastAsia" w:ascii="宋体" w:hAnsi="宋体" w:cs="宋体"/>
                <w:color w:val="auto"/>
                <w:szCs w:val="21"/>
                <w:highlight w:val="none"/>
              </w:rPr>
              <w:t>的依法缴纳社会保障资金的缴费凭证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4.供应商财务状况报告（提供2023年度财务报告复印件或者截标时间前半年内至少一个月能反映财务状况的报表或者供应商自拟的截标时间前半年内至少一个月的财务情况说明）；</w:t>
            </w:r>
            <w:r>
              <w:rPr>
                <w:rFonts w:hint="eastAsia" w:ascii="宋体" w:hAnsi="宋体" w:cs="宋体"/>
                <w:bCs/>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bCs/>
                <w:color w:val="auto"/>
                <w:szCs w:val="21"/>
                <w:highlight w:val="none"/>
              </w:rPr>
              <w:t>）</w:t>
            </w:r>
          </w:p>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.声明函（格式后附）；（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.供应商直接控股股东信息表（</w:t>
            </w:r>
            <w:r>
              <w:rPr>
                <w:rFonts w:hint="eastAsia" w:ascii="宋体" w:hAnsi="宋体" w:eastAsia="宋体" w:cs="宋体"/>
                <w:color w:val="auto"/>
                <w:szCs w:val="21"/>
                <w:highlight w:val="none"/>
              </w:rPr>
              <w:t>格式后附）。</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.供应商直接管理关系信息表（格式后附）。</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8.国家主管部门颁发的有效的会计师事务所执业证书（</w:t>
            </w:r>
            <w:r>
              <w:rPr>
                <w:rFonts w:hint="eastAsia" w:ascii="宋体" w:hAnsi="宋体" w:cs="宋体"/>
                <w:b/>
                <w:bCs/>
                <w:color w:val="auto"/>
                <w:szCs w:val="21"/>
                <w:highlight w:val="none"/>
                <w:lang w:val="en-US" w:eastAsia="zh-CN"/>
              </w:rPr>
              <w:t>必须提供，否则响应文件按无效响应处理</w:t>
            </w:r>
            <w:r>
              <w:rPr>
                <w:rFonts w:hint="eastAsia" w:ascii="宋体" w:hAnsi="宋体" w:cs="宋体"/>
                <w:color w:val="auto"/>
                <w:szCs w:val="21"/>
                <w:highlight w:val="none"/>
                <w:lang w:val="en-US" w:eastAsia="zh-CN"/>
              </w:rPr>
              <w:t>）</w:t>
            </w:r>
          </w:p>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.联合体竞标协议书（格式后附）；（</w:t>
            </w:r>
            <w:r>
              <w:rPr>
                <w:rFonts w:hint="eastAsia" w:ascii="宋体" w:hAnsi="宋体" w:cs="宋体"/>
                <w:b/>
                <w:color w:val="auto"/>
                <w:szCs w:val="21"/>
                <w:highlight w:val="none"/>
              </w:rPr>
              <w:t>联合体竞标时必须提供，否则响应文件按无效响应处理</w:t>
            </w:r>
            <w:r>
              <w:rPr>
                <w:rFonts w:hint="eastAsia" w:ascii="宋体" w:hAnsi="宋体" w:cs="宋体"/>
                <w:color w:val="auto"/>
                <w:szCs w:val="21"/>
                <w:highlight w:val="none"/>
              </w:rPr>
              <w:t>）</w:t>
            </w:r>
          </w:p>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.除竞争性磋商文件规定必须提供以外，供应商认为需要提供的其他证明材料（格式自拟）。（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pPr>
              <w:pStyle w:val="14"/>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注：</w:t>
            </w:r>
          </w:p>
          <w:p>
            <w:pPr>
              <w:pStyle w:val="14"/>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　　1.以上标明“必须提供”的材料属于复印件的扫描件的，必须加盖供应商公章，否则响应文件按无效响应处理。</w:t>
            </w:r>
          </w:p>
          <w:p>
            <w:pPr>
              <w:pStyle w:val="14"/>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2.联合体竞标时，第1-5项资格证明文件联合体各方均必须分别提供，联合体各方分别盖章和签字，否则响应文件按无效响应处理。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12.1.2</w:t>
            </w:r>
          </w:p>
        </w:tc>
        <w:tc>
          <w:tcPr>
            <w:tcW w:w="2390" w:type="dxa"/>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商务文件组成</w:t>
            </w:r>
          </w:p>
        </w:tc>
        <w:tc>
          <w:tcPr>
            <w:tcW w:w="6416" w:type="dxa"/>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4.磋商</w:t>
            </w:r>
            <w:r>
              <w:rPr>
                <w:rFonts w:hint="eastAsia" w:ascii="宋体" w:hAnsi="宋体" w:eastAsia="宋体" w:cs="宋体"/>
                <w:color w:val="auto"/>
                <w:szCs w:val="21"/>
                <w:highlight w:val="none"/>
              </w:rPr>
              <w:t>保证金提交凭证；（</w:t>
            </w:r>
            <w:r>
              <w:rPr>
                <w:rFonts w:hint="eastAsia" w:ascii="宋体" w:hAnsi="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.商务条款偏离表（格式后附）；（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.供应商情况介绍（格式自拟）；（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.对应采购需求的商务条款提供的其他文件资料（格式自拟）；（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.供应商认为需要提供的其他有关资料（格式自拟）。（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注： </w:t>
            </w:r>
          </w:p>
          <w:p>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1.法定代表人授权委托书必须由法定代表人及其委托代理人签字，并加盖供应商公章，否则响应文件按无效响应处理。</w:t>
            </w:r>
          </w:p>
          <w:p>
            <w:pPr>
              <w:spacing w:line="360" w:lineRule="auto"/>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2.以上标明“必须提供”的材料属于复印件的扫描件的，必须加盖供应商公章，否则响应文件按无效响应处理。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jc w:val="center"/>
        </w:trPr>
        <w:tc>
          <w:tcPr>
            <w:tcW w:w="963" w:type="dxa"/>
            <w:vMerge w:val="continue"/>
            <w:vAlign w:val="center"/>
          </w:tcPr>
          <w:p>
            <w:pPr>
              <w:spacing w:line="360" w:lineRule="auto"/>
              <w:jc w:val="center"/>
              <w:rPr>
                <w:rFonts w:hint="eastAsia" w:ascii="宋体" w:hAnsi="宋体" w:cs="宋体"/>
                <w:color w:val="auto"/>
                <w:szCs w:val="21"/>
                <w:highlight w:val="none"/>
              </w:rPr>
            </w:pPr>
          </w:p>
        </w:tc>
        <w:tc>
          <w:tcPr>
            <w:tcW w:w="2390" w:type="dxa"/>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技术文件组成</w:t>
            </w:r>
          </w:p>
        </w:tc>
        <w:tc>
          <w:tcPr>
            <w:tcW w:w="6416" w:type="dxa"/>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1.服务需求偏离表（格式后附）；（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2.服务方案（格式自拟）；（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rPr>
            </w:pPr>
            <w:r>
              <w:rPr>
                <w:rFonts w:hint="eastAsia" w:ascii="宋体" w:hAnsi="宋体" w:cs="宋体"/>
                <w:color w:val="auto"/>
                <w:highlight w:val="none"/>
              </w:rPr>
              <w:t>3.</w:t>
            </w:r>
            <w:r>
              <w:rPr>
                <w:rFonts w:hint="eastAsia" w:ascii="宋体" w:hAnsi="宋体" w:cs="宋体"/>
                <w:color w:val="auto"/>
                <w:szCs w:val="21"/>
                <w:highlight w:val="none"/>
              </w:rPr>
              <w:t>对应采购需求的服务需求提供的其他文件资料（格式自拟）；（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.供应商认为需要提供的其他有关资料（格式自拟）。（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注：以上标明“必须提供”的材料属于复印件的扫描件的，必须加盖供应商公章，否则响应文件按无效响应处理。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12.1.</w:t>
            </w:r>
            <w:r>
              <w:rPr>
                <w:rFonts w:hint="eastAsia" w:ascii="宋体" w:hAnsi="宋体" w:cs="宋体"/>
                <w:color w:val="auto"/>
                <w:szCs w:val="21"/>
                <w:highlight w:val="none"/>
                <w:lang w:val="en-US" w:eastAsia="zh-CN"/>
              </w:rPr>
              <w:t>3</w:t>
            </w:r>
          </w:p>
        </w:tc>
        <w:tc>
          <w:tcPr>
            <w:tcW w:w="2390" w:type="dxa"/>
            <w:vAlign w:val="center"/>
          </w:tcPr>
          <w:p>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报价文件组成</w:t>
            </w:r>
          </w:p>
        </w:tc>
        <w:tc>
          <w:tcPr>
            <w:tcW w:w="6416" w:type="dxa"/>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1.响应函（格式后附）；</w:t>
            </w:r>
            <w:r>
              <w:rPr>
                <w:rFonts w:hint="eastAsia" w:ascii="宋体" w:hAnsi="宋体" w:cs="宋体"/>
                <w:b/>
                <w:color w:val="auto"/>
                <w:szCs w:val="21"/>
                <w:highlight w:val="none"/>
              </w:rPr>
              <w:t>（必须提供，否则响应文件按无效响应处理）</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2.响应报价表（格式后附）；（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rPr>
              <w:t>中小企业声明函或者残疾人福利性单位声明函（格式后附）或者</w:t>
            </w:r>
            <w:r>
              <w:rPr>
                <w:rFonts w:hint="eastAsia" w:ascii="宋体" w:hAnsi="宋体" w:eastAsia="宋体" w:cs="宋体"/>
                <w:i w:val="0"/>
                <w:iCs w:val="0"/>
                <w:color w:val="auto"/>
                <w:sz w:val="21"/>
                <w:szCs w:val="21"/>
                <w:highlight w:val="none"/>
                <w:lang w:eastAsia="zh-CN"/>
              </w:rPr>
              <w:t>供应商</w:t>
            </w:r>
            <w:r>
              <w:rPr>
                <w:rFonts w:hint="eastAsia" w:ascii="宋体" w:hAnsi="宋体" w:cs="宋体"/>
                <w:color w:val="auto"/>
                <w:sz w:val="21"/>
                <w:szCs w:val="21"/>
              </w:rPr>
              <w:t>属于监狱企业的</w:t>
            </w:r>
            <w:r>
              <w:rPr>
                <w:rFonts w:hint="eastAsia" w:ascii="宋体" w:hAnsi="宋体" w:cs="宋体"/>
                <w:color w:val="auto"/>
                <w:sz w:val="21"/>
                <w:szCs w:val="21"/>
                <w:lang w:eastAsia="zh-CN"/>
              </w:rPr>
              <w:t>，</w:t>
            </w:r>
            <w:r>
              <w:rPr>
                <w:rFonts w:hint="eastAsia" w:ascii="宋体" w:hAnsi="宋体" w:eastAsia="宋体" w:cs="宋体"/>
                <w:i w:val="0"/>
                <w:iCs w:val="0"/>
                <w:color w:val="auto"/>
                <w:sz w:val="21"/>
                <w:szCs w:val="21"/>
                <w:highlight w:val="none"/>
                <w:lang w:eastAsia="zh-CN"/>
              </w:rPr>
              <w:t>提供由省级以上监狱管理局、戒毒管理局（含新疆生产建设兵团）出具的属于监狱企业的证明文件</w:t>
            </w:r>
            <w:r>
              <w:rPr>
                <w:rFonts w:hint="eastAsia" w:ascii="宋体" w:hAnsi="宋体" w:cs="宋体"/>
                <w:color w:val="auto"/>
                <w:sz w:val="21"/>
                <w:szCs w:val="21"/>
              </w:rPr>
              <w:t>；</w:t>
            </w:r>
            <w:r>
              <w:rPr>
                <w:rFonts w:hint="eastAsia" w:ascii="宋体" w:hAnsi="宋体" w:cs="宋体"/>
                <w:b/>
                <w:bCs/>
                <w:color w:val="auto"/>
                <w:sz w:val="21"/>
                <w:szCs w:val="21"/>
              </w:rPr>
              <w:t>（如有请提供）</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.供应商针对报价需要说明的其他文件和说明（格式自拟）。（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12.2</w:t>
            </w:r>
          </w:p>
        </w:tc>
        <w:tc>
          <w:tcPr>
            <w:tcW w:w="2390"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响应文件电子版要求</w:t>
            </w:r>
          </w:p>
        </w:tc>
        <w:tc>
          <w:tcPr>
            <w:tcW w:w="6416" w:type="dxa"/>
            <w:vAlign w:val="center"/>
          </w:tcPr>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1.响应文件电子版要求：按照本竞争性磋商文件“第五章 响应文件格式”编写，第五章未附格式的，由供应商自行拟定。</w:t>
            </w:r>
          </w:p>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2.响应文件电子版密封方式：电子响应文件通过平台有效CA加密后在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投送。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15.2</w:t>
            </w:r>
          </w:p>
        </w:tc>
        <w:tc>
          <w:tcPr>
            <w:tcW w:w="2390"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响应报价要求</w:t>
            </w:r>
          </w:p>
        </w:tc>
        <w:tc>
          <w:tcPr>
            <w:tcW w:w="6416" w:type="dxa"/>
            <w:vAlign w:val="center"/>
          </w:tcPr>
          <w:p>
            <w:pPr>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响应报价必须包含满足本次竞标全部采购需求所应提供的服务，以及技术服务、培训、税费等所有费用。（采购需求另有约定的，从其约定。）</w:t>
            </w:r>
          </w:p>
          <w:p>
            <w:pPr>
              <w:pStyle w:val="16"/>
              <w:spacing w:line="360" w:lineRule="auto"/>
              <w:rPr>
                <w:rFonts w:hint="eastAsia" w:ascii="宋体" w:hAnsi="宋体" w:eastAsia="宋体" w:cs="宋体"/>
                <w:color w:val="auto"/>
                <w:highlight w:val="none"/>
                <w:lang w:eastAsia="zh-CN"/>
              </w:rPr>
            </w:pPr>
            <w:r>
              <w:rPr>
                <w:rFonts w:hint="eastAsia" w:ascii="宋体" w:hAnsi="宋体" w:cs="宋体"/>
                <w:b/>
                <w:color w:val="auto"/>
                <w:szCs w:val="21"/>
                <w:highlight w:val="none"/>
              </w:rPr>
              <w:t>响应报价包含验收费用</w:t>
            </w:r>
            <w:r>
              <w:rPr>
                <w:rFonts w:hint="eastAsia" w:ascii="宋体" w:hAnsi="宋体" w:cs="宋体"/>
                <w:b/>
                <w:color w:val="auto"/>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16.2</w:t>
            </w:r>
          </w:p>
        </w:tc>
        <w:tc>
          <w:tcPr>
            <w:tcW w:w="2390"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竞标有效期</w:t>
            </w:r>
          </w:p>
        </w:tc>
        <w:tc>
          <w:tcPr>
            <w:tcW w:w="6416" w:type="dxa"/>
            <w:vAlign w:val="center"/>
          </w:tcPr>
          <w:p>
            <w:pPr>
              <w:pStyle w:val="12"/>
              <w:widowControl w:val="0"/>
              <w:tabs>
                <w:tab w:val="clear" w:pos="454"/>
              </w:tabs>
              <w:snapToGrid w:val="0"/>
              <w:spacing w:afterLines="0" w:line="360" w:lineRule="auto"/>
              <w:ind w:left="283" w:hanging="283" w:hangingChars="135"/>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自首次响应文件提交截止之日起</w:t>
            </w:r>
            <w:r>
              <w:rPr>
                <w:rFonts w:hint="eastAsia" w:ascii="宋体" w:hAnsi="宋体" w:cs="宋体"/>
                <w:color w:val="auto"/>
                <w:kern w:val="2"/>
                <w:sz w:val="21"/>
                <w:szCs w:val="21"/>
                <w:highlight w:val="none"/>
                <w:u w:val="single"/>
              </w:rPr>
              <w:t xml:space="preserve"> 60 </w:t>
            </w:r>
            <w:r>
              <w:rPr>
                <w:rFonts w:hint="eastAsia" w:ascii="宋体" w:hAnsi="宋体" w:cs="宋体"/>
                <w:color w:val="auto"/>
                <w:kern w:val="2"/>
                <w:sz w:val="21"/>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17.1</w:t>
            </w:r>
          </w:p>
        </w:tc>
        <w:tc>
          <w:tcPr>
            <w:tcW w:w="2390"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磋商保证金</w:t>
            </w:r>
          </w:p>
        </w:tc>
        <w:tc>
          <w:tcPr>
            <w:tcW w:w="6416" w:type="dxa"/>
            <w:vAlign w:val="center"/>
          </w:tcPr>
          <w:p>
            <w:pPr>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本项目需要缴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lang w:eastAsia="zh-CN"/>
              </w:rPr>
              <w:t>磋商保证金，</w:t>
            </w:r>
            <w:r>
              <w:rPr>
                <w:rFonts w:hint="eastAsia" w:ascii="宋体" w:hAnsi="宋体" w:eastAsia="宋体" w:cs="宋体"/>
                <w:b/>
                <w:bCs/>
                <w:color w:val="auto"/>
                <w:szCs w:val="21"/>
                <w:highlight w:val="none"/>
              </w:rPr>
              <w:t>相关要求</w:t>
            </w:r>
            <w:r>
              <w:rPr>
                <w:rFonts w:hint="eastAsia" w:ascii="宋体" w:hAnsi="宋体" w:eastAsia="宋体" w:cs="宋体"/>
                <w:b/>
                <w:bCs/>
                <w:color w:val="auto"/>
                <w:szCs w:val="21"/>
                <w:highlight w:val="none"/>
                <w:lang w:eastAsia="zh-CN"/>
              </w:rPr>
              <w:t>如下</w:t>
            </w:r>
            <w:r>
              <w:rPr>
                <w:rFonts w:hint="eastAsia" w:ascii="宋体" w:hAnsi="宋体" w:eastAsia="宋体" w:cs="宋体"/>
                <w:b/>
                <w:bCs/>
                <w:color w:val="auto"/>
                <w:szCs w:val="21"/>
                <w:highlight w:val="none"/>
              </w:rPr>
              <w:t>：</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磋商保证金的</w:t>
            </w:r>
            <w:r>
              <w:rPr>
                <w:rFonts w:hint="eastAsia" w:ascii="宋体" w:hAnsi="宋体" w:eastAsia="宋体" w:cs="宋体"/>
                <w:color w:val="auto"/>
                <w:szCs w:val="21"/>
                <w:highlight w:val="none"/>
                <w:lang w:eastAsia="zh-CN"/>
              </w:rPr>
              <w:t>缴</w:t>
            </w:r>
            <w:r>
              <w:rPr>
                <w:rFonts w:hint="eastAsia" w:ascii="宋体" w:hAnsi="宋体" w:eastAsia="宋体" w:cs="宋体"/>
                <w:color w:val="auto"/>
                <w:szCs w:val="21"/>
                <w:highlight w:val="none"/>
              </w:rPr>
              <w:t>纳方式：详见竞争性磋商公告。</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磋商保证金的金额：详见竞争性磋商公告。</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.磋商保证金采用银行转账</w:t>
            </w:r>
            <w:r>
              <w:rPr>
                <w:rFonts w:hint="eastAsia" w:ascii="宋体" w:hAnsi="宋体" w:eastAsia="宋体" w:cs="宋体"/>
                <w:color w:val="auto"/>
                <w:szCs w:val="21"/>
                <w:highlight w:val="none"/>
                <w:lang w:eastAsia="zh-CN"/>
              </w:rPr>
              <w:t>缴</w:t>
            </w:r>
            <w:r>
              <w:rPr>
                <w:rFonts w:hint="eastAsia" w:ascii="宋体" w:hAnsi="宋体" w:eastAsia="宋体" w:cs="宋体"/>
                <w:color w:val="auto"/>
                <w:szCs w:val="21"/>
                <w:highlight w:val="none"/>
              </w:rPr>
              <w:t>纳方式的，在首次响应文件提交截止时间前交至采购代理机构指定账户并且到账，供应商应将银行转账底单的复印件作为磋商保证金提交凭证，放置于商务文件中，</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.磋商保证金采用支票、汇票、本票或者金融机构、担保机构出具的保函</w:t>
            </w:r>
            <w:r>
              <w:rPr>
                <w:rFonts w:hint="eastAsia" w:ascii="宋体" w:hAnsi="宋体" w:eastAsia="宋体" w:cs="宋体"/>
                <w:color w:val="auto"/>
                <w:szCs w:val="21"/>
                <w:highlight w:val="none"/>
                <w:lang w:eastAsia="zh-CN"/>
              </w:rPr>
              <w:t>等缴</w:t>
            </w:r>
            <w:r>
              <w:rPr>
                <w:rFonts w:hint="eastAsia" w:ascii="宋体" w:hAnsi="宋体" w:eastAsia="宋体" w:cs="宋体"/>
                <w:color w:val="auto"/>
                <w:szCs w:val="21"/>
                <w:highlight w:val="none"/>
              </w:rPr>
              <w:t>纳方式的，供应商应将支票、汇票、本票或者金融</w:t>
            </w:r>
            <w:r>
              <w:rPr>
                <w:rFonts w:hint="eastAsia" w:ascii="宋体" w:hAnsi="宋体" w:eastAsia="宋体" w:cs="宋体"/>
                <w:color w:val="auto"/>
                <w:szCs w:val="21"/>
                <w:highlight w:val="none"/>
                <w:lang w:eastAsia="zh-CN"/>
              </w:rPr>
              <w:t>机构</w:t>
            </w:r>
            <w:r>
              <w:rPr>
                <w:rFonts w:hint="eastAsia" w:ascii="宋体" w:hAnsi="宋体" w:eastAsia="宋体" w:cs="宋体"/>
                <w:color w:val="auto"/>
                <w:szCs w:val="21"/>
                <w:highlight w:val="none"/>
              </w:rPr>
              <w:t>、担保机构出具的保函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的复印件</w:t>
            </w:r>
            <w:r>
              <w:rPr>
                <w:rFonts w:hint="default"/>
                <w:color w:val="auto"/>
                <w:highlight w:val="none"/>
                <w:lang w:val="en-US" w:eastAsia="zh-CN"/>
              </w:rPr>
              <w:t>或者金融机构、担保机构出具的电子保函</w:t>
            </w:r>
            <w:r>
              <w:rPr>
                <w:rFonts w:hint="eastAsia" w:ascii="宋体" w:hAnsi="宋体" w:eastAsia="宋体" w:cs="宋体"/>
                <w:color w:val="auto"/>
                <w:szCs w:val="21"/>
                <w:highlight w:val="none"/>
              </w:rPr>
              <w:t>作为磋商保证金提交凭证，放置于商务文件中，</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。供应商必须</w:t>
            </w:r>
            <w:r>
              <w:rPr>
                <w:rFonts w:hint="eastAsia" w:ascii="宋体" w:hAnsi="宋体" w:eastAsia="宋体" w:cs="宋体"/>
                <w:color w:val="auto"/>
                <w:szCs w:val="21"/>
                <w:highlight w:val="none"/>
                <w:lang w:eastAsia="zh-CN"/>
              </w:rPr>
              <w:t>在</w:t>
            </w:r>
            <w:r>
              <w:rPr>
                <w:rFonts w:hint="eastAsia" w:ascii="宋体" w:hAnsi="宋体" w:eastAsia="宋体" w:cs="宋体"/>
                <w:color w:val="auto"/>
                <w:kern w:val="0"/>
                <w:szCs w:val="21"/>
                <w:highlight w:val="none"/>
              </w:rPr>
              <w:t>首次响应文件提交截止时间前</w:t>
            </w:r>
            <w:r>
              <w:rPr>
                <w:rFonts w:hint="eastAsia" w:ascii="宋体" w:hAnsi="宋体" w:eastAsia="宋体" w:cs="宋体"/>
                <w:color w:val="auto"/>
                <w:szCs w:val="21"/>
                <w:highlight w:val="none"/>
              </w:rPr>
              <w:t>将支票、汇票、本票或者金融</w:t>
            </w:r>
            <w:r>
              <w:rPr>
                <w:rFonts w:hint="eastAsia" w:ascii="宋体" w:hAnsi="宋体" w:eastAsia="宋体" w:cs="宋体"/>
                <w:color w:val="auto"/>
                <w:szCs w:val="21"/>
                <w:highlight w:val="none"/>
                <w:lang w:eastAsia="zh-CN"/>
              </w:rPr>
              <w:t>机构</w:t>
            </w:r>
            <w:r>
              <w:rPr>
                <w:rFonts w:hint="eastAsia" w:ascii="宋体" w:hAnsi="宋体" w:eastAsia="宋体" w:cs="宋体"/>
                <w:color w:val="auto"/>
                <w:szCs w:val="21"/>
                <w:highlight w:val="none"/>
              </w:rPr>
              <w:t>、担保机构出具的保函</w:t>
            </w:r>
            <w:r>
              <w:rPr>
                <w:rFonts w:hint="eastAsia" w:ascii="宋体" w:hAnsi="宋体" w:eastAsia="宋体" w:cs="宋体"/>
                <w:color w:val="auto"/>
                <w:szCs w:val="21"/>
                <w:highlight w:val="none"/>
                <w:lang w:eastAsia="zh-CN"/>
              </w:rPr>
              <w:t>（电子保函除外）等原件</w:t>
            </w:r>
            <w:r>
              <w:rPr>
                <w:rFonts w:hint="eastAsia" w:ascii="宋体" w:hAnsi="宋体" w:eastAsia="宋体" w:cs="宋体"/>
                <w:color w:val="auto"/>
                <w:szCs w:val="21"/>
                <w:highlight w:val="none"/>
              </w:rPr>
              <w:t>提交给采购代理机构，由采购代理机构向供应商出具回执，并妥善保管。</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.磋商保证金指定</w:t>
            </w:r>
            <w:r>
              <w:rPr>
                <w:rFonts w:hint="eastAsia" w:ascii="宋体" w:hAnsi="宋体" w:eastAsia="宋体" w:cs="宋体"/>
                <w:color w:val="auto"/>
                <w:szCs w:val="21"/>
                <w:highlight w:val="none"/>
                <w:lang w:eastAsia="zh-CN"/>
              </w:rPr>
              <w:t>账</w:t>
            </w:r>
            <w:r>
              <w:rPr>
                <w:rFonts w:hint="eastAsia" w:ascii="宋体" w:hAnsi="宋体" w:eastAsia="宋体" w:cs="宋体"/>
                <w:color w:val="auto"/>
                <w:szCs w:val="21"/>
                <w:highlight w:val="none"/>
              </w:rPr>
              <w:t>户：详见竞争性磋商公告。</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.供应商为联合体的，可以由联合体中的一方或者多方共同</w:t>
            </w:r>
            <w:r>
              <w:rPr>
                <w:rFonts w:hint="eastAsia" w:ascii="宋体" w:hAnsi="宋体" w:eastAsia="宋体" w:cs="宋体"/>
                <w:color w:val="auto"/>
                <w:szCs w:val="21"/>
                <w:highlight w:val="none"/>
                <w:lang w:eastAsia="zh-CN"/>
              </w:rPr>
              <w:t>缴</w:t>
            </w:r>
            <w:r>
              <w:rPr>
                <w:rFonts w:hint="eastAsia" w:ascii="宋体" w:hAnsi="宋体" w:eastAsia="宋体" w:cs="宋体"/>
                <w:color w:val="auto"/>
                <w:szCs w:val="21"/>
                <w:highlight w:val="none"/>
              </w:rPr>
              <w:t>纳磋商保证金，其</w:t>
            </w:r>
            <w:r>
              <w:rPr>
                <w:rFonts w:hint="eastAsia" w:ascii="宋体" w:hAnsi="宋体" w:eastAsia="宋体" w:cs="宋体"/>
                <w:color w:val="auto"/>
                <w:szCs w:val="21"/>
                <w:highlight w:val="none"/>
                <w:lang w:eastAsia="zh-CN"/>
              </w:rPr>
              <w:t>缴</w:t>
            </w:r>
            <w:r>
              <w:rPr>
                <w:rFonts w:hint="eastAsia" w:ascii="宋体" w:hAnsi="宋体" w:eastAsia="宋体" w:cs="宋体"/>
                <w:color w:val="auto"/>
                <w:szCs w:val="21"/>
                <w:highlight w:val="none"/>
              </w:rPr>
              <w:t>纳的磋商保证金对联合体各方均具有约束力。</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备注： </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1.磋商保证金在首次响应文件提交截止时间后提交的，或者不按规定</w:t>
            </w:r>
            <w:r>
              <w:rPr>
                <w:rFonts w:hint="eastAsia" w:ascii="宋体" w:hAnsi="宋体" w:eastAsia="宋体" w:cs="宋体"/>
                <w:b/>
                <w:color w:val="auto"/>
                <w:szCs w:val="21"/>
                <w:highlight w:val="none"/>
                <w:lang w:eastAsia="zh-CN"/>
              </w:rPr>
              <w:t>缴</w:t>
            </w:r>
            <w:r>
              <w:rPr>
                <w:rFonts w:hint="eastAsia" w:ascii="宋体" w:hAnsi="宋体" w:eastAsia="宋体" w:cs="宋体"/>
                <w:b/>
                <w:color w:val="auto"/>
                <w:szCs w:val="21"/>
                <w:highlight w:val="none"/>
              </w:rPr>
              <w:t>纳方式</w:t>
            </w:r>
            <w:r>
              <w:rPr>
                <w:rFonts w:hint="eastAsia" w:ascii="宋体" w:hAnsi="宋体" w:eastAsia="宋体" w:cs="宋体"/>
                <w:b/>
                <w:color w:val="auto"/>
                <w:szCs w:val="21"/>
                <w:highlight w:val="none"/>
                <w:lang w:eastAsia="zh-CN"/>
              </w:rPr>
              <w:t>缴</w:t>
            </w:r>
            <w:r>
              <w:rPr>
                <w:rFonts w:hint="eastAsia" w:ascii="宋体" w:hAnsi="宋体" w:eastAsia="宋体" w:cs="宋体"/>
                <w:b/>
                <w:color w:val="auto"/>
                <w:szCs w:val="21"/>
                <w:highlight w:val="none"/>
              </w:rPr>
              <w:t>纳的，或者未足额</w:t>
            </w:r>
            <w:r>
              <w:rPr>
                <w:rFonts w:hint="eastAsia" w:ascii="宋体" w:hAnsi="宋体" w:eastAsia="宋体" w:cs="宋体"/>
                <w:b/>
                <w:color w:val="auto"/>
                <w:szCs w:val="21"/>
                <w:highlight w:val="none"/>
                <w:lang w:eastAsia="zh-CN"/>
              </w:rPr>
              <w:t>缴</w:t>
            </w:r>
            <w:r>
              <w:rPr>
                <w:rFonts w:hint="eastAsia" w:ascii="宋体" w:hAnsi="宋体" w:eastAsia="宋体" w:cs="宋体"/>
                <w:b/>
                <w:color w:val="auto"/>
                <w:szCs w:val="21"/>
                <w:highlight w:val="none"/>
              </w:rPr>
              <w:t>纳的（包含保函额度不足的），视为无效磋商保证金。</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2.供应商采用现</w:t>
            </w:r>
            <w:r>
              <w:rPr>
                <w:rFonts w:hint="eastAsia" w:ascii="宋体" w:hAnsi="宋体" w:eastAsia="宋体" w:cs="宋体"/>
                <w:b/>
                <w:color w:val="auto"/>
                <w:szCs w:val="21"/>
                <w:highlight w:val="none"/>
                <w:lang w:eastAsia="zh-CN"/>
              </w:rPr>
              <w:t>金</w:t>
            </w:r>
            <w:r>
              <w:rPr>
                <w:rFonts w:hint="eastAsia" w:ascii="宋体" w:hAnsi="宋体" w:eastAsia="宋体" w:cs="宋体"/>
                <w:b/>
                <w:color w:val="auto"/>
                <w:szCs w:val="21"/>
                <w:highlight w:val="none"/>
              </w:rPr>
              <w:t>方式或者从个人账户（自然人竞标除外）转出的磋商保证金，视为无效磋商保证金。</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3.支票、汇票或者本票出现无效或者背书情形的，视为无效磋商保证金。</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4.保函有效期低于竞标有效期的，视为无效磋商保证金。</w:t>
            </w:r>
          </w:p>
          <w:p>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eastAsia="宋体" w:cs="宋体"/>
                <w:b/>
                <w:color w:val="auto"/>
                <w:szCs w:val="21"/>
                <w:highlight w:val="none"/>
              </w:rPr>
              <w:t>5.采用金融、担保机构出具保函的，必须为无条件保函，否则视为无效磋商保证金。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restart"/>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2390"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首次响应文件提交截止时间</w:t>
            </w:r>
          </w:p>
        </w:tc>
        <w:tc>
          <w:tcPr>
            <w:tcW w:w="6416" w:type="dxa"/>
            <w:vAlign w:val="center"/>
          </w:tcPr>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continue"/>
            <w:vAlign w:val="center"/>
          </w:tcPr>
          <w:p>
            <w:pPr>
              <w:spacing w:line="360" w:lineRule="auto"/>
              <w:jc w:val="center"/>
              <w:rPr>
                <w:rFonts w:hint="eastAsia" w:ascii="宋体" w:hAnsi="宋体" w:cs="宋体"/>
                <w:color w:val="auto"/>
                <w:szCs w:val="21"/>
                <w:highlight w:val="none"/>
              </w:rPr>
            </w:pPr>
          </w:p>
        </w:tc>
        <w:tc>
          <w:tcPr>
            <w:tcW w:w="2390"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首次响应文件开启时间</w:t>
            </w:r>
          </w:p>
        </w:tc>
        <w:tc>
          <w:tcPr>
            <w:tcW w:w="6416" w:type="dxa"/>
            <w:vAlign w:val="center"/>
          </w:tcPr>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Merge w:val="continue"/>
            <w:vAlign w:val="center"/>
          </w:tcPr>
          <w:p>
            <w:pPr>
              <w:spacing w:line="360" w:lineRule="auto"/>
              <w:jc w:val="center"/>
              <w:rPr>
                <w:rFonts w:hint="eastAsia" w:ascii="宋体" w:hAnsi="宋体" w:cs="宋体"/>
                <w:color w:val="auto"/>
                <w:szCs w:val="21"/>
                <w:highlight w:val="none"/>
              </w:rPr>
            </w:pPr>
          </w:p>
        </w:tc>
        <w:tc>
          <w:tcPr>
            <w:tcW w:w="2390"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首次响应文件提交地点</w:t>
            </w:r>
          </w:p>
        </w:tc>
        <w:tc>
          <w:tcPr>
            <w:tcW w:w="6416" w:type="dxa"/>
            <w:vAlign w:val="center"/>
          </w:tcPr>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20.6</w:t>
            </w:r>
          </w:p>
        </w:tc>
        <w:tc>
          <w:tcPr>
            <w:tcW w:w="2390"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备份响应文件</w:t>
            </w:r>
          </w:p>
        </w:tc>
        <w:tc>
          <w:tcPr>
            <w:tcW w:w="6416" w:type="dxa"/>
            <w:vAlign w:val="center"/>
          </w:tcPr>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本项目不接受备份响应文件。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63" w:type="dxa"/>
            <w:vMerge w:val="restart"/>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26</w:t>
            </w:r>
          </w:p>
        </w:tc>
        <w:tc>
          <w:tcPr>
            <w:tcW w:w="2390"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负偏离要求</w:t>
            </w:r>
          </w:p>
        </w:tc>
        <w:tc>
          <w:tcPr>
            <w:tcW w:w="6416" w:type="dxa"/>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商务条款中允许负偏离的条款数为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技术要求</w:t>
            </w:r>
            <w:r>
              <w:rPr>
                <w:rFonts w:hint="eastAsia" w:ascii="宋体" w:hAnsi="宋体" w:cs="宋体"/>
                <w:color w:val="auto"/>
                <w:szCs w:val="21"/>
                <w:highlight w:val="none"/>
              </w:rPr>
              <w:t>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63" w:type="dxa"/>
            <w:vMerge w:val="continue"/>
            <w:vAlign w:val="center"/>
          </w:tcPr>
          <w:p>
            <w:pPr>
              <w:spacing w:line="360" w:lineRule="auto"/>
              <w:jc w:val="center"/>
              <w:rPr>
                <w:rFonts w:hint="eastAsia" w:ascii="宋体" w:hAnsi="宋体" w:cs="宋体"/>
                <w:color w:val="auto"/>
                <w:szCs w:val="21"/>
                <w:highlight w:val="none"/>
              </w:rPr>
            </w:pPr>
          </w:p>
        </w:tc>
        <w:tc>
          <w:tcPr>
            <w:tcW w:w="2390" w:type="dxa"/>
            <w:vAlign w:val="center"/>
          </w:tcPr>
          <w:p>
            <w:pPr>
              <w:snapToGrid w:val="0"/>
              <w:spacing w:line="360" w:lineRule="auto"/>
              <w:jc w:val="center"/>
              <w:rPr>
                <w:rFonts w:hint="eastAsia" w:ascii="宋体" w:hAnsi="宋体" w:cs="宋体"/>
                <w:color w:val="auto"/>
                <w:szCs w:val="21"/>
                <w:highlight w:val="none"/>
              </w:rPr>
            </w:pP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方法</w:t>
            </w:r>
          </w:p>
        </w:tc>
        <w:tc>
          <w:tcPr>
            <w:tcW w:w="6416" w:type="dxa"/>
            <w:vAlign w:val="center"/>
          </w:tcPr>
          <w:p>
            <w:pPr>
              <w:pStyle w:val="14"/>
              <w:spacing w:line="360" w:lineRule="auto"/>
              <w:rPr>
                <w:rFonts w:hint="eastAsia" w:ascii="宋体" w:hAnsi="宋体" w:cs="宋体"/>
                <w:color w:val="auto"/>
                <w:szCs w:val="21"/>
                <w:highlight w:val="none"/>
              </w:rPr>
            </w:pPr>
            <w:r>
              <w:rPr>
                <w:rFonts w:hint="eastAsia"/>
                <w:color w:val="auto"/>
                <w:highlight w:val="none"/>
                <w:lang w:val="en-US" w:eastAsia="zh-CN"/>
              </w:rPr>
              <w:t>本项目采用综合评分法。综合评分法是指响应文件满足竞争性磋商文件全部实质性要求且按评审因素的量化指标评审得分最高的供应商为成交候选供应商的评审方法。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vAlign w:val="center"/>
          </w:tcPr>
          <w:p>
            <w:pPr>
              <w:spacing w:line="360" w:lineRule="auto"/>
              <w:jc w:val="center"/>
              <w:rPr>
                <w:rFonts w:hint="eastAsia" w:ascii="宋体" w:hAnsi="宋体" w:cs="宋体"/>
                <w:color w:val="auto"/>
                <w:szCs w:val="21"/>
                <w:highlight w:val="none"/>
              </w:rPr>
            </w:pPr>
          </w:p>
        </w:tc>
        <w:tc>
          <w:tcPr>
            <w:tcW w:w="2390" w:type="dxa"/>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磋商的顺序</w:t>
            </w:r>
          </w:p>
        </w:tc>
        <w:tc>
          <w:tcPr>
            <w:tcW w:w="6416" w:type="dxa"/>
            <w:vAlign w:val="center"/>
          </w:tcPr>
          <w:p>
            <w:pPr>
              <w:pStyle w:val="14"/>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如采用视频会议形式进行磋商，将</w:t>
            </w:r>
            <w:r>
              <w:rPr>
                <w:rFonts w:hint="eastAsia" w:ascii="宋体" w:hAnsi="宋体" w:cs="宋体"/>
                <w:color w:val="auto"/>
                <w:szCs w:val="21"/>
                <w:highlight w:val="none"/>
              </w:rPr>
              <w:t>按照提交首次响应文件的顺序，通知磋商时，若某供应商不在通知现场时，该供应商排序到最后磋商，按照签到的顺序由其下一位供应商先参与磋商。</w:t>
            </w:r>
          </w:p>
          <w:p>
            <w:pPr>
              <w:pStyle w:val="14"/>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参与磋商前，磋商小组如有要求，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28</w:t>
            </w:r>
          </w:p>
        </w:tc>
        <w:tc>
          <w:tcPr>
            <w:tcW w:w="2390"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6416" w:type="dxa"/>
            <w:vAlign w:val="center"/>
          </w:tcPr>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履约保证金</w:t>
            </w:r>
            <w:r>
              <w:rPr>
                <w:rFonts w:hint="eastAsia" w:ascii="宋体" w:hAnsi="宋体" w:cs="宋体"/>
                <w:b/>
                <w:bCs/>
                <w:color w:val="auto"/>
                <w:szCs w:val="21"/>
                <w:highlight w:val="none"/>
                <w:lang w:val="en-US" w:eastAsia="zh-CN"/>
              </w:rPr>
              <w:t>详见付款方式</w:t>
            </w:r>
            <w:r>
              <w:rPr>
                <w:rFonts w:hint="eastAsia" w:ascii="宋体" w:hAnsi="宋体" w:cs="宋体"/>
                <w:b/>
                <w:bCs/>
                <w:color w:val="auto"/>
                <w:szCs w:val="21"/>
                <w:highlight w:val="none"/>
              </w:rPr>
              <w:t>。</w:t>
            </w:r>
          </w:p>
          <w:p>
            <w:pPr>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备注：</w:t>
            </w:r>
            <w:r>
              <w:rPr>
                <w:rFonts w:hint="eastAsia" w:ascii="宋体" w:hAnsi="宋体" w:cs="宋体"/>
                <w:color w:val="auto"/>
                <w:szCs w:val="21"/>
                <w:highlight w:val="none"/>
              </w:rPr>
              <w:br w:type="textWrapping"/>
            </w:r>
            <w:r>
              <w:rPr>
                <w:rFonts w:hint="eastAsia" w:ascii="宋体" w:hAnsi="宋体" w:cs="宋体"/>
                <w:b/>
                <w:color w:val="auto"/>
                <w:szCs w:val="21"/>
                <w:highlight w:val="none"/>
              </w:rPr>
              <w:t>1. 根据《广西壮族自治区财政厅关于贯彻落实政府采购优化营商环境百日攻坚行动方案的通知》（桂财采〔2020〕49号）和《广西壮族自治区财政厅关于规范政府采购货物和服务项目保证金管理的通知》（桂财规〔2022〕8号）规定，鼓励采购人在与中小微企业签订政府采购合同时，减少或免于收取履约保证金，有必要收取履约保证金的，收取的履约保证金不得超过政府采购合同金额的5%，对中小企业收取的履约保证金数额不得超过政府采购合同金额的2%。</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2.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3.采用金融、担保机构出具保函的，必须为无条件保函，否则视为未按规定提交履约保证金。</w:t>
            </w:r>
          </w:p>
          <w:p>
            <w:pPr>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 xml:space="preserve">4.供应商为联合体的，可由联合体任意一方或者联合体各方共同提交的履约保证金，视为有效履约保证金。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29.5</w:t>
            </w:r>
          </w:p>
        </w:tc>
        <w:tc>
          <w:tcPr>
            <w:tcW w:w="2390"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签订合同携带的材料</w:t>
            </w:r>
          </w:p>
        </w:tc>
        <w:tc>
          <w:tcPr>
            <w:tcW w:w="6416" w:type="dxa"/>
            <w:vAlign w:val="center"/>
          </w:tcPr>
          <w:p>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委托代理人负责签订合同的，须携带有效的法定代表人授权委托书及其委托代理人身份证原件等其他资格证件。</w:t>
            </w:r>
          </w:p>
          <w:p>
            <w:pPr>
              <w:snapToGrid w:val="0"/>
              <w:spacing w:line="360" w:lineRule="auto"/>
              <w:rPr>
                <w:rFonts w:hint="eastAsia" w:ascii="宋体" w:hAnsi="宋体" w:cs="宋体"/>
                <w:b/>
                <w:bCs/>
                <w:i/>
                <w:iCs/>
                <w:color w:val="auto"/>
                <w:szCs w:val="21"/>
                <w:highlight w:val="none"/>
              </w:rPr>
            </w:pPr>
            <w:r>
              <w:rPr>
                <w:rFonts w:hint="eastAsia" w:ascii="宋体" w:hAnsi="宋体" w:cs="宋体"/>
                <w:color w:val="auto"/>
                <w:szCs w:val="21"/>
                <w:highlight w:val="none"/>
              </w:rPr>
              <w:t>法定代表人负责签订合同的，须携带法定代表人身份证明原件及身份证原件等其他证明材料。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31.2</w:t>
            </w:r>
          </w:p>
        </w:tc>
        <w:tc>
          <w:tcPr>
            <w:tcW w:w="2390"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接收质疑函方式</w:t>
            </w:r>
          </w:p>
        </w:tc>
        <w:tc>
          <w:tcPr>
            <w:tcW w:w="6416" w:type="dxa"/>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以书面形式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vAlign w:val="center"/>
          </w:tcPr>
          <w:p>
            <w:pPr>
              <w:spacing w:line="360" w:lineRule="auto"/>
              <w:jc w:val="center"/>
              <w:rPr>
                <w:rFonts w:hint="eastAsia" w:ascii="宋体" w:hAnsi="宋体" w:cs="宋体"/>
                <w:color w:val="auto"/>
                <w:szCs w:val="21"/>
                <w:highlight w:val="none"/>
              </w:rPr>
            </w:pPr>
          </w:p>
        </w:tc>
        <w:tc>
          <w:tcPr>
            <w:tcW w:w="2390"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质疑联系部门及联系</w:t>
            </w:r>
          </w:p>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方式</w:t>
            </w:r>
          </w:p>
        </w:tc>
        <w:tc>
          <w:tcPr>
            <w:tcW w:w="6416" w:type="dxa"/>
            <w:vAlign w:val="center"/>
          </w:tcPr>
          <w:p>
            <w:pPr>
              <w:numPr>
                <w:ilvl w:val="0"/>
                <w:numId w:val="2"/>
              </w:numPr>
              <w:snapToGrid w:val="0"/>
              <w:spacing w:line="360" w:lineRule="auto"/>
              <w:rPr>
                <w:rFonts w:hint="eastAsia" w:ascii="宋体" w:hAnsi="宋体" w:cs="宋体"/>
                <w:color w:val="auto"/>
                <w:szCs w:val="21"/>
                <w:highlight w:val="none"/>
              </w:rPr>
            </w:pPr>
            <w:bookmarkStart w:id="71" w:name="PO_3000001868_PM031_3"/>
            <w:r>
              <w:rPr>
                <w:rFonts w:hint="eastAsia" w:ascii="宋体" w:hAnsi="宋体" w:cs="宋体"/>
                <w:color w:val="auto"/>
                <w:szCs w:val="21"/>
                <w:highlight w:val="none"/>
              </w:rPr>
              <w:t>名称：</w:t>
            </w:r>
            <w:bookmarkEnd w:id="71"/>
            <w:r>
              <w:rPr>
                <w:rFonts w:hint="eastAsia" w:ascii="宋体" w:hAnsi="宋体" w:cs="宋体"/>
                <w:color w:val="auto"/>
                <w:szCs w:val="21"/>
                <w:highlight w:val="none"/>
                <w:lang w:eastAsia="zh-CN"/>
              </w:rPr>
              <w:t>广西壮族自治区人力资源和社会保障厅</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0771-5855927</w:t>
            </w:r>
          </w:p>
          <w:p>
            <w:pPr>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通讯地址：</w:t>
            </w:r>
            <w:r>
              <w:rPr>
                <w:rFonts w:hint="eastAsia" w:ascii="宋体" w:hAnsi="宋体" w:cs="宋体"/>
                <w:color w:val="auto"/>
                <w:szCs w:val="21"/>
                <w:highlight w:val="none"/>
                <w:lang w:eastAsia="zh-CN"/>
              </w:rPr>
              <w:t>广西南宁市青秀区星湖路北二里2-1号</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（2）名称：广西科联招标中心有限公司</w:t>
            </w:r>
          </w:p>
          <w:p>
            <w:pPr>
              <w:snapToGrid w:val="0"/>
              <w:spacing w:line="360" w:lineRule="auto"/>
              <w:rPr>
                <w:rFonts w:hint="eastAsia" w:hAnsi="宋体" w:cs="宋体"/>
                <w:color w:val="auto"/>
                <w:highlight w:val="none"/>
              </w:rPr>
            </w:pPr>
            <w:r>
              <w:rPr>
                <w:rFonts w:hint="eastAsia"/>
                <w:color w:val="auto"/>
                <w:szCs w:val="21"/>
                <w:highlight w:val="none"/>
              </w:rPr>
              <w:t>联系</w:t>
            </w:r>
            <w:r>
              <w:rPr>
                <w:color w:val="auto"/>
                <w:szCs w:val="21"/>
                <w:highlight w:val="none"/>
              </w:rPr>
              <w:t>地址</w:t>
            </w:r>
            <w:r>
              <w:rPr>
                <w:rFonts w:hint="eastAsia" w:cs="Helvetica"/>
                <w:color w:val="auto"/>
                <w:szCs w:val="21"/>
                <w:highlight w:val="none"/>
              </w:rPr>
              <w:t>：</w:t>
            </w:r>
            <w:r>
              <w:rPr>
                <w:rFonts w:hint="eastAsia" w:ascii="宋体" w:hAnsi="宋体"/>
                <w:color w:val="auto"/>
                <w:szCs w:val="21"/>
                <w:highlight w:val="none"/>
              </w:rPr>
              <w:t>广西南宁市大学东路170号广西科联招标中心有限公司</w:t>
            </w:r>
            <w:r>
              <w:rPr>
                <w:rFonts w:hint="eastAsia" w:hAnsi="宋体" w:cs="宋体"/>
                <w:color w:val="auto"/>
                <w:highlight w:val="none"/>
              </w:rPr>
              <w:t>三楼</w:t>
            </w:r>
            <w:r>
              <w:rPr>
                <w:rFonts w:hint="eastAsia" w:ascii="宋体" w:hAnsi="宋体"/>
                <w:color w:val="auto"/>
                <w:szCs w:val="21"/>
                <w:highlight w:val="none"/>
              </w:rPr>
              <w:t>307、308</w:t>
            </w:r>
            <w:r>
              <w:rPr>
                <w:rFonts w:hint="eastAsia" w:hAnsi="宋体" w:cs="宋体"/>
                <w:color w:val="auto"/>
                <w:highlight w:val="none"/>
              </w:rPr>
              <w:t>室</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highlight w:val="none"/>
              </w:rPr>
              <w:t>0771-3486228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vAlign w:val="center"/>
          </w:tcPr>
          <w:p>
            <w:pPr>
              <w:spacing w:line="360" w:lineRule="auto"/>
              <w:jc w:val="center"/>
              <w:rPr>
                <w:rFonts w:hint="eastAsia" w:ascii="宋体" w:hAnsi="宋体" w:cs="宋体"/>
                <w:color w:val="auto"/>
                <w:szCs w:val="21"/>
                <w:highlight w:val="none"/>
              </w:rPr>
            </w:pPr>
          </w:p>
        </w:tc>
        <w:tc>
          <w:tcPr>
            <w:tcW w:w="2390" w:type="dxa"/>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现场提交质疑办理业务</w:t>
            </w:r>
          </w:p>
          <w:p>
            <w:pPr>
              <w:spacing w:line="360" w:lineRule="auto"/>
              <w:jc w:val="center"/>
              <w:rPr>
                <w:rFonts w:hint="eastAsia" w:ascii="宋体" w:hAnsi="宋体" w:cs="宋体"/>
                <w:color w:val="auto"/>
                <w:szCs w:val="21"/>
                <w:highlight w:val="none"/>
              </w:rPr>
            </w:pPr>
            <w:r>
              <w:rPr>
                <w:rFonts w:hint="eastAsia" w:ascii="宋体" w:hAnsi="宋体" w:cs="宋体"/>
                <w:color w:val="auto"/>
                <w:highlight w:val="none"/>
              </w:rPr>
              <w:t>时间</w:t>
            </w:r>
          </w:p>
        </w:tc>
        <w:tc>
          <w:tcPr>
            <w:tcW w:w="6416" w:type="dxa"/>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highlight w:val="none"/>
              </w:rPr>
              <w:t>质疑期内每个工</w:t>
            </w:r>
            <w:r>
              <w:rPr>
                <w:rFonts w:hint="eastAsia" w:ascii="宋体" w:hAnsi="宋体" w:cs="宋体"/>
                <w:color w:val="auto"/>
                <w:highlight w:val="none"/>
                <w:u w:val="none"/>
              </w:rPr>
              <w:t>作日（北京时间）上午8时00分到12时00分，下午15时00分到18时00分。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31.6</w:t>
            </w:r>
          </w:p>
        </w:tc>
        <w:tc>
          <w:tcPr>
            <w:tcW w:w="2390"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受理投诉方式</w:t>
            </w:r>
          </w:p>
        </w:tc>
        <w:tc>
          <w:tcPr>
            <w:tcW w:w="6416" w:type="dxa"/>
            <w:vAlign w:val="center"/>
          </w:tcPr>
          <w:p>
            <w:pPr>
              <w:snapToGrid w:val="0"/>
              <w:spacing w:line="360" w:lineRule="auto"/>
              <w:rPr>
                <w:rFonts w:hint="eastAsia" w:ascii="宋体" w:hAnsi="宋体" w:cs="宋体"/>
                <w:color w:val="auto"/>
                <w:highlight w:val="none"/>
              </w:rPr>
            </w:pPr>
            <w:r>
              <w:rPr>
                <w:rFonts w:hint="eastAsia" w:ascii="宋体" w:hAnsi="宋体" w:cs="宋体"/>
                <w:color w:val="auto"/>
                <w:highlight w:val="none"/>
              </w:rPr>
              <w:t>1、受理方式：纸质方式受理，投诉书正、副本（经过质疑的事项才可投诉）。</w:t>
            </w:r>
          </w:p>
          <w:p>
            <w:pPr>
              <w:snapToGrid w:val="0"/>
              <w:spacing w:line="360" w:lineRule="auto"/>
              <w:rPr>
                <w:rFonts w:hint="eastAsia" w:ascii="宋体" w:hAnsi="宋体" w:cs="宋体"/>
                <w:color w:val="auto"/>
                <w:highlight w:val="none"/>
              </w:rPr>
            </w:pPr>
            <w:r>
              <w:rPr>
                <w:rFonts w:hint="eastAsia" w:ascii="宋体" w:hAnsi="宋体" w:cs="宋体"/>
                <w:color w:val="auto"/>
                <w:highlight w:val="none"/>
              </w:rPr>
              <w:t>2、通讯方式</w:t>
            </w:r>
          </w:p>
          <w:p>
            <w:pPr>
              <w:snapToGrid w:val="0"/>
              <w:spacing w:line="360" w:lineRule="auto"/>
              <w:rPr>
                <w:rFonts w:hint="eastAsia" w:ascii="宋体" w:hAnsi="宋体" w:cs="宋体"/>
                <w:color w:val="auto"/>
                <w:highlight w:val="none"/>
              </w:rPr>
            </w:pPr>
            <w:r>
              <w:rPr>
                <w:rFonts w:hint="eastAsia" w:ascii="宋体" w:hAnsi="宋体" w:cs="宋体"/>
                <w:color w:val="auto"/>
                <w:highlight w:val="none"/>
              </w:rPr>
              <w:t>名称： 广西壮族自治区财政厅</w:t>
            </w:r>
          </w:p>
          <w:p>
            <w:pPr>
              <w:snapToGrid w:val="0"/>
              <w:spacing w:line="360" w:lineRule="auto"/>
              <w:rPr>
                <w:rFonts w:hint="eastAsia" w:ascii="宋体" w:hAnsi="宋体" w:cs="宋体"/>
                <w:color w:val="auto"/>
                <w:highlight w:val="none"/>
              </w:rPr>
            </w:pPr>
            <w:r>
              <w:rPr>
                <w:rFonts w:hint="eastAsia" w:ascii="宋体" w:hAnsi="宋体" w:cs="宋体"/>
                <w:color w:val="auto"/>
                <w:highlight w:val="none"/>
              </w:rPr>
              <w:t xml:space="preserve">地址： 南宁市青秀区桃源路69号 </w:t>
            </w:r>
          </w:p>
          <w:p>
            <w:pPr>
              <w:snapToGrid w:val="0"/>
              <w:spacing w:line="360" w:lineRule="auto"/>
              <w:rPr>
                <w:rFonts w:hint="eastAsia" w:ascii="宋体" w:hAnsi="宋体" w:cs="宋体"/>
                <w:color w:val="auto"/>
                <w:highlight w:val="none"/>
              </w:rPr>
            </w:pPr>
            <w:r>
              <w:rPr>
                <w:rFonts w:hint="eastAsia" w:ascii="宋体" w:hAnsi="宋体" w:cs="宋体"/>
                <w:color w:val="auto"/>
                <w:highlight w:val="none"/>
              </w:rPr>
              <w:t>联系电话：0771-5331544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33</w:t>
            </w:r>
          </w:p>
        </w:tc>
        <w:tc>
          <w:tcPr>
            <w:tcW w:w="2390"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采购代理服务费</w:t>
            </w:r>
          </w:p>
        </w:tc>
        <w:tc>
          <w:tcPr>
            <w:tcW w:w="6416" w:type="dxa"/>
            <w:vAlign w:val="center"/>
          </w:tcPr>
          <w:p>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 </w:t>
            </w:r>
            <w:r>
              <w:rPr>
                <w:rFonts w:hint="eastAsia" w:ascii="宋体" w:hAnsi="宋体" w:cs="宋体"/>
                <w:color w:val="auto"/>
                <w:kern w:val="0"/>
                <w:szCs w:val="21"/>
                <w:highlight w:val="none"/>
                <w:lang w:val="en-US" w:eastAsia="zh-CN"/>
              </w:rPr>
              <w:t>本项目</w:t>
            </w:r>
            <w:r>
              <w:rPr>
                <w:rFonts w:hint="eastAsia" w:ascii="宋体" w:hAnsi="宋体" w:cs="宋体"/>
                <w:color w:val="auto"/>
                <w:kern w:val="0"/>
                <w:szCs w:val="21"/>
                <w:highlight w:val="none"/>
              </w:rPr>
              <w:t>收取采购代理服务费</w:t>
            </w:r>
          </w:p>
          <w:p>
            <w:pPr>
              <w:snapToGrid w:val="0"/>
              <w:spacing w:line="360" w:lineRule="auto"/>
              <w:rPr>
                <w:rFonts w:hint="eastAsia" w:ascii="宋体" w:hAnsi="宋体" w:cs="宋体"/>
                <w:color w:val="auto"/>
                <w:kern w:val="0"/>
                <w:szCs w:val="21"/>
                <w:highlight w:val="none"/>
                <w:u w:val="none"/>
              </w:rPr>
            </w:pPr>
            <w:r>
              <w:rPr>
                <w:rFonts w:hint="eastAsia" w:ascii="宋体" w:hAnsi="宋体" w:cs="宋体"/>
                <w:color w:val="auto"/>
                <w:kern w:val="0"/>
                <w:szCs w:val="21"/>
                <w:highlight w:val="none"/>
              </w:rPr>
              <w:t>2.采购代理服务费支付方式：</w:t>
            </w:r>
          </w:p>
          <w:p>
            <w:pPr>
              <w:snapToGrid w:val="0"/>
              <w:spacing w:line="360" w:lineRule="auto"/>
              <w:rPr>
                <w:rFonts w:hint="eastAsia" w:ascii="宋体" w:hAnsi="宋体" w:cs="宋体"/>
                <w:color w:val="auto"/>
                <w:kern w:val="0"/>
                <w:szCs w:val="21"/>
                <w:highlight w:val="none"/>
                <w:u w:val="none"/>
              </w:rPr>
            </w:pPr>
            <w:r>
              <w:rPr>
                <w:rFonts w:hint="eastAsia" w:ascii="宋体" w:hAnsi="宋体" w:cs="宋体"/>
                <w:color w:val="auto"/>
                <w:kern w:val="0"/>
                <w:szCs w:val="21"/>
                <w:highlight w:val="none"/>
                <w:u w:val="none"/>
              </w:rPr>
              <w:t>本项目采购代理服务费由成交供应商在签订合同前，</w:t>
            </w:r>
            <w:r>
              <w:rPr>
                <w:rFonts w:hint="eastAsia" w:ascii="宋体" w:hAnsi="宋体" w:cs="宋体"/>
                <w:color w:val="auto"/>
                <w:highlight w:val="none"/>
                <w:u w:val="none"/>
              </w:rPr>
              <w:t>以银行转账、电汇等方式</w:t>
            </w:r>
            <w:r>
              <w:rPr>
                <w:rFonts w:hint="eastAsia" w:ascii="宋体" w:hAnsi="宋体" w:cs="宋体"/>
                <w:color w:val="auto"/>
                <w:kern w:val="0"/>
                <w:szCs w:val="21"/>
                <w:highlight w:val="none"/>
                <w:u w:val="none"/>
              </w:rPr>
              <w:t>一次性向采购代理机构支付。</w:t>
            </w:r>
          </w:p>
          <w:p>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3.采购代理服务费收取标准：</w:t>
            </w:r>
          </w:p>
          <w:p>
            <w:pPr>
              <w:snapToGrid w:val="0"/>
              <w:spacing w:line="360" w:lineRule="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以项目</w:t>
            </w:r>
            <w:r>
              <w:rPr>
                <w:rFonts w:hint="eastAsia" w:ascii="宋体" w:hAnsi="宋体" w:cs="宋体"/>
                <w:color w:val="auto"/>
                <w:kern w:val="0"/>
                <w:szCs w:val="21"/>
                <w:highlight w:val="none"/>
                <w:lang w:val="en-US" w:eastAsia="zh-CN"/>
              </w:rPr>
              <w:t>中标</w:t>
            </w:r>
            <w:r>
              <w:rPr>
                <w:rFonts w:hint="eastAsia" w:ascii="宋体" w:hAnsi="宋体" w:cs="宋体"/>
                <w:color w:val="auto"/>
                <w:kern w:val="0"/>
                <w:szCs w:val="21"/>
                <w:highlight w:val="none"/>
              </w:rPr>
              <w:t>金额为计费额，按</w:t>
            </w:r>
            <w:r>
              <w:rPr>
                <w:rFonts w:hint="eastAsia" w:ascii="宋体" w:hAnsi="宋体" w:cs="宋体"/>
                <w:color w:val="auto"/>
                <w:highlight w:val="none"/>
              </w:rPr>
              <w:t>本须知正文第33.2条规定的收费计算标准（</w:t>
            </w:r>
            <w:r>
              <w:rPr>
                <w:rFonts w:hint="eastAsia" w:ascii="宋体" w:hAnsi="宋体" w:cs="宋体"/>
                <w:b/>
                <w:bCs/>
                <w:color w:val="auto"/>
                <w:kern w:val="0"/>
                <w:szCs w:val="21"/>
                <w:highlight w:val="none"/>
                <w:u w:val="single"/>
              </w:rPr>
              <w:t>服务类</w:t>
            </w:r>
            <w:r>
              <w:rPr>
                <w:rFonts w:hint="eastAsia" w:ascii="宋体" w:hAnsi="宋体" w:cs="宋体"/>
                <w:color w:val="auto"/>
                <w:highlight w:val="none"/>
              </w:rPr>
              <w:t>）</w:t>
            </w:r>
            <w:r>
              <w:rPr>
                <w:rFonts w:hint="eastAsia" w:ascii="宋体" w:hAnsi="宋体" w:cs="宋体"/>
                <w:color w:val="auto"/>
                <w:kern w:val="0"/>
                <w:szCs w:val="21"/>
                <w:highlight w:val="none"/>
              </w:rPr>
              <w:t>采用差额定率累进法计算出收费基准价格，采购代理机构收费以收费基准价格收取。</w:t>
            </w:r>
          </w:p>
          <w:p>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4.采购代理服务费收取银行账户的信息</w:t>
            </w:r>
          </w:p>
          <w:p>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开户名称：广西科联招标中心有限公司</w:t>
            </w:r>
          </w:p>
          <w:p>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开户银行：中国工商银行南宁市高新科技支行</w:t>
            </w:r>
          </w:p>
          <w:p>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银行账号：2102111229300032105</w:t>
            </w:r>
          </w:p>
          <w:p>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开户行行号：102611011101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34.1</w:t>
            </w:r>
          </w:p>
        </w:tc>
        <w:tc>
          <w:tcPr>
            <w:tcW w:w="2390"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highlight w:val="none"/>
              </w:rPr>
              <w:t>解释</w:t>
            </w:r>
          </w:p>
        </w:tc>
        <w:tc>
          <w:tcPr>
            <w:tcW w:w="6416" w:type="dxa"/>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解释：</w:t>
            </w:r>
            <w:r>
              <w:rPr>
                <w:rFonts w:hint="eastAsia" w:ascii="宋体" w:hAnsi="宋体" w:cs="宋体"/>
                <w:color w:val="auto"/>
                <w:kern w:val="0"/>
                <w:szCs w:val="21"/>
                <w:highlight w:val="none"/>
              </w:rPr>
              <w:t>构成本竞争性磋商文件的各个组成文件应互为解释，互为说明；除竞争性磋商文件中有特别规定外，仅适用于竞标阶段的规定，按更正公告（澄清公告）、竞争性磋商公告、采购需求、供应商须知、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cs="宋体"/>
                <w:b/>
                <w:color w:val="auto"/>
                <w:kern w:val="0"/>
                <w:szCs w:val="21"/>
                <w:highlight w:val="none"/>
              </w:rPr>
              <w:t>由采购人或者采购代理机构负责解释。</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法律责任：</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本采购文件根据《中华人民共和国政府采购法》、《中华人民共和国民法典》</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《中华人民共和国政府采购法实施条例》、《政府采购竞争性磋商采购方式管理暂行办法》等有关法律、法规编制，参与本项目的各政府采购当事人依法享有上述法律法规所赋予的权利与义务。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34.2</w:t>
            </w:r>
          </w:p>
        </w:tc>
        <w:tc>
          <w:tcPr>
            <w:tcW w:w="2390"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w:t>
            </w:r>
          </w:p>
        </w:tc>
        <w:tc>
          <w:tcPr>
            <w:tcW w:w="6416" w:type="dxa"/>
            <w:vAlign w:val="center"/>
          </w:tcPr>
          <w:p>
            <w:pPr>
              <w:pStyle w:val="14"/>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本竞争性磋商文件中描述供应商的“公章”是指根据我国对公章的管理规定，用供应商法定主体行为名称制作的实物印章或供应商通过指定电子化政府采购平台办理数字证书（CA认证）获得的以法定主体行为名称制作的电子印章。除本竞争性磋商文件有特殊规定外，供应商的财务章、部门章、工会章、合同章、投标专用章、业务专用章及银行的转账章、现金收讫章、现金付讫章等其他形式印章均不能代替公章。</w:t>
            </w:r>
          </w:p>
          <w:p>
            <w:pPr>
              <w:pStyle w:val="14"/>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2.本竞争性磋商文件中描述供应商的“签字”是指供应商通过指定电子化政府采购平台办理数字证书（CA认证）获得的以供应商法定代表人或者委托代理人姓名制作的电子印章或手写签字。</w:t>
            </w:r>
          </w:p>
          <w:p>
            <w:pPr>
              <w:pStyle w:val="14"/>
              <w:keepNext w:val="0"/>
              <w:keepLines w:val="0"/>
              <w:pageBreakBefore w:val="0"/>
              <w:widowControl w:val="0"/>
              <w:tabs>
                <w:tab w:val="center" w:pos="4153"/>
                <w:tab w:val="right" w:pos="8306"/>
              </w:tabs>
              <w:kinsoku/>
              <w:wordWrap/>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3.本竞争性磋商文件所称的“电子签章”“电子签名”，是指经</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认可的CA认证的电子签名数据为表现形式的印章，可用于签署电子响应文件，电子印章与实物印章具有同等法律效力，不因其采用电子化表现形式而否定其法律效力。</w:t>
            </w:r>
          </w:p>
          <w:p>
            <w:pPr>
              <w:pStyle w:val="14"/>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4.供应商为其他组织、自然人时，本磋商文件规定的法定代表人指负责人或者自然人。本磋商文件所称负责人是指参加竞标的其他组织营业执照上的负责人，本磋商文件所称自然人指参与竞标的自然人本人。</w:t>
            </w:r>
          </w:p>
          <w:p>
            <w:pPr>
              <w:pStyle w:val="14"/>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5.自然人竞标的，竞争性磋商文件规定盖公章处由自然人摁手指指印。</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cs="宋体"/>
                <w:color w:val="auto"/>
                <w:kern w:val="0"/>
                <w:szCs w:val="21"/>
                <w:highlight w:val="none"/>
              </w:rPr>
            </w:pPr>
            <w:r>
              <w:rPr>
                <w:rFonts w:hint="eastAsia" w:ascii="宋体" w:hAnsi="宋体" w:cs="宋体"/>
                <w:color w:val="auto"/>
                <w:szCs w:val="21"/>
                <w:highlight w:val="none"/>
              </w:rPr>
              <w:t xml:space="preserve">    6.本竞争性磋商文件所称的“以上”“以下”“以内”“届满”，包括本数；所称的“不满”“超过”“以外”，不包括本数。</w:t>
            </w:r>
          </w:p>
        </w:tc>
      </w:tr>
    </w:tbl>
    <w:p>
      <w:pPr>
        <w:pStyle w:val="4"/>
        <w:spacing w:line="420" w:lineRule="exact"/>
        <w:jc w:val="center"/>
        <w:rPr>
          <w:rFonts w:hint="eastAsia" w:ascii="宋体" w:hAnsi="宋体"/>
          <w:b w:val="0"/>
          <w:color w:val="auto"/>
          <w:highlight w:val="none"/>
        </w:rPr>
      </w:pPr>
      <w:r>
        <w:rPr>
          <w:rFonts w:ascii="宋体" w:hAnsi="宋体"/>
          <w:b w:val="0"/>
          <w:color w:val="auto"/>
          <w:highlight w:val="none"/>
        </w:rPr>
        <w:br w:type="page"/>
      </w:r>
      <w:bookmarkStart w:id="72" w:name="_Toc80886929"/>
      <w:bookmarkStart w:id="73" w:name="_Toc27094"/>
      <w:bookmarkStart w:id="74" w:name="_Toc30957"/>
      <w:r>
        <w:rPr>
          <w:rFonts w:hint="eastAsia" w:ascii="宋体" w:hAnsi="宋体"/>
          <w:b w:val="0"/>
          <w:color w:val="auto"/>
          <w:highlight w:val="none"/>
        </w:rPr>
        <w:t>第二节 供应商须知正文</w:t>
      </w:r>
      <w:bookmarkEnd w:id="72"/>
      <w:bookmarkEnd w:id="73"/>
      <w:bookmarkEnd w:id="74"/>
    </w:p>
    <w:p>
      <w:pPr>
        <w:pStyle w:val="5"/>
        <w:spacing w:before="0" w:after="0" w:line="360" w:lineRule="auto"/>
        <w:ind w:firstLine="640" w:firstLineChars="200"/>
        <w:rPr>
          <w:rFonts w:hint="eastAsia"/>
          <w:b w:val="0"/>
          <w:color w:val="auto"/>
          <w:highlight w:val="none"/>
        </w:rPr>
      </w:pPr>
      <w:bookmarkStart w:id="75" w:name="_Toc80886930"/>
      <w:bookmarkStart w:id="76" w:name="_Toc6457"/>
      <w:bookmarkStart w:id="77" w:name="_Toc26166"/>
      <w:r>
        <w:rPr>
          <w:rFonts w:hint="eastAsia"/>
          <w:b w:val="0"/>
          <w:color w:val="auto"/>
          <w:highlight w:val="none"/>
        </w:rPr>
        <w:t>一、总则</w:t>
      </w:r>
      <w:bookmarkEnd w:id="75"/>
      <w:bookmarkEnd w:id="76"/>
      <w:bookmarkEnd w:id="77"/>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2.4“服务”是指除货物和工程以外的其他政府采购对象。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2.5“竞标”是指供应商按照本项目竞争性磋商公告规定的方式获取磋商文件、提交响应文件并希望获得标的的行为。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2.6“响应文件”</w:t>
      </w:r>
      <w:r>
        <w:rPr>
          <w:rFonts w:hint="eastAsia" w:ascii="宋体" w:hAnsi="宋体" w:cs="宋体"/>
          <w:color w:val="auto"/>
          <w:spacing w:val="-6"/>
          <w:szCs w:val="21"/>
          <w:highlight w:val="none"/>
        </w:rPr>
        <w:t>是指：供应商根据本磋商文件要求，编制包含资格证明、</w:t>
      </w:r>
      <w:r>
        <w:rPr>
          <w:rFonts w:hint="eastAsia" w:ascii="宋体" w:hAnsi="宋体" w:cs="宋体"/>
          <w:color w:val="auto"/>
          <w:szCs w:val="21"/>
          <w:highlight w:val="none"/>
        </w:rPr>
        <w:t>报价文件、商务和技术文件</w:t>
      </w:r>
      <w:r>
        <w:rPr>
          <w:rFonts w:hint="eastAsia" w:ascii="宋体" w:hAnsi="宋体" w:cs="宋体"/>
          <w:color w:val="auto"/>
          <w:spacing w:val="-6"/>
          <w:szCs w:val="21"/>
          <w:highlight w:val="none"/>
        </w:rPr>
        <w:t>等所有内容的文件。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2.7“实质性要求”是指磋商文件中已经指明不满足则响应文件按无效响应处理的条款，或者不能负偏离的条款，或者采购需求中带“▲”的条款。</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2.8“正偏离”，是指响应文件对磋商文件“采购需求”中有关条款作出的响应优于条款要求并有利于采购人的情形。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2.9“负偏离”，是指响应文件对磋商文件“采购需求”中有关条款作出的响应不满足条款要求，导致采购人要求不能得到满足的情形。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pPr>
        <w:spacing w:line="360" w:lineRule="auto"/>
        <w:ind w:firstLine="420" w:firstLineChars="200"/>
        <w:rPr>
          <w:rFonts w:hint="eastAsia" w:cs="宋体"/>
          <w:color w:val="auto"/>
          <w:szCs w:val="21"/>
          <w:highlight w:val="none"/>
        </w:rPr>
      </w:pPr>
      <w:r>
        <w:rPr>
          <w:rFonts w:hint="eastAsia" w:ascii="宋体" w:hAnsi="宋体" w:cs="宋体"/>
          <w:color w:val="auto"/>
          <w:szCs w:val="21"/>
          <w:highlight w:val="none"/>
        </w:rPr>
        <w:t>2.13“评审报价”是指供应商提</w:t>
      </w:r>
      <w:r>
        <w:rPr>
          <w:rFonts w:hint="eastAsia" w:cs="宋体"/>
          <w:color w:val="auto"/>
          <w:szCs w:val="21"/>
          <w:highlight w:val="none"/>
        </w:rPr>
        <w:t>交的最后报价并经修正（如有）和政策功能价格扣除（如有）后的价格。</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pPr>
        <w:spacing w:line="360" w:lineRule="auto"/>
        <w:ind w:firstLine="420" w:firstLineChars="200"/>
        <w:rPr>
          <w:rFonts w:hint="eastAsia" w:cs="宋体"/>
          <w:color w:val="auto"/>
          <w:szCs w:val="21"/>
          <w:highlight w:val="none"/>
        </w:rPr>
      </w:pPr>
      <w:r>
        <w:rPr>
          <w:rFonts w:hint="eastAsia" w:cs="宋体"/>
          <w:color w:val="auto"/>
          <w:szCs w:val="21"/>
          <w:highlight w:val="none"/>
        </w:rPr>
        <w:t>供应商的资格条件详见“供应商须知前附表”。</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4.磋商费用</w:t>
      </w:r>
    </w:p>
    <w:p>
      <w:pPr>
        <w:spacing w:line="360" w:lineRule="auto"/>
        <w:ind w:firstLine="420" w:firstLineChars="200"/>
        <w:rPr>
          <w:rFonts w:hint="eastAsia" w:cs="宋体"/>
          <w:color w:val="auto"/>
          <w:szCs w:val="21"/>
          <w:highlight w:val="none"/>
        </w:rPr>
      </w:pPr>
      <w:r>
        <w:rPr>
          <w:rFonts w:hint="eastAsia" w:cs="宋体"/>
          <w:color w:val="auto"/>
          <w:szCs w:val="21"/>
          <w:highlight w:val="none"/>
        </w:rPr>
        <w:t>供应商应承担参与本次采购活动有关的所有费用，包括但不限于勘查现场、编制和提交响应文件、参加磋商与应答、签订合同等，不论竞标结果如何，均应自行承担。</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highlight w:val="none"/>
        </w:rPr>
        <w:t>如接受联合体竞标，</w:t>
      </w:r>
      <w:r>
        <w:rPr>
          <w:rFonts w:hint="eastAsia" w:ascii="宋体" w:hAnsi="宋体" w:cs="宋体"/>
          <w:color w:val="auto"/>
          <w:szCs w:val="21"/>
          <w:highlight w:val="none"/>
        </w:rPr>
        <w:t>联合体竞标要求详见“供应商须知前附表”。</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6.1本项目不允许转包。</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6.2本项目是否允许分包详见“供应商须知前附表”，本项目不允许违法分包。</w:t>
      </w:r>
    </w:p>
    <w:p>
      <w:pPr>
        <w:spacing w:line="360" w:lineRule="auto"/>
        <w:ind w:firstLine="482" w:firstLineChars="200"/>
        <w:rPr>
          <w:rFonts w:hint="eastAsia" w:ascii="黑体" w:hAnsi="黑体" w:eastAsia="黑体" w:cs="宋体"/>
          <w:b/>
          <w:bCs/>
          <w:color w:val="auto"/>
          <w:sz w:val="24"/>
          <w:highlight w:val="none"/>
        </w:rPr>
      </w:pPr>
      <w:bookmarkStart w:id="78" w:name="_Toc254970673"/>
      <w:bookmarkStart w:id="79" w:name="_Toc254970532"/>
      <w:r>
        <w:rPr>
          <w:rFonts w:hint="eastAsia" w:ascii="黑体" w:hAnsi="黑体" w:eastAsia="黑体" w:cs="宋体"/>
          <w:b/>
          <w:bCs/>
          <w:color w:val="auto"/>
          <w:sz w:val="24"/>
          <w:highlight w:val="none"/>
        </w:rPr>
        <w:t>7.特别说明</w:t>
      </w:r>
      <w:bookmarkEnd w:id="78"/>
      <w:bookmarkEnd w:id="79"/>
    </w:p>
    <w:p>
      <w:pPr>
        <w:spacing w:line="360" w:lineRule="auto"/>
        <w:ind w:firstLine="420" w:firstLineChars="200"/>
        <w:rPr>
          <w:rFonts w:hint="eastAsia" w:ascii="宋体" w:hAnsi="宋体" w:cs="宋体"/>
          <w:color w:val="auto"/>
          <w:szCs w:val="21"/>
          <w:highlight w:val="none"/>
        </w:rPr>
      </w:pPr>
      <w:bookmarkStart w:id="80" w:name="_8.1提供相同品牌产品且通过资格审查、符合性审查的不同投标人参加同一合"/>
      <w:bookmarkEnd w:id="80"/>
      <w:r>
        <w:rPr>
          <w:rFonts w:hint="eastAsia" w:ascii="宋体" w:hAnsi="宋体" w:cs="宋体"/>
          <w:color w:val="auto"/>
          <w:szCs w:val="21"/>
          <w:highlight w:val="none"/>
        </w:rPr>
        <w:t>7.1</w:t>
      </w:r>
      <w:bookmarkStart w:id="81" w:name="_Hlk65832145"/>
      <w:r>
        <w:rPr>
          <w:rFonts w:hint="eastAsia" w:ascii="宋体" w:hAnsi="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81"/>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7.4在政府采购活动中，采购人员及相关人员与供应商有下列利害关系之一的，应当回避：</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（1）参加采购活动前3年内与供应商存在劳动关系；</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（2）参加采购活动前3年内担任供应商的董事、监事；</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（3）参加采购活动前3年内是供应商的控股股东或者实际控制人；</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（4）与供应商的法定代表人或者负责人有夫妻、直系血亲、三代以内旁系血亲或者近姻亲关系；</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（5）与供应商有其他可能影响政府采购活动公平、公正进行的关系。</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7.5有下列情形之一的视为供应商相互串通竞标，响应文件将被视为无效：</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（1）不同供应商的响应文件由同一单位或者个人编制；或不同</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 xml:space="preserve">报名的IP地址一致的； </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（2）不同供应商委托同一单位或者个人办理竞标事宜；</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（3）不同的供应商的响应文件载明的项目管理员为同一个人；</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（4）不同供应商的响应文件异常一致或者报价呈规律性差异；</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（5）不同供应商的响应文件相互混装；</w:t>
      </w:r>
    </w:p>
    <w:p>
      <w:pPr>
        <w:tabs>
          <w:tab w:val="left" w:pos="6931"/>
        </w:tabs>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（6）不同供应商的磋商保证金从同一单位或者个人账户转出。</w:t>
      </w:r>
      <w:r>
        <w:rPr>
          <w:rFonts w:hint="eastAsia" w:ascii="宋体" w:hAnsi="宋体" w:cs="宋体"/>
          <w:b/>
          <w:bCs/>
          <w:color w:val="auto"/>
          <w:szCs w:val="21"/>
          <w:highlight w:val="none"/>
        </w:rPr>
        <w:tab/>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7.6供应商有下列情形之一的，属于恶意串通行为，将报同级监督管理部门：</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（1）供应商直接或者间接从采购人或者采购代理机构处获得其他供应商的相关信息并修改其响应文件；</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（2）供应商按照采购人或者采购代理机构的授意撤换、修改响应文件；</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（3）供应商之间协商报价、技术方案等响应文件的实质性内容；</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（4）属于同一集团、协会、商会等组织成员的供应商按照该组织要求协同参加政府采购活动；</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（6）供应商之间商定部分供应商放弃参加政府采购活动或者放弃成交；</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（7）供应商与采购人或者采购代理机构之间、供应商相互之间，为谋求特定供应商成交或者排斥其他供应商的其他串通行为。</w:t>
      </w:r>
    </w:p>
    <w:p>
      <w:pPr>
        <w:pStyle w:val="5"/>
        <w:spacing w:before="0" w:after="0" w:line="360" w:lineRule="auto"/>
        <w:ind w:firstLine="640" w:firstLineChars="200"/>
        <w:rPr>
          <w:rFonts w:hint="eastAsia"/>
          <w:b w:val="0"/>
          <w:bCs w:val="0"/>
          <w:color w:val="auto"/>
          <w:highlight w:val="none"/>
        </w:rPr>
      </w:pPr>
      <w:bookmarkStart w:id="82" w:name="_Toc80886931"/>
      <w:bookmarkStart w:id="83" w:name="_Toc12713"/>
      <w:bookmarkStart w:id="84" w:name="_Toc254970534"/>
      <w:bookmarkStart w:id="85" w:name="_Toc254970675"/>
      <w:bookmarkStart w:id="86" w:name="_Toc27583"/>
    </w:p>
    <w:p>
      <w:pPr>
        <w:pStyle w:val="5"/>
        <w:spacing w:before="0" w:after="0" w:line="360" w:lineRule="auto"/>
        <w:ind w:firstLine="640" w:firstLineChars="200"/>
        <w:rPr>
          <w:rFonts w:hint="eastAsia"/>
          <w:b w:val="0"/>
          <w:bCs w:val="0"/>
          <w:color w:val="auto"/>
          <w:highlight w:val="none"/>
        </w:rPr>
      </w:pPr>
      <w:r>
        <w:rPr>
          <w:rFonts w:hint="eastAsia"/>
          <w:b w:val="0"/>
          <w:bCs w:val="0"/>
          <w:color w:val="auto"/>
          <w:highlight w:val="none"/>
        </w:rPr>
        <w:t>二、磋商文件</w:t>
      </w:r>
      <w:bookmarkEnd w:id="82"/>
      <w:bookmarkEnd w:id="83"/>
      <w:bookmarkEnd w:id="84"/>
      <w:bookmarkEnd w:id="85"/>
      <w:bookmarkEnd w:id="86"/>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pPr>
        <w:spacing w:line="360" w:lineRule="auto"/>
        <w:ind w:firstLine="420" w:firstLineChars="200"/>
        <w:jc w:val="left"/>
        <w:rPr>
          <w:rFonts w:hint="eastAsia"/>
          <w:color w:val="auto"/>
          <w:szCs w:val="21"/>
          <w:highlight w:val="none"/>
        </w:rPr>
      </w:pPr>
      <w:r>
        <w:rPr>
          <w:rFonts w:hint="eastAsia"/>
          <w:color w:val="auto"/>
          <w:szCs w:val="21"/>
          <w:highlight w:val="none"/>
        </w:rPr>
        <w:t>第一章 竞争性磋商公告；</w:t>
      </w:r>
    </w:p>
    <w:p>
      <w:pPr>
        <w:spacing w:line="360" w:lineRule="auto"/>
        <w:ind w:firstLine="420" w:firstLineChars="200"/>
        <w:jc w:val="left"/>
        <w:rPr>
          <w:rFonts w:hint="eastAsia"/>
          <w:color w:val="auto"/>
          <w:szCs w:val="21"/>
          <w:highlight w:val="none"/>
        </w:rPr>
      </w:pPr>
      <w:r>
        <w:rPr>
          <w:rFonts w:hint="eastAsia"/>
          <w:color w:val="auto"/>
          <w:szCs w:val="21"/>
          <w:highlight w:val="none"/>
        </w:rPr>
        <w:t>第二章 采购需求；</w:t>
      </w:r>
    </w:p>
    <w:p>
      <w:pPr>
        <w:spacing w:line="360" w:lineRule="auto"/>
        <w:ind w:firstLine="420" w:firstLineChars="200"/>
        <w:jc w:val="left"/>
        <w:rPr>
          <w:rFonts w:hint="eastAsia"/>
          <w:color w:val="auto"/>
          <w:szCs w:val="21"/>
          <w:highlight w:val="none"/>
        </w:rPr>
      </w:pPr>
      <w:r>
        <w:rPr>
          <w:rFonts w:hint="eastAsia"/>
          <w:color w:val="auto"/>
          <w:szCs w:val="21"/>
          <w:highlight w:val="none"/>
        </w:rPr>
        <w:t xml:space="preserve">第三章 供应商须知； </w:t>
      </w:r>
    </w:p>
    <w:p>
      <w:pPr>
        <w:spacing w:line="360" w:lineRule="auto"/>
        <w:ind w:firstLine="420" w:firstLineChars="200"/>
        <w:jc w:val="left"/>
        <w:rPr>
          <w:rFonts w:hint="eastAsia"/>
          <w:color w:val="auto"/>
          <w:szCs w:val="21"/>
          <w:highlight w:val="none"/>
        </w:rPr>
      </w:pPr>
      <w:r>
        <w:rPr>
          <w:rFonts w:hint="eastAsia"/>
          <w:color w:val="auto"/>
          <w:szCs w:val="21"/>
          <w:highlight w:val="none"/>
        </w:rPr>
        <w:t>第四章 评审程序、评审方法和评审标准；</w:t>
      </w:r>
    </w:p>
    <w:p>
      <w:pPr>
        <w:spacing w:line="360" w:lineRule="auto"/>
        <w:ind w:firstLine="420" w:firstLineChars="200"/>
        <w:jc w:val="left"/>
        <w:rPr>
          <w:rFonts w:hint="eastAsia"/>
          <w:color w:val="auto"/>
          <w:szCs w:val="21"/>
          <w:highlight w:val="none"/>
        </w:rPr>
      </w:pPr>
      <w:r>
        <w:rPr>
          <w:rFonts w:hint="eastAsia"/>
          <w:color w:val="auto"/>
          <w:szCs w:val="21"/>
          <w:highlight w:val="none"/>
        </w:rPr>
        <w:t>第五章 响应文件格式；</w:t>
      </w:r>
    </w:p>
    <w:p>
      <w:pPr>
        <w:spacing w:line="360" w:lineRule="auto"/>
        <w:ind w:firstLine="420" w:firstLineChars="200"/>
        <w:jc w:val="left"/>
        <w:rPr>
          <w:rFonts w:hint="eastAsia"/>
          <w:color w:val="auto"/>
          <w:szCs w:val="21"/>
          <w:highlight w:val="none"/>
        </w:rPr>
      </w:pPr>
      <w:r>
        <w:rPr>
          <w:rFonts w:hint="eastAsia"/>
          <w:color w:val="auto"/>
          <w:szCs w:val="21"/>
          <w:highlight w:val="none"/>
        </w:rPr>
        <w:t>第六章 合同文本；</w:t>
      </w:r>
    </w:p>
    <w:p>
      <w:pPr>
        <w:spacing w:line="360" w:lineRule="auto"/>
        <w:ind w:firstLine="420" w:firstLineChars="200"/>
        <w:jc w:val="left"/>
        <w:rPr>
          <w:rFonts w:hint="eastAsia"/>
          <w:color w:val="auto"/>
          <w:szCs w:val="21"/>
          <w:highlight w:val="none"/>
        </w:rPr>
      </w:pPr>
      <w:r>
        <w:rPr>
          <w:rFonts w:hint="eastAsia"/>
          <w:color w:val="auto"/>
          <w:szCs w:val="21"/>
          <w:highlight w:val="none"/>
        </w:rPr>
        <w:t>第七章 质疑、投诉材料格式。</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pPr>
        <w:spacing w:line="360" w:lineRule="auto"/>
        <w:ind w:firstLine="420" w:firstLineChars="200"/>
        <w:rPr>
          <w:rFonts w:hint="eastAsia"/>
          <w:color w:val="auto"/>
          <w:szCs w:val="21"/>
          <w:highlight w:val="none"/>
        </w:rPr>
      </w:pPr>
      <w:r>
        <w:rPr>
          <w:rFonts w:hint="eastAsia"/>
          <w:color w:val="auto"/>
          <w:szCs w:val="21"/>
          <w:highlight w:val="none"/>
        </w:rPr>
        <w:t>供应商应认真阅读磋商文件的采购需求，如供应商对磋商文件有疑问的，如要求采购人作出澄清或者修改的，供应商尽应在</w:t>
      </w:r>
      <w:r>
        <w:rPr>
          <w:color w:val="auto"/>
          <w:szCs w:val="21"/>
          <w:highlight w:val="none"/>
        </w:rPr>
        <w:t>提交首次响应文件截止之日前</w:t>
      </w:r>
      <w:r>
        <w:rPr>
          <w:rFonts w:hint="eastAsia"/>
          <w:color w:val="auto"/>
          <w:szCs w:val="21"/>
          <w:highlight w:val="none"/>
        </w:rPr>
        <w:t>，以书面形式向</w:t>
      </w:r>
      <w:r>
        <w:rPr>
          <w:color w:val="auto"/>
          <w:szCs w:val="21"/>
          <w:highlight w:val="none"/>
        </w:rPr>
        <w:t>采购人、采购代理机构</w:t>
      </w:r>
      <w:r>
        <w:rPr>
          <w:rFonts w:hint="eastAsia"/>
          <w:color w:val="auto"/>
          <w:szCs w:val="21"/>
          <w:highlight w:val="none"/>
        </w:rPr>
        <w:t>提出。</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时间。澄清或者更正公告在竞争性磋商公告发布媒体上发布，一经发布，视作已以书面形式通知所有获取竞争性磋商文件的潜在供应商，不再另行通知，所有潜在供应商应密切关注竞争性磋商公告发布媒体，因未能及时获知，由此产生的后果均应自行承担。</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10.4</w:t>
      </w:r>
      <w:r>
        <w:rPr>
          <w:rFonts w:hint="eastAsia" w:ascii="宋体" w:hAnsi="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10.5  采购人和采购代理机构可以视采购具体情况，变更提交首次响应文件截止时间和竞谈时间，将变更时间将在竞争性磋商公告中“七、其他补充事宜2.网上查询地址”规定的政府采购信息发布媒体上发布更正公告。</w:t>
      </w:r>
    </w:p>
    <w:p>
      <w:pPr>
        <w:spacing w:line="360" w:lineRule="auto"/>
        <w:ind w:firstLine="400" w:firstLineChars="200"/>
        <w:rPr>
          <w:rFonts w:hint="eastAsia" w:ascii="宋体" w:hAnsi="宋体" w:cs="宋体"/>
          <w:color w:val="auto"/>
          <w:kern w:val="0"/>
          <w:sz w:val="20"/>
          <w:szCs w:val="21"/>
          <w:highlight w:val="none"/>
        </w:rPr>
      </w:pPr>
      <w:r>
        <w:rPr>
          <w:rFonts w:hint="eastAsia" w:ascii="宋体" w:hAnsi="宋体" w:cs="宋体"/>
          <w:color w:val="auto"/>
          <w:kern w:val="0"/>
          <w:sz w:val="20"/>
          <w:szCs w:val="21"/>
          <w:highlight w:val="none"/>
        </w:rPr>
        <w:t>▲</w:t>
      </w:r>
      <w:r>
        <w:rPr>
          <w:rFonts w:hint="eastAsia" w:ascii="宋体" w:hAnsi="宋体" w:cs="宋体"/>
          <w:b/>
          <w:color w:val="auto"/>
          <w:kern w:val="0"/>
          <w:sz w:val="20"/>
          <w:szCs w:val="21"/>
          <w:highlight w:val="none"/>
        </w:rPr>
        <w:t>响应文件未按磋商文件的澄清、修改的内容编制，又不符合实质性要求的，其响应文件按无效处理。</w:t>
      </w:r>
    </w:p>
    <w:p>
      <w:pPr>
        <w:pStyle w:val="5"/>
        <w:spacing w:before="0" w:after="0" w:line="360" w:lineRule="auto"/>
        <w:ind w:firstLine="320" w:firstLineChars="100"/>
        <w:rPr>
          <w:rFonts w:hint="eastAsia"/>
          <w:b w:val="0"/>
          <w:bCs w:val="0"/>
          <w:color w:val="auto"/>
          <w:highlight w:val="none"/>
        </w:rPr>
      </w:pPr>
      <w:r>
        <w:rPr>
          <w:rFonts w:hint="eastAsia"/>
          <w:b w:val="0"/>
          <w:bCs w:val="0"/>
          <w:color w:val="auto"/>
          <w:highlight w:val="none"/>
        </w:rPr>
        <w:t xml:space="preserve"> </w:t>
      </w:r>
    </w:p>
    <w:p>
      <w:pPr>
        <w:pStyle w:val="5"/>
        <w:spacing w:before="0" w:after="0" w:line="360" w:lineRule="auto"/>
        <w:ind w:firstLine="320" w:firstLineChars="100"/>
        <w:rPr>
          <w:rFonts w:hint="eastAsia"/>
          <w:b w:val="0"/>
          <w:bCs w:val="0"/>
          <w:color w:val="auto"/>
          <w:highlight w:val="none"/>
        </w:rPr>
      </w:pPr>
      <w:r>
        <w:rPr>
          <w:rFonts w:hint="eastAsia"/>
          <w:b w:val="0"/>
          <w:bCs w:val="0"/>
          <w:color w:val="auto"/>
          <w:highlight w:val="none"/>
        </w:rPr>
        <w:t xml:space="preserve"> </w:t>
      </w:r>
      <w:bookmarkStart w:id="87" w:name="_Toc80886932"/>
      <w:bookmarkStart w:id="88" w:name="_Toc21690"/>
      <w:bookmarkStart w:id="89" w:name="_Toc21480"/>
      <w:r>
        <w:rPr>
          <w:rFonts w:hint="eastAsia"/>
          <w:b w:val="0"/>
          <w:bCs w:val="0"/>
          <w:color w:val="auto"/>
          <w:highlight w:val="none"/>
        </w:rPr>
        <w:t>三、响应文件的编制</w:t>
      </w:r>
      <w:bookmarkEnd w:id="87"/>
      <w:bookmarkEnd w:id="88"/>
      <w:bookmarkEnd w:id="89"/>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pPr>
        <w:spacing w:line="360" w:lineRule="auto"/>
        <w:ind w:firstLine="420" w:firstLineChars="200"/>
        <w:rPr>
          <w:rFonts w:hint="eastAsia" w:cs="宋体"/>
          <w:color w:val="auto"/>
          <w:szCs w:val="21"/>
          <w:highlight w:val="none"/>
        </w:rPr>
      </w:pPr>
      <w:r>
        <w:rPr>
          <w:rFonts w:hint="eastAsia" w:cs="宋体"/>
          <w:color w:val="auto"/>
          <w:szCs w:val="21"/>
          <w:highlight w:val="none"/>
        </w:rPr>
        <w:t>供应商必须按照磋商文件的要求编制响应文件，并对其提交的响应文件的真实性、合法性承担法律责任。响应文件必须对磋商文件作出实质性响应。</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12.1响应文件由资格证明文件、报价文件、商务和技术文件三部分组成。</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12.1.2商务技术文件：详见供应商须知前附表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12.1.3报价文件：详见供应商须知前附表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12.2响应文件电子版：详见供应商须知前附表</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pPr>
        <w:spacing w:line="360" w:lineRule="auto"/>
        <w:ind w:firstLine="420" w:firstLineChars="200"/>
        <w:rPr>
          <w:rFonts w:hint="eastAsia" w:cs="宋体"/>
          <w:color w:val="auto"/>
          <w:szCs w:val="21"/>
          <w:highlight w:val="none"/>
        </w:rPr>
      </w:pPr>
      <w:r>
        <w:rPr>
          <w:rFonts w:hint="eastAsia" w:cs="宋体"/>
          <w:color w:val="auto"/>
          <w:szCs w:val="21"/>
          <w:highlight w:val="none"/>
        </w:rPr>
        <w:t>磋商文件已有明确规定的，使用磋商文件规定的计量单位；磋商文件没有规定的，应采用中华人民共和国法定计量单位，货币种类为人民币，否则视同未响应。</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pPr>
        <w:spacing w:line="360" w:lineRule="auto"/>
        <w:ind w:firstLine="420" w:firstLineChars="200"/>
        <w:rPr>
          <w:rFonts w:hint="eastAsia" w:cs="宋体"/>
          <w:color w:val="auto"/>
          <w:szCs w:val="21"/>
          <w:highlight w:val="none"/>
        </w:rPr>
      </w:pPr>
      <w:r>
        <w:rPr>
          <w:rFonts w:hint="eastAsia" w:cs="宋体"/>
          <w:color w:val="auto"/>
          <w:szCs w:val="21"/>
          <w:highlight w:val="none"/>
        </w:rPr>
        <w:t>供应商没有按照磋商文件要求提供全部资料，或者供应商没有对磋商文件在各方面作出实质性响应可能导致其响应无效，是供应商应当考虑的风险。</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15.响应报价要求和构成</w:t>
      </w:r>
    </w:p>
    <w:p>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15.1响应报价应按“第五章 响应文件格式”中“响应报价表”格式填写。</w:t>
      </w:r>
    </w:p>
    <w:p>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15.2响应报价的价格构成见“供应商须知前附表”。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15.3响应报价要求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15.3.1供应商的响应报价应符合以下要求，否则响应文件按无效响应处理：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（1）供应商必须就“采购需求”中所竞标的项目/每个分标的全部内容分别作完整唯一总价报价，不得存在漏项报价；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（2）供应商必须就所竞标的项目/分标的单项内容作唯一报价。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15.3.2响应报价（包含首次报价、最后报价）超过所竞标项目/分标规定的采购预算金额或者最高限价的（如本项目公布了最高限价），其响应文件将按无效处理。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15.3.3</w:t>
      </w:r>
      <w:bookmarkStart w:id="90" w:name="_Hlk42592874"/>
      <w:r>
        <w:rPr>
          <w:rFonts w:hint="eastAsia" w:ascii="宋体" w:hAnsi="宋体" w:cs="宋体"/>
          <w:color w:val="auto"/>
          <w:szCs w:val="21"/>
          <w:highlight w:val="none"/>
        </w:rPr>
        <w:t>响应报价（包含首次报价、最后报价）超过分项采购预算金额或者最高限价的（如本项目公布了最高限价），其响应文件将按无效处理。</w:t>
      </w:r>
    </w:p>
    <w:bookmarkEnd w:id="90"/>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pPr>
        <w:spacing w:line="360" w:lineRule="auto"/>
        <w:ind w:firstLine="482" w:firstLineChars="200"/>
        <w:rPr>
          <w:rFonts w:hint="eastAsia" w:ascii="黑体" w:hAnsi="黑体" w:eastAsia="黑体" w:cs="宋体"/>
          <w:b/>
          <w:bCs/>
          <w:i/>
          <w:iCs/>
          <w:color w:val="auto"/>
          <w:sz w:val="24"/>
          <w:highlight w:val="none"/>
        </w:rPr>
      </w:pPr>
      <w:r>
        <w:rPr>
          <w:rFonts w:hint="eastAsia" w:ascii="黑体" w:hAnsi="黑体" w:eastAsia="黑体" w:cs="宋体"/>
          <w:b/>
          <w:bCs/>
          <w:color w:val="auto"/>
          <w:sz w:val="24"/>
          <w:highlight w:val="none"/>
        </w:rPr>
        <w:t>17.磋商保证金</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17.2磋商保证金的退还</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17.2.1未</w:t>
      </w:r>
      <w:r>
        <w:rPr>
          <w:rFonts w:hint="eastAsia" w:ascii="宋体" w:hAnsi="宋体" w:cs="宋体"/>
          <w:color w:val="auto"/>
          <w:spacing w:val="-6"/>
          <w:szCs w:val="21"/>
          <w:highlight w:val="none"/>
        </w:rPr>
        <w:t>成交供应商的磋商保证金自成交通知书发出之日起</w:t>
      </w:r>
      <w:r>
        <w:rPr>
          <w:rFonts w:hint="eastAsia" w:ascii="宋体" w:hAnsi="宋体" w:cs="宋体"/>
          <w:color w:val="auto"/>
          <w:spacing w:val="-6"/>
          <w:szCs w:val="21"/>
          <w:highlight w:val="none"/>
          <w:lang w:eastAsia="zh-CN"/>
        </w:rPr>
        <w:t>5个工作日</w:t>
      </w:r>
      <w:r>
        <w:rPr>
          <w:rFonts w:hint="eastAsia" w:ascii="宋体" w:hAnsi="宋体" w:cs="宋体"/>
          <w:color w:val="auto"/>
          <w:spacing w:val="-6"/>
          <w:szCs w:val="21"/>
          <w:highlight w:val="none"/>
        </w:rPr>
        <w:t>内退还，退还方式如下：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（1）采用银行转账方式的，以转账方式退回到供应商银行账户。</w:t>
      </w:r>
    </w:p>
    <w:p>
      <w:pPr>
        <w:pStyle w:val="8"/>
        <w:spacing w:line="360" w:lineRule="auto"/>
        <w:ind w:firstLine="315" w:firstLineChars="150"/>
        <w:rPr>
          <w:rFonts w:hint="eastAsia" w:ascii="宋体" w:hAnsi="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采用支票、汇票、本票或者金融机构、担保机构出具的保函等方式的，由供应商代表持相关授权证明材料至采购代理机构办理支票、汇票、本票或者金融机构、担保机构出具的保函等原件退还手续。</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17.2.2成交供应商的磋商保证金自签订合同之日起</w:t>
      </w:r>
      <w:r>
        <w:rPr>
          <w:rFonts w:hint="eastAsia" w:ascii="宋体" w:hAnsi="宋体" w:cs="宋体"/>
          <w:color w:val="auto"/>
          <w:szCs w:val="21"/>
          <w:highlight w:val="none"/>
          <w:lang w:eastAsia="zh-CN"/>
        </w:rPr>
        <w:t>5个工作日</w:t>
      </w:r>
      <w:r>
        <w:rPr>
          <w:rFonts w:hint="eastAsia" w:ascii="宋体" w:hAnsi="宋体" w:cs="宋体"/>
          <w:color w:val="auto"/>
          <w:szCs w:val="21"/>
          <w:highlight w:val="none"/>
        </w:rPr>
        <w:t xml:space="preserve">内退还，退还方式同未成交供应商的磋商保证金的退还方式；或者转为成交供应商的履约保证金。 </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17.3磋商保证金不计息。</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（2）供应商在响应文件中提供虚假材料的；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（3）除因不可抗力或者磋商文件认可的情形以外，成交供应商不与采购人签订合同的；</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（4）供应商与采购人、其他供应商或者采购代理机构恶意串通的；</w:t>
      </w:r>
    </w:p>
    <w:p>
      <w:pPr>
        <w:spacing w:line="360" w:lineRule="auto"/>
        <w:ind w:left="420" w:leftChars="200"/>
        <w:rPr>
          <w:rFonts w:cs="宋体"/>
          <w:color w:val="auto"/>
          <w:szCs w:val="21"/>
          <w:highlight w:val="none"/>
        </w:rPr>
      </w:pPr>
      <w:r>
        <w:rPr>
          <w:rFonts w:hint="eastAsia" w:ascii="宋体" w:hAnsi="宋体" w:cs="宋体"/>
          <w:color w:val="auto"/>
          <w:szCs w:val="21"/>
          <w:highlight w:val="none"/>
        </w:rPr>
        <w:t>（5）磋商文件规定的其他情形。</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zCs w:val="21"/>
          <w:highlight w:val="none"/>
        </w:rPr>
        <w:t>后果由供应商承担。</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18.2响应文件应按资格证明文件、报价文件分别编制，商务技术文件合并编制，本磋商只接受电子版响应文件，要求见本章“12.2响应文件电子版要求”。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w:t>
      </w:r>
      <w:bookmarkStart w:id="91" w:name="_Hlk65832699"/>
      <w:r>
        <w:rPr>
          <w:rFonts w:hint="eastAsia" w:ascii="宋体" w:hAnsi="宋体" w:cs="宋体"/>
          <w:color w:val="auto"/>
          <w:szCs w:val="21"/>
          <w:highlight w:val="none"/>
        </w:rPr>
        <w:t>3响应文件须由供应商按</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第五章 响应文件格式</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要求进行签署、盖章</w:t>
      </w:r>
      <w:bookmarkEnd w:id="91"/>
      <w:r>
        <w:rPr>
          <w:rFonts w:hint="eastAsia" w:ascii="宋体" w:hAnsi="宋体" w:cs="宋体"/>
          <w:color w:val="auto"/>
          <w:szCs w:val="21"/>
          <w:highlight w:val="none"/>
        </w:rPr>
        <w:t>，</w:t>
      </w:r>
      <w:r>
        <w:rPr>
          <w:rFonts w:hint="eastAsia" w:ascii="宋体" w:hAnsi="宋体" w:cs="宋体"/>
          <w:b/>
          <w:bCs/>
          <w:color w:val="auto"/>
          <w:szCs w:val="21"/>
          <w:highlight w:val="none"/>
        </w:rPr>
        <w:t>否则其响应文件按无效响应处理</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18.4响应文件中标注的供应商名称应与营业执照（事业单位法人证书、执业许可证、自然人身份证）及供应商公章一致，</w:t>
      </w:r>
      <w:r>
        <w:rPr>
          <w:rFonts w:hint="eastAsia" w:ascii="宋体" w:hAnsi="宋体" w:cs="宋体"/>
          <w:b/>
          <w:bCs/>
          <w:color w:val="auto"/>
          <w:szCs w:val="21"/>
          <w:highlight w:val="none"/>
        </w:rPr>
        <w:t>否则其响应文件按无效响应处理。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18.5响应文件应避免涂改、行间插字或者删除。</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19.响应文件的密封和标记</w:t>
      </w:r>
    </w:p>
    <w:p>
      <w:pPr>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19.1供应商进行电子交易应安装客户端软件，并按照磋商文件和电子交易平台的要求编制并加密响应文件。供应商未按规定加密的响应文件，电子交易平台将拒收并提示。</w:t>
      </w:r>
    </w:p>
    <w:p>
      <w:pPr>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19.2使用广西政府采购云平台电子交易客户端需要提前申领CA数字证书。</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19.3为确保网上操作合法、有效和安全，供应商应当在响应文件提交截止时间前完成在“</w:t>
      </w:r>
      <w:r>
        <w:rPr>
          <w:rFonts w:hint="eastAsia" w:ascii="宋体" w:hAnsi="宋体" w:cs="宋体"/>
          <w:color w:val="auto"/>
          <w:kern w:val="0"/>
          <w:szCs w:val="21"/>
          <w:highlight w:val="none"/>
          <w:lang w:val="en-US" w:eastAsia="zh-CN"/>
        </w:rPr>
        <w:t>广西</w:t>
      </w:r>
      <w:r>
        <w:rPr>
          <w:rFonts w:hint="eastAsia" w:ascii="宋体" w:hAnsi="宋体" w:cs="宋体"/>
          <w:color w:val="auto"/>
          <w:kern w:val="0"/>
          <w:szCs w:val="21"/>
          <w:highlight w:val="none"/>
        </w:rPr>
        <w:t>政府采购云平台”的身份认证，确保在电子交易过程中能够对相关数据电文进行加密和使用电子签名。</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20.2 在响应文件提交截止时间以后，不能补充、修改响应文件。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20.3 在提交“最后报价”后，供应商不能退出磋商。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20.5 采购机构不可视情况延长提交响应文件的截止时间。</w:t>
      </w:r>
    </w:p>
    <w:p>
      <w:pPr>
        <w:spacing w:line="360" w:lineRule="auto"/>
        <w:ind w:firstLine="420" w:firstLineChars="200"/>
        <w:rPr>
          <w:rFonts w:hint="eastAsia" w:ascii="宋体" w:hAnsi="宋体" w:cs="宋体"/>
          <w:color w:val="auto"/>
          <w:sz w:val="24"/>
          <w:highlight w:val="none"/>
        </w:rPr>
      </w:pPr>
      <w:r>
        <w:rPr>
          <w:rFonts w:hint="eastAsia" w:ascii="宋体" w:hAnsi="宋体" w:cs="宋体"/>
          <w:color w:val="auto"/>
          <w:szCs w:val="21"/>
          <w:highlight w:val="none"/>
        </w:rPr>
        <w:t>20.6备份响应文件。</w:t>
      </w:r>
      <w:r>
        <w:rPr>
          <w:rFonts w:hint="eastAsia" w:ascii="宋体" w:hAnsi="宋体" w:cs="宋体"/>
          <w:bCs/>
          <w:color w:val="auto"/>
          <w:szCs w:val="21"/>
          <w:highlight w:val="none"/>
        </w:rPr>
        <w:t>详见“供应商须知前附表”。</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pPr>
        <w:spacing w:line="360" w:lineRule="auto"/>
        <w:ind w:firstLine="420" w:firstLineChars="200"/>
        <w:rPr>
          <w:rFonts w:hint="eastAsia" w:cs="宋体"/>
          <w:color w:val="auto"/>
          <w:szCs w:val="21"/>
          <w:highlight w:val="none"/>
        </w:rPr>
      </w:pPr>
      <w:r>
        <w:rPr>
          <w:rFonts w:hint="eastAsia" w:cs="宋体"/>
          <w:color w:val="auto"/>
          <w:szCs w:val="21"/>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pPr>
        <w:spacing w:line="360" w:lineRule="auto"/>
        <w:ind w:firstLine="482" w:firstLineChars="200"/>
        <w:rPr>
          <w:rFonts w:ascii="黑体" w:hAnsi="黑体" w:eastAsia="黑体" w:cs="宋体"/>
          <w:b/>
          <w:bCs/>
          <w:color w:val="auto"/>
          <w:sz w:val="24"/>
          <w:highlight w:val="none"/>
        </w:rPr>
      </w:pPr>
      <w:bookmarkStart w:id="92" w:name="_Hlk45702405"/>
      <w:r>
        <w:rPr>
          <w:rFonts w:hint="eastAsia" w:ascii="黑体" w:hAnsi="黑体" w:eastAsia="黑体" w:cs="宋体"/>
          <w:b/>
          <w:bCs/>
          <w:color w:val="auto"/>
          <w:sz w:val="24"/>
          <w:highlight w:val="none"/>
        </w:rPr>
        <w:t>22. 首次响应文件的退回</w:t>
      </w:r>
    </w:p>
    <w:p>
      <w:pPr>
        <w:spacing w:line="360" w:lineRule="auto"/>
        <w:ind w:firstLine="420" w:firstLineChars="200"/>
        <w:rPr>
          <w:rFonts w:hint="eastAsia" w:cs="宋体"/>
          <w:color w:val="auto"/>
          <w:szCs w:val="21"/>
          <w:highlight w:val="none"/>
        </w:rPr>
      </w:pPr>
      <w:r>
        <w:rPr>
          <w:rFonts w:hint="eastAsia" w:cs="宋体"/>
          <w:color w:val="auto"/>
          <w:szCs w:val="21"/>
          <w:highlight w:val="none"/>
        </w:rPr>
        <w:t>在首次响应文件提交截止时间止提交响应文件的供应商不足3家时</w:t>
      </w:r>
      <w:r>
        <w:rPr>
          <w:rFonts w:hint="eastAsia" w:cs="宋体"/>
          <w:color w:val="auto"/>
          <w:szCs w:val="21"/>
          <w:highlight w:val="none"/>
          <w:lang w:eastAsia="zh-CN"/>
        </w:rPr>
        <w:t>，</w:t>
      </w:r>
      <w:r>
        <w:rPr>
          <w:rFonts w:hint="eastAsia" w:cs="宋体"/>
          <w:color w:val="auto"/>
          <w:szCs w:val="21"/>
          <w:highlight w:val="none"/>
        </w:rPr>
        <w:t>电子响应文件</w:t>
      </w:r>
      <w:r>
        <w:rPr>
          <w:rFonts w:hint="eastAsia" w:cs="宋体"/>
          <w:color w:val="auto"/>
          <w:szCs w:val="21"/>
          <w:highlight w:val="none"/>
          <w:lang w:val="en-US" w:eastAsia="zh-CN"/>
        </w:rPr>
        <w:t>的退回</w:t>
      </w:r>
      <w:r>
        <w:rPr>
          <w:rFonts w:hint="eastAsia" w:cs="宋体"/>
          <w:color w:val="auto"/>
          <w:szCs w:val="21"/>
          <w:highlight w:val="none"/>
        </w:rPr>
        <w:t>由</w:t>
      </w:r>
      <w:r>
        <w:rPr>
          <w:rFonts w:hint="eastAsia" w:cs="宋体"/>
          <w:color w:val="auto"/>
          <w:szCs w:val="21"/>
          <w:highlight w:val="none"/>
          <w:lang w:eastAsia="zh-CN"/>
        </w:rPr>
        <w:t>广西政府采购云平台</w:t>
      </w:r>
      <w:r>
        <w:rPr>
          <w:rFonts w:hint="eastAsia" w:cs="宋体"/>
          <w:color w:val="auto"/>
          <w:szCs w:val="21"/>
          <w:highlight w:val="none"/>
          <w:lang w:val="en-US" w:eastAsia="zh-CN"/>
        </w:rPr>
        <w:t>自动</w:t>
      </w:r>
      <w:r>
        <w:rPr>
          <w:rFonts w:hint="eastAsia" w:cs="宋体"/>
          <w:color w:val="auto"/>
          <w:szCs w:val="21"/>
          <w:highlight w:val="none"/>
        </w:rPr>
        <w:t>操作。</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 截止时间后的撤回</w:t>
      </w:r>
    </w:p>
    <w:bookmarkEnd w:id="92"/>
    <w:p>
      <w:pPr>
        <w:pStyle w:val="16"/>
        <w:spacing w:line="360" w:lineRule="auto"/>
        <w:ind w:firstLine="420" w:firstLineChars="200"/>
        <w:rPr>
          <w:rFonts w:hint="eastAsia" w:cs="宋体"/>
          <w:i/>
          <w:iCs/>
          <w:color w:val="auto"/>
          <w:szCs w:val="21"/>
          <w:highlight w:val="none"/>
        </w:rPr>
      </w:pPr>
      <w:r>
        <w:rPr>
          <w:rFonts w:hint="eastAsia"/>
          <w:color w:val="auto"/>
          <w:highlight w:val="none"/>
        </w:rPr>
        <w:t>供应商在首次响应文件提交截止时间后向采购人、采购代理机构书面申请撤回电子响应文件的，将根据本须知正文17.4的规定不予退还其磋商保证金（如有）。</w:t>
      </w:r>
    </w:p>
    <w:p>
      <w:pPr>
        <w:pStyle w:val="5"/>
        <w:spacing w:before="0" w:after="0" w:line="360" w:lineRule="auto"/>
        <w:ind w:firstLine="640" w:firstLineChars="200"/>
        <w:rPr>
          <w:rFonts w:hint="eastAsia"/>
          <w:b w:val="0"/>
          <w:bCs w:val="0"/>
          <w:color w:val="auto"/>
          <w:highlight w:val="none"/>
        </w:rPr>
      </w:pPr>
      <w:r>
        <w:rPr>
          <w:rFonts w:hint="eastAsia"/>
          <w:b w:val="0"/>
          <w:bCs w:val="0"/>
          <w:color w:val="auto"/>
          <w:highlight w:val="none"/>
        </w:rPr>
        <w:t xml:space="preserve"> </w:t>
      </w:r>
      <w:bookmarkStart w:id="93" w:name="_Toc80886933"/>
      <w:bookmarkStart w:id="94" w:name="_Toc17876"/>
      <w:bookmarkStart w:id="95" w:name="_Toc20044"/>
    </w:p>
    <w:p>
      <w:pPr>
        <w:pStyle w:val="5"/>
        <w:spacing w:before="0" w:after="0" w:line="360" w:lineRule="auto"/>
        <w:ind w:firstLine="640" w:firstLineChars="200"/>
        <w:rPr>
          <w:rFonts w:hint="eastAsia"/>
          <w:b w:val="0"/>
          <w:bCs w:val="0"/>
          <w:color w:val="auto"/>
          <w:highlight w:val="none"/>
        </w:rPr>
      </w:pPr>
      <w:r>
        <w:rPr>
          <w:rFonts w:hint="eastAsia"/>
          <w:b w:val="0"/>
          <w:bCs w:val="0"/>
          <w:color w:val="auto"/>
          <w:highlight w:val="none"/>
        </w:rPr>
        <w:t>四、评审及磋商</w:t>
      </w:r>
      <w:bookmarkEnd w:id="93"/>
      <w:bookmarkEnd w:id="94"/>
      <w:bookmarkEnd w:id="95"/>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首次响应文件的开启</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25.1首次响应文件由磋商小组或者采购代理机构在“供应商须知前附表”规定的时间开启。</w:t>
      </w:r>
    </w:p>
    <w:p>
      <w:pPr>
        <w:spacing w:line="360" w:lineRule="auto"/>
        <w:ind w:firstLine="420" w:firstLineChars="200"/>
        <w:rPr>
          <w:rFonts w:hint="eastAsia" w:ascii="宋体" w:hAnsi="宋体" w:cs="宋体"/>
          <w:bCs/>
          <w:color w:val="auto"/>
          <w:kern w:val="0"/>
          <w:szCs w:val="21"/>
          <w:highlight w:val="none"/>
        </w:rPr>
      </w:pPr>
      <w:r>
        <w:rPr>
          <w:rFonts w:hint="eastAsia" w:ascii="宋体" w:hAnsi="宋体" w:cs="宋体"/>
          <w:color w:val="auto"/>
          <w:kern w:val="0"/>
          <w:szCs w:val="21"/>
          <w:highlight w:val="none"/>
        </w:rPr>
        <w:t xml:space="preserve">25.2 </w:t>
      </w:r>
      <w:r>
        <w:rPr>
          <w:rFonts w:hint="eastAsia" w:ascii="宋体" w:hAnsi="宋体" w:cs="宋体"/>
          <w:bCs/>
          <w:color w:val="auto"/>
          <w:kern w:val="0"/>
          <w:szCs w:val="21"/>
          <w:highlight w:val="none"/>
        </w:rPr>
        <w:t>响应文件解密</w:t>
      </w:r>
    </w:p>
    <w:p>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bCs/>
          <w:color w:val="auto"/>
          <w:kern w:val="0"/>
          <w:szCs w:val="21"/>
          <w:highlight w:val="none"/>
        </w:rPr>
        <w:t>采购代理机构将在“供应商须知前附表”规定的时</w:t>
      </w:r>
      <w:r>
        <w:rPr>
          <w:rFonts w:hint="eastAsia" w:ascii="宋体" w:hAnsi="宋体" w:cs="宋体"/>
          <w:color w:val="auto"/>
          <w:kern w:val="0"/>
          <w:szCs w:val="21"/>
          <w:highlight w:val="none"/>
        </w:rPr>
        <w:t>间通过电子交易平台组织响应文件开启，采购机构依托电子交易平台发起开始解密指令，供应商的法定代表人或其委托代理人</w:t>
      </w:r>
      <w:r>
        <w:rPr>
          <w:rFonts w:hint="eastAsia" w:ascii="宋体" w:hAnsi="宋体" w:cs="宋体"/>
          <w:b/>
          <w:color w:val="auto"/>
          <w:kern w:val="0"/>
          <w:szCs w:val="21"/>
          <w:highlight w:val="none"/>
        </w:rPr>
        <w:t>须携带加密时所用的CA锁按平台提示和采购文件的规定登录到</w:t>
      </w:r>
      <w:r>
        <w:rPr>
          <w:rFonts w:hint="eastAsia" w:ascii="宋体" w:hAnsi="宋体" w:cs="宋体"/>
          <w:b/>
          <w:color w:val="auto"/>
          <w:kern w:val="0"/>
          <w:szCs w:val="21"/>
          <w:highlight w:val="none"/>
          <w:lang w:eastAsia="zh-CN"/>
        </w:rPr>
        <w:t>广西政府采购云平台</w:t>
      </w:r>
      <w:r>
        <w:rPr>
          <w:rFonts w:hint="eastAsia" w:ascii="宋体" w:hAnsi="宋体" w:cs="宋体"/>
          <w:b/>
          <w:color w:val="auto"/>
          <w:kern w:val="0"/>
          <w:szCs w:val="21"/>
          <w:highlight w:val="none"/>
        </w:rPr>
        <w:t>电子开标大厅签到并在规定的时间内完成对电子响应文件在线解密</w:t>
      </w:r>
      <w:r>
        <w:rPr>
          <w:rFonts w:hint="eastAsia" w:ascii="宋体" w:hAnsi="宋体" w:cs="宋体"/>
          <w:color w:val="auto"/>
          <w:kern w:val="0"/>
          <w:szCs w:val="21"/>
          <w:highlight w:val="none"/>
        </w:rPr>
        <w:t>。</w:t>
      </w:r>
      <w:r>
        <w:rPr>
          <w:rFonts w:hint="eastAsia" w:ascii="宋体" w:hAnsi="宋体" w:cs="宋体"/>
          <w:color w:val="auto"/>
          <w:kern w:val="1"/>
          <w:szCs w:val="21"/>
          <w:highlight w:val="none"/>
        </w:rPr>
        <w:t>响应文件未按时解密的</w:t>
      </w:r>
      <w:r>
        <w:rPr>
          <w:rFonts w:hint="eastAsia" w:ascii="宋体" w:hAnsi="宋体" w:cs="宋体"/>
          <w:color w:val="auto"/>
          <w:kern w:val="0"/>
          <w:szCs w:val="21"/>
          <w:highlight w:val="none"/>
        </w:rPr>
        <w:t>，</w:t>
      </w:r>
      <w:r>
        <w:rPr>
          <w:rFonts w:hint="eastAsia" w:ascii="宋体" w:hAnsi="宋体" w:cs="宋体"/>
          <w:b/>
          <w:color w:val="auto"/>
          <w:kern w:val="0"/>
          <w:szCs w:val="21"/>
          <w:highlight w:val="none"/>
        </w:rPr>
        <w:t>视为响应文件无效。</w:t>
      </w:r>
      <w:r>
        <w:rPr>
          <w:rFonts w:hint="eastAsia" w:ascii="宋体" w:hAnsi="宋体" w:cs="宋体"/>
          <w:color w:val="auto"/>
          <w:kern w:val="0"/>
          <w:szCs w:val="21"/>
          <w:highlight w:val="none"/>
        </w:rPr>
        <w:t>（解密</w:t>
      </w:r>
      <w:r>
        <w:rPr>
          <w:rFonts w:hint="eastAsia" w:ascii="宋体" w:hAnsi="宋体" w:cs="宋体"/>
          <w:bCs/>
          <w:color w:val="auto"/>
          <w:kern w:val="0"/>
          <w:szCs w:val="21"/>
          <w:highlight w:val="none"/>
        </w:rPr>
        <w:t>异常情况处理：详见本章</w:t>
      </w:r>
      <w:r>
        <w:rPr>
          <w:rFonts w:hint="eastAsia" w:ascii="宋体" w:hAnsi="宋体" w:cs="宋体"/>
          <w:color w:val="auto"/>
          <w:kern w:val="0"/>
          <w:szCs w:val="21"/>
          <w:highlight w:val="none"/>
        </w:rPr>
        <w:t>26.4电子交易活动的中止。）</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如</w:t>
      </w:r>
      <w:r>
        <w:rPr>
          <w:rFonts w:hint="eastAsia" w:ascii="宋体" w:hAnsi="宋体" w:cs="宋体"/>
          <w:bCs/>
          <w:color w:val="auto"/>
          <w:kern w:val="0"/>
          <w:szCs w:val="21"/>
          <w:highlight w:val="none"/>
        </w:rPr>
        <w:t>供应商成功解密响应文件，但未在</w:t>
      </w:r>
      <w:r>
        <w:rPr>
          <w:rFonts w:hint="eastAsia" w:ascii="宋体" w:hAnsi="宋体" w:cs="宋体"/>
          <w:bCs/>
          <w:color w:val="auto"/>
          <w:kern w:val="0"/>
          <w:szCs w:val="21"/>
          <w:highlight w:val="none"/>
          <w:lang w:eastAsia="zh-CN"/>
        </w:rPr>
        <w:t>广西政府采购云平台电子开标大厅</w:t>
      </w:r>
      <w:r>
        <w:rPr>
          <w:rFonts w:hint="eastAsia" w:ascii="宋体" w:hAnsi="宋体" w:cs="宋体"/>
          <w:bCs/>
          <w:color w:val="auto"/>
          <w:kern w:val="0"/>
          <w:szCs w:val="21"/>
          <w:highlight w:val="none"/>
        </w:rPr>
        <w:t>参加磋商的，视同认可磋商过程和结果，</w:t>
      </w:r>
      <w:r>
        <w:rPr>
          <w:rFonts w:hint="eastAsia" w:ascii="宋体" w:hAnsi="宋体" w:cs="宋体"/>
          <w:color w:val="auto"/>
          <w:kern w:val="0"/>
          <w:szCs w:val="21"/>
          <w:highlight w:val="none"/>
        </w:rPr>
        <w:t>由此产生的后果由供应商自行负责。 参与磋商的供应商不足3家的，不得磋商。</w:t>
      </w:r>
    </w:p>
    <w:p>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.评审程序、评审方法和评审标准</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26.1本项目的评审方法详见“供应商须知前附表”。磋商小组按照“第四章 评审程序、评审方法和评审标准”规定的方法、评审因素、标准和程序对响应文件进行评审。</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26.2磋商文件内容违反国家有关强制性规定的，磋商小组应当停止评审并向采购人或者采购代理机构说明情况，并在评审报告中书面体现。</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highlight w:val="none"/>
        </w:rPr>
        <w:t>26.3 采购需求负偏离要求及磋商顺序详见“供应商须知前附表</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26.4电子交易活动的中止。采购过程中出现以下情形，导致电子交易平台无法正常运行，或者无法保证电子交易的公平、公正和安全时，采购机构可中止电子交易活动：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（1）电子交易平台发生故障而无法登录访问的； </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（3）电子交易平台发现严重安全漏洞，有潜在泄密危险的；</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（4）病毒发作导致不能进行正常操作的； </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（5）其他无法保证电子交易的公平、公正和安全的情况。</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5"/>
        <w:spacing w:before="0" w:after="0" w:line="360" w:lineRule="auto"/>
        <w:ind w:firstLine="480" w:firstLineChars="150"/>
        <w:rPr>
          <w:rFonts w:hint="eastAsia"/>
          <w:b w:val="0"/>
          <w:bCs w:val="0"/>
          <w:color w:val="auto"/>
          <w:highlight w:val="none"/>
        </w:rPr>
      </w:pPr>
      <w:bookmarkStart w:id="96" w:name="_Toc17745"/>
      <w:bookmarkStart w:id="97" w:name="_Toc80886934"/>
      <w:bookmarkStart w:id="98" w:name="_Toc12018"/>
    </w:p>
    <w:p>
      <w:pPr>
        <w:pStyle w:val="5"/>
        <w:spacing w:before="0" w:after="0" w:line="360" w:lineRule="auto"/>
        <w:ind w:firstLine="480" w:firstLineChars="150"/>
        <w:rPr>
          <w:rFonts w:hint="eastAsia"/>
          <w:b w:val="0"/>
          <w:bCs w:val="0"/>
          <w:color w:val="auto"/>
          <w:highlight w:val="none"/>
        </w:rPr>
      </w:pPr>
      <w:r>
        <w:rPr>
          <w:rFonts w:hint="eastAsia"/>
          <w:b w:val="0"/>
          <w:bCs w:val="0"/>
          <w:color w:val="auto"/>
          <w:highlight w:val="none"/>
        </w:rPr>
        <w:t>五、成交及合同</w:t>
      </w:r>
      <w:bookmarkEnd w:id="96"/>
      <w:bookmarkEnd w:id="97"/>
      <w:bookmarkEnd w:id="98"/>
    </w:p>
    <w:p>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27.1确定成交供应商。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27.2成交通知及成交结果公告。采购代理机构应当在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依法确定排名第二的成交候选人为成交供应商。排名第二的成交候选人因上述规定的同样原因被取消成交资格的，采购人可以依法确定排名第三的成交候选人为成交供应商，以此类推。以上信息查询记录及相关证据与磋商文件一并保存。成交供应商享受《政府采购促进中小企业发展管理办法》（财库〔2020〕46号）规定的中小企业扶持政策的，采购人、采购代理机构应当随成交结果公开成交供应商的《中小企业声明函》。</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27.5排名第一的成交候选人放弃成交，采购人可以按照评审报告推荐的成交候选人名单排序，依法确定下一候选人为成交</w:t>
      </w:r>
      <w:r>
        <w:rPr>
          <w:rFonts w:hint="eastAsia" w:ascii="宋体" w:hAnsi="宋体" w:cs="宋体"/>
          <w:color w:val="auto"/>
          <w:szCs w:val="21"/>
          <w:highlight w:val="none"/>
        </w:rPr>
        <w:t>供应商</w:t>
      </w:r>
      <w:r>
        <w:rPr>
          <w:rFonts w:hint="eastAsia" w:ascii="宋体" w:hAnsi="宋体" w:cs="宋体"/>
          <w:bCs/>
          <w:color w:val="auto"/>
          <w:szCs w:val="21"/>
          <w:highlight w:val="none"/>
        </w:rPr>
        <w:t>，也可以重新开展政府采购活动</w:t>
      </w:r>
      <w:r>
        <w:rPr>
          <w:rFonts w:hint="eastAsia" w:ascii="宋体" w:hAnsi="宋体" w:cs="宋体"/>
          <w:color w:val="auto"/>
          <w:szCs w:val="21"/>
          <w:highlight w:val="none"/>
        </w:rPr>
        <w:t>。</w:t>
      </w:r>
    </w:p>
    <w:p>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履约保证金的金额、提交方式、退付的时间和条件详见 “供应商须知前附表”。成交供应商未按规定提交履约保证金的，视为拒绝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签订合同，采购人可以按照评审报告推荐的成交候选人名单排序，依法确定下一候选人为成交供应商，也可以重新开展政府采购活动。</w:t>
      </w:r>
    </w:p>
    <w:p>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.2签订合同后，如成交供应商不按双方签订的合同规定履约，则没收其全部履约保证金，履约保证金不足以赔偿损失的，按实际损失赔偿。</w:t>
      </w:r>
    </w:p>
    <w:p>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在履约保证金退还日期前，若成交供应商的开户名称、开户银行、账号有变动的，请以书面形式通知履约保证金收取单位，否则由此产生的后果由成交供应商自行承担。</w:t>
      </w:r>
    </w:p>
    <w:p>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pPr>
        <w:pStyle w:val="68"/>
        <w:snapToGrid w:val="0"/>
        <w:spacing w:before="0"/>
        <w:ind w:firstLine="420"/>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s="宋体"/>
          <w:color w:val="auto"/>
          <w:sz w:val="21"/>
          <w:szCs w:val="21"/>
          <w:highlight w:val="none"/>
          <w:lang w:val="zh-CN"/>
        </w:rPr>
        <w:t>如成交供应商为联合体的，由联合体成员各方法定代表人或其授权代表与采购人代表签订合同。</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29.3成交供应商拒绝签订政府采购合同的，采购人可以按照评审报告推荐的成交候选人名单排序，依法确定下一候选人为成交供应商，也可以重新开展采购活动。拒绝签订政府采购合同的成交供应商不得参加对该项目重新开展的采购活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29.4如签订合同并生效后，供应商无故拒绝或延期，除按照合同条款处理外，列入不良行为记录，并给予通报。</w:t>
      </w:r>
    </w:p>
    <w:p>
      <w:pPr>
        <w:spacing w:line="360" w:lineRule="auto"/>
        <w:ind w:firstLine="420" w:firstLineChars="200"/>
        <w:rPr>
          <w:rFonts w:hint="eastAsia" w:ascii="宋体" w:hAnsi="宋体" w:cs="宋体"/>
          <w:b/>
          <w:bCs/>
          <w:i/>
          <w:iCs/>
          <w:color w:val="auto"/>
          <w:szCs w:val="21"/>
          <w:highlight w:val="none"/>
        </w:rPr>
      </w:pPr>
      <w:r>
        <w:rPr>
          <w:rFonts w:hint="eastAsia" w:ascii="宋体" w:hAnsi="宋体" w:cs="宋体"/>
          <w:color w:val="auto"/>
          <w:szCs w:val="21"/>
          <w:highlight w:val="none"/>
        </w:rPr>
        <w:t>29.5采购合同由采购人与成交供应商根据磋商文件、响应文件等内容签订，成交供应商应当在签订合同时向采购人出示相关证明材料，具体内容详见 “供应商须知前附表”，经采购人核验合格后方可签订合同。</w:t>
      </w:r>
    </w:p>
    <w:p>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pPr>
        <w:spacing w:line="360" w:lineRule="auto"/>
        <w:ind w:firstLine="420" w:firstLineChars="200"/>
        <w:rPr>
          <w:rFonts w:hint="eastAsia" w:ascii="Calibri"/>
          <w:color w:val="auto"/>
          <w:highlight w:val="none"/>
        </w:rPr>
      </w:pPr>
      <w:r>
        <w:rPr>
          <w:rFonts w:hint="eastAsia" w:ascii="宋体" w:hAnsi="宋体" w:cs="宋体"/>
          <w:color w:val="auto"/>
          <w:szCs w:val="21"/>
          <w:highlight w:val="none"/>
        </w:rPr>
        <w:t>采购人应当自政府采购合同签订之日起2个工作日内，将政府采购合同在省级以上人民政府财政部门指定的媒体上公告，但政府采购合同中涉及国家秘密、商业秘密的内容除外</w:t>
      </w:r>
      <w:r>
        <w:rPr>
          <w:rFonts w:ascii="Calibri"/>
          <w:color w:val="auto"/>
          <w:highlight w:val="none"/>
        </w:rPr>
        <w:t>。</w:t>
      </w:r>
    </w:p>
    <w:p>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31.1供应商对政府采购活动事项有疑问的，可以向采购人或者采购代理机构提出询问，采购人或者采购代理机构应当在3个工作日内对供应商依法提出的询问作出答复。</w:t>
      </w:r>
    </w:p>
    <w:p>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31.2供应商认为磋商文件、采购过程或者成交结果使自己的合法权益受到损害的，应当在知道或者应知其权益受到损害之日起7个工作日内，以书面形式向采购人或者采购代理机构提出质疑，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w:t>
      </w:r>
      <w:r>
        <w:rPr>
          <w:rFonts w:hint="eastAsia" w:ascii="宋体" w:hAnsi="宋体" w:cs="宋体"/>
          <w:b/>
          <w:color w:val="auto"/>
          <w:szCs w:val="21"/>
          <w:highlight w:val="none"/>
        </w:rPr>
        <w:t xml:space="preserve">具体质疑起算时间及处理方式如下： </w:t>
      </w:r>
    </w:p>
    <w:p>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（1）潜在供应商依法获取采购文件后，认为采购文件使自己的权益受到损害的，应当在竞争性磋商文件公告期限届满之日起7个工作日内提出质疑。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者采购代理机构提出，由采购人或者采购代理机构受理并负责答复；对采购过程中采购执行程序的质疑由采购代理机构受理并负责答复。</w:t>
      </w:r>
    </w:p>
    <w:p>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（3）供应商认为成交结果使自己的权益受到损害的，应当在成交结果公告期限届满之日起7个工作日内提出质疑，由采购人受理并负责答复。</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2" w:firstLineChars="200"/>
        <w:rPr>
          <w:rFonts w:hint="eastAsia" w:ascii="宋体" w:hAnsi="宋体" w:cs="宋体"/>
          <w:color w:val="auto"/>
          <w:highlight w:val="none"/>
        </w:rPr>
      </w:pPr>
      <w:r>
        <w:rPr>
          <w:rFonts w:hint="eastAsia" w:ascii="宋体" w:hAnsi="宋体" w:cs="宋体"/>
          <w:b/>
          <w:bCs/>
          <w:color w:val="auto"/>
          <w:highlight w:val="none"/>
        </w:rPr>
        <w:t>31.4 供应商提出质疑应当提交质疑函和必要的证明材料，针对同一采购程序环节的质疑必须在法定质疑期内一次性提出。质疑函应当包括下列内容（质疑函格式后附）：</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（2）质疑项目的名称、编号；</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（5）必要的法律依据；</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（6）提出质疑的日期。</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pPr>
        <w:spacing w:line="360" w:lineRule="auto"/>
        <w:ind w:firstLine="422" w:firstLineChars="200"/>
        <w:rPr>
          <w:rFonts w:hint="eastAsia" w:ascii="宋体" w:hAnsi="宋体" w:cs="宋体"/>
          <w:color w:val="auto"/>
          <w:highlight w:val="none"/>
        </w:rPr>
      </w:pPr>
      <w:r>
        <w:rPr>
          <w:rFonts w:hint="eastAsia" w:ascii="宋体" w:hAnsi="宋体" w:cs="宋体"/>
          <w:b/>
          <w:bCs/>
          <w:color w:val="auto"/>
          <w:highlight w:val="none"/>
        </w:rPr>
        <w:t>31.6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投诉书格式后附），受理投诉方式见“供应商须知前附表”</w:t>
      </w:r>
      <w:r>
        <w:rPr>
          <w:rFonts w:hint="eastAsia" w:ascii="宋体" w:hAnsi="宋体" w:cs="宋体"/>
          <w:color w:val="auto"/>
          <w:highlight w:val="none"/>
        </w:rPr>
        <w:t>。</w:t>
      </w:r>
      <w:bookmarkStart w:id="99" w:name="_Toc80205930"/>
    </w:p>
    <w:p>
      <w:pPr>
        <w:pStyle w:val="5"/>
        <w:spacing w:before="0" w:after="0" w:line="360" w:lineRule="auto"/>
        <w:ind w:firstLine="315" w:firstLineChars="98"/>
        <w:rPr>
          <w:rFonts w:hint="eastAsia"/>
          <w:color w:val="auto"/>
          <w:highlight w:val="none"/>
        </w:rPr>
      </w:pPr>
      <w:bookmarkStart w:id="100" w:name="_Toc80886935"/>
      <w:bookmarkStart w:id="101" w:name="_Toc26989"/>
      <w:bookmarkStart w:id="102" w:name="_Toc9275"/>
    </w:p>
    <w:p>
      <w:pPr>
        <w:pStyle w:val="5"/>
        <w:spacing w:before="0" w:after="0" w:line="360" w:lineRule="auto"/>
        <w:ind w:firstLine="313" w:firstLineChars="98"/>
        <w:rPr>
          <w:b w:val="0"/>
          <w:color w:val="auto"/>
          <w:highlight w:val="none"/>
        </w:rPr>
      </w:pPr>
      <w:r>
        <w:rPr>
          <w:rFonts w:hint="eastAsia"/>
          <w:b w:val="0"/>
          <w:bCs w:val="0"/>
          <w:color w:val="auto"/>
          <w:highlight w:val="none"/>
        </w:rPr>
        <w:t>六</w:t>
      </w:r>
      <w:r>
        <w:rPr>
          <w:rFonts w:hint="eastAsia"/>
          <w:b w:val="0"/>
          <w:color w:val="auto"/>
          <w:highlight w:val="none"/>
        </w:rPr>
        <w:t>、验收</w:t>
      </w:r>
      <w:bookmarkEnd w:id="99"/>
      <w:bookmarkEnd w:id="100"/>
      <w:bookmarkEnd w:id="101"/>
      <w:bookmarkEnd w:id="102"/>
    </w:p>
    <w:p>
      <w:pPr>
        <w:tabs>
          <w:tab w:val="left" w:pos="0"/>
        </w:tabs>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32.验收</w:t>
      </w:r>
    </w:p>
    <w:p>
      <w:pPr>
        <w:tabs>
          <w:tab w:val="left" w:pos="0"/>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r>
        <w:rPr>
          <w:rFonts w:hint="eastAsia" w:ascii="宋体" w:hAnsi="宋体" w:cs="宋体"/>
          <w:color w:val="auto"/>
          <w:kern w:val="0"/>
          <w:szCs w:val="21"/>
          <w:highlight w:val="none"/>
        </w:rPr>
        <w:t>返还条件挂钩。履约验收的各项资料应当存档备查。</w:t>
      </w:r>
    </w:p>
    <w:p>
      <w:pPr>
        <w:tabs>
          <w:tab w:val="left" w:pos="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5"/>
        <w:spacing w:before="0" w:after="0" w:line="360" w:lineRule="auto"/>
        <w:ind w:firstLine="320" w:firstLineChars="100"/>
        <w:rPr>
          <w:rFonts w:hint="eastAsia"/>
          <w:b w:val="0"/>
          <w:bCs w:val="0"/>
          <w:color w:val="auto"/>
          <w:highlight w:val="none"/>
        </w:rPr>
      </w:pPr>
      <w:bookmarkStart w:id="103" w:name="_Toc10913"/>
      <w:bookmarkStart w:id="104" w:name="_Toc1170"/>
      <w:bookmarkStart w:id="105" w:name="_Toc80886936"/>
    </w:p>
    <w:p>
      <w:pPr>
        <w:pStyle w:val="5"/>
        <w:spacing w:before="0" w:after="0" w:line="360" w:lineRule="auto"/>
        <w:ind w:firstLine="320" w:firstLineChars="100"/>
        <w:rPr>
          <w:rFonts w:hint="eastAsia"/>
          <w:b w:val="0"/>
          <w:bCs w:val="0"/>
          <w:color w:val="auto"/>
          <w:highlight w:val="none"/>
        </w:rPr>
      </w:pPr>
      <w:r>
        <w:rPr>
          <w:rFonts w:hint="eastAsia"/>
          <w:b w:val="0"/>
          <w:bCs w:val="0"/>
          <w:color w:val="auto"/>
          <w:highlight w:val="none"/>
        </w:rPr>
        <w:t>七、其他事项</w:t>
      </w:r>
      <w:bookmarkEnd w:id="103"/>
      <w:bookmarkEnd w:id="104"/>
      <w:bookmarkEnd w:id="105"/>
    </w:p>
    <w:p>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3.采购代理服务费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33.1 采购代理服务费收费标准及缴费账户详见“供应商须知前附表”，供应商为联合体的，可以由联合体中的一方或者多方共同缴纳采购代理服务费。</w:t>
      </w:r>
    </w:p>
    <w:p>
      <w:pPr>
        <w:pStyle w:val="16"/>
        <w:ind w:firstLine="420" w:firstLineChars="200"/>
        <w:rPr>
          <w:rFonts w:hint="eastAsia" w:ascii="宋体" w:hAnsi="宋体" w:cs="宋体"/>
          <w:color w:val="auto"/>
          <w:highlight w:val="none"/>
        </w:rPr>
      </w:pPr>
      <w:r>
        <w:rPr>
          <w:rFonts w:hint="eastAsia" w:ascii="宋体" w:hAnsi="宋体" w:cs="宋体"/>
          <w:color w:val="auto"/>
          <w:szCs w:val="21"/>
          <w:highlight w:val="none"/>
        </w:rPr>
        <w:t>33.2采购代理服务费收费计算标准：</w:t>
      </w:r>
    </w:p>
    <w:tbl>
      <w:tblPr>
        <w:tblStyle w:val="32"/>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2" w:type="dxa"/>
            <w:tcBorders>
              <w:tl2br w:val="single" w:color="auto" w:sz="4" w:space="0"/>
            </w:tcBorders>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费率</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金额</w:t>
            </w:r>
          </w:p>
        </w:tc>
        <w:tc>
          <w:tcPr>
            <w:tcW w:w="1659" w:type="dxa"/>
            <w:vAlign w:val="center"/>
          </w:tcPr>
          <w:p>
            <w:pPr>
              <w:spacing w:line="360" w:lineRule="auto"/>
              <w:ind w:firstLine="105" w:firstLineChars="50"/>
              <w:jc w:val="center"/>
              <w:rPr>
                <w:rFonts w:hint="eastAsia" w:ascii="宋体" w:hAns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服务类</w:t>
            </w:r>
          </w:p>
        </w:tc>
        <w:tc>
          <w:tcPr>
            <w:tcW w:w="1546"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1.5%</w:t>
            </w:r>
          </w:p>
        </w:tc>
        <w:tc>
          <w:tcPr>
            <w:tcW w:w="1546"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100～500万元</w:t>
            </w:r>
          </w:p>
        </w:tc>
        <w:tc>
          <w:tcPr>
            <w:tcW w:w="1659"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0.8%</w:t>
            </w:r>
          </w:p>
        </w:tc>
        <w:tc>
          <w:tcPr>
            <w:tcW w:w="1546"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500～1000万元</w:t>
            </w:r>
          </w:p>
        </w:tc>
        <w:tc>
          <w:tcPr>
            <w:tcW w:w="1659" w:type="dxa"/>
          </w:tcPr>
          <w:p>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0.45%</w:t>
            </w:r>
          </w:p>
        </w:tc>
        <w:tc>
          <w:tcPr>
            <w:tcW w:w="1546"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1000～5000万元</w:t>
            </w:r>
          </w:p>
        </w:tc>
        <w:tc>
          <w:tcPr>
            <w:tcW w:w="1659"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0.25%</w:t>
            </w:r>
          </w:p>
        </w:tc>
        <w:tc>
          <w:tcPr>
            <w:tcW w:w="1546"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0.1%</w:t>
            </w:r>
          </w:p>
        </w:tc>
        <w:tc>
          <w:tcPr>
            <w:tcW w:w="1546"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1～5亿元</w:t>
            </w:r>
          </w:p>
        </w:tc>
        <w:tc>
          <w:tcPr>
            <w:tcW w:w="1659"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0.05%</w:t>
            </w:r>
          </w:p>
        </w:tc>
        <w:tc>
          <w:tcPr>
            <w:tcW w:w="1532"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5～10亿元</w:t>
            </w:r>
          </w:p>
        </w:tc>
        <w:tc>
          <w:tcPr>
            <w:tcW w:w="1659" w:type="dxa"/>
          </w:tcPr>
          <w:p>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c>
          <w:tcPr>
            <w:tcW w:w="1532"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tcPr>
          <w:p>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10～50亿元</w:t>
            </w:r>
          </w:p>
        </w:tc>
        <w:tc>
          <w:tcPr>
            <w:tcW w:w="1659" w:type="dxa"/>
          </w:tcPr>
          <w:p>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32"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46" w:type="dxa"/>
          </w:tcPr>
          <w:p>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50～100亿元</w:t>
            </w:r>
          </w:p>
        </w:tc>
        <w:tc>
          <w:tcPr>
            <w:tcW w:w="1659"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0.006%</w:t>
            </w:r>
          </w:p>
        </w:tc>
        <w:tc>
          <w:tcPr>
            <w:tcW w:w="1546" w:type="dxa"/>
          </w:tcPr>
          <w:p>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100亿以上</w:t>
            </w:r>
          </w:p>
        </w:tc>
        <w:tc>
          <w:tcPr>
            <w:tcW w:w="1659"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0.004%</w:t>
            </w:r>
          </w:p>
        </w:tc>
        <w:tc>
          <w:tcPr>
            <w:tcW w:w="1546" w:type="dxa"/>
          </w:tcPr>
          <w:p>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0.004%</w:t>
            </w:r>
          </w:p>
        </w:tc>
      </w:tr>
    </w:tbl>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注：</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（1）按本表费率计算的收费为采购代理的收费基准价格；</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（2）采购代理收费按差额定率累进法计算。</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例如：</w:t>
      </w:r>
      <w:r>
        <w:rPr>
          <w:rFonts w:hint="eastAsia" w:ascii="宋体" w:hAnsi="宋体" w:cs="宋体"/>
          <w:color w:val="auto"/>
          <w:highlight w:val="none"/>
          <w:lang w:val="en-US" w:eastAsia="zh-CN"/>
        </w:rPr>
        <w:t>项目中标金额</w:t>
      </w:r>
      <w:r>
        <w:rPr>
          <w:rFonts w:hint="eastAsia" w:ascii="宋体" w:hAnsi="宋体" w:cs="宋体"/>
          <w:color w:val="auto"/>
          <w:highlight w:val="none"/>
        </w:rPr>
        <w:t>为1</w:t>
      </w:r>
      <w:r>
        <w:rPr>
          <w:rFonts w:hint="eastAsia" w:ascii="宋体" w:hAnsi="宋体" w:cs="宋体"/>
          <w:color w:val="auto"/>
          <w:highlight w:val="none"/>
          <w:lang w:val="en-US" w:eastAsia="zh-CN"/>
        </w:rPr>
        <w:t>98</w:t>
      </w:r>
      <w:r>
        <w:rPr>
          <w:rFonts w:hint="eastAsia" w:ascii="宋体" w:hAnsi="宋体" w:cs="宋体"/>
          <w:color w:val="auto"/>
          <w:highlight w:val="none"/>
        </w:rPr>
        <w:t>万元，计算采购代理收费额如下：</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100 万元 ×l.5 ％＝ 1.5 万元</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1</w:t>
      </w:r>
      <w:r>
        <w:rPr>
          <w:rFonts w:hint="eastAsia" w:ascii="宋体" w:hAnsi="宋体" w:cs="宋体"/>
          <w:color w:val="auto"/>
          <w:highlight w:val="none"/>
          <w:lang w:val="en-US" w:eastAsia="zh-CN"/>
        </w:rPr>
        <w:t>98</w:t>
      </w:r>
      <w:r>
        <w:rPr>
          <w:rFonts w:hint="eastAsia" w:ascii="宋体" w:hAnsi="宋体" w:cs="宋体"/>
          <w:color w:val="auto"/>
          <w:highlight w:val="none"/>
        </w:rPr>
        <w:t xml:space="preserve"> － 100 ）万元 ×0.8％＝ 0.</w:t>
      </w:r>
      <w:r>
        <w:rPr>
          <w:rFonts w:hint="eastAsia" w:ascii="宋体" w:hAnsi="宋体" w:cs="宋体"/>
          <w:color w:val="auto"/>
          <w:highlight w:val="none"/>
          <w:lang w:val="en-US" w:eastAsia="zh-CN"/>
        </w:rPr>
        <w:t>784</w:t>
      </w:r>
      <w:r>
        <w:rPr>
          <w:rFonts w:hint="eastAsia" w:ascii="宋体" w:hAnsi="宋体" w:cs="宋体"/>
          <w:color w:val="auto"/>
          <w:highlight w:val="none"/>
        </w:rPr>
        <w:t>万元</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合计收费＝ 1.5 ＋ 0.784＝ </w:t>
      </w:r>
      <w:r>
        <w:rPr>
          <w:rFonts w:hint="eastAsia" w:ascii="宋体" w:hAnsi="宋体" w:cs="宋体"/>
          <w:color w:val="auto"/>
          <w:highlight w:val="none"/>
          <w:lang w:val="en-US" w:eastAsia="zh-CN"/>
        </w:rPr>
        <w:t>2.284</w:t>
      </w:r>
      <w:r>
        <w:rPr>
          <w:rFonts w:hint="eastAsia" w:ascii="宋体" w:hAnsi="宋体" w:cs="宋体"/>
          <w:color w:val="auto"/>
          <w:highlight w:val="none"/>
        </w:rPr>
        <w:t xml:space="preserve"> 万元</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34</w:t>
      </w:r>
      <w:r>
        <w:rPr>
          <w:rFonts w:ascii="黑体" w:hAnsi="黑体" w:eastAsia="黑体" w:cs="宋体"/>
          <w:b/>
          <w:bCs/>
          <w:color w:val="auto"/>
          <w:sz w:val="24"/>
          <w:highlight w:val="none"/>
        </w:rPr>
        <w:t>.需要补充的其他内容</w:t>
      </w:r>
    </w:p>
    <w:p>
      <w:pPr>
        <w:spacing w:line="360" w:lineRule="auto"/>
        <w:ind w:firstLine="420" w:firstLineChars="200"/>
        <w:textAlignment w:val="center"/>
        <w:rPr>
          <w:rFonts w:hint="eastAsia" w:ascii="宋体" w:hAnsi="宋体" w:cs="宋体"/>
          <w:color w:val="auto"/>
          <w:szCs w:val="21"/>
          <w:highlight w:val="none"/>
        </w:rPr>
      </w:pPr>
      <w:r>
        <w:rPr>
          <w:rFonts w:hint="eastAsia" w:ascii="宋体" w:hAnsi="宋体" w:cs="宋体"/>
          <w:color w:val="auto"/>
          <w:szCs w:val="21"/>
          <w:highlight w:val="none"/>
        </w:rPr>
        <w:t>34.1本磋商文件解释规则详见“供应商须知前附表”。</w:t>
      </w:r>
    </w:p>
    <w:p>
      <w:pPr>
        <w:spacing w:line="360" w:lineRule="auto"/>
        <w:ind w:firstLine="420" w:firstLineChars="200"/>
        <w:textAlignment w:val="center"/>
        <w:rPr>
          <w:rFonts w:hint="eastAsia" w:ascii="宋体" w:hAnsi="宋体" w:cs="宋体"/>
          <w:color w:val="auto"/>
          <w:szCs w:val="21"/>
          <w:highlight w:val="none"/>
        </w:rPr>
      </w:pPr>
      <w:r>
        <w:rPr>
          <w:rFonts w:hint="eastAsia" w:ascii="宋体" w:hAnsi="宋体" w:cs="宋体"/>
          <w:color w:val="auto"/>
          <w:szCs w:val="21"/>
          <w:highlight w:val="none"/>
        </w:rPr>
        <w:t>34.2 其他事项详见“供应商须知前附表”。</w:t>
      </w:r>
    </w:p>
    <w:p>
      <w:pPr>
        <w:spacing w:line="360" w:lineRule="auto"/>
        <w:ind w:firstLine="420" w:firstLineChars="200"/>
        <w:textAlignment w:val="center"/>
        <w:rPr>
          <w:rFonts w:hint="eastAsia" w:ascii="宋体" w:hAnsi="宋体" w:cs="宋体"/>
          <w:color w:val="auto"/>
          <w:szCs w:val="21"/>
          <w:highlight w:val="none"/>
        </w:rPr>
      </w:pPr>
      <w:r>
        <w:rPr>
          <w:rFonts w:hint="eastAsia" w:ascii="宋体" w:hAnsi="宋体" w:cs="宋体"/>
          <w:color w:val="auto"/>
          <w:szCs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cs="宋体"/>
          <w:color w:val="auto"/>
          <w:kern w:val="0"/>
          <w:szCs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cs="宋体"/>
          <w:color w:val="auto"/>
          <w:szCs w:val="21"/>
          <w:highlight w:val="none"/>
        </w:rPr>
        <w:t>，享受本文件规定的中小企业扶持政策。</w:t>
      </w:r>
    </w:p>
    <w:p>
      <w:pPr>
        <w:spacing w:line="360" w:lineRule="auto"/>
        <w:ind w:firstLine="420" w:firstLineChars="200"/>
        <w:textAlignment w:val="center"/>
        <w:rPr>
          <w:rFonts w:hint="eastAsia" w:ascii="宋体" w:hAnsi="宋体" w:cs="宋体"/>
          <w:color w:val="auto"/>
          <w:szCs w:val="21"/>
          <w:highlight w:val="none"/>
        </w:rPr>
      </w:pPr>
      <w:r>
        <w:rPr>
          <w:rFonts w:hint="eastAsia" w:ascii="宋体" w:hAnsi="宋体" w:cs="宋体"/>
          <w:color w:val="auto"/>
          <w:szCs w:val="21"/>
          <w:highlight w:val="none"/>
        </w:rPr>
        <w:t>以联合体形式参加政府采购活动，联合体各方均为中小企业的，联合体视同中小企业。其中，联合体各方均为小微企业的，联合体视同小微企业。</w:t>
      </w:r>
    </w:p>
    <w:p>
      <w:pPr>
        <w:spacing w:line="360" w:lineRule="auto"/>
        <w:ind w:firstLine="420" w:firstLineChars="200"/>
        <w:textAlignment w:val="center"/>
        <w:rPr>
          <w:rFonts w:hint="eastAsia" w:ascii="宋体" w:hAnsi="宋体" w:cs="宋体"/>
          <w:color w:val="auto"/>
          <w:szCs w:val="21"/>
          <w:highlight w:val="none"/>
        </w:rPr>
      </w:pPr>
      <w:r>
        <w:rPr>
          <w:rFonts w:hint="eastAsia" w:ascii="宋体" w:hAnsi="宋体" w:cs="宋体"/>
          <w:color w:val="auto"/>
          <w:szCs w:val="21"/>
          <w:highlight w:val="none"/>
        </w:rPr>
        <w:t>依据本文件规定享受扶持政策获得政府采购合同的，小微企业不得将合同分包给大中型企业，中型企业不得将合同分包给大型企业。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 广西线上“政采贷”政策告知函</w:t>
      </w:r>
    </w:p>
    <w:p>
      <w:pPr>
        <w:spacing w:line="580" w:lineRule="exact"/>
        <w:jc w:val="center"/>
        <w:rPr>
          <w:rFonts w:hint="eastAsia" w:ascii="宋体" w:hAnsi="宋体" w:cs="宋体"/>
          <w:color w:val="auto"/>
          <w:sz w:val="32"/>
          <w:szCs w:val="32"/>
          <w:highlight w:val="none"/>
        </w:rPr>
      </w:pPr>
    </w:p>
    <w:p>
      <w:pPr>
        <w:spacing w:line="580" w:lineRule="exact"/>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r>
        <w:rPr>
          <w:rFonts w:hint="eastAsia" w:ascii="宋体" w:hAnsi="宋体" w:cs="宋体"/>
          <w:color w:val="auto"/>
          <w:sz w:val="32"/>
          <w:szCs w:val="32"/>
          <w:highlight w:val="none"/>
        </w:rPr>
        <w:t>广西线上“政采贷”政策告知函</w:t>
      </w:r>
    </w:p>
    <w:p>
      <w:pPr>
        <w:spacing w:line="580" w:lineRule="exact"/>
        <w:ind w:firstLine="420" w:firstLineChars="200"/>
        <w:rPr>
          <w:rFonts w:hint="eastAsia" w:ascii="宋体" w:hAnsi="宋体" w:cs="宋体"/>
          <w:color w:val="auto"/>
          <w:szCs w:val="32"/>
          <w:highlight w:val="none"/>
        </w:rPr>
      </w:pPr>
    </w:p>
    <w:p>
      <w:pPr>
        <w:spacing w:line="580" w:lineRule="exact"/>
        <w:rPr>
          <w:rFonts w:hint="eastAsia" w:ascii="宋体" w:hAnsi="宋体" w:cs="宋体"/>
          <w:color w:val="auto"/>
          <w:szCs w:val="21"/>
          <w:highlight w:val="none"/>
        </w:rPr>
      </w:pPr>
      <w:r>
        <w:rPr>
          <w:rFonts w:hint="eastAsia" w:ascii="宋体" w:hAnsi="宋体" w:cs="宋体"/>
          <w:color w:val="auto"/>
          <w:szCs w:val="21"/>
          <w:highlight w:val="none"/>
        </w:rPr>
        <w:t>各供应商：</w:t>
      </w:r>
    </w:p>
    <w:p>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欢迎贵公司参与广西政府采购活动！</w:t>
      </w:r>
    </w:p>
    <w:p>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相关金融产品和银行业金融机构联系方式，可在中征应收账款融资服务平台查询（网址：</w:t>
      </w:r>
      <w:r>
        <w:rPr>
          <w:color w:val="auto"/>
          <w:highlight w:val="none"/>
        </w:rPr>
        <w:fldChar w:fldCharType="begin"/>
      </w:r>
      <w:r>
        <w:rPr>
          <w:color w:val="auto"/>
          <w:highlight w:val="none"/>
        </w:rPr>
        <w:instrText xml:space="preserve"> HYPERLINK "https://www.crcrfsp.com/" </w:instrText>
      </w:r>
      <w:r>
        <w:rPr>
          <w:color w:val="auto"/>
          <w:highlight w:val="none"/>
        </w:rPr>
        <w:fldChar w:fldCharType="separate"/>
      </w:r>
      <w:r>
        <w:rPr>
          <w:rStyle w:val="37"/>
          <w:rFonts w:hint="eastAsia" w:ascii="宋体" w:hAnsi="宋体" w:cs="宋体"/>
          <w:color w:val="auto"/>
          <w:szCs w:val="21"/>
          <w:highlight w:val="none"/>
        </w:rPr>
        <w:t>https://www.crcrfsp.com/</w:t>
      </w:r>
      <w:r>
        <w:rPr>
          <w:rStyle w:val="37"/>
          <w:rFonts w:hint="eastAsia" w:ascii="宋体" w:hAnsi="宋体" w:cs="宋体"/>
          <w:color w:val="auto"/>
          <w:szCs w:val="21"/>
          <w:highlight w:val="none"/>
        </w:rPr>
        <w:fldChar w:fldCharType="end"/>
      </w:r>
      <w:r>
        <w:rPr>
          <w:rFonts w:hint="eastAsia" w:ascii="宋体" w:hAnsi="宋体" w:cs="宋体"/>
          <w:color w:val="auto"/>
          <w:szCs w:val="21"/>
          <w:highlight w:val="none"/>
        </w:rPr>
        <w:t>，客服电话：400-009-0001）。</w:t>
      </w:r>
    </w:p>
    <w:p>
      <w:pPr>
        <w:pStyle w:val="24"/>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3"/>
        <w:spacing w:line="240" w:lineRule="auto"/>
        <w:jc w:val="center"/>
        <w:rPr>
          <w:rFonts w:hint="eastAsia" w:ascii="Calibri" w:hAnsi="Calibri"/>
          <w:color w:val="auto"/>
          <w:highlight w:val="none"/>
        </w:rPr>
      </w:pPr>
      <w:bookmarkStart w:id="106" w:name="_Toc3976"/>
      <w:bookmarkStart w:id="107" w:name="_Toc1088"/>
      <w:bookmarkStart w:id="108" w:name="_Toc8412"/>
      <w:bookmarkStart w:id="109" w:name="_Toc8593"/>
      <w:bookmarkStart w:id="110" w:name="_Toc17511"/>
      <w:bookmarkStart w:id="111" w:name="_Toc28979"/>
      <w:bookmarkStart w:id="112" w:name="_Toc3879"/>
      <w:bookmarkStart w:id="113" w:name="_Toc80886937"/>
      <w:r>
        <w:rPr>
          <w:rFonts w:hint="eastAsia" w:ascii="Calibri" w:hAnsi="Calibri"/>
          <w:color w:val="auto"/>
          <w:highlight w:val="none"/>
        </w:rPr>
        <w:t>第四章  评审程序、评审方法和评审标准</w:t>
      </w:r>
      <w:bookmarkEnd w:id="106"/>
      <w:bookmarkEnd w:id="107"/>
      <w:bookmarkEnd w:id="108"/>
      <w:bookmarkEnd w:id="109"/>
      <w:bookmarkEnd w:id="110"/>
      <w:bookmarkEnd w:id="111"/>
      <w:bookmarkEnd w:id="112"/>
      <w:bookmarkEnd w:id="113"/>
    </w:p>
    <w:p>
      <w:pPr>
        <w:pStyle w:val="4"/>
        <w:jc w:val="center"/>
        <w:rPr>
          <w:rFonts w:hint="eastAsia" w:ascii="宋体" w:hAnsi="宋体"/>
          <w:b w:val="0"/>
          <w:color w:val="auto"/>
          <w:highlight w:val="none"/>
        </w:rPr>
      </w:pPr>
      <w:bookmarkStart w:id="114" w:name="_Toc11607"/>
      <w:bookmarkStart w:id="115" w:name="_Toc17424"/>
      <w:bookmarkStart w:id="116" w:name="_Toc80886938"/>
      <w:r>
        <w:rPr>
          <w:rFonts w:hint="eastAsia" w:ascii="宋体" w:hAnsi="宋体"/>
          <w:b w:val="0"/>
          <w:color w:val="auto"/>
          <w:highlight w:val="none"/>
        </w:rPr>
        <w:t>第一节 评审程序和评审方法</w:t>
      </w:r>
      <w:bookmarkEnd w:id="114"/>
      <w:bookmarkEnd w:id="115"/>
      <w:bookmarkEnd w:id="116"/>
    </w:p>
    <w:p>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.确认磋商文件</w:t>
      </w:r>
    </w:p>
    <w:p>
      <w:pPr>
        <w:spacing w:line="360" w:lineRule="auto"/>
        <w:ind w:firstLine="420" w:firstLineChars="200"/>
        <w:rPr>
          <w:rFonts w:hint="eastAsia" w:cs="宋体"/>
          <w:color w:val="auto"/>
          <w:szCs w:val="21"/>
          <w:highlight w:val="none"/>
        </w:rPr>
      </w:pPr>
      <w:r>
        <w:rPr>
          <w:rFonts w:hint="eastAsia" w:cs="宋体"/>
          <w:color w:val="auto"/>
          <w:szCs w:val="21"/>
          <w:highlight w:val="none"/>
        </w:rPr>
        <w:t>由磋商小组确认磋商文件。</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2.资格审查</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2.1响应文件开启后，磋商小组依法对供应商的资格证明文件进行审查。</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注：采购人代表或者采购代理机构在资格审查结束前，对供应商进行信用查询。</w:t>
      </w:r>
    </w:p>
    <w:p>
      <w:pPr>
        <w:snapToGrid w:val="0"/>
        <w:spacing w:line="360" w:lineRule="auto"/>
        <w:ind w:firstLine="420" w:firstLineChars="200"/>
        <w:jc w:val="left"/>
        <w:rPr>
          <w:rFonts w:hint="eastAsia" w:ascii="宋体" w:hAnsi="宋体" w:cs="宋体"/>
          <w:color w:val="auto"/>
          <w:szCs w:val="21"/>
          <w:highlight w:val="none"/>
          <w:u w:val="none"/>
        </w:rPr>
      </w:pPr>
      <w:r>
        <w:rPr>
          <w:rFonts w:hint="eastAsia" w:ascii="宋体" w:hAnsi="宋体" w:cs="宋体"/>
          <w:color w:val="auto"/>
          <w:szCs w:val="21"/>
          <w:highlight w:val="none"/>
        </w:rPr>
        <w:t>（1）查询渠道：</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“信用中国”网</w:t>
      </w:r>
      <w:r>
        <w:rPr>
          <w:rFonts w:hint="eastAsia" w:ascii="宋体" w:hAnsi="宋体" w:cs="宋体"/>
          <w:color w:val="auto"/>
          <w:szCs w:val="21"/>
          <w:highlight w:val="none"/>
          <w:u w:val="none"/>
        </w:rPr>
        <w:t>站(</w:t>
      </w:r>
      <w:r>
        <w:rPr>
          <w:color w:val="auto"/>
          <w:highlight w:val="none"/>
          <w:u w:val="none"/>
        </w:rPr>
        <w:fldChar w:fldCharType="begin"/>
      </w:r>
      <w:r>
        <w:rPr>
          <w:color w:val="auto"/>
          <w:highlight w:val="none"/>
          <w:u w:val="none"/>
        </w:rPr>
        <w:instrText xml:space="preserve"> HYPERLINK "http://www.creditchina.gov.cn" </w:instrText>
      </w:r>
      <w:r>
        <w:rPr>
          <w:color w:val="auto"/>
          <w:highlight w:val="none"/>
          <w:u w:val="none"/>
        </w:rPr>
        <w:fldChar w:fldCharType="separate"/>
      </w:r>
      <w:r>
        <w:rPr>
          <w:rStyle w:val="39"/>
          <w:rFonts w:hint="eastAsia" w:ascii="宋体" w:hAnsi="宋体" w:cs="宋体"/>
          <w:color w:val="auto"/>
          <w:highlight w:val="none"/>
          <w:u w:val="none"/>
        </w:rPr>
        <w:t>www.creditchina.gov.cn</w:t>
      </w:r>
      <w:r>
        <w:rPr>
          <w:rStyle w:val="39"/>
          <w:rFonts w:hint="eastAsia" w:ascii="宋体" w:hAnsi="宋体" w:cs="宋体"/>
          <w:color w:val="auto"/>
          <w:highlight w:val="none"/>
          <w:u w:val="none"/>
        </w:rPr>
        <w:fldChar w:fldCharType="end"/>
      </w:r>
      <w:r>
        <w:rPr>
          <w:rFonts w:hint="eastAsia" w:ascii="宋体" w:hAnsi="宋体" w:cs="宋体"/>
          <w:color w:val="auto"/>
          <w:szCs w:val="21"/>
          <w:highlight w:val="none"/>
          <w:u w:val="none"/>
        </w:rPr>
        <w:t>)、中国政府采购网(</w:t>
      </w:r>
      <w:r>
        <w:rPr>
          <w:color w:val="auto"/>
          <w:highlight w:val="none"/>
          <w:u w:val="none"/>
        </w:rPr>
        <w:fldChar w:fldCharType="begin"/>
      </w:r>
      <w:r>
        <w:rPr>
          <w:color w:val="auto"/>
          <w:highlight w:val="none"/>
          <w:u w:val="none"/>
        </w:rPr>
        <w:instrText xml:space="preserve"> HYPERLINK "http://www.ccgp.gov.cn" </w:instrText>
      </w:r>
      <w:r>
        <w:rPr>
          <w:color w:val="auto"/>
          <w:highlight w:val="none"/>
          <w:u w:val="none"/>
        </w:rPr>
        <w:fldChar w:fldCharType="separate"/>
      </w:r>
      <w:r>
        <w:rPr>
          <w:rStyle w:val="39"/>
          <w:rFonts w:hint="eastAsia" w:ascii="宋体" w:hAnsi="宋体" w:cs="宋体"/>
          <w:color w:val="auto"/>
          <w:highlight w:val="none"/>
          <w:u w:val="none"/>
        </w:rPr>
        <w:t>www.ccgp.gov.cn</w:t>
      </w:r>
      <w:r>
        <w:rPr>
          <w:rStyle w:val="39"/>
          <w:rFonts w:hint="eastAsia" w:ascii="宋体" w:hAnsi="宋体" w:cs="宋体"/>
          <w:color w:val="auto"/>
          <w:highlight w:val="none"/>
          <w:u w:val="none"/>
        </w:rPr>
        <w:fldChar w:fldCharType="end"/>
      </w:r>
      <w:r>
        <w:rPr>
          <w:rFonts w:hint="eastAsia" w:ascii="宋体" w:hAnsi="宋体" w:cs="宋体"/>
          <w:color w:val="auto"/>
          <w:szCs w:val="21"/>
          <w:highlight w:val="none"/>
          <w:u w:val="none"/>
        </w:rPr>
        <w:t>)链接入口。</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2.3供应商有下列情形之一的，资格审查不通过，其响应文件按无效响应处理：</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pPr>
        <w:spacing w:line="360" w:lineRule="auto"/>
        <w:ind w:firstLine="420" w:firstLineChars="200"/>
        <w:rPr>
          <w:rFonts w:hint="eastAsia" w:ascii="宋体" w:hAnsi="宋体" w:cs="宋体"/>
          <w:color w:val="auto"/>
          <w:szCs w:val="21"/>
          <w:highlight w:val="none"/>
        </w:rPr>
      </w:pPr>
      <w:bookmarkStart w:id="117" w:name="_Hlk68601553"/>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117"/>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2.4通过资格审查的合格供应商不足3家的，不得进入符合性审查环节，采购人或者采购代理机构应当重新开展采购活动。</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3.符合性审查</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3.1由磋商小组对通过资格审查的合格供应商的响应文件的响应报价、商务、技术等实质性要求进行符合性审查，以确定其是否满足磋商文件的实质性要求。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hint="eastAsia" w:ascii="宋体" w:hAnsi="宋体" w:cs="宋体"/>
          <w:color w:val="auto"/>
          <w:spacing w:val="-6"/>
          <w:szCs w:val="21"/>
          <w:highlight w:val="none"/>
        </w:rPr>
      </w:pPr>
      <w:r>
        <w:rPr>
          <w:rFonts w:hint="eastAsia" w:ascii="宋体" w:hAnsi="宋体" w:cs="宋体"/>
          <w:color w:val="auto"/>
          <w:szCs w:val="21"/>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供应商公章</w:t>
      </w:r>
      <w:r>
        <w:rPr>
          <w:rFonts w:hint="eastAsia" w:ascii="宋体" w:hAnsi="宋体" w:cs="宋体"/>
          <w:color w:val="auto"/>
          <w:spacing w:val="-6"/>
          <w:szCs w:val="21"/>
          <w:highlight w:val="none"/>
        </w:rPr>
        <w:t>。供应商为自然人的，必须由本人签字并附身份证明。</w:t>
      </w:r>
    </w:p>
    <w:p>
      <w:pPr>
        <w:spacing w:line="360" w:lineRule="auto"/>
        <w:ind w:firstLine="396" w:firstLineChars="200"/>
        <w:rPr>
          <w:rFonts w:hint="eastAsia"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（1）响应文件中响应报价表内容与响应文件中相应内容不一致的，以响应报价表为准；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（3）单价金额小数点或者百分比有明显错位的，以响应报价表的总价为准，并修改单价；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3.5商务技术、报价评审</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在评审时，如发现下列情形之一的，将被视为响应文件无效处理：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（1）商务技术评审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4）商务条款中标“▲”的条款发生负偏离的或者允许负偏离的条款数超过“供应商须知前附表”规定项数的或者标明实质性的要求发生负偏离；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9）属于“供应商须知正文”第7.5条情形；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10）技术需求允许负偏离的条款数超过“供应商须知前附表”规定项数；</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11）虚假竞标，或者出现其他情形而导致被磋商小组认定无效；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12）竞标技术方案不明确，磋商文件未允许但响应文件中存在一个或者一个以上备选（替代）竞标方案；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13）响应文件标注的项目名称或者项目编号与竞争性磋商文件标注的项目名称或者项目编号不一致的；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14）未响应磋商文件实质性要求；</w:t>
      </w:r>
    </w:p>
    <w:p>
      <w:pPr>
        <w:pStyle w:val="16"/>
        <w:ind w:firstLine="420" w:firstLineChars="200"/>
        <w:rPr>
          <w:rFonts w:hint="eastAsia" w:ascii="宋体" w:hAnsi="宋体" w:cs="宋体"/>
          <w:color w:val="auto"/>
          <w:highlight w:val="none"/>
        </w:rPr>
      </w:pPr>
      <w:r>
        <w:rPr>
          <w:rFonts w:hint="eastAsia" w:ascii="宋体" w:hAnsi="宋体" w:cs="宋体"/>
          <w:color w:val="auto"/>
          <w:szCs w:val="21"/>
          <w:highlight w:val="none"/>
        </w:rPr>
        <w:t>15）提交的磋商保证金无效的或者未按照磋商文件的规定提交磋商保证金；</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16）法律、法规和磋商文件规定的其他无效情形。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（2）报价评审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响应文件未提供“供应商须知前附表” 报价文件中规定的“响应报价表”；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未就所竞标项目/分标进行报价或者存在漏项报价；供应商未就所竞标项目/分标的单项内容作唯一报价；供应商未就所竞标项目/分标的全部内容作唯一总价报价；供应商响应文件中存在有选择、有条件报价的（磋商文件允许有备选方案或者其他约定的除外）；</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报价（包含首次报价、最后报价）超过所竞标项目/分标规定的采购预算金额或者最高限价的（如本项目公布了最高限价）；响应报价（包含首次报价、最后报价）超过磋商文件分项采购预算金额或者最高限价的（如本项目公布了最高限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竞标项目/分标规定的采购预算金额或者最高限价（如本项目公布了最高限价）；或者经供应商确认修正后响应报价（包含首次报价、最后报价）超过磋商文件分项采购预算金额或者最高限价的（如本项目公布了最高限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6）响应文件响应的标的数量及单位与竞争性磋商文件要求实质性不一致的。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pPr>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4.磋商程序</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4.1磋商小组按照“供应商须知前附表”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4.3对磋商文件作出的实质性变动是磋商文件的有效组成部分，由磋商小组及时以电子澄清函形式同时通知所有参加磋商的供应商。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供应商必须按照磋商文件的变动情况和磋商小组的要求以回函的形式重新提交响应文件，并加盖供应商公章。供应商为自然人的，必须由本人签字并附身份证明。参加磋商的供应商未在规定时间内重新提交响应文件的，视同退出磋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4.5磋商中，</w:t>
      </w:r>
      <w:r>
        <w:rPr>
          <w:rFonts w:hint="eastAsia" w:ascii="宋体" w:hAnsi="宋体" w:cs="宋体"/>
          <w:color w:val="auto"/>
          <w:spacing w:val="-6"/>
          <w:szCs w:val="21"/>
          <w:highlight w:val="none"/>
        </w:rPr>
        <w:t>磋商的任何一方不得透露与磋商有关的其他供应商的技术资料、价格和其他信息。</w:t>
      </w:r>
    </w:p>
    <w:p>
      <w:pPr>
        <w:widowControl/>
        <w:tabs>
          <w:tab w:val="left" w:pos="540"/>
        </w:tabs>
        <w:spacing w:line="360" w:lineRule="auto"/>
        <w:ind w:firstLine="420" w:firstLineChars="200"/>
        <w:jc w:val="left"/>
        <w:rPr>
          <w:rFonts w:hint="eastAsia" w:ascii="宋体" w:hAnsi="宋体" w:cs="宋体"/>
          <w:b/>
          <w:color w:val="auto"/>
          <w:highlight w:val="none"/>
        </w:rPr>
      </w:pPr>
      <w:r>
        <w:rPr>
          <w:rFonts w:hint="eastAsia" w:ascii="宋体" w:hAnsi="宋体" w:cs="宋体"/>
          <w:color w:val="auto"/>
          <w:szCs w:val="21"/>
          <w:highlight w:val="none"/>
        </w:rPr>
        <w:t>4.6磋商小组应对磋商过程和重要磋商内容进行记录，作为评审报告一部分，磋商小组在记录上签字确认。</w:t>
      </w:r>
      <w:r>
        <w:rPr>
          <w:rFonts w:hint="eastAsia" w:ascii="宋体" w:hAnsi="宋体" w:cs="宋体"/>
          <w:b/>
          <w:color w:val="auto"/>
          <w:highlight w:val="none"/>
        </w:rPr>
        <w:t>主要内容包括：</w:t>
      </w:r>
    </w:p>
    <w:p>
      <w:pPr>
        <w:pStyle w:val="68"/>
        <w:spacing w:before="0"/>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（1）按照相关规定进行公示的，公示情况说明；</w:t>
      </w:r>
    </w:p>
    <w:p>
      <w:pPr>
        <w:pStyle w:val="68"/>
        <w:spacing w:before="0"/>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（2）磋商日期和地点，磋商人员名单；</w:t>
      </w:r>
    </w:p>
    <w:p>
      <w:pPr>
        <w:pStyle w:val="68"/>
        <w:spacing w:before="0"/>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（3）合同主要条款及价格商定情况。</w:t>
      </w:r>
    </w:p>
    <w:p>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4.7磋商过程中重新提交的响应文件，供应商可以在开启前补充、修改。</w:t>
      </w:r>
    </w:p>
    <w:p>
      <w:pPr>
        <w:tabs>
          <w:tab w:val="left" w:pos="283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4.8对磋商过程提交的响应文件进行有效性、完整性和响应程度审查，通过审查的合格供应商不足3家的，采购人或者采购代理机构应当重新开展采购活动。</w:t>
      </w:r>
    </w:p>
    <w:p>
      <w:pPr>
        <w:ind w:firstLine="200"/>
        <w:rPr>
          <w:rFonts w:hint="eastAsia" w:ascii="宋体" w:hAnsi="宋体" w:cs="宋体"/>
          <w:color w:val="auto"/>
          <w:szCs w:val="21"/>
          <w:highlight w:val="none"/>
        </w:rPr>
      </w:pPr>
      <w:r>
        <w:rPr>
          <w:rFonts w:hint="eastAsia" w:ascii="宋体" w:hAnsi="宋体" w:cs="宋体"/>
          <w:b/>
          <w:bCs/>
          <w:color w:val="auto"/>
          <w:sz w:val="24"/>
          <w:highlight w:val="none"/>
        </w:rPr>
        <w:t>5. 最后报价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5.4已经提交响应文件的供应商，在提交最后报价之前，可以根据磋商情况退出磋商，退出磋商的供应商的响应文件按无效响应处理。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5.5供应商未在规定时间内提交最后报价的，视同退出磋商，其响应文件按无效处理。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5.6磋商小组收齐本项目/某一分标最后报价后统一开启，磋商小组对最后报价进行有效性、完整性和响应程度的审查。</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5.7最终响应文件的报价出现前后不一致的，按照本章第3.4条的规定修正。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5.8修正后的最后报价出现下列情形的，按无效响应处理：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（2）经供应商确认修正后的响应报价（包含首次报价、最后报价）超过所竞标项目/分标规定的采购预算金额或者最高限价的（如本项目公布了最高限价）；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5.9经供应商确认修正后的最后报价作为评审及签订合同的依据。</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s="宋体"/>
          <w:color w:val="auto"/>
          <w:sz w:val="22"/>
          <w:szCs w:val="22"/>
          <w:highlight w:val="none"/>
        </w:rPr>
        <w:t>，磋商小组应当告知有关供应商</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5.11最后报价结束后，磋商小组不得再与供应商进行任何形式的商谈。</w:t>
      </w:r>
    </w:p>
    <w:p>
      <w:pPr>
        <w:pStyle w:val="24"/>
        <w:spacing w:line="360" w:lineRule="auto"/>
        <w:ind w:firstLine="422" w:firstLineChars="200"/>
        <w:rPr>
          <w:rFonts w:hint="eastAsia"/>
          <w:color w:val="auto"/>
          <w:highlight w:val="none"/>
        </w:rPr>
      </w:pPr>
      <w:r>
        <w:rPr>
          <w:rFonts w:hint="eastAsia" w:ascii="宋体" w:hAnsi="宋体" w:cs="宋体"/>
          <w:b/>
          <w:bCs/>
          <w:color w:val="auto"/>
          <w:sz w:val="21"/>
          <w:szCs w:val="21"/>
          <w:highlight w:val="none"/>
        </w:rPr>
        <w:t>注：</w:t>
      </w:r>
      <w:r>
        <w:rPr>
          <w:rFonts w:hint="eastAsia"/>
          <w:b/>
          <w:bCs/>
          <w:color w:val="auto"/>
          <w:sz w:val="21"/>
          <w:szCs w:val="21"/>
          <w:highlight w:val="none"/>
        </w:rPr>
        <w:t>如磋商小组要求提供最后报价附件的，需按规定的时间提供。最后报价有时间限制，供应商可参照竞争性磋商文件“第五章 响应文件格式”的最后报价表提前准备，以免耽误最后报价</w:t>
      </w:r>
      <w:r>
        <w:rPr>
          <w:rFonts w:hint="eastAsia" w:ascii="宋体" w:hAnsi="宋体" w:cs="宋体"/>
          <w:b/>
          <w:bCs/>
          <w:color w:val="auto"/>
          <w:sz w:val="21"/>
          <w:szCs w:val="21"/>
          <w:highlight w:val="none"/>
          <w:lang w:val="zh-CN"/>
        </w:rPr>
        <w:t>。</w:t>
      </w:r>
    </w:p>
    <w:p>
      <w:pPr>
        <w:ind w:firstLine="200"/>
        <w:rPr>
          <w:rFonts w:ascii="黑体" w:hAnsi="黑体" w:eastAsia="黑体" w:cs="宋体"/>
          <w:b/>
          <w:bCs/>
          <w:color w:val="auto"/>
          <w:sz w:val="24"/>
          <w:highlight w:val="none"/>
        </w:rPr>
      </w:pPr>
      <w:r>
        <w:rPr>
          <w:rFonts w:hint="eastAsia" w:ascii="黑体" w:hAnsi="黑体" w:eastAsia="黑体" w:cs="宋体"/>
          <w:b/>
          <w:bCs/>
          <w:color w:val="auto"/>
          <w:sz w:val="24"/>
          <w:highlight w:val="none"/>
        </w:rPr>
        <w:t>6</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6.1评审方法：综合评分法。</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6.3评审时，磋商小组各成员应当独立对每个有效响应的文件进行评价、打分，然后汇总每个供应商每项评分因素的得分。</w:t>
      </w:r>
    </w:p>
    <w:p>
      <w:pPr>
        <w:pStyle w:val="16"/>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磋商小组成员要根据政府采购法律法规和采购文件所载明的评审方法、标准进行评审。对供应商的价格分等客观评分项的评分应当一致，对其他需要借助专业知识评判的主观评分项，应当严格按照评分细则公正评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（2）磋商小组按照磋商文件中规定的评审标准计算各供应商的报价得分。项目评审过程中，不得去掉最后报价中的最高报价和最低报价。</w:t>
      </w:r>
    </w:p>
    <w:p>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（3）各供应商的得分为磋商小组所有成员的有效评分的算术平均数。</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6.4评审</w:t>
      </w:r>
      <w:r>
        <w:rPr>
          <w:rFonts w:hint="eastAsia" w:ascii="宋体" w:hAnsi="宋体" w:cs="宋体"/>
          <w:color w:val="auto"/>
          <w:highlight w:val="none"/>
        </w:rPr>
        <w:t>报价</w:t>
      </w:r>
      <w:r>
        <w:rPr>
          <w:rFonts w:hint="eastAsia" w:ascii="宋体" w:hAnsi="宋体" w:cs="宋体"/>
          <w:color w:val="auto"/>
          <w:szCs w:val="21"/>
          <w:highlight w:val="none"/>
        </w:rPr>
        <w:t>为供应商的最后报价进行政策性扣除后的价格，评审</w:t>
      </w:r>
      <w:r>
        <w:rPr>
          <w:rFonts w:hint="eastAsia" w:ascii="宋体" w:hAnsi="宋体" w:cs="宋体"/>
          <w:color w:val="auto"/>
          <w:highlight w:val="none"/>
        </w:rPr>
        <w:t>报价</w:t>
      </w:r>
      <w:r>
        <w:rPr>
          <w:rFonts w:hint="eastAsia" w:ascii="宋体" w:hAnsi="宋体" w:cs="宋体"/>
          <w:color w:val="auto"/>
          <w:szCs w:val="21"/>
          <w:highlight w:val="none"/>
        </w:rPr>
        <w:t>只是作为评审时使用。最终成交供应商的成交金额等于最后报价（如有修正，以确认修正后的最后报价为准）。</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6.5由磋商小组根据综合评分情况，按照评审得分由高到低顺序推荐3名以上成交候选供应商，并编写评</w:t>
      </w:r>
      <w:r>
        <w:rPr>
          <w:rFonts w:hint="eastAsia" w:ascii="宋体" w:hAnsi="宋体" w:cs="宋体"/>
          <w:color w:val="auto"/>
          <w:kern w:val="0"/>
          <w:szCs w:val="21"/>
          <w:highlight w:val="none"/>
        </w:rPr>
        <w:t>审报告。符合本章第5.3条情形的，可以推荐2家成交候选供应商。评审得分相同的，</w:t>
      </w:r>
      <w:r>
        <w:rPr>
          <w:rFonts w:hint="eastAsia" w:ascii="宋体" w:hAnsi="宋体" w:cs="宋体"/>
          <w:bCs/>
          <w:color w:val="auto"/>
          <w:szCs w:val="21"/>
          <w:highlight w:val="none"/>
        </w:rPr>
        <w:t>按照最后报价（不计算价格折扣）由低到高的顺序推荐。评审得分且最后报价（不计算价格折扣）相同的，按照技术指标优劣顺序推荐（按技术分得分由高到低排序，技术分得分相同的按照商务分得分由高到低排序）。评审得分、最后报价（不计算价格折扣）、技术分得分、商务分得分均相同的，由磋商小组随机抽取推荐。</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ind w:firstLine="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7</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评审标准</w:t>
      </w:r>
    </w:p>
    <w:p>
      <w:pPr>
        <w:spacing w:line="360" w:lineRule="auto"/>
        <w:ind w:firstLine="420" w:firstLineChars="200"/>
        <w:rPr>
          <w:rFonts w:hint="eastAsia" w:ascii="宋体" w:hAnsi="宋体" w:cs="宋体"/>
          <w:color w:val="auto"/>
          <w:highlight w:val="none"/>
        </w:rPr>
      </w:pPr>
      <w:bookmarkStart w:id="118" w:name="_Toc80205935"/>
      <w:r>
        <w:rPr>
          <w:rFonts w:hint="eastAsia" w:ascii="宋体" w:hAnsi="宋体" w:eastAsia="宋体" w:cs="宋体"/>
          <w:color w:val="auto"/>
          <w:kern w:val="0"/>
          <w:szCs w:val="21"/>
          <w:highlight w:val="none"/>
        </w:rPr>
        <w:t>7.1评审依据：磋商小组将以响应文件为评审依据，对供应商的报价、</w:t>
      </w:r>
      <w:r>
        <w:rPr>
          <w:rFonts w:hint="eastAsia" w:ascii="宋体" w:hAnsi="宋体" w:cs="宋体"/>
          <w:color w:val="auto"/>
          <w:kern w:val="0"/>
          <w:szCs w:val="21"/>
          <w:highlight w:val="none"/>
          <w:lang w:eastAsia="zh-CN"/>
        </w:rPr>
        <w:t>投标人基本情况</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eastAsia="zh-CN"/>
        </w:rPr>
        <w:t>服务方案、项目经验</w:t>
      </w:r>
      <w:r>
        <w:rPr>
          <w:rFonts w:hint="eastAsia" w:ascii="宋体" w:hAnsi="宋体" w:eastAsia="宋体" w:cs="宋体"/>
          <w:color w:val="auto"/>
          <w:kern w:val="0"/>
          <w:szCs w:val="21"/>
          <w:highlight w:val="none"/>
        </w:rPr>
        <w:t>等方面内容按百分制打分，总得分=报价</w:t>
      </w:r>
      <w:r>
        <w:rPr>
          <w:rFonts w:hint="eastAsia" w:ascii="宋体" w:hAnsi="宋体" w:cs="宋体"/>
          <w:color w:val="auto"/>
          <w:kern w:val="0"/>
          <w:szCs w:val="21"/>
          <w:highlight w:val="none"/>
          <w:lang w:eastAsia="zh-CN"/>
        </w:rPr>
        <w:t>分</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lang w:eastAsia="zh-CN"/>
        </w:rPr>
        <w:t>投标人基本情况分</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lang w:eastAsia="zh-CN"/>
        </w:rPr>
        <w:t>服务方案分</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lang w:eastAsia="zh-CN"/>
        </w:rPr>
        <w:t>项目经验分</w:t>
      </w:r>
      <w:r>
        <w:rPr>
          <w:rFonts w:hint="eastAsia" w:ascii="宋体" w:hAnsi="宋体" w:eastAsia="宋体" w:cs="宋体"/>
          <w:color w:val="auto"/>
          <w:kern w:val="0"/>
          <w:szCs w:val="21"/>
          <w:highlight w:val="none"/>
        </w:rPr>
        <w:t>。（计分方法按四舍五入取至百分位）</w:t>
      </w:r>
    </w:p>
    <w:tbl>
      <w:tblPr>
        <w:tblStyle w:val="3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913"/>
        <w:gridCol w:w="7670"/>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15" w:type="pct"/>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序 号</w:t>
            </w:r>
          </w:p>
        </w:tc>
        <w:tc>
          <w:tcPr>
            <w:tcW w:w="463" w:type="pct"/>
            <w:noWrap w:val="0"/>
            <w:vAlign w:val="center"/>
          </w:tcPr>
          <w:p>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评分</w:t>
            </w:r>
          </w:p>
          <w:p>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类型</w:t>
            </w:r>
          </w:p>
        </w:tc>
        <w:tc>
          <w:tcPr>
            <w:tcW w:w="3891" w:type="pct"/>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评审因素</w:t>
            </w:r>
          </w:p>
        </w:tc>
        <w:tc>
          <w:tcPr>
            <w:tcW w:w="330" w:type="pct"/>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满分分值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15" w:type="pct"/>
            <w:noWrap/>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463" w:type="pct"/>
            <w:noWrap/>
            <w:vAlign w:val="center"/>
          </w:tcPr>
          <w:p>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报价</w:t>
            </w:r>
          </w:p>
        </w:tc>
        <w:tc>
          <w:tcPr>
            <w:tcW w:w="3891" w:type="pct"/>
            <w:noWrap w:val="0"/>
            <w:vAlign w:val="center"/>
          </w:tcPr>
          <w:p>
            <w:pPr>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1.评审报价为供应商的最后报价进行政策性扣除后的价格，评审报价只是作为评审时使用。最终成交供应商的成交金额等于最后报价（如有修正，以确认修正后的最后报价为准）。</w:t>
            </w:r>
          </w:p>
          <w:p>
            <w:pPr>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2.政府采购政策性扣除计算方法</w:t>
            </w:r>
          </w:p>
          <w:p>
            <w:pPr>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1）按照《政府采购促进中小企业发展管理办法》（财库〔2020〕46号）及《广西壮族自治区财政厅关于贯彻落实政府采购支持中小企业发展政策的通知》（桂财采〔2022〕31号）的规定，供应商在其响应文件中提供《中小企业声明函》，且服务全部由符合政策要求的小型、微型企业承接的，对其最后报价给予20%的扣除。</w:t>
            </w:r>
          </w:p>
          <w:p>
            <w:pPr>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（4）政策性扣除计算方法。</w:t>
            </w:r>
          </w:p>
          <w:p>
            <w:pPr>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供应商被评定为监狱企业或者残疾人福利性单位或者其服务全部由符合政策要求的小型、微型企业承接的，该供应商的最后报价给予20%的扣除，扣除后的价格为评审报价，即评审报价=最后报价×（1-20%）；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30%以上的，对联合体或者大中型企业的报价给予6%的扣除，用扣除后的价格参加评审，扣除后的价格为评审报价，即评审报价=最后报价×（1-6%）。</w:t>
            </w:r>
          </w:p>
          <w:p>
            <w:pPr>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（5）除上述情况外，评审报价＝最后报价。</w:t>
            </w:r>
          </w:p>
          <w:p>
            <w:pPr>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（6）以进入比较与评价环节的最低的评审报价为基准价，基准价得分为满分。</w:t>
            </w:r>
          </w:p>
          <w:p>
            <w:pPr>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（7）价格分计算公式：</w:t>
            </w:r>
          </w:p>
          <w:p>
            <w:pPr>
              <w:jc w:val="left"/>
              <w:rPr>
                <w:rFonts w:hint="eastAsia" w:ascii="宋体" w:hAnsi="宋体" w:eastAsia="宋体" w:cs="宋体"/>
                <w:color w:val="auto"/>
                <w:highlight w:val="none"/>
              </w:rPr>
            </w:pPr>
            <w:r>
              <w:rPr>
                <w:rFonts w:hint="eastAsia" w:ascii="宋体" w:hAnsi="宋体" w:cs="宋体"/>
                <w:color w:val="auto"/>
                <w:highlight w:val="none"/>
                <w:lang w:val="en-US" w:eastAsia="zh-CN"/>
              </w:rPr>
              <w:t>报价得分=（基准价/评审报价）×10分</w:t>
            </w:r>
          </w:p>
        </w:tc>
        <w:tc>
          <w:tcPr>
            <w:tcW w:w="330" w:type="pct"/>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15" w:type="pct"/>
            <w:vMerge w:val="restart"/>
            <w:noWrap/>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p>
        </w:tc>
        <w:tc>
          <w:tcPr>
            <w:tcW w:w="463" w:type="pct"/>
            <w:vMerge w:val="restart"/>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投标人基本情况</w:t>
            </w:r>
          </w:p>
        </w:tc>
        <w:tc>
          <w:tcPr>
            <w:tcW w:w="3891" w:type="pct"/>
            <w:noWrap w:val="0"/>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信誉情况：</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2021年1月1日以来供应商获自治区级以上部门、行业表彰，每次得1分，最多得3分；</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供应商通过IS09000质量认证，得1分；</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供应商</w:t>
            </w:r>
            <w:r>
              <w:rPr>
                <w:rFonts w:hint="eastAsia" w:ascii="宋体" w:hAnsi="宋体" w:cs="宋体"/>
                <w:color w:val="auto"/>
                <w:highlight w:val="none"/>
                <w:lang w:val="en-US" w:eastAsia="zh-CN"/>
              </w:rPr>
              <w:t>2023</w:t>
            </w:r>
            <w:r>
              <w:rPr>
                <w:rFonts w:hint="eastAsia" w:ascii="宋体" w:hAnsi="宋体" w:eastAsia="宋体" w:cs="宋体"/>
                <w:color w:val="auto"/>
                <w:highlight w:val="none"/>
                <w:lang w:val="en-US" w:eastAsia="zh-CN"/>
              </w:rPr>
              <w:t>年财务审计报告无保留意见，得1分</w:t>
            </w:r>
            <w:r>
              <w:rPr>
                <w:rFonts w:hint="eastAsia" w:ascii="宋体" w:hAnsi="宋体" w:cs="宋体"/>
                <w:color w:val="auto"/>
                <w:highlight w:val="none"/>
                <w:lang w:val="en-US" w:eastAsia="zh-CN"/>
              </w:rPr>
              <w:t>。</w:t>
            </w:r>
            <w:bookmarkStart w:id="166" w:name="_GoBack"/>
            <w:bookmarkEnd w:id="166"/>
          </w:p>
        </w:tc>
        <w:tc>
          <w:tcPr>
            <w:tcW w:w="330" w:type="pct"/>
            <w:noWrap/>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15" w:type="pct"/>
            <w:vMerge w:val="continue"/>
            <w:noWrap/>
            <w:vAlign w:val="center"/>
          </w:tcPr>
          <w:p>
            <w:pPr>
              <w:jc w:val="center"/>
              <w:rPr>
                <w:rFonts w:hint="eastAsia" w:ascii="宋体" w:hAnsi="宋体" w:eastAsia="宋体" w:cs="宋体"/>
                <w:color w:val="auto"/>
                <w:highlight w:val="none"/>
              </w:rPr>
            </w:pPr>
          </w:p>
        </w:tc>
        <w:tc>
          <w:tcPr>
            <w:tcW w:w="463" w:type="pct"/>
            <w:vMerge w:val="continue"/>
            <w:noWrap w:val="0"/>
            <w:vAlign w:val="center"/>
          </w:tcPr>
          <w:p>
            <w:pPr>
              <w:jc w:val="center"/>
              <w:rPr>
                <w:rFonts w:hint="eastAsia" w:ascii="宋体" w:hAnsi="宋体" w:eastAsia="宋体" w:cs="宋体"/>
                <w:color w:val="auto"/>
                <w:highlight w:val="none"/>
              </w:rPr>
            </w:pPr>
          </w:p>
        </w:tc>
        <w:tc>
          <w:tcPr>
            <w:tcW w:w="3891" w:type="pct"/>
            <w:noWrap w:val="0"/>
            <w:vAlign w:val="center"/>
          </w:tcPr>
          <w:p>
            <w:pPr>
              <w:jc w:val="left"/>
              <w:rPr>
                <w:rFonts w:hint="eastAsia" w:ascii="宋体" w:hAnsi="宋体" w:cs="宋体"/>
                <w:color w:val="auto"/>
                <w:highlight w:val="none"/>
                <w:lang w:val="en-US" w:eastAsia="zh-CN"/>
              </w:rPr>
            </w:pPr>
            <w:r>
              <w:rPr>
                <w:rFonts w:hint="eastAsia" w:ascii="宋体" w:hAnsi="宋体" w:eastAsia="宋体" w:cs="宋体"/>
                <w:color w:val="auto"/>
                <w:highlight w:val="none"/>
                <w:lang w:val="en-US" w:eastAsia="zh-CN"/>
              </w:rPr>
              <w:t>注册会计师占比情况：</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25%(含)以上，10分；</w:t>
            </w:r>
            <w:r>
              <w:rPr>
                <w:rFonts w:hint="eastAsia" w:ascii="宋体" w:hAnsi="宋体" w:eastAsia="宋体" w:cs="宋体"/>
                <w:color w:val="auto"/>
                <w:highlight w:val="none"/>
                <w:lang w:val="en-US" w:eastAsia="zh-CN"/>
              </w:rPr>
              <w:br w:type="textWrapping"/>
            </w:r>
            <w:r>
              <w:rPr>
                <w:rFonts w:hint="eastAsia" w:ascii="宋体" w:hAnsi="宋体" w:cs="宋体"/>
                <w:color w:val="auto"/>
                <w:highlight w:val="none"/>
                <w:lang w:val="en-US" w:eastAsia="zh-CN"/>
              </w:rPr>
              <w:t>15%（含）-</w:t>
            </w:r>
            <w:r>
              <w:rPr>
                <w:rFonts w:hint="eastAsia" w:ascii="宋体" w:hAnsi="宋体" w:eastAsia="宋体" w:cs="宋体"/>
                <w:color w:val="auto"/>
                <w:highlight w:val="none"/>
                <w:lang w:val="en-US" w:eastAsia="zh-CN"/>
              </w:rPr>
              <w:t>25%(</w:t>
            </w:r>
            <w:r>
              <w:rPr>
                <w:rFonts w:hint="eastAsia" w:ascii="宋体" w:hAnsi="宋体" w:cs="宋体"/>
                <w:color w:val="auto"/>
                <w:highlight w:val="none"/>
                <w:lang w:val="en-US" w:eastAsia="zh-CN"/>
              </w:rPr>
              <w:t>不</w:t>
            </w:r>
            <w:r>
              <w:rPr>
                <w:rFonts w:hint="eastAsia" w:ascii="宋体" w:hAnsi="宋体" w:eastAsia="宋体" w:cs="宋体"/>
                <w:color w:val="auto"/>
                <w:highlight w:val="none"/>
                <w:lang w:val="en-US" w:eastAsia="zh-CN"/>
              </w:rPr>
              <w:t>含),</w:t>
            </w: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分；</w:t>
            </w:r>
            <w:r>
              <w:rPr>
                <w:rFonts w:hint="eastAsia" w:ascii="宋体" w:hAnsi="宋体" w:eastAsia="宋体" w:cs="宋体"/>
                <w:color w:val="auto"/>
                <w:highlight w:val="none"/>
                <w:lang w:val="en-US" w:eastAsia="zh-CN"/>
              </w:rPr>
              <w:br w:type="textWrapping"/>
            </w:r>
            <w:r>
              <w:rPr>
                <w:rFonts w:hint="eastAsia" w:ascii="宋体" w:hAnsi="宋体" w:cs="宋体"/>
                <w:color w:val="auto"/>
                <w:highlight w:val="none"/>
                <w:lang w:val="en-US" w:eastAsia="zh-CN"/>
              </w:rPr>
              <w:t>5%（含）-15%（不含），6分</w:t>
            </w:r>
          </w:p>
          <w:p>
            <w:pPr>
              <w:jc w:val="left"/>
              <w:rPr>
                <w:rFonts w:hint="eastAsia" w:ascii="宋体" w:hAnsi="宋体" w:eastAsia="宋体" w:cs="宋体"/>
                <w:color w:val="auto"/>
                <w:highlight w:val="none"/>
              </w:rPr>
            </w:pPr>
            <w:r>
              <w:rPr>
                <w:rFonts w:hint="eastAsia" w:ascii="宋体" w:hAnsi="宋体" w:cs="宋体"/>
                <w:color w:val="auto"/>
                <w:highlight w:val="none"/>
                <w:lang w:val="en-US" w:eastAsia="zh-CN"/>
              </w:rPr>
              <w:t>5%（不含）以下，0分</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注：注册会计师占比=供应商注册会计师人数/供应商执业人员数量)</w:t>
            </w:r>
          </w:p>
        </w:tc>
        <w:tc>
          <w:tcPr>
            <w:tcW w:w="330" w:type="pct"/>
            <w:noWrap/>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15" w:type="pct"/>
            <w:vMerge w:val="restart"/>
            <w:noWrap/>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p>
        </w:tc>
        <w:tc>
          <w:tcPr>
            <w:tcW w:w="463" w:type="pct"/>
            <w:vMerge w:val="restart"/>
            <w:noWrap/>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服务方案</w:t>
            </w:r>
          </w:p>
        </w:tc>
        <w:tc>
          <w:tcPr>
            <w:tcW w:w="3891" w:type="pct"/>
            <w:noWrap w:val="0"/>
            <w:vAlign w:val="center"/>
          </w:tcPr>
          <w:p>
            <w:pPr>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审计工作方案。</w:t>
            </w:r>
          </w:p>
          <w:p>
            <w:pPr>
              <w:widowControl w:val="0"/>
              <w:jc w:val="left"/>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一档（</w:t>
            </w:r>
            <w:r>
              <w:rPr>
                <w:rFonts w:hint="eastAsia" w:ascii="Times New Roman" w:hAnsi="Times New Roman" w:eastAsia="宋体" w:cs="Times New Roman"/>
                <w:color w:val="auto"/>
                <w:kern w:val="2"/>
                <w:sz w:val="21"/>
                <w:szCs w:val="24"/>
                <w:highlight w:val="none"/>
                <w:lang w:val="en-US" w:eastAsia="zh-CN" w:bidi="ar-SA"/>
              </w:rPr>
              <w:t>15</w:t>
            </w:r>
            <w:r>
              <w:rPr>
                <w:rFonts w:hint="default" w:ascii="Times New Roman" w:hAnsi="Times New Roman" w:eastAsia="宋体" w:cs="Times New Roman"/>
                <w:color w:val="auto"/>
                <w:kern w:val="2"/>
                <w:sz w:val="21"/>
                <w:szCs w:val="24"/>
                <w:highlight w:val="none"/>
                <w:lang w:val="en-US" w:eastAsia="zh-CN" w:bidi="ar-SA"/>
              </w:rPr>
              <w:t>分）：</w:t>
            </w:r>
            <w:r>
              <w:rPr>
                <w:rFonts w:hint="eastAsia" w:ascii="Times New Roman" w:hAnsi="Times New Roman" w:eastAsia="宋体" w:cs="Times New Roman"/>
                <w:color w:val="auto"/>
                <w:kern w:val="2"/>
                <w:sz w:val="21"/>
                <w:szCs w:val="24"/>
                <w:highlight w:val="none"/>
                <w:lang w:val="en-US" w:eastAsia="zh-CN" w:bidi="ar-SA"/>
              </w:rPr>
              <w:t>提供了简单的审计工作方案，有审计工作计划安排</w:t>
            </w:r>
            <w:r>
              <w:rPr>
                <w:rFonts w:hint="default" w:ascii="Times New Roman" w:hAnsi="Times New Roman" w:eastAsia="宋体" w:cs="Times New Roman"/>
                <w:color w:val="auto"/>
                <w:kern w:val="2"/>
                <w:sz w:val="21"/>
                <w:szCs w:val="24"/>
                <w:highlight w:val="none"/>
                <w:lang w:val="en-US" w:eastAsia="zh-CN" w:bidi="ar-SA"/>
              </w:rPr>
              <w:t>。</w:t>
            </w:r>
          </w:p>
          <w:p>
            <w:pPr>
              <w:widowControl w:val="0"/>
              <w:jc w:val="left"/>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二档（</w:t>
            </w:r>
            <w:r>
              <w:rPr>
                <w:rFonts w:hint="eastAsia" w:ascii="Times New Roman" w:hAnsi="Times New Roman" w:eastAsia="宋体" w:cs="Times New Roman"/>
                <w:color w:val="auto"/>
                <w:kern w:val="2"/>
                <w:sz w:val="21"/>
                <w:szCs w:val="24"/>
                <w:highlight w:val="none"/>
                <w:lang w:val="en-US" w:eastAsia="zh-CN" w:bidi="ar-SA"/>
              </w:rPr>
              <w:t>20</w:t>
            </w:r>
            <w:r>
              <w:rPr>
                <w:rFonts w:hint="default" w:ascii="Times New Roman" w:hAnsi="Times New Roman" w:eastAsia="宋体" w:cs="Times New Roman"/>
                <w:color w:val="auto"/>
                <w:kern w:val="2"/>
                <w:sz w:val="21"/>
                <w:szCs w:val="24"/>
                <w:highlight w:val="none"/>
                <w:lang w:val="en-US" w:eastAsia="zh-CN" w:bidi="ar-SA"/>
              </w:rPr>
              <w:t>分）：审计工作方案</w:t>
            </w:r>
            <w:r>
              <w:rPr>
                <w:rFonts w:hint="eastAsia" w:ascii="Times New Roman" w:hAnsi="Times New Roman" w:eastAsia="宋体" w:cs="Times New Roman"/>
                <w:color w:val="auto"/>
                <w:kern w:val="2"/>
                <w:sz w:val="21"/>
                <w:szCs w:val="24"/>
                <w:highlight w:val="none"/>
                <w:lang w:val="en-US" w:eastAsia="zh-CN" w:bidi="ar-SA"/>
              </w:rPr>
              <w:t>包括了审计计划阶段、审计现场实施阶段、审计报告成果检收阶段和售后服务阶段的内容</w:t>
            </w:r>
            <w:r>
              <w:rPr>
                <w:rFonts w:hint="default" w:ascii="Times New Roman" w:hAnsi="Times New Roman" w:eastAsia="宋体" w:cs="Times New Roman"/>
                <w:color w:val="auto"/>
                <w:kern w:val="2"/>
                <w:sz w:val="21"/>
                <w:szCs w:val="24"/>
                <w:highlight w:val="none"/>
                <w:lang w:val="en-US" w:eastAsia="zh-CN" w:bidi="ar-SA"/>
              </w:rPr>
              <w:t>。</w:t>
            </w:r>
          </w:p>
          <w:p>
            <w:pPr>
              <w:widowControl w:val="0"/>
              <w:jc w:val="left"/>
              <w:rPr>
                <w:rFonts w:hint="eastAsia" w:ascii="宋体" w:hAnsi="宋体" w:eastAsia="宋体" w:cs="宋体"/>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三档（</w:t>
            </w:r>
            <w:r>
              <w:rPr>
                <w:rFonts w:hint="eastAsia" w:ascii="Times New Roman" w:hAnsi="Times New Roman" w:eastAsia="宋体" w:cs="Times New Roman"/>
                <w:color w:val="auto"/>
                <w:kern w:val="2"/>
                <w:sz w:val="21"/>
                <w:szCs w:val="24"/>
                <w:highlight w:val="none"/>
                <w:lang w:val="en-US" w:eastAsia="zh-CN" w:bidi="ar-SA"/>
              </w:rPr>
              <w:t>25</w:t>
            </w:r>
            <w:r>
              <w:rPr>
                <w:rFonts w:hint="default" w:ascii="Times New Roman" w:hAnsi="Times New Roman" w:eastAsia="宋体" w:cs="Times New Roman"/>
                <w:color w:val="auto"/>
                <w:kern w:val="2"/>
                <w:sz w:val="21"/>
                <w:szCs w:val="24"/>
                <w:highlight w:val="none"/>
                <w:lang w:val="en-US" w:eastAsia="zh-CN" w:bidi="ar-SA"/>
              </w:rPr>
              <w:t>分）：审计工作方案详细</w:t>
            </w:r>
            <w:r>
              <w:rPr>
                <w:rFonts w:hint="eastAsia" w:ascii="Times New Roman" w:hAnsi="Times New Roman" w:eastAsia="宋体" w:cs="Times New Roman"/>
                <w:color w:val="auto"/>
                <w:kern w:val="2"/>
                <w:sz w:val="21"/>
                <w:szCs w:val="24"/>
                <w:highlight w:val="none"/>
                <w:lang w:val="en-US" w:eastAsia="zh-CN" w:bidi="ar-SA"/>
              </w:rPr>
              <w:t>有条理</w:t>
            </w:r>
            <w:r>
              <w:rPr>
                <w:rFonts w:hint="default" w:ascii="Times New Roman" w:hAnsi="Times New Roman" w:eastAsia="宋体" w:cs="Times New Roman"/>
                <w:color w:val="auto"/>
                <w:kern w:val="2"/>
                <w:sz w:val="21"/>
                <w:szCs w:val="24"/>
                <w:highlight w:val="none"/>
                <w:lang w:val="en-US" w:eastAsia="zh-CN" w:bidi="ar-SA"/>
              </w:rPr>
              <w:t>，审计计划阶段</w:t>
            </w:r>
            <w:r>
              <w:rPr>
                <w:rFonts w:hint="eastAsia" w:ascii="Times New Roman" w:hAnsi="Times New Roman" w:eastAsia="宋体" w:cs="Times New Roman"/>
                <w:color w:val="auto"/>
                <w:kern w:val="2"/>
                <w:sz w:val="21"/>
                <w:szCs w:val="24"/>
                <w:highlight w:val="none"/>
                <w:lang w:val="en-US" w:eastAsia="zh-CN" w:bidi="ar-SA"/>
              </w:rPr>
              <w:t>安排合理有可操作性</w:t>
            </w:r>
            <w:r>
              <w:rPr>
                <w:rFonts w:hint="default" w:ascii="Times New Roman" w:hAnsi="Times New Roman" w:eastAsia="宋体" w:cs="Times New Roman"/>
                <w:color w:val="auto"/>
                <w:kern w:val="2"/>
                <w:sz w:val="21"/>
                <w:szCs w:val="24"/>
                <w:highlight w:val="none"/>
                <w:lang w:val="en-US" w:eastAsia="zh-CN" w:bidi="ar-SA"/>
              </w:rPr>
              <w:t>、审计现场实施阶段</w:t>
            </w:r>
            <w:r>
              <w:rPr>
                <w:rFonts w:hint="eastAsia" w:ascii="Times New Roman" w:hAnsi="Times New Roman" w:eastAsia="宋体" w:cs="Times New Roman"/>
                <w:color w:val="auto"/>
                <w:kern w:val="2"/>
                <w:sz w:val="21"/>
                <w:szCs w:val="24"/>
                <w:highlight w:val="none"/>
                <w:lang w:val="en-US" w:eastAsia="zh-CN" w:bidi="ar-SA"/>
              </w:rPr>
              <w:t>的措施描述详细有针对性</w:t>
            </w:r>
            <w:r>
              <w:rPr>
                <w:rFonts w:hint="default" w:ascii="Times New Roman" w:hAnsi="Times New Roman" w:eastAsia="宋体" w:cs="Times New Roman"/>
                <w:color w:val="auto"/>
                <w:kern w:val="2"/>
                <w:sz w:val="21"/>
                <w:szCs w:val="24"/>
                <w:highlight w:val="none"/>
                <w:lang w:val="en-US" w:eastAsia="zh-CN" w:bidi="ar-SA"/>
              </w:rPr>
              <w:t>、审计报告成果检收阶段</w:t>
            </w:r>
            <w:r>
              <w:rPr>
                <w:rFonts w:hint="eastAsia" w:ascii="Times New Roman" w:hAnsi="Times New Roman" w:eastAsia="宋体" w:cs="Times New Roman"/>
                <w:color w:val="auto"/>
                <w:kern w:val="2"/>
                <w:sz w:val="21"/>
                <w:szCs w:val="24"/>
                <w:highlight w:val="none"/>
                <w:lang w:val="en-US" w:eastAsia="zh-CN" w:bidi="ar-SA"/>
              </w:rPr>
              <w:t>安排和</w:t>
            </w:r>
            <w:r>
              <w:rPr>
                <w:rFonts w:hint="default" w:ascii="Times New Roman" w:hAnsi="Times New Roman" w:eastAsia="宋体" w:cs="Times New Roman"/>
                <w:color w:val="auto"/>
                <w:kern w:val="2"/>
                <w:sz w:val="21"/>
                <w:szCs w:val="24"/>
                <w:highlight w:val="none"/>
                <w:lang w:val="en-US" w:eastAsia="zh-CN" w:bidi="ar-SA"/>
              </w:rPr>
              <w:t>售后服务阶段的</w:t>
            </w:r>
            <w:r>
              <w:rPr>
                <w:rFonts w:hint="eastAsia" w:ascii="Times New Roman" w:hAnsi="Times New Roman" w:eastAsia="宋体" w:cs="Times New Roman"/>
                <w:color w:val="auto"/>
                <w:kern w:val="2"/>
                <w:sz w:val="21"/>
                <w:szCs w:val="24"/>
                <w:highlight w:val="none"/>
                <w:lang w:val="en-US" w:eastAsia="zh-CN" w:bidi="ar-SA"/>
              </w:rPr>
              <w:t>服务措施均详细合理</w:t>
            </w:r>
            <w:r>
              <w:rPr>
                <w:rFonts w:hint="default" w:ascii="Times New Roman" w:hAnsi="Times New Roman" w:eastAsia="宋体" w:cs="Times New Roman"/>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eastAsia="zh-CN" w:bidi="ar-SA"/>
              </w:rPr>
              <w:br w:type="textWrapping"/>
            </w:r>
            <w:r>
              <w:rPr>
                <w:rFonts w:hint="eastAsia" w:ascii="宋体" w:hAnsi="宋体" w:eastAsia="宋体" w:cs="宋体"/>
                <w:color w:val="auto"/>
                <w:kern w:val="2"/>
                <w:sz w:val="21"/>
                <w:szCs w:val="24"/>
                <w:highlight w:val="none"/>
                <w:lang w:val="en-US" w:eastAsia="zh-CN" w:bidi="ar-SA"/>
              </w:rPr>
              <w:t>注：工伤保险基金审计数额大，历史跨度长，业务量繁多、整改工作量大，请供应商注意结合以上情况制定服务方案，包括审计计划阶段、审计现场实施阶段、审计报告成果检收阶段和售后服务阶段。</w:t>
            </w:r>
          </w:p>
        </w:tc>
        <w:tc>
          <w:tcPr>
            <w:tcW w:w="330" w:type="pct"/>
            <w:noWrap/>
            <w:vAlign w:val="center"/>
          </w:tcPr>
          <w:p>
            <w:pPr>
              <w:jc w:val="center"/>
              <w:rPr>
                <w:rFonts w:hint="default" w:ascii="宋体" w:hAnsi="宋体" w:eastAsia="宋体" w:cs="宋体"/>
                <w:color w:val="auto"/>
                <w:highlight w:val="none"/>
                <w:lang w:val="en-US"/>
              </w:rPr>
            </w:pPr>
            <w:r>
              <w:rPr>
                <w:rFonts w:hint="eastAsia" w:ascii="宋体" w:hAnsi="宋体" w:eastAsia="宋体" w:cs="宋体"/>
                <w:color w:val="auto"/>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15" w:type="pct"/>
            <w:vMerge w:val="continue"/>
            <w:noWrap/>
            <w:vAlign w:val="center"/>
          </w:tcPr>
          <w:p>
            <w:pPr>
              <w:jc w:val="center"/>
              <w:rPr>
                <w:rFonts w:hint="eastAsia" w:ascii="宋体" w:hAnsi="宋体" w:eastAsia="宋体" w:cs="宋体"/>
                <w:color w:val="auto"/>
                <w:highlight w:val="none"/>
              </w:rPr>
            </w:pPr>
          </w:p>
        </w:tc>
        <w:tc>
          <w:tcPr>
            <w:tcW w:w="463" w:type="pct"/>
            <w:vMerge w:val="continue"/>
            <w:noWrap/>
            <w:vAlign w:val="center"/>
          </w:tcPr>
          <w:p>
            <w:pPr>
              <w:jc w:val="center"/>
              <w:rPr>
                <w:rFonts w:hint="eastAsia" w:ascii="宋体" w:hAnsi="宋体" w:eastAsia="宋体" w:cs="宋体"/>
                <w:color w:val="auto"/>
                <w:highlight w:val="none"/>
              </w:rPr>
            </w:pPr>
          </w:p>
        </w:tc>
        <w:tc>
          <w:tcPr>
            <w:tcW w:w="3891" w:type="pct"/>
            <w:noWrap w:val="0"/>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拟派审计项目人数安排：</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150人(含)以上，10分；</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100人-149人，8分；</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50人-99人，</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分；</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49人(含)以下，0分</w:t>
            </w:r>
          </w:p>
        </w:tc>
        <w:tc>
          <w:tcPr>
            <w:tcW w:w="330" w:type="pct"/>
            <w:noWrap/>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15" w:type="pct"/>
            <w:vMerge w:val="continue"/>
            <w:noWrap/>
            <w:vAlign w:val="center"/>
          </w:tcPr>
          <w:p>
            <w:pPr>
              <w:jc w:val="center"/>
              <w:rPr>
                <w:rFonts w:hint="eastAsia" w:ascii="宋体" w:hAnsi="宋体" w:eastAsia="宋体" w:cs="宋体"/>
                <w:color w:val="auto"/>
                <w:highlight w:val="none"/>
              </w:rPr>
            </w:pPr>
          </w:p>
        </w:tc>
        <w:tc>
          <w:tcPr>
            <w:tcW w:w="463" w:type="pct"/>
            <w:vMerge w:val="continue"/>
            <w:noWrap/>
            <w:vAlign w:val="center"/>
          </w:tcPr>
          <w:p>
            <w:pPr>
              <w:jc w:val="center"/>
              <w:rPr>
                <w:rFonts w:hint="eastAsia" w:ascii="宋体" w:hAnsi="宋体" w:eastAsia="宋体" w:cs="宋体"/>
                <w:color w:val="auto"/>
                <w:highlight w:val="none"/>
              </w:rPr>
            </w:pPr>
          </w:p>
        </w:tc>
        <w:tc>
          <w:tcPr>
            <w:tcW w:w="3891" w:type="pct"/>
            <w:noWrap w:val="0"/>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拟派项目审计人员注册会计师占比：</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占比=拟派项目注册会计师人数/ 拟派项目总人数</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20%(含)以上，15分</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15%(含)-20%(不含),10分</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10%(含)-15%(不含),5分</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10%(不含)以下，0分</w:t>
            </w:r>
          </w:p>
        </w:tc>
        <w:tc>
          <w:tcPr>
            <w:tcW w:w="330" w:type="pct"/>
            <w:noWrap/>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15" w:type="pct"/>
            <w:vMerge w:val="continue"/>
            <w:noWrap/>
            <w:vAlign w:val="center"/>
          </w:tcPr>
          <w:p>
            <w:pPr>
              <w:jc w:val="center"/>
              <w:rPr>
                <w:rFonts w:hint="eastAsia" w:ascii="宋体" w:hAnsi="宋体" w:eastAsia="宋体" w:cs="宋体"/>
                <w:color w:val="auto"/>
                <w:highlight w:val="none"/>
              </w:rPr>
            </w:pPr>
          </w:p>
        </w:tc>
        <w:tc>
          <w:tcPr>
            <w:tcW w:w="463" w:type="pct"/>
            <w:vMerge w:val="continue"/>
            <w:noWrap/>
            <w:vAlign w:val="center"/>
          </w:tcPr>
          <w:p>
            <w:pPr>
              <w:jc w:val="center"/>
              <w:rPr>
                <w:rFonts w:hint="eastAsia" w:ascii="宋体" w:hAnsi="宋体" w:eastAsia="宋体" w:cs="宋体"/>
                <w:color w:val="auto"/>
                <w:highlight w:val="none"/>
              </w:rPr>
            </w:pPr>
          </w:p>
        </w:tc>
        <w:tc>
          <w:tcPr>
            <w:tcW w:w="3891" w:type="pct"/>
            <w:noWrap w:val="0"/>
            <w:vAlign w:val="center"/>
          </w:tcPr>
          <w:p>
            <w:pPr>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拟派项目总负责人情况：</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1.是否均为中国注册会计师(CPA),是2分，否0分。</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2.审计工作经验年数(含取得CPA之前的审计工作年数)。</w:t>
            </w:r>
          </w:p>
          <w:p>
            <w:pPr>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10年(含)以上3分</w:t>
            </w:r>
          </w:p>
          <w:p>
            <w:pPr>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8年（含）-10年（不含）2分</w:t>
            </w:r>
          </w:p>
          <w:p>
            <w:pPr>
              <w:jc w:val="left"/>
              <w:rPr>
                <w:rFonts w:hint="eastAsia" w:ascii="宋体" w:hAnsi="宋体" w:eastAsia="宋体" w:cs="宋体"/>
                <w:color w:val="auto"/>
                <w:highlight w:val="none"/>
              </w:rPr>
            </w:pPr>
            <w:r>
              <w:rPr>
                <w:rFonts w:hint="eastAsia" w:ascii="宋体" w:hAnsi="宋体" w:cs="宋体"/>
                <w:color w:val="auto"/>
                <w:highlight w:val="none"/>
                <w:lang w:val="en-US" w:eastAsia="zh-CN"/>
              </w:rPr>
              <w:t>5年（含）-8年（不含）1分</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5年（不含）以下0分</w:t>
            </w:r>
          </w:p>
        </w:tc>
        <w:tc>
          <w:tcPr>
            <w:tcW w:w="330" w:type="pct"/>
            <w:noWrap/>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15" w:type="pct"/>
            <w:vMerge w:val="continue"/>
            <w:noWrap/>
            <w:vAlign w:val="center"/>
          </w:tcPr>
          <w:p>
            <w:pPr>
              <w:jc w:val="center"/>
              <w:rPr>
                <w:rFonts w:hint="eastAsia" w:ascii="宋体" w:hAnsi="宋体" w:eastAsia="宋体" w:cs="宋体"/>
                <w:color w:val="auto"/>
                <w:highlight w:val="none"/>
              </w:rPr>
            </w:pPr>
          </w:p>
        </w:tc>
        <w:tc>
          <w:tcPr>
            <w:tcW w:w="463" w:type="pct"/>
            <w:vMerge w:val="continue"/>
            <w:noWrap/>
            <w:vAlign w:val="center"/>
          </w:tcPr>
          <w:p>
            <w:pPr>
              <w:jc w:val="center"/>
              <w:rPr>
                <w:rFonts w:hint="eastAsia" w:ascii="宋体" w:hAnsi="宋体" w:eastAsia="宋体" w:cs="宋体"/>
                <w:color w:val="auto"/>
                <w:highlight w:val="none"/>
              </w:rPr>
            </w:pPr>
          </w:p>
        </w:tc>
        <w:tc>
          <w:tcPr>
            <w:tcW w:w="3891" w:type="pct"/>
            <w:noWrap w:val="0"/>
            <w:vAlign w:val="center"/>
          </w:tcPr>
          <w:p>
            <w:pPr>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拟派项目小组负责人情况：</w:t>
            </w:r>
          </w:p>
          <w:p>
            <w:pPr>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1.各小组负责人是否均为中国注册会计师(CPA)，是5分，否0分；</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2.各小组负责人审计工作经验年数平均值(含取得CPA之前的审计工作年数，平均值=各小组负责人审计工作经验年数总和/小组数量):</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3年(含)以上，5分；</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2年(含)-3年(不含),4分；</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1年(含)-2年(不含),</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分；</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1年(不含)以下，0分</w:t>
            </w:r>
          </w:p>
        </w:tc>
        <w:tc>
          <w:tcPr>
            <w:tcW w:w="330" w:type="pct"/>
            <w:noWrap/>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15" w:type="pct"/>
            <w:noWrap/>
            <w:vAlign w:val="center"/>
          </w:tcPr>
          <w:p>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p>
        </w:tc>
        <w:tc>
          <w:tcPr>
            <w:tcW w:w="463" w:type="pct"/>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项目经验</w:t>
            </w:r>
          </w:p>
        </w:tc>
        <w:tc>
          <w:tcPr>
            <w:tcW w:w="3891" w:type="pct"/>
            <w:noWrap w:val="0"/>
            <w:vAlign w:val="center"/>
          </w:tcPr>
          <w:p>
            <w:pPr>
              <w:widowControl w:val="0"/>
              <w:jc w:val="left"/>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1.2021年1月1日以来供应商具有社会保险基金审计项目经验，提供中标（成交）通知书或合同关键页（能体现项目内容和甲乙双方盖章生效）复印件，每项得1分，满分8分。</w:t>
            </w:r>
          </w:p>
          <w:p>
            <w:pPr>
              <w:numPr>
                <w:ilvl w:val="0"/>
                <w:numId w:val="0"/>
              </w:numPr>
              <w:jc w:val="left"/>
              <w:rPr>
                <w:rFonts w:hint="eastAsia" w:ascii="Times New Roman" w:hAnsi="Times New Roman" w:eastAsia="宋体" w:cs="Times New Roman"/>
                <w:color w:val="auto"/>
                <w:highlight w:val="none"/>
              </w:rPr>
            </w:pPr>
            <w:r>
              <w:rPr>
                <w:rFonts w:hint="eastAsia" w:ascii="Times New Roman" w:eastAsia="宋体"/>
                <w:color w:val="auto"/>
                <w:highlight w:val="none"/>
                <w:lang w:val="en-US" w:eastAsia="zh-CN"/>
              </w:rPr>
              <w:t>2.</w:t>
            </w:r>
            <w:r>
              <w:rPr>
                <w:rFonts w:hint="eastAsia" w:ascii="Times New Roman" w:hAnsi="Times New Roman" w:eastAsia="宋体" w:cs="Times New Roman"/>
                <w:color w:val="auto"/>
                <w:highlight w:val="none"/>
                <w:lang w:val="en-US" w:eastAsia="zh-CN"/>
              </w:rPr>
              <w:t>2021年1月1日以来供应商的社会保险基金审计项目经验中，包含工伤保险基金审计项目的，2分。</w:t>
            </w:r>
          </w:p>
        </w:tc>
        <w:tc>
          <w:tcPr>
            <w:tcW w:w="330" w:type="pct"/>
            <w:noWrap/>
            <w:vAlign w:val="center"/>
          </w:tcPr>
          <w:p>
            <w:pPr>
              <w:jc w:val="center"/>
              <w:rPr>
                <w:rFonts w:hint="default" w:ascii="宋体" w:hAnsi="宋体" w:eastAsia="宋体" w:cs="宋体"/>
                <w:color w:val="auto"/>
                <w:highlight w:val="none"/>
                <w:lang w:val="en-US"/>
              </w:rPr>
            </w:pPr>
            <w:r>
              <w:rPr>
                <w:rFonts w:hint="eastAsia" w:ascii="宋体" w:hAnsi="宋体" w:eastAsia="宋体" w:cs="宋体"/>
                <w:color w:val="auto"/>
                <w:highlight w:val="none"/>
                <w:lang w:val="en-US" w:eastAsia="zh-CN"/>
              </w:rPr>
              <w:t>10</w:t>
            </w:r>
          </w:p>
        </w:tc>
      </w:tr>
    </w:tbl>
    <w:p>
      <w:pPr>
        <w:rPr>
          <w:color w:val="auto"/>
          <w:highlight w:val="none"/>
        </w:rPr>
      </w:pPr>
    </w:p>
    <w:p>
      <w:pPr>
        <w:pStyle w:val="2"/>
        <w:ind w:left="0" w:leftChars="0" w:firstLine="0" w:firstLineChars="0"/>
        <w:rPr>
          <w:rFonts w:hint="eastAsia"/>
          <w:color w:val="auto"/>
          <w:highlight w:val="none"/>
        </w:rPr>
      </w:pP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7.2终止竞争性磋商采购活动</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pPr>
        <w:pStyle w:val="24"/>
        <w:rPr>
          <w:rFonts w:hint="eastAsia"/>
          <w:color w:val="auto"/>
          <w:highlight w:val="none"/>
        </w:rPr>
      </w:pPr>
    </w:p>
    <w:p>
      <w:pPr>
        <w:pStyle w:val="4"/>
        <w:spacing w:before="0" w:after="0" w:line="360" w:lineRule="auto"/>
        <w:ind w:firstLine="640" w:firstLineChars="200"/>
        <w:jc w:val="center"/>
        <w:rPr>
          <w:rFonts w:hint="eastAsia" w:ascii="宋体" w:hAnsi="宋体"/>
          <w:b w:val="0"/>
          <w:color w:val="auto"/>
          <w:highlight w:val="none"/>
        </w:rPr>
      </w:pPr>
      <w:bookmarkStart w:id="119" w:name="_Toc11595"/>
      <w:bookmarkStart w:id="120" w:name="_Toc80886939"/>
      <w:bookmarkStart w:id="121" w:name="_Toc22545"/>
      <w:r>
        <w:rPr>
          <w:rFonts w:hint="eastAsia" w:ascii="宋体" w:hAnsi="宋体"/>
          <w:b w:val="0"/>
          <w:color w:val="auto"/>
          <w:highlight w:val="none"/>
        </w:rPr>
        <w:t>第二节 评审报告</w:t>
      </w:r>
      <w:bookmarkEnd w:id="118"/>
      <w:bookmarkEnd w:id="119"/>
      <w:bookmarkEnd w:id="120"/>
      <w:bookmarkEnd w:id="121"/>
    </w:p>
    <w:p>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1.成交标准</w:t>
      </w:r>
    </w:p>
    <w:p>
      <w:pPr>
        <w:spacing w:line="360" w:lineRule="auto"/>
        <w:ind w:firstLine="420" w:firstLineChars="200"/>
        <w:rPr>
          <w:rFonts w:hint="eastAsia" w:ascii="宋体" w:hAnsi="宋体" w:cs="宋体"/>
          <w:color w:val="auto"/>
          <w:sz w:val="24"/>
          <w:highlight w:val="none"/>
        </w:rPr>
      </w:pPr>
      <w:r>
        <w:rPr>
          <w:rFonts w:hint="eastAsia" w:ascii="宋体" w:hAnsi="宋体" w:cs="宋体"/>
          <w:bCs/>
          <w:color w:val="auto"/>
          <w:szCs w:val="21"/>
          <w:highlight w:val="none"/>
        </w:rPr>
        <w:t>由磋商小组根据综合评分情况，按照评审得分由高到低顺序推荐3名以上成交候选供应商</w:t>
      </w:r>
      <w:r>
        <w:rPr>
          <w:rFonts w:hint="eastAsia" w:ascii="宋体" w:hAnsi="宋体" w:cs="宋体"/>
          <w:color w:val="auto"/>
          <w:highlight w:val="none"/>
        </w:rPr>
        <w:t>,并在线编写电子评审报告</w:t>
      </w:r>
      <w:r>
        <w:rPr>
          <w:rFonts w:hint="eastAsia" w:ascii="宋体" w:hAnsi="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分得分由高到低排序，技术分得分相同的按照商务分得分由高到低排序）。评审得分、最后报价（不计算价格折扣）、技术分得分、商务分得分均相同的，由磋商小组随机抽取推荐。</w:t>
      </w:r>
    </w:p>
    <w:p>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2.评标争议</w:t>
      </w:r>
      <w:r>
        <w:rPr>
          <w:rFonts w:ascii="黑体" w:hAnsi="黑体" w:eastAsia="黑体" w:cs="宋体"/>
          <w:color w:val="auto"/>
          <w:sz w:val="24"/>
          <w:szCs w:val="32"/>
          <w:highlight w:val="none"/>
        </w:rPr>
        <w:t>事项</w:t>
      </w:r>
      <w:r>
        <w:rPr>
          <w:rFonts w:hint="eastAsia" w:ascii="黑体" w:hAnsi="黑体" w:eastAsia="黑体" w:cs="宋体"/>
          <w:color w:val="auto"/>
          <w:sz w:val="24"/>
          <w:szCs w:val="32"/>
          <w:highlight w:val="none"/>
        </w:rPr>
        <w:t>处理</w:t>
      </w:r>
    </w:p>
    <w:p>
      <w:pPr>
        <w:pStyle w:val="68"/>
        <w:spacing w:before="0"/>
        <w:ind w:firstLine="420"/>
        <w:rPr>
          <w:rFonts w:hint="eastAsia" w:ascii="宋体" w:hAnsi="宋体" w:cs="宋体"/>
          <w:color w:val="auto"/>
          <w:kern w:val="2"/>
          <w:sz w:val="21"/>
          <w:szCs w:val="24"/>
          <w:highlight w:val="none"/>
        </w:rPr>
      </w:pPr>
      <w:r>
        <w:rPr>
          <w:rFonts w:hint="eastAsia" w:ascii="宋体" w:hAnsi="宋体" w:cs="宋体"/>
          <w:color w:val="auto"/>
          <w:kern w:val="2"/>
          <w:sz w:val="21"/>
          <w:szCs w:val="24"/>
          <w:highlight w:val="none"/>
        </w:rPr>
        <w:t>磋商小组成员对需要共同认定的事项存在争议的，应当按照少数服从多数的原则作出结论。持不同意见的磋商小组成员应当在评审报告上签署不同意见及理由，否则视为同意评审报告。</w:t>
      </w:r>
    </w:p>
    <w:p>
      <w:pPr>
        <w:pStyle w:val="68"/>
        <w:spacing w:before="0"/>
        <w:ind w:firstLine="420"/>
        <w:rPr>
          <w:rFonts w:cs="宋体"/>
          <w:color w:val="auto"/>
          <w:kern w:val="2"/>
          <w:sz w:val="21"/>
          <w:szCs w:val="24"/>
          <w:highlight w:val="none"/>
        </w:rPr>
      </w:pPr>
    </w:p>
    <w:p>
      <w:pPr>
        <w:pStyle w:val="4"/>
        <w:spacing w:before="0" w:after="0" w:line="360" w:lineRule="auto"/>
        <w:ind w:firstLine="640" w:firstLineChars="200"/>
        <w:jc w:val="center"/>
        <w:rPr>
          <w:rFonts w:ascii="宋体" w:hAnsi="宋体"/>
          <w:b w:val="0"/>
          <w:color w:val="auto"/>
          <w:highlight w:val="none"/>
        </w:rPr>
      </w:pPr>
      <w:bookmarkStart w:id="122" w:name="_Toc80886940"/>
      <w:bookmarkStart w:id="123" w:name="_Toc20045"/>
      <w:bookmarkStart w:id="124" w:name="_Toc2025"/>
      <w:bookmarkStart w:id="125" w:name="_Toc80205936"/>
      <w:r>
        <w:rPr>
          <w:rFonts w:hint="eastAsia" w:ascii="宋体" w:hAnsi="宋体"/>
          <w:b w:val="0"/>
          <w:color w:val="auto"/>
          <w:highlight w:val="none"/>
        </w:rPr>
        <w:t>第三节 评审过程的保密与录像</w:t>
      </w:r>
      <w:bookmarkEnd w:id="122"/>
      <w:bookmarkEnd w:id="123"/>
      <w:bookmarkEnd w:id="124"/>
      <w:bookmarkEnd w:id="125"/>
    </w:p>
    <w:p>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1.保密。</w:t>
      </w:r>
    </w:p>
    <w:p>
      <w:pPr>
        <w:widowControl/>
        <w:spacing w:line="360" w:lineRule="auto"/>
        <w:ind w:firstLine="420" w:firstLineChars="200"/>
        <w:rPr>
          <w:rFonts w:cs="宋体"/>
          <w:color w:val="auto"/>
          <w:highlight w:val="none"/>
        </w:rPr>
      </w:pPr>
      <w:r>
        <w:rPr>
          <w:rFonts w:cs="宋体"/>
          <w:color w:val="auto"/>
          <w:highlight w:val="none"/>
        </w:rPr>
        <w:t>评审活动在严格保密的情况下进行。评审过程中凡是与响应文件评审和比较、中标成交供应商推荐等评审有关的情况，以及涉及国家秘密和商业秘密等信息，</w:t>
      </w:r>
      <w:r>
        <w:rPr>
          <w:rFonts w:hint="eastAsia" w:cs="宋体"/>
          <w:color w:val="auto"/>
          <w:highlight w:val="none"/>
        </w:rPr>
        <w:t>磋商小组</w:t>
      </w:r>
      <w:r>
        <w:rPr>
          <w:rFonts w:cs="宋体"/>
          <w:color w:val="auto"/>
          <w:highlight w:val="none"/>
        </w:rPr>
        <w:t>成员、采购人和采购</w:t>
      </w:r>
      <w:r>
        <w:rPr>
          <w:rFonts w:hint="eastAsia" w:cs="宋体"/>
          <w:color w:val="auto"/>
          <w:highlight w:val="none"/>
        </w:rPr>
        <w:t>代理</w:t>
      </w:r>
      <w:r>
        <w:rPr>
          <w:rFonts w:cs="宋体"/>
          <w:color w:val="auto"/>
          <w:highlight w:val="none"/>
        </w:rPr>
        <w:t>机构工作人员、相关监督人员等与评审有关的人员应当予以保密。</w:t>
      </w:r>
    </w:p>
    <w:p>
      <w:pPr>
        <w:widowControl/>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2.录音录像。</w:t>
      </w:r>
    </w:p>
    <w:p>
      <w:pPr>
        <w:spacing w:line="360" w:lineRule="auto"/>
        <w:ind w:firstLine="420" w:firstLineChars="200"/>
        <w:rPr>
          <w:color w:val="auto"/>
          <w:highlight w:val="none"/>
        </w:rPr>
      </w:pPr>
      <w:r>
        <w:rPr>
          <w:rFonts w:hint="eastAsia" w:cs="宋体"/>
          <w:color w:val="auto"/>
          <w:highlight w:val="none"/>
        </w:rPr>
        <w:t>采购代理机构对评审工作现场及操作屏幕进行全过程录音录像，录音录像资料作为采购项目文件随其他文件一并存档。</w:t>
      </w:r>
    </w:p>
    <w:p>
      <w:pPr>
        <w:pStyle w:val="4"/>
        <w:jc w:val="center"/>
        <w:rPr>
          <w:color w:val="auto"/>
          <w:highlight w:val="none"/>
        </w:rPr>
      </w:pPr>
      <w:r>
        <w:rPr>
          <w:color w:val="auto"/>
          <w:highlight w:val="none"/>
        </w:rPr>
        <w:br w:type="page"/>
      </w:r>
    </w:p>
    <w:p>
      <w:pPr>
        <w:pStyle w:val="4"/>
        <w:jc w:val="center"/>
        <w:rPr>
          <w:color w:val="auto"/>
          <w:highlight w:val="none"/>
        </w:rPr>
      </w:pPr>
    </w:p>
    <w:p>
      <w:pPr>
        <w:pStyle w:val="4"/>
        <w:jc w:val="center"/>
        <w:rPr>
          <w:color w:val="auto"/>
          <w:highlight w:val="none"/>
        </w:rPr>
      </w:pPr>
    </w:p>
    <w:p>
      <w:pPr>
        <w:pStyle w:val="4"/>
        <w:jc w:val="center"/>
        <w:rPr>
          <w:color w:val="auto"/>
          <w:highlight w:val="none"/>
        </w:rPr>
      </w:pPr>
    </w:p>
    <w:p>
      <w:pPr>
        <w:rPr>
          <w:color w:val="auto"/>
          <w:highlight w:val="none"/>
        </w:rPr>
      </w:pPr>
    </w:p>
    <w:p>
      <w:pPr>
        <w:pStyle w:val="3"/>
        <w:rPr>
          <w:color w:val="auto"/>
          <w:highlight w:val="none"/>
        </w:rPr>
      </w:pPr>
    </w:p>
    <w:p>
      <w:pPr>
        <w:rPr>
          <w:color w:val="auto"/>
          <w:highlight w:val="none"/>
        </w:rPr>
      </w:pPr>
    </w:p>
    <w:p>
      <w:pPr>
        <w:pStyle w:val="3"/>
        <w:jc w:val="center"/>
        <w:rPr>
          <w:color w:val="auto"/>
          <w:highlight w:val="none"/>
        </w:rPr>
        <w:sectPr>
          <w:headerReference r:id="rId10" w:type="default"/>
          <w:footerReference r:id="rId11" w:type="default"/>
          <w:pgSz w:w="11911" w:h="16838"/>
          <w:pgMar w:top="1134" w:right="1134" w:bottom="1134" w:left="1134" w:header="720" w:footer="720" w:gutter="0"/>
          <w:cols w:space="720" w:num="1"/>
        </w:sectPr>
      </w:pPr>
      <w:bookmarkStart w:id="126" w:name="_Toc80886941"/>
      <w:bookmarkStart w:id="127" w:name="_Toc26272"/>
      <w:bookmarkStart w:id="128" w:name="_Toc22302"/>
      <w:bookmarkStart w:id="129" w:name="_Toc12890"/>
      <w:bookmarkStart w:id="130" w:name="_Toc17404"/>
      <w:bookmarkStart w:id="131" w:name="_Toc5005"/>
      <w:bookmarkStart w:id="132" w:name="_Toc7776"/>
      <w:bookmarkStart w:id="133" w:name="_Toc27282"/>
      <w:r>
        <w:rPr>
          <w:rFonts w:hint="eastAsia" w:ascii="Calibri" w:hAnsi="Calibri"/>
          <w:color w:val="auto"/>
          <w:highlight w:val="none"/>
        </w:rPr>
        <w:t>第五章 响应文件格式</w:t>
      </w:r>
      <w:bookmarkEnd w:id="126"/>
      <w:bookmarkEnd w:id="127"/>
      <w:bookmarkEnd w:id="128"/>
      <w:bookmarkEnd w:id="129"/>
      <w:bookmarkEnd w:id="130"/>
      <w:bookmarkEnd w:id="131"/>
      <w:bookmarkEnd w:id="132"/>
      <w:bookmarkEnd w:id="133"/>
    </w:p>
    <w:p>
      <w:pPr>
        <w:pStyle w:val="4"/>
        <w:jc w:val="center"/>
        <w:rPr>
          <w:rFonts w:hint="eastAsia" w:ascii="宋体" w:hAnsi="宋体"/>
          <w:bCs w:val="0"/>
          <w:color w:val="auto"/>
          <w:highlight w:val="none"/>
        </w:rPr>
      </w:pPr>
      <w:bookmarkStart w:id="134" w:name="_Toc80886943"/>
      <w:bookmarkStart w:id="135" w:name="_Toc80205939"/>
      <w:bookmarkStart w:id="136" w:name="_Toc12994"/>
      <w:bookmarkStart w:id="137" w:name="_Toc22245"/>
      <w:r>
        <w:rPr>
          <w:rFonts w:hint="eastAsia" w:ascii="宋体" w:hAnsi="宋体"/>
          <w:bCs w:val="0"/>
          <w:color w:val="auto"/>
          <w:highlight w:val="none"/>
        </w:rPr>
        <w:t>第一节 资格证明文件格式</w:t>
      </w:r>
      <w:bookmarkEnd w:id="134"/>
      <w:bookmarkEnd w:id="135"/>
      <w:bookmarkEnd w:id="136"/>
      <w:bookmarkEnd w:id="137"/>
    </w:p>
    <w:p>
      <w:pPr>
        <w:snapToGrid w:val="0"/>
        <w:spacing w:before="120" w:beforeLines="50" w:after="50"/>
        <w:jc w:val="left"/>
        <w:rPr>
          <w:rFonts w:hint="eastAsia"/>
          <w:color w:val="auto"/>
          <w:sz w:val="24"/>
          <w:highlight w:val="none"/>
        </w:rPr>
      </w:pPr>
      <w:r>
        <w:rPr>
          <w:rFonts w:hint="eastAsia" w:hAnsi="宋体" w:cs="宋体"/>
          <w:b/>
          <w:bCs/>
          <w:color w:val="auto"/>
          <w:sz w:val="28"/>
          <w:szCs w:val="28"/>
          <w:highlight w:val="none"/>
        </w:rPr>
        <w:t>1.资格证明文件封面的格式</w:t>
      </w:r>
      <w:r>
        <w:rPr>
          <w:rFonts w:hint="eastAsia" w:ascii="宋体" w:hAnsi="宋体" w:cs="宋体"/>
          <w:b/>
          <w:color w:val="auto"/>
          <w:sz w:val="28"/>
          <w:szCs w:val="28"/>
          <w:highlight w:val="none"/>
        </w:rPr>
        <w:t>（参照此格式自拟）</w:t>
      </w:r>
      <w:r>
        <w:rPr>
          <w:rFonts w:hint="eastAsia" w:hAnsi="宋体" w:cs="宋体"/>
          <w:b/>
          <w:bCs/>
          <w:color w:val="auto"/>
          <w:sz w:val="28"/>
          <w:szCs w:val="28"/>
          <w:highlight w:val="none"/>
        </w:rPr>
        <w:t>：</w:t>
      </w:r>
      <w:r>
        <w:rPr>
          <w:rFonts w:hint="eastAsia"/>
          <w:color w:val="auto"/>
          <w:sz w:val="24"/>
          <w:highlight w:val="none"/>
        </w:rPr>
        <w:t xml:space="preserve">                                      </w:t>
      </w:r>
    </w:p>
    <w:p>
      <w:pPr>
        <w:snapToGrid w:val="0"/>
        <w:spacing w:before="120" w:beforeLines="50" w:after="50"/>
        <w:ind w:firstLine="6930" w:firstLineChars="3300"/>
        <w:rPr>
          <w:rFonts w:hint="eastAsia"/>
          <w:bCs/>
          <w:color w:val="auto"/>
          <w:sz w:val="32"/>
          <w:szCs w:val="20"/>
          <w:highlight w:val="none"/>
        </w:rPr>
      </w:pPr>
      <w:r>
        <w:rPr>
          <w:rFonts w:hint="eastAsia"/>
          <w:bCs/>
          <w:color w:val="auto"/>
          <w:highlight w:val="none"/>
        </w:rPr>
        <w:t>全流程电子文件</w:t>
      </w:r>
    </w:p>
    <w:p>
      <w:pPr>
        <w:snapToGrid w:val="0"/>
        <w:spacing w:before="120" w:beforeLines="50" w:after="50"/>
        <w:rPr>
          <w:rFonts w:hint="eastAsia"/>
          <w:color w:val="auto"/>
          <w:sz w:val="24"/>
          <w:szCs w:val="20"/>
          <w:highlight w:val="none"/>
        </w:rPr>
      </w:pPr>
    </w:p>
    <w:p>
      <w:pPr>
        <w:snapToGrid w:val="0"/>
        <w:spacing w:before="120" w:beforeLines="50" w:after="50"/>
        <w:rPr>
          <w:rFonts w:hint="eastAsia"/>
          <w:color w:val="auto"/>
          <w:sz w:val="24"/>
          <w:szCs w:val="20"/>
          <w:highlight w:val="none"/>
        </w:rPr>
      </w:pPr>
    </w:p>
    <w:p>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pPr>
        <w:snapToGrid w:val="0"/>
        <w:spacing w:before="120" w:beforeLines="50" w:after="50"/>
        <w:rPr>
          <w:rFonts w:hint="eastAsia"/>
          <w:bCs/>
          <w:color w:val="auto"/>
          <w:sz w:val="24"/>
          <w:szCs w:val="20"/>
          <w:highlight w:val="none"/>
        </w:rPr>
      </w:pPr>
    </w:p>
    <w:p>
      <w:pPr>
        <w:snapToGrid w:val="0"/>
        <w:spacing w:before="120" w:beforeLines="50" w:after="50"/>
        <w:rPr>
          <w:rFonts w:hint="eastAsia"/>
          <w:bCs/>
          <w:color w:val="auto"/>
          <w:sz w:val="24"/>
          <w:szCs w:val="20"/>
          <w:highlight w:val="none"/>
        </w:rPr>
      </w:pPr>
    </w:p>
    <w:p>
      <w:pPr>
        <w:snapToGrid w:val="0"/>
        <w:spacing w:before="120" w:beforeLines="50" w:after="50"/>
        <w:rPr>
          <w:rFonts w:hint="eastAsia"/>
          <w:bCs/>
          <w:color w:val="auto"/>
          <w:sz w:val="24"/>
          <w:szCs w:val="20"/>
          <w:highlight w:val="none"/>
        </w:rPr>
      </w:pPr>
    </w:p>
    <w:p>
      <w:pPr>
        <w:snapToGrid w:val="0"/>
        <w:spacing w:before="120" w:beforeLines="50" w:after="50"/>
        <w:rPr>
          <w:rFonts w:hint="eastAsia"/>
          <w:bCs/>
          <w:color w:val="auto"/>
          <w:sz w:val="24"/>
          <w:szCs w:val="20"/>
          <w:highlight w:val="none"/>
        </w:rPr>
      </w:pPr>
    </w:p>
    <w:p>
      <w:pPr>
        <w:snapToGrid w:val="0"/>
        <w:spacing w:before="120" w:beforeLines="50" w:after="50"/>
        <w:rPr>
          <w:rFonts w:hint="eastAsia"/>
          <w:bCs/>
          <w:color w:val="auto"/>
          <w:sz w:val="24"/>
          <w:szCs w:val="20"/>
          <w:highlight w:val="none"/>
        </w:rPr>
      </w:pPr>
    </w:p>
    <w:p>
      <w:pPr>
        <w:snapToGrid w:val="0"/>
        <w:spacing w:before="120" w:beforeLines="50" w:after="50"/>
        <w:ind w:firstLine="640" w:firstLineChars="200"/>
        <w:rPr>
          <w:rFonts w:hint="eastAsia" w:cs="仿宋_GB2312"/>
          <w:bCs/>
          <w:color w:val="auto"/>
          <w:sz w:val="32"/>
          <w:szCs w:val="32"/>
          <w:highlight w:val="none"/>
        </w:rPr>
      </w:pPr>
      <w:r>
        <w:rPr>
          <w:rFonts w:hint="eastAsia" w:cs="仿宋_GB2312"/>
          <w:bCs/>
          <w:color w:val="auto"/>
          <w:sz w:val="32"/>
          <w:szCs w:val="32"/>
          <w:highlight w:val="none"/>
        </w:rPr>
        <w:t>项目名称：</w:t>
      </w:r>
    </w:p>
    <w:p>
      <w:pPr>
        <w:snapToGrid w:val="0"/>
        <w:spacing w:before="120" w:beforeLines="50" w:after="50"/>
        <w:ind w:firstLine="720" w:firstLineChars="225"/>
        <w:rPr>
          <w:rFonts w:hint="eastAsia" w:cs="仿宋_GB2312"/>
          <w:bCs/>
          <w:color w:val="auto"/>
          <w:sz w:val="32"/>
          <w:szCs w:val="32"/>
          <w:highlight w:val="none"/>
        </w:rPr>
      </w:pPr>
    </w:p>
    <w:p>
      <w:pPr>
        <w:snapToGrid w:val="0"/>
        <w:spacing w:before="120" w:beforeLines="50" w:after="50"/>
        <w:ind w:firstLine="720" w:firstLineChars="225"/>
        <w:rPr>
          <w:rFonts w:hint="eastAsia" w:cs="仿宋_GB2312"/>
          <w:bCs/>
          <w:color w:val="auto"/>
          <w:sz w:val="32"/>
          <w:szCs w:val="32"/>
          <w:highlight w:val="none"/>
        </w:rPr>
      </w:pPr>
      <w:r>
        <w:rPr>
          <w:rFonts w:hint="eastAsia" w:cs="仿宋_GB2312"/>
          <w:bCs/>
          <w:color w:val="auto"/>
          <w:sz w:val="32"/>
          <w:szCs w:val="32"/>
          <w:highlight w:val="none"/>
        </w:rPr>
        <w:t>项目编号：</w:t>
      </w:r>
    </w:p>
    <w:p>
      <w:pPr>
        <w:snapToGrid w:val="0"/>
        <w:spacing w:before="120" w:beforeLines="50" w:after="50"/>
        <w:ind w:firstLine="720" w:firstLineChars="225"/>
        <w:rPr>
          <w:rFonts w:hint="eastAsia" w:cs="仿宋_GB2312"/>
          <w:bCs/>
          <w:color w:val="auto"/>
          <w:sz w:val="32"/>
          <w:szCs w:val="32"/>
          <w:highlight w:val="none"/>
        </w:rPr>
      </w:pPr>
      <w:r>
        <w:rPr>
          <w:rFonts w:hint="eastAsia" w:cs="仿宋_GB2312"/>
          <w:bCs/>
          <w:color w:val="auto"/>
          <w:sz w:val="32"/>
          <w:szCs w:val="32"/>
          <w:highlight w:val="none"/>
        </w:rPr>
        <w:t xml:space="preserve"> </w:t>
      </w:r>
    </w:p>
    <w:p>
      <w:pPr>
        <w:snapToGrid w:val="0"/>
        <w:spacing w:before="120" w:beforeLines="50" w:after="50"/>
        <w:ind w:firstLine="720" w:firstLineChars="225"/>
        <w:rPr>
          <w:rFonts w:hint="eastAsia" w:cs="仿宋_GB2312"/>
          <w:bCs/>
          <w:color w:val="auto"/>
          <w:sz w:val="32"/>
          <w:szCs w:val="32"/>
          <w:highlight w:val="none"/>
        </w:rPr>
      </w:pPr>
      <w:r>
        <w:rPr>
          <w:rFonts w:hint="eastAsia" w:cs="仿宋_GB2312"/>
          <w:bCs/>
          <w:color w:val="auto"/>
          <w:sz w:val="32"/>
          <w:szCs w:val="32"/>
          <w:highlight w:val="none"/>
        </w:rPr>
        <w:t>所竞分标（如有则填写，无分标时填写“无”或者留空）：</w:t>
      </w:r>
    </w:p>
    <w:p>
      <w:pPr>
        <w:snapToGrid w:val="0"/>
        <w:spacing w:before="120" w:beforeLines="50" w:after="50"/>
        <w:ind w:firstLine="720" w:firstLineChars="225"/>
        <w:rPr>
          <w:rFonts w:hint="eastAsia" w:cs="仿宋_GB2312"/>
          <w:bCs/>
          <w:color w:val="auto"/>
          <w:sz w:val="32"/>
          <w:szCs w:val="32"/>
          <w:highlight w:val="none"/>
        </w:rPr>
      </w:pPr>
    </w:p>
    <w:p>
      <w:pPr>
        <w:pStyle w:val="8"/>
        <w:snapToGrid w:val="0"/>
        <w:spacing w:before="50" w:after="50"/>
        <w:ind w:firstLine="720" w:firstLineChars="225"/>
        <w:rPr>
          <w:rFonts w:hint="eastAsia" w:cs="仿宋_GB2312"/>
          <w:bCs/>
          <w:color w:val="auto"/>
          <w:sz w:val="32"/>
          <w:szCs w:val="32"/>
          <w:highlight w:val="none"/>
        </w:rPr>
      </w:pPr>
      <w:r>
        <w:rPr>
          <w:rFonts w:hint="eastAsia" w:cs="仿宋_GB2312"/>
          <w:bCs/>
          <w:color w:val="auto"/>
          <w:sz w:val="32"/>
          <w:szCs w:val="32"/>
          <w:highlight w:val="none"/>
        </w:rPr>
        <w:t>供应商名称：</w:t>
      </w:r>
    </w:p>
    <w:p>
      <w:pPr>
        <w:pStyle w:val="8"/>
        <w:snapToGrid w:val="0"/>
        <w:spacing w:before="50" w:after="50"/>
        <w:ind w:firstLine="720" w:firstLineChars="225"/>
        <w:rPr>
          <w:rFonts w:hint="eastAsia" w:cs="仿宋_GB2312"/>
          <w:bCs/>
          <w:color w:val="auto"/>
          <w:sz w:val="32"/>
          <w:szCs w:val="32"/>
          <w:highlight w:val="none"/>
        </w:rPr>
      </w:pPr>
    </w:p>
    <w:p>
      <w:pPr>
        <w:pStyle w:val="8"/>
        <w:snapToGrid w:val="0"/>
        <w:spacing w:before="50" w:after="50"/>
        <w:ind w:firstLine="720" w:firstLineChars="225"/>
        <w:rPr>
          <w:rFonts w:hint="eastAsia" w:cs="仿宋_GB2312"/>
          <w:bCs/>
          <w:color w:val="auto"/>
          <w:sz w:val="32"/>
          <w:szCs w:val="32"/>
          <w:highlight w:val="none"/>
        </w:rPr>
      </w:pPr>
    </w:p>
    <w:p>
      <w:pPr>
        <w:pStyle w:val="8"/>
        <w:snapToGrid w:val="0"/>
        <w:spacing w:before="50" w:after="50"/>
        <w:ind w:firstLine="720" w:firstLineChars="225"/>
        <w:rPr>
          <w:rFonts w:hint="eastAsia" w:cs="仿宋_GB2312"/>
          <w:bCs/>
          <w:color w:val="auto"/>
          <w:sz w:val="32"/>
          <w:szCs w:val="32"/>
          <w:highlight w:val="none"/>
        </w:rPr>
      </w:pPr>
    </w:p>
    <w:p>
      <w:pPr>
        <w:pStyle w:val="8"/>
        <w:snapToGrid w:val="0"/>
        <w:spacing w:before="50" w:after="50"/>
        <w:ind w:firstLine="1280" w:firstLineChars="400"/>
        <w:rPr>
          <w:rFonts w:hint="eastAsia" w:cs="仿宋_GB2312"/>
          <w:bCs/>
          <w:color w:val="auto"/>
          <w:sz w:val="32"/>
          <w:szCs w:val="32"/>
          <w:highlight w:val="none"/>
        </w:rPr>
      </w:pPr>
    </w:p>
    <w:p>
      <w:pPr>
        <w:snapToGrid w:val="0"/>
        <w:spacing w:before="120" w:beforeLines="50" w:after="50"/>
        <w:jc w:val="center"/>
        <w:rPr>
          <w:rFonts w:hint="eastAsia" w:cs="仿宋_GB2312"/>
          <w:color w:val="auto"/>
          <w:sz w:val="32"/>
          <w:szCs w:val="32"/>
          <w:highlight w:val="none"/>
        </w:rPr>
      </w:pPr>
      <w:r>
        <w:rPr>
          <w:rFonts w:hint="eastAsia" w:cs="仿宋_GB2312"/>
          <w:color w:val="auto"/>
          <w:sz w:val="32"/>
          <w:szCs w:val="32"/>
          <w:highlight w:val="none"/>
        </w:rPr>
        <w:t>年    月    日</w:t>
      </w:r>
    </w:p>
    <w:p>
      <w:pPr>
        <w:snapToGrid w:val="0"/>
        <w:spacing w:before="120" w:beforeLines="50" w:after="50" w:line="360" w:lineRule="auto"/>
        <w:jc w:val="left"/>
        <w:rPr>
          <w:rFonts w:hint="eastAsia" w:ascii="宋体" w:hAnsi="宋体" w:cs="宋体"/>
          <w:b/>
          <w:bCs/>
          <w:color w:val="auto"/>
          <w:sz w:val="28"/>
          <w:szCs w:val="28"/>
          <w:highlight w:val="none"/>
        </w:rPr>
      </w:pPr>
      <w:r>
        <w:rPr>
          <w:color w:val="auto"/>
          <w:sz w:val="24"/>
          <w:highlight w:val="none"/>
        </w:rPr>
        <w:br w:type="page"/>
      </w:r>
      <w:r>
        <w:rPr>
          <w:rFonts w:hint="eastAsia" w:ascii="宋体" w:hAnsi="宋体" w:cs="宋体"/>
          <w:b/>
          <w:bCs/>
          <w:color w:val="auto"/>
          <w:sz w:val="28"/>
          <w:szCs w:val="28"/>
          <w:highlight w:val="none"/>
        </w:rPr>
        <w:t>2.资格证明文件目录</w:t>
      </w:r>
    </w:p>
    <w:p>
      <w:pPr>
        <w:spacing w:line="360" w:lineRule="auto"/>
        <w:rPr>
          <w:rFonts w:hint="eastAsia" w:ascii="宋体" w:hAnsi="宋体" w:cs="宋体"/>
          <w:b/>
          <w:bCs/>
          <w:color w:val="auto"/>
          <w:sz w:val="28"/>
          <w:szCs w:val="28"/>
          <w:highlight w:val="none"/>
        </w:rPr>
      </w:pPr>
      <w:r>
        <w:rPr>
          <w:rFonts w:hint="eastAsia" w:ascii="宋体" w:hAnsi="宋体" w:cs="宋体"/>
          <w:color w:val="auto"/>
          <w:sz w:val="28"/>
          <w:szCs w:val="28"/>
          <w:highlight w:val="none"/>
        </w:rPr>
        <w:t xml:space="preserve">    根据竞争性磋商文件规定及供应商提供的材料自行编写目录（部分格式后附）。</w:t>
      </w:r>
    </w:p>
    <w:p>
      <w:pPr>
        <w:spacing w:line="320" w:lineRule="exact"/>
        <w:jc w:val="left"/>
        <w:rPr>
          <w:rFonts w:hint="eastAsia" w:ascii="宋体" w:hAnsi="宋体" w:cs="宋体"/>
          <w:b/>
          <w:bCs/>
          <w:color w:val="auto"/>
          <w:sz w:val="28"/>
          <w:szCs w:val="28"/>
          <w:highlight w:val="none"/>
        </w:rPr>
      </w:pPr>
      <w:r>
        <w:rPr>
          <w:rFonts w:hint="eastAsia"/>
          <w:color w:val="auto"/>
          <w:szCs w:val="21"/>
          <w:highlight w:val="none"/>
        </w:rPr>
        <w:br w:type="page"/>
      </w:r>
      <w:r>
        <w:rPr>
          <w:rFonts w:hint="eastAsia" w:ascii="宋体" w:hAnsi="宋体" w:cs="宋体"/>
          <w:b/>
          <w:bCs/>
          <w:color w:val="auto"/>
          <w:kern w:val="0"/>
          <w:sz w:val="28"/>
          <w:szCs w:val="28"/>
          <w:highlight w:val="none"/>
        </w:rPr>
        <w:t>3.声明函的格式：</w:t>
      </w:r>
    </w:p>
    <w:p>
      <w:pPr>
        <w:spacing w:line="320" w:lineRule="exact"/>
        <w:jc w:val="center"/>
        <w:rPr>
          <w:rFonts w:hint="eastAsia"/>
          <w:b/>
          <w:color w:val="auto"/>
          <w:sz w:val="32"/>
          <w:szCs w:val="32"/>
          <w:highlight w:val="none"/>
        </w:rPr>
      </w:pPr>
    </w:p>
    <w:p>
      <w:pPr>
        <w:spacing w:line="320" w:lineRule="exact"/>
        <w:jc w:val="center"/>
        <w:rPr>
          <w:rFonts w:hint="eastAsia"/>
          <w:b/>
          <w:color w:val="auto"/>
          <w:sz w:val="32"/>
          <w:szCs w:val="32"/>
          <w:highlight w:val="none"/>
        </w:rPr>
      </w:pPr>
      <w:r>
        <w:rPr>
          <w:rFonts w:hint="eastAsia"/>
          <w:b/>
          <w:color w:val="auto"/>
          <w:sz w:val="32"/>
          <w:szCs w:val="32"/>
          <w:highlight w:val="none"/>
        </w:rPr>
        <w:t>声明函</w:t>
      </w:r>
    </w:p>
    <w:p>
      <w:pPr>
        <w:spacing w:line="320" w:lineRule="exact"/>
        <w:jc w:val="center"/>
        <w:rPr>
          <w:rFonts w:hint="eastAsia"/>
          <w:color w:val="auto"/>
          <w:sz w:val="24"/>
          <w:szCs w:val="20"/>
          <w:highlight w:val="none"/>
        </w:rPr>
      </w:pPr>
    </w:p>
    <w:p>
      <w:pPr>
        <w:keepNext w:val="0"/>
        <w:keepLines w:val="0"/>
        <w:pageBreakBefore w:val="0"/>
        <w:widowControl w:val="0"/>
        <w:kinsoku/>
        <w:wordWrap/>
        <w:overflowPunct/>
        <w:topLinePunct w:val="0"/>
        <w:autoSpaceDE/>
        <w:autoSpaceDN/>
        <w:bidi w:val="0"/>
        <w:adjustRightInd/>
        <w:snapToGrid/>
        <w:spacing w:line="440" w:lineRule="exact"/>
        <w:contextualSpacing/>
        <w:textAlignment w:val="auto"/>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（采购代理机构名称）</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highlight w:val="none"/>
        </w:rPr>
      </w:pPr>
      <w:r>
        <w:rPr>
          <w:rFonts w:hint="eastAsia" w:ascii="宋体" w:hAnsi="宋体" w:cs="宋体"/>
          <w:i/>
          <w:iCs/>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i/>
          <w:iCs/>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highlight w:val="none"/>
        </w:rPr>
      </w:pPr>
      <w:r>
        <w:rPr>
          <w:rFonts w:hint="eastAsia" w:ascii="宋体" w:hAnsi="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highlight w:val="none"/>
        </w:rPr>
      </w:pPr>
      <w:r>
        <w:rPr>
          <w:rFonts w:hint="eastAsia" w:ascii="宋体" w:hAnsi="宋体" w:cs="宋体"/>
          <w:color w:val="auto"/>
          <w:sz w:val="24"/>
          <w:highlight w:val="none"/>
        </w:rPr>
        <w:t>3.在此，我方宣布同意如下：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highlight w:val="none"/>
        </w:rPr>
      </w:pPr>
      <w:r>
        <w:rPr>
          <w:rFonts w:hint="eastAsia" w:ascii="宋体" w:hAnsi="宋体" w:cs="宋体"/>
          <w:color w:val="auto"/>
          <w:sz w:val="24"/>
          <w:highlight w:val="none"/>
        </w:rPr>
        <w:t>（2）已详细审查</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全部</w:t>
      </w:r>
      <w:r>
        <w:rPr>
          <w:rFonts w:hint="eastAsia" w:ascii="宋体" w:hAnsi="宋体" w:eastAsia="宋体" w:cs="宋体"/>
          <w:color w:val="auto"/>
          <w:sz w:val="24"/>
          <w:szCs w:val="24"/>
          <w:highlight w:val="none"/>
          <w:lang w:val="en-US" w:eastAsia="zh-CN"/>
        </w:rPr>
        <w:t>内容</w:t>
      </w:r>
      <w:r>
        <w:rPr>
          <w:rFonts w:hint="eastAsia" w:ascii="宋体" w:hAnsi="宋体" w:cs="宋体"/>
          <w:color w:val="auto"/>
          <w:sz w:val="24"/>
          <w:highlight w:val="none"/>
        </w:rPr>
        <w:t>，包括澄清或者更正公告（如有）；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highlight w:val="none"/>
        </w:rPr>
      </w:pPr>
      <w:r>
        <w:rPr>
          <w:rFonts w:hint="eastAsia" w:ascii="宋体" w:hAnsi="宋体" w:cs="宋体"/>
          <w:color w:val="auto"/>
          <w:sz w:val="24"/>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根据《中华人民共和国政府采购法实施条例》第五十条要求对政府采购合同进行公告，但政府采购合同中涉及国家秘密、商业秘密的内容除外。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19"/>
        <w:keepNext w:val="0"/>
        <w:keepLines w:val="0"/>
        <w:pageBreakBefore w:val="0"/>
        <w:widowControl w:val="0"/>
        <w:tabs>
          <w:tab w:val="left" w:pos="939"/>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w:t>
      </w:r>
      <w:r>
        <w:rPr>
          <w:rFonts w:hint="eastAsia" w:ascii="宋体" w:hAnsi="宋体" w:cs="宋体"/>
          <w:color w:val="auto"/>
          <w:sz w:val="24"/>
          <w:highlight w:val="none"/>
        </w:rPr>
        <w:t>以上事项如有虚假或者隐瞒，我方愿意承担一切后果，并不再寻求任何旨在减轻或者免除法律责任的辩解。</w:t>
      </w:r>
    </w:p>
    <w:p>
      <w:pPr>
        <w:pStyle w:val="19"/>
        <w:keepNext w:val="0"/>
        <w:keepLines w:val="0"/>
        <w:pageBreakBefore w:val="0"/>
        <w:widowControl w:val="0"/>
        <w:tabs>
          <w:tab w:val="left" w:pos="939"/>
        </w:tabs>
        <w:kinsoku/>
        <w:wordWrap/>
        <w:overflowPunct/>
        <w:topLinePunct w:val="0"/>
        <w:autoSpaceDE/>
        <w:autoSpaceDN/>
        <w:bidi w:val="0"/>
        <w:adjustRightInd/>
        <w:snapToGrid/>
        <w:spacing w:line="440" w:lineRule="exact"/>
        <w:ind w:left="141" w:leftChars="67" w:firstLine="360" w:firstLineChars="150"/>
        <w:textAlignment w:val="auto"/>
        <w:rPr>
          <w:rFonts w:hint="eastAsia" w:ascii="宋体" w:hAnsi="宋体" w:cs="宋体"/>
          <w:color w:val="auto"/>
          <w:sz w:val="24"/>
          <w:highlight w:val="none"/>
        </w:rPr>
      </w:pPr>
      <w:r>
        <w:rPr>
          <w:rFonts w:hint="eastAsia" w:ascii="宋体" w:hAnsi="宋体" w:cs="宋体"/>
          <w:color w:val="auto"/>
          <w:sz w:val="24"/>
          <w:highlight w:val="none"/>
        </w:rPr>
        <w:t>特此承诺。</w:t>
      </w:r>
    </w:p>
    <w:p>
      <w:pPr>
        <w:pStyle w:val="19"/>
        <w:keepNext w:val="0"/>
        <w:keepLines w:val="0"/>
        <w:pageBreakBefore w:val="0"/>
        <w:widowControl w:val="0"/>
        <w:tabs>
          <w:tab w:val="left" w:pos="939"/>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注：如为联合体竞标，盖章处须加盖联合体各方公章，否则其响应文件按无效响应处理。</w:t>
      </w:r>
    </w:p>
    <w:p>
      <w:pPr>
        <w:autoSpaceDE w:val="0"/>
        <w:autoSpaceDN w:val="0"/>
        <w:spacing w:line="360" w:lineRule="auto"/>
        <w:ind w:left="4365" w:leftChars="1850" w:hanging="480" w:hangingChars="200"/>
        <w:rPr>
          <w:rFonts w:hint="eastAsia" w:ascii="宋体" w:hAnsi="宋体" w:cs="宋体"/>
          <w:color w:val="auto"/>
          <w:kern w:val="0"/>
          <w:sz w:val="24"/>
          <w:highlight w:val="none"/>
        </w:rPr>
      </w:pPr>
    </w:p>
    <w:p>
      <w:pPr>
        <w:autoSpaceDE w:val="0"/>
        <w:autoSpaceDN w:val="0"/>
        <w:spacing w:line="360" w:lineRule="auto"/>
        <w:ind w:left="4365" w:leftChars="1850" w:hanging="480" w:hangingChars="2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供应商名称（盖公章）：</w:t>
      </w:r>
    </w:p>
    <w:p>
      <w:pPr>
        <w:autoSpaceDE w:val="0"/>
        <w:autoSpaceDN w:val="0"/>
        <w:spacing w:line="360" w:lineRule="auto"/>
        <w:ind w:firstLine="6120" w:firstLineChars="25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br w:type="page"/>
      </w:r>
    </w:p>
    <w:p>
      <w:pPr>
        <w:snapToGrid w:val="0"/>
        <w:spacing w:line="360" w:lineRule="auto"/>
        <w:ind w:right="480"/>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4</w:t>
      </w:r>
      <w:r>
        <w:rPr>
          <w:rFonts w:hint="eastAsia" w:ascii="宋体" w:hAnsi="宋体" w:eastAsia="宋体" w:cs="宋体"/>
          <w:b/>
          <w:color w:val="auto"/>
          <w:kern w:val="0"/>
          <w:sz w:val="32"/>
          <w:szCs w:val="32"/>
          <w:highlight w:val="none"/>
        </w:rPr>
        <w:t>.</w:t>
      </w:r>
      <w:r>
        <w:rPr>
          <w:rFonts w:hint="eastAsia" w:ascii="宋体" w:hAnsi="宋体" w:eastAsia="宋体" w:cs="宋体"/>
          <w:b/>
          <w:color w:val="auto"/>
          <w:sz w:val="28"/>
          <w:szCs w:val="28"/>
          <w:highlight w:val="none"/>
        </w:rPr>
        <w:t>供应商直接控股股东信息表的格式</w:t>
      </w:r>
      <w:r>
        <w:rPr>
          <w:rFonts w:hint="eastAsia" w:ascii="Times New Roman" w:hAnsi="Times New Roman" w:eastAsia="宋体" w:cs="Times New Roman"/>
          <w:color w:val="auto"/>
          <w:sz w:val="28"/>
          <w:szCs w:val="28"/>
          <w:highlight w:val="none"/>
        </w:rPr>
        <w:t>：</w:t>
      </w:r>
    </w:p>
    <w:p>
      <w:pPr>
        <w:snapToGrid w:val="0"/>
        <w:jc w:val="left"/>
        <w:rPr>
          <w:rFonts w:ascii="Times New Roman" w:hAnsi="Times New Roman" w:eastAsia="宋体" w:cs="Times New Roman"/>
          <w:color w:val="auto"/>
          <w:sz w:val="18"/>
          <w:szCs w:val="18"/>
          <w:highlight w:val="none"/>
        </w:rPr>
      </w:pPr>
    </w:p>
    <w:p>
      <w:pPr>
        <w:snapToGrid w:val="0"/>
        <w:spacing w:before="50" w:after="165" w:afterLines="50" w:line="360" w:lineRule="auto"/>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供应商直接控股股东信息表</w:t>
      </w:r>
    </w:p>
    <w:tbl>
      <w:tblPr>
        <w:tblStyle w:val="32"/>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879"/>
        <w:gridCol w:w="1261"/>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387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1261"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r>
    </w:tbl>
    <w:p>
      <w:pPr>
        <w:snapToGrid w:val="0"/>
        <w:spacing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w:t>
      </w:r>
    </w:p>
    <w:p>
      <w:pPr>
        <w:snapToGrid w:val="0"/>
        <w:spacing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2.本表所指的控股关系仅限于直接控股关系，不包括间接的控股关系。公司实际控制人与公司之间的关系不属于本表所指的直接控股关系。</w:t>
      </w:r>
    </w:p>
    <w:p>
      <w:pPr>
        <w:snapToGrid w:val="0"/>
        <w:spacing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3.供应商不存在直接控股股东的，则填“无”。</w:t>
      </w:r>
    </w:p>
    <w:p>
      <w:pPr>
        <w:snapToGrid w:val="0"/>
        <w:spacing w:before="50" w:after="120" w:afterLines="50"/>
        <w:ind w:firstLine="180" w:firstLineChars="100"/>
        <w:jc w:val="left"/>
        <w:rPr>
          <w:rFonts w:ascii="宋体" w:hAnsi="宋体" w:eastAsia="宋体" w:cs="Times New Roman"/>
          <w:color w:val="auto"/>
          <w:sz w:val="18"/>
          <w:szCs w:val="18"/>
          <w:highlight w:val="none"/>
        </w:rPr>
      </w:pPr>
    </w:p>
    <w:p>
      <w:pPr>
        <w:snapToGrid w:val="0"/>
        <w:spacing w:before="50" w:after="240" w:afterLines="100"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供应商名称（盖公章）：</w:t>
      </w:r>
    </w:p>
    <w:p>
      <w:pPr>
        <w:snapToGrid w:val="0"/>
        <w:spacing w:before="50" w:after="240" w:afterLines="100" w:line="360" w:lineRule="auto"/>
        <w:ind w:left="7428" w:leftChars="2223" w:hanging="2760" w:hangingChars="1150"/>
        <w:jc w:val="left"/>
        <w:rPr>
          <w:rFonts w:ascii="宋体" w:hAnsi="宋体" w:eastAsia="宋体" w:cs="宋体"/>
          <w:b/>
          <w:bCs/>
          <w:color w:val="auto"/>
          <w:sz w:val="30"/>
          <w:szCs w:val="30"/>
          <w:highlight w:val="none"/>
        </w:rPr>
      </w:pPr>
      <w:r>
        <w:rPr>
          <w:rFonts w:hint="eastAsia" w:ascii="宋体" w:hAnsi="宋体" w:eastAsia="宋体" w:cs="宋体"/>
          <w:color w:val="auto"/>
          <w:kern w:val="0"/>
          <w:sz w:val="24"/>
          <w:highlight w:val="none"/>
          <w:lang w:val="zh-CN"/>
        </w:rPr>
        <w:t>日期：  年  月   日</w:t>
      </w: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snapToGrid w:val="0"/>
        <w:spacing w:line="360" w:lineRule="auto"/>
        <w:ind w:right="480"/>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5</w:t>
      </w:r>
      <w:r>
        <w:rPr>
          <w:rFonts w:hint="eastAsia" w:ascii="宋体" w:hAnsi="宋体" w:eastAsia="宋体" w:cs="宋体"/>
          <w:b/>
          <w:color w:val="auto"/>
          <w:kern w:val="0"/>
          <w:sz w:val="32"/>
          <w:szCs w:val="32"/>
          <w:highlight w:val="none"/>
        </w:rPr>
        <w:t>.</w:t>
      </w:r>
      <w:r>
        <w:rPr>
          <w:rFonts w:hint="eastAsia" w:ascii="宋体" w:hAnsi="宋体" w:eastAsia="宋体" w:cs="宋体"/>
          <w:b/>
          <w:color w:val="auto"/>
          <w:sz w:val="28"/>
          <w:szCs w:val="28"/>
          <w:highlight w:val="none"/>
          <w:lang w:val="en-US" w:eastAsia="zh-CN"/>
        </w:rPr>
        <w:t>供应商</w:t>
      </w:r>
      <w:r>
        <w:rPr>
          <w:rFonts w:hint="eastAsia" w:ascii="宋体" w:hAnsi="宋体" w:eastAsia="宋体" w:cs="宋体"/>
          <w:b/>
          <w:color w:val="auto"/>
          <w:sz w:val="28"/>
          <w:szCs w:val="28"/>
          <w:highlight w:val="none"/>
        </w:rPr>
        <w:t>直接管理关系信息表的格式</w:t>
      </w:r>
      <w:r>
        <w:rPr>
          <w:rFonts w:hint="eastAsia" w:ascii="Times New Roman" w:hAnsi="Times New Roman" w:eastAsia="宋体" w:cs="Times New Roman"/>
          <w:color w:val="auto"/>
          <w:sz w:val="28"/>
          <w:szCs w:val="28"/>
          <w:highlight w:val="none"/>
        </w:rPr>
        <w:t>：</w:t>
      </w:r>
    </w:p>
    <w:p>
      <w:pPr>
        <w:snapToGrid w:val="0"/>
        <w:jc w:val="left"/>
        <w:rPr>
          <w:rFonts w:ascii="Times New Roman" w:hAnsi="Times New Roman" w:eastAsia="宋体" w:cs="Times New Roman"/>
          <w:color w:val="auto"/>
          <w:sz w:val="18"/>
          <w:szCs w:val="18"/>
          <w:highlight w:val="none"/>
        </w:rPr>
      </w:pPr>
    </w:p>
    <w:p>
      <w:pPr>
        <w:snapToGrid w:val="0"/>
        <w:spacing w:line="360" w:lineRule="auto"/>
        <w:jc w:val="center"/>
        <w:rPr>
          <w:rFonts w:hint="eastAsia"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供应商直接管理关系信息表</w:t>
      </w:r>
    </w:p>
    <w:tbl>
      <w:tblPr>
        <w:tblStyle w:val="32"/>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r>
    </w:tbl>
    <w:p>
      <w:pPr>
        <w:snapToGrid w:val="0"/>
        <w:spacing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w:t>
      </w:r>
      <w:r>
        <w:rPr>
          <w:rFonts w:hint="eastAsia" w:ascii="宋体" w:hAnsi="宋体" w:eastAsia="宋体" w:cs="Times New Roman"/>
          <w:color w:val="auto"/>
          <w:spacing w:val="-6"/>
          <w:sz w:val="24"/>
          <w:highlight w:val="none"/>
        </w:rPr>
        <w:t>本表所指的管理关系仅限于直接管理关系，不包括间接的管理关系。</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3.供应商不存在直接管理关系的，则填“无”。</w:t>
      </w:r>
    </w:p>
    <w:p>
      <w:pPr>
        <w:snapToGrid w:val="0"/>
        <w:spacing w:before="50" w:after="120" w:afterLines="50"/>
        <w:ind w:firstLine="180" w:firstLineChars="100"/>
        <w:jc w:val="left"/>
        <w:rPr>
          <w:rFonts w:ascii="宋体" w:hAnsi="宋体" w:eastAsia="宋体" w:cs="Times New Roman"/>
          <w:color w:val="auto"/>
          <w:sz w:val="18"/>
          <w:szCs w:val="18"/>
          <w:highlight w:val="none"/>
        </w:rPr>
      </w:pPr>
    </w:p>
    <w:p>
      <w:pPr>
        <w:snapToGrid w:val="0"/>
        <w:spacing w:before="50" w:after="240" w:afterLines="100"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供应商名称（盖公章）：</w:t>
      </w:r>
    </w:p>
    <w:p>
      <w:pPr>
        <w:snapToGrid w:val="0"/>
        <w:spacing w:before="50" w:after="240" w:afterLines="100" w:line="360" w:lineRule="auto"/>
        <w:ind w:left="7428" w:leftChars="2223" w:hanging="2760" w:hangingChars="1150"/>
        <w:jc w:val="left"/>
        <w:rPr>
          <w:rFonts w:ascii="宋体" w:hAnsi="宋体" w:eastAsia="宋体" w:cs="宋体"/>
          <w:b/>
          <w:bCs/>
          <w:color w:val="auto"/>
          <w:sz w:val="30"/>
          <w:szCs w:val="30"/>
          <w:highlight w:val="none"/>
        </w:rPr>
      </w:pPr>
      <w:r>
        <w:rPr>
          <w:rFonts w:hint="eastAsia" w:ascii="宋体" w:hAnsi="宋体" w:eastAsia="宋体" w:cs="宋体"/>
          <w:color w:val="auto"/>
          <w:kern w:val="0"/>
          <w:sz w:val="24"/>
          <w:highlight w:val="none"/>
          <w:lang w:val="zh-CN"/>
        </w:rPr>
        <w:t>日期：  年  月   日</w:t>
      </w:r>
    </w:p>
    <w:p>
      <w:pP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br w:type="page"/>
      </w:r>
    </w:p>
    <w:p>
      <w:pPr>
        <w:pStyle w:val="8"/>
        <w:overflowPunct w:val="0"/>
        <w:spacing w:line="520" w:lineRule="exact"/>
        <w:ind w:firstLine="0"/>
        <w:rPr>
          <w:rFonts w:hint="eastAsia" w:ascii="宋体" w:hAnsi="宋体" w:cs="宋体"/>
          <w:b/>
          <w:bCs/>
          <w:color w:val="auto"/>
          <w:sz w:val="28"/>
          <w:szCs w:val="28"/>
          <w:highlight w:val="none"/>
        </w:rPr>
      </w:pPr>
      <w:r>
        <w:rPr>
          <w:rFonts w:hint="eastAsia" w:ascii="宋体" w:hAnsi="宋体" w:cs="宋体"/>
          <w:b/>
          <w:color w:val="auto"/>
          <w:kern w:val="0"/>
          <w:sz w:val="28"/>
          <w:szCs w:val="28"/>
          <w:highlight w:val="none"/>
          <w:lang w:val="en-US" w:eastAsia="zh-CN"/>
        </w:rPr>
        <w:t>6</w:t>
      </w:r>
      <w:r>
        <w:rPr>
          <w:rFonts w:hint="eastAsia" w:ascii="宋体" w:hAnsi="宋体" w:cs="宋体"/>
          <w:b/>
          <w:color w:val="auto"/>
          <w:kern w:val="0"/>
          <w:sz w:val="28"/>
          <w:szCs w:val="28"/>
          <w:highlight w:val="none"/>
        </w:rPr>
        <w:t>.联合体竞标协议书的格式：</w:t>
      </w:r>
    </w:p>
    <w:p>
      <w:pPr>
        <w:spacing w:line="600" w:lineRule="exact"/>
        <w:jc w:val="center"/>
        <w:rPr>
          <w:rFonts w:hint="eastAsia" w:ascii="方正小标宋简体" w:hAnsi="方正小标宋简体" w:eastAsia="方正小标宋简体" w:cs="方正小标宋简体"/>
          <w:color w:val="auto"/>
          <w:sz w:val="44"/>
          <w:szCs w:val="44"/>
          <w:highlight w:val="none"/>
        </w:rPr>
      </w:pPr>
    </w:p>
    <w:p>
      <w:pPr>
        <w:spacing w:line="6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联合体竞标协议书</w:t>
      </w:r>
    </w:p>
    <w:p>
      <w:pPr>
        <w:autoSpaceDE w:val="0"/>
        <w:autoSpaceDN w:val="0"/>
        <w:adjustRightInd w:val="0"/>
        <w:spacing w:line="360" w:lineRule="auto"/>
        <w:jc w:val="left"/>
        <w:rPr>
          <w:rFonts w:hAnsi="Calibri" w:cs="宋体"/>
          <w:color w:val="auto"/>
          <w:kern w:val="0"/>
          <w:szCs w:val="21"/>
          <w:highlight w:val="none"/>
          <w:u w:val="single"/>
        </w:rPr>
      </w:pPr>
    </w:p>
    <w:p>
      <w:pPr>
        <w:autoSpaceDE w:val="0"/>
        <w:autoSpaceDN w:val="0"/>
        <w:adjustRightInd w:val="0"/>
        <w:spacing w:line="3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（所有成员单位名称）自愿组成联合体，共同参加</w:t>
      </w:r>
      <w:r>
        <w:rPr>
          <w:rFonts w:hint="eastAsia" w:ascii="宋体" w:hAnsi="宋体" w:cs="宋体"/>
          <w:color w:val="auto"/>
          <w:kern w:val="0"/>
          <w:sz w:val="24"/>
          <w:highlight w:val="none"/>
          <w:u w:val="single"/>
        </w:rPr>
        <w:t xml:space="preserve">     </w:t>
      </w:r>
      <w:r>
        <w:rPr>
          <w:rFonts w:hint="eastAsia" w:ascii="宋体" w:hAnsi="宋体" w:cs="宋体"/>
          <w:i/>
          <w:iCs/>
          <w:color w:val="auto"/>
          <w:kern w:val="0"/>
          <w:sz w:val="24"/>
          <w:highlight w:val="none"/>
          <w:u w:val="single"/>
        </w:rPr>
        <w:t>（采购代理机构名称）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组织的</w:t>
      </w:r>
      <w:r>
        <w:rPr>
          <w:rFonts w:hint="eastAsia" w:ascii="宋体" w:hAnsi="宋体" w:cs="宋体"/>
          <w:color w:val="auto"/>
          <w:kern w:val="0"/>
          <w:sz w:val="24"/>
          <w:highlight w:val="none"/>
          <w:u w:val="single"/>
        </w:rPr>
        <w:t xml:space="preserve">        </w:t>
      </w:r>
      <w:r>
        <w:rPr>
          <w:rFonts w:hint="eastAsia" w:ascii="宋体" w:hAnsi="宋体" w:cs="宋体"/>
          <w:i/>
          <w:iCs/>
          <w:color w:val="auto"/>
          <w:kern w:val="0"/>
          <w:sz w:val="24"/>
          <w:highlight w:val="none"/>
          <w:u w:val="single"/>
        </w:rPr>
        <w:t xml:space="preserve"> （项目名称）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（项目编号：</w:t>
      </w:r>
      <w:r>
        <w:rPr>
          <w:rFonts w:hint="eastAsia" w:ascii="宋体" w:hAnsi="宋体" w:cs="宋体"/>
          <w:i/>
          <w:iCs/>
          <w:color w:val="auto"/>
          <w:kern w:val="0"/>
          <w:sz w:val="24"/>
          <w:highlight w:val="none"/>
          <w:u w:val="single"/>
        </w:rPr>
        <w:t>（项目编号）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）竞争性磋商采购。现就联合体竞标事宜订立如下协议：</w:t>
      </w:r>
    </w:p>
    <w:p>
      <w:pPr>
        <w:autoSpaceDE w:val="0"/>
        <w:autoSpaceDN w:val="0"/>
        <w:adjustRightInd w:val="0"/>
        <w:spacing w:line="360" w:lineRule="exact"/>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（某成员单位名称）为联合体名称牵头人。</w:t>
      </w:r>
    </w:p>
    <w:p>
      <w:pPr>
        <w:autoSpaceDE w:val="0"/>
        <w:autoSpaceDN w:val="0"/>
        <w:adjustRightInd w:val="0"/>
        <w:spacing w:line="360" w:lineRule="exact"/>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exact"/>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pPr>
        <w:autoSpaceDE w:val="0"/>
        <w:autoSpaceDN w:val="0"/>
        <w:adjustRightInd w:val="0"/>
        <w:spacing w:line="360" w:lineRule="exact"/>
        <w:ind w:left="479" w:leftChars="228"/>
        <w:jc w:val="left"/>
        <w:rPr>
          <w:rFonts w:hint="eastAsia" w:ascii="宋体" w:hAnsi="宋体" w:cs="宋体"/>
          <w:color w:val="auto"/>
          <w:kern w:val="0"/>
          <w:sz w:val="24"/>
          <w:highlight w:val="none"/>
        </w:rPr>
      </w:pPr>
      <w:r>
        <w:rPr>
          <w:rFonts w:hint="eastAsia" w:ascii="宋体" w:hAnsi="宋体" w:cs="宋体"/>
          <w:color w:val="auto"/>
          <w:kern w:val="0"/>
          <w:sz w:val="24"/>
          <w:highlight w:val="none"/>
        </w:rPr>
        <w:t>4、联合体各成员单位内部的职责分工如下：</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3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5、本联合体中，</w:t>
      </w:r>
      <w:r>
        <w:rPr>
          <w:rFonts w:hint="eastAsia" w:ascii="宋体" w:hAnsi="宋体" w:cs="宋体"/>
          <w:color w:val="auto"/>
          <w:kern w:val="0"/>
          <w:sz w:val="24"/>
          <w:highlight w:val="none"/>
          <w:u w:val="single"/>
        </w:rPr>
        <w:t xml:space="preserve">                         （某成员单位名称）为       </w:t>
      </w:r>
      <w:r>
        <w:rPr>
          <w:rFonts w:hint="eastAsia" w:ascii="宋体" w:hAnsi="宋体" w:cs="宋体"/>
          <w:color w:val="auto"/>
          <w:kern w:val="0"/>
          <w:sz w:val="24"/>
          <w:highlight w:val="none"/>
        </w:rPr>
        <w:t>（请填写：中型、小型、微型）企业，其协议合同金额占联合体协议合同总金额的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%。【如联合体成员中有小型、微型企业的，请填写此条，否则无需填写；如联合体成员中有多个小型、微型企业的，请逐一列出。】</w:t>
      </w:r>
    </w:p>
    <w:p>
      <w:pPr>
        <w:autoSpaceDE w:val="0"/>
        <w:autoSpaceDN w:val="0"/>
        <w:adjustRightInd w:val="0"/>
        <w:spacing w:line="360" w:lineRule="exact"/>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6、本协议书自签署之日起生效，合同履行完毕后自动失效。</w:t>
      </w:r>
    </w:p>
    <w:p>
      <w:pPr>
        <w:autoSpaceDE w:val="0"/>
        <w:autoSpaceDN w:val="0"/>
        <w:adjustRightInd w:val="0"/>
        <w:spacing w:line="360" w:lineRule="exact"/>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7、本协议书一式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份，联合体成员和采购代理机构各执一份。</w:t>
      </w:r>
    </w:p>
    <w:p>
      <w:pPr>
        <w:autoSpaceDE w:val="0"/>
        <w:autoSpaceDN w:val="0"/>
        <w:adjustRightInd w:val="0"/>
        <w:spacing w:line="360" w:lineRule="exact"/>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注：本协议书由法定代表人签字的，应附法定代表人身份证明；本协议书由委托代理人签字的，应附法定代表人授权委托书。</w:t>
      </w:r>
    </w:p>
    <w:p>
      <w:pPr>
        <w:autoSpaceDE w:val="0"/>
        <w:autoSpaceDN w:val="0"/>
        <w:adjustRightInd w:val="0"/>
        <w:spacing w:line="3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牵头人名称：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（盖公章）</w:t>
      </w:r>
    </w:p>
    <w:p>
      <w:pPr>
        <w:autoSpaceDE w:val="0"/>
        <w:autoSpaceDN w:val="0"/>
        <w:adjustRightInd w:val="0"/>
        <w:spacing w:line="3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（签字）</w:t>
      </w:r>
    </w:p>
    <w:p>
      <w:pPr>
        <w:autoSpaceDE w:val="0"/>
        <w:autoSpaceDN w:val="0"/>
        <w:adjustRightInd w:val="0"/>
        <w:spacing w:line="360" w:lineRule="exact"/>
        <w:jc w:val="left"/>
        <w:rPr>
          <w:rFonts w:hint="eastAsia" w:ascii="宋体" w:hAnsi="宋体" w:cs="宋体"/>
          <w:color w:val="auto"/>
          <w:kern w:val="0"/>
          <w:sz w:val="24"/>
          <w:highlight w:val="none"/>
        </w:rPr>
      </w:pPr>
    </w:p>
    <w:p>
      <w:pPr>
        <w:autoSpaceDE w:val="0"/>
        <w:autoSpaceDN w:val="0"/>
        <w:adjustRightInd w:val="0"/>
        <w:spacing w:line="3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成员一名称：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（盖公章）</w:t>
      </w:r>
    </w:p>
    <w:p>
      <w:pPr>
        <w:autoSpaceDE w:val="0"/>
        <w:autoSpaceDN w:val="0"/>
        <w:adjustRightInd w:val="0"/>
        <w:spacing w:line="3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（签字）</w:t>
      </w:r>
    </w:p>
    <w:p>
      <w:pPr>
        <w:autoSpaceDE w:val="0"/>
        <w:autoSpaceDN w:val="0"/>
        <w:adjustRightInd w:val="0"/>
        <w:spacing w:line="360" w:lineRule="exact"/>
        <w:jc w:val="left"/>
        <w:rPr>
          <w:rFonts w:hint="eastAsia" w:ascii="宋体" w:hAnsi="宋体" w:cs="宋体"/>
          <w:color w:val="auto"/>
          <w:kern w:val="0"/>
          <w:szCs w:val="21"/>
          <w:highlight w:val="none"/>
        </w:rPr>
      </w:pPr>
    </w:p>
    <w:p>
      <w:pPr>
        <w:autoSpaceDE w:val="0"/>
        <w:autoSpaceDN w:val="0"/>
        <w:adjustRightInd w:val="0"/>
        <w:spacing w:line="3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成员二名称：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（盖公章）</w:t>
      </w:r>
    </w:p>
    <w:p>
      <w:pPr>
        <w:autoSpaceDE w:val="0"/>
        <w:autoSpaceDN w:val="0"/>
        <w:adjustRightInd w:val="0"/>
        <w:spacing w:line="3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法定代表人或其委托代理人：                         （签字）</w:t>
      </w:r>
    </w:p>
    <w:p>
      <w:pPr>
        <w:autoSpaceDE w:val="0"/>
        <w:autoSpaceDN w:val="0"/>
        <w:adjustRightInd w:val="0"/>
        <w:spacing w:line="360" w:lineRule="exact"/>
        <w:jc w:val="left"/>
        <w:rPr>
          <w:rFonts w:hint="eastAsia" w:ascii="宋体" w:hAnsi="宋体" w:cs="宋体"/>
          <w:color w:val="auto"/>
          <w:kern w:val="0"/>
          <w:sz w:val="24"/>
          <w:highlight w:val="none"/>
        </w:rPr>
      </w:pPr>
    </w:p>
    <w:p>
      <w:pPr>
        <w:autoSpaceDE w:val="0"/>
        <w:autoSpaceDN w:val="0"/>
        <w:adjustRightInd w:val="0"/>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w:t>
      </w:r>
    </w:p>
    <w:p>
      <w:pPr>
        <w:autoSpaceDE w:val="0"/>
        <w:autoSpaceDN w:val="0"/>
        <w:spacing w:line="360" w:lineRule="exact"/>
        <w:ind w:left="4365" w:leftChars="1850" w:hanging="480" w:hangingChars="200"/>
        <w:rPr>
          <w:rFonts w:hint="eastAsia" w:ascii="宋体" w:hAnsi="宋体" w:cs="宋体"/>
          <w:color w:val="auto"/>
          <w:kern w:val="0"/>
          <w:sz w:val="24"/>
          <w:highlight w:val="none"/>
        </w:rPr>
      </w:pPr>
    </w:p>
    <w:p>
      <w:pPr>
        <w:autoSpaceDE w:val="0"/>
        <w:autoSpaceDN w:val="0"/>
        <w:spacing w:line="360" w:lineRule="exact"/>
        <w:ind w:firstLine="6120" w:firstLineChars="25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autoSpaceDE w:val="0"/>
        <w:autoSpaceDN w:val="0"/>
        <w:spacing w:line="360" w:lineRule="auto"/>
        <w:ind w:firstLine="6120" w:firstLineChars="2550"/>
        <w:rPr>
          <w:rFonts w:hint="eastAsia" w:ascii="仿宋_GB2312" w:hAnsi="仿宋" w:eastAsia="仿宋_GB2312" w:cs="仿宋_GB2312"/>
          <w:color w:val="auto"/>
          <w:kern w:val="0"/>
          <w:sz w:val="24"/>
          <w:highlight w:val="none"/>
          <w:lang w:val="zh-CN"/>
        </w:rPr>
      </w:pPr>
    </w:p>
    <w:p>
      <w:pPr>
        <w:autoSpaceDE w:val="0"/>
        <w:autoSpaceDN w:val="0"/>
        <w:spacing w:line="360" w:lineRule="auto"/>
        <w:ind w:firstLine="6120" w:firstLineChars="2550"/>
        <w:rPr>
          <w:rFonts w:hint="eastAsia" w:ascii="仿宋_GB2312" w:hAnsi="仿宋" w:eastAsia="仿宋_GB2312" w:cs="仿宋_GB2312"/>
          <w:color w:val="auto"/>
          <w:kern w:val="0"/>
          <w:sz w:val="24"/>
          <w:highlight w:val="none"/>
          <w:lang w:val="zh-CN"/>
        </w:rPr>
      </w:pPr>
    </w:p>
    <w:p>
      <w:pPr>
        <w:pStyle w:val="4"/>
        <w:jc w:val="center"/>
        <w:rPr>
          <w:rFonts w:hint="eastAsia" w:ascii="宋体" w:hAnsi="宋体"/>
          <w:b w:val="0"/>
          <w:color w:val="auto"/>
          <w:highlight w:val="none"/>
        </w:rPr>
      </w:pPr>
      <w:bookmarkStart w:id="138" w:name="_Toc20562"/>
      <w:bookmarkStart w:id="139" w:name="_Toc80886944"/>
      <w:bookmarkStart w:id="140" w:name="_Toc15951"/>
      <w:bookmarkStart w:id="141" w:name="_Toc80205940"/>
      <w:r>
        <w:rPr>
          <w:rFonts w:hint="eastAsia" w:ascii="宋体" w:hAnsi="宋体"/>
          <w:b w:val="0"/>
          <w:bCs w:val="0"/>
          <w:color w:val="auto"/>
          <w:highlight w:val="none"/>
        </w:rPr>
        <w:t xml:space="preserve">第二节 </w:t>
      </w:r>
      <w:r>
        <w:rPr>
          <w:rFonts w:hint="eastAsia" w:ascii="宋体" w:hAnsi="宋体"/>
          <w:b w:val="0"/>
          <w:color w:val="auto"/>
          <w:highlight w:val="none"/>
        </w:rPr>
        <w:t>商务技术文件格式</w:t>
      </w:r>
      <w:bookmarkEnd w:id="138"/>
      <w:bookmarkEnd w:id="139"/>
      <w:bookmarkEnd w:id="140"/>
      <w:bookmarkEnd w:id="141"/>
    </w:p>
    <w:p>
      <w:pPr>
        <w:snapToGrid w:val="0"/>
        <w:spacing w:before="120" w:beforeLines="50" w:after="50" w:line="360" w:lineRule="auto"/>
        <w:jc w:val="left"/>
        <w:rPr>
          <w:rFonts w:hint="eastAsia" w:ascii="宋体" w:hAnsi="宋体"/>
          <w:b/>
          <w:color w:val="auto"/>
          <w:sz w:val="32"/>
          <w:szCs w:val="32"/>
          <w:highlight w:val="none"/>
        </w:rPr>
      </w:pPr>
      <w:r>
        <w:rPr>
          <w:rFonts w:hint="eastAsia" w:ascii="宋体" w:hAnsi="宋体"/>
          <w:b/>
          <w:color w:val="auto"/>
          <w:sz w:val="28"/>
          <w:szCs w:val="28"/>
          <w:highlight w:val="none"/>
        </w:rPr>
        <w:t>1.商务技术文件封面的格式</w:t>
      </w:r>
      <w:r>
        <w:rPr>
          <w:rFonts w:hint="eastAsia" w:ascii="宋体" w:hAnsi="宋体" w:cs="宋体"/>
          <w:b/>
          <w:color w:val="auto"/>
          <w:sz w:val="28"/>
          <w:szCs w:val="28"/>
          <w:highlight w:val="none"/>
        </w:rPr>
        <w:t>（参照此格式自拟）</w:t>
      </w:r>
      <w:r>
        <w:rPr>
          <w:rFonts w:hint="eastAsia" w:ascii="宋体" w:hAnsi="宋体"/>
          <w:b/>
          <w:color w:val="auto"/>
          <w:sz w:val="28"/>
          <w:szCs w:val="28"/>
          <w:highlight w:val="none"/>
        </w:rPr>
        <w:t>：</w:t>
      </w:r>
    </w:p>
    <w:p>
      <w:pPr>
        <w:snapToGrid w:val="0"/>
        <w:spacing w:before="120" w:beforeLines="50" w:after="50"/>
        <w:rPr>
          <w:rFonts w:hint="eastAsia"/>
          <w:color w:val="auto"/>
          <w:sz w:val="24"/>
          <w:highlight w:val="none"/>
        </w:rPr>
      </w:pPr>
      <w:r>
        <w:rPr>
          <w:rFonts w:hint="eastAsia"/>
          <w:color w:val="auto"/>
          <w:sz w:val="24"/>
          <w:highlight w:val="none"/>
        </w:rPr>
        <w:t xml:space="preserve">                                             </w:t>
      </w:r>
    </w:p>
    <w:p>
      <w:pPr>
        <w:snapToGrid w:val="0"/>
        <w:spacing w:before="120" w:beforeLines="50" w:after="50"/>
        <w:ind w:firstLine="6720" w:firstLineChars="3200"/>
        <w:rPr>
          <w:rFonts w:hint="eastAsia"/>
          <w:bCs/>
          <w:color w:val="auto"/>
          <w:sz w:val="32"/>
          <w:szCs w:val="20"/>
          <w:highlight w:val="none"/>
        </w:rPr>
      </w:pPr>
      <w:r>
        <w:rPr>
          <w:rFonts w:hint="eastAsia"/>
          <w:bCs/>
          <w:color w:val="auto"/>
          <w:highlight w:val="none"/>
        </w:rPr>
        <w:t>全流程电子文件</w:t>
      </w:r>
    </w:p>
    <w:p>
      <w:pPr>
        <w:snapToGrid w:val="0"/>
        <w:spacing w:before="120" w:beforeLines="50" w:after="50"/>
        <w:rPr>
          <w:rFonts w:hint="eastAsia"/>
          <w:color w:val="auto"/>
          <w:sz w:val="24"/>
          <w:szCs w:val="20"/>
          <w:highlight w:val="none"/>
        </w:rPr>
      </w:pPr>
    </w:p>
    <w:p>
      <w:pPr>
        <w:snapToGrid w:val="0"/>
        <w:spacing w:before="120" w:beforeLines="50" w:after="50"/>
        <w:rPr>
          <w:rFonts w:hint="eastAsia"/>
          <w:color w:val="auto"/>
          <w:sz w:val="24"/>
          <w:szCs w:val="20"/>
          <w:highlight w:val="none"/>
        </w:rPr>
      </w:pPr>
    </w:p>
    <w:p>
      <w:pPr>
        <w:snapToGrid w:val="0"/>
        <w:spacing w:before="120" w:beforeLines="50" w:after="50"/>
        <w:rPr>
          <w:rFonts w:hint="eastAsia"/>
          <w:color w:val="auto"/>
          <w:sz w:val="24"/>
          <w:szCs w:val="20"/>
          <w:highlight w:val="none"/>
        </w:rPr>
      </w:pPr>
    </w:p>
    <w:p>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pPr>
        <w:snapToGrid w:val="0"/>
        <w:spacing w:before="120" w:beforeLines="50" w:after="50"/>
        <w:rPr>
          <w:rFonts w:hint="eastAsia"/>
          <w:bCs/>
          <w:color w:val="auto"/>
          <w:sz w:val="24"/>
          <w:szCs w:val="20"/>
          <w:highlight w:val="none"/>
        </w:rPr>
      </w:pPr>
    </w:p>
    <w:p>
      <w:pPr>
        <w:snapToGrid w:val="0"/>
        <w:spacing w:before="120" w:beforeLines="50" w:after="50"/>
        <w:rPr>
          <w:rFonts w:hint="eastAsia"/>
          <w:bCs/>
          <w:color w:val="auto"/>
          <w:sz w:val="24"/>
          <w:szCs w:val="20"/>
          <w:highlight w:val="none"/>
        </w:rPr>
      </w:pPr>
    </w:p>
    <w:p>
      <w:pPr>
        <w:snapToGrid w:val="0"/>
        <w:spacing w:before="120" w:beforeLines="50" w:after="50"/>
        <w:rPr>
          <w:rFonts w:hint="eastAsia"/>
          <w:bCs/>
          <w:color w:val="auto"/>
          <w:sz w:val="24"/>
          <w:szCs w:val="20"/>
          <w:highlight w:val="none"/>
        </w:rPr>
      </w:pPr>
    </w:p>
    <w:p>
      <w:pPr>
        <w:snapToGrid w:val="0"/>
        <w:spacing w:before="120" w:beforeLines="50" w:after="50"/>
        <w:rPr>
          <w:rFonts w:hint="eastAsia"/>
          <w:bCs/>
          <w:color w:val="auto"/>
          <w:sz w:val="24"/>
          <w:szCs w:val="20"/>
          <w:highlight w:val="none"/>
        </w:rPr>
      </w:pPr>
    </w:p>
    <w:p>
      <w:pPr>
        <w:snapToGrid w:val="0"/>
        <w:spacing w:before="120" w:beforeLines="50" w:after="50"/>
        <w:rPr>
          <w:rFonts w:hint="eastAsia"/>
          <w:bCs/>
          <w:color w:val="auto"/>
          <w:sz w:val="24"/>
          <w:szCs w:val="20"/>
          <w:highlight w:val="none"/>
        </w:rPr>
      </w:pPr>
    </w:p>
    <w:p>
      <w:pPr>
        <w:snapToGrid w:val="0"/>
        <w:spacing w:before="120" w:beforeLines="50" w:after="50"/>
        <w:ind w:firstLine="640" w:firstLineChars="200"/>
        <w:rPr>
          <w:rFonts w:hint="eastAsia" w:cs="仿宋_GB2312"/>
          <w:bCs/>
          <w:color w:val="auto"/>
          <w:sz w:val="32"/>
          <w:szCs w:val="32"/>
          <w:highlight w:val="none"/>
        </w:rPr>
      </w:pPr>
      <w:r>
        <w:rPr>
          <w:rFonts w:hint="eastAsia" w:cs="仿宋_GB2312"/>
          <w:bCs/>
          <w:color w:val="auto"/>
          <w:sz w:val="32"/>
          <w:szCs w:val="32"/>
          <w:highlight w:val="none"/>
        </w:rPr>
        <w:t>项目名称：</w:t>
      </w:r>
    </w:p>
    <w:p>
      <w:pPr>
        <w:snapToGrid w:val="0"/>
        <w:spacing w:before="120" w:beforeLines="50" w:after="50"/>
        <w:ind w:firstLine="720" w:firstLineChars="225"/>
        <w:rPr>
          <w:rFonts w:hint="eastAsia" w:cs="仿宋_GB2312"/>
          <w:bCs/>
          <w:color w:val="auto"/>
          <w:sz w:val="32"/>
          <w:szCs w:val="32"/>
          <w:highlight w:val="none"/>
        </w:rPr>
      </w:pPr>
    </w:p>
    <w:p>
      <w:pPr>
        <w:snapToGrid w:val="0"/>
        <w:spacing w:before="120" w:beforeLines="50" w:after="50"/>
        <w:ind w:firstLine="640" w:firstLineChars="200"/>
        <w:rPr>
          <w:rFonts w:hint="eastAsia" w:cs="仿宋_GB2312"/>
          <w:bCs/>
          <w:color w:val="auto"/>
          <w:sz w:val="32"/>
          <w:szCs w:val="32"/>
          <w:highlight w:val="none"/>
        </w:rPr>
      </w:pPr>
      <w:r>
        <w:rPr>
          <w:rFonts w:hint="eastAsia" w:cs="仿宋_GB2312"/>
          <w:bCs/>
          <w:color w:val="auto"/>
          <w:sz w:val="32"/>
          <w:szCs w:val="32"/>
          <w:highlight w:val="none"/>
        </w:rPr>
        <w:t>项目编号：</w:t>
      </w:r>
    </w:p>
    <w:p>
      <w:pPr>
        <w:snapToGrid w:val="0"/>
        <w:spacing w:before="120" w:beforeLines="50" w:after="50"/>
        <w:ind w:firstLine="720" w:firstLineChars="225"/>
        <w:rPr>
          <w:rFonts w:hint="eastAsia" w:cs="仿宋_GB2312"/>
          <w:bCs/>
          <w:color w:val="auto"/>
          <w:sz w:val="32"/>
          <w:szCs w:val="32"/>
          <w:highlight w:val="none"/>
        </w:rPr>
      </w:pPr>
      <w:r>
        <w:rPr>
          <w:rFonts w:hint="eastAsia" w:cs="仿宋_GB2312"/>
          <w:bCs/>
          <w:color w:val="auto"/>
          <w:sz w:val="32"/>
          <w:szCs w:val="32"/>
          <w:highlight w:val="none"/>
        </w:rPr>
        <w:t xml:space="preserve"> </w:t>
      </w:r>
    </w:p>
    <w:p>
      <w:pPr>
        <w:snapToGrid w:val="0"/>
        <w:spacing w:before="120" w:beforeLines="50" w:after="50"/>
        <w:ind w:firstLine="640" w:firstLineChars="200"/>
        <w:rPr>
          <w:rFonts w:hint="eastAsia" w:cs="仿宋_GB2312"/>
          <w:bCs/>
          <w:color w:val="auto"/>
          <w:sz w:val="32"/>
          <w:szCs w:val="32"/>
          <w:highlight w:val="none"/>
        </w:rPr>
      </w:pPr>
      <w:r>
        <w:rPr>
          <w:rFonts w:hint="eastAsia" w:cs="仿宋_GB2312"/>
          <w:bCs/>
          <w:color w:val="auto"/>
          <w:sz w:val="32"/>
          <w:szCs w:val="32"/>
          <w:highlight w:val="none"/>
        </w:rPr>
        <w:t>所竞分标（如有则填写，无分标时填写“无”或者留空）：</w:t>
      </w:r>
    </w:p>
    <w:p>
      <w:pPr>
        <w:snapToGrid w:val="0"/>
        <w:spacing w:before="120" w:beforeLines="50" w:after="50"/>
        <w:ind w:firstLine="720" w:firstLineChars="225"/>
        <w:rPr>
          <w:rFonts w:hint="eastAsia" w:cs="仿宋_GB2312"/>
          <w:bCs/>
          <w:color w:val="auto"/>
          <w:sz w:val="32"/>
          <w:szCs w:val="32"/>
          <w:highlight w:val="none"/>
        </w:rPr>
      </w:pPr>
    </w:p>
    <w:p>
      <w:pPr>
        <w:pStyle w:val="8"/>
        <w:snapToGrid w:val="0"/>
        <w:spacing w:before="50" w:after="50"/>
        <w:ind w:firstLine="640" w:firstLineChars="200"/>
        <w:rPr>
          <w:rFonts w:hint="eastAsia" w:cs="仿宋_GB2312"/>
          <w:bCs/>
          <w:color w:val="auto"/>
          <w:sz w:val="32"/>
          <w:szCs w:val="32"/>
          <w:highlight w:val="none"/>
        </w:rPr>
      </w:pPr>
      <w:r>
        <w:rPr>
          <w:rFonts w:hint="eastAsia" w:cs="仿宋_GB2312"/>
          <w:bCs/>
          <w:color w:val="auto"/>
          <w:sz w:val="32"/>
          <w:szCs w:val="32"/>
          <w:highlight w:val="none"/>
        </w:rPr>
        <w:t>供应商名称：</w:t>
      </w:r>
    </w:p>
    <w:p>
      <w:pPr>
        <w:pStyle w:val="8"/>
        <w:snapToGrid w:val="0"/>
        <w:spacing w:before="50" w:after="50"/>
        <w:ind w:firstLine="720" w:firstLineChars="225"/>
        <w:rPr>
          <w:rFonts w:hint="eastAsia" w:cs="仿宋_GB2312"/>
          <w:bCs/>
          <w:color w:val="auto"/>
          <w:sz w:val="32"/>
          <w:szCs w:val="32"/>
          <w:highlight w:val="none"/>
        </w:rPr>
      </w:pPr>
    </w:p>
    <w:p>
      <w:pPr>
        <w:pStyle w:val="8"/>
        <w:snapToGrid w:val="0"/>
        <w:spacing w:before="50" w:after="50"/>
        <w:ind w:firstLine="720" w:firstLineChars="225"/>
        <w:rPr>
          <w:rFonts w:hint="eastAsia" w:cs="仿宋_GB2312"/>
          <w:bCs/>
          <w:color w:val="auto"/>
          <w:sz w:val="32"/>
          <w:szCs w:val="32"/>
          <w:highlight w:val="none"/>
        </w:rPr>
      </w:pPr>
    </w:p>
    <w:p>
      <w:pPr>
        <w:pStyle w:val="8"/>
        <w:snapToGrid w:val="0"/>
        <w:spacing w:before="50" w:after="50"/>
        <w:ind w:firstLine="1280" w:firstLineChars="400"/>
        <w:rPr>
          <w:rFonts w:hint="eastAsia" w:cs="仿宋_GB2312"/>
          <w:bCs/>
          <w:color w:val="auto"/>
          <w:sz w:val="32"/>
          <w:szCs w:val="32"/>
          <w:highlight w:val="none"/>
        </w:rPr>
      </w:pPr>
    </w:p>
    <w:p>
      <w:pPr>
        <w:snapToGrid w:val="0"/>
        <w:spacing w:before="120" w:beforeLines="50" w:after="50"/>
        <w:jc w:val="center"/>
        <w:rPr>
          <w:rFonts w:hint="eastAsia" w:cs="仿宋_GB2312"/>
          <w:color w:val="auto"/>
          <w:sz w:val="32"/>
          <w:szCs w:val="32"/>
          <w:highlight w:val="none"/>
        </w:rPr>
      </w:pPr>
      <w:r>
        <w:rPr>
          <w:rFonts w:hint="eastAsia" w:cs="仿宋_GB2312"/>
          <w:color w:val="auto"/>
          <w:sz w:val="32"/>
          <w:szCs w:val="32"/>
          <w:highlight w:val="none"/>
        </w:rPr>
        <w:t>年    月    日</w:t>
      </w:r>
    </w:p>
    <w:p>
      <w:pPr>
        <w:snapToGrid w:val="0"/>
        <w:spacing w:before="120" w:beforeLines="50" w:after="50" w:line="360" w:lineRule="auto"/>
        <w:ind w:left="142" w:firstLine="643" w:firstLineChars="200"/>
        <w:jc w:val="left"/>
        <w:rPr>
          <w:b/>
          <w:bCs/>
          <w:color w:val="auto"/>
          <w:sz w:val="32"/>
          <w:szCs w:val="32"/>
          <w:highlight w:val="none"/>
        </w:rPr>
        <w:sectPr>
          <w:pgSz w:w="11911" w:h="16838"/>
          <w:pgMar w:top="1134" w:right="1134" w:bottom="1134" w:left="1134" w:header="720" w:footer="720" w:gutter="0"/>
          <w:cols w:space="720" w:num="1"/>
        </w:sectPr>
      </w:pPr>
    </w:p>
    <w:p>
      <w:pPr>
        <w:spacing w:line="360" w:lineRule="auto"/>
        <w:ind w:right="420"/>
        <w:rPr>
          <w:rFonts w:hint="eastAsia" w:ascii="宋体" w:hAnsi="宋体" w:cs="宋体"/>
          <w:color w:val="auto"/>
          <w:sz w:val="24"/>
          <w:szCs w:val="20"/>
          <w:highlight w:val="none"/>
        </w:rPr>
      </w:pPr>
      <w:r>
        <w:rPr>
          <w:rFonts w:hint="eastAsia" w:ascii="宋体" w:hAnsi="宋体" w:cs="宋体"/>
          <w:b/>
          <w:bCs/>
          <w:color w:val="auto"/>
          <w:sz w:val="28"/>
          <w:szCs w:val="28"/>
          <w:highlight w:val="none"/>
        </w:rPr>
        <w:t>2.商务技术文件目录</w:t>
      </w:r>
    </w:p>
    <w:p>
      <w:pPr>
        <w:spacing w:line="400" w:lineRule="exact"/>
        <w:rPr>
          <w:rFonts w:hint="eastAsia" w:ascii="仿宋_GB2312" w:hAnsi="仿宋_GB2312" w:eastAsia="仿宋_GB2312" w:cs="仿宋_GB2312"/>
          <w:color w:val="auto"/>
          <w:sz w:val="32"/>
          <w:szCs w:val="32"/>
          <w:highlight w:val="none"/>
        </w:rPr>
      </w:pPr>
      <w:r>
        <w:rPr>
          <w:rFonts w:hint="eastAsia" w:ascii="宋体" w:hAnsi="宋体" w:cs="宋体"/>
          <w:color w:val="auto"/>
          <w:kern w:val="0"/>
          <w:sz w:val="24"/>
          <w:highlight w:val="none"/>
        </w:rPr>
        <w:t xml:space="preserve">  根据竞争性磋商文件规定及供应商提供的材料自行编写目录（部分格式后附）。</w:t>
      </w:r>
    </w:p>
    <w:p>
      <w:pPr>
        <w:spacing w:line="520" w:lineRule="exact"/>
        <w:jc w:val="left"/>
        <w:rPr>
          <w:rFonts w:hint="eastAsia" w:ascii="宋体" w:hAnsi="宋体" w:cs="宋体"/>
          <w:color w:val="auto"/>
          <w:sz w:val="28"/>
          <w:szCs w:val="28"/>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宋体" w:hAnsi="宋体" w:cs="宋体"/>
          <w:b/>
          <w:color w:val="auto"/>
          <w:sz w:val="28"/>
          <w:szCs w:val="28"/>
          <w:highlight w:val="none"/>
        </w:rPr>
        <w:t>3.无串通竞标行为的承诺函的格式：</w:t>
      </w:r>
    </w:p>
    <w:p>
      <w:pPr>
        <w:spacing w:line="520" w:lineRule="exact"/>
        <w:jc w:val="center"/>
        <w:rPr>
          <w:rFonts w:hint="eastAsia" w:ascii="方正小标宋简体" w:hAnsi="方正小标宋简体" w:eastAsia="方正小标宋简体" w:cs="方正小标宋简体"/>
          <w:color w:val="auto"/>
          <w:sz w:val="44"/>
          <w:szCs w:val="44"/>
          <w:highlight w:val="none"/>
        </w:rPr>
      </w:pPr>
    </w:p>
    <w:p>
      <w:pPr>
        <w:spacing w:line="52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无串通竞标行为的承诺函</w:t>
      </w:r>
    </w:p>
    <w:p>
      <w:pPr>
        <w:spacing w:line="520" w:lineRule="exact"/>
        <w:ind w:firstLine="640" w:firstLineChars="200"/>
        <w:rPr>
          <w:rFonts w:hint="eastAsia" w:ascii="仿宋_GB2312" w:hAnsi="仿宋_GB2312" w:eastAsia="仿宋_GB2312" w:cs="仿宋_GB2312"/>
          <w:color w:val="auto"/>
          <w:sz w:val="32"/>
          <w:szCs w:val="32"/>
          <w:highlight w:val="none"/>
        </w:rPr>
      </w:pPr>
    </w:p>
    <w:p>
      <w:pPr>
        <w:spacing w:line="360" w:lineRule="auto"/>
        <w:ind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rPr>
        <w:t>一、我方承诺无下列相互串通竞标的情形：</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1.不同供应商的响应文件由同一单位或者个人编制；或不同</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 xml:space="preserve">报名的IP地址一致的； </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2.不同供应商委托同一单位或者个人办理竞标事宜；</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3.不同供应商的响应文件载明的项目管理员为同一个人；</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4.不</w:t>
      </w:r>
      <w:r>
        <w:rPr>
          <w:rFonts w:hint="eastAsia" w:ascii="宋体" w:hAnsi="宋体" w:cs="宋体"/>
          <w:color w:val="auto"/>
          <w:spacing w:val="-6"/>
          <w:sz w:val="24"/>
          <w:highlight w:val="none"/>
        </w:rPr>
        <w:t>同供应商的响应文件异常一致或者响应报价呈规律性差异；</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5.不同供应商的响应文件相互混装；</w:t>
      </w:r>
    </w:p>
    <w:p>
      <w:pPr>
        <w:pStyle w:val="16"/>
        <w:ind w:firstLine="480" w:firstLineChars="200"/>
        <w:rPr>
          <w:rFonts w:hint="eastAsia" w:ascii="宋体" w:hAnsi="宋体" w:cs="宋体"/>
          <w:color w:val="auto"/>
          <w:highlight w:val="none"/>
        </w:rPr>
      </w:pPr>
      <w:r>
        <w:rPr>
          <w:rFonts w:hint="eastAsia" w:ascii="宋体" w:hAnsi="宋体" w:cs="宋体"/>
          <w:color w:val="auto"/>
          <w:sz w:val="24"/>
          <w:highlight w:val="none"/>
        </w:rPr>
        <w:t>6.不同供应商的磋商保证金从同一单位或者个人账户转出。</w:t>
      </w:r>
    </w:p>
    <w:p>
      <w:pPr>
        <w:spacing w:line="360" w:lineRule="auto"/>
        <w:ind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rPr>
        <w:t>二、我方承诺无下列恶意串通的情形：</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1.供应商直接或者间接从采购人或者采购代理机构处获得其他供应商的相关信息并修改其响应文件；</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2.供应商按照采购人或者采购代理机构的授意撤换、修改响应文件；</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3.供</w:t>
      </w:r>
      <w:r>
        <w:rPr>
          <w:rFonts w:hint="eastAsia" w:ascii="宋体" w:hAnsi="宋体" w:cs="宋体"/>
          <w:color w:val="auto"/>
          <w:spacing w:val="-6"/>
          <w:sz w:val="24"/>
          <w:highlight w:val="none"/>
        </w:rPr>
        <w:t>应商之间协商报价、技术方案等响应文件的实质性内容；</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4.属于同一集团、协会、商会等组织成员的供应商按照该组织要求协同参加政府采购活动；</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6.供应商之间商定部分供应商放弃参加政府采购活动或者放弃成交；</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7.供应商与采购人或者采购代理机构之间、供应商相互之间，为</w:t>
      </w:r>
      <w:r>
        <w:rPr>
          <w:rFonts w:hint="eastAsia" w:ascii="宋体" w:hAnsi="宋体" w:cs="宋体"/>
          <w:color w:val="auto"/>
          <w:spacing w:val="-6"/>
          <w:sz w:val="24"/>
          <w:highlight w:val="none"/>
        </w:rPr>
        <w:t>谋求特定供应商成交或者排斥其他供应商的其他串通行为。</w:t>
      </w:r>
    </w:p>
    <w:p>
      <w:pPr>
        <w:spacing w:line="360" w:lineRule="auto"/>
        <w:ind w:firstLine="480" w:firstLineChars="200"/>
        <w:contextualSpacing/>
        <w:rPr>
          <w:rFonts w:hint="eastAsia" w:ascii="宋体" w:hAnsi="宋体" w:cs="宋体"/>
          <w:color w:val="auto"/>
          <w:sz w:val="24"/>
          <w:highlight w:val="none"/>
        </w:rPr>
      </w:pPr>
    </w:p>
    <w:p>
      <w:pPr>
        <w:spacing w:line="360" w:lineRule="auto"/>
        <w:ind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rPr>
        <w:t>以上情形一经核查属实，接受政府采购监管部门对我方认定存在围标串标行为，我方愿意承担一切后果，并不再寻求任何旨在减轻或者免除法律责任的辩解。</w:t>
      </w:r>
    </w:p>
    <w:p>
      <w:pPr>
        <w:pStyle w:val="24"/>
        <w:rPr>
          <w:rFonts w:hint="eastAsia" w:ascii="宋体" w:hAnsi="宋体" w:cs="宋体"/>
          <w:b/>
          <w:bCs/>
          <w:color w:val="auto"/>
          <w:sz w:val="24"/>
          <w:highlight w:val="none"/>
        </w:rPr>
      </w:pPr>
    </w:p>
    <w:p>
      <w:pPr>
        <w:pStyle w:val="24"/>
        <w:rPr>
          <w:rFonts w:hint="eastAsia" w:ascii="宋体" w:hAnsi="宋体" w:cs="宋体"/>
          <w:b/>
          <w:bCs/>
          <w:color w:val="auto"/>
          <w:sz w:val="24"/>
          <w:highlight w:val="none"/>
        </w:rPr>
      </w:pPr>
    </w:p>
    <w:p>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供应商名称（盖公章）：</w:t>
      </w:r>
    </w:p>
    <w:p>
      <w:pPr>
        <w:spacing w:line="480" w:lineRule="auto"/>
        <w:ind w:firstLine="5040" w:firstLineChars="2100"/>
        <w:jc w:val="left"/>
        <w:rPr>
          <w:rFonts w:hint="eastAsia" w:ascii="宋体" w:hAnsi="宋体" w:cs="宋体"/>
          <w:b/>
          <w:bCs/>
          <w:color w:val="auto"/>
          <w:sz w:val="28"/>
          <w:szCs w:val="28"/>
          <w:highlight w:val="none"/>
        </w:rPr>
      </w:pPr>
      <w:r>
        <w:rPr>
          <w:rFonts w:hint="eastAsia" w:ascii="宋体" w:hAnsi="宋体" w:cs="宋体"/>
          <w:color w:val="auto"/>
          <w:kern w:val="0"/>
          <w:sz w:val="24"/>
          <w:highlight w:val="none"/>
          <w:lang w:val="zh-CN"/>
        </w:rPr>
        <w:t xml:space="preserve">日期：  年  月   日   </w:t>
      </w:r>
      <w:r>
        <w:rPr>
          <w:b/>
          <w:bCs/>
          <w:color w:val="auto"/>
          <w:sz w:val="32"/>
          <w:szCs w:val="32"/>
          <w:highlight w:val="none"/>
        </w:rPr>
        <w:br w:type="page"/>
      </w:r>
      <w:r>
        <w:rPr>
          <w:rFonts w:hint="eastAsia" w:ascii="宋体" w:hAnsi="宋体" w:cs="宋体"/>
          <w:b/>
          <w:bCs/>
          <w:color w:val="auto"/>
          <w:sz w:val="28"/>
          <w:szCs w:val="28"/>
          <w:highlight w:val="none"/>
        </w:rPr>
        <w:t>4.法定代表人身份证明的格式：</w:t>
      </w:r>
    </w:p>
    <w:p>
      <w:pPr>
        <w:spacing w:line="520" w:lineRule="exact"/>
        <w:jc w:val="center"/>
        <w:rPr>
          <w:rFonts w:hint="eastAsia" w:ascii="仿宋_GB2312" w:hAnsi="仿宋_GB2312" w:eastAsia="仿宋_GB2312" w:cs="仿宋_GB2312"/>
          <w:color w:val="auto"/>
          <w:sz w:val="32"/>
          <w:szCs w:val="32"/>
          <w:highlight w:val="none"/>
        </w:rPr>
      </w:pPr>
      <w:r>
        <w:rPr>
          <w:rFonts w:hint="eastAsia" w:ascii="宋体" w:hAnsi="宋体" w:cs="宋体"/>
          <w:bCs/>
          <w:color w:val="auto"/>
          <w:sz w:val="32"/>
          <w:szCs w:val="32"/>
          <w:highlight w:val="none"/>
        </w:rPr>
        <w:t>法定代表人身份证明</w:t>
      </w:r>
    </w:p>
    <w:p>
      <w:pPr>
        <w:spacing w:line="360" w:lineRule="auto"/>
        <w:ind w:left="540"/>
        <w:contextualSpacing/>
        <w:rPr>
          <w:rFonts w:hint="eastAsia" w:ascii="仿宋_GB2312" w:hAnsi="仿宋_GB2312" w:eastAsia="仿宋_GB2312" w:cs="仿宋_GB2312"/>
          <w:color w:val="auto"/>
          <w:sz w:val="32"/>
          <w:szCs w:val="32"/>
          <w:highlight w:val="none"/>
        </w:rPr>
      </w:pPr>
    </w:p>
    <w:p>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p>
    <w:p>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pPr>
        <w:spacing w:line="360" w:lineRule="auto"/>
        <w:ind w:left="540"/>
        <w:contextualSpacing/>
        <w:rPr>
          <w:rFonts w:hint="eastAsia"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特此证明。</w:t>
      </w:r>
    </w:p>
    <w:p>
      <w:pPr>
        <w:spacing w:line="360" w:lineRule="auto"/>
        <w:ind w:left="540"/>
        <w:contextualSpacing/>
        <w:rPr>
          <w:rFonts w:hint="eastAsia" w:ascii="宋体" w:hAnsi="宋体" w:cs="宋体"/>
          <w:color w:val="auto"/>
          <w:sz w:val="24"/>
          <w:highlight w:val="none"/>
        </w:rPr>
      </w:pPr>
    </w:p>
    <w:p>
      <w:pPr>
        <w:spacing w:line="360" w:lineRule="auto"/>
        <w:ind w:left="540"/>
        <w:contextualSpacing/>
        <w:rPr>
          <w:rFonts w:hint="eastAsia" w:ascii="宋体" w:hAnsi="宋体" w:cs="宋体"/>
          <w:color w:val="auto"/>
          <w:sz w:val="24"/>
          <w:highlight w:val="none"/>
        </w:rPr>
      </w:pPr>
    </w:p>
    <w:p>
      <w:pPr>
        <w:spacing w:line="360" w:lineRule="auto"/>
        <w:ind w:left="540"/>
        <w:contextualSpacing/>
        <w:rPr>
          <w:rFonts w:hint="eastAsia" w:ascii="宋体" w:hAnsi="宋体" w:cs="宋体"/>
          <w:color w:val="auto"/>
          <w:sz w:val="24"/>
          <w:highlight w:val="none"/>
        </w:rPr>
      </w:pPr>
    </w:p>
    <w:p>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pPr>
        <w:spacing w:line="360" w:lineRule="auto"/>
        <w:ind w:left="540"/>
        <w:contextualSpacing/>
        <w:rPr>
          <w:rFonts w:hint="eastAsia" w:ascii="宋体" w:hAnsi="宋体" w:cs="宋体"/>
          <w:color w:val="auto"/>
          <w:sz w:val="24"/>
          <w:highlight w:val="none"/>
        </w:rPr>
      </w:pPr>
    </w:p>
    <w:p>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供应商名称（盖公章）：</w:t>
      </w:r>
    </w:p>
    <w:p>
      <w:pPr>
        <w:spacing w:line="360" w:lineRule="auto"/>
        <w:contextualSpacing/>
        <w:jc w:val="center"/>
        <w:rPr>
          <w:rFonts w:hint="eastAsia"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pPr>
        <w:spacing w:line="360" w:lineRule="auto"/>
        <w:contextualSpacing/>
        <w:jc w:val="left"/>
        <w:rPr>
          <w:rFonts w:hint="eastAsia" w:ascii="宋体" w:hAnsi="宋体" w:cs="宋体"/>
          <w:color w:val="auto"/>
          <w:sz w:val="24"/>
          <w:highlight w:val="none"/>
        </w:rPr>
      </w:pPr>
    </w:p>
    <w:p>
      <w:pPr>
        <w:spacing w:line="360" w:lineRule="auto"/>
        <w:contextualSpacing/>
        <w:jc w:val="left"/>
        <w:rPr>
          <w:rFonts w:hint="eastAsia" w:ascii="宋体" w:hAnsi="宋体" w:cs="宋体"/>
          <w:color w:val="auto"/>
          <w:sz w:val="24"/>
          <w:highlight w:val="none"/>
        </w:rPr>
      </w:pPr>
    </w:p>
    <w:p>
      <w:pPr>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注：</w:t>
      </w:r>
    </w:p>
    <w:p>
      <w:pPr>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1.自然人竞标的无需提供，联合体竞标的只需牵头人出具。</w:t>
      </w:r>
    </w:p>
    <w:p>
      <w:pPr>
        <w:spacing w:line="360" w:lineRule="auto"/>
        <w:ind w:firstLine="420" w:firstLineChars="200"/>
        <w:contextualSpacing/>
        <w:jc w:val="left"/>
        <w:rPr>
          <w:rFonts w:hint="eastAsia" w:ascii="宋体" w:hAnsi="宋体" w:cs="宋体"/>
          <w:color w:val="auto"/>
          <w:szCs w:val="21"/>
          <w:highlight w:val="none"/>
        </w:rPr>
        <w:sectPr>
          <w:pgSz w:w="11911" w:h="16838"/>
          <w:pgMar w:top="1134" w:right="1134" w:bottom="1134" w:left="1134" w:header="720" w:footer="720" w:gutter="0"/>
          <w:cols w:space="720" w:num="1"/>
        </w:sectPr>
      </w:pPr>
      <w:r>
        <w:rPr>
          <w:rFonts w:hint="eastAsia" w:ascii="宋体" w:hAnsi="宋体" w:cs="宋体"/>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82" w:firstLineChars="200"/>
        <w:contextualSpacing/>
        <w:jc w:val="left"/>
        <w:rPr>
          <w:rFonts w:hint="eastAsia" w:ascii="仿宋_GB2312" w:hAnsi="仿宋_GB2312" w:eastAsia="仿宋_GB2312" w:cs="仿宋_GB2312"/>
          <w:b/>
          <w:color w:val="auto"/>
          <w:sz w:val="32"/>
          <w:szCs w:val="32"/>
          <w:highlight w:val="none"/>
        </w:rPr>
      </w:pPr>
      <w:r>
        <w:rPr>
          <w:rFonts w:hint="eastAsia" w:ascii="Calibri"/>
          <w:b/>
          <w:color w:val="auto"/>
          <w:sz w:val="24"/>
          <w:highlight w:val="none"/>
        </w:rPr>
        <w:t>附件：</w:t>
      </w:r>
    </w:p>
    <w:tbl>
      <w:tblPr>
        <w:tblStyle w:val="32"/>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2" w:hRule="atLeast"/>
          <w:jc w:val="center"/>
        </w:trPr>
        <w:tc>
          <w:tcPr>
            <w:tcW w:w="8461" w:type="dxa"/>
            <w:vAlign w:val="top"/>
          </w:tcPr>
          <w:p>
            <w:pPr>
              <w:spacing w:line="360" w:lineRule="auto"/>
              <w:rPr>
                <w:rFonts w:ascii="Times New Roman" w:hAnsi="Calibri" w:eastAsia="宋体" w:cs="Times New Roman"/>
                <w:b/>
                <w:color w:val="auto"/>
                <w:sz w:val="24"/>
                <w:highlight w:val="none"/>
              </w:rPr>
            </w:pPr>
          </w:p>
          <w:p>
            <w:pPr>
              <w:spacing w:line="360" w:lineRule="auto"/>
              <w:rPr>
                <w:rFonts w:ascii="Times New Roman" w:hAnsi="Calibri" w:eastAsia="宋体" w:cs="Times New Roman"/>
                <w:b/>
                <w:color w:val="auto"/>
                <w:sz w:val="24"/>
                <w:highlight w:val="none"/>
              </w:rPr>
            </w:pPr>
            <w:r>
              <w:rPr>
                <w:rFonts w:hint="eastAsia" w:ascii="Times New Roman" w:hAnsi="Calibri" w:eastAsia="宋体" w:cs="Times New Roman"/>
                <w:b/>
                <w:color w:val="auto"/>
                <w:sz w:val="24"/>
                <w:highlight w:val="none"/>
              </w:rPr>
              <w:t>法定代表人身份证复印件</w:t>
            </w:r>
            <w:r>
              <w:rPr>
                <w:rFonts w:hint="eastAsia" w:hAnsi="Calibri" w:cs="Times New Roman"/>
                <w:b/>
                <w:color w:val="auto"/>
                <w:sz w:val="24"/>
                <w:highlight w:val="none"/>
                <w:lang w:eastAsia="zh-CN"/>
              </w:rPr>
              <w:t>粘贴</w:t>
            </w:r>
            <w:r>
              <w:rPr>
                <w:rFonts w:hint="eastAsia" w:ascii="Times New Roman" w:hAnsi="Calibri" w:eastAsia="宋体" w:cs="Times New Roman"/>
                <w:b/>
                <w:color w:val="auto"/>
                <w:sz w:val="24"/>
                <w:highlight w:val="none"/>
              </w:rPr>
              <w:t>处（正、反面）</w:t>
            </w:r>
          </w:p>
        </w:tc>
      </w:tr>
    </w:tbl>
    <w:p>
      <w:pPr>
        <w:adjustRightInd w:val="0"/>
        <w:snapToGrid w:val="0"/>
        <w:spacing w:line="300" w:lineRule="auto"/>
        <w:jc w:val="left"/>
        <w:rPr>
          <w:rFonts w:hint="eastAsia"/>
          <w:b/>
          <w:color w:val="auto"/>
          <w:szCs w:val="21"/>
          <w:highlight w:val="none"/>
        </w:rPr>
      </w:pPr>
    </w:p>
    <w:p>
      <w:pPr>
        <w:spacing w:line="520" w:lineRule="exact"/>
        <w:ind w:firstLine="880"/>
        <w:jc w:val="left"/>
        <w:rPr>
          <w:rFonts w:hint="eastAsia" w:ascii="宋体" w:hAnsi="宋体" w:cs="宋体"/>
          <w:color w:val="auto"/>
          <w:szCs w:val="21"/>
          <w:highlight w:val="none"/>
        </w:rPr>
      </w:pPr>
    </w:p>
    <w:p>
      <w:pPr>
        <w:spacing w:line="520" w:lineRule="exact"/>
        <w:jc w:val="left"/>
        <w:rPr>
          <w:rFonts w:hint="eastAsia" w:ascii="方正小标宋简体" w:hAnsi="方正小标宋简体" w:eastAsia="仿宋" w:cs="方正小标宋简体"/>
          <w:bCs/>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宋体" w:hAnsi="宋体" w:cs="宋体"/>
          <w:b/>
          <w:bCs/>
          <w:color w:val="auto"/>
          <w:sz w:val="28"/>
          <w:szCs w:val="28"/>
          <w:highlight w:val="none"/>
        </w:rPr>
        <w:t>5.法定代表人授权委托书的格式：</w:t>
      </w:r>
    </w:p>
    <w:p>
      <w:pPr>
        <w:spacing w:line="500" w:lineRule="exact"/>
        <w:jc w:val="center"/>
        <w:rPr>
          <w:rFonts w:hint="eastAsia" w:ascii="方正小标宋简体" w:hAnsi="方正小标宋简体" w:eastAsia="方正小标宋简体" w:cs="方正小标宋简体"/>
          <w:color w:val="auto"/>
          <w:sz w:val="44"/>
          <w:szCs w:val="44"/>
          <w:highlight w:val="none"/>
        </w:rPr>
      </w:pPr>
    </w:p>
    <w:p>
      <w:pPr>
        <w:spacing w:line="520" w:lineRule="exact"/>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授权委托书（非联合体竞标格式）</w:t>
      </w:r>
    </w:p>
    <w:p>
      <w:pPr>
        <w:spacing w:line="520" w:lineRule="exact"/>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（如有委托时）</w:t>
      </w:r>
    </w:p>
    <w:p>
      <w:pPr>
        <w:spacing w:line="520" w:lineRule="exact"/>
        <w:rPr>
          <w:rFonts w:hint="eastAsia" w:ascii="仿宋_GB2312" w:hAnsi="仿宋_GB2312" w:eastAsia="仿宋_GB2312" w:cs="仿宋_GB2312"/>
          <w:color w:val="auto"/>
          <w:sz w:val="32"/>
          <w:szCs w:val="32"/>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□法定代表人/□负责人/□自然人本人</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以我方的名义参加</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项目的竞标活动，并代表我方全权办理针对上述项目的所有采购程序和环节的具体事务和签署相关文件。</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我方对委托代理人的签字事项负全部责任。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委托代理人无转委托权，特此委托。</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附：委托代理人有效身份证正反面复印件</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委托代理人（签字）：         法定代表人（签字）：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委托代理人身份证号码：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rPr>
        <w:t>供应商名称（盖公章）：</w:t>
      </w:r>
    </w:p>
    <w:p>
      <w:pPr>
        <w:spacing w:line="360" w:lineRule="auto"/>
        <w:contextualSpacing/>
        <w:jc w:val="center"/>
        <w:rPr>
          <w:rFonts w:hint="eastAsia"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pPr>
        <w:spacing w:line="360" w:lineRule="auto"/>
        <w:rPr>
          <w:rFonts w:hint="eastAsia" w:ascii="宋体" w:hAnsi="宋体" w:cs="宋体"/>
          <w:color w:val="auto"/>
          <w:sz w:val="24"/>
          <w:highlight w:val="none"/>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法定代表人和委托代理人必须在授权委托书上签字，</w:t>
      </w:r>
      <w:r>
        <w:rPr>
          <w:rFonts w:hint="eastAsia" w:ascii="宋体" w:hAnsi="宋体" w:cs="宋体"/>
          <w:b/>
          <w:color w:val="auto"/>
          <w:szCs w:val="21"/>
          <w:highlight w:val="none"/>
        </w:rPr>
        <w:t>否则其响应文件按无效响应处理。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 法人、其他组织竞标时“我方”是指“我单位”，自然人竞标时“我方”是指“本人”。</w:t>
      </w:r>
    </w:p>
    <w:p>
      <w:pPr>
        <w:spacing w:line="500" w:lineRule="exact"/>
        <w:jc w:val="center"/>
        <w:rPr>
          <w:rFonts w:hint="eastAsia" w:ascii="宋体" w:hAnsi="宋体" w:cs="宋体"/>
          <w:b/>
          <w:bCs/>
          <w:color w:val="auto"/>
          <w:sz w:val="32"/>
          <w:szCs w:val="32"/>
          <w:highlight w:val="none"/>
        </w:rPr>
      </w:pPr>
      <w:r>
        <w:rPr>
          <w:rFonts w:ascii="仿宋_GB2312" w:hAnsi="仿宋_GB2312" w:eastAsia="仿宋_GB2312" w:cs="仿宋_GB2312"/>
          <w:color w:val="auto"/>
          <w:szCs w:val="21"/>
          <w:highlight w:val="none"/>
        </w:rPr>
        <w:br w:type="page"/>
      </w:r>
      <w:r>
        <w:rPr>
          <w:rFonts w:hint="eastAsia" w:ascii="宋体" w:hAnsi="宋体" w:cs="宋体"/>
          <w:b/>
          <w:bCs/>
          <w:color w:val="auto"/>
          <w:sz w:val="32"/>
          <w:szCs w:val="32"/>
          <w:highlight w:val="none"/>
        </w:rPr>
        <w:t>授权委托书（联合体竞标格式）</w:t>
      </w:r>
    </w:p>
    <w:p>
      <w:pPr>
        <w:spacing w:line="5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（如有委托时）</w:t>
      </w:r>
    </w:p>
    <w:p>
      <w:pPr>
        <w:spacing w:line="500" w:lineRule="exact"/>
        <w:jc w:val="center"/>
        <w:rPr>
          <w:rFonts w:ascii="方正小标宋简体" w:hAnsi="方正小标宋简体" w:eastAsia="方正小标宋简体" w:cs="方正小标宋简体"/>
          <w:color w:val="auto"/>
          <w:sz w:val="44"/>
          <w:szCs w:val="44"/>
          <w:highlight w:val="none"/>
        </w:rPr>
      </w:pPr>
    </w:p>
    <w:p>
      <w:pPr>
        <w:spacing w:line="500" w:lineRule="exact"/>
        <w:jc w:val="center"/>
        <w:rPr>
          <w:rFonts w:hint="eastAsia" w:ascii="仿宋_GB2312" w:hAnsi="仿宋_GB2312" w:eastAsia="仿宋_GB2312" w:cs="仿宋_GB2312"/>
          <w:color w:val="auto"/>
          <w:sz w:val="32"/>
          <w:szCs w:val="32"/>
          <w:highlight w:val="none"/>
        </w:rPr>
      </w:pP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本授权委托书声明：根据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（联合体其他成员名称）签订的《联合体竞标协议书》的内容，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（牵头人名称）的法定代表人</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（姓名）</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 xml:space="preserve"> （姓名）</w:t>
      </w:r>
      <w:r>
        <w:rPr>
          <w:rFonts w:hint="eastAsia" w:ascii="宋体" w:hAnsi="宋体" w:cs="宋体"/>
          <w:color w:val="auto"/>
          <w:sz w:val="24"/>
          <w:highlight w:val="none"/>
        </w:rPr>
        <w:t>为联合委托代理人，并代表我方全权办理针对上述项目的所有采购程序和环节的具体事务和签署相关文件。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我方对委托代理人的签字事项负全部责任。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委托代理人无转委托权，特此委托。</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ind w:firstLine="1560" w:firstLineChars="650"/>
        <w:rPr>
          <w:rFonts w:hint="eastAsia" w:ascii="宋体" w:hAnsi="宋体" w:cs="宋体"/>
          <w:color w:val="auto"/>
          <w:sz w:val="24"/>
          <w:highlight w:val="none"/>
        </w:rPr>
      </w:pPr>
      <w:r>
        <w:rPr>
          <w:rFonts w:hint="eastAsia" w:ascii="宋体" w:hAnsi="宋体" w:cs="宋体"/>
          <w:color w:val="auto"/>
          <w:sz w:val="24"/>
          <w:highlight w:val="none"/>
        </w:rPr>
        <w:t>牵头人法定代表人（签字）：</w:t>
      </w:r>
    </w:p>
    <w:p>
      <w:pPr>
        <w:spacing w:line="360" w:lineRule="auto"/>
        <w:ind w:firstLine="3120" w:firstLineChars="1300"/>
        <w:rPr>
          <w:rFonts w:hint="eastAsia" w:ascii="宋体" w:hAnsi="宋体" w:cs="宋体"/>
          <w:color w:val="auto"/>
          <w:sz w:val="24"/>
          <w:highlight w:val="none"/>
        </w:rPr>
      </w:pPr>
      <w:r>
        <w:rPr>
          <w:rFonts w:hint="eastAsia" w:ascii="宋体" w:hAnsi="宋体" w:cs="宋体"/>
          <w:color w:val="auto"/>
          <w:sz w:val="24"/>
          <w:highlight w:val="none"/>
        </w:rPr>
        <w:t>牵头人名称（盖公章）：</w:t>
      </w:r>
    </w:p>
    <w:p>
      <w:pPr>
        <w:spacing w:line="360" w:lineRule="auto"/>
        <w:ind w:firstLine="3840" w:firstLineChars="1600"/>
        <w:rPr>
          <w:rFonts w:hint="eastAsia" w:ascii="宋体" w:hAnsi="宋体" w:cs="宋体"/>
          <w:color w:val="auto"/>
          <w:sz w:val="24"/>
          <w:highlight w:val="none"/>
        </w:rPr>
      </w:pPr>
      <w:r>
        <w:rPr>
          <w:rFonts w:hint="eastAsia" w:ascii="宋体" w:hAnsi="宋体" w:cs="宋体"/>
          <w:color w:val="auto"/>
          <w:sz w:val="24"/>
          <w:highlight w:val="none"/>
        </w:rPr>
        <w:t>日期：    年   月   日</w:t>
      </w:r>
    </w:p>
    <w:p>
      <w:pPr>
        <w:spacing w:line="360" w:lineRule="auto"/>
        <w:rPr>
          <w:rFonts w:hint="eastAsia" w:ascii="宋体" w:hAnsi="宋体" w:cs="宋体"/>
          <w:color w:val="auto"/>
          <w:sz w:val="24"/>
          <w:highlight w:val="none"/>
        </w:rPr>
      </w:pPr>
    </w:p>
    <w:p>
      <w:pPr>
        <w:spacing w:line="360" w:lineRule="auto"/>
        <w:ind w:firstLine="3120" w:firstLineChars="1300"/>
        <w:rPr>
          <w:rFonts w:hint="eastAsia" w:ascii="宋体" w:hAnsi="宋体" w:cs="宋体"/>
          <w:color w:val="auto"/>
          <w:sz w:val="24"/>
          <w:highlight w:val="none"/>
        </w:rPr>
      </w:pPr>
      <w:r>
        <w:rPr>
          <w:rFonts w:hint="eastAsia" w:ascii="宋体" w:hAnsi="宋体" w:cs="宋体"/>
          <w:color w:val="auto"/>
          <w:sz w:val="24"/>
          <w:highlight w:val="none"/>
        </w:rPr>
        <w:t>委托代理人（签字）：</w:t>
      </w:r>
    </w:p>
    <w:p>
      <w:pPr>
        <w:spacing w:line="360" w:lineRule="auto"/>
        <w:ind w:firstLine="3840" w:firstLineChars="1600"/>
        <w:rPr>
          <w:rFonts w:hint="eastAsia" w:ascii="宋体" w:hAnsi="宋体" w:cs="宋体"/>
          <w:color w:val="auto"/>
          <w:sz w:val="24"/>
          <w:highlight w:val="none"/>
        </w:rPr>
      </w:pPr>
      <w:r>
        <w:rPr>
          <w:rFonts w:hint="eastAsia" w:ascii="宋体" w:hAnsi="宋体" w:cs="宋体"/>
          <w:color w:val="auto"/>
          <w:sz w:val="24"/>
          <w:highlight w:val="none"/>
        </w:rPr>
        <w:t>日期：    年   月   日</w:t>
      </w:r>
    </w:p>
    <w:p>
      <w:pPr>
        <w:spacing w:line="360" w:lineRule="auto"/>
        <w:rPr>
          <w:rFonts w:hint="eastAsia" w:ascii="宋体" w:hAnsi="宋体" w:cs="宋体"/>
          <w:color w:val="auto"/>
          <w:sz w:val="24"/>
          <w:highlight w:val="none"/>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法定代表人和委托代理人必须在授权委托书上签字，</w:t>
      </w:r>
      <w:r>
        <w:rPr>
          <w:rFonts w:hint="eastAsia" w:ascii="宋体" w:hAnsi="宋体" w:cs="宋体"/>
          <w:b/>
          <w:color w:val="auto"/>
          <w:szCs w:val="21"/>
          <w:highlight w:val="none"/>
        </w:rPr>
        <w:t>否则其响应文件按无效响应处理。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2.本授权委托书应由联合体牵头人的法定代表人按上述规定签署。</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20" w:firstLineChars="200"/>
        <w:jc w:val="left"/>
        <w:rPr>
          <w:rFonts w:hint="eastAsia" w:ascii="宋体" w:hAnsi="宋体" w:cs="宋体"/>
          <w:color w:val="auto"/>
          <w:sz w:val="24"/>
          <w:highlight w:val="none"/>
        </w:rPr>
      </w:pPr>
      <w:r>
        <w:rPr>
          <w:rFonts w:hint="eastAsia" w:ascii="宋体" w:hAnsi="宋体" w:cs="宋体"/>
          <w:color w:val="auto"/>
          <w:szCs w:val="21"/>
          <w:highlight w:val="none"/>
        </w:rPr>
        <w:t>4.法人、其他组织竞标时“我方”是指“我单位”，自然人竞标时“我方”是指“本人”。</w:t>
      </w:r>
    </w:p>
    <w:p>
      <w:pPr>
        <w:spacing w:line="360" w:lineRule="auto"/>
        <w:ind w:firstLine="420" w:firstLineChars="200"/>
        <w:jc w:val="left"/>
        <w:rPr>
          <w:rFonts w:hint="eastAsia" w:ascii="仿宋_GB2312" w:hAnsi="仿宋_GB2312" w:eastAsia="仿宋_GB2312" w:cs="仿宋_GB2312"/>
          <w:color w:val="auto"/>
          <w:szCs w:val="21"/>
          <w:highlight w:val="none"/>
        </w:rPr>
      </w:pPr>
    </w:p>
    <w:p>
      <w:pPr>
        <w:widowControl/>
        <w:shd w:val="clear" w:color="auto" w:fill="FFFFFF"/>
        <w:spacing w:line="480" w:lineRule="atLeast"/>
        <w:rPr>
          <w:rFonts w:hint="eastAsia" w:ascii="宋体" w:hAnsi="宋体" w:cs="宋体"/>
          <w:color w:val="auto"/>
          <w:sz w:val="24"/>
          <w:highlight w:val="none"/>
        </w:rPr>
      </w:pPr>
      <w:r>
        <w:rPr>
          <w:rFonts w:hint="eastAsia" w:ascii="仿宋_GB2312" w:hAnsi="仿宋_GB2312" w:eastAsia="仿宋_GB2312" w:cs="仿宋_GB2312"/>
          <w:color w:val="auto"/>
          <w:sz w:val="32"/>
          <w:szCs w:val="32"/>
          <w:highlight w:val="none"/>
        </w:rPr>
        <w:br w:type="page"/>
      </w:r>
      <w:r>
        <w:rPr>
          <w:rFonts w:hint="eastAsia" w:hAnsi="宋体" w:cs="宋体"/>
          <w:b/>
          <w:color w:val="auto"/>
          <w:sz w:val="28"/>
          <w:szCs w:val="28"/>
          <w:highlight w:val="none"/>
        </w:rPr>
        <w:t xml:space="preserve">5、供应商认为有必要提供的其他文件 </w:t>
      </w:r>
    </w:p>
    <w:p>
      <w:pPr>
        <w:shd w:val="clear" w:color="auto" w:fill="FFFFFF"/>
        <w:spacing w:line="520" w:lineRule="exact"/>
        <w:jc w:val="center"/>
        <w:rPr>
          <w:color w:val="auto"/>
          <w:sz w:val="24"/>
          <w:highlight w:val="none"/>
        </w:rPr>
      </w:pPr>
    </w:p>
    <w:p>
      <w:pPr>
        <w:spacing w:line="520" w:lineRule="exact"/>
        <w:jc w:val="center"/>
        <w:rPr>
          <w:color w:val="auto"/>
          <w:sz w:val="24"/>
          <w:highlight w:val="none"/>
        </w:rPr>
      </w:pPr>
    </w:p>
    <w:p>
      <w:pPr>
        <w:spacing w:line="520" w:lineRule="exact"/>
        <w:jc w:val="left"/>
        <w:rPr>
          <w:rFonts w:hint="eastAsia" w:ascii="仿宋_GB2312" w:hAnsi="仿宋_GB2312" w:eastAsia="仿宋_GB2312" w:cs="仿宋_GB2312"/>
          <w:color w:val="auto"/>
          <w:sz w:val="32"/>
          <w:szCs w:val="32"/>
          <w:highlight w:val="none"/>
        </w:rPr>
      </w:pPr>
    </w:p>
    <w:p>
      <w:pPr>
        <w:spacing w:line="520" w:lineRule="exact"/>
        <w:jc w:val="left"/>
        <w:rPr>
          <w:rFonts w:hint="eastAsia" w:ascii="仿宋" w:hAnsi="仿宋" w:eastAsia="仿宋" w:cs="仿宋_GB2312"/>
          <w:b/>
          <w:color w:val="auto"/>
          <w:sz w:val="30"/>
          <w:szCs w:val="30"/>
          <w:highlight w:val="none"/>
        </w:rPr>
      </w:pPr>
      <w:r>
        <w:rPr>
          <w:rFonts w:hint="eastAsia" w:ascii="仿宋_GB2312" w:hAnsi="仿宋_GB2312" w:eastAsia="仿宋_GB2312" w:cs="仿宋_GB2312"/>
          <w:color w:val="auto"/>
          <w:sz w:val="32"/>
          <w:szCs w:val="32"/>
          <w:highlight w:val="none"/>
        </w:rPr>
        <w:br w:type="page"/>
      </w:r>
      <w:r>
        <w:rPr>
          <w:rFonts w:hint="eastAsia" w:ascii="宋体" w:hAnsi="宋体" w:cs="宋体"/>
          <w:b/>
          <w:color w:val="auto"/>
          <w:sz w:val="28"/>
          <w:szCs w:val="28"/>
          <w:highlight w:val="none"/>
        </w:rPr>
        <w:t>6.商务条款偏离表的格式：</w:t>
      </w:r>
    </w:p>
    <w:p>
      <w:pPr>
        <w:pStyle w:val="24"/>
        <w:rPr>
          <w:rFonts w:hint="eastAsia"/>
          <w:color w:val="auto"/>
          <w:highlight w:val="none"/>
        </w:rPr>
      </w:pPr>
    </w:p>
    <w:p>
      <w:pPr>
        <w:spacing w:line="500" w:lineRule="exact"/>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商务条款偏离表</w:t>
      </w:r>
    </w:p>
    <w:p>
      <w:pPr>
        <w:spacing w:line="520" w:lineRule="exact"/>
        <w:rPr>
          <w:rFonts w:hint="eastAsia" w:ascii="宋体" w:hAnsi="宋体" w:cs="宋体"/>
          <w:color w:val="auto"/>
          <w:sz w:val="32"/>
          <w:szCs w:val="32"/>
          <w:highlight w:val="none"/>
        </w:rPr>
      </w:pPr>
    </w:p>
    <w:p>
      <w:pPr>
        <w:spacing w:line="360" w:lineRule="auto"/>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pPr>
        <w:spacing w:line="360" w:lineRule="auto"/>
        <w:contextualSpacing/>
        <w:rPr>
          <w:rFonts w:hint="eastAsia" w:ascii="宋体" w:hAnsi="宋体" w:cs="宋体"/>
          <w:color w:val="auto"/>
          <w:sz w:val="24"/>
          <w:highlight w:val="none"/>
          <w:u w:val="single"/>
        </w:rPr>
      </w:pPr>
      <w:r>
        <w:rPr>
          <w:rFonts w:hint="eastAsia" w:ascii="宋体" w:hAnsi="宋体" w:cs="宋体"/>
          <w:color w:val="auto"/>
          <w:sz w:val="24"/>
          <w:highlight w:val="none"/>
        </w:rPr>
        <w:t>所竞分标（如有则填写，无分标时填写“无”或者留空）：</w:t>
      </w:r>
      <w:r>
        <w:rPr>
          <w:rFonts w:hint="eastAsia" w:ascii="宋体" w:hAnsi="宋体" w:cs="宋体"/>
          <w:color w:val="auto"/>
          <w:sz w:val="24"/>
          <w:highlight w:val="none"/>
          <w:u w:val="single"/>
        </w:rPr>
        <w:t xml:space="preserve">                </w:t>
      </w:r>
    </w:p>
    <w:tbl>
      <w:tblPr>
        <w:tblStyle w:val="32"/>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9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cs="宋体"/>
                <w:color w:val="auto"/>
                <w:szCs w:val="21"/>
                <w:highlight w:val="none"/>
              </w:rPr>
            </w:pPr>
            <w:r>
              <w:rPr>
                <w:rFonts w:hint="eastAsia" w:ascii="宋体" w:hAnsi="宋体" w:eastAsia="宋体" w:cs="宋体"/>
                <w:color w:val="auto"/>
                <w:szCs w:val="21"/>
                <w:highlight w:val="none"/>
              </w:rPr>
              <w:t>竞争性磋商文件的商务</w:t>
            </w:r>
            <w:r>
              <w:rPr>
                <w:rFonts w:hint="eastAsia" w:ascii="宋体" w:hAnsi="宋体" w:eastAsia="宋体" w:cs="宋体"/>
                <w:color w:val="auto"/>
                <w:szCs w:val="21"/>
                <w:highlight w:val="none"/>
                <w:lang w:val="en-US" w:eastAsia="zh-CN"/>
              </w:rPr>
              <w:t>条款</w:t>
            </w:r>
          </w:p>
        </w:tc>
        <w:tc>
          <w:tcPr>
            <w:tcW w:w="35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cs="宋体"/>
                <w:color w:val="auto"/>
                <w:szCs w:val="21"/>
                <w:highlight w:val="none"/>
              </w:rPr>
            </w:pPr>
            <w:r>
              <w:rPr>
                <w:rFonts w:hint="eastAsia" w:ascii="宋体" w:hAnsi="宋体" w:eastAsia="宋体" w:cs="宋体"/>
                <w:color w:val="auto"/>
                <w:szCs w:val="21"/>
                <w:highlight w:val="none"/>
              </w:rPr>
              <w:t>响应文件</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的商务条款</w:t>
            </w:r>
          </w:p>
        </w:tc>
        <w:tc>
          <w:tcPr>
            <w:tcW w:w="12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cs="宋体"/>
                <w:color w:val="auto"/>
                <w:szCs w:val="21"/>
                <w:highlight w:val="none"/>
              </w:rPr>
            </w:pPr>
          </w:p>
        </w:tc>
      </w:tr>
    </w:tbl>
    <w:p>
      <w:pPr>
        <w:pStyle w:val="17"/>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pStyle w:val="17"/>
        <w:spacing w:line="4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1.应对照磋商文件“第二章 采购需求”中的商务条款逐条作出明确响应，并作出偏离说明。</w:t>
      </w:r>
    </w:p>
    <w:p>
      <w:pPr>
        <w:pStyle w:val="17"/>
        <w:spacing w:line="4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2.供应商应根据自身的承诺，对照磋商文件要求，在“偏离说明”中注明“正偏离”或者“负偏离”或者“无偏离”。既不属于“正偏离”也不属于“负偏离”即为“无偏离”。 当响应文件的商务内容低于竞争性磋商文件要求时，供应商应当如实写明“负偏离”。</w:t>
      </w:r>
    </w:p>
    <w:p>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3.表格内容均需按要求填写，不得留空，</w:t>
      </w:r>
      <w:r>
        <w:rPr>
          <w:rFonts w:hint="eastAsia" w:ascii="宋体" w:hAnsi="宋体" w:cs="宋体"/>
          <w:b/>
          <w:bCs/>
          <w:color w:val="auto"/>
          <w:kern w:val="0"/>
          <w:sz w:val="24"/>
          <w:highlight w:val="none"/>
        </w:rPr>
        <w:t>否则按竞标无效处理。</w:t>
      </w:r>
    </w:p>
    <w:p>
      <w:pPr>
        <w:spacing w:line="400" w:lineRule="exact"/>
        <w:ind w:firstLine="480" w:firstLineChars="200"/>
        <w:contextualSpacing/>
        <w:rPr>
          <w:rFonts w:hint="eastAsia" w:ascii="宋体" w:hAnsi="宋体" w:cs="宋体"/>
          <w:color w:val="auto"/>
          <w:kern w:val="0"/>
          <w:sz w:val="24"/>
          <w:highlight w:val="none"/>
        </w:rPr>
      </w:pPr>
    </w:p>
    <w:p>
      <w:pPr>
        <w:spacing w:line="360" w:lineRule="auto"/>
        <w:ind w:firstLine="3840" w:firstLineChars="1600"/>
        <w:rPr>
          <w:rFonts w:hint="eastAsia" w:ascii="宋体" w:hAnsi="宋体" w:cs="宋体"/>
          <w:color w:val="auto"/>
          <w:sz w:val="24"/>
          <w:highlight w:val="none"/>
        </w:rPr>
      </w:pPr>
      <w:r>
        <w:rPr>
          <w:rFonts w:hint="eastAsia" w:ascii="宋体" w:hAnsi="宋体" w:cs="宋体"/>
          <w:color w:val="auto"/>
          <w:kern w:val="0"/>
          <w:sz w:val="24"/>
          <w:highlight w:val="none"/>
        </w:rPr>
        <w:t>供应商名称（盖公章）：</w:t>
      </w:r>
    </w:p>
    <w:p>
      <w:pPr>
        <w:spacing w:line="360" w:lineRule="auto"/>
        <w:contextualSpacing/>
        <w:jc w:val="center"/>
        <w:rPr>
          <w:rFonts w:hint="eastAsia"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pPr>
        <w:snapToGrid w:val="0"/>
        <w:spacing w:line="360" w:lineRule="auto"/>
        <w:ind w:firstLine="602" w:firstLineChars="200"/>
        <w:rPr>
          <w:rFonts w:hint="eastAsia" w:ascii="仿宋" w:hAnsi="仿宋" w:eastAsia="仿宋" w:cs="仿宋_GB2312"/>
          <w:b/>
          <w:color w:val="auto"/>
          <w:sz w:val="30"/>
          <w:szCs w:val="30"/>
          <w:highlight w:val="none"/>
        </w:rPr>
      </w:pPr>
    </w:p>
    <w:p>
      <w:pPr>
        <w:snapToGrid w:val="0"/>
        <w:spacing w:line="360" w:lineRule="auto"/>
        <w:ind w:firstLine="602" w:firstLineChars="200"/>
        <w:rPr>
          <w:rFonts w:hint="eastAsia" w:ascii="仿宋" w:hAnsi="仿宋" w:eastAsia="仿宋" w:cs="仿宋_GB2312"/>
          <w:b/>
          <w:color w:val="auto"/>
          <w:sz w:val="30"/>
          <w:szCs w:val="30"/>
          <w:highlight w:val="none"/>
        </w:rPr>
      </w:pPr>
    </w:p>
    <w:p>
      <w:pPr>
        <w:pStyle w:val="24"/>
        <w:rPr>
          <w:rFonts w:hint="eastAsia"/>
          <w:color w:val="auto"/>
          <w:highlight w:val="none"/>
        </w:rPr>
      </w:pPr>
    </w:p>
    <w:p>
      <w:pPr>
        <w:snapToGrid w:val="0"/>
        <w:spacing w:line="360" w:lineRule="auto"/>
        <w:ind w:firstLine="602" w:firstLineChars="200"/>
        <w:rPr>
          <w:rFonts w:ascii="仿宋" w:hAnsi="仿宋" w:eastAsia="仿宋" w:cs="仿宋_GB2312"/>
          <w:b/>
          <w:color w:val="auto"/>
          <w:sz w:val="30"/>
          <w:szCs w:val="30"/>
          <w:highlight w:val="none"/>
        </w:rPr>
      </w:pPr>
    </w:p>
    <w:p>
      <w:pPr>
        <w:pStyle w:val="27"/>
        <w:snapToGrid w:val="0"/>
        <w:ind w:left="562" w:hanging="562"/>
        <w:rPr>
          <w:rFonts w:hint="eastAsia" w:ascii="宋体" w:hAnsi="宋体" w:cs="宋体"/>
          <w:i/>
          <w:iCs/>
          <w:color w:val="auto"/>
          <w:sz w:val="24"/>
          <w:highlight w:val="none"/>
        </w:rPr>
      </w:pPr>
      <w:r>
        <w:rPr>
          <w:rFonts w:hint="eastAsia" w:ascii="宋体" w:hAnsi="宋体" w:cs="宋体"/>
          <w:b/>
          <w:color w:val="auto"/>
          <w:sz w:val="28"/>
          <w:szCs w:val="28"/>
          <w:highlight w:val="none"/>
        </w:rPr>
        <w:t>7.供应商类似的业绩证明文件</w:t>
      </w:r>
      <w:r>
        <w:rPr>
          <w:rFonts w:hint="eastAsia" w:ascii="宋体" w:hAnsi="宋体" w:cs="宋体"/>
          <w:b/>
          <w:bCs/>
          <w:color w:val="auto"/>
          <w:sz w:val="30"/>
          <w:szCs w:val="30"/>
          <w:highlight w:val="none"/>
        </w:rPr>
        <w:t>（如有要求）：</w:t>
      </w:r>
    </w:p>
    <w:p>
      <w:pPr>
        <w:spacing w:line="360" w:lineRule="auto"/>
        <w:ind w:firstLine="2880" w:firstLineChars="900"/>
        <w:contextualSpacing/>
        <w:rPr>
          <w:rFonts w:hint="eastAsia" w:ascii="宋体" w:hAnsi="宋体" w:cs="宋体"/>
          <w:color w:val="auto"/>
          <w:sz w:val="32"/>
          <w:szCs w:val="32"/>
          <w:highlight w:val="none"/>
        </w:rPr>
      </w:pPr>
    </w:p>
    <w:p>
      <w:pPr>
        <w:spacing w:line="360" w:lineRule="auto"/>
        <w:ind w:firstLine="2880" w:firstLineChars="900"/>
        <w:contextualSpacing/>
        <w:rPr>
          <w:rFonts w:hint="eastAsia" w:ascii="宋体" w:hAnsi="宋体" w:cs="宋体"/>
          <w:color w:val="auto"/>
          <w:sz w:val="32"/>
          <w:szCs w:val="32"/>
          <w:highlight w:val="none"/>
        </w:rPr>
      </w:pPr>
      <w:r>
        <w:rPr>
          <w:rFonts w:hint="eastAsia" w:ascii="宋体" w:hAnsi="宋体" w:cs="宋体"/>
          <w:color w:val="auto"/>
          <w:sz w:val="32"/>
          <w:szCs w:val="32"/>
          <w:highlight w:val="none"/>
        </w:rPr>
        <w:t>类似项目的业绩一览表</w:t>
      </w:r>
    </w:p>
    <w:p>
      <w:pPr>
        <w:spacing w:line="360" w:lineRule="auto"/>
        <w:contextualSpacing/>
        <w:rPr>
          <w:rFonts w:hint="eastAsia" w:ascii="宋体" w:hAnsi="宋体" w:cs="宋体"/>
          <w:color w:val="auto"/>
          <w:sz w:val="24"/>
          <w:highlight w:val="none"/>
          <w:u w:val="single"/>
        </w:rPr>
      </w:pPr>
      <w:r>
        <w:rPr>
          <w:rFonts w:hint="eastAsia" w:ascii="宋体" w:hAnsi="宋体" w:cs="宋体"/>
          <w:color w:val="auto"/>
          <w:sz w:val="24"/>
          <w:highlight w:val="none"/>
        </w:rPr>
        <w:t>所竞分标（如有则填写，无分标时填写“无”或者留空）：</w:t>
      </w:r>
      <w:r>
        <w:rPr>
          <w:rFonts w:hint="eastAsia" w:ascii="宋体" w:hAnsi="宋体" w:cs="宋体"/>
          <w:color w:val="auto"/>
          <w:sz w:val="24"/>
          <w:highlight w:val="none"/>
          <w:u w:val="single"/>
        </w:rPr>
        <w:t xml:space="preserve">                </w:t>
      </w:r>
    </w:p>
    <w:tbl>
      <w:tblPr>
        <w:tblStyle w:val="32"/>
        <w:tblpPr w:leftFromText="180" w:rightFromText="180" w:vertAnchor="page" w:horzAnchor="page" w:tblpX="1008" w:tblpY="3639"/>
        <w:tblW w:w="103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3"/>
        <w:gridCol w:w="2164"/>
        <w:gridCol w:w="1134"/>
        <w:gridCol w:w="1134"/>
        <w:gridCol w:w="1701"/>
        <w:gridCol w:w="1276"/>
        <w:gridCol w:w="18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rPr>
              <w:t>采购人名称</w:t>
            </w:r>
          </w:p>
        </w:tc>
        <w:tc>
          <w:tcPr>
            <w:tcW w:w="216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rPr>
              <w:t>合同</w:t>
            </w:r>
          </w:p>
          <w:p>
            <w:pPr>
              <w:snapToGrid w:val="0"/>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rPr>
              <w:t>金额</w:t>
            </w:r>
          </w:p>
          <w:p>
            <w:pPr>
              <w:snapToGrid w:val="0"/>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rPr>
              <w:t>（万元）</w:t>
            </w:r>
          </w:p>
        </w:tc>
        <w:tc>
          <w:tcPr>
            <w:tcW w:w="411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auto"/>
                <w:sz w:val="24"/>
                <w:highlight w:val="none"/>
              </w:rPr>
            </w:pPr>
          </w:p>
        </w:tc>
        <w:tc>
          <w:tcPr>
            <w:tcW w:w="216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合同</w:t>
            </w:r>
            <w:r>
              <w:rPr>
                <w:rFonts w:hint="eastAsia" w:ascii="宋体" w:hAnsi="宋体" w:cs="宋体"/>
                <w:color w:val="auto"/>
                <w:sz w:val="24"/>
                <w:highlight w:val="none"/>
                <w:lang w:val="en-US" w:eastAsia="zh-CN"/>
              </w:rPr>
              <w:t>或</w:t>
            </w:r>
            <w:r>
              <w:rPr>
                <w:rFonts w:hint="eastAsia" w:ascii="宋体" w:hAnsi="宋体" w:eastAsia="宋体" w:cs="宋体"/>
                <w:color w:val="auto"/>
                <w:highlight w:val="none"/>
              </w:rPr>
              <w:t>中标（成交）通知书</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rPr>
              <w:t>验收报告</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rPr>
              <w:t>用户评价</w:t>
            </w: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06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06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color w:val="auto"/>
                <w:sz w:val="24"/>
                <w:highlight w:val="none"/>
              </w:rPr>
            </w:pPr>
          </w:p>
        </w:tc>
      </w:tr>
    </w:tbl>
    <w:p>
      <w:pPr>
        <w:snapToGrid w:val="0"/>
        <w:spacing w:line="360" w:lineRule="auto"/>
        <w:ind w:firstLine="4935" w:firstLineChars="2350"/>
        <w:rPr>
          <w:rFonts w:hint="eastAsia" w:ascii="宋体" w:hAnsi="宋体" w:cs="宋体"/>
          <w:color w:val="auto"/>
          <w:szCs w:val="21"/>
          <w:highlight w:val="none"/>
        </w:rPr>
      </w:pPr>
    </w:p>
    <w:p>
      <w:pPr>
        <w:snapToGrid w:val="0"/>
        <w:spacing w:line="360" w:lineRule="auto"/>
        <w:rPr>
          <w:rFonts w:hint="eastAsia" w:ascii="宋体" w:hAnsi="宋体" w:cs="宋体"/>
          <w:color w:val="auto"/>
          <w:szCs w:val="21"/>
          <w:highlight w:val="none"/>
        </w:rPr>
      </w:pPr>
      <w:r>
        <w:rPr>
          <w:rFonts w:hint="eastAsia" w:ascii="宋体" w:hAnsi="宋体" w:cs="宋体"/>
          <w:color w:val="auto"/>
          <w:sz w:val="24"/>
          <w:szCs w:val="20"/>
          <w:highlight w:val="none"/>
        </w:rPr>
        <w:t>注：在填写时，如本表格不适合供应商的实际情况，可参照本表格式自行制表填写，并附上相关证明材料</w:t>
      </w:r>
      <w:r>
        <w:rPr>
          <w:rFonts w:hint="eastAsia"/>
          <w:color w:val="auto"/>
          <w:highlight w:val="none"/>
        </w:rPr>
        <w:t>。</w:t>
      </w:r>
    </w:p>
    <w:p>
      <w:pPr>
        <w:snapToGrid w:val="0"/>
        <w:spacing w:line="360" w:lineRule="auto"/>
        <w:rPr>
          <w:rFonts w:hint="eastAsia" w:ascii="宋体" w:hAnsi="宋体" w:cs="宋体"/>
          <w:color w:val="auto"/>
          <w:szCs w:val="21"/>
          <w:highlight w:val="none"/>
        </w:rPr>
      </w:pPr>
    </w:p>
    <w:p>
      <w:pPr>
        <w:snapToGrid w:val="0"/>
        <w:spacing w:line="360" w:lineRule="auto"/>
        <w:rPr>
          <w:rFonts w:hint="eastAsia" w:ascii="宋体" w:hAnsi="宋体" w:cs="宋体"/>
          <w:color w:val="auto"/>
          <w:szCs w:val="21"/>
          <w:highlight w:val="none"/>
        </w:rPr>
      </w:pPr>
    </w:p>
    <w:p>
      <w:pPr>
        <w:snapToGrid w:val="0"/>
        <w:spacing w:line="360" w:lineRule="auto"/>
        <w:rPr>
          <w:rFonts w:hint="eastAsia"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供应商名称(盖公章)：</w:t>
      </w:r>
    </w:p>
    <w:p>
      <w:pPr>
        <w:spacing w:line="500" w:lineRule="exact"/>
        <w:jc w:val="center"/>
        <w:rPr>
          <w:rFonts w:hint="eastAsia" w:ascii="宋体" w:hAnsi="宋体" w:cs="宋体"/>
          <w:color w:val="auto"/>
          <w:sz w:val="32"/>
          <w:szCs w:val="32"/>
          <w:highlight w:val="none"/>
        </w:rPr>
        <w:sectPr>
          <w:pgSz w:w="11911" w:h="16838"/>
          <w:pgMar w:top="1134" w:right="1134" w:bottom="1134" w:left="1134" w:header="720" w:footer="720" w:gutter="0"/>
          <w:cols w:space="720" w:num="1"/>
        </w:sect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rPr>
          <w:rFonts w:hint="eastAsia" w:ascii="宋体" w:hAnsi="宋体" w:cs="宋体"/>
          <w:color w:val="auto"/>
          <w:sz w:val="28"/>
          <w:szCs w:val="28"/>
          <w:highlight w:val="none"/>
        </w:rPr>
      </w:pPr>
      <w:r>
        <w:rPr>
          <w:rFonts w:hint="eastAsia" w:ascii="宋体" w:hAnsi="宋体" w:cs="宋体"/>
          <w:b/>
          <w:color w:val="auto"/>
          <w:sz w:val="28"/>
          <w:szCs w:val="28"/>
          <w:highlight w:val="none"/>
        </w:rPr>
        <w:t>8.服务需求偏离表的格式：</w:t>
      </w:r>
    </w:p>
    <w:p>
      <w:pPr>
        <w:spacing w:line="500" w:lineRule="exact"/>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服务需求偏离表</w:t>
      </w:r>
    </w:p>
    <w:p>
      <w:pPr>
        <w:spacing w:line="360" w:lineRule="auto"/>
        <w:contextualSpacing/>
        <w:jc w:val="left"/>
        <w:rPr>
          <w:rFonts w:hint="eastAsia" w:ascii="宋体" w:hAnsi="宋体" w:cs="宋体"/>
          <w:color w:val="auto"/>
          <w:sz w:val="24"/>
          <w:highlight w:val="none"/>
        </w:rPr>
      </w:pPr>
    </w:p>
    <w:p>
      <w:pPr>
        <w:spacing w:line="360" w:lineRule="auto"/>
        <w:ind w:firstLine="720" w:firstLineChars="30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spacing w:line="360" w:lineRule="auto"/>
        <w:ind w:firstLine="720" w:firstLineChars="300"/>
        <w:contextualSpacing/>
        <w:rPr>
          <w:rFonts w:hint="eastAsia"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pPr>
        <w:spacing w:line="360" w:lineRule="auto"/>
        <w:ind w:firstLine="720" w:firstLineChars="300"/>
        <w:contextualSpacing/>
        <w:rPr>
          <w:rFonts w:hint="eastAsia" w:ascii="宋体" w:hAnsi="宋体" w:cs="宋体"/>
          <w:color w:val="auto"/>
          <w:sz w:val="24"/>
          <w:highlight w:val="none"/>
          <w:u w:val="single"/>
        </w:rPr>
      </w:pPr>
      <w:r>
        <w:rPr>
          <w:rFonts w:hint="eastAsia" w:ascii="宋体" w:hAnsi="宋体" w:cs="宋体"/>
          <w:color w:val="auto"/>
          <w:sz w:val="24"/>
          <w:highlight w:val="none"/>
        </w:rPr>
        <w:t>所竞分标（如有则填写，无分标时填写“无”或者留空）：</w:t>
      </w:r>
      <w:r>
        <w:rPr>
          <w:rFonts w:hint="eastAsia" w:ascii="宋体" w:hAnsi="宋体" w:cs="宋体"/>
          <w:color w:val="auto"/>
          <w:sz w:val="24"/>
          <w:highlight w:val="none"/>
          <w:u w:val="single"/>
        </w:rPr>
        <w:t xml:space="preserve">              </w:t>
      </w:r>
    </w:p>
    <w:tbl>
      <w:tblPr>
        <w:tblStyle w:val="32"/>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175"/>
        <w:gridCol w:w="3197"/>
        <w:gridCol w:w="2944"/>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11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标的名称</w:t>
            </w:r>
          </w:p>
        </w:tc>
        <w:tc>
          <w:tcPr>
            <w:tcW w:w="31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竞争性磋商文件</w:t>
            </w:r>
            <w:r>
              <w:rPr>
                <w:rFonts w:hint="eastAsia" w:ascii="宋体" w:hAnsi="宋体"/>
                <w:color w:val="auto"/>
                <w:szCs w:val="21"/>
                <w:highlight w:val="none"/>
              </w:rPr>
              <w:t>采购需求中的</w:t>
            </w:r>
            <w:r>
              <w:rPr>
                <w:rFonts w:hint="eastAsia" w:ascii="宋体" w:hAnsi="宋体"/>
                <w:color w:val="auto"/>
                <w:szCs w:val="21"/>
                <w:highlight w:val="none"/>
                <w:lang w:eastAsia="zh-CN"/>
              </w:rPr>
              <w:t>技术要求</w:t>
            </w:r>
          </w:p>
        </w:tc>
        <w:tc>
          <w:tcPr>
            <w:tcW w:w="29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响应文件响应的</w:t>
            </w:r>
            <w:r>
              <w:rPr>
                <w:rFonts w:hint="eastAsia" w:ascii="宋体" w:hAnsi="宋体"/>
                <w:color w:val="auto"/>
                <w:szCs w:val="21"/>
                <w:highlight w:val="none"/>
                <w:lang w:eastAsia="zh-CN"/>
              </w:rPr>
              <w:t>技术要求</w:t>
            </w: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1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319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1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319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p>
        </w:tc>
        <w:tc>
          <w:tcPr>
            <w:tcW w:w="11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319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r>
    </w:tbl>
    <w:p>
      <w:pPr>
        <w:pStyle w:val="17"/>
        <w:ind w:firstLine="845"/>
        <w:rPr>
          <w:rFonts w:hint="eastAsia" w:ascii="宋体" w:hAnsi="宋体" w:cs="宋体"/>
          <w:color w:val="auto"/>
          <w:sz w:val="24"/>
          <w:highlight w:val="none"/>
          <w:u w:val="single"/>
        </w:rPr>
      </w:pPr>
    </w:p>
    <w:p>
      <w:pPr>
        <w:pStyle w:val="15"/>
        <w:spacing w:after="0" w:line="360" w:lineRule="auto"/>
        <w:contextualSpacing/>
        <w:rPr>
          <w:rFonts w:hint="eastAsia" w:ascii="宋体" w:hAnsi="宋体" w:cs="宋体"/>
          <w:color w:val="auto"/>
          <w:kern w:val="0"/>
          <w:sz w:val="24"/>
          <w:szCs w:val="24"/>
          <w:highlight w:val="none"/>
        </w:rPr>
      </w:pPr>
    </w:p>
    <w:p>
      <w:pPr>
        <w:pStyle w:val="15"/>
        <w:spacing w:after="0" w:line="480" w:lineRule="auto"/>
        <w:ind w:firstLine="420" w:firstLineChars="200"/>
        <w:contextualSpacing/>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注：</w:t>
      </w:r>
    </w:p>
    <w:p>
      <w:pPr>
        <w:pStyle w:val="15"/>
        <w:spacing w:after="0" w:line="480" w:lineRule="auto"/>
        <w:ind w:firstLine="420" w:firstLineChars="200"/>
        <w:contextualSpacing/>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1.说明：应对照磋商文件“第二章  </w:t>
      </w:r>
      <w:r>
        <w:rPr>
          <w:rFonts w:hint="eastAsia" w:ascii="Cambria" w:hAnsi="Cambria"/>
          <w:bCs/>
          <w:color w:val="auto"/>
          <w:sz w:val="21"/>
          <w:szCs w:val="21"/>
          <w:highlight w:val="none"/>
        </w:rPr>
        <w:t>采购需求</w:t>
      </w:r>
      <w:r>
        <w:rPr>
          <w:rFonts w:hint="eastAsia" w:ascii="宋体" w:hAnsi="宋体" w:cs="宋体"/>
          <w:color w:val="auto"/>
          <w:kern w:val="0"/>
          <w:sz w:val="21"/>
          <w:szCs w:val="21"/>
          <w:highlight w:val="none"/>
        </w:rPr>
        <w:t>”中“需求一览表”的</w:t>
      </w:r>
      <w:r>
        <w:rPr>
          <w:rFonts w:hint="eastAsia" w:ascii="宋体" w:hAnsi="宋体" w:cs="宋体"/>
          <w:color w:val="auto"/>
          <w:kern w:val="0"/>
          <w:sz w:val="21"/>
          <w:szCs w:val="21"/>
          <w:highlight w:val="none"/>
          <w:lang w:eastAsia="zh-CN"/>
        </w:rPr>
        <w:t>技术要求</w:t>
      </w:r>
      <w:r>
        <w:rPr>
          <w:rFonts w:hint="eastAsia" w:ascii="宋体" w:hAnsi="宋体" w:cs="宋体"/>
          <w:color w:val="auto"/>
          <w:kern w:val="0"/>
          <w:sz w:val="21"/>
          <w:szCs w:val="21"/>
          <w:highlight w:val="none"/>
        </w:rPr>
        <w:t>条款逐条作出明确响应，并作出偏离说明。</w:t>
      </w:r>
    </w:p>
    <w:p>
      <w:pPr>
        <w:pStyle w:val="17"/>
        <w:spacing w:line="48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2.供应商应根据自身的承诺，对照磋商文件要求，在“偏离说明”中注明“正偏离”或者“负偏离”或者“无偏离”。既不属于“正偏离”也不属于“负偏离”即为“无偏离”。 当响应文件的</w:t>
      </w:r>
      <w:r>
        <w:rPr>
          <w:rFonts w:hint="eastAsia" w:ascii="宋体" w:hAnsi="宋体" w:eastAsia="宋体" w:cs="宋体"/>
          <w:color w:val="auto"/>
          <w:sz w:val="21"/>
          <w:szCs w:val="21"/>
          <w:highlight w:val="none"/>
          <w:lang w:eastAsia="zh-CN"/>
        </w:rPr>
        <w:t>技术要求</w:t>
      </w:r>
      <w:r>
        <w:rPr>
          <w:rFonts w:hint="eastAsia" w:ascii="宋体" w:hAnsi="宋体" w:eastAsia="宋体" w:cs="宋体"/>
          <w:color w:val="auto"/>
          <w:sz w:val="21"/>
          <w:szCs w:val="21"/>
          <w:highlight w:val="none"/>
        </w:rPr>
        <w:t>内容低于竞争性磋商文件要求时，供应商应当如实写明“负偏离”。</w:t>
      </w:r>
    </w:p>
    <w:p>
      <w:pPr>
        <w:spacing w:line="48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3.表格内容均需按要求填写并盖公章，不得留空，</w:t>
      </w:r>
      <w:r>
        <w:rPr>
          <w:rFonts w:hint="eastAsia" w:ascii="宋体" w:hAnsi="宋体" w:cs="宋体"/>
          <w:b/>
          <w:bCs/>
          <w:color w:val="auto"/>
          <w:kern w:val="0"/>
          <w:szCs w:val="21"/>
          <w:highlight w:val="none"/>
        </w:rPr>
        <w:t>否则按竞标无效处理。</w:t>
      </w:r>
    </w:p>
    <w:p>
      <w:pPr>
        <w:pStyle w:val="17"/>
        <w:spacing w:line="480" w:lineRule="auto"/>
        <w:ind w:firstLine="420" w:firstLineChars="200"/>
        <w:contextualSpacing/>
        <w:rPr>
          <w:rFonts w:hint="eastAsia" w:ascii="宋体" w:hAnsi="宋体" w:eastAsia="宋体" w:cs="宋体"/>
          <w:color w:val="auto"/>
          <w:sz w:val="21"/>
          <w:szCs w:val="21"/>
          <w:highlight w:val="none"/>
        </w:rPr>
      </w:pPr>
    </w:p>
    <w:p>
      <w:pPr>
        <w:snapToGrid w:val="0"/>
        <w:spacing w:line="360" w:lineRule="auto"/>
        <w:rPr>
          <w:rFonts w:hint="eastAsia" w:ascii="宋体" w:hAnsi="宋体" w:cs="宋体"/>
          <w:b/>
          <w:color w:val="auto"/>
          <w:sz w:val="30"/>
          <w:szCs w:val="30"/>
          <w:highlight w:val="none"/>
        </w:rPr>
      </w:pPr>
    </w:p>
    <w:p>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供应商名称（盖公章）：</w:t>
      </w:r>
    </w:p>
    <w:p>
      <w:pPr>
        <w:autoSpaceDE w:val="0"/>
        <w:autoSpaceDN w:val="0"/>
        <w:spacing w:line="360" w:lineRule="auto"/>
        <w:ind w:firstLine="6480" w:firstLineChars="27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napToGrid w:val="0"/>
        <w:spacing w:line="360" w:lineRule="auto"/>
        <w:rPr>
          <w:rFonts w:hint="eastAsia" w:ascii="宋体" w:hAnsi="宋体" w:cs="宋体"/>
          <w:b/>
          <w:color w:val="auto"/>
          <w:sz w:val="28"/>
          <w:szCs w:val="28"/>
          <w:highlight w:val="none"/>
        </w:rPr>
      </w:pPr>
    </w:p>
    <w:p>
      <w:pPr>
        <w:snapToGrid w:val="0"/>
        <w:spacing w:line="360" w:lineRule="auto"/>
        <w:rPr>
          <w:rFonts w:hint="eastAsia" w:ascii="宋体" w:hAnsi="宋体" w:cs="宋体"/>
          <w:b/>
          <w:color w:val="auto"/>
          <w:sz w:val="28"/>
          <w:szCs w:val="28"/>
          <w:highlight w:val="none"/>
        </w:rPr>
      </w:pPr>
    </w:p>
    <w:p>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9.服务方案</w:t>
      </w:r>
    </w:p>
    <w:p>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（由供应商根据采购需求及采购文件要求编制）</w:t>
      </w:r>
    </w:p>
    <w:p>
      <w:pPr>
        <w:pStyle w:val="3"/>
        <w:rPr>
          <w:rFonts w:hint="eastAsia" w:ascii="宋体" w:hAnsi="宋体" w:cs="宋体"/>
          <w:color w:val="auto"/>
          <w:kern w:val="0"/>
          <w:sz w:val="24"/>
          <w:highlight w:val="none"/>
          <w:lang w:val="zh-CN"/>
        </w:rPr>
      </w:pPr>
    </w:p>
    <w:p>
      <w:pPr>
        <w:rPr>
          <w:rFonts w:hint="eastAsia" w:ascii="宋体" w:hAnsi="宋体" w:cs="宋体"/>
          <w:color w:val="auto"/>
          <w:kern w:val="0"/>
          <w:sz w:val="24"/>
          <w:highlight w:val="none"/>
          <w:lang w:val="zh-CN"/>
        </w:rPr>
      </w:pPr>
    </w:p>
    <w:p>
      <w:pPr>
        <w:pStyle w:val="3"/>
        <w:rPr>
          <w:rFonts w:hint="eastAsia" w:ascii="宋体" w:hAnsi="宋体" w:cs="宋体"/>
          <w:color w:val="auto"/>
          <w:kern w:val="0"/>
          <w:sz w:val="24"/>
          <w:highlight w:val="none"/>
          <w:lang w:val="zh-CN"/>
        </w:rPr>
      </w:pPr>
    </w:p>
    <w:p>
      <w:pPr>
        <w:rPr>
          <w:rFonts w:hint="eastAsia"/>
          <w:color w:val="auto"/>
          <w:highlight w:val="none"/>
          <w:lang w:val="zh-CN"/>
        </w:rPr>
      </w:pPr>
    </w:p>
    <w:p>
      <w:pPr>
        <w:rPr>
          <w:rFonts w:hint="eastAsia"/>
          <w:color w:val="auto"/>
          <w:highlight w:val="none"/>
          <w:lang w:val="zh-CN"/>
        </w:rPr>
      </w:pPr>
    </w:p>
    <w:p>
      <w:pPr>
        <w:pStyle w:val="3"/>
        <w:jc w:val="center"/>
        <w:rPr>
          <w:rFonts w:ascii="宋体" w:hAnsi="宋体" w:cs="宋体"/>
          <w:color w:val="auto"/>
          <w:kern w:val="0"/>
          <w:sz w:val="24"/>
          <w:highlight w:val="none"/>
        </w:rPr>
      </w:pPr>
      <w:r>
        <w:rPr>
          <w:rFonts w:hint="eastAsia" w:ascii="宋体" w:hAnsi="宋体" w:cs="宋体"/>
          <w:color w:val="auto"/>
          <w:kern w:val="0"/>
          <w:sz w:val="24"/>
          <w:highlight w:val="none"/>
        </w:rPr>
        <w:t>（格式自拟）</w:t>
      </w:r>
    </w:p>
    <w:p>
      <w:pPr>
        <w:rPr>
          <w:rFonts w:hint="eastAsia" w:ascii="宋体" w:hAnsi="宋体" w:cs="宋体"/>
          <w:color w:val="auto"/>
          <w:kern w:val="0"/>
          <w:sz w:val="24"/>
          <w:highlight w:val="none"/>
          <w:lang w:val="zh-CN"/>
        </w:rPr>
      </w:pPr>
    </w:p>
    <w:p>
      <w:pPr>
        <w:pStyle w:val="3"/>
        <w:rPr>
          <w:rFonts w:hint="eastAsia" w:ascii="宋体" w:hAnsi="宋体" w:cs="宋体"/>
          <w:color w:val="auto"/>
          <w:kern w:val="0"/>
          <w:sz w:val="24"/>
          <w:highlight w:val="none"/>
          <w:lang w:val="zh-CN"/>
        </w:rPr>
      </w:pPr>
    </w:p>
    <w:p>
      <w:pPr>
        <w:rPr>
          <w:rFonts w:hint="eastAsia" w:ascii="宋体" w:hAnsi="宋体" w:cs="宋体"/>
          <w:color w:val="auto"/>
          <w:kern w:val="0"/>
          <w:sz w:val="24"/>
          <w:highlight w:val="none"/>
          <w:lang w:val="zh-CN"/>
        </w:rPr>
      </w:pPr>
    </w:p>
    <w:p>
      <w:pPr>
        <w:pStyle w:val="3"/>
        <w:rPr>
          <w:rFonts w:hint="eastAsia"/>
          <w:color w:val="auto"/>
          <w:highlight w:val="none"/>
          <w:lang w:val="zh-CN"/>
        </w:rPr>
      </w:pPr>
    </w:p>
    <w:p>
      <w:pPr>
        <w:rPr>
          <w:rFonts w:hint="eastAsia"/>
          <w:color w:val="auto"/>
          <w:highlight w:val="none"/>
          <w:lang w:val="zh-CN"/>
        </w:rPr>
      </w:pPr>
    </w:p>
    <w:p>
      <w:pPr>
        <w:pStyle w:val="3"/>
        <w:ind w:firstLine="3840" w:firstLineChars="1600"/>
        <w:rPr>
          <w:rFonts w:hint="eastAsia" w:ascii="宋体" w:hAnsi="宋体" w:cs="宋体"/>
          <w:b w:val="0"/>
          <w:bCs w:val="0"/>
          <w:color w:val="auto"/>
          <w:kern w:val="0"/>
          <w:sz w:val="24"/>
          <w:highlight w:val="none"/>
          <w:lang w:val="zh-CN"/>
        </w:rPr>
      </w:pPr>
      <w:r>
        <w:rPr>
          <w:rFonts w:hint="eastAsia" w:ascii="宋体" w:hAnsi="宋体" w:cs="宋体"/>
          <w:b w:val="0"/>
          <w:bCs w:val="0"/>
          <w:color w:val="auto"/>
          <w:kern w:val="0"/>
          <w:sz w:val="24"/>
          <w:highlight w:val="none"/>
          <w:lang w:val="zh-CN"/>
        </w:rPr>
        <w:t>供应商名称（盖公章）：</w:t>
      </w:r>
    </w:p>
    <w:p>
      <w:pPr>
        <w:pStyle w:val="3"/>
        <w:ind w:firstLine="6000" w:firstLineChars="2500"/>
        <w:rPr>
          <w:rFonts w:hint="eastAsia" w:ascii="宋体" w:hAnsi="宋体" w:cs="宋体"/>
          <w:b w:val="0"/>
          <w:bCs w:val="0"/>
          <w:color w:val="auto"/>
          <w:kern w:val="0"/>
          <w:sz w:val="24"/>
          <w:highlight w:val="none"/>
          <w:lang w:val="zh-CN"/>
        </w:rPr>
      </w:pPr>
      <w:r>
        <w:rPr>
          <w:rFonts w:hint="eastAsia" w:ascii="宋体" w:hAnsi="宋体" w:cs="宋体"/>
          <w:b w:val="0"/>
          <w:bCs w:val="0"/>
          <w:color w:val="auto"/>
          <w:kern w:val="0"/>
          <w:sz w:val="24"/>
          <w:highlight w:val="none"/>
          <w:lang w:val="zh-CN"/>
        </w:rPr>
        <w:t>日期：  年  月   日</w:t>
      </w:r>
    </w:p>
    <w:p>
      <w:pPr>
        <w:autoSpaceDE w:val="0"/>
        <w:autoSpaceDN w:val="0"/>
        <w:spacing w:line="360" w:lineRule="auto"/>
        <w:ind w:firstLine="6480" w:firstLineChars="2700"/>
        <w:rPr>
          <w:rFonts w:hint="eastAsia" w:ascii="仿宋_GB2312" w:hAnsi="仿宋" w:eastAsia="仿宋_GB2312" w:cs="仿宋_GB2312"/>
          <w:color w:val="auto"/>
          <w:kern w:val="0"/>
          <w:sz w:val="24"/>
          <w:highlight w:val="none"/>
          <w:lang w:val="zh-CN"/>
        </w:rPr>
      </w:pPr>
    </w:p>
    <w:p>
      <w:pPr>
        <w:autoSpaceDE w:val="0"/>
        <w:autoSpaceDN w:val="0"/>
        <w:spacing w:line="360" w:lineRule="auto"/>
        <w:ind w:firstLine="8132" w:firstLineChars="2700"/>
        <w:rPr>
          <w:rFonts w:ascii="仿宋_GB2312" w:hAnsi="仿宋" w:eastAsia="仿宋_GB2312" w:cs="仿宋_GB2312"/>
          <w:b/>
          <w:bCs/>
          <w:color w:val="auto"/>
          <w:sz w:val="24"/>
          <w:highlight w:val="none"/>
        </w:rPr>
      </w:pPr>
      <w:r>
        <w:rPr>
          <w:rFonts w:hint="eastAsia" w:ascii="仿宋" w:hAnsi="仿宋" w:eastAsia="仿宋" w:cs="仿宋_GB2312"/>
          <w:b/>
          <w:color w:val="auto"/>
          <w:sz w:val="30"/>
          <w:szCs w:val="30"/>
          <w:highlight w:val="none"/>
        </w:rPr>
        <w:br w:type="page"/>
      </w:r>
    </w:p>
    <w:p>
      <w:pPr>
        <w:pStyle w:val="4"/>
        <w:jc w:val="center"/>
        <w:rPr>
          <w:rFonts w:hint="eastAsia" w:ascii="宋体" w:hAnsi="宋体"/>
          <w:color w:val="auto"/>
          <w:highlight w:val="none"/>
        </w:rPr>
      </w:pPr>
      <w:bookmarkStart w:id="142" w:name="_Toc80205941"/>
      <w:bookmarkStart w:id="143" w:name="_Toc12611"/>
      <w:bookmarkStart w:id="144" w:name="_Toc80886945"/>
      <w:bookmarkStart w:id="145" w:name="_Toc31035"/>
      <w:r>
        <w:rPr>
          <w:rFonts w:hint="eastAsia" w:ascii="宋体" w:hAnsi="宋体"/>
          <w:color w:val="auto"/>
          <w:highlight w:val="none"/>
        </w:rPr>
        <w:t>第三节 报价文件格式</w:t>
      </w:r>
      <w:bookmarkEnd w:id="142"/>
      <w:bookmarkEnd w:id="143"/>
      <w:bookmarkEnd w:id="144"/>
      <w:bookmarkEnd w:id="145"/>
    </w:p>
    <w:p>
      <w:pPr>
        <w:pStyle w:val="24"/>
        <w:rPr>
          <w:rFonts w:hint="eastAsia"/>
          <w:color w:val="auto"/>
          <w:highlight w:val="none"/>
          <w:lang w:val="zh-CN"/>
        </w:rPr>
      </w:pPr>
      <w:r>
        <w:rPr>
          <w:rFonts w:hint="eastAsia"/>
          <w:color w:val="auto"/>
          <w:sz w:val="24"/>
          <w:highlight w:val="none"/>
        </w:rPr>
        <w:t xml:space="preserve">  </w:t>
      </w:r>
      <w:r>
        <w:rPr>
          <w:rFonts w:hint="eastAsia" w:ascii="宋体" w:hAnsi="宋体" w:cs="宋体"/>
          <w:b/>
          <w:bCs/>
          <w:color w:val="auto"/>
          <w:sz w:val="28"/>
          <w:szCs w:val="28"/>
          <w:highlight w:val="none"/>
        </w:rPr>
        <w:t>1.报价文件封面的格式</w:t>
      </w:r>
      <w:r>
        <w:rPr>
          <w:rFonts w:hint="eastAsia" w:ascii="宋体" w:hAnsi="宋体" w:cs="宋体"/>
          <w:b/>
          <w:color w:val="auto"/>
          <w:sz w:val="28"/>
          <w:szCs w:val="28"/>
          <w:highlight w:val="none"/>
        </w:rPr>
        <w:t>（参照此格式自拟）</w:t>
      </w:r>
      <w:r>
        <w:rPr>
          <w:rFonts w:hint="eastAsia" w:ascii="宋体" w:hAnsi="宋体" w:cs="宋体"/>
          <w:b/>
          <w:bCs/>
          <w:color w:val="auto"/>
          <w:sz w:val="28"/>
          <w:szCs w:val="28"/>
          <w:highlight w:val="none"/>
        </w:rPr>
        <w:t>：</w:t>
      </w:r>
    </w:p>
    <w:p>
      <w:pPr>
        <w:snapToGrid w:val="0"/>
        <w:spacing w:before="120" w:beforeLines="50" w:after="50"/>
        <w:rPr>
          <w:rFonts w:hint="eastAsia"/>
          <w:color w:val="auto"/>
          <w:sz w:val="24"/>
          <w:highlight w:val="none"/>
        </w:rPr>
      </w:pPr>
      <w:r>
        <w:rPr>
          <w:rFonts w:hint="eastAsia"/>
          <w:color w:val="auto"/>
          <w:sz w:val="24"/>
          <w:highlight w:val="none"/>
        </w:rPr>
        <w:t xml:space="preserve">                                             </w:t>
      </w:r>
    </w:p>
    <w:p>
      <w:pPr>
        <w:snapToGrid w:val="0"/>
        <w:spacing w:before="120" w:beforeLines="50" w:after="50"/>
        <w:ind w:firstLine="6720" w:firstLineChars="3200"/>
        <w:rPr>
          <w:rFonts w:hint="eastAsia"/>
          <w:bCs/>
          <w:color w:val="auto"/>
          <w:sz w:val="32"/>
          <w:szCs w:val="20"/>
          <w:highlight w:val="none"/>
        </w:rPr>
      </w:pPr>
      <w:r>
        <w:rPr>
          <w:rFonts w:hint="eastAsia"/>
          <w:bCs/>
          <w:color w:val="auto"/>
          <w:highlight w:val="none"/>
        </w:rPr>
        <w:t>全流程电子文件</w:t>
      </w:r>
    </w:p>
    <w:p>
      <w:pPr>
        <w:snapToGrid w:val="0"/>
        <w:spacing w:before="120" w:beforeLines="50" w:after="50"/>
        <w:rPr>
          <w:rFonts w:hint="eastAsia"/>
          <w:color w:val="auto"/>
          <w:sz w:val="24"/>
          <w:szCs w:val="20"/>
          <w:highlight w:val="none"/>
        </w:rPr>
      </w:pPr>
    </w:p>
    <w:p>
      <w:pPr>
        <w:snapToGrid w:val="0"/>
        <w:spacing w:before="120" w:beforeLines="50" w:after="50"/>
        <w:rPr>
          <w:rFonts w:hint="eastAsia"/>
          <w:color w:val="auto"/>
          <w:sz w:val="24"/>
          <w:szCs w:val="20"/>
          <w:highlight w:val="none"/>
        </w:rPr>
      </w:pPr>
    </w:p>
    <w:p>
      <w:pPr>
        <w:snapToGrid w:val="0"/>
        <w:spacing w:before="120" w:beforeLines="50" w:after="50"/>
        <w:rPr>
          <w:rFonts w:hint="eastAsia"/>
          <w:color w:val="auto"/>
          <w:sz w:val="24"/>
          <w:szCs w:val="20"/>
          <w:highlight w:val="none"/>
        </w:rPr>
      </w:pPr>
    </w:p>
    <w:p>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 xml:space="preserve">报 </w:t>
      </w:r>
      <w:r>
        <w:rPr>
          <w:rFonts w:ascii="方正小标宋简体" w:hAnsi="方正小标宋简体" w:eastAsia="方正小标宋简体" w:cs="方正小标宋简体"/>
          <w:bCs/>
          <w:color w:val="auto"/>
          <w:sz w:val="44"/>
          <w:szCs w:val="44"/>
          <w:highlight w:val="none"/>
        </w:rPr>
        <w:t xml:space="preserve"> </w:t>
      </w:r>
      <w:r>
        <w:rPr>
          <w:rFonts w:hint="eastAsia" w:ascii="方正小标宋简体" w:hAnsi="方正小标宋简体" w:eastAsia="方正小标宋简体" w:cs="方正小标宋简体"/>
          <w:bCs/>
          <w:color w:val="auto"/>
          <w:sz w:val="44"/>
          <w:szCs w:val="44"/>
          <w:highlight w:val="none"/>
        </w:rPr>
        <w:t>价  文  件</w:t>
      </w:r>
    </w:p>
    <w:p>
      <w:pPr>
        <w:snapToGrid w:val="0"/>
        <w:spacing w:before="120" w:beforeLines="50" w:after="50"/>
        <w:rPr>
          <w:rFonts w:hint="eastAsia"/>
          <w:bCs/>
          <w:color w:val="auto"/>
          <w:sz w:val="24"/>
          <w:szCs w:val="20"/>
          <w:highlight w:val="none"/>
        </w:rPr>
      </w:pPr>
    </w:p>
    <w:p>
      <w:pPr>
        <w:snapToGrid w:val="0"/>
        <w:spacing w:before="120" w:beforeLines="50" w:after="50"/>
        <w:rPr>
          <w:rFonts w:hint="eastAsia"/>
          <w:bCs/>
          <w:color w:val="auto"/>
          <w:sz w:val="24"/>
          <w:szCs w:val="20"/>
          <w:highlight w:val="none"/>
        </w:rPr>
      </w:pPr>
    </w:p>
    <w:p>
      <w:pPr>
        <w:snapToGrid w:val="0"/>
        <w:spacing w:before="120" w:beforeLines="50" w:after="50"/>
        <w:rPr>
          <w:rFonts w:hint="eastAsia"/>
          <w:bCs/>
          <w:color w:val="auto"/>
          <w:sz w:val="24"/>
          <w:szCs w:val="20"/>
          <w:highlight w:val="none"/>
        </w:rPr>
      </w:pPr>
    </w:p>
    <w:p>
      <w:pPr>
        <w:snapToGrid w:val="0"/>
        <w:spacing w:before="120" w:beforeLines="50" w:after="50"/>
        <w:rPr>
          <w:rFonts w:hint="eastAsia"/>
          <w:bCs/>
          <w:color w:val="auto"/>
          <w:sz w:val="24"/>
          <w:szCs w:val="20"/>
          <w:highlight w:val="none"/>
        </w:rPr>
      </w:pPr>
    </w:p>
    <w:p>
      <w:pPr>
        <w:snapToGrid w:val="0"/>
        <w:spacing w:before="120" w:beforeLines="50" w:after="50"/>
        <w:rPr>
          <w:rFonts w:hint="eastAsia"/>
          <w:bCs/>
          <w:color w:val="auto"/>
          <w:sz w:val="24"/>
          <w:szCs w:val="20"/>
          <w:highlight w:val="none"/>
        </w:rPr>
      </w:pPr>
    </w:p>
    <w:p>
      <w:pPr>
        <w:snapToGrid w:val="0"/>
        <w:spacing w:before="120" w:beforeLines="50" w:after="50"/>
        <w:ind w:firstLine="640" w:firstLineChars="200"/>
        <w:rPr>
          <w:rFonts w:hint="eastAsia" w:cs="仿宋_GB2312"/>
          <w:bCs/>
          <w:color w:val="auto"/>
          <w:sz w:val="32"/>
          <w:szCs w:val="32"/>
          <w:highlight w:val="none"/>
        </w:rPr>
      </w:pPr>
      <w:r>
        <w:rPr>
          <w:rFonts w:hint="eastAsia" w:cs="仿宋_GB2312"/>
          <w:bCs/>
          <w:color w:val="auto"/>
          <w:sz w:val="32"/>
          <w:szCs w:val="32"/>
          <w:highlight w:val="none"/>
        </w:rPr>
        <w:t>项目名称：</w:t>
      </w:r>
    </w:p>
    <w:p>
      <w:pPr>
        <w:snapToGrid w:val="0"/>
        <w:spacing w:before="120" w:beforeLines="50" w:after="50"/>
        <w:ind w:firstLine="720" w:firstLineChars="225"/>
        <w:rPr>
          <w:rFonts w:hint="eastAsia" w:cs="仿宋_GB2312"/>
          <w:bCs/>
          <w:color w:val="auto"/>
          <w:sz w:val="32"/>
          <w:szCs w:val="32"/>
          <w:highlight w:val="none"/>
        </w:rPr>
      </w:pPr>
    </w:p>
    <w:p>
      <w:pPr>
        <w:snapToGrid w:val="0"/>
        <w:spacing w:before="120" w:beforeLines="50" w:after="50"/>
        <w:ind w:firstLine="640" w:firstLineChars="200"/>
        <w:rPr>
          <w:rFonts w:hint="eastAsia" w:cs="仿宋_GB2312"/>
          <w:bCs/>
          <w:color w:val="auto"/>
          <w:sz w:val="32"/>
          <w:szCs w:val="32"/>
          <w:highlight w:val="none"/>
        </w:rPr>
      </w:pPr>
      <w:r>
        <w:rPr>
          <w:rFonts w:hint="eastAsia" w:cs="仿宋_GB2312"/>
          <w:bCs/>
          <w:color w:val="auto"/>
          <w:sz w:val="32"/>
          <w:szCs w:val="32"/>
          <w:highlight w:val="none"/>
        </w:rPr>
        <w:t>项目编号：</w:t>
      </w:r>
    </w:p>
    <w:p>
      <w:pPr>
        <w:snapToGrid w:val="0"/>
        <w:spacing w:before="120" w:beforeLines="50" w:after="50"/>
        <w:ind w:firstLine="720" w:firstLineChars="225"/>
        <w:rPr>
          <w:rFonts w:hint="eastAsia" w:cs="仿宋_GB2312"/>
          <w:bCs/>
          <w:color w:val="auto"/>
          <w:sz w:val="32"/>
          <w:szCs w:val="32"/>
          <w:highlight w:val="none"/>
        </w:rPr>
      </w:pPr>
      <w:r>
        <w:rPr>
          <w:rFonts w:hint="eastAsia" w:cs="仿宋_GB2312"/>
          <w:bCs/>
          <w:color w:val="auto"/>
          <w:sz w:val="32"/>
          <w:szCs w:val="32"/>
          <w:highlight w:val="none"/>
        </w:rPr>
        <w:t xml:space="preserve"> </w:t>
      </w:r>
    </w:p>
    <w:p>
      <w:pPr>
        <w:snapToGrid w:val="0"/>
        <w:spacing w:before="120" w:beforeLines="50" w:after="50"/>
        <w:ind w:firstLine="640" w:firstLineChars="200"/>
        <w:rPr>
          <w:rFonts w:hint="eastAsia" w:cs="仿宋_GB2312"/>
          <w:bCs/>
          <w:color w:val="auto"/>
          <w:sz w:val="32"/>
          <w:szCs w:val="32"/>
          <w:highlight w:val="none"/>
        </w:rPr>
      </w:pPr>
      <w:r>
        <w:rPr>
          <w:rFonts w:hint="eastAsia" w:cs="仿宋_GB2312"/>
          <w:bCs/>
          <w:color w:val="auto"/>
          <w:sz w:val="32"/>
          <w:szCs w:val="32"/>
          <w:highlight w:val="none"/>
        </w:rPr>
        <w:t>所竞分标（如有则填写，无分标时填写“无”或者留空）：</w:t>
      </w:r>
    </w:p>
    <w:p>
      <w:pPr>
        <w:snapToGrid w:val="0"/>
        <w:spacing w:before="120" w:beforeLines="50" w:after="50"/>
        <w:ind w:firstLine="720" w:firstLineChars="225"/>
        <w:rPr>
          <w:rFonts w:hint="eastAsia" w:cs="仿宋_GB2312"/>
          <w:bCs/>
          <w:color w:val="auto"/>
          <w:sz w:val="32"/>
          <w:szCs w:val="32"/>
          <w:highlight w:val="none"/>
        </w:rPr>
      </w:pPr>
    </w:p>
    <w:p>
      <w:pPr>
        <w:pStyle w:val="8"/>
        <w:snapToGrid w:val="0"/>
        <w:spacing w:before="50" w:after="50"/>
        <w:ind w:firstLine="640" w:firstLineChars="200"/>
        <w:rPr>
          <w:rFonts w:hint="eastAsia" w:cs="仿宋_GB2312"/>
          <w:bCs/>
          <w:color w:val="auto"/>
          <w:sz w:val="32"/>
          <w:szCs w:val="32"/>
          <w:highlight w:val="none"/>
        </w:rPr>
      </w:pPr>
      <w:r>
        <w:rPr>
          <w:rFonts w:hint="eastAsia" w:cs="仿宋_GB2312"/>
          <w:bCs/>
          <w:color w:val="auto"/>
          <w:sz w:val="32"/>
          <w:szCs w:val="32"/>
          <w:highlight w:val="none"/>
        </w:rPr>
        <w:t>供应商名称：</w:t>
      </w:r>
    </w:p>
    <w:p>
      <w:pPr>
        <w:pStyle w:val="8"/>
        <w:snapToGrid w:val="0"/>
        <w:spacing w:before="50" w:after="50"/>
        <w:ind w:firstLine="720" w:firstLineChars="225"/>
        <w:rPr>
          <w:rFonts w:hint="eastAsia" w:cs="仿宋_GB2312"/>
          <w:bCs/>
          <w:color w:val="auto"/>
          <w:sz w:val="32"/>
          <w:szCs w:val="32"/>
          <w:highlight w:val="none"/>
        </w:rPr>
      </w:pPr>
    </w:p>
    <w:p>
      <w:pPr>
        <w:pStyle w:val="8"/>
        <w:snapToGrid w:val="0"/>
        <w:spacing w:before="50" w:after="50"/>
        <w:ind w:firstLine="720" w:firstLineChars="225"/>
        <w:rPr>
          <w:rFonts w:hint="eastAsia" w:cs="仿宋_GB2312"/>
          <w:bCs/>
          <w:color w:val="auto"/>
          <w:sz w:val="32"/>
          <w:szCs w:val="32"/>
          <w:highlight w:val="none"/>
        </w:rPr>
      </w:pPr>
    </w:p>
    <w:p>
      <w:pPr>
        <w:pStyle w:val="8"/>
        <w:snapToGrid w:val="0"/>
        <w:spacing w:before="50" w:after="50"/>
        <w:ind w:firstLine="1280" w:firstLineChars="400"/>
        <w:rPr>
          <w:rFonts w:hint="eastAsia" w:cs="仿宋_GB2312"/>
          <w:bCs/>
          <w:color w:val="auto"/>
          <w:sz w:val="32"/>
          <w:szCs w:val="32"/>
          <w:highlight w:val="none"/>
        </w:rPr>
      </w:pPr>
    </w:p>
    <w:p>
      <w:pPr>
        <w:snapToGrid w:val="0"/>
        <w:spacing w:before="120" w:beforeLines="50" w:after="50"/>
        <w:jc w:val="center"/>
        <w:rPr>
          <w:rFonts w:hint="eastAsia" w:cs="仿宋_GB2312"/>
          <w:color w:val="auto"/>
          <w:sz w:val="32"/>
          <w:szCs w:val="32"/>
          <w:highlight w:val="none"/>
        </w:rPr>
      </w:pPr>
      <w:r>
        <w:rPr>
          <w:rFonts w:hint="eastAsia" w:cs="仿宋_GB2312"/>
          <w:color w:val="auto"/>
          <w:sz w:val="32"/>
          <w:szCs w:val="32"/>
          <w:highlight w:val="none"/>
        </w:rPr>
        <w:t>年    月    日</w:t>
      </w:r>
    </w:p>
    <w:p>
      <w:pPr>
        <w:snapToGrid w:val="0"/>
        <w:spacing w:before="120" w:beforeLines="50" w:after="50" w:line="360" w:lineRule="auto"/>
        <w:jc w:val="left"/>
        <w:rPr>
          <w:rFonts w:hint="eastAsia" w:ascii="宋体" w:hAnsi="宋体" w:cs="宋体"/>
          <w:color w:val="auto"/>
          <w:sz w:val="28"/>
          <w:szCs w:val="28"/>
          <w:highlight w:val="none"/>
        </w:rPr>
      </w:pPr>
      <w:r>
        <w:rPr>
          <w:color w:val="auto"/>
          <w:sz w:val="24"/>
          <w:highlight w:val="none"/>
        </w:rPr>
        <w:br w:type="page"/>
      </w:r>
      <w:r>
        <w:rPr>
          <w:rFonts w:hint="eastAsia" w:ascii="宋体" w:hAnsi="宋体" w:cs="宋体"/>
          <w:b/>
          <w:color w:val="auto"/>
          <w:sz w:val="28"/>
          <w:szCs w:val="28"/>
          <w:highlight w:val="none"/>
        </w:rPr>
        <w:t>2.</w:t>
      </w:r>
      <w:r>
        <w:rPr>
          <w:rFonts w:hint="eastAsia" w:ascii="宋体" w:hAnsi="宋体" w:cs="宋体"/>
          <w:b/>
          <w:bCs/>
          <w:color w:val="auto"/>
          <w:sz w:val="28"/>
          <w:szCs w:val="28"/>
          <w:highlight w:val="none"/>
        </w:rPr>
        <w:t>报价文件目录</w:t>
      </w:r>
    </w:p>
    <w:p>
      <w:pPr>
        <w:snapToGrid w:val="0"/>
        <w:spacing w:before="50" w:after="120" w:afterLines="50" w:line="360" w:lineRule="auto"/>
        <w:jc w:val="left"/>
        <w:rPr>
          <w:rFonts w:hint="eastAsia" w:ascii="宋体" w:hAnsi="宋体" w:cs="宋体"/>
          <w:b/>
          <w:color w:val="auto"/>
          <w:sz w:val="28"/>
          <w:szCs w:val="28"/>
          <w:highlight w:val="none"/>
        </w:rPr>
      </w:pPr>
      <w:r>
        <w:rPr>
          <w:rFonts w:hint="eastAsia" w:ascii="宋体" w:hAnsi="宋体" w:cs="宋体"/>
          <w:color w:val="auto"/>
          <w:sz w:val="28"/>
          <w:szCs w:val="28"/>
          <w:highlight w:val="none"/>
        </w:rPr>
        <w:t>根据竞争性磋商文件规定及供应商提供的材料自行编写目录</w:t>
      </w:r>
      <w:r>
        <w:rPr>
          <w:rFonts w:hint="eastAsia" w:ascii="宋体" w:hAnsi="宋体" w:cs="宋体"/>
          <w:color w:val="auto"/>
          <w:kern w:val="0"/>
          <w:sz w:val="28"/>
          <w:szCs w:val="28"/>
          <w:highlight w:val="none"/>
        </w:rPr>
        <w:t>（部分格式后附）</w:t>
      </w:r>
      <w:r>
        <w:rPr>
          <w:rFonts w:hint="eastAsia" w:ascii="宋体" w:hAnsi="宋体" w:cs="宋体"/>
          <w:color w:val="auto"/>
          <w:sz w:val="28"/>
          <w:szCs w:val="28"/>
          <w:highlight w:val="none"/>
        </w:rPr>
        <w:t>。</w:t>
      </w:r>
    </w:p>
    <w:p>
      <w:pPr>
        <w:spacing w:line="360" w:lineRule="auto"/>
        <w:rPr>
          <w:rFonts w:hint="eastAsia" w:ascii="仿宋_GB2312" w:hAnsi="仿宋" w:eastAsia="仿宋_GB2312" w:cs="仿宋_GB2312"/>
          <w:color w:val="auto"/>
          <w:sz w:val="24"/>
          <w:highlight w:val="none"/>
        </w:rPr>
      </w:pPr>
    </w:p>
    <w:p>
      <w:pPr>
        <w:snapToGrid w:val="0"/>
        <w:spacing w:before="120" w:beforeLines="50" w:after="50" w:line="360" w:lineRule="auto"/>
        <w:ind w:left="142" w:firstLine="640" w:firstLineChars="200"/>
        <w:jc w:val="left"/>
        <w:rPr>
          <w:rFonts w:hint="eastAsia" w:ascii="仿宋_GB2312" w:hAnsi="仿宋_GB2312" w:eastAsia="仿宋_GB2312" w:cs="仿宋_GB2312"/>
          <w:color w:val="auto"/>
          <w:sz w:val="32"/>
          <w:szCs w:val="32"/>
          <w:highlight w:val="none"/>
        </w:rPr>
      </w:pPr>
    </w:p>
    <w:p>
      <w:pPr>
        <w:snapToGrid w:val="0"/>
        <w:spacing w:before="120" w:beforeLines="50" w:after="50" w:line="360" w:lineRule="auto"/>
        <w:jc w:val="left"/>
        <w:rPr>
          <w:rFonts w:ascii="Calibri" w:cs="仿宋_GB2312"/>
          <w:color w:val="auto"/>
          <w:sz w:val="24"/>
          <w:highlight w:val="none"/>
        </w:rPr>
      </w:pPr>
      <w:r>
        <w:rPr>
          <w:rFonts w:ascii="Calibri" w:cs="仿宋_GB2312"/>
          <w:color w:val="auto"/>
          <w:sz w:val="24"/>
          <w:highlight w:val="none"/>
        </w:rPr>
        <w:br w:type="page"/>
      </w:r>
      <w:r>
        <w:rPr>
          <w:rFonts w:hint="eastAsia" w:ascii="宋体" w:hAnsi="宋体" w:cs="宋体"/>
          <w:b/>
          <w:color w:val="auto"/>
          <w:sz w:val="28"/>
          <w:szCs w:val="28"/>
          <w:highlight w:val="none"/>
        </w:rPr>
        <w:t>3.</w:t>
      </w:r>
      <w:r>
        <w:rPr>
          <w:rFonts w:hint="eastAsia" w:ascii="宋体" w:hAnsi="宋体" w:cs="宋体"/>
          <w:b/>
          <w:color w:val="auto"/>
          <w:sz w:val="28"/>
          <w:szCs w:val="28"/>
          <w:highlight w:val="none"/>
          <w:lang w:val="zh-CN"/>
        </w:rPr>
        <w:t>响应函的格式：</w:t>
      </w:r>
    </w:p>
    <w:p>
      <w:pPr>
        <w:spacing w:line="500" w:lineRule="exact"/>
        <w:jc w:val="center"/>
        <w:rPr>
          <w:b/>
          <w:bCs/>
          <w:color w:val="auto"/>
          <w:kern w:val="0"/>
          <w:sz w:val="30"/>
          <w:szCs w:val="30"/>
          <w:highlight w:val="none"/>
        </w:rPr>
      </w:pPr>
      <w:r>
        <w:rPr>
          <w:rFonts w:hint="eastAsia"/>
          <w:b/>
          <w:bCs/>
          <w:color w:val="auto"/>
          <w:kern w:val="0"/>
          <w:sz w:val="30"/>
          <w:szCs w:val="30"/>
          <w:highlight w:val="none"/>
        </w:rPr>
        <w:t>响应函</w:t>
      </w:r>
    </w:p>
    <w:p>
      <w:pPr>
        <w:spacing w:line="460" w:lineRule="exact"/>
        <w:rPr>
          <w:color w:val="auto"/>
          <w:kern w:val="0"/>
          <w:sz w:val="24"/>
          <w:highlight w:val="none"/>
        </w:rPr>
      </w:pPr>
    </w:p>
    <w:p>
      <w:pPr>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（采购代理机构名称）</w:t>
      </w:r>
    </w:p>
    <w:p>
      <w:pPr>
        <w:spacing w:line="460" w:lineRule="exact"/>
        <w:ind w:firstLine="480" w:firstLineChars="200"/>
        <w:rPr>
          <w:rFonts w:hint="eastAsia" w:ascii="宋体" w:hAnsi="宋体" w:cs="宋体"/>
          <w:color w:val="auto"/>
          <w:kern w:val="0"/>
          <w:sz w:val="24"/>
          <w:highlight w:val="none"/>
        </w:rPr>
      </w:pPr>
    </w:p>
    <w:p>
      <w:pPr>
        <w:spacing w:line="4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我方已仔细阅读了贵方组织的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项目（项目编号：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）的竞争性磋商文件的全部内容，现正式递交下述文件参加贵方组织的本次政府采购活动： </w:t>
      </w:r>
    </w:p>
    <w:p>
      <w:pPr>
        <w:spacing w:line="4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一、首次报价文件电子版（包含按“第三章 供应商须知”提交的全部文件）；</w:t>
      </w:r>
    </w:p>
    <w:p>
      <w:pPr>
        <w:spacing w:line="4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二、技术文件电子版（包含按“第三章 供应商须知”提交的全部文件）；商务文件电子版（包含按“第三章 供应商须知”提交的全部文件）；</w:t>
      </w:r>
    </w:p>
    <w:p>
      <w:pPr>
        <w:spacing w:line="4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三、资格证明文件电子版（包含按“第三章供应商须知”提交的全部文件）。</w:t>
      </w:r>
    </w:p>
    <w:p>
      <w:pPr>
        <w:spacing w:line="4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据此函，</w:t>
      </w:r>
      <w:r>
        <w:rPr>
          <w:rFonts w:hint="eastAsia" w:ascii="宋体" w:hAnsi="宋体" w:cs="宋体"/>
          <w:color w:val="auto"/>
          <w:kern w:val="0"/>
          <w:sz w:val="24"/>
          <w:highlight w:val="none"/>
          <w:lang w:val="en-US" w:eastAsia="zh-CN"/>
        </w:rPr>
        <w:t>我方</w:t>
      </w:r>
      <w:r>
        <w:rPr>
          <w:rFonts w:hint="eastAsia" w:ascii="宋体" w:hAnsi="宋体" w:cs="宋体"/>
          <w:color w:val="auto"/>
          <w:kern w:val="0"/>
          <w:sz w:val="24"/>
          <w:highlight w:val="none"/>
        </w:rPr>
        <w:t>兹宣布：</w:t>
      </w:r>
    </w:p>
    <w:p>
      <w:pPr>
        <w:spacing w:line="460" w:lineRule="exact"/>
        <w:ind w:firstLine="482"/>
        <w:rPr>
          <w:rFonts w:hint="eastAsia" w:ascii="宋体" w:hAnsi="宋体" w:cs="宋体"/>
          <w:color w:val="auto"/>
          <w:kern w:val="0"/>
          <w:sz w:val="24"/>
          <w:highlight w:val="none"/>
        </w:rPr>
      </w:pPr>
      <w:r>
        <w:rPr>
          <w:rFonts w:hint="eastAsia" w:ascii="宋体" w:hAnsi="宋体" w:cs="宋体"/>
          <w:color w:val="auto"/>
          <w:kern w:val="0"/>
          <w:sz w:val="24"/>
          <w:highlight w:val="none"/>
        </w:rPr>
        <w:t>1、我方愿意以磋商时</w:t>
      </w:r>
      <w:r>
        <w:rPr>
          <w:rFonts w:hint="eastAsia" w:hAnsi="宋体" w:cs="宋体"/>
          <w:color w:val="auto"/>
          <w:sz w:val="24"/>
          <w:highlight w:val="none"/>
        </w:rPr>
        <w:t>提交的最后报价表中的竞标总</w:t>
      </w:r>
      <w:r>
        <w:rPr>
          <w:rFonts w:hint="eastAsia" w:ascii="宋体" w:hAnsi="宋体" w:cs="宋体"/>
          <w:color w:val="auto"/>
          <w:sz w:val="24"/>
          <w:highlight w:val="none"/>
        </w:rPr>
        <w:t>报价</w:t>
      </w:r>
      <w:r>
        <w:rPr>
          <w:rFonts w:hint="eastAsia" w:hAnsi="宋体" w:cs="宋体"/>
          <w:color w:val="auto"/>
          <w:sz w:val="24"/>
          <w:highlight w:val="none"/>
        </w:rPr>
        <w:t>，在承诺的</w:t>
      </w:r>
      <w:r>
        <w:rPr>
          <w:rFonts w:hint="eastAsia" w:ascii="宋体" w:hAnsi="宋体" w:cs="宋体"/>
          <w:color w:val="auto"/>
          <w:kern w:val="0"/>
          <w:sz w:val="24"/>
          <w:highlight w:val="none"/>
        </w:rPr>
        <w:t>服务期限</w:t>
      </w:r>
      <w:r>
        <w:rPr>
          <w:rFonts w:hint="eastAsia" w:hAnsi="宋体" w:cs="宋体"/>
          <w:color w:val="auto"/>
          <w:sz w:val="24"/>
          <w:highlight w:val="none"/>
        </w:rPr>
        <w:t>内</w:t>
      </w:r>
      <w:r>
        <w:rPr>
          <w:rFonts w:hint="eastAsia" w:ascii="宋体" w:hAnsi="宋体" w:cs="宋体"/>
          <w:color w:val="auto"/>
          <w:kern w:val="0"/>
          <w:sz w:val="24"/>
          <w:highlight w:val="none"/>
        </w:rPr>
        <w:t>提供本项目竞争性磋商文件第二章“采购需求”中相应的采购内容</w:t>
      </w:r>
      <w:r>
        <w:rPr>
          <w:rFonts w:hint="eastAsia" w:hAnsi="宋体" w:cs="宋体"/>
          <w:color w:val="auto"/>
          <w:sz w:val="24"/>
          <w:highlight w:val="none"/>
        </w:rPr>
        <w:t>，具体详见最后报价表</w:t>
      </w:r>
      <w:r>
        <w:rPr>
          <w:rFonts w:hint="eastAsia" w:ascii="宋体" w:hAnsi="宋体" w:cs="宋体"/>
          <w:color w:val="auto"/>
          <w:kern w:val="0"/>
          <w:sz w:val="24"/>
          <w:highlight w:val="none"/>
        </w:rPr>
        <w:t>。</w:t>
      </w:r>
    </w:p>
    <w:p>
      <w:pPr>
        <w:spacing w:line="460" w:lineRule="exact"/>
        <w:ind w:firstLine="482"/>
        <w:rPr>
          <w:rFonts w:hint="eastAsia" w:ascii="宋体" w:hAnsi="宋体" w:cs="宋体"/>
          <w:color w:val="auto"/>
          <w:kern w:val="0"/>
          <w:sz w:val="24"/>
          <w:highlight w:val="none"/>
        </w:rPr>
      </w:pPr>
      <w:r>
        <w:rPr>
          <w:rFonts w:hint="eastAsia" w:ascii="宋体" w:hAnsi="宋体" w:cs="宋体"/>
          <w:color w:val="auto"/>
          <w:kern w:val="0"/>
          <w:sz w:val="24"/>
          <w:highlight w:val="none"/>
        </w:rPr>
        <w:t>2、我方同意自本项目竞争性磋商文件采购公告规定的提交响应文件截止时间起遵循本响应函，并承诺在“第三章 供应商须知”规定的竞标有效期内不修改、撤销响应文件。</w:t>
      </w:r>
    </w:p>
    <w:p>
      <w:pPr>
        <w:spacing w:line="460" w:lineRule="exact"/>
        <w:ind w:firstLine="482"/>
        <w:rPr>
          <w:rFonts w:hint="eastAsia" w:ascii="宋体" w:hAnsi="宋体" w:cs="宋体"/>
          <w:color w:val="auto"/>
          <w:kern w:val="0"/>
          <w:sz w:val="24"/>
          <w:highlight w:val="none"/>
        </w:rPr>
      </w:pPr>
      <w:r>
        <w:rPr>
          <w:rFonts w:hint="eastAsia" w:ascii="宋体" w:hAnsi="宋体" w:cs="宋体"/>
          <w:color w:val="auto"/>
          <w:kern w:val="0"/>
          <w:sz w:val="24"/>
          <w:highlight w:val="none"/>
        </w:rPr>
        <w:t>3、我方在此声明，所递交的响应文件及有关资料内容完整、真实和准确。</w:t>
      </w:r>
    </w:p>
    <w:p>
      <w:pPr>
        <w:spacing w:line="460" w:lineRule="exact"/>
        <w:ind w:firstLine="482"/>
        <w:rPr>
          <w:rFonts w:hint="eastAsia" w:ascii="宋体" w:hAnsi="宋体" w:cs="宋体"/>
          <w:color w:val="auto"/>
          <w:kern w:val="0"/>
          <w:sz w:val="24"/>
          <w:highlight w:val="none"/>
        </w:rPr>
      </w:pPr>
      <w:r>
        <w:rPr>
          <w:rFonts w:hint="eastAsia" w:ascii="宋体" w:hAnsi="宋体" w:cs="宋体"/>
          <w:color w:val="auto"/>
          <w:kern w:val="0"/>
          <w:sz w:val="24"/>
          <w:highlight w:val="none"/>
        </w:rPr>
        <w:t>4、如本项目采购内容涉及须符合国家强制规定的，我方承诺我方本次竞标均符合国家有关强制规定。</w:t>
      </w:r>
    </w:p>
    <w:p>
      <w:pPr>
        <w:spacing w:line="460" w:lineRule="exact"/>
        <w:ind w:firstLine="482"/>
        <w:rPr>
          <w:rFonts w:hint="eastAsia" w:ascii="宋体" w:hAnsi="宋体" w:cs="宋体"/>
          <w:color w:val="auto"/>
          <w:kern w:val="0"/>
          <w:sz w:val="24"/>
          <w:highlight w:val="none"/>
        </w:rPr>
      </w:pPr>
      <w:r>
        <w:rPr>
          <w:rFonts w:hint="eastAsia" w:ascii="宋体" w:hAnsi="宋体" w:cs="宋体"/>
          <w:color w:val="auto"/>
          <w:kern w:val="0"/>
          <w:sz w:val="24"/>
          <w:highlight w:val="none"/>
        </w:rPr>
        <w:t>5、如我方成交，我方承诺在收到成交通知书后，在成交通知书规定的期限内，根据竞争性磋商文件、我方的响应文件及有关澄清承诺书的要求按第六章“合同文本”与采购人订立书面合同，并按照合同约定承担完成合同的责任和义务。</w:t>
      </w:r>
    </w:p>
    <w:p>
      <w:pPr>
        <w:spacing w:line="460" w:lineRule="exact"/>
        <w:ind w:firstLine="482"/>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、我方已详细审核竞争性磋商文件，我方知道必须放弃提出含糊不清或误解问题的权利。</w:t>
      </w:r>
    </w:p>
    <w:p>
      <w:pPr>
        <w:spacing w:line="460" w:lineRule="exact"/>
        <w:ind w:firstLine="482"/>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、我方承诺满足竞争性磋商文件第六章“合同文本”的条款，承担完成合同的责任和义务。</w:t>
      </w:r>
    </w:p>
    <w:p>
      <w:pPr>
        <w:spacing w:line="460" w:lineRule="exact"/>
        <w:ind w:firstLine="482"/>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、我方同意应贵方要求提供与本竞标有关的任何数据或资料。若贵方需要，我方愿意提供我方作出的一切承诺的证明材料。</w:t>
      </w:r>
    </w:p>
    <w:p>
      <w:pPr>
        <w:spacing w:line="460" w:lineRule="exact"/>
        <w:ind w:firstLine="482"/>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、我方完全理解贵方不一定接受响应报价最低的供应商为成交供应商的行为。</w:t>
      </w:r>
    </w:p>
    <w:p>
      <w:pPr>
        <w:spacing w:line="460" w:lineRule="exact"/>
        <w:ind w:firstLine="482"/>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3"/>
        </w:numPr>
        <w:tabs>
          <w:tab w:val="left" w:pos="945"/>
        </w:tabs>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提供虚假材料谋取中标、成交的；</w:t>
      </w:r>
    </w:p>
    <w:p>
      <w:pPr>
        <w:numPr>
          <w:ilvl w:val="0"/>
          <w:numId w:val="3"/>
        </w:numPr>
        <w:tabs>
          <w:tab w:val="left" w:pos="945"/>
        </w:tabs>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采取不正当手段诋毁、排挤其他供应商的；</w:t>
      </w:r>
    </w:p>
    <w:p>
      <w:pPr>
        <w:numPr>
          <w:ilvl w:val="0"/>
          <w:numId w:val="3"/>
        </w:numPr>
        <w:tabs>
          <w:tab w:val="left" w:pos="945"/>
        </w:tabs>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与采购人、其他供应商或者采购代理机构恶意串通的；</w:t>
      </w:r>
    </w:p>
    <w:p>
      <w:pPr>
        <w:numPr>
          <w:ilvl w:val="0"/>
          <w:numId w:val="3"/>
        </w:numPr>
        <w:tabs>
          <w:tab w:val="left" w:pos="945"/>
        </w:tabs>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向采购人、采购代理机构行贿或者提供其他不正当利益的；</w:t>
      </w:r>
    </w:p>
    <w:p>
      <w:pPr>
        <w:numPr>
          <w:ilvl w:val="0"/>
          <w:numId w:val="3"/>
        </w:numPr>
        <w:tabs>
          <w:tab w:val="left" w:pos="945"/>
        </w:tabs>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在采购过程中与采购人进行协商磋商的；</w:t>
      </w:r>
    </w:p>
    <w:p>
      <w:pPr>
        <w:numPr>
          <w:ilvl w:val="0"/>
          <w:numId w:val="3"/>
        </w:numPr>
        <w:tabs>
          <w:tab w:val="left" w:pos="945"/>
        </w:tabs>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拒绝有关部门监督检查或提供虚假情况的。</w:t>
      </w:r>
    </w:p>
    <w:p>
      <w:pPr>
        <w:spacing w:line="460" w:lineRule="exact"/>
        <w:ind w:firstLine="42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1</w:t>
      </w:r>
      <w:r>
        <w:rPr>
          <w:rFonts w:hint="eastAsia" w:ascii="宋体" w:hAnsi="宋体" w:cs="宋体"/>
          <w:b/>
          <w:bCs/>
          <w:color w:val="auto"/>
          <w:kern w:val="0"/>
          <w:sz w:val="24"/>
          <w:highlight w:val="none"/>
          <w:lang w:val="en-US" w:eastAsia="zh-CN"/>
        </w:rPr>
        <w:t>1</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rPr>
        <w:t>以上事项如有虚假或者隐瞒，我方愿意承担一切后果，并不再寻求任何旨在减轻或者免除法律责任的辩解。</w:t>
      </w:r>
    </w:p>
    <w:p>
      <w:pPr>
        <w:spacing w:line="460" w:lineRule="exact"/>
        <w:ind w:firstLine="420"/>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12、</w:t>
      </w:r>
      <w:r>
        <w:rPr>
          <w:rFonts w:hint="eastAsia" w:ascii="宋体" w:hAnsi="宋体" w:cs="宋体"/>
          <w:b/>
          <w:bCs/>
          <w:color w:val="auto"/>
          <w:kern w:val="0"/>
          <w:sz w:val="24"/>
          <w:highlight w:val="none"/>
        </w:rPr>
        <w:t xml:space="preserve">与本磋商有关的一切正式往来信函请寄： </w:t>
      </w:r>
    </w:p>
    <w:p>
      <w:pPr>
        <w:spacing w:line="460" w:lineRule="exact"/>
        <w:ind w:firstLine="420"/>
        <w:rPr>
          <w:rFonts w:hint="eastAsia" w:ascii="宋体" w:hAnsi="宋体" w:cs="宋体"/>
          <w:color w:val="auto"/>
          <w:kern w:val="0"/>
          <w:sz w:val="24"/>
          <w:highlight w:val="non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pPr>
        <w:spacing w:line="460" w:lineRule="exact"/>
        <w:ind w:firstLine="42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电话：</w:t>
      </w:r>
      <w:r>
        <w:rPr>
          <w:rFonts w:hint="eastAsia" w:ascii="宋体" w:hAnsi="宋体" w:cs="宋体"/>
          <w:color w:val="auto"/>
          <w:kern w:val="0"/>
          <w:sz w:val="24"/>
          <w:highlight w:val="none"/>
          <w:u w:val="single"/>
        </w:rPr>
        <w:t xml:space="preserve">                                      　　　　　　　　　</w:t>
      </w:r>
    </w:p>
    <w:p>
      <w:pPr>
        <w:spacing w:line="460" w:lineRule="exact"/>
        <w:ind w:firstLine="42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传真：</w:t>
      </w:r>
      <w:r>
        <w:rPr>
          <w:rFonts w:hint="eastAsia" w:ascii="宋体" w:hAnsi="宋体" w:cs="宋体"/>
          <w:color w:val="auto"/>
          <w:kern w:val="0"/>
          <w:sz w:val="24"/>
          <w:highlight w:val="none"/>
          <w:u w:val="single"/>
        </w:rPr>
        <w:t>　　　　　　　　　　　　　　　　　　　　　　　　　　　　</w:t>
      </w:r>
    </w:p>
    <w:p>
      <w:pPr>
        <w:spacing w:line="460" w:lineRule="exact"/>
        <w:ind w:firstLine="420"/>
        <w:rPr>
          <w:rFonts w:hint="eastAsia" w:ascii="宋体" w:hAnsi="宋体" w:cs="宋体"/>
          <w:color w:val="auto"/>
          <w:sz w:val="24"/>
          <w:highlight w:val="none"/>
        </w:rPr>
      </w:pPr>
      <w:r>
        <w:rPr>
          <w:rFonts w:hint="eastAsia" w:ascii="宋体" w:hAnsi="宋体" w:cs="宋体"/>
          <w:color w:val="auto"/>
          <w:kern w:val="0"/>
          <w:sz w:val="24"/>
          <w:highlight w:val="none"/>
        </w:rPr>
        <w:t>电子邮箱：</w:t>
      </w:r>
      <w:r>
        <w:rPr>
          <w:rFonts w:hint="eastAsia" w:ascii="宋体" w:hAnsi="宋体" w:cs="宋体"/>
          <w:color w:val="auto"/>
          <w:kern w:val="0"/>
          <w:sz w:val="24"/>
          <w:highlight w:val="none"/>
          <w:u w:val="single"/>
        </w:rPr>
        <w:t>　　　　　　　　　　　　　　　　　　　　　　　　　　</w:t>
      </w:r>
    </w:p>
    <w:p>
      <w:pPr>
        <w:spacing w:line="460" w:lineRule="exact"/>
        <w:ind w:firstLine="42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邮政编码：</w:t>
      </w:r>
      <w:r>
        <w:rPr>
          <w:rFonts w:hint="eastAsia" w:ascii="宋体" w:hAnsi="宋体" w:cs="宋体"/>
          <w:color w:val="auto"/>
          <w:kern w:val="0"/>
          <w:sz w:val="24"/>
          <w:highlight w:val="none"/>
          <w:u w:val="single"/>
        </w:rPr>
        <w:t xml:space="preserve">                                                    </w:t>
      </w:r>
    </w:p>
    <w:p>
      <w:pPr>
        <w:spacing w:line="460" w:lineRule="exact"/>
        <w:ind w:firstLine="42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开户名称：</w:t>
      </w:r>
      <w:r>
        <w:rPr>
          <w:rFonts w:hint="eastAsia" w:ascii="宋体" w:hAnsi="宋体" w:cs="宋体"/>
          <w:color w:val="auto"/>
          <w:kern w:val="0"/>
          <w:sz w:val="24"/>
          <w:highlight w:val="none"/>
          <w:u w:val="single"/>
        </w:rPr>
        <w:t xml:space="preserve">                                                    </w:t>
      </w:r>
    </w:p>
    <w:p>
      <w:pPr>
        <w:spacing w:line="460" w:lineRule="exact"/>
        <w:ind w:firstLine="42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开户银行：</w:t>
      </w:r>
      <w:r>
        <w:rPr>
          <w:rFonts w:hint="eastAsia" w:ascii="宋体" w:hAnsi="宋体" w:cs="宋体"/>
          <w:color w:val="auto"/>
          <w:kern w:val="0"/>
          <w:sz w:val="24"/>
          <w:highlight w:val="none"/>
          <w:u w:val="single"/>
        </w:rPr>
        <w:t xml:space="preserve">                                                    </w:t>
      </w:r>
    </w:p>
    <w:p>
      <w:pPr>
        <w:spacing w:line="460" w:lineRule="exact"/>
        <w:ind w:firstLine="42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银行账号：</w:t>
      </w:r>
      <w:r>
        <w:rPr>
          <w:rFonts w:hint="eastAsia" w:ascii="宋体" w:hAnsi="宋体" w:cs="宋体"/>
          <w:color w:val="auto"/>
          <w:kern w:val="0"/>
          <w:sz w:val="24"/>
          <w:highlight w:val="none"/>
          <w:u w:val="single"/>
        </w:rPr>
        <w:t xml:space="preserve">                                                    </w:t>
      </w:r>
    </w:p>
    <w:p>
      <w:pPr>
        <w:pStyle w:val="19"/>
        <w:tabs>
          <w:tab w:val="left" w:pos="939"/>
        </w:tabs>
        <w:spacing w:line="460" w:lineRule="exact"/>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特此承诺。</w:t>
      </w:r>
    </w:p>
    <w:p>
      <w:pPr>
        <w:spacing w:line="360" w:lineRule="auto"/>
        <w:contextualSpacing/>
        <w:jc w:val="left"/>
        <w:rPr>
          <w:rFonts w:hint="eastAsia" w:ascii="宋体" w:hAnsi="宋体" w:cs="宋体"/>
          <w:color w:val="auto"/>
          <w:szCs w:val="21"/>
          <w:highlight w:val="none"/>
        </w:rPr>
      </w:pPr>
    </w:p>
    <w:p>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供应商名称（盖公章）：</w:t>
      </w:r>
    </w:p>
    <w:p>
      <w:pPr>
        <w:autoSpaceDE w:val="0"/>
        <w:autoSpaceDN w:val="0"/>
        <w:spacing w:line="360" w:lineRule="auto"/>
        <w:ind w:firstLine="6480" w:firstLineChars="27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500" w:lineRule="exact"/>
        <w:rPr>
          <w:rFonts w:hint="eastAsia" w:ascii="宋体" w:hAnsi="宋体" w:cs="宋体"/>
          <w:b/>
          <w:color w:val="auto"/>
          <w:sz w:val="28"/>
          <w:szCs w:val="28"/>
          <w:highlight w:val="none"/>
        </w:rPr>
      </w:pPr>
    </w:p>
    <w:p>
      <w:pPr>
        <w:spacing w:line="500" w:lineRule="exact"/>
        <w:rPr>
          <w:rFonts w:hint="eastAsia" w:ascii="仿宋" w:hAnsi="仿宋" w:eastAsia="仿宋" w:cs="仿宋_GB2312"/>
          <w:b/>
          <w:color w:val="auto"/>
          <w:sz w:val="30"/>
          <w:szCs w:val="30"/>
          <w:highlight w:val="none"/>
          <w:lang w:val="zh-CN"/>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4.</w:t>
      </w:r>
      <w:r>
        <w:rPr>
          <w:rFonts w:hint="eastAsia" w:ascii="宋体" w:hAnsi="宋体" w:cs="宋体"/>
          <w:b/>
          <w:color w:val="auto"/>
          <w:sz w:val="28"/>
          <w:szCs w:val="28"/>
          <w:highlight w:val="none"/>
          <w:lang w:val="zh-CN"/>
        </w:rPr>
        <w:t>响应报价表的格式：</w:t>
      </w:r>
      <w:r>
        <w:rPr>
          <w:rFonts w:hint="eastAsia" w:ascii="仿宋" w:hAnsi="仿宋" w:eastAsia="仿宋" w:cs="仿宋_GB2312"/>
          <w:b/>
          <w:color w:val="auto"/>
          <w:sz w:val="30"/>
          <w:szCs w:val="30"/>
          <w:highlight w:val="none"/>
          <w:lang w:val="zh-CN"/>
        </w:rPr>
        <w:t xml:space="preserve"> </w:t>
      </w:r>
    </w:p>
    <w:p>
      <w:pPr>
        <w:spacing w:line="520" w:lineRule="exact"/>
        <w:jc w:val="center"/>
        <w:rPr>
          <w:rFonts w:hint="eastAsia"/>
          <w:b/>
          <w:bCs/>
          <w:color w:val="auto"/>
          <w:sz w:val="32"/>
          <w:szCs w:val="32"/>
          <w:highlight w:val="none"/>
        </w:rPr>
      </w:pPr>
      <w:r>
        <w:rPr>
          <w:rFonts w:hint="eastAsia"/>
          <w:b/>
          <w:bCs/>
          <w:color w:val="auto"/>
          <w:sz w:val="32"/>
          <w:szCs w:val="32"/>
          <w:highlight w:val="none"/>
        </w:rPr>
        <w:t>响应报价表</w:t>
      </w:r>
    </w:p>
    <w:p>
      <w:pPr>
        <w:snapToGrid w:val="0"/>
        <w:spacing w:before="50" w:after="50" w:line="360" w:lineRule="auto"/>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snapToGrid w:val="0"/>
        <w:spacing w:before="50" w:after="50" w:line="360" w:lineRule="auto"/>
        <w:rPr>
          <w:rFonts w:hint="eastAsia"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所竞分标（如有则填写，无分标时填写“无”或者留空）：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32"/>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065"/>
        <w:gridCol w:w="2299"/>
        <w:gridCol w:w="1492"/>
        <w:gridCol w:w="2057"/>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24"/>
                <w:highlight w:val="none"/>
              </w:rPr>
            </w:pPr>
            <w:r>
              <w:rPr>
                <w:rFonts w:hint="eastAsia" w:ascii="宋体" w:hAnsi="宋体" w:cs="宋体"/>
                <w:color w:val="auto"/>
                <w:sz w:val="24"/>
                <w:highlight w:val="none"/>
              </w:rPr>
              <w:t>序号</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标的名称</w:t>
            </w: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服务内容</w:t>
            </w:r>
          </w:p>
        </w:tc>
        <w:tc>
          <w:tcPr>
            <w:tcW w:w="14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数量及单位</w:t>
            </w: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报价</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广西壮族自治区工伤保险结余基金审计服务</w:t>
            </w: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按</w:t>
            </w:r>
            <w:r>
              <w:rPr>
                <w:rFonts w:hint="eastAsia" w:ascii="宋体" w:hAnsi="宋体" w:eastAsia="宋体" w:cs="宋体"/>
                <w:color w:val="auto"/>
                <w:sz w:val="24"/>
                <w:highlight w:val="none"/>
              </w:rPr>
              <w:t>服务需求偏离表</w:t>
            </w:r>
            <w:r>
              <w:rPr>
                <w:rFonts w:hint="eastAsia" w:ascii="宋体" w:hAnsi="宋体" w:eastAsia="宋体" w:cs="宋体"/>
                <w:color w:val="auto"/>
                <w:sz w:val="24"/>
                <w:highlight w:val="none"/>
                <w:lang w:val="en-US" w:eastAsia="zh-CN"/>
              </w:rPr>
              <w:t>中</w:t>
            </w:r>
            <w:r>
              <w:rPr>
                <w:rFonts w:hint="eastAsia" w:ascii="宋体" w:hAnsi="宋体" w:eastAsia="宋体" w:cs="宋体"/>
                <w:color w:val="auto"/>
                <w:sz w:val="24"/>
                <w:highlight w:val="none"/>
              </w:rPr>
              <w:t>响应文件响应的</w:t>
            </w:r>
            <w:r>
              <w:rPr>
                <w:rFonts w:hint="eastAsia" w:ascii="宋体" w:hAnsi="宋体" w:eastAsia="宋体" w:cs="宋体"/>
                <w:color w:val="auto"/>
                <w:sz w:val="24"/>
                <w:highlight w:val="none"/>
                <w:lang w:eastAsia="zh-CN"/>
              </w:rPr>
              <w:t>技术要求</w:t>
            </w:r>
            <w:r>
              <w:rPr>
                <w:rFonts w:hint="eastAsia" w:ascii="宋体" w:hAnsi="宋体" w:eastAsia="宋体" w:cs="宋体"/>
                <w:color w:val="auto"/>
                <w:sz w:val="24"/>
                <w:highlight w:val="none"/>
                <w:lang w:val="en-US" w:eastAsia="zh-CN"/>
              </w:rPr>
              <w:t>提供服务</w:t>
            </w:r>
          </w:p>
        </w:tc>
        <w:tc>
          <w:tcPr>
            <w:tcW w:w="14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1项</w:t>
            </w:r>
          </w:p>
        </w:tc>
        <w:tc>
          <w:tcPr>
            <w:tcW w:w="205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24"/>
                <w:highlight w:val="none"/>
              </w:rPr>
            </w:pPr>
          </w:p>
        </w:tc>
        <w:tc>
          <w:tcPr>
            <w:tcW w:w="110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33"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项目完成时间：</w:t>
            </w:r>
          </w:p>
        </w:tc>
      </w:tr>
    </w:tbl>
    <w:p>
      <w:pPr>
        <w:snapToGrid w:val="0"/>
        <w:spacing w:before="50" w:after="50" w:line="360" w:lineRule="auto"/>
        <w:ind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注： </w:t>
      </w:r>
    </w:p>
    <w:p>
      <w:pPr>
        <w:snapToGrid w:val="0"/>
        <w:spacing w:before="50" w:after="50"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1、供应商需按本表格式填写，不得自行更改，也不得留空（</w:t>
      </w:r>
      <w:r>
        <w:rPr>
          <w:rFonts w:hint="eastAsia" w:ascii="宋体" w:hAnsi="宋体" w:cs="宋体"/>
          <w:color w:val="auto"/>
          <w:sz w:val="24"/>
          <w:highlight w:val="none"/>
        </w:rPr>
        <w:t>备注除外</w:t>
      </w:r>
      <w:r>
        <w:rPr>
          <w:rFonts w:hint="eastAsia" w:ascii="宋体" w:hAnsi="宋体" w:cs="宋体"/>
          <w:color w:val="auto"/>
          <w:kern w:val="0"/>
          <w:sz w:val="24"/>
          <w:highlight w:val="none"/>
          <w:lang w:val="zh-CN"/>
        </w:rPr>
        <w:t>）, 如有多分标，按分标分别提供响应报价表，</w:t>
      </w:r>
      <w:r>
        <w:rPr>
          <w:rFonts w:hint="eastAsia" w:ascii="宋体" w:hAnsi="宋体" w:cs="宋体"/>
          <w:b/>
          <w:color w:val="auto"/>
          <w:kern w:val="0"/>
          <w:sz w:val="24"/>
          <w:highlight w:val="none"/>
          <w:lang w:val="zh-CN"/>
        </w:rPr>
        <w:t>否则其响应按无效响应处理。</w:t>
      </w:r>
    </w:p>
    <w:p>
      <w:pPr>
        <w:snapToGrid w:val="0"/>
        <w:spacing w:before="50" w:after="50" w:line="360" w:lineRule="auto"/>
        <w:ind w:firstLine="480" w:firstLineChars="200"/>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2、如为联合体响应的，“供应商名称”处必须列明联合体各方名称，并标注联合体牵头人名称，且盖章处须加盖联合体各方公章，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否则其响应按无效响应处理。</w:t>
      </w:r>
    </w:p>
    <w:p>
      <w:pPr>
        <w:snapToGrid w:val="0"/>
        <w:spacing w:before="50" w:after="50" w:line="360" w:lineRule="auto"/>
        <w:ind w:firstLine="480" w:firstLineChars="200"/>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3、</w:t>
      </w:r>
      <w:r>
        <w:rPr>
          <w:rFonts w:hint="eastAsia" w:ascii="宋体" w:hAnsi="宋体" w:cs="宋体"/>
          <w:color w:val="auto"/>
          <w:kern w:val="0"/>
          <w:sz w:val="24"/>
          <w:highlight w:val="none"/>
        </w:rPr>
        <w:t>请</w:t>
      </w:r>
      <w:r>
        <w:rPr>
          <w:rFonts w:hint="eastAsia" w:ascii="宋体" w:hAnsi="宋体" w:cs="宋体"/>
          <w:color w:val="auto"/>
          <w:sz w:val="24"/>
          <w:highlight w:val="none"/>
        </w:rPr>
        <w:t>根据所竞</w:t>
      </w:r>
      <w:r>
        <w:rPr>
          <w:rFonts w:hint="eastAsia" w:hAnsi="宋体" w:cs="宋体"/>
          <w:color w:val="auto"/>
          <w:sz w:val="24"/>
          <w:highlight w:val="none"/>
        </w:rPr>
        <w:t>服务内容</w:t>
      </w:r>
      <w:r>
        <w:rPr>
          <w:rFonts w:hint="eastAsia" w:ascii="宋体" w:hAnsi="宋体" w:cs="宋体"/>
          <w:color w:val="auto"/>
          <w:sz w:val="24"/>
          <w:highlight w:val="none"/>
        </w:rPr>
        <w:t>，逐条对应本项目竞争性磋商文件“第二章 采购需求”中“</w:t>
      </w:r>
      <w:r>
        <w:rPr>
          <w:rFonts w:hint="eastAsia" w:ascii="宋体" w:hAnsi="宋体" w:cs="宋体"/>
          <w:color w:val="auto"/>
          <w:sz w:val="24"/>
          <w:highlight w:val="none"/>
          <w:lang w:eastAsia="zh-CN"/>
        </w:rPr>
        <w:t>技术要求</w:t>
      </w:r>
      <w:r>
        <w:rPr>
          <w:rFonts w:hint="eastAsia" w:ascii="宋体" w:hAnsi="宋体" w:cs="宋体"/>
          <w:color w:val="auto"/>
          <w:sz w:val="24"/>
          <w:highlight w:val="none"/>
        </w:rPr>
        <w:t>”的</w:t>
      </w:r>
      <w:r>
        <w:rPr>
          <w:rFonts w:hint="eastAsia" w:hAnsi="宋体" w:cs="宋体"/>
          <w:color w:val="auto"/>
          <w:sz w:val="24"/>
          <w:highlight w:val="none"/>
        </w:rPr>
        <w:t>内容</w:t>
      </w:r>
      <w:r>
        <w:rPr>
          <w:rFonts w:hint="eastAsia" w:ascii="宋体" w:hAnsi="宋体" w:cs="宋体"/>
          <w:color w:val="auto"/>
          <w:sz w:val="24"/>
          <w:highlight w:val="none"/>
        </w:rPr>
        <w:t>详细填写相应的具体内容。</w:t>
      </w:r>
    </w:p>
    <w:p>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4、特别提示：采购代理机构将对项目名称和项目编号，成交供应商名称、地址和成交金额，主要成交标的的名称、服务范围、服务要求、服务时间、服务标准等予以公示。</w:t>
      </w:r>
    </w:p>
    <w:p>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5、符合采购文件中列明的可享受中小企业扶持政策的供应商，请填写中小企业声明函。</w:t>
      </w:r>
    </w:p>
    <w:p>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6、</w:t>
      </w:r>
      <w:r>
        <w:rPr>
          <w:rFonts w:hint="eastAsia" w:ascii="宋体" w:hAnsi="宋体" w:cs="宋体"/>
          <w:color w:val="auto"/>
          <w:kern w:val="0"/>
          <w:sz w:val="24"/>
          <w:highlight w:val="none"/>
          <w:lang w:val="zh-CN"/>
        </w:rPr>
        <w:t>供应商提供的中小企业声明函内容不实的，属于提供虚假材料谋取中标、成交，依照《中华人民共和国政府采购法》等国家有关规定追究相应责任。</w:t>
      </w:r>
    </w:p>
    <w:p>
      <w:pPr>
        <w:autoSpaceDE w:val="0"/>
        <w:autoSpaceDN w:val="0"/>
        <w:spacing w:line="360" w:lineRule="auto"/>
        <w:ind w:firstLine="4560" w:firstLineChars="1900"/>
        <w:rPr>
          <w:rFonts w:hint="eastAsia" w:ascii="宋体" w:hAnsi="宋体" w:cs="宋体"/>
          <w:color w:val="auto"/>
          <w:kern w:val="0"/>
          <w:sz w:val="24"/>
          <w:highlight w:val="none"/>
        </w:rPr>
      </w:pPr>
    </w:p>
    <w:p>
      <w:pPr>
        <w:autoSpaceDE w:val="0"/>
        <w:autoSpaceDN w:val="0"/>
        <w:spacing w:line="360" w:lineRule="auto"/>
        <w:ind w:firstLine="4560" w:firstLineChars="19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供应商名称（盖公章）：</w:t>
      </w:r>
    </w:p>
    <w:p>
      <w:pPr>
        <w:spacing w:line="500" w:lineRule="exact"/>
        <w:ind w:firstLine="6360" w:firstLineChars="2650"/>
        <w:rPr>
          <w:rFonts w:hint="eastAsia" w:ascii="宋体" w:hAnsi="宋体" w:cs="宋体"/>
          <w:color w:val="auto"/>
          <w:kern w:val="0"/>
          <w:sz w:val="24"/>
          <w:szCs w:val="21"/>
          <w:highlight w:val="none"/>
          <w:lang w:val="zh-CN"/>
        </w:rPr>
      </w:pPr>
      <w:r>
        <w:rPr>
          <w:rFonts w:hint="eastAsia" w:ascii="宋体" w:hAnsi="宋体" w:cs="宋体"/>
          <w:color w:val="auto"/>
          <w:kern w:val="0"/>
          <w:sz w:val="24"/>
          <w:szCs w:val="21"/>
          <w:highlight w:val="none"/>
          <w:lang w:val="zh-CN"/>
        </w:rPr>
        <w:t>日期：  年  月   日</w:t>
      </w:r>
    </w:p>
    <w:p>
      <w:pPr>
        <w:spacing w:line="500" w:lineRule="exact"/>
        <w:rPr>
          <w:rFonts w:hint="eastAsia" w:ascii="仿宋" w:hAnsi="仿宋" w:eastAsia="仿宋" w:cs="仿宋_GB2312"/>
          <w:b/>
          <w:color w:val="auto"/>
          <w:sz w:val="30"/>
          <w:szCs w:val="30"/>
          <w:highlight w:val="none"/>
          <w:lang w:val="zh-CN"/>
        </w:rPr>
      </w:pPr>
      <w:r>
        <w:rPr>
          <w:rFonts w:hint="eastAsia" w:ascii="宋体" w:hAnsi="宋体" w:cs="宋体"/>
          <w:color w:val="auto"/>
          <w:kern w:val="0"/>
          <w:sz w:val="24"/>
          <w:szCs w:val="21"/>
          <w:highlight w:val="none"/>
          <w:lang w:val="zh-CN"/>
        </w:rPr>
        <w:br w:type="page"/>
      </w:r>
      <w:r>
        <w:rPr>
          <w:rFonts w:hint="eastAsia" w:ascii="宋体" w:hAnsi="宋体" w:cs="宋体"/>
          <w:b/>
          <w:color w:val="auto"/>
          <w:sz w:val="28"/>
          <w:szCs w:val="28"/>
          <w:highlight w:val="none"/>
        </w:rPr>
        <w:t>5.</w:t>
      </w:r>
      <w:r>
        <w:rPr>
          <w:rFonts w:hint="eastAsia" w:ascii="宋体" w:hAnsi="宋体" w:cs="宋体"/>
          <w:b/>
          <w:color w:val="auto"/>
          <w:sz w:val="28"/>
          <w:szCs w:val="28"/>
          <w:highlight w:val="none"/>
          <w:lang w:val="zh-CN"/>
        </w:rPr>
        <w:t>最后报价表的格式：</w:t>
      </w:r>
      <w:r>
        <w:rPr>
          <w:rFonts w:hint="eastAsia" w:ascii="仿宋" w:hAnsi="仿宋" w:eastAsia="仿宋" w:cs="仿宋_GB2312"/>
          <w:b/>
          <w:color w:val="auto"/>
          <w:sz w:val="30"/>
          <w:szCs w:val="30"/>
          <w:highlight w:val="none"/>
          <w:lang w:val="zh-CN"/>
        </w:rPr>
        <w:t xml:space="preserve"> </w:t>
      </w:r>
    </w:p>
    <w:p>
      <w:pPr>
        <w:spacing w:line="520" w:lineRule="exact"/>
        <w:ind w:firstLine="420" w:firstLineChars="200"/>
        <w:rPr>
          <w:rFonts w:hint="eastAsia" w:ascii="Calibri" w:hAnsi="Calibri"/>
          <w:color w:val="auto"/>
          <w:highlight w:val="none"/>
        </w:rPr>
      </w:pPr>
    </w:p>
    <w:p>
      <w:pPr>
        <w:spacing w:line="520" w:lineRule="exact"/>
        <w:jc w:val="center"/>
        <w:rPr>
          <w:rFonts w:hint="eastAsia"/>
          <w:b/>
          <w:bCs/>
          <w:color w:val="auto"/>
          <w:sz w:val="32"/>
          <w:szCs w:val="32"/>
          <w:highlight w:val="none"/>
        </w:rPr>
      </w:pPr>
      <w:r>
        <w:rPr>
          <w:rFonts w:hint="eastAsia"/>
          <w:b/>
          <w:bCs/>
          <w:color w:val="auto"/>
          <w:sz w:val="32"/>
          <w:szCs w:val="32"/>
          <w:highlight w:val="none"/>
        </w:rPr>
        <w:t>最后报价表</w:t>
      </w:r>
    </w:p>
    <w:p>
      <w:pPr>
        <w:snapToGrid w:val="0"/>
        <w:spacing w:before="50" w:after="50" w:line="360" w:lineRule="auto"/>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snapToGrid w:val="0"/>
        <w:spacing w:before="50" w:after="50" w:line="360" w:lineRule="auto"/>
        <w:rPr>
          <w:rFonts w:hint="eastAsia"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pPr>
        <w:spacing w:line="360" w:lineRule="auto"/>
        <w:contextualSpacing/>
        <w:rPr>
          <w:rFonts w:hint="eastAsia" w:ascii="宋体" w:hAnsi="宋体" w:eastAsia="宋体" w:cs="宋体"/>
          <w:color w:val="auto"/>
          <w:sz w:val="24"/>
          <w:highlight w:val="none"/>
        </w:rPr>
      </w:pPr>
      <w:r>
        <w:rPr>
          <w:rFonts w:hint="eastAsia" w:ascii="宋体" w:hAnsi="宋体" w:cs="宋体"/>
          <w:color w:val="auto"/>
          <w:sz w:val="24"/>
          <w:highlight w:val="none"/>
        </w:rPr>
        <w:t>所竞分标（如有则填写，无分标时填写“无”或者留空）：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32"/>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065"/>
        <w:gridCol w:w="2299"/>
        <w:gridCol w:w="1492"/>
        <w:gridCol w:w="2057"/>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标的名称</w:t>
            </w: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服务内容</w:t>
            </w:r>
          </w:p>
        </w:tc>
        <w:tc>
          <w:tcPr>
            <w:tcW w:w="14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数量及单位</w:t>
            </w: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报价</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广西壮族自治区工伤保险结余基金审计服务</w:t>
            </w: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按</w:t>
            </w:r>
            <w:r>
              <w:rPr>
                <w:rFonts w:hint="eastAsia" w:ascii="宋体" w:hAnsi="宋体" w:eastAsia="宋体" w:cs="宋体"/>
                <w:color w:val="auto"/>
                <w:sz w:val="24"/>
                <w:highlight w:val="none"/>
              </w:rPr>
              <w:t>服务需求偏离表</w:t>
            </w:r>
            <w:r>
              <w:rPr>
                <w:rFonts w:hint="eastAsia" w:ascii="宋体" w:hAnsi="宋体" w:eastAsia="宋体" w:cs="宋体"/>
                <w:color w:val="auto"/>
                <w:sz w:val="24"/>
                <w:highlight w:val="none"/>
                <w:lang w:val="en-US" w:eastAsia="zh-CN"/>
              </w:rPr>
              <w:t>中</w:t>
            </w:r>
            <w:r>
              <w:rPr>
                <w:rFonts w:hint="eastAsia" w:ascii="宋体" w:hAnsi="宋体" w:eastAsia="宋体" w:cs="宋体"/>
                <w:color w:val="auto"/>
                <w:sz w:val="24"/>
                <w:highlight w:val="none"/>
              </w:rPr>
              <w:t>响应文件响应的</w:t>
            </w:r>
            <w:r>
              <w:rPr>
                <w:rFonts w:hint="eastAsia" w:ascii="宋体" w:hAnsi="宋体" w:eastAsia="宋体" w:cs="宋体"/>
                <w:color w:val="auto"/>
                <w:sz w:val="24"/>
                <w:highlight w:val="none"/>
                <w:lang w:eastAsia="zh-CN"/>
              </w:rPr>
              <w:t>技术要求</w:t>
            </w:r>
            <w:r>
              <w:rPr>
                <w:rFonts w:hint="eastAsia" w:ascii="宋体" w:hAnsi="宋体" w:eastAsia="宋体" w:cs="宋体"/>
                <w:color w:val="auto"/>
                <w:sz w:val="24"/>
                <w:highlight w:val="none"/>
                <w:lang w:val="en-US" w:eastAsia="zh-CN"/>
              </w:rPr>
              <w:t>提供服务</w:t>
            </w:r>
          </w:p>
        </w:tc>
        <w:tc>
          <w:tcPr>
            <w:tcW w:w="14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1项</w:t>
            </w:r>
          </w:p>
        </w:tc>
        <w:tc>
          <w:tcPr>
            <w:tcW w:w="205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highlight w:val="none"/>
              </w:rPr>
            </w:pPr>
          </w:p>
        </w:tc>
        <w:tc>
          <w:tcPr>
            <w:tcW w:w="110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33"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项目完成时间：</w:t>
            </w:r>
          </w:p>
        </w:tc>
      </w:tr>
    </w:tbl>
    <w:p>
      <w:pPr>
        <w:rPr>
          <w:rFonts w:hint="eastAsia"/>
          <w:color w:val="auto"/>
          <w:highlight w:val="none"/>
        </w:rPr>
      </w:pPr>
    </w:p>
    <w:p>
      <w:pPr>
        <w:spacing w:line="360" w:lineRule="auto"/>
        <w:contextualSpacing/>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pPr>
        <w:autoSpaceDE w:val="0"/>
        <w:autoSpaceDN w:val="0"/>
        <w:spacing w:line="360" w:lineRule="auto"/>
        <w:ind w:firstLine="4560" w:firstLineChars="1900"/>
        <w:rPr>
          <w:rFonts w:hint="eastAsia" w:ascii="宋体" w:hAnsi="宋体" w:cs="宋体"/>
          <w:color w:val="auto"/>
          <w:kern w:val="0"/>
          <w:sz w:val="24"/>
          <w:highlight w:val="none"/>
        </w:rPr>
      </w:pPr>
    </w:p>
    <w:p>
      <w:pPr>
        <w:autoSpaceDE w:val="0"/>
        <w:autoSpaceDN w:val="0"/>
        <w:spacing w:line="360" w:lineRule="auto"/>
        <w:ind w:firstLine="4560" w:firstLineChars="19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供应商名称（盖公章）：</w:t>
      </w:r>
    </w:p>
    <w:p>
      <w:pPr>
        <w:spacing w:line="500" w:lineRule="exact"/>
        <w:ind w:firstLine="6360" w:firstLineChars="2650"/>
        <w:rPr>
          <w:rFonts w:hint="eastAsia" w:ascii="宋体" w:hAnsi="宋体" w:cs="宋体"/>
          <w:color w:val="auto"/>
          <w:sz w:val="24"/>
          <w:highlight w:val="none"/>
          <w:lang w:val="zh-CN"/>
        </w:rPr>
        <w:sectPr>
          <w:pgSz w:w="11911" w:h="16838"/>
          <w:pgMar w:top="1134" w:right="1134" w:bottom="1134" w:left="1134" w:header="720" w:footer="720" w:gutter="0"/>
          <w:cols w:space="720" w:num="1"/>
        </w:sectPr>
      </w:pPr>
      <w:r>
        <w:rPr>
          <w:rFonts w:hint="eastAsia" w:ascii="宋体" w:hAnsi="宋体" w:cs="宋体"/>
          <w:color w:val="auto"/>
          <w:kern w:val="0"/>
          <w:sz w:val="24"/>
          <w:szCs w:val="21"/>
          <w:highlight w:val="none"/>
          <w:lang w:val="zh-CN"/>
        </w:rPr>
        <w:t>日期：</w:t>
      </w:r>
      <w:r>
        <w:rPr>
          <w:rFonts w:hint="eastAsia" w:ascii="宋体" w:hAnsi="宋体" w:cs="宋体"/>
          <w:color w:val="auto"/>
          <w:kern w:val="0"/>
          <w:sz w:val="24"/>
          <w:szCs w:val="21"/>
          <w:highlight w:val="none"/>
        </w:rPr>
        <w:t xml:space="preserve">    </w:t>
      </w:r>
      <w:r>
        <w:rPr>
          <w:rFonts w:hint="eastAsia" w:ascii="宋体" w:hAnsi="宋体" w:cs="宋体"/>
          <w:color w:val="auto"/>
          <w:kern w:val="0"/>
          <w:sz w:val="24"/>
          <w:szCs w:val="21"/>
          <w:highlight w:val="none"/>
          <w:lang w:val="zh-CN"/>
        </w:rPr>
        <w:t>年</w:t>
      </w:r>
      <w:r>
        <w:rPr>
          <w:rFonts w:hint="eastAsia" w:ascii="宋体" w:hAnsi="宋体" w:cs="宋体"/>
          <w:color w:val="auto"/>
          <w:kern w:val="0"/>
          <w:sz w:val="24"/>
          <w:szCs w:val="21"/>
          <w:highlight w:val="none"/>
        </w:rPr>
        <w:t xml:space="preserve">    </w:t>
      </w:r>
      <w:r>
        <w:rPr>
          <w:rFonts w:hint="eastAsia" w:ascii="宋体" w:hAnsi="宋体" w:cs="宋体"/>
          <w:color w:val="auto"/>
          <w:kern w:val="0"/>
          <w:sz w:val="24"/>
          <w:szCs w:val="21"/>
          <w:highlight w:val="none"/>
          <w:lang w:val="zh-CN"/>
        </w:rPr>
        <w:t>月</w:t>
      </w:r>
      <w:r>
        <w:rPr>
          <w:rFonts w:hint="eastAsia" w:ascii="宋体" w:hAnsi="宋体" w:cs="宋体"/>
          <w:color w:val="auto"/>
          <w:kern w:val="0"/>
          <w:sz w:val="24"/>
          <w:szCs w:val="21"/>
          <w:highlight w:val="none"/>
        </w:rPr>
        <w:t xml:space="preserve">    </w:t>
      </w:r>
      <w:r>
        <w:rPr>
          <w:rFonts w:hint="eastAsia" w:ascii="宋体" w:hAnsi="宋体" w:cs="宋体"/>
          <w:color w:val="auto"/>
          <w:kern w:val="0"/>
          <w:sz w:val="24"/>
          <w:szCs w:val="21"/>
          <w:highlight w:val="none"/>
          <w:lang w:val="zh-CN"/>
        </w:rPr>
        <w:t>日</w:t>
      </w:r>
    </w:p>
    <w:p>
      <w:pPr>
        <w:pStyle w:val="4"/>
        <w:jc w:val="center"/>
        <w:rPr>
          <w:rFonts w:ascii="宋体" w:hAnsi="宋体"/>
          <w:b w:val="0"/>
          <w:color w:val="auto"/>
          <w:highlight w:val="none"/>
        </w:rPr>
      </w:pPr>
      <w:bookmarkStart w:id="146" w:name="_Toc80205942"/>
      <w:bookmarkStart w:id="147" w:name="_Toc18482"/>
      <w:bookmarkStart w:id="148" w:name="_Toc13936"/>
      <w:bookmarkStart w:id="149" w:name="_Toc80886946"/>
      <w:r>
        <w:rPr>
          <w:rFonts w:hint="eastAsia" w:ascii="宋体" w:hAnsi="宋体"/>
          <w:color w:val="auto"/>
          <w:highlight w:val="none"/>
        </w:rPr>
        <w:t>第四节 其他文书、文件格式</w:t>
      </w:r>
      <w:bookmarkEnd w:id="146"/>
      <w:bookmarkEnd w:id="147"/>
      <w:bookmarkEnd w:id="148"/>
      <w:bookmarkEnd w:id="149"/>
    </w:p>
    <w:p>
      <w:pPr>
        <w:spacing w:line="500" w:lineRule="exact"/>
        <w:rPr>
          <w:rFonts w:hint="eastAsia" w:ascii="宋体" w:hAnsi="宋体" w:cs="宋体"/>
          <w:b/>
          <w:color w:val="auto"/>
          <w:sz w:val="30"/>
          <w:szCs w:val="30"/>
          <w:highlight w:val="none"/>
          <w:lang w:val="zh-CN"/>
        </w:rPr>
      </w:pPr>
      <w:r>
        <w:rPr>
          <w:rFonts w:hint="eastAsia" w:ascii="宋体" w:hAnsi="宋体" w:cs="宋体"/>
          <w:b/>
          <w:color w:val="auto"/>
          <w:sz w:val="30"/>
          <w:szCs w:val="30"/>
          <w:highlight w:val="none"/>
        </w:rPr>
        <w:t>1.</w:t>
      </w:r>
      <w:r>
        <w:rPr>
          <w:rFonts w:hint="eastAsia" w:ascii="宋体" w:hAnsi="宋体" w:cs="宋体"/>
          <w:b/>
          <w:color w:val="auto"/>
          <w:sz w:val="30"/>
          <w:szCs w:val="30"/>
          <w:highlight w:val="none"/>
          <w:lang w:val="zh-CN"/>
        </w:rPr>
        <w:t>中小企业声明函的格式：</w:t>
      </w:r>
    </w:p>
    <w:p>
      <w:pPr>
        <w:pStyle w:val="24"/>
        <w:rPr>
          <w:rFonts w:hint="eastAsia" w:ascii="宋体" w:hAnsi="宋体" w:cs="宋体"/>
          <w:color w:val="auto"/>
          <w:highlight w:val="none"/>
        </w:rPr>
      </w:pPr>
    </w:p>
    <w:p>
      <w:pPr>
        <w:spacing w:line="300" w:lineRule="auto"/>
        <w:ind w:firstLine="3520" w:firstLineChars="800"/>
        <w:rPr>
          <w:rFonts w:hint="eastAsia" w:ascii="宋体" w:hAnsi="宋体" w:cs="宋体"/>
          <w:color w:val="auto"/>
          <w:sz w:val="44"/>
          <w:szCs w:val="44"/>
          <w:highlight w:val="none"/>
        </w:rPr>
      </w:pPr>
      <w:r>
        <w:rPr>
          <w:rFonts w:hint="eastAsia" w:ascii="宋体" w:hAnsi="宋体" w:cs="宋体"/>
          <w:color w:val="auto"/>
          <w:sz w:val="44"/>
          <w:szCs w:val="44"/>
          <w:highlight w:val="none"/>
        </w:rPr>
        <w:t>中小企业声明函</w:t>
      </w:r>
    </w:p>
    <w:p>
      <w:pPr>
        <w:pStyle w:val="16"/>
        <w:spacing w:after="0" w:line="360" w:lineRule="auto"/>
        <w:ind w:left="-426" w:right="142" w:firstLine="640"/>
        <w:contextualSpacing/>
        <w:rPr>
          <w:rFonts w:hint="eastAsia" w:ascii="宋体" w:hAnsi="宋体" w:cs="宋体"/>
          <w:color w:val="auto"/>
          <w:sz w:val="24"/>
          <w:highlight w:val="none"/>
        </w:rPr>
      </w:pPr>
    </w:p>
    <w:p>
      <w:pPr>
        <w:pStyle w:val="16"/>
        <w:spacing w:after="0" w:line="360" w:lineRule="auto"/>
        <w:ind w:left="-426" w:right="142" w:firstLine="640"/>
        <w:contextualSpacing/>
        <w:rPr>
          <w:rFonts w:hint="eastAsia"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i/>
          <w:iCs/>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i/>
          <w:iCs/>
          <w:color w:val="auto"/>
          <w:sz w:val="24"/>
          <w:highlight w:val="none"/>
          <w:u w:val="single"/>
        </w:rPr>
        <w:t>（项目名称）</w:t>
      </w:r>
      <w:r>
        <w:rPr>
          <w:rFonts w:hint="eastAsia" w:ascii="宋体" w:hAnsi="宋体" w:cs="宋体"/>
          <w:color w:val="auto"/>
          <w:sz w:val="24"/>
          <w:highlight w:val="none"/>
        </w:rPr>
        <w:t>采购活动，</w:t>
      </w:r>
      <w:r>
        <w:rPr>
          <w:rFonts w:hint="eastAsia" w:ascii="宋体" w:hAnsi="宋体" w:cs="宋体"/>
          <w:color w:val="auto"/>
          <w:kern w:val="0"/>
          <w:sz w:val="24"/>
          <w:highlight w:val="none"/>
        </w:rPr>
        <w:t>服务全部由符合政策要求的中小企业承接</w:t>
      </w:r>
      <w:r>
        <w:rPr>
          <w:rFonts w:hint="eastAsia" w:ascii="宋体" w:hAnsi="宋体" w:cs="宋体"/>
          <w:color w:val="auto"/>
          <w:sz w:val="24"/>
          <w:highlight w:val="none"/>
        </w:rPr>
        <w:t>。相关企业（含联合体中的</w:t>
      </w:r>
      <w:r>
        <w:rPr>
          <w:rFonts w:hint="eastAsia" w:ascii="宋体" w:hAnsi="宋体" w:cs="宋体"/>
          <w:color w:val="auto"/>
          <w:kern w:val="0"/>
          <w:sz w:val="24"/>
          <w:highlight w:val="none"/>
        </w:rPr>
        <w:t>中小</w:t>
      </w:r>
      <w:r>
        <w:rPr>
          <w:rFonts w:hint="eastAsia" w:ascii="宋体" w:hAnsi="宋体" w:cs="宋体"/>
          <w:color w:val="auto"/>
          <w:sz w:val="24"/>
          <w:highlight w:val="none"/>
        </w:rPr>
        <w:t>企业、签订分包意向协议的中小企业）的具体情况如下：</w:t>
      </w:r>
    </w:p>
    <w:p>
      <w:pPr>
        <w:tabs>
          <w:tab w:val="left" w:pos="1384"/>
          <w:tab w:val="left" w:pos="4562"/>
          <w:tab w:val="left" w:pos="6803"/>
        </w:tabs>
        <w:spacing w:line="360" w:lineRule="auto"/>
        <w:ind w:left="-426" w:right="-58" w:firstLine="655"/>
        <w:contextualSpacing/>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标的名称</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采购文件中明确的所属行业</w:t>
      </w:r>
      <w:r>
        <w:rPr>
          <w:rFonts w:hint="eastAsia" w:ascii="宋体" w:hAnsi="宋体" w:cs="宋体"/>
          <w:color w:val="auto"/>
          <w:sz w:val="24"/>
          <w:highlight w:val="none"/>
          <w:u w:val="single"/>
        </w:rPr>
        <w:t>）</w:t>
      </w:r>
      <w:r>
        <w:rPr>
          <w:rFonts w:hint="eastAsia" w:ascii="宋体" w:hAnsi="宋体" w:cs="宋体"/>
          <w:color w:val="auto"/>
          <w:sz w:val="24"/>
          <w:highlight w:val="none"/>
        </w:rPr>
        <w:t>；</w:t>
      </w:r>
      <w:r>
        <w:rPr>
          <w:rFonts w:hint="eastAsia" w:ascii="宋体" w:hAnsi="宋体" w:cs="宋体"/>
          <w:color w:val="auto"/>
          <w:kern w:val="0"/>
          <w:sz w:val="24"/>
          <w:highlight w:val="none"/>
        </w:rPr>
        <w:t>承建（承接）企业</w:t>
      </w:r>
      <w:r>
        <w:rPr>
          <w:rFonts w:hint="eastAsia" w:ascii="宋体" w:hAnsi="宋体" w:cs="宋体"/>
          <w:color w:val="auto"/>
          <w:sz w:val="24"/>
          <w:highlight w:val="none"/>
        </w:rPr>
        <w:t>为</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企业名称</w:t>
      </w:r>
      <w:r>
        <w:rPr>
          <w:rFonts w:hint="eastAsia" w:ascii="宋体" w:hAnsi="宋体" w:cs="宋体"/>
          <w:color w:val="auto"/>
          <w:sz w:val="24"/>
          <w:highlight w:val="none"/>
          <w:u w:val="single"/>
        </w:rPr>
        <w:t>）</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中型企业、小型企业、微型企业</w:t>
      </w:r>
      <w:r>
        <w:rPr>
          <w:rFonts w:hint="eastAsia" w:ascii="宋体" w:hAnsi="宋体" w:cs="宋体"/>
          <w:color w:val="auto"/>
          <w:sz w:val="24"/>
          <w:highlight w:val="none"/>
          <w:u w:val="single"/>
        </w:rPr>
        <w:t>）</w:t>
      </w:r>
      <w:r>
        <w:rPr>
          <w:rFonts w:hint="eastAsia" w:ascii="宋体" w:hAnsi="宋体" w:cs="宋体"/>
          <w:color w:val="auto"/>
          <w:sz w:val="24"/>
          <w:highlight w:val="none"/>
        </w:rPr>
        <w:t>；</w:t>
      </w:r>
    </w:p>
    <w:p>
      <w:pPr>
        <w:tabs>
          <w:tab w:val="left" w:pos="1065"/>
          <w:tab w:val="left" w:pos="6477"/>
        </w:tabs>
        <w:spacing w:line="360" w:lineRule="auto"/>
        <w:ind w:left="-426" w:right="-58" w:firstLine="655"/>
        <w:contextualSpacing/>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标的名称</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采购文件中明确的所属行业</w:t>
      </w:r>
      <w:r>
        <w:rPr>
          <w:rFonts w:hint="eastAsia" w:ascii="宋体" w:hAnsi="宋体" w:cs="宋体"/>
          <w:color w:val="auto"/>
          <w:sz w:val="24"/>
          <w:highlight w:val="none"/>
          <w:u w:val="single"/>
        </w:rPr>
        <w:t>）</w:t>
      </w:r>
      <w:r>
        <w:rPr>
          <w:rFonts w:hint="eastAsia" w:ascii="宋体" w:hAnsi="宋体" w:cs="宋体"/>
          <w:color w:val="auto"/>
          <w:sz w:val="24"/>
          <w:highlight w:val="none"/>
        </w:rPr>
        <w:t>；</w:t>
      </w:r>
      <w:r>
        <w:rPr>
          <w:rFonts w:hint="eastAsia" w:ascii="宋体" w:hAnsi="宋体" w:cs="宋体"/>
          <w:color w:val="auto"/>
          <w:kern w:val="0"/>
          <w:sz w:val="24"/>
          <w:highlight w:val="none"/>
        </w:rPr>
        <w:t>承建（承接）企业</w:t>
      </w:r>
      <w:r>
        <w:rPr>
          <w:rFonts w:hint="eastAsia" w:ascii="宋体" w:hAnsi="宋体" w:cs="宋体"/>
          <w:color w:val="auto"/>
          <w:sz w:val="24"/>
          <w:highlight w:val="none"/>
        </w:rPr>
        <w:t>为</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企业名称</w:t>
      </w:r>
      <w:r>
        <w:rPr>
          <w:rFonts w:hint="eastAsia" w:ascii="宋体" w:hAnsi="宋体" w:cs="宋体"/>
          <w:color w:val="auto"/>
          <w:sz w:val="24"/>
          <w:highlight w:val="none"/>
          <w:u w:val="single"/>
        </w:rPr>
        <w:t>）</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中型企业、小型企业、微型企业</w:t>
      </w:r>
      <w:r>
        <w:rPr>
          <w:rFonts w:hint="eastAsia" w:ascii="宋体" w:hAnsi="宋体" w:cs="宋体"/>
          <w:color w:val="auto"/>
          <w:sz w:val="24"/>
          <w:highlight w:val="none"/>
          <w:u w:val="single"/>
        </w:rPr>
        <w:t>）</w:t>
      </w:r>
      <w:r>
        <w:rPr>
          <w:rFonts w:hint="eastAsia" w:ascii="宋体" w:hAnsi="宋体" w:cs="宋体"/>
          <w:color w:val="auto"/>
          <w:sz w:val="24"/>
          <w:highlight w:val="none"/>
        </w:rPr>
        <w:t>；</w:t>
      </w:r>
    </w:p>
    <w:p>
      <w:pPr>
        <w:pStyle w:val="16"/>
        <w:spacing w:after="0" w:line="360" w:lineRule="auto"/>
        <w:ind w:left="142" w:right="142"/>
        <w:contextualSpacing/>
        <w:rPr>
          <w:rFonts w:hint="eastAsia" w:ascii="宋体" w:hAnsi="宋体" w:cs="宋体"/>
          <w:color w:val="auto"/>
          <w:sz w:val="24"/>
          <w:highlight w:val="none"/>
        </w:rPr>
      </w:pPr>
      <w:r>
        <w:rPr>
          <w:rFonts w:hint="eastAsia" w:ascii="宋体" w:hAnsi="宋体" w:cs="宋体"/>
          <w:color w:val="auto"/>
          <w:sz w:val="24"/>
          <w:highlight w:val="none"/>
        </w:rPr>
        <w:t xml:space="preserve">…… </w:t>
      </w:r>
    </w:p>
    <w:p>
      <w:pPr>
        <w:pStyle w:val="16"/>
        <w:spacing w:after="0" w:line="360" w:lineRule="auto"/>
        <w:ind w:left="-405" w:leftChars="-193" w:right="142" w:firstLine="453" w:firstLineChars="189"/>
        <w:contextualSpacing/>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pStyle w:val="16"/>
        <w:spacing w:after="0" w:line="360" w:lineRule="auto"/>
        <w:ind w:left="-426" w:right="142" w:firstLine="567"/>
        <w:contextualSpacing/>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pStyle w:val="16"/>
        <w:spacing w:after="0" w:line="360" w:lineRule="auto"/>
        <w:ind w:left="3960" w:right="1808"/>
        <w:contextualSpacing/>
        <w:rPr>
          <w:rFonts w:hint="eastAsia" w:ascii="宋体" w:hAnsi="宋体" w:cs="宋体"/>
          <w:color w:val="auto"/>
          <w:sz w:val="24"/>
          <w:highlight w:val="none"/>
        </w:rPr>
      </w:pPr>
    </w:p>
    <w:p>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供应商名称（盖公章）：</w:t>
      </w:r>
    </w:p>
    <w:p>
      <w:pPr>
        <w:autoSpaceDE w:val="0"/>
        <w:autoSpaceDN w:val="0"/>
        <w:spacing w:line="360" w:lineRule="auto"/>
        <w:ind w:firstLine="6480" w:firstLineChars="27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pStyle w:val="16"/>
        <w:spacing w:after="0" w:line="360" w:lineRule="auto"/>
        <w:ind w:left="3960" w:right="1808"/>
        <w:contextualSpacing/>
        <w:rPr>
          <w:rFonts w:hint="eastAsia" w:ascii="宋体" w:hAnsi="宋体" w:cs="宋体"/>
          <w:color w:val="auto"/>
          <w:highlight w:val="none"/>
        </w:rPr>
      </w:pPr>
    </w:p>
    <w:p>
      <w:pPr>
        <w:spacing w:line="360" w:lineRule="auto"/>
        <w:ind w:firstLine="480" w:firstLineChars="200"/>
        <w:contextualSpacing/>
        <w:jc w:val="left"/>
        <w:rPr>
          <w:rFonts w:hint="eastAsia" w:ascii="宋体" w:hAnsi="宋体" w:cs="宋体"/>
          <w:color w:val="auto"/>
          <w:kern w:val="0"/>
          <w:sz w:val="24"/>
          <w:highlight w:val="none"/>
        </w:rPr>
      </w:pPr>
      <w:r>
        <w:rPr>
          <w:rFonts w:hint="eastAsia" w:ascii="宋体" w:hAnsi="宋体" w:cs="宋体"/>
          <w:color w:val="auto"/>
          <w:sz w:val="24"/>
          <w:highlight w:val="none"/>
        </w:rPr>
        <w:t>注：享受《政府采购促进中小企业发展管理办法》（财库〔2020〕46号）规定的中小企业扶持政策的，采购人或者采购代理机构应当随成交结果公开成交供应商的《</w:t>
      </w:r>
      <w:r>
        <w:rPr>
          <w:rFonts w:hint="eastAsia" w:ascii="宋体" w:hAnsi="宋体" w:cs="宋体"/>
          <w:color w:val="auto"/>
          <w:sz w:val="24"/>
          <w:highlight w:val="none"/>
          <w:lang w:val="en-US" w:eastAsia="zh-CN"/>
        </w:rPr>
        <w:t>中小</w:t>
      </w:r>
      <w:r>
        <w:rPr>
          <w:rFonts w:hint="eastAsia" w:ascii="宋体" w:hAnsi="宋体" w:cs="宋体"/>
          <w:color w:val="auto"/>
          <w:sz w:val="24"/>
          <w:highlight w:val="none"/>
        </w:rPr>
        <w:t>企业声明函》，接受社会监督。从业人员、营业收入、资产总额填报上一年度数据，无上一年度数据的新成立企业可不填报。</w:t>
      </w:r>
    </w:p>
    <w:p>
      <w:pPr>
        <w:snapToGrid w:val="0"/>
        <w:spacing w:before="120" w:beforeLines="50" w:after="50" w:line="360" w:lineRule="auto"/>
        <w:outlineLvl w:val="1"/>
        <w:rPr>
          <w:rFonts w:hint="eastAsia" w:ascii="宋体" w:hAnsi="宋体" w:cs="宋体"/>
          <w:b/>
          <w:bCs/>
          <w:color w:val="auto"/>
          <w:sz w:val="32"/>
          <w:szCs w:val="32"/>
          <w:highlight w:val="none"/>
        </w:rPr>
        <w:sectPr>
          <w:pgSz w:w="11911" w:h="16838"/>
          <w:pgMar w:top="1134" w:right="1134" w:bottom="1134" w:left="1134" w:header="720" w:footer="720" w:gutter="0"/>
          <w:cols w:space="720" w:num="1"/>
        </w:sectPr>
      </w:pPr>
    </w:p>
    <w:p>
      <w:pPr>
        <w:spacing w:line="520" w:lineRule="exact"/>
        <w:rPr>
          <w:rFonts w:hint="eastAsia" w:hAnsi="宋体" w:cs="宋体"/>
          <w:b/>
          <w:color w:val="auto"/>
          <w:sz w:val="28"/>
          <w:szCs w:val="28"/>
          <w:highlight w:val="none"/>
        </w:rPr>
      </w:pPr>
      <w:r>
        <w:rPr>
          <w:rFonts w:hint="eastAsia" w:ascii="宋体" w:hAnsi="宋体" w:cs="宋体"/>
          <w:b/>
          <w:color w:val="auto"/>
          <w:sz w:val="28"/>
          <w:szCs w:val="28"/>
          <w:highlight w:val="none"/>
        </w:rPr>
        <w:t>2.</w:t>
      </w:r>
      <w:r>
        <w:rPr>
          <w:rFonts w:hint="eastAsia" w:hAnsi="宋体" w:cs="宋体"/>
          <w:b/>
          <w:color w:val="auto"/>
          <w:sz w:val="28"/>
          <w:szCs w:val="28"/>
          <w:highlight w:val="none"/>
        </w:rPr>
        <w:t>残疾人福利性单位声明函的格式：</w:t>
      </w:r>
    </w:p>
    <w:p>
      <w:pPr>
        <w:pStyle w:val="24"/>
        <w:rPr>
          <w:color w:val="auto"/>
          <w:highlight w:val="none"/>
        </w:rPr>
      </w:pPr>
    </w:p>
    <w:p>
      <w:pPr>
        <w:spacing w:line="520" w:lineRule="exact"/>
        <w:jc w:val="center"/>
        <w:rPr>
          <w:rFonts w:hint="eastAsia" w:ascii="方正小标宋简体" w:hAnsi="方正小标宋简体" w:eastAsia="方正小标宋简体" w:cs="方正小标宋简体"/>
          <w:color w:val="auto"/>
          <w:sz w:val="44"/>
          <w:szCs w:val="44"/>
          <w:highlight w:val="none"/>
        </w:rPr>
      </w:pPr>
    </w:p>
    <w:p>
      <w:pPr>
        <w:spacing w:line="520" w:lineRule="exact"/>
        <w:jc w:val="center"/>
        <w:rPr>
          <w:rFonts w:hint="eastAsia" w:ascii="方正小标宋简体" w:hAnsi="方正小标宋简体" w:eastAsia="方正小标宋简体" w:cs="方正小标宋简体"/>
          <w:color w:val="auto"/>
          <w:sz w:val="44"/>
          <w:szCs w:val="44"/>
          <w:highlight w:val="none"/>
        </w:rPr>
      </w:pPr>
    </w:p>
    <w:p>
      <w:pPr>
        <w:spacing w:line="520" w:lineRule="exact"/>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残疾人福利性单位声明函</w:t>
      </w:r>
    </w:p>
    <w:p>
      <w:pPr>
        <w:spacing w:line="520" w:lineRule="exact"/>
        <w:rPr>
          <w:rFonts w:hint="eastAsia" w:ascii="宋体" w:hAnsi="宋体" w:cs="宋体"/>
          <w:color w:val="auto"/>
          <w:sz w:val="32"/>
          <w:szCs w:val="32"/>
          <w:highlight w:val="none"/>
        </w:rPr>
      </w:pPr>
    </w:p>
    <w:p>
      <w:pPr>
        <w:spacing w:line="360" w:lineRule="auto"/>
        <w:ind w:firstLine="480" w:firstLineChars="200"/>
        <w:contextualSpacing/>
        <w:rPr>
          <w:rFonts w:hint="eastAsia" w:ascii="宋体" w:hAnsi="宋体" w:cs="宋体"/>
          <w:color w:val="auto"/>
          <w:sz w:val="24"/>
          <w:highlight w:val="none"/>
        </w:rPr>
      </w:pP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contextualSpacing/>
        <w:rPr>
          <w:rFonts w:hint="eastAsia" w:ascii="宋体" w:hAnsi="宋体" w:cs="宋体"/>
          <w:color w:val="auto"/>
          <w:sz w:val="24"/>
          <w:highlight w:val="none"/>
        </w:rPr>
      </w:pPr>
    </w:p>
    <w:p>
      <w:pPr>
        <w:spacing w:line="360" w:lineRule="auto"/>
        <w:contextualSpacing/>
        <w:rPr>
          <w:rFonts w:hint="eastAsia" w:ascii="宋体" w:hAnsi="宋体" w:cs="宋体"/>
          <w:color w:val="auto"/>
          <w:sz w:val="24"/>
          <w:highlight w:val="none"/>
        </w:rPr>
      </w:pPr>
    </w:p>
    <w:p>
      <w:pPr>
        <w:spacing w:line="360" w:lineRule="auto"/>
        <w:contextualSpacing/>
        <w:rPr>
          <w:rFonts w:hint="eastAsia" w:ascii="宋体" w:hAnsi="宋体" w:cs="宋体"/>
          <w:color w:val="auto"/>
          <w:sz w:val="24"/>
          <w:highlight w:val="none"/>
        </w:rPr>
      </w:pPr>
    </w:p>
    <w:p>
      <w:pPr>
        <w:spacing w:line="360" w:lineRule="auto"/>
        <w:ind w:firstLine="2400" w:firstLineChars="1000"/>
        <w:contextualSpacing/>
        <w:rPr>
          <w:rFonts w:hint="eastAsia" w:ascii="宋体" w:hAnsi="宋体" w:cs="宋体"/>
          <w:color w:val="auto"/>
          <w:sz w:val="24"/>
          <w:highlight w:val="none"/>
        </w:rPr>
      </w:pPr>
      <w:r>
        <w:rPr>
          <w:rFonts w:hint="eastAsia" w:ascii="宋体" w:hAnsi="宋体" w:cs="宋体"/>
          <w:color w:val="auto"/>
          <w:sz w:val="24"/>
          <w:highlight w:val="none"/>
        </w:rPr>
        <w:t>供应商名称（盖公章）：</w:t>
      </w:r>
    </w:p>
    <w:p>
      <w:pPr>
        <w:spacing w:line="360" w:lineRule="auto"/>
        <w:ind w:firstLine="4320" w:firstLineChars="1800"/>
        <w:contextualSpacing/>
        <w:rPr>
          <w:rFonts w:hint="eastAsia" w:ascii="宋体" w:hAnsi="宋体" w:cs="宋体"/>
          <w:color w:val="auto"/>
          <w:sz w:val="24"/>
          <w:highlight w:val="none"/>
        </w:rPr>
      </w:pPr>
      <w:r>
        <w:rPr>
          <w:rFonts w:hint="eastAsia" w:ascii="宋体" w:hAnsi="宋体" w:cs="宋体"/>
          <w:color w:val="auto"/>
          <w:sz w:val="24"/>
          <w:highlight w:val="none"/>
        </w:rPr>
        <w:t>日  期：     年   月   日</w:t>
      </w:r>
    </w:p>
    <w:p>
      <w:pPr>
        <w:spacing w:line="360" w:lineRule="auto"/>
        <w:contextualSpacing/>
        <w:rPr>
          <w:rFonts w:hint="eastAsia" w:ascii="宋体" w:hAnsi="宋体" w:cs="宋体"/>
          <w:color w:val="auto"/>
          <w:sz w:val="24"/>
          <w:highlight w:val="none"/>
        </w:rPr>
      </w:pPr>
    </w:p>
    <w:p>
      <w:pPr>
        <w:spacing w:line="360" w:lineRule="auto"/>
        <w:contextualSpacing/>
        <w:rPr>
          <w:rFonts w:hint="eastAsia" w:ascii="宋体" w:hAnsi="宋体" w:cs="宋体"/>
          <w:color w:val="auto"/>
          <w:sz w:val="24"/>
          <w:highlight w:val="none"/>
        </w:rPr>
      </w:pPr>
    </w:p>
    <w:p>
      <w:pPr>
        <w:spacing w:line="360" w:lineRule="auto"/>
        <w:contextualSpacing/>
        <w:rPr>
          <w:rFonts w:hint="eastAsia" w:ascii="宋体" w:hAnsi="宋体" w:cs="宋体"/>
          <w:color w:val="auto"/>
          <w:sz w:val="24"/>
          <w:highlight w:val="none"/>
        </w:rPr>
      </w:pP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注：请根据自己的真实情况出具《残疾人福利性单位声明函》。依法享受中小企业扶持政策的，采购人或者采购代理机构在公告成交结果时，同时公告其《残疾人福利性单位声明函》，接受社会监督。</w:t>
      </w:r>
    </w:p>
    <w:p>
      <w:pPr>
        <w:widowControl/>
        <w:shd w:val="clear" w:color="auto" w:fill="FFFFFF"/>
        <w:spacing w:line="480" w:lineRule="atLeast"/>
        <w:rPr>
          <w:rFonts w:hint="eastAsia" w:ascii="宋体" w:hAnsi="宋体" w:cs="宋体"/>
          <w:color w:val="auto"/>
          <w:kern w:val="0"/>
          <w:sz w:val="28"/>
          <w:szCs w:val="28"/>
          <w:highlight w:val="none"/>
        </w:rPr>
      </w:pPr>
      <w:r>
        <w:rPr>
          <w:rFonts w:hint="eastAsia" w:ascii="宋体" w:hAnsi="宋体" w:cs="宋体"/>
          <w:color w:val="auto"/>
          <w:sz w:val="24"/>
          <w:highlight w:val="none"/>
        </w:rPr>
        <w:br w:type="page"/>
      </w:r>
      <w:r>
        <w:rPr>
          <w:rFonts w:hint="eastAsia" w:ascii="宋体" w:hAnsi="宋体" w:cs="宋体"/>
          <w:color w:val="auto"/>
          <w:sz w:val="28"/>
          <w:szCs w:val="28"/>
          <w:highlight w:val="none"/>
        </w:rPr>
        <w:t>3.</w:t>
      </w:r>
      <w:r>
        <w:rPr>
          <w:rFonts w:hint="eastAsia" w:ascii="宋体" w:hAnsi="宋体" w:cs="宋体"/>
          <w:color w:val="auto"/>
          <w:kern w:val="0"/>
          <w:sz w:val="28"/>
          <w:szCs w:val="28"/>
          <w:highlight w:val="none"/>
        </w:rPr>
        <w:t>广西壮族自治区政府采购项目合同验收书的格式：</w:t>
      </w:r>
    </w:p>
    <w:p>
      <w:pPr>
        <w:spacing w:line="360" w:lineRule="auto"/>
        <w:ind w:firstLine="480" w:firstLineChars="200"/>
        <w:contextualSpacing/>
        <w:rPr>
          <w:rFonts w:cs="仿宋_GB2312"/>
          <w:color w:val="auto"/>
          <w:sz w:val="24"/>
          <w:highlight w:val="none"/>
        </w:rPr>
      </w:pPr>
    </w:p>
    <w:p>
      <w:pPr>
        <w:widowControl/>
        <w:shd w:val="clear" w:color="auto" w:fill="FFFFFF"/>
        <w:spacing w:line="480" w:lineRule="atLeast"/>
        <w:jc w:val="center"/>
        <w:rPr>
          <w:rFonts w:hint="eastAsia" w:ascii="仿宋" w:hAnsi="仿宋" w:eastAsia="仿宋"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w:t>
      </w:r>
    </w:p>
    <w:p>
      <w:pPr>
        <w:widowControl/>
        <w:shd w:val="clear" w:color="auto" w:fill="FFFFFF"/>
        <w:spacing w:line="480" w:lineRule="atLeast"/>
        <w:jc w:val="center"/>
        <w:rPr>
          <w:rFonts w:hint="eastAsia" w:ascii="仿宋" w:hAnsi="仿宋" w:eastAsia="仿宋" w:cs="宋体"/>
          <w:color w:val="auto"/>
          <w:kern w:val="0"/>
          <w:sz w:val="32"/>
          <w:szCs w:val="32"/>
          <w:highlight w:val="none"/>
        </w:rPr>
      </w:pPr>
    </w:p>
    <w:p>
      <w:pPr>
        <w:widowControl/>
        <w:shd w:val="clear" w:color="auto" w:fill="FFFFFF"/>
        <w:snapToGrid w:val="0"/>
        <w:spacing w:line="320" w:lineRule="atLeast"/>
        <w:ind w:firstLine="48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根据政府采购项目（</w:t>
      </w:r>
      <w:r>
        <w:rPr>
          <w:rFonts w:hint="eastAsia" w:ascii="宋体" w:hAnsi="宋体" w:cs="宋体"/>
          <w:color w:val="auto"/>
          <w:kern w:val="0"/>
          <w:sz w:val="24"/>
          <w:highlight w:val="none"/>
          <w:u w:val="single"/>
        </w:rPr>
        <w:t>采购合同编号：</w:t>
      </w:r>
      <w:r>
        <w:rPr>
          <w:rFonts w:hint="eastAsia" w:ascii="宋体" w:hAnsi="宋体" w:cs="宋体"/>
          <w:color w:val="auto"/>
          <w:kern w:val="0"/>
          <w:sz w:val="24"/>
          <w:highlight w:val="none"/>
          <w:u w:val="single"/>
        </w:rPr>
        <w:softHyphen/>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）的约定，我单位对（</w:t>
      </w:r>
      <w:r>
        <w:rPr>
          <w:rFonts w:hint="eastAsia" w:ascii="宋体" w:hAnsi="宋体" w:cs="宋体"/>
          <w:color w:val="auto"/>
          <w:kern w:val="0"/>
          <w:sz w:val="24"/>
          <w:highlight w:val="none"/>
          <w:u w:val="single"/>
        </w:rPr>
        <w:t xml:space="preserve"> 项目名称 </w:t>
      </w:r>
      <w:r>
        <w:rPr>
          <w:rFonts w:hint="eastAsia" w:ascii="宋体" w:hAnsi="宋体" w:cs="宋体"/>
          <w:color w:val="auto"/>
          <w:kern w:val="0"/>
          <w:sz w:val="24"/>
          <w:highlight w:val="none"/>
        </w:rPr>
        <w:t>） 政府采购项目成交供应商（</w:t>
      </w:r>
      <w:r>
        <w:rPr>
          <w:rFonts w:hint="eastAsia" w:ascii="宋体" w:hAnsi="宋体" w:cs="宋体"/>
          <w:color w:val="auto"/>
          <w:kern w:val="0"/>
          <w:sz w:val="24"/>
          <w:highlight w:val="none"/>
          <w:u w:val="single"/>
        </w:rPr>
        <w:t xml:space="preserve"> 公司名称 </w:t>
      </w:r>
      <w:r>
        <w:rPr>
          <w:rFonts w:hint="eastAsia" w:ascii="宋体" w:hAnsi="宋体" w:cs="宋体"/>
          <w:color w:val="auto"/>
          <w:kern w:val="0"/>
          <w:sz w:val="24"/>
          <w:highlight w:val="none"/>
        </w:rPr>
        <w:t>） 提供的货物（或者工程、服务）进行了验收，验收情况如下：</w:t>
      </w:r>
    </w:p>
    <w:tbl>
      <w:tblPr>
        <w:tblStyle w:val="32"/>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hint="eastAsia" w:ascii="宋体" w:hAnsi="宋体" w:cs="宋体"/>
                <w:color w:val="auto"/>
                <w:kern w:val="0"/>
                <w:szCs w:val="21"/>
                <w:highlight w:val="none"/>
              </w:rPr>
              <w:t>□</w:t>
            </w:r>
            <w:r>
              <w:rPr>
                <w:rFonts w:ascii="Verdana" w:hAnsi="Verdana" w:cs="宋体"/>
                <w:color w:val="auto"/>
                <w:kern w:val="0"/>
                <w:szCs w:val="21"/>
                <w:highlight w:val="none"/>
              </w:rPr>
              <w:t xml:space="preserve">自行验收 </w:t>
            </w:r>
            <w:r>
              <w:rPr>
                <w:rFonts w:hint="eastAsia" w:ascii="宋体" w:hAnsi="宋体" w:cs="宋体"/>
                <w:color w:val="auto"/>
                <w:kern w:val="0"/>
                <w:szCs w:val="21"/>
                <w:highlight w:val="none"/>
              </w:rPr>
              <w:t>□</w:t>
            </w:r>
            <w:r>
              <w:rPr>
                <w:rFonts w:ascii="Verdana" w:hAnsi="Verdana" w:cs="宋体"/>
                <w:color w:val="auto"/>
                <w:kern w:val="0"/>
                <w:szCs w:val="21"/>
                <w:highlight w:val="none"/>
              </w:rPr>
              <w:t>委托验收</w:t>
            </w:r>
          </w:p>
        </w:tc>
      </w:tr>
      <w:tr>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金额</w:t>
            </w: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 xml:space="preserve">合计大写金额：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万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元</w:t>
            </w:r>
          </w:p>
        </w:tc>
      </w:tr>
      <w:tr>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ascii="Verdana" w:hAnsi="Verdana"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Verdana" w:hAnsi="Verdana"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签字：</w:t>
            </w:r>
          </w:p>
        </w:tc>
      </w:tr>
      <w:tr>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监督人员或者</w:t>
            </w:r>
            <w:r>
              <w:rPr>
                <w:rFonts w:hint="eastAsia" w:ascii="Verdana" w:hAnsi="Verdana" w:cs="宋体"/>
                <w:color w:val="auto"/>
                <w:kern w:val="0"/>
                <w:szCs w:val="21"/>
                <w:highlight w:val="none"/>
              </w:rPr>
              <w:t>其他</w:t>
            </w:r>
            <w:r>
              <w:rPr>
                <w:rFonts w:ascii="Verdana" w:hAnsi="Verdana" w:cs="宋体"/>
                <w:color w:val="auto"/>
                <w:kern w:val="0"/>
                <w:szCs w:val="21"/>
                <w:highlight w:val="none"/>
              </w:rPr>
              <w:t>相关人员签字：</w:t>
            </w:r>
          </w:p>
          <w:p>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成交供应商负责人签字或者盖章：</w:t>
            </w:r>
          </w:p>
          <w:p>
            <w:pPr>
              <w:widowControl/>
              <w:spacing w:before="100" w:beforeAutospacing="1" w:after="100" w:afterAutospacing="1" w:line="320" w:lineRule="atLeast"/>
              <w:jc w:val="left"/>
              <w:rPr>
                <w:rFonts w:ascii="Verdana" w:hAnsi="Verdana" w:cs="宋体"/>
                <w:color w:val="auto"/>
                <w:kern w:val="0"/>
                <w:szCs w:val="21"/>
                <w:highlight w:val="none"/>
              </w:rPr>
            </w:pPr>
          </w:p>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日</w:t>
            </w:r>
          </w:p>
        </w:tc>
        <w:tc>
          <w:tcPr>
            <w:tcW w:w="4293" w:type="dxa"/>
            <w:gridSpan w:val="4"/>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采购人或者受托机构的意见（盖章）：</w:t>
            </w: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日</w:t>
            </w:r>
          </w:p>
        </w:tc>
      </w:tr>
    </w:tbl>
    <w:p>
      <w:pPr>
        <w:rPr>
          <w:rFonts w:hint="eastAsia" w:ascii="宋体" w:hAnsi="宋体" w:cs="宋体"/>
          <w:color w:val="auto"/>
          <w:sz w:val="28"/>
          <w:szCs w:val="28"/>
          <w:highlight w:val="none"/>
        </w:rPr>
      </w:pPr>
      <w:r>
        <w:rPr>
          <w:rFonts w:hAnsi="宋体"/>
          <w:color w:val="auto"/>
          <w:highlight w:val="none"/>
        </w:rPr>
        <w:br w:type="page"/>
      </w:r>
      <w:r>
        <w:rPr>
          <w:rFonts w:hint="eastAsia" w:ascii="宋体" w:hAnsi="宋体" w:cs="宋体"/>
          <w:color w:val="auto"/>
          <w:sz w:val="28"/>
          <w:szCs w:val="28"/>
          <w:highlight w:val="none"/>
        </w:rPr>
        <w:t>4.政府采购项目履约保证金退付意见书的格式：</w:t>
      </w:r>
    </w:p>
    <w:p>
      <w:pPr>
        <w:pStyle w:val="21"/>
        <w:snapToGrid w:val="0"/>
        <w:rPr>
          <w:rFonts w:hint="eastAsia" w:ascii="黑体" w:hAnsi="黑体" w:eastAsia="黑体" w:cs="黑体"/>
          <w:color w:val="auto"/>
          <w:sz w:val="32"/>
          <w:szCs w:val="32"/>
          <w:highlight w:val="none"/>
        </w:rPr>
      </w:pPr>
    </w:p>
    <w:p>
      <w:pPr>
        <w:pStyle w:val="11"/>
        <w:rPr>
          <w:rFonts w:hint="eastAsia"/>
          <w:color w:val="auto"/>
          <w:highlight w:val="none"/>
        </w:rPr>
      </w:pPr>
    </w:p>
    <w:p>
      <w:pPr>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政府采购项目履约保证金退付意见书（参考）</w:t>
      </w:r>
    </w:p>
    <w:p>
      <w:pPr>
        <w:jc w:val="center"/>
        <w:rPr>
          <w:rFonts w:hint="eastAsia" w:ascii="黑体" w:hAnsi="黑体" w:eastAsia="黑体"/>
          <w:color w:val="auto"/>
          <w:sz w:val="36"/>
          <w:szCs w:val="36"/>
          <w:highlight w:val="none"/>
        </w:rPr>
      </w:pPr>
    </w:p>
    <w:tbl>
      <w:tblPr>
        <w:tblStyle w:val="32"/>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pPr>
              <w:jc w:val="center"/>
              <w:rPr>
                <w:rFonts w:hint="eastAsia"/>
                <w:color w:val="auto"/>
                <w:sz w:val="24"/>
                <w:highlight w:val="none"/>
              </w:rPr>
            </w:pPr>
            <w:r>
              <w:rPr>
                <w:rFonts w:hint="eastAsia"/>
                <w:color w:val="auto"/>
                <w:sz w:val="24"/>
                <w:highlight w:val="none"/>
              </w:rPr>
              <w:t>供</w:t>
            </w:r>
          </w:p>
          <w:p>
            <w:pPr>
              <w:jc w:val="center"/>
              <w:rPr>
                <w:rFonts w:hint="eastAsia"/>
                <w:color w:val="auto"/>
                <w:sz w:val="24"/>
                <w:highlight w:val="none"/>
              </w:rPr>
            </w:pPr>
            <w:r>
              <w:rPr>
                <w:rFonts w:hint="eastAsia"/>
                <w:color w:val="auto"/>
                <w:sz w:val="24"/>
                <w:highlight w:val="none"/>
              </w:rPr>
              <w:t>应</w:t>
            </w:r>
          </w:p>
          <w:p>
            <w:pPr>
              <w:jc w:val="center"/>
              <w:rPr>
                <w:rFonts w:hint="eastAsia"/>
                <w:color w:val="auto"/>
                <w:sz w:val="24"/>
                <w:highlight w:val="none"/>
              </w:rPr>
            </w:pPr>
            <w:r>
              <w:rPr>
                <w:rFonts w:hint="eastAsia"/>
                <w:color w:val="auto"/>
                <w:sz w:val="24"/>
                <w:highlight w:val="none"/>
              </w:rPr>
              <w:t>商</w:t>
            </w:r>
          </w:p>
          <w:p>
            <w:pPr>
              <w:jc w:val="center"/>
              <w:rPr>
                <w:rFonts w:hint="eastAsia"/>
                <w:color w:val="auto"/>
                <w:sz w:val="24"/>
                <w:highlight w:val="none"/>
              </w:rPr>
            </w:pPr>
            <w:r>
              <w:rPr>
                <w:rFonts w:hint="eastAsia"/>
                <w:color w:val="auto"/>
                <w:sz w:val="24"/>
                <w:highlight w:val="none"/>
              </w:rPr>
              <w:t>申</w:t>
            </w:r>
          </w:p>
          <w:p>
            <w:pPr>
              <w:jc w:val="center"/>
              <w:rPr>
                <w:rFonts w:hint="eastAsia"/>
                <w:color w:val="auto"/>
                <w:sz w:val="24"/>
                <w:highlight w:val="none"/>
              </w:rPr>
            </w:pPr>
            <w:r>
              <w:rPr>
                <w:rFonts w:hint="eastAsia"/>
                <w:color w:val="auto"/>
                <w:sz w:val="24"/>
                <w:highlight w:val="none"/>
              </w:rPr>
              <w:t>请</w:t>
            </w:r>
          </w:p>
        </w:tc>
        <w:tc>
          <w:tcPr>
            <w:tcW w:w="8009" w:type="dxa"/>
            <w:vAlign w:val="center"/>
          </w:tcPr>
          <w:p>
            <w:pPr>
              <w:rPr>
                <w:rFonts w:hint="eastAsia"/>
                <w:color w:val="auto"/>
                <w:sz w:val="24"/>
                <w:highlight w:val="none"/>
              </w:rPr>
            </w:pPr>
            <w:r>
              <w:rPr>
                <w:rFonts w:hint="eastAsia"/>
                <w:color w:val="auto"/>
                <w:sz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pPr>
              <w:rPr>
                <w:rFonts w:hint="eastAsia"/>
                <w:color w:val="auto"/>
                <w:sz w:val="24"/>
                <w:highlight w:val="none"/>
              </w:rPr>
            </w:pPr>
          </w:p>
        </w:tc>
        <w:tc>
          <w:tcPr>
            <w:tcW w:w="8009" w:type="dxa"/>
            <w:vAlign w:val="center"/>
          </w:tcPr>
          <w:p>
            <w:pPr>
              <w:rPr>
                <w:rFonts w:hint="eastAsia"/>
                <w:color w:val="auto"/>
                <w:sz w:val="24"/>
                <w:highlight w:val="none"/>
              </w:rPr>
            </w:pPr>
            <w:r>
              <w:rPr>
                <w:rFonts w:hint="eastAsia"/>
                <w:color w:val="auto"/>
                <w:sz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pPr>
              <w:rPr>
                <w:rFonts w:hint="eastAsia"/>
                <w:color w:val="auto"/>
                <w:sz w:val="24"/>
                <w:highlight w:val="none"/>
              </w:rPr>
            </w:pPr>
          </w:p>
        </w:tc>
        <w:tc>
          <w:tcPr>
            <w:tcW w:w="8009" w:type="dxa"/>
          </w:tcPr>
          <w:p>
            <w:pPr>
              <w:rPr>
                <w:rFonts w:hint="eastAsia"/>
                <w:color w:val="auto"/>
                <w:sz w:val="24"/>
                <w:highlight w:val="none"/>
              </w:rPr>
            </w:pPr>
            <w:r>
              <w:rPr>
                <w:rFonts w:hint="eastAsia"/>
                <w:color w:val="auto"/>
                <w:sz w:val="24"/>
                <w:highlight w:val="none"/>
              </w:rPr>
              <w:t xml:space="preserve">  </w:t>
            </w:r>
          </w:p>
          <w:p>
            <w:pPr>
              <w:ind w:firstLine="480" w:firstLineChars="200"/>
              <w:rPr>
                <w:rFonts w:hint="eastAsia"/>
                <w:color w:val="auto"/>
                <w:sz w:val="24"/>
                <w:highlight w:val="none"/>
              </w:rPr>
            </w:pPr>
            <w:r>
              <w:rPr>
                <w:rFonts w:hint="eastAsia"/>
                <w:color w:val="auto"/>
                <w:sz w:val="24"/>
                <w:highlight w:val="none"/>
              </w:rPr>
              <w:t>该项目已于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日验收并交付使用。根据合同规定，该项目的履约保证金期限于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日已满，请将履约保证金</w:t>
            </w:r>
          </w:p>
          <w:p>
            <w:pPr>
              <w:rPr>
                <w:rFonts w:hint="eastAsia"/>
                <w:color w:val="auto"/>
                <w:sz w:val="24"/>
                <w:highlight w:val="none"/>
              </w:rPr>
            </w:pPr>
            <w:r>
              <w:rPr>
                <w:rFonts w:hint="eastAsia"/>
                <w:color w:val="auto"/>
                <w:sz w:val="24"/>
                <w:highlight w:val="none"/>
              </w:rPr>
              <w:t>（大写）</w:t>
            </w:r>
            <w:r>
              <w:rPr>
                <w:rFonts w:hint="eastAsia"/>
                <w:color w:val="auto"/>
                <w:sz w:val="24"/>
                <w:highlight w:val="none"/>
                <w:u w:val="single"/>
              </w:rPr>
              <w:t xml:space="preserve">人民币                            </w:t>
            </w:r>
            <w:r>
              <w:rPr>
                <w:rFonts w:hint="eastAsia"/>
                <w:color w:val="auto"/>
                <w:sz w:val="24"/>
                <w:highlight w:val="none"/>
              </w:rPr>
              <w:t>（小写）¥</w:t>
            </w:r>
            <w:r>
              <w:rPr>
                <w:rFonts w:hint="eastAsia"/>
                <w:color w:val="auto"/>
                <w:sz w:val="24"/>
                <w:highlight w:val="none"/>
                <w:u w:val="single"/>
              </w:rPr>
              <w:t xml:space="preserve">          </w:t>
            </w:r>
            <w:r>
              <w:rPr>
                <w:rFonts w:hint="eastAsia"/>
                <w:color w:val="auto"/>
                <w:sz w:val="24"/>
                <w:highlight w:val="none"/>
              </w:rPr>
              <w:t>退付到达以下账户。</w:t>
            </w:r>
          </w:p>
          <w:p>
            <w:pPr>
              <w:rPr>
                <w:rFonts w:hint="eastAsia"/>
                <w:color w:val="auto"/>
                <w:sz w:val="24"/>
                <w:highlight w:val="none"/>
              </w:rPr>
            </w:pPr>
            <w:r>
              <w:rPr>
                <w:rFonts w:hint="eastAsia"/>
                <w:color w:val="auto"/>
                <w:sz w:val="24"/>
                <w:highlight w:val="none"/>
              </w:rPr>
              <w:t>单位名称：</w:t>
            </w:r>
          </w:p>
          <w:p>
            <w:pPr>
              <w:rPr>
                <w:rFonts w:hint="eastAsia"/>
                <w:color w:val="auto"/>
                <w:sz w:val="24"/>
                <w:highlight w:val="none"/>
              </w:rPr>
            </w:pPr>
            <w:r>
              <w:rPr>
                <w:rFonts w:hint="eastAsia"/>
                <w:color w:val="auto"/>
                <w:sz w:val="24"/>
                <w:highlight w:val="none"/>
              </w:rPr>
              <w:t>开户银行：</w:t>
            </w:r>
          </w:p>
          <w:p>
            <w:pPr>
              <w:rPr>
                <w:rFonts w:hint="eastAsia"/>
                <w:color w:val="auto"/>
                <w:sz w:val="24"/>
                <w:highlight w:val="none"/>
              </w:rPr>
            </w:pPr>
            <w:r>
              <w:rPr>
                <w:rFonts w:hint="eastAsia"/>
                <w:color w:val="auto"/>
                <w:sz w:val="24"/>
                <w:highlight w:val="none"/>
              </w:rPr>
              <w:t>账    号：</w:t>
            </w:r>
          </w:p>
          <w:p>
            <w:pPr>
              <w:rPr>
                <w:rFonts w:hint="eastAsia"/>
                <w:color w:val="auto"/>
                <w:sz w:val="24"/>
                <w:highlight w:val="none"/>
              </w:rPr>
            </w:pPr>
            <w:r>
              <w:rPr>
                <w:rFonts w:hint="eastAsia"/>
                <w:color w:val="auto"/>
                <w:sz w:val="24"/>
                <w:highlight w:val="none"/>
              </w:rPr>
              <w:t>联系人及电话：</w:t>
            </w:r>
          </w:p>
          <w:p>
            <w:pPr>
              <w:rPr>
                <w:rFonts w:hint="eastAsia"/>
                <w:color w:val="auto"/>
                <w:sz w:val="24"/>
                <w:highlight w:val="none"/>
              </w:rPr>
            </w:pPr>
          </w:p>
          <w:p>
            <w:pPr>
              <w:jc w:val="center"/>
              <w:rPr>
                <w:rFonts w:hint="eastAsia"/>
                <w:color w:val="auto"/>
                <w:sz w:val="24"/>
                <w:highlight w:val="none"/>
              </w:rPr>
            </w:pPr>
            <w:r>
              <w:rPr>
                <w:rFonts w:hint="eastAsia"/>
                <w:color w:val="auto"/>
                <w:sz w:val="24"/>
                <w:highlight w:val="none"/>
              </w:rPr>
              <w:t xml:space="preserve">                           供应商签章：</w:t>
            </w:r>
          </w:p>
          <w:p>
            <w:pPr>
              <w:jc w:val="center"/>
              <w:rPr>
                <w:rFonts w:hint="eastAsia"/>
                <w:color w:val="auto"/>
                <w:sz w:val="24"/>
                <w:highlight w:val="none"/>
              </w:rPr>
            </w:pPr>
            <w:r>
              <w:rPr>
                <w:rFonts w:hint="eastAsia"/>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pPr>
              <w:jc w:val="center"/>
              <w:rPr>
                <w:rFonts w:hint="eastAsia"/>
                <w:color w:val="auto"/>
                <w:sz w:val="24"/>
                <w:highlight w:val="none"/>
              </w:rPr>
            </w:pPr>
            <w:r>
              <w:rPr>
                <w:rFonts w:hint="eastAsia"/>
                <w:color w:val="auto"/>
                <w:sz w:val="24"/>
                <w:highlight w:val="none"/>
              </w:rPr>
              <w:t>采</w:t>
            </w:r>
          </w:p>
          <w:p>
            <w:pPr>
              <w:jc w:val="center"/>
              <w:rPr>
                <w:rFonts w:hint="eastAsia"/>
                <w:color w:val="auto"/>
                <w:sz w:val="24"/>
                <w:highlight w:val="none"/>
              </w:rPr>
            </w:pPr>
            <w:r>
              <w:rPr>
                <w:rFonts w:hint="eastAsia"/>
                <w:color w:val="auto"/>
                <w:sz w:val="24"/>
                <w:highlight w:val="none"/>
              </w:rPr>
              <w:t>购</w:t>
            </w:r>
          </w:p>
          <w:p>
            <w:pPr>
              <w:jc w:val="center"/>
              <w:rPr>
                <w:rFonts w:hint="eastAsia"/>
                <w:color w:val="auto"/>
                <w:sz w:val="24"/>
                <w:highlight w:val="none"/>
              </w:rPr>
            </w:pPr>
            <w:r>
              <w:rPr>
                <w:rFonts w:hint="eastAsia"/>
                <w:color w:val="auto"/>
                <w:sz w:val="24"/>
                <w:highlight w:val="none"/>
              </w:rPr>
              <w:t>单</w:t>
            </w:r>
          </w:p>
          <w:p>
            <w:pPr>
              <w:jc w:val="center"/>
              <w:rPr>
                <w:rFonts w:hint="eastAsia"/>
                <w:color w:val="auto"/>
                <w:sz w:val="24"/>
                <w:highlight w:val="none"/>
              </w:rPr>
            </w:pPr>
            <w:r>
              <w:rPr>
                <w:rFonts w:hint="eastAsia"/>
                <w:color w:val="auto"/>
                <w:sz w:val="24"/>
                <w:highlight w:val="none"/>
              </w:rPr>
              <w:t>位</w:t>
            </w:r>
          </w:p>
          <w:p>
            <w:pPr>
              <w:jc w:val="center"/>
              <w:rPr>
                <w:rFonts w:hint="eastAsia"/>
                <w:color w:val="auto"/>
                <w:sz w:val="24"/>
                <w:highlight w:val="none"/>
              </w:rPr>
            </w:pPr>
            <w:r>
              <w:rPr>
                <w:rFonts w:hint="eastAsia"/>
                <w:color w:val="auto"/>
                <w:sz w:val="24"/>
                <w:highlight w:val="none"/>
              </w:rPr>
              <w:t>意</w:t>
            </w:r>
          </w:p>
          <w:p>
            <w:pPr>
              <w:jc w:val="center"/>
              <w:rPr>
                <w:rFonts w:hint="eastAsia"/>
                <w:color w:val="auto"/>
                <w:sz w:val="24"/>
                <w:highlight w:val="none"/>
              </w:rPr>
            </w:pPr>
            <w:r>
              <w:rPr>
                <w:rFonts w:hint="eastAsia"/>
                <w:color w:val="auto"/>
                <w:sz w:val="24"/>
                <w:highlight w:val="none"/>
              </w:rPr>
              <w:t>见</w:t>
            </w:r>
          </w:p>
        </w:tc>
        <w:tc>
          <w:tcPr>
            <w:tcW w:w="8009" w:type="dxa"/>
          </w:tcPr>
          <w:p>
            <w:pPr>
              <w:rPr>
                <w:rFonts w:hint="eastAsia"/>
                <w:color w:val="auto"/>
                <w:sz w:val="24"/>
                <w:highlight w:val="none"/>
              </w:rPr>
            </w:pPr>
          </w:p>
          <w:p>
            <w:pPr>
              <w:rPr>
                <w:rFonts w:hint="eastAsia"/>
                <w:color w:val="auto"/>
                <w:sz w:val="24"/>
                <w:highlight w:val="none"/>
              </w:rPr>
            </w:pPr>
            <w:r>
              <w:rPr>
                <w:rFonts w:hint="eastAsia"/>
                <w:color w:val="auto"/>
                <w:sz w:val="24"/>
                <w:highlight w:val="none"/>
              </w:rPr>
              <w:t>退付意见：是否同意退付履约保证金及退付金额：</w:t>
            </w:r>
          </w:p>
          <w:p>
            <w:pPr>
              <w:rPr>
                <w:rFonts w:hint="eastAsia"/>
                <w:color w:val="auto"/>
                <w:sz w:val="24"/>
                <w:highlight w:val="none"/>
              </w:rPr>
            </w:pPr>
          </w:p>
          <w:p>
            <w:pPr>
              <w:rPr>
                <w:rFonts w:hint="eastAsia"/>
                <w:color w:val="auto"/>
                <w:sz w:val="24"/>
                <w:highlight w:val="none"/>
              </w:rPr>
            </w:pPr>
          </w:p>
          <w:p>
            <w:pPr>
              <w:rPr>
                <w:rFonts w:hint="eastAsia"/>
                <w:color w:val="auto"/>
                <w:sz w:val="24"/>
                <w:highlight w:val="none"/>
              </w:rPr>
            </w:pPr>
            <w:r>
              <w:rPr>
                <w:rFonts w:hint="eastAsia"/>
                <w:color w:val="auto"/>
                <w:sz w:val="24"/>
                <w:highlight w:val="none"/>
              </w:rPr>
              <w:t xml:space="preserve">联系人及电话：                                </w:t>
            </w:r>
          </w:p>
          <w:p>
            <w:pPr>
              <w:rPr>
                <w:rFonts w:hint="eastAsia"/>
                <w:color w:val="auto"/>
                <w:sz w:val="24"/>
                <w:highlight w:val="none"/>
              </w:rPr>
            </w:pPr>
          </w:p>
          <w:p>
            <w:pPr>
              <w:ind w:firstLine="4560" w:firstLineChars="1900"/>
              <w:rPr>
                <w:rFonts w:hint="eastAsia"/>
                <w:color w:val="auto"/>
                <w:sz w:val="24"/>
                <w:highlight w:val="none"/>
              </w:rPr>
            </w:pPr>
            <w:r>
              <w:rPr>
                <w:rFonts w:hint="eastAsia"/>
                <w:color w:val="auto"/>
                <w:sz w:val="24"/>
                <w:highlight w:val="none"/>
              </w:rPr>
              <w:t xml:space="preserve"> 采购人签章：</w:t>
            </w:r>
          </w:p>
          <w:p>
            <w:pPr>
              <w:jc w:val="center"/>
              <w:rPr>
                <w:rFonts w:hint="eastAsia"/>
                <w:color w:val="auto"/>
                <w:sz w:val="24"/>
                <w:highlight w:val="none"/>
              </w:rPr>
            </w:pPr>
            <w:r>
              <w:rPr>
                <w:rFonts w:hint="eastAsia"/>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pPr>
              <w:jc w:val="center"/>
              <w:rPr>
                <w:rFonts w:hint="eastAsia"/>
                <w:color w:val="auto"/>
                <w:sz w:val="24"/>
                <w:highlight w:val="none"/>
              </w:rPr>
            </w:pPr>
            <w:r>
              <w:rPr>
                <w:rFonts w:hint="eastAsia"/>
                <w:color w:val="auto"/>
                <w:sz w:val="24"/>
                <w:highlight w:val="none"/>
              </w:rPr>
              <w:t>备注</w:t>
            </w:r>
          </w:p>
        </w:tc>
        <w:tc>
          <w:tcPr>
            <w:tcW w:w="8009" w:type="dxa"/>
          </w:tcPr>
          <w:p>
            <w:pPr>
              <w:rPr>
                <w:rFonts w:hint="eastAsia"/>
                <w:color w:val="auto"/>
                <w:sz w:val="24"/>
                <w:highlight w:val="none"/>
              </w:rPr>
            </w:pPr>
          </w:p>
        </w:tc>
      </w:tr>
    </w:tbl>
    <w:p>
      <w:pPr>
        <w:pStyle w:val="16"/>
        <w:ind w:left="1" w:firstLine="2" w:firstLineChars="1"/>
        <w:rPr>
          <w:rFonts w:hint="eastAsia" w:ascii="宋体"/>
          <w:b/>
          <w:bCs/>
          <w:color w:val="auto"/>
          <w:sz w:val="18"/>
          <w:szCs w:val="18"/>
          <w:highlight w:val="none"/>
        </w:rPr>
      </w:pPr>
    </w:p>
    <w:p>
      <w:pPr>
        <w:pStyle w:val="16"/>
        <w:ind w:left="1" w:firstLine="2" w:firstLineChars="1"/>
        <w:rPr>
          <w:rFonts w:hint="eastAsia" w:ascii="宋体"/>
          <w:b/>
          <w:bCs/>
          <w:color w:val="auto"/>
          <w:sz w:val="18"/>
          <w:szCs w:val="18"/>
          <w:highlight w:val="none"/>
        </w:rPr>
      </w:pPr>
      <w:r>
        <w:rPr>
          <w:rFonts w:hint="eastAsia" w:ascii="宋体"/>
          <w:b/>
          <w:bCs/>
          <w:color w:val="auto"/>
          <w:sz w:val="18"/>
          <w:szCs w:val="18"/>
          <w:highlight w:val="none"/>
        </w:rPr>
        <w:t>　　　注：供应商凭经采购人审批的退付意见书到履约保证金收取单位财务部门办理履约保证金退付事宜。</w:t>
      </w:r>
    </w:p>
    <w:p>
      <w:pPr>
        <w:shd w:val="clear" w:color="auto" w:fill="FFFFFF"/>
        <w:spacing w:line="360" w:lineRule="auto"/>
        <w:ind w:firstLine="2349" w:firstLineChars="1300"/>
        <w:jc w:val="left"/>
        <w:rPr>
          <w:color w:val="auto"/>
          <w:sz w:val="24"/>
          <w:highlight w:val="none"/>
        </w:rPr>
      </w:pPr>
      <w:r>
        <w:rPr>
          <w:rFonts w:hint="eastAsia" w:ascii="宋体"/>
          <w:b/>
          <w:bCs/>
          <w:color w:val="auto"/>
          <w:sz w:val="18"/>
          <w:szCs w:val="18"/>
          <w:highlight w:val="none"/>
        </w:rPr>
        <w:br w:type="page"/>
      </w:r>
    </w:p>
    <w:p>
      <w:pPr>
        <w:pStyle w:val="3"/>
        <w:jc w:val="center"/>
        <w:rPr>
          <w:rFonts w:hint="eastAsia"/>
          <w:b w:val="0"/>
          <w:bCs w:val="0"/>
          <w:color w:val="auto"/>
          <w:highlight w:val="none"/>
        </w:rPr>
      </w:pPr>
      <w:bookmarkStart w:id="150" w:name="_Toc18676"/>
      <w:bookmarkStart w:id="151" w:name="_Toc80886947"/>
      <w:bookmarkStart w:id="152" w:name="_Toc15161"/>
      <w:bookmarkStart w:id="153" w:name="_Toc4005"/>
      <w:bookmarkStart w:id="154" w:name="_Toc9343"/>
      <w:bookmarkStart w:id="155" w:name="_Toc24786"/>
      <w:bookmarkStart w:id="156" w:name="_Toc15154"/>
      <w:bookmarkStart w:id="157" w:name="_Toc12748"/>
    </w:p>
    <w:p>
      <w:pPr>
        <w:pStyle w:val="3"/>
        <w:jc w:val="center"/>
        <w:rPr>
          <w:rFonts w:hint="eastAsia"/>
          <w:b w:val="0"/>
          <w:bCs w:val="0"/>
          <w:color w:val="auto"/>
          <w:highlight w:val="none"/>
        </w:rPr>
      </w:pPr>
    </w:p>
    <w:p>
      <w:pPr>
        <w:pStyle w:val="3"/>
        <w:jc w:val="center"/>
        <w:rPr>
          <w:rFonts w:hint="eastAsia"/>
          <w:b w:val="0"/>
          <w:bCs w:val="0"/>
          <w:color w:val="auto"/>
          <w:highlight w:val="none"/>
        </w:rPr>
      </w:pPr>
    </w:p>
    <w:p>
      <w:pPr>
        <w:pStyle w:val="3"/>
        <w:jc w:val="center"/>
        <w:rPr>
          <w:rFonts w:hint="eastAsia"/>
          <w:b w:val="0"/>
          <w:bCs w:val="0"/>
          <w:color w:val="auto"/>
          <w:highlight w:val="none"/>
        </w:rPr>
      </w:pPr>
      <w:r>
        <w:rPr>
          <w:rFonts w:hint="eastAsia"/>
          <w:b w:val="0"/>
          <w:bCs w:val="0"/>
          <w:color w:val="auto"/>
          <w:highlight w:val="none"/>
        </w:rPr>
        <w:t xml:space="preserve">第六章 </w:t>
      </w:r>
      <w:r>
        <w:rPr>
          <w:b w:val="0"/>
          <w:bCs w:val="0"/>
          <w:color w:val="auto"/>
          <w:highlight w:val="none"/>
        </w:rPr>
        <w:t xml:space="preserve"> </w:t>
      </w:r>
      <w:r>
        <w:rPr>
          <w:rFonts w:hint="eastAsia"/>
          <w:b w:val="0"/>
          <w:bCs w:val="0"/>
          <w:color w:val="auto"/>
          <w:highlight w:val="none"/>
        </w:rPr>
        <w:t>合同文本</w:t>
      </w:r>
      <w:bookmarkEnd w:id="150"/>
      <w:bookmarkEnd w:id="151"/>
      <w:bookmarkEnd w:id="152"/>
      <w:bookmarkEnd w:id="153"/>
      <w:bookmarkEnd w:id="154"/>
      <w:bookmarkEnd w:id="155"/>
      <w:bookmarkEnd w:id="156"/>
    </w:p>
    <w:p>
      <w:pPr>
        <w:snapToGrid w:val="0"/>
        <w:rPr>
          <w:rFonts w:hint="eastAsia" w:ascii="宋体" w:hAnsi="宋体" w:cs="宋体"/>
          <w:b/>
          <w:bCs/>
          <w:color w:val="auto"/>
          <w:sz w:val="32"/>
          <w:szCs w:val="32"/>
          <w:highlight w:val="none"/>
        </w:rPr>
      </w:pPr>
      <w:r>
        <w:rPr>
          <w:b/>
          <w:bCs/>
          <w:color w:val="auto"/>
          <w:highlight w:val="none"/>
        </w:rPr>
        <w:br w:type="page"/>
      </w:r>
      <w:bookmarkEnd w:id="157"/>
    </w:p>
    <w:p>
      <w:pPr>
        <w:snapToGrid w:val="0"/>
        <w:spacing w:line="480" w:lineRule="exact"/>
        <w:jc w:val="center"/>
        <w:rPr>
          <w:rFonts w:hint="eastAsia" w:ascii="宋体" w:hAnsi="宋体" w:eastAsia="宋体" w:cs="Times New Roman"/>
          <w:b/>
          <w:bCs/>
          <w:color w:val="auto"/>
          <w:sz w:val="32"/>
          <w:szCs w:val="32"/>
          <w:highlight w:val="none"/>
        </w:rPr>
      </w:pPr>
    </w:p>
    <w:p>
      <w:pPr>
        <w:snapToGrid w:val="0"/>
        <w:spacing w:line="480" w:lineRule="exact"/>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《广西壮族自治区政府采购合同》</w:t>
      </w:r>
    </w:p>
    <w:p>
      <w:pPr>
        <w:snapToGrid w:val="0"/>
        <w:spacing w:line="480" w:lineRule="exact"/>
        <w:ind w:right="480" w:firstLine="5250" w:firstLineChars="2500"/>
        <w:rPr>
          <w:rFonts w:hint="eastAsia" w:ascii="宋体" w:hAnsi="宋体" w:eastAsia="宋体" w:cs="Times New Roman"/>
          <w:bCs/>
          <w:color w:val="auto"/>
          <w:szCs w:val="21"/>
          <w:highlight w:val="none"/>
        </w:rPr>
      </w:pPr>
    </w:p>
    <w:p>
      <w:pPr>
        <w:spacing w:line="500" w:lineRule="exact"/>
        <w:ind w:right="800"/>
        <w:rPr>
          <w:rFonts w:ascii="宋体" w:hAnsi="宋体" w:eastAsia="宋体" w:cs="宋体"/>
          <w:bCs/>
          <w:color w:val="auto"/>
          <w:szCs w:val="21"/>
          <w:highlight w:val="none"/>
          <w:u w:val="single"/>
        </w:rPr>
      </w:pPr>
      <w:r>
        <w:rPr>
          <w:rFonts w:hint="eastAsia" w:ascii="宋体" w:hAnsi="宋体" w:eastAsia="宋体" w:cs="宋体"/>
          <w:color w:val="auto"/>
          <w:szCs w:val="21"/>
          <w:highlight w:val="none"/>
        </w:rPr>
        <w:t>采购计划号：</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ascii="宋体" w:hAnsi="宋体" w:eastAsia="宋体" w:cs="宋体"/>
          <w:color w:val="auto"/>
          <w:szCs w:val="21"/>
          <w:highlight w:val="none"/>
        </w:rPr>
        <w:t xml:space="preserve">   </w:t>
      </w:r>
      <w:r>
        <w:rPr>
          <w:rFonts w:hint="eastAsia" w:ascii="宋体" w:hAnsi="宋体" w:eastAsia="宋体" w:cs="宋体"/>
          <w:bCs/>
          <w:color w:val="auto"/>
          <w:szCs w:val="21"/>
          <w:highlight w:val="none"/>
        </w:rPr>
        <w:t>合同编号：</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p>
    <w:p>
      <w:pPr>
        <w:spacing w:line="500" w:lineRule="exact"/>
        <w:rPr>
          <w:rFonts w:ascii="宋体" w:hAnsi="宋体" w:eastAsia="宋体" w:cs="宋体"/>
          <w:color w:val="auto"/>
          <w:szCs w:val="21"/>
          <w:highlight w:val="none"/>
          <w:u w:val="single"/>
        </w:rPr>
      </w:pPr>
      <w:r>
        <w:rPr>
          <w:rFonts w:hint="eastAsia" w:ascii="宋体" w:hAnsi="宋体" w:eastAsia="宋体" w:cs="宋体"/>
          <w:color w:val="auto"/>
          <w:szCs w:val="21"/>
          <w:highlight w:val="none"/>
        </w:rPr>
        <w:t>采购人（甲方）：</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成交</w:t>
      </w:r>
      <w:r>
        <w:rPr>
          <w:rFonts w:hint="eastAsia" w:ascii="宋体" w:hAnsi="宋体" w:eastAsia="宋体" w:cs="宋体"/>
          <w:color w:val="auto"/>
          <w:szCs w:val="21"/>
          <w:highlight w:val="none"/>
        </w:rPr>
        <w:t>供应商（乙方）：</w:t>
      </w:r>
      <w:r>
        <w:rPr>
          <w:rFonts w:ascii="宋体" w:hAnsi="宋体" w:eastAsia="宋体" w:cs="宋体"/>
          <w:color w:val="auto"/>
          <w:szCs w:val="21"/>
          <w:highlight w:val="none"/>
          <w:u w:val="single"/>
        </w:rPr>
        <w:t xml:space="preserve">               </w:t>
      </w:r>
    </w:p>
    <w:p>
      <w:pPr>
        <w:spacing w:line="5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项目编号：</w:t>
      </w:r>
      <w:r>
        <w:rPr>
          <w:rFonts w:ascii="宋体" w:hAnsi="宋体" w:eastAsia="宋体" w:cs="宋体"/>
          <w:color w:val="auto"/>
          <w:szCs w:val="21"/>
          <w:highlight w:val="none"/>
          <w:u w:val="single"/>
        </w:rPr>
        <w:t xml:space="preserve">                         </w:t>
      </w:r>
    </w:p>
    <w:p>
      <w:pPr>
        <w:spacing w:line="5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签订地点：</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签订时间：</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pPr>
        <w:spacing w:line="5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本合同为中小企业预留合同：</w:t>
      </w:r>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val="en-US" w:eastAsia="zh-CN"/>
        </w:rPr>
        <w:t>否</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pPr>
        <w:spacing w:line="500" w:lineRule="exact"/>
        <w:ind w:firstLine="420" w:firstLineChars="200"/>
        <w:rPr>
          <w:rFonts w:hint="eastAsia" w:ascii="宋体" w:hAnsi="宋体" w:eastAsia="宋体" w:cs="宋体"/>
          <w:color w:val="auto"/>
          <w:szCs w:val="21"/>
          <w:highlight w:val="none"/>
        </w:rPr>
      </w:pP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根据《中华人民共和国政府采购法》、《中华人民共和国民法典》等法律、法规规定，按照采购</w:t>
      </w:r>
      <w:r>
        <w:rPr>
          <w:rFonts w:hint="eastAsia" w:ascii="宋体" w:hAnsi="宋体" w:eastAsia="宋体" w:cs="Times New Roman"/>
          <w:color w:val="auto"/>
          <w:szCs w:val="21"/>
          <w:highlight w:val="none"/>
        </w:rPr>
        <w:t>文件规定条款和乙方响应文件及其承诺，甲乙双方签订本合同。</w:t>
      </w:r>
    </w:p>
    <w:p>
      <w:pPr>
        <w:spacing w:line="5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第一条　合同标的</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1、项目一览表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505"/>
        <w:gridCol w:w="4102"/>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50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410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服务内容</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350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广西壮族自治区工伤保险结余基金审计服务</w:t>
            </w:r>
          </w:p>
        </w:tc>
        <w:tc>
          <w:tcPr>
            <w:tcW w:w="410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按乙方响应文件服务需求偏离表中响应的服务内容</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1项</w:t>
            </w:r>
          </w:p>
        </w:tc>
      </w:tr>
    </w:tbl>
    <w:p>
      <w:pPr>
        <w:spacing w:line="500" w:lineRule="exact"/>
        <w:ind w:firstLine="420" w:firstLineChars="200"/>
        <w:rPr>
          <w:rFonts w:hint="eastAsia" w:ascii="宋体" w:hAnsi="宋体" w:cs="宋体"/>
          <w:b w:val="0"/>
          <w:bCs w:val="0"/>
          <w:color w:val="auto"/>
          <w:szCs w:val="21"/>
          <w:highlight w:val="none"/>
          <w:lang w:val="en-US" w:eastAsia="zh-CN"/>
        </w:rPr>
      </w:pPr>
      <w:r>
        <w:rPr>
          <w:rFonts w:hint="eastAsia" w:ascii="宋体" w:hAnsi="宋体" w:eastAsia="宋体" w:cs="宋体"/>
          <w:color w:val="auto"/>
          <w:szCs w:val="21"/>
          <w:highlight w:val="none"/>
        </w:rPr>
        <w:t>2、</w:t>
      </w:r>
      <w:r>
        <w:rPr>
          <w:rFonts w:hint="eastAsia" w:ascii="宋体" w:hAnsi="宋体" w:cs="宋体"/>
          <w:b w:val="0"/>
          <w:bCs w:val="0"/>
          <w:color w:val="auto"/>
          <w:szCs w:val="21"/>
          <w:highlight w:val="none"/>
          <w:lang w:val="en-US" w:eastAsia="zh-CN"/>
        </w:rPr>
        <w:t>报价包含所应提供的服务，以及技术服务、培训、税费等所有费用。</w:t>
      </w:r>
    </w:p>
    <w:p>
      <w:pPr>
        <w:spacing w:line="500" w:lineRule="exact"/>
        <w:ind w:firstLine="420" w:firstLineChars="200"/>
        <w:rPr>
          <w:rFonts w:hint="eastAsia" w:ascii="宋体" w:hAnsi="宋体" w:cs="宋体"/>
          <w:b w:val="0"/>
          <w:bCs w:val="0"/>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cs="宋体"/>
          <w:b w:val="0"/>
          <w:bCs w:val="0"/>
          <w:color w:val="auto"/>
          <w:szCs w:val="21"/>
          <w:highlight w:val="none"/>
          <w:lang w:val="en-US" w:eastAsia="zh-CN"/>
        </w:rPr>
        <w:t>本合同金额为人民币</w:t>
      </w:r>
      <w:r>
        <w:rPr>
          <w:rFonts w:hint="eastAsia" w:ascii="宋体" w:hAnsi="宋体" w:cs="宋体"/>
          <w:b w:val="0"/>
          <w:bCs w:val="0"/>
          <w:color w:val="auto"/>
          <w:szCs w:val="21"/>
          <w:highlight w:val="none"/>
          <w:u w:val="single"/>
          <w:lang w:val="en-US" w:eastAsia="zh-CN"/>
        </w:rPr>
        <w:t xml:space="preserve">          </w:t>
      </w:r>
      <w:r>
        <w:rPr>
          <w:rFonts w:hint="eastAsia" w:ascii="宋体" w:hAnsi="宋体" w:cs="宋体"/>
          <w:b w:val="0"/>
          <w:bCs w:val="0"/>
          <w:color w:val="auto"/>
          <w:szCs w:val="21"/>
          <w:highlight w:val="none"/>
          <w:lang w:val="en-US" w:eastAsia="zh-CN"/>
        </w:rPr>
        <w:t>元整（¥</w:t>
      </w:r>
      <w:r>
        <w:rPr>
          <w:rFonts w:hint="eastAsia" w:ascii="宋体" w:hAnsi="宋体" w:cs="宋体"/>
          <w:b w:val="0"/>
          <w:bCs w:val="0"/>
          <w:color w:val="auto"/>
          <w:szCs w:val="21"/>
          <w:highlight w:val="none"/>
          <w:u w:val="single"/>
          <w:lang w:val="en-US" w:eastAsia="zh-CN"/>
        </w:rPr>
        <w:t xml:space="preserve">          </w:t>
      </w:r>
      <w:r>
        <w:rPr>
          <w:rFonts w:hint="eastAsia" w:ascii="宋体" w:hAnsi="宋体" w:cs="宋体"/>
          <w:b w:val="0"/>
          <w:bCs w:val="0"/>
          <w:color w:val="auto"/>
          <w:szCs w:val="21"/>
          <w:highlight w:val="none"/>
          <w:lang w:val="en-US" w:eastAsia="zh-CN"/>
        </w:rPr>
        <w:t>元）。</w:t>
      </w:r>
    </w:p>
    <w:p>
      <w:pPr>
        <w:spacing w:line="5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　质量保证</w:t>
      </w:r>
    </w:p>
    <w:p>
      <w:pPr>
        <w:snapToGrid w:val="0"/>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pPr>
        <w:snapToGrid w:val="0"/>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乙方需配合甲方做好绩效考核。</w:t>
      </w:r>
    </w:p>
    <w:p>
      <w:pPr>
        <w:spacing w:line="5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第三条　权利保证</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1、乙方应保证所提供服务在使用时不会侵犯任何第三方的专利权、商标权、工业设计权等知识产权及其他合法权利，且所有权、处分权等没有受到任何限制。</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pPr>
        <w:spacing w:line="5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第四条　成果交付</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color w:val="auto"/>
          <w:szCs w:val="21"/>
          <w:highlight w:val="none"/>
        </w:rPr>
        <w:t>项目完成时间</w:t>
      </w:r>
      <w:r>
        <w:rPr>
          <w:rFonts w:hint="eastAsia" w:ascii="宋体" w:hAnsi="宋体" w:eastAsia="宋体" w:cs="宋体"/>
          <w:color w:val="auto"/>
          <w:szCs w:val="21"/>
          <w:highlight w:val="none"/>
        </w:rPr>
        <w:t>：</w:t>
      </w:r>
      <w:r>
        <w:rPr>
          <w:rFonts w:hint="eastAsia" w:ascii="宋体" w:hAnsi="宋体" w:cs="宋体"/>
          <w:b w:val="0"/>
          <w:bCs w:val="0"/>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spacing w:line="500" w:lineRule="exact"/>
        <w:ind w:firstLine="630" w:firstLineChars="3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服务地点</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2、乙方应按响应文件的承诺向甲方提供相应的服务，并提供所服务内容的相关技术资料。</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3、乙方提供不符合响应文件和本合同规定的服务成果，甲方有权拒绝接受。</w:t>
      </w:r>
    </w:p>
    <w:p>
      <w:pPr>
        <w:spacing w:line="5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第五条  </w:t>
      </w:r>
      <w:r>
        <w:rPr>
          <w:rFonts w:hint="eastAsia" w:ascii="宋体" w:hAnsi="宋体" w:eastAsia="宋体" w:cs="宋体"/>
          <w:b/>
          <w:color w:val="auto"/>
          <w:szCs w:val="21"/>
          <w:highlight w:val="none"/>
        </w:rPr>
        <w:t>售后服务及培训</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1、乙方应按照国家有关法律法规和</w:t>
      </w:r>
      <w:r>
        <w:rPr>
          <w:rFonts w:hint="eastAsia" w:ascii="宋体" w:hAnsi="宋体" w:cs="宋体"/>
          <w:color w:val="auto"/>
          <w:szCs w:val="21"/>
          <w:highlight w:val="none"/>
          <w:lang w:val="en-US" w:eastAsia="zh-CN"/>
        </w:rPr>
        <w:t>响应文件</w:t>
      </w:r>
      <w:r>
        <w:rPr>
          <w:rFonts w:hint="eastAsia" w:ascii="宋体" w:hAnsi="宋体" w:eastAsia="宋体" w:cs="宋体"/>
          <w:color w:val="auto"/>
          <w:szCs w:val="21"/>
          <w:highlight w:val="none"/>
        </w:rPr>
        <w:t>所附的售后服务</w:t>
      </w:r>
      <w:r>
        <w:rPr>
          <w:rFonts w:hint="eastAsia" w:ascii="宋体" w:hAnsi="宋体" w:cs="宋体"/>
          <w:color w:val="auto"/>
          <w:szCs w:val="21"/>
          <w:highlight w:val="none"/>
          <w:lang w:val="en-US" w:eastAsia="zh-CN"/>
        </w:rPr>
        <w:t>内容</w:t>
      </w:r>
      <w:r>
        <w:rPr>
          <w:rFonts w:hint="eastAsia" w:ascii="宋体" w:hAnsi="宋体" w:eastAsia="宋体" w:cs="宋体"/>
          <w:color w:val="auto"/>
          <w:szCs w:val="21"/>
          <w:highlight w:val="none"/>
        </w:rPr>
        <w:t>为甲方提供相应的售后服务。</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2、甲方应提供必要条件（如场地、电源、水源等）。</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3、乙方负责甲方有关人员的培训</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。培训时间、地点：</w:t>
      </w:r>
      <w:r>
        <w:rPr>
          <w:rFonts w:hint="eastAsia" w:ascii="宋体" w:hAnsi="宋体" w:eastAsia="宋体" w:cs="宋体"/>
          <w:color w:val="auto"/>
          <w:szCs w:val="21"/>
          <w:highlight w:val="none"/>
          <w:u w:val="single"/>
        </w:rPr>
        <w:t>甲方指定时间及地点</w:t>
      </w:r>
      <w:r>
        <w:rPr>
          <w:rFonts w:hint="eastAsia" w:ascii="宋体" w:hAnsi="宋体" w:eastAsia="宋体" w:cs="宋体"/>
          <w:color w:val="auto"/>
          <w:szCs w:val="21"/>
          <w:highlight w:val="none"/>
        </w:rPr>
        <w:t>。</w:t>
      </w:r>
    </w:p>
    <w:p>
      <w:pPr>
        <w:spacing w:line="5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第六条  付款方式</w:t>
      </w:r>
    </w:p>
    <w:p>
      <w:pPr>
        <w:spacing w:line="500" w:lineRule="exact"/>
        <w:ind w:firstLine="420" w:firstLineChars="200"/>
        <w:rPr>
          <w:rFonts w:hint="eastAsia" w:ascii="宋体" w:hAnsi="宋体" w:eastAsia="宋体" w:cs="宋体"/>
          <w:bCs/>
          <w:color w:val="auto"/>
          <w:szCs w:val="21"/>
          <w:highlight w:val="none"/>
          <w:u w:val="single"/>
        </w:rPr>
      </w:pPr>
      <w:r>
        <w:rPr>
          <w:rFonts w:hint="eastAsia" w:ascii="宋体" w:hAnsi="宋体" w:cs="宋体"/>
          <w:b w:val="0"/>
          <w:bCs w:val="0"/>
          <w:color w:val="auto"/>
          <w:szCs w:val="21"/>
          <w:highlight w:val="none"/>
          <w:u w:val="single"/>
          <w:lang w:val="en-US" w:eastAsia="zh-CN"/>
        </w:rPr>
        <w:t xml:space="preserve">                              </w:t>
      </w:r>
      <w:r>
        <w:rPr>
          <w:rFonts w:hint="eastAsia" w:ascii="宋体" w:hAnsi="宋体" w:eastAsia="宋体" w:cs="宋体"/>
          <w:bCs/>
          <w:color w:val="auto"/>
          <w:szCs w:val="21"/>
          <w:highlight w:val="none"/>
          <w:u w:val="none"/>
        </w:rPr>
        <w:t>。</w:t>
      </w:r>
    </w:p>
    <w:p>
      <w:pPr>
        <w:spacing w:line="5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第七条  履约保证金</w:t>
      </w:r>
    </w:p>
    <w:p>
      <w:pPr>
        <w:spacing w:line="500" w:lineRule="exact"/>
        <w:ind w:firstLine="420" w:firstLineChars="200"/>
        <w:rPr>
          <w:rFonts w:ascii="宋体" w:hAnsi="宋体" w:eastAsia="宋体" w:cs="宋体"/>
          <w:bCs/>
          <w:color w:val="auto"/>
          <w:szCs w:val="21"/>
          <w:highlight w:val="none"/>
        </w:rPr>
      </w:pPr>
      <w:r>
        <w:rPr>
          <w:rFonts w:hint="eastAsia" w:ascii="宋体" w:hAnsi="宋体" w:cs="宋体"/>
          <w:bCs/>
          <w:color w:val="auto"/>
          <w:szCs w:val="21"/>
          <w:highlight w:val="none"/>
          <w:lang w:val="en-US" w:eastAsia="zh-CN"/>
        </w:rPr>
        <w:t>详见付款方式</w:t>
      </w:r>
      <w:r>
        <w:rPr>
          <w:rFonts w:hint="eastAsia" w:ascii="宋体" w:hAnsi="宋体" w:eastAsia="宋体" w:cs="宋体"/>
          <w:bCs/>
          <w:color w:val="auto"/>
          <w:szCs w:val="21"/>
          <w:highlight w:val="none"/>
        </w:rPr>
        <w:t>。</w:t>
      </w:r>
    </w:p>
    <w:p>
      <w:pPr>
        <w:spacing w:line="5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第八条  税费</w:t>
      </w:r>
    </w:p>
    <w:p>
      <w:pPr>
        <w:spacing w:line="5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本合同执行中相关的一切税费均由乙方负担，合同另有约定的除外。</w:t>
      </w:r>
    </w:p>
    <w:p>
      <w:pPr>
        <w:spacing w:line="5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第九条　违约责任</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1、除不可抗力原因外，乙方没有按照合同规定的时间提供服务的，甲方可要求乙方支付违约金。每推迟一天按合同金额的3‰支付违约金，该违约金累计不超过合同金额的10%。</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2、乙方提供的服务如侵犯了第三方合法权益而引发的任何纠纷或者诉讼，均由乙方负责交涉并承担全部责任。</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3、甲方延期付款的，每天向乙方偿付延期款额3‰滞纳金，但滞纳金累计不得超过延期款额5%。</w:t>
      </w:r>
    </w:p>
    <w:p>
      <w:pPr>
        <w:spacing w:line="5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第十条  不可抗力事件处理</w:t>
      </w:r>
    </w:p>
    <w:p>
      <w:pPr>
        <w:spacing w:line="5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1、在合同有效期内，任何一方因不可抗力事件导致不能履行合同，则合同履行期可延长，其延长期与不可抗力影响期相同。</w:t>
      </w:r>
    </w:p>
    <w:p>
      <w:pPr>
        <w:spacing w:line="5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2、不可抗力事件发生后，应立即通知对方，并寄送有关权威机构出具的证明。</w:t>
      </w:r>
    </w:p>
    <w:p>
      <w:pPr>
        <w:spacing w:line="5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3、不可抗力事件延续一百二十天以上，双方应通过友好协商，确定是否继续履行合同。</w:t>
      </w:r>
    </w:p>
    <w:p>
      <w:pPr>
        <w:spacing w:line="5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第十一条  合同争议解决</w:t>
      </w:r>
    </w:p>
    <w:p>
      <w:pPr>
        <w:spacing w:line="5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1、因服务质量问题发生争议的，应邀请国家认可的质量检测机构进行鉴定。服务符合标准的，鉴定费由甲方承担；服务不符合标准的，鉴定费由乙方承担。</w:t>
      </w:r>
    </w:p>
    <w:p>
      <w:pPr>
        <w:spacing w:line="5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2、因履行本合同引起的或者与本合同有关的争议，甲乙双方应首先通过友好协商解决，如果协商不能解决，可向甲方所在地有管辖权的人民法院提起诉讼。</w:t>
      </w:r>
    </w:p>
    <w:p>
      <w:pPr>
        <w:spacing w:line="5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3、诉讼期间，本合同继续履行。</w:t>
      </w:r>
    </w:p>
    <w:p>
      <w:pPr>
        <w:spacing w:line="5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第十二条  合同生效及其它　</w:t>
      </w:r>
    </w:p>
    <w:p>
      <w:pPr>
        <w:spacing w:line="5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1、合同经双方法定代表人或授权代表签字并加盖单位公章后生效</w:t>
      </w:r>
      <w:r>
        <w:rPr>
          <w:rFonts w:hint="eastAsia" w:ascii="宋体" w:hAnsi="宋体" w:eastAsia="宋体" w:cs="宋体"/>
          <w:color w:val="auto"/>
          <w:szCs w:val="21"/>
          <w:highlight w:val="none"/>
        </w:rPr>
        <w:t>（委托代理人签字的需后附授权委托书，格式自拟）</w:t>
      </w:r>
      <w:r>
        <w:rPr>
          <w:rFonts w:hint="eastAsia" w:ascii="宋体" w:hAnsi="宋体" w:eastAsia="宋体" w:cs="宋体"/>
          <w:bCs/>
          <w:color w:val="auto"/>
          <w:szCs w:val="21"/>
          <w:highlight w:val="none"/>
        </w:rPr>
        <w:t>。</w:t>
      </w:r>
    </w:p>
    <w:p>
      <w:pPr>
        <w:spacing w:line="5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2、合同执行中涉及采购资金和采购内容修改或补充的，须经财政部门审批，并签书面补充协议报财政部门备案，方可作为主合同不可分割的一部分。</w:t>
      </w:r>
    </w:p>
    <w:p>
      <w:pPr>
        <w:spacing w:line="5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3、本合同未尽事宜，遵照《</w:t>
      </w:r>
      <w:r>
        <w:rPr>
          <w:rFonts w:hint="eastAsia" w:ascii="宋体" w:hAnsi="宋体" w:eastAsia="宋体" w:cs="宋体"/>
          <w:color w:val="auto"/>
          <w:szCs w:val="21"/>
          <w:highlight w:val="none"/>
        </w:rPr>
        <w:t>中华人民共和国民法典</w:t>
      </w:r>
      <w:r>
        <w:rPr>
          <w:rFonts w:hint="eastAsia" w:ascii="宋体" w:hAnsi="宋体" w:eastAsia="宋体" w:cs="宋体"/>
          <w:bCs/>
          <w:color w:val="auto"/>
          <w:szCs w:val="21"/>
          <w:highlight w:val="none"/>
        </w:rPr>
        <w:t>》有关条文执行。</w:t>
      </w:r>
    </w:p>
    <w:p>
      <w:pPr>
        <w:spacing w:line="5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第十三条  合同的变更、终止与转让</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1、除《中华人民共和国政府采购法》第五十条规定的情形外，本合同一经签订，甲乙双方不得擅自变更、中止或者终止。</w:t>
      </w:r>
    </w:p>
    <w:p>
      <w:pPr>
        <w:spacing w:line="5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2、乙方不得擅自转让其应履行的合同义务。</w:t>
      </w:r>
    </w:p>
    <w:p>
      <w:pPr>
        <w:spacing w:line="5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第十四条　签订本合同依据</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1、成交通知书；</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2、响应报价表及最</w:t>
      </w:r>
      <w:r>
        <w:rPr>
          <w:rFonts w:hint="eastAsia" w:ascii="宋体" w:hAnsi="宋体" w:cs="宋体"/>
          <w:color w:val="auto"/>
          <w:szCs w:val="21"/>
          <w:highlight w:val="none"/>
          <w:lang w:val="en-US" w:eastAsia="zh-CN"/>
        </w:rPr>
        <w:t>后</w:t>
      </w:r>
      <w:r>
        <w:rPr>
          <w:rFonts w:hint="eastAsia" w:ascii="宋体" w:hAnsi="宋体" w:eastAsia="宋体" w:cs="宋体"/>
          <w:color w:val="auto"/>
          <w:szCs w:val="21"/>
          <w:highlight w:val="none"/>
        </w:rPr>
        <w:t>报价表；</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3、商务条款偏离表和</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需求偏离表；</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方案；</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5、响应文件中的其他相关文件。</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6、上述合同文件互相补充和解释。如果合同文件之间存在矛盾或者不一致之处，以上述文件的排列顺序在先者为准。</w:t>
      </w:r>
    </w:p>
    <w:p>
      <w:pPr>
        <w:spacing w:line="5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第十五条　</w:t>
      </w:r>
      <w:r>
        <w:rPr>
          <w:rFonts w:hint="eastAsia" w:ascii="宋体" w:hAnsi="宋体" w:eastAsia="宋体" w:cs="宋体"/>
          <w:color w:val="auto"/>
          <w:szCs w:val="21"/>
          <w:highlight w:val="none"/>
        </w:rPr>
        <w:t>本合同一式</w:t>
      </w:r>
      <w:r>
        <w:rPr>
          <w:rFonts w:hint="eastAsia" w:ascii="宋体" w:hAnsi="宋体" w:cs="宋体"/>
          <w:color w:val="auto"/>
          <w:szCs w:val="21"/>
          <w:highlight w:val="none"/>
          <w:lang w:val="en-US" w:eastAsia="zh-CN"/>
        </w:rPr>
        <w:t>伍</w:t>
      </w:r>
      <w:r>
        <w:rPr>
          <w:rFonts w:hint="eastAsia" w:ascii="宋体" w:hAnsi="宋体" w:eastAsia="宋体" w:cs="宋体"/>
          <w:color w:val="auto"/>
          <w:szCs w:val="21"/>
          <w:highlight w:val="none"/>
        </w:rPr>
        <w:t>份，具有同等法律效力，甲乙双方各贰份（可根据需要另增加），采购代理机构壹份。</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本合同甲乙双方签字盖章后生效，本合同自签订之日起2个工作日内，</w:t>
      </w:r>
      <w:r>
        <w:rPr>
          <w:rFonts w:hint="eastAsia" w:ascii="宋体" w:hAnsi="宋体" w:cs="宋体"/>
          <w:color w:val="auto"/>
          <w:szCs w:val="21"/>
          <w:highlight w:val="none"/>
          <w:lang w:val="en-US" w:eastAsia="zh-CN"/>
        </w:rPr>
        <w:t>甲方</w:t>
      </w:r>
      <w:r>
        <w:rPr>
          <w:rFonts w:hint="eastAsia" w:ascii="宋体" w:hAnsi="宋体" w:eastAsia="宋体" w:cs="宋体"/>
          <w:color w:val="auto"/>
          <w:szCs w:val="21"/>
          <w:highlight w:val="none"/>
        </w:rPr>
        <w:t>应当将采购合同在广西壮族自治区财政厅指定的媒体上公告。</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noWrap w:val="0"/>
            <w:vAlign w:val="center"/>
          </w:tcPr>
          <w:p>
            <w:pPr>
              <w:snapToGrid w:val="0"/>
              <w:spacing w:line="50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甲方（章）           </w:t>
            </w:r>
          </w:p>
          <w:p>
            <w:pPr>
              <w:snapToGrid w:val="0"/>
              <w:spacing w:line="500" w:lineRule="exact"/>
              <w:rPr>
                <w:rFonts w:hint="eastAsia" w:ascii="宋体" w:hAnsi="宋体" w:eastAsia="宋体" w:cs="Times New Roman"/>
                <w:color w:val="auto"/>
                <w:szCs w:val="21"/>
                <w:highlight w:val="none"/>
              </w:rPr>
            </w:pPr>
          </w:p>
          <w:p>
            <w:pPr>
              <w:snapToGrid w:val="0"/>
              <w:spacing w:line="500" w:lineRule="exact"/>
              <w:ind w:firstLine="945" w:firstLineChars="450"/>
              <w:jc w:val="righ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年   月   日</w:t>
            </w:r>
          </w:p>
        </w:tc>
        <w:tc>
          <w:tcPr>
            <w:tcW w:w="4517" w:type="dxa"/>
            <w:noWrap w:val="0"/>
            <w:vAlign w:val="center"/>
          </w:tcPr>
          <w:p>
            <w:pPr>
              <w:snapToGrid w:val="0"/>
              <w:spacing w:line="50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乙方（章）              </w:t>
            </w:r>
          </w:p>
          <w:p>
            <w:pPr>
              <w:snapToGrid w:val="0"/>
              <w:spacing w:line="500" w:lineRule="exact"/>
              <w:rPr>
                <w:rFonts w:hint="eastAsia" w:ascii="宋体" w:hAnsi="宋体" w:eastAsia="宋体" w:cs="Times New Roman"/>
                <w:color w:val="auto"/>
                <w:szCs w:val="21"/>
                <w:highlight w:val="none"/>
              </w:rPr>
            </w:pPr>
          </w:p>
          <w:p>
            <w:pPr>
              <w:snapToGrid w:val="0"/>
              <w:spacing w:line="500" w:lineRule="exact"/>
              <w:jc w:val="righ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16" w:type="dxa"/>
            <w:noWrap w:val="0"/>
            <w:vAlign w:val="center"/>
          </w:tcPr>
          <w:p>
            <w:pPr>
              <w:snapToGrid w:val="0"/>
              <w:spacing w:line="50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单位地址：</w:t>
            </w:r>
          </w:p>
        </w:tc>
        <w:tc>
          <w:tcPr>
            <w:tcW w:w="4517" w:type="dxa"/>
            <w:noWrap w:val="0"/>
            <w:vAlign w:val="center"/>
          </w:tcPr>
          <w:p>
            <w:pPr>
              <w:snapToGrid w:val="0"/>
              <w:spacing w:line="50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16" w:type="dxa"/>
            <w:noWrap w:val="0"/>
            <w:vAlign w:val="top"/>
          </w:tcPr>
          <w:p>
            <w:pPr>
              <w:snapToGrid w:val="0"/>
              <w:spacing w:line="50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法定代表人或者委托代理人：</w:t>
            </w:r>
          </w:p>
        </w:tc>
        <w:tc>
          <w:tcPr>
            <w:tcW w:w="4517" w:type="dxa"/>
            <w:noWrap w:val="0"/>
            <w:vAlign w:val="top"/>
          </w:tcPr>
          <w:p>
            <w:pPr>
              <w:snapToGrid w:val="0"/>
              <w:spacing w:line="50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法定代表人或者委托代理人：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16" w:type="dxa"/>
            <w:noWrap w:val="0"/>
            <w:vAlign w:val="center"/>
          </w:tcPr>
          <w:p>
            <w:pPr>
              <w:snapToGrid w:val="0"/>
              <w:spacing w:line="50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p>
        </w:tc>
        <w:tc>
          <w:tcPr>
            <w:tcW w:w="4517" w:type="dxa"/>
            <w:noWrap w:val="0"/>
            <w:vAlign w:val="center"/>
          </w:tcPr>
          <w:p>
            <w:pPr>
              <w:snapToGrid w:val="0"/>
              <w:spacing w:line="50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16" w:type="dxa"/>
            <w:noWrap w:val="0"/>
            <w:vAlign w:val="center"/>
          </w:tcPr>
          <w:p>
            <w:pPr>
              <w:snapToGrid w:val="0"/>
              <w:spacing w:line="50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电子邮箱：</w:t>
            </w:r>
          </w:p>
        </w:tc>
        <w:tc>
          <w:tcPr>
            <w:tcW w:w="4517" w:type="dxa"/>
            <w:noWrap w:val="0"/>
            <w:vAlign w:val="center"/>
          </w:tcPr>
          <w:p>
            <w:pPr>
              <w:snapToGrid w:val="0"/>
              <w:spacing w:line="50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16" w:type="dxa"/>
            <w:noWrap w:val="0"/>
            <w:vAlign w:val="center"/>
          </w:tcPr>
          <w:p>
            <w:pPr>
              <w:snapToGrid w:val="0"/>
              <w:spacing w:line="50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w:t>
            </w:r>
          </w:p>
        </w:tc>
        <w:tc>
          <w:tcPr>
            <w:tcW w:w="4517" w:type="dxa"/>
            <w:noWrap w:val="0"/>
            <w:vAlign w:val="center"/>
          </w:tcPr>
          <w:p>
            <w:pPr>
              <w:snapToGrid w:val="0"/>
              <w:spacing w:line="50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16" w:type="dxa"/>
            <w:noWrap w:val="0"/>
            <w:vAlign w:val="center"/>
          </w:tcPr>
          <w:p>
            <w:pPr>
              <w:snapToGrid w:val="0"/>
              <w:spacing w:line="50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账号：</w:t>
            </w:r>
          </w:p>
        </w:tc>
        <w:tc>
          <w:tcPr>
            <w:tcW w:w="4517" w:type="dxa"/>
            <w:noWrap w:val="0"/>
            <w:vAlign w:val="center"/>
          </w:tcPr>
          <w:p>
            <w:pPr>
              <w:snapToGrid w:val="0"/>
              <w:spacing w:line="50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16" w:type="dxa"/>
            <w:noWrap w:val="0"/>
            <w:vAlign w:val="center"/>
          </w:tcPr>
          <w:p>
            <w:pPr>
              <w:snapToGrid w:val="0"/>
              <w:spacing w:line="50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邮政编码：</w:t>
            </w:r>
          </w:p>
        </w:tc>
        <w:tc>
          <w:tcPr>
            <w:tcW w:w="4517" w:type="dxa"/>
            <w:noWrap w:val="0"/>
            <w:vAlign w:val="center"/>
          </w:tcPr>
          <w:p>
            <w:pPr>
              <w:snapToGrid w:val="0"/>
              <w:spacing w:line="50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邮政编码：</w:t>
            </w:r>
          </w:p>
        </w:tc>
      </w:tr>
    </w:tbl>
    <w:p>
      <w:pPr>
        <w:spacing w:line="480" w:lineRule="exact"/>
        <w:jc w:val="center"/>
        <w:rPr>
          <w:rFonts w:hint="eastAsia" w:ascii="宋体" w:hAnsi="宋体" w:eastAsia="宋体" w:cs="宋体"/>
          <w:b/>
          <w:bCs/>
          <w:color w:val="auto"/>
          <w:kern w:val="0"/>
          <w:szCs w:val="21"/>
          <w:highlight w:val="none"/>
        </w:rPr>
      </w:pPr>
    </w:p>
    <w:p>
      <w:pPr>
        <w:rPr>
          <w:rFonts w:hint="eastAsia" w:ascii="宋体" w:hAnsi="宋体" w:eastAsia="宋体" w:cs="宋体"/>
          <w:color w:val="auto"/>
          <w:sz w:val="21"/>
          <w:szCs w:val="21"/>
          <w:highlight w:val="none"/>
        </w:rPr>
      </w:pPr>
    </w:p>
    <w:p>
      <w:pPr>
        <w:rPr>
          <w:rFonts w:cs="仿宋_GB2312"/>
          <w:b/>
          <w:color w:val="auto"/>
          <w:sz w:val="44"/>
          <w:szCs w:val="44"/>
          <w:highlight w:val="none"/>
        </w:rPr>
      </w:pPr>
      <w:r>
        <w:rPr>
          <w:rFonts w:cs="仿宋_GB2312"/>
          <w:b/>
          <w:color w:val="auto"/>
          <w:sz w:val="44"/>
          <w:szCs w:val="44"/>
          <w:highlight w:val="none"/>
        </w:rPr>
        <w:br w:type="page"/>
      </w:r>
    </w:p>
    <w:p>
      <w:pPr>
        <w:pStyle w:val="3"/>
        <w:rPr>
          <w:color w:val="auto"/>
          <w:highlight w:val="none"/>
        </w:rPr>
      </w:pPr>
    </w:p>
    <w:p>
      <w:pPr>
        <w:tabs>
          <w:tab w:val="left" w:pos="3261"/>
        </w:tabs>
        <w:spacing w:line="360" w:lineRule="auto"/>
        <w:contextualSpacing/>
        <w:jc w:val="center"/>
        <w:rPr>
          <w:rFonts w:cs="仿宋_GB2312"/>
          <w:b/>
          <w:color w:val="auto"/>
          <w:sz w:val="44"/>
          <w:szCs w:val="44"/>
          <w:highlight w:val="none"/>
        </w:rPr>
      </w:pPr>
    </w:p>
    <w:p>
      <w:pPr>
        <w:tabs>
          <w:tab w:val="left" w:pos="3261"/>
        </w:tabs>
        <w:spacing w:line="360" w:lineRule="auto"/>
        <w:contextualSpacing/>
        <w:jc w:val="center"/>
        <w:rPr>
          <w:rFonts w:cs="仿宋_GB2312"/>
          <w:b/>
          <w:color w:val="auto"/>
          <w:sz w:val="44"/>
          <w:szCs w:val="44"/>
          <w:highlight w:val="none"/>
        </w:rPr>
      </w:pPr>
    </w:p>
    <w:p>
      <w:pPr>
        <w:tabs>
          <w:tab w:val="left" w:pos="3261"/>
        </w:tabs>
        <w:spacing w:line="360" w:lineRule="auto"/>
        <w:contextualSpacing/>
        <w:jc w:val="center"/>
        <w:rPr>
          <w:rFonts w:cs="仿宋_GB2312"/>
          <w:b/>
          <w:color w:val="auto"/>
          <w:sz w:val="44"/>
          <w:szCs w:val="44"/>
          <w:highlight w:val="none"/>
        </w:rPr>
      </w:pPr>
    </w:p>
    <w:p>
      <w:pPr>
        <w:pStyle w:val="3"/>
        <w:jc w:val="center"/>
        <w:rPr>
          <w:rFonts w:hint="eastAsia" w:cs="仿宋_GB2312"/>
          <w:b w:val="0"/>
          <w:color w:val="auto"/>
          <w:highlight w:val="none"/>
        </w:rPr>
      </w:pPr>
      <w:bookmarkStart w:id="158" w:name="_Toc8963"/>
      <w:bookmarkStart w:id="159" w:name="_Toc80886951"/>
      <w:bookmarkStart w:id="160" w:name="_Toc178"/>
      <w:bookmarkStart w:id="161" w:name="_Toc28283"/>
      <w:bookmarkStart w:id="162" w:name="_Toc20915"/>
      <w:bookmarkStart w:id="163" w:name="_Toc29624"/>
      <w:bookmarkStart w:id="164" w:name="_Toc13011"/>
      <w:bookmarkStart w:id="165" w:name="_Toc610"/>
    </w:p>
    <w:p>
      <w:pPr>
        <w:pStyle w:val="3"/>
        <w:jc w:val="center"/>
        <w:rPr>
          <w:rFonts w:hint="eastAsia" w:cs="仿宋_GB2312"/>
          <w:b w:val="0"/>
          <w:color w:val="auto"/>
          <w:highlight w:val="none"/>
        </w:rPr>
      </w:pPr>
    </w:p>
    <w:p>
      <w:pPr>
        <w:pStyle w:val="3"/>
        <w:jc w:val="center"/>
        <w:rPr>
          <w:rFonts w:hint="eastAsia" w:cs="仿宋_GB2312"/>
          <w:color w:val="auto"/>
          <w:highlight w:val="none"/>
        </w:rPr>
        <w:sectPr>
          <w:pgSz w:w="11911" w:h="16838"/>
          <w:pgMar w:top="1134" w:right="1134" w:bottom="1134" w:left="1134" w:header="720" w:footer="720" w:gutter="0"/>
          <w:cols w:space="720" w:num="1"/>
        </w:sectPr>
      </w:pPr>
      <w:r>
        <w:rPr>
          <w:rFonts w:hint="eastAsia" w:cs="仿宋_GB2312"/>
          <w:b w:val="0"/>
          <w:color w:val="auto"/>
          <w:highlight w:val="none"/>
        </w:rPr>
        <w:t>第七章 质疑、投诉材料格式</w:t>
      </w:r>
      <w:bookmarkEnd w:id="158"/>
      <w:bookmarkEnd w:id="159"/>
      <w:bookmarkEnd w:id="160"/>
      <w:bookmarkEnd w:id="161"/>
      <w:bookmarkEnd w:id="162"/>
      <w:bookmarkEnd w:id="163"/>
      <w:bookmarkEnd w:id="164"/>
      <w:bookmarkEnd w:id="165"/>
    </w:p>
    <w:p>
      <w:pPr>
        <w:spacing w:line="360" w:lineRule="auto"/>
        <w:jc w:val="center"/>
        <w:rPr>
          <w:rFonts w:hint="eastAsia"/>
          <w:b/>
          <w:bCs/>
          <w:color w:val="auto"/>
          <w:sz w:val="32"/>
          <w:szCs w:val="32"/>
          <w:highlight w:val="none"/>
        </w:rPr>
      </w:pPr>
      <w:r>
        <w:rPr>
          <w:rFonts w:hint="eastAsia"/>
          <w:b/>
          <w:bCs/>
          <w:color w:val="auto"/>
          <w:sz w:val="32"/>
          <w:szCs w:val="32"/>
          <w:highlight w:val="none"/>
        </w:rPr>
        <w:t>质疑函（格式）</w:t>
      </w:r>
    </w:p>
    <w:p>
      <w:pPr>
        <w:spacing w:line="360" w:lineRule="auto"/>
        <w:ind w:firstLine="482" w:firstLineChars="200"/>
        <w:contextualSpacing/>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一、质疑供应商基本信息：</w:t>
      </w:r>
    </w:p>
    <w:p>
      <w:pPr>
        <w:spacing w:line="360" w:lineRule="auto"/>
        <w:ind w:firstLine="480" w:firstLineChars="200"/>
        <w:contextualSpacing/>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rPr>
        <w:t>质疑供应商：</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pPr>
        <w:spacing w:line="360" w:lineRule="auto"/>
        <w:ind w:firstLine="480" w:firstLineChars="200"/>
        <w:contextualSpacing/>
        <w:rPr>
          <w:rFonts w:hint="eastAsia" w:ascii="宋体" w:hAnsi="宋体" w:cs="宋体"/>
          <w:bCs/>
          <w:color w:val="auto"/>
          <w:kern w:val="0"/>
          <w:sz w:val="24"/>
          <w:highlight w:val="none"/>
        </w:rPr>
      </w:pPr>
      <w:r>
        <w:rPr>
          <w:rFonts w:hint="eastAsia" w:ascii="宋体" w:hAnsi="宋体" w:cs="宋体"/>
          <w:bCs/>
          <w:color w:val="auto"/>
          <w:kern w:val="0"/>
          <w:sz w:val="24"/>
          <w:highlight w:val="none"/>
        </w:rPr>
        <w:t>地址：</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邮编：</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pPr>
        <w:spacing w:line="360" w:lineRule="auto"/>
        <w:ind w:firstLine="480" w:firstLineChars="200"/>
        <w:contextualSpacing/>
        <w:rPr>
          <w:rFonts w:hint="eastAsia" w:ascii="宋体" w:hAnsi="宋体" w:cs="宋体"/>
          <w:bCs/>
          <w:color w:val="auto"/>
          <w:kern w:val="0"/>
          <w:sz w:val="24"/>
          <w:highlight w:val="none"/>
        </w:rPr>
      </w:pPr>
      <w:r>
        <w:rPr>
          <w:rFonts w:hint="eastAsia" w:ascii="宋体" w:hAnsi="宋体" w:cs="宋体"/>
          <w:bCs/>
          <w:color w:val="auto"/>
          <w:kern w:val="0"/>
          <w:sz w:val="24"/>
          <w:highlight w:val="none"/>
        </w:rPr>
        <w:t>联系人：</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联系电话：</w:t>
      </w:r>
      <w:r>
        <w:rPr>
          <w:rFonts w:hint="eastAsia" w:ascii="宋体" w:hAnsi="宋体" w:cs="宋体"/>
          <w:bCs/>
          <w:color w:val="auto"/>
          <w:kern w:val="0"/>
          <w:sz w:val="24"/>
          <w:highlight w:val="none"/>
          <w:u w:val="single"/>
        </w:rPr>
        <w:t xml:space="preserve">                 </w:t>
      </w:r>
    </w:p>
    <w:p>
      <w:pPr>
        <w:spacing w:line="360" w:lineRule="auto"/>
        <w:ind w:firstLine="480" w:firstLineChars="200"/>
        <w:contextualSpacing/>
        <w:rPr>
          <w:rFonts w:hint="eastAsia" w:ascii="宋体" w:hAnsi="宋体" w:cs="宋体"/>
          <w:bCs/>
          <w:color w:val="auto"/>
          <w:kern w:val="0"/>
          <w:sz w:val="24"/>
          <w:highlight w:val="none"/>
        </w:rPr>
      </w:pPr>
      <w:r>
        <w:rPr>
          <w:rFonts w:hint="eastAsia" w:ascii="宋体" w:hAnsi="宋体" w:cs="宋体"/>
          <w:bCs/>
          <w:color w:val="auto"/>
          <w:kern w:val="0"/>
          <w:sz w:val="24"/>
          <w:highlight w:val="none"/>
        </w:rPr>
        <w:t>授权代表：</w:t>
      </w:r>
      <w:r>
        <w:rPr>
          <w:rFonts w:hint="eastAsia" w:ascii="宋体" w:hAnsi="宋体" w:cs="宋体"/>
          <w:bCs/>
          <w:color w:val="auto"/>
          <w:kern w:val="0"/>
          <w:sz w:val="24"/>
          <w:highlight w:val="none"/>
          <w:u w:val="single"/>
        </w:rPr>
        <w:t xml:space="preserve">                      </w:t>
      </w:r>
    </w:p>
    <w:p>
      <w:pPr>
        <w:spacing w:line="360" w:lineRule="auto"/>
        <w:ind w:firstLine="480" w:firstLineChars="200"/>
        <w:contextualSpacing/>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rPr>
        <w:t>联系电话：</w:t>
      </w:r>
      <w:r>
        <w:rPr>
          <w:rFonts w:hint="eastAsia" w:ascii="宋体" w:hAnsi="宋体" w:cs="宋体"/>
          <w:bCs/>
          <w:color w:val="auto"/>
          <w:kern w:val="0"/>
          <w:sz w:val="24"/>
          <w:highlight w:val="none"/>
          <w:u w:val="single"/>
        </w:rPr>
        <w:t xml:space="preserve">                      </w:t>
      </w:r>
    </w:p>
    <w:p>
      <w:pPr>
        <w:spacing w:line="360" w:lineRule="auto"/>
        <w:ind w:firstLine="480" w:firstLineChars="200"/>
        <w:contextualSpacing/>
        <w:rPr>
          <w:rFonts w:hint="eastAsia" w:ascii="宋体" w:hAnsi="宋体" w:cs="宋体"/>
          <w:bCs/>
          <w:color w:val="auto"/>
          <w:kern w:val="0"/>
          <w:sz w:val="24"/>
          <w:highlight w:val="none"/>
        </w:rPr>
      </w:pPr>
      <w:r>
        <w:rPr>
          <w:rFonts w:hint="eastAsia" w:ascii="宋体" w:hAnsi="宋体" w:cs="宋体"/>
          <w:bCs/>
          <w:color w:val="auto"/>
          <w:kern w:val="0"/>
          <w:sz w:val="24"/>
          <w:highlight w:val="none"/>
        </w:rPr>
        <w:t>地址：</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邮编：</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pPr>
        <w:spacing w:line="360" w:lineRule="auto"/>
        <w:ind w:firstLine="482" w:firstLineChars="200"/>
        <w:contextualSpacing/>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二、质疑项目基本情况：</w:t>
      </w:r>
    </w:p>
    <w:p>
      <w:pPr>
        <w:spacing w:line="360" w:lineRule="auto"/>
        <w:ind w:left="25" w:leftChars="12" w:firstLine="472" w:firstLineChars="197"/>
        <w:contextualSpacing/>
        <w:rPr>
          <w:rFonts w:hint="eastAsia" w:ascii="宋体" w:hAnsi="宋体" w:cs="宋体"/>
          <w:color w:val="auto"/>
          <w:kern w:val="0"/>
          <w:sz w:val="24"/>
          <w:highlight w:val="none"/>
        </w:rPr>
      </w:pPr>
      <w:r>
        <w:rPr>
          <w:rFonts w:hint="eastAsia" w:ascii="宋体" w:hAnsi="宋体" w:cs="宋体"/>
          <w:bCs/>
          <w:color w:val="auto"/>
          <w:kern w:val="0"/>
          <w:sz w:val="24"/>
          <w:highlight w:val="none"/>
        </w:rPr>
        <w:t>质疑</w:t>
      </w:r>
      <w:r>
        <w:rPr>
          <w:rFonts w:hint="eastAsia" w:ascii="宋体" w:hAnsi="宋体" w:cs="宋体"/>
          <w:color w:val="auto"/>
          <w:kern w:val="0"/>
          <w:sz w:val="24"/>
          <w:highlight w:val="none"/>
        </w:rPr>
        <w:t>项目的名称：</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contextualSpacing/>
        <w:rPr>
          <w:rFonts w:hint="eastAsia" w:ascii="宋体" w:hAnsi="宋体" w:cs="宋体"/>
          <w:color w:val="auto"/>
          <w:kern w:val="0"/>
          <w:sz w:val="24"/>
          <w:highlight w:val="none"/>
        </w:rPr>
      </w:pPr>
      <w:r>
        <w:rPr>
          <w:rFonts w:hint="eastAsia" w:ascii="宋体" w:hAnsi="宋体" w:cs="宋体"/>
          <w:bCs/>
          <w:color w:val="auto"/>
          <w:kern w:val="0"/>
          <w:sz w:val="24"/>
          <w:highlight w:val="none"/>
        </w:rPr>
        <w:t>质疑</w:t>
      </w:r>
      <w:r>
        <w:rPr>
          <w:rFonts w:hint="eastAsia" w:ascii="宋体" w:hAnsi="宋体" w:cs="宋体"/>
          <w:color w:val="auto"/>
          <w:kern w:val="0"/>
          <w:sz w:val="24"/>
          <w:highlight w:val="none"/>
        </w:rPr>
        <w:t>项目的编号：</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采购人名称：</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质疑事项：</w:t>
      </w:r>
    </w:p>
    <w:p>
      <w:pPr>
        <w:spacing w:line="360" w:lineRule="auto"/>
        <w:ind w:left="25" w:leftChars="12" w:firstLine="352" w:firstLineChars="147"/>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□采购文件   采购文件获取日期：</w:t>
      </w:r>
      <w:r>
        <w:rPr>
          <w:rFonts w:hint="eastAsia" w:ascii="宋体" w:hAnsi="宋体" w:cs="宋体"/>
          <w:bCs/>
          <w:color w:val="auto"/>
          <w:kern w:val="0"/>
          <w:sz w:val="24"/>
          <w:highlight w:val="none"/>
          <w:u w:val="single"/>
        </w:rPr>
        <w:t xml:space="preserve">                                   </w:t>
      </w:r>
    </w:p>
    <w:p>
      <w:pPr>
        <w:spacing w:line="360" w:lineRule="auto"/>
        <w:ind w:left="25" w:leftChars="12" w:firstLine="352" w:firstLineChars="147"/>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□采购过程   </w:t>
      </w:r>
    </w:p>
    <w:p>
      <w:pPr>
        <w:spacing w:line="360" w:lineRule="auto"/>
        <w:ind w:left="25" w:leftChars="12" w:firstLine="352" w:firstLineChars="147"/>
        <w:contextualSpacing/>
        <w:rPr>
          <w:rFonts w:hint="eastAsia" w:ascii="宋体" w:hAnsi="宋体" w:cs="宋体"/>
          <w:bCs/>
          <w:color w:val="auto"/>
          <w:kern w:val="0"/>
          <w:sz w:val="24"/>
          <w:highlight w:val="none"/>
          <w:u w:val="single"/>
        </w:rPr>
      </w:pPr>
      <w:r>
        <w:rPr>
          <w:rFonts w:hint="eastAsia" w:ascii="宋体" w:hAnsi="宋体" w:cs="宋体"/>
          <w:color w:val="auto"/>
          <w:kern w:val="0"/>
          <w:sz w:val="24"/>
          <w:highlight w:val="none"/>
        </w:rPr>
        <w:t xml:space="preserve">□成交结果   </w:t>
      </w:r>
    </w:p>
    <w:p>
      <w:pPr>
        <w:spacing w:line="360" w:lineRule="auto"/>
        <w:ind w:left="25" w:leftChars="12" w:firstLine="472" w:firstLineChars="196"/>
        <w:contextualSpacing/>
        <w:rPr>
          <w:rFonts w:hint="eastAsia" w:ascii="宋体" w:hAnsi="宋体" w:cs="宋体"/>
          <w:b/>
          <w:color w:val="auto"/>
          <w:kern w:val="0"/>
          <w:sz w:val="24"/>
          <w:highlight w:val="none"/>
        </w:rPr>
      </w:pPr>
      <w:r>
        <w:rPr>
          <w:rFonts w:hint="eastAsia" w:ascii="宋体" w:hAnsi="宋体" w:cs="宋体"/>
          <w:b/>
          <w:color w:val="auto"/>
          <w:kern w:val="0"/>
          <w:sz w:val="24"/>
          <w:highlight w:val="none"/>
        </w:rPr>
        <w:t>三、质疑事项具体内容</w:t>
      </w:r>
    </w:p>
    <w:p>
      <w:pPr>
        <w:spacing w:line="360" w:lineRule="auto"/>
        <w:ind w:left="25" w:leftChars="12" w:firstLine="472" w:firstLineChars="197"/>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质疑事项1：</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事实依据：</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法律依据：</w:t>
      </w:r>
      <w:r>
        <w:rPr>
          <w:rFonts w:hint="eastAsia" w:ascii="宋体" w:hAnsi="宋体" w:cs="宋体"/>
          <w:color w:val="auto"/>
          <w:kern w:val="0"/>
          <w:sz w:val="24"/>
          <w:highlight w:val="none"/>
          <w:u w:val="single"/>
        </w:rPr>
        <w:t xml:space="preserve">                                                        </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质疑事项2</w:t>
      </w:r>
    </w:p>
    <w:p>
      <w:pPr>
        <w:spacing w:line="360" w:lineRule="auto"/>
        <w:ind w:left="25" w:leftChars="12" w:firstLine="472" w:firstLineChars="197"/>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w:t>
      </w:r>
    </w:p>
    <w:p>
      <w:pPr>
        <w:spacing w:line="360" w:lineRule="auto"/>
        <w:ind w:left="25" w:leftChars="12" w:firstLine="472" w:firstLineChars="197"/>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四、与质疑事项相关的质疑请求：</w:t>
      </w:r>
    </w:p>
    <w:p>
      <w:pPr>
        <w:spacing w:line="360" w:lineRule="auto"/>
        <w:ind w:left="25" w:leftChars="12" w:firstLine="472" w:firstLineChars="197"/>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请求：</w:t>
      </w:r>
      <w:r>
        <w:rPr>
          <w:rFonts w:hint="eastAsia" w:ascii="宋体" w:hAnsi="宋体" w:cs="宋体"/>
          <w:bCs/>
          <w:color w:val="auto"/>
          <w:kern w:val="0"/>
          <w:sz w:val="24"/>
          <w:highlight w:val="none"/>
          <w:u w:val="single"/>
        </w:rPr>
        <w:t xml:space="preserve">                                                                </w:t>
      </w:r>
    </w:p>
    <w:p>
      <w:pPr>
        <w:spacing w:line="360" w:lineRule="auto"/>
        <w:ind w:left="25" w:leftChars="12" w:firstLine="352" w:firstLineChars="147"/>
        <w:contextualSpacing/>
        <w:rPr>
          <w:rFonts w:hint="eastAsia" w:ascii="宋体" w:hAnsi="宋体" w:cs="宋体"/>
          <w:color w:val="auto"/>
          <w:kern w:val="0"/>
          <w:sz w:val="24"/>
          <w:highlight w:val="none"/>
        </w:rPr>
      </w:pPr>
    </w:p>
    <w:p>
      <w:pPr>
        <w:spacing w:line="360" w:lineRule="auto"/>
        <w:ind w:left="25" w:leftChars="12" w:firstLine="472" w:firstLineChars="197"/>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签字（签章）：                                       公章：</w:t>
      </w:r>
    </w:p>
    <w:p>
      <w:pPr>
        <w:spacing w:line="360" w:lineRule="auto"/>
        <w:ind w:left="25" w:leftChars="12" w:firstLine="352" w:firstLineChars="147"/>
        <w:contextualSpacing/>
        <w:rPr>
          <w:rFonts w:hint="eastAsia" w:ascii="宋体" w:hAnsi="宋体" w:cs="宋体"/>
          <w:color w:val="auto"/>
          <w:kern w:val="0"/>
          <w:sz w:val="24"/>
          <w:highlight w:val="none"/>
        </w:rPr>
      </w:pPr>
    </w:p>
    <w:p>
      <w:pPr>
        <w:spacing w:line="360" w:lineRule="auto"/>
        <w:ind w:left="25" w:leftChars="12" w:firstLine="472" w:firstLineChars="197"/>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日期：</w:t>
      </w:r>
    </w:p>
    <w:p>
      <w:pPr>
        <w:spacing w:line="360" w:lineRule="auto"/>
        <w:contextualSpacing/>
        <w:rPr>
          <w:rFonts w:hint="eastAsia"/>
          <w:b/>
          <w:color w:val="auto"/>
          <w:kern w:val="0"/>
          <w:sz w:val="24"/>
          <w:highlight w:val="none"/>
        </w:rPr>
      </w:pPr>
    </w:p>
    <w:p>
      <w:pPr>
        <w:spacing w:line="360" w:lineRule="auto"/>
        <w:contextualSpacing/>
        <w:rPr>
          <w:rFonts w:hint="eastAsia"/>
          <w:b/>
          <w:color w:val="auto"/>
          <w:kern w:val="0"/>
          <w:sz w:val="24"/>
          <w:highlight w:val="none"/>
        </w:rPr>
      </w:pPr>
    </w:p>
    <w:p>
      <w:pPr>
        <w:spacing w:line="360" w:lineRule="auto"/>
        <w:contextualSpacing/>
        <w:rPr>
          <w:rFonts w:hint="eastAsia"/>
          <w:b/>
          <w:color w:val="auto"/>
          <w:kern w:val="0"/>
          <w:sz w:val="24"/>
          <w:highlight w:val="none"/>
        </w:rPr>
      </w:pPr>
      <w:r>
        <w:rPr>
          <w:rFonts w:hint="eastAsia"/>
          <w:b/>
          <w:color w:val="auto"/>
          <w:kern w:val="0"/>
          <w:sz w:val="24"/>
          <w:highlight w:val="none"/>
        </w:rPr>
        <w:t>说明：</w:t>
      </w:r>
    </w:p>
    <w:p>
      <w:pPr>
        <w:spacing w:line="360" w:lineRule="auto"/>
        <w:ind w:left="25" w:leftChars="12" w:firstLine="354" w:firstLineChars="147"/>
        <w:contextualSpacing/>
        <w:rPr>
          <w:rFonts w:hint="eastAsia" w:ascii="宋体" w:hAnsi="宋体" w:cs="宋体"/>
          <w:b/>
          <w:bCs/>
          <w:color w:val="auto"/>
          <w:kern w:val="0"/>
          <w:sz w:val="24"/>
          <w:highlight w:val="none"/>
        </w:rPr>
      </w:pPr>
      <w:r>
        <w:rPr>
          <w:rFonts w:hint="eastAsia" w:ascii="宋体" w:hAnsi="宋体" w:cs="宋体"/>
          <w:b/>
          <w:color w:val="auto"/>
          <w:kern w:val="0"/>
          <w:sz w:val="24"/>
          <w:highlight w:val="none"/>
        </w:rPr>
        <w:t>1.供应商提出质疑时，应提交质疑函和必要的证明材料</w:t>
      </w:r>
      <w:r>
        <w:rPr>
          <w:rFonts w:hint="eastAsia" w:ascii="宋体" w:hAnsi="宋体" w:cs="宋体"/>
          <w:b/>
          <w:bCs/>
          <w:color w:val="auto"/>
          <w:kern w:val="0"/>
          <w:sz w:val="24"/>
          <w:highlight w:val="none"/>
        </w:rPr>
        <w:t>。</w:t>
      </w:r>
    </w:p>
    <w:p>
      <w:pPr>
        <w:spacing w:line="360" w:lineRule="auto"/>
        <w:ind w:left="25" w:leftChars="12" w:firstLine="354" w:firstLineChars="147"/>
        <w:contextualSpacing/>
        <w:rPr>
          <w:rFonts w:hint="eastAsia" w:ascii="宋体" w:hAnsi="宋体" w:cs="宋体"/>
          <w:b/>
          <w:color w:val="auto"/>
          <w:kern w:val="0"/>
          <w:sz w:val="24"/>
          <w:highlight w:val="none"/>
        </w:rPr>
      </w:pPr>
      <w:r>
        <w:rPr>
          <w:rFonts w:hint="eastAsia" w:ascii="宋体" w:hAnsi="宋体" w:cs="宋体"/>
          <w:b/>
          <w:color w:val="auto"/>
          <w:kern w:val="0"/>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left="25" w:leftChars="12" w:firstLine="354" w:firstLineChars="147"/>
        <w:contextualSpacing/>
        <w:rPr>
          <w:rFonts w:hint="eastAsia" w:ascii="宋体" w:hAnsi="宋体" w:cs="宋体"/>
          <w:b/>
          <w:color w:val="auto"/>
          <w:kern w:val="0"/>
          <w:sz w:val="24"/>
          <w:highlight w:val="none"/>
        </w:rPr>
      </w:pPr>
      <w:r>
        <w:rPr>
          <w:rFonts w:hint="eastAsia" w:ascii="宋体" w:hAnsi="宋体" w:cs="宋体"/>
          <w:b/>
          <w:color w:val="auto"/>
          <w:kern w:val="0"/>
          <w:sz w:val="24"/>
          <w:highlight w:val="none"/>
        </w:rPr>
        <w:t>3.质疑函的质疑事项应具体、明确，并有必要的事实依据和法律依据。</w:t>
      </w:r>
    </w:p>
    <w:p>
      <w:pPr>
        <w:spacing w:line="360" w:lineRule="auto"/>
        <w:ind w:left="25" w:leftChars="12" w:firstLine="354" w:firstLineChars="147"/>
        <w:contextualSpacing/>
        <w:rPr>
          <w:rFonts w:hint="eastAsia" w:ascii="宋体" w:hAnsi="宋体" w:cs="宋体"/>
          <w:b/>
          <w:color w:val="auto"/>
          <w:kern w:val="0"/>
          <w:sz w:val="24"/>
          <w:highlight w:val="none"/>
        </w:rPr>
      </w:pPr>
      <w:r>
        <w:rPr>
          <w:rFonts w:hint="eastAsia" w:ascii="宋体" w:hAnsi="宋体" w:cs="宋体"/>
          <w:b/>
          <w:color w:val="auto"/>
          <w:kern w:val="0"/>
          <w:sz w:val="24"/>
          <w:highlight w:val="none"/>
        </w:rPr>
        <w:t>4.质疑函的质疑请求应与质疑事项相关。</w:t>
      </w:r>
    </w:p>
    <w:p>
      <w:pPr>
        <w:spacing w:line="360" w:lineRule="auto"/>
        <w:ind w:left="25" w:leftChars="12" w:firstLine="354" w:firstLineChars="147"/>
        <w:contextualSpacing/>
        <w:rPr>
          <w:rFonts w:hint="eastAsia" w:ascii="宋体" w:hAnsi="宋体" w:cs="宋体"/>
          <w:b/>
          <w:color w:val="auto"/>
          <w:kern w:val="0"/>
          <w:sz w:val="20"/>
          <w:szCs w:val="21"/>
          <w:highlight w:val="none"/>
        </w:rPr>
      </w:pPr>
      <w:r>
        <w:rPr>
          <w:rFonts w:hint="eastAsia" w:ascii="宋体" w:hAnsi="宋体" w:cs="宋体"/>
          <w:b/>
          <w:color w:val="auto"/>
          <w:kern w:val="0"/>
          <w:sz w:val="24"/>
          <w:highlight w:val="none"/>
        </w:rPr>
        <w:t>5.质疑供应商为法人或者其他组织的，质疑函应由法定代表人、主要负责人，或者其授权代表签字或者盖章，并加盖公章。</w:t>
      </w:r>
    </w:p>
    <w:p>
      <w:pPr>
        <w:snapToGrid w:val="0"/>
        <w:rPr>
          <w:rFonts w:hint="eastAsia" w:hAnsi="Courier New"/>
          <w:b/>
          <w:color w:val="auto"/>
          <w:kern w:val="0"/>
          <w:sz w:val="24"/>
          <w:highlight w:val="none"/>
        </w:rPr>
      </w:pPr>
    </w:p>
    <w:p>
      <w:pPr>
        <w:spacing w:line="460" w:lineRule="exact"/>
        <w:jc w:val="center"/>
        <w:rPr>
          <w:rFonts w:hint="eastAsia" w:ascii="Calibri" w:hAnsi="Calibri" w:eastAsia="隶书"/>
          <w:color w:val="auto"/>
          <w:sz w:val="44"/>
          <w:highlight w:val="none"/>
        </w:rPr>
      </w:pPr>
      <w:r>
        <w:rPr>
          <w:rFonts w:ascii="Calibri" w:hAnsi="Calibri" w:eastAsia="隶书"/>
          <w:color w:val="auto"/>
          <w:sz w:val="44"/>
          <w:highlight w:val="none"/>
        </w:rPr>
        <w:br w:type="page"/>
      </w:r>
    </w:p>
    <w:p>
      <w:pPr>
        <w:spacing w:line="360" w:lineRule="auto"/>
        <w:jc w:val="center"/>
        <w:rPr>
          <w:rFonts w:hint="eastAsia"/>
          <w:b/>
          <w:bCs/>
          <w:color w:val="auto"/>
          <w:sz w:val="32"/>
          <w:szCs w:val="32"/>
          <w:highlight w:val="none"/>
        </w:rPr>
      </w:pPr>
      <w:r>
        <w:rPr>
          <w:rFonts w:hint="eastAsia"/>
          <w:b/>
          <w:bCs/>
          <w:color w:val="auto"/>
          <w:sz w:val="32"/>
          <w:szCs w:val="32"/>
          <w:highlight w:val="none"/>
        </w:rPr>
        <w:t>投诉书（格式）</w:t>
      </w:r>
    </w:p>
    <w:p>
      <w:pPr>
        <w:snapToGrid w:val="0"/>
        <w:spacing w:line="360" w:lineRule="auto"/>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一、投诉相关主体基本情况：</w:t>
      </w:r>
    </w:p>
    <w:p>
      <w:pPr>
        <w:snapToGrid w:val="0"/>
        <w:spacing w:line="360" w:lineRule="auto"/>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rPr>
        <w:t>供应商：</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pPr>
        <w:snapToGrid w:val="0"/>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地址：</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邮编：</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pPr>
        <w:snapToGrid w:val="0"/>
        <w:spacing w:line="360" w:lineRule="auto"/>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rPr>
        <w:t>法定代表人/主要负责人：</w:t>
      </w:r>
      <w:r>
        <w:rPr>
          <w:rFonts w:hint="eastAsia" w:ascii="宋体" w:hAnsi="宋体" w:cs="宋体"/>
          <w:bCs/>
          <w:color w:val="auto"/>
          <w:kern w:val="0"/>
          <w:sz w:val="24"/>
          <w:highlight w:val="none"/>
          <w:u w:val="single"/>
        </w:rPr>
        <w:t xml:space="preserve">                                                         </w:t>
      </w:r>
    </w:p>
    <w:p>
      <w:pPr>
        <w:snapToGrid w:val="0"/>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联系电话：</w:t>
      </w:r>
      <w:r>
        <w:rPr>
          <w:rFonts w:hint="eastAsia" w:ascii="宋体" w:hAnsi="宋体" w:cs="宋体"/>
          <w:bCs/>
          <w:color w:val="auto"/>
          <w:kern w:val="0"/>
          <w:sz w:val="24"/>
          <w:highlight w:val="none"/>
          <w:u w:val="single"/>
        </w:rPr>
        <w:t xml:space="preserve">                                         </w:t>
      </w:r>
    </w:p>
    <w:p>
      <w:pPr>
        <w:snapToGrid w:val="0"/>
        <w:spacing w:line="360" w:lineRule="auto"/>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rPr>
        <w:t>授权代表：</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联系电话：</w:t>
      </w:r>
      <w:r>
        <w:rPr>
          <w:rFonts w:hint="eastAsia" w:ascii="宋体" w:hAnsi="宋体" w:cs="宋体"/>
          <w:bCs/>
          <w:color w:val="auto"/>
          <w:kern w:val="0"/>
          <w:sz w:val="24"/>
          <w:highlight w:val="none"/>
          <w:u w:val="single"/>
        </w:rPr>
        <w:t xml:space="preserve">                   </w:t>
      </w:r>
    </w:p>
    <w:p>
      <w:pPr>
        <w:snapToGrid w:val="0"/>
        <w:spacing w:line="360" w:lineRule="auto"/>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rPr>
        <w:t>地址：</w:t>
      </w:r>
      <w:r>
        <w:rPr>
          <w:rFonts w:hint="eastAsia" w:ascii="宋体" w:hAnsi="宋体" w:cs="宋体"/>
          <w:bCs/>
          <w:color w:val="auto"/>
          <w:kern w:val="0"/>
          <w:sz w:val="24"/>
          <w:highlight w:val="none"/>
          <w:u w:val="single"/>
        </w:rPr>
        <w:t xml:space="preserve">                                                            </w:t>
      </w:r>
    </w:p>
    <w:p>
      <w:pPr>
        <w:snapToGrid w:val="0"/>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邮编：</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pPr>
        <w:snapToGrid w:val="0"/>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被投诉人1：</w:t>
      </w:r>
    </w:p>
    <w:p>
      <w:pPr>
        <w:snapToGrid w:val="0"/>
        <w:spacing w:line="360" w:lineRule="auto"/>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rPr>
        <w:t>地址：</w:t>
      </w:r>
      <w:r>
        <w:rPr>
          <w:rFonts w:hint="eastAsia" w:ascii="宋体" w:hAnsi="宋体" w:cs="宋体"/>
          <w:bCs/>
          <w:color w:val="auto"/>
          <w:kern w:val="0"/>
          <w:sz w:val="24"/>
          <w:highlight w:val="none"/>
          <w:u w:val="single"/>
        </w:rPr>
        <w:t xml:space="preserve">                                                            </w:t>
      </w:r>
    </w:p>
    <w:p>
      <w:pPr>
        <w:snapToGrid w:val="0"/>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邮编：</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pPr>
        <w:snapToGrid w:val="0"/>
        <w:spacing w:line="360" w:lineRule="auto"/>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rPr>
        <w:t>联系人：</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联系电话：</w:t>
      </w:r>
      <w:r>
        <w:rPr>
          <w:rFonts w:hint="eastAsia" w:ascii="宋体" w:hAnsi="宋体" w:cs="宋体"/>
          <w:bCs/>
          <w:color w:val="auto"/>
          <w:kern w:val="0"/>
          <w:sz w:val="24"/>
          <w:highlight w:val="none"/>
          <w:u w:val="single"/>
        </w:rPr>
        <w:t xml:space="preserve">                </w:t>
      </w:r>
    </w:p>
    <w:p>
      <w:pPr>
        <w:snapToGrid w:val="0"/>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被投诉人2：</w:t>
      </w:r>
    </w:p>
    <w:p>
      <w:pPr>
        <w:snapToGrid w:val="0"/>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w:t>
      </w:r>
    </w:p>
    <w:p>
      <w:pPr>
        <w:snapToGrid w:val="0"/>
        <w:spacing w:line="360" w:lineRule="auto"/>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rPr>
        <w:t>相关供应商：</w:t>
      </w:r>
      <w:r>
        <w:rPr>
          <w:rFonts w:hint="eastAsia" w:ascii="宋体" w:hAnsi="宋体" w:cs="宋体"/>
          <w:bCs/>
          <w:color w:val="auto"/>
          <w:kern w:val="0"/>
          <w:sz w:val="24"/>
          <w:highlight w:val="none"/>
          <w:u w:val="single"/>
        </w:rPr>
        <w:t xml:space="preserve">                                                                       </w:t>
      </w:r>
    </w:p>
    <w:p>
      <w:pPr>
        <w:snapToGrid w:val="0"/>
        <w:spacing w:line="360" w:lineRule="auto"/>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rPr>
        <w:t>地址：</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邮编：</w:t>
      </w:r>
      <w:r>
        <w:rPr>
          <w:rFonts w:hint="eastAsia" w:ascii="宋体" w:hAnsi="宋体" w:cs="宋体"/>
          <w:bCs/>
          <w:color w:val="auto"/>
          <w:kern w:val="0"/>
          <w:sz w:val="24"/>
          <w:highlight w:val="none"/>
          <w:u w:val="single"/>
        </w:rPr>
        <w:t xml:space="preserve">                         </w:t>
      </w:r>
    </w:p>
    <w:p>
      <w:pPr>
        <w:snapToGrid w:val="0"/>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联系人：</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联系电话：</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pPr>
        <w:snapToGrid w:val="0"/>
        <w:spacing w:line="360" w:lineRule="auto"/>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二、投诉项目基本情况：</w:t>
      </w:r>
    </w:p>
    <w:p>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bCs/>
          <w:color w:val="auto"/>
          <w:kern w:val="0"/>
          <w:sz w:val="24"/>
          <w:highlight w:val="none"/>
        </w:rPr>
        <w:t>采购</w:t>
      </w:r>
      <w:r>
        <w:rPr>
          <w:rFonts w:hint="eastAsia" w:ascii="宋体" w:hAnsi="宋体" w:cs="宋体"/>
          <w:color w:val="auto"/>
          <w:kern w:val="0"/>
          <w:sz w:val="24"/>
          <w:highlight w:val="none"/>
        </w:rPr>
        <w:t>项目的名称：</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bCs/>
          <w:color w:val="auto"/>
          <w:kern w:val="0"/>
          <w:sz w:val="24"/>
          <w:highlight w:val="none"/>
        </w:rPr>
        <w:t>采购</w:t>
      </w:r>
      <w:r>
        <w:rPr>
          <w:rFonts w:hint="eastAsia" w:ascii="宋体" w:hAnsi="宋体" w:cs="宋体"/>
          <w:color w:val="auto"/>
          <w:kern w:val="0"/>
          <w:sz w:val="24"/>
          <w:highlight w:val="none"/>
        </w:rPr>
        <w:t>项目的编号：</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rPr>
          <w:rFonts w:hint="eastAsia" w:ascii="宋体" w:hAnsi="宋体" w:cs="宋体"/>
          <w:bCs/>
          <w:color w:val="auto"/>
          <w:kern w:val="0"/>
          <w:sz w:val="24"/>
          <w:highlight w:val="none"/>
          <w:u w:val="single"/>
        </w:rPr>
      </w:pPr>
      <w:r>
        <w:rPr>
          <w:rFonts w:hint="eastAsia" w:ascii="宋体" w:hAnsi="宋体" w:cs="宋体"/>
          <w:color w:val="auto"/>
          <w:kern w:val="0"/>
          <w:sz w:val="24"/>
          <w:highlight w:val="none"/>
        </w:rPr>
        <w:t>采购人名称：</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rPr>
          <w:rFonts w:hint="eastAsia" w:ascii="宋体" w:hAnsi="宋体" w:cs="宋体"/>
          <w:bCs/>
          <w:color w:val="auto"/>
          <w:kern w:val="0"/>
          <w:sz w:val="24"/>
          <w:highlight w:val="none"/>
          <w:u w:val="single"/>
        </w:rPr>
      </w:pPr>
      <w:r>
        <w:rPr>
          <w:rFonts w:hint="eastAsia" w:ascii="宋体" w:hAnsi="宋体" w:cs="宋体"/>
          <w:color w:val="auto"/>
          <w:kern w:val="0"/>
          <w:sz w:val="24"/>
          <w:highlight w:val="none"/>
        </w:rPr>
        <w:t>代理机构名称：</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rPr>
        <w:t>采购文件公告：</w:t>
      </w:r>
      <w:r>
        <w:rPr>
          <w:rFonts w:hint="eastAsia" w:ascii="宋体" w:hAnsi="宋体" w:cs="宋体"/>
          <w:bCs/>
          <w:color w:val="auto"/>
          <w:kern w:val="0"/>
          <w:sz w:val="24"/>
          <w:highlight w:val="none"/>
          <w:u w:val="single"/>
        </w:rPr>
        <w:t>是/否</w:t>
      </w:r>
      <w:r>
        <w:rPr>
          <w:rFonts w:hint="eastAsia" w:ascii="宋体" w:hAnsi="宋体" w:cs="宋体"/>
          <w:bCs/>
          <w:color w:val="auto"/>
          <w:kern w:val="0"/>
          <w:sz w:val="24"/>
          <w:highlight w:val="none"/>
        </w:rPr>
        <w:t>公告期限：</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rPr>
          <w:rFonts w:hint="eastAsia" w:ascii="宋体" w:hAnsi="宋体" w:cs="宋体"/>
          <w:b/>
          <w:color w:val="auto"/>
          <w:kern w:val="0"/>
          <w:sz w:val="24"/>
          <w:highlight w:val="none"/>
        </w:rPr>
      </w:pPr>
      <w:r>
        <w:rPr>
          <w:rFonts w:hint="eastAsia" w:ascii="宋体" w:hAnsi="宋体" w:cs="宋体"/>
          <w:bCs/>
          <w:color w:val="auto"/>
          <w:kern w:val="0"/>
          <w:sz w:val="24"/>
          <w:highlight w:val="none"/>
        </w:rPr>
        <w:t>采购结果公告：</w:t>
      </w:r>
      <w:r>
        <w:rPr>
          <w:rFonts w:hint="eastAsia" w:ascii="宋体" w:hAnsi="宋体" w:cs="宋体"/>
          <w:bCs/>
          <w:color w:val="auto"/>
          <w:kern w:val="0"/>
          <w:sz w:val="24"/>
          <w:highlight w:val="none"/>
          <w:u w:val="single"/>
        </w:rPr>
        <w:t>是/否</w:t>
      </w:r>
      <w:r>
        <w:rPr>
          <w:rFonts w:hint="eastAsia" w:ascii="宋体" w:hAnsi="宋体" w:cs="宋体"/>
          <w:bCs/>
          <w:color w:val="auto"/>
          <w:kern w:val="0"/>
          <w:sz w:val="24"/>
          <w:highlight w:val="none"/>
        </w:rPr>
        <w:t>公告期限：</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三、质疑基本情况</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投诉人于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日，向</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提出质疑，质疑事项为：</w:t>
      </w:r>
    </w:p>
    <w:p>
      <w:pPr>
        <w:spacing w:line="360" w:lineRule="auto"/>
        <w:ind w:firstLine="241"/>
        <w:rPr>
          <w:rFonts w:hint="eastAsia" w:ascii="宋体" w:hAnsi="宋体" w:cs="宋体"/>
          <w:bCs/>
          <w:color w:val="auto"/>
          <w:kern w:val="0"/>
          <w:sz w:val="24"/>
          <w:highlight w:val="none"/>
          <w:u w:val="single"/>
        </w:rPr>
      </w:pPr>
      <w:r>
        <w:rPr>
          <w:rFonts w:hint="eastAsia" w:ascii="宋体" w:hAnsi="宋体" w:cs="宋体"/>
          <w:color w:val="auto"/>
          <w:kern w:val="0"/>
          <w:sz w:val="24"/>
          <w:highlight w:val="none"/>
        </w:rPr>
        <w:t xml:space="preserve">    </w:t>
      </w:r>
      <w:r>
        <w:rPr>
          <w:rFonts w:hint="eastAsia" w:ascii="宋体" w:hAnsi="宋体" w:cs="宋体"/>
          <w:bCs/>
          <w:color w:val="auto"/>
          <w:kern w:val="0"/>
          <w:sz w:val="24"/>
          <w:highlight w:val="none"/>
          <w:u w:val="single"/>
        </w:rPr>
        <w:t xml:space="preserve">                                                                                      </w:t>
      </w:r>
    </w:p>
    <w:p>
      <w:pPr>
        <w:spacing w:line="360" w:lineRule="auto"/>
        <w:ind w:firstLine="241"/>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rPr>
        <w:t xml:space="preserve">    </w:t>
      </w:r>
      <w:r>
        <w:rPr>
          <w:rFonts w:hint="eastAsia" w:ascii="宋体" w:hAnsi="宋体" w:cs="宋体"/>
          <w:bCs/>
          <w:color w:val="auto"/>
          <w:kern w:val="0"/>
          <w:sz w:val="24"/>
          <w:highlight w:val="none"/>
          <w:u w:val="single"/>
        </w:rPr>
        <w:t xml:space="preserve">                                                                                      </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bCs/>
          <w:color w:val="auto"/>
          <w:kern w:val="0"/>
          <w:sz w:val="24"/>
          <w:highlight w:val="none"/>
          <w:u w:val="single"/>
        </w:rPr>
        <w:t>采购人/采购代理机构</w:t>
      </w:r>
      <w:r>
        <w:rPr>
          <w:rFonts w:hint="eastAsia" w:ascii="宋体" w:hAnsi="宋体" w:cs="宋体"/>
          <w:bCs/>
          <w:color w:val="auto"/>
          <w:kern w:val="0"/>
          <w:sz w:val="24"/>
          <w:highlight w:val="none"/>
        </w:rPr>
        <w:t>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w:t>
      </w:r>
      <w:r>
        <w:rPr>
          <w:rFonts w:hint="eastAsia" w:ascii="宋体" w:hAnsi="宋体" w:cs="宋体"/>
          <w:bCs/>
          <w:color w:val="auto"/>
          <w:kern w:val="0"/>
          <w:sz w:val="24"/>
          <w:highlight w:val="none"/>
        </w:rPr>
        <w:t xml:space="preserve">就质疑事项作出了答复/没有在法定期限内作出答复。                                                                                             </w:t>
      </w:r>
    </w:p>
    <w:p>
      <w:pPr>
        <w:spacing w:line="360" w:lineRule="auto"/>
        <w:ind w:left="25" w:leftChars="12"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四、投诉事项具体内容</w:t>
      </w:r>
    </w:p>
    <w:p>
      <w:pPr>
        <w:spacing w:line="360" w:lineRule="auto"/>
        <w:ind w:left="25" w:leftChars="12" w:firstLine="472" w:firstLineChars="197"/>
        <w:rPr>
          <w:rFonts w:hint="eastAsia" w:ascii="宋体" w:hAnsi="宋体" w:cs="宋体"/>
          <w:bCs/>
          <w:color w:val="auto"/>
          <w:kern w:val="0"/>
          <w:sz w:val="24"/>
          <w:highlight w:val="none"/>
          <w:u w:val="single"/>
        </w:rPr>
      </w:pPr>
      <w:r>
        <w:rPr>
          <w:rFonts w:hint="eastAsia" w:ascii="宋体" w:hAnsi="宋体" w:cs="宋体"/>
          <w:color w:val="auto"/>
          <w:kern w:val="0"/>
          <w:sz w:val="24"/>
          <w:highlight w:val="none"/>
        </w:rPr>
        <w:t>投诉事项1：</w:t>
      </w:r>
      <w:r>
        <w:rPr>
          <w:rFonts w:hint="eastAsia" w:ascii="宋体" w:hAnsi="宋体" w:cs="宋体"/>
          <w:bCs/>
          <w:color w:val="auto"/>
          <w:kern w:val="0"/>
          <w:sz w:val="24"/>
          <w:highlight w:val="none"/>
          <w:u w:val="single"/>
        </w:rPr>
        <w:t xml:space="preserve">                                                                           </w:t>
      </w:r>
    </w:p>
    <w:p>
      <w:pPr>
        <w:spacing w:line="360" w:lineRule="auto"/>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rPr>
        <w:t>事实依据：</w:t>
      </w:r>
      <w:r>
        <w:rPr>
          <w:rFonts w:hint="eastAsia" w:ascii="宋体" w:hAnsi="宋体" w:cs="宋体"/>
          <w:color w:val="auto"/>
          <w:kern w:val="0"/>
          <w:sz w:val="24"/>
          <w:highlight w:val="none"/>
        </w:rPr>
        <w:t xml:space="preserve"> </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bCs/>
          <w:color w:val="auto"/>
          <w:kern w:val="0"/>
          <w:sz w:val="24"/>
          <w:highlight w:val="none"/>
          <w:u w:val="single"/>
        </w:rPr>
        <w:t xml:space="preserve">                                                                                        </w:t>
      </w:r>
    </w:p>
    <w:p>
      <w:pPr>
        <w:spacing w:line="360" w:lineRule="auto"/>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rPr>
        <w:t>法律依据：</w:t>
      </w:r>
      <w:r>
        <w:rPr>
          <w:rFonts w:hint="eastAsia" w:ascii="宋体" w:hAnsi="宋体" w:cs="宋体"/>
          <w:color w:val="auto"/>
          <w:kern w:val="0"/>
          <w:sz w:val="24"/>
          <w:highlight w:val="none"/>
        </w:rPr>
        <w:t xml:space="preserve"> </w:t>
      </w:r>
      <w:r>
        <w:rPr>
          <w:rFonts w:hint="eastAsia" w:ascii="宋体" w:hAnsi="宋体" w:cs="宋体"/>
          <w:bCs/>
          <w:color w:val="auto"/>
          <w:kern w:val="0"/>
          <w:sz w:val="24"/>
          <w:highlight w:val="none"/>
          <w:u w:val="single"/>
        </w:rPr>
        <w:t xml:space="preserve">                                                                                      </w:t>
      </w:r>
    </w:p>
    <w:p>
      <w:pPr>
        <w:spacing w:line="360" w:lineRule="auto"/>
        <w:ind w:left="25" w:leftChars="12" w:firstLine="352" w:firstLineChars="147"/>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rPr>
        <w:t xml:space="preserve"> </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rPr>
          <w:rFonts w:hint="eastAsia" w:ascii="宋体" w:hAnsi="宋体" w:cs="宋体"/>
          <w:bCs/>
          <w:color w:val="auto"/>
          <w:kern w:val="0"/>
          <w:sz w:val="24"/>
          <w:highlight w:val="none"/>
        </w:rPr>
      </w:pPr>
      <w:r>
        <w:rPr>
          <w:rFonts w:hint="eastAsia" w:ascii="宋体" w:hAnsi="宋体" w:cs="宋体"/>
          <w:color w:val="auto"/>
          <w:kern w:val="0"/>
          <w:sz w:val="24"/>
          <w:highlight w:val="none"/>
        </w:rPr>
        <w:t xml:space="preserve">投诉事项2  </w:t>
      </w:r>
      <w:r>
        <w:rPr>
          <w:rFonts w:hint="eastAsia" w:ascii="宋体" w:hAnsi="宋体" w:cs="宋体"/>
          <w:bCs/>
          <w:color w:val="auto"/>
          <w:kern w:val="0"/>
          <w:sz w:val="24"/>
          <w:highlight w:val="none"/>
        </w:rPr>
        <w:t xml:space="preserve">   </w:t>
      </w:r>
    </w:p>
    <w:p>
      <w:pPr>
        <w:spacing w:line="360" w:lineRule="auto"/>
        <w:ind w:left="25" w:leftChars="12" w:firstLine="472" w:firstLineChars="197"/>
        <w:rPr>
          <w:rFonts w:hint="eastAsia" w:ascii="宋体" w:hAnsi="宋体" w:cs="宋体"/>
          <w:bCs/>
          <w:color w:val="auto"/>
          <w:kern w:val="0"/>
          <w:sz w:val="24"/>
          <w:highlight w:val="none"/>
        </w:rPr>
      </w:pPr>
      <w:r>
        <w:rPr>
          <w:rFonts w:hint="eastAsia" w:ascii="宋体" w:hAnsi="宋体" w:cs="宋体"/>
          <w:bCs/>
          <w:color w:val="auto"/>
          <w:kern w:val="0"/>
          <w:sz w:val="24"/>
          <w:highlight w:val="none"/>
        </w:rPr>
        <w:t>……</w:t>
      </w:r>
    </w:p>
    <w:p>
      <w:pPr>
        <w:spacing w:line="360" w:lineRule="auto"/>
        <w:ind w:left="25" w:leftChars="12"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五、与投诉事项相关的投诉请求：</w:t>
      </w:r>
    </w:p>
    <w:p>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请求：</w:t>
      </w:r>
      <w:r>
        <w:rPr>
          <w:rFonts w:hint="eastAsia" w:ascii="宋体" w:hAnsi="宋体" w:cs="宋体"/>
          <w:bCs/>
          <w:color w:val="auto"/>
          <w:kern w:val="0"/>
          <w:sz w:val="24"/>
          <w:highlight w:val="none"/>
          <w:u w:val="single"/>
        </w:rPr>
        <w:t xml:space="preserve">                                                                                 </w:t>
      </w:r>
    </w:p>
    <w:p>
      <w:pPr>
        <w:spacing w:line="360" w:lineRule="auto"/>
        <w:ind w:left="25" w:leftChars="12" w:firstLine="352" w:firstLineChars="147"/>
        <w:rPr>
          <w:rFonts w:hint="eastAsia" w:ascii="宋体" w:hAnsi="宋体" w:cs="宋体"/>
          <w:color w:val="auto"/>
          <w:kern w:val="0"/>
          <w:sz w:val="24"/>
          <w:highlight w:val="none"/>
        </w:rPr>
      </w:pPr>
    </w:p>
    <w:p>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签字（签章）：                                       公章：</w:t>
      </w:r>
    </w:p>
    <w:p>
      <w:pPr>
        <w:spacing w:line="360" w:lineRule="auto"/>
        <w:ind w:left="25" w:leftChars="12" w:firstLine="352" w:firstLineChars="147"/>
        <w:rPr>
          <w:rFonts w:hint="eastAsia" w:ascii="宋体" w:hAnsi="宋体" w:cs="宋体"/>
          <w:color w:val="auto"/>
          <w:kern w:val="0"/>
          <w:sz w:val="24"/>
          <w:highlight w:val="none"/>
        </w:rPr>
      </w:pPr>
    </w:p>
    <w:p>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日期：</w:t>
      </w:r>
    </w:p>
    <w:p>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bCs/>
          <w:color w:val="auto"/>
          <w:kern w:val="0"/>
          <w:sz w:val="24"/>
          <w:highlight w:val="none"/>
        </w:rPr>
        <w:t xml:space="preserve">                                                                                 </w:t>
      </w:r>
    </w:p>
    <w:p>
      <w:pPr>
        <w:snapToGrid w:val="0"/>
        <w:spacing w:line="360" w:lineRule="auto"/>
        <w:rPr>
          <w:rFonts w:hint="eastAsia" w:ascii="宋体" w:hAnsi="宋体" w:cs="宋体"/>
          <w:b/>
          <w:color w:val="auto"/>
          <w:kern w:val="0"/>
          <w:sz w:val="24"/>
          <w:highlight w:val="none"/>
        </w:rPr>
      </w:pPr>
    </w:p>
    <w:p>
      <w:pPr>
        <w:snapToGrid w:val="0"/>
        <w:spacing w:line="360" w:lineRule="auto"/>
        <w:rPr>
          <w:rFonts w:hint="eastAsia" w:ascii="宋体" w:hAnsi="宋体" w:cs="宋体"/>
          <w:b/>
          <w:color w:val="auto"/>
          <w:kern w:val="0"/>
          <w:sz w:val="24"/>
          <w:highlight w:val="none"/>
        </w:rPr>
      </w:pPr>
      <w:r>
        <w:rPr>
          <w:rFonts w:hint="eastAsia" w:ascii="宋体" w:hAnsi="宋体" w:cs="宋体"/>
          <w:b/>
          <w:color w:val="auto"/>
          <w:kern w:val="0"/>
          <w:sz w:val="24"/>
          <w:highlight w:val="none"/>
        </w:rPr>
        <w:t>说明：</w:t>
      </w:r>
    </w:p>
    <w:p>
      <w:pPr>
        <w:spacing w:line="360" w:lineRule="auto"/>
        <w:ind w:left="25" w:leftChars="12" w:firstLine="354" w:firstLineChars="147"/>
        <w:rPr>
          <w:rFonts w:hint="eastAsia" w:ascii="宋体" w:hAnsi="宋体" w:cs="宋体"/>
          <w:b/>
          <w:bCs/>
          <w:color w:val="auto"/>
          <w:kern w:val="0"/>
          <w:sz w:val="24"/>
          <w:highlight w:val="none"/>
        </w:rPr>
      </w:pPr>
      <w:r>
        <w:rPr>
          <w:rFonts w:hint="eastAsia" w:ascii="宋体" w:hAnsi="宋体" w:cs="宋体"/>
          <w:b/>
          <w:color w:val="auto"/>
          <w:kern w:val="0"/>
          <w:sz w:val="24"/>
          <w:highlight w:val="none"/>
        </w:rPr>
        <w:t>1.投诉人提起投诉时，应当提交投诉书和必要的证明材料，并按照被投诉人和与投诉事项有关的供应商数量提供投诉书副本</w:t>
      </w:r>
      <w:r>
        <w:rPr>
          <w:rFonts w:hint="eastAsia" w:ascii="宋体" w:hAnsi="宋体" w:cs="宋体"/>
          <w:b/>
          <w:bCs/>
          <w:color w:val="auto"/>
          <w:kern w:val="0"/>
          <w:sz w:val="24"/>
          <w:highlight w:val="none"/>
        </w:rPr>
        <w:t>。</w:t>
      </w:r>
    </w:p>
    <w:p>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3.投诉书应简要列明质疑事项，质疑函、质疑答复等作为附件材料提供。</w:t>
      </w:r>
    </w:p>
    <w:p>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4.投诉书的投诉事项应具体、明确，并有必要的事实依据和法律依据。</w:t>
      </w:r>
    </w:p>
    <w:p>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5.投诉书的投诉请求应与投诉事项相关。</w:t>
      </w:r>
    </w:p>
    <w:p>
      <w:pPr>
        <w:spacing w:line="360" w:lineRule="auto"/>
        <w:ind w:left="25" w:leftChars="12" w:firstLine="354" w:firstLineChars="147"/>
        <w:rPr>
          <w:rFonts w:hint="eastAsia" w:ascii="宋体" w:hAnsi="宋体" w:cs="宋体"/>
          <w:color w:val="auto"/>
          <w:highlight w:val="none"/>
        </w:rPr>
      </w:pPr>
      <w:r>
        <w:rPr>
          <w:rFonts w:hint="eastAsia" w:ascii="宋体" w:hAnsi="宋体" w:cs="宋体"/>
          <w:b/>
          <w:color w:val="auto"/>
          <w:kern w:val="0"/>
          <w:sz w:val="24"/>
          <w:highlight w:val="none"/>
        </w:rPr>
        <w:t>6.投诉人为法人或者其他组织的，投诉书应由法定代表人、主要负责人，或者其授权代表签字或者盖章，并加盖公章。</w:t>
      </w:r>
    </w:p>
    <w:p>
      <w:pPr>
        <w:rPr>
          <w:rFonts w:hint="eastAsia"/>
          <w:color w:val="auto"/>
          <w:highlight w:val="none"/>
        </w:rPr>
      </w:pPr>
    </w:p>
    <w:sectPr>
      <w:headerReference r:id="rId12" w:type="default"/>
      <w:footerReference r:id="rId13" w:type="default"/>
      <w:pgSz w:w="11911" w:h="16838"/>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B26D932-4029-4F3B-ABE7-38155E00AAA0}"/>
  </w:font>
  <w:font w:name="Courier New">
    <w:panose1 w:val="02070309020205020404"/>
    <w:charset w:val="01"/>
    <w:family w:val="modern"/>
    <w:pitch w:val="default"/>
    <w:sig w:usb0="E0002EFF" w:usb1="C0007843" w:usb2="00000009" w:usb3="00000000" w:csb0="400001FF" w:csb1="FFFF0000"/>
    <w:embedRegular r:id="rId2" w:fontKey="{F01CB22B-0F70-4DB9-9EC3-715E65B0EEA9}"/>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8C83D503-91C1-47A1-9159-86B05FBA2DC2}"/>
  </w:font>
  <w:font w:name="Cambria">
    <w:panose1 w:val="02040503050406030204"/>
    <w:charset w:val="00"/>
    <w:family w:val="roman"/>
    <w:pitch w:val="default"/>
    <w:sig w:usb0="E00006FF" w:usb1="420024FF" w:usb2="02000000" w:usb3="00000000" w:csb0="2000019F" w:csb1="00000000"/>
    <w:embedRegular r:id="rId4" w:fontKey="{E336759B-4C94-4543-A8F9-17C6D2E264EF}"/>
  </w:font>
  <w:font w:name="等线 Light">
    <w:panose1 w:val="02010600030101010101"/>
    <w:charset w:val="86"/>
    <w:family w:val="auto"/>
    <w:pitch w:val="default"/>
    <w:sig w:usb0="A00002BF" w:usb1="38CF7CFA" w:usb2="00000016" w:usb3="00000000" w:csb0="0004000F" w:csb1="00000000"/>
  </w:font>
  <w:font w:name="DejaVu Sans">
    <w:altName w:val="Times New Roman"/>
    <w:panose1 w:val="00000000000000000000"/>
    <w:charset w:val="00"/>
    <w:family w:val="roman"/>
    <w:pitch w:val="default"/>
    <w:sig w:usb0="00000000" w:usb1="00000000" w:usb2="00000008" w:usb3="00000000" w:csb0="000001FF" w:csb1="00000000"/>
  </w:font>
  <w:font w:name="方正黑体_GBK">
    <w:altName w:val="Arial Unicode MS"/>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5" w:fontKey="{770F6785-B637-4BB4-9FAC-93B0302A53E9}"/>
  </w:font>
  <w:font w:name="Arial Unicode MS">
    <w:panose1 w:val="020B0604020202020204"/>
    <w:charset w:val="86"/>
    <w:family w:val="swiss"/>
    <w:pitch w:val="default"/>
    <w:sig w:usb0="FFFFFFFF" w:usb1="E9FFFFFF" w:usb2="0000003F" w:usb3="00000000" w:csb0="603F01FF" w:csb1="FFFF0000"/>
    <w:embedRegular r:id="rId6" w:fontKey="{5EBDD92B-45E9-4C79-9768-334B23CE656B}"/>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7" w:fontKey="{AA46115B-ECC5-4285-BEC3-3655413CF326}"/>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embedRegular r:id="rId8" w:fontKey="{AFEDD309-7B5D-4CB9-BAA5-0599DA3EE384}"/>
  </w:font>
  <w:font w:name="方正小标宋简体">
    <w:panose1 w:val="03000509000000000000"/>
    <w:charset w:val="86"/>
    <w:family w:val="auto"/>
    <w:pitch w:val="default"/>
    <w:sig w:usb0="00000001" w:usb1="080E0000" w:usb2="00000000" w:usb3="00000000" w:csb0="00040000" w:csb1="00000000"/>
    <w:embedRegular r:id="rId9" w:fontKey="{B153FEDE-8457-48E2-B56D-07DAAC6F600E}"/>
  </w:font>
  <w:font w:name="Verdana">
    <w:panose1 w:val="020B0604030504040204"/>
    <w:charset w:val="00"/>
    <w:family w:val="swiss"/>
    <w:pitch w:val="default"/>
    <w:sig w:usb0="A00006FF" w:usb1="4000205B" w:usb2="00000010" w:usb3="00000000" w:csb0="2000019F" w:csb1="00000000"/>
    <w:embedRegular r:id="rId10" w:fontKey="{1F286533-BBDB-4B5D-900F-6E75E63EDDFA}"/>
  </w:font>
  <w:font w:name="隶书">
    <w:panose1 w:val="02010509060101010101"/>
    <w:charset w:val="86"/>
    <w:family w:val="modern"/>
    <w:pitch w:val="default"/>
    <w:sig w:usb0="00000001" w:usb1="080E0000" w:usb2="00000000" w:usb3="00000000" w:csb0="00040000" w:csb1="00000000"/>
    <w:embedRegular r:id="rId11" w:fontKey="{26BD6129-AEC4-45A6-B4FE-5A005543B91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rFonts w:hint="eastAsia"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6"/>
        <w:rFonts w:ascii="Calibri" w:hAnsi="Calibri"/>
        <w:sz w:val="21"/>
      </w:rPr>
    </w:pPr>
    <w:r>
      <w:rPr>
        <w:rFonts w:ascii="Calibri" w:hAnsi="Calibri"/>
        <w:sz w:val="21"/>
      </w:rPr>
      <w:fldChar w:fldCharType="begin"/>
    </w:r>
    <w:r>
      <w:rPr>
        <w:rStyle w:val="36"/>
        <w:rFonts w:ascii="Calibri" w:hAnsi="Calibri"/>
        <w:sz w:val="21"/>
      </w:rPr>
      <w:instrText xml:space="preserve">PAGE  </w:instrText>
    </w:r>
    <w:r>
      <w:rPr>
        <w:rFonts w:ascii="Calibri" w:hAnsi="Calibri"/>
        <w:sz w:val="21"/>
      </w:rPr>
      <w:fldChar w:fldCharType="separate"/>
    </w:r>
    <w:r>
      <w:rPr>
        <w:rStyle w:val="36"/>
        <w:rFonts w:ascii="Calibri" w:hAnsi="Calibri"/>
        <w:sz w:val="21"/>
      </w:rPr>
      <w:t>0</w:t>
    </w:r>
    <w:r>
      <w:rPr>
        <w:rFonts w:ascii="Calibri" w:hAnsi="Calibri"/>
        <w:sz w:val="21"/>
      </w:rPr>
      <w:fldChar w:fldCharType="end"/>
    </w:r>
  </w:p>
  <w:p>
    <w:pPr>
      <w:pStyle w:val="24"/>
      <w:rPr>
        <w:rFonts w:ascii="Calibri" w:hAnsi="Calibri"/>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4439"/>
        <w:tab w:val="clear" w:pos="4153"/>
      </w:tabs>
      <w:jc w:val="both"/>
      <w:rPr>
        <w:rFonts w:ascii="Calibri" w:hAnsi="Calibri"/>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p>
                      </w:txbxContent>
                    </wps:txbx>
                    <wps:bodyPr wrap="none" lIns="0" tIns="0" rIns="0" bIns="0" upright="1">
                      <a:spAutoFit/>
                    </wps:bodyPr>
                  </wps:wsp>
                </a:graphicData>
              </a:graphic>
            </wp:anchor>
          </w:drawing>
        </mc:Choice>
        <mc:Fallback>
          <w:pict>
            <v:shape id="文本框 513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Ay05HLAQAAnAMAAA4AAAAAAAAAAQAgAAAAHgEAAGRycy9lMm9E&#10;b2MueG1sUEsFBgAAAAAGAAYAWQEAAFsFAAAAAA==&#10;">
              <v:fill on="f" focussize="0,0"/>
              <v:stroke on="f"/>
              <v:imagedata o:title=""/>
              <o:lock v:ext="edit" aspectratio="f"/>
              <v:textbox inset="0mm,0mm,0mm,0mm" style="mso-fit-shape-to-text:t;">
                <w:txbxContent>
                  <w:p>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4439"/>
        <w:tab w:val="clear" w:pos="4153"/>
      </w:tabs>
      <w:rPr>
        <w:rFonts w:ascii="Calibri" w:hAnsi="Calibri"/>
      </w:rPr>
    </w:pPr>
    <w:r>
      <w:rPr>
        <w:rFonts w:ascii="Calibri" w:hAnsi="Calibri"/>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ascii="Calibri" w:hAnsi="Calibri"/>
                            </w:rPr>
                          </w:pPr>
                        </w:p>
                      </w:txbxContent>
                    </wps:txbx>
                    <wps:bodyPr wrap="none" lIns="0" tIns="0" rIns="0" bIns="0" upright="1">
                      <a:spAutoFit/>
                    </wps:bodyPr>
                  </wps:wsp>
                </a:graphicData>
              </a:graphic>
            </wp:anchor>
          </w:drawing>
        </mc:Choice>
        <mc:Fallback>
          <w:pict>
            <v:shape id="文本框 51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vjubLzAEAAJwDAAAOAAAAAAAAAAEAIAAAAB4BAABkcnMvZTJv&#10;RG9jLnhtbFBLBQYAAAAABgAGAFkBAABcBQAAAAA=&#10;">
              <v:fill on="f" focussize="0,0"/>
              <v:stroke on="f"/>
              <v:imagedata o:title=""/>
              <o:lock v:ext="edit" aspectratio="f"/>
              <v:textbox inset="0mm,0mm,0mm,0mm" style="mso-fit-shape-to-text:t;">
                <w:txbxContent>
                  <w:p>
                    <w:pPr>
                      <w:rPr>
                        <w:rFonts w:ascii="Calibri" w:hAnsi="Calibri"/>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rFonts w:ascii="Calibri" w:hAnsi="Calibri"/>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3</w:t>
                          </w:r>
                          <w:r>
                            <w:rPr>
                              <w:rFonts w:hint="eastAsia"/>
                            </w:rPr>
                            <w:fldChar w:fldCharType="end"/>
                          </w:r>
                        </w:p>
                      </w:txbxContent>
                    </wps:txbx>
                    <wps:bodyPr wrap="none" lIns="0" tIns="0" rIns="0" bIns="0" upright="1">
                      <a:spAutoFit/>
                    </wps:bodyPr>
                  </wps:wsp>
                </a:graphicData>
              </a:graphic>
            </wp:anchor>
          </w:drawing>
        </mc:Choice>
        <mc:Fallback>
          <w:pict>
            <v:shape id="文本框 513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24GEKzAEAAJwDAAAOAAAAAAAAAAEAIAAAAB4BAABkcnMvZTJv&#10;RG9jLnhtbFBLBQYAAAAABgAGAFkBAABcBQAAAAA=&#10;">
              <v:fill on="f" focussize="0,0"/>
              <v:stroke on="f"/>
              <v:imagedata o:title=""/>
              <o:lock v:ext="edit" aspectratio="f"/>
              <v:textbox inset="0mm,0mm,0mm,0mm" style="mso-fit-shape-to-text:t;">
                <w:txbxContent>
                  <w:p>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3</w:t>
                    </w:r>
                    <w:r>
                      <w:rPr>
                        <w:rFonts w:hint="eastAsia"/>
                      </w:rPr>
                      <w:fldChar w:fldCharType="end"/>
                    </w:r>
                  </w:p>
                </w:txbxContent>
              </v:textbox>
            </v:shape>
          </w:pict>
        </mc:Fallback>
      </mc:AlternateContent>
    </w:r>
  </w:p>
  <w:p>
    <w:pPr>
      <w:pStyle w:val="24"/>
      <w:rPr>
        <w:rFonts w:ascii="Calibri" w:hAnsi="Calibr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87</w:t>
                          </w:r>
                          <w:r>
                            <w:rPr>
                              <w:rFonts w:hint="eastAsia"/>
                            </w:rPr>
                            <w:fldChar w:fldCharType="end"/>
                          </w:r>
                        </w:p>
                      </w:txbxContent>
                    </wps:txbx>
                    <wps:bodyPr wrap="none" lIns="0" tIns="0" rIns="0" bIns="0" upright="1">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Q6w3RzAEAAJwDAAAOAAAAAAAAAAEAIAAAAB4BAABkcnMvZTJv&#10;RG9jLnhtbFBLBQYAAAAABgAGAFkBAABcBQAAAAA=&#10;">
              <v:fill on="f" focussize="0,0"/>
              <v:stroke on="f"/>
              <v:imagedata o:title=""/>
              <o:lock v:ext="edit" aspectratio="f"/>
              <v:textbox inset="0mm,0mm,0mm,0mm" style="mso-fit-shape-to-text:t;">
                <w:txbxContent>
                  <w:p>
                    <w:pPr>
                      <w:pStyle w:val="24"/>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87</w:t>
                    </w:r>
                    <w:r>
                      <w:rPr>
                        <w:rFonts w:hint="eastAsia"/>
                      </w:rPr>
                      <w:fldChar w:fldCharType="end"/>
                    </w:r>
                  </w:p>
                </w:txbxContent>
              </v:textbox>
            </v:shape>
          </w:pict>
        </mc:Fallback>
      </mc:AlternateContent>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0"/>
        <w:tab w:val="clear" w:pos="4153"/>
      </w:tabs>
      <w:rPr>
        <w:rFonts w:ascii="Calibri" w:hAnsi="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0"/>
        <w:tab w:val="clear" w:pos="4153"/>
      </w:tabs>
      <w:rPr>
        <w:rFonts w:ascii="Calibri" w:hAnsi="Calibri"/>
      </w:rPr>
    </w:pPr>
    <w:r>
      <w:rPr>
        <w:rFonts w:hint="eastAsia" w:ascii="Calibri" w:hAnsi="Calibri"/>
      </w:rPr>
      <w:t>南宁市政府采购竞争性磋商采购文件（项目编号：NNZC2021-C3--KLZB）</w:t>
    </w:r>
  </w:p>
  <w:p>
    <w:pPr>
      <w:pStyle w:val="25"/>
      <w:pBdr>
        <w:bottom w:val="none" w:color="auto" w:sz="0" w:space="1"/>
      </w:pBdr>
      <w:rPr>
        <w:rFonts w:ascii="Calibri" w:hAnsi="Calibr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0"/>
        <w:tab w:val="clear" w:pos="4153"/>
      </w:tabs>
    </w:pPr>
    <w:r>
      <w:rPr>
        <w:vanish/>
        <w:highlight w:val="yellow"/>
      </w:rPr>
      <w:t>&gt;</w:t>
    </w:r>
  </w:p>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EC241D"/>
    <w:multiLevelType w:val="singleLevel"/>
    <w:tmpl w:val="D7EC241D"/>
    <w:lvl w:ilvl="0" w:tentative="0">
      <w:start w:val="1"/>
      <w:numFmt w:val="decimal"/>
      <w:suff w:val="nothing"/>
      <w:lvlText w:val="（%1）"/>
      <w:lvlJc w:val="left"/>
    </w:lvl>
  </w:abstractNum>
  <w:abstractNum w:abstractNumId="1">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595501A"/>
    <w:multiLevelType w:val="multilevel"/>
    <w:tmpl w:val="0595501A"/>
    <w:lvl w:ilvl="0" w:tentative="0">
      <w:start w:val="1"/>
      <w:numFmt w:val="decimal"/>
      <w:suff w:val="space"/>
      <w:lvlText w:val="%1."/>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pStyle w:val="92"/>
      <w:isLgl/>
      <w:suff w:val="space"/>
      <w:lvlText w:val="%1.%2.%3"/>
      <w:lvlJc w:val="left"/>
      <w:pPr>
        <w:ind w:left="0" w:firstLine="0"/>
      </w:pPr>
      <w:rPr>
        <w:rFonts w:hint="eastAsia"/>
        <w:b w:val="0"/>
        <w:i w:val="0"/>
        <w:color w:val="auto"/>
      </w:rPr>
    </w:lvl>
    <w:lvl w:ilvl="3" w:tentative="0">
      <w:start w:val="1"/>
      <w:numFmt w:val="decimal"/>
      <w:isLgl/>
      <w:suff w:val="space"/>
      <w:lvlText w:val="%1.%2.%3.%4"/>
      <w:lvlJc w:val="left"/>
      <w:pPr>
        <w:ind w:left="0" w:firstLine="0"/>
      </w:pPr>
      <w:rPr>
        <w:rFonts w:hint="eastAsia"/>
      </w:rPr>
    </w:lvl>
    <w:lvl w:ilvl="4" w:tentative="0">
      <w:start w:val="1"/>
      <w:numFmt w:val="decimal"/>
      <w:isLgl/>
      <w:lvlText w:val="%1.%2.%3.%4.%5"/>
      <w:lvlJc w:val="left"/>
      <w:pPr>
        <w:tabs>
          <w:tab w:val="left" w:pos="0"/>
        </w:tabs>
        <w:ind w:left="0" w:firstLine="0"/>
      </w:pPr>
      <w:rPr>
        <w:rFonts w:hint="eastAsia"/>
      </w:rPr>
    </w:lvl>
    <w:lvl w:ilvl="5" w:tentative="0">
      <w:start w:val="1"/>
      <w:numFmt w:val="decimal"/>
      <w:lvlText w:val="%1.%2.%3.%4.%5.%6"/>
      <w:lvlJc w:val="left"/>
      <w:pPr>
        <w:tabs>
          <w:tab w:val="left" w:pos="6086"/>
        </w:tabs>
        <w:ind w:left="3260" w:hanging="1134"/>
      </w:pPr>
      <w:rPr>
        <w:rFonts w:hint="eastAsia"/>
      </w:rPr>
    </w:lvl>
    <w:lvl w:ilvl="6" w:tentative="0">
      <w:start w:val="1"/>
      <w:numFmt w:val="decimal"/>
      <w:lvlText w:val="%1.%2.%3.%4.%5.%6.%7"/>
      <w:lvlJc w:val="left"/>
      <w:pPr>
        <w:tabs>
          <w:tab w:val="left" w:pos="7231"/>
        </w:tabs>
        <w:ind w:left="3827" w:hanging="1276"/>
      </w:pPr>
      <w:rPr>
        <w:rFonts w:hint="eastAsia"/>
      </w:rPr>
    </w:lvl>
    <w:lvl w:ilvl="7" w:tentative="0">
      <w:start w:val="1"/>
      <w:numFmt w:val="decimal"/>
      <w:lvlText w:val="%1.%2.%3.%4.%5.%6.%7.%8"/>
      <w:lvlJc w:val="left"/>
      <w:pPr>
        <w:tabs>
          <w:tab w:val="left" w:pos="8376"/>
        </w:tabs>
        <w:ind w:left="4394" w:hanging="1418"/>
      </w:pPr>
      <w:rPr>
        <w:rFonts w:hint="eastAsia"/>
      </w:rPr>
    </w:lvl>
    <w:lvl w:ilvl="8" w:tentative="0">
      <w:start w:val="1"/>
      <w:numFmt w:val="decimal"/>
      <w:lvlText w:val="%1.%2.%3.%4.%5.%6.%7.%8.%9"/>
      <w:lvlJc w:val="left"/>
      <w:pPr>
        <w:tabs>
          <w:tab w:val="left" w:pos="9522"/>
        </w:tabs>
        <w:ind w:left="5102" w:hanging="1700"/>
      </w:pPr>
      <w:rPr>
        <w:rFonts w:hint="eastAsia"/>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5,6,7"/>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iMDY3NGYyYzViMzljYTM4MWE4NWIxZjE5YTk4ZWEifQ=="/>
  </w:docVars>
  <w:rsids>
    <w:rsidRoot w:val="00F34B14"/>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6C5"/>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2E5A"/>
    <w:rsid w:val="00034390"/>
    <w:rsid w:val="000352E9"/>
    <w:rsid w:val="00035494"/>
    <w:rsid w:val="00036125"/>
    <w:rsid w:val="00036A07"/>
    <w:rsid w:val="0003780B"/>
    <w:rsid w:val="00040571"/>
    <w:rsid w:val="00040973"/>
    <w:rsid w:val="0004156E"/>
    <w:rsid w:val="00041713"/>
    <w:rsid w:val="0004440C"/>
    <w:rsid w:val="00046B5E"/>
    <w:rsid w:val="000470CB"/>
    <w:rsid w:val="000509D9"/>
    <w:rsid w:val="00051316"/>
    <w:rsid w:val="00051ACB"/>
    <w:rsid w:val="00052451"/>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40"/>
    <w:rsid w:val="000707FD"/>
    <w:rsid w:val="00070949"/>
    <w:rsid w:val="000711E4"/>
    <w:rsid w:val="000724D9"/>
    <w:rsid w:val="00072AED"/>
    <w:rsid w:val="00073F47"/>
    <w:rsid w:val="0007492F"/>
    <w:rsid w:val="00074ED8"/>
    <w:rsid w:val="000752AF"/>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4321"/>
    <w:rsid w:val="000B552E"/>
    <w:rsid w:val="000B6A6B"/>
    <w:rsid w:val="000B6C95"/>
    <w:rsid w:val="000B79FC"/>
    <w:rsid w:val="000B7BD1"/>
    <w:rsid w:val="000C02B1"/>
    <w:rsid w:val="000C1679"/>
    <w:rsid w:val="000C1EE3"/>
    <w:rsid w:val="000C3AE7"/>
    <w:rsid w:val="000C3CC9"/>
    <w:rsid w:val="000C5ED6"/>
    <w:rsid w:val="000C6DE4"/>
    <w:rsid w:val="000C7202"/>
    <w:rsid w:val="000D0A89"/>
    <w:rsid w:val="000D0AFC"/>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7E5"/>
    <w:rsid w:val="000F1A1B"/>
    <w:rsid w:val="000F2A95"/>
    <w:rsid w:val="000F3281"/>
    <w:rsid w:val="000F32FD"/>
    <w:rsid w:val="000F3733"/>
    <w:rsid w:val="000F439E"/>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5B2"/>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4EC8"/>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6081"/>
    <w:rsid w:val="001C6F1B"/>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2BB8"/>
    <w:rsid w:val="001F3356"/>
    <w:rsid w:val="001F3C63"/>
    <w:rsid w:val="001F4460"/>
    <w:rsid w:val="001F4F4F"/>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060F"/>
    <w:rsid w:val="002114C7"/>
    <w:rsid w:val="0021302C"/>
    <w:rsid w:val="00213B1C"/>
    <w:rsid w:val="00214202"/>
    <w:rsid w:val="002148E3"/>
    <w:rsid w:val="00214FD7"/>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097B"/>
    <w:rsid w:val="00250A51"/>
    <w:rsid w:val="00251043"/>
    <w:rsid w:val="00251C4A"/>
    <w:rsid w:val="0025271C"/>
    <w:rsid w:val="002529E4"/>
    <w:rsid w:val="002533CD"/>
    <w:rsid w:val="002535EA"/>
    <w:rsid w:val="00253CBA"/>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2293"/>
    <w:rsid w:val="002723C8"/>
    <w:rsid w:val="00273C2A"/>
    <w:rsid w:val="00273CBE"/>
    <w:rsid w:val="002746B1"/>
    <w:rsid w:val="00274BAD"/>
    <w:rsid w:val="002754D6"/>
    <w:rsid w:val="00282D56"/>
    <w:rsid w:val="002835B0"/>
    <w:rsid w:val="00283C74"/>
    <w:rsid w:val="0028407E"/>
    <w:rsid w:val="0028410F"/>
    <w:rsid w:val="00284572"/>
    <w:rsid w:val="00285221"/>
    <w:rsid w:val="00286FB5"/>
    <w:rsid w:val="00287763"/>
    <w:rsid w:val="00287FCB"/>
    <w:rsid w:val="00290606"/>
    <w:rsid w:val="002909B2"/>
    <w:rsid w:val="00290A98"/>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A16"/>
    <w:rsid w:val="002B0C16"/>
    <w:rsid w:val="002B2AC5"/>
    <w:rsid w:val="002B3528"/>
    <w:rsid w:val="002B3539"/>
    <w:rsid w:val="002B4532"/>
    <w:rsid w:val="002B4625"/>
    <w:rsid w:val="002B5042"/>
    <w:rsid w:val="002B69CC"/>
    <w:rsid w:val="002B6D71"/>
    <w:rsid w:val="002C0C1C"/>
    <w:rsid w:val="002C54C2"/>
    <w:rsid w:val="002C5D34"/>
    <w:rsid w:val="002C5D7F"/>
    <w:rsid w:val="002C60BB"/>
    <w:rsid w:val="002C661A"/>
    <w:rsid w:val="002D0D6F"/>
    <w:rsid w:val="002D25FC"/>
    <w:rsid w:val="002D4AC6"/>
    <w:rsid w:val="002D5BF5"/>
    <w:rsid w:val="002D5E31"/>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1A1E"/>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1E3"/>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683B"/>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BCB"/>
    <w:rsid w:val="00335EA1"/>
    <w:rsid w:val="0033691E"/>
    <w:rsid w:val="00336A6A"/>
    <w:rsid w:val="00336CCB"/>
    <w:rsid w:val="003411D1"/>
    <w:rsid w:val="003416BA"/>
    <w:rsid w:val="00342148"/>
    <w:rsid w:val="00342F99"/>
    <w:rsid w:val="0034575A"/>
    <w:rsid w:val="00345F57"/>
    <w:rsid w:val="0034638A"/>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1F7"/>
    <w:rsid w:val="00370316"/>
    <w:rsid w:val="00370DC7"/>
    <w:rsid w:val="00371CBD"/>
    <w:rsid w:val="00371F20"/>
    <w:rsid w:val="003721E3"/>
    <w:rsid w:val="00372B98"/>
    <w:rsid w:val="003737B7"/>
    <w:rsid w:val="003740CC"/>
    <w:rsid w:val="003745F4"/>
    <w:rsid w:val="00374AFA"/>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38A"/>
    <w:rsid w:val="003B5E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3367"/>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56F"/>
    <w:rsid w:val="00455A6E"/>
    <w:rsid w:val="00455EAD"/>
    <w:rsid w:val="00456783"/>
    <w:rsid w:val="004578EB"/>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6D31"/>
    <w:rsid w:val="0049797C"/>
    <w:rsid w:val="004A00E1"/>
    <w:rsid w:val="004A0943"/>
    <w:rsid w:val="004A1405"/>
    <w:rsid w:val="004A1FC6"/>
    <w:rsid w:val="004A2E5F"/>
    <w:rsid w:val="004A32EC"/>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4AF"/>
    <w:rsid w:val="004B57DF"/>
    <w:rsid w:val="004B5976"/>
    <w:rsid w:val="004B7137"/>
    <w:rsid w:val="004B722E"/>
    <w:rsid w:val="004B72E8"/>
    <w:rsid w:val="004C01A5"/>
    <w:rsid w:val="004C0412"/>
    <w:rsid w:val="004C1142"/>
    <w:rsid w:val="004C2138"/>
    <w:rsid w:val="004C2333"/>
    <w:rsid w:val="004C3940"/>
    <w:rsid w:val="004C51FD"/>
    <w:rsid w:val="004C65A8"/>
    <w:rsid w:val="004C65C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05CC4"/>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5F6"/>
    <w:rsid w:val="005227D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3733"/>
    <w:rsid w:val="00573F8B"/>
    <w:rsid w:val="00574554"/>
    <w:rsid w:val="00574E06"/>
    <w:rsid w:val="005751BB"/>
    <w:rsid w:val="00576089"/>
    <w:rsid w:val="005764B1"/>
    <w:rsid w:val="00576852"/>
    <w:rsid w:val="00576D06"/>
    <w:rsid w:val="00577287"/>
    <w:rsid w:val="005779E4"/>
    <w:rsid w:val="00577F9F"/>
    <w:rsid w:val="00580093"/>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32F"/>
    <w:rsid w:val="005A252B"/>
    <w:rsid w:val="005A2A8F"/>
    <w:rsid w:val="005A3204"/>
    <w:rsid w:val="005A3341"/>
    <w:rsid w:val="005A3C3D"/>
    <w:rsid w:val="005A46EC"/>
    <w:rsid w:val="005A5EAE"/>
    <w:rsid w:val="005A6407"/>
    <w:rsid w:val="005A726C"/>
    <w:rsid w:val="005B07EC"/>
    <w:rsid w:val="005B222F"/>
    <w:rsid w:val="005B2B11"/>
    <w:rsid w:val="005B32A4"/>
    <w:rsid w:val="005B3371"/>
    <w:rsid w:val="005B338D"/>
    <w:rsid w:val="005B36D7"/>
    <w:rsid w:val="005B3BAF"/>
    <w:rsid w:val="005B4DA3"/>
    <w:rsid w:val="005B5362"/>
    <w:rsid w:val="005B5BEE"/>
    <w:rsid w:val="005B77D2"/>
    <w:rsid w:val="005C019B"/>
    <w:rsid w:val="005C08D0"/>
    <w:rsid w:val="005C1AED"/>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B59"/>
    <w:rsid w:val="005D784B"/>
    <w:rsid w:val="005E03E4"/>
    <w:rsid w:val="005E0454"/>
    <w:rsid w:val="005E05F6"/>
    <w:rsid w:val="005E068E"/>
    <w:rsid w:val="005E2442"/>
    <w:rsid w:val="005E3111"/>
    <w:rsid w:val="005E3F85"/>
    <w:rsid w:val="005E4A5F"/>
    <w:rsid w:val="005E57B0"/>
    <w:rsid w:val="005E5B01"/>
    <w:rsid w:val="005E6D3B"/>
    <w:rsid w:val="005F009E"/>
    <w:rsid w:val="005F0DF1"/>
    <w:rsid w:val="005F1516"/>
    <w:rsid w:val="005F229E"/>
    <w:rsid w:val="005F2564"/>
    <w:rsid w:val="005F2D0F"/>
    <w:rsid w:val="005F368B"/>
    <w:rsid w:val="005F3822"/>
    <w:rsid w:val="005F4635"/>
    <w:rsid w:val="005F4900"/>
    <w:rsid w:val="005F4E52"/>
    <w:rsid w:val="005F6D58"/>
    <w:rsid w:val="005F7383"/>
    <w:rsid w:val="0060058E"/>
    <w:rsid w:val="00601F77"/>
    <w:rsid w:val="00602A3C"/>
    <w:rsid w:val="00603E47"/>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27A44"/>
    <w:rsid w:val="00634367"/>
    <w:rsid w:val="00640082"/>
    <w:rsid w:val="00640291"/>
    <w:rsid w:val="00640EFE"/>
    <w:rsid w:val="00641D6D"/>
    <w:rsid w:val="00641FAC"/>
    <w:rsid w:val="00643664"/>
    <w:rsid w:val="00643CAA"/>
    <w:rsid w:val="00644F16"/>
    <w:rsid w:val="006455EB"/>
    <w:rsid w:val="006456C2"/>
    <w:rsid w:val="00645A65"/>
    <w:rsid w:val="006463B2"/>
    <w:rsid w:val="006477F0"/>
    <w:rsid w:val="006478E4"/>
    <w:rsid w:val="00650091"/>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76A"/>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40"/>
    <w:rsid w:val="006A1772"/>
    <w:rsid w:val="006A1780"/>
    <w:rsid w:val="006A17DA"/>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10BB"/>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5573"/>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3ED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5EEA"/>
    <w:rsid w:val="007777CC"/>
    <w:rsid w:val="00777B32"/>
    <w:rsid w:val="0078051E"/>
    <w:rsid w:val="00780B59"/>
    <w:rsid w:val="00781089"/>
    <w:rsid w:val="007838F3"/>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1BC2"/>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32DA"/>
    <w:rsid w:val="007E4998"/>
    <w:rsid w:val="007E4A9C"/>
    <w:rsid w:val="007E6914"/>
    <w:rsid w:val="007E7884"/>
    <w:rsid w:val="007E7F78"/>
    <w:rsid w:val="007F0179"/>
    <w:rsid w:val="007F2C13"/>
    <w:rsid w:val="007F2CEC"/>
    <w:rsid w:val="007F3435"/>
    <w:rsid w:val="007F4BBE"/>
    <w:rsid w:val="007F55DE"/>
    <w:rsid w:val="007F762D"/>
    <w:rsid w:val="007F78F0"/>
    <w:rsid w:val="007F78FF"/>
    <w:rsid w:val="008001C5"/>
    <w:rsid w:val="00800F6C"/>
    <w:rsid w:val="00801065"/>
    <w:rsid w:val="00802C0B"/>
    <w:rsid w:val="008051FC"/>
    <w:rsid w:val="008055A9"/>
    <w:rsid w:val="008056C4"/>
    <w:rsid w:val="008057FD"/>
    <w:rsid w:val="00805D8B"/>
    <w:rsid w:val="00810A63"/>
    <w:rsid w:val="00810BB6"/>
    <w:rsid w:val="00810E8E"/>
    <w:rsid w:val="008124BC"/>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352"/>
    <w:rsid w:val="00831758"/>
    <w:rsid w:val="008317D9"/>
    <w:rsid w:val="0083279F"/>
    <w:rsid w:val="008334DB"/>
    <w:rsid w:val="00833B7F"/>
    <w:rsid w:val="00833E8E"/>
    <w:rsid w:val="00834906"/>
    <w:rsid w:val="00836075"/>
    <w:rsid w:val="00836417"/>
    <w:rsid w:val="00836A3E"/>
    <w:rsid w:val="00837526"/>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1DE4"/>
    <w:rsid w:val="008532BF"/>
    <w:rsid w:val="008539B2"/>
    <w:rsid w:val="00853BF4"/>
    <w:rsid w:val="00854294"/>
    <w:rsid w:val="0085572E"/>
    <w:rsid w:val="00856D46"/>
    <w:rsid w:val="0085788B"/>
    <w:rsid w:val="00857A9E"/>
    <w:rsid w:val="00857DE2"/>
    <w:rsid w:val="00863A8E"/>
    <w:rsid w:val="0086407F"/>
    <w:rsid w:val="008645E3"/>
    <w:rsid w:val="00864E79"/>
    <w:rsid w:val="008655D2"/>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77B8F"/>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5A7"/>
    <w:rsid w:val="008A0FC9"/>
    <w:rsid w:val="008A1956"/>
    <w:rsid w:val="008A1A7C"/>
    <w:rsid w:val="008A2CE2"/>
    <w:rsid w:val="008A40D3"/>
    <w:rsid w:val="008A469C"/>
    <w:rsid w:val="008A51D1"/>
    <w:rsid w:val="008A5DCE"/>
    <w:rsid w:val="008A75D3"/>
    <w:rsid w:val="008B00D4"/>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9F2"/>
    <w:rsid w:val="008E0B29"/>
    <w:rsid w:val="008E141A"/>
    <w:rsid w:val="008E1A44"/>
    <w:rsid w:val="008E1E55"/>
    <w:rsid w:val="008E28E6"/>
    <w:rsid w:val="008E3232"/>
    <w:rsid w:val="008E3674"/>
    <w:rsid w:val="008E3B6C"/>
    <w:rsid w:val="008E3DE7"/>
    <w:rsid w:val="008E562C"/>
    <w:rsid w:val="008E6540"/>
    <w:rsid w:val="008E6D26"/>
    <w:rsid w:val="008E77D4"/>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2F5"/>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110"/>
    <w:rsid w:val="009608E6"/>
    <w:rsid w:val="00960F57"/>
    <w:rsid w:val="00961C90"/>
    <w:rsid w:val="00965443"/>
    <w:rsid w:val="00965954"/>
    <w:rsid w:val="00965A21"/>
    <w:rsid w:val="00965E55"/>
    <w:rsid w:val="0096608E"/>
    <w:rsid w:val="00966522"/>
    <w:rsid w:val="00966C33"/>
    <w:rsid w:val="00966FCB"/>
    <w:rsid w:val="00967285"/>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3D"/>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3DFA"/>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44D"/>
    <w:rsid w:val="00A2253D"/>
    <w:rsid w:val="00A2267F"/>
    <w:rsid w:val="00A22CDB"/>
    <w:rsid w:val="00A247B8"/>
    <w:rsid w:val="00A2495A"/>
    <w:rsid w:val="00A24C7A"/>
    <w:rsid w:val="00A24D8F"/>
    <w:rsid w:val="00A250DD"/>
    <w:rsid w:val="00A25B8B"/>
    <w:rsid w:val="00A25C5D"/>
    <w:rsid w:val="00A2689F"/>
    <w:rsid w:val="00A26ECA"/>
    <w:rsid w:val="00A26EFD"/>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0155"/>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B03FD"/>
    <w:rsid w:val="00AB2000"/>
    <w:rsid w:val="00AB2E94"/>
    <w:rsid w:val="00AB38CB"/>
    <w:rsid w:val="00AB3BEC"/>
    <w:rsid w:val="00AB44E4"/>
    <w:rsid w:val="00AB4AEB"/>
    <w:rsid w:val="00AB4E5F"/>
    <w:rsid w:val="00AB5256"/>
    <w:rsid w:val="00AB5352"/>
    <w:rsid w:val="00AB56AE"/>
    <w:rsid w:val="00AB62D5"/>
    <w:rsid w:val="00AB65B5"/>
    <w:rsid w:val="00AB6DCD"/>
    <w:rsid w:val="00AB6EE0"/>
    <w:rsid w:val="00AC17A2"/>
    <w:rsid w:val="00AC18CD"/>
    <w:rsid w:val="00AC3581"/>
    <w:rsid w:val="00AC40B7"/>
    <w:rsid w:val="00AC531F"/>
    <w:rsid w:val="00AC5B36"/>
    <w:rsid w:val="00AC6377"/>
    <w:rsid w:val="00AC66A4"/>
    <w:rsid w:val="00AC6CB1"/>
    <w:rsid w:val="00AC7D6D"/>
    <w:rsid w:val="00AD0091"/>
    <w:rsid w:val="00AD23EF"/>
    <w:rsid w:val="00AD2662"/>
    <w:rsid w:val="00AD307B"/>
    <w:rsid w:val="00AD4014"/>
    <w:rsid w:val="00AD41B3"/>
    <w:rsid w:val="00AD42F3"/>
    <w:rsid w:val="00AD5721"/>
    <w:rsid w:val="00AD5C4D"/>
    <w:rsid w:val="00AD69F0"/>
    <w:rsid w:val="00AD7127"/>
    <w:rsid w:val="00AD730C"/>
    <w:rsid w:val="00AD7795"/>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AF48DB"/>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4F86"/>
    <w:rsid w:val="00B2504A"/>
    <w:rsid w:val="00B25EE6"/>
    <w:rsid w:val="00B3115A"/>
    <w:rsid w:val="00B31825"/>
    <w:rsid w:val="00B31A5C"/>
    <w:rsid w:val="00B33B06"/>
    <w:rsid w:val="00B33C19"/>
    <w:rsid w:val="00B35A15"/>
    <w:rsid w:val="00B35B4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10"/>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786"/>
    <w:rsid w:val="00BE3917"/>
    <w:rsid w:val="00BE50FD"/>
    <w:rsid w:val="00BE51CA"/>
    <w:rsid w:val="00BE537F"/>
    <w:rsid w:val="00BE5D77"/>
    <w:rsid w:val="00BE6D47"/>
    <w:rsid w:val="00BE7032"/>
    <w:rsid w:val="00BE7330"/>
    <w:rsid w:val="00BF01C5"/>
    <w:rsid w:val="00BF061A"/>
    <w:rsid w:val="00BF066A"/>
    <w:rsid w:val="00BF14CC"/>
    <w:rsid w:val="00BF1821"/>
    <w:rsid w:val="00BF3C42"/>
    <w:rsid w:val="00BF4342"/>
    <w:rsid w:val="00BF4704"/>
    <w:rsid w:val="00BF4FFC"/>
    <w:rsid w:val="00BF5050"/>
    <w:rsid w:val="00BF50D1"/>
    <w:rsid w:val="00BF5422"/>
    <w:rsid w:val="00BF59B1"/>
    <w:rsid w:val="00BF6A78"/>
    <w:rsid w:val="00BF7695"/>
    <w:rsid w:val="00BF79B4"/>
    <w:rsid w:val="00BF7C61"/>
    <w:rsid w:val="00C00037"/>
    <w:rsid w:val="00C01427"/>
    <w:rsid w:val="00C014C7"/>
    <w:rsid w:val="00C047AB"/>
    <w:rsid w:val="00C058AF"/>
    <w:rsid w:val="00C075B6"/>
    <w:rsid w:val="00C124C1"/>
    <w:rsid w:val="00C128AE"/>
    <w:rsid w:val="00C12BA8"/>
    <w:rsid w:val="00C136D6"/>
    <w:rsid w:val="00C13902"/>
    <w:rsid w:val="00C13D5B"/>
    <w:rsid w:val="00C141D7"/>
    <w:rsid w:val="00C16F84"/>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4B60"/>
    <w:rsid w:val="00C35D01"/>
    <w:rsid w:val="00C360B3"/>
    <w:rsid w:val="00C37027"/>
    <w:rsid w:val="00C37B19"/>
    <w:rsid w:val="00C413CB"/>
    <w:rsid w:val="00C42752"/>
    <w:rsid w:val="00C42973"/>
    <w:rsid w:val="00C44C69"/>
    <w:rsid w:val="00C4712A"/>
    <w:rsid w:val="00C5034F"/>
    <w:rsid w:val="00C50830"/>
    <w:rsid w:val="00C52479"/>
    <w:rsid w:val="00C5266E"/>
    <w:rsid w:val="00C5280F"/>
    <w:rsid w:val="00C52C59"/>
    <w:rsid w:val="00C5349E"/>
    <w:rsid w:val="00C539FF"/>
    <w:rsid w:val="00C544BD"/>
    <w:rsid w:val="00C54D3D"/>
    <w:rsid w:val="00C55A30"/>
    <w:rsid w:val="00C56384"/>
    <w:rsid w:val="00C60AD0"/>
    <w:rsid w:val="00C60F8C"/>
    <w:rsid w:val="00C61794"/>
    <w:rsid w:val="00C62A48"/>
    <w:rsid w:val="00C62AC4"/>
    <w:rsid w:val="00C62B59"/>
    <w:rsid w:val="00C62F96"/>
    <w:rsid w:val="00C631E1"/>
    <w:rsid w:val="00C638D8"/>
    <w:rsid w:val="00C63AE7"/>
    <w:rsid w:val="00C63D26"/>
    <w:rsid w:val="00C6540A"/>
    <w:rsid w:val="00C6625C"/>
    <w:rsid w:val="00C668A1"/>
    <w:rsid w:val="00C67223"/>
    <w:rsid w:val="00C707B8"/>
    <w:rsid w:val="00C712AC"/>
    <w:rsid w:val="00C71C15"/>
    <w:rsid w:val="00C71F3D"/>
    <w:rsid w:val="00C72F53"/>
    <w:rsid w:val="00C74035"/>
    <w:rsid w:val="00C748EA"/>
    <w:rsid w:val="00C77818"/>
    <w:rsid w:val="00C8063F"/>
    <w:rsid w:val="00C806ED"/>
    <w:rsid w:val="00C81282"/>
    <w:rsid w:val="00C827B4"/>
    <w:rsid w:val="00C83214"/>
    <w:rsid w:val="00C8329F"/>
    <w:rsid w:val="00C8468A"/>
    <w:rsid w:val="00C84F8A"/>
    <w:rsid w:val="00C85BA4"/>
    <w:rsid w:val="00C8618F"/>
    <w:rsid w:val="00C8625D"/>
    <w:rsid w:val="00C90372"/>
    <w:rsid w:val="00C9041F"/>
    <w:rsid w:val="00C90F54"/>
    <w:rsid w:val="00C9166B"/>
    <w:rsid w:val="00C91A45"/>
    <w:rsid w:val="00C91FB4"/>
    <w:rsid w:val="00C92150"/>
    <w:rsid w:val="00C92328"/>
    <w:rsid w:val="00C92D42"/>
    <w:rsid w:val="00C938C2"/>
    <w:rsid w:val="00C93F8A"/>
    <w:rsid w:val="00C94EA1"/>
    <w:rsid w:val="00C9511B"/>
    <w:rsid w:val="00C95745"/>
    <w:rsid w:val="00C95902"/>
    <w:rsid w:val="00C962E3"/>
    <w:rsid w:val="00C9712D"/>
    <w:rsid w:val="00C97246"/>
    <w:rsid w:val="00C978E2"/>
    <w:rsid w:val="00C97997"/>
    <w:rsid w:val="00CA10A2"/>
    <w:rsid w:val="00CA1D83"/>
    <w:rsid w:val="00CA25C0"/>
    <w:rsid w:val="00CA3451"/>
    <w:rsid w:val="00CA35C6"/>
    <w:rsid w:val="00CA4948"/>
    <w:rsid w:val="00CA52F9"/>
    <w:rsid w:val="00CA5368"/>
    <w:rsid w:val="00CA568B"/>
    <w:rsid w:val="00CA573A"/>
    <w:rsid w:val="00CA5C58"/>
    <w:rsid w:val="00CA7D80"/>
    <w:rsid w:val="00CB1775"/>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72A"/>
    <w:rsid w:val="00CC4ACD"/>
    <w:rsid w:val="00CC4AD3"/>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46F1"/>
    <w:rsid w:val="00CD5DAD"/>
    <w:rsid w:val="00CD72C5"/>
    <w:rsid w:val="00CD79A7"/>
    <w:rsid w:val="00CE0789"/>
    <w:rsid w:val="00CE0E8D"/>
    <w:rsid w:val="00CE1A03"/>
    <w:rsid w:val="00CE2346"/>
    <w:rsid w:val="00CE25B2"/>
    <w:rsid w:val="00CE2687"/>
    <w:rsid w:val="00CE27B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08A"/>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955"/>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45E"/>
    <w:rsid w:val="00DB1A94"/>
    <w:rsid w:val="00DB1D52"/>
    <w:rsid w:val="00DB1D9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35A"/>
    <w:rsid w:val="00DD64DE"/>
    <w:rsid w:val="00DD7859"/>
    <w:rsid w:val="00DD7B41"/>
    <w:rsid w:val="00DE0784"/>
    <w:rsid w:val="00DE0A1D"/>
    <w:rsid w:val="00DE15B2"/>
    <w:rsid w:val="00DE1A9A"/>
    <w:rsid w:val="00DE3D2C"/>
    <w:rsid w:val="00DE5E82"/>
    <w:rsid w:val="00DE5FA6"/>
    <w:rsid w:val="00DE6792"/>
    <w:rsid w:val="00DE6AA1"/>
    <w:rsid w:val="00DE795F"/>
    <w:rsid w:val="00DE7AAB"/>
    <w:rsid w:val="00DE7EF7"/>
    <w:rsid w:val="00DF015B"/>
    <w:rsid w:val="00DF02EC"/>
    <w:rsid w:val="00DF10FC"/>
    <w:rsid w:val="00DF1185"/>
    <w:rsid w:val="00DF1299"/>
    <w:rsid w:val="00DF1A70"/>
    <w:rsid w:val="00DF1E5F"/>
    <w:rsid w:val="00DF1F03"/>
    <w:rsid w:val="00DF23A8"/>
    <w:rsid w:val="00DF2F27"/>
    <w:rsid w:val="00DF36B6"/>
    <w:rsid w:val="00DF4296"/>
    <w:rsid w:val="00DF53F0"/>
    <w:rsid w:val="00DF5F38"/>
    <w:rsid w:val="00DF6608"/>
    <w:rsid w:val="00DF6CCC"/>
    <w:rsid w:val="00DF6D0C"/>
    <w:rsid w:val="00DF6F64"/>
    <w:rsid w:val="00DF721E"/>
    <w:rsid w:val="00DF7B8A"/>
    <w:rsid w:val="00DF7C87"/>
    <w:rsid w:val="00DF7D05"/>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219CE"/>
    <w:rsid w:val="00E23409"/>
    <w:rsid w:val="00E24071"/>
    <w:rsid w:val="00E24EBC"/>
    <w:rsid w:val="00E2522C"/>
    <w:rsid w:val="00E2552F"/>
    <w:rsid w:val="00E2599B"/>
    <w:rsid w:val="00E2710C"/>
    <w:rsid w:val="00E27428"/>
    <w:rsid w:val="00E305B4"/>
    <w:rsid w:val="00E31182"/>
    <w:rsid w:val="00E3197A"/>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47E2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1E6"/>
    <w:rsid w:val="00EA48F3"/>
    <w:rsid w:val="00EA60BF"/>
    <w:rsid w:val="00EA7365"/>
    <w:rsid w:val="00EA763F"/>
    <w:rsid w:val="00EA77E9"/>
    <w:rsid w:val="00EA7875"/>
    <w:rsid w:val="00EB05D0"/>
    <w:rsid w:val="00EB1151"/>
    <w:rsid w:val="00EB1D49"/>
    <w:rsid w:val="00EB23D9"/>
    <w:rsid w:val="00EB39A0"/>
    <w:rsid w:val="00EB559F"/>
    <w:rsid w:val="00EB566C"/>
    <w:rsid w:val="00EB5F3D"/>
    <w:rsid w:val="00EB77E5"/>
    <w:rsid w:val="00EC1CEB"/>
    <w:rsid w:val="00EC1DC0"/>
    <w:rsid w:val="00EC1DC2"/>
    <w:rsid w:val="00EC21EC"/>
    <w:rsid w:val="00EC24B8"/>
    <w:rsid w:val="00EC268C"/>
    <w:rsid w:val="00EC3753"/>
    <w:rsid w:val="00EC4E71"/>
    <w:rsid w:val="00EC5F1C"/>
    <w:rsid w:val="00ED0365"/>
    <w:rsid w:val="00ED0865"/>
    <w:rsid w:val="00ED1C60"/>
    <w:rsid w:val="00ED2057"/>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885"/>
    <w:rsid w:val="00EE490C"/>
    <w:rsid w:val="00EE4E57"/>
    <w:rsid w:val="00EE5738"/>
    <w:rsid w:val="00EE58BD"/>
    <w:rsid w:val="00EE5E59"/>
    <w:rsid w:val="00EE6549"/>
    <w:rsid w:val="00EE73D0"/>
    <w:rsid w:val="00EE7CB0"/>
    <w:rsid w:val="00EF08A8"/>
    <w:rsid w:val="00EF08FA"/>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291D"/>
    <w:rsid w:val="00F13599"/>
    <w:rsid w:val="00F13B28"/>
    <w:rsid w:val="00F14E01"/>
    <w:rsid w:val="00F156A0"/>
    <w:rsid w:val="00F15730"/>
    <w:rsid w:val="00F16CE3"/>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088F"/>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4E4F"/>
    <w:rsid w:val="00F85B72"/>
    <w:rsid w:val="00F86540"/>
    <w:rsid w:val="00F865CE"/>
    <w:rsid w:val="00F8766F"/>
    <w:rsid w:val="00F91082"/>
    <w:rsid w:val="00F9116D"/>
    <w:rsid w:val="00F91A9A"/>
    <w:rsid w:val="00F9203B"/>
    <w:rsid w:val="00F93ABB"/>
    <w:rsid w:val="00F94D79"/>
    <w:rsid w:val="00F963A2"/>
    <w:rsid w:val="00F9658C"/>
    <w:rsid w:val="00F97A7F"/>
    <w:rsid w:val="00FA0889"/>
    <w:rsid w:val="00FA16E7"/>
    <w:rsid w:val="00FA2505"/>
    <w:rsid w:val="00FA31C7"/>
    <w:rsid w:val="00FA3E7F"/>
    <w:rsid w:val="00FA472D"/>
    <w:rsid w:val="00FA6283"/>
    <w:rsid w:val="00FB0CBF"/>
    <w:rsid w:val="00FB18F6"/>
    <w:rsid w:val="00FB2A52"/>
    <w:rsid w:val="00FB3F92"/>
    <w:rsid w:val="00FB4C2B"/>
    <w:rsid w:val="00FB52C7"/>
    <w:rsid w:val="00FB57DC"/>
    <w:rsid w:val="00FB6E19"/>
    <w:rsid w:val="00FB71F6"/>
    <w:rsid w:val="00FC0AF8"/>
    <w:rsid w:val="00FC1483"/>
    <w:rsid w:val="00FC1C47"/>
    <w:rsid w:val="00FC3102"/>
    <w:rsid w:val="00FC3493"/>
    <w:rsid w:val="00FC39ED"/>
    <w:rsid w:val="00FC4419"/>
    <w:rsid w:val="00FC47E2"/>
    <w:rsid w:val="00FC4AA5"/>
    <w:rsid w:val="00FC4B88"/>
    <w:rsid w:val="00FC4BB8"/>
    <w:rsid w:val="00FC5148"/>
    <w:rsid w:val="00FC623A"/>
    <w:rsid w:val="00FC6524"/>
    <w:rsid w:val="00FC708F"/>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70B"/>
    <w:rsid w:val="00FE7A68"/>
    <w:rsid w:val="00FE7D72"/>
    <w:rsid w:val="00FF0231"/>
    <w:rsid w:val="00FF1C9B"/>
    <w:rsid w:val="00FF1D49"/>
    <w:rsid w:val="00FF203B"/>
    <w:rsid w:val="00FF2562"/>
    <w:rsid w:val="00FF3A41"/>
    <w:rsid w:val="00FF3E5B"/>
    <w:rsid w:val="00FF57E4"/>
    <w:rsid w:val="00FF78E5"/>
    <w:rsid w:val="0103398B"/>
    <w:rsid w:val="011E1F3A"/>
    <w:rsid w:val="012D0F5C"/>
    <w:rsid w:val="014C1D05"/>
    <w:rsid w:val="015C7AD5"/>
    <w:rsid w:val="0168437B"/>
    <w:rsid w:val="01907316"/>
    <w:rsid w:val="01A433EB"/>
    <w:rsid w:val="01AF3D99"/>
    <w:rsid w:val="01B90B97"/>
    <w:rsid w:val="01C628D4"/>
    <w:rsid w:val="01E3453D"/>
    <w:rsid w:val="01FF3BC3"/>
    <w:rsid w:val="01FF4BEC"/>
    <w:rsid w:val="021741B2"/>
    <w:rsid w:val="02204683"/>
    <w:rsid w:val="022E44A8"/>
    <w:rsid w:val="02511F9D"/>
    <w:rsid w:val="025F06CD"/>
    <w:rsid w:val="026954E1"/>
    <w:rsid w:val="02827C52"/>
    <w:rsid w:val="028C24AD"/>
    <w:rsid w:val="029F225D"/>
    <w:rsid w:val="02A57908"/>
    <w:rsid w:val="02B0089B"/>
    <w:rsid w:val="02C76111"/>
    <w:rsid w:val="02D6235F"/>
    <w:rsid w:val="02D81256"/>
    <w:rsid w:val="030532A9"/>
    <w:rsid w:val="03286A1E"/>
    <w:rsid w:val="032B79A4"/>
    <w:rsid w:val="03305A68"/>
    <w:rsid w:val="033F12EC"/>
    <w:rsid w:val="03407951"/>
    <w:rsid w:val="03535D6B"/>
    <w:rsid w:val="039A08B0"/>
    <w:rsid w:val="03A314B8"/>
    <w:rsid w:val="03C8711A"/>
    <w:rsid w:val="03D25887"/>
    <w:rsid w:val="03D82B98"/>
    <w:rsid w:val="03D964F4"/>
    <w:rsid w:val="03F83E8B"/>
    <w:rsid w:val="04902A30"/>
    <w:rsid w:val="049570A7"/>
    <w:rsid w:val="04B74446"/>
    <w:rsid w:val="04BA414C"/>
    <w:rsid w:val="04C505BB"/>
    <w:rsid w:val="04CD2CEE"/>
    <w:rsid w:val="04E87914"/>
    <w:rsid w:val="04FA60EF"/>
    <w:rsid w:val="04FC24D4"/>
    <w:rsid w:val="05023BEB"/>
    <w:rsid w:val="050E5E84"/>
    <w:rsid w:val="05102192"/>
    <w:rsid w:val="054F7686"/>
    <w:rsid w:val="05557587"/>
    <w:rsid w:val="05681A7F"/>
    <w:rsid w:val="057F4E2B"/>
    <w:rsid w:val="0585008B"/>
    <w:rsid w:val="058F6224"/>
    <w:rsid w:val="05C56868"/>
    <w:rsid w:val="05D74547"/>
    <w:rsid w:val="06040198"/>
    <w:rsid w:val="060774EA"/>
    <w:rsid w:val="06083B9D"/>
    <w:rsid w:val="06211C5A"/>
    <w:rsid w:val="06737835"/>
    <w:rsid w:val="06B25549"/>
    <w:rsid w:val="06B96E5F"/>
    <w:rsid w:val="06C91C0B"/>
    <w:rsid w:val="06D86BC4"/>
    <w:rsid w:val="06EE2458"/>
    <w:rsid w:val="072940AD"/>
    <w:rsid w:val="072E4C95"/>
    <w:rsid w:val="07325DEE"/>
    <w:rsid w:val="07633118"/>
    <w:rsid w:val="07736840"/>
    <w:rsid w:val="078132CC"/>
    <w:rsid w:val="078627A3"/>
    <w:rsid w:val="07966D78"/>
    <w:rsid w:val="07A5201F"/>
    <w:rsid w:val="07B72767"/>
    <w:rsid w:val="07C23DE6"/>
    <w:rsid w:val="08077E72"/>
    <w:rsid w:val="080E162A"/>
    <w:rsid w:val="08203C28"/>
    <w:rsid w:val="083B22F1"/>
    <w:rsid w:val="083C419B"/>
    <w:rsid w:val="083C4C73"/>
    <w:rsid w:val="084C5E23"/>
    <w:rsid w:val="0886060D"/>
    <w:rsid w:val="08882DD0"/>
    <w:rsid w:val="08BE34E2"/>
    <w:rsid w:val="08F821C8"/>
    <w:rsid w:val="09006769"/>
    <w:rsid w:val="091A48F3"/>
    <w:rsid w:val="09783845"/>
    <w:rsid w:val="097E7AC3"/>
    <w:rsid w:val="09860032"/>
    <w:rsid w:val="09921955"/>
    <w:rsid w:val="09CC2AAC"/>
    <w:rsid w:val="09D26E76"/>
    <w:rsid w:val="09DE2A8F"/>
    <w:rsid w:val="0A171D19"/>
    <w:rsid w:val="0A331AD7"/>
    <w:rsid w:val="0A3A3B56"/>
    <w:rsid w:val="0A4412A4"/>
    <w:rsid w:val="0A477589"/>
    <w:rsid w:val="0A5C3ECC"/>
    <w:rsid w:val="0A652D3E"/>
    <w:rsid w:val="0A6A1AA6"/>
    <w:rsid w:val="0A767E3E"/>
    <w:rsid w:val="0A9D4A5C"/>
    <w:rsid w:val="0AAB5F5D"/>
    <w:rsid w:val="0AB6063D"/>
    <w:rsid w:val="0ADA366D"/>
    <w:rsid w:val="0B193B77"/>
    <w:rsid w:val="0B325243"/>
    <w:rsid w:val="0B326F2A"/>
    <w:rsid w:val="0B3D510B"/>
    <w:rsid w:val="0B475F57"/>
    <w:rsid w:val="0B5B05C2"/>
    <w:rsid w:val="0B5E289E"/>
    <w:rsid w:val="0B623221"/>
    <w:rsid w:val="0BA40399"/>
    <w:rsid w:val="0BB40771"/>
    <w:rsid w:val="0BE93715"/>
    <w:rsid w:val="0BEA3C78"/>
    <w:rsid w:val="0C11238F"/>
    <w:rsid w:val="0C1E2888"/>
    <w:rsid w:val="0C2D753D"/>
    <w:rsid w:val="0C2E225D"/>
    <w:rsid w:val="0C4502C0"/>
    <w:rsid w:val="0C530F2E"/>
    <w:rsid w:val="0C5361CC"/>
    <w:rsid w:val="0C6A764E"/>
    <w:rsid w:val="0C6F29D6"/>
    <w:rsid w:val="0C92213C"/>
    <w:rsid w:val="0C9F5D63"/>
    <w:rsid w:val="0CA737D5"/>
    <w:rsid w:val="0CAB5D64"/>
    <w:rsid w:val="0CB33F28"/>
    <w:rsid w:val="0CD304AC"/>
    <w:rsid w:val="0D0114AE"/>
    <w:rsid w:val="0D29001E"/>
    <w:rsid w:val="0D325EDF"/>
    <w:rsid w:val="0D445D4C"/>
    <w:rsid w:val="0D535069"/>
    <w:rsid w:val="0D6D5644"/>
    <w:rsid w:val="0D84032B"/>
    <w:rsid w:val="0D953396"/>
    <w:rsid w:val="0D994191"/>
    <w:rsid w:val="0DA2594C"/>
    <w:rsid w:val="0DBD35C9"/>
    <w:rsid w:val="0DD17D5D"/>
    <w:rsid w:val="0DE53B38"/>
    <w:rsid w:val="0DF4443C"/>
    <w:rsid w:val="0E071437"/>
    <w:rsid w:val="0E2B3D03"/>
    <w:rsid w:val="0E556B89"/>
    <w:rsid w:val="0E5B282E"/>
    <w:rsid w:val="0E5F47DD"/>
    <w:rsid w:val="0E6772B0"/>
    <w:rsid w:val="0E6B66E8"/>
    <w:rsid w:val="0E8F2DCE"/>
    <w:rsid w:val="0E9434CC"/>
    <w:rsid w:val="0EB36C82"/>
    <w:rsid w:val="0ED45624"/>
    <w:rsid w:val="0ED518B9"/>
    <w:rsid w:val="0EE04BDF"/>
    <w:rsid w:val="0EE44AEB"/>
    <w:rsid w:val="0F150F54"/>
    <w:rsid w:val="0F2A74C4"/>
    <w:rsid w:val="0F377C68"/>
    <w:rsid w:val="0F553015"/>
    <w:rsid w:val="0F620A17"/>
    <w:rsid w:val="0F7543D3"/>
    <w:rsid w:val="0F7A6CDB"/>
    <w:rsid w:val="0FE030CE"/>
    <w:rsid w:val="0FEE5277"/>
    <w:rsid w:val="10136B03"/>
    <w:rsid w:val="10202CC1"/>
    <w:rsid w:val="103B47DC"/>
    <w:rsid w:val="10730C95"/>
    <w:rsid w:val="107858B0"/>
    <w:rsid w:val="10A27F31"/>
    <w:rsid w:val="10A753AB"/>
    <w:rsid w:val="10AA5CB1"/>
    <w:rsid w:val="10B54EB2"/>
    <w:rsid w:val="10BF682C"/>
    <w:rsid w:val="10CB29C5"/>
    <w:rsid w:val="10CC3A02"/>
    <w:rsid w:val="10CC6281"/>
    <w:rsid w:val="10D20B24"/>
    <w:rsid w:val="10D87300"/>
    <w:rsid w:val="10E33AF2"/>
    <w:rsid w:val="110B438A"/>
    <w:rsid w:val="1167339E"/>
    <w:rsid w:val="11785740"/>
    <w:rsid w:val="118E435A"/>
    <w:rsid w:val="11927058"/>
    <w:rsid w:val="119423C1"/>
    <w:rsid w:val="11A02DC7"/>
    <w:rsid w:val="11AB0C22"/>
    <w:rsid w:val="11B50F78"/>
    <w:rsid w:val="11B5291B"/>
    <w:rsid w:val="11C1301D"/>
    <w:rsid w:val="11EE4343"/>
    <w:rsid w:val="11EF6FB9"/>
    <w:rsid w:val="12086E43"/>
    <w:rsid w:val="120D4199"/>
    <w:rsid w:val="120F3D85"/>
    <w:rsid w:val="12171B57"/>
    <w:rsid w:val="12573688"/>
    <w:rsid w:val="127F4FEA"/>
    <w:rsid w:val="12AA40AD"/>
    <w:rsid w:val="12BC14E9"/>
    <w:rsid w:val="12D720A5"/>
    <w:rsid w:val="12EF08E6"/>
    <w:rsid w:val="133E327C"/>
    <w:rsid w:val="13467E71"/>
    <w:rsid w:val="134E47DC"/>
    <w:rsid w:val="13542B43"/>
    <w:rsid w:val="138C43DE"/>
    <w:rsid w:val="139C5DE4"/>
    <w:rsid w:val="139D71F2"/>
    <w:rsid w:val="13AC3968"/>
    <w:rsid w:val="13AF4F03"/>
    <w:rsid w:val="13F75519"/>
    <w:rsid w:val="13FD47FE"/>
    <w:rsid w:val="140A4F68"/>
    <w:rsid w:val="140F2E16"/>
    <w:rsid w:val="141A2ADF"/>
    <w:rsid w:val="144401A2"/>
    <w:rsid w:val="14670F31"/>
    <w:rsid w:val="14736E66"/>
    <w:rsid w:val="147F458F"/>
    <w:rsid w:val="148954D3"/>
    <w:rsid w:val="14911257"/>
    <w:rsid w:val="14927B4F"/>
    <w:rsid w:val="14D43C93"/>
    <w:rsid w:val="14D958EC"/>
    <w:rsid w:val="14FA3E00"/>
    <w:rsid w:val="1531036E"/>
    <w:rsid w:val="1534169A"/>
    <w:rsid w:val="156D25A1"/>
    <w:rsid w:val="15812F88"/>
    <w:rsid w:val="158D0E46"/>
    <w:rsid w:val="158E1BEE"/>
    <w:rsid w:val="15911585"/>
    <w:rsid w:val="159513FB"/>
    <w:rsid w:val="159C0EE7"/>
    <w:rsid w:val="15A27358"/>
    <w:rsid w:val="15B14FA7"/>
    <w:rsid w:val="15C03E03"/>
    <w:rsid w:val="15C3785B"/>
    <w:rsid w:val="15D26520"/>
    <w:rsid w:val="15EE508B"/>
    <w:rsid w:val="160F4148"/>
    <w:rsid w:val="162A25EB"/>
    <w:rsid w:val="16473933"/>
    <w:rsid w:val="168B7C8B"/>
    <w:rsid w:val="169F56FE"/>
    <w:rsid w:val="16A267A7"/>
    <w:rsid w:val="16BD6398"/>
    <w:rsid w:val="16BD6B43"/>
    <w:rsid w:val="16D31DF9"/>
    <w:rsid w:val="16D67838"/>
    <w:rsid w:val="16FD2A55"/>
    <w:rsid w:val="17067C1A"/>
    <w:rsid w:val="172045B4"/>
    <w:rsid w:val="172F08F7"/>
    <w:rsid w:val="17366761"/>
    <w:rsid w:val="17393A34"/>
    <w:rsid w:val="173A76F6"/>
    <w:rsid w:val="175A043F"/>
    <w:rsid w:val="17672074"/>
    <w:rsid w:val="177C01F0"/>
    <w:rsid w:val="177E17B7"/>
    <w:rsid w:val="17A1706E"/>
    <w:rsid w:val="17C50D78"/>
    <w:rsid w:val="17CE6630"/>
    <w:rsid w:val="17D32A08"/>
    <w:rsid w:val="17EB3722"/>
    <w:rsid w:val="17EF65A5"/>
    <w:rsid w:val="17FA1D25"/>
    <w:rsid w:val="180E6351"/>
    <w:rsid w:val="1810355D"/>
    <w:rsid w:val="181235D5"/>
    <w:rsid w:val="18750DB1"/>
    <w:rsid w:val="187B48A5"/>
    <w:rsid w:val="187C2A7B"/>
    <w:rsid w:val="18A419CD"/>
    <w:rsid w:val="18AD6BE6"/>
    <w:rsid w:val="18DE232D"/>
    <w:rsid w:val="18EE2472"/>
    <w:rsid w:val="19002335"/>
    <w:rsid w:val="19206078"/>
    <w:rsid w:val="19314F92"/>
    <w:rsid w:val="193F68F3"/>
    <w:rsid w:val="19434380"/>
    <w:rsid w:val="19491239"/>
    <w:rsid w:val="19537014"/>
    <w:rsid w:val="19621891"/>
    <w:rsid w:val="197A7D49"/>
    <w:rsid w:val="19915DD8"/>
    <w:rsid w:val="19934424"/>
    <w:rsid w:val="19A5109C"/>
    <w:rsid w:val="19AD5CB2"/>
    <w:rsid w:val="19BD66DD"/>
    <w:rsid w:val="19C607E7"/>
    <w:rsid w:val="19F6165F"/>
    <w:rsid w:val="1A0B68A8"/>
    <w:rsid w:val="1A1B0F5C"/>
    <w:rsid w:val="1A232551"/>
    <w:rsid w:val="1A512287"/>
    <w:rsid w:val="1A614813"/>
    <w:rsid w:val="1A782658"/>
    <w:rsid w:val="1A7D68F1"/>
    <w:rsid w:val="1A8573D4"/>
    <w:rsid w:val="1A867FDC"/>
    <w:rsid w:val="1AB74F63"/>
    <w:rsid w:val="1AC3132A"/>
    <w:rsid w:val="1AE94689"/>
    <w:rsid w:val="1AF65A4C"/>
    <w:rsid w:val="1AFF0AFE"/>
    <w:rsid w:val="1B34103B"/>
    <w:rsid w:val="1B39650C"/>
    <w:rsid w:val="1B4F19F8"/>
    <w:rsid w:val="1B5C2F75"/>
    <w:rsid w:val="1B6B7470"/>
    <w:rsid w:val="1BAE3D4C"/>
    <w:rsid w:val="1BC81E14"/>
    <w:rsid w:val="1BEE7729"/>
    <w:rsid w:val="1C100CC6"/>
    <w:rsid w:val="1C1A42E7"/>
    <w:rsid w:val="1C1F28DB"/>
    <w:rsid w:val="1C226F03"/>
    <w:rsid w:val="1C3F670D"/>
    <w:rsid w:val="1C55025E"/>
    <w:rsid w:val="1C9A50D4"/>
    <w:rsid w:val="1CA823CD"/>
    <w:rsid w:val="1CB515F6"/>
    <w:rsid w:val="1CDE1F2F"/>
    <w:rsid w:val="1CE41EA1"/>
    <w:rsid w:val="1CE61E5F"/>
    <w:rsid w:val="1CF93E51"/>
    <w:rsid w:val="1D1C46B8"/>
    <w:rsid w:val="1D3943AC"/>
    <w:rsid w:val="1D7C700E"/>
    <w:rsid w:val="1D805CF0"/>
    <w:rsid w:val="1D8F637F"/>
    <w:rsid w:val="1D996796"/>
    <w:rsid w:val="1DA07F2F"/>
    <w:rsid w:val="1DD106A3"/>
    <w:rsid w:val="1DE75398"/>
    <w:rsid w:val="1E0450B5"/>
    <w:rsid w:val="1E2734BD"/>
    <w:rsid w:val="1E375346"/>
    <w:rsid w:val="1E657FE9"/>
    <w:rsid w:val="1E6B39C7"/>
    <w:rsid w:val="1E72152A"/>
    <w:rsid w:val="1E842C7C"/>
    <w:rsid w:val="1E8C24F9"/>
    <w:rsid w:val="1EA7798B"/>
    <w:rsid w:val="1ECC44FA"/>
    <w:rsid w:val="1ECE7147"/>
    <w:rsid w:val="1EE53F41"/>
    <w:rsid w:val="1F002542"/>
    <w:rsid w:val="1F063325"/>
    <w:rsid w:val="1F066139"/>
    <w:rsid w:val="1F206483"/>
    <w:rsid w:val="1F4D240C"/>
    <w:rsid w:val="1F50678E"/>
    <w:rsid w:val="1F6A3BA7"/>
    <w:rsid w:val="1F80168B"/>
    <w:rsid w:val="1F843156"/>
    <w:rsid w:val="1F885ACE"/>
    <w:rsid w:val="1F91158B"/>
    <w:rsid w:val="1FBC5DF5"/>
    <w:rsid w:val="1FC16863"/>
    <w:rsid w:val="1FEA075F"/>
    <w:rsid w:val="1FEF662C"/>
    <w:rsid w:val="1FF26E0D"/>
    <w:rsid w:val="1FF90588"/>
    <w:rsid w:val="201167D2"/>
    <w:rsid w:val="20134907"/>
    <w:rsid w:val="201474B7"/>
    <w:rsid w:val="20213923"/>
    <w:rsid w:val="20233DBF"/>
    <w:rsid w:val="20245062"/>
    <w:rsid w:val="204306CB"/>
    <w:rsid w:val="204D2ACD"/>
    <w:rsid w:val="20914128"/>
    <w:rsid w:val="20BB6724"/>
    <w:rsid w:val="20BF7883"/>
    <w:rsid w:val="20C3623F"/>
    <w:rsid w:val="20D84C09"/>
    <w:rsid w:val="20F25B07"/>
    <w:rsid w:val="211041C1"/>
    <w:rsid w:val="212B4272"/>
    <w:rsid w:val="21781212"/>
    <w:rsid w:val="21833156"/>
    <w:rsid w:val="21AB0864"/>
    <w:rsid w:val="21B83F86"/>
    <w:rsid w:val="21E069CE"/>
    <w:rsid w:val="22106A4D"/>
    <w:rsid w:val="221178A8"/>
    <w:rsid w:val="221213CF"/>
    <w:rsid w:val="22327A92"/>
    <w:rsid w:val="22A84DFE"/>
    <w:rsid w:val="22AB3ABF"/>
    <w:rsid w:val="22BB3EC7"/>
    <w:rsid w:val="22DB129D"/>
    <w:rsid w:val="22F47D51"/>
    <w:rsid w:val="22FA4C94"/>
    <w:rsid w:val="230436F8"/>
    <w:rsid w:val="231D53A2"/>
    <w:rsid w:val="23435214"/>
    <w:rsid w:val="234401DF"/>
    <w:rsid w:val="235477BA"/>
    <w:rsid w:val="236D5383"/>
    <w:rsid w:val="23811F5D"/>
    <w:rsid w:val="23A41B75"/>
    <w:rsid w:val="23B134E6"/>
    <w:rsid w:val="23B74A16"/>
    <w:rsid w:val="23B7504C"/>
    <w:rsid w:val="23BA654A"/>
    <w:rsid w:val="23C509CD"/>
    <w:rsid w:val="240D25B5"/>
    <w:rsid w:val="241E5A1E"/>
    <w:rsid w:val="24205BC8"/>
    <w:rsid w:val="242C0CB6"/>
    <w:rsid w:val="24354590"/>
    <w:rsid w:val="24571307"/>
    <w:rsid w:val="247C7D19"/>
    <w:rsid w:val="24B34021"/>
    <w:rsid w:val="24BE0ABD"/>
    <w:rsid w:val="24CB4B0D"/>
    <w:rsid w:val="24E91BBE"/>
    <w:rsid w:val="25110A2A"/>
    <w:rsid w:val="251513DA"/>
    <w:rsid w:val="251569DF"/>
    <w:rsid w:val="252F3220"/>
    <w:rsid w:val="25647DF0"/>
    <w:rsid w:val="256C0944"/>
    <w:rsid w:val="25773D5F"/>
    <w:rsid w:val="257E73F2"/>
    <w:rsid w:val="25A979D1"/>
    <w:rsid w:val="25BE7679"/>
    <w:rsid w:val="25C00F8A"/>
    <w:rsid w:val="25D53DA4"/>
    <w:rsid w:val="25E410EC"/>
    <w:rsid w:val="25EC2CF7"/>
    <w:rsid w:val="261F4447"/>
    <w:rsid w:val="263050F1"/>
    <w:rsid w:val="26381F9B"/>
    <w:rsid w:val="26446DE3"/>
    <w:rsid w:val="267B0CDC"/>
    <w:rsid w:val="269669E7"/>
    <w:rsid w:val="26A744DB"/>
    <w:rsid w:val="26D4005A"/>
    <w:rsid w:val="26D7699F"/>
    <w:rsid w:val="26DA3B4A"/>
    <w:rsid w:val="26E26183"/>
    <w:rsid w:val="26E36ACC"/>
    <w:rsid w:val="26F73A2A"/>
    <w:rsid w:val="26FF2BB8"/>
    <w:rsid w:val="270417B7"/>
    <w:rsid w:val="27102C21"/>
    <w:rsid w:val="27227C57"/>
    <w:rsid w:val="2750171F"/>
    <w:rsid w:val="275122E4"/>
    <w:rsid w:val="2769156F"/>
    <w:rsid w:val="27793F5D"/>
    <w:rsid w:val="27A2622E"/>
    <w:rsid w:val="27A60F83"/>
    <w:rsid w:val="27C12412"/>
    <w:rsid w:val="27D24FCB"/>
    <w:rsid w:val="28124EAE"/>
    <w:rsid w:val="28785F5E"/>
    <w:rsid w:val="2895115B"/>
    <w:rsid w:val="28BA46FA"/>
    <w:rsid w:val="28BE38E2"/>
    <w:rsid w:val="28F14595"/>
    <w:rsid w:val="29063629"/>
    <w:rsid w:val="291137B2"/>
    <w:rsid w:val="2913753A"/>
    <w:rsid w:val="291B6C85"/>
    <w:rsid w:val="292A6EC8"/>
    <w:rsid w:val="293D6B2E"/>
    <w:rsid w:val="29462E61"/>
    <w:rsid w:val="295E2317"/>
    <w:rsid w:val="296B020D"/>
    <w:rsid w:val="297D3FFE"/>
    <w:rsid w:val="29802F8C"/>
    <w:rsid w:val="29AD0C8B"/>
    <w:rsid w:val="29BB39AC"/>
    <w:rsid w:val="29C5574F"/>
    <w:rsid w:val="29C67FA0"/>
    <w:rsid w:val="29D00278"/>
    <w:rsid w:val="29DC3BA0"/>
    <w:rsid w:val="29E509C9"/>
    <w:rsid w:val="29EF6C45"/>
    <w:rsid w:val="2A007C29"/>
    <w:rsid w:val="2A1769A3"/>
    <w:rsid w:val="2A4D3396"/>
    <w:rsid w:val="2A541720"/>
    <w:rsid w:val="2A83619E"/>
    <w:rsid w:val="2AC53F93"/>
    <w:rsid w:val="2ACF406E"/>
    <w:rsid w:val="2AD830F7"/>
    <w:rsid w:val="2AE241C5"/>
    <w:rsid w:val="2B253E47"/>
    <w:rsid w:val="2B5B5A5F"/>
    <w:rsid w:val="2B6A0459"/>
    <w:rsid w:val="2B774624"/>
    <w:rsid w:val="2B8A5BDD"/>
    <w:rsid w:val="2B8C3FB1"/>
    <w:rsid w:val="2B9D1BD3"/>
    <w:rsid w:val="2BC83AB9"/>
    <w:rsid w:val="2BEA293F"/>
    <w:rsid w:val="2BF5056F"/>
    <w:rsid w:val="2C1B56AB"/>
    <w:rsid w:val="2C4402A1"/>
    <w:rsid w:val="2C534988"/>
    <w:rsid w:val="2C796B75"/>
    <w:rsid w:val="2C7A72BE"/>
    <w:rsid w:val="2C890BCA"/>
    <w:rsid w:val="2C8A7A52"/>
    <w:rsid w:val="2C9A7D75"/>
    <w:rsid w:val="2CB734DA"/>
    <w:rsid w:val="2CBC587B"/>
    <w:rsid w:val="2CBF4377"/>
    <w:rsid w:val="2CC17412"/>
    <w:rsid w:val="2CCB04B9"/>
    <w:rsid w:val="2CD40732"/>
    <w:rsid w:val="2CEA1907"/>
    <w:rsid w:val="2CF26A4B"/>
    <w:rsid w:val="2CF350E3"/>
    <w:rsid w:val="2CFE48F4"/>
    <w:rsid w:val="2CFF7BB9"/>
    <w:rsid w:val="2D04594C"/>
    <w:rsid w:val="2D0C5851"/>
    <w:rsid w:val="2D1C1975"/>
    <w:rsid w:val="2D1F543F"/>
    <w:rsid w:val="2D3E4B0D"/>
    <w:rsid w:val="2D446A9B"/>
    <w:rsid w:val="2D863EDD"/>
    <w:rsid w:val="2DA120C4"/>
    <w:rsid w:val="2DAC6336"/>
    <w:rsid w:val="2DC65BA0"/>
    <w:rsid w:val="2DD85E2E"/>
    <w:rsid w:val="2E41718B"/>
    <w:rsid w:val="2E554EA6"/>
    <w:rsid w:val="2E5F03A4"/>
    <w:rsid w:val="2E6A1892"/>
    <w:rsid w:val="2E717F8B"/>
    <w:rsid w:val="2E88190D"/>
    <w:rsid w:val="2E8E1E30"/>
    <w:rsid w:val="2E9976CE"/>
    <w:rsid w:val="2EDE539C"/>
    <w:rsid w:val="2EFF0FAA"/>
    <w:rsid w:val="2F134027"/>
    <w:rsid w:val="2F330F99"/>
    <w:rsid w:val="2F401D3C"/>
    <w:rsid w:val="2F562EC0"/>
    <w:rsid w:val="2F572D25"/>
    <w:rsid w:val="2F5B24E1"/>
    <w:rsid w:val="2F704EEA"/>
    <w:rsid w:val="2F7E1D1C"/>
    <w:rsid w:val="2F7F4483"/>
    <w:rsid w:val="2F8026D7"/>
    <w:rsid w:val="2F8F65C7"/>
    <w:rsid w:val="2FA95C88"/>
    <w:rsid w:val="2FC97926"/>
    <w:rsid w:val="2FD471C0"/>
    <w:rsid w:val="2FF9770A"/>
    <w:rsid w:val="300833DF"/>
    <w:rsid w:val="3019031A"/>
    <w:rsid w:val="301C38BE"/>
    <w:rsid w:val="30242658"/>
    <w:rsid w:val="302F4907"/>
    <w:rsid w:val="303B3107"/>
    <w:rsid w:val="3041370F"/>
    <w:rsid w:val="30506D05"/>
    <w:rsid w:val="306D5836"/>
    <w:rsid w:val="3097349C"/>
    <w:rsid w:val="30A03F6A"/>
    <w:rsid w:val="30AD7887"/>
    <w:rsid w:val="30BF083E"/>
    <w:rsid w:val="30D32298"/>
    <w:rsid w:val="30EC5E2A"/>
    <w:rsid w:val="30ED1946"/>
    <w:rsid w:val="311B0A1E"/>
    <w:rsid w:val="31216B3F"/>
    <w:rsid w:val="31295B5B"/>
    <w:rsid w:val="312B50A3"/>
    <w:rsid w:val="317172BB"/>
    <w:rsid w:val="318E6873"/>
    <w:rsid w:val="31B46ACE"/>
    <w:rsid w:val="31F51115"/>
    <w:rsid w:val="32003808"/>
    <w:rsid w:val="32172470"/>
    <w:rsid w:val="321A6930"/>
    <w:rsid w:val="32432DA9"/>
    <w:rsid w:val="32453A27"/>
    <w:rsid w:val="3263064A"/>
    <w:rsid w:val="3265766A"/>
    <w:rsid w:val="327D2533"/>
    <w:rsid w:val="329842A9"/>
    <w:rsid w:val="329B7A68"/>
    <w:rsid w:val="32A43132"/>
    <w:rsid w:val="32AB00DA"/>
    <w:rsid w:val="32AC0C06"/>
    <w:rsid w:val="32AD0CCA"/>
    <w:rsid w:val="32C33CD3"/>
    <w:rsid w:val="32E04E37"/>
    <w:rsid w:val="32E15130"/>
    <w:rsid w:val="33027836"/>
    <w:rsid w:val="3331060D"/>
    <w:rsid w:val="33344EF5"/>
    <w:rsid w:val="33496CCF"/>
    <w:rsid w:val="335F3C12"/>
    <w:rsid w:val="3378161D"/>
    <w:rsid w:val="339C3B02"/>
    <w:rsid w:val="33A05880"/>
    <w:rsid w:val="33A35F1E"/>
    <w:rsid w:val="33B22505"/>
    <w:rsid w:val="33D36651"/>
    <w:rsid w:val="33E85CE2"/>
    <w:rsid w:val="341D0201"/>
    <w:rsid w:val="34246B9F"/>
    <w:rsid w:val="342A2472"/>
    <w:rsid w:val="342B0F4F"/>
    <w:rsid w:val="344D3742"/>
    <w:rsid w:val="347B2D6D"/>
    <w:rsid w:val="348E2A01"/>
    <w:rsid w:val="34AB2475"/>
    <w:rsid w:val="34B52163"/>
    <w:rsid w:val="34D72013"/>
    <w:rsid w:val="34EB7D5F"/>
    <w:rsid w:val="34EE1C44"/>
    <w:rsid w:val="35293FD9"/>
    <w:rsid w:val="352C24DC"/>
    <w:rsid w:val="3537750C"/>
    <w:rsid w:val="3537798C"/>
    <w:rsid w:val="357005A7"/>
    <w:rsid w:val="357A579A"/>
    <w:rsid w:val="358E312C"/>
    <w:rsid w:val="35C13FC9"/>
    <w:rsid w:val="35E07056"/>
    <w:rsid w:val="35E91989"/>
    <w:rsid w:val="35EF4FE4"/>
    <w:rsid w:val="35F2040C"/>
    <w:rsid w:val="35F9471D"/>
    <w:rsid w:val="36085EA6"/>
    <w:rsid w:val="36266D8A"/>
    <w:rsid w:val="364257B6"/>
    <w:rsid w:val="36636B8E"/>
    <w:rsid w:val="36741335"/>
    <w:rsid w:val="369E4AB8"/>
    <w:rsid w:val="36AC6498"/>
    <w:rsid w:val="3705788F"/>
    <w:rsid w:val="3724059E"/>
    <w:rsid w:val="3729538A"/>
    <w:rsid w:val="374E4FB2"/>
    <w:rsid w:val="376462CF"/>
    <w:rsid w:val="37725F65"/>
    <w:rsid w:val="37734E19"/>
    <w:rsid w:val="377868E8"/>
    <w:rsid w:val="379C5435"/>
    <w:rsid w:val="37DE378C"/>
    <w:rsid w:val="37E66B23"/>
    <w:rsid w:val="37EA5922"/>
    <w:rsid w:val="380C2E7F"/>
    <w:rsid w:val="38134D6C"/>
    <w:rsid w:val="381C20D2"/>
    <w:rsid w:val="38205CA3"/>
    <w:rsid w:val="38276B93"/>
    <w:rsid w:val="38336FC4"/>
    <w:rsid w:val="384D3BF2"/>
    <w:rsid w:val="386A2AA2"/>
    <w:rsid w:val="38800020"/>
    <w:rsid w:val="389430F0"/>
    <w:rsid w:val="38AC3431"/>
    <w:rsid w:val="38B7797A"/>
    <w:rsid w:val="38B9690B"/>
    <w:rsid w:val="38C26745"/>
    <w:rsid w:val="38CD0AA7"/>
    <w:rsid w:val="38E67108"/>
    <w:rsid w:val="38F06097"/>
    <w:rsid w:val="38FE35D2"/>
    <w:rsid w:val="39226DE8"/>
    <w:rsid w:val="392F2E16"/>
    <w:rsid w:val="39406F09"/>
    <w:rsid w:val="396554F4"/>
    <w:rsid w:val="39791C92"/>
    <w:rsid w:val="39854459"/>
    <w:rsid w:val="39A85265"/>
    <w:rsid w:val="39B614C9"/>
    <w:rsid w:val="39BE755C"/>
    <w:rsid w:val="39D678CC"/>
    <w:rsid w:val="39D94185"/>
    <w:rsid w:val="39E00529"/>
    <w:rsid w:val="39E359C2"/>
    <w:rsid w:val="39E9733C"/>
    <w:rsid w:val="3A0B6254"/>
    <w:rsid w:val="3A0B64A7"/>
    <w:rsid w:val="3A1C7B1C"/>
    <w:rsid w:val="3A271BC8"/>
    <w:rsid w:val="3A2F182B"/>
    <w:rsid w:val="3A36312B"/>
    <w:rsid w:val="3A3B5CDC"/>
    <w:rsid w:val="3A520B7E"/>
    <w:rsid w:val="3A574DDA"/>
    <w:rsid w:val="3A5C70FE"/>
    <w:rsid w:val="3A7C0B25"/>
    <w:rsid w:val="3A952A43"/>
    <w:rsid w:val="3AA73CF1"/>
    <w:rsid w:val="3AAA5A75"/>
    <w:rsid w:val="3AD3075A"/>
    <w:rsid w:val="3AD5142D"/>
    <w:rsid w:val="3AD71232"/>
    <w:rsid w:val="3AF74C02"/>
    <w:rsid w:val="3B0754C5"/>
    <w:rsid w:val="3B761717"/>
    <w:rsid w:val="3B831369"/>
    <w:rsid w:val="3B8B5350"/>
    <w:rsid w:val="3B954BE0"/>
    <w:rsid w:val="3B9F1620"/>
    <w:rsid w:val="3BB84161"/>
    <w:rsid w:val="3BD53F3C"/>
    <w:rsid w:val="3C0059A5"/>
    <w:rsid w:val="3C07120D"/>
    <w:rsid w:val="3C134E78"/>
    <w:rsid w:val="3C15518D"/>
    <w:rsid w:val="3C2528F1"/>
    <w:rsid w:val="3C2A0F17"/>
    <w:rsid w:val="3C33057E"/>
    <w:rsid w:val="3C334EAF"/>
    <w:rsid w:val="3C3D49BD"/>
    <w:rsid w:val="3C6D16C6"/>
    <w:rsid w:val="3C921FB2"/>
    <w:rsid w:val="3C9333AF"/>
    <w:rsid w:val="3C9E1EBC"/>
    <w:rsid w:val="3CD21D29"/>
    <w:rsid w:val="3CEC29BB"/>
    <w:rsid w:val="3CF52957"/>
    <w:rsid w:val="3D147205"/>
    <w:rsid w:val="3D187F39"/>
    <w:rsid w:val="3D2E6923"/>
    <w:rsid w:val="3D33169F"/>
    <w:rsid w:val="3D506996"/>
    <w:rsid w:val="3D614B55"/>
    <w:rsid w:val="3D67163F"/>
    <w:rsid w:val="3D6871A7"/>
    <w:rsid w:val="3D817764"/>
    <w:rsid w:val="3D873FCE"/>
    <w:rsid w:val="3DB17E6C"/>
    <w:rsid w:val="3DCE1FF5"/>
    <w:rsid w:val="3DE61DFF"/>
    <w:rsid w:val="3DEC7285"/>
    <w:rsid w:val="3DF6345D"/>
    <w:rsid w:val="3E2B5515"/>
    <w:rsid w:val="3E3E5EF1"/>
    <w:rsid w:val="3E4D4F28"/>
    <w:rsid w:val="3E5325C6"/>
    <w:rsid w:val="3E5840E2"/>
    <w:rsid w:val="3E706639"/>
    <w:rsid w:val="3E7F32DC"/>
    <w:rsid w:val="3E8F56A6"/>
    <w:rsid w:val="3EB11AC7"/>
    <w:rsid w:val="3EBF3622"/>
    <w:rsid w:val="3EC9706E"/>
    <w:rsid w:val="3ED818CD"/>
    <w:rsid w:val="3EE13701"/>
    <w:rsid w:val="3EE25742"/>
    <w:rsid w:val="3F0C5D2F"/>
    <w:rsid w:val="3F144FB4"/>
    <w:rsid w:val="3F1A4BB3"/>
    <w:rsid w:val="3F372168"/>
    <w:rsid w:val="3F452125"/>
    <w:rsid w:val="3F4A64D9"/>
    <w:rsid w:val="3F571CFE"/>
    <w:rsid w:val="3F60225A"/>
    <w:rsid w:val="3F79605C"/>
    <w:rsid w:val="3F8E15BB"/>
    <w:rsid w:val="3F934E86"/>
    <w:rsid w:val="3FD921B4"/>
    <w:rsid w:val="3FF317AE"/>
    <w:rsid w:val="3FFA2455"/>
    <w:rsid w:val="40010575"/>
    <w:rsid w:val="400E712D"/>
    <w:rsid w:val="40192BA6"/>
    <w:rsid w:val="401D2E8B"/>
    <w:rsid w:val="402C58F5"/>
    <w:rsid w:val="40484D68"/>
    <w:rsid w:val="40761BDC"/>
    <w:rsid w:val="408D092B"/>
    <w:rsid w:val="40963BF6"/>
    <w:rsid w:val="40991CAB"/>
    <w:rsid w:val="40B15F11"/>
    <w:rsid w:val="40BE68D5"/>
    <w:rsid w:val="40D43427"/>
    <w:rsid w:val="41071387"/>
    <w:rsid w:val="41184017"/>
    <w:rsid w:val="411D2299"/>
    <w:rsid w:val="413D6CFA"/>
    <w:rsid w:val="4144773B"/>
    <w:rsid w:val="414E40BA"/>
    <w:rsid w:val="4151394D"/>
    <w:rsid w:val="415560AD"/>
    <w:rsid w:val="41766EA9"/>
    <w:rsid w:val="41906B0F"/>
    <w:rsid w:val="4192330C"/>
    <w:rsid w:val="41F6509D"/>
    <w:rsid w:val="42145CCA"/>
    <w:rsid w:val="42241EB7"/>
    <w:rsid w:val="423035D9"/>
    <w:rsid w:val="42550A18"/>
    <w:rsid w:val="425A4BD1"/>
    <w:rsid w:val="427B1BBB"/>
    <w:rsid w:val="429C7597"/>
    <w:rsid w:val="429D496A"/>
    <w:rsid w:val="42B81FA5"/>
    <w:rsid w:val="42CC751E"/>
    <w:rsid w:val="42E0276A"/>
    <w:rsid w:val="42EB6093"/>
    <w:rsid w:val="42F473A1"/>
    <w:rsid w:val="42F61AFB"/>
    <w:rsid w:val="42F80FA5"/>
    <w:rsid w:val="4305361D"/>
    <w:rsid w:val="431C26D3"/>
    <w:rsid w:val="431F637C"/>
    <w:rsid w:val="434E3AB8"/>
    <w:rsid w:val="43537F8A"/>
    <w:rsid w:val="43805D73"/>
    <w:rsid w:val="43943464"/>
    <w:rsid w:val="43D83C99"/>
    <w:rsid w:val="43DD4E0B"/>
    <w:rsid w:val="44107EE3"/>
    <w:rsid w:val="441E62C0"/>
    <w:rsid w:val="44380293"/>
    <w:rsid w:val="443E50E2"/>
    <w:rsid w:val="44406167"/>
    <w:rsid w:val="44967985"/>
    <w:rsid w:val="44974521"/>
    <w:rsid w:val="449C15EE"/>
    <w:rsid w:val="44FB65C3"/>
    <w:rsid w:val="45147341"/>
    <w:rsid w:val="45192471"/>
    <w:rsid w:val="452802B4"/>
    <w:rsid w:val="452F1A92"/>
    <w:rsid w:val="45325D14"/>
    <w:rsid w:val="453A5298"/>
    <w:rsid w:val="454F4D0B"/>
    <w:rsid w:val="456A5852"/>
    <w:rsid w:val="456B6447"/>
    <w:rsid w:val="457D0B54"/>
    <w:rsid w:val="45811C7C"/>
    <w:rsid w:val="45906116"/>
    <w:rsid w:val="45A0305D"/>
    <w:rsid w:val="45A03571"/>
    <w:rsid w:val="45B72BF8"/>
    <w:rsid w:val="45C96298"/>
    <w:rsid w:val="45E356FB"/>
    <w:rsid w:val="45F51AEF"/>
    <w:rsid w:val="460B016C"/>
    <w:rsid w:val="461E795D"/>
    <w:rsid w:val="46263C87"/>
    <w:rsid w:val="465219D4"/>
    <w:rsid w:val="465716AD"/>
    <w:rsid w:val="46745ABF"/>
    <w:rsid w:val="46830E83"/>
    <w:rsid w:val="468B3EFB"/>
    <w:rsid w:val="46AE3D43"/>
    <w:rsid w:val="46C44510"/>
    <w:rsid w:val="46CC1041"/>
    <w:rsid w:val="46CD455E"/>
    <w:rsid w:val="46D5130D"/>
    <w:rsid w:val="46E15B1B"/>
    <w:rsid w:val="46FF778E"/>
    <w:rsid w:val="470A6193"/>
    <w:rsid w:val="471B4E2C"/>
    <w:rsid w:val="47385210"/>
    <w:rsid w:val="474C2DD7"/>
    <w:rsid w:val="474D5830"/>
    <w:rsid w:val="47543636"/>
    <w:rsid w:val="475C3001"/>
    <w:rsid w:val="47625066"/>
    <w:rsid w:val="47690E29"/>
    <w:rsid w:val="47767EAB"/>
    <w:rsid w:val="477D2D36"/>
    <w:rsid w:val="47864E13"/>
    <w:rsid w:val="478F1033"/>
    <w:rsid w:val="479A5F27"/>
    <w:rsid w:val="47A837E0"/>
    <w:rsid w:val="47D31E5D"/>
    <w:rsid w:val="47DC4F5C"/>
    <w:rsid w:val="47DD36B3"/>
    <w:rsid w:val="47F32E64"/>
    <w:rsid w:val="481C7304"/>
    <w:rsid w:val="482C6A5C"/>
    <w:rsid w:val="485C15EC"/>
    <w:rsid w:val="48783354"/>
    <w:rsid w:val="488D3FC9"/>
    <w:rsid w:val="48992B03"/>
    <w:rsid w:val="48B40671"/>
    <w:rsid w:val="48D8429F"/>
    <w:rsid w:val="48E34F9B"/>
    <w:rsid w:val="48F52BF7"/>
    <w:rsid w:val="48F73DFC"/>
    <w:rsid w:val="490D112E"/>
    <w:rsid w:val="493C2711"/>
    <w:rsid w:val="495664BB"/>
    <w:rsid w:val="49751310"/>
    <w:rsid w:val="49973F6B"/>
    <w:rsid w:val="499B5738"/>
    <w:rsid w:val="499F244D"/>
    <w:rsid w:val="4A0923DF"/>
    <w:rsid w:val="4A105051"/>
    <w:rsid w:val="4A280204"/>
    <w:rsid w:val="4A2D0198"/>
    <w:rsid w:val="4A420EE7"/>
    <w:rsid w:val="4A973F3F"/>
    <w:rsid w:val="4AE6282E"/>
    <w:rsid w:val="4AED2A70"/>
    <w:rsid w:val="4AF4108E"/>
    <w:rsid w:val="4AF50338"/>
    <w:rsid w:val="4AF96BC7"/>
    <w:rsid w:val="4B136101"/>
    <w:rsid w:val="4B1C090F"/>
    <w:rsid w:val="4B203103"/>
    <w:rsid w:val="4B32607A"/>
    <w:rsid w:val="4B464533"/>
    <w:rsid w:val="4B496045"/>
    <w:rsid w:val="4B545C08"/>
    <w:rsid w:val="4B5A416B"/>
    <w:rsid w:val="4B5D14C2"/>
    <w:rsid w:val="4B662EDE"/>
    <w:rsid w:val="4B667F55"/>
    <w:rsid w:val="4B6A63A2"/>
    <w:rsid w:val="4B6E0A3F"/>
    <w:rsid w:val="4B7C6990"/>
    <w:rsid w:val="4B8273D5"/>
    <w:rsid w:val="4B862A85"/>
    <w:rsid w:val="4B8B200B"/>
    <w:rsid w:val="4B98008D"/>
    <w:rsid w:val="4BAC4867"/>
    <w:rsid w:val="4BF16188"/>
    <w:rsid w:val="4BF417D4"/>
    <w:rsid w:val="4BF92147"/>
    <w:rsid w:val="4C01654C"/>
    <w:rsid w:val="4C3A28DD"/>
    <w:rsid w:val="4C8018E7"/>
    <w:rsid w:val="4C8624FC"/>
    <w:rsid w:val="4C8A38D4"/>
    <w:rsid w:val="4C9C27CC"/>
    <w:rsid w:val="4CA20A24"/>
    <w:rsid w:val="4CB755B1"/>
    <w:rsid w:val="4CEF36E2"/>
    <w:rsid w:val="4CEF4DC5"/>
    <w:rsid w:val="4CF23DD6"/>
    <w:rsid w:val="4CF25996"/>
    <w:rsid w:val="4D171C3B"/>
    <w:rsid w:val="4D353E59"/>
    <w:rsid w:val="4D3D7D51"/>
    <w:rsid w:val="4D411D80"/>
    <w:rsid w:val="4D482BAA"/>
    <w:rsid w:val="4D4873F2"/>
    <w:rsid w:val="4D54264D"/>
    <w:rsid w:val="4D6A5813"/>
    <w:rsid w:val="4D922FBD"/>
    <w:rsid w:val="4D9A766C"/>
    <w:rsid w:val="4DA62246"/>
    <w:rsid w:val="4DB54B95"/>
    <w:rsid w:val="4DC17B81"/>
    <w:rsid w:val="4DC23F1C"/>
    <w:rsid w:val="4DC4528E"/>
    <w:rsid w:val="4DEE41E3"/>
    <w:rsid w:val="4DF21879"/>
    <w:rsid w:val="4DF71805"/>
    <w:rsid w:val="4E0A3FBD"/>
    <w:rsid w:val="4E17231F"/>
    <w:rsid w:val="4E257655"/>
    <w:rsid w:val="4E2670DE"/>
    <w:rsid w:val="4E352A01"/>
    <w:rsid w:val="4E8E7871"/>
    <w:rsid w:val="4EA85542"/>
    <w:rsid w:val="4EAC01FC"/>
    <w:rsid w:val="4EC4406A"/>
    <w:rsid w:val="4EC455C1"/>
    <w:rsid w:val="4EF86E3C"/>
    <w:rsid w:val="4F06496B"/>
    <w:rsid w:val="4F0C1AC6"/>
    <w:rsid w:val="4F127C58"/>
    <w:rsid w:val="4F365F84"/>
    <w:rsid w:val="4F367AC5"/>
    <w:rsid w:val="4F372380"/>
    <w:rsid w:val="4F372FFB"/>
    <w:rsid w:val="4F4B5D83"/>
    <w:rsid w:val="4F71142E"/>
    <w:rsid w:val="4F7A6CA5"/>
    <w:rsid w:val="4F9C17F9"/>
    <w:rsid w:val="4FA7341A"/>
    <w:rsid w:val="4FC66A35"/>
    <w:rsid w:val="4FE34F88"/>
    <w:rsid w:val="4FEF4AC6"/>
    <w:rsid w:val="5025116D"/>
    <w:rsid w:val="50310AE7"/>
    <w:rsid w:val="503D7DBA"/>
    <w:rsid w:val="50574197"/>
    <w:rsid w:val="507725C3"/>
    <w:rsid w:val="50811214"/>
    <w:rsid w:val="508A158E"/>
    <w:rsid w:val="50BF67C9"/>
    <w:rsid w:val="50C85235"/>
    <w:rsid w:val="50CA0599"/>
    <w:rsid w:val="50ED7CC8"/>
    <w:rsid w:val="50FB62A0"/>
    <w:rsid w:val="511E0283"/>
    <w:rsid w:val="515158DB"/>
    <w:rsid w:val="515A7AB7"/>
    <w:rsid w:val="516623C4"/>
    <w:rsid w:val="51B05107"/>
    <w:rsid w:val="51DA39DC"/>
    <w:rsid w:val="51E0241A"/>
    <w:rsid w:val="51F1394A"/>
    <w:rsid w:val="5201085F"/>
    <w:rsid w:val="522024E6"/>
    <w:rsid w:val="52314419"/>
    <w:rsid w:val="52395ECD"/>
    <w:rsid w:val="526D1B33"/>
    <w:rsid w:val="526D4E29"/>
    <w:rsid w:val="52735E8B"/>
    <w:rsid w:val="52B44696"/>
    <w:rsid w:val="52BB5DFD"/>
    <w:rsid w:val="52C10D75"/>
    <w:rsid w:val="52D55821"/>
    <w:rsid w:val="52EB2FB5"/>
    <w:rsid w:val="53376E09"/>
    <w:rsid w:val="53655BA8"/>
    <w:rsid w:val="53A303CC"/>
    <w:rsid w:val="53C27FF8"/>
    <w:rsid w:val="53D0274A"/>
    <w:rsid w:val="53EA1FF6"/>
    <w:rsid w:val="53EC03B2"/>
    <w:rsid w:val="540B5AE5"/>
    <w:rsid w:val="54167271"/>
    <w:rsid w:val="544A1D81"/>
    <w:rsid w:val="544E00F4"/>
    <w:rsid w:val="5475679C"/>
    <w:rsid w:val="548850A3"/>
    <w:rsid w:val="548E3F00"/>
    <w:rsid w:val="548E485C"/>
    <w:rsid w:val="549E1A80"/>
    <w:rsid w:val="54AB108A"/>
    <w:rsid w:val="54BA25DB"/>
    <w:rsid w:val="54C658F4"/>
    <w:rsid w:val="54CB45B1"/>
    <w:rsid w:val="54CF22DF"/>
    <w:rsid w:val="54E0494C"/>
    <w:rsid w:val="54E171CD"/>
    <w:rsid w:val="54E7784F"/>
    <w:rsid w:val="550C4BD7"/>
    <w:rsid w:val="55322669"/>
    <w:rsid w:val="5539470A"/>
    <w:rsid w:val="554C1D56"/>
    <w:rsid w:val="55572986"/>
    <w:rsid w:val="555761AA"/>
    <w:rsid w:val="555E236D"/>
    <w:rsid w:val="55805785"/>
    <w:rsid w:val="55A82C22"/>
    <w:rsid w:val="55C062DD"/>
    <w:rsid w:val="55C84FE2"/>
    <w:rsid w:val="55E822CC"/>
    <w:rsid w:val="5607446A"/>
    <w:rsid w:val="56081243"/>
    <w:rsid w:val="56182C00"/>
    <w:rsid w:val="56245CC2"/>
    <w:rsid w:val="56330E85"/>
    <w:rsid w:val="565340FA"/>
    <w:rsid w:val="565C3ECA"/>
    <w:rsid w:val="56636EEC"/>
    <w:rsid w:val="56790914"/>
    <w:rsid w:val="567D64C6"/>
    <w:rsid w:val="568E01E7"/>
    <w:rsid w:val="569A7860"/>
    <w:rsid w:val="569F04E3"/>
    <w:rsid w:val="56B25952"/>
    <w:rsid w:val="56FC519F"/>
    <w:rsid w:val="571B3688"/>
    <w:rsid w:val="571F4860"/>
    <w:rsid w:val="5723343E"/>
    <w:rsid w:val="573D7EAB"/>
    <w:rsid w:val="57580904"/>
    <w:rsid w:val="578057C8"/>
    <w:rsid w:val="578231ED"/>
    <w:rsid w:val="57856002"/>
    <w:rsid w:val="57893184"/>
    <w:rsid w:val="57A66BAB"/>
    <w:rsid w:val="57AA18F7"/>
    <w:rsid w:val="57D21B1D"/>
    <w:rsid w:val="57DD34B9"/>
    <w:rsid w:val="57E6392C"/>
    <w:rsid w:val="57F706C9"/>
    <w:rsid w:val="58017793"/>
    <w:rsid w:val="58022C3B"/>
    <w:rsid w:val="58244E5C"/>
    <w:rsid w:val="58685C59"/>
    <w:rsid w:val="58697500"/>
    <w:rsid w:val="5874230E"/>
    <w:rsid w:val="58843841"/>
    <w:rsid w:val="5891308F"/>
    <w:rsid w:val="589236B1"/>
    <w:rsid w:val="58C86B99"/>
    <w:rsid w:val="58DB0E48"/>
    <w:rsid w:val="5904102E"/>
    <w:rsid w:val="590A564B"/>
    <w:rsid w:val="59415D84"/>
    <w:rsid w:val="5944577D"/>
    <w:rsid w:val="594D2B53"/>
    <w:rsid w:val="598813E0"/>
    <w:rsid w:val="59914276"/>
    <w:rsid w:val="5999679A"/>
    <w:rsid w:val="599B7268"/>
    <w:rsid w:val="599C38F2"/>
    <w:rsid w:val="59A03BB4"/>
    <w:rsid w:val="59AA0FB1"/>
    <w:rsid w:val="59B91F8C"/>
    <w:rsid w:val="59EF6A42"/>
    <w:rsid w:val="59F20EF7"/>
    <w:rsid w:val="5A1030D6"/>
    <w:rsid w:val="5A2F2CC8"/>
    <w:rsid w:val="5A6059E2"/>
    <w:rsid w:val="5A673F93"/>
    <w:rsid w:val="5A723722"/>
    <w:rsid w:val="5A7D02BC"/>
    <w:rsid w:val="5A84088B"/>
    <w:rsid w:val="5AAA4EE2"/>
    <w:rsid w:val="5AAF7962"/>
    <w:rsid w:val="5AC95C92"/>
    <w:rsid w:val="5ADC59C5"/>
    <w:rsid w:val="5B436D5A"/>
    <w:rsid w:val="5B487697"/>
    <w:rsid w:val="5B570637"/>
    <w:rsid w:val="5B79092D"/>
    <w:rsid w:val="5B7D33AD"/>
    <w:rsid w:val="5B7F28A2"/>
    <w:rsid w:val="5B8E36FB"/>
    <w:rsid w:val="5B9C3F03"/>
    <w:rsid w:val="5BA26962"/>
    <w:rsid w:val="5BA85879"/>
    <w:rsid w:val="5BAE5FB1"/>
    <w:rsid w:val="5BAF1477"/>
    <w:rsid w:val="5BAF6C35"/>
    <w:rsid w:val="5BB978F4"/>
    <w:rsid w:val="5BC1259B"/>
    <w:rsid w:val="5C10702D"/>
    <w:rsid w:val="5C14136F"/>
    <w:rsid w:val="5C152601"/>
    <w:rsid w:val="5C20614F"/>
    <w:rsid w:val="5C591F03"/>
    <w:rsid w:val="5C697AAA"/>
    <w:rsid w:val="5C8A1B2F"/>
    <w:rsid w:val="5C9257B9"/>
    <w:rsid w:val="5C96399E"/>
    <w:rsid w:val="5CAF3DCD"/>
    <w:rsid w:val="5CEA4062"/>
    <w:rsid w:val="5D2C1215"/>
    <w:rsid w:val="5D4930BA"/>
    <w:rsid w:val="5D4D4133"/>
    <w:rsid w:val="5D857790"/>
    <w:rsid w:val="5D861815"/>
    <w:rsid w:val="5D8936D2"/>
    <w:rsid w:val="5D914004"/>
    <w:rsid w:val="5DB16193"/>
    <w:rsid w:val="5DD80331"/>
    <w:rsid w:val="5DD95E29"/>
    <w:rsid w:val="5DDD16DD"/>
    <w:rsid w:val="5DE828D3"/>
    <w:rsid w:val="5DF41766"/>
    <w:rsid w:val="5E015F08"/>
    <w:rsid w:val="5E530F45"/>
    <w:rsid w:val="5E615889"/>
    <w:rsid w:val="5E727AB0"/>
    <w:rsid w:val="5E847BF7"/>
    <w:rsid w:val="5E936FAE"/>
    <w:rsid w:val="5EAA1124"/>
    <w:rsid w:val="5EC8520A"/>
    <w:rsid w:val="5ED25050"/>
    <w:rsid w:val="5F0341A4"/>
    <w:rsid w:val="5F0A7504"/>
    <w:rsid w:val="5F114CB9"/>
    <w:rsid w:val="5F174D94"/>
    <w:rsid w:val="5F4F5E24"/>
    <w:rsid w:val="5F561B72"/>
    <w:rsid w:val="5F703D10"/>
    <w:rsid w:val="5F811AD3"/>
    <w:rsid w:val="5F8E3288"/>
    <w:rsid w:val="5F92448C"/>
    <w:rsid w:val="5FA13309"/>
    <w:rsid w:val="5FB646B2"/>
    <w:rsid w:val="5FBB0ADC"/>
    <w:rsid w:val="5FC2179D"/>
    <w:rsid w:val="5FE00927"/>
    <w:rsid w:val="5FE24EDD"/>
    <w:rsid w:val="5FE437FC"/>
    <w:rsid w:val="5FED0446"/>
    <w:rsid w:val="5FF87C07"/>
    <w:rsid w:val="60014470"/>
    <w:rsid w:val="602A626F"/>
    <w:rsid w:val="603E60FC"/>
    <w:rsid w:val="60504C82"/>
    <w:rsid w:val="606007BB"/>
    <w:rsid w:val="606163EC"/>
    <w:rsid w:val="608E10F9"/>
    <w:rsid w:val="6095423F"/>
    <w:rsid w:val="60AC7F66"/>
    <w:rsid w:val="60C13070"/>
    <w:rsid w:val="611E12A8"/>
    <w:rsid w:val="61226064"/>
    <w:rsid w:val="61497909"/>
    <w:rsid w:val="614E0C9F"/>
    <w:rsid w:val="614F0CAD"/>
    <w:rsid w:val="6189448A"/>
    <w:rsid w:val="61A475B0"/>
    <w:rsid w:val="61A66546"/>
    <w:rsid w:val="61BD42A4"/>
    <w:rsid w:val="61BF10D9"/>
    <w:rsid w:val="61BF1193"/>
    <w:rsid w:val="61DA3D4C"/>
    <w:rsid w:val="61F215C9"/>
    <w:rsid w:val="62052E11"/>
    <w:rsid w:val="6265481D"/>
    <w:rsid w:val="626A5412"/>
    <w:rsid w:val="62AC22DC"/>
    <w:rsid w:val="62B22B31"/>
    <w:rsid w:val="62BF2D76"/>
    <w:rsid w:val="62FA4283"/>
    <w:rsid w:val="630871F9"/>
    <w:rsid w:val="630A6917"/>
    <w:rsid w:val="63177FBC"/>
    <w:rsid w:val="632630D2"/>
    <w:rsid w:val="633575E4"/>
    <w:rsid w:val="633E67A6"/>
    <w:rsid w:val="63493F8F"/>
    <w:rsid w:val="635251C8"/>
    <w:rsid w:val="6354469B"/>
    <w:rsid w:val="635A3E88"/>
    <w:rsid w:val="635C1FFD"/>
    <w:rsid w:val="63606311"/>
    <w:rsid w:val="63607FA4"/>
    <w:rsid w:val="63724593"/>
    <w:rsid w:val="637833E8"/>
    <w:rsid w:val="63DE0947"/>
    <w:rsid w:val="63F14628"/>
    <w:rsid w:val="63F30799"/>
    <w:rsid w:val="64481274"/>
    <w:rsid w:val="648743E5"/>
    <w:rsid w:val="64941CD4"/>
    <w:rsid w:val="64B10E28"/>
    <w:rsid w:val="64BB10E5"/>
    <w:rsid w:val="64C0006E"/>
    <w:rsid w:val="64C210FC"/>
    <w:rsid w:val="64D8014C"/>
    <w:rsid w:val="64E45EF7"/>
    <w:rsid w:val="64E536C8"/>
    <w:rsid w:val="650D635E"/>
    <w:rsid w:val="651240A3"/>
    <w:rsid w:val="6528541A"/>
    <w:rsid w:val="6544472C"/>
    <w:rsid w:val="65465871"/>
    <w:rsid w:val="654866C3"/>
    <w:rsid w:val="654E2D83"/>
    <w:rsid w:val="6555098E"/>
    <w:rsid w:val="65D06BA5"/>
    <w:rsid w:val="65F12154"/>
    <w:rsid w:val="661D63AD"/>
    <w:rsid w:val="6630196A"/>
    <w:rsid w:val="665253D0"/>
    <w:rsid w:val="66815672"/>
    <w:rsid w:val="66873275"/>
    <w:rsid w:val="6691014E"/>
    <w:rsid w:val="66C1066D"/>
    <w:rsid w:val="66C87CCE"/>
    <w:rsid w:val="66D23840"/>
    <w:rsid w:val="66D41C46"/>
    <w:rsid w:val="66E1028C"/>
    <w:rsid w:val="66E73D86"/>
    <w:rsid w:val="66FB490A"/>
    <w:rsid w:val="670006DA"/>
    <w:rsid w:val="67592253"/>
    <w:rsid w:val="677435B2"/>
    <w:rsid w:val="6779688C"/>
    <w:rsid w:val="67814D8C"/>
    <w:rsid w:val="678801E7"/>
    <w:rsid w:val="678D2EAE"/>
    <w:rsid w:val="67AC1EB3"/>
    <w:rsid w:val="67E35B9E"/>
    <w:rsid w:val="67EF75F1"/>
    <w:rsid w:val="67F323FA"/>
    <w:rsid w:val="682062DD"/>
    <w:rsid w:val="6828218F"/>
    <w:rsid w:val="68327BBE"/>
    <w:rsid w:val="68836ACA"/>
    <w:rsid w:val="688D2AED"/>
    <w:rsid w:val="688D5804"/>
    <w:rsid w:val="689736F8"/>
    <w:rsid w:val="68B35F15"/>
    <w:rsid w:val="69124F16"/>
    <w:rsid w:val="692556B9"/>
    <w:rsid w:val="69280117"/>
    <w:rsid w:val="693022D8"/>
    <w:rsid w:val="694A5205"/>
    <w:rsid w:val="694C59EB"/>
    <w:rsid w:val="69874AA4"/>
    <w:rsid w:val="69A476D9"/>
    <w:rsid w:val="69AD518D"/>
    <w:rsid w:val="69CD5C14"/>
    <w:rsid w:val="69CF0D33"/>
    <w:rsid w:val="69D32689"/>
    <w:rsid w:val="69D8686C"/>
    <w:rsid w:val="69D96AC3"/>
    <w:rsid w:val="69F567A0"/>
    <w:rsid w:val="6A1A7186"/>
    <w:rsid w:val="6A2D3C19"/>
    <w:rsid w:val="6A36068B"/>
    <w:rsid w:val="6A434A35"/>
    <w:rsid w:val="6A4B2209"/>
    <w:rsid w:val="6A5066CB"/>
    <w:rsid w:val="6A512713"/>
    <w:rsid w:val="6A542D51"/>
    <w:rsid w:val="6A5F0F50"/>
    <w:rsid w:val="6A6030C4"/>
    <w:rsid w:val="6A767148"/>
    <w:rsid w:val="6A7F05D0"/>
    <w:rsid w:val="6A843983"/>
    <w:rsid w:val="6AAB324D"/>
    <w:rsid w:val="6AB235AF"/>
    <w:rsid w:val="6ABD719F"/>
    <w:rsid w:val="6AC13E4D"/>
    <w:rsid w:val="6ADA17F5"/>
    <w:rsid w:val="6AE644C3"/>
    <w:rsid w:val="6AE71A96"/>
    <w:rsid w:val="6AF64E0B"/>
    <w:rsid w:val="6AFD4928"/>
    <w:rsid w:val="6B14078A"/>
    <w:rsid w:val="6B175FBC"/>
    <w:rsid w:val="6B297797"/>
    <w:rsid w:val="6B2F4D3E"/>
    <w:rsid w:val="6B303F71"/>
    <w:rsid w:val="6B374E7A"/>
    <w:rsid w:val="6B4317B4"/>
    <w:rsid w:val="6B4A10E4"/>
    <w:rsid w:val="6B5C4B71"/>
    <w:rsid w:val="6B614E02"/>
    <w:rsid w:val="6B623CC4"/>
    <w:rsid w:val="6B7E2908"/>
    <w:rsid w:val="6B9946B3"/>
    <w:rsid w:val="6BC71D79"/>
    <w:rsid w:val="6BF5106A"/>
    <w:rsid w:val="6C211E68"/>
    <w:rsid w:val="6C241930"/>
    <w:rsid w:val="6C2D0A9C"/>
    <w:rsid w:val="6C372961"/>
    <w:rsid w:val="6C3A079D"/>
    <w:rsid w:val="6C4052D5"/>
    <w:rsid w:val="6C431EF3"/>
    <w:rsid w:val="6C4B0DE1"/>
    <w:rsid w:val="6C4E6902"/>
    <w:rsid w:val="6C537AB1"/>
    <w:rsid w:val="6C5B59F4"/>
    <w:rsid w:val="6C662189"/>
    <w:rsid w:val="6C6B22D7"/>
    <w:rsid w:val="6C6C2F38"/>
    <w:rsid w:val="6C7007C7"/>
    <w:rsid w:val="6C8C2B67"/>
    <w:rsid w:val="6C8D38AF"/>
    <w:rsid w:val="6C8D7684"/>
    <w:rsid w:val="6CA13443"/>
    <w:rsid w:val="6CA83959"/>
    <w:rsid w:val="6CB04275"/>
    <w:rsid w:val="6CDC07DA"/>
    <w:rsid w:val="6CDF720B"/>
    <w:rsid w:val="6CF92C55"/>
    <w:rsid w:val="6D21360D"/>
    <w:rsid w:val="6D3A3B10"/>
    <w:rsid w:val="6D415399"/>
    <w:rsid w:val="6D464F20"/>
    <w:rsid w:val="6D4C7D54"/>
    <w:rsid w:val="6D5E0131"/>
    <w:rsid w:val="6D60703C"/>
    <w:rsid w:val="6D616805"/>
    <w:rsid w:val="6D68310A"/>
    <w:rsid w:val="6D6D4330"/>
    <w:rsid w:val="6D8B0FD6"/>
    <w:rsid w:val="6D915D95"/>
    <w:rsid w:val="6D94625C"/>
    <w:rsid w:val="6D9B53CB"/>
    <w:rsid w:val="6DB63374"/>
    <w:rsid w:val="6DE76850"/>
    <w:rsid w:val="6DF8337B"/>
    <w:rsid w:val="6E030A47"/>
    <w:rsid w:val="6E1A3980"/>
    <w:rsid w:val="6E2B50E3"/>
    <w:rsid w:val="6E506EFF"/>
    <w:rsid w:val="6E8059E4"/>
    <w:rsid w:val="6E930639"/>
    <w:rsid w:val="6E9E45BF"/>
    <w:rsid w:val="6EA34CC4"/>
    <w:rsid w:val="6EAA5AA8"/>
    <w:rsid w:val="6EC00BE3"/>
    <w:rsid w:val="6EE14809"/>
    <w:rsid w:val="6EE54F57"/>
    <w:rsid w:val="6F055DD7"/>
    <w:rsid w:val="6F1E7F02"/>
    <w:rsid w:val="6F2E0D5F"/>
    <w:rsid w:val="6F395B8B"/>
    <w:rsid w:val="6F4A6530"/>
    <w:rsid w:val="6F6A3147"/>
    <w:rsid w:val="6F6B76CB"/>
    <w:rsid w:val="6F6E0ACF"/>
    <w:rsid w:val="6F753C1F"/>
    <w:rsid w:val="6F964F3B"/>
    <w:rsid w:val="6FB20BD4"/>
    <w:rsid w:val="6FB650F7"/>
    <w:rsid w:val="6FB75277"/>
    <w:rsid w:val="6FBA59BE"/>
    <w:rsid w:val="6FD64135"/>
    <w:rsid w:val="6FE4739E"/>
    <w:rsid w:val="6FF16C9A"/>
    <w:rsid w:val="6FF2418B"/>
    <w:rsid w:val="6FF3192C"/>
    <w:rsid w:val="702726F0"/>
    <w:rsid w:val="70296B3E"/>
    <w:rsid w:val="704255C1"/>
    <w:rsid w:val="704751B9"/>
    <w:rsid w:val="70497291"/>
    <w:rsid w:val="705B357E"/>
    <w:rsid w:val="70611204"/>
    <w:rsid w:val="7096798B"/>
    <w:rsid w:val="70BF0EE0"/>
    <w:rsid w:val="70C20C9C"/>
    <w:rsid w:val="70C57C29"/>
    <w:rsid w:val="70D01410"/>
    <w:rsid w:val="70D036E5"/>
    <w:rsid w:val="70D32204"/>
    <w:rsid w:val="70F15847"/>
    <w:rsid w:val="710A582E"/>
    <w:rsid w:val="71147BFE"/>
    <w:rsid w:val="713116FD"/>
    <w:rsid w:val="71370AC8"/>
    <w:rsid w:val="713D46C5"/>
    <w:rsid w:val="71434E47"/>
    <w:rsid w:val="71486F7F"/>
    <w:rsid w:val="715F2A54"/>
    <w:rsid w:val="71662A10"/>
    <w:rsid w:val="71926986"/>
    <w:rsid w:val="71982A8B"/>
    <w:rsid w:val="71A17BB2"/>
    <w:rsid w:val="72204649"/>
    <w:rsid w:val="722C5869"/>
    <w:rsid w:val="72450FB0"/>
    <w:rsid w:val="72487743"/>
    <w:rsid w:val="725E1213"/>
    <w:rsid w:val="727D6954"/>
    <w:rsid w:val="72844D41"/>
    <w:rsid w:val="72862C7E"/>
    <w:rsid w:val="728976DF"/>
    <w:rsid w:val="72936E2F"/>
    <w:rsid w:val="72CF4F19"/>
    <w:rsid w:val="72EA7F26"/>
    <w:rsid w:val="72EC79FB"/>
    <w:rsid w:val="72F67BF9"/>
    <w:rsid w:val="731178E3"/>
    <w:rsid w:val="73240DF9"/>
    <w:rsid w:val="732C6F33"/>
    <w:rsid w:val="733D16A9"/>
    <w:rsid w:val="73425548"/>
    <w:rsid w:val="73445350"/>
    <w:rsid w:val="73514DB1"/>
    <w:rsid w:val="736A73D7"/>
    <w:rsid w:val="737C5261"/>
    <w:rsid w:val="738A77D2"/>
    <w:rsid w:val="73A553FF"/>
    <w:rsid w:val="73AC15DC"/>
    <w:rsid w:val="73F27930"/>
    <w:rsid w:val="74121260"/>
    <w:rsid w:val="743462D3"/>
    <w:rsid w:val="74365CEE"/>
    <w:rsid w:val="743E7D5E"/>
    <w:rsid w:val="7441374C"/>
    <w:rsid w:val="744149C3"/>
    <w:rsid w:val="74474E71"/>
    <w:rsid w:val="74A93E5A"/>
    <w:rsid w:val="74C633BB"/>
    <w:rsid w:val="74FA2C30"/>
    <w:rsid w:val="751D1A0B"/>
    <w:rsid w:val="753B09F7"/>
    <w:rsid w:val="754D5C4B"/>
    <w:rsid w:val="756C78B0"/>
    <w:rsid w:val="757939B3"/>
    <w:rsid w:val="757E50F6"/>
    <w:rsid w:val="75855224"/>
    <w:rsid w:val="75A05064"/>
    <w:rsid w:val="75A85DA3"/>
    <w:rsid w:val="75AB5440"/>
    <w:rsid w:val="75CB60C0"/>
    <w:rsid w:val="75E76F6F"/>
    <w:rsid w:val="75EC127C"/>
    <w:rsid w:val="75F142DB"/>
    <w:rsid w:val="75F23E97"/>
    <w:rsid w:val="760B3F34"/>
    <w:rsid w:val="76334397"/>
    <w:rsid w:val="765B4F30"/>
    <w:rsid w:val="766C4E79"/>
    <w:rsid w:val="766D6FAF"/>
    <w:rsid w:val="767D07C6"/>
    <w:rsid w:val="768F7316"/>
    <w:rsid w:val="76A143E8"/>
    <w:rsid w:val="76BF1D66"/>
    <w:rsid w:val="76C240A7"/>
    <w:rsid w:val="76C8773D"/>
    <w:rsid w:val="76F263F7"/>
    <w:rsid w:val="770F3331"/>
    <w:rsid w:val="77285125"/>
    <w:rsid w:val="77315AC4"/>
    <w:rsid w:val="775246B7"/>
    <w:rsid w:val="77583C37"/>
    <w:rsid w:val="775974AF"/>
    <w:rsid w:val="778264A7"/>
    <w:rsid w:val="77977DAD"/>
    <w:rsid w:val="77CA234A"/>
    <w:rsid w:val="781E69D1"/>
    <w:rsid w:val="782A2DF7"/>
    <w:rsid w:val="78DE4305"/>
    <w:rsid w:val="797F0359"/>
    <w:rsid w:val="7988495F"/>
    <w:rsid w:val="79962040"/>
    <w:rsid w:val="799A2861"/>
    <w:rsid w:val="79A4105F"/>
    <w:rsid w:val="79BC014A"/>
    <w:rsid w:val="79BC34FC"/>
    <w:rsid w:val="79C95D86"/>
    <w:rsid w:val="79D042C8"/>
    <w:rsid w:val="79D90DD4"/>
    <w:rsid w:val="7A263B6B"/>
    <w:rsid w:val="7A2A6E84"/>
    <w:rsid w:val="7A2D01BD"/>
    <w:rsid w:val="7A447E0C"/>
    <w:rsid w:val="7A573C85"/>
    <w:rsid w:val="7A6D67DD"/>
    <w:rsid w:val="7A7106D0"/>
    <w:rsid w:val="7A8E7E6B"/>
    <w:rsid w:val="7A9F3904"/>
    <w:rsid w:val="7AA53BCD"/>
    <w:rsid w:val="7AF46346"/>
    <w:rsid w:val="7AF753E6"/>
    <w:rsid w:val="7B0F5EBF"/>
    <w:rsid w:val="7B125252"/>
    <w:rsid w:val="7B130FB9"/>
    <w:rsid w:val="7B14483E"/>
    <w:rsid w:val="7B1C0A25"/>
    <w:rsid w:val="7B2611AB"/>
    <w:rsid w:val="7B4E6A0D"/>
    <w:rsid w:val="7B641BCE"/>
    <w:rsid w:val="7B770612"/>
    <w:rsid w:val="7B875F34"/>
    <w:rsid w:val="7BDD6F19"/>
    <w:rsid w:val="7BF64EDE"/>
    <w:rsid w:val="7C10151B"/>
    <w:rsid w:val="7C141428"/>
    <w:rsid w:val="7C221C6B"/>
    <w:rsid w:val="7C370186"/>
    <w:rsid w:val="7C400C1E"/>
    <w:rsid w:val="7C6158D2"/>
    <w:rsid w:val="7C99714C"/>
    <w:rsid w:val="7CA07DE8"/>
    <w:rsid w:val="7CA53FD5"/>
    <w:rsid w:val="7CB50883"/>
    <w:rsid w:val="7CBE6D5D"/>
    <w:rsid w:val="7CCF481C"/>
    <w:rsid w:val="7CDD1808"/>
    <w:rsid w:val="7CF57CC1"/>
    <w:rsid w:val="7D0B5456"/>
    <w:rsid w:val="7D2B12B1"/>
    <w:rsid w:val="7D352792"/>
    <w:rsid w:val="7D563551"/>
    <w:rsid w:val="7D6F6791"/>
    <w:rsid w:val="7D7558BB"/>
    <w:rsid w:val="7D830B9D"/>
    <w:rsid w:val="7D905E8D"/>
    <w:rsid w:val="7DB23C3E"/>
    <w:rsid w:val="7DD11708"/>
    <w:rsid w:val="7DE5430C"/>
    <w:rsid w:val="7DE64899"/>
    <w:rsid w:val="7DF813B2"/>
    <w:rsid w:val="7DFC32D8"/>
    <w:rsid w:val="7DFD7978"/>
    <w:rsid w:val="7E0763E6"/>
    <w:rsid w:val="7E1202A7"/>
    <w:rsid w:val="7E156055"/>
    <w:rsid w:val="7E2D7872"/>
    <w:rsid w:val="7E522C19"/>
    <w:rsid w:val="7E5C0F61"/>
    <w:rsid w:val="7E7B37EB"/>
    <w:rsid w:val="7E8E6EBF"/>
    <w:rsid w:val="7EAA7A04"/>
    <w:rsid w:val="7EAD21C3"/>
    <w:rsid w:val="7EBD579E"/>
    <w:rsid w:val="7EC167BD"/>
    <w:rsid w:val="7ED56D33"/>
    <w:rsid w:val="7EFC345C"/>
    <w:rsid w:val="7F1A6960"/>
    <w:rsid w:val="7F272D9E"/>
    <w:rsid w:val="7F397426"/>
    <w:rsid w:val="7F507488"/>
    <w:rsid w:val="7F657C66"/>
    <w:rsid w:val="7F687D9B"/>
    <w:rsid w:val="7F7848F6"/>
    <w:rsid w:val="7FF54CAF"/>
    <w:rsid w:val="7FFD5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qFormat="1" w:unhideWhenUsed="0" w:uiPriority="99" w:semiHidden="0"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autoRedefine/>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7"/>
    <w:autoRedefine/>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48"/>
    <w:autoRedefine/>
    <w:qFormat/>
    <w:uiPriority w:val="99"/>
    <w:pPr>
      <w:keepNext/>
      <w:keepLines/>
      <w:spacing w:before="260" w:after="260" w:line="416" w:lineRule="auto"/>
      <w:outlineLvl w:val="2"/>
    </w:pPr>
    <w:rPr>
      <w:b/>
      <w:bCs/>
      <w:sz w:val="32"/>
      <w:szCs w:val="32"/>
    </w:rPr>
  </w:style>
  <w:style w:type="paragraph" w:styleId="6">
    <w:name w:val="heading 4"/>
    <w:basedOn w:val="1"/>
    <w:next w:val="1"/>
    <w:link w:val="49"/>
    <w:autoRedefine/>
    <w:qFormat/>
    <w:uiPriority w:val="9"/>
    <w:pPr>
      <w:keepNext/>
      <w:keepLines/>
      <w:spacing w:before="280" w:after="290" w:line="372" w:lineRule="auto"/>
      <w:outlineLvl w:val="3"/>
    </w:pPr>
    <w:rPr>
      <w:rFonts w:ascii="Arial" w:hAnsi="Arial" w:eastAsia="黑体"/>
      <w:b/>
      <w:sz w:val="28"/>
    </w:rPr>
  </w:style>
  <w:style w:type="paragraph" w:styleId="7">
    <w:name w:val="heading 5"/>
    <w:basedOn w:val="1"/>
    <w:next w:val="8"/>
    <w:link w:val="50"/>
    <w:autoRedefine/>
    <w:qFormat/>
    <w:uiPriority w:val="9"/>
    <w:pPr>
      <w:keepNext/>
      <w:keepLines/>
      <w:spacing w:before="280" w:after="290" w:line="376" w:lineRule="auto"/>
      <w:outlineLvl w:val="4"/>
    </w:pPr>
    <w:rPr>
      <w:b/>
      <w:bCs/>
      <w:sz w:val="28"/>
      <w:szCs w:val="28"/>
    </w:rPr>
  </w:style>
  <w:style w:type="paragraph" w:styleId="9">
    <w:name w:val="heading 8"/>
    <w:basedOn w:val="1"/>
    <w:next w:val="1"/>
    <w:link w:val="51"/>
    <w:autoRedefine/>
    <w:qFormat/>
    <w:uiPriority w:val="9"/>
    <w:pPr>
      <w:keepNext/>
      <w:keepLines/>
      <w:spacing w:before="240" w:after="64" w:line="320" w:lineRule="auto"/>
      <w:outlineLvl w:val="7"/>
    </w:pPr>
    <w:rPr>
      <w:rFonts w:ascii="等线 Light" w:hAnsi="等线 Light" w:eastAsia="等线 Light"/>
      <w:sz w:val="24"/>
    </w:rPr>
  </w:style>
  <w:style w:type="character" w:default="1" w:styleId="34">
    <w:name w:val="Default Paragraph Font"/>
    <w:autoRedefine/>
    <w:unhideWhenUsed/>
    <w:qFormat/>
    <w:uiPriority w:val="1"/>
  </w:style>
  <w:style w:type="table" w:default="1" w:styleId="32">
    <w:name w:val="Normal Table"/>
    <w:autoRedefine/>
    <w:unhideWhenUsed/>
    <w:qFormat/>
    <w:uiPriority w:val="99"/>
    <w:tblPr>
      <w:tblCellMar>
        <w:top w:w="0" w:type="dxa"/>
        <w:left w:w="108" w:type="dxa"/>
        <w:bottom w:w="0" w:type="dxa"/>
        <w:right w:w="108" w:type="dxa"/>
      </w:tblCellMar>
    </w:tblPr>
  </w:style>
  <w:style w:type="paragraph" w:styleId="2">
    <w:name w:val="Body Text Indent 2"/>
    <w:basedOn w:val="1"/>
    <w:autoRedefine/>
    <w:qFormat/>
    <w:uiPriority w:val="0"/>
    <w:pPr>
      <w:ind w:firstLine="630"/>
    </w:pPr>
    <w:rPr>
      <w:rFonts w:ascii="Calibri" w:hAnsi="Calibri"/>
      <w:sz w:val="32"/>
      <w:szCs w:val="20"/>
    </w:rPr>
  </w:style>
  <w:style w:type="paragraph" w:styleId="8">
    <w:name w:val="Normal Indent"/>
    <w:basedOn w:val="1"/>
    <w:autoRedefine/>
    <w:qFormat/>
    <w:uiPriority w:val="99"/>
    <w:pPr>
      <w:ind w:firstLine="420"/>
    </w:pPr>
    <w:rPr>
      <w:szCs w:val="20"/>
    </w:rPr>
  </w:style>
  <w:style w:type="paragraph" w:styleId="10">
    <w:name w:val="table of authorities"/>
    <w:basedOn w:val="1"/>
    <w:next w:val="1"/>
    <w:autoRedefine/>
    <w:qFormat/>
    <w:uiPriority w:val="99"/>
    <w:pPr>
      <w:ind w:left="420" w:leftChars="200"/>
    </w:pPr>
    <w:rPr>
      <w:rFonts w:ascii="Calibri" w:hAnsi="Calibri"/>
    </w:rPr>
  </w:style>
  <w:style w:type="paragraph" w:styleId="11">
    <w:name w:val="index 8"/>
    <w:basedOn w:val="1"/>
    <w:next w:val="1"/>
    <w:autoRedefine/>
    <w:qFormat/>
    <w:uiPriority w:val="0"/>
    <w:pPr>
      <w:ind w:left="2940"/>
    </w:pPr>
  </w:style>
  <w:style w:type="paragraph" w:styleId="12">
    <w:name w:val="List Number"/>
    <w:basedOn w:val="1"/>
    <w:autoRedefine/>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3">
    <w:name w:val="caption"/>
    <w:basedOn w:val="1"/>
    <w:next w:val="1"/>
    <w:autoRedefine/>
    <w:qFormat/>
    <w:uiPriority w:val="0"/>
    <w:rPr>
      <w:rFonts w:ascii="DejaVu Sans" w:hAnsi="DejaVu Sans" w:eastAsia="方正黑体_GBK"/>
      <w:sz w:val="20"/>
    </w:rPr>
  </w:style>
  <w:style w:type="paragraph" w:styleId="14">
    <w:name w:val="annotation text"/>
    <w:basedOn w:val="1"/>
    <w:link w:val="43"/>
    <w:autoRedefine/>
    <w:qFormat/>
    <w:uiPriority w:val="99"/>
    <w:pPr>
      <w:jc w:val="left"/>
    </w:pPr>
  </w:style>
  <w:style w:type="paragraph" w:styleId="15">
    <w:name w:val="Body Text 3"/>
    <w:basedOn w:val="1"/>
    <w:link w:val="52"/>
    <w:autoRedefine/>
    <w:unhideWhenUsed/>
    <w:qFormat/>
    <w:uiPriority w:val="99"/>
    <w:pPr>
      <w:spacing w:after="120"/>
    </w:pPr>
    <w:rPr>
      <w:sz w:val="16"/>
      <w:szCs w:val="16"/>
    </w:rPr>
  </w:style>
  <w:style w:type="paragraph" w:styleId="16">
    <w:name w:val="Body Text"/>
    <w:basedOn w:val="1"/>
    <w:next w:val="1"/>
    <w:link w:val="53"/>
    <w:autoRedefine/>
    <w:unhideWhenUsed/>
    <w:qFormat/>
    <w:uiPriority w:val="0"/>
    <w:pPr>
      <w:spacing w:after="120"/>
    </w:pPr>
  </w:style>
  <w:style w:type="paragraph" w:styleId="17">
    <w:name w:val="Body Text Indent"/>
    <w:basedOn w:val="1"/>
    <w:next w:val="18"/>
    <w:link w:val="42"/>
    <w:autoRedefine/>
    <w:qFormat/>
    <w:uiPriority w:val="99"/>
    <w:pPr>
      <w:ind w:firstLine="830" w:firstLineChars="352"/>
    </w:pPr>
    <w:rPr>
      <w:rFonts w:ascii="仿宋_GB2312" w:eastAsia="仿宋_GB2312"/>
      <w:kern w:val="0"/>
      <w:sz w:val="32"/>
      <w:szCs w:val="20"/>
    </w:rPr>
  </w:style>
  <w:style w:type="paragraph" w:styleId="18">
    <w:name w:val="annotation subject"/>
    <w:basedOn w:val="14"/>
    <w:next w:val="1"/>
    <w:link w:val="44"/>
    <w:autoRedefine/>
    <w:qFormat/>
    <w:uiPriority w:val="99"/>
    <w:rPr>
      <w:b/>
      <w:bCs/>
    </w:rPr>
  </w:style>
  <w:style w:type="paragraph" w:styleId="19">
    <w:name w:val="List 2"/>
    <w:basedOn w:val="1"/>
    <w:autoRedefine/>
    <w:unhideWhenUsed/>
    <w:qFormat/>
    <w:uiPriority w:val="99"/>
    <w:pPr>
      <w:ind w:left="100" w:leftChars="200" w:hanging="200" w:hangingChars="200"/>
      <w:contextualSpacing/>
    </w:pPr>
  </w:style>
  <w:style w:type="paragraph" w:styleId="20">
    <w:name w:val="toc 3"/>
    <w:basedOn w:val="1"/>
    <w:next w:val="1"/>
    <w:autoRedefine/>
    <w:unhideWhenUsed/>
    <w:qFormat/>
    <w:uiPriority w:val="39"/>
    <w:pPr>
      <w:ind w:left="840" w:leftChars="400"/>
    </w:pPr>
  </w:style>
  <w:style w:type="paragraph" w:styleId="21">
    <w:name w:val="Plain Text"/>
    <w:basedOn w:val="1"/>
    <w:next w:val="6"/>
    <w:link w:val="54"/>
    <w:autoRedefine/>
    <w:qFormat/>
    <w:uiPriority w:val="0"/>
    <w:rPr>
      <w:rFonts w:ascii="宋体" w:hAnsi="Courier New"/>
      <w:kern w:val="0"/>
      <w:sz w:val="20"/>
      <w:szCs w:val="21"/>
    </w:rPr>
  </w:style>
  <w:style w:type="paragraph" w:styleId="22">
    <w:name w:val="Date"/>
    <w:basedOn w:val="1"/>
    <w:next w:val="1"/>
    <w:link w:val="55"/>
    <w:autoRedefine/>
    <w:unhideWhenUsed/>
    <w:qFormat/>
    <w:uiPriority w:val="99"/>
    <w:pPr>
      <w:ind w:left="100" w:leftChars="2500"/>
    </w:pPr>
  </w:style>
  <w:style w:type="paragraph" w:styleId="23">
    <w:name w:val="Balloon Text"/>
    <w:basedOn w:val="1"/>
    <w:autoRedefine/>
    <w:semiHidden/>
    <w:qFormat/>
    <w:uiPriority w:val="0"/>
    <w:rPr>
      <w:sz w:val="18"/>
      <w:szCs w:val="18"/>
    </w:rPr>
  </w:style>
  <w:style w:type="paragraph" w:styleId="24">
    <w:name w:val="footer"/>
    <w:basedOn w:val="1"/>
    <w:next w:val="1"/>
    <w:link w:val="56"/>
    <w:autoRedefine/>
    <w:unhideWhenUsed/>
    <w:qFormat/>
    <w:uiPriority w:val="99"/>
    <w:pPr>
      <w:tabs>
        <w:tab w:val="center" w:pos="4153"/>
        <w:tab w:val="right" w:pos="8306"/>
      </w:tabs>
      <w:snapToGrid w:val="0"/>
      <w:jc w:val="left"/>
    </w:pPr>
    <w:rPr>
      <w:kern w:val="0"/>
      <w:sz w:val="18"/>
      <w:szCs w:val="18"/>
    </w:rPr>
  </w:style>
  <w:style w:type="paragraph" w:styleId="25">
    <w:name w:val="header"/>
    <w:basedOn w:val="1"/>
    <w:link w:val="57"/>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autoRedefine/>
    <w:unhideWhenUsed/>
    <w:qFormat/>
    <w:uiPriority w:val="39"/>
  </w:style>
  <w:style w:type="paragraph" w:styleId="27">
    <w:name w:val="List"/>
    <w:basedOn w:val="1"/>
    <w:autoRedefine/>
    <w:unhideWhenUsed/>
    <w:qFormat/>
    <w:uiPriority w:val="99"/>
    <w:pPr>
      <w:ind w:left="200" w:hanging="200" w:hangingChars="200"/>
      <w:contextualSpacing/>
    </w:pPr>
  </w:style>
  <w:style w:type="paragraph" w:styleId="28">
    <w:name w:val="toc 2"/>
    <w:basedOn w:val="1"/>
    <w:next w:val="1"/>
    <w:autoRedefine/>
    <w:unhideWhenUsed/>
    <w:qFormat/>
    <w:uiPriority w:val="39"/>
    <w:pPr>
      <w:tabs>
        <w:tab w:val="right" w:leader="dot" w:pos="8296"/>
      </w:tabs>
      <w:ind w:left="420" w:leftChars="200"/>
    </w:pPr>
  </w:style>
  <w:style w:type="paragraph" w:styleId="29">
    <w:name w:val="Normal (Web)"/>
    <w:basedOn w:val="1"/>
    <w:autoRedefine/>
    <w:unhideWhenUsed/>
    <w:qFormat/>
    <w:uiPriority w:val="99"/>
    <w:rPr>
      <w:rFonts w:ascii="Calibri" w:hAnsi="Calibri"/>
      <w:kern w:val="0"/>
      <w:sz w:val="24"/>
    </w:rPr>
  </w:style>
  <w:style w:type="paragraph" w:styleId="30">
    <w:name w:val="Body Text First Indent"/>
    <w:basedOn w:val="16"/>
    <w:autoRedefine/>
    <w:qFormat/>
    <w:uiPriority w:val="0"/>
    <w:pPr>
      <w:ind w:firstLine="420" w:firstLineChars="100"/>
    </w:pPr>
  </w:style>
  <w:style w:type="paragraph" w:styleId="31">
    <w:name w:val="Body Text First Indent 2"/>
    <w:basedOn w:val="17"/>
    <w:link w:val="45"/>
    <w:autoRedefine/>
    <w:qFormat/>
    <w:uiPriority w:val="99"/>
    <w:pPr>
      <w:autoSpaceDE w:val="0"/>
      <w:autoSpaceDN w:val="0"/>
      <w:spacing w:after="120" w:line="360" w:lineRule="auto"/>
      <w:ind w:left="420" w:leftChars="200" w:firstLine="420" w:firstLineChars="200"/>
    </w:pPr>
    <w:rPr>
      <w:sz w:val="21"/>
      <w:szCs w:val="24"/>
    </w:rPr>
  </w:style>
  <w:style w:type="table" w:styleId="33">
    <w:name w:val="Table Grid"/>
    <w:basedOn w:val="32"/>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endnote reference"/>
    <w:autoRedefine/>
    <w:unhideWhenUsed/>
    <w:qFormat/>
    <w:uiPriority w:val="99"/>
    <w:rPr>
      <w:vertAlign w:val="superscript"/>
    </w:rPr>
  </w:style>
  <w:style w:type="character" w:styleId="36">
    <w:name w:val="page number"/>
    <w:autoRedefine/>
    <w:qFormat/>
    <w:uiPriority w:val="0"/>
  </w:style>
  <w:style w:type="character" w:styleId="37">
    <w:name w:val="FollowedHyperlink"/>
    <w:autoRedefine/>
    <w:unhideWhenUsed/>
    <w:qFormat/>
    <w:uiPriority w:val="99"/>
    <w:rPr>
      <w:color w:val="800080"/>
      <w:u w:val="single"/>
    </w:rPr>
  </w:style>
  <w:style w:type="character" w:styleId="38">
    <w:name w:val="Emphasis"/>
    <w:basedOn w:val="34"/>
    <w:autoRedefine/>
    <w:qFormat/>
    <w:uiPriority w:val="20"/>
    <w:rPr>
      <w:i/>
    </w:rPr>
  </w:style>
  <w:style w:type="character" w:styleId="39">
    <w:name w:val="Hyperlink"/>
    <w:autoRedefine/>
    <w:unhideWhenUsed/>
    <w:qFormat/>
    <w:uiPriority w:val="99"/>
    <w:rPr>
      <w:color w:val="0000FF"/>
      <w:u w:val="single"/>
    </w:rPr>
  </w:style>
  <w:style w:type="character" w:styleId="40">
    <w:name w:val="annotation reference"/>
    <w:autoRedefine/>
    <w:qFormat/>
    <w:uiPriority w:val="99"/>
    <w:rPr>
      <w:sz w:val="21"/>
      <w:szCs w:val="21"/>
    </w:rPr>
  </w:style>
  <w:style w:type="paragraph" w:customStyle="1" w:styleId="41">
    <w:name w:val="Heading2"/>
    <w:basedOn w:val="1"/>
    <w:next w:val="1"/>
    <w:autoRedefine/>
    <w:qFormat/>
    <w:uiPriority w:val="0"/>
    <w:pPr>
      <w:keepNext/>
      <w:keepLines/>
      <w:spacing w:before="260" w:after="260" w:line="416" w:lineRule="auto"/>
    </w:pPr>
    <w:rPr>
      <w:rFonts w:ascii="Arial" w:hAnsi="Arial" w:eastAsia="黑体" w:cs="Times New Roman"/>
      <w:b/>
      <w:bCs/>
      <w:kern w:val="0"/>
      <w:sz w:val="32"/>
      <w:szCs w:val="32"/>
    </w:rPr>
  </w:style>
  <w:style w:type="character" w:customStyle="1" w:styleId="42">
    <w:name w:val="正文文本缩进 字符"/>
    <w:link w:val="17"/>
    <w:autoRedefine/>
    <w:qFormat/>
    <w:uiPriority w:val="99"/>
    <w:rPr>
      <w:rFonts w:ascii="仿宋_GB2312" w:hAnsi="Times New Roman" w:eastAsia="仿宋_GB2312" w:cs="Times New Roman"/>
      <w:sz w:val="32"/>
      <w:szCs w:val="20"/>
    </w:rPr>
  </w:style>
  <w:style w:type="character" w:customStyle="1" w:styleId="43">
    <w:name w:val="批注文字 字符2"/>
    <w:link w:val="14"/>
    <w:autoRedefine/>
    <w:qFormat/>
    <w:uiPriority w:val="99"/>
    <w:rPr>
      <w:rFonts w:ascii="Times New Roman" w:hAnsi="Times New Roman"/>
      <w:kern w:val="2"/>
      <w:sz w:val="21"/>
      <w:szCs w:val="24"/>
    </w:rPr>
  </w:style>
  <w:style w:type="character" w:customStyle="1" w:styleId="44">
    <w:name w:val="批注主题 字符"/>
    <w:link w:val="18"/>
    <w:autoRedefine/>
    <w:qFormat/>
    <w:uiPriority w:val="99"/>
    <w:rPr>
      <w:rFonts w:ascii="Times New Roman" w:hAnsi="Times New Roman"/>
      <w:b/>
      <w:bCs/>
      <w:kern w:val="2"/>
      <w:sz w:val="21"/>
      <w:szCs w:val="24"/>
    </w:rPr>
  </w:style>
  <w:style w:type="character" w:customStyle="1" w:styleId="45">
    <w:name w:val="正文首行缩进 2 字符"/>
    <w:link w:val="31"/>
    <w:autoRedefine/>
    <w:qFormat/>
    <w:uiPriority w:val="99"/>
    <w:rPr>
      <w:kern w:val="2"/>
      <w:sz w:val="21"/>
      <w:szCs w:val="24"/>
    </w:rPr>
  </w:style>
  <w:style w:type="character" w:customStyle="1" w:styleId="46">
    <w:name w:val="标题 1 字符"/>
    <w:link w:val="3"/>
    <w:autoRedefine/>
    <w:qFormat/>
    <w:uiPriority w:val="99"/>
    <w:rPr>
      <w:b/>
      <w:bCs/>
      <w:kern w:val="44"/>
      <w:sz w:val="44"/>
      <w:szCs w:val="44"/>
    </w:rPr>
  </w:style>
  <w:style w:type="character" w:customStyle="1" w:styleId="47">
    <w:name w:val="标题 2 字符"/>
    <w:link w:val="4"/>
    <w:autoRedefine/>
    <w:qFormat/>
    <w:uiPriority w:val="9"/>
    <w:rPr>
      <w:rFonts w:ascii="Cambria" w:hAnsi="Cambria" w:eastAsia="宋体" w:cs="Times New Roman"/>
      <w:b/>
      <w:bCs/>
      <w:kern w:val="2"/>
      <w:sz w:val="32"/>
      <w:szCs w:val="32"/>
    </w:rPr>
  </w:style>
  <w:style w:type="character" w:customStyle="1" w:styleId="48">
    <w:name w:val="标题 3 字符"/>
    <w:link w:val="5"/>
    <w:autoRedefine/>
    <w:qFormat/>
    <w:uiPriority w:val="99"/>
    <w:rPr>
      <w:b/>
      <w:bCs/>
      <w:kern w:val="2"/>
      <w:sz w:val="32"/>
      <w:szCs w:val="32"/>
    </w:rPr>
  </w:style>
  <w:style w:type="character" w:customStyle="1" w:styleId="49">
    <w:name w:val="标题 4 字符"/>
    <w:link w:val="6"/>
    <w:autoRedefine/>
    <w:qFormat/>
    <w:uiPriority w:val="9"/>
    <w:rPr>
      <w:rFonts w:ascii="Arial" w:hAnsi="Arial" w:eastAsia="黑体"/>
      <w:b/>
      <w:kern w:val="2"/>
      <w:sz w:val="28"/>
      <w:szCs w:val="24"/>
    </w:rPr>
  </w:style>
  <w:style w:type="character" w:customStyle="1" w:styleId="50">
    <w:name w:val="标题 5 字符"/>
    <w:link w:val="7"/>
    <w:autoRedefine/>
    <w:qFormat/>
    <w:uiPriority w:val="9"/>
    <w:rPr>
      <w:rFonts w:ascii="Times New Roman" w:hAnsi="Times New Roman"/>
      <w:b/>
      <w:bCs/>
      <w:kern w:val="2"/>
      <w:sz w:val="28"/>
      <w:szCs w:val="28"/>
    </w:rPr>
  </w:style>
  <w:style w:type="character" w:customStyle="1" w:styleId="51">
    <w:name w:val="标题 8 字符"/>
    <w:link w:val="9"/>
    <w:autoRedefine/>
    <w:semiHidden/>
    <w:qFormat/>
    <w:uiPriority w:val="9"/>
    <w:rPr>
      <w:rFonts w:ascii="等线 Light" w:hAnsi="等线 Light" w:eastAsia="等线 Light" w:cs="Times New Roman"/>
      <w:kern w:val="2"/>
      <w:sz w:val="24"/>
      <w:szCs w:val="24"/>
    </w:rPr>
  </w:style>
  <w:style w:type="character" w:customStyle="1" w:styleId="52">
    <w:name w:val="正文文本 3 字符"/>
    <w:link w:val="15"/>
    <w:autoRedefine/>
    <w:semiHidden/>
    <w:qFormat/>
    <w:uiPriority w:val="99"/>
    <w:rPr>
      <w:kern w:val="2"/>
      <w:sz w:val="16"/>
      <w:szCs w:val="16"/>
    </w:rPr>
  </w:style>
  <w:style w:type="character" w:customStyle="1" w:styleId="53">
    <w:name w:val="正文文本 字符1"/>
    <w:link w:val="16"/>
    <w:autoRedefine/>
    <w:qFormat/>
    <w:uiPriority w:val="0"/>
    <w:rPr>
      <w:rFonts w:ascii="Times New Roman" w:hAnsi="Times New Roman"/>
      <w:kern w:val="2"/>
      <w:sz w:val="21"/>
      <w:szCs w:val="24"/>
    </w:rPr>
  </w:style>
  <w:style w:type="character" w:customStyle="1" w:styleId="54">
    <w:name w:val="纯文本 字符3"/>
    <w:link w:val="21"/>
    <w:autoRedefine/>
    <w:qFormat/>
    <w:uiPriority w:val="0"/>
    <w:rPr>
      <w:rFonts w:ascii="宋体" w:hAnsi="Courier New" w:eastAsia="宋体" w:cs="Courier New"/>
      <w:szCs w:val="21"/>
    </w:rPr>
  </w:style>
  <w:style w:type="character" w:customStyle="1" w:styleId="55">
    <w:name w:val="日期 字符"/>
    <w:link w:val="22"/>
    <w:autoRedefine/>
    <w:semiHidden/>
    <w:qFormat/>
    <w:uiPriority w:val="99"/>
    <w:rPr>
      <w:rFonts w:ascii="Times New Roman" w:hAnsi="Times New Roman"/>
      <w:kern w:val="2"/>
      <w:sz w:val="21"/>
      <w:szCs w:val="24"/>
    </w:rPr>
  </w:style>
  <w:style w:type="character" w:customStyle="1" w:styleId="56">
    <w:name w:val="页脚 字符"/>
    <w:link w:val="24"/>
    <w:autoRedefine/>
    <w:qFormat/>
    <w:uiPriority w:val="99"/>
    <w:rPr>
      <w:sz w:val="18"/>
      <w:szCs w:val="18"/>
    </w:rPr>
  </w:style>
  <w:style w:type="character" w:customStyle="1" w:styleId="57">
    <w:name w:val="页眉 字符"/>
    <w:link w:val="25"/>
    <w:autoRedefine/>
    <w:qFormat/>
    <w:uiPriority w:val="99"/>
    <w:rPr>
      <w:sz w:val="18"/>
      <w:szCs w:val="18"/>
    </w:rPr>
  </w:style>
  <w:style w:type="character" w:customStyle="1" w:styleId="58">
    <w:name w:val="textcontents"/>
    <w:autoRedefine/>
    <w:qFormat/>
    <w:uiPriority w:val="0"/>
  </w:style>
  <w:style w:type="character" w:customStyle="1" w:styleId="59">
    <w:name w:val="标题 2 Char"/>
    <w:autoRedefine/>
    <w:qFormat/>
    <w:uiPriority w:val="99"/>
    <w:rPr>
      <w:rFonts w:ascii="Cambria" w:hAnsi="Cambria" w:eastAsia="宋体" w:cs="Times New Roman"/>
      <w:b/>
      <w:bCs/>
      <w:kern w:val="2"/>
      <w:sz w:val="32"/>
      <w:szCs w:val="32"/>
    </w:rPr>
  </w:style>
  <w:style w:type="character" w:customStyle="1" w:styleId="60">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1">
    <w:name w:val="纯文本 字符2"/>
    <w:autoRedefine/>
    <w:qFormat/>
    <w:uiPriority w:val="0"/>
    <w:rPr>
      <w:rFonts w:ascii="宋体" w:hAnsi="Courier New" w:eastAsia="宋体" w:cs="Courier New"/>
      <w:szCs w:val="21"/>
    </w:rPr>
  </w:style>
  <w:style w:type="character" w:customStyle="1" w:styleId="62">
    <w:name w:val="正文文本 字符"/>
    <w:autoRedefine/>
    <w:qFormat/>
    <w:uiPriority w:val="0"/>
    <w:rPr>
      <w:rFonts w:ascii="Times New Roman" w:hAnsi="Times New Roman"/>
      <w:kern w:val="2"/>
      <w:sz w:val="21"/>
      <w:szCs w:val="24"/>
    </w:rPr>
  </w:style>
  <w:style w:type="character" w:customStyle="1" w:styleId="63">
    <w:name w:val="批注文字 字符1"/>
    <w:autoRedefine/>
    <w:qFormat/>
    <w:uiPriority w:val="0"/>
    <w:rPr>
      <w:rFonts w:ascii="Times New Roman" w:hAnsi="Times New Roman"/>
      <w:kern w:val="2"/>
      <w:sz w:val="21"/>
      <w:szCs w:val="24"/>
    </w:rPr>
  </w:style>
  <w:style w:type="character" w:customStyle="1" w:styleId="64">
    <w:name w:val="正文文本 Char"/>
    <w:autoRedefine/>
    <w:qFormat/>
    <w:uiPriority w:val="99"/>
    <w:rPr>
      <w:rFonts w:ascii="Times New Roman" w:hAnsi="Times New Roman"/>
      <w:kern w:val="2"/>
      <w:sz w:val="21"/>
      <w:szCs w:val="24"/>
    </w:rPr>
  </w:style>
  <w:style w:type="character" w:customStyle="1" w:styleId="65">
    <w:name w:val="纯文本 字符"/>
    <w:autoRedefine/>
    <w:qFormat/>
    <w:uiPriority w:val="0"/>
    <w:rPr>
      <w:rFonts w:ascii="宋体" w:hAnsi="Courier New" w:eastAsia="宋体" w:cs="Courier New"/>
      <w:szCs w:val="21"/>
    </w:rPr>
  </w:style>
  <w:style w:type="character" w:customStyle="1" w:styleId="66">
    <w:name w:val="标题 1 字符1"/>
    <w:autoRedefine/>
    <w:qFormat/>
    <w:uiPriority w:val="0"/>
    <w:rPr>
      <w:b/>
      <w:bCs/>
      <w:kern w:val="44"/>
      <w:sz w:val="44"/>
      <w:szCs w:val="44"/>
    </w:rPr>
  </w:style>
  <w:style w:type="character" w:customStyle="1" w:styleId="67">
    <w:name w:val="正文2 Char Char"/>
    <w:link w:val="68"/>
    <w:autoRedefine/>
    <w:qFormat/>
    <w:uiPriority w:val="0"/>
    <w:rPr>
      <w:sz w:val="24"/>
    </w:rPr>
  </w:style>
  <w:style w:type="paragraph" w:customStyle="1" w:styleId="68">
    <w:name w:val="正文2"/>
    <w:basedOn w:val="1"/>
    <w:link w:val="67"/>
    <w:autoRedefine/>
    <w:qFormat/>
    <w:uiPriority w:val="0"/>
    <w:pPr>
      <w:adjustRightInd w:val="0"/>
      <w:spacing w:before="156" w:line="360" w:lineRule="auto"/>
      <w:ind w:firstLine="510" w:firstLineChars="200"/>
    </w:pPr>
    <w:rPr>
      <w:kern w:val="0"/>
      <w:sz w:val="24"/>
      <w:szCs w:val="20"/>
    </w:rPr>
  </w:style>
  <w:style w:type="character" w:customStyle="1" w:styleId="69">
    <w:name w:val="标题 8 Char"/>
    <w:autoRedefine/>
    <w:qFormat/>
    <w:uiPriority w:val="0"/>
    <w:rPr>
      <w:rFonts w:ascii="Arial" w:hAnsi="Arial" w:eastAsia="黑体"/>
      <w:kern w:val="2"/>
      <w:sz w:val="24"/>
      <w:szCs w:val="24"/>
    </w:rPr>
  </w:style>
  <w:style w:type="character" w:customStyle="1" w:styleId="70">
    <w:name w:val="纯文本 Char"/>
    <w:autoRedefine/>
    <w:qFormat/>
    <w:uiPriority w:val="99"/>
    <w:rPr>
      <w:rFonts w:ascii="宋体" w:hAnsi="Courier New" w:eastAsia="宋体" w:cs="Courier New"/>
      <w:szCs w:val="21"/>
    </w:rPr>
  </w:style>
  <w:style w:type="character" w:customStyle="1" w:styleId="71">
    <w:name w:val="批注文字 Char"/>
    <w:autoRedefine/>
    <w:qFormat/>
    <w:uiPriority w:val="99"/>
    <w:rPr>
      <w:rFonts w:ascii="Times New Roman" w:hAnsi="Times New Roman"/>
      <w:kern w:val="2"/>
      <w:sz w:val="21"/>
      <w:szCs w:val="24"/>
    </w:rPr>
  </w:style>
  <w:style w:type="character" w:customStyle="1" w:styleId="72">
    <w:name w:val="纯文本 字符1"/>
    <w:autoRedefine/>
    <w:qFormat/>
    <w:uiPriority w:val="0"/>
    <w:rPr>
      <w:rFonts w:ascii="宋体" w:hAnsi="Courier New"/>
    </w:rPr>
  </w:style>
  <w:style w:type="character" w:customStyle="1" w:styleId="73">
    <w:name w:val="未处理的提及"/>
    <w:autoRedefine/>
    <w:unhideWhenUsed/>
    <w:qFormat/>
    <w:uiPriority w:val="99"/>
    <w:rPr>
      <w:color w:val="605E5C"/>
      <w:shd w:val="clear" w:color="auto" w:fill="E1DFDD"/>
    </w:rPr>
  </w:style>
  <w:style w:type="character" w:customStyle="1" w:styleId="74">
    <w:name w:val="apple-style-span"/>
    <w:autoRedefine/>
    <w:qFormat/>
    <w:uiPriority w:val="0"/>
  </w:style>
  <w:style w:type="character" w:customStyle="1" w:styleId="75">
    <w:name w:val="批注文字 字符"/>
    <w:autoRedefine/>
    <w:qFormat/>
    <w:uiPriority w:val="0"/>
    <w:rPr>
      <w:rFonts w:ascii="Times New Roman" w:hAnsi="Times New Roman"/>
      <w:kern w:val="2"/>
      <w:sz w:val="21"/>
      <w:szCs w:val="24"/>
    </w:rPr>
  </w:style>
  <w:style w:type="paragraph" w:customStyle="1" w:styleId="76">
    <w:name w:val="正文 A"/>
    <w:autoRedefine/>
    <w:qFormat/>
    <w:uiPriority w:val="99"/>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77">
    <w:name w:val="表头"/>
    <w:basedOn w:val="1"/>
    <w:autoRedefine/>
    <w:qFormat/>
    <w:uiPriority w:val="0"/>
    <w:pPr>
      <w:widowControl/>
      <w:jc w:val="center"/>
    </w:pPr>
    <w:rPr>
      <w:rFonts w:ascii="仿宋_GB2312" w:hAnsi="宋体" w:eastAsia="仿宋_GB2312" w:cs="等线"/>
      <w:b/>
      <w:bCs/>
      <w:kern w:val="0"/>
      <w:sz w:val="24"/>
    </w:rPr>
  </w:style>
  <w:style w:type="paragraph" w:customStyle="1" w:styleId="78">
    <w:name w:val="TOC Heading"/>
    <w:basedOn w:val="3"/>
    <w:next w:val="1"/>
    <w:autoRedefine/>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79">
    <w:name w:val="_Style 3"/>
    <w:next w:val="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81">
    <w:name w:val="Char Char Char Char"/>
    <w:basedOn w:val="1"/>
    <w:autoRedefine/>
    <w:qFormat/>
    <w:uiPriority w:val="0"/>
    <w:pPr>
      <w:widowControl/>
      <w:spacing w:after="160" w:line="240" w:lineRule="exact"/>
      <w:jc w:val="left"/>
    </w:pPr>
  </w:style>
  <w:style w:type="paragraph" w:customStyle="1" w:styleId="82">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83">
    <w:name w:val="列出段落3"/>
    <w:basedOn w:val="1"/>
    <w:autoRedefine/>
    <w:unhideWhenUsed/>
    <w:qFormat/>
    <w:uiPriority w:val="99"/>
    <w:pPr>
      <w:ind w:firstLine="420"/>
    </w:pPr>
  </w:style>
  <w:style w:type="paragraph" w:customStyle="1" w:styleId="84">
    <w:name w:val="Table Paragraph"/>
    <w:basedOn w:val="1"/>
    <w:autoRedefine/>
    <w:qFormat/>
    <w:uiPriority w:val="1"/>
    <w:pPr>
      <w:jc w:val="left"/>
    </w:pPr>
    <w:rPr>
      <w:rFonts w:ascii="Calibri" w:hAnsi="Calibri"/>
      <w:kern w:val="0"/>
      <w:sz w:val="22"/>
      <w:szCs w:val="22"/>
      <w:lang w:eastAsia="en-US"/>
    </w:rPr>
  </w:style>
  <w:style w:type="paragraph" w:customStyle="1" w:styleId="85">
    <w:name w:val="列出段落2"/>
    <w:basedOn w:val="1"/>
    <w:autoRedefine/>
    <w:unhideWhenUsed/>
    <w:qFormat/>
    <w:uiPriority w:val="99"/>
    <w:pPr>
      <w:spacing w:line="360" w:lineRule="auto"/>
      <w:ind w:firstLine="420" w:firstLineChars="200"/>
    </w:pPr>
    <w:rPr>
      <w:rFonts w:ascii="Calibri" w:hAnsi="Calibri" w:eastAsia="仿宋"/>
      <w:sz w:val="28"/>
      <w:szCs w:val="22"/>
    </w:rPr>
  </w:style>
  <w:style w:type="paragraph" w:customStyle="1" w:styleId="86">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7">
    <w:name w:val="表格内容"/>
    <w:basedOn w:val="1"/>
    <w:autoRedefine/>
    <w:qFormat/>
    <w:uiPriority w:val="0"/>
    <w:pPr>
      <w:widowControl/>
      <w:jc w:val="left"/>
    </w:pPr>
    <w:rPr>
      <w:rFonts w:ascii="仿宋_GB2312" w:hAnsi="宋体" w:cs="等线"/>
      <w:kern w:val="0"/>
      <w:sz w:val="24"/>
    </w:rPr>
  </w:style>
  <w:style w:type="paragraph" w:styleId="88">
    <w:name w:val="List Paragraph"/>
    <w:basedOn w:val="1"/>
    <w:autoRedefine/>
    <w:qFormat/>
    <w:uiPriority w:val="34"/>
    <w:pPr>
      <w:ind w:firstLine="420" w:firstLineChars="200"/>
    </w:pPr>
  </w:style>
  <w:style w:type="paragraph" w:customStyle="1" w:styleId="89">
    <w:name w:val="默认段落字体 Para Char Char Char Char Char Char Char Char Char1 Char Char Char Char"/>
    <w:basedOn w:val="1"/>
    <w:autoRedefine/>
    <w:qFormat/>
    <w:uiPriority w:val="0"/>
    <w:rPr>
      <w:rFonts w:ascii="Tahoma" w:hAnsi="Tahoma"/>
      <w:sz w:val="24"/>
      <w:szCs w:val="20"/>
    </w:rPr>
  </w:style>
  <w:style w:type="paragraph" w:customStyle="1" w:styleId="90">
    <w:name w:val="正文缩进1"/>
    <w:basedOn w:val="1"/>
    <w:next w:val="17"/>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91">
    <w:name w:val="正文-2字符首行缩进"/>
    <w:basedOn w:val="1"/>
    <w:autoRedefine/>
    <w:qFormat/>
    <w:uiPriority w:val="0"/>
    <w:pPr>
      <w:spacing w:line="360" w:lineRule="auto"/>
      <w:ind w:firstLine="200" w:firstLineChars="200"/>
    </w:pPr>
    <w:rPr>
      <w:rFonts w:ascii="仿宋_GB2312" w:hAnsi="宋体" w:eastAsia="仿宋_GB2312"/>
      <w:sz w:val="28"/>
      <w:szCs w:val="22"/>
    </w:rPr>
  </w:style>
  <w:style w:type="paragraph" w:customStyle="1" w:styleId="92">
    <w:name w:val="样式1"/>
    <w:basedOn w:val="1"/>
    <w:autoRedefine/>
    <w:qFormat/>
    <w:uiPriority w:val="0"/>
    <w:pPr>
      <w:numPr>
        <w:ilvl w:val="2"/>
        <w:numId w:val="1"/>
      </w:numPr>
    </w:pPr>
  </w:style>
  <w:style w:type="paragraph" w:customStyle="1" w:styleId="93">
    <w:name w:val="样式 0正文 + 首行缩进:  2 字符1"/>
    <w:autoRedefine/>
    <w:qFormat/>
    <w:uiPriority w:val="99"/>
    <w:pPr>
      <w:widowControl w:val="0"/>
      <w:spacing w:line="360" w:lineRule="auto"/>
      <w:ind w:firstLine="200" w:firstLineChars="200"/>
      <w:jc w:val="both"/>
    </w:pPr>
    <w:rPr>
      <w:rFonts w:ascii="Times New Roman" w:hAnsi="Times New Roman" w:eastAsia="宋体" w:cs="Times New Roman"/>
      <w:kern w:val="2"/>
      <w:sz w:val="21"/>
      <w:lang w:val="en-US" w:eastAsia="zh-CN" w:bidi="ar-SA"/>
    </w:rPr>
  </w:style>
  <w:style w:type="paragraph" w:customStyle="1" w:styleId="94">
    <w:name w:val="正文首行缩进两字"/>
    <w:autoRedefine/>
    <w:qFormat/>
    <w:uiPriority w:val="0"/>
    <w:pPr>
      <w:widowControl w:val="0"/>
      <w:spacing w:line="360" w:lineRule="auto"/>
      <w:ind w:right="245"/>
      <w:jc w:val="center"/>
    </w:pPr>
    <w:rPr>
      <w:rFonts w:ascii="Arial" w:hAnsi="Arial" w:eastAsia="宋体" w:cs="Arial"/>
      <w:bCs/>
      <w:sz w:val="24"/>
      <w:szCs w:val="24"/>
      <w:lang w:val="en-US" w:eastAsia="zh-CN" w:bidi="ar-SA"/>
    </w:rPr>
  </w:style>
  <w:style w:type="paragraph" w:customStyle="1" w:styleId="95">
    <w:name w:val="Revision"/>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96">
    <w:name w:val="列出段落1"/>
    <w:basedOn w:val="1"/>
    <w:autoRedefine/>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75</Pages>
  <Words>9698</Words>
  <Characters>55283</Characters>
  <Lines>460</Lines>
  <Paragraphs>129</Paragraphs>
  <TotalTime>39</TotalTime>
  <ScaleCrop>false</ScaleCrop>
  <LinksUpToDate>false</LinksUpToDate>
  <CharactersWithSpaces>64852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2023-11-01T08:20:00Z</dcterms:created>
  <dc:creator>唐冰</dc:creator>
  <cp:lastModifiedBy>科联韦毅锋</cp:lastModifiedBy>
  <cp:lastPrinted>2021-08-26T02:26:00Z</cp:lastPrinted>
  <dcterms:modified xsi:type="dcterms:W3CDTF">2024-05-16T06:36:09Z</dcterms:modified>
  <dc:title>竞争性谈判文件规范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A626084CFE5D466EB191BEA984FBA992_13</vt:lpwstr>
  </property>
</Properties>
</file>