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5" w:beforeLines="50" w:line="360" w:lineRule="auto"/>
        <w:jc w:val="center"/>
        <w:rPr>
          <w:rFonts w:ascii="宋体" w:hAnsi="宋体" w:cs="宋体"/>
          <w:color w:val="auto"/>
          <w:sz w:val="52"/>
          <w:szCs w:val="52"/>
          <w:highlight w:val="none"/>
        </w:rPr>
      </w:pPr>
    </w:p>
    <w:p>
      <w:pPr>
        <w:spacing w:before="165" w:beforeLines="50" w:line="360" w:lineRule="auto"/>
        <w:jc w:val="center"/>
        <w:rPr>
          <w:rFonts w:ascii="宋体" w:hAnsi="宋体" w:cs="宋体"/>
          <w:color w:val="auto"/>
          <w:sz w:val="72"/>
          <w:szCs w:val="72"/>
          <w:highlight w:val="none"/>
        </w:rPr>
      </w:pPr>
      <w:r>
        <w:rPr>
          <w:rFonts w:hint="eastAsia" w:ascii="宋体" w:hAnsi="宋体" w:cs="宋体"/>
          <w:color w:val="auto"/>
          <w:sz w:val="72"/>
          <w:szCs w:val="72"/>
          <w:highlight w:val="none"/>
        </w:rPr>
        <w:t>广西科联招标中心有限公司</w:t>
      </w:r>
    </w:p>
    <w:p>
      <w:pPr>
        <w:spacing w:before="165" w:beforeLines="50" w:line="360" w:lineRule="auto"/>
        <w:jc w:val="center"/>
        <w:rPr>
          <w:rFonts w:ascii="宋体" w:hAnsi="宋体" w:cs="宋体"/>
          <w:b/>
          <w:color w:val="auto"/>
          <w:sz w:val="48"/>
          <w:szCs w:val="48"/>
          <w:highlight w:val="none"/>
        </w:rPr>
      </w:pPr>
    </w:p>
    <w:p>
      <w:pPr>
        <w:spacing w:before="165" w:beforeLines="50" w:line="360" w:lineRule="auto"/>
        <w:jc w:val="center"/>
        <w:rPr>
          <w:rFonts w:ascii="宋体" w:hAnsi="宋体" w:cs="宋体"/>
          <w:b/>
          <w:color w:val="auto"/>
          <w:sz w:val="48"/>
          <w:szCs w:val="48"/>
          <w:highlight w:val="none"/>
        </w:rPr>
      </w:pPr>
    </w:p>
    <w:p>
      <w:pPr>
        <w:snapToGrid w:val="0"/>
        <w:spacing w:before="165" w:beforeLines="50" w:line="360" w:lineRule="auto"/>
        <w:jc w:val="center"/>
        <w:rPr>
          <w:rFonts w:ascii="宋体" w:hAnsi="宋体" w:cs="宋体"/>
          <w:color w:val="auto"/>
          <w:sz w:val="72"/>
          <w:szCs w:val="72"/>
          <w:highlight w:val="none"/>
        </w:rPr>
      </w:pPr>
      <w:r>
        <w:rPr>
          <w:rFonts w:hint="eastAsia" w:ascii="宋体" w:hAnsi="宋体" w:cs="宋体"/>
          <w:color w:val="auto"/>
          <w:sz w:val="72"/>
          <w:szCs w:val="72"/>
          <w:highlight w:val="none"/>
        </w:rPr>
        <w:t>招 标 文 件</w:t>
      </w:r>
    </w:p>
    <w:p>
      <w:pPr>
        <w:snapToGrid w:val="0"/>
        <w:spacing w:before="165" w:beforeLines="50" w:line="360" w:lineRule="auto"/>
        <w:jc w:val="center"/>
        <w:rPr>
          <w:rFonts w:ascii="宋体" w:hAnsi="宋体" w:cs="宋体"/>
          <w:color w:val="auto"/>
          <w:sz w:val="30"/>
          <w:szCs w:val="72"/>
          <w:highlight w:val="none"/>
        </w:rPr>
      </w:pPr>
      <w:r>
        <w:rPr>
          <w:rFonts w:hint="eastAsia" w:ascii="宋体" w:hAnsi="宋体" w:cs="宋体"/>
          <w:color w:val="auto"/>
          <w:sz w:val="30"/>
          <w:szCs w:val="72"/>
          <w:highlight w:val="none"/>
        </w:rPr>
        <w:t>（全流程电子化评标）</w:t>
      </w:r>
    </w:p>
    <w:p>
      <w:pPr>
        <w:snapToGrid w:val="0"/>
        <w:spacing w:before="165" w:beforeLines="50" w:line="360" w:lineRule="auto"/>
        <w:rPr>
          <w:rFonts w:ascii="宋体" w:hAnsi="宋体" w:cs="宋体"/>
          <w:color w:val="auto"/>
          <w:sz w:val="30"/>
          <w:szCs w:val="72"/>
          <w:highlight w:val="none"/>
        </w:rPr>
      </w:pPr>
    </w:p>
    <w:p>
      <w:pPr>
        <w:pStyle w:val="15"/>
        <w:snapToGrid w:val="0"/>
        <w:spacing w:before="50" w:after="120" w:line="360" w:lineRule="auto"/>
        <w:jc w:val="center"/>
        <w:rPr>
          <w:rFonts w:hint="eastAsia" w:hAnsi="宋体" w:eastAsia="宋体" w:cs="宋体"/>
          <w:b/>
          <w:bCs/>
          <w:color w:val="auto"/>
          <w:sz w:val="30"/>
          <w:szCs w:val="30"/>
          <w:highlight w:val="none"/>
          <w:lang w:eastAsia="zh-CN"/>
        </w:rPr>
      </w:pPr>
      <w:r>
        <w:rPr>
          <w:rFonts w:hint="eastAsia" w:hAnsi="宋体" w:cs="宋体"/>
          <w:b/>
          <w:bCs/>
          <w:color w:val="auto"/>
          <w:sz w:val="30"/>
          <w:szCs w:val="30"/>
          <w:highlight w:val="none"/>
        </w:rPr>
        <w:t>项目</w:t>
      </w:r>
      <w:r>
        <w:rPr>
          <w:rFonts w:hint="eastAsia" w:hAnsi="宋体" w:cs="宋体"/>
          <w:b/>
          <w:bCs/>
          <w:color w:val="auto"/>
          <w:w w:val="95"/>
          <w:sz w:val="30"/>
          <w:szCs w:val="30"/>
          <w:highlight w:val="none"/>
        </w:rPr>
        <w:t>名称</w:t>
      </w:r>
      <w:r>
        <w:rPr>
          <w:rFonts w:hint="eastAsia" w:hAnsi="宋体" w:cs="宋体"/>
          <w:b/>
          <w:bCs/>
          <w:color w:val="auto"/>
          <w:sz w:val="30"/>
          <w:szCs w:val="30"/>
          <w:highlight w:val="none"/>
        </w:rPr>
        <w:t>：</w:t>
      </w:r>
      <w:r>
        <w:rPr>
          <w:rFonts w:hint="eastAsia" w:hAnsi="宋体" w:cs="宋体"/>
          <w:b/>
          <w:bCs/>
          <w:color w:val="auto"/>
          <w:spacing w:val="-17"/>
          <w:sz w:val="30"/>
          <w:szCs w:val="30"/>
          <w:highlight w:val="none"/>
          <w:lang w:eastAsia="zh-CN"/>
        </w:rPr>
        <w:t>口腔医学院口腔数字化虚拟仿真培训系统、蛋白自动纯化设备等采购</w:t>
      </w:r>
    </w:p>
    <w:p>
      <w:pPr>
        <w:snapToGrid w:val="0"/>
        <w:spacing w:before="165" w:beforeLines="50" w:line="360" w:lineRule="auto"/>
        <w:jc w:val="center"/>
        <w:rPr>
          <w:rFonts w:hint="eastAsia" w:ascii="宋体" w:hAnsi="宋体" w:eastAsia="宋体" w:cs="宋体"/>
          <w:b/>
          <w:color w:val="auto"/>
          <w:sz w:val="30"/>
          <w:szCs w:val="48"/>
          <w:highlight w:val="none"/>
          <w:lang w:eastAsia="zh-CN"/>
        </w:rPr>
      </w:pPr>
      <w:r>
        <w:rPr>
          <w:rFonts w:hint="eastAsia" w:ascii="宋体" w:hAnsi="宋体" w:cs="宋体"/>
          <w:b/>
          <w:bCs/>
          <w:color w:val="auto"/>
          <w:w w:val="95"/>
          <w:sz w:val="30"/>
          <w:szCs w:val="30"/>
          <w:highlight w:val="none"/>
        </w:rPr>
        <w:t>项目</w:t>
      </w:r>
      <w:r>
        <w:rPr>
          <w:rFonts w:hint="eastAsia" w:ascii="宋体" w:hAnsi="宋体" w:cs="宋体"/>
          <w:b/>
          <w:bCs/>
          <w:color w:val="auto"/>
          <w:sz w:val="30"/>
          <w:szCs w:val="30"/>
          <w:highlight w:val="none"/>
        </w:rPr>
        <w:t>编号</w:t>
      </w:r>
      <w:r>
        <w:rPr>
          <w:rFonts w:hint="eastAsia" w:ascii="宋体" w:hAnsi="宋体" w:cs="宋体"/>
          <w:b/>
          <w:bCs/>
          <w:color w:val="auto"/>
          <w:w w:val="95"/>
          <w:sz w:val="30"/>
          <w:szCs w:val="30"/>
          <w:highlight w:val="none"/>
        </w:rPr>
        <w:t>：</w:t>
      </w:r>
      <w:r>
        <w:rPr>
          <w:rFonts w:hint="eastAsia" w:ascii="宋体" w:hAnsi="宋体" w:cs="宋体"/>
          <w:b/>
          <w:bCs/>
          <w:color w:val="auto"/>
          <w:w w:val="95"/>
          <w:sz w:val="30"/>
          <w:szCs w:val="30"/>
          <w:highlight w:val="none"/>
          <w:lang w:eastAsia="zh-CN"/>
        </w:rPr>
        <w:t>GXZC2024-G1-002738-KLZB</w:t>
      </w:r>
    </w:p>
    <w:p>
      <w:pPr>
        <w:pStyle w:val="15"/>
        <w:snapToGrid w:val="0"/>
        <w:spacing w:before="50" w:after="120" w:line="360" w:lineRule="auto"/>
        <w:ind w:firstLine="1125" w:firstLineChars="393"/>
        <w:rPr>
          <w:rFonts w:hAnsi="宋体" w:cs="宋体"/>
          <w:b/>
          <w:bCs/>
          <w:color w:val="auto"/>
          <w:w w:val="95"/>
          <w:sz w:val="30"/>
          <w:szCs w:val="30"/>
          <w:highlight w:val="none"/>
        </w:rPr>
      </w:pPr>
    </w:p>
    <w:p>
      <w:pPr>
        <w:pStyle w:val="15"/>
        <w:snapToGrid w:val="0"/>
        <w:spacing w:before="50" w:after="120" w:line="360" w:lineRule="auto"/>
        <w:ind w:firstLine="1125" w:firstLineChars="393"/>
        <w:rPr>
          <w:rFonts w:hAnsi="宋体" w:cs="宋体"/>
          <w:b/>
          <w:bCs/>
          <w:color w:val="auto"/>
          <w:w w:val="95"/>
          <w:sz w:val="30"/>
          <w:szCs w:val="30"/>
          <w:highlight w:val="none"/>
        </w:rPr>
      </w:pPr>
    </w:p>
    <w:p>
      <w:pPr>
        <w:pStyle w:val="15"/>
        <w:snapToGrid w:val="0"/>
        <w:spacing w:before="50" w:after="120" w:line="360" w:lineRule="auto"/>
        <w:ind w:firstLine="1125" w:firstLineChars="393"/>
        <w:rPr>
          <w:rFonts w:hAnsi="宋体" w:cs="宋体"/>
          <w:b/>
          <w:bCs/>
          <w:color w:val="auto"/>
          <w:w w:val="95"/>
          <w:sz w:val="30"/>
          <w:szCs w:val="30"/>
          <w:highlight w:val="none"/>
        </w:rPr>
      </w:pPr>
    </w:p>
    <w:p>
      <w:pPr>
        <w:pStyle w:val="15"/>
        <w:snapToGrid w:val="0"/>
        <w:spacing w:before="50" w:after="120" w:line="360" w:lineRule="auto"/>
        <w:ind w:firstLine="1694" w:firstLineChars="592"/>
        <w:rPr>
          <w:rFonts w:hAnsi="宋体" w:cs="宋体"/>
          <w:b/>
          <w:bCs/>
          <w:color w:val="auto"/>
          <w:w w:val="95"/>
          <w:sz w:val="30"/>
          <w:szCs w:val="30"/>
          <w:highlight w:val="none"/>
        </w:rPr>
      </w:pPr>
      <w:r>
        <w:rPr>
          <w:rFonts w:hint="eastAsia" w:hAnsi="宋体" w:cs="宋体"/>
          <w:b/>
          <w:bCs/>
          <w:color w:val="auto"/>
          <w:w w:val="95"/>
          <w:sz w:val="30"/>
          <w:szCs w:val="30"/>
          <w:highlight w:val="none"/>
        </w:rPr>
        <w:t xml:space="preserve">采 购 人：广西医科大学 </w:t>
      </w:r>
    </w:p>
    <w:p>
      <w:pPr>
        <w:pStyle w:val="15"/>
        <w:snapToGrid w:val="0"/>
        <w:spacing w:before="50" w:after="120" w:line="360" w:lineRule="auto"/>
        <w:ind w:firstLine="1694" w:firstLineChars="592"/>
        <w:rPr>
          <w:rFonts w:hAnsi="宋体" w:cs="宋体"/>
          <w:b/>
          <w:bCs/>
          <w:color w:val="auto"/>
          <w:w w:val="95"/>
          <w:sz w:val="30"/>
          <w:szCs w:val="30"/>
          <w:highlight w:val="none"/>
        </w:rPr>
      </w:pPr>
      <w:r>
        <w:rPr>
          <w:rFonts w:hint="eastAsia" w:hAnsi="宋体" w:cs="宋体"/>
          <w:b/>
          <w:bCs/>
          <w:color w:val="auto"/>
          <w:w w:val="95"/>
          <w:sz w:val="30"/>
          <w:szCs w:val="30"/>
          <w:highlight w:val="none"/>
        </w:rPr>
        <w:t>采购代理机构：</w:t>
      </w:r>
      <w:bookmarkStart w:id="0" w:name="PO_3000001867_PM031"/>
      <w:r>
        <w:rPr>
          <w:rFonts w:hint="eastAsia" w:hAnsi="宋体" w:cs="宋体"/>
          <w:b/>
          <w:bCs/>
          <w:color w:val="auto"/>
          <w:w w:val="95"/>
          <w:sz w:val="30"/>
          <w:szCs w:val="30"/>
          <w:highlight w:val="none"/>
        </w:rPr>
        <w:t>广西科联招标中心有限公司</w:t>
      </w:r>
      <w:bookmarkEnd w:id="0"/>
    </w:p>
    <w:p>
      <w:pPr>
        <w:pStyle w:val="15"/>
        <w:snapToGrid w:val="0"/>
        <w:spacing w:before="50" w:after="120" w:line="360" w:lineRule="auto"/>
        <w:ind w:firstLine="841" w:firstLineChars="294"/>
        <w:rPr>
          <w:rFonts w:hAnsi="宋体" w:cs="宋体"/>
          <w:b/>
          <w:bCs/>
          <w:color w:val="auto"/>
          <w:w w:val="95"/>
          <w:sz w:val="30"/>
          <w:szCs w:val="30"/>
          <w:highlight w:val="none"/>
        </w:rPr>
      </w:pPr>
      <w:r>
        <w:rPr>
          <w:rFonts w:hint="eastAsia" w:hAnsi="宋体" w:cs="宋体"/>
          <w:b/>
          <w:bCs/>
          <w:color w:val="auto"/>
          <w:w w:val="95"/>
          <w:sz w:val="30"/>
          <w:szCs w:val="30"/>
          <w:highlight w:val="none"/>
        </w:rPr>
        <w:t xml:space="preserve">                     2024年</w:t>
      </w:r>
      <w:r>
        <w:rPr>
          <w:rFonts w:hint="eastAsia" w:hAnsi="宋体" w:cs="宋体"/>
          <w:b/>
          <w:bCs/>
          <w:color w:val="auto"/>
          <w:w w:val="95"/>
          <w:sz w:val="30"/>
          <w:szCs w:val="30"/>
          <w:highlight w:val="none"/>
          <w:lang w:val="en-US" w:eastAsia="zh-CN"/>
        </w:rPr>
        <w:t>3</w:t>
      </w:r>
      <w:r>
        <w:rPr>
          <w:rFonts w:hint="eastAsia" w:hAnsi="宋体" w:cs="宋体"/>
          <w:b/>
          <w:bCs/>
          <w:color w:val="auto"/>
          <w:w w:val="95"/>
          <w:sz w:val="30"/>
          <w:szCs w:val="30"/>
          <w:highlight w:val="none"/>
        </w:rPr>
        <w:t>月</w:t>
      </w:r>
      <w:r>
        <w:rPr>
          <w:rFonts w:hint="eastAsia" w:hAnsi="宋体" w:cs="宋体"/>
          <w:b/>
          <w:bCs/>
          <w:color w:val="auto"/>
          <w:w w:val="95"/>
          <w:sz w:val="30"/>
          <w:szCs w:val="30"/>
          <w:highlight w:val="none"/>
          <w:lang w:val="en-US" w:eastAsia="zh-CN"/>
        </w:rPr>
        <w:t>13</w:t>
      </w:r>
      <w:r>
        <w:rPr>
          <w:rFonts w:hint="eastAsia" w:hAnsi="宋体" w:cs="宋体"/>
          <w:b/>
          <w:bCs/>
          <w:color w:val="auto"/>
          <w:w w:val="95"/>
          <w:sz w:val="30"/>
          <w:szCs w:val="30"/>
          <w:highlight w:val="none"/>
        </w:rPr>
        <w:t>日</w:t>
      </w:r>
    </w:p>
    <w:p>
      <w:pPr>
        <w:pStyle w:val="10"/>
        <w:kinsoku w:val="0"/>
        <w:overflowPunct w:val="0"/>
        <w:ind w:firstLine="800"/>
        <w:rPr>
          <w:rFonts w:ascii="宋体" w:hAnsi="宋体" w:cs="宋体"/>
          <w:color w:val="auto"/>
          <w:sz w:val="40"/>
          <w:highlight w:val="none"/>
        </w:rPr>
      </w:pPr>
    </w:p>
    <w:p>
      <w:pPr>
        <w:pStyle w:val="15"/>
        <w:jc w:val="center"/>
        <w:rPr>
          <w:rFonts w:hAnsi="宋体" w:cs="宋体"/>
          <w:b/>
          <w:color w:val="auto"/>
          <w:sz w:val="48"/>
          <w:szCs w:val="48"/>
          <w:highlight w:val="none"/>
        </w:rPr>
      </w:pPr>
      <w:r>
        <w:rPr>
          <w:rFonts w:hint="eastAsia" w:hAnsi="宋体" w:cs="宋体"/>
          <w:color w:val="auto"/>
          <w:highlight w:val="none"/>
        </w:rPr>
        <w:br w:type="page"/>
      </w:r>
      <w:r>
        <w:rPr>
          <w:rFonts w:hint="eastAsia" w:hAnsi="宋体" w:cs="宋体"/>
          <w:b/>
          <w:color w:val="auto"/>
          <w:sz w:val="48"/>
          <w:szCs w:val="48"/>
          <w:highlight w:val="none"/>
        </w:rPr>
        <w:t>目     录</w:t>
      </w:r>
    </w:p>
    <w:p>
      <w:pPr>
        <w:pStyle w:val="8"/>
        <w:rPr>
          <w:rFonts w:ascii="宋体" w:hAnsi="宋体" w:cs="宋体"/>
          <w:b/>
          <w:color w:val="auto"/>
          <w:sz w:val="48"/>
          <w:szCs w:val="48"/>
          <w:highlight w:val="none"/>
        </w:rPr>
      </w:pPr>
    </w:p>
    <w:p>
      <w:pPr>
        <w:rPr>
          <w:color w:val="auto"/>
          <w:highlight w:val="none"/>
        </w:rPr>
      </w:pPr>
    </w:p>
    <w:p>
      <w:pPr>
        <w:pStyle w:val="18"/>
        <w:tabs>
          <w:tab w:val="right" w:leader="dot" w:pos="9638"/>
        </w:tabs>
        <w:rPr>
          <w:color w:val="auto"/>
          <w:sz w:val="28"/>
          <w:szCs w:val="28"/>
          <w:highlight w:val="none"/>
        </w:rPr>
      </w:pPr>
      <w:r>
        <w:rPr>
          <w:color w:val="auto"/>
          <w:highlight w:val="none"/>
        </w:rPr>
        <w:fldChar w:fldCharType="begin"/>
      </w:r>
      <w:r>
        <w:rPr>
          <w:color w:val="auto"/>
          <w:highlight w:val="none"/>
        </w:rPr>
        <w:instrText xml:space="preserve">TOC \o "1-1" \h \u </w:instrText>
      </w:r>
      <w:r>
        <w:rPr>
          <w:color w:val="auto"/>
          <w:highlight w:val="none"/>
        </w:rPr>
        <w:fldChar w:fldCharType="separate"/>
      </w:r>
      <w:r>
        <w:rPr>
          <w:color w:val="auto"/>
          <w:highlight w:val="none"/>
        </w:rPr>
        <w:fldChar w:fldCharType="begin"/>
      </w:r>
      <w:r>
        <w:rPr>
          <w:color w:val="auto"/>
          <w:highlight w:val="none"/>
        </w:rPr>
        <w:instrText xml:space="preserve"> HYPERLINK \l "_Toc18386" </w:instrText>
      </w:r>
      <w:r>
        <w:rPr>
          <w:color w:val="auto"/>
          <w:highlight w:val="none"/>
        </w:rPr>
        <w:fldChar w:fldCharType="separate"/>
      </w:r>
      <w:r>
        <w:rPr>
          <w:rFonts w:hint="eastAsia" w:ascii="宋体" w:hAnsi="宋体" w:cs="宋体"/>
          <w:color w:val="auto"/>
          <w:sz w:val="28"/>
          <w:szCs w:val="28"/>
          <w:highlight w:val="none"/>
        </w:rPr>
        <w:t>第一章  招标公告</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_Toc18386 </w:instrText>
      </w:r>
      <w:r>
        <w:rPr>
          <w:color w:val="auto"/>
          <w:sz w:val="28"/>
          <w:szCs w:val="28"/>
          <w:highlight w:val="none"/>
        </w:rPr>
        <w:fldChar w:fldCharType="separate"/>
      </w:r>
      <w:r>
        <w:rPr>
          <w:color w:val="auto"/>
          <w:sz w:val="28"/>
          <w:szCs w:val="28"/>
          <w:highlight w:val="none"/>
        </w:rPr>
        <w:t>3</w:t>
      </w:r>
      <w:r>
        <w:rPr>
          <w:color w:val="auto"/>
          <w:sz w:val="28"/>
          <w:szCs w:val="28"/>
          <w:highlight w:val="none"/>
        </w:rPr>
        <w:fldChar w:fldCharType="end"/>
      </w:r>
      <w:r>
        <w:rPr>
          <w:color w:val="auto"/>
          <w:sz w:val="28"/>
          <w:szCs w:val="28"/>
          <w:highlight w:val="none"/>
        </w:rPr>
        <w:fldChar w:fldCharType="end"/>
      </w:r>
    </w:p>
    <w:p>
      <w:pPr>
        <w:pStyle w:val="18"/>
        <w:tabs>
          <w:tab w:val="right" w:leader="dot" w:pos="9638"/>
        </w:tabs>
        <w:rPr>
          <w:color w:val="auto"/>
          <w:sz w:val="28"/>
          <w:szCs w:val="28"/>
          <w:highlight w:val="none"/>
        </w:rPr>
      </w:pPr>
      <w:r>
        <w:rPr>
          <w:color w:val="auto"/>
          <w:highlight w:val="none"/>
        </w:rPr>
        <w:fldChar w:fldCharType="begin"/>
      </w:r>
      <w:r>
        <w:rPr>
          <w:color w:val="auto"/>
          <w:highlight w:val="none"/>
        </w:rPr>
        <w:instrText xml:space="preserve"> HYPERLINK \l "_Toc21791" </w:instrText>
      </w:r>
      <w:r>
        <w:rPr>
          <w:color w:val="auto"/>
          <w:highlight w:val="none"/>
        </w:rPr>
        <w:fldChar w:fldCharType="separate"/>
      </w:r>
      <w:r>
        <w:rPr>
          <w:rFonts w:hint="eastAsia" w:ascii="宋体" w:hAnsi="宋体" w:cs="宋体"/>
          <w:color w:val="auto"/>
          <w:sz w:val="28"/>
          <w:szCs w:val="28"/>
          <w:highlight w:val="none"/>
        </w:rPr>
        <w:t>第二章  采购需求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_Toc21791 </w:instrText>
      </w:r>
      <w:r>
        <w:rPr>
          <w:color w:val="auto"/>
          <w:sz w:val="28"/>
          <w:szCs w:val="28"/>
          <w:highlight w:val="none"/>
        </w:rPr>
        <w:fldChar w:fldCharType="separate"/>
      </w:r>
      <w:r>
        <w:rPr>
          <w:color w:val="auto"/>
          <w:sz w:val="28"/>
          <w:szCs w:val="28"/>
          <w:highlight w:val="none"/>
        </w:rPr>
        <w:t>7</w:t>
      </w:r>
      <w:r>
        <w:rPr>
          <w:color w:val="auto"/>
          <w:sz w:val="28"/>
          <w:szCs w:val="28"/>
          <w:highlight w:val="none"/>
        </w:rPr>
        <w:fldChar w:fldCharType="end"/>
      </w:r>
      <w:r>
        <w:rPr>
          <w:color w:val="auto"/>
          <w:sz w:val="28"/>
          <w:szCs w:val="28"/>
          <w:highlight w:val="none"/>
        </w:rPr>
        <w:fldChar w:fldCharType="end"/>
      </w:r>
    </w:p>
    <w:p>
      <w:pPr>
        <w:pStyle w:val="18"/>
        <w:tabs>
          <w:tab w:val="right" w:leader="dot" w:pos="9638"/>
        </w:tabs>
        <w:rPr>
          <w:color w:val="auto"/>
          <w:sz w:val="28"/>
          <w:szCs w:val="28"/>
          <w:highlight w:val="none"/>
        </w:rPr>
      </w:pPr>
      <w:r>
        <w:rPr>
          <w:color w:val="auto"/>
          <w:highlight w:val="none"/>
        </w:rPr>
        <w:fldChar w:fldCharType="begin"/>
      </w:r>
      <w:r>
        <w:rPr>
          <w:color w:val="auto"/>
          <w:highlight w:val="none"/>
        </w:rPr>
        <w:instrText xml:space="preserve"> HYPERLINK \l "_Toc10316" </w:instrText>
      </w:r>
      <w:r>
        <w:rPr>
          <w:color w:val="auto"/>
          <w:highlight w:val="none"/>
        </w:rPr>
        <w:fldChar w:fldCharType="separate"/>
      </w:r>
      <w:r>
        <w:rPr>
          <w:rFonts w:hint="eastAsia" w:ascii="宋体" w:hAnsi="宋体" w:cs="宋体"/>
          <w:color w:val="auto"/>
          <w:sz w:val="28"/>
          <w:szCs w:val="28"/>
          <w:highlight w:val="none"/>
        </w:rPr>
        <w:t>第三章  投标人须知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_Toc10316 </w:instrText>
      </w:r>
      <w:r>
        <w:rPr>
          <w:color w:val="auto"/>
          <w:sz w:val="28"/>
          <w:szCs w:val="28"/>
          <w:highlight w:val="none"/>
        </w:rPr>
        <w:fldChar w:fldCharType="separate"/>
      </w:r>
      <w:r>
        <w:rPr>
          <w:color w:val="auto"/>
          <w:sz w:val="28"/>
          <w:szCs w:val="28"/>
          <w:highlight w:val="none"/>
        </w:rPr>
        <w:t>35</w:t>
      </w:r>
      <w:r>
        <w:rPr>
          <w:color w:val="auto"/>
          <w:sz w:val="28"/>
          <w:szCs w:val="28"/>
          <w:highlight w:val="none"/>
        </w:rPr>
        <w:fldChar w:fldCharType="end"/>
      </w:r>
      <w:r>
        <w:rPr>
          <w:color w:val="auto"/>
          <w:sz w:val="28"/>
          <w:szCs w:val="28"/>
          <w:highlight w:val="none"/>
        </w:rPr>
        <w:fldChar w:fldCharType="end"/>
      </w:r>
    </w:p>
    <w:p>
      <w:pPr>
        <w:pStyle w:val="18"/>
        <w:tabs>
          <w:tab w:val="right" w:leader="dot" w:pos="9638"/>
        </w:tabs>
        <w:rPr>
          <w:color w:val="auto"/>
          <w:sz w:val="28"/>
          <w:szCs w:val="28"/>
          <w:highlight w:val="none"/>
        </w:rPr>
      </w:pPr>
      <w:r>
        <w:rPr>
          <w:color w:val="auto"/>
          <w:highlight w:val="none"/>
        </w:rPr>
        <w:fldChar w:fldCharType="begin"/>
      </w:r>
      <w:r>
        <w:rPr>
          <w:color w:val="auto"/>
          <w:highlight w:val="none"/>
        </w:rPr>
        <w:instrText xml:space="preserve"> HYPERLINK \l "_Toc28215" </w:instrText>
      </w:r>
      <w:r>
        <w:rPr>
          <w:color w:val="auto"/>
          <w:highlight w:val="none"/>
        </w:rPr>
        <w:fldChar w:fldCharType="separate"/>
      </w:r>
      <w:r>
        <w:rPr>
          <w:rFonts w:hint="eastAsia" w:ascii="宋体" w:hAnsi="宋体" w:cs="宋体"/>
          <w:color w:val="auto"/>
          <w:sz w:val="28"/>
          <w:szCs w:val="28"/>
          <w:highlight w:val="none"/>
        </w:rPr>
        <w:t xml:space="preserve">第四章  </w:t>
      </w:r>
      <w:r>
        <w:rPr>
          <w:rFonts w:hint="eastAsia" w:hAnsi="宋体" w:cs="宋体"/>
          <w:color w:val="auto"/>
          <w:sz w:val="28"/>
          <w:szCs w:val="28"/>
          <w:highlight w:val="none"/>
        </w:rPr>
        <w:t>评标方法和评标标准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_Toc28215 </w:instrText>
      </w:r>
      <w:r>
        <w:rPr>
          <w:color w:val="auto"/>
          <w:sz w:val="28"/>
          <w:szCs w:val="28"/>
          <w:highlight w:val="none"/>
        </w:rPr>
        <w:fldChar w:fldCharType="separate"/>
      </w:r>
      <w:r>
        <w:rPr>
          <w:color w:val="auto"/>
          <w:sz w:val="28"/>
          <w:szCs w:val="28"/>
          <w:highlight w:val="none"/>
        </w:rPr>
        <w:t>61</w:t>
      </w:r>
      <w:r>
        <w:rPr>
          <w:color w:val="auto"/>
          <w:sz w:val="28"/>
          <w:szCs w:val="28"/>
          <w:highlight w:val="none"/>
        </w:rPr>
        <w:fldChar w:fldCharType="end"/>
      </w:r>
      <w:r>
        <w:rPr>
          <w:color w:val="auto"/>
          <w:sz w:val="28"/>
          <w:szCs w:val="28"/>
          <w:highlight w:val="none"/>
        </w:rPr>
        <w:fldChar w:fldCharType="end"/>
      </w:r>
    </w:p>
    <w:p>
      <w:pPr>
        <w:pStyle w:val="18"/>
        <w:tabs>
          <w:tab w:val="right" w:leader="dot" w:pos="9638"/>
        </w:tabs>
        <w:rPr>
          <w:color w:val="auto"/>
          <w:sz w:val="28"/>
          <w:szCs w:val="28"/>
          <w:highlight w:val="none"/>
        </w:rPr>
      </w:pPr>
      <w:r>
        <w:rPr>
          <w:color w:val="auto"/>
          <w:highlight w:val="none"/>
        </w:rPr>
        <w:fldChar w:fldCharType="begin"/>
      </w:r>
      <w:r>
        <w:rPr>
          <w:color w:val="auto"/>
          <w:highlight w:val="none"/>
        </w:rPr>
        <w:instrText xml:space="preserve"> HYPERLINK \l "_Toc3087" </w:instrText>
      </w:r>
      <w:r>
        <w:rPr>
          <w:color w:val="auto"/>
          <w:highlight w:val="none"/>
        </w:rPr>
        <w:fldChar w:fldCharType="separate"/>
      </w:r>
      <w:r>
        <w:rPr>
          <w:rFonts w:hint="eastAsia" w:ascii="宋体" w:hAnsi="宋体" w:cs="宋体"/>
          <w:color w:val="auto"/>
          <w:sz w:val="28"/>
          <w:szCs w:val="28"/>
          <w:highlight w:val="none"/>
        </w:rPr>
        <w:t xml:space="preserve">第五章 </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拟签订的合同文本</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_Toc3087 </w:instrText>
      </w:r>
      <w:r>
        <w:rPr>
          <w:color w:val="auto"/>
          <w:sz w:val="28"/>
          <w:szCs w:val="28"/>
          <w:highlight w:val="none"/>
        </w:rPr>
        <w:fldChar w:fldCharType="separate"/>
      </w:r>
      <w:r>
        <w:rPr>
          <w:color w:val="auto"/>
          <w:sz w:val="28"/>
          <w:szCs w:val="28"/>
          <w:highlight w:val="none"/>
        </w:rPr>
        <w:t>68</w:t>
      </w:r>
      <w:r>
        <w:rPr>
          <w:color w:val="auto"/>
          <w:sz w:val="28"/>
          <w:szCs w:val="28"/>
          <w:highlight w:val="none"/>
        </w:rPr>
        <w:fldChar w:fldCharType="end"/>
      </w:r>
      <w:r>
        <w:rPr>
          <w:color w:val="auto"/>
          <w:sz w:val="28"/>
          <w:szCs w:val="28"/>
          <w:highlight w:val="none"/>
        </w:rPr>
        <w:fldChar w:fldCharType="end"/>
      </w:r>
    </w:p>
    <w:p>
      <w:pPr>
        <w:pStyle w:val="18"/>
        <w:tabs>
          <w:tab w:val="right" w:leader="dot" w:pos="9638"/>
        </w:tabs>
        <w:rPr>
          <w:color w:val="auto"/>
          <w:sz w:val="28"/>
          <w:szCs w:val="28"/>
          <w:highlight w:val="none"/>
        </w:rPr>
      </w:pPr>
      <w:r>
        <w:rPr>
          <w:color w:val="auto"/>
          <w:highlight w:val="none"/>
        </w:rPr>
        <w:fldChar w:fldCharType="begin"/>
      </w:r>
      <w:r>
        <w:rPr>
          <w:color w:val="auto"/>
          <w:highlight w:val="none"/>
        </w:rPr>
        <w:instrText xml:space="preserve"> HYPERLINK \l "_Toc6639" </w:instrText>
      </w:r>
      <w:r>
        <w:rPr>
          <w:color w:val="auto"/>
          <w:highlight w:val="none"/>
        </w:rPr>
        <w:fldChar w:fldCharType="separate"/>
      </w:r>
      <w:r>
        <w:rPr>
          <w:rFonts w:hint="eastAsia" w:ascii="宋体" w:hAnsi="宋体" w:cs="宋体"/>
          <w:color w:val="auto"/>
          <w:sz w:val="28"/>
          <w:szCs w:val="28"/>
          <w:highlight w:val="none"/>
        </w:rPr>
        <w:t xml:space="preserve">第六章 </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投标文件格式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_Toc6639 </w:instrText>
      </w:r>
      <w:r>
        <w:rPr>
          <w:color w:val="auto"/>
          <w:sz w:val="28"/>
          <w:szCs w:val="28"/>
          <w:highlight w:val="none"/>
        </w:rPr>
        <w:fldChar w:fldCharType="separate"/>
      </w:r>
      <w:r>
        <w:rPr>
          <w:color w:val="auto"/>
          <w:sz w:val="28"/>
          <w:szCs w:val="28"/>
          <w:highlight w:val="none"/>
        </w:rPr>
        <w:t>74</w:t>
      </w:r>
      <w:r>
        <w:rPr>
          <w:color w:val="auto"/>
          <w:sz w:val="28"/>
          <w:szCs w:val="28"/>
          <w:highlight w:val="none"/>
        </w:rPr>
        <w:fldChar w:fldCharType="end"/>
      </w:r>
      <w:r>
        <w:rPr>
          <w:color w:val="auto"/>
          <w:sz w:val="28"/>
          <w:szCs w:val="28"/>
          <w:highlight w:val="none"/>
        </w:rPr>
        <w:fldChar w:fldCharType="end"/>
      </w:r>
    </w:p>
    <w:p>
      <w:pPr>
        <w:pStyle w:val="18"/>
        <w:tabs>
          <w:tab w:val="right" w:leader="dot" w:pos="9638"/>
        </w:tabs>
        <w:rPr>
          <w:color w:val="auto"/>
          <w:highlight w:val="none"/>
        </w:rPr>
      </w:pPr>
      <w:r>
        <w:rPr>
          <w:color w:val="auto"/>
          <w:highlight w:val="none"/>
        </w:rPr>
        <w:fldChar w:fldCharType="begin"/>
      </w:r>
      <w:r>
        <w:rPr>
          <w:color w:val="auto"/>
          <w:highlight w:val="none"/>
        </w:rPr>
        <w:instrText xml:space="preserve"> HYPERLINK \l "_Toc22405" </w:instrText>
      </w:r>
      <w:r>
        <w:rPr>
          <w:color w:val="auto"/>
          <w:highlight w:val="none"/>
        </w:rPr>
        <w:fldChar w:fldCharType="separate"/>
      </w:r>
      <w:r>
        <w:rPr>
          <w:rFonts w:hint="eastAsia" w:ascii="宋体" w:hAnsi="宋体" w:cs="宋体"/>
          <w:color w:val="auto"/>
          <w:sz w:val="28"/>
          <w:szCs w:val="28"/>
          <w:highlight w:val="none"/>
        </w:rPr>
        <w:t xml:space="preserve">第七章 </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质疑、投诉材料格</w:t>
      </w:r>
      <w:r>
        <w:rPr>
          <w:rFonts w:hint="eastAsia" w:hAnsi="宋体" w:cs="宋体"/>
          <w:color w:val="auto"/>
          <w:sz w:val="28"/>
          <w:szCs w:val="28"/>
          <w:highlight w:val="none"/>
        </w:rPr>
        <w:t>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_Toc22405 </w:instrText>
      </w:r>
      <w:r>
        <w:rPr>
          <w:color w:val="auto"/>
          <w:sz w:val="28"/>
          <w:szCs w:val="28"/>
          <w:highlight w:val="none"/>
        </w:rPr>
        <w:fldChar w:fldCharType="separate"/>
      </w:r>
      <w:r>
        <w:rPr>
          <w:color w:val="auto"/>
          <w:sz w:val="28"/>
          <w:szCs w:val="28"/>
          <w:highlight w:val="none"/>
        </w:rPr>
        <w:t>101</w:t>
      </w:r>
      <w:r>
        <w:rPr>
          <w:color w:val="auto"/>
          <w:sz w:val="28"/>
          <w:szCs w:val="28"/>
          <w:highlight w:val="none"/>
        </w:rPr>
        <w:fldChar w:fldCharType="end"/>
      </w:r>
      <w:r>
        <w:rPr>
          <w:color w:val="auto"/>
          <w:sz w:val="28"/>
          <w:szCs w:val="28"/>
          <w:highlight w:val="none"/>
        </w:rPr>
        <w:fldChar w:fldCharType="end"/>
      </w:r>
    </w:p>
    <w:p>
      <w:pPr>
        <w:pStyle w:val="15"/>
        <w:jc w:val="center"/>
        <w:rPr>
          <w:rFonts w:hAnsi="宋体" w:cs="宋体"/>
          <w:color w:val="auto"/>
          <w:highlight w:val="none"/>
        </w:rPr>
      </w:pPr>
      <w:r>
        <w:rPr>
          <w:color w:val="auto"/>
          <w:highlight w:val="none"/>
        </w:rPr>
        <w:fldChar w:fldCharType="end"/>
      </w:r>
      <w:r>
        <w:rPr>
          <w:rFonts w:hint="eastAsia" w:hAnsi="宋体" w:cs="宋体"/>
          <w:color w:val="auto"/>
          <w:highlight w:val="none"/>
        </w:rPr>
        <w:tab/>
      </w:r>
      <w:bookmarkStart w:id="1" w:name="_Toc532545041"/>
    </w:p>
    <w:p>
      <w:pPr>
        <w:pStyle w:val="15"/>
        <w:jc w:val="center"/>
        <w:outlineLvl w:val="0"/>
        <w:rPr>
          <w:rFonts w:hAnsi="宋体" w:cs="宋体"/>
          <w:b/>
          <w:color w:val="auto"/>
          <w:sz w:val="36"/>
          <w:highlight w:val="none"/>
        </w:rPr>
      </w:pPr>
      <w:bookmarkStart w:id="2" w:name="_Toc19710"/>
      <w:bookmarkStart w:id="3" w:name="_Toc12135"/>
      <w:bookmarkStart w:id="4" w:name="_Toc23304"/>
      <w:bookmarkStart w:id="5" w:name="_Toc20152"/>
      <w:bookmarkStart w:id="6" w:name="_Toc539"/>
      <w:bookmarkStart w:id="7" w:name="_Toc22419"/>
      <w:r>
        <w:rPr>
          <w:rFonts w:hint="eastAsia" w:hAnsi="宋体" w:cs="宋体"/>
          <w:b/>
          <w:color w:val="auto"/>
          <w:sz w:val="36"/>
          <w:highlight w:val="none"/>
        </w:rPr>
        <w:br w:type="page"/>
      </w:r>
      <w:bookmarkStart w:id="8" w:name="_Toc11023"/>
      <w:bookmarkStart w:id="9" w:name="_Toc14935"/>
      <w:bookmarkStart w:id="10" w:name="_Toc18386"/>
      <w:bookmarkStart w:id="11" w:name="_Toc2182"/>
      <w:r>
        <w:rPr>
          <w:rFonts w:hint="eastAsia" w:hAnsi="宋体" w:cs="宋体"/>
          <w:b/>
          <w:color w:val="auto"/>
          <w:sz w:val="36"/>
          <w:highlight w:val="none"/>
        </w:rPr>
        <w:t>第一章  招标公告</w:t>
      </w:r>
      <w:bookmarkEnd w:id="1"/>
      <w:bookmarkEnd w:id="2"/>
      <w:bookmarkEnd w:id="3"/>
      <w:bookmarkEnd w:id="4"/>
      <w:bookmarkEnd w:id="5"/>
      <w:bookmarkEnd w:id="6"/>
      <w:bookmarkEnd w:id="7"/>
      <w:bookmarkEnd w:id="8"/>
      <w:bookmarkEnd w:id="9"/>
      <w:bookmarkEnd w:id="10"/>
      <w:bookmarkEnd w:id="11"/>
    </w:p>
    <w:p>
      <w:pPr>
        <w:pStyle w:val="15"/>
        <w:jc w:val="center"/>
        <w:rPr>
          <w:rFonts w:hAnsi="宋体" w:cs="宋体"/>
          <w:b/>
          <w:color w:val="auto"/>
          <w:sz w:val="30"/>
          <w:szCs w:val="30"/>
          <w:highlight w:val="none"/>
        </w:rPr>
      </w:pPr>
      <w:r>
        <w:rPr>
          <w:rFonts w:hint="eastAsia" w:hAnsi="宋体" w:cs="宋体"/>
          <w:b/>
          <w:color w:val="auto"/>
          <w:sz w:val="30"/>
          <w:szCs w:val="30"/>
          <w:highlight w:val="none"/>
        </w:rPr>
        <w:t>招标公告</w:t>
      </w:r>
    </w:p>
    <w:p>
      <w:pPr>
        <w:pBdr>
          <w:top w:val="single" w:color="auto" w:sz="4" w:space="1"/>
          <w:left w:val="single" w:color="auto" w:sz="4" w:space="4"/>
          <w:bottom w:val="single" w:color="auto" w:sz="4" w:space="1"/>
          <w:right w:val="single" w:color="auto" w:sz="4" w:space="4"/>
        </w:pBdr>
        <w:spacing w:line="360" w:lineRule="auto"/>
        <w:rPr>
          <w:rFonts w:ascii="宋体" w:hAnsi="宋体" w:cs="宋体"/>
          <w:color w:val="auto"/>
          <w:szCs w:val="21"/>
          <w:highlight w:val="none"/>
        </w:rPr>
      </w:pPr>
      <w:r>
        <w:rPr>
          <w:rFonts w:hint="eastAsia" w:ascii="宋体" w:hAnsi="宋体" w:cs="宋体"/>
          <w:color w:val="auto"/>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525" w:firstLineChars="250"/>
        <w:rPr>
          <w:rFonts w:ascii="宋体" w:hAnsi="宋体" w:cs="宋体"/>
          <w:color w:val="auto"/>
          <w:szCs w:val="21"/>
          <w:highlight w:val="none"/>
          <w:u w:val="single"/>
        </w:rPr>
      </w:pPr>
      <w:r>
        <w:rPr>
          <w:rFonts w:hint="eastAsia" w:ascii="宋体" w:hAnsi="宋体" w:cs="宋体"/>
          <w:color w:val="auto"/>
          <w:szCs w:val="21"/>
          <w:highlight w:val="none"/>
          <w:u w:val="single"/>
          <w:lang w:eastAsia="zh-CN"/>
        </w:rPr>
        <w:t>口腔医学院口腔数字化虚拟仿真培训系统、蛋白自动纯化设备等采购</w:t>
      </w:r>
      <w:r>
        <w:rPr>
          <w:rFonts w:hint="eastAsia" w:ascii="宋体" w:hAnsi="宋体" w:cs="宋体"/>
          <w:color w:val="auto"/>
          <w:szCs w:val="21"/>
          <w:highlight w:val="none"/>
          <w:u w:val="single"/>
        </w:rPr>
        <w:t>项目</w:t>
      </w:r>
      <w:r>
        <w:rPr>
          <w:rFonts w:hint="eastAsia" w:ascii="宋体" w:hAnsi="宋体" w:cs="宋体"/>
          <w:color w:val="auto"/>
          <w:szCs w:val="21"/>
          <w:highlight w:val="none"/>
        </w:rPr>
        <w:t>招标项目的潜在投标人应在广西政府采购云平台（https://www.gcy.zfcg.gxzf.gov.cn/）获取招标文件，并于</w:t>
      </w:r>
      <w:bookmarkStart w:id="12" w:name="PO_3000001867_PM015"/>
      <w:r>
        <w:rPr>
          <w:rFonts w:hint="eastAsia" w:ascii="宋体" w:hAnsi="宋体" w:cs="宋体"/>
          <w:color w:val="auto"/>
          <w:szCs w:val="21"/>
          <w:highlight w:val="none"/>
        </w:rPr>
        <w:t>2024年</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日09点30分</w:t>
      </w:r>
      <w:bookmarkEnd w:id="12"/>
      <w:r>
        <w:rPr>
          <w:rFonts w:hint="eastAsia" w:ascii="宋体" w:hAnsi="宋体" w:cs="宋体"/>
          <w:bCs/>
          <w:color w:val="auto"/>
          <w:szCs w:val="21"/>
          <w:highlight w:val="none"/>
        </w:rPr>
        <w:t>（北京时间）前</w:t>
      </w:r>
      <w:r>
        <w:rPr>
          <w:rFonts w:hint="eastAsia" w:ascii="宋体" w:hAnsi="宋体" w:cs="宋体"/>
          <w:color w:val="auto"/>
          <w:szCs w:val="21"/>
          <w:highlight w:val="none"/>
        </w:rPr>
        <w:t>递交</w:t>
      </w:r>
      <w:r>
        <w:rPr>
          <w:rFonts w:hint="eastAsia" w:ascii="宋体" w:hAnsi="宋体" w:cs="宋体"/>
          <w:color w:val="auto"/>
          <w:szCs w:val="21"/>
          <w:highlight w:val="none"/>
          <w:lang w:val="en-US" w:eastAsia="zh-CN"/>
        </w:rPr>
        <w:t>（上传）</w:t>
      </w:r>
      <w:r>
        <w:rPr>
          <w:rFonts w:hint="eastAsia" w:ascii="宋体" w:hAnsi="宋体" w:cs="宋体"/>
          <w:color w:val="auto"/>
          <w:szCs w:val="21"/>
          <w:highlight w:val="none"/>
        </w:rPr>
        <w:t>投标文件。</w:t>
      </w:r>
    </w:p>
    <w:p>
      <w:pPr>
        <w:spacing w:line="360" w:lineRule="auto"/>
        <w:rPr>
          <w:rFonts w:ascii="宋体" w:hAnsi="宋体" w:cs="宋体"/>
          <w:b/>
          <w:bCs/>
          <w:color w:val="auto"/>
          <w:sz w:val="24"/>
          <w:highlight w:val="none"/>
        </w:rPr>
      </w:pPr>
      <w:bookmarkStart w:id="13" w:name="_Toc35393621"/>
      <w:bookmarkStart w:id="14" w:name="_Toc28359079"/>
      <w:bookmarkStart w:id="15" w:name="_Toc35393790"/>
      <w:bookmarkStart w:id="16" w:name="_Toc28359002"/>
      <w:bookmarkStart w:id="17" w:name="_Hlk24379207"/>
      <w:r>
        <w:rPr>
          <w:rFonts w:hint="eastAsia" w:ascii="宋体" w:hAnsi="宋体" w:cs="宋体"/>
          <w:b/>
          <w:bCs/>
          <w:color w:val="auto"/>
          <w:sz w:val="24"/>
          <w:highlight w:val="none"/>
        </w:rPr>
        <w:t>一、项目基本情况</w:t>
      </w:r>
      <w:bookmarkEnd w:id="13"/>
      <w:bookmarkEnd w:id="14"/>
      <w:bookmarkEnd w:id="15"/>
      <w:bookmarkEnd w:id="16"/>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项目编号</w:t>
      </w:r>
      <w:bookmarkStart w:id="18" w:name="PO_3000001867_PM001_1"/>
      <w:r>
        <w:rPr>
          <w:rFonts w:hint="eastAsia" w:ascii="宋体" w:hAnsi="宋体" w:cs="宋体"/>
          <w:color w:val="auto"/>
          <w:szCs w:val="21"/>
          <w:highlight w:val="none"/>
        </w:rPr>
        <w:t>：</w:t>
      </w:r>
      <w:r>
        <w:rPr>
          <w:rFonts w:hint="eastAsia" w:ascii="宋体" w:hAnsi="宋体" w:cs="宋体"/>
          <w:color w:val="auto"/>
          <w:szCs w:val="21"/>
          <w:highlight w:val="none"/>
          <w:lang w:eastAsia="zh-CN"/>
        </w:rPr>
        <w:t>GXZC2024-G1-002738-KLZB（采购计划编号：广西政采[2024]168号-00</w:t>
      </w:r>
      <w:r>
        <w:rPr>
          <w:rFonts w:hint="eastAsia" w:ascii="宋体" w:hAnsi="宋体" w:cs="宋体"/>
          <w:color w:val="auto"/>
          <w:szCs w:val="21"/>
          <w:highlight w:val="none"/>
          <w:lang w:val="en-US" w:eastAsia="zh-CN"/>
        </w:rPr>
        <w:t>1～015</w:t>
      </w:r>
      <w:r>
        <w:rPr>
          <w:rFonts w:hint="eastAsia" w:ascii="宋体" w:hAnsi="宋体" w:cs="宋体"/>
          <w:color w:val="auto"/>
          <w:szCs w:val="21"/>
          <w:highlight w:val="none"/>
          <w:lang w:eastAsia="zh-CN"/>
        </w:rPr>
        <w:t>）</w:t>
      </w:r>
    </w:p>
    <w:bookmarkEnd w:id="18"/>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lang w:eastAsia="zh-CN"/>
        </w:rPr>
        <w:t>口腔医学院口腔数字化虚拟仿真培训系统、蛋白自动纯化设备等采购</w:t>
      </w:r>
    </w:p>
    <w:bookmarkEnd w:id="17"/>
    <w:p>
      <w:pPr>
        <w:spacing w:line="360" w:lineRule="auto"/>
        <w:ind w:firstLine="420" w:firstLineChars="200"/>
        <w:rPr>
          <w:rFonts w:ascii="宋体" w:hAnsi="宋体" w:cs="宋体"/>
          <w:color w:val="auto"/>
          <w:szCs w:val="21"/>
          <w:highlight w:val="none"/>
        </w:rPr>
      </w:pPr>
      <w:bookmarkStart w:id="19" w:name="PO_3000001867_PM001392"/>
      <w:r>
        <w:rPr>
          <w:rFonts w:hint="eastAsia" w:ascii="宋体" w:hAnsi="宋体" w:cs="宋体"/>
          <w:color w:val="auto"/>
          <w:szCs w:val="21"/>
          <w:highlight w:val="none"/>
        </w:rPr>
        <w:t>预算总金额（元）：</w:t>
      </w:r>
      <w:bookmarkEnd w:id="19"/>
      <w:r>
        <w:rPr>
          <w:rFonts w:ascii="宋体" w:hAnsi="宋体" w:cs="宋体"/>
          <w:color w:val="auto"/>
          <w:szCs w:val="21"/>
          <w:highlight w:val="none"/>
        </w:rPr>
        <w:t>3672980.00</w:t>
      </w:r>
      <w:r>
        <w:rPr>
          <w:rFonts w:hint="eastAsia" w:ascii="宋体" w:hAnsi="宋体" w:cs="宋体"/>
          <w:color w:val="auto"/>
          <w:szCs w:val="21"/>
          <w:highlight w:val="none"/>
        </w:rPr>
        <w:t>；其中标项一：</w:t>
      </w:r>
      <w:bookmarkStart w:id="20" w:name="_Hlk159164513"/>
      <w:r>
        <w:rPr>
          <w:rFonts w:ascii="宋体" w:hAnsi="宋体" w:cs="宋体"/>
          <w:color w:val="auto"/>
          <w:szCs w:val="21"/>
          <w:highlight w:val="none"/>
        </w:rPr>
        <w:t>2372980.00</w:t>
      </w:r>
      <w:bookmarkEnd w:id="20"/>
      <w:r>
        <w:rPr>
          <w:rFonts w:hint="eastAsia" w:ascii="宋体" w:hAnsi="宋体" w:cs="宋体"/>
          <w:color w:val="auto"/>
          <w:szCs w:val="21"/>
          <w:highlight w:val="none"/>
        </w:rPr>
        <w:t>；标项二：1</w:t>
      </w:r>
      <w:r>
        <w:rPr>
          <w:rFonts w:ascii="宋体" w:hAnsi="宋体" w:cs="宋体"/>
          <w:color w:val="auto"/>
          <w:szCs w:val="21"/>
          <w:highlight w:val="none"/>
        </w:rPr>
        <w:t>300000</w:t>
      </w:r>
      <w:r>
        <w:rPr>
          <w:rFonts w:hint="eastAsia" w:ascii="宋体" w:hAnsi="宋体" w:cs="宋体"/>
          <w:color w:val="auto"/>
          <w:szCs w:val="21"/>
          <w:highlight w:val="none"/>
        </w:rPr>
        <w:t>.00；</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采购需求：</w:t>
      </w:r>
      <w:bookmarkStart w:id="21" w:name="PO_3000001867_PM004"/>
    </w:p>
    <w:bookmarkEnd w:id="21"/>
    <w:p>
      <w:pPr>
        <w:spacing w:line="288" w:lineRule="auto"/>
        <w:ind w:left="420" w:leftChars="200"/>
        <w:rPr>
          <w:rFonts w:ascii="宋体" w:hAnsi="宋体" w:cs="宋体"/>
          <w:color w:val="auto"/>
          <w:szCs w:val="21"/>
          <w:highlight w:val="none"/>
        </w:rPr>
      </w:pPr>
      <w:bookmarkStart w:id="22" w:name="_Toc28359080"/>
      <w:bookmarkStart w:id="23" w:name="_Toc28359003"/>
      <w:bookmarkStart w:id="24" w:name="_Toc35393622"/>
      <w:bookmarkStart w:id="25" w:name="_Toc35393791"/>
      <w:r>
        <w:rPr>
          <w:rFonts w:hint="eastAsia" w:ascii="宋体" w:hAnsi="宋体" w:cs="宋体"/>
          <w:b/>
          <w:bCs/>
          <w:color w:val="auto"/>
          <w:szCs w:val="21"/>
          <w:highlight w:val="none"/>
        </w:rPr>
        <w:t>标项一</w:t>
      </w:r>
      <w:r>
        <w:rPr>
          <w:rFonts w:hint="eastAsia" w:ascii="宋体" w:hAnsi="宋体" w:cs="宋体"/>
          <w:b/>
          <w:bCs/>
          <w:color w:val="auto"/>
          <w:szCs w:val="21"/>
          <w:highlight w:val="none"/>
        </w:rPr>
        <w:br w:type="textWrapping"/>
      </w:r>
      <w:r>
        <w:rPr>
          <w:rFonts w:hint="eastAsia" w:ascii="宋体" w:hAnsi="宋体" w:cs="宋体"/>
          <w:color w:val="auto"/>
          <w:szCs w:val="21"/>
          <w:highlight w:val="none"/>
        </w:rPr>
        <w:t>标项名称：A分标</w:t>
      </w:r>
      <w:r>
        <w:rPr>
          <w:rFonts w:hint="eastAsia" w:ascii="宋体" w:hAnsi="宋体" w:cs="宋体"/>
          <w:color w:val="auto"/>
          <w:szCs w:val="21"/>
          <w:highlight w:val="none"/>
        </w:rPr>
        <w:br w:type="textWrapping"/>
      </w:r>
      <w:r>
        <w:rPr>
          <w:rFonts w:hint="eastAsia" w:ascii="宋体" w:hAnsi="宋体" w:cs="宋体"/>
          <w:color w:val="auto"/>
          <w:szCs w:val="21"/>
          <w:highlight w:val="none"/>
        </w:rPr>
        <w:t>数量：1</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 xml:space="preserve">    </w:t>
      </w:r>
      <w:r>
        <w:rPr>
          <w:rFonts w:hint="eastAsia" w:ascii="宋体" w:hAnsi="宋体" w:cs="宋体"/>
          <w:color w:val="auto"/>
          <w:szCs w:val="21"/>
          <w:highlight w:val="none"/>
        </w:rPr>
        <w:br w:type="textWrapping"/>
      </w:r>
      <w:r>
        <w:rPr>
          <w:rFonts w:hint="eastAsia" w:ascii="宋体" w:hAnsi="宋体" w:cs="宋体"/>
          <w:color w:val="auto"/>
          <w:szCs w:val="21"/>
          <w:highlight w:val="none"/>
        </w:rPr>
        <w:t>预算金额（元）：</w:t>
      </w:r>
      <w:r>
        <w:rPr>
          <w:rFonts w:ascii="宋体" w:hAnsi="宋体" w:cs="宋体"/>
          <w:color w:val="auto"/>
          <w:szCs w:val="21"/>
          <w:highlight w:val="none"/>
        </w:rPr>
        <w:t>2372980.00</w:t>
      </w:r>
      <w:r>
        <w:rPr>
          <w:rFonts w:hint="eastAsia" w:ascii="宋体" w:hAnsi="宋体" w:cs="宋体"/>
          <w:color w:val="auto"/>
          <w:szCs w:val="21"/>
          <w:highlight w:val="none"/>
        </w:rPr>
        <w:t>；</w:t>
      </w:r>
      <w:r>
        <w:rPr>
          <w:rFonts w:hint="eastAsia" w:ascii="宋体" w:hAnsi="宋体" w:cs="宋体"/>
          <w:color w:val="auto"/>
          <w:szCs w:val="21"/>
          <w:highlight w:val="none"/>
        </w:rPr>
        <w:br w:type="textWrapping"/>
      </w:r>
      <w:r>
        <w:rPr>
          <w:rFonts w:hint="eastAsia" w:ascii="宋体" w:hAnsi="宋体" w:cs="宋体"/>
          <w:color w:val="auto"/>
          <w:szCs w:val="21"/>
          <w:highlight w:val="none"/>
        </w:rPr>
        <w:t>简要规格描述或项目基本概况介绍、用途：详见本招标公告附件《采购需求》。</w:t>
      </w:r>
    </w:p>
    <w:p>
      <w:pPr>
        <w:spacing w:line="28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最高限价（如有）：</w:t>
      </w:r>
      <w:r>
        <w:rPr>
          <w:rFonts w:ascii="宋体" w:hAnsi="宋体" w:cs="宋体"/>
          <w:color w:val="auto"/>
          <w:szCs w:val="21"/>
          <w:highlight w:val="none"/>
        </w:rPr>
        <w:t>2372980.00</w:t>
      </w:r>
      <w:r>
        <w:rPr>
          <w:rFonts w:hint="eastAsia" w:ascii="宋体" w:hAnsi="宋体" w:cs="宋体"/>
          <w:color w:val="auto"/>
          <w:szCs w:val="21"/>
          <w:highlight w:val="none"/>
        </w:rPr>
        <w:t>；</w:t>
      </w:r>
    </w:p>
    <w:p>
      <w:pPr>
        <w:spacing w:line="28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合同履约期限：非进口货物自合同签订之日起30个工作日内交货，进口货物自合同签订之日起90个工作日内交货</w:t>
      </w:r>
    </w:p>
    <w:p>
      <w:pPr>
        <w:spacing w:line="288" w:lineRule="auto"/>
        <w:ind w:left="420" w:leftChars="200"/>
        <w:rPr>
          <w:rFonts w:ascii="宋体" w:hAnsi="宋体" w:cs="宋体"/>
          <w:color w:val="auto"/>
          <w:szCs w:val="21"/>
          <w:highlight w:val="none"/>
        </w:rPr>
      </w:pPr>
      <w:r>
        <w:rPr>
          <w:rFonts w:hint="eastAsia" w:ascii="宋体" w:hAnsi="宋体" w:cs="宋体"/>
          <w:color w:val="auto"/>
          <w:szCs w:val="21"/>
          <w:highlight w:val="none"/>
        </w:rPr>
        <w:t>本标项（否）接受联合体投标</w:t>
      </w:r>
      <w:r>
        <w:rPr>
          <w:rFonts w:hint="eastAsia" w:ascii="宋体" w:hAnsi="宋体" w:cs="宋体"/>
          <w:color w:val="auto"/>
          <w:szCs w:val="21"/>
          <w:highlight w:val="none"/>
        </w:rPr>
        <w:br w:type="textWrapping"/>
      </w:r>
      <w:r>
        <w:rPr>
          <w:rFonts w:hint="eastAsia" w:ascii="宋体" w:hAnsi="宋体" w:cs="宋体"/>
          <w:color w:val="auto"/>
          <w:szCs w:val="21"/>
          <w:highlight w:val="none"/>
        </w:rPr>
        <w:t>备注：</w:t>
      </w:r>
    </w:p>
    <w:p>
      <w:pPr>
        <w:spacing w:line="288" w:lineRule="auto"/>
        <w:ind w:left="420" w:leftChars="200"/>
        <w:rPr>
          <w:rFonts w:ascii="宋体" w:hAnsi="宋体" w:cs="宋体"/>
          <w:color w:val="auto"/>
          <w:szCs w:val="21"/>
          <w:highlight w:val="none"/>
        </w:rPr>
      </w:pPr>
      <w:r>
        <w:rPr>
          <w:rFonts w:hint="eastAsia" w:ascii="宋体" w:hAnsi="宋体" w:cs="宋体"/>
          <w:b/>
          <w:bCs/>
          <w:color w:val="auto"/>
          <w:szCs w:val="21"/>
          <w:highlight w:val="none"/>
        </w:rPr>
        <w:t>标项二</w:t>
      </w:r>
      <w:r>
        <w:rPr>
          <w:rFonts w:hint="eastAsia" w:ascii="宋体" w:hAnsi="宋体" w:cs="宋体"/>
          <w:b/>
          <w:bCs/>
          <w:color w:val="auto"/>
          <w:szCs w:val="21"/>
          <w:highlight w:val="none"/>
        </w:rPr>
        <w:br w:type="textWrapping"/>
      </w:r>
      <w:r>
        <w:rPr>
          <w:rFonts w:hint="eastAsia" w:ascii="宋体" w:hAnsi="宋体" w:cs="宋体"/>
          <w:color w:val="auto"/>
          <w:szCs w:val="21"/>
          <w:highlight w:val="none"/>
        </w:rPr>
        <w:t>标项名称：B分标</w:t>
      </w:r>
      <w:r>
        <w:rPr>
          <w:rFonts w:hint="eastAsia" w:ascii="宋体" w:hAnsi="宋体" w:cs="宋体"/>
          <w:color w:val="auto"/>
          <w:szCs w:val="21"/>
          <w:highlight w:val="none"/>
        </w:rPr>
        <w:br w:type="textWrapping"/>
      </w:r>
      <w:r>
        <w:rPr>
          <w:rFonts w:hint="eastAsia" w:ascii="宋体" w:hAnsi="宋体" w:cs="宋体"/>
          <w:color w:val="auto"/>
          <w:szCs w:val="21"/>
          <w:highlight w:val="none"/>
        </w:rPr>
        <w:t>数量：</w:t>
      </w:r>
      <w:r>
        <w:rPr>
          <w:rFonts w:ascii="宋体" w:hAnsi="宋体" w:cs="宋体"/>
          <w:color w:val="auto"/>
          <w:szCs w:val="21"/>
          <w:highlight w:val="none"/>
        </w:rPr>
        <w:t>2</w:t>
      </w:r>
      <w:r>
        <w:rPr>
          <w:rFonts w:hint="eastAsia" w:ascii="宋体" w:hAnsi="宋体" w:cs="宋体"/>
          <w:color w:val="auto"/>
          <w:szCs w:val="21"/>
          <w:highlight w:val="none"/>
        </w:rPr>
        <w:t xml:space="preserve">  </w:t>
      </w:r>
      <w:r>
        <w:rPr>
          <w:rFonts w:hint="eastAsia" w:ascii="宋体" w:hAnsi="宋体" w:cs="宋体"/>
          <w:color w:val="auto"/>
          <w:szCs w:val="21"/>
          <w:highlight w:val="none"/>
        </w:rPr>
        <w:br w:type="textWrapping"/>
      </w:r>
      <w:r>
        <w:rPr>
          <w:rFonts w:hint="eastAsia" w:ascii="宋体" w:hAnsi="宋体" w:cs="宋体"/>
          <w:color w:val="auto"/>
          <w:szCs w:val="21"/>
          <w:highlight w:val="none"/>
        </w:rPr>
        <w:t>预算金额（元）：</w:t>
      </w:r>
      <w:r>
        <w:rPr>
          <w:rFonts w:ascii="宋体" w:hAnsi="宋体" w:cs="宋体"/>
          <w:color w:val="auto"/>
          <w:szCs w:val="21"/>
          <w:highlight w:val="none"/>
        </w:rPr>
        <w:t>1300000</w:t>
      </w:r>
      <w:r>
        <w:rPr>
          <w:rFonts w:hint="eastAsia" w:ascii="宋体" w:hAnsi="宋体" w:cs="宋体"/>
          <w:color w:val="auto"/>
          <w:szCs w:val="21"/>
          <w:highlight w:val="none"/>
        </w:rPr>
        <w:t>.00；</w:t>
      </w:r>
      <w:r>
        <w:rPr>
          <w:rFonts w:hint="eastAsia" w:ascii="宋体" w:hAnsi="宋体" w:cs="宋体"/>
          <w:color w:val="auto"/>
          <w:szCs w:val="21"/>
          <w:highlight w:val="none"/>
        </w:rPr>
        <w:br w:type="textWrapping"/>
      </w:r>
      <w:r>
        <w:rPr>
          <w:rFonts w:hint="eastAsia" w:ascii="宋体" w:hAnsi="宋体" w:cs="宋体"/>
          <w:color w:val="auto"/>
          <w:szCs w:val="21"/>
          <w:highlight w:val="none"/>
        </w:rPr>
        <w:t>简要规格描述或项目基本概况介绍、用途：详见本招标公告附件《采购需求》。</w:t>
      </w:r>
    </w:p>
    <w:p>
      <w:pPr>
        <w:spacing w:line="28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最高限价（如有）：</w:t>
      </w:r>
      <w:r>
        <w:rPr>
          <w:rFonts w:ascii="宋体" w:hAnsi="宋体" w:cs="宋体"/>
          <w:color w:val="auto"/>
          <w:szCs w:val="21"/>
          <w:highlight w:val="none"/>
        </w:rPr>
        <w:t>1300000</w:t>
      </w:r>
      <w:r>
        <w:rPr>
          <w:rFonts w:hint="eastAsia" w:ascii="宋体" w:hAnsi="宋体" w:cs="宋体"/>
          <w:color w:val="auto"/>
          <w:szCs w:val="21"/>
          <w:highlight w:val="none"/>
        </w:rPr>
        <w:t>.00；</w:t>
      </w:r>
    </w:p>
    <w:p>
      <w:pPr>
        <w:spacing w:line="28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合同履约期限：</w:t>
      </w:r>
      <w:r>
        <w:rPr>
          <w:rFonts w:hint="eastAsia" w:ascii="宋体" w:hAnsi="宋体" w:cs="宋体"/>
          <w:color w:val="auto"/>
          <w:szCs w:val="21"/>
          <w:highlight w:val="none"/>
          <w:u w:val="none"/>
        </w:rPr>
        <w:t>合同签订后，接到采购人书面通知进场安装起</w:t>
      </w:r>
      <w:r>
        <w:rPr>
          <w:rFonts w:hint="eastAsia" w:ascii="宋体" w:hAnsi="宋体" w:cs="宋体"/>
          <w:color w:val="auto"/>
          <w:szCs w:val="21"/>
          <w:highlight w:val="none"/>
          <w:u w:val="none"/>
          <w:lang w:val="en-US" w:eastAsia="zh-CN"/>
        </w:rPr>
        <w:t>30</w:t>
      </w:r>
      <w:r>
        <w:rPr>
          <w:rFonts w:hint="eastAsia" w:ascii="宋体" w:hAnsi="宋体" w:cs="宋体"/>
          <w:color w:val="auto"/>
          <w:szCs w:val="21"/>
          <w:highlight w:val="none"/>
          <w:u w:val="none"/>
        </w:rPr>
        <w:t>个日历日内安装调试完毕</w:t>
      </w:r>
    </w:p>
    <w:p>
      <w:pPr>
        <w:spacing w:line="288" w:lineRule="auto"/>
        <w:ind w:left="420" w:leftChars="200"/>
        <w:rPr>
          <w:rFonts w:ascii="宋体" w:hAnsi="宋体" w:cs="宋体"/>
          <w:color w:val="auto"/>
          <w:szCs w:val="21"/>
          <w:highlight w:val="none"/>
        </w:rPr>
      </w:pPr>
      <w:r>
        <w:rPr>
          <w:rFonts w:hint="eastAsia" w:ascii="宋体" w:hAnsi="宋体" w:cs="宋体"/>
          <w:color w:val="auto"/>
          <w:szCs w:val="21"/>
          <w:highlight w:val="none"/>
        </w:rPr>
        <w:t>本标项（否）接受联合体投标</w:t>
      </w:r>
      <w:r>
        <w:rPr>
          <w:rFonts w:hint="eastAsia" w:ascii="宋体" w:hAnsi="宋体" w:cs="宋体"/>
          <w:color w:val="auto"/>
          <w:szCs w:val="21"/>
          <w:highlight w:val="none"/>
        </w:rPr>
        <w:br w:type="textWrapping"/>
      </w:r>
      <w:r>
        <w:rPr>
          <w:rFonts w:hint="eastAsia" w:ascii="宋体" w:hAnsi="宋体" w:cs="宋体"/>
          <w:color w:val="auto"/>
          <w:szCs w:val="21"/>
          <w:highlight w:val="none"/>
        </w:rPr>
        <w:t>备注：</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二、申请人的资格要求：</w:t>
      </w:r>
      <w:bookmarkEnd w:id="22"/>
      <w:bookmarkEnd w:id="23"/>
      <w:bookmarkEnd w:id="24"/>
      <w:bookmarkEnd w:id="25"/>
    </w:p>
    <w:p>
      <w:pPr>
        <w:spacing w:line="360" w:lineRule="auto"/>
        <w:ind w:firstLine="420" w:firstLineChars="200"/>
        <w:rPr>
          <w:rFonts w:ascii="宋体" w:hAnsi="宋体" w:cs="宋体"/>
          <w:color w:val="auto"/>
          <w:szCs w:val="21"/>
          <w:highlight w:val="none"/>
        </w:rPr>
      </w:pPr>
      <w:bookmarkStart w:id="26" w:name="_Hlk51746371"/>
      <w:bookmarkStart w:id="27" w:name="_Toc28359081"/>
      <w:bookmarkStart w:id="28" w:name="_Toc28359004"/>
      <w:r>
        <w:rPr>
          <w:rFonts w:hint="eastAsia" w:ascii="宋体" w:hAnsi="宋体" w:cs="宋体"/>
          <w:color w:val="auto"/>
          <w:szCs w:val="21"/>
          <w:highlight w:val="none"/>
        </w:rPr>
        <w:t>1.满足《中华人民共和国政府采购法》第二十二条规定；</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2.落实政府采购政策需满足的资格要求：本项目为专门面向中小企业采购的项目。投标人必须提供中小企业声明函或者残疾人福利性单位声明函（格式后附）或者供应商属于监狱企业的需提供由省级以上监狱管理局、戒毒管理局（含新疆生产建设兵团）出具的属于监狱企业的证明文件；</w:t>
      </w:r>
    </w:p>
    <w:bookmarkEnd w:id="26"/>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3.本项目的特定资格要求：无。</w:t>
      </w:r>
    </w:p>
    <w:p>
      <w:pPr>
        <w:spacing w:line="360" w:lineRule="auto"/>
        <w:rPr>
          <w:rFonts w:ascii="宋体" w:hAnsi="宋体" w:cs="宋体"/>
          <w:b/>
          <w:bCs/>
          <w:color w:val="auto"/>
          <w:sz w:val="24"/>
          <w:highlight w:val="none"/>
        </w:rPr>
      </w:pPr>
      <w:bookmarkStart w:id="29" w:name="_Toc35393792"/>
      <w:bookmarkStart w:id="30" w:name="_Toc35393623"/>
      <w:r>
        <w:rPr>
          <w:rFonts w:hint="eastAsia" w:ascii="宋体" w:hAnsi="宋体" w:cs="宋体"/>
          <w:b/>
          <w:bCs/>
          <w:color w:val="auto"/>
          <w:sz w:val="24"/>
          <w:highlight w:val="none"/>
        </w:rPr>
        <w:t>三、获取招标文件</w:t>
      </w:r>
      <w:bookmarkEnd w:id="27"/>
      <w:bookmarkEnd w:id="28"/>
      <w:bookmarkEnd w:id="29"/>
      <w:bookmarkEnd w:id="30"/>
    </w:p>
    <w:p>
      <w:pPr>
        <w:spacing w:line="360" w:lineRule="auto"/>
        <w:ind w:firstLine="540"/>
        <w:rPr>
          <w:rFonts w:hint="eastAsia" w:ascii="宋体" w:hAnsi="宋体" w:cs="宋体"/>
          <w:color w:val="auto"/>
          <w:szCs w:val="21"/>
          <w:highlight w:val="none"/>
        </w:rPr>
      </w:pPr>
      <w:bookmarkStart w:id="31" w:name="_Toc28359005"/>
      <w:bookmarkStart w:id="32" w:name="_Toc28359082"/>
      <w:bookmarkStart w:id="33" w:name="_Toc35393624"/>
      <w:bookmarkStart w:id="34" w:name="_Toc35393793"/>
      <w:r>
        <w:rPr>
          <w:rFonts w:hint="eastAsia" w:ascii="宋体" w:hAnsi="宋体" w:cs="宋体"/>
          <w:color w:val="auto"/>
          <w:szCs w:val="21"/>
          <w:highlight w:val="none"/>
        </w:rPr>
        <w:t>时间：</w:t>
      </w:r>
      <w:r>
        <w:rPr>
          <w:rFonts w:hint="eastAsia" w:ascii="宋体" w:hAnsi="宋体" w:cs="宋体"/>
          <w:bCs/>
          <w:color w:val="auto"/>
          <w:kern w:val="0"/>
          <w:szCs w:val="21"/>
          <w:highlight w:val="none"/>
        </w:rPr>
        <w:t>2024年</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月</w:t>
      </w:r>
      <w:r>
        <w:rPr>
          <w:rFonts w:hint="eastAsia" w:ascii="宋体" w:hAnsi="宋体" w:cs="宋体"/>
          <w:bCs/>
          <w:color w:val="auto"/>
          <w:kern w:val="0"/>
          <w:szCs w:val="21"/>
          <w:highlight w:val="none"/>
          <w:lang w:val="en-US" w:eastAsia="zh-CN"/>
        </w:rPr>
        <w:t>13</w:t>
      </w:r>
      <w:r>
        <w:rPr>
          <w:rFonts w:hint="eastAsia" w:ascii="宋体" w:hAnsi="宋体" w:cs="宋体"/>
          <w:bCs/>
          <w:color w:val="auto"/>
          <w:kern w:val="0"/>
          <w:szCs w:val="21"/>
          <w:highlight w:val="none"/>
        </w:rPr>
        <w:t>日至2024年</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月</w:t>
      </w:r>
      <w:r>
        <w:rPr>
          <w:rFonts w:hint="eastAsia" w:ascii="宋体" w:hAnsi="宋体" w:cs="宋体"/>
          <w:bCs/>
          <w:color w:val="auto"/>
          <w:kern w:val="0"/>
          <w:szCs w:val="21"/>
          <w:highlight w:val="none"/>
          <w:lang w:val="en-US" w:eastAsia="zh-CN"/>
        </w:rPr>
        <w:t>20</w:t>
      </w:r>
      <w:r>
        <w:rPr>
          <w:rFonts w:hint="eastAsia" w:ascii="宋体" w:hAnsi="宋体" w:cs="宋体"/>
          <w:bCs/>
          <w:color w:val="auto"/>
          <w:kern w:val="0"/>
          <w:szCs w:val="21"/>
          <w:highlight w:val="none"/>
        </w:rPr>
        <w:t>日，</w:t>
      </w:r>
      <w:r>
        <w:rPr>
          <w:rFonts w:hint="eastAsia" w:ascii="宋体" w:hAnsi="宋体"/>
          <w:color w:val="auto"/>
          <w:szCs w:val="21"/>
          <w:highlight w:val="none"/>
        </w:rPr>
        <w:t>每天上午00:00至11:59，下午12:00至23:59（北京时间，法定节假日除外）</w:t>
      </w:r>
      <w:r>
        <w:rPr>
          <w:rFonts w:hint="eastAsia" w:ascii="宋体" w:hAnsi="宋体" w:cs="宋体"/>
          <w:color w:val="auto"/>
          <w:szCs w:val="21"/>
          <w:highlight w:val="none"/>
        </w:rPr>
        <w:t>。</w:t>
      </w:r>
    </w:p>
    <w:p>
      <w:pPr>
        <w:spacing w:line="360" w:lineRule="auto"/>
        <w:ind w:firstLine="540"/>
        <w:rPr>
          <w:rFonts w:hint="eastAsia" w:ascii="宋体" w:hAnsi="宋体" w:cs="宋体"/>
          <w:color w:val="auto"/>
          <w:szCs w:val="21"/>
          <w:highlight w:val="none"/>
        </w:rPr>
      </w:pPr>
      <w:r>
        <w:rPr>
          <w:rFonts w:hint="eastAsia" w:ascii="宋体" w:hAnsi="宋体" w:cs="宋体"/>
          <w:color w:val="auto"/>
          <w:szCs w:val="21"/>
          <w:highlight w:val="none"/>
        </w:rPr>
        <w:t>地点：广西政府采购云平台（https://www.gcy.zfcg.gxzf.gov.cn/）</w:t>
      </w:r>
    </w:p>
    <w:p>
      <w:pPr>
        <w:spacing w:line="360" w:lineRule="auto"/>
        <w:ind w:firstLine="540"/>
        <w:rPr>
          <w:rFonts w:hint="eastAsia" w:ascii="宋体" w:hAnsi="宋体" w:cs="宋体"/>
          <w:color w:val="auto"/>
          <w:szCs w:val="21"/>
          <w:highlight w:val="none"/>
        </w:rPr>
      </w:pPr>
      <w:r>
        <w:rPr>
          <w:rFonts w:hint="eastAsia" w:ascii="宋体" w:hAnsi="宋体" w:cs="宋体"/>
          <w:color w:val="auto"/>
          <w:szCs w:val="21"/>
          <w:highlight w:val="none"/>
        </w:rPr>
        <w:t>方式</w:t>
      </w:r>
      <w:r>
        <w:rPr>
          <w:rFonts w:hint="eastAsia" w:ascii="宋体" w:hAnsi="宋体" w:cs="宋体"/>
          <w:color w:val="auto"/>
          <w:szCs w:val="21"/>
          <w:highlight w:val="none"/>
          <w:lang w:eastAsia="zh-CN"/>
        </w:rPr>
        <w:t>：本项目不发放纸质文件，潜在投标人可自行在</w:t>
      </w:r>
      <w:r>
        <w:rPr>
          <w:rFonts w:hint="eastAsia" w:ascii="宋体" w:hAnsi="宋体" w:cs="宋体"/>
          <w:color w:val="auto"/>
          <w:szCs w:val="21"/>
          <w:highlight w:val="none"/>
          <w:lang w:val="en-US" w:eastAsia="zh-CN"/>
        </w:rPr>
        <w:t>广西政府采购云平台</w:t>
      </w:r>
      <w:r>
        <w:rPr>
          <w:rFonts w:hint="eastAsia" w:ascii="宋体" w:hAnsi="宋体" w:cs="宋体"/>
          <w:color w:val="auto"/>
          <w:szCs w:val="21"/>
          <w:highlight w:val="none"/>
          <w:lang w:eastAsia="zh-CN"/>
        </w:rPr>
        <w:t>（https://www.gcy.zfcg.gxzf.gov.cn/）下载招标文件（操作路径：登录</w:t>
      </w:r>
      <w:r>
        <w:rPr>
          <w:rFonts w:hint="eastAsia" w:ascii="宋体" w:hAnsi="宋体" w:cs="宋体"/>
          <w:color w:val="auto"/>
          <w:szCs w:val="21"/>
          <w:highlight w:val="none"/>
          <w:lang w:val="en-US" w:eastAsia="zh-CN"/>
        </w:rPr>
        <w:t>广西政府采购云平台</w:t>
      </w:r>
      <w:r>
        <w:rPr>
          <w:rFonts w:hint="eastAsia" w:ascii="宋体" w:hAnsi="宋体" w:cs="宋体"/>
          <w:color w:val="auto"/>
          <w:szCs w:val="21"/>
          <w:highlight w:val="none"/>
          <w:lang w:eastAsia="zh-CN"/>
        </w:rPr>
        <w:t>-项目采购-获取采购文件-找到本项目-点击“申请获取采购文件”），电子投标文件制作需要基于</w:t>
      </w:r>
      <w:r>
        <w:rPr>
          <w:rFonts w:hint="eastAsia" w:ascii="宋体" w:hAnsi="宋体" w:cs="宋体"/>
          <w:color w:val="auto"/>
          <w:szCs w:val="21"/>
          <w:highlight w:val="none"/>
          <w:lang w:val="en-US" w:eastAsia="zh-CN"/>
        </w:rPr>
        <w:t>广西政府采购云平台</w:t>
      </w:r>
      <w:r>
        <w:rPr>
          <w:rFonts w:hint="eastAsia" w:ascii="宋体" w:hAnsi="宋体" w:cs="宋体"/>
          <w:color w:val="auto"/>
          <w:szCs w:val="21"/>
          <w:highlight w:val="none"/>
          <w:lang w:eastAsia="zh-CN"/>
        </w:rPr>
        <w:t>获取的招标文件编制</w:t>
      </w:r>
      <w:r>
        <w:rPr>
          <w:rFonts w:hint="eastAsia" w:ascii="宋体" w:hAnsi="宋体" w:cs="宋体"/>
          <w:color w:val="auto"/>
          <w:szCs w:val="21"/>
          <w:highlight w:val="none"/>
        </w:rPr>
        <w:t>。</w:t>
      </w:r>
    </w:p>
    <w:p>
      <w:pPr>
        <w:spacing w:line="360" w:lineRule="auto"/>
        <w:ind w:firstLine="540"/>
        <w:rPr>
          <w:rFonts w:ascii="宋体" w:hAnsi="宋体" w:cs="宋体"/>
          <w:color w:val="auto"/>
          <w:szCs w:val="21"/>
          <w:highlight w:val="none"/>
        </w:rPr>
      </w:pPr>
      <w:r>
        <w:rPr>
          <w:rFonts w:hint="eastAsia" w:ascii="宋体" w:hAnsi="宋体" w:cs="宋体"/>
          <w:color w:val="auto"/>
          <w:szCs w:val="21"/>
          <w:highlight w:val="none"/>
        </w:rPr>
        <w:t>售价：人民币0元。</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四、提交投标文件</w:t>
      </w:r>
      <w:bookmarkEnd w:id="31"/>
      <w:bookmarkEnd w:id="32"/>
      <w:r>
        <w:rPr>
          <w:rFonts w:hint="eastAsia" w:ascii="宋体" w:hAnsi="宋体" w:cs="宋体"/>
          <w:b/>
          <w:bCs/>
          <w:color w:val="auto"/>
          <w:sz w:val="24"/>
          <w:highlight w:val="none"/>
        </w:rPr>
        <w:t>截止时间、开标时间和地点</w:t>
      </w:r>
      <w:bookmarkEnd w:id="33"/>
      <w:bookmarkEnd w:id="34"/>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提交投标文件截止时间：2024年</w:t>
      </w:r>
      <w:r>
        <w:rPr>
          <w:rFonts w:hint="eastAsia" w:ascii="宋体" w:hAnsi="宋体" w:cs="宋体"/>
          <w:bCs/>
          <w:color w:val="auto"/>
          <w:szCs w:val="21"/>
          <w:highlight w:val="none"/>
          <w:lang w:val="en-US" w:eastAsia="zh-CN"/>
        </w:rPr>
        <w:t>4</w:t>
      </w:r>
      <w:r>
        <w:rPr>
          <w:rFonts w:hint="eastAsia" w:ascii="宋体" w:hAnsi="宋体" w:cs="宋体"/>
          <w:bCs/>
          <w:color w:val="auto"/>
          <w:szCs w:val="21"/>
          <w:highlight w:val="none"/>
        </w:rPr>
        <w:t>月</w:t>
      </w:r>
      <w:r>
        <w:rPr>
          <w:rFonts w:hint="eastAsia" w:ascii="宋体" w:hAnsi="宋体" w:cs="宋体"/>
          <w:bCs/>
          <w:color w:val="auto"/>
          <w:szCs w:val="21"/>
          <w:highlight w:val="none"/>
          <w:lang w:val="en-US" w:eastAsia="zh-CN"/>
        </w:rPr>
        <w:t>3</w:t>
      </w:r>
      <w:r>
        <w:rPr>
          <w:rFonts w:hint="eastAsia" w:ascii="宋体" w:hAnsi="宋体" w:cs="宋体"/>
          <w:bCs/>
          <w:color w:val="auto"/>
          <w:szCs w:val="21"/>
          <w:highlight w:val="none"/>
        </w:rPr>
        <w:t>日 09:30（北京时间）</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投标地点（网址）：广西政府采购云平台（https://www.gcy.zfcg.gxzf.gov.cn/） </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开标时间：2024年</w:t>
      </w:r>
      <w:r>
        <w:rPr>
          <w:rFonts w:hint="eastAsia" w:ascii="宋体" w:hAnsi="宋体" w:cs="宋体"/>
          <w:bCs/>
          <w:color w:val="auto"/>
          <w:szCs w:val="21"/>
          <w:highlight w:val="none"/>
          <w:lang w:val="en-US" w:eastAsia="zh-CN"/>
        </w:rPr>
        <w:t>4</w:t>
      </w:r>
      <w:r>
        <w:rPr>
          <w:rFonts w:hint="eastAsia" w:ascii="宋体" w:hAnsi="宋体" w:cs="宋体"/>
          <w:bCs/>
          <w:color w:val="auto"/>
          <w:szCs w:val="21"/>
          <w:highlight w:val="none"/>
        </w:rPr>
        <w:t>月</w:t>
      </w:r>
      <w:r>
        <w:rPr>
          <w:rFonts w:hint="eastAsia" w:ascii="宋体" w:hAnsi="宋体" w:cs="宋体"/>
          <w:bCs/>
          <w:color w:val="auto"/>
          <w:szCs w:val="21"/>
          <w:highlight w:val="none"/>
          <w:lang w:val="en-US" w:eastAsia="zh-CN"/>
        </w:rPr>
        <w:t>3</w:t>
      </w:r>
      <w:r>
        <w:rPr>
          <w:rFonts w:hint="eastAsia" w:ascii="宋体" w:hAnsi="宋体" w:cs="宋体"/>
          <w:bCs/>
          <w:color w:val="auto"/>
          <w:szCs w:val="21"/>
          <w:highlight w:val="none"/>
        </w:rPr>
        <w:t>日 09:30 </w:t>
      </w:r>
    </w:p>
    <w:p>
      <w:pPr>
        <w:spacing w:line="360" w:lineRule="auto"/>
        <w:ind w:firstLine="420" w:firstLineChars="200"/>
        <w:rPr>
          <w:rFonts w:ascii="宋体" w:hAnsi="宋体" w:cs="宋体"/>
          <w:color w:val="auto"/>
          <w:szCs w:val="21"/>
          <w:highlight w:val="none"/>
        </w:rPr>
      </w:pPr>
      <w:r>
        <w:rPr>
          <w:rFonts w:hint="eastAsia" w:ascii="宋体" w:hAnsi="宋体" w:cs="宋体"/>
          <w:bCs/>
          <w:color w:val="auto"/>
          <w:szCs w:val="21"/>
          <w:highlight w:val="none"/>
        </w:rPr>
        <w:t>开标地点：广西政府采购云平台电子开标大厅</w:t>
      </w:r>
    </w:p>
    <w:p>
      <w:pPr>
        <w:spacing w:line="360" w:lineRule="auto"/>
        <w:rPr>
          <w:rFonts w:ascii="宋体" w:hAnsi="宋体" w:cs="宋体"/>
          <w:b/>
          <w:bCs/>
          <w:color w:val="auto"/>
          <w:sz w:val="24"/>
          <w:highlight w:val="none"/>
        </w:rPr>
      </w:pPr>
      <w:bookmarkStart w:id="35" w:name="_Toc35393625"/>
      <w:bookmarkStart w:id="36" w:name="_Toc35393794"/>
      <w:bookmarkStart w:id="37" w:name="_Toc28359084"/>
      <w:bookmarkStart w:id="38" w:name="_Toc28359007"/>
      <w:r>
        <w:rPr>
          <w:rFonts w:hint="eastAsia" w:ascii="宋体" w:hAnsi="宋体" w:cs="宋体"/>
          <w:b/>
          <w:bCs/>
          <w:color w:val="auto"/>
          <w:sz w:val="24"/>
          <w:highlight w:val="none"/>
        </w:rPr>
        <w:t>五、公告期限</w:t>
      </w:r>
      <w:bookmarkEnd w:id="35"/>
      <w:bookmarkEnd w:id="36"/>
      <w:bookmarkEnd w:id="37"/>
      <w:bookmarkEnd w:id="38"/>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spacing w:line="360" w:lineRule="auto"/>
        <w:rPr>
          <w:rFonts w:ascii="宋体" w:hAnsi="宋体" w:cs="宋体"/>
          <w:b/>
          <w:bCs/>
          <w:color w:val="auto"/>
          <w:sz w:val="24"/>
          <w:highlight w:val="none"/>
        </w:rPr>
      </w:pPr>
      <w:bookmarkStart w:id="39" w:name="_Toc35393626"/>
      <w:bookmarkStart w:id="40" w:name="_Toc35393795"/>
      <w:r>
        <w:rPr>
          <w:rFonts w:hint="eastAsia" w:ascii="宋体" w:hAnsi="宋体" w:cs="宋体"/>
          <w:b/>
          <w:bCs/>
          <w:color w:val="auto"/>
          <w:sz w:val="24"/>
          <w:highlight w:val="none"/>
        </w:rPr>
        <w:t>六、其他补充事宜</w:t>
      </w:r>
      <w:bookmarkEnd w:id="39"/>
      <w:bookmarkEnd w:id="40"/>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1.投标保证金：</w:t>
      </w:r>
    </w:p>
    <w:p>
      <w:pPr>
        <w:spacing w:line="360" w:lineRule="auto"/>
        <w:ind w:firstLine="843" w:firstLineChars="400"/>
        <w:rPr>
          <w:rFonts w:ascii="宋体" w:hAnsi="宋体" w:cs="宋体"/>
          <w:b/>
          <w:bCs/>
          <w:color w:val="auto"/>
          <w:szCs w:val="21"/>
          <w:highlight w:val="none"/>
        </w:rPr>
      </w:pPr>
      <w:r>
        <w:rPr>
          <w:rFonts w:hint="eastAsia" w:ascii="宋体" w:hAnsi="宋体" w:cs="宋体"/>
          <w:b/>
          <w:bCs/>
          <w:color w:val="auto"/>
          <w:szCs w:val="21"/>
          <w:highlight w:val="none"/>
        </w:rPr>
        <w:t>本项目需要缴</w:t>
      </w:r>
      <w:r>
        <w:rPr>
          <w:rFonts w:hint="eastAsia" w:ascii="宋体" w:hAnsi="宋体" w:cs="宋体"/>
          <w:b/>
          <w:bCs/>
          <w:color w:val="auto"/>
          <w:kern w:val="0"/>
          <w:szCs w:val="21"/>
          <w:highlight w:val="none"/>
        </w:rPr>
        <w:t>纳</w:t>
      </w:r>
      <w:r>
        <w:rPr>
          <w:rFonts w:hint="eastAsia" w:ascii="宋体" w:hAnsi="宋体" w:cs="宋体"/>
          <w:b/>
          <w:bCs/>
          <w:color w:val="auto"/>
          <w:szCs w:val="21"/>
          <w:highlight w:val="none"/>
        </w:rPr>
        <w:t>投标保证金，相关要求：</w:t>
      </w:r>
    </w:p>
    <w:p>
      <w:pPr>
        <w:spacing w:line="360" w:lineRule="auto"/>
        <w:ind w:firstLine="840" w:firstLineChars="400"/>
        <w:rPr>
          <w:rFonts w:ascii="宋体" w:hAnsi="宋体" w:cs="宋体"/>
          <w:b/>
          <w:bCs/>
          <w:i/>
          <w:iCs/>
          <w:color w:val="auto"/>
          <w:kern w:val="0"/>
          <w:szCs w:val="21"/>
          <w:highlight w:val="none"/>
        </w:rPr>
      </w:pPr>
      <w:r>
        <w:rPr>
          <w:rFonts w:hint="eastAsia" w:ascii="宋体" w:hAnsi="宋体" w:cs="宋体"/>
          <w:color w:val="auto"/>
          <w:kern w:val="0"/>
          <w:szCs w:val="21"/>
          <w:highlight w:val="none"/>
        </w:rPr>
        <w:t>投标保证金金额：A分标：</w:t>
      </w:r>
      <w:r>
        <w:rPr>
          <w:rFonts w:hint="eastAsia" w:ascii="宋体" w:hAnsi="宋体" w:cs="宋体"/>
          <w:color w:val="auto"/>
          <w:szCs w:val="21"/>
          <w:highlight w:val="none"/>
        </w:rPr>
        <w:t>（大写）人民币</w:t>
      </w:r>
      <w:r>
        <w:rPr>
          <w:rFonts w:hint="eastAsia" w:ascii="宋体" w:hAnsi="宋体" w:cs="宋体"/>
          <w:color w:val="auto"/>
          <w:szCs w:val="21"/>
          <w:highlight w:val="none"/>
          <w:lang w:val="en-US" w:eastAsia="zh-CN"/>
        </w:rPr>
        <w:fldChar w:fldCharType="begin"/>
      </w:r>
      <w:r>
        <w:rPr>
          <w:rFonts w:hint="eastAsia" w:ascii="宋体" w:hAnsi="宋体" w:cs="宋体"/>
          <w:color w:val="auto"/>
          <w:szCs w:val="21"/>
          <w:highlight w:val="none"/>
          <w:lang w:val="en-US" w:eastAsia="zh-CN"/>
        </w:rPr>
        <w:instrText xml:space="preserve"> = 23000 \* CHINESENUM2 \* MERGEFORMAT </w:instrText>
      </w:r>
      <w:r>
        <w:rPr>
          <w:rFonts w:hint="eastAsia" w:ascii="宋体" w:hAnsi="宋体" w:cs="宋体"/>
          <w:color w:val="auto"/>
          <w:szCs w:val="21"/>
          <w:highlight w:val="none"/>
          <w:lang w:val="en-US" w:eastAsia="zh-CN"/>
        </w:rPr>
        <w:fldChar w:fldCharType="separate"/>
      </w:r>
      <w:r>
        <w:rPr>
          <w:highlight w:val="none"/>
        </w:rPr>
        <w:t>贰万叁仟</w:t>
      </w:r>
      <w:r>
        <w:rPr>
          <w:rFonts w:hint="eastAsia" w:ascii="宋体" w:hAnsi="宋体" w:cs="宋体"/>
          <w:color w:val="auto"/>
          <w:szCs w:val="21"/>
          <w:highlight w:val="none"/>
          <w:lang w:val="en-US" w:eastAsia="zh-CN"/>
        </w:rPr>
        <w:fldChar w:fldCharType="end"/>
      </w:r>
      <w:r>
        <w:rPr>
          <w:rFonts w:hint="eastAsia" w:ascii="宋体" w:hAnsi="宋体" w:cs="宋体"/>
          <w:color w:val="auto"/>
          <w:szCs w:val="21"/>
          <w:highlight w:val="none"/>
        </w:rPr>
        <w:t>元整（小写）¥</w:t>
      </w:r>
      <w:r>
        <w:rPr>
          <w:rFonts w:hint="eastAsia" w:ascii="宋体" w:hAnsi="宋体" w:cs="宋体"/>
          <w:color w:val="auto"/>
          <w:szCs w:val="21"/>
          <w:highlight w:val="none"/>
          <w:lang w:val="en-US" w:eastAsia="zh-CN"/>
        </w:rPr>
        <w:t>23000</w:t>
      </w:r>
      <w:r>
        <w:rPr>
          <w:rFonts w:hint="eastAsia" w:ascii="宋体" w:hAnsi="宋体" w:cs="宋体"/>
          <w:color w:val="auto"/>
          <w:szCs w:val="21"/>
          <w:highlight w:val="none"/>
        </w:rPr>
        <w:t>.00；</w:t>
      </w:r>
      <w:r>
        <w:rPr>
          <w:rFonts w:hint="eastAsia" w:ascii="宋体" w:hAnsi="宋体" w:cs="宋体"/>
          <w:color w:val="auto"/>
          <w:kern w:val="0"/>
          <w:szCs w:val="21"/>
          <w:highlight w:val="none"/>
        </w:rPr>
        <w:t>B分标：</w:t>
      </w:r>
      <w:r>
        <w:rPr>
          <w:rFonts w:hint="eastAsia" w:ascii="宋体" w:hAnsi="宋体" w:cs="宋体"/>
          <w:color w:val="auto"/>
          <w:szCs w:val="21"/>
          <w:highlight w:val="none"/>
        </w:rPr>
        <w:t>（大写）人民币</w:t>
      </w:r>
      <w:r>
        <w:rPr>
          <w:rFonts w:hint="eastAsia" w:ascii="宋体" w:hAnsi="宋体" w:cs="宋体"/>
          <w:color w:val="auto"/>
          <w:szCs w:val="21"/>
          <w:highlight w:val="none"/>
          <w:lang w:val="en-US" w:eastAsia="zh-CN"/>
        </w:rPr>
        <w:fldChar w:fldCharType="begin"/>
      </w:r>
      <w:r>
        <w:rPr>
          <w:rFonts w:hint="eastAsia" w:ascii="宋体" w:hAnsi="宋体" w:cs="宋体"/>
          <w:color w:val="auto"/>
          <w:szCs w:val="21"/>
          <w:highlight w:val="none"/>
          <w:lang w:val="en-US" w:eastAsia="zh-CN"/>
        </w:rPr>
        <w:instrText xml:space="preserve"> = 13000 \* CHINESENUM2 \* MERGEFORMAT </w:instrText>
      </w:r>
      <w:r>
        <w:rPr>
          <w:rFonts w:hint="eastAsia" w:ascii="宋体" w:hAnsi="宋体" w:cs="宋体"/>
          <w:color w:val="auto"/>
          <w:szCs w:val="21"/>
          <w:highlight w:val="none"/>
          <w:lang w:val="en-US" w:eastAsia="zh-CN"/>
        </w:rPr>
        <w:fldChar w:fldCharType="separate"/>
      </w:r>
      <w:r>
        <w:rPr>
          <w:highlight w:val="none"/>
        </w:rPr>
        <w:t>壹万叁仟</w:t>
      </w:r>
      <w:r>
        <w:rPr>
          <w:rFonts w:hint="eastAsia" w:ascii="宋体" w:hAnsi="宋体" w:cs="宋体"/>
          <w:color w:val="auto"/>
          <w:szCs w:val="21"/>
          <w:highlight w:val="none"/>
          <w:lang w:val="en-US" w:eastAsia="zh-CN"/>
        </w:rPr>
        <w:fldChar w:fldCharType="end"/>
      </w:r>
      <w:r>
        <w:rPr>
          <w:rFonts w:hint="eastAsia" w:ascii="宋体" w:hAnsi="宋体" w:cs="宋体"/>
          <w:color w:val="auto"/>
          <w:szCs w:val="21"/>
          <w:highlight w:val="none"/>
        </w:rPr>
        <w:t>元整（小写）¥</w:t>
      </w:r>
      <w:r>
        <w:rPr>
          <w:rFonts w:hint="eastAsia" w:ascii="宋体" w:hAnsi="宋体" w:cs="宋体"/>
          <w:color w:val="auto"/>
          <w:szCs w:val="21"/>
          <w:highlight w:val="none"/>
          <w:lang w:val="en-US" w:eastAsia="zh-CN"/>
        </w:rPr>
        <w:t>13000</w:t>
      </w:r>
      <w:r>
        <w:rPr>
          <w:rFonts w:hint="eastAsia" w:ascii="宋体" w:hAnsi="宋体" w:cs="宋体"/>
          <w:color w:val="auto"/>
          <w:szCs w:val="21"/>
          <w:highlight w:val="none"/>
        </w:rPr>
        <w:t>.00</w:t>
      </w:r>
      <w:r>
        <w:rPr>
          <w:rFonts w:hint="eastAsia" w:ascii="宋体" w:hAnsi="宋体" w:cs="宋体"/>
          <w:color w:val="auto"/>
          <w:kern w:val="0"/>
          <w:szCs w:val="21"/>
          <w:highlight w:val="none"/>
        </w:rPr>
        <w:t>。</w:t>
      </w:r>
    </w:p>
    <w:p>
      <w:pPr>
        <w:pStyle w:val="48"/>
        <w:spacing w:line="360" w:lineRule="auto"/>
        <w:ind w:firstLine="840" w:firstLineChars="400"/>
        <w:rPr>
          <w:rFonts w:ascii="宋体" w:hAnsi="宋体" w:cs="宋体"/>
          <w:color w:val="auto"/>
          <w:kern w:val="0"/>
          <w:szCs w:val="21"/>
          <w:highlight w:val="none"/>
        </w:rPr>
      </w:pPr>
      <w:r>
        <w:rPr>
          <w:rFonts w:hint="eastAsia" w:ascii="宋体" w:hAnsi="宋体" w:cs="宋体"/>
          <w:color w:val="auto"/>
          <w:kern w:val="0"/>
          <w:szCs w:val="21"/>
          <w:highlight w:val="none"/>
        </w:rPr>
        <w:t>投标保证金的缴纳方式：以银行转账、支票、汇票、本票或者金融机构、担保机构出具的保函等非现金形式提交。采用银行转账方式的，在投标截止时间前交至采购代理机构指定账户并且到账。缴纳投标保证金指定账户的信息：</w:t>
      </w:r>
    </w:p>
    <w:p>
      <w:pPr>
        <w:pStyle w:val="48"/>
        <w:spacing w:line="360" w:lineRule="auto"/>
        <w:ind w:left="495"/>
        <w:rPr>
          <w:rFonts w:ascii="宋体" w:hAnsi="宋体" w:cs="宋体"/>
          <w:color w:val="auto"/>
          <w:kern w:val="0"/>
          <w:szCs w:val="21"/>
          <w:highlight w:val="none"/>
        </w:rPr>
      </w:pPr>
      <w:r>
        <w:rPr>
          <w:rFonts w:hint="eastAsia" w:ascii="宋体" w:hAnsi="宋体" w:cs="宋体"/>
          <w:color w:val="auto"/>
          <w:kern w:val="0"/>
          <w:szCs w:val="21"/>
          <w:highlight w:val="none"/>
        </w:rPr>
        <w:t>开户银行：招商银行南宁市双拥路支行</w:t>
      </w:r>
    </w:p>
    <w:p>
      <w:pPr>
        <w:pStyle w:val="48"/>
        <w:spacing w:line="360" w:lineRule="auto"/>
        <w:ind w:left="495"/>
        <w:rPr>
          <w:rFonts w:ascii="宋体" w:hAnsi="宋体" w:cs="宋体"/>
          <w:color w:val="auto"/>
          <w:kern w:val="0"/>
          <w:szCs w:val="21"/>
          <w:highlight w:val="none"/>
        </w:rPr>
      </w:pPr>
      <w:r>
        <w:rPr>
          <w:rFonts w:hint="eastAsia" w:ascii="宋体" w:hAnsi="宋体" w:cs="宋体"/>
          <w:color w:val="auto"/>
          <w:kern w:val="0"/>
          <w:szCs w:val="21"/>
          <w:highlight w:val="none"/>
        </w:rPr>
        <w:t>开户名称：广西科联招标中心有限公司</w:t>
      </w:r>
    </w:p>
    <w:p>
      <w:pPr>
        <w:pStyle w:val="48"/>
        <w:spacing w:line="360" w:lineRule="auto"/>
        <w:ind w:left="495"/>
        <w:rPr>
          <w:rFonts w:ascii="宋体" w:hAnsi="宋体" w:cs="宋体"/>
          <w:b/>
          <w:bCs/>
          <w:color w:val="auto"/>
          <w:kern w:val="0"/>
          <w:szCs w:val="21"/>
          <w:highlight w:val="none"/>
        </w:rPr>
      </w:pPr>
      <w:r>
        <w:rPr>
          <w:rFonts w:hint="eastAsia" w:ascii="宋体" w:hAnsi="宋体" w:cs="宋体"/>
          <w:color w:val="auto"/>
          <w:kern w:val="0"/>
          <w:szCs w:val="21"/>
          <w:highlight w:val="none"/>
        </w:rPr>
        <w:t>银行账号：A分标：7719011969103333000006091；B分标：7719011969103333000006092；</w:t>
      </w:r>
    </w:p>
    <w:p>
      <w:pPr>
        <w:pStyle w:val="48"/>
        <w:spacing w:line="360" w:lineRule="auto"/>
        <w:ind w:firstLine="840" w:firstLineChars="400"/>
        <w:rPr>
          <w:rFonts w:ascii="宋体" w:hAnsi="宋体" w:cs="宋体"/>
          <w:color w:val="auto"/>
          <w:highlight w:val="none"/>
        </w:rPr>
      </w:pPr>
      <w:r>
        <w:rPr>
          <w:rFonts w:hint="eastAsia" w:ascii="宋体" w:hAnsi="宋体" w:cs="宋体"/>
          <w:color w:val="auto"/>
          <w:kern w:val="0"/>
          <w:szCs w:val="21"/>
          <w:highlight w:val="none"/>
        </w:rPr>
        <w:t>采用支票、汇票、本票或者保函等方式的，在投标截止时间前，投标人必须递交单独密封的支票、汇票、本票或者保函（电子保函除外）等原件给采购代理机构。</w:t>
      </w:r>
      <w:r>
        <w:rPr>
          <w:rFonts w:hint="eastAsia" w:ascii="宋体" w:hAnsi="宋体" w:cs="宋体"/>
          <w:b/>
          <w:bCs/>
          <w:color w:val="auto"/>
          <w:kern w:val="0"/>
          <w:szCs w:val="21"/>
          <w:highlight w:val="none"/>
        </w:rPr>
        <w:t>否则视为无效投标保证金</w:t>
      </w:r>
      <w:r>
        <w:rPr>
          <w:rFonts w:hint="eastAsia" w:ascii="宋体" w:hAnsi="宋体" w:cs="宋体"/>
          <w:color w:val="auto"/>
          <w:kern w:val="0"/>
          <w:szCs w:val="21"/>
          <w:highlight w:val="none"/>
        </w:rPr>
        <w:t>。</w:t>
      </w:r>
    </w:p>
    <w:p>
      <w:pPr>
        <w:spacing w:line="360" w:lineRule="auto"/>
        <w:ind w:firstLine="315" w:firstLineChars="150"/>
        <w:rPr>
          <w:rFonts w:ascii="宋体" w:hAnsi="宋体" w:cs="宋体"/>
          <w:color w:val="auto"/>
          <w:kern w:val="0"/>
          <w:szCs w:val="21"/>
          <w:highlight w:val="none"/>
        </w:rPr>
      </w:pPr>
      <w:bookmarkStart w:id="41" w:name="_Hlk37429595"/>
      <w:bookmarkStart w:id="42" w:name="_Hlk37429585"/>
      <w:r>
        <w:rPr>
          <w:rFonts w:hint="eastAsia" w:ascii="宋体" w:hAnsi="宋体" w:cs="宋体"/>
          <w:color w:val="auto"/>
          <w:kern w:val="0"/>
          <w:szCs w:val="21"/>
          <w:highlight w:val="none"/>
        </w:rPr>
        <w:t>2.网上查询地址</w:t>
      </w:r>
    </w:p>
    <w:bookmarkEnd w:id="41"/>
    <w:bookmarkEnd w:id="42"/>
    <w:p>
      <w:pPr>
        <w:spacing w:line="360" w:lineRule="auto"/>
        <w:ind w:firstLine="420" w:firstLineChars="200"/>
        <w:rPr>
          <w:rFonts w:hint="eastAsia" w:ascii="宋体" w:hAnsi="宋体" w:eastAsia="宋体" w:cs="宋体"/>
          <w:color w:val="auto"/>
          <w:kern w:val="0"/>
          <w:szCs w:val="21"/>
          <w:highlight w:val="none"/>
          <w:lang w:eastAsia="zh-CN"/>
        </w:rPr>
      </w:pPr>
      <w:bookmarkStart w:id="43" w:name="_Hlk37429674"/>
      <w:r>
        <w:rPr>
          <w:rFonts w:hint="eastAsia" w:ascii="宋体" w:hAnsi="宋体" w:cs="宋体"/>
          <w:color w:val="auto"/>
          <w:kern w:val="0"/>
          <w:szCs w:val="21"/>
          <w:highlight w:val="none"/>
        </w:rPr>
        <w:t>http://www.ccgp.gov.cn/（中国政府采购网）、http://www.ccgp-guangxi.gov.cn/ (广西政府采购网)、http://gxggzy.gxzf.gov.cn/（广西壮族自治区公共资源交易中心）</w:t>
      </w:r>
      <w:r>
        <w:rPr>
          <w:rFonts w:hint="eastAsia" w:ascii="宋体" w:hAnsi="宋体" w:cs="宋体"/>
          <w:color w:val="auto"/>
          <w:kern w:val="0"/>
          <w:szCs w:val="21"/>
          <w:highlight w:val="none"/>
          <w:lang w:eastAsia="zh-CN"/>
        </w:rPr>
        <w:t>。</w:t>
      </w:r>
      <w:bookmarkStart w:id="331" w:name="_GoBack"/>
      <w:bookmarkEnd w:id="331"/>
    </w:p>
    <w:p>
      <w:pPr>
        <w:spacing w:line="360" w:lineRule="auto"/>
        <w:ind w:firstLine="315" w:firstLineChars="150"/>
        <w:rPr>
          <w:rFonts w:ascii="宋体" w:hAnsi="宋体" w:cs="宋体"/>
          <w:color w:val="auto"/>
          <w:kern w:val="0"/>
          <w:szCs w:val="21"/>
          <w:highlight w:val="none"/>
        </w:rPr>
      </w:pPr>
      <w:r>
        <w:rPr>
          <w:rFonts w:hint="eastAsia" w:ascii="宋体" w:hAnsi="宋体" w:cs="宋体"/>
          <w:color w:val="auto"/>
          <w:szCs w:val="21"/>
          <w:highlight w:val="none"/>
        </w:rPr>
        <w:t>3.</w:t>
      </w:r>
      <w:r>
        <w:rPr>
          <w:rFonts w:hint="eastAsia" w:ascii="宋体" w:hAnsi="宋体" w:cs="宋体"/>
          <w:color w:val="auto"/>
          <w:kern w:val="0"/>
          <w:szCs w:val="21"/>
          <w:highlight w:val="none"/>
        </w:rPr>
        <w:t>本项目需要落实的政府采购政策：</w:t>
      </w:r>
      <w:bookmarkStart w:id="44" w:name="PO_3000001867_PM023"/>
    </w:p>
    <w:bookmarkEnd w:id="44"/>
    <w:p>
      <w:pPr>
        <w:spacing w:line="360" w:lineRule="auto"/>
        <w:ind w:firstLine="735" w:firstLineChars="350"/>
        <w:rPr>
          <w:rFonts w:ascii="宋体" w:hAnsi="宋体" w:cs="宋体"/>
          <w:color w:val="auto"/>
          <w:kern w:val="0"/>
          <w:szCs w:val="21"/>
          <w:highlight w:val="none"/>
        </w:rPr>
      </w:pPr>
      <w:r>
        <w:rPr>
          <w:rFonts w:hint="eastAsia" w:ascii="宋体" w:hAnsi="宋体" w:cs="宋体"/>
          <w:color w:val="auto"/>
          <w:kern w:val="0"/>
          <w:szCs w:val="21"/>
          <w:highlight w:val="none"/>
        </w:rPr>
        <w:t>（1）政府采购促进中小企业发展。</w:t>
      </w:r>
    </w:p>
    <w:p>
      <w:pPr>
        <w:spacing w:line="360" w:lineRule="auto"/>
        <w:ind w:firstLine="735" w:firstLineChars="350"/>
        <w:rPr>
          <w:rFonts w:ascii="宋体" w:hAnsi="宋体" w:cs="宋体"/>
          <w:color w:val="auto"/>
          <w:kern w:val="0"/>
          <w:szCs w:val="21"/>
          <w:highlight w:val="none"/>
        </w:rPr>
      </w:pPr>
      <w:r>
        <w:rPr>
          <w:rFonts w:hint="eastAsia" w:ascii="宋体" w:hAnsi="宋体" w:cs="宋体"/>
          <w:color w:val="auto"/>
          <w:kern w:val="0"/>
          <w:szCs w:val="21"/>
          <w:highlight w:val="none"/>
        </w:rPr>
        <w:t>（2）政府采购支持采用本国产品的政策。</w:t>
      </w:r>
    </w:p>
    <w:p>
      <w:pPr>
        <w:spacing w:line="360" w:lineRule="auto"/>
        <w:ind w:firstLine="735" w:firstLineChars="350"/>
        <w:rPr>
          <w:rFonts w:ascii="宋体" w:hAnsi="宋体" w:cs="宋体"/>
          <w:color w:val="auto"/>
          <w:kern w:val="0"/>
          <w:szCs w:val="21"/>
          <w:highlight w:val="none"/>
        </w:rPr>
      </w:pPr>
      <w:r>
        <w:rPr>
          <w:rFonts w:hint="eastAsia" w:ascii="宋体" w:hAnsi="宋体" w:cs="宋体"/>
          <w:color w:val="auto"/>
          <w:kern w:val="0"/>
          <w:szCs w:val="21"/>
          <w:highlight w:val="none"/>
        </w:rPr>
        <w:t>（3）强制采购节能产品；优先采购节能产品、环境标志产品。</w:t>
      </w:r>
    </w:p>
    <w:p>
      <w:pPr>
        <w:spacing w:line="360" w:lineRule="auto"/>
        <w:ind w:firstLine="735" w:firstLineChars="350"/>
        <w:rPr>
          <w:rFonts w:ascii="宋体" w:hAnsi="宋体" w:cs="宋体"/>
          <w:color w:val="auto"/>
          <w:kern w:val="0"/>
          <w:szCs w:val="21"/>
          <w:highlight w:val="none"/>
        </w:rPr>
      </w:pPr>
      <w:r>
        <w:rPr>
          <w:rFonts w:hint="eastAsia" w:ascii="宋体" w:hAnsi="宋体" w:cs="宋体"/>
          <w:color w:val="auto"/>
          <w:kern w:val="0"/>
          <w:szCs w:val="21"/>
          <w:highlight w:val="none"/>
        </w:rPr>
        <w:t>（4）政府采购促进残疾人就业政策。</w:t>
      </w:r>
    </w:p>
    <w:p>
      <w:pPr>
        <w:spacing w:line="360" w:lineRule="auto"/>
        <w:ind w:firstLine="735" w:firstLineChars="350"/>
        <w:rPr>
          <w:rFonts w:ascii="宋体" w:hAnsi="宋体" w:cs="宋体"/>
          <w:color w:val="auto"/>
          <w:kern w:val="0"/>
          <w:szCs w:val="21"/>
          <w:highlight w:val="none"/>
        </w:rPr>
      </w:pPr>
      <w:r>
        <w:rPr>
          <w:rFonts w:hint="eastAsia" w:ascii="宋体" w:hAnsi="宋体" w:cs="宋体"/>
          <w:color w:val="auto"/>
          <w:kern w:val="0"/>
          <w:szCs w:val="21"/>
          <w:highlight w:val="none"/>
        </w:rPr>
        <w:t>（5）政府采购支持监狱企业发展。</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5.对在“信用中国”网站(www.creditchina.gov.cn) 、中国政府采购网(www.ccgp.gov.cn)被列入失信被执行人、重大税收违法失信主体、政府采购严重违法失信行为记录名单及其他不符合《中华人民共和国政府采购法》第二十二条规定条件的供应商，不得参与政府采购活动。</w:t>
      </w:r>
    </w:p>
    <w:bookmarkEnd w:id="43"/>
    <w:p>
      <w:pPr>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szCs w:val="21"/>
          <w:highlight w:val="none"/>
        </w:rPr>
        <w:t>6.在线投标的有关说明</w:t>
      </w:r>
      <w:r>
        <w:rPr>
          <w:rFonts w:hint="eastAsia" w:ascii="宋体" w:hAnsi="宋体" w:cs="宋体"/>
          <w:b/>
          <w:bCs/>
          <w:color w:val="auto"/>
          <w:kern w:val="0"/>
          <w:szCs w:val="21"/>
          <w:highlight w:val="none"/>
        </w:rPr>
        <w:t>：</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（1）投标文件提交方式：本项目为全流程电子化项目，通过广西政府采购云平台（https://www.gcy.zfcg.gxzf.gov.cn/）实行在线电子投标，供应商应先安装</w:t>
      </w:r>
      <w:r>
        <w:rPr>
          <w:rFonts w:hint="eastAsia" w:ascii="宋体" w:hAnsi="宋体" w:cs="宋体"/>
          <w:b w:val="0"/>
          <w:bCs w:val="0"/>
          <w:color w:val="auto"/>
          <w:sz w:val="21"/>
          <w:szCs w:val="21"/>
          <w:highlight w:val="none"/>
          <w:lang w:val="en-US" w:eastAsia="zh-CN"/>
        </w:rPr>
        <w:t>广西政府采购云平台新版客户端</w:t>
      </w:r>
      <w:r>
        <w:rPr>
          <w:rFonts w:hint="eastAsia" w:ascii="宋体" w:hAnsi="宋体" w:cs="宋体"/>
          <w:color w:val="auto"/>
          <w:szCs w:val="21"/>
          <w:highlight w:val="none"/>
          <w:lang w:eastAsia="zh-CN"/>
        </w:rPr>
        <w:t>［</w:t>
      </w:r>
      <w:r>
        <w:rPr>
          <w:rFonts w:hint="eastAsia" w:ascii="宋体" w:hAnsi="宋体" w:cs="宋体"/>
          <w:color w:val="auto"/>
          <w:szCs w:val="21"/>
          <w:highlight w:val="none"/>
        </w:rPr>
        <w:t>新版</w:t>
      </w:r>
      <w:r>
        <w:rPr>
          <w:rFonts w:hint="eastAsia" w:ascii="宋体" w:hAnsi="宋体" w:eastAsia="宋体" w:cs="宋体"/>
          <w:i w:val="0"/>
          <w:caps w:val="0"/>
          <w:color w:val="auto"/>
          <w:spacing w:val="0"/>
          <w:sz w:val="21"/>
          <w:szCs w:val="21"/>
          <w:highlight w:val="none"/>
        </w:rPr>
        <w:t>客户端下载路径：广西政府采购网（访问地址http://zfcg.gxzf.gov.cn/）—办事服务—下载专区</w:t>
      </w:r>
      <w:r>
        <w:rPr>
          <w:rFonts w:hint="eastAsia" w:ascii="宋体" w:hAnsi="宋体" w:cs="宋体"/>
          <w:color w:val="auto"/>
          <w:szCs w:val="21"/>
          <w:highlight w:val="none"/>
          <w:lang w:eastAsia="zh-CN"/>
        </w:rPr>
        <w:t>］</w:t>
      </w:r>
      <w:r>
        <w:rPr>
          <w:rFonts w:hint="eastAsia" w:ascii="宋体" w:hAnsi="宋体" w:cs="宋体"/>
          <w:color w:val="auto"/>
          <w:szCs w:val="21"/>
          <w:highlight w:val="none"/>
        </w:rPr>
        <w:t>，并按照本项目招标文件和</w:t>
      </w:r>
      <w:r>
        <w:rPr>
          <w:rFonts w:hint="eastAsia" w:ascii="宋体" w:hAnsi="宋体" w:cs="宋体"/>
          <w:b w:val="0"/>
          <w:bCs w:val="0"/>
          <w:color w:val="auto"/>
          <w:sz w:val="21"/>
          <w:szCs w:val="21"/>
          <w:highlight w:val="none"/>
          <w:lang w:val="en-US" w:eastAsia="zh-CN"/>
        </w:rPr>
        <w:t>广西政府采购云平台</w:t>
      </w:r>
      <w:r>
        <w:rPr>
          <w:rFonts w:hint="eastAsia" w:ascii="宋体" w:hAnsi="宋体" w:cs="宋体"/>
          <w:color w:val="auto"/>
          <w:szCs w:val="21"/>
          <w:highlight w:val="none"/>
        </w:rPr>
        <w:t>的要求编制、加密后在投标截止时间前通过网络上传至</w:t>
      </w:r>
      <w:r>
        <w:rPr>
          <w:rFonts w:hint="eastAsia" w:ascii="宋体" w:hAnsi="宋体" w:cs="宋体"/>
          <w:b w:val="0"/>
          <w:bCs w:val="0"/>
          <w:color w:val="auto"/>
          <w:sz w:val="21"/>
          <w:szCs w:val="21"/>
          <w:highlight w:val="none"/>
          <w:lang w:val="en-US" w:eastAsia="zh-CN"/>
        </w:rPr>
        <w:t>广西政府采购云平台</w:t>
      </w:r>
      <w:r>
        <w:rPr>
          <w:rFonts w:hint="eastAsia" w:ascii="宋体" w:hAnsi="宋体" w:cs="宋体"/>
          <w:color w:val="auto"/>
          <w:szCs w:val="21"/>
          <w:highlight w:val="none"/>
        </w:rPr>
        <w:t>，</w:t>
      </w:r>
      <w:r>
        <w:rPr>
          <w:rFonts w:hint="eastAsia" w:ascii="宋体" w:hAnsi="宋体" w:cs="宋体"/>
          <w:b/>
          <w:color w:val="auto"/>
          <w:szCs w:val="21"/>
          <w:highlight w:val="none"/>
          <w:lang w:eastAsia="zh-CN"/>
        </w:rPr>
        <w:t>投标人</w:t>
      </w:r>
      <w:r>
        <w:rPr>
          <w:rFonts w:hint="eastAsia" w:ascii="宋体" w:hAnsi="宋体" w:cs="宋体"/>
          <w:b/>
          <w:color w:val="auto"/>
          <w:szCs w:val="21"/>
          <w:highlight w:val="none"/>
        </w:rPr>
        <w:t>在</w:t>
      </w:r>
      <w:r>
        <w:rPr>
          <w:rFonts w:hint="eastAsia" w:ascii="宋体" w:hAnsi="宋体" w:cs="宋体"/>
          <w:b/>
          <w:bCs w:val="0"/>
          <w:color w:val="auto"/>
          <w:sz w:val="21"/>
          <w:szCs w:val="21"/>
          <w:highlight w:val="none"/>
          <w:lang w:val="en-US" w:eastAsia="zh-CN"/>
        </w:rPr>
        <w:t>广西政府采购云平台</w:t>
      </w:r>
      <w:r>
        <w:rPr>
          <w:rFonts w:hint="eastAsia" w:ascii="宋体" w:hAnsi="宋体" w:cs="宋体"/>
          <w:b/>
          <w:color w:val="auto"/>
          <w:szCs w:val="21"/>
          <w:highlight w:val="none"/>
        </w:rPr>
        <w:t>提交电子版投标文件时，请填写参加远程开标活动经办人联系方式</w:t>
      </w:r>
      <w:r>
        <w:rPr>
          <w:rFonts w:hint="eastAsia" w:ascii="宋体" w:hAnsi="宋体" w:cs="宋体"/>
          <w:color w:val="auto"/>
          <w:szCs w:val="21"/>
          <w:highlight w:val="none"/>
        </w:rPr>
        <w:t>。</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（2）未进行网上注册并办理数字证书（CA认证）的供应商将无法参与本项目政府采购活动，潜在投标人应当在投标截止时间前，完成电子交易平台上的CA数字证书办理及投标文件的提交。</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（3）为确保网上操作合法、有效和安全，请投标人确保在电子投标过程中能够对相关数据电文进行加密和使用电子签章，妥善保管CA数字证书并使用有效的CA数字证书参与整个招标活动。</w:t>
      </w:r>
    </w:p>
    <w:p>
      <w:pPr>
        <w:widowControl/>
        <w:spacing w:line="360" w:lineRule="auto"/>
        <w:ind w:firstLine="422" w:firstLineChars="200"/>
        <w:jc w:val="left"/>
        <w:rPr>
          <w:rFonts w:hint="eastAsia" w:ascii="宋体" w:hAnsi="宋体" w:cs="宋体"/>
          <w:b/>
          <w:color w:val="auto"/>
          <w:szCs w:val="21"/>
          <w:highlight w:val="none"/>
          <w:u w:val="single"/>
        </w:rPr>
      </w:pPr>
      <w:r>
        <w:rPr>
          <w:rFonts w:hint="eastAsia" w:ascii="宋体" w:hAnsi="宋体" w:cs="宋体"/>
          <w:b/>
          <w:color w:val="auto"/>
          <w:szCs w:val="21"/>
          <w:highlight w:val="none"/>
          <w:u w:val="single"/>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w:t>
      </w:r>
      <w:r>
        <w:rPr>
          <w:rFonts w:hint="eastAsia" w:ascii="宋体" w:hAnsi="宋体" w:cs="宋体"/>
          <w:b/>
          <w:bCs w:val="0"/>
          <w:color w:val="auto"/>
          <w:sz w:val="21"/>
          <w:szCs w:val="21"/>
          <w:highlight w:val="none"/>
          <w:u w:val="single"/>
          <w:lang w:val="en-US" w:eastAsia="zh-CN"/>
        </w:rPr>
        <w:t>广西政府采购云平台</w:t>
      </w:r>
      <w:r>
        <w:rPr>
          <w:rFonts w:hint="eastAsia" w:ascii="宋体" w:hAnsi="宋体" w:cs="宋体"/>
          <w:b/>
          <w:color w:val="auto"/>
          <w:szCs w:val="21"/>
          <w:highlight w:val="none"/>
          <w:u w:val="single"/>
        </w:rPr>
        <w:t>将予以拒收。</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）CA证书在线解密：投标人投标时，需携带制作投标文件时用来加密的有效数字证书（CA认证）登录广西政府采购云平台电子开标大厅现场按规定时间对加密的投标文件进行解密。</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（5）若对项目采购电子交易系统操作有疑问，可登录广西政府采购云平台（https://www.gcy.zfcg.gxzf.gov.cn/），点击右侧咨询小采，获取采小蜜智能服务管家帮助，或拨打广西政府采购云</w:t>
      </w:r>
      <w:r>
        <w:rPr>
          <w:rFonts w:hint="eastAsia" w:ascii="宋体" w:hAnsi="宋体" w:cs="宋体"/>
          <w:color w:val="auto"/>
          <w:kern w:val="0"/>
          <w:szCs w:val="21"/>
          <w:highlight w:val="none"/>
          <w:lang w:eastAsia="zh-CN"/>
        </w:rPr>
        <w:t>平台</w:t>
      </w:r>
      <w:r>
        <w:rPr>
          <w:rFonts w:hint="eastAsia" w:ascii="宋体" w:hAnsi="宋体" w:cs="宋体"/>
          <w:color w:val="auto"/>
          <w:kern w:val="0"/>
          <w:szCs w:val="21"/>
          <w:highlight w:val="none"/>
        </w:rPr>
        <w:t>服务热线95763获取热线服务帮助。</w:t>
      </w:r>
    </w:p>
    <w:p>
      <w:pPr>
        <w:spacing w:line="360" w:lineRule="auto"/>
        <w:rPr>
          <w:rFonts w:ascii="宋体" w:hAnsi="宋体" w:cs="宋体"/>
          <w:b/>
          <w:bCs/>
          <w:color w:val="auto"/>
          <w:sz w:val="24"/>
          <w:highlight w:val="none"/>
        </w:rPr>
      </w:pPr>
      <w:bookmarkStart w:id="45" w:name="_Toc28359085"/>
      <w:bookmarkStart w:id="46" w:name="_Toc35393796"/>
      <w:bookmarkStart w:id="47" w:name="_Toc35393627"/>
      <w:bookmarkStart w:id="48" w:name="_Toc28359008"/>
      <w:r>
        <w:rPr>
          <w:rFonts w:hint="eastAsia" w:ascii="宋体" w:hAnsi="宋体" w:cs="宋体"/>
          <w:b/>
          <w:bCs/>
          <w:color w:val="auto"/>
          <w:sz w:val="24"/>
          <w:highlight w:val="none"/>
        </w:rPr>
        <w:t>七、对本次招标提出询问，请按以下方式联系。</w:t>
      </w:r>
      <w:bookmarkEnd w:id="45"/>
      <w:bookmarkEnd w:id="46"/>
      <w:bookmarkEnd w:id="47"/>
      <w:bookmarkEnd w:id="48"/>
    </w:p>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　　　1.采购人信息</w:t>
      </w:r>
    </w:p>
    <w:p>
      <w:pPr>
        <w:spacing w:line="360" w:lineRule="auto"/>
        <w:ind w:left="1041" w:leftChars="371" w:hanging="262" w:hangingChars="125"/>
        <w:jc w:val="left"/>
        <w:rPr>
          <w:rFonts w:ascii="宋体" w:hAnsi="宋体" w:cs="宋体"/>
          <w:color w:val="auto"/>
          <w:szCs w:val="21"/>
          <w:highlight w:val="none"/>
          <w:u w:val="single"/>
        </w:rPr>
      </w:pPr>
      <w:r>
        <w:rPr>
          <w:rFonts w:hint="eastAsia" w:ascii="宋体" w:hAnsi="宋体" w:cs="宋体"/>
          <w:color w:val="auto"/>
          <w:szCs w:val="21"/>
          <w:highlight w:val="none"/>
        </w:rPr>
        <w:t>名 称：</w:t>
      </w:r>
      <w:r>
        <w:rPr>
          <w:rFonts w:hint="eastAsia" w:ascii="宋体" w:hAnsi="宋体"/>
          <w:color w:val="auto"/>
          <w:szCs w:val="21"/>
          <w:highlight w:val="none"/>
        </w:rPr>
        <w:t>广西医科大学</w:t>
      </w:r>
    </w:p>
    <w:p>
      <w:pPr>
        <w:spacing w:line="360" w:lineRule="auto"/>
        <w:ind w:left="1041" w:leftChars="371" w:hanging="262" w:hangingChars="125"/>
        <w:jc w:val="left"/>
        <w:rPr>
          <w:rFonts w:ascii="宋体" w:hAnsi="宋体" w:cs="宋体"/>
          <w:color w:val="auto"/>
          <w:szCs w:val="21"/>
          <w:highlight w:val="none"/>
        </w:rPr>
      </w:pPr>
      <w:r>
        <w:rPr>
          <w:rFonts w:hint="eastAsia" w:ascii="宋体" w:hAnsi="宋体" w:cs="宋体"/>
          <w:color w:val="auto"/>
          <w:szCs w:val="21"/>
          <w:highlight w:val="none"/>
        </w:rPr>
        <w:t>地址：南宁市双拥路22号</w:t>
      </w:r>
    </w:p>
    <w:p>
      <w:pPr>
        <w:spacing w:line="360" w:lineRule="auto"/>
        <w:ind w:left="1041" w:leftChars="371" w:hanging="262" w:hangingChars="125"/>
        <w:jc w:val="left"/>
        <w:rPr>
          <w:rFonts w:ascii="宋体" w:hAnsi="宋体"/>
          <w:color w:val="auto"/>
          <w:szCs w:val="21"/>
          <w:highlight w:val="none"/>
        </w:rPr>
      </w:pPr>
      <w:r>
        <w:rPr>
          <w:rFonts w:hint="eastAsia" w:ascii="宋体" w:hAnsi="宋体" w:cs="宋体"/>
          <w:color w:val="auto"/>
          <w:highlight w:val="none"/>
        </w:rPr>
        <w:t>项目联系人：吴老师</w:t>
      </w:r>
    </w:p>
    <w:p>
      <w:pPr>
        <w:spacing w:line="360" w:lineRule="auto"/>
        <w:ind w:left="1041" w:leftChars="371" w:hanging="262" w:hangingChars="125"/>
        <w:jc w:val="left"/>
        <w:rPr>
          <w:rFonts w:ascii="宋体" w:hAnsi="宋体" w:cs="宋体"/>
          <w:color w:val="auto"/>
          <w:szCs w:val="21"/>
          <w:highlight w:val="none"/>
          <w:u w:val="single"/>
        </w:rPr>
      </w:pPr>
      <w:r>
        <w:rPr>
          <w:rFonts w:hint="eastAsia" w:ascii="宋体" w:hAnsi="宋体"/>
          <w:color w:val="auto"/>
          <w:szCs w:val="21"/>
          <w:highlight w:val="none"/>
        </w:rPr>
        <w:t>项目</w:t>
      </w:r>
      <w:r>
        <w:rPr>
          <w:rFonts w:hint="eastAsia" w:ascii="宋体" w:hAnsi="宋体" w:cs="@宋体"/>
          <w:color w:val="auto"/>
          <w:szCs w:val="21"/>
          <w:highlight w:val="none"/>
        </w:rPr>
        <w:t>联系方式：0771-5330800</w:t>
      </w:r>
    </w:p>
    <w:p>
      <w:pPr>
        <w:spacing w:line="360" w:lineRule="auto"/>
        <w:ind w:left="1041" w:leftChars="371" w:hanging="262" w:hangingChars="125"/>
        <w:jc w:val="left"/>
        <w:rPr>
          <w:rFonts w:ascii="宋体" w:hAnsi="宋体" w:cs="宋体"/>
          <w:color w:val="auto"/>
          <w:szCs w:val="21"/>
          <w:highlight w:val="none"/>
        </w:rPr>
      </w:pPr>
      <w:r>
        <w:rPr>
          <w:rFonts w:hint="eastAsia" w:ascii="宋体" w:hAnsi="宋体" w:cs="宋体"/>
          <w:color w:val="auto"/>
          <w:szCs w:val="21"/>
          <w:highlight w:val="none"/>
        </w:rPr>
        <w:t>2.采购代理机构信息</w:t>
      </w:r>
    </w:p>
    <w:p>
      <w:pPr>
        <w:spacing w:line="360" w:lineRule="auto"/>
        <w:ind w:firstLine="735" w:firstLineChars="350"/>
        <w:rPr>
          <w:rFonts w:ascii="宋体" w:hAnsi="宋体" w:cs="宋体"/>
          <w:color w:val="auto"/>
          <w:szCs w:val="21"/>
          <w:highlight w:val="none"/>
          <w:u w:val="single"/>
        </w:rPr>
      </w:pPr>
      <w:r>
        <w:rPr>
          <w:rFonts w:hint="eastAsia" w:ascii="宋体" w:hAnsi="宋体" w:cs="宋体"/>
          <w:color w:val="auto"/>
          <w:szCs w:val="21"/>
          <w:highlight w:val="none"/>
        </w:rPr>
        <w:t>名 称：</w:t>
      </w:r>
      <w:r>
        <w:rPr>
          <w:rFonts w:hint="eastAsia" w:ascii="宋体" w:hAnsi="宋体"/>
          <w:color w:val="auto"/>
          <w:szCs w:val="21"/>
          <w:highlight w:val="none"/>
        </w:rPr>
        <w:t>广西科联招标中心有限公司</w:t>
      </w:r>
    </w:p>
    <w:p>
      <w:pPr>
        <w:spacing w:line="360" w:lineRule="auto"/>
        <w:ind w:firstLine="735" w:firstLineChars="350"/>
        <w:rPr>
          <w:rFonts w:ascii="宋体" w:hAnsi="宋体" w:cs="宋体"/>
          <w:color w:val="auto"/>
          <w:szCs w:val="21"/>
          <w:highlight w:val="none"/>
        </w:rPr>
      </w:pPr>
      <w:r>
        <w:rPr>
          <w:rFonts w:hint="eastAsia" w:ascii="宋体" w:hAnsi="宋体" w:cs="宋体"/>
          <w:color w:val="auto"/>
          <w:szCs w:val="21"/>
          <w:highlight w:val="none"/>
        </w:rPr>
        <w:t>地　址：</w:t>
      </w:r>
      <w:r>
        <w:rPr>
          <w:rFonts w:hint="eastAsia" w:ascii="宋体" w:hAnsi="宋体"/>
          <w:color w:val="auto"/>
          <w:szCs w:val="21"/>
          <w:highlight w:val="none"/>
        </w:rPr>
        <w:t>广西南宁市大学东路170号</w:t>
      </w:r>
    </w:p>
    <w:p>
      <w:pPr>
        <w:spacing w:line="360" w:lineRule="auto"/>
        <w:ind w:firstLine="735" w:firstLineChars="350"/>
        <w:rPr>
          <w:rFonts w:ascii="宋体" w:hAnsi="宋体"/>
          <w:color w:val="auto"/>
          <w:szCs w:val="21"/>
          <w:highlight w:val="none"/>
        </w:rPr>
      </w:pPr>
      <w:r>
        <w:rPr>
          <w:rFonts w:hint="eastAsia" w:ascii="宋体" w:hAnsi="宋体" w:cs="宋体"/>
          <w:color w:val="auto"/>
          <w:szCs w:val="21"/>
          <w:highlight w:val="none"/>
        </w:rPr>
        <w:t>项目联系人：</w:t>
      </w:r>
      <w:r>
        <w:rPr>
          <w:rFonts w:hint="eastAsia" w:ascii="宋体" w:hAnsi="宋体"/>
          <w:color w:val="auto"/>
          <w:szCs w:val="21"/>
          <w:highlight w:val="none"/>
        </w:rPr>
        <w:t>韦俊珉</w:t>
      </w:r>
    </w:p>
    <w:p>
      <w:pPr>
        <w:spacing w:line="360" w:lineRule="auto"/>
        <w:ind w:firstLine="735" w:firstLineChars="350"/>
        <w:rPr>
          <w:rFonts w:ascii="宋体" w:hAnsi="宋体" w:cs="宋体"/>
          <w:color w:val="auto"/>
          <w:szCs w:val="21"/>
          <w:highlight w:val="none"/>
        </w:rPr>
      </w:pPr>
      <w:r>
        <w:rPr>
          <w:rFonts w:hint="eastAsia" w:ascii="宋体" w:hAnsi="宋体"/>
          <w:color w:val="auto"/>
          <w:szCs w:val="21"/>
          <w:highlight w:val="none"/>
        </w:rPr>
        <w:t>项目联系方式：0771-2273829</w:t>
      </w:r>
    </w:p>
    <w:p>
      <w:pPr>
        <w:spacing w:line="360" w:lineRule="auto"/>
        <w:jc w:val="left"/>
        <w:rPr>
          <w:rFonts w:ascii="宋体" w:hAnsi="宋体" w:cs="宋体"/>
          <w:color w:val="auto"/>
          <w:szCs w:val="21"/>
          <w:highlight w:val="none"/>
        </w:rPr>
      </w:pPr>
    </w:p>
    <w:p>
      <w:pPr>
        <w:pStyle w:val="15"/>
        <w:jc w:val="center"/>
        <w:outlineLvl w:val="0"/>
        <w:rPr>
          <w:rFonts w:hAnsi="宋体" w:cs="宋体"/>
          <w:b/>
          <w:color w:val="auto"/>
          <w:sz w:val="36"/>
          <w:highlight w:val="none"/>
        </w:rPr>
      </w:pPr>
      <w:r>
        <w:rPr>
          <w:rFonts w:hint="eastAsia" w:hAnsi="宋体" w:cs="宋体"/>
          <w:color w:val="auto"/>
          <w:szCs w:val="21"/>
          <w:highlight w:val="none"/>
        </w:rPr>
        <w:br w:type="page"/>
      </w:r>
      <w:bookmarkStart w:id="49" w:name="_Toc532545042"/>
      <w:bookmarkStart w:id="50" w:name="_Toc22518"/>
      <w:bookmarkStart w:id="51" w:name="_Toc32271"/>
      <w:bookmarkStart w:id="52" w:name="_Toc28626"/>
      <w:bookmarkStart w:id="53" w:name="_Toc5131"/>
      <w:bookmarkStart w:id="54" w:name="_Toc10157"/>
      <w:bookmarkStart w:id="55" w:name="_Toc10599"/>
      <w:bookmarkStart w:id="56" w:name="_Toc21791"/>
      <w:bookmarkStart w:id="57" w:name="_Toc23540"/>
      <w:bookmarkStart w:id="58" w:name="_Toc4656"/>
      <w:bookmarkStart w:id="59" w:name="_Toc15135"/>
      <w:bookmarkStart w:id="60" w:name="_Toc12160"/>
      <w:r>
        <w:rPr>
          <w:rFonts w:hint="eastAsia" w:hAnsi="宋体" w:cs="宋体"/>
          <w:b/>
          <w:color w:val="auto"/>
          <w:sz w:val="36"/>
          <w:highlight w:val="none"/>
        </w:rPr>
        <w:t xml:space="preserve">第二章  </w:t>
      </w:r>
      <w:bookmarkEnd w:id="49"/>
      <w:r>
        <w:rPr>
          <w:rFonts w:hint="eastAsia" w:hAnsi="宋体" w:cs="宋体"/>
          <w:b/>
          <w:color w:val="auto"/>
          <w:sz w:val="36"/>
          <w:highlight w:val="none"/>
        </w:rPr>
        <w:t>采购需求</w:t>
      </w:r>
      <w:bookmarkEnd w:id="50"/>
      <w:bookmarkEnd w:id="51"/>
      <w:bookmarkEnd w:id="52"/>
      <w:bookmarkEnd w:id="53"/>
      <w:bookmarkEnd w:id="54"/>
      <w:bookmarkEnd w:id="55"/>
      <w:bookmarkEnd w:id="56"/>
      <w:bookmarkEnd w:id="57"/>
      <w:bookmarkEnd w:id="58"/>
      <w:bookmarkEnd w:id="59"/>
      <w:bookmarkEnd w:id="60"/>
    </w:p>
    <w:p>
      <w:pPr>
        <w:adjustRightInd w:val="0"/>
        <w:spacing w:line="400" w:lineRule="exact"/>
        <w:rPr>
          <w:rFonts w:ascii="宋体" w:hAnsi="宋体" w:cs="宋体"/>
          <w:b/>
          <w:color w:val="auto"/>
          <w:szCs w:val="21"/>
          <w:highlight w:val="none"/>
        </w:rPr>
      </w:pPr>
      <w:r>
        <w:rPr>
          <w:rFonts w:hint="eastAsia" w:ascii="宋体" w:hAnsi="宋体" w:cs="宋体"/>
          <w:b/>
          <w:color w:val="auto"/>
          <w:szCs w:val="21"/>
          <w:highlight w:val="none"/>
        </w:rPr>
        <w:t>说明：</w:t>
      </w:r>
    </w:p>
    <w:p>
      <w:pPr>
        <w:spacing w:line="400" w:lineRule="exact"/>
        <w:ind w:firstLine="420" w:firstLineChars="200"/>
        <w:jc w:val="left"/>
        <w:rPr>
          <w:rFonts w:ascii="宋体" w:hAnsi="宋体" w:cs="宋体"/>
          <w:i/>
          <w:iCs/>
          <w:color w:val="auto"/>
          <w:szCs w:val="21"/>
          <w:highlight w:val="none"/>
        </w:rPr>
      </w:pPr>
      <w:r>
        <w:rPr>
          <w:rFonts w:hint="eastAsia" w:ascii="宋体" w:hAnsi="宋体" w:cs="宋体"/>
          <w:color w:val="auto"/>
          <w:highlight w:val="none"/>
        </w:rPr>
        <w:t>1、为落实政府采购政策需满足的要求</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（1）本招标文件所称中小企业必须符合《政府采购促进中小企业发展管理办法》（财库〔2020〕46号）的规定。</w:t>
      </w:r>
    </w:p>
    <w:p>
      <w:pPr>
        <w:spacing w:line="400" w:lineRule="exact"/>
        <w:ind w:firstLine="424" w:firstLineChars="202"/>
        <w:jc w:val="left"/>
        <w:rPr>
          <w:rFonts w:ascii="宋体" w:hAnsi="宋体" w:cs="宋体"/>
          <w:color w:val="auto"/>
          <w:szCs w:val="21"/>
          <w:highlight w:val="none"/>
        </w:rPr>
      </w:pPr>
      <w:r>
        <w:rPr>
          <w:rFonts w:hint="eastAsia" w:ascii="宋体" w:hAnsi="宋体" w:cs="宋体"/>
          <w:color w:val="auto"/>
          <w:szCs w:val="21"/>
          <w:highlight w:val="none"/>
        </w:rPr>
        <w:t>（2）根据《财政部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w:t>
      </w:r>
      <w:r>
        <w:rPr>
          <w:rFonts w:hint="eastAsia" w:ascii="宋体" w:hAnsi="宋体" w:cs="宋体"/>
          <w:b/>
          <w:bCs/>
          <w:color w:val="auto"/>
          <w:szCs w:val="21"/>
          <w:highlight w:val="none"/>
        </w:rPr>
        <w:t>投标人的投标货物必须使用政府强制采购的节能产品，投标人必须在投标文件中提供所投标产品有效期内的节能产品认证证书复印件（加盖投标人公章），否则投标文件作无效处理</w:t>
      </w:r>
      <w:r>
        <w:rPr>
          <w:rFonts w:hint="eastAsia" w:ascii="宋体" w:hAnsi="宋体" w:cs="宋体"/>
          <w:color w:val="auto"/>
          <w:szCs w:val="21"/>
          <w:highlight w:val="none"/>
        </w:rPr>
        <w:t>。如本项目包含的货物属于品目清单内非标注“★”的产品时，应优先采购，具体详见“第四章 评标方法和评标标准”。</w:t>
      </w:r>
    </w:p>
    <w:p>
      <w:pPr>
        <w:spacing w:line="400" w:lineRule="exact"/>
        <w:ind w:firstLine="424" w:firstLineChars="202"/>
        <w:jc w:val="left"/>
        <w:rPr>
          <w:rFonts w:ascii="宋体" w:hAnsi="宋体" w:cs="宋体"/>
          <w:color w:val="auto"/>
          <w:szCs w:val="21"/>
          <w:highlight w:val="none"/>
        </w:rPr>
      </w:pPr>
      <w:r>
        <w:rPr>
          <w:rFonts w:hint="eastAsia" w:ascii="宋体" w:hAnsi="宋体" w:cs="宋体"/>
          <w:color w:val="auto"/>
          <w:szCs w:val="21"/>
          <w:highlight w:val="none"/>
        </w:rPr>
        <w:t>2、“实质性要求”是指招标文件中已经指明不满足则投标无效的条款，或者不能负偏离的条款，或者采购需求中带“</w:t>
      </w:r>
      <w:r>
        <w:rPr>
          <w:rFonts w:hint="eastAsia" w:ascii="宋体" w:hAnsi="宋体" w:cs="宋体"/>
          <w:bCs/>
          <w:color w:val="auto"/>
          <w:highlight w:val="none"/>
        </w:rPr>
        <w:t>▲</w:t>
      </w:r>
      <w:r>
        <w:rPr>
          <w:rFonts w:hint="eastAsia" w:ascii="宋体" w:hAnsi="宋体" w:cs="宋体"/>
          <w:color w:val="auto"/>
          <w:szCs w:val="21"/>
          <w:highlight w:val="none"/>
        </w:rPr>
        <w:t>”的条款。标注“●”号项参数为本项目重点关注技术指标重要参数，作为评分依据，计分方式按照第四章《评标方法及评分标准》</w:t>
      </w:r>
    </w:p>
    <w:p>
      <w:pPr>
        <w:spacing w:line="400" w:lineRule="exact"/>
        <w:ind w:firstLine="424" w:firstLineChars="202"/>
        <w:jc w:val="left"/>
        <w:rPr>
          <w:rFonts w:ascii="宋体" w:hAnsi="宋体" w:cs="宋体"/>
          <w:color w:val="auto"/>
          <w:szCs w:val="21"/>
          <w:highlight w:val="none"/>
        </w:rPr>
      </w:pPr>
      <w:r>
        <w:rPr>
          <w:rFonts w:hint="eastAsia" w:ascii="宋体" w:hAnsi="宋体" w:cs="宋体"/>
          <w:color w:val="auto"/>
          <w:szCs w:val="21"/>
          <w:highlight w:val="none"/>
        </w:rPr>
        <w:t>3、采购需求中出现的品牌、型号或者生产厂家仅起参考作用，不属于指定品牌、型号或者生产厂家的情形。投标人可参照或者选用其他相当的品牌、型号或者生产厂家替代，但选用的投标产品技术参数及配置必须满足采购要求。</w:t>
      </w:r>
    </w:p>
    <w:p>
      <w:pPr>
        <w:spacing w:line="400" w:lineRule="exact"/>
        <w:ind w:firstLine="424" w:firstLineChars="202"/>
        <w:jc w:val="left"/>
        <w:rPr>
          <w:rFonts w:ascii="宋体" w:hAnsi="宋体" w:cs="宋体"/>
          <w:color w:val="auto"/>
          <w:highlight w:val="none"/>
        </w:rPr>
      </w:pPr>
      <w:r>
        <w:rPr>
          <w:rFonts w:hint="eastAsia" w:ascii="宋体" w:hAnsi="宋体" w:cs="宋体"/>
          <w:color w:val="auto"/>
          <w:szCs w:val="21"/>
          <w:highlight w:val="none"/>
        </w:rPr>
        <w:t>4、投标人必须对投标文件中提供的证明材料和资质文件真实性负责，如出现虚假应标情况，投标人除了应接受有关部门的处罚外，还应依据《中华人民共和国民法典》的相关条款来进行赔偿。</w:t>
      </w:r>
    </w:p>
    <w:p>
      <w:pPr>
        <w:spacing w:line="400" w:lineRule="exact"/>
        <w:ind w:firstLine="424" w:firstLineChars="202"/>
        <w:jc w:val="left"/>
        <w:rPr>
          <w:rFonts w:ascii="宋体" w:hAnsi="宋体" w:cs="宋体"/>
          <w:color w:val="auto"/>
          <w:highlight w:val="none"/>
        </w:rPr>
      </w:pPr>
      <w:r>
        <w:rPr>
          <w:rFonts w:hint="eastAsia" w:ascii="宋体" w:hAnsi="宋体" w:cs="宋体"/>
          <w:color w:val="auto"/>
          <w:highlight w:val="none"/>
        </w:rPr>
        <w:t>5、投标人应对投标内容所涉及的专利承担法律责任，并负责保护采购人的利益不受任何损害。一切由于文字、商标、技术和软件专利授权引起的法律裁决、诉讼和赔偿费用均由中标人负责。</w:t>
      </w:r>
    </w:p>
    <w:p>
      <w:pPr>
        <w:tabs>
          <w:tab w:val="left" w:pos="180"/>
          <w:tab w:val="left" w:pos="1620"/>
        </w:tabs>
        <w:spacing w:line="400" w:lineRule="exact"/>
        <w:ind w:firstLine="420" w:firstLineChars="200"/>
        <w:jc w:val="left"/>
        <w:rPr>
          <w:rFonts w:hint="eastAsia" w:ascii="宋体" w:hAnsi="宋体" w:cs="宋体"/>
          <w:color w:val="auto"/>
          <w:highlight w:val="none"/>
          <w:u w:val="single"/>
          <w:lang w:eastAsia="zh-CN"/>
        </w:rPr>
      </w:pPr>
      <w:r>
        <w:rPr>
          <w:rFonts w:hint="eastAsia" w:ascii="宋体" w:hAnsi="宋体" w:cs="宋体"/>
          <w:color w:val="auto"/>
          <w:highlight w:val="none"/>
        </w:rPr>
        <w:t>6、采购内容所属行业：</w:t>
      </w:r>
      <w:r>
        <w:rPr>
          <w:rFonts w:hint="eastAsia" w:ascii="宋体" w:hAnsi="宋体" w:cs="宋体"/>
          <w:color w:val="auto"/>
          <w:highlight w:val="none"/>
          <w:u w:val="single"/>
        </w:rPr>
        <w:t>A分标：序号1～7项、序号10～14项：工业；序号8～9项：软件和信息技术服务业；B分标：软件和信息技术服务业，详见需求一览表中的《中小企业划分标准所属行业名称》</w:t>
      </w:r>
      <w:r>
        <w:rPr>
          <w:rFonts w:hint="eastAsia" w:ascii="宋体" w:hAnsi="宋体" w:cs="宋体"/>
          <w:color w:val="auto"/>
          <w:highlight w:val="none"/>
          <w:u w:val="single"/>
          <w:lang w:eastAsia="zh-CN"/>
        </w:rPr>
        <w:t>。</w:t>
      </w:r>
    </w:p>
    <w:p>
      <w:pPr>
        <w:pStyle w:val="2"/>
        <w:rPr>
          <w:rFonts w:hint="eastAsia" w:ascii="宋体" w:hAnsi="宋体" w:cs="宋体"/>
          <w:color w:val="auto"/>
          <w:highlight w:val="none"/>
          <w:u w:val="single"/>
          <w:lang w:eastAsia="zh-CN"/>
        </w:rPr>
      </w:pPr>
    </w:p>
    <w:p>
      <w:pPr>
        <w:rPr>
          <w:rFonts w:hint="eastAsia"/>
          <w:color w:val="auto"/>
          <w:highlight w:val="none"/>
          <w:lang w:eastAsia="zh-CN"/>
        </w:rPr>
      </w:pPr>
    </w:p>
    <w:tbl>
      <w:tblPr>
        <w:tblStyle w:val="22"/>
        <w:tblW w:w="1067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59"/>
        <w:gridCol w:w="500"/>
        <w:gridCol w:w="1175"/>
        <w:gridCol w:w="909"/>
        <w:gridCol w:w="5414"/>
        <w:gridCol w:w="981"/>
        <w:gridCol w:w="12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6" w:hRule="atLeast"/>
          <w:jc w:val="center"/>
        </w:trPr>
        <w:tc>
          <w:tcPr>
            <w:tcW w:w="10674" w:type="dxa"/>
            <w:gridSpan w:val="7"/>
            <w:tcBorders>
              <w:top w:val="single" w:color="auto" w:sz="4" w:space="0"/>
              <w:left w:val="single" w:color="auto" w:sz="4" w:space="0"/>
              <w:bottom w:val="nil"/>
              <w:right w:val="single" w:color="auto" w:sz="4" w:space="0"/>
            </w:tcBorders>
            <w:vAlign w:val="center"/>
          </w:tcPr>
          <w:p>
            <w:pPr>
              <w:spacing w:line="360" w:lineRule="exact"/>
              <w:jc w:val="left"/>
              <w:rPr>
                <w:rFonts w:ascii="宋体" w:hAnsi="宋体" w:cs="宋体"/>
                <w:b/>
                <w:bCs/>
                <w:color w:val="auto"/>
                <w:szCs w:val="21"/>
                <w:highlight w:val="none"/>
              </w:rPr>
            </w:pPr>
            <w:r>
              <w:rPr>
                <w:rFonts w:hint="eastAsia" w:ascii="宋体" w:hAnsi="宋体" w:cs="宋体"/>
                <w:color w:val="auto"/>
                <w:szCs w:val="21"/>
                <w:highlight w:val="none"/>
              </w:rPr>
              <w:t>分标：A分标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6" w:hRule="atLeast"/>
          <w:jc w:val="center"/>
        </w:trPr>
        <w:tc>
          <w:tcPr>
            <w:tcW w:w="45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需求一览表</w:t>
            </w:r>
          </w:p>
        </w:tc>
        <w:tc>
          <w:tcPr>
            <w:tcW w:w="5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1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标的名称</w:t>
            </w:r>
          </w:p>
        </w:tc>
        <w:tc>
          <w:tcPr>
            <w:tcW w:w="9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数量及单位</w:t>
            </w:r>
          </w:p>
        </w:tc>
        <w:tc>
          <w:tcPr>
            <w:tcW w:w="54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p>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技术参数及配置</w:t>
            </w:r>
          </w:p>
        </w:tc>
        <w:tc>
          <w:tcPr>
            <w:tcW w:w="98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最高上限单价（元）</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中小企业划分标准所属行业名称（行业名称及划分见本章附件1）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4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color w:val="auto"/>
                <w:szCs w:val="21"/>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11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全自动样品冷冻研磨机</w:t>
            </w:r>
          </w:p>
        </w:tc>
        <w:tc>
          <w:tcPr>
            <w:tcW w:w="9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szCs w:val="21"/>
                <w:highlight w:val="none"/>
              </w:rPr>
              <w:t>1台</w:t>
            </w:r>
          </w:p>
        </w:tc>
        <w:tc>
          <w:tcPr>
            <w:tcW w:w="541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1、主要用途：通过低温研磨生物样品能够有效抑制核酸降解，保留蛋白质活性，并可大批量处理样品。具有组织均质，研磨，细胞破碎，匀浆，材料分散，制备，振动的作用。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2、主要功能和技术指标：</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 15秒内最大处理量同时可以处理48个样品，包括可以适用24位和48位的低温冷冻适配器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2.2可以兼容的样品量：48*2ML/24*2ML/12*(5-15)ML/4*15ML/2*25ML/2*50ML，可以任意定做各种规格研磨管。</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2.3 触摸屏显示，人性化交互设计，操作便捷，可以方便直观的操作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2.3.1可存储十组实验数据，根据不同实验样本，设置有动物心脏脾肺肾、骨骼、皮肤、毛发模式。</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2.3.2模式循环：根据设置的实验参数，可在几个设置好的参数间不断循环，进一步减少人为因数的干扰。</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2.4开盖运行保护：电磁锁定</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2.5最大进料尺寸：无要求，根据适配器调节。</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2.6最终出料粒度：~5μm。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2.7研磨平台数 (可接纳研磨罐数) &gt;2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2.8带自动中心定位的紧固装置,工作时安全锁，全程保护。</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2.9均质速度：0—70 HZ/秒，工作时间：0秒-999分钟，用户可自行设定。</w:t>
            </w:r>
          </w:p>
          <w:p>
            <w:pPr>
              <w:widowControl/>
              <w:spacing w:line="360" w:lineRule="exact"/>
              <w:jc w:val="left"/>
              <w:textAlignment w:val="center"/>
              <w:rPr>
                <w:rFonts w:ascii="宋体" w:hAnsi="宋体" w:cs="宋体"/>
                <w:color w:val="auto"/>
                <w:szCs w:val="21"/>
                <w:highlight w:val="none"/>
              </w:rPr>
            </w:pPr>
            <w:r>
              <w:rPr>
                <w:rFonts w:hint="eastAsia" w:ascii="宋体" w:hAnsi="宋体" w:cs="宋体"/>
                <w:bCs/>
                <w:color w:val="auto"/>
                <w:highlight w:val="none"/>
              </w:rPr>
              <w:t>▲</w:t>
            </w:r>
            <w:r>
              <w:rPr>
                <w:rFonts w:hint="eastAsia" w:ascii="宋体" w:hAnsi="宋体" w:cs="宋体"/>
                <w:color w:val="auto"/>
                <w:kern w:val="0"/>
                <w:szCs w:val="21"/>
                <w:highlight w:val="none"/>
                <w:lang w:bidi="ar"/>
              </w:rPr>
              <w:t>2.10转速范围：1000rpm-7000rpm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2.11研磨球直径： 0.1-30mm。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2.12研磨球材料： 合金钢、铬钢、氧化锆、碳化钨、石英砂。</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2.13加速：在2秒内达到最大速度。减速：在2秒内达到最低速度。</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2.14智能启动：在设定的时间条件到达后，智能启动，无需人工按启动操作。</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2.15噪音等级： &lt;55db。</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 xml:space="preserve">2.16制冷功能：有，-50℃到室温可调节。控温精度：±0.5℃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2.17研磨方式：湿磨，干磨，低温研磨都可。</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w:t>
            </w:r>
            <w:r>
              <w:rPr>
                <w:rFonts w:ascii="宋体" w:hAnsi="宋体" w:cs="宋体"/>
                <w:color w:val="auto"/>
                <w:kern w:val="0"/>
                <w:szCs w:val="21"/>
                <w:highlight w:val="none"/>
                <w:lang w:bidi="ar"/>
              </w:rPr>
              <w:t>8</w:t>
            </w:r>
            <w:r>
              <w:rPr>
                <w:rFonts w:hint="eastAsia" w:ascii="宋体" w:hAnsi="宋体" w:cs="宋体"/>
                <w:color w:val="auto"/>
                <w:kern w:val="0"/>
                <w:szCs w:val="21"/>
                <w:highlight w:val="none"/>
                <w:lang w:bidi="ar"/>
              </w:rPr>
              <w:t>适配器材质：聚四氟乙烯或合金钢。</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w:t>
            </w:r>
            <w:r>
              <w:rPr>
                <w:rFonts w:ascii="宋体" w:hAnsi="宋体" w:cs="宋体"/>
                <w:color w:val="auto"/>
                <w:kern w:val="0"/>
                <w:szCs w:val="21"/>
                <w:highlight w:val="none"/>
                <w:lang w:bidi="ar"/>
              </w:rPr>
              <w:t>9</w:t>
            </w:r>
            <w:r>
              <w:rPr>
                <w:rFonts w:hint="eastAsia" w:ascii="宋体" w:hAnsi="宋体" w:cs="宋体"/>
                <w:color w:val="auto"/>
                <w:kern w:val="0"/>
                <w:szCs w:val="21"/>
                <w:highlight w:val="none"/>
                <w:lang w:bidi="ar"/>
              </w:rPr>
              <w:t>可随意更换适配器，有十四种适配器可供选配，0.2ml×96 孔板， 2.0ml×24适配器，5.0ml×12适配器，15ml×8适配器， 15ml×8适配器， 25ml×4适配器 ，50ml×2适配器，2.0ml×48适配器，5.0ml×24 适配器， 2.0ml×24冷冻适配器（可达-196度）， 5.0ml×12冷冻适配器（可达-196度），15ml×8冷冻适配器（可达-196度），25ml×2冷冻适配器（可达-196度），50ml×2冷冻适配器（可达-196度），可接受任意规格定制。</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ascii="宋体" w:hAnsi="宋体" w:cs="宋体"/>
                <w:color w:val="auto"/>
                <w:kern w:val="0"/>
                <w:szCs w:val="21"/>
                <w:highlight w:val="none"/>
                <w:lang w:bidi="ar"/>
              </w:rPr>
              <w:t>20</w:t>
            </w:r>
            <w:r>
              <w:rPr>
                <w:rFonts w:hint="eastAsia" w:ascii="宋体" w:hAnsi="宋体" w:cs="宋体"/>
                <w:color w:val="auto"/>
                <w:kern w:val="0"/>
                <w:szCs w:val="21"/>
                <w:highlight w:val="none"/>
                <w:lang w:bidi="ar"/>
              </w:rPr>
              <w:t>配套离心管开盖工具，可以快速的协助工作人员打开离心管，避免污染。</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3、基本配置：</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3.1 主机一台。</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3.2 2mL*24适配器一套，2mL*48适配器一套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3.3 2mL离心管一包</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3.4 3mm钢珠一瓶，5mm钢珠一瓶</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3.5 2mL开盖器一对</w:t>
            </w:r>
          </w:p>
        </w:tc>
        <w:tc>
          <w:tcPr>
            <w:tcW w:w="9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80000</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4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color w:val="auto"/>
                <w:szCs w:val="21"/>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w:t>
            </w:r>
          </w:p>
        </w:tc>
        <w:tc>
          <w:tcPr>
            <w:tcW w:w="11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全自动蛋白印迹处理系统</w:t>
            </w:r>
          </w:p>
        </w:tc>
        <w:tc>
          <w:tcPr>
            <w:tcW w:w="9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szCs w:val="21"/>
                <w:highlight w:val="none"/>
              </w:rPr>
              <w:t>2台</w:t>
            </w:r>
          </w:p>
        </w:tc>
        <w:tc>
          <w:tcPr>
            <w:tcW w:w="541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 xml:space="preserve">1、全自动，高通量，具备高度准确性与精确性。 </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2、带温控系统，支持4-40℃温度调节，可以进行4℃过夜孵育，也可进行37℃快速孵育。</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3、不同样品盘不同程序独立控制，方便实验安排。 </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4、通量灵活：12个样品盘，每个样品盘可使用不同的一抗/二抗，最多可一次处理24张膜。</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5、自动回收一抗二抗，回收率高达95％，反复使用可达10次。</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6、机械臂式一抗与二抗添加方式。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7、完全自动化：添加试剂后无需人工操作。 </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8、配备不同大小的样品盘：30mm×80mm（≥12个）、63mm×80mm（≥6个）、96mm×80mm（≥4个），并且不同尺寸托盘可搭配使用。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9、程序结束后可自动完成管路清洗，去除残余试剂。</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10、触摸屏操作灵活，支持存储50组程序，工作界面可以实时观察每个通道工作情况。</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11、洗涤缓冲液可保留在样品盘内，保持膜的湿润。</w:t>
            </w:r>
          </w:p>
        </w:tc>
        <w:tc>
          <w:tcPr>
            <w:tcW w:w="9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90000</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4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color w:val="auto"/>
                <w:szCs w:val="21"/>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w:t>
            </w:r>
          </w:p>
        </w:tc>
        <w:tc>
          <w:tcPr>
            <w:tcW w:w="11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旋转蒸发仪</w:t>
            </w:r>
          </w:p>
        </w:tc>
        <w:tc>
          <w:tcPr>
            <w:tcW w:w="9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szCs w:val="21"/>
                <w:highlight w:val="none"/>
              </w:rPr>
              <w:t>1套</w:t>
            </w:r>
          </w:p>
        </w:tc>
        <w:tc>
          <w:tcPr>
            <w:tcW w:w="541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一、主要用途</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1、回流操作、大量溶剂的快速蒸发和微量组分的浓缩和反应过程</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2、制备纳米颗粒/微球的前处理步骤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3、低温循环冷却泵可一泵双用，既可用于循环冷却，又可用于低温反应</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二、技术参数</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1、主机参数</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1.11 转速调整范围（rpm）：10～280；</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1.12 转速调节：无级调速；</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1.13 真空系统升压速率：≤ 0.33kPa /min；</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1.14 显示器：液晶数显；</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1.15 升降行程（mm）：150；</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1.16 冷凝器形式：高效双回流冷凝器；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1.17 旋转瓶容积(mL)：500 或 1000；</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1.18 收集瓶容积(mL)：1000；</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1.19 真空密封：特氟隆+特氟隆-氟化橡胶双重密封；</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1.20 保护功能：过电流、接地故障及短路；</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1.21 最佳使用环境温度（℃）：5～35；</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1.22 环境相对湿度 (%)：≤ 70。</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2、循环水式多用真空泵参数</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2.11 功率(W)：180/250；</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2.12 电源：220-240V，50Hz，110V，60Hz或220-240V，60Hz；</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2.13 流量(L/min)：80；</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2.14 扬程(m)：10；</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2.15 最大真空度(MPa)/极限压力(mbar)：0.098/20；</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2.16 单头抽气量(L/min)：10；</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2.17 抽气头数：2；</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2.18 安全功能：止回阀、过电流保护；</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2.19 水箱容积(L)：≥15。</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3、低温循环冷却泵参数</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3.11 空载最低温度：-20℃；</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3.12 使用温度范围：-20℃~室温；</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3.13 储液槽容积：≥5L；</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3.14 控制器为液晶显示屏；</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3.15 温度稳定性：±2℃；</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3.16 传感器分度号：Pt100；</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3.17 安全保护：延时、过电流、过热、压力、接地保护；</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3.18 可在正常环境温度下使用。</w:t>
            </w:r>
          </w:p>
        </w:tc>
        <w:tc>
          <w:tcPr>
            <w:tcW w:w="9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25000</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4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color w:val="auto"/>
                <w:szCs w:val="21"/>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w:t>
            </w:r>
          </w:p>
        </w:tc>
        <w:tc>
          <w:tcPr>
            <w:tcW w:w="11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电化学工作站</w:t>
            </w:r>
          </w:p>
        </w:tc>
        <w:tc>
          <w:tcPr>
            <w:tcW w:w="9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szCs w:val="21"/>
                <w:highlight w:val="none"/>
              </w:rPr>
              <w:t>1台</w:t>
            </w:r>
          </w:p>
        </w:tc>
        <w:tc>
          <w:tcPr>
            <w:tcW w:w="541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一、主要用途</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集成了常用的电化学测量技术，功能包括：循环伏安法、线性扫描伏安法、阶梯波伏安法、Tafel图、计时电流法、计时电量法、差分脉冲伏安法、常规脉冲伏安法、差分常规脉冲伏安法、方波伏安法、交流（含相敏）伏安法、二次谐波交流（相敏）伏安法、傅里叶变换交流伏安法、电流-时间曲线（i-t）、差分脉冲电流检测、双差分脉冲电流检测、三脉冲电流检测、积分脉冲电流检测、控制电位电解库仑法、流体力学调制伏安法、扫描-阶跃混合方法、多电位阶跃方法、交流阻抗测量、交流阻抗-时间测量、交流阻抗-电位测量、计时电位法、电流扫描计时电位法、多电流阶跃法、电位溶出分析（PSA）、电化学噪声测量（ECN）、开路电压-时间曲线（OCPT）、恒电流仪、RDE控制（0-10V输出）任意反应机理CV模拟器、预设反应机理CV模拟器、交流阻抗数字模拟器和拟合程序。</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二、技术参数</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1、CV和LSV扫描速度：0.000001V/s至10,000V/s；</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2、扫描时的电位增量：0.1mV（当扫速为1,000V/s时）；</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3、CA和CC的脉冲宽度：0.0001sec至1000sec；</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4、CA和CC的最小采样间隔：1ms；</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5、CC模拟积分器；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6、DPV和NPV的脉冲宽度：0.001sec至10sec；</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7、SWV频率：1kHz至100kHz；</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8、i-t的最小采样间隔：1ms；</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9、ACV频率范围：0.1k</w:t>
            </w:r>
            <w:r>
              <w:rPr>
                <w:rFonts w:ascii="宋体" w:hAnsi="宋体" w:cs="宋体"/>
                <w:color w:val="auto"/>
                <w:kern w:val="0"/>
                <w:szCs w:val="21"/>
                <w:highlight w:val="none"/>
                <w:lang w:bidi="ar"/>
              </w:rPr>
              <w:t>Hz</w:t>
            </w:r>
            <w:r>
              <w:rPr>
                <w:rFonts w:hint="eastAsia" w:ascii="宋体" w:hAnsi="宋体" w:cs="宋体"/>
                <w:color w:val="auto"/>
                <w:kern w:val="0"/>
                <w:szCs w:val="21"/>
                <w:highlight w:val="none"/>
                <w:lang w:bidi="ar"/>
              </w:rPr>
              <w:t>至10kHz；</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10、SHACV频率范围：0.1k</w:t>
            </w:r>
            <w:r>
              <w:rPr>
                <w:rFonts w:ascii="宋体" w:hAnsi="宋体" w:cs="宋体"/>
                <w:color w:val="auto"/>
                <w:kern w:val="0"/>
                <w:szCs w:val="21"/>
                <w:highlight w:val="none"/>
                <w:lang w:bidi="ar"/>
              </w:rPr>
              <w:t>Hz</w:t>
            </w:r>
            <w:r>
              <w:rPr>
                <w:rFonts w:hint="eastAsia" w:ascii="宋体" w:hAnsi="宋体" w:cs="宋体"/>
                <w:color w:val="auto"/>
                <w:kern w:val="0"/>
                <w:szCs w:val="21"/>
                <w:highlight w:val="none"/>
                <w:lang w:bidi="ar"/>
              </w:rPr>
              <w:t>至5kHz；</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11、FTACV频率范围：0.1</w:t>
            </w:r>
            <w:r>
              <w:rPr>
                <w:rFonts w:ascii="宋体" w:hAnsi="宋体" w:cs="宋体"/>
                <w:color w:val="auto"/>
                <w:kern w:val="0"/>
                <w:szCs w:val="21"/>
                <w:highlight w:val="none"/>
                <w:lang w:bidi="ar"/>
              </w:rPr>
              <w:t>Hz</w:t>
            </w:r>
            <w:r>
              <w:rPr>
                <w:rFonts w:hint="eastAsia" w:ascii="宋体" w:hAnsi="宋体" w:cs="宋体"/>
                <w:color w:val="auto"/>
                <w:kern w:val="0"/>
                <w:szCs w:val="21"/>
                <w:highlight w:val="none"/>
                <w:lang w:bidi="ar"/>
              </w:rPr>
              <w:t>至50Hz，可同时获取基波，二次谐波，三次谐波，四次谐波，五次谐波，六次谐波的ACV数据；</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12、交流阻抗：0.00001MHz至1MHz；</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13、交流阻抗波形幅度：0.00001V至0.7V均方根值。</w:t>
            </w:r>
          </w:p>
        </w:tc>
        <w:tc>
          <w:tcPr>
            <w:tcW w:w="9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57600</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4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color w:val="auto"/>
                <w:szCs w:val="21"/>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w:t>
            </w:r>
          </w:p>
        </w:tc>
        <w:tc>
          <w:tcPr>
            <w:tcW w:w="11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蛋白自动纯化系统</w:t>
            </w:r>
          </w:p>
        </w:tc>
        <w:tc>
          <w:tcPr>
            <w:tcW w:w="9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szCs w:val="21"/>
                <w:highlight w:val="none"/>
              </w:rPr>
              <w:t>1套</w:t>
            </w:r>
          </w:p>
        </w:tc>
        <w:tc>
          <w:tcPr>
            <w:tcW w:w="541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一、技术参数：</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1、工作基本条件：电力供应100</w:t>
            </w:r>
            <w:r>
              <w:rPr>
                <w:rFonts w:ascii="宋体" w:hAnsi="宋体" w:cs="宋体"/>
                <w:color w:val="auto"/>
                <w:kern w:val="0"/>
                <w:szCs w:val="21"/>
                <w:highlight w:val="none"/>
                <w:lang w:bidi="ar"/>
              </w:rPr>
              <w:t>V</w:t>
            </w:r>
            <w:r>
              <w:rPr>
                <w:rFonts w:hint="eastAsia" w:ascii="宋体" w:hAnsi="宋体" w:cs="宋体"/>
                <w:color w:val="auto"/>
                <w:kern w:val="0"/>
                <w:szCs w:val="21"/>
                <w:highlight w:val="none"/>
                <w:lang w:bidi="ar"/>
              </w:rPr>
              <w:t>-240V AC，50</w:t>
            </w:r>
            <w:r>
              <w:rPr>
                <w:rFonts w:ascii="宋体" w:hAnsi="宋体" w:cs="宋体"/>
                <w:color w:val="auto"/>
                <w:kern w:val="0"/>
                <w:szCs w:val="21"/>
                <w:highlight w:val="none"/>
                <w:lang w:bidi="ar"/>
              </w:rPr>
              <w:t>Hz</w:t>
            </w:r>
            <w:r>
              <w:rPr>
                <w:rFonts w:hint="eastAsia" w:ascii="宋体" w:hAnsi="宋体" w:cs="宋体"/>
                <w:color w:val="auto"/>
                <w:kern w:val="0"/>
                <w:szCs w:val="21"/>
                <w:highlight w:val="none"/>
                <w:lang w:bidi="ar"/>
              </w:rPr>
              <w:t>-60 Hz、工作温度4℃-35℃，相对湿度：20%-95%；</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2、系统泵：全自动道口微量四元桂塞泵，双泵四泵头，每个泵配一个除气阀；</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3、流速范围：0.001</w:t>
            </w:r>
            <w:r>
              <w:rPr>
                <w:rFonts w:ascii="宋体" w:hAnsi="宋体" w:cs="宋体"/>
                <w:color w:val="auto"/>
                <w:kern w:val="0"/>
                <w:szCs w:val="21"/>
                <w:highlight w:val="none"/>
                <w:lang w:bidi="ar"/>
              </w:rPr>
              <w:t>ml/min</w:t>
            </w:r>
            <w:r>
              <w:rPr>
                <w:rFonts w:hint="eastAsia" w:ascii="宋体" w:hAnsi="宋体" w:cs="宋体"/>
                <w:color w:val="auto"/>
                <w:kern w:val="0"/>
                <w:szCs w:val="21"/>
                <w:highlight w:val="none"/>
                <w:lang w:bidi="ar"/>
              </w:rPr>
              <w:t>-36 ml/min（单泵）；</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4、流速控制：可以双泵模式运行，可达≥72 ml/min；</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5、压力范围：0</w:t>
            </w:r>
            <w:r>
              <w:rPr>
                <w:rFonts w:ascii="宋体" w:hAnsi="宋体" w:cs="宋体"/>
                <w:color w:val="auto"/>
                <w:kern w:val="0"/>
                <w:szCs w:val="21"/>
                <w:highlight w:val="none"/>
                <w:lang w:bidi="ar"/>
              </w:rPr>
              <w:t>MPa</w:t>
            </w:r>
            <w:r>
              <w:rPr>
                <w:rFonts w:hint="eastAsia" w:ascii="宋体" w:hAnsi="宋体" w:cs="宋体"/>
                <w:color w:val="auto"/>
                <w:kern w:val="0"/>
                <w:szCs w:val="21"/>
                <w:highlight w:val="none"/>
                <w:lang w:bidi="ar"/>
              </w:rPr>
              <w:t>-27MPa ( 270bar, 4000 psi）；</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6、紫外可见检测器：可变波长检测器，200</w:t>
            </w:r>
            <w:r>
              <w:rPr>
                <w:rFonts w:ascii="宋体" w:hAnsi="宋体" w:cs="宋体"/>
                <w:color w:val="auto"/>
                <w:kern w:val="0"/>
                <w:szCs w:val="21"/>
                <w:highlight w:val="none"/>
                <w:lang w:bidi="ar"/>
              </w:rPr>
              <w:t>nm</w:t>
            </w:r>
            <w:r>
              <w:rPr>
                <w:rFonts w:hint="eastAsia" w:ascii="宋体" w:hAnsi="宋体" w:cs="宋体"/>
                <w:color w:val="auto"/>
                <w:kern w:val="0"/>
                <w:szCs w:val="21"/>
                <w:highlight w:val="none"/>
                <w:lang w:bidi="ar"/>
              </w:rPr>
              <w:t xml:space="preserve">-400nm； </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7、检测波长：同时检测不少于四个波长，波长间隔lnm；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8、电导检测器：内置温度监测器， 范围0℃-99℃，±1℃；</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9、缓冲液入口阀：在单个阀上实现至少8个A缓冲液入口和至少2个B缓冲液入口；</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10、自动进样阀：1个，自动切换上样、进样和冲洗三个状态；</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11、高压三柱位阀：耐压≥2500psi，连接三个层析柱，能自动、反向洗脱；</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12、压力检测模块：1个，精确检测柱前和柱后压力；</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13、动态混合器，保证溶液梯度混合时的均匀性；</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14、组分收集器：配备自动识别的多种收集架，支持各种常用收集方式，便于对目标物的纯化收集（兼容5ml、15ml、50mL或者96孔板型号的收集筐）；</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15、样品泵流速范围：0.001</w:t>
            </w:r>
            <w:r>
              <w:rPr>
                <w:rFonts w:ascii="宋体" w:hAnsi="宋体" w:cs="宋体"/>
                <w:color w:val="auto"/>
                <w:kern w:val="0"/>
                <w:szCs w:val="21"/>
                <w:highlight w:val="none"/>
                <w:lang w:bidi="ar"/>
              </w:rPr>
              <w:t>ml/min</w:t>
            </w:r>
            <w:r>
              <w:rPr>
                <w:rFonts w:hint="eastAsia" w:ascii="宋体" w:hAnsi="宋体" w:cs="宋体"/>
                <w:color w:val="auto"/>
                <w:kern w:val="0"/>
                <w:szCs w:val="21"/>
                <w:highlight w:val="none"/>
                <w:lang w:bidi="ar"/>
              </w:rPr>
              <w:t>-36 ml/min（单泵），最大压力≥1500psi，流速最小增量：0.01ml/min；</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16、流速特性：流速准确度±2%；流速精确度：±0.5%。</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17、样品选择阀：1个，支持8个样品入口，生物兼容。气泡传感器：1个，检测样品泵筐路气泡。</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18、纯化设备除工作站控制设备运行外，纯化设备本身主机可独立开关进行启动、关闭、暂停控制。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19、快速蛋白纯化工艺优化工作站：1台。包括2个柱塞泵，可变双波长紫外检测器。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二、主要配置：</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1、电导检测器；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2、温度检测器；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3、入口缓冲液切换阀；</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4、三柱位阀；</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5、自动进样阀；</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6、混合器：含组分收集器；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7、样品泵；</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8、样品选择阀；</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9、气泡传感器；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10、控制软件1套；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11、仪器适配的终端配置1套（CPU主频≥4.3Ghz）。</w:t>
            </w:r>
          </w:p>
        </w:tc>
        <w:tc>
          <w:tcPr>
            <w:tcW w:w="9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645000</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4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color w:val="auto"/>
                <w:szCs w:val="21"/>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w:t>
            </w:r>
          </w:p>
        </w:tc>
        <w:tc>
          <w:tcPr>
            <w:tcW w:w="11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静电纺丝机</w:t>
            </w:r>
          </w:p>
        </w:tc>
        <w:tc>
          <w:tcPr>
            <w:tcW w:w="9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szCs w:val="21"/>
                <w:highlight w:val="none"/>
              </w:rPr>
              <w:t>1台</w:t>
            </w:r>
          </w:p>
        </w:tc>
        <w:tc>
          <w:tcPr>
            <w:tcW w:w="541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一、主要用途</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1、同轴双组份纺丝</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2、纳米膜材料/取向纤维制备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3、管型支架和微球制备</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二、技术参数</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1、高压电源：内置于设备底座中，面板显示电压和电流；</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1.1 电源2台：调节精度0.01kV（DC）；</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1.2 正电电源：0</w:t>
            </w:r>
            <w:r>
              <w:rPr>
                <w:rFonts w:ascii="宋体" w:hAnsi="宋体" w:cs="宋体"/>
                <w:color w:val="auto"/>
                <w:kern w:val="0"/>
                <w:szCs w:val="21"/>
                <w:highlight w:val="none"/>
                <w:lang w:bidi="ar"/>
              </w:rPr>
              <w:t>kV</w:t>
            </w:r>
            <w:r>
              <w:rPr>
                <w:rFonts w:hint="eastAsia" w:ascii="宋体" w:hAnsi="宋体" w:cs="宋体"/>
                <w:color w:val="auto"/>
                <w:kern w:val="0"/>
                <w:szCs w:val="21"/>
                <w:highlight w:val="none"/>
                <w:lang w:bidi="ar"/>
              </w:rPr>
              <w:t>～+50kV（用于同时提供一台推注装置四联喷头和同时提供2台推注装置同轴纺丝使用）；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1.3 负电电源：0</w:t>
            </w:r>
            <w:r>
              <w:rPr>
                <w:rFonts w:ascii="宋体" w:hAnsi="宋体" w:cs="宋体"/>
                <w:color w:val="auto"/>
                <w:kern w:val="0"/>
                <w:szCs w:val="21"/>
                <w:highlight w:val="none"/>
                <w:lang w:bidi="ar"/>
              </w:rPr>
              <w:t>kV</w:t>
            </w:r>
            <w:r>
              <w:rPr>
                <w:rFonts w:hint="eastAsia" w:ascii="宋体" w:hAnsi="宋体" w:cs="宋体"/>
                <w:color w:val="auto"/>
                <w:kern w:val="0"/>
                <w:szCs w:val="21"/>
                <w:highlight w:val="none"/>
                <w:lang w:bidi="ar"/>
              </w:rPr>
              <w:t>～-30kV（用于所有接收装置切换使用，定向牵引收集）。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2、喷头：四联喷头：1组</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 金属喷头：2套；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2.2 微球专用喷头：2个；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2.3 同轴喷头（含液体输送管道）：2个；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2.4 电纺推注装置（两套）；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2.5 储液针管与喷头之间无需软管连接，喷射时喷头方向为水平；</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2.6 装液容量：1</w:t>
            </w:r>
            <w:r>
              <w:rPr>
                <w:rFonts w:ascii="宋体" w:hAnsi="宋体" w:cs="宋体"/>
                <w:color w:val="auto"/>
                <w:kern w:val="0"/>
                <w:szCs w:val="21"/>
                <w:highlight w:val="none"/>
                <w:lang w:bidi="ar"/>
              </w:rPr>
              <w:t>ml</w:t>
            </w:r>
            <w:r>
              <w:rPr>
                <w:rFonts w:hint="eastAsia" w:ascii="宋体" w:hAnsi="宋体" w:cs="宋体"/>
                <w:color w:val="auto"/>
                <w:kern w:val="0"/>
                <w:szCs w:val="21"/>
                <w:highlight w:val="none"/>
                <w:lang w:bidi="ar"/>
              </w:rPr>
              <w:t>～50ml。</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2.7 推注速度：0.001mm/min～90mm/min；</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2.8 调节精度：0.001mm/min；</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2.9 推注行程：0</w:t>
            </w:r>
            <w:r>
              <w:rPr>
                <w:rFonts w:ascii="宋体" w:hAnsi="宋体" w:cs="宋体"/>
                <w:color w:val="auto"/>
                <w:kern w:val="0"/>
                <w:szCs w:val="21"/>
                <w:highlight w:val="none"/>
                <w:lang w:bidi="ar"/>
              </w:rPr>
              <w:t>mm</w:t>
            </w:r>
            <w:r>
              <w:rPr>
                <w:rFonts w:hint="eastAsia" w:ascii="宋体" w:hAnsi="宋体" w:cs="宋体"/>
                <w:color w:val="auto"/>
                <w:kern w:val="0"/>
                <w:szCs w:val="21"/>
                <w:highlight w:val="none"/>
                <w:lang w:bidi="ar"/>
              </w:rPr>
              <w:t>～100mm；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ascii="宋体" w:hAnsi="宋体" w:cs="宋体"/>
                <w:color w:val="auto"/>
                <w:kern w:val="0"/>
                <w:szCs w:val="21"/>
                <w:highlight w:val="none"/>
                <w:lang w:bidi="ar"/>
              </w:rPr>
              <w:t>1</w:t>
            </w:r>
            <w:r>
              <w:rPr>
                <w:rFonts w:hint="eastAsia" w:ascii="宋体" w:hAnsi="宋体" w:cs="宋体"/>
                <w:color w:val="auto"/>
                <w:kern w:val="0"/>
                <w:szCs w:val="21"/>
                <w:highlight w:val="none"/>
                <w:lang w:bidi="ar"/>
              </w:rPr>
              <w:t>0 喷射间距：50</w:t>
            </w:r>
            <w:r>
              <w:rPr>
                <w:rFonts w:ascii="宋体" w:hAnsi="宋体" w:cs="宋体"/>
                <w:color w:val="auto"/>
                <w:kern w:val="0"/>
                <w:szCs w:val="21"/>
                <w:highlight w:val="none"/>
                <w:lang w:bidi="ar"/>
              </w:rPr>
              <w:t>mm</w:t>
            </w:r>
            <w:r>
              <w:rPr>
                <w:rFonts w:hint="eastAsia" w:ascii="宋体" w:hAnsi="宋体" w:cs="宋体"/>
                <w:color w:val="auto"/>
                <w:kern w:val="0"/>
                <w:szCs w:val="21"/>
                <w:highlight w:val="none"/>
                <w:lang w:bidi="ar"/>
              </w:rPr>
              <w:t>～300mm；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ascii="宋体" w:hAnsi="宋体" w:cs="宋体"/>
                <w:color w:val="auto"/>
                <w:kern w:val="0"/>
                <w:szCs w:val="21"/>
                <w:highlight w:val="none"/>
                <w:lang w:bidi="ar"/>
              </w:rPr>
              <w:t>1</w:t>
            </w:r>
            <w:r>
              <w:rPr>
                <w:rFonts w:hint="eastAsia" w:ascii="宋体" w:hAnsi="宋体" w:cs="宋体"/>
                <w:color w:val="auto"/>
                <w:kern w:val="0"/>
                <w:szCs w:val="21"/>
                <w:highlight w:val="none"/>
                <w:lang w:bidi="ar"/>
              </w:rPr>
              <w:t>1 喷射可调角度：-45度～+45度；</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3、平移装置置于机箱内部，承载推注装置往返移动；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3.1 平移次数：1次~9999次；</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3.2 移动速度：1次～500mm/min；</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3.3 移动行程：0mm～300mm；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3.4 往复平移距离：0mm～150mm；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3.5 接收装置A：喷丝接收器转速：0rpm～140 rpm；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3.6 圆柱型B：取向接收器转速：2800 rpm，转速恒定；</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3.7 管型接收器转速：0rpm～205 rpm；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4、环境控制：加温温度：室温～70℃可调，精度±1℃；</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4.1 加湿湿度：30%~80%可调，精度±5%。</w:t>
            </w:r>
          </w:p>
        </w:tc>
        <w:tc>
          <w:tcPr>
            <w:tcW w:w="9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130000</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4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color w:val="auto"/>
                <w:szCs w:val="21"/>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7</w:t>
            </w:r>
          </w:p>
        </w:tc>
        <w:tc>
          <w:tcPr>
            <w:tcW w:w="11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多导睡眠呼吸监测仪</w:t>
            </w:r>
          </w:p>
        </w:tc>
        <w:tc>
          <w:tcPr>
            <w:tcW w:w="9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szCs w:val="21"/>
                <w:highlight w:val="none"/>
              </w:rPr>
              <w:t>2套</w:t>
            </w:r>
          </w:p>
        </w:tc>
        <w:tc>
          <w:tcPr>
            <w:tcW w:w="541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一、设备参数</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1、设备原始采集而非软件分析指标的通道数≧10导，包括呼吸气流（口鼻气流压力和口鼻气流热敏）、胸腹呼吸（独立胸导联、独立腹导联）、脉搏血氧饱和度、脉率、体位、体动、鼾声、环境光参数；</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2、设备小巧轻便，监测过程中患者可在睡眠监测室活动。</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3、设备采用大容量锂电池直流电源供电，实时监测模式下续航时间≥24小时，可重复使用，降低传统干电池的日常损耗及环境污染；同时电池可自由拆卸并更换，避免因长期使用导致电池老化而不便更换的情况。</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4、主机内置蓝牙模块，可通过电脑端蓝牙无线连接，软件进行无线初始化，录入患者基本信息及相关监测数据及指标的设置，无需利用读卡器或其他USB接口进行数据初始化。</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5、具有实时阻抗检测功能，针对EXG信号进行阻抗测试，避免因穿戴或其它不当问题影响采集信号。</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6、设备具有环境光监测功能，可通过环境光自动识别出关灯和开灯时间。</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7、设备内存卡不小于64GB，存储并保留连续三个患者的睡眠数据，并可依次导入分析软件中进行分析。</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8、设备主机具有可连续记录三位患者数据的功能，并同时存储于内存卡中，可同时在分析软件中依次下载这三位患者数据进行分析。</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9、可对不同信号自定义设置高通滤波、低通滤波、工作频率，帮助临床滤除噪声干扰，获取更加准确的信号。</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10、患者报告可导出为WORD、EXCEL、PDF格式，同时可自定义报告模板。</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11、数据采集格式采用国际通用EDF格式，可将数据导出edf文件，导入至其它所需要软件平台进行分析。</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12、软件具有一键导出不同病例患者的各项监测生理指标至Excel中，便于临床医务人员进行科研及其他数据收集操作。</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13、软件可自动翻页和滚动，速度30s/屏，时间可调；可以手动或自动分析睡眠分期、呼吸事件、缺氧事件以及肢体运动事件，并最终生成统计结果和报告；睡眠报告具有血氧趋势图、心率趋势图、呼吸事件趋势图、体动趋势图、体位趋势图。</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二、配置清单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1、主机1台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2、钴酸锂聚合物电池1个；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3、TF卡1个；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4、TF卡读卡器1个；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5、血氧探头1个；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6、胸腹呼吸带2条；</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7、RIP接口电缆（Chest）1条；</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8、RIP接口电缆（Abdomen）1条；</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9、热敏口鼻气流传感器1条；</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10、电源适配器1个；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11、电源线1根；</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12、PSG主机固定带1套；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13、鼻氧管1根；</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14、蓝牙适配器1个；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15、使用说明书1本，含保修卡；</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16、合格证1个。</w:t>
            </w:r>
          </w:p>
        </w:tc>
        <w:tc>
          <w:tcPr>
            <w:tcW w:w="9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50000</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4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color w:val="auto"/>
                <w:szCs w:val="21"/>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8</w:t>
            </w:r>
          </w:p>
        </w:tc>
        <w:tc>
          <w:tcPr>
            <w:tcW w:w="11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医疗三维重建软件</w:t>
            </w:r>
          </w:p>
        </w:tc>
        <w:tc>
          <w:tcPr>
            <w:tcW w:w="9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szCs w:val="21"/>
                <w:highlight w:val="none"/>
              </w:rPr>
              <w:t>1套</w:t>
            </w:r>
          </w:p>
        </w:tc>
        <w:tc>
          <w:tcPr>
            <w:tcW w:w="541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一、软件用途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    医疗三维重建过程是将患者CT、MR、CBCT和MicroCT等dicom原始数据导入三维重建软件，再进行三维建模，形成三维可视化模型，为医生提供更丰富更直观的病灶信息，帮助医生诊断更精确。基于三维重建模型，让医生在术前清晰掌握手术过程，有利于医生提前进行手术风险的评估和手术设计方案的规划。</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二、技术指标</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1、医疗三维重建软件，支持多种成像方式创建的DICOM文件，如CT，MR，CBCT和MicroCT等；</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▲2、不用设置任何参数，直接可以直观地3D预览CT或MR数据；</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3、自动骨骼分割预置多种骨骼运用场景，实现对不连接骨骼的一次自动分割。</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▲4、自动真实地上色，亦可导出彩色模型，用于彩色3D打印；</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5、填洞工具能逐一选择填充，也能全部填充对象内部空隙。以避免后续打印过程中，因有内部封闭空隙而导致液体排不出的情况出现；</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▲6、三维模型跟2D灰白图之间的模型同步功能，实时显示三维模型上某个位置在2D灰白图上的位置，反之亦可。不要求用户具备三维空间想象力；</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7、也可导出带颜色的3D pdf文件，用Adobe Reader免费版打开旋转、平移和缩放，无需专业软件。；</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▲8、有单牙和多牙2种自动提取方法。能自动完整地提取牙根数据；</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9、具有加厚、变薄、光顺、修剪、抽壳、壁厚分析等数据编辑功能；</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10、能导出STL、PLY、OBJ、D2P等格式；</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11、对患者数据的管理，提取与术前计划相关的重要信息；</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12、支持标准3D打印文件(如STL、PLY、OBJ)的导出/导入，以及软件文件目录下进行共享(如DICOM、D2P模型、PDF、JPG等)。</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三、售后服务：提供终生质保和软件升级、更新服务。</w:t>
            </w:r>
          </w:p>
        </w:tc>
        <w:tc>
          <w:tcPr>
            <w:tcW w:w="9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335000</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软件和信息技术服务业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4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color w:val="auto"/>
                <w:szCs w:val="21"/>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9</w:t>
            </w:r>
          </w:p>
        </w:tc>
        <w:tc>
          <w:tcPr>
            <w:tcW w:w="11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三维数据处理软件</w:t>
            </w:r>
          </w:p>
        </w:tc>
        <w:tc>
          <w:tcPr>
            <w:tcW w:w="9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szCs w:val="21"/>
                <w:highlight w:val="none"/>
              </w:rPr>
              <w:t>1套</w:t>
            </w:r>
          </w:p>
        </w:tc>
        <w:tc>
          <w:tcPr>
            <w:tcW w:w="5414"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60" w:lineRule="exact"/>
              <w:ind w:left="420" w:hanging="420" w:hangingChars="200"/>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软件用途：   </w:t>
            </w:r>
          </w:p>
          <w:p>
            <w:pPr>
              <w:widowControl/>
              <w:spacing w:line="360" w:lineRule="exact"/>
              <w:ind w:firstLine="420" w:firstLineChars="200"/>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三维数据处理软件可以将患者三维重建的模型进行优化封装等处理，医疗模型的再次设计修改，创作医疗导板、医疗辅具等，为我们提供更丰富更为全面的辅助，帮助医生诊断更精确。三维数据处理软件可以帮助我们实现科研和医疗的多方案研究与规划，实现可行性的探索。</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二、技术指标：</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（一）处理点云和处理扫描数据</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1、过滤杂点，采样，平滑点；编辑纹理；面片构建；</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2、简易的分割工具可以将大型点云数据转换为多个小型点云—分割点云；</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3、自动扫描数据处理，可将大规模扫描数据转换为高品质面片—面片创建精灵；</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4、三角面片化 (2D、3D、面片构建)；合并(曲面、体积、面片构建)；</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5、对齐扫描数据；结合；消减；修正法线方向；变换扫描数据；布尔运算面片；</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（二）将扫描数据之间的拼接和摆正、与CAD数据进行对齐</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1、自动分析扫描特征、提示可能的坐标–对齐向导；</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2、用户手动对齐（提供3-2-1和X-Y-Z两种方式）；</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3、与CAD的快速、最优匹配对齐；与CAD进行基准匹配对齐；</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▲（三）最优化点云和面片操作</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1、自动面片修补清理；用高曲率连续性来进行自动填补孔洞；</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2、仅需一次点击便可以利用原始扫描数据创建无缝、优质面片–重新包覆；</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3、实时面片优化，从而保证可在RP、CAM和CAE中直接使用；</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4、详细的分辨率控制 (消减和细分)；平滑控制 (整体局部平滑)；</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5、针对CAE功能模型的自动重新构建面片 - 面片的优化；</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6、将点云或面片铺开，提取原始设计意图 – 展开和缠绕；</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7、整体再面片化、删除标记、删除特征、填孔、修正境界、平滑境界、境界拟合、将面片与解析形状进行拟合、剪切、分割、赋厚、偏移、镜像等。</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8、流程设计器：对于某些三角面片数据，会用到一些固定的命令去处理，就可以调用流程，进行一键处理。</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▲（四）快速建模</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1、只需几步便可创建指定特征的快捷工具：拉伸精灵；旋转精灵；扫略精灵；管道精灵；放样向导；</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2、针对在扫描数据上选定的领域进行智能地特征分析并使用适当的精灵工具–建模精灵；</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▲（五）设计助理</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1、从扫描数据中提取设计参数；自动面片领域分割可将面片作为设计参数来使用；</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2、从面片中自动提取设计特征参数，圆角半径和中心、草图平面&amp;轮廓、扫描路径曲线、拉伸轴、镜像平面、旋转中心轴、管道中心线、放样3D曲线、特征曲线、偏移/赋厚距离、圆柱/圆锥轴、长穴轴、阵列轴和方向、轮廓曲线、阵列线、螺旋体和螺旋曲线、3D多段线曲线等。</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3、根据面片模型的尺寸和约束条件来自动创建草图；</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4、利用面片自动提取2D/3D设计特征；智能实时2D/3D几何形状识别与扫描；</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5、圆角命令中可选择向导来轻松检索有相同半径的边线；</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（六）精度分析</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1、在用户自定义的允许偏差内进行设计；自动、实时偏差的可视化 ；</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2、不同对象的精度分析工具（面片与面片、面片与CAD、点云与CAD等）；</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3、面片分析功能（偏差、曲率、环境写像）；曲线分析功能（偏差、曲率、扭矩、连接端点）；曲面分析功能（偏差、曲率、连续性、等距线、环境写像）；</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▲（七）混合建模</w:t>
            </w:r>
            <w:r>
              <w:rPr>
                <w:rFonts w:ascii="宋体" w:hAnsi="宋体" w:cs="宋体"/>
                <w:color w:val="auto"/>
                <w:kern w:val="0"/>
                <w:szCs w:val="21"/>
                <w:highlight w:val="none"/>
                <w:lang w:bidi="ar"/>
              </w:rPr>
              <w:t>:</w:t>
            </w:r>
            <w:r>
              <w:rPr>
                <w:rFonts w:hint="eastAsia" w:ascii="宋体" w:hAnsi="宋体" w:cs="宋体"/>
                <w:color w:val="auto"/>
                <w:kern w:val="0"/>
                <w:szCs w:val="21"/>
                <w:highlight w:val="none"/>
                <w:lang w:bidi="ar"/>
              </w:rPr>
              <w:t>实体、曲面、面片、点云、纹理</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1、高度精密的但是被广泛接受使用的实体和曲面建模工具</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1.1、实体特征：拉伸、扫描、旋转、管道、赋厚、可变圆角、倒角、抽壳、直线/圆形/曲线阵列、布尔运算建模、押出成形；</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1.2、曲面特征：拉伸、旋转、扫描、放样、偏移、镜像、面填补、延长、剪切/反剪切、匹配、缝合、实体化、反转法线；</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1.3、基于网格数据一键轻松创建自由曲面体–面片拟合；</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2、建模特征树管理（特征重命名、重新编辑和重排顺序），与CAD相似的特征管理；</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（八）快速自由面片创建曲面</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1、自动曲面创建。均匀创建曲线网格，创建有机形状；特征跟随曲线网格，创建特征明显的机械形状；</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2、在允许偏差范围内优化原始面片数据；手动面片拟合曲面；自动曲线网格创建与手动曲线编辑；</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（九）CAD修正-CAD基于扫描数据的重新拟合和设计</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1、以多种原生CAD文件格式导入CAD数据；快速、自动CAD和面片模型坐标对齐；</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2、升级原始CAD模型，保存修改的特征；CAD局部修改，一键式CAD—扫描重新拟合；</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（十）尖端的曲线/草图工具</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1、从面片和点云上自动提取草图轮廓，轻松控制精度和设计意图；</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2、智能尺寸和添加多种2D约束条件；智能、实时的几何形状识别；</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3、面片和点云的轮廓曲线；在点云和面片上的断面上设计自由曲线；复杂的3D曲线设计工具；</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4、基于曲率的曲线网格设计；在草图上绘制文本；通过导入dxf、igs等格式来追加草图要素；</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5、多种草图编辑工具，圆角、倒角、剪切、偏移、转换、延长、分割、镜像、调整、阵列等；</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6、将模型与建模履历传送到CAD系统，SolidWorks、Siemens NX、Creo(Pro/E)、Inventor、AutoCAD。</w:t>
            </w:r>
          </w:p>
          <w:p>
            <w:pPr>
              <w:widowControl/>
              <w:spacing w:line="360" w:lineRule="exact"/>
              <w:jc w:val="left"/>
              <w:textAlignment w:val="center"/>
              <w:rPr>
                <w:rFonts w:ascii="宋体" w:hAnsi="宋体" w:cs="宋体"/>
                <w:color w:val="auto"/>
                <w:kern w:val="0"/>
                <w:szCs w:val="21"/>
                <w:highlight w:val="none"/>
                <w:lang w:bidi="ar"/>
              </w:rPr>
            </w:pPr>
            <w:r>
              <w:rPr>
                <w:rFonts w:ascii="宋体" w:hAnsi="宋体" w:cs="宋体"/>
                <w:color w:val="auto"/>
                <w:kern w:val="0"/>
                <w:szCs w:val="21"/>
                <w:highlight w:val="none"/>
                <w:lang w:bidi="ar"/>
              </w:rPr>
              <w:t>7</w:t>
            </w:r>
            <w:r>
              <w:rPr>
                <w:rFonts w:hint="eastAsia" w:ascii="宋体" w:hAnsi="宋体" w:cs="宋体"/>
                <w:color w:val="auto"/>
                <w:kern w:val="0"/>
                <w:szCs w:val="21"/>
                <w:highlight w:val="none"/>
                <w:lang w:bidi="ar"/>
              </w:rPr>
              <w:t>、以多种标准文件格式输出模型；保存为CATIA V4、V5文件格式。</w:t>
            </w:r>
          </w:p>
          <w:p>
            <w:pPr>
              <w:widowControl/>
              <w:spacing w:line="360" w:lineRule="exact"/>
              <w:jc w:val="left"/>
              <w:textAlignment w:val="center"/>
              <w:rPr>
                <w:rFonts w:ascii="宋体" w:hAnsi="宋体" w:cs="宋体"/>
                <w:color w:val="auto"/>
                <w:kern w:val="0"/>
                <w:szCs w:val="21"/>
                <w:highlight w:val="none"/>
                <w:lang w:bidi="ar"/>
              </w:rPr>
            </w:pPr>
            <w:r>
              <w:rPr>
                <w:rFonts w:ascii="宋体" w:hAnsi="宋体" w:cs="宋体"/>
                <w:color w:val="auto"/>
                <w:kern w:val="0"/>
                <w:szCs w:val="21"/>
                <w:highlight w:val="none"/>
                <w:lang w:bidi="ar"/>
              </w:rPr>
              <w:t>8</w:t>
            </w:r>
            <w:r>
              <w:rPr>
                <w:rFonts w:hint="eastAsia" w:ascii="宋体" w:hAnsi="宋体" w:cs="宋体"/>
                <w:color w:val="auto"/>
                <w:kern w:val="0"/>
                <w:szCs w:val="21"/>
                <w:highlight w:val="none"/>
                <w:lang w:bidi="ar"/>
              </w:rPr>
              <w:t>、实时引导扫描；在扫描的同时创建设计特征；高度完整的面片创建精灵；</w:t>
            </w:r>
          </w:p>
          <w:p>
            <w:pPr>
              <w:widowControl/>
              <w:spacing w:line="360" w:lineRule="exact"/>
              <w:jc w:val="left"/>
              <w:textAlignment w:val="center"/>
              <w:rPr>
                <w:rFonts w:ascii="宋体" w:hAnsi="宋体" w:cs="宋体"/>
                <w:color w:val="auto"/>
                <w:kern w:val="0"/>
                <w:szCs w:val="21"/>
                <w:highlight w:val="none"/>
                <w:lang w:bidi="ar"/>
              </w:rPr>
            </w:pPr>
            <w:r>
              <w:rPr>
                <w:rFonts w:ascii="宋体" w:hAnsi="宋体" w:cs="宋体"/>
                <w:color w:val="auto"/>
                <w:kern w:val="0"/>
                <w:szCs w:val="21"/>
                <w:highlight w:val="none"/>
                <w:lang w:bidi="ar"/>
              </w:rPr>
              <w:t>9</w:t>
            </w:r>
            <w:r>
              <w:rPr>
                <w:rFonts w:hint="eastAsia" w:ascii="宋体" w:hAnsi="宋体" w:cs="宋体"/>
                <w:color w:val="auto"/>
                <w:kern w:val="0"/>
                <w:szCs w:val="21"/>
                <w:highlight w:val="none"/>
                <w:lang w:bidi="ar"/>
              </w:rPr>
              <w:t>、全自动的保存和扫描数据处理；探针的数字化；</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（十一）视图与显示</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1、多种面片显示方式 (一系列点、线框、渲染、边线渲染、曲率、领域、几何形状类型)；</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2、智能点云渲染可满足大规模数据的可视化；多种点云渲染方式(深度、 x-射线、 高度)；</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3、灯光环境设置；视点管理；视图剪辑；通过模式；设置旋转中心；</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4、可以选择多边形，领域，CAD来快速设置视图剪辑；</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（十二）文件保存和键鼠操作</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1、特征命令在前移状态也可保存模型文件；</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2、可设定间隔时间，对文件进行自动缓存备份和文件保存提醒；</w:t>
            </w:r>
          </w:p>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3、鼠标操作方式可以切换到其他CAD，如 Solidworks，NX，Creo，CATIA等；</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 xml:space="preserve">4、支持建模命令的快捷键设置；支持3D鼠标。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三、售后服务：提供终生质保和软件升级、更新服务。</w:t>
            </w:r>
          </w:p>
        </w:tc>
        <w:tc>
          <w:tcPr>
            <w:tcW w:w="9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195000</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软件和信息技术服务业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4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color w:val="auto"/>
                <w:szCs w:val="21"/>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w:t>
            </w:r>
          </w:p>
        </w:tc>
        <w:tc>
          <w:tcPr>
            <w:tcW w:w="11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智能厌氧/微需氧培养系统</w:t>
            </w:r>
          </w:p>
        </w:tc>
        <w:tc>
          <w:tcPr>
            <w:tcW w:w="9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szCs w:val="21"/>
                <w:highlight w:val="none"/>
              </w:rPr>
              <w:t>1套</w:t>
            </w:r>
          </w:p>
        </w:tc>
        <w:tc>
          <w:tcPr>
            <w:tcW w:w="541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一、主要用途：</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智能厌氧/微需氧培养系统适用于厌氧菌、微需氧菌和细胞培养等；系统通过真空置换抽排原理，精确控制气体压力的变化，从而达到控制培养罐气体环境的目的。可提供更智能、精确、快捷和低成本的培养方式，方便检测、科研和生产使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二、技术参数：</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1、运行环境：温度：0℃ - 40℃，湿度：20%-80%；</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2、电压：220V；</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3、生成时间：厌氧，最快150秒；微需氧，最快70秒；</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4、氧浓度范围：0%-18%；</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5、二氧化碳范围：5%-20%；</w:t>
            </w:r>
          </w:p>
        </w:tc>
        <w:tc>
          <w:tcPr>
            <w:tcW w:w="9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260000</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4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color w:val="auto"/>
                <w:szCs w:val="21"/>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11</w:t>
            </w:r>
          </w:p>
        </w:tc>
        <w:tc>
          <w:tcPr>
            <w:tcW w:w="11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全自动微生物生化鉴定及药敏分析系统</w:t>
            </w:r>
          </w:p>
        </w:tc>
        <w:tc>
          <w:tcPr>
            <w:tcW w:w="9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szCs w:val="21"/>
                <w:highlight w:val="none"/>
              </w:rPr>
              <w:t>1套</w:t>
            </w:r>
          </w:p>
        </w:tc>
        <w:tc>
          <w:tcPr>
            <w:tcW w:w="541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一、主要用途：</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自动微生物生化鉴定及药敏分析系统采用生化表型特征判读、数据库比对，可以准确、快速进行微生物鉴定。目前此系统被广泛应用于市场监督管理部门、海关出入境检验检疫、疾病预防控制、食品安全、制药企业、兽医、渔业水产养殖、科研高校等微生物实验室。</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二、技术参数：</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1、运行温度：10℃～40℃，运行湿度：≤85%rh；</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2、细菌生化鉴定的一致性达95%以上；</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3、药敏试验结果符合率达95%以上；</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4、重复性误差：≤1%；</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5、菌种信息库1000种以上，可定性生化鉴定500种以上常见微生物；</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6、可定量测试≥320种药物的敏感性/MIC检测。</w:t>
            </w:r>
          </w:p>
        </w:tc>
        <w:tc>
          <w:tcPr>
            <w:tcW w:w="9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320000</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4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color w:val="auto"/>
                <w:szCs w:val="21"/>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12</w:t>
            </w:r>
          </w:p>
        </w:tc>
        <w:tc>
          <w:tcPr>
            <w:tcW w:w="11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精密液晶型生化培养箱</w:t>
            </w:r>
          </w:p>
        </w:tc>
        <w:tc>
          <w:tcPr>
            <w:tcW w:w="9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szCs w:val="21"/>
                <w:highlight w:val="none"/>
              </w:rPr>
              <w:t>1台</w:t>
            </w:r>
          </w:p>
        </w:tc>
        <w:tc>
          <w:tcPr>
            <w:tcW w:w="541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一、主要用途：</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生化培养箱具有制冷和加热双向调温系统，温度可控的功能，是生物、遗传工程、医学、卫生防疫、环境保护、农林畜牧等行业的科研机构、大专院校、生产单位或部门实验室的重要试验设备，广泛应用于低温恒温试验、培养试验、环境试验等。生化培养箱控制器电路由温度传感器、电压比较器和控制执行电路组成。</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二、技术参数：</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1、温度参数：温度是生化培养箱的基本参数之一。生物实验通常需要在特定的温度范围内进行，例如体温、常温或高温。生化培养箱的温度范围一般在4℃-60℃之间，能够提供稳定的温度条件。另外还要注意温度控制的精度，生物实验通常需要精确到0.1℃。</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2、湿度参数：湿度是生化培养箱另一个重要的参数，特别是对于需要长时间培养的生物实验湿度范围一般在 40%-90%之间。过高或过低的湿度都会对实验物质造成不利影响，生化培养箱一般会配备加湿器或除湿器来控制湿度，确保实验物质在最佳的湿度环境中生长。</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气体参数：气体参数对于某些生物实验非常重要，例如需要进行细胞培养的实验。氧气和氧化碳比例的控制可以影响细胞增殖和分化。生化培养箱一般会配备气体流控制系统，可以根据实验需求控制不同的氧气和二氧化碳浓度。</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4、光照参数：某些生命科学领域的实验需要创造特定的日夜周期或者模拟特定的光照条件。对于这类实验，生化培养箱一般会配备特殊的光源系统，可以提供不同波长(如紫外线、紫外线 A、可见光等) 和强度的光照。</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安全措施：生化培养箱作为实验室中的设备，安全是非常重要的一点。生化培养箱应该配备安全锁定系统，确保在实验过程中不会意外涉及到生物实验物质。另外，在生化培养箱内进行实验时，需要确保装置的稳定性和防震性，以防止故障发生。</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三、配置清单：</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1、主机1台；</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2、载物托架3块；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3、电源线及说明书。</w:t>
            </w:r>
          </w:p>
        </w:tc>
        <w:tc>
          <w:tcPr>
            <w:tcW w:w="9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8480</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4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color w:val="auto"/>
                <w:szCs w:val="21"/>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13</w:t>
            </w:r>
          </w:p>
        </w:tc>
        <w:tc>
          <w:tcPr>
            <w:tcW w:w="11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低速切割机</w:t>
            </w:r>
          </w:p>
        </w:tc>
        <w:tc>
          <w:tcPr>
            <w:tcW w:w="9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szCs w:val="21"/>
                <w:highlight w:val="none"/>
              </w:rPr>
              <w:t>1台</w:t>
            </w:r>
          </w:p>
        </w:tc>
        <w:tc>
          <w:tcPr>
            <w:tcW w:w="541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一、主要用途：</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低速金刚石切割机是适用于材料分析样品的精密切割的设备，如各类晶体（蓝宝石、石榴石等）、陶瓷、水泥、玻璃、岩样、矿样、金属、塑料、PCB板、医用材料、牙科材料、耐火材料、建筑材料、复合材料及有机高分子材料等，切割过程中依靠千分尺调整被切样品尺寸，尺寸控制精确。</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二、技术参数：</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1、主轴转速：最低起动转速～最高转速：25rpm～750rpm；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2、切割行程：最大行程（切割深度）：≈35mm；千分尺微调行程（切割宽度）：25mm（范围内可调）；滑座进给最大行程：40mm；</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3、精度：进给定位精确度：0.01mm（数显式千分尺）；</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4、夹具：可调二维夹具：水平方向旋转360°，垂直方向±15°；配迷你虎钳，可安装在二维夹具上；</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5、圆锯片尺寸：约76mm~约100mm（包含四种锯片，用于切割各种材料：碳化硅锯片、刚玉锯片、电镀金刚石锯片、全烧结金刚石锯片）。</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三、标准配件：</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1、可调二维夹具1套；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2、虎钳1个；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3、驱动电机皮带2条；</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4、夹锯垫（约62mm、约48mm、约35mm）共3套；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5、铝制载物块（约25mm×50mm×6mm）2个；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6、树脂陶瓷块（约50mm×50mm×10mm）2个；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7、全烧结金刚石锯片（约100mm×12.7mm×0.33mm）1片；</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8、电镀金刚石锯片（约100mm×12.7mm×0.5mm）2片；</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9、碳化硅锯片（约100mm×12.7mm×0.4mm）10片；</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10、刚玉锯片（约100mm×12.7mm×0.4mm）10片；</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11、石蜡棒4根；</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12、护目镜1副。</w:t>
            </w:r>
          </w:p>
        </w:tc>
        <w:tc>
          <w:tcPr>
            <w:tcW w:w="9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16900</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4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color w:val="auto"/>
                <w:szCs w:val="21"/>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14</w:t>
            </w:r>
          </w:p>
        </w:tc>
        <w:tc>
          <w:tcPr>
            <w:tcW w:w="11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数显式稳压稳流电泳仪</w:t>
            </w:r>
          </w:p>
        </w:tc>
        <w:tc>
          <w:tcPr>
            <w:tcW w:w="9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szCs w:val="21"/>
                <w:highlight w:val="none"/>
              </w:rPr>
              <w:t>4台</w:t>
            </w:r>
          </w:p>
        </w:tc>
        <w:tc>
          <w:tcPr>
            <w:tcW w:w="541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一、主要用途：</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电泳仪应用微电脑和开关电源技术，可选择定时与计时输出。稳压稳流电泳仪属于通用型电源，主要应用于常规小型垂直凝胶电泳或沉浸式水平电泳。可为整套蛋白电泳系统或者核酸电泳系统提供所需电源。</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二、参数配置：</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1、4组输出（可同时连接四个电泳槽）；</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2、输出定时/计时控制；</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3、自动无负载输出保护；</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4、自动过载和短路保护；</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5、自动记忆工作状态；</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6、3位数显，1位状态显示；</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7、可层叠防滑动机箱。</w:t>
            </w:r>
          </w:p>
        </w:tc>
        <w:tc>
          <w:tcPr>
            <w:tcW w:w="9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5000</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47" w:hRule="atLeast"/>
          <w:jc w:val="center"/>
        </w:trPr>
        <w:tc>
          <w:tcPr>
            <w:tcW w:w="459"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color w:val="auto"/>
                <w:szCs w:val="21"/>
                <w:highlight w:val="none"/>
              </w:rPr>
            </w:pPr>
          </w:p>
          <w:p>
            <w:pPr>
              <w:spacing w:line="360" w:lineRule="exact"/>
              <w:jc w:val="center"/>
              <w:rPr>
                <w:rFonts w:ascii="宋体" w:hAnsi="宋体" w:cs="宋体"/>
                <w:color w:val="auto"/>
                <w:szCs w:val="21"/>
                <w:highlight w:val="none"/>
              </w:rPr>
            </w:pPr>
            <w:r>
              <w:rPr>
                <w:rFonts w:hint="eastAsia" w:ascii="宋体" w:hAnsi="宋体" w:cs="宋体"/>
                <w:bCs/>
                <w:color w:val="auto"/>
                <w:szCs w:val="21"/>
                <w:highlight w:val="none"/>
              </w:rPr>
              <w:t>▲</w:t>
            </w:r>
          </w:p>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商务条款</w:t>
            </w:r>
          </w:p>
        </w:tc>
        <w:tc>
          <w:tcPr>
            <w:tcW w:w="10215" w:type="dxa"/>
            <w:gridSpan w:val="6"/>
            <w:tcBorders>
              <w:top w:val="single" w:color="auto" w:sz="4" w:space="0"/>
              <w:left w:val="single" w:color="auto" w:sz="4" w:space="0"/>
              <w:bottom w:val="single" w:color="auto" w:sz="4" w:space="0"/>
              <w:right w:val="single" w:color="auto" w:sz="4" w:space="0"/>
            </w:tcBorders>
          </w:tcPr>
          <w:p>
            <w:pPr>
              <w:widowControl/>
              <w:shd w:val="clear" w:color="auto" w:fill="FFFFFF"/>
              <w:spacing w:line="360" w:lineRule="exact"/>
              <w:rPr>
                <w:rFonts w:ascii="宋体" w:hAnsi="宋体" w:cs="宋体"/>
                <w:color w:val="auto"/>
                <w:szCs w:val="21"/>
                <w:highlight w:val="none"/>
              </w:rPr>
            </w:pPr>
            <w:r>
              <w:rPr>
                <w:rFonts w:hint="eastAsia" w:ascii="宋体" w:hAnsi="宋体" w:cs="宋体"/>
                <w:color w:val="auto"/>
                <w:szCs w:val="21"/>
                <w:highlight w:val="none"/>
              </w:rPr>
              <w:t>一、合同签订期：自中标通知书发出之日起</w:t>
            </w:r>
            <w:r>
              <w:rPr>
                <w:rFonts w:hint="eastAsia" w:ascii="宋体" w:hAnsi="宋体" w:cs="宋体"/>
                <w:color w:val="auto"/>
                <w:szCs w:val="21"/>
                <w:highlight w:val="none"/>
                <w:u w:val="single"/>
              </w:rPr>
              <w:t>25</w:t>
            </w:r>
            <w:r>
              <w:rPr>
                <w:rFonts w:hint="eastAsia" w:ascii="宋体" w:hAnsi="宋体" w:cs="宋体"/>
                <w:color w:val="auto"/>
                <w:szCs w:val="21"/>
                <w:highlight w:val="none"/>
              </w:rPr>
              <w:t>个自然日内。</w:t>
            </w:r>
          </w:p>
          <w:p>
            <w:pPr>
              <w:widowControl/>
              <w:shd w:val="clear" w:color="auto" w:fill="FFFFFF"/>
              <w:spacing w:line="360" w:lineRule="exact"/>
              <w:rPr>
                <w:rFonts w:ascii="宋体" w:hAnsi="宋体" w:cs="宋体"/>
                <w:color w:val="auto"/>
                <w:szCs w:val="21"/>
                <w:highlight w:val="none"/>
              </w:rPr>
            </w:pPr>
            <w:r>
              <w:rPr>
                <w:rFonts w:hint="eastAsia" w:ascii="宋体" w:hAnsi="宋体" w:cs="宋体"/>
                <w:color w:val="auto"/>
                <w:szCs w:val="21"/>
                <w:highlight w:val="none"/>
              </w:rPr>
              <w:t>二、交付</w:t>
            </w:r>
            <w:r>
              <w:rPr>
                <w:rFonts w:hint="eastAsia" w:ascii="宋体" w:hAnsi="宋体" w:cs="宋体"/>
                <w:bCs/>
                <w:color w:val="auto"/>
                <w:szCs w:val="21"/>
                <w:highlight w:val="none"/>
              </w:rPr>
              <w:t>时间：非进口货物自合同签订之日起30个工作日内交货，进口货物自合同签订之日起90个工作日内交货。</w:t>
            </w:r>
          </w:p>
          <w:p>
            <w:pPr>
              <w:widowControl/>
              <w:shd w:val="clear" w:color="auto" w:fill="FFFFFF"/>
              <w:spacing w:line="360" w:lineRule="exact"/>
              <w:rPr>
                <w:rFonts w:ascii="宋体" w:hAnsi="宋体" w:cs="宋体"/>
                <w:color w:val="auto"/>
                <w:szCs w:val="21"/>
                <w:highlight w:val="none"/>
              </w:rPr>
            </w:pPr>
            <w:r>
              <w:rPr>
                <w:rFonts w:hint="eastAsia" w:ascii="宋体" w:hAnsi="宋体" w:cs="宋体"/>
                <w:color w:val="auto"/>
                <w:szCs w:val="21"/>
                <w:highlight w:val="none"/>
              </w:rPr>
              <w:t>三、交付地点及方式：</w:t>
            </w:r>
          </w:p>
          <w:p>
            <w:pPr>
              <w:widowControl/>
              <w:shd w:val="clear" w:color="auto" w:fill="FFFFFF"/>
              <w:spacing w:line="360" w:lineRule="exact"/>
              <w:rPr>
                <w:rFonts w:ascii="宋体" w:hAnsi="宋体" w:cs="宋体"/>
                <w:bCs/>
                <w:color w:val="auto"/>
                <w:szCs w:val="21"/>
                <w:highlight w:val="none"/>
                <w:u w:val="single"/>
              </w:rPr>
            </w:pPr>
            <w:r>
              <w:rPr>
                <w:rFonts w:hint="eastAsia" w:ascii="宋体" w:hAnsi="宋体" w:cs="宋体"/>
                <w:color w:val="auto"/>
                <w:szCs w:val="21"/>
                <w:highlight w:val="none"/>
              </w:rPr>
              <w:t>交货地点：</w:t>
            </w:r>
            <w:r>
              <w:rPr>
                <w:rFonts w:hint="eastAsia" w:ascii="宋体" w:hAnsi="宋体" w:cs="宋体"/>
                <w:bCs/>
                <w:color w:val="auto"/>
                <w:szCs w:val="21"/>
                <w:highlight w:val="none"/>
                <w:u w:val="single"/>
              </w:rPr>
              <w:t>采购人指定地点；</w:t>
            </w:r>
          </w:p>
          <w:p>
            <w:pPr>
              <w:widowControl/>
              <w:shd w:val="clear" w:color="auto" w:fill="FFFFFF"/>
              <w:spacing w:line="360" w:lineRule="exact"/>
              <w:rPr>
                <w:rFonts w:ascii="宋体" w:hAnsi="宋体" w:cs="宋体"/>
                <w:color w:val="auto"/>
                <w:szCs w:val="21"/>
                <w:highlight w:val="none"/>
              </w:rPr>
            </w:pPr>
            <w:r>
              <w:rPr>
                <w:rFonts w:hint="eastAsia" w:ascii="宋体" w:hAnsi="宋体" w:cs="宋体"/>
                <w:color w:val="auto"/>
                <w:szCs w:val="21"/>
                <w:highlight w:val="none"/>
              </w:rPr>
              <w:t>交货方式：现场交货。</w:t>
            </w:r>
          </w:p>
          <w:p>
            <w:pPr>
              <w:widowControl/>
              <w:numPr>
                <w:ilvl w:val="0"/>
                <w:numId w:val="2"/>
              </w:numPr>
              <w:shd w:val="clear" w:color="auto" w:fill="FFFFFF"/>
              <w:spacing w:line="360" w:lineRule="exact"/>
              <w:rPr>
                <w:rFonts w:ascii="宋体" w:hAnsi="宋体" w:cs="宋体"/>
                <w:color w:val="auto"/>
                <w:szCs w:val="21"/>
                <w:highlight w:val="none"/>
              </w:rPr>
            </w:pPr>
            <w:r>
              <w:rPr>
                <w:rFonts w:hint="eastAsia" w:ascii="宋体" w:hAnsi="宋体" w:cs="宋体"/>
                <w:color w:val="auto"/>
                <w:szCs w:val="21"/>
                <w:highlight w:val="none"/>
              </w:rPr>
              <w:t>质保期：</w:t>
            </w:r>
          </w:p>
          <w:p>
            <w:pPr>
              <w:widowControl/>
              <w:shd w:val="clear" w:color="auto" w:fill="FFFFFF"/>
              <w:spacing w:line="360" w:lineRule="exact"/>
              <w:rPr>
                <w:rFonts w:ascii="宋体" w:hAnsi="宋体" w:cs="宋体"/>
                <w:color w:val="auto"/>
                <w:szCs w:val="21"/>
                <w:highlight w:val="none"/>
              </w:rPr>
            </w:pPr>
            <w:r>
              <w:rPr>
                <w:rFonts w:hint="eastAsia" w:ascii="宋体" w:hAnsi="宋体" w:cs="宋体"/>
                <w:color w:val="auto"/>
                <w:szCs w:val="21"/>
                <w:highlight w:val="none"/>
              </w:rPr>
              <w:t>1、按国家有关产品“三包”规定执行“三包”，所有设备、配件提供</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不少于2 年</w:t>
            </w:r>
            <w:r>
              <w:rPr>
                <w:rFonts w:hint="eastAsia" w:ascii="宋体" w:hAnsi="宋体" w:cs="宋体"/>
                <w:color w:val="auto"/>
                <w:szCs w:val="21"/>
                <w:highlight w:val="none"/>
              </w:rPr>
              <w:t xml:space="preserve"> 的免费质保，终身维修（“需求一览表”中有特别注明的，按特别注明的执行）。</w:t>
            </w:r>
          </w:p>
          <w:p>
            <w:pPr>
              <w:widowControl/>
              <w:shd w:val="clear" w:color="auto" w:fill="FFFFFF"/>
              <w:spacing w:line="360" w:lineRule="exact"/>
              <w:rPr>
                <w:rFonts w:ascii="宋体" w:hAnsi="宋体" w:cs="宋体"/>
                <w:color w:val="auto"/>
                <w:szCs w:val="21"/>
                <w:highlight w:val="none"/>
              </w:rPr>
            </w:pPr>
            <w:r>
              <w:rPr>
                <w:rFonts w:hint="eastAsia" w:ascii="宋体" w:hAnsi="宋体" w:cs="宋体"/>
                <w:color w:val="auto"/>
                <w:szCs w:val="21"/>
                <w:highlight w:val="none"/>
              </w:rPr>
              <w:t>2、从通过验收即日起质保期/服务期内所有由于质量问题导致的软、硬件产品故障以免费保修、免费人工及免费更换备件标准上门服务，并提供终身维护。</w:t>
            </w:r>
          </w:p>
          <w:p>
            <w:pPr>
              <w:widowControl/>
              <w:shd w:val="clear" w:color="auto" w:fill="FFFFFF"/>
              <w:spacing w:line="360" w:lineRule="exact"/>
              <w:rPr>
                <w:rFonts w:ascii="宋体" w:hAnsi="宋体" w:cs="宋体"/>
                <w:bCs/>
                <w:color w:val="auto"/>
                <w:szCs w:val="21"/>
                <w:highlight w:val="none"/>
                <w:u w:val="single"/>
              </w:rPr>
            </w:pPr>
            <w:r>
              <w:rPr>
                <w:rFonts w:hint="eastAsia" w:ascii="宋体" w:hAnsi="宋体" w:cs="宋体"/>
                <w:color w:val="auto"/>
                <w:szCs w:val="21"/>
                <w:highlight w:val="none"/>
              </w:rPr>
              <w:t>3、响应时间：质保期内，设备发生故障时接到通知后2小时内响应，24小时内到达现场维修，48小时内解决问题；质保期满后，按照质保期内售后服务内容及标准继续提供质保服务，直至采购人确认更换维保单位或设备报废。不能因质保期满而出现缓修、拒修等情况。项目质保维护期满后需签订维护和售后服务合同，具体事项以实际谈判为准，费用由成交人和采购人另行结算。</w:t>
            </w:r>
          </w:p>
          <w:p>
            <w:pPr>
              <w:widowControl/>
              <w:shd w:val="clear" w:color="auto" w:fill="FFFFFF"/>
              <w:spacing w:line="360" w:lineRule="exact"/>
              <w:rPr>
                <w:rFonts w:ascii="宋体" w:hAnsi="宋体" w:cs="宋体"/>
                <w:color w:val="auto"/>
                <w:szCs w:val="21"/>
                <w:highlight w:val="none"/>
              </w:rPr>
            </w:pPr>
            <w:r>
              <w:rPr>
                <w:rFonts w:hint="eastAsia" w:ascii="宋体" w:hAnsi="宋体" w:cs="宋体"/>
                <w:color w:val="auto"/>
                <w:szCs w:val="21"/>
                <w:highlight w:val="none"/>
              </w:rPr>
              <w:t>五、售后服务要求：</w:t>
            </w:r>
          </w:p>
          <w:p>
            <w:pPr>
              <w:widowControl/>
              <w:shd w:val="clear" w:color="auto" w:fill="FFFFFF"/>
              <w:tabs>
                <w:tab w:val="left" w:pos="3580"/>
              </w:tabs>
              <w:spacing w:line="360" w:lineRule="exact"/>
              <w:rPr>
                <w:rFonts w:ascii="宋体" w:hAnsi="宋体" w:cs="宋体"/>
                <w:bCs/>
                <w:color w:val="auto"/>
                <w:szCs w:val="21"/>
                <w:highlight w:val="none"/>
              </w:rPr>
            </w:pPr>
            <w:r>
              <w:rPr>
                <w:rFonts w:hint="eastAsia" w:ascii="宋体" w:hAnsi="宋体" w:cs="宋体"/>
                <w:bCs/>
                <w:color w:val="auto"/>
                <w:szCs w:val="21"/>
                <w:highlight w:val="none"/>
              </w:rPr>
              <w:t>1、免费送货上门，免费由技术人员现场安装、调试，并免费培训技术操作人员。安装、调试和培训所需的工具、器材以及系统集成费、差旅费、运费和相关税费，均由成交供应商自理；各项性能指标达到技术要求的，由供需双方共同签字认可，现场验收；提供全套说明书并包括简易的中文操作说明和注意事项。</w:t>
            </w:r>
          </w:p>
          <w:p>
            <w:pPr>
              <w:widowControl/>
              <w:shd w:val="clear" w:color="auto" w:fill="FFFFFF"/>
              <w:tabs>
                <w:tab w:val="left" w:pos="3580"/>
              </w:tabs>
              <w:spacing w:line="360" w:lineRule="exact"/>
              <w:rPr>
                <w:rFonts w:ascii="宋体" w:hAnsi="宋体" w:cs="宋体"/>
                <w:bCs/>
                <w:color w:val="auto"/>
                <w:szCs w:val="21"/>
                <w:highlight w:val="none"/>
              </w:rPr>
            </w:pPr>
            <w:r>
              <w:rPr>
                <w:rFonts w:hint="eastAsia" w:ascii="宋体" w:hAnsi="宋体" w:cs="宋体"/>
                <w:bCs/>
                <w:color w:val="auto"/>
                <w:szCs w:val="21"/>
                <w:highlight w:val="none"/>
              </w:rPr>
              <w:t>2、出现故障4小时内做出响应，24小时内到场维修。一般问题应在48小时内解决，重大问题或其它无法迅速解决的问题应在一周内解决。经维修后仍不能正常使用的提供备用机。定期回访以及对设备维护。</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六、付款方式：自签订合同之日起十个工作日内，采购人支付合同款总额30%作为预付款，交货验收合格后十个工作日内，采购人支付剩余款项。中标供应商在收到每笔合同款后三个工作日内提供相应金额的真实、合法、有效正式发票。</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七、报价要求：</w:t>
            </w:r>
          </w:p>
          <w:p>
            <w:pPr>
              <w:widowControl/>
              <w:spacing w:line="3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投标报价为采购人指定地点的现场交货价，包括但不限于： </w:t>
            </w:r>
          </w:p>
          <w:p>
            <w:pPr>
              <w:widowControl/>
              <w:spacing w:line="3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1、货物（含服务）的价格； </w:t>
            </w:r>
          </w:p>
          <w:p>
            <w:pPr>
              <w:widowControl/>
              <w:spacing w:line="3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2、货物的标准附件、备品备件、专用工具的价格； </w:t>
            </w:r>
          </w:p>
          <w:p>
            <w:pPr>
              <w:widowControl/>
              <w:spacing w:line="3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3、运输、装卸、调试、培训、技术支持、售后服务、质保期内免费维护等费用；</w:t>
            </w:r>
          </w:p>
          <w:p>
            <w:pPr>
              <w:widowControl/>
              <w:spacing w:line="3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4、必要的保险费用和各项税费； </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kern w:val="0"/>
                <w:szCs w:val="21"/>
                <w:highlight w:val="none"/>
              </w:rPr>
              <w:t xml:space="preserve">5、设备的安装材料费。 </w:t>
            </w:r>
          </w:p>
          <w:p>
            <w:pPr>
              <w:numPr>
                <w:ilvl w:val="0"/>
                <w:numId w:val="3"/>
              </w:num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备品备件及耗材等要求：</w:t>
            </w:r>
          </w:p>
          <w:p>
            <w:pPr>
              <w:tabs>
                <w:tab w:val="left" w:pos="3490"/>
                <w:tab w:val="left" w:pos="3670"/>
                <w:tab w:val="left" w:pos="3895"/>
              </w:tabs>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有稳定的备件供应渠道，并从设备厂商的中国公司及其分销商购置整机和备件补充，可以满足客户的设备在升级、扩充和保修服务配件及消耗品等多方面的需求，中标人就相关备品备件及耗材价格与采购人友好协商，应以优惠价格提供相关服务</w:t>
            </w:r>
          </w:p>
          <w:p>
            <w:pPr>
              <w:numPr>
                <w:ilvl w:val="0"/>
                <w:numId w:val="3"/>
              </w:num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规范标准：</w:t>
            </w:r>
          </w:p>
          <w:p>
            <w:pPr>
              <w:tabs>
                <w:tab w:val="left" w:pos="3490"/>
                <w:tab w:val="left" w:pos="3670"/>
                <w:tab w:val="left" w:pos="3895"/>
              </w:tabs>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采购标的需执行的国家标准、行业标准、地方标准或者其他标准、规范。多项标准的，按最新标准或较高标准执行。</w:t>
            </w:r>
          </w:p>
          <w:p>
            <w:pPr>
              <w:numPr>
                <w:ilvl w:val="0"/>
                <w:numId w:val="3"/>
              </w:num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验收标准及要求：</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1、验收依据按合同要求及国家标准进行验收。</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2、验收标准</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（1）所供产品的规格、数量、功能、材质等符合招标文件采购需求及采购合同约定的要求。</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（2）所供产品的外观完好，无严重碰撞、表皮脱落、五金件生锈等明显瑕疵。</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（3）所供产品结构牢固，无安全隐患。</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（4）如有抽检要求的，检测结果符合招标文件采购需求及采购合同约定的要求。</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（5）所有产品均已运输至指定地点，并安装调试完毕。</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（6）招标文件采购需求及采购合同约定的附件、工具、技术资料等齐全；提供产品使用说明书、合格证。</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（7）投标货物是全新的、未经改装的、合格的、满足本项目技术需求及要求的货物。所有零部件、配件必须是未经使用的全新的并符合国家有关质量安全标准的产品。</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3、验收要求</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（1）采购人可以根据采购项目具体情况自行组织验收，或者委托第三方机构或部门开展采购项目履约验收工作，验收过程中所产生的一切费用均由中标人承担，报价时应考虑相关费用。</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2）本项目验收如委托第三方机构组织实施的，由验收小组对照招标文件的技术参数要求核对检验，如不符合招标文件的技术参数要求的，按合同约定执行，中标人承担所有责任和费用。采购人保留进一步追究责任的权利。</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①验收活动开始前，中标人应对货物作出全面检查和对验收文件进行整理，并列出清单，作为采购人收货验收和使用的技术条件依据。</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②因验收不合格的，需要再次组织验收的，由此产生相关成本费用由中标人承担。</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（3）验收时中标人提供验收文档，具体如下：投标文件中要求提供的检测报告、技术方案、实施方案、售后服务方案、培训方案、系统部署文档、测试文档、使用说明书、电子文档等。</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4）采购人与中标人签订合前，采购人根据采购文件要求对所有要求出具的检测报告、证明材料的原件进行核查。交货时，中标人必须按技术参数及性能（配置）的要求，提供资料复印件并加盖厂家公章，不按要求提供的视为供货商违约，采购人有权终止合同拒收货物，并追究供应商责任，同时报财政部门备案。</w:t>
            </w:r>
          </w:p>
          <w:p>
            <w:pPr>
              <w:pStyle w:val="10"/>
              <w:spacing w:line="360" w:lineRule="exact"/>
              <w:rPr>
                <w:rFonts w:ascii="宋体" w:hAnsi="宋体" w:cs="宋体"/>
                <w:color w:val="auto"/>
                <w:szCs w:val="21"/>
                <w:highlight w:val="none"/>
              </w:rPr>
            </w:pPr>
            <w:r>
              <w:rPr>
                <w:rFonts w:hint="eastAsia" w:ascii="宋体" w:hAnsi="宋体" w:cs="宋体"/>
                <w:color w:val="auto"/>
                <w:szCs w:val="21"/>
                <w:highlight w:val="none"/>
              </w:rPr>
              <w:t>（5）为了保证本次货物的质量，中标人在全部货物交货安装前，采购人有权对供货设备测试预验收，以确认产品的技术指标和性能是否达到采购文件中所规定以及投标文件所承诺的技术功能要求，若测试结果不能满足采购文件参数要求以及投标文件所承诺的技术功能要求，采购人有权单方面终止合同，并追究供应商责任。</w:t>
            </w:r>
          </w:p>
          <w:p>
            <w:pPr>
              <w:pStyle w:val="10"/>
              <w:spacing w:line="360" w:lineRule="exact"/>
              <w:rPr>
                <w:rFonts w:ascii="宋体" w:hAnsi="宋体" w:cs="宋体"/>
                <w:color w:val="auto"/>
                <w:szCs w:val="21"/>
                <w:highlight w:val="none"/>
              </w:rPr>
            </w:pPr>
            <w:r>
              <w:rPr>
                <w:rFonts w:hint="eastAsia" w:ascii="宋体" w:hAnsi="宋体" w:cs="宋体"/>
                <w:color w:val="auto"/>
                <w:szCs w:val="21"/>
                <w:highlight w:val="none"/>
              </w:rPr>
              <w:t>（6）项目验收过程中，需委托第三方检测机构介入的，费用由中标人另行承担。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1"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其他说明</w:t>
            </w:r>
          </w:p>
        </w:tc>
        <w:tc>
          <w:tcPr>
            <w:tcW w:w="10215" w:type="dxa"/>
            <w:gridSpan w:val="6"/>
            <w:tcBorders>
              <w:top w:val="single" w:color="auto" w:sz="4" w:space="0"/>
              <w:left w:val="single" w:color="auto" w:sz="4" w:space="0"/>
              <w:bottom w:val="single" w:color="auto" w:sz="4" w:space="0"/>
              <w:right w:val="single" w:color="auto" w:sz="4" w:space="0"/>
            </w:tcBorders>
          </w:tcPr>
          <w:p>
            <w:pPr>
              <w:widowControl/>
              <w:tabs>
                <w:tab w:val="left" w:pos="180"/>
                <w:tab w:val="left" w:pos="1620"/>
              </w:tabs>
              <w:spacing w:line="360" w:lineRule="exact"/>
              <w:rPr>
                <w:rFonts w:ascii="宋体" w:hAnsi="宋体" w:cs="宋体"/>
                <w:color w:val="auto"/>
                <w:szCs w:val="21"/>
                <w:highlight w:val="none"/>
              </w:rPr>
            </w:pPr>
            <w:r>
              <w:rPr>
                <w:rFonts w:hint="eastAsia" w:ascii="宋体" w:hAnsi="宋体" w:cs="宋体"/>
                <w:color w:val="auto"/>
                <w:szCs w:val="21"/>
                <w:highlight w:val="none"/>
              </w:rPr>
              <w:t>一、进口产品说明：</w:t>
            </w:r>
          </w:p>
          <w:p>
            <w:pPr>
              <w:widowControl/>
              <w:tabs>
                <w:tab w:val="left" w:pos="180"/>
                <w:tab w:val="left" w:pos="1620"/>
              </w:tabs>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本表的第</w:t>
            </w:r>
            <w:r>
              <w:rPr>
                <w:rFonts w:hint="eastAsia" w:ascii="宋体" w:hAnsi="宋体" w:cs="宋体"/>
                <w:color w:val="auto"/>
                <w:szCs w:val="21"/>
                <w:highlight w:val="none"/>
                <w:u w:val="single"/>
              </w:rPr>
              <w:t xml:space="preserve"> 8、9 </w:t>
            </w:r>
            <w:r>
              <w:rPr>
                <w:rFonts w:hint="eastAsia" w:ascii="宋体" w:hAnsi="宋体" w:cs="宋体"/>
                <w:color w:val="auto"/>
                <w:szCs w:val="21"/>
                <w:highlight w:val="none"/>
              </w:rPr>
              <w:t>项货物已按规定办妥进口产品采购审核手续，投标产品可选用进口产品；但如选用进口产品时必须为全套全新原装进口产品（即通过中国海关报关验放进入中国境内且产自关境外的产品），要求：①中标人负责办理进口设备的相关手续及承担相关的所有费用（含办理免税证的费用）；②采购人将协助具有进出口业务代理资质的成交人办理上述进口货物的免关税手续，如投标人不具备进出口业务代理资质，则其报价中必须包含关税在内的所有税费。</w:t>
            </w:r>
          </w:p>
          <w:p>
            <w:pPr>
              <w:widowControl/>
              <w:tabs>
                <w:tab w:val="left" w:pos="180"/>
                <w:tab w:val="left" w:pos="1620"/>
              </w:tabs>
              <w:spacing w:line="360" w:lineRule="exact"/>
              <w:rPr>
                <w:rFonts w:ascii="宋体" w:hAnsi="宋体" w:cs="宋体"/>
                <w:color w:val="auto"/>
                <w:szCs w:val="21"/>
                <w:highlight w:val="none"/>
              </w:rPr>
            </w:pPr>
            <w:r>
              <w:rPr>
                <w:rFonts w:hint="eastAsia" w:ascii="宋体" w:hAnsi="宋体" w:cs="宋体"/>
                <w:color w:val="auto"/>
                <w:szCs w:val="21"/>
                <w:highlight w:val="none"/>
              </w:rPr>
              <w:t>优先采购向我国企业转让技术、与我国企业签订消化吸收再创新方案的投标人的进口产品。</w:t>
            </w:r>
          </w:p>
          <w:p>
            <w:pPr>
              <w:widowControl/>
              <w:tabs>
                <w:tab w:val="left" w:pos="180"/>
                <w:tab w:val="left" w:pos="1620"/>
              </w:tabs>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本项目货物不接受进口产品（即通过中国海关报关验放进入中国境内且产自关境外的产品）参与投标，如有进口产品参与投标的作无效标处理。</w:t>
            </w:r>
          </w:p>
          <w:p>
            <w:pPr>
              <w:widowControl/>
              <w:tabs>
                <w:tab w:val="left" w:pos="180"/>
                <w:tab w:val="left" w:pos="1620"/>
              </w:tabs>
              <w:spacing w:line="360" w:lineRule="exact"/>
              <w:rPr>
                <w:rFonts w:ascii="宋体" w:hAnsi="宋体" w:cs="宋体"/>
                <w:color w:val="auto"/>
                <w:szCs w:val="21"/>
                <w:highlight w:val="none"/>
              </w:rPr>
            </w:pPr>
            <w:r>
              <w:rPr>
                <w:rFonts w:hint="eastAsia" w:ascii="宋体" w:hAnsi="宋体" w:cs="宋体"/>
                <w:color w:val="auto"/>
                <w:szCs w:val="21"/>
                <w:highlight w:val="none"/>
              </w:rPr>
              <w:t>二、与本项目有关的设计图纸、技术规范、文件等附件资料及其获取方式：无</w:t>
            </w:r>
          </w:p>
          <w:p>
            <w:pPr>
              <w:widowControl/>
              <w:tabs>
                <w:tab w:val="left" w:pos="180"/>
                <w:tab w:val="left" w:pos="1620"/>
              </w:tabs>
              <w:spacing w:line="360" w:lineRule="exact"/>
              <w:rPr>
                <w:rFonts w:ascii="宋体" w:hAnsi="宋体" w:cs="宋体"/>
                <w:color w:val="auto"/>
                <w:szCs w:val="21"/>
                <w:highlight w:val="none"/>
              </w:rPr>
            </w:pPr>
            <w:r>
              <w:rPr>
                <w:rFonts w:hint="eastAsia" w:ascii="宋体" w:hAnsi="宋体" w:cs="宋体"/>
                <w:color w:val="auto"/>
                <w:szCs w:val="21"/>
                <w:highlight w:val="none"/>
              </w:rPr>
              <w:t>三、核心产品：</w:t>
            </w:r>
          </w:p>
          <w:p>
            <w:pPr>
              <w:widowControl/>
              <w:tabs>
                <w:tab w:val="left" w:pos="180"/>
                <w:tab w:val="left" w:pos="1620"/>
              </w:tabs>
              <w:spacing w:line="360" w:lineRule="exact"/>
              <w:rPr>
                <w:rFonts w:ascii="宋体" w:hAnsi="宋体" w:cs="宋体"/>
                <w:color w:val="auto"/>
                <w:szCs w:val="21"/>
                <w:highlight w:val="none"/>
              </w:rPr>
            </w:pPr>
            <w:r>
              <w:rPr>
                <w:rFonts w:hint="eastAsia" w:ascii="宋体" w:hAnsi="宋体" w:cs="宋体"/>
                <w:color w:val="auto"/>
                <w:szCs w:val="21"/>
                <w:highlight w:val="none"/>
              </w:rPr>
              <w:t>本项目的</w:t>
            </w:r>
            <w:bookmarkStart w:id="61" w:name="_Hlk154657177"/>
            <w:r>
              <w:rPr>
                <w:rFonts w:hint="eastAsia" w:ascii="宋体" w:hAnsi="宋体" w:cs="宋体"/>
                <w:color w:val="auto"/>
                <w:szCs w:val="21"/>
                <w:highlight w:val="none"/>
              </w:rPr>
              <w:t>核心产品</w:t>
            </w:r>
            <w:bookmarkEnd w:id="61"/>
            <w:r>
              <w:rPr>
                <w:rFonts w:hint="eastAsia" w:ascii="宋体" w:hAnsi="宋体" w:cs="宋体"/>
                <w:color w:val="auto"/>
                <w:szCs w:val="21"/>
                <w:highlight w:val="none"/>
              </w:rPr>
              <w:t>为“需求一览表”中第</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5</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项产品：“</w:t>
            </w:r>
            <w:r>
              <w:rPr>
                <w:rFonts w:hint="eastAsia" w:ascii="宋体" w:hAnsi="宋体" w:cs="宋体"/>
                <w:color w:val="auto"/>
                <w:szCs w:val="21"/>
                <w:highlight w:val="none"/>
                <w:u w:val="single"/>
              </w:rPr>
              <w:t>蛋白自动纯化系统</w:t>
            </w:r>
            <w:r>
              <w:rPr>
                <w:rFonts w:hint="eastAsia" w:ascii="宋体" w:hAnsi="宋体" w:cs="宋体"/>
                <w:color w:val="auto"/>
                <w:szCs w:val="21"/>
                <w:highlight w:val="none"/>
              </w:rPr>
              <w:t>”。</w:t>
            </w:r>
          </w:p>
        </w:tc>
      </w:tr>
    </w:tbl>
    <w:p>
      <w:pPr>
        <w:spacing w:line="320" w:lineRule="exact"/>
        <w:rPr>
          <w:rFonts w:ascii="宋体" w:hAnsi="宋体" w:cs="宋体"/>
          <w:color w:val="auto"/>
          <w:highlight w:val="none"/>
        </w:rPr>
      </w:pPr>
    </w:p>
    <w:p>
      <w:pPr>
        <w:pStyle w:val="11"/>
        <w:ind w:firstLine="404"/>
        <w:rPr>
          <w:color w:val="auto"/>
          <w:highlight w:val="none"/>
        </w:rPr>
      </w:pPr>
    </w:p>
    <w:tbl>
      <w:tblPr>
        <w:tblStyle w:val="22"/>
        <w:tblW w:w="1067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59"/>
        <w:gridCol w:w="500"/>
        <w:gridCol w:w="1175"/>
        <w:gridCol w:w="909"/>
        <w:gridCol w:w="5414"/>
        <w:gridCol w:w="981"/>
        <w:gridCol w:w="12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6" w:hRule="atLeast"/>
          <w:jc w:val="center"/>
        </w:trPr>
        <w:tc>
          <w:tcPr>
            <w:tcW w:w="10674" w:type="dxa"/>
            <w:gridSpan w:val="7"/>
            <w:tcBorders>
              <w:top w:val="single" w:color="auto" w:sz="4" w:space="0"/>
              <w:left w:val="single" w:color="auto" w:sz="4" w:space="0"/>
              <w:bottom w:val="nil"/>
              <w:right w:val="single" w:color="auto" w:sz="4" w:space="0"/>
            </w:tcBorders>
            <w:vAlign w:val="center"/>
          </w:tcPr>
          <w:p>
            <w:pPr>
              <w:spacing w:line="360" w:lineRule="exact"/>
              <w:jc w:val="left"/>
              <w:rPr>
                <w:rFonts w:ascii="宋体" w:hAnsi="宋体" w:cs="宋体"/>
                <w:b/>
                <w:bCs/>
                <w:color w:val="auto"/>
                <w:szCs w:val="21"/>
                <w:highlight w:val="none"/>
              </w:rPr>
            </w:pPr>
            <w:r>
              <w:rPr>
                <w:rFonts w:hint="eastAsia" w:ascii="宋体" w:hAnsi="宋体" w:cs="宋体"/>
                <w:color w:val="auto"/>
                <w:szCs w:val="21"/>
                <w:highlight w:val="none"/>
              </w:rPr>
              <w:t>分标：B分标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6" w:hRule="atLeast"/>
          <w:jc w:val="center"/>
        </w:trPr>
        <w:tc>
          <w:tcPr>
            <w:tcW w:w="45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需求一览表</w:t>
            </w:r>
          </w:p>
        </w:tc>
        <w:tc>
          <w:tcPr>
            <w:tcW w:w="5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1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标的名称</w:t>
            </w:r>
          </w:p>
        </w:tc>
        <w:tc>
          <w:tcPr>
            <w:tcW w:w="9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数量及单位</w:t>
            </w:r>
          </w:p>
        </w:tc>
        <w:tc>
          <w:tcPr>
            <w:tcW w:w="54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p>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技术参数及配置</w:t>
            </w:r>
          </w:p>
        </w:tc>
        <w:tc>
          <w:tcPr>
            <w:tcW w:w="98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最高上限单价（元）</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中小企业划分标准所属行业名称（行业名称及划分见本章附件1）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4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color w:val="auto"/>
                <w:szCs w:val="21"/>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11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口腔数字化虚拟仿真培训系统</w:t>
            </w:r>
          </w:p>
        </w:tc>
        <w:tc>
          <w:tcPr>
            <w:tcW w:w="9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cs="宋体"/>
                <w:color w:val="auto"/>
                <w:szCs w:val="21"/>
                <w:highlight w:val="none"/>
              </w:rPr>
            </w:pPr>
            <w:r>
              <w:rPr>
                <w:rFonts w:hint="eastAsia" w:ascii="宋体" w:hAnsi="宋体" w:cs="宋体"/>
                <w:color w:val="auto"/>
                <w:szCs w:val="21"/>
                <w:highlight w:val="none"/>
              </w:rPr>
              <w:t>2套</w:t>
            </w:r>
          </w:p>
        </w:tc>
        <w:tc>
          <w:tcPr>
            <w:tcW w:w="541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w:t>
            </w:r>
            <w:r>
              <w:rPr>
                <w:rFonts w:hint="eastAsia" w:ascii="宋体" w:hAnsi="宋体" w:cs="宋体"/>
                <w:bCs/>
                <w:color w:val="auto"/>
                <w:highlight w:val="none"/>
              </w:rPr>
              <w:t>▲</w:t>
            </w:r>
            <w:r>
              <w:rPr>
                <w:rFonts w:hint="eastAsia" w:ascii="宋体" w:hAnsi="宋体" w:cs="宋体"/>
                <w:color w:val="auto"/>
                <w:kern w:val="0"/>
                <w:szCs w:val="21"/>
                <w:highlight w:val="none"/>
                <w:lang w:bidi="ar"/>
              </w:rPr>
              <w:t>产品概述</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产品为基于计算机图形技术的口腔仿真训练设备，能够在视觉上真实模拟口腔三维环境，同时模拟真实口腔工具的左右手操作手柄，左右手均需要有符合手术操作习惯的机电主动力反馈功能；主要用于口腔基础教学、手术技能训练、手术操作考核；具备口腔手术图形和力反馈开发接口，并能同时提供牙周、种植、口腔修复、牙体牙髓、正畸、儿科、临床思维诊疗等7个数字化仿真子系统。</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2、通用功能需求</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 平台功能</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2.1.1 力反馈设备：工作空间约不低于150</w:t>
            </w:r>
            <w:r>
              <w:rPr>
                <w:rFonts w:ascii="宋体" w:hAnsi="宋体" w:cs="宋体"/>
                <w:color w:val="auto"/>
                <w:kern w:val="0"/>
                <w:szCs w:val="21"/>
                <w:highlight w:val="none"/>
                <w:lang w:bidi="ar"/>
              </w:rPr>
              <w:t>mm</w:t>
            </w:r>
            <w:r>
              <w:rPr>
                <w:rFonts w:hint="eastAsia" w:ascii="宋体" w:hAnsi="宋体" w:cs="宋体"/>
                <w:color w:val="auto"/>
                <w:kern w:val="0"/>
                <w:szCs w:val="21"/>
                <w:highlight w:val="none"/>
                <w:lang w:bidi="ar"/>
              </w:rPr>
              <w:t>×100</w:t>
            </w:r>
            <w:r>
              <w:rPr>
                <w:rFonts w:ascii="宋体" w:hAnsi="宋体" w:cs="宋体"/>
                <w:color w:val="auto"/>
                <w:kern w:val="0"/>
                <w:szCs w:val="21"/>
                <w:highlight w:val="none"/>
                <w:lang w:bidi="ar"/>
              </w:rPr>
              <w:t>mm</w:t>
            </w:r>
            <w:r>
              <w:rPr>
                <w:rFonts w:hint="eastAsia" w:ascii="宋体" w:hAnsi="宋体" w:cs="宋体"/>
                <w:color w:val="auto"/>
                <w:kern w:val="0"/>
                <w:szCs w:val="21"/>
                <w:highlight w:val="none"/>
                <w:lang w:bidi="ar"/>
              </w:rPr>
              <w:t>×60mm；</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2.1.2 模拟真实口腔工具的左右手操作手柄，左右手均需要有机电主动力反馈功能，左右手牙科工具杆可实现灵活互换；</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2.1.3 包含1台触屏操作显示器，显示分辨率1920×1080，显示器尺寸不低于15英寸，通过该显示器可实现用户与仿真程序界面的交互；</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2.1.4 包含1台观察窗口显示器，显示分辨率1920×1080，显示器尺寸不低于8.5英寸；</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2.1.5 具备口腔支点，可以在操作过程中为用户提供支撑；</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2.1.6 具备脚踏板系统，可以模拟口腔临床设备中的相关脚踏控制功能；</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2.1.7 具备基于镜面反射原理的虚拟口腔临床环境观察系统；</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2.1.8 具备放置主机、触屏显示器及力反馈设备等硬件装置的操作平台，平台可电动升降调节操作高度；</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2.1.9 系统主机需搭载相当于或优于英特尔i7的处理器；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2.1.10 系统主机内存不低于16G；</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2.1.11 系统主机SSD固态硬盘不低于1</w:t>
            </w:r>
            <w:r>
              <w:rPr>
                <w:rFonts w:ascii="宋体" w:hAnsi="宋体" w:cs="宋体"/>
                <w:color w:val="auto"/>
                <w:kern w:val="0"/>
                <w:szCs w:val="21"/>
                <w:highlight w:val="none"/>
                <w:lang w:bidi="ar"/>
              </w:rPr>
              <w:t>TB</w:t>
            </w:r>
            <w:r>
              <w:rPr>
                <w:rFonts w:hint="eastAsia" w:ascii="宋体" w:hAnsi="宋体" w:cs="宋体"/>
                <w:color w:val="auto"/>
                <w:kern w:val="0"/>
                <w:szCs w:val="21"/>
                <w:highlight w:val="none"/>
                <w:lang w:bidi="ar"/>
              </w:rPr>
              <w:t>。</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2.1.12</w:t>
            </w:r>
            <w:r>
              <w:rPr>
                <w:rFonts w:hint="eastAsia" w:ascii="宋体" w:hAnsi="宋体" w:cs="宋体"/>
                <w:color w:val="auto"/>
                <w:kern w:val="0"/>
                <w:szCs w:val="21"/>
                <w:highlight w:val="none"/>
                <w:lang w:val="en-US" w:eastAsia="zh-CN" w:bidi="ar"/>
              </w:rPr>
              <w:t xml:space="preserve"> </w:t>
            </w:r>
            <w:r>
              <w:rPr>
                <w:rFonts w:hint="eastAsia" w:ascii="宋体" w:hAnsi="宋体" w:cs="宋体"/>
                <w:color w:val="auto"/>
                <w:kern w:val="0"/>
                <w:szCs w:val="21"/>
                <w:highlight w:val="none"/>
                <w:lang w:bidi="ar"/>
              </w:rPr>
              <w:t>系统主机独立显卡不低于6G</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2.2 教学管理功能</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2.2.1牙周、种植、口腔修复、牙体牙髓、正畸、儿科、临床思维诊疗等7个数字化仿真子系统均可通过微信扫码进行登陆，登陆后显示用户相关信息；</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2.2.2 用户可以进行课程编辑，创建新课程，支持用户自定义添加病人主诉及病史信息，以及课程所需的操作工具和课程目标等信息；</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2.2.3 支持用户上传多种格式的口扫、面扫数据以及CBCT数据，实时生成力反馈训练病例，支持口扫数据和面扫数据的配准，并支持标定训练牙位；</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2.2.4支持为虚拟病人设定多种自然交互模式，提供在线病例编辑工具为教学案例中的病人赋予智能交互行为，包括智能语音对话和表情及肢体动作等，使得学生可以对病人进行全面的问诊、口腔检查、辅助检查、诊断、处置等流程；</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2.2.5支持教师根据不同用户的需求建立不同的组别，可以设定自己创建的新病例的推送组别，推送范围内的用户登陆模拟器后可以看到病例推送提示，并自由选择是否下载到本地进行训练；</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2.2.6对于学生提交的成绩，可以通过查看3D图形模型进行评估，真实再现学生的作品，使主观评价的结果更加准确；</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2.2.7教师可以根据查看3D图形模型进行反馈，将评语输出给学生机软件，当学生再次登录学生机账户时，能够看到教师的评语，促进学生下次练习时候改善；</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2.2.8同时能够跨越时间和空间的限制，让师生间进行充分的沟通；可以输出学生作品的STL的数据，用于未来课程的讲解和作品优缺点的分析；</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2.2.9系统可以基于用户、群组、课程导出相关训练成绩，方便教学管理者进行分析和整理。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3、牙周子系统功能要求</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3.1 牙周洁治基础训练模块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3.1.1 可实现对操作体位、工具提拉、分区域洁治等多项技能的训练；</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3.1.2 包含10个牙周基础洁治训练病例；</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3.1.3 包含6种龈上洁治器械供用户训练；</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3.1.4可实现带有力反馈的双手协调操作，左右手均可提供机电主动力觉感受，右手操作手柄实体杆可更换位牙周探针末端支杆；</w:t>
            </w:r>
            <w:r>
              <w:rPr>
                <w:rFonts w:hint="eastAsia" w:ascii="宋体" w:hAnsi="宋体" w:cs="宋体"/>
                <w:color w:val="auto"/>
                <w:kern w:val="0"/>
                <w:szCs w:val="21"/>
                <w:highlight w:val="none"/>
                <w:lang w:bidi="ar"/>
              </w:rPr>
              <w:br w:type="textWrapping"/>
            </w:r>
            <w:r>
              <w:rPr>
                <w:rFonts w:hint="eastAsia" w:ascii="宋体" w:hAnsi="宋体" w:cs="宋体"/>
                <w:color w:val="auto"/>
                <w:szCs w:val="21"/>
                <w:highlight w:val="none"/>
              </w:rPr>
              <w:t>●</w:t>
            </w:r>
            <w:r>
              <w:rPr>
                <w:rFonts w:hint="eastAsia" w:ascii="宋体" w:hAnsi="宋体" w:cs="宋体"/>
                <w:color w:val="auto"/>
                <w:kern w:val="0"/>
                <w:szCs w:val="21"/>
                <w:highlight w:val="none"/>
                <w:lang w:bidi="ar"/>
              </w:rPr>
              <w:t>3.1.5可实现左手口镜拨开舌头、脸颊等操作，并反馈真实的力觉感受；</w:t>
            </w:r>
          </w:p>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 xml:space="preserve">3.1.6 可以实现对口镜增大视野、增大操作空间等技能的训练；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3.2 牙周刮治基础训练模块</w:t>
            </w:r>
            <w:r>
              <w:rPr>
                <w:rFonts w:hint="eastAsia" w:ascii="宋体" w:hAnsi="宋体" w:cs="宋体"/>
                <w:color w:val="auto"/>
                <w:kern w:val="0"/>
                <w:szCs w:val="21"/>
                <w:highlight w:val="none"/>
                <w:lang w:bidi="ar"/>
              </w:rPr>
              <w:br w:type="textWrapping"/>
            </w:r>
            <w:r>
              <w:rPr>
                <w:rFonts w:hint="eastAsia" w:ascii="宋体" w:hAnsi="宋体" w:cs="宋体"/>
                <w:color w:val="auto"/>
                <w:szCs w:val="21"/>
                <w:highlight w:val="none"/>
              </w:rPr>
              <w:t>●</w:t>
            </w:r>
            <w:r>
              <w:rPr>
                <w:rFonts w:hint="eastAsia" w:ascii="宋体" w:hAnsi="宋体" w:cs="宋体"/>
                <w:color w:val="auto"/>
                <w:kern w:val="0"/>
                <w:szCs w:val="21"/>
                <w:highlight w:val="none"/>
                <w:lang w:bidi="ar"/>
              </w:rPr>
              <w:t>3.2.1 具备操作体位、器械进入、工具提拉三项技能的训练模块，其中器械进入、工具提拉每个模块训练案例不低于6个；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3.2.2 包含10个牙周基础刮治训练病例；</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3.2.3 包含8种龈下刮治器械和探诊器械供用户训练；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3.2.4 可实现带有力反馈的双手协调操作，左右手均可提供机电主动力反馈；</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3.2.5 可实现左、右手拨开舌头和脸颊等软组织的操作，并提供力反馈；</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3.2.6 可实现刮治器械进入病变牙龈的操作，并提供力反馈；</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3.2.7模块内器械为非超声波工具，需手工刮治，可模拟钩住牙石并发力洁除的全过程；</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3.3 牙周探诊基础训练模块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3.3.1 可实现对探诊顺序、操作体位、探针力量、探诊方法等技能的训练；</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3.3.2 包含25g口腔探测标准力度的专门训练模块；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3.3.3 探诊力量训练可以实时显示用户的输出力幅值；</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3.3.4 可以实现探诊工具对病变牙周袋深度的探测；</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3.3.5 包含10个牙周基础探诊训练病例；</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3.4 超声波洁治综合训练模块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3.4.1 可实现对设备准备、结合角度、设备提拉等技能的训练；</w:t>
            </w:r>
            <w:r>
              <w:rPr>
                <w:rFonts w:hint="eastAsia" w:ascii="宋体" w:hAnsi="宋体" w:cs="宋体"/>
                <w:color w:val="auto"/>
                <w:kern w:val="0"/>
                <w:szCs w:val="21"/>
                <w:highlight w:val="none"/>
                <w:lang w:bidi="ar"/>
              </w:rPr>
              <w:br w:type="textWrapping"/>
            </w:r>
            <w:r>
              <w:rPr>
                <w:rFonts w:hint="eastAsia" w:ascii="宋体" w:hAnsi="宋体" w:cs="宋体"/>
                <w:color w:val="auto"/>
                <w:szCs w:val="21"/>
                <w:highlight w:val="none"/>
              </w:rPr>
              <w:t>●</w:t>
            </w:r>
            <w:r>
              <w:rPr>
                <w:rFonts w:hint="eastAsia" w:ascii="宋体" w:hAnsi="宋体" w:cs="宋体"/>
                <w:color w:val="auto"/>
                <w:kern w:val="0"/>
                <w:szCs w:val="21"/>
                <w:highlight w:val="none"/>
                <w:lang w:bidi="ar"/>
              </w:rPr>
              <w:t>3.4.2 可以通过力反馈设备模拟普通刮治器及超声波洁治器，进行牙石的龈上洁治和龈下刮治训练；</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3.4.3 可实现对10种超声波洁治器工具头的模拟。</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3.5 牙周综合训练模块功能</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3.5.1 可实现全口操作，包含牙齿、牙龈、舌头、脸颊等完整的虚拟口腔环境，并且各类组织均可触碰产生相应触觉力感；</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3.5.2 可实现对用户操作过程的记录，并且以三维视频的形式进行回放；</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3.5.3 用户操作过程可回放，支持用户移动视角，从不同角度进行观察；</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3.5.4 用户操作过程可回放，并标记出牙石刮治、误操作等关键点；</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3.5.5 用户操作过程可回放，允许对操作进行标注，并进行截图。</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4、种植子系统功能要求</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4.1 种植基础模块功能</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4.1.1 提供至少三例单颗牙缺失的病例供用户训练；</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4.1.2 提供至少三例多颗牙缺失的病例供用户训练；</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4.1.3 提供虚拟病人的CBCT数据，和虚拟口腔模型相匹配；</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4.1.4 可在虚拟病人的CBCT上进行术前规划训练；</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4.1.5 CT规划中提供至少两类国际主流种植系统的完整种植体数据库；</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4.1.6 CT规划中允许导入多颗种植体进行规划；</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4.1.7 CT规划后记录种植体的类型和位置等数据，并用于操作评估；</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4.1.8 提供至少两类国际主流种植系统的器械盒供用户进行种植体植入的训练；</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4.1.9 可以真实模拟使用各类器械钻孔、喷水等视觉效果；</w:t>
            </w:r>
            <w:r>
              <w:rPr>
                <w:rFonts w:hint="eastAsia" w:ascii="宋体" w:hAnsi="宋体" w:cs="宋体"/>
                <w:color w:val="auto"/>
                <w:kern w:val="0"/>
                <w:szCs w:val="21"/>
                <w:highlight w:val="none"/>
                <w:lang w:bidi="ar"/>
              </w:rPr>
              <w:br w:type="textWrapping"/>
            </w:r>
            <w:r>
              <w:rPr>
                <w:rFonts w:hint="eastAsia" w:ascii="宋体" w:hAnsi="宋体" w:cs="宋体"/>
                <w:color w:val="auto"/>
                <w:szCs w:val="21"/>
                <w:highlight w:val="none"/>
              </w:rPr>
              <w:t>●</w:t>
            </w:r>
            <w:r>
              <w:rPr>
                <w:rFonts w:hint="eastAsia" w:ascii="宋体" w:hAnsi="宋体" w:cs="宋体"/>
                <w:color w:val="auto"/>
                <w:kern w:val="0"/>
                <w:szCs w:val="21"/>
                <w:highlight w:val="none"/>
                <w:lang w:bidi="ar"/>
              </w:rPr>
              <w:t>4.1.10可以真实模拟种植工具盒内各类定位器械的定位与测量，以及种植体植入的操作，操作过程应能实时交互且具有力觉反馈，而不只是播放三维动画；</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4.1.11 提供种植跟踪系统，能够在CT图像上记录用户的种植轨迹；</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4.1.12 对种植过程进行数据记录，并可以从不同角度进行三维回放。</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4.2 基本功训练模块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4.2.1 对种植过程中的定点、磨平、定轴、提拉等基本技能进行专项训练；</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4.2.2 针对每项技能，提供不少于6个虚拟病例供用户训练；</w:t>
            </w:r>
            <w:r>
              <w:rPr>
                <w:rFonts w:hint="eastAsia" w:ascii="宋体" w:hAnsi="宋体" w:cs="宋体"/>
                <w:color w:val="auto"/>
                <w:kern w:val="0"/>
                <w:szCs w:val="21"/>
                <w:highlight w:val="none"/>
                <w:lang w:bidi="ar"/>
              </w:rPr>
              <w:br w:type="textWrapping"/>
            </w:r>
            <w:r>
              <w:rPr>
                <w:rFonts w:hint="eastAsia" w:ascii="宋体" w:hAnsi="宋体" w:cs="宋体"/>
                <w:color w:val="auto"/>
                <w:szCs w:val="21"/>
                <w:highlight w:val="none"/>
              </w:rPr>
              <w:t>●</w:t>
            </w:r>
            <w:r>
              <w:rPr>
                <w:rFonts w:hint="eastAsia" w:ascii="宋体" w:hAnsi="宋体" w:cs="宋体"/>
                <w:color w:val="auto"/>
                <w:kern w:val="0"/>
                <w:szCs w:val="21"/>
                <w:highlight w:val="none"/>
                <w:lang w:bidi="ar"/>
              </w:rPr>
              <w:t>4.2.3 对四类牙槽骨的力觉感受进行专项训练，允许用户对牙槽骨的力觉模型参数进行调整，自定义各类牙槽骨的钻削力感。</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4.3 种植系统认知模块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4.3.1 包含至少两种国际主流常用的种植系统的介绍；</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4.3.2 针对每类种植系统，详细介绍种植体的种类、特点、适应症等内容；</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4.3.3 针对每类种植系统，建立种植工具盒内器械的三维模型并进行介绍；</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4.4 种植基础理论教学模块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4.4.1 包含口腔颌面解剖形态和口腔种植辅助器械等教学内容</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4.4.2 口腔颌面解剖包含口腔颌面的完整形态的观察，可缩放、旋转、消隐；</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4.4.3 口腔颌面解剖包含关键解剖结构的标识和文字介绍；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4.4.4 口腔颌面解剖包含口腔颌面关键解剖结构对应的CT展示；</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4.4.5 口腔种植辅助器械通过三维模型展示常用器械的结构特点，并包含相应的文字介绍，可缩放、旋转观察。</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5、修复子系统功能要求</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5.1 牙体预备基础技能训练模块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5.1.1 包含8个可供训练的病例；</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5.1.2 提供针对多种修复类型的训练实例，包括烤瓷冠、嵌体、冠桥等；</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5.1.3 多种类型的左、右手工具，进行带有机电主动力反馈的双手操作训练；</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5.1.4 包含教学大纲展示，帮助学生掌握操作要点；</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5.1.5 包含操作步骤划分和操作要点提示，帮助学生掌握正确的操作流程；</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5.1.6 包含详细的训练评估信息，及时反馈学生的操作情况。</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5.2 修复临床综合技能训练模块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5.2.1包含至少3个可供训练的病例，每项病例均需要包括脸颊、舌头、上下颌模型等完整的口腔环境；</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5.2.2 提供多种类型的左、右手工具供用户使用，左手工具和右手工具均可提供真实的机电主动力反馈；</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5.3 修复基础理论教学模块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5.3.1 包含对修复工具、牙体预备流程等内容的介绍；</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5.3.2 牙体预备流程可以通过动画展示预备流程，并包含文字介绍；</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5.3.3 修复工具模块包含典型工具的三维结构，可旋转、缩放。</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6、牙体牙髓子系统功能要求</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6.1 窝洞制备基础技能训练</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6.1.1 具有多种类型的左、右手工具，进行带有力反馈的双手操作训练；</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6.1.2包含教学大纲展和操作要点提示，并对操作步骤进行了详细划分，帮助学生掌握操作要点；</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6.2 髓腔通路预备基础技能训练</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6.2.1包含4个可供训练的病例，可进行带有力反馈的双手操作训练，左手和右手工具触碰虚拟组织后都会产生逼真的力觉反馈；</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6.2.2包含教学大纲展示和操作要点提示，并对操作步骤进行了详细划分，帮助学生掌握操作要点；</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6.3 临床综合技能训练</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6.3.1 包含3个可供训练的病例，每项病例均需要包括脸颊、舌头、上下颌模型等完整的口腔环境；</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6.3.2 具有多种类型的左、右手工具，进行带有机电主动力反馈的双手操作训练，左右手触碰脸颊、舌头和牙齿可以产生真实的力反馈，触碰软组织可以产生变形；</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6.4 基础知识教学模块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6.4.1典型牙齿备洞流程的动画演示，用户在观察过程中可以旋转和缩放画面，从不同角度观看；</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6.4.2典型牙齿备洞参数的介绍，使用三维模型和文字等多种形式进行介绍。</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7、正畸子系统功能要求</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7.1 包含2个可供训练的病例，包括标准口腔和畸形口腔；</w:t>
            </w:r>
            <w:r>
              <w:rPr>
                <w:rFonts w:hint="eastAsia" w:ascii="宋体" w:hAnsi="宋体" w:cs="宋体"/>
                <w:color w:val="auto"/>
                <w:kern w:val="0"/>
                <w:szCs w:val="21"/>
                <w:highlight w:val="none"/>
                <w:lang w:bidi="ar"/>
              </w:rPr>
              <w:br w:type="textWrapping"/>
            </w:r>
            <w:r>
              <w:rPr>
                <w:rFonts w:hint="eastAsia" w:ascii="宋体" w:hAnsi="宋体" w:cs="宋体"/>
                <w:color w:val="auto"/>
                <w:szCs w:val="21"/>
                <w:highlight w:val="none"/>
              </w:rPr>
              <w:t>●</w:t>
            </w:r>
            <w:r>
              <w:rPr>
                <w:rFonts w:hint="eastAsia" w:ascii="宋体" w:hAnsi="宋体" w:cs="宋体"/>
                <w:color w:val="auto"/>
                <w:kern w:val="0"/>
                <w:szCs w:val="21"/>
                <w:highlight w:val="none"/>
                <w:lang w:bidi="ar"/>
              </w:rPr>
              <w:t>7.2 可以对正畸托槽粘接的完整流程进行训练，包括牙齿表面处理、酸蚀、冲洗、隔湿吹干、涂抹粘接剂底液、粘接托槽、调整托槽位置、光固化等；</w:t>
            </w:r>
            <w:r>
              <w:rPr>
                <w:rFonts w:hint="eastAsia" w:ascii="宋体" w:hAnsi="宋体" w:cs="宋体"/>
                <w:color w:val="auto"/>
                <w:kern w:val="0"/>
                <w:szCs w:val="21"/>
                <w:highlight w:val="none"/>
                <w:lang w:bidi="ar"/>
              </w:rPr>
              <w:br w:type="textWrapping"/>
            </w:r>
            <w:r>
              <w:rPr>
                <w:rFonts w:hint="eastAsia" w:ascii="宋体" w:hAnsi="宋体" w:cs="宋体"/>
                <w:color w:val="auto"/>
                <w:szCs w:val="21"/>
                <w:highlight w:val="none"/>
              </w:rPr>
              <w:t>●</w:t>
            </w:r>
            <w:r>
              <w:rPr>
                <w:rFonts w:hint="eastAsia" w:ascii="宋体" w:hAnsi="宋体" w:cs="宋体"/>
                <w:color w:val="auto"/>
                <w:kern w:val="0"/>
                <w:szCs w:val="21"/>
                <w:highlight w:val="none"/>
                <w:lang w:bidi="ar"/>
              </w:rPr>
              <w:t>7.3酸蚀剂可以随力反馈手柄工具的运动，在牙齿表面上任意精准涂抹，且在冲洗、吹干后具有对应的白垩色区域；</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7.4 采用双手力反馈设备进行训练，双手均可提供清晰的力感；</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7.5 可实现左手口镜拨动脸颊等软组织产生变形，体验触碰软组织的力感；</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7.6 右手工具可以模拟抛光杯、三用枪、探针、光固化灯、小棉棒等多种类型的工具，并都可以和牙齿、脸颊等组织交互，反馈触碰力感；</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7.7 可以在任意牙齿表面粘接托槽，支持粘接多个托槽，并支持用探针对托槽的位置进行调整；</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7.8用户操作完毕后，可以给出训练全过程各环节操作细节的得失分成绩表格。</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8、儿科子系统功能要求</w:t>
            </w:r>
            <w:r>
              <w:rPr>
                <w:rFonts w:hint="eastAsia" w:ascii="宋体" w:hAnsi="宋体" w:cs="宋体"/>
                <w:color w:val="auto"/>
                <w:kern w:val="0"/>
                <w:szCs w:val="21"/>
                <w:highlight w:val="none"/>
                <w:lang w:bidi="ar"/>
              </w:rPr>
              <w:br w:type="textWrapping"/>
            </w:r>
            <w:r>
              <w:rPr>
                <w:rFonts w:hint="eastAsia" w:ascii="宋体" w:hAnsi="宋体" w:cs="宋体"/>
                <w:color w:val="auto"/>
                <w:szCs w:val="21"/>
                <w:highlight w:val="none"/>
              </w:rPr>
              <w:t>●</w:t>
            </w:r>
            <w:r>
              <w:rPr>
                <w:rFonts w:hint="eastAsia" w:ascii="宋体" w:hAnsi="宋体" w:cs="宋体"/>
                <w:color w:val="auto"/>
                <w:kern w:val="0"/>
                <w:szCs w:val="21"/>
                <w:highlight w:val="none"/>
                <w:lang w:bidi="ar"/>
              </w:rPr>
              <w:t>8.1 可以对窝沟封闭的完整流程进行训练，包括清洁牙面、酸蚀、冲洗、吹干、涂布封闭剂、光照固化、检查等；</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8.2 右手工具可以模拟慢速手机、三用枪、光固化灯、探针、小棉棒等多种类型的操作工具，左手可模拟口镜子进行口腔检查，并都可以反馈对应的触碰力感；</w:t>
            </w:r>
            <w:r>
              <w:rPr>
                <w:rFonts w:hint="eastAsia" w:ascii="宋体" w:hAnsi="宋体" w:cs="宋体"/>
                <w:color w:val="auto"/>
                <w:kern w:val="0"/>
                <w:szCs w:val="21"/>
                <w:highlight w:val="none"/>
                <w:lang w:bidi="ar"/>
              </w:rPr>
              <w:br w:type="textWrapping"/>
            </w:r>
            <w:r>
              <w:rPr>
                <w:rFonts w:hint="eastAsia" w:ascii="宋体" w:hAnsi="宋体" w:cs="宋体"/>
                <w:color w:val="auto"/>
                <w:szCs w:val="21"/>
                <w:highlight w:val="none"/>
              </w:rPr>
              <w:t>●</w:t>
            </w:r>
            <w:r>
              <w:rPr>
                <w:rFonts w:hint="eastAsia" w:ascii="宋体" w:hAnsi="宋体" w:cs="宋体"/>
                <w:color w:val="auto"/>
                <w:kern w:val="0"/>
                <w:szCs w:val="21"/>
                <w:highlight w:val="none"/>
                <w:lang w:bidi="ar"/>
              </w:rPr>
              <w:t>8.3 可以实现在目标牙齿上涂抹酸蚀剂，可以随力反馈手柄工具的运动在牙齿表面上任意精准涂抹，且在冲洗、吹干后具有对应的白垩色区域；</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8.4 系统在操作过程中提供相应的操作数据提示，包括酸蚀时间、冲洗时间、吹干时间、光照距离以及光照时间等；</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8.5 用户操作完毕后，可以给出训练全过程各环节操作细节的得失分成绩表格。</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9、临床思维诊疗子系统功能要求</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9.1诊断病例种类丰富、覆盖口腔各个科室，如牙周科、牙体牙髓科、口腔黏膜科、颌面外科、修复科等相关病例，病例总数量20个，并可作为虚拟标准化病人（SP）用于住院规培的训练和考核；</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9.2系统包括问诊、口腔检查、辅助检查、诊断、处置等全流程虚拟仿真；</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9.3.问诊包括现病史、既往史、家族史等多类问题，且可通过语音和界面点选两种形式与病人交流，语音问诊识别率不低于90%；</w:t>
            </w:r>
            <w:r>
              <w:rPr>
                <w:rFonts w:hint="eastAsia" w:ascii="宋体" w:hAnsi="宋体" w:cs="宋体"/>
                <w:color w:val="auto"/>
                <w:kern w:val="0"/>
                <w:szCs w:val="21"/>
                <w:highlight w:val="none"/>
                <w:lang w:bidi="ar"/>
              </w:rPr>
              <w:br w:type="textWrapping"/>
            </w:r>
            <w:r>
              <w:rPr>
                <w:rFonts w:hint="eastAsia" w:ascii="宋体" w:hAnsi="宋体" w:cs="宋体"/>
                <w:bCs/>
                <w:color w:val="auto"/>
                <w:highlight w:val="none"/>
              </w:rPr>
              <w:t>▲</w:t>
            </w:r>
            <w:r>
              <w:rPr>
                <w:rFonts w:hint="eastAsia" w:ascii="宋体" w:hAnsi="宋体" w:cs="宋体"/>
                <w:color w:val="auto"/>
                <w:kern w:val="0"/>
                <w:szCs w:val="21"/>
                <w:highlight w:val="none"/>
                <w:lang w:bidi="ar"/>
              </w:rPr>
              <w:t>9.4其中口腔检查可通过力反馈设备实现触诊、探诊、叩诊、松动度以及冷诊、热诊各种特殊检查等，并可填写检查表，同时能感受到物理力觉，可实现左、右手拨开舌头、脸颊等操作；</w:t>
            </w:r>
            <w:r>
              <w:rPr>
                <w:rFonts w:hint="eastAsia" w:ascii="宋体" w:hAnsi="宋体" w:cs="宋体"/>
                <w:color w:val="auto"/>
                <w:kern w:val="0"/>
                <w:szCs w:val="21"/>
                <w:highlight w:val="none"/>
                <w:lang w:bidi="ar"/>
              </w:rPr>
              <w:br w:type="textWrapping"/>
            </w:r>
            <w:r>
              <w:rPr>
                <w:rFonts w:hint="eastAsia" w:ascii="宋体" w:hAnsi="宋体" w:cs="宋体"/>
                <w:color w:val="auto"/>
                <w:szCs w:val="21"/>
                <w:highlight w:val="none"/>
              </w:rPr>
              <w:t>●</w:t>
            </w:r>
            <w:r>
              <w:rPr>
                <w:rFonts w:hint="eastAsia" w:ascii="宋体" w:hAnsi="宋体" w:cs="宋体"/>
                <w:color w:val="auto"/>
                <w:kern w:val="0"/>
                <w:szCs w:val="21"/>
                <w:highlight w:val="none"/>
                <w:lang w:bidi="ar"/>
              </w:rPr>
              <w:t>9.5辅助检查：包括根尖片、曲面体层片等必要口腔影像结果及测量，以及各种辅助检查结果展示等，从检查报告来辩识或证明对疾患病症的疑诊；</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9.6诊断：可进行各种拟诊及做出最终诊断，并选择相关的诊断依据；</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9.7处置：针对诊断结果对病人做出相应治疗措施；</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9.8系统包括考核评估功能, 可以对学生训练的得分项，失分项进行统计分析，并形成统计表格；</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9.9对问诊、口腔检查、辅检、诊疗、处置的得分情况进行分项统计分析。</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10、云服务平台功能</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10.1 教师可以管理带教班级的学生，对学生可以批量导入学生，并针对学生进行修改；</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10.2 自动统计分析班级课前训练与操作情况，汇总生成班级报告；</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10.3 可查看某项实验的班级报告，可查看平均分，最低分、最高分；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10.4 支持测评报告，可以查看指定某位学员的操作得分，操作的详细成绩，正确与错误操作，每一项得分细节等；</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10.5 教师登录后可以修改教师用户信息包括工号、手机号及密码等个人基本信息。</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11、配置清单</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序号 明细 数量 单位</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 口腔数字化虚拟仿真培训系统硬件平台 1 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 口腔数字化虚拟仿真培训系统软件 1 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 技师椅 1 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12、售后服务：质保期：2年</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质保期内，如因质量问题而引起产品损坏，乙方应对产品予以维修或更换，全部服务费和更换产品或零配件的费用由乙方承担；乙方如不能修理或不能调换，按产品原价赔偿处理。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质保期内，乙方将向甲方提供优质的售后技术支持服务，开通24小时热线电话接受甲方的电话技术咨询；如故障不能排除，乙方应在48小时内提供现场服务，待产品运行正常后撤离现场。</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质保期内，乙方应定期对产品进行免费维护保养，维修或更换零配件。保修期满后，乙方必须继续支持维修，并按成本价标准收取维修及零件费用。在整个产品运行过程中，乙方帮助甲方解决在应用过程中遇到的各种技术问题。</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供应商在采购软件模块需提供终身免费升级服务。</w:t>
            </w:r>
          </w:p>
        </w:tc>
        <w:tc>
          <w:tcPr>
            <w:tcW w:w="9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650000</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软件和信息技术服务业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47" w:hRule="atLeast"/>
          <w:jc w:val="center"/>
        </w:trPr>
        <w:tc>
          <w:tcPr>
            <w:tcW w:w="459"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color w:val="auto"/>
                <w:szCs w:val="21"/>
                <w:highlight w:val="none"/>
              </w:rPr>
            </w:pPr>
          </w:p>
          <w:p>
            <w:pPr>
              <w:spacing w:line="360" w:lineRule="exact"/>
              <w:jc w:val="center"/>
              <w:rPr>
                <w:rFonts w:ascii="宋体" w:hAnsi="宋体" w:cs="宋体"/>
                <w:color w:val="auto"/>
                <w:szCs w:val="21"/>
                <w:highlight w:val="none"/>
              </w:rPr>
            </w:pPr>
            <w:r>
              <w:rPr>
                <w:rFonts w:hint="eastAsia" w:ascii="宋体" w:hAnsi="宋体" w:cs="宋体"/>
                <w:bCs/>
                <w:color w:val="auto"/>
                <w:szCs w:val="21"/>
                <w:highlight w:val="none"/>
              </w:rPr>
              <w:t>▲</w:t>
            </w:r>
          </w:p>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商务条款</w:t>
            </w:r>
          </w:p>
        </w:tc>
        <w:tc>
          <w:tcPr>
            <w:tcW w:w="10215" w:type="dxa"/>
            <w:gridSpan w:val="6"/>
            <w:tcBorders>
              <w:top w:val="single" w:color="auto" w:sz="4" w:space="0"/>
              <w:left w:val="single" w:color="auto" w:sz="4" w:space="0"/>
              <w:bottom w:val="single" w:color="auto" w:sz="4" w:space="0"/>
              <w:right w:val="single" w:color="auto" w:sz="4" w:space="0"/>
            </w:tcBorders>
          </w:tcPr>
          <w:p>
            <w:pPr>
              <w:widowControl/>
              <w:shd w:val="clear" w:color="auto" w:fill="FFFFFF"/>
              <w:spacing w:line="360" w:lineRule="exact"/>
              <w:rPr>
                <w:rFonts w:ascii="宋体" w:hAnsi="宋体" w:cs="宋体"/>
                <w:color w:val="auto"/>
                <w:szCs w:val="21"/>
                <w:highlight w:val="none"/>
              </w:rPr>
            </w:pPr>
            <w:r>
              <w:rPr>
                <w:rFonts w:hint="eastAsia" w:ascii="宋体" w:hAnsi="宋体" w:cs="宋体"/>
                <w:color w:val="auto"/>
                <w:szCs w:val="21"/>
                <w:highlight w:val="none"/>
              </w:rPr>
              <w:t>一、合同签订期：自中标通知书发出之日起</w:t>
            </w:r>
            <w:r>
              <w:rPr>
                <w:rFonts w:hint="eastAsia" w:ascii="宋体" w:hAnsi="宋体" w:cs="宋体"/>
                <w:color w:val="auto"/>
                <w:szCs w:val="21"/>
                <w:highlight w:val="none"/>
                <w:u w:val="single"/>
              </w:rPr>
              <w:t>25</w:t>
            </w:r>
            <w:r>
              <w:rPr>
                <w:rFonts w:hint="eastAsia" w:ascii="宋体" w:hAnsi="宋体" w:cs="宋体"/>
                <w:color w:val="auto"/>
                <w:szCs w:val="21"/>
                <w:highlight w:val="none"/>
              </w:rPr>
              <w:t>个自然日内。</w:t>
            </w:r>
          </w:p>
          <w:p>
            <w:pPr>
              <w:widowControl/>
              <w:shd w:val="clear" w:color="auto" w:fill="FFFFFF"/>
              <w:spacing w:line="360" w:lineRule="exact"/>
              <w:rPr>
                <w:rFonts w:ascii="宋体" w:hAnsi="宋体" w:cs="宋体"/>
                <w:color w:val="auto"/>
                <w:szCs w:val="21"/>
                <w:highlight w:val="none"/>
              </w:rPr>
            </w:pPr>
            <w:r>
              <w:rPr>
                <w:rFonts w:hint="eastAsia" w:ascii="宋体" w:hAnsi="宋体" w:cs="宋体"/>
                <w:color w:val="auto"/>
                <w:szCs w:val="21"/>
                <w:highlight w:val="none"/>
              </w:rPr>
              <w:t>二、交付</w:t>
            </w:r>
            <w:r>
              <w:rPr>
                <w:rFonts w:hint="eastAsia" w:ascii="宋体" w:hAnsi="宋体" w:cs="宋体"/>
                <w:bCs/>
                <w:color w:val="auto"/>
                <w:szCs w:val="21"/>
                <w:highlight w:val="none"/>
              </w:rPr>
              <w:t>时间：自合同签订之日起30个工作日内交付。</w:t>
            </w:r>
          </w:p>
          <w:p>
            <w:pPr>
              <w:widowControl/>
              <w:shd w:val="clear" w:color="auto" w:fill="FFFFFF"/>
              <w:spacing w:line="360" w:lineRule="exact"/>
              <w:rPr>
                <w:rFonts w:ascii="宋体" w:hAnsi="宋体" w:cs="宋体"/>
                <w:color w:val="auto"/>
                <w:szCs w:val="21"/>
                <w:highlight w:val="none"/>
              </w:rPr>
            </w:pPr>
            <w:r>
              <w:rPr>
                <w:rFonts w:hint="eastAsia" w:ascii="宋体" w:hAnsi="宋体" w:cs="宋体"/>
                <w:color w:val="auto"/>
                <w:szCs w:val="21"/>
                <w:highlight w:val="none"/>
              </w:rPr>
              <w:t>三、交付地点及方式：</w:t>
            </w:r>
          </w:p>
          <w:p>
            <w:pPr>
              <w:widowControl/>
              <w:shd w:val="clear" w:color="auto" w:fill="FFFFFF"/>
              <w:spacing w:line="360" w:lineRule="exact"/>
              <w:rPr>
                <w:rFonts w:ascii="宋体" w:hAnsi="宋体" w:cs="宋体"/>
                <w:bCs/>
                <w:color w:val="auto"/>
                <w:szCs w:val="21"/>
                <w:highlight w:val="none"/>
                <w:u w:val="single"/>
              </w:rPr>
            </w:pPr>
            <w:r>
              <w:rPr>
                <w:rFonts w:hint="eastAsia" w:ascii="宋体" w:hAnsi="宋体" w:cs="宋体"/>
                <w:color w:val="auto"/>
                <w:szCs w:val="21"/>
                <w:highlight w:val="none"/>
              </w:rPr>
              <w:t>交付地点：</w:t>
            </w:r>
            <w:r>
              <w:rPr>
                <w:rFonts w:hint="eastAsia" w:ascii="宋体" w:hAnsi="宋体" w:cs="宋体"/>
                <w:bCs/>
                <w:color w:val="auto"/>
                <w:szCs w:val="21"/>
                <w:highlight w:val="none"/>
                <w:u w:val="single"/>
              </w:rPr>
              <w:t>采购人指定地点；</w:t>
            </w:r>
          </w:p>
          <w:p>
            <w:pPr>
              <w:widowControl/>
              <w:shd w:val="clear" w:color="auto" w:fill="FFFFFF"/>
              <w:spacing w:line="360" w:lineRule="exact"/>
              <w:rPr>
                <w:rFonts w:ascii="宋体" w:hAnsi="宋体" w:cs="宋体"/>
                <w:color w:val="auto"/>
                <w:szCs w:val="21"/>
                <w:highlight w:val="none"/>
              </w:rPr>
            </w:pPr>
            <w:r>
              <w:rPr>
                <w:rFonts w:hint="eastAsia" w:ascii="宋体" w:hAnsi="宋体" w:cs="宋体"/>
                <w:color w:val="auto"/>
                <w:szCs w:val="21"/>
                <w:highlight w:val="none"/>
              </w:rPr>
              <w:t>交付方式：现场交付。</w:t>
            </w:r>
          </w:p>
          <w:p>
            <w:pPr>
              <w:widowControl/>
              <w:shd w:val="clear" w:color="auto" w:fill="FFFFFF"/>
              <w:spacing w:line="360" w:lineRule="exact"/>
              <w:rPr>
                <w:rFonts w:ascii="宋体" w:hAnsi="宋体" w:cs="宋体"/>
                <w:color w:val="auto"/>
                <w:szCs w:val="21"/>
                <w:highlight w:val="none"/>
              </w:rPr>
            </w:pPr>
            <w:r>
              <w:rPr>
                <w:rFonts w:hint="eastAsia" w:ascii="宋体" w:hAnsi="宋体" w:cs="宋体"/>
                <w:color w:val="auto"/>
                <w:szCs w:val="21"/>
                <w:highlight w:val="none"/>
              </w:rPr>
              <w:t>四、质保期：</w:t>
            </w:r>
          </w:p>
          <w:p>
            <w:pPr>
              <w:widowControl/>
              <w:shd w:val="clear" w:color="auto" w:fill="FFFFFF"/>
              <w:spacing w:line="360" w:lineRule="exact"/>
              <w:rPr>
                <w:rFonts w:ascii="宋体" w:hAnsi="宋体" w:cs="宋体"/>
                <w:color w:val="auto"/>
                <w:szCs w:val="21"/>
                <w:highlight w:val="none"/>
              </w:rPr>
            </w:pPr>
            <w:r>
              <w:rPr>
                <w:rFonts w:hint="eastAsia" w:ascii="宋体" w:hAnsi="宋体" w:cs="宋体"/>
                <w:color w:val="auto"/>
                <w:szCs w:val="21"/>
                <w:highlight w:val="none"/>
              </w:rPr>
              <w:t>1、按国家有关产品“三包”规定执行“三包”，提供</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年的免费质保，终身维修（“需求一览表”中有特别注明的，按特别注明的执行）。</w:t>
            </w:r>
          </w:p>
          <w:p>
            <w:pPr>
              <w:widowControl/>
              <w:shd w:val="clear" w:color="auto" w:fill="FFFFFF"/>
              <w:spacing w:line="360" w:lineRule="exact"/>
              <w:rPr>
                <w:rFonts w:ascii="宋体" w:hAnsi="宋体" w:cs="宋体"/>
                <w:color w:val="auto"/>
                <w:szCs w:val="21"/>
                <w:highlight w:val="none"/>
              </w:rPr>
            </w:pPr>
            <w:r>
              <w:rPr>
                <w:rFonts w:hint="eastAsia" w:ascii="宋体" w:hAnsi="宋体" w:cs="宋体"/>
                <w:color w:val="auto"/>
                <w:szCs w:val="21"/>
                <w:highlight w:val="none"/>
              </w:rPr>
              <w:t>2、质保期内，如因质量问题而引起产品损坏，中标人应对产品予以维修或更换，全部服务费和更换产品或零配件的费用由中标人承担；中标人如不能修理或不能调换，按产品原价赔偿处理。</w:t>
            </w:r>
          </w:p>
          <w:p>
            <w:pPr>
              <w:widowControl/>
              <w:shd w:val="clear" w:color="auto" w:fill="FFFFFF"/>
              <w:spacing w:line="360" w:lineRule="exact"/>
              <w:rPr>
                <w:rFonts w:ascii="宋体" w:hAnsi="宋体" w:cs="宋体"/>
                <w:color w:val="auto"/>
                <w:szCs w:val="21"/>
                <w:highlight w:val="none"/>
              </w:rPr>
            </w:pPr>
            <w:r>
              <w:rPr>
                <w:rFonts w:hint="eastAsia" w:ascii="宋体" w:hAnsi="宋体" w:cs="宋体"/>
                <w:color w:val="auto"/>
                <w:szCs w:val="21"/>
                <w:highlight w:val="none"/>
              </w:rPr>
              <w:t>3、质保期内，中标人将向采购人提供优质的售后技术支持服务，开通24小时热线电话接受采购人的电话技术咨询；如故障不能排除，中标人应在48小时内提供现场服务，待产品运行正常后撤离现场。</w:t>
            </w:r>
          </w:p>
          <w:p>
            <w:pPr>
              <w:widowControl/>
              <w:shd w:val="clear" w:color="auto" w:fill="FFFFFF"/>
              <w:spacing w:line="360" w:lineRule="exact"/>
              <w:rPr>
                <w:rFonts w:ascii="宋体" w:hAnsi="宋体" w:cs="宋体"/>
                <w:color w:val="auto"/>
                <w:szCs w:val="21"/>
                <w:highlight w:val="none"/>
              </w:rPr>
            </w:pPr>
            <w:r>
              <w:rPr>
                <w:rFonts w:hint="eastAsia" w:ascii="宋体" w:hAnsi="宋体" w:cs="宋体"/>
                <w:color w:val="auto"/>
                <w:szCs w:val="21"/>
                <w:highlight w:val="none"/>
              </w:rPr>
              <w:t>4、质保期内，中标人应定期对产品进行免费维护保养，维修或更换零配件。保修期满后，中标人必须继续支持维修，并按成本价标准收取维修及零件费用。在整个产品运行过程中，中标人帮助采购人解决在应用过程中遇到的各种技术问题。</w:t>
            </w:r>
          </w:p>
          <w:p>
            <w:pPr>
              <w:widowControl/>
              <w:shd w:val="clear" w:color="auto" w:fill="FFFFFF"/>
              <w:spacing w:line="360" w:lineRule="exact"/>
              <w:rPr>
                <w:rFonts w:ascii="宋体" w:hAnsi="宋体" w:cs="宋体"/>
                <w:color w:val="auto"/>
                <w:szCs w:val="21"/>
                <w:highlight w:val="none"/>
              </w:rPr>
            </w:pPr>
            <w:r>
              <w:rPr>
                <w:rFonts w:hint="eastAsia" w:ascii="宋体" w:hAnsi="宋体" w:cs="宋体"/>
                <w:color w:val="auto"/>
                <w:szCs w:val="21"/>
                <w:highlight w:val="none"/>
              </w:rPr>
              <w:t>5、中标人针对软件模块需提供终身免费升级服务。</w:t>
            </w:r>
          </w:p>
          <w:p>
            <w:pPr>
              <w:widowControl/>
              <w:shd w:val="clear" w:color="auto" w:fill="FFFFFF"/>
              <w:spacing w:line="360" w:lineRule="exact"/>
              <w:rPr>
                <w:rFonts w:ascii="宋体" w:hAnsi="宋体" w:cs="宋体"/>
                <w:color w:val="auto"/>
                <w:szCs w:val="21"/>
                <w:highlight w:val="none"/>
              </w:rPr>
            </w:pPr>
            <w:r>
              <w:rPr>
                <w:rFonts w:hint="eastAsia" w:ascii="宋体" w:hAnsi="宋体" w:cs="宋体"/>
                <w:color w:val="auto"/>
                <w:szCs w:val="21"/>
                <w:highlight w:val="none"/>
              </w:rPr>
              <w:t>五、售后服务要求：</w:t>
            </w:r>
          </w:p>
          <w:p>
            <w:pPr>
              <w:widowControl/>
              <w:shd w:val="clear" w:color="auto" w:fill="FFFFFF"/>
              <w:tabs>
                <w:tab w:val="left" w:pos="3580"/>
              </w:tabs>
              <w:spacing w:line="360" w:lineRule="exact"/>
              <w:rPr>
                <w:rFonts w:ascii="宋体" w:hAnsi="宋体" w:cs="宋体"/>
                <w:bCs/>
                <w:color w:val="auto"/>
                <w:szCs w:val="21"/>
                <w:highlight w:val="none"/>
              </w:rPr>
            </w:pPr>
            <w:r>
              <w:rPr>
                <w:rFonts w:hint="eastAsia" w:ascii="宋体" w:hAnsi="宋体" w:cs="宋体"/>
                <w:bCs/>
                <w:color w:val="auto"/>
                <w:szCs w:val="21"/>
                <w:highlight w:val="none"/>
              </w:rPr>
              <w:t>1、免费送货上门，免费由技术人员现场安装、调试，并免费培训技术操作人员。安装、调试和培训所需的工具、器材以及系统集成费、差旅费、运费和相关税费，均由成交供应商自理；各项性能指标达到技术要求的，由供需双方共同签字认可，现场验收；提供全套说明书并包括简易的中文操作说明和注意事项。</w:t>
            </w:r>
          </w:p>
          <w:p>
            <w:pPr>
              <w:widowControl/>
              <w:shd w:val="clear" w:color="auto" w:fill="FFFFFF"/>
              <w:tabs>
                <w:tab w:val="left" w:pos="3580"/>
              </w:tabs>
              <w:spacing w:line="360" w:lineRule="exact"/>
              <w:rPr>
                <w:rFonts w:ascii="宋体" w:hAnsi="宋体" w:cs="宋体"/>
                <w:bCs/>
                <w:color w:val="auto"/>
                <w:szCs w:val="21"/>
                <w:highlight w:val="none"/>
              </w:rPr>
            </w:pPr>
            <w:r>
              <w:rPr>
                <w:rFonts w:hint="eastAsia" w:ascii="宋体" w:hAnsi="宋体" w:cs="宋体"/>
                <w:bCs/>
                <w:color w:val="auto"/>
                <w:szCs w:val="21"/>
                <w:highlight w:val="none"/>
              </w:rPr>
              <w:t>2、出现故障4小时内做出响应，24小时内到场维修。一般问题应在48小时内解决，重大问题或其它无法迅速解决的问题应在一周内解决。经维修后仍不能正常使用的提供备用机。定期回访以及对设备维护。</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六、付款方式：自签订合同之日起十个工作日内，采购人支付合同款总额30%作为预付款，交货验收合格后十个工作日内，采购人支付剩余款项。中标供应商在收到每笔合同款后三个工作日内提供相应金额的真实、合法、有效正式发票。</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七、报价要求：</w:t>
            </w:r>
          </w:p>
          <w:p>
            <w:pPr>
              <w:widowControl/>
              <w:spacing w:line="3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投标报价为采购人指定地点的现场交货价，包括但不限于： </w:t>
            </w:r>
          </w:p>
          <w:p>
            <w:pPr>
              <w:widowControl/>
              <w:spacing w:line="3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1、产品（含服务）的价格； </w:t>
            </w:r>
          </w:p>
          <w:p>
            <w:pPr>
              <w:widowControl/>
              <w:spacing w:line="3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2、安装、调试、培训、技术支持、售后服务、质保期内免费维护等费用；</w:t>
            </w:r>
          </w:p>
          <w:p>
            <w:pPr>
              <w:widowControl/>
              <w:spacing w:line="3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3、必要的保险费用和各项税费； </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八、规范标准：</w:t>
            </w:r>
          </w:p>
          <w:p>
            <w:pPr>
              <w:tabs>
                <w:tab w:val="left" w:pos="3490"/>
                <w:tab w:val="left" w:pos="3670"/>
                <w:tab w:val="left" w:pos="3895"/>
              </w:tabs>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采购标的需执行的国家标准、行业标准、地方标准或者其他标准、规范。多项标准的，按最新标准或较高标准执行。</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九、验收标准及要求：</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1、验收依据按合同要求及国家标准进行验收。</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2、验收标准</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（1）所供产品的规格、数量、功能、材质等符合招标文件采购需求及采购合同约定的要求。</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（2）所供产品的外观完好，无严重碰撞、表皮脱落、五金件生锈等明显瑕疵。</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（3）所供产品结构牢固，无安全隐患。</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（4）如有抽检要求的，检测结果符合招标文件采购需求及采购合同约定的要求。</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（5）所有产品均已运输至指定地点，并安装调试完毕。</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（6）招标文件采购需求及采购合同约定的附件、工具、技术资料等齐全；提供产品使用说明书、合格证。</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（7）投标货物是全新的、未经改装的、合格的、满足本项目技术需求及要求的货物。所有零部件、配件必须是未经使用的全新的并符合国家有关质量安全标准的产品。</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3、验收要求</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（1）采购人可以根据采购项目具体情况自行组织验收，或者委托第三方机构或部门开展采购项目履约验收工作，验收过程中所产生的一切费用均由中标人承担，报价时应考虑相关费用。</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2）本项目验收如委托第三方机构组织实施的，由验收小组对照招标文件的技术参数要求核对检验，如不符合招标文件的技术参数要求的，按合同约定执行，中标人承担所有责任和费用。采购人保留进一步追究责任的权利。</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①验收活动开始前，中标人应对货物作出全面检查和对验收文件进行整理，并列出清单，作为采购人收货验收和使用的技术条件依据。</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②因验收不合格的，需要再次组织验收的，由此产生相关成本费用由中标人承担。</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（3）验收时中标人提供验收文档，具体如下：投标文件中要求提供的检测报告、技术方案、实施方案、售后服务方案、培训方案、系统部署文档、测试文档、使用说明书、电子文档等。</w:t>
            </w:r>
          </w:p>
          <w:p>
            <w:pPr>
              <w:tabs>
                <w:tab w:val="left" w:pos="3490"/>
                <w:tab w:val="left" w:pos="3670"/>
                <w:tab w:val="left" w:pos="3895"/>
              </w:tabs>
              <w:spacing w:line="360" w:lineRule="exact"/>
              <w:rPr>
                <w:rFonts w:ascii="宋体" w:hAnsi="宋体" w:cs="宋体"/>
                <w:color w:val="auto"/>
                <w:szCs w:val="21"/>
                <w:highlight w:val="none"/>
              </w:rPr>
            </w:pPr>
            <w:r>
              <w:rPr>
                <w:rFonts w:hint="eastAsia" w:ascii="宋体" w:hAnsi="宋体" w:cs="宋体"/>
                <w:color w:val="auto"/>
                <w:szCs w:val="21"/>
                <w:highlight w:val="none"/>
              </w:rPr>
              <w:t>（4）采购人与中标人签订合前，采购人根据采购文件要求对所有要求出具的检测报告、证明材料的原件进行核查。交货时，中标人必须按技术参数及性能（配置）的要求，提供资料复印件并加盖厂家公章，不按要求提供的视为供货商违约，采购人有权终止合同拒收货物，并追究供应商责任，同时报财政部门备案。</w:t>
            </w:r>
          </w:p>
          <w:p>
            <w:pPr>
              <w:pStyle w:val="10"/>
              <w:spacing w:line="360" w:lineRule="exact"/>
              <w:rPr>
                <w:rFonts w:ascii="宋体" w:hAnsi="宋体" w:cs="宋体"/>
                <w:color w:val="auto"/>
                <w:szCs w:val="21"/>
                <w:highlight w:val="none"/>
              </w:rPr>
            </w:pPr>
            <w:r>
              <w:rPr>
                <w:rFonts w:hint="eastAsia" w:ascii="宋体" w:hAnsi="宋体" w:cs="宋体"/>
                <w:color w:val="auto"/>
                <w:szCs w:val="21"/>
                <w:highlight w:val="none"/>
              </w:rPr>
              <w:t>（5）为了保证本次货物的质量，中标人在全部货物交货安装前，采购人有权对供货设备测试预验收，以确认产品的技术指标和性能是否达到采购文件中所规定以及投标文件所承诺的技术功能要求，若测试结果不能满足采购文件参数要求以及投标文件所承诺的技术功能要求，采购人有权单方面终止合同，并追究供应商责任。</w:t>
            </w:r>
          </w:p>
          <w:p>
            <w:pPr>
              <w:pStyle w:val="10"/>
              <w:spacing w:line="360" w:lineRule="exact"/>
              <w:rPr>
                <w:rFonts w:ascii="宋体" w:hAnsi="宋体" w:cs="宋体"/>
                <w:color w:val="auto"/>
                <w:szCs w:val="21"/>
                <w:highlight w:val="none"/>
              </w:rPr>
            </w:pPr>
            <w:r>
              <w:rPr>
                <w:rFonts w:hint="eastAsia" w:ascii="宋体" w:hAnsi="宋体" w:cs="宋体"/>
                <w:color w:val="auto"/>
                <w:szCs w:val="21"/>
                <w:highlight w:val="none"/>
              </w:rPr>
              <w:t>（6）项目验收过程中，需委托第三方检测机构介入的，费用由中标人另行承担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1"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其他说明</w:t>
            </w:r>
          </w:p>
        </w:tc>
        <w:tc>
          <w:tcPr>
            <w:tcW w:w="10215" w:type="dxa"/>
            <w:gridSpan w:val="6"/>
            <w:tcBorders>
              <w:top w:val="single" w:color="auto" w:sz="4" w:space="0"/>
              <w:left w:val="single" w:color="auto" w:sz="4" w:space="0"/>
              <w:bottom w:val="single" w:color="auto" w:sz="4" w:space="0"/>
              <w:right w:val="single" w:color="auto" w:sz="4" w:space="0"/>
            </w:tcBorders>
          </w:tcPr>
          <w:p>
            <w:pPr>
              <w:widowControl/>
              <w:tabs>
                <w:tab w:val="left" w:pos="180"/>
                <w:tab w:val="left" w:pos="1620"/>
              </w:tabs>
              <w:spacing w:line="360" w:lineRule="exact"/>
              <w:rPr>
                <w:rFonts w:ascii="宋体" w:hAnsi="宋体" w:cs="宋体"/>
                <w:color w:val="auto"/>
                <w:szCs w:val="21"/>
                <w:highlight w:val="none"/>
              </w:rPr>
            </w:pPr>
            <w:r>
              <w:rPr>
                <w:rFonts w:hint="eastAsia" w:ascii="宋体" w:hAnsi="宋体" w:cs="宋体"/>
                <w:color w:val="auto"/>
                <w:szCs w:val="21"/>
                <w:highlight w:val="none"/>
              </w:rPr>
              <w:t>一、进口产品说明：</w:t>
            </w:r>
          </w:p>
          <w:p>
            <w:pPr>
              <w:widowControl/>
              <w:tabs>
                <w:tab w:val="left" w:pos="180"/>
                <w:tab w:val="left" w:pos="1620"/>
              </w:tabs>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本表的第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货物已按规定办妥进口产品采购审核手续，投标产品可选用进口产品；但如选用进口产品时必须为全套全新原装进口产品（即通过中国海关报关验放进入中国境内且产自关境外的产品），要求：①中标人负责办理进口设备的相关手续及承担相关的所有费用（含办理免税证的费用）；②采购人将协助具有进出口业务代理资质的成交人办理上述进口货物的免关税手续，如投标人不具备进出口业务代理资质，则其报价中必须包含关税在内的所有税费。</w:t>
            </w:r>
          </w:p>
          <w:p>
            <w:pPr>
              <w:widowControl/>
              <w:tabs>
                <w:tab w:val="left" w:pos="180"/>
                <w:tab w:val="left" w:pos="1620"/>
              </w:tabs>
              <w:spacing w:line="360" w:lineRule="exact"/>
              <w:rPr>
                <w:rFonts w:ascii="宋体" w:hAnsi="宋体" w:cs="宋体"/>
                <w:color w:val="auto"/>
                <w:szCs w:val="21"/>
                <w:highlight w:val="none"/>
              </w:rPr>
            </w:pPr>
            <w:r>
              <w:rPr>
                <w:rFonts w:hint="eastAsia" w:ascii="宋体" w:hAnsi="宋体" w:cs="宋体"/>
                <w:color w:val="auto"/>
                <w:szCs w:val="21"/>
                <w:highlight w:val="none"/>
              </w:rPr>
              <w:t>优先采购向我国企业转让技术、与我国企业签订消化吸收再创新方案的投标人的进口产品。</w:t>
            </w:r>
          </w:p>
          <w:p>
            <w:pPr>
              <w:widowControl/>
              <w:tabs>
                <w:tab w:val="left" w:pos="180"/>
                <w:tab w:val="left" w:pos="1620"/>
              </w:tabs>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本项目货物不接受进口产品（即通过中国海关报关验放进入中国境内且产自关境外的产品）参与投标，如有进口产品参与投标的作无效标处理。</w:t>
            </w:r>
          </w:p>
          <w:p>
            <w:pPr>
              <w:widowControl/>
              <w:tabs>
                <w:tab w:val="left" w:pos="180"/>
                <w:tab w:val="left" w:pos="1620"/>
              </w:tabs>
              <w:spacing w:line="360" w:lineRule="exact"/>
              <w:rPr>
                <w:rFonts w:ascii="宋体" w:hAnsi="宋体" w:cs="宋体"/>
                <w:color w:val="auto"/>
                <w:szCs w:val="21"/>
                <w:highlight w:val="none"/>
              </w:rPr>
            </w:pPr>
            <w:r>
              <w:rPr>
                <w:rFonts w:hint="eastAsia" w:ascii="宋体" w:hAnsi="宋体" w:cs="宋体"/>
                <w:color w:val="auto"/>
                <w:szCs w:val="21"/>
                <w:highlight w:val="none"/>
              </w:rPr>
              <w:t>二、与本项目有关的设计图纸、技术规范、文件等附件资料及其获取方式：无</w:t>
            </w:r>
          </w:p>
          <w:p>
            <w:pPr>
              <w:widowControl/>
              <w:tabs>
                <w:tab w:val="left" w:pos="180"/>
                <w:tab w:val="left" w:pos="1620"/>
              </w:tabs>
              <w:spacing w:line="360" w:lineRule="exact"/>
              <w:rPr>
                <w:rFonts w:ascii="宋体" w:hAnsi="宋体" w:cs="宋体"/>
                <w:color w:val="auto"/>
                <w:szCs w:val="21"/>
                <w:highlight w:val="none"/>
              </w:rPr>
            </w:pPr>
            <w:r>
              <w:rPr>
                <w:rFonts w:hint="eastAsia" w:ascii="宋体" w:hAnsi="宋体" w:cs="宋体"/>
                <w:color w:val="auto"/>
                <w:szCs w:val="21"/>
                <w:highlight w:val="none"/>
              </w:rPr>
              <w:t>三、核心产品：</w:t>
            </w:r>
          </w:p>
          <w:p>
            <w:pPr>
              <w:widowControl/>
              <w:tabs>
                <w:tab w:val="left" w:pos="180"/>
                <w:tab w:val="left" w:pos="1620"/>
              </w:tabs>
              <w:spacing w:line="360" w:lineRule="exact"/>
              <w:rPr>
                <w:rFonts w:ascii="宋体" w:hAnsi="宋体" w:cs="宋体"/>
                <w:color w:val="auto"/>
                <w:szCs w:val="21"/>
                <w:highlight w:val="none"/>
              </w:rPr>
            </w:pPr>
            <w:r>
              <w:rPr>
                <w:rFonts w:hint="eastAsia" w:ascii="宋体" w:hAnsi="宋体" w:cs="宋体"/>
                <w:color w:val="auto"/>
                <w:szCs w:val="21"/>
                <w:highlight w:val="none"/>
              </w:rPr>
              <w:t>本项目的核心产品为“需求一览表”中第1项产品：“</w:t>
            </w:r>
            <w:r>
              <w:rPr>
                <w:rFonts w:hint="eastAsia" w:ascii="宋体" w:hAnsi="宋体" w:cs="宋体"/>
                <w:color w:val="auto"/>
                <w:kern w:val="0"/>
                <w:szCs w:val="21"/>
                <w:highlight w:val="none"/>
                <w:lang w:bidi="ar"/>
              </w:rPr>
              <w:t>口腔数字化虚拟仿真培训系统</w:t>
            </w:r>
            <w:r>
              <w:rPr>
                <w:rFonts w:hint="eastAsia" w:ascii="宋体" w:hAnsi="宋体" w:cs="宋体"/>
                <w:color w:val="auto"/>
                <w:szCs w:val="21"/>
                <w:highlight w:val="none"/>
              </w:rPr>
              <w:t>”。</w:t>
            </w:r>
          </w:p>
        </w:tc>
      </w:tr>
    </w:tbl>
    <w:p>
      <w:pPr>
        <w:spacing w:line="428" w:lineRule="exact"/>
        <w:rPr>
          <w:rFonts w:ascii="宋体" w:hAnsi="宋体" w:cs="宋体"/>
          <w:color w:val="auto"/>
          <w:sz w:val="32"/>
          <w:szCs w:val="32"/>
          <w:highlight w:val="none"/>
        </w:rPr>
      </w:pPr>
      <w:r>
        <w:rPr>
          <w:rFonts w:hint="eastAsia" w:ascii="宋体" w:hAnsi="宋体" w:cs="宋体"/>
          <w:color w:val="auto"/>
          <w:highlight w:val="none"/>
        </w:rPr>
        <w:br w:type="page"/>
      </w:r>
      <w:r>
        <w:rPr>
          <w:rFonts w:hint="eastAsia" w:ascii="宋体" w:hAnsi="宋体" w:cs="宋体"/>
          <w:color w:val="auto"/>
          <w:highlight w:val="none"/>
        </w:rPr>
        <w:t xml:space="preserve"> </w:t>
      </w:r>
      <w:r>
        <w:rPr>
          <w:rFonts w:hint="eastAsia" w:ascii="宋体" w:hAnsi="宋体" w:cs="宋体"/>
          <w:color w:val="auto"/>
          <w:sz w:val="32"/>
          <w:szCs w:val="32"/>
          <w:highlight w:val="none"/>
        </w:rPr>
        <w:t>附件1：</w:t>
      </w:r>
    </w:p>
    <w:p>
      <w:pPr>
        <w:spacing w:before="7"/>
        <w:rPr>
          <w:rFonts w:ascii="宋体" w:hAnsi="宋体" w:cs="宋体"/>
          <w:color w:val="auto"/>
          <w:sz w:val="17"/>
          <w:szCs w:val="17"/>
          <w:highlight w:val="none"/>
        </w:rPr>
      </w:pPr>
    </w:p>
    <w:p>
      <w:pPr>
        <w:widowControl/>
        <w:spacing w:before="165" w:beforeLines="50" w:after="165" w:afterLines="50" w:line="280" w:lineRule="exact"/>
        <w:jc w:val="center"/>
        <w:rPr>
          <w:rFonts w:ascii="宋体" w:hAnsi="宋体" w:cs="宋体"/>
          <w:b/>
          <w:bCs/>
          <w:color w:val="auto"/>
          <w:kern w:val="0"/>
          <w:sz w:val="30"/>
          <w:szCs w:val="30"/>
          <w:highlight w:val="none"/>
        </w:rPr>
      </w:pPr>
      <w:bookmarkStart w:id="62" w:name="_Toc28361_WPSOffice_Level2"/>
      <w:r>
        <w:rPr>
          <w:rFonts w:hint="eastAsia" w:ascii="宋体" w:hAnsi="宋体" w:cs="宋体"/>
          <w:b/>
          <w:bCs/>
          <w:color w:val="auto"/>
          <w:kern w:val="0"/>
          <w:sz w:val="30"/>
          <w:szCs w:val="30"/>
          <w:highlight w:val="none"/>
        </w:rPr>
        <w:t>统计上大中小微型企业划分标准</w:t>
      </w:r>
      <w:bookmarkEnd w:id="62"/>
    </w:p>
    <w:tbl>
      <w:tblPr>
        <w:tblStyle w:val="22"/>
        <w:tblW w:w="94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blHeader/>
          <w:jc w:val="center"/>
        </w:trPr>
        <w:tc>
          <w:tcPr>
            <w:tcW w:w="2113" w:type="dxa"/>
            <w:shd w:val="clear" w:color="auto" w:fill="8DB3E2"/>
            <w:vAlign w:val="center"/>
          </w:tcPr>
          <w:p>
            <w:pPr>
              <w:widowControl/>
              <w:spacing w:line="280" w:lineRule="exact"/>
              <w:jc w:val="center"/>
              <w:rPr>
                <w:rFonts w:ascii="宋体" w:hAnsi="宋体" w:cs="宋体"/>
                <w:b/>
                <w:bCs/>
                <w:color w:val="auto"/>
                <w:kern w:val="0"/>
                <w:sz w:val="18"/>
                <w:szCs w:val="21"/>
                <w:highlight w:val="none"/>
              </w:rPr>
            </w:pPr>
            <w:r>
              <w:rPr>
                <w:rFonts w:hint="eastAsia" w:ascii="宋体" w:hAnsi="宋体" w:cs="宋体"/>
                <w:b/>
                <w:bCs/>
                <w:color w:val="auto"/>
                <w:kern w:val="0"/>
                <w:sz w:val="18"/>
                <w:szCs w:val="21"/>
                <w:highlight w:val="none"/>
              </w:rPr>
              <w:t>行业名称</w:t>
            </w:r>
          </w:p>
        </w:tc>
        <w:tc>
          <w:tcPr>
            <w:tcW w:w="1369" w:type="dxa"/>
            <w:shd w:val="clear" w:color="auto" w:fill="8DB3E2"/>
            <w:vAlign w:val="center"/>
          </w:tcPr>
          <w:p>
            <w:pPr>
              <w:widowControl/>
              <w:spacing w:line="28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指标名称</w:t>
            </w:r>
          </w:p>
        </w:tc>
        <w:tc>
          <w:tcPr>
            <w:tcW w:w="709" w:type="dxa"/>
            <w:shd w:val="clear" w:color="auto" w:fill="8DB3E2"/>
            <w:vAlign w:val="center"/>
          </w:tcPr>
          <w:p>
            <w:pPr>
              <w:widowControl/>
              <w:spacing w:line="28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计量</w:t>
            </w:r>
          </w:p>
          <w:p>
            <w:pPr>
              <w:widowControl/>
              <w:spacing w:line="28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单位</w:t>
            </w:r>
          </w:p>
        </w:tc>
        <w:tc>
          <w:tcPr>
            <w:tcW w:w="1125" w:type="dxa"/>
            <w:shd w:val="clear" w:color="auto" w:fill="8DB3E2"/>
            <w:vAlign w:val="center"/>
          </w:tcPr>
          <w:p>
            <w:pPr>
              <w:widowControl/>
              <w:spacing w:line="28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大型</w:t>
            </w:r>
          </w:p>
        </w:tc>
        <w:tc>
          <w:tcPr>
            <w:tcW w:w="1701" w:type="dxa"/>
            <w:shd w:val="clear" w:color="auto" w:fill="8DB3E2"/>
            <w:vAlign w:val="center"/>
          </w:tcPr>
          <w:p>
            <w:pPr>
              <w:widowControl/>
              <w:spacing w:line="28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中型</w:t>
            </w:r>
          </w:p>
        </w:tc>
        <w:tc>
          <w:tcPr>
            <w:tcW w:w="1426" w:type="dxa"/>
            <w:shd w:val="clear" w:color="auto" w:fill="8DB3E2"/>
            <w:vAlign w:val="center"/>
          </w:tcPr>
          <w:p>
            <w:pPr>
              <w:widowControl/>
              <w:spacing w:line="28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小型</w:t>
            </w:r>
          </w:p>
        </w:tc>
        <w:tc>
          <w:tcPr>
            <w:tcW w:w="992" w:type="dxa"/>
            <w:shd w:val="clear" w:color="auto" w:fill="8DB3E2"/>
            <w:vAlign w:val="center"/>
          </w:tcPr>
          <w:p>
            <w:pPr>
              <w:widowControl/>
              <w:spacing w:line="28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农、林、牧、渔业</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500≤Y＜20000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50≤Y＜500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工业 *</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highlight w:val="none"/>
              </w:rPr>
            </w:pP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Y≥40000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2000≤Y＜40000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300≤Y＜2000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建筑业</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Y≥80000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6000≤Y＜80000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300≤Y＜6000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highlight w:val="none"/>
              </w:rPr>
            </w:pP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Z≥80000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5000≤Z＜80000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300≤Z＜5000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批发业</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20≤X＜200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5≤X＜20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highlight w:val="none"/>
              </w:rPr>
            </w:pP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Y≥40000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5000≤Y＜40000</w:t>
            </w:r>
          </w:p>
        </w:tc>
        <w:tc>
          <w:tcPr>
            <w:tcW w:w="1426" w:type="dxa"/>
            <w:vAlign w:val="center"/>
          </w:tcPr>
          <w:p>
            <w:pPr>
              <w:widowControl/>
              <w:spacing w:line="280" w:lineRule="exact"/>
              <w:ind w:left="-1" w:leftChars="-1" w:hanging="1"/>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1000≤Y＜5000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零售业</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50≤X＜300</w:t>
            </w:r>
          </w:p>
        </w:tc>
        <w:tc>
          <w:tcPr>
            <w:tcW w:w="1426" w:type="dxa"/>
            <w:vAlign w:val="center"/>
          </w:tcPr>
          <w:p>
            <w:pPr>
              <w:widowControl/>
              <w:spacing w:line="280" w:lineRule="exact"/>
              <w:ind w:left="-1" w:leftChars="-1" w:hanging="1"/>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10≤X＜50 </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highlight w:val="none"/>
              </w:rPr>
            </w:pP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500≤Y＜20000</w:t>
            </w:r>
          </w:p>
        </w:tc>
        <w:tc>
          <w:tcPr>
            <w:tcW w:w="1426" w:type="dxa"/>
            <w:vAlign w:val="center"/>
          </w:tcPr>
          <w:p>
            <w:pPr>
              <w:widowControl/>
              <w:spacing w:line="280" w:lineRule="exact"/>
              <w:ind w:left="-1" w:leftChars="-1" w:hanging="1"/>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100≤Y＜500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交通运输业 *</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highlight w:val="none"/>
              </w:rPr>
            </w:pP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3000≤Y＜30000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200≤Y＜3000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仓储业*</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X≥200</w:t>
            </w:r>
          </w:p>
        </w:tc>
        <w:tc>
          <w:tcPr>
            <w:tcW w:w="1701" w:type="dxa"/>
            <w:vAlign w:val="center"/>
          </w:tcPr>
          <w:p>
            <w:pPr>
              <w:widowControl/>
              <w:spacing w:line="280" w:lineRule="exact"/>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100≤X＜200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20≤X＜100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highlight w:val="none"/>
              </w:rPr>
            </w:pP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1000≤Y＜30000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100≤Y＜1000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邮政业</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highlight w:val="none"/>
              </w:rPr>
            </w:pP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2000≤Y＜30000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住宿业</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vAlign w:val="center"/>
          </w:tcPr>
          <w:p>
            <w:pPr>
              <w:widowControl/>
              <w:spacing w:line="280" w:lineRule="exact"/>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highlight w:val="none"/>
              </w:rPr>
            </w:pP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2000≤Y＜10000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餐饮业</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vAlign w:val="center"/>
          </w:tcPr>
          <w:p>
            <w:pPr>
              <w:widowControl/>
              <w:spacing w:line="280" w:lineRule="exact"/>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100≤X＜300 </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highlight w:val="none"/>
              </w:rPr>
            </w:pP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2000≤Y＜10000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信息传输业 *</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100≤X＜2000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highlight w:val="none"/>
              </w:rPr>
            </w:pP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1000≤Y＜100000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100≤Y＜1000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restart"/>
            <w:vAlign w:val="center"/>
          </w:tcPr>
          <w:p>
            <w:pPr>
              <w:widowControl/>
              <w:spacing w:line="280" w:lineRule="exact"/>
              <w:jc w:val="left"/>
              <w:rPr>
                <w:rFonts w:ascii="宋体" w:hAnsi="宋体" w:cs="宋体"/>
                <w:color w:val="auto"/>
                <w:spacing w:val="-12"/>
                <w:kern w:val="0"/>
                <w:sz w:val="18"/>
                <w:szCs w:val="18"/>
                <w:highlight w:val="none"/>
              </w:rPr>
            </w:pPr>
            <w:r>
              <w:rPr>
                <w:rFonts w:hint="eastAsia" w:ascii="宋体" w:hAnsi="宋体" w:cs="宋体"/>
                <w:color w:val="auto"/>
                <w:spacing w:val="-12"/>
                <w:kern w:val="0"/>
                <w:sz w:val="18"/>
                <w:szCs w:val="18"/>
                <w:highlight w:val="none"/>
              </w:rPr>
              <w:t>软件和信息技术服</w:t>
            </w:r>
            <w:r>
              <w:rPr>
                <w:rFonts w:hint="eastAsia" w:ascii="宋体" w:hAnsi="宋体" w:cs="宋体"/>
                <w:color w:val="auto"/>
                <w:kern w:val="0"/>
                <w:sz w:val="18"/>
                <w:szCs w:val="18"/>
                <w:highlight w:val="none"/>
              </w:rPr>
              <w:t>务业</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vAlign w:val="center"/>
          </w:tcPr>
          <w:p>
            <w:pPr>
              <w:widowControl/>
              <w:spacing w:line="280" w:lineRule="exact"/>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100≤X＜300 </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continue"/>
            <w:vAlign w:val="center"/>
          </w:tcPr>
          <w:p>
            <w:pPr>
              <w:widowControl/>
              <w:spacing w:line="280" w:lineRule="exact"/>
              <w:jc w:val="left"/>
              <w:rPr>
                <w:rFonts w:ascii="宋体" w:hAnsi="宋体" w:cs="宋体"/>
                <w:color w:val="auto"/>
                <w:spacing w:val="-12"/>
                <w:kern w:val="0"/>
                <w:sz w:val="18"/>
                <w:szCs w:val="18"/>
                <w:highlight w:val="none"/>
              </w:rPr>
            </w:pP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1000≤Y＜10000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50≤Y＜1000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房地产开发经营</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1000≤Y＜200000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100≤Y＜1000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highlight w:val="none"/>
              </w:rPr>
            </w:pP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Z≥10000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5000≤Z＜10000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2000≤Z＜5000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物业管理</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highlight w:val="none"/>
              </w:rPr>
            </w:pP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Y≥5000</w:t>
            </w:r>
          </w:p>
        </w:tc>
        <w:tc>
          <w:tcPr>
            <w:tcW w:w="1701" w:type="dxa"/>
            <w:vAlign w:val="center"/>
          </w:tcPr>
          <w:p>
            <w:pPr>
              <w:widowControl/>
              <w:spacing w:line="280" w:lineRule="exact"/>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1000≤Y＜5000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500≤Y＜1000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租赁和商务服务业</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vAlign w:val="center"/>
          </w:tcPr>
          <w:p>
            <w:pPr>
              <w:widowControl/>
              <w:spacing w:line="280" w:lineRule="exact"/>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highlight w:val="none"/>
              </w:rPr>
            </w:pP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Z≥120000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8000≤Z＜120000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100≤Z＜8000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其他未列明行业 *</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vAlign w:val="center"/>
          </w:tcPr>
          <w:p>
            <w:pPr>
              <w:widowControl/>
              <w:spacing w:line="280" w:lineRule="exact"/>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bl>
    <w:p>
      <w:pPr>
        <w:widowControl/>
        <w:spacing w:line="280" w:lineRule="exact"/>
        <w:rPr>
          <w:rFonts w:ascii="宋体" w:hAnsi="宋体" w:cs="宋体"/>
          <w:color w:val="auto"/>
          <w:spacing w:val="8"/>
          <w:kern w:val="0"/>
          <w:sz w:val="24"/>
          <w:highlight w:val="none"/>
        </w:rPr>
      </w:pPr>
    </w:p>
    <w:p>
      <w:pPr>
        <w:widowControl/>
        <w:spacing w:line="360" w:lineRule="auto"/>
        <w:rPr>
          <w:rFonts w:ascii="宋体" w:hAnsi="宋体" w:cs="宋体"/>
          <w:color w:val="auto"/>
          <w:spacing w:val="8"/>
          <w:kern w:val="0"/>
          <w:szCs w:val="21"/>
          <w:highlight w:val="none"/>
        </w:rPr>
      </w:pPr>
    </w:p>
    <w:p>
      <w:pPr>
        <w:widowControl/>
        <w:spacing w:line="360" w:lineRule="auto"/>
        <w:rPr>
          <w:rFonts w:ascii="宋体" w:hAnsi="宋体" w:cs="宋体"/>
          <w:color w:val="auto"/>
          <w:spacing w:val="8"/>
          <w:kern w:val="0"/>
          <w:szCs w:val="21"/>
          <w:highlight w:val="none"/>
        </w:rPr>
      </w:pPr>
      <w:r>
        <w:rPr>
          <w:rFonts w:hint="eastAsia" w:ascii="宋体" w:hAnsi="宋体" w:cs="宋体"/>
          <w:color w:val="auto"/>
          <w:spacing w:val="8"/>
          <w:kern w:val="0"/>
          <w:szCs w:val="21"/>
          <w:highlight w:val="none"/>
        </w:rPr>
        <w:t>说明：</w:t>
      </w:r>
    </w:p>
    <w:p>
      <w:pPr>
        <w:pStyle w:val="15"/>
        <w:adjustRightInd w:val="0"/>
        <w:spacing w:line="360" w:lineRule="auto"/>
        <w:ind w:firstLine="452" w:firstLineChars="200"/>
        <w:contextualSpacing/>
        <w:rPr>
          <w:rFonts w:hAnsi="宋体" w:cs="宋体"/>
          <w:color w:val="auto"/>
          <w:spacing w:val="8"/>
          <w:kern w:val="0"/>
          <w:szCs w:val="21"/>
          <w:highlight w:val="none"/>
        </w:rPr>
      </w:pPr>
      <w:r>
        <w:rPr>
          <w:rFonts w:hint="eastAsia" w:hAnsi="宋体" w:cs="宋体"/>
          <w:color w:val="auto"/>
          <w:spacing w:val="8"/>
          <w:kern w:val="0"/>
          <w:szCs w:val="21"/>
          <w:highlight w:val="none"/>
        </w:rPr>
        <w:t>1.大型、中型和小型企业须同时满足所列指标的下限，否则下划一档；微型企业只须满足所列指标中的一项即可。</w:t>
      </w:r>
    </w:p>
    <w:p>
      <w:pPr>
        <w:pStyle w:val="15"/>
        <w:adjustRightInd w:val="0"/>
        <w:spacing w:line="360" w:lineRule="auto"/>
        <w:ind w:firstLine="452" w:firstLineChars="200"/>
        <w:contextualSpacing/>
        <w:rPr>
          <w:rFonts w:hAnsi="宋体" w:cs="宋体"/>
          <w:color w:val="auto"/>
          <w:spacing w:val="8"/>
          <w:kern w:val="0"/>
          <w:szCs w:val="21"/>
          <w:highlight w:val="none"/>
        </w:rPr>
      </w:pPr>
      <w:r>
        <w:rPr>
          <w:rFonts w:hint="eastAsia" w:hAnsi="宋体" w:cs="宋体"/>
          <w:color w:val="auto"/>
          <w:spacing w:val="8"/>
          <w:kern w:val="0"/>
          <w:szCs w:val="21"/>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5"/>
        <w:spacing w:line="360" w:lineRule="auto"/>
        <w:ind w:firstLine="452" w:firstLineChars="200"/>
        <w:rPr>
          <w:rFonts w:hAnsi="宋体" w:cs="宋体"/>
          <w:color w:val="auto"/>
          <w:spacing w:val="8"/>
          <w:kern w:val="0"/>
          <w:sz w:val="24"/>
          <w:szCs w:val="24"/>
          <w:highlight w:val="none"/>
        </w:rPr>
      </w:pPr>
      <w:r>
        <w:rPr>
          <w:rFonts w:hint="eastAsia" w:hAnsi="宋体" w:cs="宋体"/>
          <w:color w:val="auto"/>
          <w:spacing w:val="8"/>
          <w:kern w:val="0"/>
          <w:szCs w:val="21"/>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pStyle w:val="15"/>
        <w:jc w:val="center"/>
        <w:outlineLvl w:val="0"/>
        <w:rPr>
          <w:rFonts w:hAnsi="宋体" w:cs="宋体"/>
          <w:b/>
          <w:color w:val="auto"/>
          <w:sz w:val="36"/>
          <w:szCs w:val="36"/>
          <w:highlight w:val="none"/>
        </w:rPr>
      </w:pPr>
      <w:r>
        <w:rPr>
          <w:rFonts w:hint="eastAsia" w:hAnsi="宋体" w:cs="宋体"/>
          <w:color w:val="auto"/>
          <w:szCs w:val="21"/>
          <w:highlight w:val="none"/>
        </w:rPr>
        <w:br w:type="page"/>
      </w:r>
      <w:bookmarkStart w:id="63" w:name="_Toc5641"/>
      <w:bookmarkStart w:id="64" w:name="_Toc29575"/>
      <w:bookmarkStart w:id="65" w:name="_Toc6743"/>
      <w:bookmarkStart w:id="66" w:name="_Toc10316"/>
      <w:bookmarkStart w:id="67" w:name="_Toc2394"/>
      <w:bookmarkStart w:id="68" w:name="_Toc532545044"/>
      <w:bookmarkStart w:id="69" w:name="_Toc15229"/>
      <w:bookmarkStart w:id="70" w:name="_Toc1395"/>
      <w:bookmarkStart w:id="71" w:name="_Toc8839"/>
      <w:bookmarkStart w:id="72" w:name="_Toc5815"/>
      <w:bookmarkStart w:id="73" w:name="_Toc30618"/>
      <w:bookmarkStart w:id="74" w:name="_Toc9505"/>
      <w:r>
        <w:rPr>
          <w:rFonts w:hint="eastAsia" w:hAnsi="宋体" w:cs="宋体"/>
          <w:b/>
          <w:color w:val="auto"/>
          <w:sz w:val="36"/>
          <w:highlight w:val="none"/>
        </w:rPr>
        <w:t>第三章  投标人须知</w:t>
      </w:r>
      <w:bookmarkEnd w:id="63"/>
      <w:bookmarkEnd w:id="64"/>
      <w:bookmarkEnd w:id="65"/>
      <w:bookmarkEnd w:id="66"/>
      <w:bookmarkEnd w:id="67"/>
      <w:bookmarkEnd w:id="68"/>
      <w:bookmarkEnd w:id="69"/>
      <w:bookmarkEnd w:id="70"/>
      <w:bookmarkEnd w:id="71"/>
      <w:bookmarkEnd w:id="72"/>
      <w:bookmarkEnd w:id="73"/>
      <w:bookmarkEnd w:id="74"/>
    </w:p>
    <w:p>
      <w:pPr>
        <w:pStyle w:val="15"/>
        <w:spacing w:line="720" w:lineRule="auto"/>
        <w:jc w:val="center"/>
        <w:outlineLvl w:val="1"/>
        <w:rPr>
          <w:rFonts w:hAnsi="宋体" w:cs="宋体"/>
          <w:b/>
          <w:color w:val="auto"/>
          <w:sz w:val="30"/>
          <w:szCs w:val="30"/>
          <w:highlight w:val="none"/>
        </w:rPr>
      </w:pPr>
      <w:bookmarkStart w:id="75" w:name="_Toc12345"/>
      <w:bookmarkStart w:id="76" w:name="_Toc28990"/>
      <w:bookmarkStart w:id="77" w:name="_Toc20955"/>
      <w:bookmarkStart w:id="78" w:name="_Toc2967"/>
      <w:bookmarkStart w:id="79" w:name="_Toc992"/>
      <w:r>
        <w:rPr>
          <w:rFonts w:hint="eastAsia" w:hAnsi="宋体" w:cs="宋体"/>
          <w:b/>
          <w:color w:val="auto"/>
          <w:sz w:val="30"/>
          <w:szCs w:val="30"/>
          <w:highlight w:val="none"/>
        </w:rPr>
        <w:t>第一节 投标人须知前附表</w:t>
      </w:r>
      <w:bookmarkEnd w:id="75"/>
      <w:bookmarkEnd w:id="76"/>
      <w:bookmarkEnd w:id="77"/>
      <w:bookmarkEnd w:id="78"/>
      <w:bookmarkEnd w:id="79"/>
    </w:p>
    <w:tbl>
      <w:tblPr>
        <w:tblStyle w:val="22"/>
        <w:tblW w:w="10240"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0"/>
        <w:gridCol w:w="2083"/>
        <w:gridCol w:w="72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条款号</w:t>
            </w:r>
          </w:p>
        </w:tc>
        <w:tc>
          <w:tcPr>
            <w:tcW w:w="20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项目内容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宋体" w:hAnsi="宋体" w:cs="宋体"/>
                <w:color w:val="auto"/>
                <w:szCs w:val="21"/>
                <w:highlight w:val="none"/>
              </w:rPr>
            </w:pPr>
            <w:r>
              <w:rPr>
                <w:rFonts w:hint="eastAsia" w:ascii="宋体" w:hAnsi="宋体" w:cs="宋体"/>
                <w:color w:val="auto"/>
                <w:szCs w:val="21"/>
                <w:highlight w:val="none"/>
              </w:rPr>
              <w:t>3</w:t>
            </w: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投标人的资格要求</w:t>
            </w:r>
          </w:p>
        </w:tc>
        <w:tc>
          <w:tcPr>
            <w:tcW w:w="7297" w:type="dxa"/>
            <w:tcBorders>
              <w:top w:val="single" w:color="auto" w:sz="4" w:space="0"/>
              <w:left w:val="single" w:color="auto" w:sz="4" w:space="0"/>
              <w:bottom w:val="single" w:color="auto" w:sz="4" w:space="0"/>
              <w:right w:val="single" w:color="auto" w:sz="4" w:space="0"/>
            </w:tcBorders>
            <w:vAlign w:val="center"/>
          </w:tcPr>
          <w:p>
            <w:pPr>
              <w:pStyle w:val="9"/>
              <w:spacing w:line="400" w:lineRule="exact"/>
              <w:jc w:val="both"/>
              <w:rPr>
                <w:rFonts w:ascii="宋体" w:hAnsi="宋体" w:cs="宋体"/>
                <w:color w:val="auto"/>
                <w:szCs w:val="21"/>
                <w:highlight w:val="none"/>
              </w:rPr>
            </w:pPr>
            <w:r>
              <w:rPr>
                <w:rFonts w:hint="eastAsia" w:ascii="宋体" w:hAnsi="宋体" w:cs="宋体"/>
                <w:color w:val="auto"/>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6.1</w:t>
            </w: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bookmarkStart w:id="80" w:name="_9.2"/>
            <w:bookmarkEnd w:id="80"/>
            <w:bookmarkStart w:id="81" w:name="_8.1"/>
            <w:bookmarkEnd w:id="81"/>
            <w:bookmarkStart w:id="82" w:name="_5"/>
            <w:bookmarkEnd w:id="82"/>
            <w:r>
              <w:rPr>
                <w:rFonts w:hint="eastAsia" w:ascii="宋体" w:hAnsi="宋体" w:cs="宋体"/>
                <w:color w:val="auto"/>
                <w:szCs w:val="21"/>
                <w:highlight w:val="none"/>
              </w:rPr>
              <w:t>是否接受联合体投标</w:t>
            </w:r>
          </w:p>
        </w:tc>
        <w:tc>
          <w:tcPr>
            <w:tcW w:w="7297" w:type="dxa"/>
            <w:tcBorders>
              <w:top w:val="single" w:color="auto" w:sz="4" w:space="0"/>
              <w:left w:val="single" w:color="auto" w:sz="4" w:space="0"/>
              <w:bottom w:val="single" w:color="auto" w:sz="4" w:space="0"/>
              <w:right w:val="single" w:color="auto" w:sz="4" w:space="0"/>
            </w:tcBorders>
            <w:vAlign w:val="center"/>
          </w:tcPr>
          <w:p>
            <w:pPr>
              <w:pStyle w:val="9"/>
              <w:spacing w:line="400" w:lineRule="exact"/>
              <w:jc w:val="both"/>
              <w:rPr>
                <w:rFonts w:ascii="宋体" w:hAnsi="宋体" w:cs="宋体"/>
                <w:color w:val="auto"/>
                <w:szCs w:val="21"/>
                <w:highlight w:val="none"/>
              </w:rPr>
            </w:pPr>
            <w:bookmarkStart w:id="83" w:name="PO_3000001867_PM007_1"/>
            <w:r>
              <w:rPr>
                <w:rFonts w:hint="eastAsia" w:ascii="宋体" w:hAnsi="宋体" w:cs="宋体"/>
                <w:color w:val="auto"/>
                <w:szCs w:val="21"/>
                <w:highlight w:val="none"/>
              </w:rPr>
              <w:t>详见招标公告</w:t>
            </w:r>
            <w:bookmarkEnd w:id="83"/>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6.2</w:t>
            </w: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联合体投标要求</w:t>
            </w:r>
          </w:p>
        </w:tc>
        <w:tc>
          <w:tcPr>
            <w:tcW w:w="7297" w:type="dxa"/>
            <w:tcBorders>
              <w:top w:val="single" w:color="auto" w:sz="4" w:space="0"/>
              <w:left w:val="single" w:color="auto" w:sz="4" w:space="0"/>
              <w:bottom w:val="single" w:color="auto" w:sz="4" w:space="0"/>
              <w:right w:val="single" w:color="auto" w:sz="4" w:space="0"/>
            </w:tcBorders>
            <w:vAlign w:val="center"/>
          </w:tcPr>
          <w:p>
            <w:pPr>
              <w:pStyle w:val="9"/>
              <w:spacing w:line="400" w:lineRule="exact"/>
              <w:rPr>
                <w:rFonts w:ascii="宋体" w:hAnsi="宋体" w:cs="宋体"/>
                <w:color w:val="auto"/>
                <w:szCs w:val="21"/>
                <w:highlight w:val="none"/>
              </w:rPr>
            </w:pPr>
            <w:r>
              <w:rPr>
                <w:rFonts w:hint="eastAsia" w:ascii="宋体" w:hAnsi="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7.2</w:t>
            </w: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是否允许分包</w:t>
            </w:r>
          </w:p>
        </w:tc>
        <w:tc>
          <w:tcPr>
            <w:tcW w:w="729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highlight w:val="none"/>
              </w:rPr>
            </w:pPr>
            <w:bookmarkStart w:id="84" w:name="PO_3000001871_PM044"/>
            <w:bookmarkStart w:id="85" w:name="PO_3000001867_PM044"/>
            <w:r>
              <w:rPr>
                <w:rFonts w:hint="eastAsia" w:ascii="宋体" w:hAnsi="宋体" w:cs="宋体"/>
                <w:color w:val="auto"/>
                <w:szCs w:val="21"/>
                <w:highlight w:val="none"/>
              </w:rPr>
              <w:t>☑ 不允许分包</w:t>
            </w:r>
            <w:bookmarkEnd w:id="84"/>
            <w:r>
              <w:rPr>
                <w:rFonts w:hint="eastAsia" w:ascii="宋体" w:hAnsi="宋体" w:cs="宋体"/>
                <w:color w:val="auto"/>
                <w:szCs w:val="21"/>
                <w:highlight w:val="none"/>
              </w:rPr>
              <w:t>。</w:t>
            </w:r>
          </w:p>
          <w:p>
            <w:pPr>
              <w:pStyle w:val="9"/>
              <w:spacing w:line="400" w:lineRule="exact"/>
              <w:rPr>
                <w:rFonts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rPr>
              <w:t>允许分包：</w:t>
            </w:r>
          </w:p>
          <w:bookmarkEnd w:id="85"/>
          <w:p>
            <w:pPr>
              <w:pStyle w:val="9"/>
              <w:spacing w:line="400" w:lineRule="exact"/>
              <w:rPr>
                <w:rFonts w:ascii="宋体" w:hAnsi="宋体" w:cs="宋体"/>
                <w:color w:val="auto"/>
                <w:szCs w:val="21"/>
                <w:highlight w:val="none"/>
              </w:rPr>
            </w:pPr>
            <w:r>
              <w:rPr>
                <w:rFonts w:hint="eastAsia" w:ascii="宋体" w:hAnsi="宋体" w:cs="宋体"/>
                <w:color w:val="auto"/>
                <w:szCs w:val="21"/>
                <w:highlight w:val="none"/>
              </w:rPr>
              <w:t>分包内容：</w:t>
            </w:r>
            <w:r>
              <w:rPr>
                <w:rFonts w:hint="eastAsia" w:ascii="宋体" w:hAnsi="宋体" w:cs="宋体"/>
                <w:color w:val="auto"/>
                <w:szCs w:val="21"/>
                <w:highlight w:val="none"/>
                <w:u w:val="single"/>
              </w:rPr>
              <w:t xml:space="preserve">                                     。</w:t>
            </w:r>
          </w:p>
          <w:p>
            <w:pPr>
              <w:pStyle w:val="9"/>
              <w:spacing w:line="400" w:lineRule="exact"/>
              <w:rPr>
                <w:rFonts w:ascii="宋体" w:hAnsi="宋体" w:cs="宋体"/>
                <w:color w:val="auto"/>
                <w:szCs w:val="21"/>
                <w:highlight w:val="none"/>
              </w:rPr>
            </w:pPr>
            <w:r>
              <w:rPr>
                <w:rFonts w:hint="eastAsia" w:ascii="宋体" w:hAnsi="宋体" w:cs="宋体"/>
                <w:color w:val="auto"/>
                <w:szCs w:val="21"/>
                <w:highlight w:val="none"/>
              </w:rPr>
              <w:t>分包金额或者比例：</w:t>
            </w:r>
            <w:r>
              <w:rPr>
                <w:rFonts w:hint="eastAsia" w:ascii="宋体" w:hAnsi="宋体" w:cs="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38" w:hRule="atLeast"/>
        </w:trPr>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8.4</w:t>
            </w:r>
          </w:p>
          <w:p>
            <w:pPr>
              <w:spacing w:line="400" w:lineRule="exact"/>
              <w:rPr>
                <w:rFonts w:ascii="宋体" w:hAnsi="宋体" w:cs="宋体"/>
                <w:color w:val="auto"/>
                <w:szCs w:val="21"/>
                <w:highlight w:val="none"/>
              </w:rPr>
            </w:pPr>
          </w:p>
        </w:tc>
        <w:tc>
          <w:tcPr>
            <w:tcW w:w="2083" w:type="dxa"/>
            <w:tcBorders>
              <w:top w:val="single" w:color="auto" w:sz="4" w:space="0"/>
              <w:left w:val="single" w:color="auto" w:sz="4" w:space="0"/>
              <w:right w:val="single" w:color="auto" w:sz="4" w:space="0"/>
            </w:tcBorders>
            <w:vAlign w:val="center"/>
          </w:tcPr>
          <w:p>
            <w:pPr>
              <w:pStyle w:val="9"/>
              <w:spacing w:line="400" w:lineRule="exact"/>
              <w:rPr>
                <w:rFonts w:ascii="宋体" w:hAnsi="宋体" w:cs="宋体"/>
                <w:color w:val="auto"/>
                <w:szCs w:val="21"/>
                <w:highlight w:val="none"/>
              </w:rPr>
            </w:pPr>
            <w:r>
              <w:rPr>
                <w:rFonts w:hint="eastAsia" w:ascii="宋体" w:hAnsi="宋体" w:cs="宋体"/>
                <w:color w:val="auto"/>
                <w:szCs w:val="21"/>
                <w:highlight w:val="none"/>
              </w:rPr>
              <w:t>提供相同品牌产品且通过资格审查、符合性审查的不同投标人参加同一合同项下投标的获得参加评标资格的投标人或获得中标人推荐资格的确定方式</w:t>
            </w:r>
          </w:p>
        </w:tc>
        <w:tc>
          <w:tcPr>
            <w:tcW w:w="7297" w:type="dxa"/>
            <w:tcBorders>
              <w:top w:val="single" w:color="auto" w:sz="4" w:space="0"/>
              <w:left w:val="single" w:color="auto" w:sz="4" w:space="0"/>
              <w:right w:val="single" w:color="auto" w:sz="4" w:space="0"/>
            </w:tcBorders>
            <w:vAlign w:val="center"/>
          </w:tcPr>
          <w:p>
            <w:pPr>
              <w:pStyle w:val="15"/>
              <w:spacing w:line="400" w:lineRule="exact"/>
              <w:rPr>
                <w:rFonts w:hAnsi="宋体" w:cs="宋体"/>
                <w:color w:val="auto"/>
                <w:szCs w:val="21"/>
                <w:highlight w:val="none"/>
              </w:rPr>
            </w:pPr>
            <w:r>
              <w:rPr>
                <w:rFonts w:hint="eastAsia" w:hAnsi="宋体" w:cs="宋体"/>
                <w:color w:val="auto"/>
                <w:szCs w:val="21"/>
                <w:highlight w:val="none"/>
              </w:rPr>
              <w:t>□随机抽取（采用最低评标价法，投标报价相同时；采用综合评分法，评审得分相同时。）</w:t>
            </w:r>
          </w:p>
          <w:p>
            <w:pPr>
              <w:pStyle w:val="9"/>
              <w:spacing w:line="400" w:lineRule="exact"/>
              <w:rPr>
                <w:rFonts w:ascii="宋体" w:hAnsi="宋体" w:cs="宋体"/>
                <w:color w:val="auto"/>
                <w:szCs w:val="21"/>
                <w:highlight w:val="none"/>
              </w:rPr>
            </w:pPr>
            <w:r>
              <w:rPr>
                <w:rFonts w:hint="eastAsia" w:ascii="宋体" w:hAnsi="宋体" w:cs="宋体"/>
                <w:color w:val="auto"/>
                <w:szCs w:val="21"/>
                <w:highlight w:val="none"/>
              </w:rPr>
              <w:t>☑ 其他方式：</w:t>
            </w:r>
          </w:p>
          <w:p>
            <w:pPr>
              <w:pStyle w:val="9"/>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采用综合评分法，</w:t>
            </w:r>
            <w:r>
              <w:rPr>
                <w:rFonts w:hint="eastAsia" w:ascii="宋体" w:hAnsi="宋体" w:cs="宋体"/>
                <w:color w:val="auto"/>
                <w:szCs w:val="21"/>
                <w:highlight w:val="none"/>
              </w:rPr>
              <w:t>评审得分相同时，投标总报价低的获得推荐资格，评审得分、投标总报价均相同时，由采购人随机抽取。</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b/>
                <w:bCs/>
                <w:color w:val="auto"/>
                <w:szCs w:val="21"/>
                <w:highlight w:val="none"/>
              </w:rPr>
              <w:t>采用最低评标价法，</w:t>
            </w:r>
            <w:r>
              <w:rPr>
                <w:rFonts w:hint="eastAsia" w:ascii="宋体" w:hAnsi="宋体" w:cs="宋体"/>
                <w:color w:val="auto"/>
                <w:szCs w:val="21"/>
                <w:highlight w:val="none"/>
              </w:rPr>
              <w:t>投标总报价相同时，由采购人随机抽取。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11.4</w:t>
            </w: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媒体发布渠道</w:t>
            </w:r>
          </w:p>
        </w:tc>
        <w:tc>
          <w:tcPr>
            <w:tcW w:w="729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与本项目相关的政府采购业务澄清、更正及与之相关的事项将在招标公告中“六、其他补充事宜”中网上查询地址上发布</w:t>
            </w:r>
            <w:r>
              <w:rPr>
                <w:rFonts w:hint="eastAsia"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11.5</w:t>
            </w: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是否组织标前答疑会</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 不组织召开开标前答疑会</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□组织召开开标前答疑会</w:t>
            </w:r>
          </w:p>
          <w:p>
            <w:pPr>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rPr>
              <w:t>会议开始时间：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日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分</w:t>
            </w:r>
            <w:r>
              <w:rPr>
                <w:rFonts w:hint="eastAsia" w:ascii="宋体" w:hAnsi="宋体" w:cs="宋体"/>
                <w:color w:val="auto"/>
                <w:szCs w:val="21"/>
                <w:highlight w:val="none"/>
              </w:rPr>
              <w:t>，逾期后果自负。会议地点：</w:t>
            </w:r>
            <w:r>
              <w:rPr>
                <w:rFonts w:hint="eastAsia" w:ascii="宋体" w:hAnsi="宋体" w:cs="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nil"/>
              <w:left w:val="single" w:color="auto" w:sz="4" w:space="0"/>
              <w:bottom w:val="nil"/>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13.1</w:t>
            </w:r>
          </w:p>
        </w:tc>
        <w:tc>
          <w:tcPr>
            <w:tcW w:w="20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color w:val="auto"/>
                <w:szCs w:val="21"/>
                <w:highlight w:val="none"/>
              </w:rPr>
            </w:pPr>
            <w:bookmarkStart w:id="86" w:name="_13.2"/>
            <w:bookmarkEnd w:id="86"/>
            <w:r>
              <w:rPr>
                <w:rFonts w:hint="eastAsia" w:ascii="宋体" w:hAnsi="宋体" w:cs="宋体"/>
                <w:color w:val="auto"/>
                <w:szCs w:val="21"/>
                <w:highlight w:val="none"/>
              </w:rPr>
              <w:t>资格证明文件组成</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1、投标人为法人或者其他组织的，提供营业执照等证明文件复印件（如营业执照或者事业单位法人证书或者</w:t>
            </w:r>
            <w:r>
              <w:rPr>
                <w:rStyle w:val="41"/>
                <w:rFonts w:hint="eastAsia"/>
                <w:color w:val="auto"/>
                <w:sz w:val="21"/>
                <w:szCs w:val="21"/>
                <w:highlight w:val="none"/>
              </w:rPr>
              <w:t>执业许可证</w:t>
            </w:r>
            <w:r>
              <w:rPr>
                <w:rFonts w:hint="eastAsia" w:ascii="宋体" w:hAnsi="宋体" w:cs="宋体"/>
                <w:color w:val="auto"/>
                <w:szCs w:val="21"/>
                <w:highlight w:val="none"/>
              </w:rPr>
              <w:t>等），投标人为自然人的，提供有效身份证正反面复印件。（</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2、投标人依法缴纳税收的相关材料（</w:t>
            </w:r>
            <w:r>
              <w:rPr>
                <w:rFonts w:hint="eastAsia" w:ascii="宋体" w:hAnsi="宋体" w:cs="宋体"/>
                <w:color w:val="auto"/>
                <w:szCs w:val="21"/>
                <w:highlight w:val="none"/>
                <w:u w:val="single"/>
              </w:rPr>
              <w:t>提供税款所属时期为2023年6月至投标文件提交截止时间止的任意1个月</w:t>
            </w:r>
            <w:r>
              <w:rPr>
                <w:rFonts w:hint="eastAsia" w:ascii="宋体" w:hAnsi="宋体" w:cs="宋体"/>
                <w:color w:val="auto"/>
                <w:szCs w:val="21"/>
                <w:highlight w:val="none"/>
              </w:rPr>
              <w:t>的依法缴纳税收的凭据复印件；依法免税的投标人，必须提供相应文件证明其依法免税。从取得营业执照时间起到投标文件提交截止时间为止不足要求月数的，只需提供从取得营业执照起的依法缴纳税收相应证明文件）。（</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3、投标人依法缴纳社会保障资金的相关材料（</w:t>
            </w:r>
            <w:r>
              <w:rPr>
                <w:rFonts w:hint="eastAsia" w:ascii="宋体" w:hAnsi="宋体" w:cs="宋体"/>
                <w:color w:val="auto"/>
                <w:szCs w:val="21"/>
                <w:highlight w:val="none"/>
                <w:u w:val="single"/>
              </w:rPr>
              <w:t>提供税款所属时期或缴费起始时间为2023年6月至投标文件提交截止时间止的任意1个月</w:t>
            </w:r>
            <w:r>
              <w:rPr>
                <w:rFonts w:hint="eastAsia" w:ascii="宋体" w:hAnsi="宋体" w:cs="宋体"/>
                <w:color w:val="auto"/>
                <w:szCs w:val="21"/>
                <w:highlight w:val="none"/>
              </w:rPr>
              <w:t>的依法缴纳社会保障资金的缴费凭证复印件；依法不需要缴纳社会保障资金的投标人，必须提供相应文件证明不需要缴纳社会保障资金。从取得营业执照时间起到投标文件提交截止时间为止不足要求月数的只需提供从取得营业执照起的依法缴纳社会保障资金的相应证明文件）。（</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4、投标人财务状况报告（提供</w:t>
            </w:r>
            <w:r>
              <w:rPr>
                <w:rFonts w:hint="eastAsia" w:ascii="宋体" w:hAnsi="宋体" w:cs="宋体"/>
                <w:color w:val="auto"/>
                <w:szCs w:val="21"/>
                <w:highlight w:val="none"/>
                <w:u w:val="single"/>
              </w:rPr>
              <w:t>2022</w:t>
            </w:r>
            <w:r>
              <w:rPr>
                <w:rFonts w:hint="eastAsia" w:ascii="宋体" w:hAnsi="宋体" w:cs="宋体"/>
                <w:color w:val="auto"/>
                <w:szCs w:val="21"/>
                <w:highlight w:val="none"/>
              </w:rPr>
              <w:t>年度经审计的财务报告复印件或者截标时间前半年内至少一个月能反映财务状况的报表或者投标人自拟的截标时间前半年内至少一个月的财务情况说明）。（</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5、本项目的特定资格要求：无。（</w:t>
            </w:r>
            <w:r>
              <w:rPr>
                <w:rFonts w:hint="eastAsia" w:ascii="宋体" w:hAnsi="宋体" w:cs="宋体"/>
                <w:b/>
                <w:bCs/>
                <w:color w:val="auto"/>
                <w:szCs w:val="21"/>
                <w:highlight w:val="none"/>
              </w:rPr>
              <w:t>如有要求，则</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6、声明函（格式后附）。（</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7、中小企业声明函或者残疾人福利性单位声明函（格式后附）或者供应商属于监狱企业的，提供由省级以上监狱管理局、戒毒管理局（含新疆生产建设兵团）出具的属于监狱企业的证明文件；[本项目为专门面向中小企业采购的项目。投标人必须提供中小企业声明函或者残疾人福利性单位声明函（格式后附）或者供应商属于监狱企业的需提供由省级以上监狱管理局、戒毒管理局（含新疆生产建设兵团）出具的属于监狱企业的证明文件。（</w:t>
            </w:r>
            <w:r>
              <w:rPr>
                <w:rFonts w:hint="eastAsia" w:ascii="宋体" w:hAnsi="宋体" w:cs="宋体"/>
                <w:b/>
                <w:bCs/>
                <w:color w:val="auto"/>
                <w:szCs w:val="21"/>
                <w:highlight w:val="none"/>
              </w:rPr>
              <w:t>必须提供，否则作无效投标处理</w:t>
            </w:r>
            <w:r>
              <w:rPr>
                <w:rFonts w:hint="eastAsia" w:ascii="宋体" w:hAnsi="宋体" w:cs="宋体"/>
                <w:color w:val="auto"/>
                <w:szCs w:val="21"/>
                <w:highlight w:val="none"/>
              </w:rPr>
              <w:t>）]</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8、联合体投标协议书（格式后附）。（</w:t>
            </w:r>
            <w:r>
              <w:rPr>
                <w:rFonts w:hint="eastAsia" w:ascii="宋体" w:hAnsi="宋体" w:cs="宋体"/>
                <w:b/>
                <w:color w:val="auto"/>
                <w:szCs w:val="21"/>
                <w:highlight w:val="none"/>
              </w:rPr>
              <w:t>联合体投标时必须提供，否则作无效投标处理</w:t>
            </w:r>
            <w:r>
              <w:rPr>
                <w:rFonts w:hint="eastAsia" w:ascii="宋体" w:hAnsi="宋体" w:cs="宋体"/>
                <w:color w:val="auto"/>
                <w:szCs w:val="21"/>
                <w:highlight w:val="none"/>
              </w:rPr>
              <w:t>）</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9、除招标文件规定必须提供以外，投标人认为需要提供的其他证明材料（</w:t>
            </w:r>
            <w:r>
              <w:rPr>
                <w:rFonts w:hint="eastAsia" w:ascii="宋体" w:hAnsi="宋体" w:cs="宋体"/>
                <w:b/>
                <w:bCs/>
                <w:color w:val="auto"/>
                <w:szCs w:val="21"/>
                <w:highlight w:val="none"/>
              </w:rPr>
              <w:t>格式自拟，如有，请提供</w:t>
            </w:r>
            <w:r>
              <w:rPr>
                <w:rFonts w:hint="eastAsia" w:ascii="宋体" w:hAnsi="宋体" w:cs="宋体"/>
                <w:color w:val="auto"/>
                <w:szCs w:val="21"/>
                <w:highlight w:val="none"/>
              </w:rPr>
              <w:t>）。</w:t>
            </w:r>
          </w:p>
          <w:p>
            <w:pPr>
              <w:snapToGrid w:val="0"/>
              <w:spacing w:line="400" w:lineRule="exact"/>
              <w:jc w:val="left"/>
              <w:rPr>
                <w:rFonts w:ascii="宋体" w:hAnsi="宋体" w:cs="宋体"/>
                <w:b/>
                <w:color w:val="auto"/>
                <w:szCs w:val="21"/>
                <w:highlight w:val="none"/>
              </w:rPr>
            </w:pPr>
            <w:r>
              <w:rPr>
                <w:rFonts w:hint="eastAsia" w:ascii="宋体" w:hAnsi="宋体" w:cs="宋体"/>
                <w:b/>
                <w:bCs/>
                <w:color w:val="auto"/>
                <w:szCs w:val="21"/>
                <w:highlight w:val="none"/>
              </w:rPr>
              <w:t>注：1、以上标明“必须提供”的材料</w:t>
            </w:r>
            <w:r>
              <w:rPr>
                <w:rFonts w:hint="eastAsia" w:ascii="宋体" w:hAnsi="宋体" w:cs="宋体"/>
                <w:b/>
                <w:color w:val="auto"/>
                <w:szCs w:val="21"/>
                <w:highlight w:val="none"/>
              </w:rPr>
              <w:t>属于复印件的扫描件的</w:t>
            </w:r>
            <w:r>
              <w:rPr>
                <w:rFonts w:hint="eastAsia" w:ascii="宋体" w:hAnsi="宋体" w:cs="宋体"/>
                <w:b/>
                <w:bCs/>
                <w:color w:val="auto"/>
                <w:szCs w:val="21"/>
                <w:highlight w:val="none"/>
              </w:rPr>
              <w:t>，必须加盖投标人公章，否则</w:t>
            </w:r>
            <w:r>
              <w:rPr>
                <w:rFonts w:hint="eastAsia" w:ascii="宋体" w:hAnsi="宋体" w:cs="宋体"/>
                <w:b/>
                <w:color w:val="auto"/>
                <w:szCs w:val="21"/>
                <w:highlight w:val="none"/>
              </w:rPr>
              <w:t>作无效投标处理。</w:t>
            </w:r>
          </w:p>
          <w:p>
            <w:pPr>
              <w:snapToGrid w:val="0"/>
              <w:spacing w:line="400" w:lineRule="exact"/>
              <w:ind w:firstLine="422" w:firstLineChars="200"/>
              <w:jc w:val="left"/>
              <w:rPr>
                <w:rFonts w:ascii="宋体" w:hAnsi="宋体" w:cs="宋体"/>
                <w:b/>
                <w:bCs/>
                <w:color w:val="auto"/>
                <w:szCs w:val="21"/>
                <w:highlight w:val="none"/>
              </w:rPr>
            </w:pPr>
            <w:r>
              <w:rPr>
                <w:rFonts w:hint="eastAsia" w:ascii="宋体" w:hAnsi="宋体" w:cs="宋体"/>
                <w:b/>
                <w:color w:val="auto"/>
                <w:szCs w:val="21"/>
                <w:highlight w:val="none"/>
              </w:rPr>
              <w:t>2</w:t>
            </w:r>
            <w:r>
              <w:rPr>
                <w:rFonts w:hint="eastAsia" w:ascii="宋体" w:hAnsi="宋体" w:cs="宋体"/>
                <w:b/>
                <w:bCs/>
                <w:color w:val="auto"/>
                <w:szCs w:val="21"/>
                <w:highlight w:val="none"/>
              </w:rPr>
              <w:t>、联合体投标时，第1-5项资格证明文件联合体各方均必须分别提供，联合体各方分别盖章和签字，否则投标文件作无效投标处理。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nil"/>
              <w:left w:val="single" w:color="auto" w:sz="4" w:space="0"/>
              <w:bottom w:val="nil"/>
              <w:right w:val="single" w:color="auto" w:sz="4" w:space="0"/>
            </w:tcBorders>
            <w:vAlign w:val="center"/>
          </w:tcPr>
          <w:p>
            <w:pPr>
              <w:spacing w:line="400" w:lineRule="exact"/>
              <w:rPr>
                <w:rFonts w:ascii="宋体" w:hAnsi="宋体" w:cs="宋体"/>
                <w:color w:val="auto"/>
                <w:szCs w:val="21"/>
                <w:highlight w:val="none"/>
              </w:rPr>
            </w:pPr>
          </w:p>
        </w:tc>
        <w:tc>
          <w:tcPr>
            <w:tcW w:w="20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color w:val="auto"/>
                <w:szCs w:val="21"/>
                <w:highlight w:val="none"/>
              </w:rPr>
            </w:pPr>
            <w:bookmarkStart w:id="87" w:name="_13.3"/>
            <w:bookmarkEnd w:id="87"/>
            <w:r>
              <w:rPr>
                <w:rFonts w:hint="eastAsia" w:ascii="宋体" w:hAnsi="宋体" w:cs="宋体"/>
                <w:color w:val="auto"/>
                <w:szCs w:val="21"/>
                <w:highlight w:val="none"/>
              </w:rPr>
              <w:t>商务文件组成</w:t>
            </w:r>
          </w:p>
          <w:p>
            <w:pPr>
              <w:spacing w:line="400" w:lineRule="exact"/>
              <w:rPr>
                <w:rFonts w:ascii="宋体" w:hAnsi="宋体" w:cs="宋体"/>
                <w:color w:val="auto"/>
                <w:szCs w:val="21"/>
                <w:highlight w:val="none"/>
              </w:rPr>
            </w:pP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1、无串通投标行为的承诺函（格式后附）；（</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2、法定代表人身份证明及法定代表人有效身份证正反面复印件（格式后附）；（</w:t>
            </w:r>
            <w:r>
              <w:rPr>
                <w:rFonts w:hint="eastAsia" w:ascii="宋体" w:hAnsi="宋体" w:cs="宋体"/>
                <w:b/>
                <w:bCs/>
                <w:color w:val="auto"/>
                <w:szCs w:val="21"/>
                <w:highlight w:val="none"/>
              </w:rPr>
              <w:t>除自然人投标外</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3、法定代表人授权委托书及委托代理人有效身份证正反面复印件（格式后附）；（</w:t>
            </w:r>
            <w:r>
              <w:rPr>
                <w:rFonts w:hint="eastAsia" w:ascii="宋体" w:hAnsi="宋体" w:cs="宋体"/>
                <w:b/>
                <w:color w:val="auto"/>
                <w:szCs w:val="21"/>
                <w:highlight w:val="none"/>
              </w:rPr>
              <w:t>委托时必须提供，否则作无效投标处理</w:t>
            </w:r>
            <w:r>
              <w:rPr>
                <w:rFonts w:hint="eastAsia" w:ascii="宋体" w:hAnsi="宋体" w:cs="宋体"/>
                <w:color w:val="auto"/>
                <w:szCs w:val="21"/>
                <w:highlight w:val="none"/>
              </w:rPr>
              <w:t>）</w:t>
            </w:r>
          </w:p>
          <w:p>
            <w:pPr>
              <w:snapToGrid w:val="0"/>
              <w:spacing w:line="400" w:lineRule="exact"/>
              <w:jc w:val="left"/>
              <w:rPr>
                <w:rFonts w:ascii="宋体" w:hAnsi="宋体" w:cs="宋体"/>
                <w:b/>
                <w:color w:val="auto"/>
                <w:szCs w:val="21"/>
                <w:highlight w:val="none"/>
              </w:rPr>
            </w:pPr>
            <w:r>
              <w:rPr>
                <w:rFonts w:hint="eastAsia" w:ascii="宋体" w:hAnsi="宋体" w:cs="宋体"/>
                <w:color w:val="auto"/>
                <w:szCs w:val="21"/>
                <w:highlight w:val="none"/>
              </w:rPr>
              <w:t>4、投标保证金提交凭证；</w:t>
            </w:r>
            <w:r>
              <w:rPr>
                <w:rFonts w:hint="eastAsia" w:ascii="宋体" w:hAnsi="宋体" w:cs="宋体"/>
                <w:b/>
                <w:color w:val="auto"/>
                <w:szCs w:val="21"/>
                <w:highlight w:val="none"/>
              </w:rPr>
              <w:t>（必须提供，否则作无效投标处理）</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5、商务条款偏离表（格式后附）；（</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6、投标人情况介绍（</w:t>
            </w:r>
            <w:r>
              <w:rPr>
                <w:rFonts w:hint="eastAsia" w:ascii="宋体" w:hAnsi="宋体" w:cs="宋体"/>
                <w:b/>
                <w:bCs/>
                <w:color w:val="auto"/>
                <w:szCs w:val="21"/>
                <w:highlight w:val="none"/>
              </w:rPr>
              <w:t>格式自拟，如有，请提供</w:t>
            </w:r>
            <w:r>
              <w:rPr>
                <w:rFonts w:hint="eastAsia" w:ascii="宋体" w:hAnsi="宋体" w:cs="宋体"/>
                <w:color w:val="auto"/>
                <w:szCs w:val="21"/>
                <w:highlight w:val="none"/>
              </w:rPr>
              <w:t>）；</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7、除招标文件规定必须提供以外，投标人认为需要提供的其他证明材料（</w:t>
            </w:r>
            <w:r>
              <w:rPr>
                <w:rFonts w:hint="eastAsia" w:ascii="宋体" w:hAnsi="宋体" w:cs="宋体"/>
                <w:b/>
                <w:bCs/>
                <w:color w:val="auto"/>
                <w:szCs w:val="21"/>
                <w:highlight w:val="none"/>
              </w:rPr>
              <w:t>格式自拟，如有，请提供</w:t>
            </w:r>
            <w:r>
              <w:rPr>
                <w:rFonts w:hint="eastAsia" w:ascii="宋体" w:hAnsi="宋体" w:cs="宋体"/>
                <w:color w:val="auto"/>
                <w:szCs w:val="21"/>
                <w:highlight w:val="none"/>
              </w:rPr>
              <w:t>）。（投标人根据“第二章 采购需求”及“第四章 评标方法和评标标准”提供有关证明材料）。</w:t>
            </w:r>
          </w:p>
          <w:p>
            <w:pPr>
              <w:snapToGrid w:val="0"/>
              <w:spacing w:line="400" w:lineRule="exact"/>
              <w:jc w:val="left"/>
              <w:rPr>
                <w:rFonts w:ascii="宋体" w:hAnsi="宋体" w:cs="宋体"/>
                <w:b/>
                <w:bCs/>
                <w:color w:val="auto"/>
                <w:szCs w:val="21"/>
                <w:highlight w:val="none"/>
              </w:rPr>
            </w:pPr>
            <w:r>
              <w:rPr>
                <w:rFonts w:hint="eastAsia" w:ascii="宋体" w:hAnsi="宋体" w:cs="宋体"/>
                <w:b/>
                <w:bCs/>
                <w:color w:val="auto"/>
                <w:szCs w:val="21"/>
                <w:highlight w:val="none"/>
              </w:rPr>
              <w:t>注：1、法定代表人授权委托书必须由法定代表人及委托代理人签字，并加盖投标人公章，否则作无效投标处理。</w:t>
            </w:r>
          </w:p>
          <w:p>
            <w:pPr>
              <w:snapToGrid w:val="0"/>
              <w:spacing w:line="400" w:lineRule="exact"/>
              <w:ind w:firstLine="422" w:firstLineChars="200"/>
              <w:jc w:val="left"/>
              <w:rPr>
                <w:rFonts w:ascii="宋体" w:hAnsi="宋体" w:cs="宋体"/>
                <w:b/>
                <w:color w:val="auto"/>
                <w:szCs w:val="21"/>
                <w:highlight w:val="none"/>
              </w:rPr>
            </w:pPr>
            <w:r>
              <w:rPr>
                <w:rFonts w:hint="eastAsia" w:ascii="宋体" w:hAnsi="宋体" w:cs="宋体"/>
                <w:b/>
                <w:bCs/>
                <w:color w:val="auto"/>
                <w:szCs w:val="21"/>
                <w:highlight w:val="none"/>
              </w:rPr>
              <w:t>2、以上标明“必须提供”的材料</w:t>
            </w:r>
            <w:r>
              <w:rPr>
                <w:rFonts w:hint="eastAsia" w:ascii="宋体" w:hAnsi="宋体" w:cs="宋体"/>
                <w:b/>
                <w:color w:val="auto"/>
                <w:szCs w:val="21"/>
                <w:highlight w:val="none"/>
              </w:rPr>
              <w:t>属于复印件的扫描件的</w:t>
            </w:r>
            <w:r>
              <w:rPr>
                <w:rFonts w:hint="eastAsia" w:ascii="宋体" w:hAnsi="宋体" w:cs="宋体"/>
                <w:b/>
                <w:bCs/>
                <w:color w:val="auto"/>
                <w:szCs w:val="21"/>
                <w:highlight w:val="none"/>
              </w:rPr>
              <w:t>，必须加盖投标人公章，否则</w:t>
            </w:r>
            <w:r>
              <w:rPr>
                <w:rFonts w:hint="eastAsia" w:ascii="宋体" w:hAnsi="宋体" w:cs="宋体"/>
                <w:b/>
                <w:color w:val="auto"/>
                <w:szCs w:val="21"/>
                <w:highlight w:val="none"/>
              </w:rPr>
              <w:t>作无效投标处理</w:t>
            </w:r>
            <w:r>
              <w:rPr>
                <w:rFonts w:hint="eastAsia" w:ascii="宋体" w:hAnsi="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vMerge w:val="restart"/>
            <w:tcBorders>
              <w:top w:val="nil"/>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p>
        </w:tc>
        <w:tc>
          <w:tcPr>
            <w:tcW w:w="20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color w:val="auto"/>
                <w:szCs w:val="21"/>
                <w:highlight w:val="none"/>
              </w:rPr>
            </w:pPr>
            <w:bookmarkStart w:id="88" w:name="_13.4"/>
            <w:bookmarkEnd w:id="88"/>
            <w:r>
              <w:rPr>
                <w:rFonts w:hint="eastAsia" w:ascii="宋体" w:hAnsi="宋体" w:cs="宋体"/>
                <w:color w:val="auto"/>
                <w:szCs w:val="21"/>
                <w:highlight w:val="none"/>
              </w:rPr>
              <w:t>技术文件组成</w:t>
            </w:r>
          </w:p>
          <w:p>
            <w:pPr>
              <w:spacing w:line="400" w:lineRule="exact"/>
              <w:rPr>
                <w:rFonts w:ascii="宋体" w:hAnsi="宋体" w:cs="宋体"/>
                <w:color w:val="auto"/>
                <w:szCs w:val="21"/>
                <w:highlight w:val="none"/>
              </w:rPr>
            </w:pP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1、技术需求偏离表（格式后附）；（</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400" w:lineRule="exact"/>
              <w:jc w:val="left"/>
              <w:rPr>
                <w:rFonts w:ascii="宋体" w:hAnsi="宋体" w:cs="宋体"/>
                <w:b/>
                <w:i/>
                <w:iCs/>
                <w:color w:val="auto"/>
                <w:szCs w:val="21"/>
                <w:highlight w:val="none"/>
              </w:rPr>
            </w:pPr>
            <w:r>
              <w:rPr>
                <w:rFonts w:hint="eastAsia" w:ascii="宋体" w:hAnsi="宋体" w:cs="宋体"/>
                <w:color w:val="auto"/>
                <w:szCs w:val="21"/>
                <w:highlight w:val="none"/>
              </w:rPr>
              <w:t>2、项目实施方案（包括但不限于拟投入实施人员、售后服务承诺、技术培训等）（</w:t>
            </w:r>
            <w:r>
              <w:rPr>
                <w:rFonts w:hint="eastAsia" w:ascii="宋体" w:hAnsi="宋体" w:cs="宋体"/>
                <w:b/>
                <w:bCs/>
                <w:color w:val="auto"/>
                <w:szCs w:val="21"/>
                <w:highlight w:val="none"/>
              </w:rPr>
              <w:t>格式自拟，如有，请提供</w:t>
            </w:r>
            <w:r>
              <w:rPr>
                <w:rFonts w:hint="eastAsia" w:ascii="宋体" w:hAnsi="宋体" w:cs="宋体"/>
                <w:color w:val="auto"/>
                <w:szCs w:val="21"/>
                <w:highlight w:val="none"/>
              </w:rPr>
              <w:t>）；</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3、投标产品技术证明资料（包括但不限于投标产品说明书、出厂标准、质量检测报告等）（</w:t>
            </w:r>
            <w:r>
              <w:rPr>
                <w:rFonts w:hint="eastAsia" w:ascii="宋体" w:hAnsi="宋体" w:cs="宋体"/>
                <w:b/>
                <w:bCs/>
                <w:color w:val="auto"/>
                <w:szCs w:val="21"/>
                <w:highlight w:val="none"/>
              </w:rPr>
              <w:t>格式自拟，如有，请提供</w:t>
            </w:r>
            <w:r>
              <w:rPr>
                <w:rFonts w:hint="eastAsia" w:ascii="宋体" w:hAnsi="宋体" w:cs="宋体"/>
                <w:color w:val="auto"/>
                <w:szCs w:val="21"/>
                <w:highlight w:val="none"/>
              </w:rPr>
              <w:t>）；</w:t>
            </w:r>
          </w:p>
          <w:p>
            <w:pPr>
              <w:tabs>
                <w:tab w:val="center" w:pos="4153"/>
                <w:tab w:val="right" w:pos="8306"/>
              </w:tabs>
              <w:spacing w:line="400" w:lineRule="exact"/>
              <w:rPr>
                <w:rFonts w:ascii="宋体" w:hAnsi="宋体" w:cs="宋体"/>
                <w:color w:val="auto"/>
                <w:szCs w:val="21"/>
                <w:highlight w:val="none"/>
              </w:rPr>
            </w:pPr>
            <w:r>
              <w:rPr>
                <w:rFonts w:hint="eastAsia" w:ascii="宋体" w:hAnsi="宋体" w:cs="宋体"/>
                <w:color w:val="auto"/>
                <w:szCs w:val="21"/>
                <w:highlight w:val="none"/>
              </w:rPr>
              <w:t>4、投标产品销售业绩或使用情况及证明资料（</w:t>
            </w:r>
            <w:r>
              <w:rPr>
                <w:rFonts w:hint="eastAsia" w:ascii="宋体" w:hAnsi="宋体" w:cs="宋体"/>
                <w:b/>
                <w:bCs/>
                <w:color w:val="auto"/>
                <w:szCs w:val="21"/>
                <w:highlight w:val="none"/>
              </w:rPr>
              <w:t>格式自拟，如有，请提供</w:t>
            </w:r>
            <w:r>
              <w:rPr>
                <w:rFonts w:hint="eastAsia" w:ascii="宋体" w:hAnsi="宋体" w:cs="宋体"/>
                <w:color w:val="auto"/>
                <w:szCs w:val="21"/>
                <w:highlight w:val="none"/>
              </w:rPr>
              <w:t>）；</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5、优惠条件：投标人承诺给予招标人的各种优惠条件，包括售后服务、备品备件、专用耗材等方面的优惠；投标人不得给予赠品或者与采购无关的其他商品、服务（</w:t>
            </w:r>
            <w:r>
              <w:rPr>
                <w:rFonts w:hint="eastAsia" w:ascii="宋体" w:hAnsi="宋体" w:cs="宋体"/>
                <w:b/>
                <w:bCs/>
                <w:color w:val="auto"/>
                <w:szCs w:val="21"/>
                <w:highlight w:val="none"/>
              </w:rPr>
              <w:t>格式自拟，如有，请提供</w:t>
            </w:r>
            <w:r>
              <w:rPr>
                <w:rFonts w:hint="eastAsia" w:ascii="宋体" w:hAnsi="宋体" w:cs="宋体"/>
                <w:color w:val="auto"/>
                <w:szCs w:val="21"/>
                <w:highlight w:val="none"/>
              </w:rPr>
              <w:t>）；</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6、投标人对本项目的合理化建议（</w:t>
            </w:r>
            <w:r>
              <w:rPr>
                <w:rFonts w:hint="eastAsia" w:ascii="宋体" w:hAnsi="宋体" w:cs="宋体"/>
                <w:b/>
                <w:bCs/>
                <w:color w:val="auto"/>
                <w:szCs w:val="21"/>
                <w:highlight w:val="none"/>
              </w:rPr>
              <w:t>格式自拟，如有，请提供</w:t>
            </w:r>
            <w:r>
              <w:rPr>
                <w:rFonts w:hint="eastAsia" w:ascii="宋体" w:hAnsi="宋体" w:cs="宋体"/>
                <w:color w:val="auto"/>
                <w:szCs w:val="21"/>
                <w:highlight w:val="none"/>
              </w:rPr>
              <w:t>）；</w:t>
            </w:r>
          </w:p>
          <w:p>
            <w:pPr>
              <w:snapToGrid w:val="0"/>
              <w:spacing w:line="400" w:lineRule="exact"/>
              <w:jc w:val="left"/>
              <w:rPr>
                <w:rFonts w:ascii="宋体" w:hAnsi="宋体" w:cs="宋体"/>
                <w:bCs/>
                <w:color w:val="auto"/>
                <w:szCs w:val="21"/>
                <w:highlight w:val="none"/>
              </w:rPr>
            </w:pPr>
            <w:r>
              <w:rPr>
                <w:rFonts w:hint="eastAsia" w:ascii="宋体" w:hAnsi="宋体" w:cs="宋体"/>
                <w:color w:val="auto"/>
                <w:szCs w:val="21"/>
                <w:highlight w:val="none"/>
              </w:rPr>
              <w:t>7、除招标文件规定必须提供以外，投标人需要说明的其他文件和说明（</w:t>
            </w:r>
            <w:r>
              <w:rPr>
                <w:rFonts w:hint="eastAsia" w:ascii="宋体" w:hAnsi="宋体" w:cs="宋体"/>
                <w:b/>
                <w:bCs/>
                <w:color w:val="auto"/>
                <w:szCs w:val="21"/>
                <w:highlight w:val="none"/>
              </w:rPr>
              <w:t>格式自拟，如有，请提供</w:t>
            </w:r>
            <w:r>
              <w:rPr>
                <w:rFonts w:hint="eastAsia" w:ascii="宋体" w:hAnsi="宋体" w:cs="宋体"/>
                <w:color w:val="auto"/>
                <w:szCs w:val="21"/>
                <w:highlight w:val="none"/>
              </w:rPr>
              <w:t>）。</w:t>
            </w:r>
          </w:p>
          <w:p>
            <w:pPr>
              <w:snapToGrid w:val="0"/>
              <w:spacing w:line="400" w:lineRule="exact"/>
              <w:jc w:val="left"/>
              <w:rPr>
                <w:rFonts w:ascii="宋体" w:hAnsi="宋体" w:cs="宋体"/>
                <w:b/>
                <w:bCs/>
                <w:color w:val="auto"/>
                <w:szCs w:val="21"/>
                <w:highlight w:val="none"/>
              </w:rPr>
            </w:pPr>
            <w:r>
              <w:rPr>
                <w:rFonts w:hint="eastAsia" w:ascii="宋体" w:hAnsi="宋体" w:cs="宋体"/>
                <w:b/>
                <w:bCs/>
                <w:color w:val="auto"/>
                <w:szCs w:val="21"/>
                <w:highlight w:val="none"/>
              </w:rPr>
              <w:t>注：以上标明“必须提供”的材料</w:t>
            </w:r>
            <w:r>
              <w:rPr>
                <w:rFonts w:hint="eastAsia" w:ascii="宋体" w:hAnsi="宋体" w:cs="宋体"/>
                <w:b/>
                <w:color w:val="auto"/>
                <w:szCs w:val="21"/>
                <w:highlight w:val="none"/>
              </w:rPr>
              <w:t>属于复印件的扫描件的</w:t>
            </w:r>
            <w:r>
              <w:rPr>
                <w:rFonts w:hint="eastAsia" w:ascii="宋体" w:hAnsi="宋体" w:cs="宋体"/>
                <w:b/>
                <w:bCs/>
                <w:color w:val="auto"/>
                <w:szCs w:val="21"/>
                <w:highlight w:val="none"/>
              </w:rPr>
              <w:t>，必须加盖投标人公章，否则</w:t>
            </w:r>
            <w:r>
              <w:rPr>
                <w:rFonts w:hint="eastAsia" w:ascii="宋体" w:hAnsi="宋体" w:cs="宋体"/>
                <w:b/>
                <w:color w:val="auto"/>
                <w:szCs w:val="21"/>
                <w:highlight w:val="none"/>
              </w:rPr>
              <w:t>作无效投标处理</w:t>
            </w:r>
            <w:r>
              <w:rPr>
                <w:rFonts w:hint="eastAsia" w:ascii="宋体" w:hAnsi="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auto"/>
                <w:szCs w:val="21"/>
                <w:highlight w:val="none"/>
              </w:rPr>
            </w:pPr>
          </w:p>
        </w:tc>
        <w:tc>
          <w:tcPr>
            <w:tcW w:w="20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报价文件组成</w:t>
            </w:r>
          </w:p>
        </w:tc>
        <w:tc>
          <w:tcPr>
            <w:tcW w:w="7297" w:type="dxa"/>
            <w:tcBorders>
              <w:top w:val="single" w:color="auto" w:sz="4" w:space="0"/>
              <w:left w:val="single" w:color="auto" w:sz="4" w:space="0"/>
              <w:bottom w:val="single" w:color="auto" w:sz="4" w:space="0"/>
              <w:right w:val="single" w:color="auto" w:sz="4" w:space="0"/>
            </w:tcBorders>
            <w:vAlign w:val="center"/>
          </w:tcPr>
          <w:p>
            <w:pPr>
              <w:tabs>
                <w:tab w:val="left" w:pos="459"/>
              </w:tabs>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1、投标函（格式后附）；</w:t>
            </w:r>
            <w:r>
              <w:rPr>
                <w:rFonts w:hint="eastAsia" w:ascii="宋体" w:hAnsi="宋体" w:cs="宋体"/>
                <w:b/>
                <w:color w:val="auto"/>
                <w:szCs w:val="21"/>
                <w:highlight w:val="none"/>
              </w:rPr>
              <w:t>（必须提供，否则作无效投标处理）</w:t>
            </w:r>
          </w:p>
          <w:p>
            <w:pPr>
              <w:tabs>
                <w:tab w:val="left" w:pos="459"/>
              </w:tabs>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2、开标一览表（格式后附）；（</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tabs>
                <w:tab w:val="left" w:pos="459"/>
              </w:tabs>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3、投标人针对报价需要说明的其他文件和说明（</w:t>
            </w:r>
            <w:r>
              <w:rPr>
                <w:rFonts w:hint="eastAsia" w:ascii="宋体" w:hAnsi="宋体" w:cs="宋体"/>
                <w:b/>
                <w:bCs/>
                <w:color w:val="auto"/>
                <w:szCs w:val="21"/>
                <w:highlight w:val="none"/>
              </w:rPr>
              <w:t>格式自拟，如有，请提供</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16.2</w:t>
            </w: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bookmarkStart w:id="89" w:name="_16.2"/>
            <w:bookmarkEnd w:id="89"/>
            <w:r>
              <w:rPr>
                <w:rFonts w:hint="eastAsia" w:ascii="宋体" w:hAnsi="宋体" w:cs="宋体"/>
                <w:color w:val="auto"/>
                <w:szCs w:val="21"/>
                <w:highlight w:val="none"/>
              </w:rPr>
              <w:t>投标报价要求</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i/>
                <w:iCs/>
                <w:color w:val="auto"/>
                <w:szCs w:val="21"/>
                <w:highlight w:val="none"/>
              </w:rPr>
            </w:pPr>
            <w:r>
              <w:rPr>
                <w:rFonts w:hint="eastAsia" w:ascii="宋体" w:hAnsi="宋体" w:cs="宋体"/>
                <w:color w:val="auto"/>
                <w:szCs w:val="21"/>
                <w:highlight w:val="none"/>
              </w:rPr>
              <w:t>投标报价是履行合同的最终价格，必须包含投标货物（包括备品备件、专用工具等）的价格（包括已在中国境内的进口货物完税后的仓库交货价、展室交货价或者货架交货价）及其运输（含保险）、安装（如有）、调试、检验、技术服务、培训和招标文件要求提供的所有伴随服务、工程等费用和税费。（采购需求另有约定的，从其约定）</w:t>
            </w:r>
          </w:p>
          <w:p>
            <w:pPr>
              <w:snapToGrid w:val="0"/>
              <w:spacing w:line="400" w:lineRule="exact"/>
              <w:rPr>
                <w:rFonts w:ascii="宋体" w:hAnsi="宋体" w:cs="宋体"/>
                <w:b/>
                <w:color w:val="auto"/>
                <w:szCs w:val="21"/>
                <w:highlight w:val="none"/>
              </w:rPr>
            </w:pPr>
            <w:r>
              <w:rPr>
                <w:rFonts w:hint="eastAsia" w:ascii="宋体" w:hAnsi="宋体" w:cs="宋体"/>
                <w:b/>
                <w:color w:val="auto"/>
                <w:szCs w:val="21"/>
                <w:highlight w:val="none"/>
              </w:rPr>
              <w:t>☑ 投标报价包含验收费用</w:t>
            </w:r>
          </w:p>
          <w:p>
            <w:pPr>
              <w:pStyle w:val="2"/>
              <w:spacing w:line="400" w:lineRule="exact"/>
              <w:rPr>
                <w:rFonts w:ascii="宋体" w:hAnsi="宋体" w:cs="宋体"/>
                <w:color w:val="auto"/>
                <w:sz w:val="21"/>
                <w:szCs w:val="21"/>
                <w:highlight w:val="none"/>
              </w:rPr>
            </w:pPr>
            <w:r>
              <w:rPr>
                <w:rFonts w:hint="eastAsia" w:ascii="宋体" w:hAnsi="宋体" w:cs="宋体"/>
                <w:b/>
                <w:color w:val="auto"/>
                <w:sz w:val="21"/>
                <w:szCs w:val="21"/>
                <w:highlight w:val="none"/>
              </w:rPr>
              <w:t>□投标报价不包含验收费用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17.2</w:t>
            </w: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bookmarkStart w:id="90" w:name="_17.1"/>
            <w:bookmarkEnd w:id="90"/>
            <w:r>
              <w:rPr>
                <w:rFonts w:hint="eastAsia" w:ascii="宋体" w:hAnsi="宋体" w:cs="宋体"/>
                <w:color w:val="auto"/>
                <w:szCs w:val="21"/>
                <w:highlight w:val="none"/>
              </w:rPr>
              <w:t>投标有效期</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自投标截止之日起</w:t>
            </w:r>
            <w:r>
              <w:rPr>
                <w:rFonts w:hint="eastAsia" w:ascii="宋体" w:hAnsi="宋体" w:cs="宋体"/>
                <w:color w:val="auto"/>
                <w:szCs w:val="21"/>
                <w:highlight w:val="none"/>
                <w:u w:val="single"/>
              </w:rPr>
              <w:t>90</w:t>
            </w:r>
            <w:r>
              <w:rPr>
                <w:rFonts w:hint="eastAsia" w:ascii="宋体" w:hAnsi="宋体" w:cs="宋体"/>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18</w:t>
            </w: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bookmarkStart w:id="91" w:name="_18"/>
            <w:bookmarkEnd w:id="91"/>
            <w:r>
              <w:rPr>
                <w:rFonts w:hint="eastAsia" w:ascii="宋体" w:hAnsi="宋体" w:cs="宋体"/>
                <w:color w:val="auto"/>
                <w:szCs w:val="21"/>
                <w:highlight w:val="none"/>
              </w:rPr>
              <w:t>投标保证金金额</w:t>
            </w:r>
          </w:p>
        </w:tc>
        <w:tc>
          <w:tcPr>
            <w:tcW w:w="729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b/>
                <w:bCs/>
                <w:color w:val="auto"/>
                <w:szCs w:val="21"/>
                <w:highlight w:val="none"/>
              </w:rPr>
            </w:pPr>
            <w:r>
              <w:rPr>
                <w:rFonts w:hint="eastAsia" w:ascii="宋体" w:hAnsi="宋体" w:cs="宋体"/>
                <w:b/>
                <w:bCs/>
                <w:color w:val="auto"/>
                <w:szCs w:val="21"/>
                <w:highlight w:val="none"/>
              </w:rPr>
              <w:t>□本项目不需要缴纳投标保证金。</w:t>
            </w:r>
          </w:p>
          <w:p>
            <w:pPr>
              <w:snapToGrid w:val="0"/>
              <w:spacing w:line="400" w:lineRule="exact"/>
              <w:rPr>
                <w:rFonts w:ascii="宋体" w:hAnsi="宋体" w:cs="宋体"/>
                <w:b/>
                <w:bCs/>
                <w:color w:val="auto"/>
                <w:szCs w:val="21"/>
                <w:highlight w:val="none"/>
              </w:rPr>
            </w:pPr>
            <w:r>
              <w:rPr>
                <w:rFonts w:hint="eastAsia" w:ascii="宋体" w:hAnsi="宋体" w:cs="宋体"/>
                <w:b/>
                <w:bCs/>
                <w:color w:val="auto"/>
                <w:szCs w:val="21"/>
                <w:highlight w:val="none"/>
              </w:rPr>
              <w:t>☑ 本项目需要缴纳投标保证金，相关要求如下：</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投标保证金的缴纳方式：详见招标公告</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w:t>
            </w:r>
            <w:r>
              <w:rPr>
                <w:rFonts w:hint="eastAsia" w:ascii="宋体" w:hAnsi="宋体" w:cs="宋体"/>
                <w:color w:val="auto"/>
                <w:szCs w:val="21"/>
                <w:highlight w:val="none"/>
              </w:rPr>
              <w:t>投标保证金的金额：详见招标公告</w:t>
            </w:r>
          </w:p>
          <w:p>
            <w:pPr>
              <w:pStyle w:val="9"/>
              <w:spacing w:line="400" w:lineRule="exact"/>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eastAsia="zh-CN"/>
              </w:rPr>
              <w:t>、</w:t>
            </w:r>
            <w:r>
              <w:rPr>
                <w:rFonts w:hint="eastAsia" w:ascii="宋体" w:hAnsi="宋体" w:cs="宋体"/>
                <w:color w:val="auto"/>
                <w:szCs w:val="21"/>
                <w:highlight w:val="none"/>
              </w:rPr>
              <w:t>投标保证金采用银行转账缴纳方式的，在投标截止时间前交至采购代理机构指定账户并且到账，投标人应将银行转账底单的复印件作为投标保证金提交凭证，放置于商务文件中，</w:t>
            </w:r>
            <w:r>
              <w:rPr>
                <w:rFonts w:hint="eastAsia" w:ascii="宋体" w:hAnsi="宋体" w:cs="宋体"/>
                <w:b/>
                <w:color w:val="auto"/>
                <w:szCs w:val="21"/>
                <w:highlight w:val="none"/>
              </w:rPr>
              <w:t>否则作无效投标处理</w:t>
            </w:r>
            <w:r>
              <w:rPr>
                <w:rFonts w:hint="eastAsia" w:ascii="宋体" w:hAnsi="宋体" w:cs="宋体"/>
                <w:color w:val="auto"/>
                <w:szCs w:val="21"/>
                <w:highlight w:val="none"/>
              </w:rPr>
              <w:t>。</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eastAsia="zh-CN"/>
              </w:rPr>
              <w:t>、</w:t>
            </w:r>
            <w:r>
              <w:rPr>
                <w:rFonts w:hint="eastAsia" w:ascii="宋体" w:hAnsi="宋体" w:cs="宋体"/>
                <w:color w:val="auto"/>
                <w:szCs w:val="21"/>
                <w:highlight w:val="none"/>
              </w:rPr>
              <w:t>投标保证金采用支票、汇票、本票或者金融机构、担保机构出具的保函等缴纳方式的，投标人应将支票、汇票、本票或者金融机构、担保机构出具的保函等的复印件或者金融机构、担保机构出具的电子保函作为投标保证金提交凭证，放置于商务文件中，</w:t>
            </w:r>
            <w:r>
              <w:rPr>
                <w:rFonts w:hint="eastAsia" w:ascii="宋体" w:hAnsi="宋体" w:cs="宋体"/>
                <w:b/>
                <w:color w:val="auto"/>
                <w:szCs w:val="21"/>
                <w:highlight w:val="none"/>
              </w:rPr>
              <w:t>否则作无效投标处理</w:t>
            </w:r>
            <w:r>
              <w:rPr>
                <w:rFonts w:hint="eastAsia" w:ascii="宋体" w:hAnsi="宋体" w:cs="宋体"/>
                <w:color w:val="auto"/>
                <w:szCs w:val="21"/>
                <w:highlight w:val="none"/>
              </w:rPr>
              <w:t>。投标人必须</w:t>
            </w:r>
            <w:r>
              <w:rPr>
                <w:rFonts w:hint="eastAsia" w:ascii="宋体" w:hAnsi="宋体" w:cs="宋体"/>
                <w:color w:val="auto"/>
                <w:kern w:val="0"/>
                <w:szCs w:val="21"/>
                <w:highlight w:val="none"/>
              </w:rPr>
              <w:t>在投标截止时间前</w:t>
            </w:r>
            <w:r>
              <w:rPr>
                <w:rFonts w:hint="eastAsia" w:ascii="宋体" w:hAnsi="宋体" w:cs="宋体"/>
                <w:color w:val="auto"/>
                <w:szCs w:val="21"/>
                <w:highlight w:val="none"/>
              </w:rPr>
              <w:t>将支票、汇票、本票或者金融、担保机构出具的保函（电子保函除外）等原件提交给采购代理机构，由采购代理机构向投标人出具回执，并妥善保管。</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5</w:t>
            </w:r>
            <w:r>
              <w:rPr>
                <w:rFonts w:hint="eastAsia" w:ascii="宋体" w:hAnsi="宋体" w:cs="宋体"/>
                <w:color w:val="auto"/>
                <w:szCs w:val="21"/>
                <w:highlight w:val="none"/>
                <w:lang w:eastAsia="zh-CN"/>
              </w:rPr>
              <w:t>、</w:t>
            </w:r>
            <w:r>
              <w:rPr>
                <w:rFonts w:hint="eastAsia" w:ascii="宋体" w:hAnsi="宋体" w:cs="宋体"/>
                <w:color w:val="auto"/>
                <w:szCs w:val="21"/>
                <w:highlight w:val="none"/>
              </w:rPr>
              <w:t>缴纳投标保证金指定账户：详见招标公告。</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6</w:t>
            </w:r>
            <w:r>
              <w:rPr>
                <w:rFonts w:hint="eastAsia" w:ascii="宋体" w:hAnsi="宋体" w:cs="宋体"/>
                <w:color w:val="auto"/>
                <w:szCs w:val="21"/>
                <w:highlight w:val="none"/>
                <w:lang w:eastAsia="zh-CN"/>
              </w:rPr>
              <w:t>、</w:t>
            </w:r>
            <w:r>
              <w:rPr>
                <w:rFonts w:hint="eastAsia" w:ascii="宋体" w:hAnsi="宋体" w:cs="宋体"/>
                <w:color w:val="auto"/>
                <w:szCs w:val="21"/>
                <w:highlight w:val="none"/>
              </w:rPr>
              <w:t>投标人为联合体的，可以由联合体中的一方或者多方共同缴纳投标保证金，其缴纳的投标保证金对联合体各方均具有约束力。</w:t>
            </w:r>
          </w:p>
          <w:p>
            <w:pPr>
              <w:snapToGrid w:val="0"/>
              <w:spacing w:line="400" w:lineRule="exact"/>
              <w:rPr>
                <w:rFonts w:ascii="宋体" w:hAnsi="宋体" w:cs="宋体"/>
                <w:b/>
                <w:color w:val="auto"/>
                <w:szCs w:val="21"/>
                <w:highlight w:val="none"/>
              </w:rPr>
            </w:pPr>
            <w:r>
              <w:rPr>
                <w:rFonts w:hint="eastAsia" w:ascii="宋体" w:hAnsi="宋体" w:cs="宋体"/>
                <w:b/>
                <w:color w:val="auto"/>
                <w:szCs w:val="21"/>
                <w:highlight w:val="none"/>
              </w:rPr>
              <w:t xml:space="preserve">备注： </w:t>
            </w:r>
          </w:p>
          <w:p>
            <w:pPr>
              <w:snapToGrid w:val="0"/>
              <w:spacing w:line="400" w:lineRule="exact"/>
              <w:rPr>
                <w:rFonts w:ascii="宋体" w:hAnsi="宋体" w:cs="宋体"/>
                <w:b/>
                <w:color w:val="auto"/>
                <w:szCs w:val="21"/>
                <w:highlight w:val="none"/>
              </w:rPr>
            </w:pPr>
            <w:r>
              <w:rPr>
                <w:rFonts w:hint="eastAsia" w:ascii="宋体" w:hAnsi="宋体" w:cs="宋体"/>
                <w:b/>
                <w:color w:val="auto"/>
                <w:szCs w:val="21"/>
                <w:highlight w:val="none"/>
              </w:rPr>
              <w:t>1</w:t>
            </w:r>
            <w:r>
              <w:rPr>
                <w:rFonts w:hint="eastAsia" w:ascii="宋体" w:hAnsi="宋体" w:cs="宋体"/>
                <w:b/>
                <w:color w:val="auto"/>
                <w:szCs w:val="21"/>
                <w:highlight w:val="none"/>
                <w:lang w:eastAsia="zh-CN"/>
              </w:rPr>
              <w:t>、</w:t>
            </w:r>
            <w:r>
              <w:rPr>
                <w:rFonts w:hint="eastAsia" w:ascii="宋体" w:hAnsi="宋体" w:cs="宋体"/>
                <w:b/>
                <w:color w:val="auto"/>
                <w:szCs w:val="21"/>
                <w:highlight w:val="none"/>
              </w:rPr>
              <w:t>投标保证金在投标截止时间后提交的，或者不按规定缴纳方式缴纳的，或者未足额缴纳的（包含保函额度不足的），视为无效投标保证金。</w:t>
            </w:r>
          </w:p>
          <w:p>
            <w:pPr>
              <w:snapToGrid w:val="0"/>
              <w:spacing w:line="400" w:lineRule="exact"/>
              <w:rPr>
                <w:rFonts w:ascii="宋体" w:hAnsi="宋体" w:cs="宋体"/>
                <w:b/>
                <w:color w:val="auto"/>
                <w:szCs w:val="21"/>
                <w:highlight w:val="none"/>
              </w:rPr>
            </w:pPr>
            <w:r>
              <w:rPr>
                <w:rFonts w:hint="eastAsia" w:ascii="宋体" w:hAnsi="宋体" w:cs="宋体"/>
                <w:b/>
                <w:color w:val="auto"/>
                <w:szCs w:val="21"/>
                <w:highlight w:val="none"/>
              </w:rPr>
              <w:t>2</w:t>
            </w:r>
            <w:r>
              <w:rPr>
                <w:rFonts w:hint="eastAsia" w:ascii="宋体" w:hAnsi="宋体" w:cs="宋体"/>
                <w:b/>
                <w:color w:val="auto"/>
                <w:szCs w:val="21"/>
                <w:highlight w:val="none"/>
                <w:lang w:eastAsia="zh-CN"/>
              </w:rPr>
              <w:t>、</w:t>
            </w:r>
            <w:r>
              <w:rPr>
                <w:rFonts w:hint="eastAsia" w:ascii="宋体" w:hAnsi="宋体" w:cs="宋体"/>
                <w:b/>
                <w:color w:val="auto"/>
                <w:szCs w:val="21"/>
                <w:highlight w:val="none"/>
              </w:rPr>
              <w:t>投标人采用现金方式或者从个人账户（自然人投标除外）转出的投标保证金，视为无效投标保证金。</w:t>
            </w:r>
          </w:p>
          <w:p>
            <w:pPr>
              <w:snapToGrid w:val="0"/>
              <w:spacing w:line="400" w:lineRule="exact"/>
              <w:rPr>
                <w:rFonts w:ascii="宋体" w:hAnsi="宋体" w:cs="宋体"/>
                <w:b/>
                <w:color w:val="auto"/>
                <w:szCs w:val="21"/>
                <w:highlight w:val="none"/>
              </w:rPr>
            </w:pPr>
            <w:r>
              <w:rPr>
                <w:rFonts w:hint="eastAsia" w:ascii="宋体" w:hAnsi="宋体" w:cs="宋体"/>
                <w:b/>
                <w:color w:val="auto"/>
                <w:szCs w:val="21"/>
                <w:highlight w:val="none"/>
              </w:rPr>
              <w:t>3</w:t>
            </w:r>
            <w:r>
              <w:rPr>
                <w:rFonts w:hint="eastAsia" w:ascii="宋体" w:hAnsi="宋体" w:cs="宋体"/>
                <w:b/>
                <w:color w:val="auto"/>
                <w:szCs w:val="21"/>
                <w:highlight w:val="none"/>
                <w:lang w:eastAsia="zh-CN"/>
              </w:rPr>
              <w:t>、</w:t>
            </w:r>
            <w:r>
              <w:rPr>
                <w:rFonts w:hint="eastAsia" w:ascii="宋体" w:hAnsi="宋体" w:cs="宋体"/>
                <w:b/>
                <w:color w:val="auto"/>
                <w:szCs w:val="21"/>
                <w:highlight w:val="none"/>
              </w:rPr>
              <w:t>支票、汇票或者本票出现无效或者背书情形的，视为无效投标保证金。</w:t>
            </w:r>
          </w:p>
          <w:p>
            <w:pPr>
              <w:snapToGrid w:val="0"/>
              <w:spacing w:line="400" w:lineRule="exact"/>
              <w:rPr>
                <w:rFonts w:ascii="宋体" w:hAnsi="宋体" w:cs="宋体"/>
                <w:b/>
                <w:color w:val="auto"/>
                <w:szCs w:val="21"/>
                <w:highlight w:val="none"/>
              </w:rPr>
            </w:pPr>
            <w:r>
              <w:rPr>
                <w:rFonts w:hint="eastAsia" w:ascii="宋体" w:hAnsi="宋体" w:cs="宋体"/>
                <w:b/>
                <w:color w:val="auto"/>
                <w:szCs w:val="21"/>
                <w:highlight w:val="none"/>
              </w:rPr>
              <w:t>4</w:t>
            </w:r>
            <w:r>
              <w:rPr>
                <w:rFonts w:hint="eastAsia" w:ascii="宋体" w:hAnsi="宋体" w:cs="宋体"/>
                <w:b/>
                <w:color w:val="auto"/>
                <w:szCs w:val="21"/>
                <w:highlight w:val="none"/>
                <w:lang w:eastAsia="zh-CN"/>
              </w:rPr>
              <w:t>、</w:t>
            </w:r>
            <w:r>
              <w:rPr>
                <w:rFonts w:hint="eastAsia" w:ascii="宋体" w:hAnsi="宋体" w:cs="宋体"/>
                <w:b/>
                <w:color w:val="auto"/>
                <w:szCs w:val="21"/>
                <w:highlight w:val="none"/>
              </w:rPr>
              <w:t>保函有效期低于投标有效期的，视为无效投标保证金。</w:t>
            </w:r>
          </w:p>
          <w:p>
            <w:pPr>
              <w:autoSpaceDE w:val="0"/>
              <w:autoSpaceDN w:val="0"/>
              <w:snapToGrid w:val="0"/>
              <w:spacing w:line="400" w:lineRule="exact"/>
              <w:textAlignment w:val="bottom"/>
              <w:rPr>
                <w:rFonts w:ascii="宋体" w:hAnsi="宋体" w:cs="宋体"/>
                <w:color w:val="auto"/>
                <w:szCs w:val="21"/>
                <w:highlight w:val="none"/>
              </w:rPr>
            </w:pPr>
            <w:r>
              <w:rPr>
                <w:rFonts w:hint="eastAsia" w:ascii="宋体" w:hAnsi="宋体" w:cs="宋体"/>
                <w:b/>
                <w:color w:val="auto"/>
                <w:szCs w:val="21"/>
                <w:highlight w:val="none"/>
              </w:rPr>
              <w:t>5</w:t>
            </w:r>
            <w:r>
              <w:rPr>
                <w:rFonts w:hint="eastAsia" w:ascii="宋体" w:hAnsi="宋体" w:cs="宋体"/>
                <w:b/>
                <w:color w:val="auto"/>
                <w:szCs w:val="21"/>
                <w:highlight w:val="none"/>
                <w:lang w:eastAsia="zh-CN"/>
              </w:rPr>
              <w:t>、</w:t>
            </w:r>
            <w:r>
              <w:rPr>
                <w:rFonts w:hint="eastAsia" w:ascii="宋体" w:hAnsi="宋体" w:cs="宋体"/>
                <w:b/>
                <w:color w:val="auto"/>
                <w:szCs w:val="21"/>
                <w:highlight w:val="none"/>
              </w:rPr>
              <w:t>采用金融、担保机构出具保函的，必须为无条件保函，否则视为无效投标保证金</w:t>
            </w:r>
            <w:r>
              <w:rPr>
                <w:rFonts w:hint="eastAsia" w:ascii="宋体" w:hAnsi="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19.1</w:t>
            </w: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投标文件编制要求</w:t>
            </w:r>
          </w:p>
        </w:tc>
        <w:tc>
          <w:tcPr>
            <w:tcW w:w="729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
                <w:color w:val="auto"/>
                <w:szCs w:val="21"/>
                <w:highlight w:val="none"/>
                <w:u w:val="single"/>
              </w:rPr>
            </w:pPr>
            <w:r>
              <w:rPr>
                <w:rFonts w:hint="eastAsia" w:ascii="宋体" w:hAnsi="宋体" w:cs="宋体"/>
                <w:color w:val="auto"/>
                <w:szCs w:val="21"/>
                <w:highlight w:val="none"/>
              </w:rPr>
              <w:t>投标文件应按报价文件、资格证明文件、商务文件、技术文件分别编制，报价文件、资格证明文件分别生成电子文件，商务文件和技术文件按顺序合并生成电子文件。</w:t>
            </w:r>
            <w:r>
              <w:rPr>
                <w:rFonts w:hint="eastAsia" w:ascii="宋体" w:hAnsi="宋体" w:cs="宋体"/>
                <w:b/>
                <w:bCs/>
                <w:color w:val="auto"/>
                <w:szCs w:val="21"/>
                <w:highlight w:val="none"/>
              </w:rPr>
              <w:t>（注：按照本招标文件“第六章 投标文件格式”编写，第六章未附格式的，由投标人自行拟定。）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20</w:t>
            </w: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备份投标文件</w:t>
            </w:r>
          </w:p>
        </w:tc>
        <w:tc>
          <w:tcPr>
            <w:tcW w:w="729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color w:val="auto"/>
                <w:szCs w:val="21"/>
                <w:highlight w:val="none"/>
              </w:rPr>
            </w:pPr>
            <w:r>
              <w:rPr>
                <w:rFonts w:hint="eastAsia" w:ascii="宋体" w:hAnsi="宋体" w:cs="宋体"/>
                <w:color w:val="auto"/>
                <w:szCs w:val="21"/>
                <w:highlight w:val="none"/>
              </w:rPr>
              <w:t>本项目不接受备份投标文件。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trPr>
        <w:tc>
          <w:tcPr>
            <w:tcW w:w="860" w:type="dxa"/>
            <w:vMerge w:val="restart"/>
            <w:tcBorders>
              <w:top w:val="single" w:color="auto" w:sz="4" w:space="0"/>
              <w:left w:val="single" w:color="auto" w:sz="4" w:space="0"/>
              <w:bottom w:val="nil"/>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21.1</w:t>
            </w: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bookmarkStart w:id="92" w:name="_21.1"/>
            <w:bookmarkEnd w:id="92"/>
            <w:r>
              <w:rPr>
                <w:rFonts w:hint="eastAsia" w:ascii="宋体" w:hAnsi="宋体" w:cs="宋体"/>
                <w:color w:val="auto"/>
                <w:szCs w:val="21"/>
                <w:highlight w:val="none"/>
              </w:rPr>
              <w:t>投标截止时间</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860" w:type="dxa"/>
            <w:vMerge w:val="continue"/>
            <w:tcBorders>
              <w:top w:val="single" w:color="auto" w:sz="4" w:space="0"/>
              <w:left w:val="single" w:color="auto" w:sz="4" w:space="0"/>
              <w:bottom w:val="nil"/>
              <w:right w:val="single" w:color="auto" w:sz="4" w:space="0"/>
            </w:tcBorders>
            <w:vAlign w:val="center"/>
          </w:tcPr>
          <w:p>
            <w:pPr>
              <w:widowControl/>
              <w:spacing w:line="400" w:lineRule="exact"/>
              <w:jc w:val="left"/>
              <w:rPr>
                <w:rFonts w:ascii="宋体" w:hAnsi="宋体" w:cs="宋体"/>
                <w:color w:val="auto"/>
                <w:szCs w:val="21"/>
                <w:highlight w:val="none"/>
              </w:rPr>
            </w:pP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投标地点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860" w:type="dxa"/>
            <w:vMerge w:val="continue"/>
            <w:tcBorders>
              <w:top w:val="single" w:color="auto" w:sz="4" w:space="0"/>
              <w:left w:val="single" w:color="auto" w:sz="4" w:space="0"/>
              <w:bottom w:val="nil"/>
              <w:right w:val="single" w:color="auto" w:sz="4" w:space="0"/>
            </w:tcBorders>
            <w:vAlign w:val="center"/>
          </w:tcPr>
          <w:p>
            <w:pPr>
              <w:widowControl/>
              <w:spacing w:line="400" w:lineRule="exact"/>
              <w:jc w:val="left"/>
              <w:rPr>
                <w:rFonts w:ascii="宋体" w:hAnsi="宋体" w:cs="宋体"/>
                <w:color w:val="auto"/>
                <w:szCs w:val="21"/>
                <w:highlight w:val="none"/>
              </w:rPr>
            </w:pP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投标人递交投标样品截止时间及地点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bCs/>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23</w:t>
            </w: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bookmarkStart w:id="93" w:name="_23"/>
            <w:bookmarkEnd w:id="93"/>
            <w:r>
              <w:rPr>
                <w:rFonts w:hint="eastAsia" w:ascii="宋体" w:hAnsi="宋体" w:cs="宋体"/>
                <w:color w:val="auto"/>
                <w:szCs w:val="21"/>
                <w:highlight w:val="none"/>
              </w:rPr>
              <w:t>开标时间、地点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详见招标公告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15" w:hRule="atLeast"/>
        </w:trPr>
        <w:tc>
          <w:tcPr>
            <w:tcW w:w="86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25.3（2）</w:t>
            </w: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bookmarkStart w:id="94" w:name="_25.3"/>
            <w:bookmarkEnd w:id="94"/>
            <w:r>
              <w:rPr>
                <w:rFonts w:hint="eastAsia" w:ascii="宋体" w:hAnsi="宋体" w:cs="宋体"/>
                <w:color w:val="auto"/>
                <w:szCs w:val="21"/>
                <w:highlight w:val="none"/>
              </w:rPr>
              <w:t>投标人信用查询渠道</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采购人或者采购代理机构在资格审查结束前，对投标人进行信用查询。</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查询渠道：“信用中国”网站(www.creditchina.gov.cn) 、中国政府采购网(www.ccgp.gov.cn)。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3"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auto"/>
                <w:szCs w:val="21"/>
                <w:highlight w:val="none"/>
              </w:rPr>
            </w:pP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信用查询截止时点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资格审查结束前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auto"/>
                <w:szCs w:val="21"/>
                <w:highlight w:val="none"/>
              </w:rPr>
            </w:pP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查询记录和证据留存方式</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在查询网站中直接截图查询记录，截图作为附件在广西政府采购云平台上传保存。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auto"/>
                <w:szCs w:val="21"/>
                <w:highlight w:val="none"/>
              </w:rPr>
            </w:pP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信用信息使用规则</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对在“信用中国”网站(www.creditchina.gov.cn) 、中国政府采购网(www.ccgp.gov.cn)被列入失信被执行人、重大税收违法失信主体、政府采购严重违法失信行为记录名单及其他不符合《中华人民共和国政府采购法》第二十二条规定条件的供应商，采购人或者采购代理机构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29.1</w:t>
            </w: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bookmarkStart w:id="95" w:name="_26"/>
            <w:bookmarkEnd w:id="95"/>
            <w:bookmarkStart w:id="96" w:name="_28.3"/>
            <w:bookmarkEnd w:id="96"/>
            <w:r>
              <w:rPr>
                <w:rFonts w:hint="eastAsia" w:ascii="宋体" w:hAnsi="宋体" w:cs="宋体"/>
                <w:color w:val="auto"/>
                <w:szCs w:val="21"/>
                <w:highlight w:val="none"/>
              </w:rPr>
              <w:t>评标方法</w:t>
            </w:r>
          </w:p>
        </w:tc>
        <w:tc>
          <w:tcPr>
            <w:tcW w:w="729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color w:val="auto"/>
                <w:szCs w:val="21"/>
                <w:highlight w:val="none"/>
              </w:rPr>
            </w:pPr>
            <w:r>
              <w:rPr>
                <w:rFonts w:hint="eastAsia" w:ascii="宋体" w:hAnsi="宋体" w:cs="宋体"/>
                <w:color w:val="auto"/>
                <w:szCs w:val="21"/>
                <w:highlight w:val="none"/>
              </w:rPr>
              <w:t>☑ 综合评分法</w:t>
            </w:r>
          </w:p>
          <w:p>
            <w:pPr>
              <w:autoSpaceDE w:val="0"/>
              <w:autoSpaceDN w:val="0"/>
              <w:snapToGrid w:val="0"/>
              <w:spacing w:line="400" w:lineRule="exact"/>
              <w:textAlignment w:val="bottom"/>
              <w:rPr>
                <w:rFonts w:ascii="宋体" w:hAnsi="宋体" w:cs="宋体"/>
                <w:color w:val="auto"/>
                <w:szCs w:val="21"/>
                <w:highlight w:val="none"/>
              </w:rPr>
            </w:pPr>
            <w:r>
              <w:rPr>
                <w:rFonts w:hint="eastAsia" w:ascii="宋体" w:hAnsi="宋体" w:cs="宋体"/>
                <w:color w:val="auto"/>
                <w:szCs w:val="21"/>
                <w:highlight w:val="none"/>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trPr>
        <w:tc>
          <w:tcPr>
            <w:tcW w:w="860" w:type="dxa"/>
            <w:tcBorders>
              <w:top w:val="single" w:color="auto" w:sz="4" w:space="0"/>
              <w:left w:val="single" w:color="auto" w:sz="4" w:space="0"/>
              <w:bottom w:val="nil"/>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29.2</w:t>
            </w:r>
          </w:p>
        </w:tc>
        <w:tc>
          <w:tcPr>
            <w:tcW w:w="2083" w:type="dxa"/>
            <w:tcBorders>
              <w:top w:val="single" w:color="auto" w:sz="4" w:space="0"/>
              <w:left w:val="single" w:color="auto" w:sz="4" w:space="0"/>
              <w:bottom w:val="nil"/>
              <w:right w:val="single" w:color="auto" w:sz="4" w:space="0"/>
            </w:tcBorders>
            <w:vAlign w:val="center"/>
          </w:tcPr>
          <w:p>
            <w:pPr>
              <w:spacing w:line="400" w:lineRule="exact"/>
              <w:rPr>
                <w:rFonts w:ascii="宋体" w:hAnsi="宋体" w:cs="宋体"/>
                <w:color w:val="auto"/>
                <w:szCs w:val="21"/>
                <w:highlight w:val="none"/>
              </w:rPr>
            </w:pPr>
            <w:bookmarkStart w:id="97" w:name="_29.2.2（2）"/>
            <w:bookmarkEnd w:id="97"/>
            <w:r>
              <w:rPr>
                <w:rFonts w:hint="eastAsia" w:ascii="宋体" w:hAnsi="宋体" w:cs="宋体"/>
                <w:color w:val="auto"/>
                <w:szCs w:val="21"/>
                <w:highlight w:val="none"/>
              </w:rPr>
              <w:t>允许负偏离项</w:t>
            </w:r>
          </w:p>
        </w:tc>
        <w:tc>
          <w:tcPr>
            <w:tcW w:w="7297" w:type="dxa"/>
            <w:tcBorders>
              <w:top w:val="single" w:color="auto" w:sz="4" w:space="0"/>
              <w:left w:val="single" w:color="auto" w:sz="4" w:space="0"/>
              <w:bottom w:val="nil"/>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商务条款评审中允许负偏离的条款数为</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0</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技术需求评审中允许负偏离的条款数为</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3</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项以下（含）。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30.1</w:t>
            </w:r>
          </w:p>
        </w:tc>
        <w:tc>
          <w:tcPr>
            <w:tcW w:w="208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color w:val="auto"/>
                <w:szCs w:val="21"/>
                <w:highlight w:val="none"/>
              </w:rPr>
            </w:pPr>
            <w:r>
              <w:rPr>
                <w:rFonts w:hint="eastAsia" w:ascii="宋体" w:hAnsi="宋体" w:cs="宋体"/>
                <w:color w:val="auto"/>
                <w:szCs w:val="21"/>
                <w:highlight w:val="none"/>
              </w:rPr>
              <w:t xml:space="preserve">确定中标人时，出现中标候选人排名并列的情形，确定中标人方式 </w:t>
            </w:r>
          </w:p>
        </w:tc>
        <w:tc>
          <w:tcPr>
            <w:tcW w:w="729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b/>
                <w:bCs/>
                <w:color w:val="auto"/>
                <w:szCs w:val="21"/>
                <w:highlight w:val="none"/>
              </w:rPr>
            </w:pPr>
            <w:r>
              <w:rPr>
                <w:rFonts w:hint="eastAsia" w:ascii="宋体" w:hAnsi="宋体" w:cs="宋体"/>
                <w:color w:val="auto"/>
                <w:szCs w:val="21"/>
                <w:highlight w:val="none"/>
              </w:rPr>
              <w:t>采购人确定中标人时，出现中标候选人并列的情形，采购人按以下的方式确定中标人：</w:t>
            </w:r>
          </w:p>
          <w:p>
            <w:pPr>
              <w:autoSpaceDE w:val="0"/>
              <w:autoSpaceDN w:val="0"/>
              <w:snapToGrid w:val="0"/>
              <w:spacing w:line="400" w:lineRule="exact"/>
              <w:textAlignment w:val="bottom"/>
              <w:rPr>
                <w:rFonts w:ascii="宋体" w:hAnsi="宋体" w:cs="宋体"/>
                <w:b/>
                <w:bCs/>
                <w:i/>
                <w:iCs/>
                <w:color w:val="auto"/>
                <w:szCs w:val="21"/>
                <w:highlight w:val="none"/>
              </w:rPr>
            </w:pPr>
            <w:r>
              <w:rPr>
                <w:rFonts w:hint="eastAsia" w:ascii="宋体" w:hAnsi="宋体" w:cs="宋体"/>
                <w:color w:val="auto"/>
                <w:szCs w:val="21"/>
                <w:highlight w:val="none"/>
              </w:rPr>
              <w:t>☑ 政策分得分高的优先、技术分得分高的优先、商务分得分高的优先、项目质保期长优先、交货期短优先、故障响应时间短优先的顺序。</w:t>
            </w:r>
          </w:p>
          <w:p>
            <w:pPr>
              <w:autoSpaceDE w:val="0"/>
              <w:autoSpaceDN w:val="0"/>
              <w:snapToGrid w:val="0"/>
              <w:spacing w:line="400" w:lineRule="exact"/>
              <w:textAlignment w:val="bottom"/>
              <w:rPr>
                <w:rFonts w:ascii="宋体" w:hAnsi="宋体" w:cs="宋体"/>
                <w:b/>
                <w:color w:val="auto"/>
                <w:szCs w:val="21"/>
                <w:highlight w:val="none"/>
              </w:rPr>
            </w:pPr>
            <w:r>
              <w:rPr>
                <w:rFonts w:hint="eastAsia" w:ascii="宋体" w:hAnsi="宋体" w:cs="宋体"/>
                <w:color w:val="auto"/>
                <w:szCs w:val="21"/>
                <w:highlight w:val="none"/>
              </w:rPr>
              <w:t>□采取随机抽取的方式确定。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35</w:t>
            </w: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bookmarkStart w:id="98" w:name="_39.1"/>
            <w:bookmarkEnd w:id="98"/>
            <w:r>
              <w:rPr>
                <w:rFonts w:hint="eastAsia" w:ascii="宋体" w:hAnsi="宋体" w:cs="宋体"/>
                <w:color w:val="auto"/>
                <w:szCs w:val="21"/>
                <w:highlight w:val="none"/>
              </w:rPr>
              <w:t>履约保证金金额</w:t>
            </w:r>
          </w:p>
        </w:tc>
        <w:tc>
          <w:tcPr>
            <w:tcW w:w="7297"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宋体" w:cs="宋体"/>
                <w:b/>
                <w:bCs/>
                <w:color w:val="auto"/>
                <w:szCs w:val="21"/>
                <w:highlight w:val="none"/>
              </w:rPr>
            </w:pPr>
            <w:r>
              <w:rPr>
                <w:rFonts w:hint="eastAsia" w:ascii="宋体" w:hAnsi="宋体" w:cs="宋体"/>
                <w:b/>
                <w:bCs/>
                <w:color w:val="auto"/>
                <w:szCs w:val="21"/>
                <w:highlight w:val="none"/>
              </w:rPr>
              <w:t>☑本项目不需要缴</w:t>
            </w:r>
            <w:r>
              <w:rPr>
                <w:rFonts w:hint="eastAsia" w:ascii="宋体" w:hAnsi="宋体" w:cs="宋体"/>
                <w:b/>
                <w:bCs/>
                <w:color w:val="auto"/>
                <w:kern w:val="0"/>
                <w:szCs w:val="21"/>
                <w:highlight w:val="none"/>
              </w:rPr>
              <w:t>纳</w:t>
            </w:r>
            <w:r>
              <w:rPr>
                <w:rFonts w:hint="eastAsia" w:ascii="宋体" w:hAnsi="宋体" w:cs="宋体"/>
                <w:b/>
                <w:bCs/>
                <w:color w:val="auto"/>
                <w:szCs w:val="21"/>
                <w:highlight w:val="none"/>
              </w:rPr>
              <w:t>履约保证金。</w:t>
            </w:r>
          </w:p>
          <w:p>
            <w:pPr>
              <w:spacing w:line="400" w:lineRule="exact"/>
              <w:rPr>
                <w:rFonts w:ascii="宋体" w:hAnsi="宋体" w:cs="宋体"/>
                <w:b/>
                <w:bCs/>
                <w:color w:val="auto"/>
                <w:szCs w:val="21"/>
                <w:highlight w:val="none"/>
              </w:rPr>
            </w:pPr>
            <w:r>
              <w:rPr>
                <w:rFonts w:hint="eastAsia" w:ascii="宋体" w:hAnsi="宋体" w:cs="宋体"/>
                <w:b/>
                <w:bCs/>
                <w:color w:val="auto"/>
                <w:szCs w:val="21"/>
                <w:highlight w:val="none"/>
              </w:rPr>
              <w:t>□本项目需要缴</w:t>
            </w:r>
            <w:r>
              <w:rPr>
                <w:rFonts w:hint="eastAsia" w:ascii="宋体" w:hAnsi="宋体" w:cs="宋体"/>
                <w:b/>
                <w:bCs/>
                <w:color w:val="auto"/>
                <w:kern w:val="0"/>
                <w:szCs w:val="21"/>
                <w:highlight w:val="none"/>
              </w:rPr>
              <w:t>纳</w:t>
            </w:r>
            <w:r>
              <w:rPr>
                <w:rFonts w:hint="eastAsia" w:ascii="宋体" w:hAnsi="宋体" w:cs="宋体"/>
                <w:b/>
                <w:bCs/>
                <w:color w:val="auto"/>
                <w:szCs w:val="21"/>
                <w:highlight w:val="none"/>
              </w:rPr>
              <w:t>履约保证金，相关要求如下：</w:t>
            </w:r>
          </w:p>
          <w:p>
            <w:pPr>
              <w:numPr>
                <w:ilvl w:val="0"/>
                <w:numId w:val="4"/>
              </w:numPr>
              <w:autoSpaceDE w:val="0"/>
              <w:autoSpaceDN w:val="0"/>
              <w:snapToGrid w:val="0"/>
              <w:spacing w:line="400" w:lineRule="exact"/>
              <w:textAlignment w:val="bottom"/>
              <w:rPr>
                <w:rFonts w:ascii="宋体" w:hAnsi="宋体" w:cs="宋体"/>
                <w:color w:val="auto"/>
                <w:szCs w:val="21"/>
                <w:highlight w:val="none"/>
              </w:rPr>
            </w:pPr>
            <w:r>
              <w:rPr>
                <w:rFonts w:hint="eastAsia" w:ascii="宋体" w:hAnsi="宋体" w:cs="宋体"/>
                <w:color w:val="auto"/>
                <w:szCs w:val="21"/>
                <w:highlight w:val="none"/>
              </w:rPr>
              <w:t>履约保证金金额：中标人为中小微企业的，履约保证金为合同金额的2%，大型企业的履约保证金为合同金额的5%（以响应文件中提交的中小企业声明函为依据）；签订合同前交至指定账户，否则不予签订合同。。</w:t>
            </w:r>
          </w:p>
          <w:p>
            <w:pPr>
              <w:autoSpaceDE w:val="0"/>
              <w:autoSpaceDN w:val="0"/>
              <w:snapToGrid w:val="0"/>
              <w:spacing w:line="400" w:lineRule="exact"/>
              <w:textAlignment w:val="bottom"/>
              <w:rPr>
                <w:rFonts w:ascii="宋体" w:hAnsi="宋体" w:cs="宋体"/>
                <w:color w:val="auto"/>
                <w:szCs w:val="21"/>
                <w:highlight w:val="none"/>
              </w:rPr>
            </w:pPr>
            <w:r>
              <w:rPr>
                <w:rFonts w:hint="eastAsia" w:ascii="宋体" w:hAnsi="宋体" w:cs="宋体"/>
                <w:color w:val="auto"/>
                <w:szCs w:val="21"/>
                <w:highlight w:val="none"/>
              </w:rPr>
              <w:t>2.履约保证金递交方式：中标人在</w:t>
            </w:r>
            <w:r>
              <w:rPr>
                <w:rFonts w:hint="eastAsia" w:ascii="宋体" w:hAnsi="宋体" w:cs="宋体"/>
                <w:color w:val="auto"/>
                <w:kern w:val="0"/>
                <w:szCs w:val="21"/>
                <w:highlight w:val="none"/>
                <w:u w:val="single"/>
              </w:rPr>
              <w:t>签订合同</w:t>
            </w:r>
            <w:r>
              <w:rPr>
                <w:rFonts w:hint="eastAsia" w:ascii="宋体" w:hAnsi="宋体" w:cs="宋体"/>
                <w:color w:val="auto"/>
                <w:szCs w:val="21"/>
                <w:highlight w:val="none"/>
                <w:u w:val="single"/>
              </w:rPr>
              <w:t>前</w:t>
            </w:r>
            <w:r>
              <w:rPr>
                <w:rFonts w:hint="eastAsia" w:ascii="宋体" w:hAnsi="宋体" w:cs="宋体"/>
                <w:color w:val="auto"/>
                <w:szCs w:val="21"/>
                <w:highlight w:val="none"/>
              </w:rPr>
              <w:t>以银行转账、支票、汇票、本票或者金融机构、担保机构出具的保函等非现金方式向</w:t>
            </w:r>
            <w:r>
              <w:rPr>
                <w:rFonts w:hint="eastAsia" w:ascii="宋体" w:hAnsi="宋体" w:cs="宋体"/>
                <w:color w:val="auto"/>
                <w:szCs w:val="21"/>
                <w:highlight w:val="none"/>
                <w:u w:val="single"/>
              </w:rPr>
              <w:t>采购人</w:t>
            </w:r>
            <w:r>
              <w:rPr>
                <w:rFonts w:hint="eastAsia" w:ascii="宋体" w:hAnsi="宋体" w:cs="宋体"/>
                <w:color w:val="auto"/>
                <w:szCs w:val="21"/>
                <w:highlight w:val="none"/>
              </w:rPr>
              <w:t>提交。</w:t>
            </w:r>
          </w:p>
          <w:p>
            <w:pPr>
              <w:autoSpaceDE w:val="0"/>
              <w:autoSpaceDN w:val="0"/>
              <w:snapToGrid w:val="0"/>
              <w:spacing w:line="400" w:lineRule="exact"/>
              <w:textAlignment w:val="bottom"/>
              <w:rPr>
                <w:rFonts w:ascii="宋体" w:hAnsi="宋体" w:cs="宋体"/>
                <w:color w:val="auto"/>
                <w:szCs w:val="21"/>
                <w:highlight w:val="none"/>
                <w:u w:val="single"/>
              </w:rPr>
            </w:pPr>
            <w:r>
              <w:rPr>
                <w:rFonts w:hint="eastAsia" w:ascii="宋体" w:hAnsi="宋体" w:cs="宋体"/>
                <w:color w:val="auto"/>
                <w:szCs w:val="21"/>
                <w:highlight w:val="none"/>
              </w:rPr>
              <w:t>3.履约保证金退付方式、时间及条件：</w:t>
            </w:r>
            <w:r>
              <w:rPr>
                <w:rFonts w:hint="eastAsia" w:ascii="宋体" w:hAnsi="宋体" w:cs="宋体"/>
                <w:color w:val="auto"/>
                <w:szCs w:val="21"/>
                <w:highlight w:val="none"/>
                <w:u w:val="single"/>
              </w:rPr>
              <w:t>项目验收合格后，中标人提供《政府采购项目履约保证金退付意见书》及《政府采购项目合同验收报告》，向采购人提出书面申请退还，采购人在5个工作日内办理履约保证金退还手续。</w:t>
            </w:r>
          </w:p>
          <w:p>
            <w:pPr>
              <w:autoSpaceDE w:val="0"/>
              <w:autoSpaceDN w:val="0"/>
              <w:snapToGrid w:val="0"/>
              <w:spacing w:line="400" w:lineRule="exact"/>
              <w:textAlignment w:val="bottom"/>
              <w:rPr>
                <w:rFonts w:ascii="宋体" w:hAnsi="宋体" w:cs="宋体"/>
                <w:color w:val="auto"/>
                <w:szCs w:val="21"/>
                <w:highlight w:val="none"/>
              </w:rPr>
            </w:pPr>
            <w:r>
              <w:rPr>
                <w:rFonts w:hint="eastAsia" w:ascii="宋体" w:hAnsi="宋体" w:cs="宋体"/>
                <w:color w:val="auto"/>
                <w:szCs w:val="21"/>
                <w:highlight w:val="none"/>
              </w:rPr>
              <w:t>4.缴纳履约保证金的指定账户：</w:t>
            </w:r>
          </w:p>
          <w:p>
            <w:pPr>
              <w:autoSpaceDE w:val="0"/>
              <w:autoSpaceDN w:val="0"/>
              <w:snapToGrid w:val="0"/>
              <w:spacing w:line="400" w:lineRule="exact"/>
              <w:textAlignment w:val="bottom"/>
              <w:rPr>
                <w:rFonts w:ascii="宋体" w:hAnsi="宋体" w:cs="宋体"/>
                <w:color w:val="auto"/>
                <w:szCs w:val="21"/>
                <w:highlight w:val="none"/>
              </w:rPr>
            </w:pPr>
            <w:r>
              <w:rPr>
                <w:rFonts w:hint="eastAsia" w:ascii="宋体" w:hAnsi="宋体" w:cs="宋体"/>
                <w:color w:val="auto"/>
                <w:szCs w:val="21"/>
                <w:highlight w:val="none"/>
              </w:rPr>
              <w:t>开户名称：广西医科大学</w:t>
            </w:r>
          </w:p>
          <w:p>
            <w:pPr>
              <w:autoSpaceDE w:val="0"/>
              <w:autoSpaceDN w:val="0"/>
              <w:snapToGrid w:val="0"/>
              <w:spacing w:line="400" w:lineRule="exact"/>
              <w:textAlignment w:val="bottom"/>
              <w:rPr>
                <w:rFonts w:ascii="宋体" w:hAnsi="宋体" w:cs="宋体"/>
                <w:color w:val="auto"/>
                <w:szCs w:val="21"/>
                <w:highlight w:val="none"/>
              </w:rPr>
            </w:pPr>
            <w:r>
              <w:rPr>
                <w:rFonts w:hint="eastAsia" w:ascii="宋体" w:hAnsi="宋体" w:cs="宋体"/>
                <w:color w:val="auto"/>
                <w:szCs w:val="21"/>
                <w:highlight w:val="none"/>
              </w:rPr>
              <w:t>开户银行：中行南宁市医科大支行</w:t>
            </w:r>
          </w:p>
          <w:p>
            <w:pPr>
              <w:spacing w:line="400" w:lineRule="exact"/>
              <w:jc w:val="left"/>
              <w:rPr>
                <w:rFonts w:ascii="宋体" w:hAnsi="宋体" w:cs="宋体"/>
                <w:color w:val="auto"/>
                <w:szCs w:val="21"/>
                <w:highlight w:val="none"/>
              </w:rPr>
            </w:pPr>
            <w:r>
              <w:rPr>
                <w:rFonts w:hint="eastAsia" w:ascii="宋体" w:hAnsi="宋体" w:cs="宋体"/>
                <w:color w:val="auto"/>
                <w:szCs w:val="21"/>
                <w:highlight w:val="none"/>
              </w:rPr>
              <w:t>银行账号：622357485287000003</w:t>
            </w:r>
          </w:p>
          <w:p>
            <w:pPr>
              <w:spacing w:line="400" w:lineRule="exact"/>
              <w:jc w:val="left"/>
              <w:rPr>
                <w:rFonts w:ascii="宋体" w:hAnsi="宋体" w:cs="宋体"/>
                <w:color w:val="auto"/>
                <w:szCs w:val="21"/>
                <w:highlight w:val="none"/>
              </w:rPr>
            </w:pPr>
            <w:r>
              <w:rPr>
                <w:rFonts w:hint="eastAsia" w:ascii="宋体" w:hAnsi="宋体" w:cs="宋体"/>
                <w:color w:val="auto"/>
                <w:szCs w:val="21"/>
                <w:highlight w:val="none"/>
              </w:rPr>
              <w:t>备注：</w:t>
            </w:r>
          </w:p>
          <w:p>
            <w:pPr>
              <w:spacing w:line="400" w:lineRule="exact"/>
              <w:jc w:val="left"/>
              <w:rPr>
                <w:rFonts w:ascii="宋体" w:hAnsi="宋体" w:cs="宋体"/>
                <w:b/>
                <w:color w:val="auto"/>
                <w:szCs w:val="21"/>
                <w:highlight w:val="none"/>
              </w:rPr>
            </w:pPr>
            <w:r>
              <w:rPr>
                <w:rFonts w:hint="eastAsia" w:ascii="宋体" w:hAnsi="宋体" w:cs="宋体"/>
                <w:b/>
                <w:color w:val="auto"/>
                <w:szCs w:val="21"/>
                <w:highlight w:val="none"/>
              </w:rPr>
              <w:t>1</w:t>
            </w:r>
            <w:bookmarkStart w:id="99" w:name="_Hlk54170335"/>
            <w:r>
              <w:rPr>
                <w:rFonts w:hint="eastAsia" w:ascii="宋体" w:hAnsi="宋体" w:cs="宋体"/>
                <w:b/>
                <w:color w:val="auto"/>
                <w:szCs w:val="21"/>
                <w:highlight w:val="none"/>
              </w:rPr>
              <w:t>、根据</w:t>
            </w:r>
            <w:r>
              <w:rPr>
                <w:rFonts w:hint="eastAsia" w:ascii="宋体" w:hAnsi="宋体"/>
                <w:b/>
                <w:color w:val="auto"/>
                <w:szCs w:val="21"/>
                <w:highlight w:val="none"/>
              </w:rPr>
              <w:t>《广西壮族自治区财政厅关于贯彻落实政府采购优化营商环境百日攻坚行动方案的通知》（桂财采〔2020〕49号）和</w:t>
            </w:r>
            <w:r>
              <w:rPr>
                <w:rFonts w:hint="eastAsia" w:ascii="宋体" w:hAnsi="宋体" w:cs="宋体"/>
                <w:b/>
                <w:color w:val="auto"/>
                <w:szCs w:val="21"/>
                <w:highlight w:val="none"/>
              </w:rPr>
              <w:t>《广西壮族自治区财政厅关于规范政府采购货物和服务项目保证金管理的通知》（桂财规〔2022〕8号）规定，鼓励采购人在与中小微企业签订政府采购合同时，减少或免于收取履约保证金，有必要收取履约保证金的，收取的履约保证金不得超过政府采购合同金额的5%，对中小企业收取的履约保证金数额不得超过政府采购合同金额的2%。</w:t>
            </w:r>
            <w:bookmarkEnd w:id="99"/>
            <w:r>
              <w:rPr>
                <w:rFonts w:hint="eastAsia" w:ascii="宋体" w:hAnsi="宋体" w:cs="宋体"/>
                <w:b/>
                <w:color w:val="auto"/>
                <w:szCs w:val="21"/>
                <w:highlight w:val="none"/>
              </w:rPr>
              <w:br w:type="textWrapping"/>
            </w:r>
            <w:r>
              <w:rPr>
                <w:rFonts w:hint="eastAsia" w:ascii="宋体" w:hAnsi="宋体" w:cs="宋体"/>
                <w:b/>
                <w:color w:val="auto"/>
                <w:szCs w:val="21"/>
                <w:highlight w:val="none"/>
              </w:rPr>
              <w:t>2、履约保证金不足额缴纳的（包含保函额度不足的），或者不按规定提交方式提交的，或者保函有效期低于合同履行期限（即合同中规定的当事人履行自己的义务，如交付标的物、价款或者报酬，履行劳务、完成工作的时间界限）的，不予签订合同。</w:t>
            </w:r>
            <w:r>
              <w:rPr>
                <w:rFonts w:hint="eastAsia" w:ascii="宋体" w:hAnsi="宋体" w:cs="宋体"/>
                <w:b/>
                <w:color w:val="auto"/>
                <w:szCs w:val="21"/>
                <w:highlight w:val="none"/>
              </w:rPr>
              <w:br w:type="textWrapping"/>
            </w:r>
            <w:r>
              <w:rPr>
                <w:rFonts w:hint="eastAsia" w:ascii="宋体" w:hAnsi="宋体" w:cs="宋体"/>
                <w:b/>
                <w:color w:val="auto"/>
                <w:szCs w:val="21"/>
                <w:highlight w:val="none"/>
              </w:rPr>
              <w:t>3、采用金融、担保机构出具的保函的，必须为无条件保函，否则不予签订合同。</w:t>
            </w:r>
          </w:p>
          <w:p>
            <w:pPr>
              <w:autoSpaceDE w:val="0"/>
              <w:autoSpaceDN w:val="0"/>
              <w:snapToGrid w:val="0"/>
              <w:spacing w:line="400" w:lineRule="exact"/>
              <w:jc w:val="left"/>
              <w:textAlignment w:val="bottom"/>
              <w:rPr>
                <w:rFonts w:ascii="宋体" w:hAnsi="宋体" w:cs="宋体"/>
                <w:color w:val="auto"/>
                <w:szCs w:val="21"/>
                <w:highlight w:val="none"/>
              </w:rPr>
            </w:pPr>
            <w:r>
              <w:rPr>
                <w:rFonts w:hint="eastAsia" w:ascii="宋体" w:hAnsi="宋体" w:cs="宋体"/>
                <w:b/>
                <w:color w:val="auto"/>
                <w:szCs w:val="21"/>
                <w:highlight w:val="none"/>
              </w:rPr>
              <w:t>4、投标人为联合体的，由联合体其中一方按规定提交的履约保证金，视为有效履约保证金。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36.1</w:t>
            </w: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bookmarkStart w:id="100" w:name="_40.1"/>
            <w:bookmarkEnd w:id="100"/>
            <w:r>
              <w:rPr>
                <w:rFonts w:hint="eastAsia" w:ascii="宋体" w:hAnsi="宋体" w:cs="宋体"/>
                <w:color w:val="auto"/>
                <w:szCs w:val="21"/>
                <w:highlight w:val="none"/>
              </w:rPr>
              <w:t>签订合同携带的材料</w:t>
            </w:r>
          </w:p>
        </w:tc>
        <w:tc>
          <w:tcPr>
            <w:tcW w:w="729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color w:val="auto"/>
                <w:szCs w:val="21"/>
                <w:highlight w:val="none"/>
              </w:rPr>
            </w:pPr>
            <w:r>
              <w:rPr>
                <w:rFonts w:hint="eastAsia" w:ascii="宋体" w:hAnsi="宋体" w:cs="宋体"/>
                <w:color w:val="auto"/>
                <w:szCs w:val="21"/>
                <w:highlight w:val="none"/>
              </w:rPr>
              <w:t>委托代理人负责签订合同的，须携带有效的法定代表人授权委托书及其委托代理人身份证原件等其他资格证件。</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法定代表人负责签订合同的，须携带法定代表人身份证明原件及身份证原件等其他证明材料。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1" w:hRule="atLeast"/>
        </w:trPr>
        <w:tc>
          <w:tcPr>
            <w:tcW w:w="86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38.2.1</w:t>
            </w: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接收质疑函方式</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以书面形式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auto"/>
                <w:szCs w:val="21"/>
                <w:highlight w:val="none"/>
              </w:rPr>
            </w:pP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质疑联系部门及联系方式</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（1）名称：广西医科大学</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联系电话：</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通讯地址：</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（2）名称：广西科联招标中心有限公司</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联系电话： 0771-3486228</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通讯地址：广西南宁市大学东路170号广西科联招标中心有限公司（采购代理机构）三楼307室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auto"/>
                <w:szCs w:val="21"/>
                <w:highlight w:val="none"/>
              </w:rPr>
            </w:pP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现场提交质疑办理业务时间</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质疑期内每个工作日（北京时间）上午</w:t>
            </w:r>
            <w:r>
              <w:rPr>
                <w:rFonts w:hint="eastAsia" w:ascii="宋体" w:hAnsi="宋体" w:cs="宋体"/>
                <w:color w:val="auto"/>
                <w:szCs w:val="21"/>
                <w:highlight w:val="none"/>
                <w:u w:val="single"/>
              </w:rPr>
              <w:t>8</w:t>
            </w:r>
            <w:r>
              <w:rPr>
                <w:rFonts w:hint="eastAsia" w:ascii="宋体" w:hAnsi="宋体" w:cs="宋体"/>
                <w:color w:val="auto"/>
                <w:szCs w:val="21"/>
                <w:highlight w:val="none"/>
              </w:rPr>
              <w:t>时</w:t>
            </w:r>
            <w:r>
              <w:rPr>
                <w:rFonts w:hint="eastAsia" w:ascii="宋体" w:hAnsi="宋体" w:cs="宋体"/>
                <w:color w:val="auto"/>
                <w:szCs w:val="21"/>
                <w:highlight w:val="none"/>
                <w:u w:val="single"/>
              </w:rPr>
              <w:t>00</w:t>
            </w:r>
            <w:r>
              <w:rPr>
                <w:rFonts w:hint="eastAsia" w:ascii="宋体" w:hAnsi="宋体" w:cs="宋体"/>
                <w:color w:val="auto"/>
                <w:szCs w:val="21"/>
                <w:highlight w:val="none"/>
              </w:rPr>
              <w:t>分到</w:t>
            </w:r>
            <w:r>
              <w:rPr>
                <w:rFonts w:hint="eastAsia" w:ascii="宋体" w:hAnsi="宋体" w:cs="宋体"/>
                <w:color w:val="auto"/>
                <w:szCs w:val="21"/>
                <w:highlight w:val="none"/>
                <w:u w:val="single"/>
              </w:rPr>
              <w:t>12</w:t>
            </w:r>
            <w:r>
              <w:rPr>
                <w:rFonts w:hint="eastAsia" w:ascii="宋体" w:hAnsi="宋体" w:cs="宋体"/>
                <w:color w:val="auto"/>
                <w:szCs w:val="21"/>
                <w:highlight w:val="none"/>
              </w:rPr>
              <w:t>时</w:t>
            </w:r>
            <w:r>
              <w:rPr>
                <w:rFonts w:hint="eastAsia" w:ascii="宋体" w:hAnsi="宋体" w:cs="宋体"/>
                <w:color w:val="auto"/>
                <w:szCs w:val="21"/>
                <w:highlight w:val="none"/>
                <w:u w:val="single"/>
              </w:rPr>
              <w:t>00</w:t>
            </w:r>
            <w:r>
              <w:rPr>
                <w:rFonts w:hint="eastAsia" w:ascii="宋体" w:hAnsi="宋体" w:cs="宋体"/>
                <w:color w:val="auto"/>
                <w:szCs w:val="21"/>
                <w:highlight w:val="none"/>
              </w:rPr>
              <w:t>分，下午</w:t>
            </w:r>
            <w:r>
              <w:rPr>
                <w:rFonts w:hint="eastAsia" w:ascii="宋体" w:hAnsi="宋体" w:cs="宋体"/>
                <w:color w:val="auto"/>
                <w:szCs w:val="21"/>
                <w:highlight w:val="none"/>
                <w:u w:val="single"/>
              </w:rPr>
              <w:t>15</w:t>
            </w:r>
            <w:r>
              <w:rPr>
                <w:rFonts w:hint="eastAsia" w:ascii="宋体" w:hAnsi="宋体" w:cs="宋体"/>
                <w:color w:val="auto"/>
                <w:szCs w:val="21"/>
                <w:highlight w:val="none"/>
              </w:rPr>
              <w:t>时</w:t>
            </w:r>
            <w:r>
              <w:rPr>
                <w:rFonts w:hint="eastAsia" w:ascii="宋体" w:hAnsi="宋体" w:cs="宋体"/>
                <w:color w:val="auto"/>
                <w:szCs w:val="21"/>
                <w:highlight w:val="none"/>
                <w:u w:val="single"/>
              </w:rPr>
              <w:t>00</w:t>
            </w:r>
            <w:r>
              <w:rPr>
                <w:rFonts w:hint="eastAsia" w:ascii="宋体" w:hAnsi="宋体" w:cs="宋体"/>
                <w:color w:val="auto"/>
                <w:szCs w:val="21"/>
                <w:highlight w:val="none"/>
              </w:rPr>
              <w:t>分到</w:t>
            </w:r>
            <w:r>
              <w:rPr>
                <w:rFonts w:hint="eastAsia" w:ascii="宋体" w:hAnsi="宋体" w:cs="宋体"/>
                <w:color w:val="auto"/>
                <w:szCs w:val="21"/>
                <w:highlight w:val="none"/>
                <w:u w:val="single"/>
              </w:rPr>
              <w:t>18</w:t>
            </w:r>
            <w:r>
              <w:rPr>
                <w:rFonts w:hint="eastAsia" w:ascii="宋体" w:hAnsi="宋体" w:cs="宋体"/>
                <w:color w:val="auto"/>
                <w:szCs w:val="21"/>
                <w:highlight w:val="none"/>
              </w:rPr>
              <w:t>时</w:t>
            </w:r>
            <w:r>
              <w:rPr>
                <w:rFonts w:hint="eastAsia" w:ascii="宋体" w:hAnsi="宋体" w:cs="宋体"/>
                <w:color w:val="auto"/>
                <w:szCs w:val="21"/>
                <w:highlight w:val="none"/>
                <w:u w:val="single"/>
              </w:rPr>
              <w:t>00</w:t>
            </w:r>
            <w:r>
              <w:rPr>
                <w:rFonts w:hint="eastAsia" w:ascii="宋体" w:hAnsi="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trPr>
        <w:tc>
          <w:tcPr>
            <w:tcW w:w="860" w:type="dxa"/>
            <w:tcBorders>
              <w:top w:val="nil"/>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38.3.1</w:t>
            </w: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投诉受理方式</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1、受理方式：纸质方式受理，投诉书正、副本（经过质疑的事项才可投诉）。</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2、通讯方式</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名称：</w:t>
            </w:r>
            <w:bookmarkStart w:id="101" w:name="PO_3000001867_PM036"/>
            <w:r>
              <w:rPr>
                <w:rFonts w:hint="eastAsia" w:ascii="宋体" w:hAnsi="宋体" w:cs="宋体"/>
                <w:color w:val="auto"/>
                <w:szCs w:val="21"/>
                <w:highlight w:val="none"/>
              </w:rPr>
              <w:t>广西壮族自治区财政厅政府采购监督管理</w:t>
            </w:r>
            <w:bookmarkEnd w:id="101"/>
            <w:r>
              <w:rPr>
                <w:rFonts w:hint="eastAsia" w:ascii="宋体" w:hAnsi="宋体" w:cs="宋体"/>
                <w:color w:val="auto"/>
                <w:szCs w:val="21"/>
                <w:highlight w:val="none"/>
              </w:rPr>
              <w:t>处</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地址：南宁市桃源路69号广西财政大厦7楼</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联系电话：</w:t>
            </w:r>
            <w:bookmarkStart w:id="102" w:name="PO_3000001867_PM038"/>
            <w:r>
              <w:rPr>
                <w:rFonts w:hint="eastAsia" w:ascii="宋体" w:hAnsi="宋体" w:cs="宋体"/>
                <w:color w:val="auto"/>
                <w:szCs w:val="21"/>
                <w:highlight w:val="none"/>
              </w:rPr>
              <w:t>0771-</w:t>
            </w:r>
            <w:bookmarkEnd w:id="102"/>
            <w:r>
              <w:rPr>
                <w:rFonts w:hint="eastAsia" w:ascii="宋体" w:hAnsi="宋体" w:cs="宋体"/>
                <w:color w:val="auto"/>
                <w:szCs w:val="21"/>
                <w:highlight w:val="none"/>
              </w:rPr>
              <w:t>5331544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0" w:hRule="atLeast"/>
        </w:trPr>
        <w:tc>
          <w:tcPr>
            <w:tcW w:w="86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40</w:t>
            </w: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bookmarkStart w:id="103" w:name="_42"/>
            <w:bookmarkEnd w:id="103"/>
            <w:bookmarkStart w:id="104" w:name="_41"/>
            <w:bookmarkEnd w:id="104"/>
            <w:r>
              <w:rPr>
                <w:rFonts w:hint="eastAsia" w:ascii="宋体" w:hAnsi="宋体" w:cs="宋体"/>
                <w:color w:val="auto"/>
                <w:szCs w:val="21"/>
                <w:highlight w:val="none"/>
              </w:rPr>
              <w:t>采购代理服务费支付方式</w:t>
            </w:r>
          </w:p>
        </w:tc>
        <w:tc>
          <w:tcPr>
            <w:tcW w:w="7297" w:type="dxa"/>
            <w:tcBorders>
              <w:top w:val="single" w:color="auto" w:sz="4" w:space="0"/>
              <w:left w:val="single" w:color="auto" w:sz="4" w:space="0"/>
              <w:bottom w:val="single" w:color="auto" w:sz="4" w:space="0"/>
              <w:right w:val="single" w:color="auto" w:sz="4" w:space="0"/>
            </w:tcBorders>
            <w:vAlign w:val="center"/>
          </w:tcPr>
          <w:p>
            <w:pPr>
              <w:pStyle w:val="15"/>
              <w:snapToGrid w:val="0"/>
              <w:spacing w:line="400" w:lineRule="exact"/>
              <w:rPr>
                <w:rFonts w:hAnsi="宋体" w:cs="宋体"/>
                <w:color w:val="auto"/>
                <w:szCs w:val="21"/>
                <w:highlight w:val="none"/>
              </w:rPr>
            </w:pPr>
            <w:r>
              <w:rPr>
                <w:rFonts w:hint="eastAsia" w:hAnsi="宋体" w:cs="宋体"/>
                <w:color w:val="auto"/>
                <w:szCs w:val="21"/>
                <w:highlight w:val="none"/>
              </w:rPr>
              <w:t>☑ 本项目采购代理服务费由</w:t>
            </w:r>
            <w:r>
              <w:rPr>
                <w:rFonts w:hint="eastAsia" w:hAnsi="宋体" w:cs="宋体"/>
                <w:color w:val="auto"/>
                <w:szCs w:val="21"/>
                <w:highlight w:val="none"/>
                <w:u w:val="single"/>
              </w:rPr>
              <w:t>中标人</w:t>
            </w:r>
            <w:r>
              <w:rPr>
                <w:rFonts w:hint="eastAsia" w:hAnsi="宋体" w:cs="宋体"/>
                <w:color w:val="auto"/>
                <w:szCs w:val="21"/>
                <w:highlight w:val="none"/>
              </w:rPr>
              <w:t>在签订合同前，以银行转账、电汇等方式一次性向采购代理机构支付。</w:t>
            </w:r>
          </w:p>
          <w:p>
            <w:pPr>
              <w:pStyle w:val="15"/>
              <w:snapToGrid w:val="0"/>
              <w:spacing w:line="400" w:lineRule="exact"/>
              <w:rPr>
                <w:rFonts w:hAnsi="宋体" w:cs="宋体"/>
                <w:color w:val="auto"/>
                <w:szCs w:val="21"/>
                <w:highlight w:val="none"/>
                <w:u w:val="single"/>
              </w:rPr>
            </w:pPr>
            <w:r>
              <w:rPr>
                <w:rFonts w:hint="eastAsia" w:hAnsi="宋体" w:cs="宋体"/>
                <w:color w:val="auto"/>
                <w:szCs w:val="21"/>
                <w:highlight w:val="none"/>
              </w:rPr>
              <w:t>□采购人支付：</w:t>
            </w:r>
            <w:r>
              <w:rPr>
                <w:rFonts w:hint="eastAsia" w:hAnsi="宋体" w:cs="宋体"/>
                <w:i/>
                <w:iCs/>
                <w:color w:val="auto"/>
                <w:szCs w:val="21"/>
                <w:highlight w:val="none"/>
                <w:u w:val="single"/>
              </w:rPr>
              <w:t xml:space="preserve">          </w:t>
            </w:r>
          </w:p>
          <w:p>
            <w:pPr>
              <w:pStyle w:val="15"/>
              <w:snapToGrid w:val="0"/>
              <w:spacing w:line="400" w:lineRule="exact"/>
              <w:rPr>
                <w:rFonts w:hAnsi="宋体" w:cs="宋体"/>
                <w:color w:val="auto"/>
                <w:szCs w:val="21"/>
                <w:highlight w:val="none"/>
              </w:rPr>
            </w:pPr>
            <w:r>
              <w:rPr>
                <w:rFonts w:hint="eastAsia" w:hAnsi="宋体" w:cs="宋体"/>
                <w:color w:val="auto"/>
                <w:szCs w:val="21"/>
                <w:highlight w:val="none"/>
              </w:rPr>
              <w:t>□本项目不收取采购代理服务费。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21"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auto"/>
                <w:szCs w:val="21"/>
                <w:highlight w:val="none"/>
              </w:rPr>
            </w:pP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采购代理服务费收取标准</w:t>
            </w:r>
          </w:p>
        </w:tc>
        <w:tc>
          <w:tcPr>
            <w:tcW w:w="7297" w:type="dxa"/>
            <w:tcBorders>
              <w:top w:val="single" w:color="auto" w:sz="4" w:space="0"/>
              <w:left w:val="single" w:color="auto" w:sz="4" w:space="0"/>
              <w:bottom w:val="single" w:color="auto" w:sz="4" w:space="0"/>
              <w:right w:val="single" w:color="auto" w:sz="4" w:space="0"/>
            </w:tcBorders>
            <w:vAlign w:val="center"/>
          </w:tcPr>
          <w:p>
            <w:pPr>
              <w:pStyle w:val="15"/>
              <w:snapToGrid w:val="0"/>
              <w:spacing w:line="400" w:lineRule="exact"/>
              <w:rPr>
                <w:rFonts w:hAnsi="宋体" w:cs="宋体"/>
                <w:color w:val="auto"/>
                <w:szCs w:val="21"/>
                <w:highlight w:val="none"/>
              </w:rPr>
            </w:pPr>
            <w:bookmarkStart w:id="105" w:name="PO_3000001867_PM025"/>
            <w:r>
              <w:rPr>
                <w:rFonts w:hint="eastAsia" w:hAnsi="宋体" w:cs="宋体"/>
                <w:color w:val="auto"/>
                <w:szCs w:val="21"/>
                <w:highlight w:val="none"/>
              </w:rPr>
              <w:t>☑ 以</w:t>
            </w:r>
            <w:r>
              <w:rPr>
                <w:rFonts w:hint="eastAsia" w:hAnsi="宋体" w:cs="宋体"/>
                <w:color w:val="auto"/>
                <w:kern w:val="0"/>
                <w:szCs w:val="21"/>
                <w:highlight w:val="none"/>
              </w:rPr>
              <w:t>项目</w:t>
            </w:r>
            <w:r>
              <w:rPr>
                <w:rFonts w:hint="eastAsia" w:hAnsi="宋体" w:cs="宋体"/>
                <w:color w:val="auto"/>
                <w:szCs w:val="21"/>
                <w:highlight w:val="none"/>
              </w:rPr>
              <w:t>（☑ 中标金额/□采购预算/□暂定中标金额/□其他</w:t>
            </w:r>
            <w:r>
              <w:rPr>
                <w:rFonts w:hint="eastAsia" w:hAnsi="宋体" w:cs="宋体"/>
                <w:color w:val="auto"/>
                <w:szCs w:val="21"/>
                <w:highlight w:val="none"/>
                <w:u w:val="single"/>
              </w:rPr>
              <w:t xml:space="preserve">   </w:t>
            </w:r>
            <w:r>
              <w:rPr>
                <w:rFonts w:hint="eastAsia" w:hAnsi="宋体" w:cs="宋体"/>
                <w:color w:val="auto"/>
                <w:szCs w:val="21"/>
                <w:highlight w:val="none"/>
              </w:rPr>
              <w:t>）为计费额，按本须知正文第40.2条规定的收费计算标准（</w:t>
            </w:r>
            <w:r>
              <w:rPr>
                <w:rFonts w:hint="eastAsia" w:hAnsi="宋体" w:cs="宋体"/>
                <w:b/>
                <w:bCs/>
                <w:color w:val="auto"/>
                <w:szCs w:val="21"/>
                <w:highlight w:val="none"/>
              </w:rPr>
              <w:t>货物类</w:t>
            </w:r>
            <w:r>
              <w:rPr>
                <w:rFonts w:hint="eastAsia" w:hAnsi="宋体" w:cs="宋体"/>
                <w:color w:val="auto"/>
                <w:szCs w:val="21"/>
                <w:highlight w:val="none"/>
              </w:rPr>
              <w:t>）采用差额定率累进法计算出收费基准价格，采购代理收费以（☑ 收费基准价格/□收费基准价格下浮</w:t>
            </w:r>
            <w:r>
              <w:rPr>
                <w:rFonts w:hint="eastAsia" w:hAnsi="宋体" w:cs="宋体"/>
                <w:color w:val="auto"/>
                <w:szCs w:val="21"/>
                <w:highlight w:val="none"/>
                <w:u w:val="single"/>
              </w:rPr>
              <w:t xml:space="preserve">  %</w:t>
            </w:r>
            <w:r>
              <w:rPr>
                <w:rFonts w:hint="eastAsia" w:hAnsi="宋体" w:cs="宋体"/>
                <w:color w:val="auto"/>
                <w:szCs w:val="21"/>
                <w:highlight w:val="none"/>
              </w:rPr>
              <w:t>/□收费基准价格上浮</w:t>
            </w:r>
            <w:r>
              <w:rPr>
                <w:rFonts w:hint="eastAsia" w:hAnsi="宋体" w:cs="宋体"/>
                <w:color w:val="auto"/>
                <w:szCs w:val="21"/>
                <w:highlight w:val="none"/>
                <w:u w:val="single"/>
              </w:rPr>
              <w:t xml:space="preserve">   %</w:t>
            </w:r>
            <w:r>
              <w:rPr>
                <w:rFonts w:hint="eastAsia" w:hAnsi="宋体" w:cs="宋体"/>
                <w:color w:val="auto"/>
                <w:szCs w:val="21"/>
                <w:highlight w:val="none"/>
              </w:rPr>
              <w:t>）收取。</w:t>
            </w:r>
          </w:p>
          <w:p>
            <w:pPr>
              <w:pStyle w:val="15"/>
              <w:snapToGrid w:val="0"/>
              <w:spacing w:line="400" w:lineRule="exact"/>
              <w:rPr>
                <w:rFonts w:hAnsi="宋体" w:cs="宋体"/>
                <w:color w:val="auto"/>
                <w:szCs w:val="21"/>
                <w:highlight w:val="none"/>
                <w:u w:val="single"/>
              </w:rPr>
            </w:pPr>
            <w:r>
              <w:rPr>
                <w:rFonts w:hint="eastAsia" w:hAnsi="宋体" w:cs="宋体"/>
                <w:color w:val="auto"/>
                <w:szCs w:val="21"/>
                <w:highlight w:val="none"/>
              </w:rPr>
              <w:t>□固定采购代理收费：</w:t>
            </w:r>
            <w:r>
              <w:rPr>
                <w:rFonts w:hint="eastAsia" w:hAnsi="宋体" w:cs="宋体"/>
                <w:color w:val="auto"/>
                <w:szCs w:val="21"/>
                <w:highlight w:val="none"/>
                <w:u w:val="single"/>
              </w:rPr>
              <w:t xml:space="preserve">              。</w:t>
            </w:r>
            <w:bookmarkEnd w:id="10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49"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auto"/>
                <w:szCs w:val="21"/>
                <w:highlight w:val="none"/>
              </w:rPr>
            </w:pPr>
          </w:p>
        </w:tc>
        <w:tc>
          <w:tcPr>
            <w:tcW w:w="20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采购代理服务费收款账户信息</w:t>
            </w:r>
          </w:p>
        </w:tc>
        <w:tc>
          <w:tcPr>
            <w:tcW w:w="7297" w:type="dxa"/>
            <w:tcBorders>
              <w:top w:val="single" w:color="auto" w:sz="4" w:space="0"/>
              <w:left w:val="single" w:color="auto" w:sz="4" w:space="0"/>
              <w:bottom w:val="single" w:color="auto" w:sz="4" w:space="0"/>
              <w:right w:val="single" w:color="auto" w:sz="4" w:space="0"/>
            </w:tcBorders>
            <w:vAlign w:val="center"/>
          </w:tcPr>
          <w:p>
            <w:pPr>
              <w:pStyle w:val="15"/>
              <w:snapToGrid w:val="0"/>
              <w:spacing w:line="400" w:lineRule="exact"/>
              <w:rPr>
                <w:rFonts w:hAnsi="宋体" w:cs="宋体"/>
                <w:color w:val="auto"/>
                <w:szCs w:val="21"/>
                <w:highlight w:val="none"/>
              </w:rPr>
            </w:pPr>
            <w:r>
              <w:rPr>
                <w:rFonts w:hint="eastAsia" w:hAnsi="宋体" w:cs="宋体"/>
                <w:color w:val="auto"/>
                <w:szCs w:val="21"/>
                <w:highlight w:val="none"/>
              </w:rPr>
              <w:t>开户名称：广西科联招标中心有限公司</w:t>
            </w:r>
          </w:p>
          <w:p>
            <w:pPr>
              <w:pStyle w:val="15"/>
              <w:snapToGrid w:val="0"/>
              <w:spacing w:line="400" w:lineRule="exact"/>
              <w:rPr>
                <w:rFonts w:hAnsi="宋体" w:cs="宋体"/>
                <w:color w:val="auto"/>
                <w:szCs w:val="21"/>
                <w:highlight w:val="none"/>
              </w:rPr>
            </w:pPr>
            <w:r>
              <w:rPr>
                <w:rFonts w:hint="eastAsia" w:hAnsi="宋体" w:cs="宋体"/>
                <w:color w:val="auto"/>
                <w:szCs w:val="21"/>
                <w:highlight w:val="none"/>
              </w:rPr>
              <w:t>开户银行：中国工商银行南宁市高新科技支行</w:t>
            </w:r>
          </w:p>
          <w:p>
            <w:pPr>
              <w:pStyle w:val="15"/>
              <w:snapToGrid w:val="0"/>
              <w:spacing w:line="400" w:lineRule="exact"/>
              <w:rPr>
                <w:rFonts w:hAnsi="宋体" w:cs="宋体"/>
                <w:color w:val="auto"/>
                <w:szCs w:val="21"/>
                <w:highlight w:val="none"/>
              </w:rPr>
            </w:pPr>
            <w:r>
              <w:rPr>
                <w:rFonts w:hint="eastAsia" w:hAnsi="宋体" w:cs="宋体"/>
                <w:color w:val="auto"/>
                <w:szCs w:val="21"/>
                <w:highlight w:val="none"/>
              </w:rPr>
              <w:t>银行账号：2102111229300032105</w:t>
            </w:r>
          </w:p>
          <w:p>
            <w:pPr>
              <w:pStyle w:val="15"/>
              <w:snapToGrid w:val="0"/>
              <w:spacing w:line="400" w:lineRule="exact"/>
              <w:rPr>
                <w:rFonts w:hAnsi="宋体" w:cs="宋体"/>
                <w:color w:val="auto"/>
                <w:szCs w:val="21"/>
                <w:highlight w:val="none"/>
              </w:rPr>
            </w:pPr>
            <w:r>
              <w:rPr>
                <w:rFonts w:hint="eastAsia" w:hAnsi="宋体" w:cs="宋体"/>
                <w:color w:val="auto"/>
                <w:szCs w:val="21"/>
                <w:highlight w:val="none"/>
              </w:rPr>
              <w:t>开户行行号：102611011101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41.1</w:t>
            </w:r>
          </w:p>
        </w:tc>
        <w:tc>
          <w:tcPr>
            <w:tcW w:w="20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解释</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b/>
                <w:color w:val="auto"/>
                <w:szCs w:val="21"/>
                <w:highlight w:val="none"/>
              </w:rPr>
            </w:pPr>
            <w:r>
              <w:rPr>
                <w:rFonts w:hint="eastAsia" w:ascii="宋体" w:hAnsi="宋体" w:cs="宋体"/>
                <w:b/>
                <w:color w:val="auto"/>
                <w:szCs w:val="21"/>
                <w:highlight w:val="none"/>
              </w:rPr>
              <w:t>解释：</w:t>
            </w:r>
            <w:r>
              <w:rPr>
                <w:rFonts w:hint="eastAsia" w:ascii="宋体" w:hAnsi="宋体" w:cs="宋体"/>
                <w:color w:val="auto"/>
                <w:szCs w:val="21"/>
                <w:highlight w:val="none"/>
              </w:rPr>
              <w:t>构成本招标文件的各个组成文件应互为解释，互为说明；除招标文件中有特别规定外，仅适用于招标投标阶段的规定，按更正公告（澄清公告）、招标公告、采购需求、投标人须知、评标方法和评标标准、拟签订的合同文本、投标文件格式的先后顺序解释；同一组成文件中就同一事项的规定或者约定不一致的，以编排顺序在后者为准；同一组成文件不同版本之间有不一致的，以形成时间在后者为准；更正公告（澄清公告）与同步更新的招标文件不一致时以更正公告（澄清公告）为准。按本款前述规定仍不能形成结论的</w:t>
            </w:r>
            <w:r>
              <w:rPr>
                <w:rFonts w:hint="eastAsia" w:ascii="宋体" w:hAnsi="宋体" w:cs="宋体"/>
                <w:b/>
                <w:color w:val="auto"/>
                <w:szCs w:val="21"/>
                <w:highlight w:val="none"/>
              </w:rPr>
              <w:t>，由采购人或者采购代理机构负责解释。</w:t>
            </w:r>
          </w:p>
          <w:p>
            <w:pPr>
              <w:snapToGrid w:val="0"/>
              <w:spacing w:line="400" w:lineRule="exact"/>
              <w:rPr>
                <w:rFonts w:ascii="宋体" w:hAnsi="宋体" w:cs="宋体"/>
                <w:b/>
                <w:color w:val="auto"/>
                <w:szCs w:val="21"/>
                <w:highlight w:val="none"/>
              </w:rPr>
            </w:pPr>
            <w:r>
              <w:rPr>
                <w:rFonts w:hint="eastAsia" w:ascii="宋体" w:hAnsi="宋体" w:cs="宋体"/>
                <w:b/>
                <w:color w:val="auto"/>
                <w:szCs w:val="21"/>
                <w:highlight w:val="none"/>
              </w:rPr>
              <w:t>法律责任：</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本采购文件根据《中华人民共和国政府采购法》、《中华人民共和国民法典》、《中华人民共和国政府采购法实施条例》、《政府采购货物和服务招标投标管理办法》等有关法律、法规编制，参与本项目的各政府采购当事人依法享有上述法律法规所赋予的权利与义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41.2</w:t>
            </w:r>
          </w:p>
        </w:tc>
        <w:tc>
          <w:tcPr>
            <w:tcW w:w="20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其他释义</w:t>
            </w:r>
          </w:p>
        </w:tc>
        <w:tc>
          <w:tcPr>
            <w:tcW w:w="7297" w:type="dxa"/>
            <w:tcBorders>
              <w:top w:val="single" w:color="auto" w:sz="4" w:space="0"/>
              <w:left w:val="single" w:color="auto" w:sz="4" w:space="0"/>
              <w:bottom w:val="single" w:color="auto" w:sz="4" w:space="0"/>
              <w:right w:val="single" w:color="auto" w:sz="4" w:space="0"/>
            </w:tcBorders>
            <w:vAlign w:val="center"/>
          </w:tcPr>
          <w:p>
            <w:pPr>
              <w:pStyle w:val="9"/>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本招标文件中描述投标人的“公章”是指根据我国对公章的管理规定，用投标人法定主体行为名称制作的实物印章或投标人通过指定电子化政府采购平台办理数字证书（CA认证）获得的以法定主体行为名称制作的电子印章。除本招标文件有特殊规定外，投标人的财务章、部门章、分公司章、工会章、合同章、投标专用章、业务专用章及银行的转账章、现金收讫章、现金付讫章等其他形式印章均不能代替公章。</w:t>
            </w:r>
          </w:p>
          <w:p>
            <w:pPr>
              <w:pStyle w:val="9"/>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2、本招标文件中描述投标人的“签字”是指投标人通过指定电子化政府采购平台办理数字证书（CA认证）获得的以投标人法定代表人或者委托代理人姓名制作的电子印章或手写签字。</w:t>
            </w:r>
          </w:p>
          <w:p>
            <w:pPr>
              <w:pStyle w:val="9"/>
              <w:tabs>
                <w:tab w:val="center" w:pos="4153"/>
                <w:tab w:val="right" w:pos="8306"/>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本招标文件所称的“电子签章”“电子签名”，是指经广西政府采购云平台认可的CA认证的电子签名数据为表现形式的印章，可用于签署电子投标文件，电子印章与实物印章具有同等法律效力，不因其采用电子化表现形式而否定其法律效力。</w:t>
            </w:r>
          </w:p>
          <w:p>
            <w:pPr>
              <w:pStyle w:val="9"/>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4、投标人为其他组织或者自然人时，本招标文件规定的法定代表人指负责人或者自然人。本招标文件所称负责人是指参加投标的其他组织营业执照上的负责人，本招标文件所称自然人指参与投标的自然人本人。</w:t>
            </w:r>
          </w:p>
          <w:p>
            <w:pPr>
              <w:pStyle w:val="9"/>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5、自然人投标的，招标文件规定盖公章处由自然人摁手指指印。</w:t>
            </w:r>
          </w:p>
          <w:p>
            <w:pPr>
              <w:pStyle w:val="9"/>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6、本招标文件所称的“以上”“以下”“以内”“届满”，包括本数；所称的“不满”“超过”“以外”，不包括本数。</w:t>
            </w:r>
          </w:p>
        </w:tc>
      </w:tr>
    </w:tbl>
    <w:p>
      <w:pPr>
        <w:widowControl/>
        <w:spacing w:line="412" w:lineRule="auto"/>
        <w:jc w:val="left"/>
        <w:rPr>
          <w:rFonts w:ascii="宋体" w:hAnsi="宋体" w:cs="宋体"/>
          <w:b/>
          <w:bCs/>
          <w:color w:val="auto"/>
          <w:sz w:val="32"/>
          <w:szCs w:val="32"/>
          <w:highlight w:val="none"/>
        </w:rPr>
        <w:sectPr>
          <w:footerReference r:id="rId3" w:type="default"/>
          <w:pgSz w:w="11906" w:h="16838"/>
          <w:pgMar w:top="1134" w:right="1134" w:bottom="1134" w:left="1134" w:header="720" w:footer="720" w:gutter="0"/>
          <w:pgNumType w:start="1"/>
          <w:cols w:space="720" w:num="1"/>
          <w:docGrid w:type="lines" w:linePitch="331" w:charSpace="0"/>
        </w:sectPr>
      </w:pPr>
    </w:p>
    <w:p>
      <w:pPr>
        <w:pStyle w:val="4"/>
        <w:jc w:val="center"/>
        <w:rPr>
          <w:rFonts w:ascii="宋体" w:hAnsi="宋体" w:eastAsia="宋体" w:cs="宋体"/>
          <w:color w:val="auto"/>
          <w:highlight w:val="none"/>
        </w:rPr>
      </w:pPr>
      <w:bookmarkStart w:id="106" w:name="_Toc9224"/>
      <w:bookmarkStart w:id="107" w:name="_Toc29181"/>
      <w:bookmarkStart w:id="108" w:name="_Toc21899"/>
      <w:bookmarkStart w:id="109" w:name="_Toc21704"/>
      <w:bookmarkStart w:id="110" w:name="_Toc32224"/>
      <w:r>
        <w:rPr>
          <w:rFonts w:hint="eastAsia" w:ascii="宋体" w:hAnsi="宋体" w:eastAsia="宋体" w:cs="宋体"/>
          <w:color w:val="auto"/>
          <w:highlight w:val="none"/>
        </w:rPr>
        <w:t>第二节 投标人须知正文</w:t>
      </w:r>
      <w:bookmarkEnd w:id="106"/>
      <w:bookmarkEnd w:id="107"/>
      <w:bookmarkEnd w:id="108"/>
      <w:bookmarkEnd w:id="109"/>
      <w:bookmarkEnd w:id="110"/>
    </w:p>
    <w:p>
      <w:pPr>
        <w:pStyle w:val="5"/>
        <w:keepNext w:val="0"/>
        <w:keepLines w:val="0"/>
        <w:spacing w:line="400" w:lineRule="exact"/>
        <w:jc w:val="center"/>
        <w:rPr>
          <w:rFonts w:ascii="宋体" w:hAnsi="宋体" w:cs="宋体"/>
          <w:color w:val="auto"/>
          <w:highlight w:val="none"/>
        </w:rPr>
      </w:pPr>
      <w:bookmarkStart w:id="111" w:name="_Toc5656"/>
      <w:bookmarkStart w:id="112" w:name="_Toc7223"/>
      <w:bookmarkStart w:id="113" w:name="_Toc2156"/>
      <w:bookmarkStart w:id="114" w:name="_Toc9192"/>
      <w:bookmarkStart w:id="115" w:name="_Toc13703"/>
      <w:r>
        <w:rPr>
          <w:rFonts w:hint="eastAsia" w:ascii="宋体" w:hAnsi="宋体" w:cs="宋体"/>
          <w:color w:val="auto"/>
          <w:highlight w:val="none"/>
        </w:rPr>
        <w:t>一、总  则</w:t>
      </w:r>
      <w:bookmarkEnd w:id="111"/>
      <w:bookmarkEnd w:id="112"/>
      <w:bookmarkEnd w:id="113"/>
      <w:bookmarkEnd w:id="114"/>
      <w:bookmarkEnd w:id="115"/>
    </w:p>
    <w:p>
      <w:pPr>
        <w:spacing w:line="360" w:lineRule="auto"/>
        <w:ind w:firstLine="480" w:firstLineChars="200"/>
        <w:rPr>
          <w:rFonts w:ascii="宋体" w:hAnsi="宋体" w:cs="宋体"/>
          <w:color w:val="auto"/>
          <w:sz w:val="24"/>
          <w:highlight w:val="none"/>
        </w:rPr>
      </w:pPr>
      <w:bookmarkStart w:id="116" w:name="_Toc254970668"/>
      <w:bookmarkStart w:id="117" w:name="_Toc254970527"/>
      <w:r>
        <w:rPr>
          <w:rFonts w:hint="eastAsia" w:ascii="宋体" w:hAnsi="宋体" w:cs="宋体"/>
          <w:color w:val="auto"/>
          <w:sz w:val="24"/>
          <w:highlight w:val="none"/>
        </w:rPr>
        <w:t>1.适用范围</w:t>
      </w:r>
      <w:bookmarkEnd w:id="116"/>
      <w:bookmarkEnd w:id="117"/>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1.1适用法律：本项目采购人、采购代理机构、投标人、评标委员会的相关行为均受《中华人民共和国政府采购法》、《中华人民共和国政府采购法实施条例》、《</w:t>
      </w:r>
      <w:r>
        <w:rPr>
          <w:rFonts w:ascii="宋体" w:hAnsi="宋体" w:cs="宋体"/>
          <w:color w:val="auto"/>
          <w:kern w:val="0"/>
          <w:szCs w:val="21"/>
          <w:highlight w:val="none"/>
        </w:rPr>
        <w:t>政府采购货物和服务招标投标管理办法</w:t>
      </w:r>
      <w:r>
        <w:rPr>
          <w:rFonts w:hint="eastAsia" w:ascii="宋体" w:hAnsi="宋体" w:cs="宋体"/>
          <w:color w:val="auto"/>
          <w:szCs w:val="21"/>
          <w:highlight w:val="none"/>
        </w:rPr>
        <w:t>》及本项目本级和上级财政部门政府采购有关规定的约束和保护。</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1.2本招标文件</w:t>
      </w:r>
      <w:r>
        <w:rPr>
          <w:rFonts w:hint="eastAsia" w:ascii="宋体" w:hAnsi="宋体" w:cs="宋体"/>
          <w:color w:val="auto"/>
          <w:spacing w:val="-6"/>
          <w:szCs w:val="21"/>
          <w:highlight w:val="none"/>
        </w:rPr>
        <w:t>适用于本项目的所有采购程序和环节（法律、法规另有规定的，从其规定）。</w:t>
      </w:r>
    </w:p>
    <w:p>
      <w:pPr>
        <w:spacing w:line="360" w:lineRule="auto"/>
        <w:ind w:firstLine="480" w:firstLineChars="200"/>
        <w:rPr>
          <w:rFonts w:ascii="宋体" w:hAnsi="宋体" w:cs="宋体"/>
          <w:color w:val="auto"/>
          <w:sz w:val="24"/>
          <w:highlight w:val="none"/>
        </w:rPr>
      </w:pPr>
      <w:bookmarkStart w:id="118" w:name="_Toc254970528"/>
      <w:bookmarkStart w:id="119" w:name="_Toc254970669"/>
      <w:r>
        <w:rPr>
          <w:rFonts w:hint="eastAsia" w:ascii="宋体" w:hAnsi="宋体" w:cs="宋体"/>
          <w:color w:val="auto"/>
          <w:sz w:val="24"/>
          <w:highlight w:val="none"/>
        </w:rPr>
        <w:t>2.定义</w:t>
      </w:r>
      <w:bookmarkEnd w:id="118"/>
      <w:bookmarkEnd w:id="119"/>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2.1“采购人”是指依法进行政府采购的国家机关、事业单位、团体组织。</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2.2“采购代理机构” 指政府采购集中采购机构和集中采购机构以外的采购代理机构。</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2.3“供应商”是指向采购人提供货物、工程或者服务的法人、其他组织或者自然人。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2.4“投标人”是指响应招标、参加投标竞争的法人、非法人组织或者自然人。</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2.5“货物”是指各种形态和种类的物品，包括原材料、燃料、设备、产品等。</w:t>
      </w:r>
    </w:p>
    <w:p>
      <w:pPr>
        <w:pStyle w:val="6"/>
        <w:keepNext w:val="0"/>
        <w:keepLines w:val="0"/>
        <w:spacing w:before="0" w:after="0" w:line="360" w:lineRule="auto"/>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2.6“售后服务” 是指商品出售以后所提供的各种服务，包含但不限于投标人须承担的备品备件、包装、运输、装卸、保险、货到就位以及安装、调试、培训、保修以及其他各种服务。</w:t>
      </w:r>
    </w:p>
    <w:p>
      <w:pPr>
        <w:pStyle w:val="6"/>
        <w:keepNext w:val="0"/>
        <w:keepLines w:val="0"/>
        <w:spacing w:before="0" w:after="0" w:line="360" w:lineRule="auto"/>
        <w:rPr>
          <w:rFonts w:ascii="宋体" w:hAnsi="宋体" w:cs="宋体"/>
          <w:b w:val="0"/>
          <w:color w:val="auto"/>
          <w:sz w:val="21"/>
          <w:szCs w:val="21"/>
          <w:highlight w:val="none"/>
        </w:rPr>
      </w:pPr>
      <w:r>
        <w:rPr>
          <w:rFonts w:hint="eastAsia" w:ascii="宋体" w:hAnsi="宋体" w:cs="宋体"/>
          <w:b w:val="0"/>
          <w:color w:val="auto"/>
          <w:sz w:val="21"/>
          <w:szCs w:val="21"/>
          <w:highlight w:val="none"/>
        </w:rPr>
        <w:t xml:space="preserve">    2.7“书面形式”是指合同书、信件和数据电文（包括电报、电传、传真、电子数据交换和电子邮件）等可以有形地表现所载内容的形式。</w:t>
      </w:r>
    </w:p>
    <w:p>
      <w:pPr>
        <w:pStyle w:val="6"/>
        <w:keepNext w:val="0"/>
        <w:keepLines w:val="0"/>
        <w:spacing w:before="0" w:after="0" w:line="360" w:lineRule="auto"/>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2.8“实质性要求”是指招标文件中已经指明不满足则投标无效的条款，或者不能负偏离的条款，或者采购需求中带“▲”的条款。</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2.9 “正偏离”，是指投标文件对招标文件“采购需求”中有关条款作出的响应优于条款要求并有利于采购人的情形。</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2.10“负偏离”，是指投标文件对招标文件“采购需求”中有关条款作出的响应不满足条款要求，导致采购人要求不能得到满足的情形。</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2.11“允许负偏离的条款”是指采购需求中的不属于“实质性要求”的条款。</w:t>
      </w:r>
    </w:p>
    <w:p>
      <w:pPr>
        <w:spacing w:line="360" w:lineRule="auto"/>
        <w:ind w:firstLine="480" w:firstLineChars="200"/>
        <w:rPr>
          <w:rFonts w:ascii="宋体" w:hAnsi="宋体" w:cs="宋体"/>
          <w:color w:val="auto"/>
          <w:sz w:val="24"/>
          <w:highlight w:val="none"/>
        </w:rPr>
      </w:pPr>
      <w:bookmarkStart w:id="120" w:name="_Toc254970670"/>
      <w:bookmarkStart w:id="121" w:name="_Toc254970529"/>
      <w:r>
        <w:rPr>
          <w:rFonts w:hint="eastAsia" w:ascii="宋体" w:hAnsi="宋体" w:cs="宋体"/>
          <w:color w:val="auto"/>
          <w:sz w:val="24"/>
          <w:highlight w:val="none"/>
        </w:rPr>
        <w:t>3.</w:t>
      </w:r>
      <w:bookmarkEnd w:id="120"/>
      <w:bookmarkEnd w:id="121"/>
      <w:r>
        <w:rPr>
          <w:rFonts w:hint="eastAsia" w:ascii="宋体" w:hAnsi="宋体" w:cs="宋体"/>
          <w:color w:val="auto"/>
          <w:sz w:val="24"/>
          <w:highlight w:val="none"/>
        </w:rPr>
        <w:t>投标人的资格要求</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投标人的资格要求详见“招标公告”。</w:t>
      </w:r>
    </w:p>
    <w:p>
      <w:pPr>
        <w:spacing w:line="360" w:lineRule="auto"/>
        <w:ind w:firstLine="480" w:firstLineChars="200"/>
        <w:rPr>
          <w:rFonts w:ascii="宋体" w:hAnsi="宋体" w:cs="宋体"/>
          <w:color w:val="auto"/>
          <w:sz w:val="24"/>
          <w:highlight w:val="none"/>
        </w:rPr>
      </w:pPr>
      <w:bookmarkStart w:id="122" w:name="_Toc254970530"/>
      <w:bookmarkStart w:id="123" w:name="_Toc254970671"/>
      <w:r>
        <w:rPr>
          <w:rFonts w:hint="eastAsia" w:ascii="宋体" w:hAnsi="宋体" w:cs="宋体"/>
          <w:color w:val="auto"/>
          <w:sz w:val="24"/>
          <w:highlight w:val="none"/>
        </w:rPr>
        <w:t>4.投标委托</w:t>
      </w:r>
      <w:bookmarkEnd w:id="122"/>
      <w:bookmarkEnd w:id="123"/>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投标人代表参加投标活动过程中必须携带个人有效身份证件。如投标人代表不是法定代表人，须持有法定代表人授权委托书（按第六章要求格式填写）。</w:t>
      </w:r>
    </w:p>
    <w:p>
      <w:pPr>
        <w:spacing w:line="360" w:lineRule="auto"/>
        <w:ind w:firstLine="480" w:firstLineChars="200"/>
        <w:rPr>
          <w:rFonts w:ascii="宋体" w:hAnsi="宋体" w:cs="宋体"/>
          <w:color w:val="auto"/>
          <w:sz w:val="24"/>
          <w:highlight w:val="none"/>
        </w:rPr>
      </w:pPr>
      <w:bookmarkStart w:id="124" w:name="_5.投标费用"/>
      <w:bookmarkEnd w:id="124"/>
      <w:bookmarkStart w:id="125" w:name="_Toc254970531"/>
      <w:bookmarkStart w:id="126" w:name="_Toc254970672"/>
      <w:r>
        <w:rPr>
          <w:rFonts w:hint="eastAsia" w:ascii="宋体" w:hAnsi="宋体" w:cs="宋体"/>
          <w:color w:val="auto"/>
          <w:sz w:val="24"/>
          <w:highlight w:val="none"/>
        </w:rPr>
        <w:t>5.投标费用</w:t>
      </w:r>
      <w:bookmarkEnd w:id="125"/>
      <w:bookmarkEnd w:id="126"/>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投标费用：投标人应承担参与本次采购活动有关的所有费用，包括但不限于勘查现场、编制投标文件、参加澄清说明、签订合同等，不论投标结果如何，均应自行承担。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6.联合体投标</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6.1本项目是否接受联合体投标，详见“投标人须知前附表”。</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6.2如接受联合体投标，联合体投标要求详见“投标人须知前附表”。</w:t>
      </w:r>
    </w:p>
    <w:p>
      <w:pPr>
        <w:spacing w:line="360" w:lineRule="auto"/>
        <w:ind w:firstLine="420" w:firstLineChars="200"/>
        <w:rPr>
          <w:rFonts w:ascii="宋体" w:hAnsi="宋体" w:cs="宋体"/>
          <w:color w:val="auto"/>
          <w:sz w:val="24"/>
          <w:highlight w:val="none"/>
          <w:shd w:val="clear" w:color="auto" w:fill="FFFFFF"/>
        </w:rPr>
      </w:pPr>
      <w:r>
        <w:rPr>
          <w:rFonts w:hint="eastAsia" w:ascii="宋体" w:hAnsi="宋体" w:cs="宋体"/>
          <w:bCs/>
          <w:color w:val="auto"/>
          <w:szCs w:val="21"/>
          <w:highlight w:val="none"/>
        </w:rPr>
        <w:t>6.3根据《政府采购促进中小企业发展管理办法》（财库[2020]46号）第九条、《</w:t>
      </w:r>
      <w:r>
        <w:rPr>
          <w:rFonts w:hint="eastAsia"/>
          <w:bCs/>
          <w:color w:val="auto"/>
          <w:highlight w:val="none"/>
        </w:rPr>
        <w:t>广西壮族自治区财政厅关于贯彻落实政府采购支持中小企业发展政策的通知</w:t>
      </w:r>
      <w:r>
        <w:rPr>
          <w:rFonts w:hint="eastAsia" w:ascii="宋体" w:hAnsi="宋体" w:cs="宋体"/>
          <w:bCs/>
          <w:color w:val="auto"/>
          <w:szCs w:val="21"/>
          <w:highlight w:val="none"/>
        </w:rPr>
        <w:t>》（桂财采〔2022〕31号）规定，接受大中型企业与小微企业组成联合体的采购项目，对于联合协议约定小微企业的合同份额占到合同总金额 30%以上的，采购人、采购代理机构应当对联合体的报价给予4%-6%的扣除，用扣除后的价格参加评审。组成联合体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7.转包与分包             </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7.1 本项目不允许转包。</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7.2本项目是否允许分包详见“投标人须知前附表”，本项目不允许违法分包。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7.3根据《政府采购促进中小企业发展管理办法》（财库[2020]46号）第九条及《</w:t>
      </w:r>
      <w:r>
        <w:rPr>
          <w:rFonts w:hint="eastAsia"/>
          <w:b/>
          <w:color w:val="auto"/>
          <w:highlight w:val="none"/>
        </w:rPr>
        <w:t>广西壮族自治区财政厅关于贯彻落实政府采购支持中小企业发展政策的通知</w:t>
      </w:r>
      <w:r>
        <w:rPr>
          <w:rFonts w:hint="eastAsia" w:ascii="宋体" w:hAnsi="宋体" w:cs="宋体"/>
          <w:b/>
          <w:color w:val="auto"/>
          <w:szCs w:val="21"/>
          <w:highlight w:val="none"/>
        </w:rPr>
        <w:t>》（桂财采〔2022〕31号）规定，允许大中型企业向一家或者多家小微企业分包的采购项目，对于分包意向协议约定小微企业的合同份额占到合同总金额 30%以上的，采购人、采购代理机构应当对大中型企业的报价给予 4%-6%的扣除，用扣除后的价格参加评审。接受分包的小微企业与分包企业之间存在直接控股、管理关系的，不享受价格扣除优惠政策。</w:t>
      </w:r>
    </w:p>
    <w:p>
      <w:pPr>
        <w:spacing w:line="360" w:lineRule="auto"/>
        <w:ind w:firstLine="480" w:firstLineChars="200"/>
        <w:rPr>
          <w:rFonts w:ascii="宋体" w:hAnsi="宋体" w:cs="宋体"/>
          <w:color w:val="auto"/>
          <w:sz w:val="24"/>
          <w:highlight w:val="none"/>
        </w:rPr>
      </w:pPr>
      <w:bookmarkStart w:id="127" w:name="_Toc254970673"/>
      <w:bookmarkStart w:id="128" w:name="_Toc254970532"/>
      <w:r>
        <w:rPr>
          <w:rFonts w:hint="eastAsia" w:ascii="宋体" w:hAnsi="宋体" w:cs="宋体"/>
          <w:color w:val="auto"/>
          <w:sz w:val="24"/>
          <w:highlight w:val="none"/>
        </w:rPr>
        <w:t>8.特别说明：</w:t>
      </w:r>
      <w:bookmarkEnd w:id="127"/>
      <w:bookmarkEnd w:id="128"/>
      <w:bookmarkStart w:id="129" w:name="_8.1提供相同品牌产品且通过资格审查、符合性审查的不同投标人参加同一合"/>
      <w:bookmarkEnd w:id="129"/>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8.1如果本招标文件要求投标人提供资格、信誉、荣誉、业绩与企业认证等材料的，则投标人所提供的以上材料必须为该投标人所拥有。</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8.2投标人应仔细阅读招标文件的所有内容，按照招标文件的要求提交投标文件，并对所提供的全部资料的真实性承担法律责任。</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8.3投标人在投标活动中提供任何虚假材料，将报监管部门查处；中标后发现的，中标人须依照《中华人民共和国消费者权益保护法》规定赔偿采购人，且民事赔偿并不免除违法投标人的行政与刑事责任。</w:t>
      </w:r>
    </w:p>
    <w:p>
      <w:pPr>
        <w:widowControl/>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8.4采用最低评标价法的采购项目，提供相同品牌产品的不同投标人参加同一合同项下投标的，以其中通过资格审查、符合性审查且报价最低的参加评标；报价相同的，由采购人或者采购人委托评标委员会按照招标文件“投标人须知前附表”规定的方式确定一个参加评标的投标人，招标文件未规定的采取随机抽取方式确定，其他投标无效。</w:t>
      </w:r>
    </w:p>
    <w:p>
      <w:pPr>
        <w:widowControl/>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投标人须知前附表”规定的方式确定一个投标人获得中标人推荐资格，招标文件未规定的采取随机抽取方式确定，其他同品牌投标人不作为中标候选人。</w:t>
      </w:r>
    </w:p>
    <w:p>
      <w:pPr>
        <w:widowControl/>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非单一产品采购项目，采购人应当根据采购项目技术构成、产品价格比重等合理确定核心产品，并在招标文件中载明。多家投标人提供的核心产品品牌相同的，按前两款规定处理。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9.回避与串通投标</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9.1在政府采购活动中，采购人员及相关人员与供应商有下列利害关系之一的，应当回避：</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（1）参加采购活动前3年内与供应商存在劳动关系；</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（2）参加采购活动前3年内担任供应商的董事、监事；</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（3）参加采购活动前3年内是供应商的控股股东或者实际控制人；</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（4）与供应商的法定代表人或者负责人有夫妻、直系血亲、三代以内旁系血亲或者近姻亲关系；</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（5）与供应商有其他可能影响政府采购活动公平、公正进行的关系。</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9.2有下列情形之一的视为投标人相互串通投标，投标文件将被视为无效：</w:t>
      </w:r>
    </w:p>
    <w:p>
      <w:pPr>
        <w:spacing w:line="360" w:lineRule="auto"/>
        <w:ind w:firstLine="422" w:firstLineChars="200"/>
        <w:rPr>
          <w:rFonts w:ascii="宋体" w:hAnsi="宋体" w:cs="宋体"/>
          <w:b/>
          <w:color w:val="auto"/>
          <w:highlight w:val="none"/>
        </w:rPr>
      </w:pPr>
      <w:r>
        <w:rPr>
          <w:rFonts w:hint="eastAsia" w:ascii="宋体" w:hAnsi="宋体" w:cs="宋体"/>
          <w:b/>
          <w:color w:val="auto"/>
          <w:highlight w:val="none"/>
        </w:rPr>
        <w:t>（1）不同投标人的投标文件由同一单位或者个人编制；或者不同投标人报名的IP地址一致的；</w:t>
      </w:r>
    </w:p>
    <w:p>
      <w:pPr>
        <w:spacing w:line="360" w:lineRule="auto"/>
        <w:ind w:firstLine="422" w:firstLineChars="200"/>
        <w:rPr>
          <w:rFonts w:ascii="宋体" w:hAnsi="宋体" w:cs="宋体"/>
          <w:b/>
          <w:color w:val="auto"/>
          <w:highlight w:val="none"/>
        </w:rPr>
      </w:pPr>
      <w:r>
        <w:rPr>
          <w:rFonts w:hint="eastAsia" w:ascii="宋体" w:hAnsi="宋体" w:cs="宋体"/>
          <w:b/>
          <w:color w:val="auto"/>
          <w:highlight w:val="none"/>
        </w:rPr>
        <w:t>（2）不同投标人委托同一单位或者个人办理投标事宜；</w:t>
      </w:r>
    </w:p>
    <w:p>
      <w:pPr>
        <w:spacing w:line="360" w:lineRule="auto"/>
        <w:ind w:firstLine="422" w:firstLineChars="200"/>
        <w:rPr>
          <w:rFonts w:ascii="宋体" w:hAnsi="宋体" w:cs="宋体"/>
          <w:b/>
          <w:color w:val="auto"/>
          <w:highlight w:val="none"/>
        </w:rPr>
      </w:pPr>
      <w:r>
        <w:rPr>
          <w:rFonts w:hint="eastAsia" w:ascii="宋体" w:hAnsi="宋体" w:cs="宋体"/>
          <w:b/>
          <w:color w:val="auto"/>
          <w:highlight w:val="none"/>
        </w:rPr>
        <w:t>（3）不同的投标人的投标文件载明的项目管理员为同一个人；</w:t>
      </w:r>
    </w:p>
    <w:p>
      <w:pPr>
        <w:spacing w:line="360" w:lineRule="auto"/>
        <w:ind w:firstLine="422" w:firstLineChars="200"/>
        <w:rPr>
          <w:rFonts w:ascii="宋体" w:hAnsi="宋体" w:cs="宋体"/>
          <w:b/>
          <w:color w:val="auto"/>
          <w:highlight w:val="none"/>
        </w:rPr>
      </w:pPr>
      <w:r>
        <w:rPr>
          <w:rFonts w:hint="eastAsia" w:ascii="宋体" w:hAnsi="宋体" w:cs="宋体"/>
          <w:b/>
          <w:color w:val="auto"/>
          <w:highlight w:val="none"/>
        </w:rPr>
        <w:t>（4）不同投标人的电子投标文件异常一致或者投标报价呈规律性差异；</w:t>
      </w:r>
    </w:p>
    <w:p>
      <w:pPr>
        <w:spacing w:line="360" w:lineRule="auto"/>
        <w:ind w:firstLine="422" w:firstLineChars="200"/>
        <w:rPr>
          <w:color w:val="auto"/>
          <w:highlight w:val="none"/>
        </w:rPr>
      </w:pPr>
      <w:r>
        <w:rPr>
          <w:rFonts w:hint="eastAsia" w:ascii="宋体" w:hAnsi="宋体" w:cs="宋体"/>
          <w:b/>
          <w:color w:val="auto"/>
          <w:szCs w:val="21"/>
          <w:highlight w:val="none"/>
        </w:rPr>
        <w:t>（5）</w:t>
      </w:r>
      <w:r>
        <w:rPr>
          <w:rFonts w:hint="eastAsia" w:ascii="宋体" w:hAnsi="宋体" w:cs="宋体"/>
          <w:b/>
          <w:color w:val="auto"/>
          <w:highlight w:val="none"/>
        </w:rPr>
        <w:t>不同投标人的投标文件相互混装；</w:t>
      </w:r>
    </w:p>
    <w:p>
      <w:pPr>
        <w:tabs>
          <w:tab w:val="center" w:pos="4153"/>
          <w:tab w:val="right" w:pos="8306"/>
        </w:tabs>
        <w:spacing w:line="360" w:lineRule="auto"/>
        <w:ind w:firstLine="422" w:firstLineChars="200"/>
        <w:rPr>
          <w:rFonts w:ascii="宋体" w:hAnsi="宋体" w:cs="宋体"/>
          <w:b/>
          <w:color w:val="auto"/>
          <w:highlight w:val="none"/>
        </w:rPr>
      </w:pPr>
      <w:r>
        <w:rPr>
          <w:rFonts w:hint="eastAsia" w:ascii="宋体" w:hAnsi="宋体" w:cs="宋体"/>
          <w:b/>
          <w:color w:val="auto"/>
          <w:highlight w:val="none"/>
        </w:rPr>
        <w:t>（6）不同投标人的投标保证金从同一单位或者个人账户转出。</w:t>
      </w:r>
    </w:p>
    <w:p>
      <w:pPr>
        <w:spacing w:line="360" w:lineRule="auto"/>
        <w:ind w:firstLine="422" w:firstLineChars="200"/>
        <w:rPr>
          <w:rFonts w:ascii="宋体" w:hAnsi="宋体" w:cs="宋体"/>
          <w:b/>
          <w:bCs/>
          <w:color w:val="auto"/>
          <w:szCs w:val="21"/>
          <w:highlight w:val="none"/>
        </w:rPr>
      </w:pPr>
      <w:r>
        <w:rPr>
          <w:rFonts w:hint="eastAsia" w:ascii="宋体" w:hAnsi="宋体" w:cs="宋体"/>
          <w:b/>
          <w:color w:val="auto"/>
          <w:highlight w:val="none"/>
        </w:rPr>
        <w:t>9.3供应商有下列情形之一的，属于恶意串通</w:t>
      </w:r>
      <w:r>
        <w:rPr>
          <w:rFonts w:hint="eastAsia" w:ascii="宋体" w:hAnsi="宋体" w:cs="宋体"/>
          <w:b/>
          <w:bCs/>
          <w:color w:val="auto"/>
          <w:szCs w:val="21"/>
          <w:highlight w:val="none"/>
        </w:rPr>
        <w:t>行为，将报同级监督管理部门：</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（1）供应商直接或者间接从采购人或者采购代理机构处获得其他供应商的相关信息并修改其投标文件；</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（2）供应商按照采购人或者采购代理机构的授意撤换、修改投标文件；</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（3）供应商之间协商报价、技术方案等投标文件的实质性内容；</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（4）属于同一集团、协会、商会等组织成员的供应商按照该组织要求协同参加政府采购活动；</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（5）供应商之间事先约定一致抬高或者压低投标报价，或者在招标项目中事先约定轮流以高价位或者低价位中标，或者事先约定由某一特定供应商中标，然后再参加投标；</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（6）供应商之间商定部分供应商放弃参加政府采购活动或者放弃中标；</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（7）供应商与采购人或者采购代理机构之间、供应商相互之间，为谋求特定供应商中标或者排斥其他供应商的其他串通行为。</w:t>
      </w:r>
    </w:p>
    <w:p>
      <w:pPr>
        <w:pStyle w:val="15"/>
        <w:snapToGrid w:val="0"/>
        <w:spacing w:line="360" w:lineRule="auto"/>
        <w:ind w:left="2" w:leftChars="1" w:firstLine="422" w:firstLineChars="200"/>
        <w:rPr>
          <w:rFonts w:hAnsi="宋体" w:cs="宋体"/>
          <w:b/>
          <w:color w:val="auto"/>
          <w:highlight w:val="none"/>
        </w:rPr>
      </w:pPr>
    </w:p>
    <w:p>
      <w:pPr>
        <w:pStyle w:val="5"/>
        <w:keepNext w:val="0"/>
        <w:keepLines w:val="0"/>
        <w:spacing w:line="400" w:lineRule="exact"/>
        <w:jc w:val="center"/>
        <w:rPr>
          <w:rFonts w:ascii="宋体" w:hAnsi="宋体" w:cs="宋体"/>
          <w:color w:val="auto"/>
          <w:highlight w:val="none"/>
        </w:rPr>
      </w:pPr>
      <w:bookmarkStart w:id="130" w:name="_Toc22960"/>
      <w:bookmarkStart w:id="131" w:name="_Toc22070"/>
      <w:bookmarkStart w:id="132" w:name="_Toc254970534"/>
      <w:bookmarkStart w:id="133" w:name="_Toc4100"/>
      <w:bookmarkStart w:id="134" w:name="_Toc254970675"/>
      <w:bookmarkStart w:id="135" w:name="_Toc19385"/>
      <w:bookmarkStart w:id="136" w:name="_Toc25441"/>
      <w:r>
        <w:rPr>
          <w:rFonts w:hint="eastAsia" w:ascii="宋体" w:hAnsi="宋体" w:cs="宋体"/>
          <w:color w:val="auto"/>
          <w:highlight w:val="none"/>
        </w:rPr>
        <w:t>二、招标文件</w:t>
      </w:r>
      <w:bookmarkEnd w:id="130"/>
      <w:bookmarkEnd w:id="131"/>
      <w:bookmarkEnd w:id="132"/>
      <w:bookmarkEnd w:id="133"/>
      <w:bookmarkEnd w:id="134"/>
      <w:bookmarkEnd w:id="135"/>
      <w:bookmarkEnd w:id="136"/>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10.招标文件的组成</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第一章 招标公告；</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第二章 采购需求；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第三章 投标人须知；</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第四章 评标方法和评标标准；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第五章 拟签订的合同文本；</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第六章 投标文件格式；</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第七章 质疑、投诉材料格式</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根据本章第11.1项的规定对招标文件所做的澄清、修改，构成招标文件的组成部分。当招标文件与招标文件的澄清和修改就同一内容的表述不一致时，以最后澄清或修改公告为准。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11.招标文件的澄清、修改 、现场考察和答疑会</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 xml:space="preserve"> 11.1采购人或者采购代理机构可以对已发出的招标文件进行必要的澄清或者修改，但不得改变采购标的和资格条件。澄清或者修改应当在原招标公告发布媒体上发布澄清公告。澄清或者修改的内容为招标文件的组成部分。</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11.2 投标人应认真审阅本招标文件，如有疑问，或发现其中有误或有要求不合理的，应在投标人须知前附表规定的</w:t>
      </w:r>
      <w:r>
        <w:rPr>
          <w:rFonts w:hint="eastAsia" w:ascii="宋体" w:hAnsi="宋体" w:cs="宋体"/>
          <w:color w:val="auto"/>
          <w:kern w:val="0"/>
          <w:szCs w:val="21"/>
          <w:highlight w:val="none"/>
        </w:rPr>
        <w:t>投标截止时间</w:t>
      </w:r>
      <w:r>
        <w:rPr>
          <w:rFonts w:hint="eastAsia" w:ascii="宋体" w:hAnsi="宋体" w:cs="宋体"/>
          <w:color w:val="auto"/>
          <w:highlight w:val="none"/>
        </w:rPr>
        <w:t>前以书面形式要求采购人或采购代理机构对招标文件予以澄清；否则，由此产生的后果由投标人自行负责。</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11.3 采购人或者采购代理机构可以对已发出的招标文件进行必要的澄清或者修改。澄清或者修改的内容可能影响投标文件编制的，采购人或者采购代理机构应当在投标截止时间至少15日前，以书面形式通知(在“</w:t>
      </w:r>
      <w:r>
        <w:rPr>
          <w:rFonts w:hint="eastAsia" w:ascii="宋体" w:hAnsi="宋体" w:cs="宋体"/>
          <w:color w:val="auto"/>
          <w:szCs w:val="21"/>
          <w:highlight w:val="none"/>
        </w:rPr>
        <w:t>投标人须知前附表”</w:t>
      </w:r>
      <w:r>
        <w:rPr>
          <w:rFonts w:hint="eastAsia" w:ascii="宋体" w:hAnsi="宋体" w:cs="宋体"/>
          <w:color w:val="auto"/>
          <w:highlight w:val="none"/>
        </w:rPr>
        <w:t>规定的政府采购信息发布媒体上发布更正公告及平台短信通知)所有获取招标文件的潜在投标人；不足15日的，采购人或者采购代理机构应当顺延提交投标文件的截止时间。</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澄清或者更正公告在招标公告发布媒体上发布，一经发布，视作已以书面形式通知所有获取招标文件的潜在投标人，不再另行通知，所有潜在投标人应密切关注招标公告发布媒体，因未能及时获知，由此产生的后果均应自行承担。</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11.4 采购人和采购代理机构可以视采购具体情况，变更投标截止时间和开标时间，将变更时间将在“</w:t>
      </w:r>
      <w:r>
        <w:rPr>
          <w:rFonts w:hint="eastAsia" w:ascii="宋体" w:hAnsi="宋体" w:cs="宋体"/>
          <w:color w:val="auto"/>
          <w:szCs w:val="21"/>
          <w:highlight w:val="none"/>
        </w:rPr>
        <w:t>投标人须知前附表”</w:t>
      </w:r>
      <w:r>
        <w:rPr>
          <w:rFonts w:hint="eastAsia" w:ascii="宋体" w:hAnsi="宋体" w:cs="宋体"/>
          <w:color w:val="auto"/>
          <w:kern w:val="0"/>
          <w:szCs w:val="21"/>
          <w:highlight w:val="none"/>
        </w:rPr>
        <w:t>规定的政府采购信息发布媒体上</w:t>
      </w:r>
      <w:r>
        <w:rPr>
          <w:rFonts w:hint="eastAsia" w:ascii="宋体" w:hAnsi="宋体" w:cs="宋体"/>
          <w:color w:val="auto"/>
          <w:highlight w:val="none"/>
        </w:rPr>
        <w:t>发布更正公告。</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11.</w:t>
      </w:r>
      <w:bookmarkStart w:id="137" w:name="_Hlk53134511"/>
      <w:r>
        <w:rPr>
          <w:rFonts w:hint="eastAsia" w:ascii="宋体" w:hAnsi="宋体" w:cs="宋体"/>
          <w:color w:val="auto"/>
          <w:highlight w:val="none"/>
        </w:rPr>
        <w:t>5采购人或者采购代理机构可以在招标文件提供期限截止后，组织已获取招标文件的潜在投标人现场考察或者召开开标前答疑会，具体详见“投标人须知前附表”。</w:t>
      </w:r>
    </w:p>
    <w:bookmarkEnd w:id="137"/>
    <w:p>
      <w:pPr>
        <w:pStyle w:val="5"/>
        <w:keepNext w:val="0"/>
        <w:keepLines w:val="0"/>
        <w:spacing w:line="400" w:lineRule="exact"/>
        <w:jc w:val="center"/>
        <w:rPr>
          <w:rFonts w:ascii="宋体" w:hAnsi="宋体" w:cs="宋体"/>
          <w:color w:val="auto"/>
          <w:highlight w:val="none"/>
        </w:rPr>
      </w:pPr>
      <w:bookmarkStart w:id="138" w:name="_Toc254970676"/>
      <w:bookmarkStart w:id="139" w:name="_Toc254970535"/>
      <w:bookmarkStart w:id="140" w:name="_Toc23467"/>
      <w:bookmarkStart w:id="141" w:name="_Toc32490"/>
    </w:p>
    <w:p>
      <w:pPr>
        <w:pStyle w:val="5"/>
        <w:keepNext w:val="0"/>
        <w:keepLines w:val="0"/>
        <w:spacing w:line="400" w:lineRule="exact"/>
        <w:jc w:val="center"/>
        <w:rPr>
          <w:rFonts w:ascii="宋体" w:hAnsi="宋体" w:cs="宋体"/>
          <w:color w:val="auto"/>
          <w:highlight w:val="none"/>
        </w:rPr>
      </w:pPr>
      <w:bookmarkStart w:id="142" w:name="_Toc13166"/>
      <w:bookmarkStart w:id="143" w:name="_Toc7612"/>
      <w:bookmarkStart w:id="144" w:name="_Toc31820"/>
      <w:r>
        <w:rPr>
          <w:rFonts w:hint="eastAsia" w:ascii="宋体" w:hAnsi="宋体" w:cs="宋体"/>
          <w:color w:val="auto"/>
          <w:highlight w:val="none"/>
        </w:rPr>
        <w:t>三、投标文件的编制</w:t>
      </w:r>
      <w:bookmarkEnd w:id="138"/>
      <w:bookmarkEnd w:id="139"/>
      <w:bookmarkEnd w:id="140"/>
      <w:bookmarkEnd w:id="141"/>
      <w:bookmarkEnd w:id="142"/>
      <w:bookmarkEnd w:id="143"/>
      <w:bookmarkEnd w:id="144"/>
    </w:p>
    <w:p>
      <w:pPr>
        <w:spacing w:line="360" w:lineRule="auto"/>
        <w:ind w:firstLine="480" w:firstLineChars="200"/>
        <w:rPr>
          <w:rFonts w:ascii="宋体" w:hAnsi="宋体" w:cs="宋体"/>
          <w:color w:val="auto"/>
          <w:sz w:val="24"/>
          <w:highlight w:val="none"/>
        </w:rPr>
      </w:pPr>
      <w:bookmarkStart w:id="145" w:name="_Toc254970677"/>
      <w:bookmarkStart w:id="146" w:name="_Toc254970536"/>
      <w:r>
        <w:rPr>
          <w:rFonts w:hint="eastAsia" w:ascii="宋体" w:hAnsi="宋体" w:cs="宋体"/>
          <w:color w:val="auto"/>
          <w:sz w:val="24"/>
          <w:highlight w:val="none"/>
        </w:rPr>
        <w:t>12.投标文件的编制原则</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投标人必须按照招标文件的要求编制投标文件。投标文件必须对招标文件提出的要求和条件作出明确响应。</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13.投标文件的组成</w:t>
      </w:r>
      <w:bookmarkEnd w:id="145"/>
      <w:bookmarkEnd w:id="146"/>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13.1投标文件由报价文件、资格证明文件、商务文件、技术文件四部分组成。</w:t>
      </w:r>
    </w:p>
    <w:p>
      <w:pPr>
        <w:spacing w:line="360" w:lineRule="auto"/>
        <w:ind w:firstLine="420" w:firstLineChars="200"/>
        <w:rPr>
          <w:rFonts w:ascii="宋体" w:hAnsi="宋体" w:cs="宋体"/>
          <w:bCs/>
          <w:color w:val="auto"/>
          <w:szCs w:val="21"/>
          <w:highlight w:val="none"/>
        </w:rPr>
      </w:pPr>
      <w:bookmarkStart w:id="147" w:name="_13.1报价文件:_具体材料见“投标人须知前附表”。"/>
      <w:bookmarkEnd w:id="147"/>
      <w:bookmarkStart w:id="148" w:name="_13.2资格证明文件：具体材料见“投标人须知前附表”。"/>
      <w:bookmarkEnd w:id="148"/>
      <w:r>
        <w:rPr>
          <w:rFonts w:hint="eastAsia" w:ascii="宋体" w:hAnsi="宋体" w:cs="宋体"/>
          <w:bCs/>
          <w:color w:val="auto"/>
          <w:szCs w:val="21"/>
          <w:highlight w:val="none"/>
        </w:rPr>
        <w:t>（1）资格证明文件：具体材料见“投标人须知前附表”。</w:t>
      </w:r>
    </w:p>
    <w:p>
      <w:pPr>
        <w:spacing w:line="360" w:lineRule="auto"/>
        <w:ind w:firstLine="420" w:firstLineChars="200"/>
        <w:rPr>
          <w:rFonts w:ascii="宋体" w:hAnsi="宋体" w:cs="宋体"/>
          <w:bCs/>
          <w:color w:val="auto"/>
          <w:szCs w:val="21"/>
          <w:highlight w:val="none"/>
        </w:rPr>
      </w:pPr>
      <w:bookmarkStart w:id="149" w:name="_13.3商务文件:_具体材料见“投标人须知前附表”。"/>
      <w:bookmarkEnd w:id="149"/>
      <w:r>
        <w:rPr>
          <w:rFonts w:hint="eastAsia" w:ascii="宋体" w:hAnsi="宋体" w:cs="宋体"/>
          <w:bCs/>
          <w:color w:val="auto"/>
          <w:szCs w:val="21"/>
          <w:highlight w:val="none"/>
        </w:rPr>
        <w:t>（2）商务文件：具体材料见“投标人须知前附表”。</w:t>
      </w:r>
    </w:p>
    <w:p>
      <w:pPr>
        <w:spacing w:line="360" w:lineRule="auto"/>
        <w:ind w:firstLine="420" w:firstLineChars="200"/>
        <w:rPr>
          <w:rFonts w:ascii="宋体" w:hAnsi="宋体" w:cs="宋体"/>
          <w:bCs/>
          <w:color w:val="auto"/>
          <w:szCs w:val="21"/>
          <w:highlight w:val="none"/>
        </w:rPr>
      </w:pPr>
      <w:bookmarkStart w:id="150" w:name="_13.4技术文件：具体材料见“投标人须知前附表”。"/>
      <w:bookmarkEnd w:id="150"/>
      <w:r>
        <w:rPr>
          <w:rFonts w:hint="eastAsia" w:ascii="宋体" w:hAnsi="宋体" w:cs="宋体"/>
          <w:bCs/>
          <w:color w:val="auto"/>
          <w:szCs w:val="21"/>
          <w:highlight w:val="none"/>
        </w:rPr>
        <w:t xml:space="preserve">（3）技术文件：具体材料见“投标人须知前附表”。 </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（4）报价文件： 具体材料见“投标人须知前附表”。</w:t>
      </w:r>
    </w:p>
    <w:p>
      <w:pPr>
        <w:spacing w:line="360" w:lineRule="auto"/>
        <w:ind w:firstLine="420" w:firstLineChars="200"/>
        <w:rPr>
          <w:rFonts w:ascii="宋体" w:hAnsi="宋体" w:cs="宋体"/>
          <w:bCs/>
          <w:color w:val="auto"/>
          <w:szCs w:val="21"/>
          <w:highlight w:val="none"/>
        </w:rPr>
      </w:pPr>
      <w:bookmarkStart w:id="151" w:name="_13.5投标文件电子版：具体材料见“投标人须知前附表”。"/>
      <w:bookmarkEnd w:id="151"/>
      <w:r>
        <w:rPr>
          <w:rFonts w:hint="eastAsia" w:ascii="宋体" w:hAnsi="宋体" w:cs="宋体"/>
          <w:bCs/>
          <w:color w:val="auto"/>
          <w:szCs w:val="21"/>
          <w:highlight w:val="none"/>
        </w:rPr>
        <w:t>13.2投标文件电子版：具体要求见本节19.投标文件编制。</w:t>
      </w:r>
    </w:p>
    <w:p>
      <w:pPr>
        <w:spacing w:line="360" w:lineRule="auto"/>
        <w:ind w:firstLine="480" w:firstLineChars="200"/>
        <w:rPr>
          <w:rFonts w:ascii="宋体" w:hAnsi="宋体" w:cs="宋体"/>
          <w:color w:val="auto"/>
          <w:sz w:val="24"/>
          <w:highlight w:val="none"/>
        </w:rPr>
      </w:pPr>
      <w:bookmarkStart w:id="152" w:name="_Toc254970678"/>
      <w:bookmarkStart w:id="153" w:name="_Toc254970537"/>
      <w:r>
        <w:rPr>
          <w:rFonts w:hint="eastAsia" w:ascii="宋体" w:hAnsi="宋体" w:cs="宋体"/>
          <w:color w:val="auto"/>
          <w:sz w:val="24"/>
          <w:highlight w:val="none"/>
        </w:rPr>
        <w:t>14.投标文件的语言及计量</w:t>
      </w:r>
      <w:bookmarkEnd w:id="152"/>
      <w:bookmarkEnd w:id="153"/>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14.1语言文字</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14.2投标计量单位</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招标文件已有明确规定的，使用招标文件规定的计量单位；招标文件没有规定的，应采用中华人民共和国法定计量单位，货币种类为人民币，</w:t>
      </w:r>
      <w:r>
        <w:rPr>
          <w:rFonts w:hint="eastAsia" w:ascii="宋体" w:hAnsi="宋体" w:cs="宋体"/>
          <w:b/>
          <w:color w:val="auto"/>
          <w:szCs w:val="21"/>
          <w:highlight w:val="none"/>
        </w:rPr>
        <w:t>否则视同未响应</w:t>
      </w:r>
      <w:r>
        <w:rPr>
          <w:rFonts w:hint="eastAsia" w:ascii="宋体" w:hAnsi="宋体" w:cs="宋体"/>
          <w:bCs/>
          <w:color w:val="auto"/>
          <w:szCs w:val="21"/>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15.投标的风险</w:t>
      </w:r>
    </w:p>
    <w:p>
      <w:pPr>
        <w:pStyle w:val="9"/>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投标文件分为资格文件、商务文件、技术文件、报价文件四部分（其中：商务文件与技术文件合并编辑成一个电子文档）。各投标人在编制投标文件时请按照招标文件规定的格式进行，混乱的编排导致投标文件被误读或评标委员会查找不到有效文件是投标人的风险。投标人没有按照招标文件要求提供全部资料，或者投标人没有对招标文件作出实质性响应是投标人的风险，可能导致其投标被拒绝。</w:t>
      </w:r>
    </w:p>
    <w:p>
      <w:pPr>
        <w:spacing w:line="360" w:lineRule="auto"/>
        <w:ind w:firstLine="480" w:firstLineChars="200"/>
        <w:rPr>
          <w:rFonts w:ascii="宋体" w:hAnsi="宋体" w:cs="宋体"/>
          <w:color w:val="auto"/>
          <w:sz w:val="24"/>
          <w:highlight w:val="none"/>
        </w:rPr>
      </w:pPr>
      <w:bookmarkStart w:id="154" w:name="_Toc254970538"/>
      <w:bookmarkStart w:id="155" w:name="_Toc254970679"/>
      <w:r>
        <w:rPr>
          <w:rFonts w:hint="eastAsia" w:ascii="宋体" w:hAnsi="宋体" w:cs="宋体"/>
          <w:color w:val="auto"/>
          <w:sz w:val="24"/>
          <w:highlight w:val="none"/>
        </w:rPr>
        <w:t>16.投标报价</w:t>
      </w:r>
      <w:bookmarkEnd w:id="154"/>
      <w:bookmarkEnd w:id="155"/>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16.1投标报价应</w:t>
      </w:r>
      <w:r>
        <w:rPr>
          <w:rFonts w:hint="eastAsia" w:ascii="宋体" w:hAnsi="宋体" w:cs="宋体"/>
          <w:bCs/>
          <w:color w:val="auto"/>
          <w:szCs w:val="20"/>
          <w:highlight w:val="none"/>
        </w:rPr>
        <w:t>按“第六章　投标文件格式”中“开标一览表”格式填写。</w:t>
      </w:r>
    </w:p>
    <w:p>
      <w:pPr>
        <w:spacing w:line="360" w:lineRule="auto"/>
        <w:ind w:firstLine="420" w:firstLineChars="200"/>
        <w:rPr>
          <w:rFonts w:ascii="宋体" w:hAnsi="宋体" w:cs="宋体"/>
          <w:bCs/>
          <w:color w:val="auto"/>
          <w:szCs w:val="21"/>
          <w:highlight w:val="none"/>
        </w:rPr>
      </w:pPr>
      <w:bookmarkStart w:id="156" w:name="_16.2投标报价具体定义见投标人须知前附表。"/>
      <w:bookmarkEnd w:id="156"/>
      <w:r>
        <w:rPr>
          <w:rFonts w:hint="eastAsia" w:ascii="宋体" w:hAnsi="宋体" w:cs="宋体"/>
          <w:bCs/>
          <w:color w:val="auto"/>
          <w:szCs w:val="21"/>
          <w:highlight w:val="none"/>
        </w:rPr>
        <w:t>16.2投标报价具体包括内容详见“投标人须知前附表”。</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16.3投标人必须就所投</w:t>
      </w:r>
      <w:r>
        <w:rPr>
          <w:rFonts w:hint="eastAsia" w:cs="宋体"/>
          <w:color w:val="auto"/>
          <w:szCs w:val="21"/>
          <w:highlight w:val="none"/>
        </w:rPr>
        <w:t>项目</w:t>
      </w:r>
      <w:r>
        <w:rPr>
          <w:rFonts w:hint="eastAsia" w:ascii="宋体" w:hAnsi="宋体" w:cs="宋体"/>
          <w:color w:val="auto"/>
          <w:szCs w:val="21"/>
          <w:highlight w:val="none"/>
        </w:rPr>
        <w:t>/</w:t>
      </w:r>
      <w:r>
        <w:rPr>
          <w:rFonts w:hint="eastAsia" w:ascii="宋体" w:hAnsi="宋体" w:cs="宋体"/>
          <w:bCs/>
          <w:color w:val="auto"/>
          <w:szCs w:val="21"/>
          <w:highlight w:val="none"/>
        </w:rPr>
        <w:t>每个分标的全部内容分别作完整唯一总价报价，不得存在漏项报价；投标人必须就所投</w:t>
      </w:r>
      <w:r>
        <w:rPr>
          <w:rFonts w:hint="eastAsia" w:cs="宋体"/>
          <w:color w:val="auto"/>
          <w:szCs w:val="21"/>
          <w:highlight w:val="none"/>
        </w:rPr>
        <w:t>项目</w:t>
      </w:r>
      <w:r>
        <w:rPr>
          <w:rFonts w:hint="eastAsia" w:ascii="宋体" w:hAnsi="宋体" w:cs="宋体"/>
          <w:color w:val="auto"/>
          <w:szCs w:val="21"/>
          <w:highlight w:val="none"/>
        </w:rPr>
        <w:t>/</w:t>
      </w:r>
      <w:r>
        <w:rPr>
          <w:rFonts w:hint="eastAsia" w:ascii="宋体" w:hAnsi="宋体" w:cs="宋体"/>
          <w:bCs/>
          <w:color w:val="auto"/>
          <w:szCs w:val="21"/>
          <w:highlight w:val="none"/>
        </w:rPr>
        <w:t>分标的单项内容作唯一报价。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17.投标有效期</w:t>
      </w:r>
    </w:p>
    <w:p>
      <w:pPr>
        <w:spacing w:line="360" w:lineRule="auto"/>
        <w:ind w:firstLine="420" w:firstLineChars="200"/>
        <w:rPr>
          <w:rFonts w:ascii="宋体" w:hAnsi="宋体" w:cs="宋体"/>
          <w:bCs/>
          <w:color w:val="auto"/>
          <w:szCs w:val="21"/>
          <w:highlight w:val="none"/>
        </w:rPr>
      </w:pPr>
      <w:bookmarkStart w:id="157" w:name="_17.1投标有效期应按“投标人须知中的前附表”规定的期限。"/>
      <w:bookmarkEnd w:id="157"/>
      <w:r>
        <w:rPr>
          <w:rFonts w:hint="eastAsia" w:ascii="宋体" w:hAnsi="宋体" w:cs="宋体"/>
          <w:bCs/>
          <w:color w:val="auto"/>
          <w:szCs w:val="21"/>
          <w:highlight w:val="none"/>
        </w:rPr>
        <w:t>17.1投标有效期是指为保证采购人有足够的时间在开标后完成评标、定标、合同签订等工作而要求投标人提交的投标文件在一定时间内保持有效的期限。</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17.2</w:t>
      </w:r>
      <w:bookmarkStart w:id="158" w:name="_Toc254970681"/>
      <w:bookmarkStart w:id="159" w:name="_Toc254970540"/>
      <w:r>
        <w:rPr>
          <w:rFonts w:hint="eastAsia" w:ascii="宋体" w:hAnsi="宋体" w:cs="宋体"/>
          <w:bCs/>
          <w:color w:val="auto"/>
          <w:szCs w:val="21"/>
          <w:highlight w:val="none"/>
        </w:rPr>
        <w:t xml:space="preserve"> 投标有效期应按规定的期限作出承诺，具体详见“投标人须知前附表”。</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17.3投标人的投标文件在投标有效期内均保持有效。</w:t>
      </w:r>
      <w:bookmarkEnd w:id="158"/>
      <w:bookmarkEnd w:id="159"/>
    </w:p>
    <w:p>
      <w:pPr>
        <w:spacing w:line="360" w:lineRule="auto"/>
        <w:ind w:firstLine="480" w:firstLineChars="200"/>
        <w:rPr>
          <w:rFonts w:ascii="宋体" w:hAnsi="宋体" w:cs="宋体"/>
          <w:color w:val="auto"/>
          <w:sz w:val="24"/>
          <w:highlight w:val="none"/>
        </w:rPr>
      </w:pPr>
      <w:bookmarkStart w:id="160" w:name="_18.投标保证金"/>
      <w:bookmarkEnd w:id="160"/>
      <w:bookmarkStart w:id="161" w:name="_Toc254970541"/>
      <w:bookmarkStart w:id="162" w:name="_Toc254970682"/>
      <w:r>
        <w:rPr>
          <w:rFonts w:hint="eastAsia" w:ascii="宋体" w:hAnsi="宋体" w:cs="宋体"/>
          <w:color w:val="auto"/>
          <w:sz w:val="24"/>
          <w:highlight w:val="none"/>
        </w:rPr>
        <w:t>18.投标保证金</w:t>
      </w:r>
      <w:bookmarkEnd w:id="161"/>
      <w:bookmarkEnd w:id="162"/>
    </w:p>
    <w:p>
      <w:pPr>
        <w:pStyle w:val="6"/>
        <w:keepNext w:val="0"/>
        <w:keepLines w:val="0"/>
        <w:spacing w:before="0" w:after="0" w:line="360" w:lineRule="auto"/>
        <w:ind w:left="420" w:leftChars="200"/>
        <w:rPr>
          <w:rFonts w:ascii="宋体" w:hAnsi="宋体" w:cs="宋体"/>
          <w:b w:val="0"/>
          <w:color w:val="auto"/>
          <w:sz w:val="21"/>
          <w:szCs w:val="21"/>
          <w:highlight w:val="none"/>
        </w:rPr>
      </w:pPr>
      <w:bookmarkStart w:id="163" w:name="_Toc254970683"/>
      <w:bookmarkStart w:id="164" w:name="_Toc254970542"/>
      <w:r>
        <w:rPr>
          <w:rFonts w:hint="eastAsia" w:ascii="宋体" w:hAnsi="宋体" w:cs="宋体"/>
          <w:b w:val="0"/>
          <w:color w:val="auto"/>
          <w:sz w:val="21"/>
          <w:szCs w:val="21"/>
          <w:highlight w:val="none"/>
        </w:rPr>
        <w:t>18.1投标人须按“投标人须知前附表” 的规定提交投标保证金。</w:t>
      </w:r>
    </w:p>
    <w:p>
      <w:pPr>
        <w:pStyle w:val="6"/>
        <w:keepNext w:val="0"/>
        <w:keepLines w:val="0"/>
        <w:spacing w:before="0" w:after="0" w:line="360" w:lineRule="auto"/>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18.2投标保证金的退还</w:t>
      </w:r>
    </w:p>
    <w:p>
      <w:pPr>
        <w:pStyle w:val="6"/>
        <w:keepNext w:val="0"/>
        <w:keepLines w:val="0"/>
        <w:spacing w:before="0" w:after="0" w:line="360" w:lineRule="auto"/>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18.2.1未中标人的投标保证金自中标通知书发出之日起5个工作日内退还，退还方式如下：</w:t>
      </w:r>
    </w:p>
    <w:p>
      <w:pPr>
        <w:pStyle w:val="6"/>
        <w:keepNext w:val="0"/>
        <w:keepLines w:val="0"/>
        <w:spacing w:before="0" w:after="0" w:line="360" w:lineRule="auto"/>
        <w:ind w:firstLine="315" w:firstLineChars="150"/>
        <w:rPr>
          <w:rFonts w:ascii="宋体" w:hAnsi="宋体" w:cs="宋体"/>
          <w:b w:val="0"/>
          <w:color w:val="auto"/>
          <w:sz w:val="21"/>
          <w:szCs w:val="21"/>
          <w:highlight w:val="none"/>
        </w:rPr>
      </w:pPr>
      <w:r>
        <w:rPr>
          <w:rFonts w:hint="eastAsia" w:ascii="宋体" w:hAnsi="宋体" w:cs="宋体"/>
          <w:b w:val="0"/>
          <w:color w:val="auto"/>
          <w:sz w:val="21"/>
          <w:szCs w:val="21"/>
          <w:highlight w:val="none"/>
        </w:rPr>
        <w:t>（1）采用银行转账方式的，以转账方式退回到投标人银行账户。</w:t>
      </w:r>
    </w:p>
    <w:p>
      <w:pPr>
        <w:pStyle w:val="7"/>
        <w:spacing w:line="360"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 xml:space="preserve">（2）采用支票、汇票、本票或者金融机构、担保机构出具的保函等方式的，由投标人代表持相关授权证明材料至采购代理机构办理支票、汇票、本票或者金融机构、担保机构出具的保函等原件退还手续。 </w:t>
      </w:r>
    </w:p>
    <w:p>
      <w:pPr>
        <w:pStyle w:val="6"/>
        <w:keepNext w:val="0"/>
        <w:keepLines w:val="0"/>
        <w:spacing w:before="0" w:after="0" w:line="360" w:lineRule="auto"/>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 xml:space="preserve">18.2.2中标人的投标保证金自采购合同签订之日起5个工作日内退还，退还方式同本须知正文第18.2.1，或者转为中标人的履约保证金。 </w:t>
      </w:r>
    </w:p>
    <w:p>
      <w:pPr>
        <w:pStyle w:val="6"/>
        <w:keepNext w:val="0"/>
        <w:keepLines w:val="0"/>
        <w:spacing w:before="0" w:after="0" w:line="360" w:lineRule="auto"/>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18.3除逾期退还投标保证金和终止招标的情形以外，投标保证金不计息。</w:t>
      </w:r>
    </w:p>
    <w:p>
      <w:pPr>
        <w:pStyle w:val="6"/>
        <w:keepNext w:val="0"/>
        <w:keepLines w:val="0"/>
        <w:spacing w:before="0" w:after="0" w:line="360" w:lineRule="auto"/>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18.4投标人有下列情形之一的，投标保证金将不予退还：</w:t>
      </w:r>
    </w:p>
    <w:p>
      <w:pPr>
        <w:pStyle w:val="6"/>
        <w:keepNext w:val="0"/>
        <w:keepLines w:val="0"/>
        <w:spacing w:before="0" w:after="0" w:line="360" w:lineRule="auto"/>
        <w:ind w:firstLine="315" w:firstLineChars="15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（1）投标人在投标有效期内撤销投标文件的；</w:t>
      </w:r>
    </w:p>
    <w:p>
      <w:pPr>
        <w:pStyle w:val="6"/>
        <w:keepNext w:val="0"/>
        <w:keepLines w:val="0"/>
        <w:spacing w:before="0" w:after="0" w:line="360" w:lineRule="auto"/>
        <w:ind w:firstLine="315" w:firstLineChars="15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（2）未按规定提交履约保证金的；</w:t>
      </w:r>
    </w:p>
    <w:p>
      <w:pPr>
        <w:pStyle w:val="6"/>
        <w:keepNext w:val="0"/>
        <w:keepLines w:val="0"/>
        <w:spacing w:before="0" w:after="0" w:line="360" w:lineRule="auto"/>
        <w:ind w:firstLine="315" w:firstLineChars="15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（3）投标人在投标过程中弄虚作假，提供虚假材料的；</w:t>
      </w:r>
    </w:p>
    <w:p>
      <w:pPr>
        <w:pStyle w:val="6"/>
        <w:keepNext w:val="0"/>
        <w:keepLines w:val="0"/>
        <w:spacing w:before="0" w:after="0" w:line="360" w:lineRule="auto"/>
        <w:ind w:firstLine="315" w:firstLineChars="15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（4）中标人无正当理由不与采购人签订合同的；</w:t>
      </w:r>
    </w:p>
    <w:p>
      <w:pPr>
        <w:pStyle w:val="6"/>
        <w:keepNext w:val="0"/>
        <w:keepLines w:val="0"/>
        <w:spacing w:before="0" w:after="0" w:line="360" w:lineRule="auto"/>
        <w:ind w:firstLine="315" w:firstLineChars="15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（5）投标人出现本章第9.2、9.3情形的；</w:t>
      </w:r>
    </w:p>
    <w:p>
      <w:pPr>
        <w:pStyle w:val="6"/>
        <w:keepNext w:val="0"/>
        <w:keepLines w:val="0"/>
        <w:spacing w:before="0" w:after="0" w:line="360" w:lineRule="auto"/>
        <w:ind w:firstLine="315" w:firstLineChars="15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（6）其他严重扰乱招投标程序的。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19.投标文件的</w:t>
      </w:r>
      <w:bookmarkEnd w:id="163"/>
      <w:bookmarkEnd w:id="164"/>
      <w:r>
        <w:rPr>
          <w:rFonts w:hint="eastAsia" w:ascii="宋体" w:hAnsi="宋体" w:cs="宋体"/>
          <w:color w:val="auto"/>
          <w:sz w:val="24"/>
          <w:highlight w:val="none"/>
        </w:rPr>
        <w:t>编制</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 xml:space="preserve"> </w:t>
      </w:r>
      <w:r>
        <w:rPr>
          <w:rFonts w:hint="eastAsia" w:ascii="宋体" w:hAnsi="宋体" w:cs="宋体"/>
          <w:color w:val="auto"/>
          <w:szCs w:val="21"/>
          <w:highlight w:val="none"/>
        </w:rPr>
        <w:t>19.1投标文件编制要求详见“投标人须知前附表”。投标人应按本招标文件规定的格式和顺序编制投标文件并标注页码，投标文件内容不完整、编排混乱导致投标文件被误读、漏读或者查找不到相关内容的，由此引发的后果由投标人承担。</w:t>
      </w:r>
      <w:bookmarkStart w:id="165" w:name="_19.2投标文件应按报价文件、资格证明文件、商务文件、技术文件分别编制"/>
      <w:bookmarkEnd w:id="165"/>
    </w:p>
    <w:p>
      <w:pPr>
        <w:spacing w:line="360" w:lineRule="auto"/>
        <w:ind w:firstLine="420" w:firstLineChars="200"/>
        <w:rPr>
          <w:rFonts w:ascii="宋体" w:hAnsi="宋体" w:cs="宋体"/>
          <w:b/>
          <w:color w:val="auto"/>
          <w:szCs w:val="21"/>
          <w:highlight w:val="none"/>
        </w:rPr>
      </w:pPr>
      <w:r>
        <w:rPr>
          <w:rFonts w:hint="eastAsia" w:ascii="宋体" w:hAnsi="宋体" w:cs="宋体"/>
          <w:color w:val="auto"/>
          <w:szCs w:val="21"/>
          <w:highlight w:val="none"/>
        </w:rPr>
        <w:t>19.2投标文件按照招标文件第六章格式要求进行签署、盖章。投标人的投标文件未按照招标文件要求签署、盖章的，</w:t>
      </w:r>
      <w:r>
        <w:rPr>
          <w:rFonts w:hint="eastAsia" w:ascii="宋体" w:hAnsi="宋体" w:cs="宋体"/>
          <w:b/>
          <w:color w:val="auto"/>
          <w:szCs w:val="21"/>
          <w:highlight w:val="none"/>
        </w:rPr>
        <w:t>其投标无效。</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19.3为确保网上操作合法、有效和安全，投标人应当在投标截止时间前完成在广西政府采购云平台的身份认证，确保在电子投标过程中能够对相关数据电文进行加密和使用电子签名。</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19.4投标文件中标注的投标人名称应与主体资格证明（如营业执照、事业单位法人证书、执业许可证、自然人身份证等）及公章一致，</w:t>
      </w:r>
      <w:r>
        <w:rPr>
          <w:rFonts w:hint="eastAsia" w:ascii="宋体" w:hAnsi="宋体" w:cs="宋体"/>
          <w:b/>
          <w:bCs/>
          <w:color w:val="auto"/>
          <w:szCs w:val="21"/>
          <w:highlight w:val="none"/>
        </w:rPr>
        <w:t>否则作无效投标处理</w:t>
      </w:r>
      <w:r>
        <w:rPr>
          <w:rFonts w:hint="eastAsia" w:ascii="宋体" w:hAnsi="宋体" w:cs="宋体"/>
          <w:b/>
          <w:color w:val="auto"/>
          <w:szCs w:val="21"/>
          <w:highlight w:val="none"/>
        </w:rPr>
        <w:t>。</w:t>
      </w:r>
    </w:p>
    <w:p>
      <w:pPr>
        <w:spacing w:line="360" w:lineRule="auto"/>
        <w:ind w:firstLine="420" w:firstLineChars="200"/>
        <w:rPr>
          <w:rFonts w:ascii="宋体" w:hAnsi="宋体" w:cs="宋体"/>
          <w:b/>
          <w:color w:val="auto"/>
          <w:szCs w:val="21"/>
          <w:highlight w:val="none"/>
        </w:rPr>
      </w:pPr>
      <w:r>
        <w:rPr>
          <w:rFonts w:hint="eastAsia" w:ascii="宋体" w:hAnsi="宋体" w:cs="宋体"/>
          <w:color w:val="auto"/>
          <w:szCs w:val="21"/>
          <w:highlight w:val="none"/>
        </w:rPr>
        <w:t xml:space="preserve"> 19.5投标文件应避免涂改、行间插字或者删除</w:t>
      </w:r>
      <w:r>
        <w:rPr>
          <w:rFonts w:hint="eastAsia" w:ascii="宋体" w:hAnsi="宋体" w:cs="宋体"/>
          <w:b/>
          <w:color w:val="auto"/>
          <w:szCs w:val="21"/>
          <w:highlight w:val="none"/>
        </w:rPr>
        <w:t>。</w:t>
      </w:r>
    </w:p>
    <w:p>
      <w:pPr>
        <w:spacing w:line="360" w:lineRule="auto"/>
        <w:ind w:firstLine="520" w:firstLineChars="248"/>
        <w:rPr>
          <w:rFonts w:ascii="宋体" w:hAnsi="宋体" w:cs="宋体"/>
          <w:color w:val="auto"/>
          <w:highlight w:val="none"/>
        </w:rPr>
      </w:pPr>
      <w:r>
        <w:rPr>
          <w:rFonts w:hint="eastAsia" w:ascii="宋体" w:hAnsi="宋体" w:cs="宋体"/>
          <w:color w:val="auto"/>
          <w:highlight w:val="none"/>
        </w:rPr>
        <w:t>19.6 对招标文件的实质性要求和条件作出响应是指投标人必须对招标文件中标注为实质性要求和条件的</w:t>
      </w:r>
      <w:r>
        <w:rPr>
          <w:rFonts w:hint="eastAsia" w:ascii="宋体" w:hAnsi="宋体" w:cs="宋体"/>
          <w:color w:val="auto"/>
          <w:szCs w:val="21"/>
          <w:highlight w:val="none"/>
        </w:rPr>
        <w:t>货物内容及要求</w:t>
      </w:r>
      <w:r>
        <w:rPr>
          <w:rFonts w:hint="eastAsia" w:ascii="宋体" w:hAnsi="宋体" w:cs="宋体"/>
          <w:color w:val="auto"/>
          <w:highlight w:val="none"/>
        </w:rPr>
        <w:t>、商务条款及其它内容</w:t>
      </w:r>
      <w:r>
        <w:rPr>
          <w:rFonts w:hint="eastAsia" w:ascii="宋体" w:hAnsi="宋体" w:cs="宋体"/>
          <w:b/>
          <w:color w:val="auto"/>
          <w:highlight w:val="none"/>
        </w:rPr>
        <w:t>作出满足或者优于原要求和条件的承诺</w:t>
      </w:r>
      <w:r>
        <w:rPr>
          <w:rFonts w:hint="eastAsia" w:ascii="宋体" w:hAnsi="宋体" w:cs="宋体"/>
          <w:color w:val="auto"/>
          <w:highlight w:val="none"/>
        </w:rPr>
        <w:t>。</w:t>
      </w:r>
    </w:p>
    <w:p>
      <w:pPr>
        <w:spacing w:line="360" w:lineRule="auto"/>
        <w:ind w:firstLine="523" w:firstLineChars="248"/>
        <w:rPr>
          <w:rFonts w:ascii="宋体" w:hAnsi="宋体" w:cs="宋体"/>
          <w:b/>
          <w:color w:val="auto"/>
          <w:szCs w:val="21"/>
          <w:highlight w:val="none"/>
          <w:u w:val="single"/>
        </w:rPr>
      </w:pPr>
      <w:r>
        <w:rPr>
          <w:rFonts w:hint="eastAsia" w:ascii="宋体" w:hAnsi="宋体" w:cs="宋体"/>
          <w:b/>
          <w:color w:val="auto"/>
          <w:szCs w:val="21"/>
          <w:highlight w:val="none"/>
          <w:u w:val="single"/>
        </w:rPr>
        <w:t>19.7本项目为全流程电子化项目，异常情况见“第二节 投标人须知正文”中“四、24.2开标程序。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20.备份投标文件</w:t>
      </w:r>
    </w:p>
    <w:p>
      <w:pPr>
        <w:spacing w:line="360" w:lineRule="auto"/>
        <w:ind w:firstLine="420" w:firstLineChars="200"/>
        <w:rPr>
          <w:rFonts w:ascii="宋体" w:hAnsi="宋体" w:cs="宋体"/>
          <w:color w:val="auto"/>
          <w:sz w:val="24"/>
          <w:highlight w:val="none"/>
        </w:rPr>
      </w:pPr>
      <w:r>
        <w:rPr>
          <w:rFonts w:hint="eastAsia" w:ascii="宋体" w:hAnsi="宋体" w:cs="宋体"/>
          <w:bCs/>
          <w:color w:val="auto"/>
          <w:szCs w:val="21"/>
          <w:highlight w:val="none"/>
        </w:rPr>
        <w:t>详见在“投标人须知前附表”。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21.投标文件的提交</w:t>
      </w:r>
    </w:p>
    <w:p>
      <w:pPr>
        <w:spacing w:line="360" w:lineRule="auto"/>
        <w:ind w:firstLine="420" w:firstLineChars="200"/>
        <w:rPr>
          <w:rFonts w:ascii="宋体" w:hAnsi="宋体" w:cs="宋体"/>
          <w:b/>
          <w:color w:val="auto"/>
          <w:highlight w:val="none"/>
        </w:rPr>
      </w:pPr>
      <w:bookmarkStart w:id="166" w:name="_21.1投标人必须在“投标人须知中的前附表”规定的投标文件接收时间和投"/>
      <w:bookmarkEnd w:id="166"/>
      <w:r>
        <w:rPr>
          <w:rFonts w:hint="eastAsia" w:ascii="宋体" w:hAnsi="宋体" w:cs="宋体"/>
          <w:bCs/>
          <w:color w:val="auto"/>
          <w:szCs w:val="21"/>
          <w:highlight w:val="none"/>
        </w:rPr>
        <w:t xml:space="preserve">21.1投标人必须在“投标人须知前附表”规定的投标文件接收时间和投标地点提交电子版投标文件。电子投标文件应在制作完成后，在投标截止时间前通过有效数字证书（CA认证锁）进行电子签章、加密，然后通过网络将加密的电子投标文件递交至广西政府采购云平台。 </w:t>
      </w:r>
      <w:r>
        <w:rPr>
          <w:rFonts w:hint="eastAsia" w:ascii="宋体" w:hAnsi="宋体" w:cs="宋体"/>
          <w:b/>
          <w:color w:val="auto"/>
          <w:highlight w:val="none"/>
        </w:rPr>
        <w:t xml:space="preserve"> </w:t>
      </w:r>
    </w:p>
    <w:p>
      <w:pPr>
        <w:spacing w:line="360" w:lineRule="auto"/>
        <w:ind w:firstLine="422" w:firstLineChars="200"/>
        <w:rPr>
          <w:rFonts w:ascii="宋体" w:hAnsi="宋体" w:cs="宋体"/>
          <w:b/>
          <w:color w:val="auto"/>
          <w:szCs w:val="20"/>
          <w:highlight w:val="none"/>
        </w:rPr>
      </w:pPr>
      <w:r>
        <w:rPr>
          <w:rFonts w:hint="eastAsia" w:ascii="宋体" w:hAnsi="宋体" w:cs="宋体"/>
          <w:b/>
          <w:color w:val="auto"/>
          <w:szCs w:val="21"/>
          <w:highlight w:val="none"/>
        </w:rPr>
        <w:t>21.2未在规定时间内提交或者未按照招标文件要求密封或者标记的电子投标文件，广西政府采购云平台将拒收。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21.3电子版投标文件提交方式见“招标公告”</w:t>
      </w:r>
      <w:r>
        <w:rPr>
          <w:rFonts w:hint="eastAsia" w:ascii="宋体" w:hAnsi="宋体" w:cs="宋体"/>
          <w:b/>
          <w:color w:val="auto"/>
          <w:szCs w:val="21"/>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投标文件的补充、修改、撤回</w:t>
      </w:r>
      <w:bookmarkStart w:id="167" w:name="_Toc254970684"/>
      <w:bookmarkStart w:id="168" w:name="_Toc254970543"/>
    </w:p>
    <w:p>
      <w:pPr>
        <w:spacing w:line="360" w:lineRule="auto"/>
        <w:ind w:firstLine="420" w:firstLineChars="200"/>
        <w:rPr>
          <w:rFonts w:ascii="宋体" w:hAnsi="宋体" w:cs="宋体"/>
          <w:color w:val="auto"/>
          <w:sz w:val="24"/>
          <w:highlight w:val="none"/>
        </w:rPr>
      </w:pPr>
      <w:r>
        <w:rPr>
          <w:rFonts w:hint="eastAsia" w:ascii="宋体" w:hAnsi="宋体" w:cs="宋体"/>
          <w:color w:val="auto"/>
          <w:szCs w:val="21"/>
          <w:highlight w:val="none"/>
        </w:rPr>
        <w:t>22.1 投标人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提交的投标文件，广西政府采购云平台将拒收。</w:t>
      </w:r>
    </w:p>
    <w:p>
      <w:pPr>
        <w:pStyle w:val="49"/>
        <w:spacing w:before="0"/>
        <w:ind w:firstLine="420"/>
        <w:rPr>
          <w:rFonts w:ascii="宋体" w:hAnsi="宋体" w:cs="宋体"/>
          <w:color w:val="auto"/>
          <w:szCs w:val="21"/>
          <w:highlight w:val="none"/>
        </w:rPr>
      </w:pPr>
      <w:r>
        <w:rPr>
          <w:rFonts w:hint="eastAsia" w:ascii="宋体" w:hAnsi="宋体" w:cs="宋体"/>
          <w:color w:val="auto"/>
          <w:sz w:val="21"/>
          <w:szCs w:val="21"/>
          <w:highlight w:val="none"/>
        </w:rPr>
        <w:t>22.2</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广西政府采购云平台收到投标文件，将妥善保存并即时向投标人发出确认回执通知。在投标截止时间前，除投标人补充、修改或者撤回投标文件外，任何单位和个人不得解密或提取投标文件。</w:t>
      </w:r>
      <w:bookmarkEnd w:id="167"/>
      <w:bookmarkEnd w:id="168"/>
    </w:p>
    <w:p>
      <w:pPr>
        <w:pStyle w:val="2"/>
        <w:rPr>
          <w:color w:val="auto"/>
          <w:highlight w:val="none"/>
        </w:rPr>
      </w:pPr>
    </w:p>
    <w:p>
      <w:pPr>
        <w:pStyle w:val="12"/>
        <w:snapToGrid w:val="0"/>
        <w:spacing w:line="400" w:lineRule="exact"/>
        <w:ind w:firstLine="739"/>
        <w:rPr>
          <w:rFonts w:hAnsi="宋体" w:cs="宋体"/>
          <w:snapToGrid w:val="0"/>
          <w:color w:val="auto"/>
          <w:sz w:val="21"/>
          <w:szCs w:val="21"/>
          <w:highlight w:val="none"/>
        </w:rPr>
      </w:pPr>
    </w:p>
    <w:p>
      <w:pPr>
        <w:pStyle w:val="5"/>
        <w:keepNext w:val="0"/>
        <w:keepLines w:val="0"/>
        <w:spacing w:line="400" w:lineRule="exact"/>
        <w:jc w:val="center"/>
        <w:rPr>
          <w:rFonts w:ascii="宋体" w:hAnsi="宋体" w:cs="宋体"/>
          <w:color w:val="auto"/>
          <w:highlight w:val="none"/>
        </w:rPr>
      </w:pPr>
      <w:bookmarkStart w:id="169" w:name="_Toc13173"/>
      <w:bookmarkStart w:id="170" w:name="_Toc20620"/>
      <w:bookmarkStart w:id="171" w:name="_Toc254970544"/>
      <w:bookmarkStart w:id="172" w:name="_Toc20797"/>
      <w:bookmarkStart w:id="173" w:name="_Toc254970685"/>
      <w:bookmarkStart w:id="174" w:name="_Toc20871"/>
      <w:bookmarkStart w:id="175" w:name="_Toc6762"/>
      <w:r>
        <w:rPr>
          <w:rFonts w:hint="eastAsia" w:ascii="宋体" w:hAnsi="宋体" w:cs="宋体"/>
          <w:color w:val="auto"/>
          <w:highlight w:val="none"/>
        </w:rPr>
        <w:t>四、开    标</w:t>
      </w:r>
      <w:bookmarkEnd w:id="169"/>
      <w:bookmarkEnd w:id="170"/>
      <w:bookmarkEnd w:id="171"/>
      <w:bookmarkEnd w:id="172"/>
      <w:bookmarkEnd w:id="173"/>
      <w:bookmarkEnd w:id="174"/>
      <w:bookmarkEnd w:id="175"/>
    </w:p>
    <w:p>
      <w:pPr>
        <w:spacing w:line="360" w:lineRule="auto"/>
        <w:ind w:firstLine="480" w:firstLineChars="200"/>
        <w:rPr>
          <w:rFonts w:ascii="宋体" w:hAnsi="宋体" w:cs="宋体"/>
          <w:color w:val="auto"/>
          <w:sz w:val="24"/>
          <w:highlight w:val="none"/>
        </w:rPr>
      </w:pPr>
      <w:bookmarkStart w:id="176" w:name="_23.开标时间和地点"/>
      <w:bookmarkEnd w:id="176"/>
      <w:r>
        <w:rPr>
          <w:rFonts w:hint="eastAsia" w:ascii="宋体" w:hAnsi="宋体" w:cs="宋体"/>
          <w:color w:val="auto"/>
          <w:sz w:val="24"/>
          <w:highlight w:val="none"/>
        </w:rPr>
        <w:t>23.开标时间和地点</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23.1开标时间及地点详见“投标人须知前附表”</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23.2如</w:t>
      </w:r>
      <w:r>
        <w:rPr>
          <w:rFonts w:hint="eastAsia" w:ascii="宋体" w:hAnsi="宋体" w:cs="宋体"/>
          <w:bCs/>
          <w:color w:val="auto"/>
          <w:highlight w:val="none"/>
        </w:rPr>
        <w:t>投标人成功解密投标文件，但未在广西政府采购云电子开标大厅参加开标的，视同认可开标过程和结果，</w:t>
      </w:r>
      <w:r>
        <w:rPr>
          <w:rFonts w:hint="eastAsia" w:ascii="宋体" w:hAnsi="宋体" w:cs="宋体"/>
          <w:color w:val="auto"/>
          <w:highlight w:val="none"/>
        </w:rPr>
        <w:t>由此产生的后果由投标人自行负责。 投标人不足3家的，不得开标。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24.开标程序</w:t>
      </w:r>
    </w:p>
    <w:p>
      <w:pPr>
        <w:autoSpaceDE w:val="0"/>
        <w:autoSpaceDN w:val="0"/>
        <w:adjustRightInd w:val="0"/>
        <w:spacing w:line="440" w:lineRule="exact"/>
        <w:ind w:firstLine="420" w:firstLineChars="200"/>
        <w:rPr>
          <w:rFonts w:ascii="宋体" w:hAnsi="宋体" w:cs="宋体"/>
          <w:color w:val="auto"/>
          <w:kern w:val="0"/>
          <w:szCs w:val="21"/>
          <w:highlight w:val="none"/>
        </w:rPr>
      </w:pPr>
      <w:r>
        <w:rPr>
          <w:rFonts w:hint="eastAsia" w:ascii="宋体" w:hAnsi="宋体" w:cs="宋体"/>
          <w:bCs/>
          <w:color w:val="auto"/>
          <w:szCs w:val="21"/>
          <w:highlight w:val="none"/>
        </w:rPr>
        <w:t>24.1</w:t>
      </w:r>
      <w:r>
        <w:rPr>
          <w:rFonts w:hint="eastAsia" w:ascii="宋体" w:hAnsi="宋体" w:cs="宋体"/>
          <w:color w:val="auto"/>
          <w:kern w:val="0"/>
          <w:szCs w:val="21"/>
          <w:highlight w:val="none"/>
        </w:rPr>
        <w:t>开标形式：</w:t>
      </w:r>
    </w:p>
    <w:p>
      <w:pPr>
        <w:autoSpaceDE w:val="0"/>
        <w:autoSpaceDN w:val="0"/>
        <w:adjustRightInd w:val="0"/>
        <w:spacing w:line="440" w:lineRule="exact"/>
        <w:ind w:firstLine="420" w:firstLineChars="200"/>
        <w:rPr>
          <w:rFonts w:ascii="宋体" w:hAnsi="宋体" w:cs="宋体"/>
          <w:bCs/>
          <w:color w:val="auto"/>
          <w:szCs w:val="21"/>
          <w:highlight w:val="none"/>
        </w:rPr>
      </w:pPr>
      <w:r>
        <w:rPr>
          <w:rFonts w:hint="eastAsia" w:ascii="宋体" w:hAnsi="宋体" w:cs="宋体"/>
          <w:color w:val="auto"/>
          <w:szCs w:val="21"/>
          <w:highlight w:val="none"/>
        </w:rPr>
        <w:t>（1）</w:t>
      </w:r>
      <w:r>
        <w:rPr>
          <w:rFonts w:hint="eastAsia" w:ascii="宋体" w:hAnsi="宋体" w:cs="宋体"/>
          <w:bCs/>
          <w:color w:val="auto"/>
          <w:szCs w:val="21"/>
          <w:highlight w:val="none"/>
        </w:rPr>
        <w:t>开标的准备工作由采购代理机构负责落实，采购代理机构必须基于广西政府采购云平台依法抽取评审专家，如采购代理机构未按规定抽取专家的，视为本次开评标无效，应当重新采购；</w:t>
      </w:r>
    </w:p>
    <w:p>
      <w:pPr>
        <w:autoSpaceDE w:val="0"/>
        <w:autoSpaceDN w:val="0"/>
        <w:adjustRightIn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采购代理机构将按照招标文件规定的时间通过广西政府采购云平台组织线上开标活动、开启投标文件，所有投标人均应当准时在线参加。投标人如不参加开标大会的，视同认可开标结果，事后不得对采购相关人员、开标过程和开标结果提出异议，同时投标人因未在线参加开标而导致投标文件无法按时解密等一切后果由投标人自己承担。</w:t>
      </w:r>
    </w:p>
    <w:p>
      <w:pPr>
        <w:autoSpaceDE w:val="0"/>
        <w:autoSpaceDN w:val="0"/>
        <w:adjustRightIn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24.2开标程序：</w:t>
      </w:r>
    </w:p>
    <w:p>
      <w:pPr>
        <w:pStyle w:val="9"/>
        <w:spacing w:line="360" w:lineRule="auto"/>
        <w:ind w:firstLine="422" w:firstLineChars="200"/>
        <w:rPr>
          <w:rFonts w:ascii="宋体" w:hAnsi="宋体" w:cs="宋体"/>
          <w:b/>
          <w:color w:val="auto"/>
          <w:kern w:val="1"/>
          <w:szCs w:val="21"/>
          <w:highlight w:val="none"/>
        </w:rPr>
      </w:pPr>
      <w:r>
        <w:rPr>
          <w:rFonts w:hint="eastAsia" w:ascii="宋体" w:hAnsi="宋体" w:cs="宋体"/>
          <w:b/>
          <w:color w:val="auto"/>
          <w:szCs w:val="21"/>
          <w:highlight w:val="none"/>
        </w:rPr>
        <w:t>（1）</w:t>
      </w:r>
      <w:r>
        <w:rPr>
          <w:rFonts w:hint="eastAsia" w:hAnsi="宋体" w:cs="宋体"/>
          <w:b/>
          <w:color w:val="auto"/>
          <w:szCs w:val="21"/>
          <w:highlight w:val="none"/>
        </w:rPr>
        <w:t>解密电子投标文件。</w:t>
      </w:r>
      <w:r>
        <w:rPr>
          <w:rFonts w:hint="eastAsia" w:hAnsi="宋体" w:cs="宋体"/>
          <w:b w:val="0"/>
          <w:bCs/>
          <w:color w:val="auto"/>
          <w:szCs w:val="21"/>
          <w:highlight w:val="none"/>
        </w:rPr>
        <w:t>广西政府采购云</w:t>
      </w:r>
      <w:r>
        <w:rPr>
          <w:rFonts w:ascii="宋体" w:hAnsi="宋体" w:cs="仿宋"/>
          <w:color w:val="auto"/>
          <w:kern w:val="1"/>
          <w:szCs w:val="21"/>
          <w:highlight w:val="none"/>
        </w:rPr>
        <w:t>平台按开标时间自动提取所有投标文件。采购代理机构依托</w:t>
      </w:r>
      <w:r>
        <w:rPr>
          <w:rFonts w:hint="eastAsia" w:ascii="宋体" w:hAnsi="宋体" w:cs="仿宋"/>
          <w:color w:val="auto"/>
          <w:kern w:val="1"/>
          <w:szCs w:val="21"/>
          <w:highlight w:val="none"/>
        </w:rPr>
        <w:t>广西政府采购云</w:t>
      </w:r>
      <w:r>
        <w:rPr>
          <w:rFonts w:ascii="宋体" w:hAnsi="宋体" w:cs="仿宋"/>
          <w:color w:val="auto"/>
          <w:kern w:val="1"/>
          <w:szCs w:val="21"/>
          <w:highlight w:val="none"/>
        </w:rPr>
        <w:t>平台</w:t>
      </w:r>
      <w:r>
        <w:rPr>
          <w:rFonts w:ascii="宋体" w:hAnsi="宋体" w:cs="宋体"/>
          <w:color w:val="auto"/>
          <w:kern w:val="1"/>
          <w:szCs w:val="21"/>
          <w:highlight w:val="none"/>
        </w:rPr>
        <w:t>向各投标人发出电子加密投标文件【开始解密】通知，由投标人</w:t>
      </w:r>
      <w:r>
        <w:rPr>
          <w:rFonts w:hint="eastAsia" w:ascii="宋体" w:hAnsi="宋体" w:cs="宋体"/>
          <w:color w:val="auto"/>
          <w:kern w:val="1"/>
          <w:szCs w:val="21"/>
          <w:highlight w:val="none"/>
        </w:rPr>
        <w:t>在</w:t>
      </w:r>
      <w:r>
        <w:rPr>
          <w:rFonts w:ascii="宋体" w:hAnsi="宋体" w:cs="宋体"/>
          <w:color w:val="auto"/>
          <w:kern w:val="1"/>
          <w:szCs w:val="21"/>
          <w:highlight w:val="none"/>
        </w:rPr>
        <w:t>规定的时间内自行</w:t>
      </w:r>
      <w:r>
        <w:rPr>
          <w:rFonts w:hint="eastAsia" w:ascii="宋体" w:hAnsi="宋体" w:cs="宋体"/>
          <w:color w:val="auto"/>
          <w:kern w:val="1"/>
          <w:szCs w:val="21"/>
          <w:highlight w:val="none"/>
        </w:rPr>
        <w:t>将</w:t>
      </w:r>
      <w:r>
        <w:rPr>
          <w:rFonts w:ascii="宋体" w:hAnsi="宋体" w:cs="宋体"/>
          <w:color w:val="auto"/>
          <w:kern w:val="1"/>
          <w:szCs w:val="21"/>
          <w:highlight w:val="none"/>
        </w:rPr>
        <w:t>投标文件</w:t>
      </w:r>
      <w:r>
        <w:rPr>
          <w:rFonts w:hint="eastAsia" w:ascii="宋体" w:hAnsi="宋体" w:cs="宋体"/>
          <w:color w:val="auto"/>
          <w:kern w:val="1"/>
          <w:szCs w:val="21"/>
          <w:highlight w:val="none"/>
        </w:rPr>
        <w:t>在线</w:t>
      </w:r>
      <w:r>
        <w:rPr>
          <w:rFonts w:ascii="宋体" w:hAnsi="宋体" w:cs="宋体"/>
          <w:color w:val="auto"/>
          <w:kern w:val="1"/>
          <w:szCs w:val="21"/>
          <w:highlight w:val="none"/>
        </w:rPr>
        <w:t>解密。投标人的法定代表人或其委托代理人</w:t>
      </w:r>
      <w:r>
        <w:rPr>
          <w:rFonts w:ascii="宋体" w:hAnsi="宋体" w:cs="宋体"/>
          <w:b/>
          <w:color w:val="auto"/>
          <w:kern w:val="1"/>
          <w:szCs w:val="21"/>
          <w:highlight w:val="none"/>
        </w:rPr>
        <w:t>须携带加密时所用的CA锁准时登录到</w:t>
      </w:r>
      <w:r>
        <w:rPr>
          <w:rFonts w:hint="eastAsia" w:ascii="宋体" w:hAnsi="宋体" w:cs="宋体"/>
          <w:b/>
          <w:color w:val="auto"/>
          <w:kern w:val="1"/>
          <w:szCs w:val="21"/>
          <w:highlight w:val="none"/>
        </w:rPr>
        <w:t>广西政府采购云</w:t>
      </w:r>
      <w:r>
        <w:rPr>
          <w:rFonts w:ascii="宋体" w:hAnsi="宋体" w:cs="宋体"/>
          <w:b/>
          <w:color w:val="auto"/>
          <w:kern w:val="1"/>
          <w:szCs w:val="21"/>
          <w:highlight w:val="none"/>
        </w:rPr>
        <w:t>平台电子开标大厅签到并对电子投标文件</w:t>
      </w:r>
      <w:r>
        <w:rPr>
          <w:rFonts w:hint="eastAsia" w:ascii="宋体" w:hAnsi="宋体" w:cs="宋体"/>
          <w:b/>
          <w:color w:val="auto"/>
          <w:kern w:val="1"/>
          <w:szCs w:val="21"/>
          <w:highlight w:val="none"/>
        </w:rPr>
        <w:t>在线</w:t>
      </w:r>
      <w:r>
        <w:rPr>
          <w:rFonts w:ascii="宋体" w:hAnsi="宋体" w:cs="宋体"/>
          <w:b/>
          <w:color w:val="auto"/>
          <w:kern w:val="1"/>
          <w:szCs w:val="21"/>
          <w:highlight w:val="none"/>
        </w:rPr>
        <w:t>解密</w:t>
      </w:r>
      <w:r>
        <w:rPr>
          <w:rFonts w:ascii="宋体" w:hAnsi="宋体" w:cs="宋体"/>
          <w:color w:val="auto"/>
          <w:kern w:val="1"/>
          <w:szCs w:val="21"/>
          <w:highlight w:val="none"/>
        </w:rPr>
        <w:t>。</w:t>
      </w:r>
      <w:r>
        <w:rPr>
          <w:rFonts w:ascii="宋体" w:hAnsi="宋体" w:cs="仿宋"/>
          <w:color w:val="auto"/>
          <w:kern w:val="1"/>
          <w:szCs w:val="21"/>
          <w:highlight w:val="none"/>
        </w:rPr>
        <w:t>投标文件未按时解密</w:t>
      </w:r>
      <w:r>
        <w:rPr>
          <w:rFonts w:ascii="宋体" w:hAnsi="宋体" w:cs="宋体"/>
          <w:color w:val="auto"/>
          <w:kern w:val="1"/>
          <w:szCs w:val="21"/>
          <w:highlight w:val="none"/>
        </w:rPr>
        <w:t>的，</w:t>
      </w:r>
      <w:r>
        <w:rPr>
          <w:rFonts w:ascii="宋体" w:hAnsi="宋体" w:cs="宋体"/>
          <w:b/>
          <w:color w:val="auto"/>
          <w:kern w:val="1"/>
          <w:szCs w:val="21"/>
          <w:highlight w:val="none"/>
        </w:rPr>
        <w:t>均视为无效投标。</w:t>
      </w:r>
    </w:p>
    <w:p>
      <w:pPr>
        <w:pStyle w:val="9"/>
        <w:spacing w:line="360" w:lineRule="auto"/>
        <w:ind w:firstLine="420" w:firstLineChars="200"/>
        <w:rPr>
          <w:rFonts w:hAnsi="宋体" w:cs="宋体"/>
          <w:color w:val="auto"/>
          <w:szCs w:val="21"/>
          <w:highlight w:val="none"/>
        </w:rPr>
      </w:pPr>
      <w:r>
        <w:rPr>
          <w:rFonts w:hint="eastAsia" w:hAnsi="宋体" w:cs="宋体"/>
          <w:color w:val="auto"/>
          <w:szCs w:val="21"/>
          <w:highlight w:val="none"/>
        </w:rPr>
        <w:t>（解密</w:t>
      </w:r>
      <w:r>
        <w:rPr>
          <w:rFonts w:hint="eastAsia" w:hAnsi="宋体" w:cs="宋体"/>
          <w:bCs/>
          <w:color w:val="auto"/>
          <w:szCs w:val="21"/>
          <w:highlight w:val="none"/>
        </w:rPr>
        <w:t>异常情况处理：详见本章</w:t>
      </w:r>
      <w:r>
        <w:rPr>
          <w:rFonts w:hint="eastAsia" w:hAnsi="宋体" w:cs="宋体"/>
          <w:color w:val="auto"/>
          <w:highlight w:val="none"/>
        </w:rPr>
        <w:t>29.3 电子交易活动的中止。</w:t>
      </w:r>
      <w:r>
        <w:rPr>
          <w:rFonts w:hint="eastAsia"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b/>
          <w:color w:val="auto"/>
          <w:szCs w:val="21"/>
          <w:highlight w:val="none"/>
        </w:rPr>
        <w:t>电子唱标。</w:t>
      </w:r>
      <w:r>
        <w:rPr>
          <w:rFonts w:hint="eastAsia" w:ascii="宋体" w:hAnsi="宋体" w:cs="宋体"/>
          <w:color w:val="auto"/>
          <w:szCs w:val="21"/>
          <w:highlight w:val="none"/>
        </w:rPr>
        <w:t>投标文件解密结束，各投标人报价均在广西政府采购云平台远程不见面开标大厅展示；</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（3）开标过程由采购代理机构如实记录，并电子留痕，由参加电子开标的各投标人代表对电子开标记录在开标记录公布后15分钟内进行当场校核及勘误，并线上确认，未确认的视同认可开标结果。</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4）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（5）开标结束。</w:t>
      </w:r>
    </w:p>
    <w:p>
      <w:pPr>
        <w:spacing w:line="360" w:lineRule="auto"/>
        <w:ind w:firstLine="422" w:firstLineChars="200"/>
        <w:rPr>
          <w:rFonts w:hAnsi="宋体" w:cs="宋体"/>
          <w:color w:val="auto"/>
          <w:szCs w:val="21"/>
          <w:highlight w:val="none"/>
        </w:rPr>
      </w:pPr>
      <w:r>
        <w:rPr>
          <w:rFonts w:hint="eastAsia" w:hAnsi="宋体" w:cs="宋体"/>
          <w:b/>
          <w:bCs/>
          <w:color w:val="auto"/>
          <w:szCs w:val="21"/>
          <w:highlight w:val="none"/>
        </w:rPr>
        <w:t>特别说明：</w:t>
      </w:r>
      <w:r>
        <w:rPr>
          <w:rFonts w:hint="eastAsia" w:hAnsi="宋体" w:cs="宋体"/>
          <w:color w:val="auto"/>
          <w:szCs w:val="21"/>
          <w:highlight w:val="none"/>
        </w:rPr>
        <w:t>如遇广西政府采购云平台电子化开标或评审程序调整的，按调整后执行。</w:t>
      </w:r>
    </w:p>
    <w:p>
      <w:pPr>
        <w:pStyle w:val="15"/>
        <w:snapToGrid w:val="0"/>
        <w:spacing w:line="400" w:lineRule="exact"/>
        <w:ind w:left="689" w:leftChars="228" w:hanging="210" w:hangingChars="100"/>
        <w:rPr>
          <w:rFonts w:hAnsi="宋体" w:cs="宋体"/>
          <w:color w:val="auto"/>
          <w:highlight w:val="none"/>
        </w:rPr>
      </w:pPr>
    </w:p>
    <w:p>
      <w:pPr>
        <w:pStyle w:val="5"/>
        <w:keepNext w:val="0"/>
        <w:keepLines w:val="0"/>
        <w:spacing w:line="400" w:lineRule="exact"/>
        <w:jc w:val="center"/>
        <w:rPr>
          <w:rFonts w:ascii="宋体" w:hAnsi="宋体" w:cs="宋体"/>
          <w:color w:val="auto"/>
          <w:highlight w:val="none"/>
        </w:rPr>
      </w:pPr>
      <w:bookmarkStart w:id="177" w:name="_Toc31687"/>
      <w:bookmarkStart w:id="178" w:name="_Toc30961"/>
      <w:bookmarkStart w:id="179" w:name="_Toc29347"/>
      <w:bookmarkStart w:id="180" w:name="_Toc10935"/>
      <w:bookmarkStart w:id="181" w:name="_Toc29757"/>
      <w:r>
        <w:rPr>
          <w:rFonts w:hint="eastAsia" w:ascii="宋体" w:hAnsi="宋体" w:cs="宋体"/>
          <w:color w:val="auto"/>
          <w:highlight w:val="none"/>
        </w:rPr>
        <w:t>五、资格审查</w:t>
      </w:r>
      <w:bookmarkEnd w:id="177"/>
      <w:bookmarkEnd w:id="178"/>
      <w:bookmarkEnd w:id="179"/>
      <w:bookmarkEnd w:id="180"/>
      <w:bookmarkEnd w:id="181"/>
    </w:p>
    <w:p>
      <w:pPr>
        <w:pStyle w:val="6"/>
        <w:keepNext w:val="0"/>
        <w:keepLines w:val="0"/>
        <w:spacing w:before="0" w:after="0" w:line="360" w:lineRule="auto"/>
        <w:ind w:firstLine="482" w:firstLineChars="200"/>
        <w:rPr>
          <w:rFonts w:ascii="宋体" w:hAnsi="宋体" w:cs="宋体"/>
          <w:color w:val="auto"/>
          <w:sz w:val="24"/>
          <w:highlight w:val="none"/>
        </w:rPr>
      </w:pPr>
      <w:r>
        <w:rPr>
          <w:rFonts w:hint="eastAsia" w:ascii="宋体" w:hAnsi="宋体" w:cs="宋体"/>
          <w:color w:val="auto"/>
          <w:sz w:val="24"/>
          <w:highlight w:val="none"/>
        </w:rPr>
        <w:t>25.资格审查</w:t>
      </w:r>
    </w:p>
    <w:p>
      <w:pPr>
        <w:spacing w:line="360" w:lineRule="auto"/>
        <w:ind w:firstLine="422" w:firstLineChars="200"/>
        <w:rPr>
          <w:rFonts w:ascii="宋体" w:hAnsi="宋体" w:cs="宋体"/>
          <w:b/>
          <w:bCs/>
          <w:color w:val="auto"/>
          <w:szCs w:val="20"/>
          <w:highlight w:val="none"/>
        </w:rPr>
      </w:pPr>
      <w:r>
        <w:rPr>
          <w:rFonts w:hint="eastAsia" w:ascii="宋体" w:hAnsi="宋体" w:cs="宋体"/>
          <w:b/>
          <w:bCs/>
          <w:color w:val="auto"/>
          <w:szCs w:val="20"/>
          <w:highlight w:val="none"/>
        </w:rPr>
        <w:t>25.1开标结束后，采购人或采购代理机构依法通过电子投标文件对投标人的资格进行线上审查。</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25.2资格审查标准为本“招标文件”中“投标人须知前附表”13.1点载明对投标人资格要求的条件。本项目资格审查采用合格制，凡符合招标文件规定的投标人资格要求的投标人均通过资格审查。</w:t>
      </w:r>
    </w:p>
    <w:p>
      <w:pPr>
        <w:spacing w:line="360" w:lineRule="auto"/>
        <w:ind w:firstLine="422" w:firstLineChars="200"/>
        <w:rPr>
          <w:rFonts w:ascii="宋体" w:hAnsi="宋体" w:cs="宋体"/>
          <w:b/>
          <w:bCs/>
          <w:color w:val="auto"/>
          <w:szCs w:val="20"/>
          <w:highlight w:val="none"/>
        </w:rPr>
      </w:pPr>
      <w:bookmarkStart w:id="182" w:name="_25.3_投标人有下列情形之一的，资格审查不通过而导致其投标无效："/>
      <w:bookmarkEnd w:id="182"/>
      <w:r>
        <w:rPr>
          <w:rFonts w:hint="eastAsia" w:ascii="宋体" w:hAnsi="宋体" w:cs="宋体"/>
          <w:b/>
          <w:bCs/>
          <w:color w:val="auto"/>
          <w:szCs w:val="20"/>
          <w:highlight w:val="none"/>
        </w:rPr>
        <w:t>25.3投标人有下列情形之一的，资格审查不通过，作无效投标处理：</w:t>
      </w:r>
    </w:p>
    <w:p>
      <w:pPr>
        <w:spacing w:line="360" w:lineRule="auto"/>
        <w:ind w:firstLine="420" w:firstLineChars="200"/>
        <w:rPr>
          <w:rFonts w:ascii="宋体" w:hAnsi="宋体" w:cs="宋体"/>
          <w:color w:val="auto"/>
          <w:highlight w:val="none"/>
        </w:rPr>
      </w:pPr>
      <w:r>
        <w:rPr>
          <w:rFonts w:hint="eastAsia" w:hAnsi="宋体"/>
          <w:color w:val="auto"/>
          <w:highlight w:val="none"/>
        </w:rPr>
        <w:t>（1）不具备招标文件中规定的资格要求的；（注：其中信用查询规则见“投标人须知前附表”，广西政府采购云平台已与“信用中国”平台做接口，</w:t>
      </w:r>
      <w:r>
        <w:rPr>
          <w:rFonts w:hint="eastAsia" w:ascii="宋体" w:hAnsi="宋体" w:cs="宋体"/>
          <w:color w:val="auto"/>
          <w:szCs w:val="20"/>
          <w:highlight w:val="none"/>
        </w:rPr>
        <w:t>采购人或者采购代理机构</w:t>
      </w:r>
      <w:r>
        <w:rPr>
          <w:rFonts w:hint="eastAsia" w:ascii="宋体" w:hAnsi="宋体" w:cs="宋体"/>
          <w:color w:val="auto"/>
          <w:highlight w:val="none"/>
        </w:rPr>
        <w:t>可直接在线查询）</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（2）投标文件未提供任一项“投标人须知前附表”资格证明文件规定的“必须提供”的文件资料的；</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（3）投标文件提供的资格证明文件出现任一项不符合“投标人须知前附表”资格证明文件规定的“必须提供”的文件资料要求或者无效的。</w:t>
      </w:r>
    </w:p>
    <w:p>
      <w:pPr>
        <w:spacing w:line="360" w:lineRule="auto"/>
        <w:ind w:firstLine="420" w:firstLineChars="200"/>
        <w:rPr>
          <w:rFonts w:ascii="宋体" w:hAnsi="宋体" w:cs="宋体"/>
          <w:color w:val="auto"/>
          <w:sz w:val="21"/>
          <w:szCs w:val="24"/>
          <w:highlight w:val="none"/>
        </w:rPr>
      </w:pPr>
      <w:r>
        <w:rPr>
          <w:rFonts w:hint="eastAsia" w:ascii="宋体" w:hAnsi="宋体" w:cs="宋体"/>
          <w:color w:val="auto"/>
          <w:sz w:val="21"/>
          <w:szCs w:val="24"/>
          <w:highlight w:val="none"/>
        </w:rPr>
        <w:t>（4）同一合同项下的不同供应商，单位负责人为同一人或者存在直接控股、管理关系的；为本项目提供过整体设计、规范编制或者项目管理、监理、检测等服务的。</w:t>
      </w:r>
    </w:p>
    <w:p>
      <w:pPr>
        <w:pStyle w:val="6"/>
        <w:keepNext w:val="0"/>
        <w:keepLines w:val="0"/>
        <w:spacing w:before="0" w:after="0" w:line="360" w:lineRule="auto"/>
        <w:ind w:firstLine="420" w:firstLineChars="200"/>
        <w:rPr>
          <w:rFonts w:ascii="宋体" w:hAnsi="宋体" w:cs="宋体"/>
          <w:b w:val="0"/>
          <w:bCs w:val="0"/>
          <w:color w:val="auto"/>
          <w:sz w:val="21"/>
          <w:szCs w:val="20"/>
          <w:highlight w:val="none"/>
        </w:rPr>
      </w:pPr>
      <w:r>
        <w:rPr>
          <w:rFonts w:hint="eastAsia" w:ascii="宋体" w:hAnsi="宋体" w:cs="宋体"/>
          <w:b w:val="0"/>
          <w:bCs w:val="0"/>
          <w:color w:val="auto"/>
          <w:sz w:val="21"/>
          <w:szCs w:val="20"/>
          <w:highlight w:val="none"/>
        </w:rPr>
        <w:t>25.4资格审查的合格投标人不足3家的，不得评标。</w:t>
      </w:r>
    </w:p>
    <w:p>
      <w:pPr>
        <w:pStyle w:val="15"/>
        <w:snapToGrid w:val="0"/>
        <w:spacing w:line="400" w:lineRule="exact"/>
        <w:ind w:left="689" w:leftChars="228" w:hanging="210" w:hangingChars="100"/>
        <w:rPr>
          <w:rFonts w:hint="eastAsia" w:ascii="宋体" w:hAnsi="宋体" w:eastAsia="宋体" w:cs="宋体"/>
          <w:color w:val="auto"/>
          <w:highlight w:val="none"/>
        </w:rPr>
      </w:pPr>
      <w:bookmarkStart w:id="183" w:name="_Toc23135"/>
      <w:bookmarkStart w:id="184" w:name="_Toc10753"/>
      <w:bookmarkStart w:id="185" w:name="_Toc29675"/>
      <w:bookmarkStart w:id="186" w:name="_Toc17458"/>
      <w:bookmarkStart w:id="187" w:name="_Toc28977"/>
    </w:p>
    <w:p>
      <w:pPr>
        <w:pStyle w:val="5"/>
        <w:keepNext w:val="0"/>
        <w:keepLines w:val="0"/>
        <w:spacing w:line="360" w:lineRule="auto"/>
        <w:jc w:val="center"/>
        <w:rPr>
          <w:rFonts w:ascii="宋体" w:hAnsi="宋体" w:cs="宋体"/>
          <w:color w:val="auto"/>
          <w:highlight w:val="none"/>
        </w:rPr>
      </w:pPr>
      <w:r>
        <w:rPr>
          <w:rFonts w:hint="eastAsia" w:ascii="宋体" w:hAnsi="宋体" w:cs="宋体"/>
          <w:color w:val="auto"/>
          <w:highlight w:val="none"/>
        </w:rPr>
        <w:t>六、评   标</w:t>
      </w:r>
      <w:bookmarkEnd w:id="183"/>
      <w:bookmarkEnd w:id="184"/>
      <w:bookmarkEnd w:id="185"/>
      <w:bookmarkEnd w:id="186"/>
      <w:bookmarkEnd w:id="187"/>
    </w:p>
    <w:p>
      <w:pPr>
        <w:spacing w:line="360" w:lineRule="auto"/>
        <w:ind w:firstLine="480" w:firstLineChars="200"/>
        <w:rPr>
          <w:rFonts w:ascii="宋体" w:hAnsi="宋体" w:cs="宋体"/>
          <w:color w:val="auto"/>
          <w:sz w:val="24"/>
          <w:highlight w:val="none"/>
        </w:rPr>
      </w:pPr>
      <w:bookmarkStart w:id="188" w:name="_26.组建评标委员会"/>
      <w:bookmarkEnd w:id="188"/>
      <w:r>
        <w:rPr>
          <w:rFonts w:hint="eastAsia" w:ascii="宋体" w:hAnsi="宋体" w:cs="宋体"/>
          <w:color w:val="auto"/>
          <w:sz w:val="24"/>
          <w:highlight w:val="none"/>
        </w:rPr>
        <w:t>26.组建评标委员会</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评标委员会由采购人代表和评审专家组成，人数为5人以上单数，其中评审专家不得少于成员总数的三分之二。</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参加过采购项目前期咨询论证的专家，不得参加该采购项目的评审活动。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27.评标的依据</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评标委员会以招标文件为依据对投标文件进行评审，“第四章 评标方法和评标标准”没有规定的方法、评审因素和标准，不作为评标依据。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28.评标原则</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28.2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28.3评标过程的监控。本项目电子评标过程实行网上留痕、全程录音、录像监控，投标人在评标过程中所进行的试图影响评标结果的不公正活动，可能导致其投标作无效处理。</w:t>
      </w:r>
    </w:p>
    <w:p>
      <w:pPr>
        <w:spacing w:line="360" w:lineRule="auto"/>
        <w:ind w:firstLine="420" w:firstLineChars="200"/>
        <w:rPr>
          <w:rFonts w:ascii="宋体" w:hAnsi="宋体" w:cs="宋体"/>
          <w:color w:val="auto"/>
          <w:szCs w:val="21"/>
          <w:highlight w:val="none"/>
        </w:rPr>
      </w:pPr>
      <w:r>
        <w:rPr>
          <w:rFonts w:hint="eastAsia" w:ascii="宋体" w:hAnsi="宋体" w:cs="宋体"/>
          <w:color w:val="auto"/>
          <w:highlight w:val="none"/>
        </w:rPr>
        <w:t>28.4</w:t>
      </w:r>
      <w:r>
        <w:rPr>
          <w:rFonts w:hint="eastAsia" w:ascii="宋体" w:hAnsi="宋体" w:cs="宋体"/>
          <w:color w:val="auto"/>
          <w:szCs w:val="21"/>
          <w:highlight w:val="none"/>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29.评标方法和评标标准</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29.1本项目的评标方法详见“投标人须知前附表”。</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29.2 评标委员会按照</w:t>
      </w:r>
      <w:r>
        <w:rPr>
          <w:rFonts w:hint="eastAsia" w:ascii="宋体" w:hAnsi="宋体" w:cs="宋体"/>
          <w:b/>
          <w:color w:val="auto"/>
          <w:highlight w:val="none"/>
        </w:rPr>
        <w:t>“第四章 评标方法和评标标准”</w:t>
      </w:r>
      <w:r>
        <w:rPr>
          <w:rFonts w:hint="eastAsia" w:ascii="宋体" w:hAnsi="宋体" w:cs="宋体"/>
          <w:color w:val="auto"/>
          <w:highlight w:val="none"/>
        </w:rPr>
        <w:t>规定的方法、评审因素、标准和程序对投标文件进行评审。</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29.3 电子交易活动的中止。采购过程中出现以下情形，导致电子交易平台无法正常运行，或者无法保证电子交易的公平、公正和安全时，采购机构可中止电子交易活动：</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 xml:space="preserve">（1）电子交易平台发生故障而无法登录访问的； </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（2）电子交易平台应用或数据库出现错误，不能进行正常操作的；</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（3）电子交易平台发现严重安全漏洞，有潜在泄密危险的；</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 xml:space="preserve">（4）病毒发作导致不能进行正常操作的； </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（5）其他无法保证电子交易的公平、公正和安全的情况。</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29.4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p>
    <w:p>
      <w:pPr>
        <w:pStyle w:val="15"/>
        <w:snapToGrid w:val="0"/>
        <w:spacing w:line="400" w:lineRule="exact"/>
        <w:ind w:left="689" w:leftChars="228" w:hanging="210" w:hangingChars="100"/>
        <w:rPr>
          <w:rFonts w:hint="eastAsia" w:ascii="宋体" w:hAnsi="宋体" w:eastAsia="宋体" w:cs="宋体"/>
          <w:color w:val="auto"/>
          <w:highlight w:val="none"/>
        </w:rPr>
      </w:pPr>
    </w:p>
    <w:p>
      <w:pPr>
        <w:pStyle w:val="5"/>
        <w:keepNext w:val="0"/>
        <w:keepLines w:val="0"/>
        <w:spacing w:line="400" w:lineRule="exact"/>
        <w:jc w:val="center"/>
        <w:rPr>
          <w:rFonts w:ascii="宋体" w:hAnsi="宋体" w:cs="宋体"/>
          <w:color w:val="auto"/>
          <w:highlight w:val="none"/>
        </w:rPr>
      </w:pPr>
      <w:bookmarkStart w:id="189" w:name="_Toc254970546"/>
      <w:bookmarkStart w:id="190" w:name="_Toc254970687"/>
      <w:bookmarkStart w:id="191" w:name="_Toc16461"/>
      <w:bookmarkStart w:id="192" w:name="_Toc6053"/>
      <w:bookmarkStart w:id="193" w:name="_Toc20927"/>
      <w:bookmarkStart w:id="194" w:name="_Toc17138"/>
      <w:bookmarkStart w:id="195" w:name="_Toc11609"/>
      <w:r>
        <w:rPr>
          <w:rFonts w:hint="eastAsia" w:ascii="宋体" w:hAnsi="宋体" w:cs="宋体"/>
          <w:color w:val="auto"/>
          <w:highlight w:val="none"/>
        </w:rPr>
        <w:t>七、</w:t>
      </w:r>
      <w:bookmarkEnd w:id="189"/>
      <w:bookmarkEnd w:id="190"/>
      <w:r>
        <w:rPr>
          <w:rFonts w:hint="eastAsia" w:ascii="宋体" w:hAnsi="宋体" w:cs="宋体"/>
          <w:color w:val="auto"/>
          <w:highlight w:val="none"/>
        </w:rPr>
        <w:t>中标和合同</w:t>
      </w:r>
      <w:bookmarkEnd w:id="191"/>
      <w:bookmarkEnd w:id="192"/>
      <w:bookmarkEnd w:id="193"/>
      <w:bookmarkEnd w:id="194"/>
      <w:bookmarkEnd w:id="195"/>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30.确定中标人</w:t>
      </w:r>
    </w:p>
    <w:p>
      <w:pPr>
        <w:spacing w:line="360" w:lineRule="auto"/>
        <w:ind w:firstLine="420" w:firstLineChars="200"/>
        <w:rPr>
          <w:rFonts w:ascii="宋体" w:hAnsi="宋体" w:cs="宋体"/>
          <w:b/>
          <w:bCs/>
          <w:color w:val="auto"/>
          <w:szCs w:val="21"/>
          <w:highlight w:val="none"/>
        </w:rPr>
      </w:pPr>
      <w:r>
        <w:rPr>
          <w:rFonts w:hint="eastAsia" w:ascii="宋体" w:hAnsi="宋体" w:cs="宋体"/>
          <w:color w:val="auto"/>
          <w:szCs w:val="21"/>
          <w:highlight w:val="none"/>
        </w:rPr>
        <w:t>30.1</w:t>
      </w:r>
      <w:r>
        <w:rPr>
          <w:rFonts w:hint="eastAsia" w:ascii="宋体" w:hAnsi="宋体" w:cs="宋体"/>
          <w:color w:val="auto"/>
          <w:highlight w:val="none"/>
        </w:rPr>
        <w:t>采购人在收到评标委员会出具的评标报告之日起5个工作日内在评标报告推荐的中标候选人名单中按顺序确定中标人。采购人也可以事先授权评标委员会直接确定中标人。</w:t>
      </w:r>
      <w:r>
        <w:rPr>
          <w:rFonts w:ascii="宋体" w:hAnsi="宋体" w:cs="宋体"/>
          <w:color w:val="auto"/>
          <w:highlight w:val="none"/>
        </w:rPr>
        <w:t>中标候选人并列的，由采购人或者采购人委托评标委员会按照</w:t>
      </w:r>
      <w:r>
        <w:rPr>
          <w:rFonts w:hint="eastAsia"/>
          <w:color w:val="auto"/>
          <w:highlight w:val="none"/>
        </w:rPr>
        <w:t>“投标人须知前附表”</w:t>
      </w:r>
      <w:r>
        <w:rPr>
          <w:rFonts w:ascii="宋体" w:hAnsi="宋体" w:cs="宋体"/>
          <w:color w:val="auto"/>
          <w:highlight w:val="none"/>
        </w:rPr>
        <w:t>规定的方式确定中标人；招标文件未规定的，采取随机抽取的方式确定。</w:t>
      </w:r>
      <w:r>
        <w:rPr>
          <w:rFonts w:hint="eastAsia" w:ascii="宋体" w:hAnsi="宋体" w:cs="宋体"/>
          <w:b/>
          <w:bCs/>
          <w:color w:val="auto"/>
          <w:szCs w:val="21"/>
          <w:highlight w:val="none"/>
        </w:rPr>
        <w:t xml:space="preserve">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30.2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30.3中标人无正当理由拒签合同的，根据《中华人民共和国政府采购法》第七十七条第一款规定处理。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30.4根据《中华人民共和国民法典》</w:t>
      </w:r>
      <w:r>
        <w:rPr>
          <w:rFonts w:hint="eastAsia" w:ascii="宋体" w:hAnsi="宋体" w:cs="宋体"/>
          <w:color w:val="auto"/>
          <w:sz w:val="19"/>
          <w:szCs w:val="19"/>
          <w:highlight w:val="none"/>
        </w:rPr>
        <w:t>第五百六十三条</w:t>
      </w:r>
      <w:r>
        <w:rPr>
          <w:rFonts w:hint="eastAsia" w:ascii="宋体" w:hAnsi="宋体" w:cs="宋体"/>
          <w:color w:val="auto"/>
          <w:szCs w:val="21"/>
          <w:highlight w:val="none"/>
        </w:rPr>
        <w:t>，因不可抗力致使不能实现合同目的的，当事人可以解除合同。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31. 结果公告</w:t>
      </w:r>
    </w:p>
    <w:p>
      <w:pPr>
        <w:spacing w:line="360" w:lineRule="auto"/>
        <w:ind w:firstLine="420" w:firstLineChars="200"/>
        <w:rPr>
          <w:rFonts w:ascii="宋体" w:hAnsi="宋体" w:cs="宋体"/>
          <w:color w:val="auto"/>
          <w:highlight w:val="none"/>
        </w:rPr>
      </w:pPr>
      <w:r>
        <w:rPr>
          <w:rFonts w:hint="eastAsia" w:ascii="宋体" w:hAnsi="宋体" w:cs="宋体"/>
          <w:color w:val="auto"/>
          <w:szCs w:val="21"/>
          <w:highlight w:val="none"/>
        </w:rPr>
        <w:t>31.1</w:t>
      </w:r>
      <w:r>
        <w:rPr>
          <w:rFonts w:hint="eastAsia" w:ascii="宋体" w:hAnsi="宋体" w:cs="宋体"/>
          <w:color w:val="auto"/>
          <w:highlight w:val="none"/>
        </w:rPr>
        <w:t>在中标人确定之日起2个工作日内，由采购代理机构</w:t>
      </w:r>
      <w:r>
        <w:rPr>
          <w:rFonts w:hint="eastAsia" w:ascii="宋体" w:hAnsi="宋体" w:cs="宋体"/>
          <w:b/>
          <w:color w:val="auto"/>
          <w:szCs w:val="21"/>
          <w:highlight w:val="none"/>
        </w:rPr>
        <w:t>在招标公告发布媒体上</w:t>
      </w:r>
      <w:r>
        <w:rPr>
          <w:rFonts w:hint="eastAsia" w:ascii="宋体" w:hAnsi="宋体" w:cs="宋体"/>
          <w:color w:val="auto"/>
          <w:highlight w:val="none"/>
        </w:rPr>
        <w:t>发布中标结果公告，中标结果公告期限为1个工作日，发布中标结果公告的同时向中标人发出中标通知书。</w:t>
      </w:r>
      <w:r>
        <w:rPr>
          <w:rFonts w:hint="eastAsia" w:ascii="宋体" w:hAnsi="宋体" w:cs="宋体"/>
          <w:b/>
          <w:color w:val="auto"/>
          <w:szCs w:val="21"/>
          <w:highlight w:val="none"/>
        </w:rPr>
        <w:t>采购代理机构发出中标通知书前，应当对中标人信用进行核实，对列入失信被执行人、重大税收违法失信主体、政府采购严重违法失信行为记录名单及其他不符合《中华人民共和国政府采购法》第二十二条规定条件的投标人，取消其中标资格，并依法确定排名第二的中标候选人为中标人。</w:t>
      </w:r>
      <w:r>
        <w:rPr>
          <w:rFonts w:hint="eastAsia" w:ascii="宋体" w:hAnsi="宋体" w:cs="宋体"/>
          <w:color w:val="auto"/>
          <w:szCs w:val="21"/>
          <w:highlight w:val="none"/>
        </w:rPr>
        <w:t>排名第二的中标候选人因前款规定的同样原因被取消中标资格的，采购人可以依法确定排名第三的中标候选人为中标人，以此类推。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以上信息查询记录及相关证据与采购文件一并保存。</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31.2中小企业在政府采购活动过程中，请根据企业的真实情况出具《中小企业声明函》。依法享受中小企业扶持政策的，采购人或者采购代理机构在公告中标结果时，同时公告其《中小企业声明函》，接受社会监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32.发出中标通知书</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32.1在发布中标公告的同时，采购代理机构向中标人通过广西政府采购云平台发出电子中标通知书。</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32.2对未通过资格审查的投标人，采购人或采购代理机构应当告知其未通过的原因；采用综合评分办法评审的，采购人或采购机构还应当告知未中标人本人的评审得分与排序。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 无义务解释未中标原因</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采购代理机构无义务向未中标的投标人解释未中标原因和退还投标文件。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34.合同授予标准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合同将授予被确定实质上响应招标文件要求，具备履行合同能力的中标人（招标文件另有约定多名中标人的除外）。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35.履约保证金</w:t>
      </w:r>
    </w:p>
    <w:p>
      <w:pPr>
        <w:pStyle w:val="6"/>
        <w:keepNext w:val="0"/>
        <w:keepLines w:val="0"/>
        <w:spacing w:before="0" w:after="0" w:line="360" w:lineRule="auto"/>
        <w:ind w:firstLine="315" w:firstLineChars="150"/>
        <w:rPr>
          <w:rFonts w:ascii="宋体" w:hAnsi="宋体" w:cs="宋体"/>
          <w:b w:val="0"/>
          <w:color w:val="auto"/>
          <w:sz w:val="21"/>
          <w:szCs w:val="21"/>
          <w:highlight w:val="none"/>
        </w:rPr>
      </w:pPr>
      <w:bookmarkStart w:id="196" w:name="_39.1中标人须于签订合同前按本须知前附表规定的金额转账或电汇到指定账"/>
      <w:bookmarkEnd w:id="196"/>
      <w:r>
        <w:rPr>
          <w:rFonts w:hint="eastAsia" w:ascii="宋体" w:hAnsi="宋体" w:cs="宋体"/>
          <w:b w:val="0"/>
          <w:color w:val="auto"/>
          <w:sz w:val="21"/>
          <w:szCs w:val="21"/>
          <w:highlight w:val="none"/>
        </w:rPr>
        <w:t xml:space="preserve"> 35.1 履约保证金的金额、提交方式、退付的时间和条件详见 “投标人须知前附表”。中标人未按规定提交履约保证金的，视为拒绝与采购人签订合同，采购人可以按照评标报告推荐的中标候选人名单排序，依法确定下一候选人为中标人，也可以重新开展政府采购活动。</w:t>
      </w:r>
    </w:p>
    <w:p>
      <w:pPr>
        <w:pStyle w:val="6"/>
        <w:keepNext w:val="0"/>
        <w:keepLines w:val="0"/>
        <w:spacing w:before="0" w:after="0" w:line="360" w:lineRule="auto"/>
        <w:ind w:firstLine="315" w:firstLineChars="150"/>
        <w:rPr>
          <w:rFonts w:ascii="宋体" w:hAnsi="宋体" w:cs="宋体"/>
          <w:b w:val="0"/>
          <w:color w:val="auto"/>
          <w:sz w:val="21"/>
          <w:szCs w:val="21"/>
          <w:highlight w:val="none"/>
        </w:rPr>
      </w:pPr>
      <w:r>
        <w:rPr>
          <w:rFonts w:hint="eastAsia" w:ascii="宋体" w:hAnsi="宋体" w:cs="宋体"/>
          <w:b w:val="0"/>
          <w:color w:val="auto"/>
          <w:sz w:val="21"/>
          <w:szCs w:val="21"/>
          <w:highlight w:val="none"/>
        </w:rPr>
        <w:t xml:space="preserve"> 35.2签订合同后，如中标人不按双方签订的合同规定履约，则没收其全部履约保证金，履约保证金不足以赔偿损失的，按实际损失赔偿。</w:t>
      </w:r>
    </w:p>
    <w:p>
      <w:pPr>
        <w:pStyle w:val="6"/>
        <w:keepNext w:val="0"/>
        <w:keepLines w:val="0"/>
        <w:spacing w:before="0" w:after="0" w:line="360" w:lineRule="auto"/>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35.3在履约保证金退还日期前，若中标人的开户名称、开户银行、账号有变动的，请以书面形式通知履约保证金收取单位，否则由此产生的后果由中标人自行承担。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36.签订合同</w:t>
      </w:r>
    </w:p>
    <w:p>
      <w:pPr>
        <w:spacing w:line="360" w:lineRule="auto"/>
        <w:ind w:firstLine="420" w:firstLineChars="200"/>
        <w:rPr>
          <w:b/>
          <w:bCs/>
          <w:i/>
          <w:iCs/>
          <w:color w:val="auto"/>
          <w:szCs w:val="21"/>
          <w:highlight w:val="none"/>
        </w:rPr>
      </w:pPr>
      <w:bookmarkStart w:id="197" w:name="_40.1投标人接到中标通知书后，按须知前附表规定向采购人出示相关资格证"/>
      <w:bookmarkEnd w:id="197"/>
      <w:r>
        <w:rPr>
          <w:rFonts w:hint="eastAsia" w:ascii="宋体" w:hAnsi="宋体" w:cs="宋体"/>
          <w:color w:val="auto"/>
          <w:szCs w:val="21"/>
          <w:highlight w:val="none"/>
        </w:rPr>
        <w:t xml:space="preserve"> </w:t>
      </w:r>
      <w:r>
        <w:rPr>
          <w:rFonts w:hint="eastAsia" w:ascii="宋体" w:hAnsi="宋体" w:cs="宋体"/>
          <w:b/>
          <w:bCs/>
          <w:color w:val="auto"/>
          <w:szCs w:val="21"/>
          <w:highlight w:val="none"/>
        </w:rPr>
        <w:t>36.1中标人在中标通知书发出之日起，</w:t>
      </w:r>
      <w:r>
        <w:rPr>
          <w:rFonts w:hint="eastAsia" w:ascii="宋体" w:hAnsi="宋体" w:cs="宋体"/>
          <w:color w:val="auto"/>
          <w:szCs w:val="21"/>
          <w:highlight w:val="none"/>
        </w:rPr>
        <w:t>按规定的日期、时间、地点，由法定代表人或其授权代表与采购人代表签订采购合同。如中标人为联合体的，由联合体成员各方法定代表人或其授权代表与采购人代表签订合同，签订携带资料详见“投标人须知前附表”。</w:t>
      </w:r>
    </w:p>
    <w:p>
      <w:pPr>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36.2采购合同由采购人与中标人根据招标文件、投标文件等内容签订。</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36.3签订合同时间：按中标通知书规定的时间与采购人签订合同。</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36.4中标人拒绝与采购人签订合同的，采购人可以按照评审报告推荐的中标候选人名单排序，依法确定下一候选人为中标人，也可以重新开展政府采购活动。如采购人无正当理由拒签合同的，给中标人造成损失的，中标人可追究采购人承担相应的法律责任。</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36.5政府采购合同是政府采购项目验收的依据，中标人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36.6采购人或中标人不得单方面向合同另一方提出任何招标文件没有约定的条件或不合理的要求，作为签订合同的条件；也不得协商另行订立背离招标文件和合同实质性内容的协议。</w:t>
      </w:r>
    </w:p>
    <w:p>
      <w:pPr>
        <w:spacing w:line="360" w:lineRule="auto"/>
        <w:ind w:firstLine="420" w:firstLineChars="200"/>
        <w:rPr>
          <w:rFonts w:ascii="宋体" w:hAnsi="宋体" w:cs="宋体"/>
          <w:b/>
          <w:color w:val="auto"/>
          <w:szCs w:val="21"/>
          <w:highlight w:val="none"/>
        </w:rPr>
      </w:pPr>
      <w:r>
        <w:rPr>
          <w:rFonts w:hint="eastAsia" w:ascii="宋体" w:hAnsi="宋体" w:cs="宋体"/>
          <w:color w:val="auto"/>
          <w:szCs w:val="21"/>
          <w:highlight w:val="none"/>
        </w:rPr>
        <w:t>36.7如签订合同并生效后，中标人无故拒绝或延期，除按照合同条款处理外，将承担相应的法律责任。</w:t>
      </w:r>
    </w:p>
    <w:p>
      <w:pPr>
        <w:spacing w:line="360" w:lineRule="auto"/>
        <w:ind w:firstLine="480" w:firstLineChars="200"/>
        <w:rPr>
          <w:rFonts w:ascii="宋体" w:hAnsi="宋体" w:cs="宋体"/>
          <w:color w:val="auto"/>
          <w:sz w:val="24"/>
          <w:highlight w:val="none"/>
        </w:rPr>
      </w:pPr>
      <w:bookmarkStart w:id="198" w:name="_41.政府采购合同公告"/>
      <w:bookmarkEnd w:id="198"/>
      <w:r>
        <w:rPr>
          <w:rFonts w:hint="eastAsia" w:ascii="宋体" w:hAnsi="宋体" w:cs="宋体"/>
          <w:color w:val="auto"/>
          <w:sz w:val="24"/>
          <w:highlight w:val="none"/>
        </w:rPr>
        <w:t>37.政府采购合同公告</w:t>
      </w:r>
    </w:p>
    <w:p>
      <w:pPr>
        <w:spacing w:line="360" w:lineRule="auto"/>
        <w:ind w:firstLine="420" w:firstLineChars="200"/>
        <w:rPr>
          <w:rFonts w:ascii="宋体" w:hAnsi="宋体" w:cs="宋体"/>
          <w:color w:val="auto"/>
          <w:highlight w:val="none"/>
        </w:rPr>
      </w:pPr>
      <w:r>
        <w:rPr>
          <w:rFonts w:hint="eastAsia" w:cs="宋体"/>
          <w:color w:val="auto"/>
          <w:kern w:val="1"/>
          <w:highlight w:val="none"/>
        </w:rPr>
        <w:t>采购人应当自政府采购合同签订之日起2个工作日内，将政府采购合同</w:t>
      </w:r>
      <w:r>
        <w:rPr>
          <w:rFonts w:hint="eastAsia" w:ascii="宋体" w:hAnsi="宋体" w:cs="宋体"/>
          <w:bCs/>
          <w:color w:val="auto"/>
          <w:kern w:val="1"/>
          <w:highlight w:val="none"/>
        </w:rPr>
        <w:t>在</w:t>
      </w:r>
      <w:r>
        <w:rPr>
          <w:rFonts w:hint="eastAsia"/>
          <w:color w:val="auto"/>
          <w:highlight w:val="none"/>
        </w:rPr>
        <w:t>省级以上人民政府财政部门指定的</w:t>
      </w:r>
      <w:r>
        <w:rPr>
          <w:rFonts w:hint="eastAsia" w:ascii="宋体" w:hAnsi="宋体" w:cs="宋体"/>
          <w:bCs/>
          <w:color w:val="auto"/>
          <w:kern w:val="1"/>
          <w:highlight w:val="none"/>
        </w:rPr>
        <w:t>媒体上</w:t>
      </w:r>
      <w:r>
        <w:rPr>
          <w:rFonts w:hint="eastAsia" w:cs="宋体"/>
          <w:color w:val="auto"/>
          <w:kern w:val="1"/>
          <w:highlight w:val="none"/>
        </w:rPr>
        <w:t>公告，</w:t>
      </w:r>
      <w:r>
        <w:rPr>
          <w:rFonts w:cs="宋体"/>
          <w:color w:val="auto"/>
          <w:kern w:val="1"/>
          <w:highlight w:val="none"/>
        </w:rPr>
        <w:t>但政府采购合同中涉及国家秘密、商业秘密的内容除外。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38. 询问、质疑和投诉</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38.1询问</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38.1.1供应商在开标前对政府采购活动事项有疑问的，可以向采购人或采购代理机构项目负责人提出询问。</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38.1.2采购人或采购人委托的采购代理机构自受理询问之日起3个工作日内对供应商依法提出的询问作出答复，</w:t>
      </w:r>
      <w:r>
        <w:rPr>
          <w:rFonts w:hint="eastAsia" w:ascii="宋体" w:hAnsi="宋体" w:cs="宋体"/>
          <w:color w:val="auto"/>
          <w:highlight w:val="none"/>
        </w:rPr>
        <w:t>但答复内容不得涉及商业秘密</w:t>
      </w:r>
      <w:r>
        <w:rPr>
          <w:rFonts w:hint="eastAsia" w:ascii="宋体" w:hAnsi="宋体" w:cs="宋体"/>
          <w:bCs/>
          <w:color w:val="auto"/>
          <w:szCs w:val="21"/>
          <w:highlight w:val="none"/>
        </w:rPr>
        <w:t>。</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38.1.3 询问事项可能影响中标结果的，采购人应当暂停签订合同，已经签订合同的，应当中止履行合同。</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38.2质疑</w:t>
      </w:r>
    </w:p>
    <w:p>
      <w:pPr>
        <w:spacing w:line="360" w:lineRule="auto"/>
        <w:ind w:firstLine="420" w:firstLineChars="200"/>
        <w:rPr>
          <w:rFonts w:ascii="宋体" w:hAnsi="宋体" w:cs="宋体"/>
          <w:b/>
          <w:color w:val="auto"/>
          <w:szCs w:val="21"/>
          <w:highlight w:val="none"/>
        </w:rPr>
      </w:pPr>
      <w:r>
        <w:rPr>
          <w:rFonts w:hint="eastAsia" w:ascii="宋体" w:hAnsi="宋体" w:cs="宋体"/>
          <w:bCs/>
          <w:color w:val="auto"/>
          <w:szCs w:val="21"/>
          <w:highlight w:val="none"/>
        </w:rPr>
        <w:t>38.2.1</w:t>
      </w:r>
      <w:r>
        <w:rPr>
          <w:rFonts w:hint="eastAsia" w:ascii="宋体" w:hAnsi="宋体" w:cs="宋体"/>
          <w:b/>
          <w:color w:val="auto"/>
          <w:szCs w:val="21"/>
          <w:highlight w:val="none"/>
        </w:rPr>
        <w:t xml:space="preserve">供应商认为招标文件、采购过程或者中标结果使自己的合法权益受到损害的，必须在知道或者应知其权益受到损害之日起7个工作日内，以书面形式向采购人或采购代理机构提出质疑，质疑有效期结束后，采购人或采购代理机构不再受理该项目质疑。采购人、采购代理机构接收质疑函的方式、联系部门、联系电话和通讯地址等信息详见“投标人须知前附表”。具体质疑起算时间及处理方式如下： </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（1）潜在供应商依法获取招标文件后，认为采购文件使自己的权益受到损害的，应当在招标文件公告期限届满之日起7个工作日内提出质疑。</w:t>
      </w:r>
      <w:r>
        <w:rPr>
          <w:rFonts w:hint="eastAsia" w:ascii="宋体" w:hAnsi="宋体" w:cs="宋体"/>
          <w:color w:val="auto"/>
          <w:highlight w:val="none"/>
        </w:rPr>
        <w:t>委托代理协议无特殊约定的，</w:t>
      </w:r>
      <w:r>
        <w:rPr>
          <w:rFonts w:hint="eastAsia" w:ascii="宋体" w:hAnsi="宋体" w:cs="宋体"/>
          <w:bCs/>
          <w:color w:val="auto"/>
          <w:highlight w:val="none"/>
        </w:rPr>
        <w:t>对招标文件中采购需求（含资格要求、采购预算和评分办法）的质疑由采购人受理并负责答复；对招标文件中的采购执行程序的质疑由采购代理机构受理并负责答复。</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2）供应商认为采购过程使自己的权益受到损害的，应当在各采购程序环节结束之日起7个工作日内提出质疑。对采购过程中资格审查、符合性审查等具体评审情况的质疑应向采购人或采购代理机构提出，由采购人或采购代理机构受理并负责答复；对采购过程中采购执行程序的质疑由采购代理机构受理并负责答复。</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（3）供应商认为中标或者成交结果使自己的权益受到损害的，应当在中标或者成交结果公告期限届满之日起7个工作日内提出质疑，由采购人受理并负责答复。</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38.2.2供应商质疑实行实名制，其质疑应当有具体的质疑事项及事实根据，质疑应当坚持依法依规、诚实信用原则，不得进行虚假、恶意质疑。</w:t>
      </w:r>
    </w:p>
    <w:p>
      <w:pPr>
        <w:spacing w:line="360" w:lineRule="auto"/>
        <w:ind w:firstLine="420" w:firstLineChars="200"/>
        <w:rPr>
          <w:rFonts w:ascii="宋体" w:hAnsi="宋体" w:cs="宋体"/>
          <w:bCs/>
          <w:color w:val="auto"/>
          <w:highlight w:val="none"/>
        </w:rPr>
      </w:pPr>
      <w:r>
        <w:rPr>
          <w:rFonts w:hint="eastAsia" w:ascii="宋体" w:hAnsi="宋体" w:cs="宋体"/>
          <w:bCs/>
          <w:color w:val="auto"/>
          <w:szCs w:val="21"/>
          <w:highlight w:val="none"/>
        </w:rPr>
        <w:t>38.2.3</w:t>
      </w:r>
      <w:r>
        <w:rPr>
          <w:rFonts w:hint="eastAsia" w:ascii="宋体" w:hAnsi="宋体" w:cs="宋体"/>
          <w:bCs/>
          <w:color w:val="auto"/>
          <w:highlight w:val="none"/>
        </w:rPr>
        <w:t xml:space="preserve"> 质疑供应商可以委托代理人办理质疑事务。委托代理人应熟悉相关业务情况。代理人办理质疑事务时，除提交质疑书外，还应当提交质疑供应商的授权委托书和委托代理人身份证明复印件</w:t>
      </w:r>
      <w:r>
        <w:rPr>
          <w:rFonts w:hint="eastAsia" w:ascii="宋体" w:hAnsi="宋体" w:cs="宋体"/>
          <w:color w:val="auto"/>
          <w:highlight w:val="none"/>
        </w:rPr>
        <w:t>。</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38.2.4 质疑供应商提起质疑应当符合下列条件：</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（1）质疑供应商是参与所质疑</w:t>
      </w:r>
      <w:r>
        <w:rPr>
          <w:rFonts w:hint="eastAsia" w:ascii="宋体" w:hAnsi="宋体" w:cs="宋体"/>
          <w:bCs/>
          <w:color w:val="auto"/>
          <w:szCs w:val="21"/>
          <w:highlight w:val="none"/>
        </w:rPr>
        <w:t>项目</w:t>
      </w:r>
      <w:r>
        <w:rPr>
          <w:rFonts w:hint="eastAsia" w:ascii="宋体" w:hAnsi="宋体" w:cs="宋体"/>
          <w:bCs/>
          <w:color w:val="auto"/>
          <w:highlight w:val="none"/>
        </w:rPr>
        <w:t>采购活动的供应商（潜在供应商已依法获取可质疑的采购文件的，可以对该采购文件质疑）；</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（2）质疑函内容符合本章第38.2.5项的规定；</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（3）在质疑有效期限内提起质疑；</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 xml:space="preserve">（4）属于所质疑的采购人或采购人委托的采购代理机构组织的采购活动； </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（5）供应商对同一采购程序环节的质疑应当在质疑有效期内一次性提出；</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（6）供应商提交质疑应当提交必要的证明材料，证明材料应以合法手段取得；</w:t>
      </w:r>
    </w:p>
    <w:p>
      <w:pPr>
        <w:spacing w:line="360" w:lineRule="auto"/>
        <w:ind w:firstLine="420" w:firstLineChars="200"/>
        <w:rPr>
          <w:rFonts w:ascii="宋体" w:hAnsi="宋体" w:cs="宋体"/>
          <w:color w:val="auto"/>
          <w:highlight w:val="none"/>
        </w:rPr>
      </w:pPr>
      <w:r>
        <w:rPr>
          <w:rFonts w:hint="eastAsia" w:ascii="宋体" w:hAnsi="宋体" w:cs="宋体"/>
          <w:bCs/>
          <w:color w:val="auto"/>
          <w:highlight w:val="none"/>
        </w:rPr>
        <w:t>（7）财政部门规定的其他条件。</w:t>
      </w:r>
    </w:p>
    <w:p>
      <w:pPr>
        <w:spacing w:line="360" w:lineRule="auto"/>
        <w:ind w:firstLine="422" w:firstLineChars="200"/>
        <w:rPr>
          <w:rFonts w:ascii="宋体" w:hAnsi="宋体" w:cs="宋体"/>
          <w:b/>
          <w:color w:val="auto"/>
          <w:szCs w:val="21"/>
          <w:highlight w:val="none"/>
        </w:rPr>
      </w:pPr>
      <w:bookmarkStart w:id="199" w:name="_9.2质疑、投诉应当采用书面形式，质疑函、投诉书均应明确阐述招标文件、"/>
      <w:bookmarkEnd w:id="199"/>
      <w:r>
        <w:rPr>
          <w:rFonts w:hint="eastAsia" w:ascii="宋体" w:hAnsi="宋体" w:cs="宋体"/>
          <w:b/>
          <w:bCs/>
          <w:color w:val="auto"/>
          <w:szCs w:val="21"/>
          <w:highlight w:val="none"/>
        </w:rPr>
        <w:t xml:space="preserve"> 38.2.5 </w:t>
      </w:r>
      <w:r>
        <w:rPr>
          <w:rFonts w:hint="eastAsia" w:ascii="宋体" w:hAnsi="宋体" w:cs="宋体"/>
          <w:b/>
          <w:color w:val="auto"/>
          <w:highlight w:val="none"/>
        </w:rPr>
        <w:t>供应商提出质疑应当提交质疑函和必要的证明材料，针对同一采购程序环节的质疑必须在法定质疑期内一次性提出。质疑函应当包括下列内容（质疑函格式后附）</w:t>
      </w:r>
      <w:r>
        <w:rPr>
          <w:rFonts w:hint="eastAsia" w:ascii="宋体" w:hAnsi="宋体" w:cs="宋体"/>
          <w:bCs/>
          <w:color w:val="auto"/>
          <w:highlight w:val="none"/>
        </w:rPr>
        <w:t>：</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（1）供应商的姓名或者名称、地址、邮编、联系人及联系电话；</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（2）质疑项目的名称、编号；</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（3）具体、明确的质疑事项和与质疑事项相关的请求；</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（4）事实依据（列明权益受到损害的事实和理由）；</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（5）必要的法律依据；</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（6）提出质疑的日期。</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供应商为自然人的，应当由本人签字；供应商为法人或者其他组织的，应当由法定代表人、主要负责人，或者其委托代理人签字或者盖章，并加盖公章。</w:t>
      </w:r>
    </w:p>
    <w:p>
      <w:pPr>
        <w:spacing w:line="360" w:lineRule="auto"/>
        <w:ind w:firstLine="422" w:firstLineChars="200"/>
        <w:rPr>
          <w:rFonts w:ascii="宋体" w:hAnsi="宋体" w:cs="宋体"/>
          <w:b/>
          <w:color w:val="auto"/>
          <w:szCs w:val="20"/>
          <w:highlight w:val="none"/>
        </w:rPr>
      </w:pPr>
      <w:r>
        <w:rPr>
          <w:rFonts w:hint="eastAsia" w:ascii="宋体" w:hAnsi="宋体" w:cs="宋体"/>
          <w:b/>
          <w:color w:val="auto"/>
          <w:szCs w:val="20"/>
          <w:highlight w:val="none"/>
        </w:rPr>
        <w:t>38.2.6采购人或采购人委托的采购代理机构在收到质疑函后7个工作日内作出答复，并以书面形式通知质疑供应商及其他有关供应商。对不符合质疑条件的质疑，答复不予受理，并说明理由；对符合质疑条件的质疑，对质疑事项作出答复</w:t>
      </w:r>
      <w:r>
        <w:rPr>
          <w:rFonts w:hint="eastAsia" w:ascii="宋体" w:hAnsi="宋体" w:cs="宋体"/>
          <w:bCs/>
          <w:color w:val="auto"/>
          <w:highlight w:val="none"/>
        </w:rPr>
        <w:t>。</w:t>
      </w:r>
    </w:p>
    <w:p>
      <w:pPr>
        <w:spacing w:line="360" w:lineRule="auto"/>
        <w:ind w:firstLine="420" w:firstLineChars="200"/>
        <w:rPr>
          <w:rFonts w:ascii="宋体" w:hAnsi="宋体" w:cs="宋体"/>
          <w:bCs/>
          <w:color w:val="auto"/>
          <w:szCs w:val="21"/>
          <w:highlight w:val="none"/>
        </w:rPr>
      </w:pPr>
      <w:r>
        <w:rPr>
          <w:rFonts w:hint="eastAsia" w:ascii="宋体" w:hAnsi="宋体" w:cs="宋体"/>
          <w:color w:val="auto"/>
          <w:szCs w:val="21"/>
          <w:highlight w:val="none"/>
        </w:rPr>
        <w:t>3</w:t>
      </w:r>
      <w:r>
        <w:rPr>
          <w:rFonts w:hint="eastAsia" w:ascii="宋体" w:hAnsi="宋体" w:cs="宋体"/>
          <w:bCs/>
          <w:color w:val="auto"/>
          <w:szCs w:val="21"/>
          <w:highlight w:val="none"/>
        </w:rPr>
        <w:t>8.2.7采购人、采购代理机构认为供应商质疑不成立，或者成立但未对中标结果构成影响的，继续开展采购活动；认为供应商质疑成立且影响或者可能影响中标结果的，按照下列情况处理：</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（一）对招标文件提出的质疑，依法通过澄清或者修改可以继续开展采购活动的，澄清或者修改招标文件后继续开展采购活动；否则应当修改招标文件后重新开展采购活动。</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（二）对采购过程、中标结果提出的质疑，合格供应商符合法定数量时，可以从合格的中标候选人中另行确定中标供应商的，应当依法另行确定中标供应商；否则应当重新开展采购活动。</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质疑答复导致中标结果改变的，采购人或者采购代理机构应当将有关情况书面报告</w:t>
      </w:r>
      <w:r>
        <w:rPr>
          <w:rFonts w:hint="eastAsia" w:ascii="宋体" w:hAnsi="宋体" w:cs="宋体"/>
          <w:color w:val="auto"/>
          <w:szCs w:val="21"/>
          <w:highlight w:val="none"/>
        </w:rPr>
        <w:t>本级财政部门</w:t>
      </w:r>
      <w:r>
        <w:rPr>
          <w:rFonts w:hint="eastAsia" w:ascii="宋体" w:hAnsi="宋体" w:cs="宋体"/>
          <w:bCs/>
          <w:color w:val="auto"/>
          <w:highlight w:val="none"/>
        </w:rPr>
        <w:t>。</w:t>
      </w:r>
    </w:p>
    <w:p>
      <w:pPr>
        <w:spacing w:line="360" w:lineRule="auto"/>
        <w:ind w:firstLine="422" w:firstLineChars="200"/>
        <w:rPr>
          <w:rFonts w:ascii="宋体" w:hAnsi="宋体" w:cs="宋体"/>
          <w:b/>
          <w:color w:val="auto"/>
          <w:highlight w:val="none"/>
        </w:rPr>
      </w:pPr>
      <w:r>
        <w:rPr>
          <w:rFonts w:hint="eastAsia" w:ascii="宋体" w:hAnsi="宋体" w:cs="宋体"/>
          <w:b/>
          <w:color w:val="auto"/>
          <w:highlight w:val="none"/>
        </w:rPr>
        <w:t>38.3投诉</w:t>
      </w:r>
    </w:p>
    <w:p>
      <w:pPr>
        <w:spacing w:line="360" w:lineRule="auto"/>
        <w:ind w:firstLine="422" w:firstLineChars="200"/>
        <w:rPr>
          <w:rFonts w:ascii="宋体" w:hAnsi="宋体" w:cs="宋体"/>
          <w:bCs/>
          <w:color w:val="auto"/>
          <w:highlight w:val="none"/>
        </w:rPr>
      </w:pPr>
      <w:r>
        <w:rPr>
          <w:rFonts w:hint="eastAsia" w:ascii="宋体" w:hAnsi="宋体" w:cs="宋体"/>
          <w:b/>
          <w:color w:val="auto"/>
          <w:highlight w:val="none"/>
        </w:rPr>
        <w:t>38.3</w:t>
      </w:r>
      <w:r>
        <w:rPr>
          <w:rFonts w:hint="eastAsia" w:ascii="宋体" w:hAnsi="宋体" w:cs="宋体"/>
          <w:bCs/>
          <w:color w:val="auto"/>
          <w:highlight w:val="none"/>
        </w:rPr>
        <w:t>.</w:t>
      </w:r>
      <w:r>
        <w:rPr>
          <w:rFonts w:hint="eastAsia" w:ascii="宋体" w:hAnsi="宋体" w:cs="宋体"/>
          <w:b/>
          <w:bCs/>
          <w:color w:val="auto"/>
          <w:highlight w:val="none"/>
        </w:rPr>
        <w:t xml:space="preserve">1 </w:t>
      </w:r>
      <w:r>
        <w:rPr>
          <w:rFonts w:hint="eastAsia" w:ascii="宋体" w:hAnsi="宋体" w:cs="宋体"/>
          <w:bCs/>
          <w:color w:val="auto"/>
          <w:highlight w:val="none"/>
        </w:rPr>
        <w:t xml:space="preserve"> 供应商认为采购文件、采购过程、中标和成交结果使自己的合法权益受到损害的，应当首先依法向采购人或采购人委托的</w:t>
      </w:r>
      <w:r>
        <w:rPr>
          <w:rFonts w:hint="eastAsia" w:ascii="宋体" w:hAnsi="宋体" w:cs="宋体"/>
          <w:color w:val="auto"/>
          <w:highlight w:val="none"/>
        </w:rPr>
        <w:t>采购代理机构</w:t>
      </w:r>
      <w:r>
        <w:rPr>
          <w:rFonts w:hint="eastAsia" w:ascii="宋体" w:hAnsi="宋体" w:cs="宋体"/>
          <w:bCs/>
          <w:color w:val="auto"/>
          <w:highlight w:val="none"/>
        </w:rPr>
        <w:t>提出质疑。对采购人或</w:t>
      </w:r>
      <w:r>
        <w:rPr>
          <w:rFonts w:hint="eastAsia" w:ascii="宋体" w:hAnsi="宋体" w:cs="宋体"/>
          <w:color w:val="auto"/>
          <w:highlight w:val="none"/>
        </w:rPr>
        <w:t>采购代理机构</w:t>
      </w:r>
      <w:r>
        <w:rPr>
          <w:rFonts w:hint="eastAsia" w:ascii="宋体" w:hAnsi="宋体" w:cs="宋体"/>
          <w:bCs/>
          <w:color w:val="auto"/>
          <w:highlight w:val="none"/>
        </w:rPr>
        <w:t>的答复不满意，或者采购人或</w:t>
      </w:r>
      <w:r>
        <w:rPr>
          <w:rFonts w:hint="eastAsia" w:ascii="宋体" w:hAnsi="宋体" w:cs="宋体"/>
          <w:color w:val="auto"/>
          <w:highlight w:val="none"/>
        </w:rPr>
        <w:t>采购代理机构</w:t>
      </w:r>
      <w:r>
        <w:rPr>
          <w:rFonts w:hint="eastAsia" w:ascii="宋体" w:hAnsi="宋体" w:cs="宋体"/>
          <w:bCs/>
          <w:color w:val="auto"/>
          <w:highlight w:val="none"/>
        </w:rPr>
        <w:t>未在规定期限内做出答复的，供应商可以在答复期满后15个工作日内向本级财政部门提起投诉，投诉联系方式见“投标人须知前附表”。</w:t>
      </w:r>
    </w:p>
    <w:p>
      <w:pPr>
        <w:spacing w:line="360" w:lineRule="auto"/>
        <w:ind w:firstLine="422" w:firstLineChars="200"/>
        <w:rPr>
          <w:rFonts w:ascii="宋体" w:hAnsi="宋体" w:cs="宋体"/>
          <w:b/>
          <w:color w:val="auto"/>
          <w:highlight w:val="none"/>
        </w:rPr>
      </w:pPr>
      <w:r>
        <w:rPr>
          <w:rFonts w:hint="eastAsia" w:ascii="宋体" w:hAnsi="宋体" w:cs="宋体"/>
          <w:b/>
          <w:color w:val="auto"/>
          <w:highlight w:val="none"/>
        </w:rPr>
        <w:t>38.3.2  投诉人投诉时，应当提交投诉书，并按照被投诉采购人、采购代理机构和与投诉事项有关的供应商数量提供投诉书的副本。投诉书</w:t>
      </w:r>
      <w:r>
        <w:rPr>
          <w:rFonts w:hint="eastAsia" w:ascii="宋体" w:hAnsi="宋体" w:cs="宋体"/>
          <w:b/>
          <w:color w:val="auto"/>
          <w:szCs w:val="21"/>
          <w:highlight w:val="none"/>
        </w:rPr>
        <w:t>应当包括下列主要内容</w:t>
      </w:r>
      <w:r>
        <w:rPr>
          <w:rFonts w:hint="eastAsia" w:ascii="宋体" w:hAnsi="宋体" w:cs="宋体"/>
          <w:b/>
          <w:color w:val="auto"/>
          <w:highlight w:val="none"/>
        </w:rPr>
        <w:t>（如材料中有外文资料应同时附上对应的中文译本）（投诉书格式后附）</w:t>
      </w:r>
      <w:r>
        <w:rPr>
          <w:rFonts w:hint="eastAsia" w:ascii="宋体" w:hAnsi="宋体" w:cs="宋体"/>
          <w:b/>
          <w:color w:val="auto"/>
          <w:szCs w:val="21"/>
          <w:highlight w:val="none"/>
        </w:rPr>
        <w:t>：</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 xml:space="preserve">（1）投诉人和被投诉人的名称、地址、邮编、联系人及联系电话等； </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 xml:space="preserve">（2）质疑和质疑答复情况及相关证明材料； </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（3）具体、明确的投诉事项和与投诉事项相关的投诉请求；</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（4）事实依据；</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（5）法律依据；</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（6）提起投诉的日期。</w:t>
      </w:r>
      <w:r>
        <w:rPr>
          <w:rFonts w:hint="eastAsia" w:ascii="宋体" w:hAnsi="宋体" w:cs="宋体"/>
          <w:color w:val="auto"/>
          <w:highlight w:val="none"/>
        </w:rPr>
        <w:tab/>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投诉人为自然人的，应当由本人签字；投诉人为法人或者其他组织的，应当由法定代表人、主要负责人，或者其授权代表签字或者盖章，并加盖公章。</w:t>
      </w:r>
    </w:p>
    <w:p>
      <w:pPr>
        <w:spacing w:line="360" w:lineRule="auto"/>
        <w:ind w:firstLine="422" w:firstLineChars="200"/>
        <w:rPr>
          <w:rFonts w:ascii="宋体" w:hAnsi="宋体" w:cs="宋体"/>
          <w:bCs/>
          <w:color w:val="auto"/>
          <w:highlight w:val="none"/>
        </w:rPr>
      </w:pPr>
      <w:r>
        <w:rPr>
          <w:rFonts w:hint="eastAsia" w:ascii="宋体" w:hAnsi="宋体" w:cs="宋体"/>
          <w:b/>
          <w:color w:val="auto"/>
          <w:highlight w:val="none"/>
        </w:rPr>
        <w:t xml:space="preserve">38.3.3  </w:t>
      </w:r>
      <w:r>
        <w:rPr>
          <w:rFonts w:hint="eastAsia" w:ascii="宋体" w:hAnsi="宋体" w:cs="宋体"/>
          <w:color w:val="auto"/>
          <w:highlight w:val="none"/>
        </w:rPr>
        <w:t>投诉人可以委托代理人办理投诉事务。</w:t>
      </w:r>
      <w:r>
        <w:rPr>
          <w:rFonts w:hint="eastAsia" w:ascii="宋体" w:hAnsi="宋体" w:cs="宋体"/>
          <w:bCs/>
          <w:color w:val="auto"/>
          <w:highlight w:val="none"/>
        </w:rPr>
        <w:t>委托代理人应熟悉相关业务情况。</w:t>
      </w:r>
      <w:r>
        <w:rPr>
          <w:rFonts w:hint="eastAsia" w:ascii="宋体" w:hAnsi="宋体" w:cs="宋体"/>
          <w:color w:val="auto"/>
          <w:highlight w:val="none"/>
        </w:rPr>
        <w:t>代理人办理投诉事务时，除提交投诉书外，还应当提交投诉人的授权委托书和委托代理人身份证明复印件。</w:t>
      </w:r>
    </w:p>
    <w:p>
      <w:pPr>
        <w:spacing w:line="360" w:lineRule="auto"/>
        <w:ind w:firstLine="422" w:firstLineChars="200"/>
        <w:rPr>
          <w:rFonts w:ascii="宋体" w:hAnsi="宋体" w:cs="宋体"/>
          <w:color w:val="auto"/>
          <w:highlight w:val="none"/>
        </w:rPr>
      </w:pPr>
      <w:r>
        <w:rPr>
          <w:rFonts w:hint="eastAsia" w:ascii="宋体" w:hAnsi="宋体" w:cs="宋体"/>
          <w:b/>
          <w:color w:val="auto"/>
          <w:highlight w:val="none"/>
        </w:rPr>
        <w:t>38.3.4</w:t>
      </w:r>
      <w:r>
        <w:rPr>
          <w:rFonts w:hint="eastAsia" w:ascii="宋体" w:hAnsi="宋体" w:cs="宋体"/>
          <w:color w:val="auto"/>
          <w:highlight w:val="none"/>
        </w:rPr>
        <w:t xml:space="preserve">  投诉人提起投诉应当符合下列条件：</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（1）投诉人是参与所投诉政府采购活动的供应商；</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（2）提起投诉前已依法进行质疑；</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（3）投诉书内容符合本章第38.3.2项的规定；</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（4）在投诉有效期限内提起投诉；</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（5）同一投诉事项未经</w:t>
      </w:r>
      <w:r>
        <w:rPr>
          <w:rFonts w:hint="eastAsia" w:ascii="宋体" w:hAnsi="宋体" w:cs="宋体"/>
          <w:bCs/>
          <w:color w:val="auto"/>
          <w:highlight w:val="none"/>
        </w:rPr>
        <w:t>财政部门</w:t>
      </w:r>
      <w:r>
        <w:rPr>
          <w:rFonts w:hint="eastAsia" w:ascii="宋体" w:hAnsi="宋体" w:cs="宋体"/>
          <w:color w:val="auto"/>
          <w:highlight w:val="none"/>
        </w:rPr>
        <w:t>投诉处理；</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（6）国务院财政部门规定的其他条件。</w:t>
      </w:r>
    </w:p>
    <w:p>
      <w:pPr>
        <w:pStyle w:val="15"/>
        <w:snapToGrid w:val="0"/>
        <w:spacing w:line="400" w:lineRule="exact"/>
        <w:ind w:left="689" w:leftChars="228" w:hanging="210" w:hangingChars="100"/>
        <w:rPr>
          <w:rFonts w:hint="eastAsia" w:ascii="宋体" w:hAnsi="宋体" w:eastAsia="宋体" w:cs="宋体"/>
          <w:color w:val="auto"/>
          <w:highlight w:val="none"/>
        </w:rPr>
      </w:pPr>
      <w:bookmarkStart w:id="200" w:name="_Toc18873"/>
      <w:bookmarkStart w:id="201" w:name="_Toc22303"/>
      <w:bookmarkStart w:id="202" w:name="_Toc28886"/>
      <w:bookmarkStart w:id="203" w:name="_Toc17503"/>
      <w:bookmarkStart w:id="204" w:name="_Toc17335"/>
    </w:p>
    <w:p>
      <w:pPr>
        <w:pStyle w:val="5"/>
        <w:ind w:firstLine="4498" w:firstLineChars="1400"/>
        <w:rPr>
          <w:rFonts w:ascii="宋体" w:hAnsi="宋体" w:cs="宋体"/>
          <w:color w:val="auto"/>
          <w:highlight w:val="none"/>
        </w:rPr>
      </w:pPr>
      <w:r>
        <w:rPr>
          <w:rFonts w:hint="eastAsia" w:ascii="宋体" w:hAnsi="宋体" w:cs="宋体"/>
          <w:color w:val="auto"/>
          <w:highlight w:val="none"/>
        </w:rPr>
        <w:t>八、验收</w:t>
      </w:r>
      <w:bookmarkEnd w:id="200"/>
      <w:bookmarkEnd w:id="201"/>
      <w:bookmarkEnd w:id="202"/>
      <w:bookmarkEnd w:id="203"/>
      <w:bookmarkEnd w:id="204"/>
    </w:p>
    <w:p>
      <w:pPr>
        <w:spacing w:line="360" w:lineRule="auto"/>
        <w:ind w:firstLine="422" w:firstLineChars="200"/>
        <w:rPr>
          <w:rFonts w:ascii="宋体" w:hAnsi="宋体" w:cs="宋体"/>
          <w:b/>
          <w:color w:val="auto"/>
          <w:highlight w:val="none"/>
        </w:rPr>
      </w:pPr>
      <w:r>
        <w:rPr>
          <w:rFonts w:hint="eastAsia" w:ascii="宋体" w:hAnsi="宋体" w:cs="宋体"/>
          <w:b/>
          <w:color w:val="auto"/>
          <w:highlight w:val="none"/>
        </w:rPr>
        <w:t>39.验收</w:t>
      </w:r>
    </w:p>
    <w:p>
      <w:pPr>
        <w:tabs>
          <w:tab w:val="left" w:pos="0"/>
        </w:tabs>
        <w:spacing w:line="360" w:lineRule="auto"/>
        <w:ind w:firstLine="480"/>
        <w:rPr>
          <w:rFonts w:ascii="宋体" w:hAnsi="宋体" w:cs="宋体"/>
          <w:color w:val="auto"/>
          <w:highlight w:val="none"/>
        </w:rPr>
      </w:pPr>
      <w:r>
        <w:rPr>
          <w:rFonts w:hint="eastAsia" w:ascii="宋体" w:hAnsi="宋体" w:cs="宋体"/>
          <w:color w:val="auto"/>
          <w:highlight w:val="none"/>
        </w:rPr>
        <w:t>39.1采购人组织对中标人履约的验收。大型或者复杂的政府采购项目，应当邀请国家认可的质量检测机构参加验收工作。验收方成员应当在验收书上签字，并承担相应的法律责任。如果发现与合同中要求不符，中标人须承担由此发生的一切损失和费用，并接受相应的处理。</w:t>
      </w:r>
    </w:p>
    <w:p>
      <w:pPr>
        <w:tabs>
          <w:tab w:val="left" w:pos="0"/>
        </w:tabs>
        <w:spacing w:line="360" w:lineRule="auto"/>
        <w:ind w:firstLine="480"/>
        <w:rPr>
          <w:rFonts w:ascii="宋体" w:hAnsi="宋体" w:cs="宋体"/>
          <w:color w:val="auto"/>
          <w:highlight w:val="none"/>
        </w:rPr>
      </w:pPr>
      <w:r>
        <w:rPr>
          <w:rFonts w:hint="eastAsia" w:ascii="宋体" w:hAnsi="宋体" w:cs="宋体"/>
          <w:color w:val="auto"/>
          <w:highlight w:val="none"/>
        </w:rPr>
        <w:t>39.2采购人可以邀请参加本项目的其他投标人或者第三方机构参与验收。参与验收的投标人或者第三方机构的意见作为验收书的参考资料一并存档。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highlight w:val="none"/>
        </w:rPr>
      </w:pPr>
      <w:r>
        <w:rPr>
          <w:rFonts w:hint="eastAsia" w:ascii="宋体" w:hAnsi="宋体" w:cs="宋体"/>
          <w:color w:val="auto"/>
          <w:highlight w:val="none"/>
        </w:rPr>
        <w:t>39.3严格按照采购合同开展履约验收。采购人成立验收小组，按照采购合同的约定对中标人履约情况进行验收。验收时，按照采购合同的约定对每一项技术、货物、安全标准的履约情况进行确认。验收结束后，应当出具验收书，列明各项标准的验收情况及项目总体评价，由验收双方共同签署。验收结果与采购合同约定的资金支付及履约保证金（如有）返还条件挂钩。履约验收的各项资料应当存档备查。</w:t>
      </w:r>
    </w:p>
    <w:p>
      <w:pPr>
        <w:tabs>
          <w:tab w:val="left" w:pos="0"/>
        </w:tabs>
        <w:spacing w:line="360" w:lineRule="auto"/>
        <w:ind w:firstLine="480"/>
        <w:rPr>
          <w:rFonts w:ascii="宋体" w:hAnsi="宋体" w:cs="宋体"/>
          <w:color w:val="auto"/>
          <w:highlight w:val="none"/>
        </w:rPr>
      </w:pPr>
      <w:r>
        <w:rPr>
          <w:rFonts w:hint="eastAsia" w:ascii="宋体" w:hAnsi="宋体" w:cs="宋体"/>
          <w:color w:val="auto"/>
          <w:highlight w:val="none"/>
        </w:rPr>
        <w:t>39.4验收合格的项目，采购人将根据采购合同的约定及时向中标人支付采购资金。验收不合格的项目，采购人将依法及时处理。采购合同的履行、违约责任和解决争议的方式等适用《中华人民共和国民法典》。中标人在履约过程中有政府采购法律法规规定的违法违规情形的，采购人应当及时报告本级财政部门。</w:t>
      </w:r>
    </w:p>
    <w:p>
      <w:pPr>
        <w:pStyle w:val="15"/>
        <w:snapToGrid w:val="0"/>
        <w:spacing w:line="400" w:lineRule="exact"/>
        <w:ind w:left="689" w:leftChars="228" w:hanging="210" w:hangingChars="100"/>
        <w:rPr>
          <w:rFonts w:hint="eastAsia" w:ascii="宋体" w:hAnsi="宋体" w:eastAsia="宋体" w:cs="宋体"/>
          <w:color w:val="auto"/>
          <w:highlight w:val="none"/>
        </w:rPr>
      </w:pPr>
    </w:p>
    <w:p>
      <w:pPr>
        <w:pStyle w:val="5"/>
        <w:keepNext w:val="0"/>
        <w:keepLines w:val="0"/>
        <w:spacing w:line="360" w:lineRule="auto"/>
        <w:jc w:val="center"/>
        <w:rPr>
          <w:rFonts w:ascii="宋体" w:hAnsi="宋体" w:cs="宋体"/>
          <w:color w:val="auto"/>
          <w:highlight w:val="none"/>
        </w:rPr>
      </w:pPr>
      <w:bookmarkStart w:id="205" w:name="_八、其他事项"/>
      <w:bookmarkEnd w:id="205"/>
      <w:bookmarkStart w:id="206" w:name="_Toc22183"/>
      <w:bookmarkStart w:id="207" w:name="_Toc32572"/>
      <w:bookmarkStart w:id="208" w:name="_Toc18658"/>
      <w:bookmarkStart w:id="209" w:name="_Toc13415"/>
      <w:bookmarkStart w:id="210" w:name="_Toc30046"/>
      <w:r>
        <w:rPr>
          <w:rFonts w:hint="eastAsia" w:ascii="宋体" w:hAnsi="宋体" w:cs="宋体"/>
          <w:color w:val="auto"/>
          <w:highlight w:val="none"/>
        </w:rPr>
        <w:t>九、其他事项</w:t>
      </w:r>
      <w:bookmarkEnd w:id="206"/>
      <w:bookmarkEnd w:id="207"/>
      <w:bookmarkEnd w:id="208"/>
      <w:bookmarkEnd w:id="209"/>
      <w:bookmarkEnd w:id="210"/>
    </w:p>
    <w:p>
      <w:pPr>
        <w:spacing w:line="360" w:lineRule="auto"/>
        <w:ind w:firstLine="480" w:firstLineChars="200"/>
        <w:rPr>
          <w:rFonts w:ascii="宋体" w:hAnsi="宋体" w:cs="宋体"/>
          <w:color w:val="auto"/>
          <w:sz w:val="24"/>
          <w:highlight w:val="none"/>
        </w:rPr>
      </w:pPr>
      <w:bookmarkStart w:id="211" w:name="_42.代理服务费"/>
      <w:bookmarkEnd w:id="211"/>
      <w:r>
        <w:rPr>
          <w:rFonts w:hint="eastAsia" w:ascii="宋体" w:hAnsi="宋体" w:cs="宋体"/>
          <w:color w:val="auto"/>
          <w:sz w:val="24"/>
          <w:highlight w:val="none"/>
        </w:rPr>
        <w:t>40.采购代理服务费</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40.1采购代理服务费收费标准及缴费账户详见“投标人须知前附表”，投标人为联合体的，可以由联合体中的一方或者多方共同缴纳采购代理服务费。</w:t>
      </w:r>
    </w:p>
    <w:p>
      <w:pPr>
        <w:pStyle w:val="6"/>
        <w:keepNext w:val="0"/>
        <w:keepLines w:val="0"/>
        <w:spacing w:before="0" w:after="0" w:line="360" w:lineRule="auto"/>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40.2采购代理服务费收费标准：</w:t>
      </w:r>
    </w:p>
    <w:tbl>
      <w:tblPr>
        <w:tblStyle w:val="22"/>
        <w:tblW w:w="8477"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Borders>
              <w:tl2br w:val="single" w:color="auto" w:sz="4" w:space="0"/>
            </w:tcBorders>
          </w:tcPr>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费率</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中标金额</w:t>
            </w:r>
          </w:p>
        </w:tc>
        <w:tc>
          <w:tcPr>
            <w:tcW w:w="1659" w:type="dxa"/>
            <w:vAlign w:val="center"/>
          </w:tcPr>
          <w:p>
            <w:pPr>
              <w:spacing w:line="360" w:lineRule="auto"/>
              <w:ind w:firstLine="105" w:firstLineChars="50"/>
              <w:jc w:val="center"/>
              <w:rPr>
                <w:rFonts w:ascii="宋体" w:hAnsi="宋体" w:cs="宋体"/>
                <w:color w:val="auto"/>
                <w:szCs w:val="21"/>
                <w:highlight w:val="none"/>
              </w:rPr>
            </w:pPr>
            <w:r>
              <w:rPr>
                <w:rFonts w:hint="eastAsia" w:ascii="宋体" w:hAnsi="宋体" w:cs="宋体"/>
                <w:color w:val="auto"/>
                <w:szCs w:val="21"/>
                <w:highlight w:val="none"/>
              </w:rPr>
              <w:t>货物类</w:t>
            </w:r>
          </w:p>
        </w:tc>
        <w:tc>
          <w:tcPr>
            <w:tcW w:w="168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服务类</w:t>
            </w:r>
          </w:p>
        </w:tc>
        <w:tc>
          <w:tcPr>
            <w:tcW w:w="1659"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100万元以下</w:t>
            </w:r>
          </w:p>
        </w:tc>
        <w:tc>
          <w:tcPr>
            <w:tcW w:w="1659" w:type="dxa"/>
          </w:tcPr>
          <w:p>
            <w:pPr>
              <w:spacing w:line="360" w:lineRule="auto"/>
              <w:rPr>
                <w:rFonts w:ascii="宋体" w:hAnsi="宋体" w:cs="宋体"/>
                <w:color w:val="auto"/>
                <w:szCs w:val="21"/>
                <w:highlight w:val="none"/>
              </w:rPr>
            </w:pPr>
            <w:r>
              <w:rPr>
                <w:rFonts w:hint="eastAsia" w:ascii="宋体" w:hAnsi="宋体" w:cs="宋体"/>
                <w:color w:val="auto"/>
                <w:kern w:val="0"/>
                <w:szCs w:val="21"/>
                <w:highlight w:val="none"/>
              </w:rPr>
              <w:t xml:space="preserve">  1.5%                </w:t>
            </w:r>
          </w:p>
        </w:tc>
        <w:tc>
          <w:tcPr>
            <w:tcW w:w="1687"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1.5%</w:t>
            </w:r>
          </w:p>
        </w:tc>
        <w:tc>
          <w:tcPr>
            <w:tcW w:w="1659"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100～500万元</w:t>
            </w:r>
          </w:p>
        </w:tc>
        <w:tc>
          <w:tcPr>
            <w:tcW w:w="1659"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 xml:space="preserve">1.1%                 </w:t>
            </w:r>
          </w:p>
        </w:tc>
        <w:tc>
          <w:tcPr>
            <w:tcW w:w="1687"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0.8%</w:t>
            </w:r>
          </w:p>
        </w:tc>
        <w:tc>
          <w:tcPr>
            <w:tcW w:w="1659"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500～1000万元</w:t>
            </w:r>
          </w:p>
        </w:tc>
        <w:tc>
          <w:tcPr>
            <w:tcW w:w="1659" w:type="dxa"/>
          </w:tcPr>
          <w:p>
            <w:pPr>
              <w:spacing w:line="360" w:lineRule="auto"/>
              <w:rPr>
                <w:rFonts w:ascii="宋体" w:hAnsi="宋体" w:cs="宋体"/>
                <w:color w:val="auto"/>
                <w:szCs w:val="21"/>
                <w:highlight w:val="none"/>
              </w:rPr>
            </w:pPr>
            <w:r>
              <w:rPr>
                <w:rFonts w:hint="eastAsia" w:ascii="宋体" w:hAnsi="宋体" w:cs="宋体"/>
                <w:color w:val="auto"/>
                <w:kern w:val="0"/>
                <w:szCs w:val="21"/>
                <w:highlight w:val="none"/>
              </w:rPr>
              <w:t xml:space="preserve">  0.8%                </w:t>
            </w:r>
          </w:p>
        </w:tc>
        <w:tc>
          <w:tcPr>
            <w:tcW w:w="1687"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0.45%</w:t>
            </w:r>
          </w:p>
        </w:tc>
        <w:tc>
          <w:tcPr>
            <w:tcW w:w="1659"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1000～5000万元</w:t>
            </w:r>
          </w:p>
        </w:tc>
        <w:tc>
          <w:tcPr>
            <w:tcW w:w="1659"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 xml:space="preserve">0.5%                </w:t>
            </w:r>
          </w:p>
        </w:tc>
        <w:tc>
          <w:tcPr>
            <w:tcW w:w="1687"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0.25%</w:t>
            </w:r>
          </w:p>
        </w:tc>
        <w:tc>
          <w:tcPr>
            <w:tcW w:w="1659"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5000万元～1亿元</w:t>
            </w:r>
          </w:p>
        </w:tc>
        <w:tc>
          <w:tcPr>
            <w:tcW w:w="1659"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 xml:space="preserve">0.25%                 </w:t>
            </w:r>
          </w:p>
        </w:tc>
        <w:tc>
          <w:tcPr>
            <w:tcW w:w="1687"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0.1%</w:t>
            </w:r>
          </w:p>
        </w:tc>
        <w:tc>
          <w:tcPr>
            <w:tcW w:w="1659"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1～5亿元</w:t>
            </w:r>
          </w:p>
        </w:tc>
        <w:tc>
          <w:tcPr>
            <w:tcW w:w="1659"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szCs w:val="21"/>
                <w:highlight w:val="none"/>
              </w:rPr>
              <w:t>0.05%</w:t>
            </w:r>
          </w:p>
        </w:tc>
        <w:tc>
          <w:tcPr>
            <w:tcW w:w="1687"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0.05%</w:t>
            </w:r>
          </w:p>
        </w:tc>
        <w:tc>
          <w:tcPr>
            <w:tcW w:w="1659"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5～10亿元</w:t>
            </w:r>
          </w:p>
        </w:tc>
        <w:tc>
          <w:tcPr>
            <w:tcW w:w="1659" w:type="dxa"/>
          </w:tcPr>
          <w:p>
            <w:pPr>
              <w:spacing w:line="360" w:lineRule="auto"/>
              <w:ind w:firstLine="105" w:firstLineChars="50"/>
              <w:rPr>
                <w:rFonts w:ascii="宋体" w:hAnsi="宋体" w:cs="宋体"/>
                <w:color w:val="auto"/>
                <w:szCs w:val="21"/>
                <w:highlight w:val="none"/>
              </w:rPr>
            </w:pPr>
            <w:r>
              <w:rPr>
                <w:rFonts w:hint="eastAsia" w:ascii="宋体" w:hAnsi="宋体" w:cs="宋体"/>
                <w:color w:val="auto"/>
                <w:szCs w:val="21"/>
                <w:highlight w:val="none"/>
              </w:rPr>
              <w:t>0.035%</w:t>
            </w:r>
          </w:p>
        </w:tc>
        <w:tc>
          <w:tcPr>
            <w:tcW w:w="1687"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0.035%</w:t>
            </w:r>
          </w:p>
        </w:tc>
        <w:tc>
          <w:tcPr>
            <w:tcW w:w="1659" w:type="dxa"/>
          </w:tcPr>
          <w:p>
            <w:pPr>
              <w:spacing w:line="360" w:lineRule="auto"/>
              <w:ind w:firstLine="105" w:firstLineChars="50"/>
              <w:rPr>
                <w:rFonts w:ascii="宋体" w:hAnsi="宋体" w:cs="宋体"/>
                <w:color w:val="auto"/>
                <w:szCs w:val="21"/>
                <w:highlight w:val="none"/>
              </w:rPr>
            </w:pPr>
            <w:r>
              <w:rPr>
                <w:rFonts w:hint="eastAsia" w:ascii="宋体" w:hAnsi="宋体" w:cs="宋体"/>
                <w:color w:val="auto"/>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10～50亿元</w:t>
            </w:r>
          </w:p>
        </w:tc>
        <w:tc>
          <w:tcPr>
            <w:tcW w:w="1659" w:type="dxa"/>
          </w:tcPr>
          <w:p>
            <w:pPr>
              <w:spacing w:line="360" w:lineRule="auto"/>
              <w:ind w:firstLine="105" w:firstLineChars="50"/>
              <w:rPr>
                <w:rFonts w:ascii="宋体" w:hAnsi="宋体" w:cs="宋体"/>
                <w:color w:val="auto"/>
                <w:szCs w:val="21"/>
                <w:highlight w:val="none"/>
              </w:rPr>
            </w:pPr>
            <w:r>
              <w:rPr>
                <w:rFonts w:hint="eastAsia" w:ascii="宋体" w:hAnsi="宋体" w:cs="宋体"/>
                <w:color w:val="auto"/>
                <w:szCs w:val="21"/>
                <w:highlight w:val="none"/>
              </w:rPr>
              <w:t>0.008%</w:t>
            </w:r>
          </w:p>
        </w:tc>
        <w:tc>
          <w:tcPr>
            <w:tcW w:w="1687"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szCs w:val="21"/>
                <w:highlight w:val="none"/>
              </w:rPr>
              <w:t>0.008%</w:t>
            </w:r>
          </w:p>
        </w:tc>
        <w:tc>
          <w:tcPr>
            <w:tcW w:w="1659" w:type="dxa"/>
          </w:tcPr>
          <w:p>
            <w:pPr>
              <w:spacing w:line="360" w:lineRule="auto"/>
              <w:ind w:firstLine="105" w:firstLineChars="50"/>
              <w:rPr>
                <w:rFonts w:ascii="宋体" w:hAnsi="宋体" w:cs="宋体"/>
                <w:color w:val="auto"/>
                <w:szCs w:val="21"/>
                <w:highlight w:val="none"/>
              </w:rPr>
            </w:pPr>
            <w:r>
              <w:rPr>
                <w:rFonts w:hint="eastAsia" w:ascii="宋体" w:hAnsi="宋体" w:cs="宋体"/>
                <w:color w:val="auto"/>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50～100亿元</w:t>
            </w:r>
          </w:p>
        </w:tc>
        <w:tc>
          <w:tcPr>
            <w:tcW w:w="1659"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0.006%</w:t>
            </w:r>
          </w:p>
        </w:tc>
        <w:tc>
          <w:tcPr>
            <w:tcW w:w="1687"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szCs w:val="21"/>
                <w:highlight w:val="none"/>
              </w:rPr>
              <w:t>0.006%</w:t>
            </w:r>
          </w:p>
        </w:tc>
        <w:tc>
          <w:tcPr>
            <w:tcW w:w="1659" w:type="dxa"/>
          </w:tcPr>
          <w:p>
            <w:pPr>
              <w:spacing w:line="360" w:lineRule="auto"/>
              <w:ind w:firstLine="105" w:firstLineChars="50"/>
              <w:rPr>
                <w:rFonts w:ascii="宋体" w:hAnsi="宋体" w:cs="宋体"/>
                <w:color w:val="auto"/>
                <w:szCs w:val="21"/>
                <w:highlight w:val="none"/>
              </w:rPr>
            </w:pPr>
            <w:r>
              <w:rPr>
                <w:rFonts w:hint="eastAsia" w:ascii="宋体" w:hAnsi="宋体" w:cs="宋体"/>
                <w:color w:val="auto"/>
                <w:szCs w:val="21"/>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100亿以上</w:t>
            </w:r>
          </w:p>
        </w:tc>
        <w:tc>
          <w:tcPr>
            <w:tcW w:w="1659"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0.004%</w:t>
            </w:r>
          </w:p>
        </w:tc>
        <w:tc>
          <w:tcPr>
            <w:tcW w:w="1687"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szCs w:val="21"/>
                <w:highlight w:val="none"/>
              </w:rPr>
              <w:t>0.004%</w:t>
            </w:r>
          </w:p>
        </w:tc>
        <w:tc>
          <w:tcPr>
            <w:tcW w:w="1659" w:type="dxa"/>
          </w:tcPr>
          <w:p>
            <w:pPr>
              <w:spacing w:line="360" w:lineRule="auto"/>
              <w:ind w:firstLine="105" w:firstLineChars="50"/>
              <w:rPr>
                <w:rFonts w:ascii="宋体" w:hAnsi="宋体" w:cs="宋体"/>
                <w:color w:val="auto"/>
                <w:szCs w:val="21"/>
                <w:highlight w:val="none"/>
              </w:rPr>
            </w:pPr>
            <w:r>
              <w:rPr>
                <w:rFonts w:hint="eastAsia" w:ascii="宋体" w:hAnsi="宋体" w:cs="宋体"/>
                <w:color w:val="auto"/>
                <w:szCs w:val="21"/>
                <w:highlight w:val="none"/>
              </w:rPr>
              <w:t>0.004%</w:t>
            </w:r>
          </w:p>
        </w:tc>
      </w:tr>
    </w:tbl>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注: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（1）按本表费率计算的收费为采购代理的收费基准价格；</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（2）采购代理收费按差额定率累进法计算。</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例如：某货物采购代理业务中标金额或者暂定价为200万元，计算采购代理收费额如下：</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100 万元×l.5 ％＝ 1.5 万元</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200 － 100 ）万元 ×1.1％＝1.1万元</w:t>
      </w:r>
    </w:p>
    <w:p>
      <w:pPr>
        <w:pStyle w:val="15"/>
        <w:snapToGrid w:val="0"/>
        <w:spacing w:before="120" w:after="120" w:line="360" w:lineRule="auto"/>
        <w:ind w:firstLine="420" w:firstLineChars="200"/>
        <w:rPr>
          <w:rFonts w:hAnsi="宋体" w:cs="宋体"/>
          <w:color w:val="auto"/>
          <w:highlight w:val="none"/>
        </w:rPr>
      </w:pPr>
      <w:r>
        <w:rPr>
          <w:rFonts w:hint="eastAsia" w:hAnsi="宋体" w:cs="宋体"/>
          <w:color w:val="auto"/>
          <w:highlight w:val="none"/>
        </w:rPr>
        <w:t>合计收费＝ 1.5+1.1＝ 2.6 （万元）</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41. 需要补充的其他内容</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41.1本招标文件解释规则详见“投标人须知前附表”。</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41.2 其他事项详见“投标人须知前附表”。</w:t>
      </w:r>
    </w:p>
    <w:p>
      <w:pPr>
        <w:pStyle w:val="15"/>
        <w:spacing w:line="360" w:lineRule="auto"/>
        <w:ind w:firstLine="420" w:firstLineChars="200"/>
        <w:rPr>
          <w:rFonts w:hAnsi="宋体" w:cs="宋体"/>
          <w:color w:val="auto"/>
          <w:highlight w:val="none"/>
        </w:rPr>
      </w:pPr>
      <w:r>
        <w:rPr>
          <w:rFonts w:hint="eastAsia" w:hAnsi="宋体" w:cs="宋体"/>
          <w:color w:val="auto"/>
          <w:highlight w:val="none"/>
        </w:rPr>
        <w:t>41.3</w:t>
      </w:r>
      <w:bookmarkStart w:id="212" w:name="_Hlk65857140"/>
      <w:r>
        <w:rPr>
          <w:rFonts w:hint="eastAsia" w:hAnsi="宋体" w:cs="宋体"/>
          <w:color w:val="auto"/>
          <w:highlight w:val="none"/>
        </w:rPr>
        <w:t>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投标人提供的货物由中小企业制造，即货物由中小企业生产且使用该中小企业商号或者注册商标，不对其中涉及的工程承建商和服务的承接商作出要求的，享受本文件规定的中小企业扶持政策。</w:t>
      </w:r>
    </w:p>
    <w:p>
      <w:pPr>
        <w:pStyle w:val="15"/>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在货物采购项目中，投标人提供的货物既有中小企业制造货物，也有大型企业制造货物的，不享受本文件规定的中小企业扶持政策。以联合体形式参加政府采购活动，联合体各方均为中小企业的，联合体视同中小企业。其中，联合体各方均为小微企业的，联合体视同小微企业。</w:t>
      </w:r>
    </w:p>
    <w:p>
      <w:pPr>
        <w:pStyle w:val="15"/>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依据本文件规定享受扶持政策获得政府采购合同的，小微企业不得将合同分包给大中型企业，中型企业不得将合同分包给大型企业。</w:t>
      </w:r>
      <w:bookmarkEnd w:id="212"/>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42. 广西线上“政采贷”政策告知函</w:t>
      </w:r>
    </w:p>
    <w:p>
      <w:pPr>
        <w:spacing w:line="580" w:lineRule="exact"/>
        <w:jc w:val="center"/>
        <w:rPr>
          <w:rFonts w:ascii="宋体" w:hAnsi="宋体" w:cs="宋体"/>
          <w:color w:val="auto"/>
          <w:sz w:val="44"/>
          <w:szCs w:val="44"/>
          <w:highlight w:val="none"/>
        </w:rPr>
      </w:pPr>
    </w:p>
    <w:p>
      <w:pPr>
        <w:spacing w:line="580" w:lineRule="exact"/>
        <w:jc w:val="center"/>
        <w:rPr>
          <w:rFonts w:ascii="宋体" w:hAnsi="宋体" w:cs="宋体"/>
          <w:color w:val="auto"/>
          <w:sz w:val="32"/>
          <w:szCs w:val="32"/>
          <w:highlight w:val="none"/>
        </w:rPr>
      </w:pPr>
      <w:r>
        <w:rPr>
          <w:rFonts w:hint="eastAsia" w:ascii="宋体" w:hAnsi="宋体" w:cs="宋体"/>
          <w:color w:val="auto"/>
          <w:sz w:val="32"/>
          <w:szCs w:val="32"/>
          <w:highlight w:val="none"/>
        </w:rPr>
        <w:t>广西线上“政采贷”政策告知函</w:t>
      </w:r>
    </w:p>
    <w:p>
      <w:pPr>
        <w:spacing w:line="580" w:lineRule="exact"/>
        <w:rPr>
          <w:rFonts w:ascii="宋体" w:hAnsi="宋体" w:cs="宋体"/>
          <w:color w:val="auto"/>
          <w:szCs w:val="21"/>
          <w:highlight w:val="none"/>
        </w:rPr>
      </w:pPr>
      <w:r>
        <w:rPr>
          <w:rFonts w:hint="eastAsia" w:ascii="宋体" w:hAnsi="宋体" w:cs="宋体"/>
          <w:color w:val="auto"/>
          <w:szCs w:val="21"/>
          <w:highlight w:val="none"/>
        </w:rPr>
        <w:t>各供应商：</w:t>
      </w:r>
    </w:p>
    <w:p>
      <w:pPr>
        <w:spacing w:line="5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欢迎贵公司参与广西政府采购活动！</w:t>
      </w:r>
    </w:p>
    <w:p>
      <w:pPr>
        <w:spacing w:line="5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线上“政采贷”是人民银行南宁中心支行和自治区财政厅共同支持企业发展，针对参与政府采购活动的企业融资难、融资贵、融资慢、融资繁问题推出的一项融资政策。贵公司若成为本次政府采购项目的中标（成交）供应商，可持政府采购合同在线向银行业金融机构申请贷款，融资机构将根据《中国人民银行南宁中心支行 广西壮族自治区财政厅关于推广线上“政采贷”融资模式的通知》（南宁银发〔2021〕258号），按照双方自愿的原则提供便捷、优惠的贷款服务。</w:t>
      </w:r>
    </w:p>
    <w:p>
      <w:pPr>
        <w:spacing w:line="5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相关金融产品和银行业金融机构联系方式，可在中征应收账款融资服务平台查询（网址：</w:t>
      </w:r>
      <w:r>
        <w:rPr>
          <w:color w:val="auto"/>
          <w:highlight w:val="none"/>
        </w:rPr>
        <w:fldChar w:fldCharType="begin"/>
      </w:r>
      <w:r>
        <w:rPr>
          <w:color w:val="auto"/>
          <w:highlight w:val="none"/>
        </w:rPr>
        <w:instrText xml:space="preserve"> HYPERLINK "https://www.crcrfsp.com/" </w:instrText>
      </w:r>
      <w:r>
        <w:rPr>
          <w:color w:val="auto"/>
          <w:highlight w:val="none"/>
        </w:rPr>
        <w:fldChar w:fldCharType="separate"/>
      </w:r>
      <w:r>
        <w:rPr>
          <w:rStyle w:val="27"/>
          <w:rFonts w:hint="default" w:ascii="宋体" w:hAnsi="宋体" w:eastAsia="宋体" w:cs="宋体"/>
          <w:color w:val="auto"/>
          <w:szCs w:val="21"/>
          <w:highlight w:val="none"/>
        </w:rPr>
        <w:t>https://www.crcrfsp.com/</w:t>
      </w:r>
      <w:r>
        <w:rPr>
          <w:rStyle w:val="27"/>
          <w:rFonts w:hint="default" w:ascii="宋体" w:hAnsi="宋体" w:eastAsia="宋体" w:cs="宋体"/>
          <w:color w:val="auto"/>
          <w:szCs w:val="21"/>
          <w:highlight w:val="none"/>
        </w:rPr>
        <w:fldChar w:fldCharType="end"/>
      </w:r>
      <w:r>
        <w:rPr>
          <w:rFonts w:hint="eastAsia" w:ascii="宋体" w:hAnsi="宋体" w:cs="宋体"/>
          <w:color w:val="auto"/>
          <w:szCs w:val="21"/>
          <w:highlight w:val="none"/>
        </w:rPr>
        <w:t>，客服电话：400-009-0001）。</w:t>
      </w:r>
    </w:p>
    <w:p>
      <w:pPr>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br w:type="page"/>
      </w:r>
      <w:bookmarkStart w:id="213" w:name="_Toc532545043"/>
    </w:p>
    <w:p>
      <w:pPr>
        <w:pStyle w:val="15"/>
        <w:jc w:val="center"/>
        <w:outlineLvl w:val="0"/>
        <w:rPr>
          <w:rFonts w:hAnsi="宋体" w:cs="宋体"/>
          <w:b/>
          <w:color w:val="auto"/>
          <w:sz w:val="36"/>
          <w:highlight w:val="none"/>
        </w:rPr>
      </w:pPr>
      <w:bookmarkStart w:id="214" w:name="_Toc5517"/>
      <w:bookmarkStart w:id="215" w:name="_Toc18150"/>
      <w:bookmarkStart w:id="216" w:name="_Toc6459"/>
      <w:bookmarkStart w:id="217" w:name="_Toc2111"/>
      <w:bookmarkStart w:id="218" w:name="_Toc26538"/>
      <w:bookmarkStart w:id="219" w:name="_Toc31334"/>
      <w:bookmarkStart w:id="220" w:name="_Toc25066"/>
      <w:bookmarkStart w:id="221" w:name="_Toc22076"/>
      <w:bookmarkStart w:id="222" w:name="_Toc12598"/>
      <w:bookmarkStart w:id="223" w:name="_Toc28215"/>
      <w:bookmarkStart w:id="224" w:name="_Toc22348"/>
      <w:r>
        <w:rPr>
          <w:rFonts w:hint="eastAsia" w:hAnsi="宋体" w:cs="宋体"/>
          <w:b/>
          <w:color w:val="auto"/>
          <w:sz w:val="36"/>
          <w:highlight w:val="none"/>
        </w:rPr>
        <w:t xml:space="preserve">第四章  </w:t>
      </w:r>
      <w:bookmarkEnd w:id="213"/>
      <w:bookmarkEnd w:id="214"/>
      <w:bookmarkEnd w:id="215"/>
      <w:r>
        <w:rPr>
          <w:rFonts w:hint="eastAsia" w:hAnsi="宋体" w:cs="宋体"/>
          <w:b/>
          <w:color w:val="auto"/>
          <w:sz w:val="36"/>
          <w:highlight w:val="none"/>
        </w:rPr>
        <w:t>评标方法和评标标准</w:t>
      </w:r>
      <w:bookmarkEnd w:id="216"/>
      <w:bookmarkEnd w:id="217"/>
      <w:bookmarkEnd w:id="218"/>
      <w:bookmarkEnd w:id="219"/>
      <w:bookmarkEnd w:id="220"/>
      <w:bookmarkEnd w:id="221"/>
      <w:bookmarkEnd w:id="222"/>
      <w:bookmarkEnd w:id="223"/>
      <w:bookmarkEnd w:id="224"/>
    </w:p>
    <w:p>
      <w:pPr>
        <w:pStyle w:val="15"/>
        <w:jc w:val="center"/>
        <w:outlineLvl w:val="1"/>
        <w:rPr>
          <w:rFonts w:hAnsi="宋体" w:cs="宋体"/>
          <w:b/>
          <w:bCs/>
          <w:color w:val="auto"/>
          <w:sz w:val="32"/>
          <w:szCs w:val="32"/>
          <w:highlight w:val="none"/>
        </w:rPr>
      </w:pPr>
      <w:bookmarkStart w:id="225" w:name="_Toc3364"/>
      <w:bookmarkStart w:id="226" w:name="_Toc31286"/>
      <w:bookmarkStart w:id="227" w:name="_Toc2086"/>
      <w:bookmarkStart w:id="228" w:name="_Toc18908"/>
      <w:bookmarkStart w:id="229" w:name="_Toc8187"/>
      <w:r>
        <w:rPr>
          <w:rFonts w:hint="eastAsia" w:hAnsi="宋体" w:cs="宋体"/>
          <w:b/>
          <w:bCs/>
          <w:color w:val="auto"/>
          <w:sz w:val="32"/>
          <w:szCs w:val="32"/>
          <w:highlight w:val="none"/>
        </w:rPr>
        <w:t>第一节 评标方法</w:t>
      </w:r>
      <w:bookmarkEnd w:id="225"/>
      <w:bookmarkEnd w:id="226"/>
      <w:bookmarkEnd w:id="227"/>
      <w:bookmarkEnd w:id="228"/>
      <w:bookmarkEnd w:id="229"/>
    </w:p>
    <w:p>
      <w:pPr>
        <w:pStyle w:val="15"/>
        <w:tabs>
          <w:tab w:val="left" w:pos="2472"/>
        </w:tabs>
        <w:spacing w:line="460" w:lineRule="exact"/>
        <w:ind w:firstLine="420" w:firstLineChars="200"/>
        <w:rPr>
          <w:rFonts w:hAnsi="宋体" w:cs="宋体"/>
          <w:color w:val="auto"/>
          <w:szCs w:val="21"/>
          <w:highlight w:val="none"/>
        </w:rPr>
      </w:pPr>
      <w:r>
        <w:rPr>
          <w:rFonts w:hint="eastAsia" w:hAnsi="宋体" w:cs="宋体"/>
          <w:color w:val="auto"/>
          <w:szCs w:val="21"/>
          <w:highlight w:val="none"/>
        </w:rPr>
        <w:t>本项目采用</w:t>
      </w:r>
      <w:r>
        <w:rPr>
          <w:rFonts w:hint="eastAsia" w:hAnsi="宋体" w:cs="宋体"/>
          <w:color w:val="auto"/>
          <w:szCs w:val="21"/>
          <w:highlight w:val="none"/>
          <w:u w:val="single"/>
        </w:rPr>
        <w:t xml:space="preserve"> 以下勾选的方式</w:t>
      </w:r>
      <w:r>
        <w:rPr>
          <w:rFonts w:hint="eastAsia" w:hAnsi="宋体" w:cs="宋体"/>
          <w:color w:val="auto"/>
          <w:szCs w:val="21"/>
          <w:highlight w:val="none"/>
        </w:rPr>
        <w:t>进行评审。</w:t>
      </w:r>
    </w:p>
    <w:p>
      <w:pPr>
        <w:pStyle w:val="15"/>
        <w:spacing w:line="360" w:lineRule="auto"/>
        <w:ind w:firstLine="420"/>
        <w:rPr>
          <w:rFonts w:hAnsi="宋体" w:cs="宋体"/>
          <w:color w:val="auto"/>
          <w:highlight w:val="none"/>
        </w:rPr>
      </w:pPr>
      <w:r>
        <w:rPr>
          <w:rFonts w:hint="eastAsia" w:hAnsi="宋体" w:cs="宋体"/>
          <w:color w:val="auto"/>
          <w:szCs w:val="21"/>
          <w:highlight w:val="none"/>
        </w:rPr>
        <w:t>□最低评标价法，是指投标文件满足招标文件</w:t>
      </w:r>
      <w:r>
        <w:rPr>
          <w:rFonts w:hint="eastAsia" w:hAnsi="宋体" w:cs="宋体"/>
          <w:color w:val="auto"/>
          <w:highlight w:val="none"/>
        </w:rPr>
        <w:t>全部实质性要求，且投标报价最低的投标人为中标候选人的评标方法。</w:t>
      </w:r>
    </w:p>
    <w:p>
      <w:pPr>
        <w:widowControl/>
        <w:spacing w:before="100" w:beforeAutospacing="1" w:after="100" w:afterAutospacing="1"/>
        <w:ind w:firstLine="420" w:firstLineChars="200"/>
        <w:jc w:val="left"/>
        <w:rPr>
          <w:rFonts w:hint="eastAsia" w:ascii="宋体" w:hAnsi="宋体" w:cs="宋体"/>
          <w:color w:val="auto"/>
          <w:szCs w:val="20"/>
          <w:highlight w:val="none"/>
        </w:rPr>
      </w:pPr>
      <w:r>
        <w:rPr>
          <w:rFonts w:hint="eastAsia" w:ascii="宋体" w:hAnsi="宋体" w:cs="宋体"/>
          <w:color w:val="auto"/>
          <w:highlight w:val="none"/>
        </w:rPr>
        <w:t>☑ 综合评分法，</w:t>
      </w:r>
      <w:r>
        <w:rPr>
          <w:rFonts w:hint="eastAsia" w:ascii="宋体" w:hAnsi="宋体" w:cs="宋体"/>
          <w:color w:val="auto"/>
          <w:szCs w:val="20"/>
          <w:highlight w:val="none"/>
        </w:rPr>
        <w:t>是指投标文件满足招标文件全部实质性要求，且按照评审因素的量化指标评审得分最高的投标人为中标候选人的评标方法。</w:t>
      </w:r>
    </w:p>
    <w:p>
      <w:pPr>
        <w:pStyle w:val="2"/>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 xml:space="preserve"> </w:t>
      </w:r>
    </w:p>
    <w:p>
      <w:pPr>
        <w:pStyle w:val="15"/>
        <w:tabs>
          <w:tab w:val="left" w:pos="2472"/>
        </w:tabs>
        <w:spacing w:line="460" w:lineRule="exact"/>
        <w:jc w:val="center"/>
        <w:outlineLvl w:val="1"/>
        <w:rPr>
          <w:rFonts w:hAnsi="宋体" w:cs="宋体"/>
          <w:b/>
          <w:bCs/>
          <w:color w:val="auto"/>
          <w:sz w:val="32"/>
          <w:szCs w:val="32"/>
          <w:highlight w:val="none"/>
        </w:rPr>
      </w:pPr>
      <w:bookmarkStart w:id="230" w:name="_Toc13065"/>
      <w:bookmarkStart w:id="231" w:name="_Toc12508"/>
      <w:bookmarkStart w:id="232" w:name="_Toc6695"/>
      <w:bookmarkStart w:id="233" w:name="_Toc11308"/>
      <w:bookmarkStart w:id="234" w:name="_Toc13037"/>
      <w:r>
        <w:rPr>
          <w:rFonts w:hint="eastAsia" w:hAnsi="宋体" w:cs="宋体"/>
          <w:b/>
          <w:bCs/>
          <w:color w:val="auto"/>
          <w:sz w:val="32"/>
          <w:szCs w:val="32"/>
          <w:highlight w:val="none"/>
        </w:rPr>
        <w:t>第二节 评标程序</w:t>
      </w:r>
      <w:bookmarkEnd w:id="230"/>
      <w:bookmarkEnd w:id="231"/>
      <w:bookmarkEnd w:id="232"/>
      <w:bookmarkEnd w:id="233"/>
      <w:bookmarkEnd w:id="234"/>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1.符合性审查</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评标委员会应当对符合资格的投标人的投标文件进行投标报价、商务、技术等实质性内容符合性审查，以确定其是否满足招标文件的实质性要求。</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2.符合性审查不通过而导致投标无效的情形</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投标人的投标文件中存在对招标文件的任何实质性要求和条件的负偏离，将被视为投标无效。</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2.1在报价评审时，如发现下列情形之一的，将被视为投标无效：</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（1）投标文件未提供“投标人须知前附表”第13.1条规定中“必须提供”的文件资料的；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（2）未采用人民币报价或者未按照招标文件标明的币种报价的；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（3）报价超出招标文件规定最高限价，或者超出采购预算金额的；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（4）投标人未就所投项目/分标进行报价或者存在漏项报价；投标人未就所投</w:t>
      </w:r>
      <w:r>
        <w:rPr>
          <w:rFonts w:hint="eastAsia" w:cs="宋体"/>
          <w:color w:val="auto"/>
          <w:szCs w:val="21"/>
          <w:highlight w:val="none"/>
        </w:rPr>
        <w:t>项目</w:t>
      </w:r>
      <w:r>
        <w:rPr>
          <w:rFonts w:hint="eastAsia" w:ascii="宋体" w:hAnsi="宋体" w:cs="宋体"/>
          <w:color w:val="auto"/>
          <w:szCs w:val="21"/>
          <w:highlight w:val="none"/>
        </w:rPr>
        <w:t>/分标的单项内容作唯一报价；投标人未就所投项目/分标的全部内容作唯一总价报价；存在有选择、有条件报价的（招标文件允许有备选方案或者其他约定的除外）；</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（5）修正后的报价，投标人不确认的；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（6）投标人属于本章第5条第（4）项情形的。</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2.2在商务评审时，如发现下列情形之一的，将被视为投标无效：</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（1）投标文件未按招标文件要求签署、盖章的；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（2）委托代理人未能出具有效身份证明或者出具的身份证明与授权委托书中的信息不符的； </w:t>
      </w:r>
    </w:p>
    <w:p>
      <w:pPr>
        <w:pStyle w:val="2"/>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（3）为无效投标保证金的或者未按照招标文件的规定提交投标保证金的；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（4）投标文件未提供“投标人须知前附表”第13.1条规定中“必须提供”或者“委托时必须提供”的文件资料的；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（5）投标有效期、项目完成时间（交货时间、货物完成时间或者服务期等）、质保期及招标文件中标“▲”的商务条款发生负偏离的；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（6）商务条款评审允许负偏离的条款数超过“投标人须知前附表”规定项数的。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（7）投标文件的实质性内容未使用中文表述、使用计量单位不符合招标文件要求的；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（8）投标文件中的文件资料因填写不齐全或者内容虚假或者出现其他情形而导致被评标委员会认定无效的；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（9）投标文件含有采购人不能接受的附加条件的；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（10）未响应招标文件实质性要求的；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（11）属于投标人须知正文第9.2条情形的；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（12）法律、法规和招标文件规定的其他无效情形。</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2.3在技术评审时，如发现下列情形之一的，将被视为投标无效：</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（1）不满足招标文件要求的货物内容、技术要求、安全、质量标准，或者与招标文件中标“▲”的技术需求发生负偏离的；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（2）技术需求评审允许负偏离的条款数超过“投标人须知前附表”规定项数的；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（3）投标文件未提供“投标人须知前附表”第13.1条规定中“必须提供”的文件资料的;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（4）虚假投标，或者出现其他情形而导致被评标委员会认定无效的；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5</w:t>
      </w:r>
      <w:r>
        <w:rPr>
          <w:rFonts w:hint="eastAsia" w:ascii="宋体" w:hAnsi="宋体" w:cs="宋体"/>
          <w:color w:val="auto"/>
          <w:szCs w:val="21"/>
          <w:highlight w:val="none"/>
        </w:rPr>
        <w:t>）招标文件要求提供技术方案的，投标技术方案不明确，招标文件未允许但存在一个或者一个以上备选（替代）投标方案的。</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3.澄清补正、说明或者补正</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对投标文件中含义不明确、同类问题表述不一致或者有明显文字和计算错误的内容，评标委员会应在广西政府采购云平台发布电子澄清函，要求投标人在规定时间内作出必要的澄清、说明或者补正。投标人在广西政府采购云平台接收到电子澄清函后根据澄清函内容上传PDF格式回函，电子澄清答复函使用CA证书加盖投标人公章后在线上传至评标委员会。投标人的澄清、说明或者补正不得超出投标文件的范围或者改变投标文件的实质性内容。</w:t>
      </w:r>
      <w:r>
        <w:rPr>
          <w:rFonts w:hint="eastAsia" w:ascii="宋体" w:hAnsi="宋体" w:cs="宋体"/>
          <w:b/>
          <w:bCs/>
          <w:color w:val="auto"/>
          <w:szCs w:val="21"/>
          <w:highlight w:val="none"/>
        </w:rPr>
        <w:t>投标人未在规定时间内进行澄清、说明或者补正的，有可能对评审产生影响</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异常情况处理：如遇无法正常使用线上发送澄清函的情况，将启动书面形式办理。启动书面形式办理的情况下，评标委员会以书面形式要求投标人在规定时间内作出必要的澄清、说明或者补正。投标人的澄清、说明或者补正必须采用书面形式，并加盖公章，或者由法定代表人或者其授权的代表签字。</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4.投标文件修正</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4.1投标文件报价出现前后不一致的，按照下列规定修正： </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（1）报价文件中“开标一览表”内容与投标文件中相应内容不一致的，以“开标一览表”为准；</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（2）大写金额和小写金额不一致的，以大写金额为准；</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（3）单价金额小数点或者百分比有明显错位的，以开标一览表的总价为准，并修改单价；</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（4）总价金额与按单价汇总金额不一致的，以单价金额计算结果为准。</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同时出现两种以上不一致的，按照以上（1）-（4）规定的顺序修正。</w:t>
      </w:r>
      <w:r>
        <w:rPr>
          <w:rFonts w:hint="eastAsia" w:ascii="宋体" w:hAnsi="宋体" w:cs="宋体"/>
          <w:b/>
          <w:bCs/>
          <w:color w:val="auto"/>
          <w:highlight w:val="none"/>
        </w:rPr>
        <w:t>修正后的报价经投标人确认后产生约束力，投标人不确认的，其投标无效</w:t>
      </w:r>
      <w:r>
        <w:rPr>
          <w:rFonts w:hint="eastAsia" w:ascii="宋体" w:hAnsi="宋体" w:cs="宋体"/>
          <w:color w:val="auto"/>
          <w:highlight w:val="none"/>
        </w:rPr>
        <w:t>。</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4.2经投标人确认修正后的报价若超过采购预算金额或者最高限价，投标人的投标文件作无效投标处理。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4.3经投标人确认修正后的报价作为签订合同的依据，并以此报价计算价格分。</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5.比较与评价</w:t>
      </w:r>
    </w:p>
    <w:p>
      <w:pPr>
        <w:tabs>
          <w:tab w:val="center" w:pos="4153"/>
          <w:tab w:val="right" w:pos="8306"/>
        </w:tabs>
        <w:spacing w:line="360" w:lineRule="auto"/>
        <w:ind w:firstLine="420" w:firstLineChars="200"/>
        <w:rPr>
          <w:color w:val="auto"/>
          <w:highlight w:val="none"/>
        </w:rPr>
      </w:pPr>
      <w:r>
        <w:rPr>
          <w:rFonts w:hint="eastAsia" w:ascii="宋体" w:hAnsi="宋体" w:cs="宋体"/>
          <w:color w:val="auto"/>
          <w:highlight w:val="none"/>
        </w:rPr>
        <w:t>（1）</w:t>
      </w:r>
      <w:r>
        <w:rPr>
          <w:rFonts w:hint="eastAsia" w:ascii="宋体" w:hAnsi="宋体" w:cs="宋体"/>
          <w:color w:val="auto"/>
          <w:szCs w:val="21"/>
          <w:highlight w:val="none"/>
        </w:rPr>
        <w:t>评审委员会成员要根据政府采购法律法规和招标文件所载明的评标方法、标准进行评审。对投标人的价格分等客观评分项的评分应当一致，对其他需要借助专业知识评判的主观评分项，应当严格按照评分细则公正评分。</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（2）评标委员会按照招标文件中规定的评标方法和评标标准，对符合性审查合格的投标文件进行商务和技术评估，综合比较与评价。</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（3）评标委员会各成员独立对每个投标人的投标文件进行评价，并汇总每个投标人的得分。</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将其作为无效投标处理。</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（5）评标委员会按照招标文件中规定的评标方法和标准计算各投标人的报价得分。在评标过程中，不得去掉报价中的最高报价和最低报价。</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（6）各投标人的得分为评标委员会各成员的有效评分的算术平均数。</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（7）评标委员会按照招标文件中的规定推荐中标候选人。</w:t>
      </w:r>
    </w:p>
    <w:p>
      <w:pPr>
        <w:tabs>
          <w:tab w:val="center" w:pos="4153"/>
          <w:tab w:val="right" w:pos="8306"/>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8）起草并签署评标报告。评标委员会根据评标委员会各成员签字的原始评标记录和评标结果编写评标报告。评标委员会各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6.评审复核</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6.1评标报告签署前，评标委员会要对评审结果进行复核，复核意见要体现在评标报告中。</w:t>
      </w:r>
    </w:p>
    <w:p>
      <w:pPr>
        <w:widowControl/>
        <w:spacing w:line="560" w:lineRule="exact"/>
        <w:ind w:firstLine="420" w:firstLineChars="200"/>
        <w:jc w:val="left"/>
        <w:textAlignment w:val="baseline"/>
        <w:rPr>
          <w:rFonts w:hAnsi="宋体"/>
          <w:color w:val="auto"/>
          <w:highlight w:val="none"/>
        </w:rPr>
      </w:pPr>
      <w:r>
        <w:rPr>
          <w:rFonts w:hint="eastAsia" w:ascii="宋体" w:hAnsi="宋体" w:cs="宋体"/>
          <w:color w:val="auto"/>
          <w:highlight w:val="none"/>
        </w:rPr>
        <w:t>6.2</w:t>
      </w:r>
      <w:r>
        <w:rPr>
          <w:rFonts w:hint="eastAsia" w:hAnsi="宋体"/>
          <w:color w:val="auto"/>
          <w:highlight w:val="none"/>
        </w:rPr>
        <w:t>评标结果汇总完成后，除下列情形外，任何人不得修改评标结果：</w:t>
      </w:r>
    </w:p>
    <w:p>
      <w:pPr>
        <w:widowControl/>
        <w:spacing w:line="560" w:lineRule="exact"/>
        <w:jc w:val="left"/>
        <w:textAlignment w:val="baseline"/>
        <w:rPr>
          <w:rFonts w:hAnsi="宋体"/>
          <w:color w:val="auto"/>
          <w:highlight w:val="none"/>
        </w:rPr>
      </w:pPr>
      <w:r>
        <w:rPr>
          <w:rFonts w:hint="eastAsia" w:hAnsi="宋体"/>
          <w:color w:val="auto"/>
          <w:highlight w:val="none"/>
        </w:rPr>
        <w:t>　　（一）分值汇总计算错误的；</w:t>
      </w:r>
    </w:p>
    <w:p>
      <w:pPr>
        <w:widowControl/>
        <w:spacing w:line="560" w:lineRule="exact"/>
        <w:jc w:val="left"/>
        <w:textAlignment w:val="baseline"/>
        <w:rPr>
          <w:rFonts w:hAnsi="宋体"/>
          <w:color w:val="auto"/>
          <w:highlight w:val="none"/>
        </w:rPr>
      </w:pPr>
      <w:r>
        <w:rPr>
          <w:rFonts w:hint="eastAsia" w:hAnsi="宋体"/>
          <w:color w:val="auto"/>
          <w:highlight w:val="none"/>
        </w:rPr>
        <w:t>　　（二）分项评分超出评分标准范围的；</w:t>
      </w:r>
    </w:p>
    <w:p>
      <w:pPr>
        <w:widowControl/>
        <w:spacing w:line="560" w:lineRule="exact"/>
        <w:jc w:val="left"/>
        <w:textAlignment w:val="baseline"/>
        <w:rPr>
          <w:rFonts w:hAnsi="宋体"/>
          <w:color w:val="auto"/>
          <w:highlight w:val="none"/>
        </w:rPr>
      </w:pPr>
      <w:r>
        <w:rPr>
          <w:rFonts w:hint="eastAsia" w:hAnsi="宋体"/>
          <w:color w:val="auto"/>
          <w:highlight w:val="none"/>
        </w:rPr>
        <w:t>　　（三）评标委员会成员对客观评审因素评分不一致的；</w:t>
      </w:r>
    </w:p>
    <w:p>
      <w:pPr>
        <w:widowControl/>
        <w:spacing w:line="560" w:lineRule="exact"/>
        <w:ind w:firstLine="420"/>
        <w:jc w:val="left"/>
        <w:textAlignment w:val="baseline"/>
        <w:rPr>
          <w:rFonts w:hint="eastAsia" w:hAnsi="宋体"/>
          <w:color w:val="auto"/>
          <w:highlight w:val="none"/>
        </w:rPr>
      </w:pPr>
      <w:r>
        <w:rPr>
          <w:rFonts w:hint="eastAsia" w:hAnsi="宋体"/>
          <w:color w:val="auto"/>
          <w:highlight w:val="none"/>
        </w:rPr>
        <w:t>（四）经评标委员会认定评分畸高、畸低的。</w:t>
      </w:r>
    </w:p>
    <w:p>
      <w:pPr>
        <w:widowControl/>
        <w:spacing w:line="560" w:lineRule="exact"/>
        <w:ind w:firstLine="420"/>
        <w:jc w:val="left"/>
        <w:textAlignment w:val="baseline"/>
        <w:rPr>
          <w:rFonts w:hint="eastAsia" w:hAnsi="宋体"/>
          <w:color w:val="auto"/>
          <w:highlight w:val="none"/>
        </w:rPr>
      </w:pPr>
      <w:r>
        <w:rPr>
          <w:rFonts w:hint="eastAsia" w:hAnsi="宋体"/>
          <w:color w:val="auto"/>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2"/>
        <w:rPr>
          <w:rFonts w:hint="eastAsia"/>
          <w:color w:val="auto"/>
          <w:highlight w:val="none"/>
        </w:rPr>
      </w:pPr>
    </w:p>
    <w:p>
      <w:pPr>
        <w:pStyle w:val="4"/>
        <w:spacing w:before="0" w:after="0" w:line="360" w:lineRule="auto"/>
        <w:jc w:val="center"/>
        <w:rPr>
          <w:rFonts w:ascii="宋体" w:hAnsi="宋体" w:eastAsia="宋体" w:cs="宋体"/>
          <w:b w:val="0"/>
          <w:color w:val="auto"/>
          <w:sz w:val="30"/>
          <w:szCs w:val="30"/>
          <w:highlight w:val="none"/>
        </w:rPr>
      </w:pPr>
      <w:bookmarkStart w:id="235" w:name="_Toc17840"/>
      <w:bookmarkStart w:id="236" w:name="_Toc25387"/>
      <w:bookmarkStart w:id="237" w:name="_Toc2655"/>
      <w:bookmarkStart w:id="238" w:name="_Toc32041"/>
      <w:bookmarkStart w:id="239" w:name="_Toc17655"/>
      <w:r>
        <w:rPr>
          <w:rFonts w:hint="eastAsia" w:ascii="宋体" w:hAnsi="宋体" w:eastAsia="宋体" w:cs="宋体"/>
          <w:b w:val="0"/>
          <w:color w:val="auto"/>
          <w:sz w:val="30"/>
          <w:szCs w:val="30"/>
          <w:highlight w:val="none"/>
        </w:rPr>
        <w:t>第三节 评分标准</w:t>
      </w:r>
      <w:bookmarkEnd w:id="235"/>
      <w:bookmarkEnd w:id="236"/>
      <w:bookmarkEnd w:id="237"/>
      <w:bookmarkEnd w:id="238"/>
      <w:bookmarkEnd w:id="239"/>
    </w:p>
    <w:p>
      <w:pPr>
        <w:pStyle w:val="15"/>
        <w:jc w:val="center"/>
        <w:rPr>
          <w:rFonts w:hAnsi="宋体" w:cs="宋体"/>
          <w:b/>
          <w:color w:val="auto"/>
          <w:sz w:val="30"/>
          <w:szCs w:val="30"/>
          <w:highlight w:val="none"/>
        </w:rPr>
      </w:pPr>
      <w:r>
        <w:rPr>
          <w:rFonts w:hint="eastAsia" w:hAnsi="宋体" w:cs="宋体"/>
          <w:b/>
          <w:color w:val="auto"/>
          <w:sz w:val="30"/>
          <w:szCs w:val="30"/>
          <w:highlight w:val="none"/>
        </w:rPr>
        <w:t>综合评分法</w:t>
      </w:r>
    </w:p>
    <w:p>
      <w:pPr>
        <w:pStyle w:val="15"/>
        <w:spacing w:line="360" w:lineRule="auto"/>
        <w:rPr>
          <w:rFonts w:hAnsi="宋体" w:cs="宋体"/>
          <w:bCs/>
          <w:color w:val="auto"/>
          <w:highlight w:val="none"/>
        </w:rPr>
      </w:pPr>
      <w:r>
        <w:rPr>
          <w:rFonts w:hint="eastAsia" w:hAnsi="宋体" w:cs="宋体"/>
          <w:bCs/>
          <w:color w:val="auto"/>
          <w:highlight w:val="none"/>
        </w:rPr>
        <w:t>注：计分方法按四舍五入取至百分位。</w:t>
      </w:r>
    </w:p>
    <w:tbl>
      <w:tblPr>
        <w:tblStyle w:val="22"/>
        <w:tblW w:w="98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119"/>
        <w:gridCol w:w="1350"/>
        <w:gridCol w:w="795"/>
        <w:gridCol w:w="6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4" w:type="dxa"/>
            <w:gridSpan w:val="2"/>
            <w:vAlign w:val="center"/>
          </w:tcPr>
          <w:p>
            <w:pPr>
              <w:adjustRightInd w:val="0"/>
              <w:spacing w:line="360" w:lineRule="exact"/>
              <w:jc w:val="center"/>
              <w:textAlignment w:val="baseline"/>
              <w:rPr>
                <w:rFonts w:ascii="宋体" w:hAnsi="宋体" w:cs="宋体"/>
                <w:color w:val="auto"/>
                <w:szCs w:val="21"/>
                <w:highlight w:val="none"/>
              </w:rPr>
            </w:pPr>
            <w:r>
              <w:rPr>
                <w:rFonts w:hint="eastAsia" w:ascii="宋体" w:hAnsi="宋体" w:cs="宋体"/>
                <w:b/>
                <w:color w:val="auto"/>
                <w:szCs w:val="21"/>
                <w:highlight w:val="none"/>
              </w:rPr>
              <w:t>序号</w:t>
            </w:r>
          </w:p>
        </w:tc>
        <w:tc>
          <w:tcPr>
            <w:tcW w:w="1350" w:type="dxa"/>
            <w:vAlign w:val="center"/>
          </w:tcPr>
          <w:p>
            <w:pPr>
              <w:adjustRightInd w:val="0"/>
              <w:spacing w:line="360" w:lineRule="exact"/>
              <w:jc w:val="center"/>
              <w:textAlignment w:val="baseline"/>
              <w:rPr>
                <w:rFonts w:ascii="宋体" w:hAnsi="宋体" w:cs="宋体"/>
                <w:color w:val="auto"/>
                <w:szCs w:val="21"/>
                <w:highlight w:val="none"/>
              </w:rPr>
            </w:pPr>
            <w:r>
              <w:rPr>
                <w:rFonts w:hint="eastAsia" w:ascii="宋体" w:hAnsi="宋体" w:cs="宋体"/>
                <w:b/>
                <w:color w:val="auto"/>
                <w:szCs w:val="21"/>
                <w:highlight w:val="none"/>
              </w:rPr>
              <w:t>评审因素</w:t>
            </w:r>
          </w:p>
        </w:tc>
        <w:tc>
          <w:tcPr>
            <w:tcW w:w="6824" w:type="dxa"/>
            <w:gridSpan w:val="2"/>
            <w:vAlign w:val="center"/>
          </w:tcPr>
          <w:p>
            <w:pPr>
              <w:adjustRightInd w:val="0"/>
              <w:spacing w:line="360" w:lineRule="exact"/>
              <w:jc w:val="center"/>
              <w:textAlignment w:val="baseline"/>
              <w:rPr>
                <w:rFonts w:ascii="宋体" w:hAnsi="宋体" w:cs="宋体"/>
                <w:color w:val="auto"/>
                <w:szCs w:val="21"/>
                <w:highlight w:val="none"/>
              </w:rPr>
            </w:pPr>
            <w:r>
              <w:rPr>
                <w:rFonts w:hint="eastAsia" w:ascii="宋体" w:hAnsi="宋体" w:cs="宋体"/>
                <w:b/>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5" w:type="dxa"/>
            <w:vAlign w:val="center"/>
          </w:tcPr>
          <w:p>
            <w:pPr>
              <w:adjustRightInd w:val="0"/>
              <w:spacing w:line="36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1</w:t>
            </w:r>
          </w:p>
        </w:tc>
        <w:tc>
          <w:tcPr>
            <w:tcW w:w="1119" w:type="dxa"/>
            <w:vAlign w:val="center"/>
          </w:tcPr>
          <w:p>
            <w:pPr>
              <w:adjustRightInd w:val="0"/>
              <w:spacing w:line="36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价格分</w:t>
            </w:r>
          </w:p>
          <w:p>
            <w:pPr>
              <w:adjustRightInd w:val="0"/>
              <w:spacing w:line="360" w:lineRule="exact"/>
              <w:jc w:val="center"/>
              <w:textAlignment w:val="baseline"/>
              <w:rPr>
                <w:rFonts w:ascii="宋体" w:hAnsi="宋体" w:cs="宋体"/>
                <w:color w:val="auto"/>
                <w:szCs w:val="21"/>
                <w:highlight w:val="none"/>
              </w:rPr>
            </w:pPr>
            <w:r>
              <w:rPr>
                <w:rFonts w:hint="eastAsia" w:ascii="宋体" w:hAnsi="宋体" w:cs="宋体"/>
                <w:color w:val="auto"/>
                <w:szCs w:val="21"/>
                <w:highlight w:val="none"/>
              </w:rPr>
              <w:t>（满分</w:t>
            </w:r>
            <w:r>
              <w:rPr>
                <w:rFonts w:hint="eastAsia" w:ascii="宋体" w:hAnsi="宋体" w:cs="宋体"/>
                <w:color w:val="auto"/>
                <w:szCs w:val="21"/>
                <w:highlight w:val="none"/>
                <w:u w:val="single"/>
              </w:rPr>
              <w:t>40</w:t>
            </w:r>
            <w:r>
              <w:rPr>
                <w:rFonts w:hint="eastAsia" w:ascii="宋体" w:hAnsi="宋体" w:cs="宋体"/>
                <w:color w:val="auto"/>
                <w:szCs w:val="21"/>
                <w:highlight w:val="none"/>
              </w:rPr>
              <w:t>分）</w:t>
            </w:r>
          </w:p>
          <w:p>
            <w:pPr>
              <w:adjustRightInd w:val="0"/>
              <w:spacing w:line="360" w:lineRule="exact"/>
              <w:jc w:val="left"/>
              <w:textAlignment w:val="baseline"/>
              <w:rPr>
                <w:rFonts w:ascii="宋体" w:hAnsi="宋体" w:cs="宋体"/>
                <w:color w:val="auto"/>
                <w:szCs w:val="21"/>
                <w:highlight w:val="none"/>
              </w:rPr>
            </w:pPr>
          </w:p>
        </w:tc>
        <w:tc>
          <w:tcPr>
            <w:tcW w:w="1350" w:type="dxa"/>
            <w:vAlign w:val="center"/>
          </w:tcPr>
          <w:p>
            <w:pPr>
              <w:adjustRightInd w:val="0"/>
              <w:spacing w:line="36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lang w:val="en-US" w:eastAsia="zh-CN"/>
              </w:rPr>
              <w:t>1.1</w:t>
            </w:r>
            <w:r>
              <w:rPr>
                <w:rFonts w:hint="eastAsia" w:ascii="宋体" w:hAnsi="宋体" w:cs="宋体"/>
                <w:b/>
                <w:color w:val="auto"/>
                <w:szCs w:val="21"/>
                <w:highlight w:val="none"/>
              </w:rPr>
              <w:t>投标报价</w:t>
            </w:r>
          </w:p>
        </w:tc>
        <w:tc>
          <w:tcPr>
            <w:tcW w:w="6824" w:type="dxa"/>
            <w:gridSpan w:val="2"/>
            <w:vAlign w:val="center"/>
          </w:tcPr>
          <w:p>
            <w:pPr>
              <w:spacing w:line="36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（1）本项目为专门面向中小企业采购的项目，按照《政府采购促进中小企业发展管理办法》（财库〔2020〕46号）的规定，对投标人的投标报价不再执行价格评审优惠的扶持政策。</w:t>
            </w:r>
          </w:p>
          <w:p>
            <w:pPr>
              <w:spacing w:line="36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（2）评标报价为投标人的投标报价，评标报价只是作为评审时使用。最终中标人的中标金额等于投标报价。</w:t>
            </w:r>
          </w:p>
          <w:p>
            <w:pPr>
              <w:spacing w:line="36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（3）满足招标文件要求且评标报价最低的评标报价为评标基准价，基准价得分为40分。</w:t>
            </w:r>
          </w:p>
          <w:p>
            <w:pPr>
              <w:spacing w:line="36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 xml:space="preserve">（4）价格分计算公式：        </w:t>
            </w:r>
          </w:p>
          <w:p>
            <w:pPr>
              <w:spacing w:line="36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价格分=(评标基准价／评标报价)×40分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525" w:type="dxa"/>
            <w:vMerge w:val="restart"/>
            <w:vAlign w:val="center"/>
          </w:tcPr>
          <w:p>
            <w:pPr>
              <w:adjustRightInd w:val="0"/>
              <w:spacing w:line="36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2</w:t>
            </w:r>
          </w:p>
        </w:tc>
        <w:tc>
          <w:tcPr>
            <w:tcW w:w="1119" w:type="dxa"/>
            <w:vMerge w:val="restart"/>
            <w:vAlign w:val="center"/>
          </w:tcPr>
          <w:p>
            <w:pPr>
              <w:adjustRightInd w:val="0"/>
              <w:spacing w:line="360" w:lineRule="exact"/>
              <w:ind w:left="-105" w:leftChars="-50" w:right="-105" w:rightChars="-50"/>
              <w:jc w:val="center"/>
              <w:textAlignment w:val="baseline"/>
              <w:rPr>
                <w:rFonts w:ascii="宋体" w:hAnsi="宋体" w:cs="宋体"/>
                <w:b/>
                <w:bCs/>
                <w:color w:val="auto"/>
                <w:szCs w:val="21"/>
                <w:highlight w:val="none"/>
              </w:rPr>
            </w:pPr>
            <w:r>
              <w:rPr>
                <w:rFonts w:hint="eastAsia" w:ascii="宋体" w:hAnsi="宋体" w:cs="宋体"/>
                <w:b/>
                <w:bCs/>
                <w:color w:val="auto"/>
                <w:szCs w:val="21"/>
                <w:highlight w:val="none"/>
              </w:rPr>
              <w:t>技术分</w:t>
            </w:r>
          </w:p>
          <w:p>
            <w:pPr>
              <w:adjustRightInd w:val="0"/>
              <w:spacing w:line="360" w:lineRule="exact"/>
              <w:ind w:left="-105" w:leftChars="-50" w:right="-105" w:rightChars="-50"/>
              <w:jc w:val="center"/>
              <w:textAlignment w:val="baseline"/>
              <w:rPr>
                <w:rFonts w:ascii="宋体" w:hAnsi="宋体" w:cs="宋体"/>
                <w:color w:val="auto"/>
                <w:spacing w:val="-18"/>
                <w:szCs w:val="21"/>
                <w:highlight w:val="none"/>
              </w:rPr>
            </w:pPr>
            <w:r>
              <w:rPr>
                <w:rFonts w:hint="eastAsia" w:ascii="宋体" w:hAnsi="宋体" w:cs="宋体"/>
                <w:bCs/>
                <w:color w:val="auto"/>
                <w:szCs w:val="21"/>
                <w:highlight w:val="none"/>
              </w:rPr>
              <w:t>（</w:t>
            </w:r>
            <w:r>
              <w:rPr>
                <w:rFonts w:hint="eastAsia" w:ascii="宋体" w:hAnsi="宋体" w:cs="宋体"/>
                <w:color w:val="auto"/>
                <w:szCs w:val="21"/>
                <w:highlight w:val="none"/>
              </w:rPr>
              <w:t>满分</w:t>
            </w:r>
            <w:r>
              <w:rPr>
                <w:rFonts w:hint="eastAsia" w:ascii="宋体" w:hAnsi="宋体" w:cs="宋体"/>
                <w:color w:val="auto"/>
                <w:szCs w:val="21"/>
                <w:highlight w:val="none"/>
                <w:u w:val="single"/>
              </w:rPr>
              <w:t>42</w:t>
            </w:r>
            <w:r>
              <w:rPr>
                <w:rFonts w:hint="eastAsia" w:ascii="宋体" w:hAnsi="宋体" w:cs="宋体"/>
                <w:bCs/>
                <w:color w:val="auto"/>
                <w:szCs w:val="21"/>
                <w:highlight w:val="none"/>
              </w:rPr>
              <w:t>分）</w:t>
            </w:r>
          </w:p>
        </w:tc>
        <w:tc>
          <w:tcPr>
            <w:tcW w:w="1350" w:type="dxa"/>
            <w:vAlign w:val="center"/>
          </w:tcPr>
          <w:p>
            <w:pPr>
              <w:adjustRightInd w:val="0"/>
              <w:spacing w:line="360" w:lineRule="exact"/>
              <w:jc w:val="left"/>
              <w:textAlignment w:val="baseline"/>
              <w:rPr>
                <w:rFonts w:ascii="宋体" w:hAnsi="宋体" w:cs="宋体"/>
                <w:color w:val="auto"/>
                <w:szCs w:val="21"/>
                <w:highlight w:val="none"/>
                <w:u w:val="single"/>
              </w:rPr>
            </w:pPr>
            <w:r>
              <w:rPr>
                <w:rFonts w:hint="eastAsia" w:ascii="宋体" w:hAnsi="宋体" w:cs="宋体"/>
                <w:b/>
                <w:bCs/>
                <w:color w:val="auto"/>
                <w:szCs w:val="21"/>
                <w:highlight w:val="none"/>
                <w:u w:val="single"/>
                <w:lang w:val="en-US" w:eastAsia="zh-CN"/>
              </w:rPr>
              <w:t>2.1</w:t>
            </w:r>
            <w:r>
              <w:rPr>
                <w:rFonts w:hint="eastAsia" w:ascii="宋体" w:hAnsi="宋体" w:cs="宋体"/>
                <w:b/>
                <w:bCs/>
                <w:color w:val="auto"/>
                <w:szCs w:val="21"/>
                <w:highlight w:val="none"/>
                <w:u w:val="single"/>
              </w:rPr>
              <w:t>技术性能分</w:t>
            </w:r>
            <w:r>
              <w:rPr>
                <w:rFonts w:hint="eastAsia" w:ascii="宋体" w:hAnsi="宋体" w:cs="宋体"/>
                <w:color w:val="auto"/>
                <w:szCs w:val="21"/>
                <w:highlight w:val="none"/>
              </w:rPr>
              <w:t>（满分</w:t>
            </w:r>
            <w:r>
              <w:rPr>
                <w:rFonts w:hint="eastAsia" w:ascii="宋体" w:hAnsi="宋体" w:cs="宋体"/>
                <w:color w:val="auto"/>
                <w:szCs w:val="21"/>
                <w:highlight w:val="none"/>
                <w:u w:val="single"/>
              </w:rPr>
              <w:t>30</w:t>
            </w:r>
            <w:r>
              <w:rPr>
                <w:rFonts w:hint="eastAsia" w:ascii="宋体" w:hAnsi="宋体" w:cs="宋体"/>
                <w:color w:val="auto"/>
                <w:szCs w:val="21"/>
                <w:highlight w:val="none"/>
              </w:rPr>
              <w:t>分）</w:t>
            </w:r>
          </w:p>
        </w:tc>
        <w:tc>
          <w:tcPr>
            <w:tcW w:w="6824" w:type="dxa"/>
            <w:gridSpan w:val="2"/>
            <w:vAlign w:val="center"/>
          </w:tcPr>
          <w:p>
            <w:pPr>
              <w:pStyle w:val="15"/>
              <w:spacing w:line="360" w:lineRule="exact"/>
              <w:ind w:firstLine="422" w:firstLineChars="200"/>
              <w:rPr>
                <w:rFonts w:hAnsi="宋体" w:cs="宋体"/>
                <w:color w:val="auto"/>
                <w:szCs w:val="21"/>
                <w:highlight w:val="none"/>
              </w:rPr>
            </w:pPr>
            <w:r>
              <w:rPr>
                <w:rFonts w:hint="eastAsia" w:hAnsi="宋体" w:cs="宋体"/>
                <w:b/>
                <w:bCs/>
                <w:color w:val="auto"/>
                <w:szCs w:val="21"/>
                <w:highlight w:val="none"/>
              </w:rPr>
              <w:t>A分标适用：</w:t>
            </w:r>
          </w:p>
          <w:p>
            <w:pPr>
              <w:pStyle w:val="15"/>
              <w:spacing w:line="360" w:lineRule="exact"/>
              <w:ind w:firstLine="420" w:firstLineChars="200"/>
              <w:rPr>
                <w:rFonts w:hAnsi="宋体" w:cs="宋体"/>
                <w:color w:val="auto"/>
                <w:szCs w:val="21"/>
                <w:highlight w:val="none"/>
              </w:rPr>
            </w:pPr>
            <w:r>
              <w:rPr>
                <w:rFonts w:hint="eastAsia" w:hAnsi="宋体" w:cs="宋体"/>
                <w:color w:val="auto"/>
                <w:szCs w:val="21"/>
                <w:highlight w:val="none"/>
              </w:rPr>
              <w:t>（1）所投产品中未标注“▲”号的技术参数及配置优于招标文件要求且评标时被评标委员会接受的，每有1项得</w:t>
            </w:r>
            <w:r>
              <w:rPr>
                <w:rFonts w:hAnsi="宋体" w:cs="宋体"/>
                <w:color w:val="auto"/>
                <w:szCs w:val="21"/>
                <w:highlight w:val="none"/>
              </w:rPr>
              <w:t>2</w:t>
            </w:r>
            <w:r>
              <w:rPr>
                <w:rFonts w:hint="eastAsia" w:hAnsi="宋体" w:cs="宋体"/>
                <w:color w:val="auto"/>
                <w:szCs w:val="21"/>
                <w:highlight w:val="none"/>
              </w:rPr>
              <w:t>分，满分30分。</w:t>
            </w:r>
          </w:p>
          <w:p>
            <w:pPr>
              <w:pStyle w:val="15"/>
              <w:spacing w:line="360" w:lineRule="exact"/>
              <w:ind w:firstLine="420" w:firstLineChars="200"/>
              <w:rPr>
                <w:rFonts w:hAnsi="宋体" w:cs="宋体"/>
                <w:color w:val="auto"/>
                <w:szCs w:val="21"/>
                <w:highlight w:val="none"/>
              </w:rPr>
            </w:pPr>
            <w:r>
              <w:rPr>
                <w:rFonts w:hint="eastAsia" w:hAnsi="宋体" w:cs="宋体"/>
                <w:color w:val="auto"/>
                <w:szCs w:val="21"/>
                <w:highlight w:val="none"/>
              </w:rPr>
              <w:t>注：需提供由国家认可的具有相应资质的第三方检测机构出具的有效检测报告或投标产品厂家出具的技术参数说明文件或投标产品厂家公开发布的印刷资料做为证明材料，加盖投标人公章。不提供证明材料不得分。</w:t>
            </w:r>
          </w:p>
          <w:p>
            <w:pPr>
              <w:pStyle w:val="15"/>
              <w:spacing w:line="360" w:lineRule="exact"/>
              <w:ind w:firstLine="420" w:firstLineChars="200"/>
              <w:rPr>
                <w:rFonts w:hAnsi="宋体" w:cs="宋体"/>
                <w:color w:val="auto"/>
                <w:szCs w:val="21"/>
                <w:highlight w:val="none"/>
              </w:rPr>
            </w:pPr>
          </w:p>
          <w:p>
            <w:pPr>
              <w:pStyle w:val="15"/>
              <w:spacing w:line="360" w:lineRule="exact"/>
              <w:ind w:firstLine="422" w:firstLineChars="200"/>
              <w:rPr>
                <w:rFonts w:hAnsi="宋体" w:cs="宋体"/>
                <w:b/>
                <w:bCs/>
                <w:color w:val="auto"/>
                <w:szCs w:val="21"/>
                <w:highlight w:val="none"/>
              </w:rPr>
            </w:pPr>
            <w:r>
              <w:rPr>
                <w:rFonts w:hint="eastAsia" w:hAnsi="宋体" w:cs="宋体"/>
                <w:b/>
                <w:bCs/>
                <w:color w:val="auto"/>
                <w:szCs w:val="21"/>
                <w:highlight w:val="none"/>
              </w:rPr>
              <w:t>B分标适用：</w:t>
            </w:r>
          </w:p>
          <w:p>
            <w:pPr>
              <w:pStyle w:val="15"/>
              <w:spacing w:line="360" w:lineRule="exact"/>
              <w:ind w:firstLine="420" w:firstLineChars="200"/>
              <w:rPr>
                <w:rFonts w:hAnsi="宋体" w:cs="宋体"/>
                <w:color w:val="auto"/>
                <w:szCs w:val="21"/>
                <w:highlight w:val="none"/>
              </w:rPr>
            </w:pPr>
            <w:r>
              <w:rPr>
                <w:rFonts w:hint="eastAsia" w:hAnsi="宋体" w:cs="宋体"/>
                <w:color w:val="auto"/>
                <w:szCs w:val="21"/>
                <w:highlight w:val="none"/>
              </w:rPr>
              <w:t>（1）所投产品中标注“●”号的技术参数及配置优于招标文件要求且评标时被评标委员会接受的，每有1项得</w:t>
            </w:r>
            <w:r>
              <w:rPr>
                <w:rFonts w:hAnsi="宋体" w:cs="宋体"/>
                <w:color w:val="auto"/>
                <w:szCs w:val="21"/>
                <w:highlight w:val="none"/>
              </w:rPr>
              <w:t>2</w:t>
            </w:r>
            <w:r>
              <w:rPr>
                <w:rFonts w:hint="eastAsia" w:hAnsi="宋体" w:cs="宋体"/>
                <w:color w:val="auto"/>
                <w:szCs w:val="21"/>
                <w:highlight w:val="none"/>
              </w:rPr>
              <w:t>分，满分20分。</w:t>
            </w:r>
          </w:p>
          <w:p>
            <w:pPr>
              <w:pStyle w:val="15"/>
              <w:spacing w:line="360" w:lineRule="exact"/>
              <w:ind w:firstLine="420" w:firstLineChars="200"/>
              <w:rPr>
                <w:rFonts w:hAnsi="宋体" w:cs="宋体"/>
                <w:color w:val="auto"/>
                <w:szCs w:val="21"/>
                <w:highlight w:val="none"/>
              </w:rPr>
            </w:pPr>
            <w:r>
              <w:rPr>
                <w:rFonts w:hint="eastAsia" w:hAnsi="宋体" w:cs="宋体"/>
                <w:color w:val="auto"/>
                <w:szCs w:val="21"/>
                <w:highlight w:val="none"/>
              </w:rPr>
              <w:t>（2）所投产品中未标注“▲”或“●”号的技术参数及配置优于招标文件要求且评标时被评标委员会接受的，每有1项得1分，满分10分。</w:t>
            </w:r>
          </w:p>
          <w:p>
            <w:pPr>
              <w:pStyle w:val="15"/>
              <w:spacing w:line="360" w:lineRule="exact"/>
              <w:ind w:firstLine="420" w:firstLineChars="200"/>
              <w:rPr>
                <w:rFonts w:hAnsi="宋体" w:cs="宋体"/>
                <w:b/>
                <w:color w:val="auto"/>
                <w:szCs w:val="21"/>
                <w:highlight w:val="none"/>
              </w:rPr>
            </w:pPr>
            <w:r>
              <w:rPr>
                <w:rFonts w:hint="eastAsia" w:hAnsi="宋体" w:cs="宋体"/>
                <w:color w:val="auto"/>
                <w:szCs w:val="21"/>
                <w:highlight w:val="none"/>
              </w:rPr>
              <w:t>注：需提供由国家认可的具有相应资质的第三方检测机构出具的有效检测报告或投标产品厂家出具的技术参数说明文件或投标产品厂家公开发布的印刷资料做为证明材料，加盖投标人公章。不提供证明材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525" w:type="dxa"/>
            <w:vMerge w:val="continue"/>
            <w:vAlign w:val="center"/>
          </w:tcPr>
          <w:p>
            <w:pPr>
              <w:adjustRightInd w:val="0"/>
              <w:spacing w:line="360" w:lineRule="exact"/>
              <w:jc w:val="center"/>
              <w:textAlignment w:val="baseline"/>
              <w:rPr>
                <w:rFonts w:ascii="宋体" w:hAnsi="宋体" w:cs="宋体"/>
                <w:b/>
                <w:color w:val="auto"/>
                <w:szCs w:val="21"/>
                <w:highlight w:val="none"/>
              </w:rPr>
            </w:pPr>
          </w:p>
        </w:tc>
        <w:tc>
          <w:tcPr>
            <w:tcW w:w="1119" w:type="dxa"/>
            <w:vMerge w:val="continue"/>
            <w:vAlign w:val="center"/>
          </w:tcPr>
          <w:p>
            <w:pPr>
              <w:adjustRightInd w:val="0"/>
              <w:spacing w:line="360" w:lineRule="exact"/>
              <w:ind w:left="-105" w:leftChars="-50" w:right="-105" w:rightChars="-50"/>
              <w:jc w:val="center"/>
              <w:textAlignment w:val="baseline"/>
              <w:rPr>
                <w:rFonts w:ascii="宋体" w:hAnsi="宋体" w:cs="宋体"/>
                <w:bCs/>
                <w:color w:val="auto"/>
                <w:szCs w:val="21"/>
                <w:highlight w:val="none"/>
              </w:rPr>
            </w:pPr>
          </w:p>
        </w:tc>
        <w:tc>
          <w:tcPr>
            <w:tcW w:w="1350" w:type="dxa"/>
            <w:vAlign w:val="center"/>
          </w:tcPr>
          <w:p>
            <w:pPr>
              <w:widowControl/>
              <w:snapToGrid w:val="0"/>
              <w:spacing w:line="360" w:lineRule="exact"/>
              <w:jc w:val="center"/>
              <w:rPr>
                <w:rFonts w:ascii="宋体" w:hAnsi="宋体" w:cs="宋体"/>
                <w:b/>
                <w:color w:val="auto"/>
                <w:szCs w:val="21"/>
                <w:highlight w:val="none"/>
              </w:rPr>
            </w:pPr>
            <w:r>
              <w:rPr>
                <w:rFonts w:hint="eastAsia" w:ascii="宋体" w:hAnsi="宋体" w:cs="宋体"/>
                <w:b/>
                <w:color w:val="auto"/>
                <w:szCs w:val="21"/>
                <w:highlight w:val="none"/>
              </w:rPr>
              <w:t>2.2项目组织与实施方案分</w:t>
            </w:r>
          </w:p>
          <w:p>
            <w:pPr>
              <w:adjustRightInd w:val="0"/>
              <w:spacing w:line="360" w:lineRule="exact"/>
              <w:jc w:val="left"/>
              <w:textAlignment w:val="baseline"/>
              <w:rPr>
                <w:rFonts w:hint="eastAsia" w:ascii="宋体" w:hAnsi="宋体" w:eastAsia="宋体" w:cs="宋体"/>
                <w:color w:val="auto"/>
                <w:szCs w:val="21"/>
                <w:highlight w:val="none"/>
                <w:u w:val="single"/>
                <w:lang w:eastAsia="zh-CN"/>
              </w:rPr>
            </w:pPr>
            <w:r>
              <w:rPr>
                <w:rFonts w:hint="eastAsia" w:ascii="宋体" w:hAnsi="宋体" w:cs="宋体"/>
                <w:bCs/>
                <w:color w:val="auto"/>
                <w:szCs w:val="21"/>
                <w:highlight w:val="none"/>
              </w:rPr>
              <w:t>（满分12分</w:t>
            </w:r>
            <w:r>
              <w:rPr>
                <w:rFonts w:hint="eastAsia" w:ascii="宋体" w:hAnsi="宋体" w:cs="宋体"/>
                <w:bCs/>
                <w:color w:val="auto"/>
                <w:szCs w:val="21"/>
                <w:highlight w:val="none"/>
                <w:lang w:eastAsia="zh-CN"/>
              </w:rPr>
              <w:t>）</w:t>
            </w:r>
          </w:p>
        </w:tc>
        <w:tc>
          <w:tcPr>
            <w:tcW w:w="6824" w:type="dxa"/>
            <w:gridSpan w:val="2"/>
            <w:vAlign w:val="center"/>
          </w:tcPr>
          <w:p>
            <w:pPr>
              <w:widowControl/>
              <w:adjustRightInd w:val="0"/>
              <w:snapToGrid w:val="0"/>
              <w:spacing w:line="360" w:lineRule="exact"/>
              <w:ind w:firstLine="379" w:firstLineChars="180"/>
              <w:rPr>
                <w:rFonts w:ascii="宋体" w:hAnsi="宋体" w:cs="宋体"/>
                <w:b/>
                <w:bCs/>
                <w:color w:val="auto"/>
                <w:szCs w:val="21"/>
                <w:highlight w:val="none"/>
              </w:rPr>
            </w:pPr>
            <w:r>
              <w:rPr>
                <w:rFonts w:hint="eastAsia" w:ascii="宋体" w:hAnsi="宋体" w:cs="宋体"/>
                <w:b/>
                <w:bCs/>
                <w:color w:val="auto"/>
                <w:szCs w:val="21"/>
                <w:highlight w:val="none"/>
              </w:rPr>
              <w:t>（一）项目实施方案（5分）</w:t>
            </w:r>
          </w:p>
          <w:p>
            <w:pPr>
              <w:widowControl/>
              <w:adjustRightInd w:val="0"/>
              <w:snapToGrid w:val="0"/>
              <w:spacing w:line="360" w:lineRule="exact"/>
              <w:ind w:firstLine="378" w:firstLineChars="180"/>
              <w:rPr>
                <w:rFonts w:ascii="宋体" w:hAnsi="宋体" w:cs="宋体"/>
                <w:color w:val="auto"/>
                <w:szCs w:val="21"/>
                <w:highlight w:val="none"/>
              </w:rPr>
            </w:pPr>
            <w:r>
              <w:rPr>
                <w:rFonts w:hint="eastAsia" w:ascii="宋体" w:hAnsi="宋体" w:cs="宋体"/>
                <w:color w:val="auto"/>
                <w:szCs w:val="21"/>
                <w:highlight w:val="none"/>
              </w:rPr>
              <w:t>一档（1分）：投标人提供了项目实施方案。</w:t>
            </w:r>
          </w:p>
          <w:p>
            <w:pPr>
              <w:widowControl/>
              <w:adjustRightInd w:val="0"/>
              <w:snapToGrid w:val="0"/>
              <w:spacing w:line="360" w:lineRule="exact"/>
              <w:ind w:firstLine="378" w:firstLineChars="180"/>
              <w:rPr>
                <w:rFonts w:ascii="宋体" w:hAnsi="宋体" w:cs="宋体"/>
                <w:color w:val="auto"/>
                <w:szCs w:val="21"/>
                <w:highlight w:val="none"/>
              </w:rPr>
            </w:pPr>
            <w:r>
              <w:rPr>
                <w:rFonts w:hint="eastAsia" w:ascii="宋体" w:hAnsi="宋体" w:cs="宋体"/>
                <w:color w:val="auto"/>
                <w:szCs w:val="21"/>
                <w:highlight w:val="none"/>
              </w:rPr>
              <w:t>二档（3分）：在一档的基础上，投标人提供的项目实施方案内容包含但不限于人员配备、质量控制、检测等方面内容，有利于项目实施。</w:t>
            </w:r>
          </w:p>
          <w:p>
            <w:pPr>
              <w:widowControl/>
              <w:adjustRightInd w:val="0"/>
              <w:snapToGrid w:val="0"/>
              <w:spacing w:line="360" w:lineRule="exact"/>
              <w:ind w:firstLine="378" w:firstLineChars="180"/>
              <w:jc w:val="left"/>
              <w:rPr>
                <w:rFonts w:ascii="宋体" w:hAnsi="宋体" w:cs="宋体"/>
                <w:color w:val="auto"/>
                <w:szCs w:val="21"/>
                <w:highlight w:val="none"/>
              </w:rPr>
            </w:pPr>
            <w:r>
              <w:rPr>
                <w:rFonts w:hint="eastAsia" w:ascii="宋体" w:hAnsi="宋体" w:cs="宋体"/>
                <w:color w:val="auto"/>
                <w:szCs w:val="21"/>
                <w:highlight w:val="none"/>
              </w:rPr>
              <w:t>三档（5分）：在二挡的基础上，投标人提供的项目实施方案内容有针对性，方案包含但不限于人员配备、分工、实施准备、实施进度计划、质量控制、检测及验收、项目移交、工期保证措施、</w:t>
            </w:r>
            <w:r>
              <w:rPr>
                <w:rFonts w:hint="eastAsia" w:ascii="宋体" w:hAnsi="宋体" w:cs="宋体"/>
                <w:bCs/>
                <w:color w:val="auto"/>
                <w:kern w:val="0"/>
                <w:szCs w:val="21"/>
                <w:highlight w:val="none"/>
              </w:rPr>
              <w:t>安全控制措施、安装质量控制、</w:t>
            </w:r>
            <w:r>
              <w:rPr>
                <w:rFonts w:hint="eastAsia" w:ascii="宋体" w:hAnsi="宋体" w:cs="宋体"/>
                <w:color w:val="auto"/>
                <w:szCs w:val="21"/>
                <w:highlight w:val="none"/>
              </w:rPr>
              <w:t>项目应急预案等方面内容，能够很好的保障项目实施。</w:t>
            </w:r>
          </w:p>
          <w:p>
            <w:pPr>
              <w:widowControl/>
              <w:adjustRightInd w:val="0"/>
              <w:snapToGrid w:val="0"/>
              <w:spacing w:line="360" w:lineRule="exact"/>
              <w:ind w:firstLine="379" w:firstLineChars="180"/>
              <w:jc w:val="left"/>
              <w:rPr>
                <w:rFonts w:ascii="宋体" w:hAnsi="宋体" w:cs="宋体"/>
                <w:b/>
                <w:color w:val="auto"/>
                <w:szCs w:val="21"/>
                <w:highlight w:val="none"/>
              </w:rPr>
            </w:pPr>
            <w:r>
              <w:rPr>
                <w:rFonts w:hint="eastAsia" w:ascii="宋体" w:hAnsi="宋体" w:cs="宋体"/>
                <w:b/>
                <w:color w:val="auto"/>
                <w:szCs w:val="21"/>
                <w:highlight w:val="none"/>
              </w:rPr>
              <w:t>（二）项目人员配备方案</w:t>
            </w:r>
            <w:r>
              <w:rPr>
                <w:rFonts w:hint="eastAsia" w:ascii="宋体" w:hAnsi="宋体" w:cs="宋体"/>
                <w:b/>
                <w:bCs/>
                <w:color w:val="auto"/>
                <w:szCs w:val="21"/>
                <w:highlight w:val="none"/>
              </w:rPr>
              <w:t>（7分）</w:t>
            </w:r>
          </w:p>
          <w:p>
            <w:pPr>
              <w:widowControl/>
              <w:adjustRightInd w:val="0"/>
              <w:snapToGrid w:val="0"/>
              <w:spacing w:line="360" w:lineRule="exact"/>
              <w:ind w:firstLine="378" w:firstLineChars="180"/>
              <w:rPr>
                <w:rFonts w:ascii="宋体" w:hAnsi="宋体" w:cs="宋体"/>
                <w:bCs/>
                <w:color w:val="auto"/>
                <w:kern w:val="0"/>
                <w:szCs w:val="21"/>
                <w:highlight w:val="none"/>
              </w:rPr>
            </w:pPr>
            <w:r>
              <w:rPr>
                <w:rFonts w:hint="eastAsia" w:ascii="宋体" w:hAnsi="宋体" w:cs="宋体"/>
                <w:bCs/>
                <w:color w:val="auto"/>
                <w:kern w:val="0"/>
                <w:szCs w:val="21"/>
                <w:highlight w:val="none"/>
              </w:rPr>
              <w:t>（1）拟投入项目负责人：有相对应中级职称（计算机或与本项目相关专业）的得1分；有相对应高级职称（计算机或与本项目相关专业）的得2分；本项满分3分；</w:t>
            </w:r>
          </w:p>
          <w:p>
            <w:pPr>
              <w:widowControl/>
              <w:adjustRightInd w:val="0"/>
              <w:snapToGrid w:val="0"/>
              <w:spacing w:line="360" w:lineRule="exact"/>
              <w:ind w:firstLine="378" w:firstLineChars="180"/>
              <w:rPr>
                <w:rFonts w:hAnsi="宋体" w:cs="宋体"/>
                <w:bCs/>
                <w:color w:val="auto"/>
                <w:kern w:val="0"/>
                <w:szCs w:val="21"/>
                <w:highlight w:val="none"/>
              </w:rPr>
            </w:pPr>
            <w:r>
              <w:rPr>
                <w:rFonts w:hint="eastAsia" w:ascii="宋体" w:hAnsi="宋体" w:cs="宋体"/>
                <w:bCs/>
                <w:color w:val="auto"/>
                <w:kern w:val="0"/>
                <w:szCs w:val="21"/>
                <w:highlight w:val="none"/>
              </w:rPr>
              <w:t>（2）拟投入项目技术人员：技术人员具有初级职称（计算机或与本项目相关专业）的，每有一人得0.5分；</w:t>
            </w:r>
            <w:r>
              <w:rPr>
                <w:rFonts w:hint="eastAsia" w:hAnsi="宋体" w:cs="宋体"/>
                <w:bCs/>
                <w:color w:val="auto"/>
                <w:kern w:val="0"/>
                <w:szCs w:val="21"/>
                <w:highlight w:val="none"/>
              </w:rPr>
              <w:t>具有中级及以上职称（计算机或与本项目相关专业）的，</w:t>
            </w:r>
            <w:r>
              <w:rPr>
                <w:rFonts w:hint="eastAsia" w:ascii="宋体" w:hAnsi="宋体" w:cs="宋体"/>
                <w:bCs/>
                <w:color w:val="auto"/>
                <w:kern w:val="0"/>
                <w:szCs w:val="21"/>
                <w:highlight w:val="none"/>
              </w:rPr>
              <w:t>每有一人得1分；本项满分4分；</w:t>
            </w:r>
          </w:p>
          <w:p>
            <w:pPr>
              <w:pStyle w:val="15"/>
              <w:spacing w:line="360" w:lineRule="exact"/>
              <w:rPr>
                <w:rFonts w:hAnsi="宋体" w:cs="宋体"/>
                <w:b/>
                <w:color w:val="auto"/>
                <w:szCs w:val="21"/>
                <w:highlight w:val="none"/>
              </w:rPr>
            </w:pPr>
            <w:r>
              <w:rPr>
                <w:rFonts w:hint="eastAsia" w:hAnsi="宋体" w:cs="宋体"/>
                <w:b/>
                <w:color w:val="auto"/>
                <w:kern w:val="0"/>
                <w:szCs w:val="21"/>
                <w:highlight w:val="none"/>
              </w:rPr>
              <w:t>注：需提供职称证书复印件或扫描件，以及所有人员有效期内的合同复印件作为证明材料，</w:t>
            </w:r>
            <w:r>
              <w:rPr>
                <w:rFonts w:hint="eastAsia" w:hAnsi="宋体" w:cs="宋体"/>
                <w:color w:val="auto"/>
                <w:szCs w:val="21"/>
                <w:highlight w:val="none"/>
              </w:rPr>
              <w:t>加盖投标人公章，</w:t>
            </w:r>
            <w:r>
              <w:rPr>
                <w:rFonts w:hint="eastAsia" w:hAnsi="宋体" w:cs="宋体"/>
                <w:b/>
                <w:color w:val="auto"/>
                <w:kern w:val="0"/>
                <w:szCs w:val="21"/>
                <w:highlight w:val="none"/>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jc w:val="center"/>
        </w:trPr>
        <w:tc>
          <w:tcPr>
            <w:tcW w:w="525" w:type="dxa"/>
            <w:vMerge w:val="restart"/>
            <w:vAlign w:val="center"/>
          </w:tcPr>
          <w:p>
            <w:pPr>
              <w:spacing w:line="360" w:lineRule="exact"/>
              <w:jc w:val="center"/>
              <w:rPr>
                <w:rFonts w:ascii="宋体" w:hAnsi="宋体" w:cs="宋体"/>
                <w:b/>
                <w:color w:val="auto"/>
                <w:szCs w:val="21"/>
                <w:highlight w:val="none"/>
              </w:rPr>
            </w:pPr>
            <w:r>
              <w:rPr>
                <w:rFonts w:hint="eastAsia" w:ascii="宋体" w:hAnsi="宋体" w:cs="宋体"/>
                <w:b/>
                <w:color w:val="auto"/>
                <w:szCs w:val="21"/>
                <w:highlight w:val="none"/>
              </w:rPr>
              <w:t>3</w:t>
            </w:r>
          </w:p>
        </w:tc>
        <w:tc>
          <w:tcPr>
            <w:tcW w:w="1119" w:type="dxa"/>
            <w:vMerge w:val="restart"/>
            <w:vAlign w:val="center"/>
          </w:tcPr>
          <w:p>
            <w:pPr>
              <w:adjustRightInd w:val="0"/>
              <w:spacing w:line="36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商务分（满分18分）</w:t>
            </w:r>
          </w:p>
        </w:tc>
        <w:tc>
          <w:tcPr>
            <w:tcW w:w="1350" w:type="dxa"/>
            <w:vAlign w:val="center"/>
          </w:tcPr>
          <w:p>
            <w:pPr>
              <w:spacing w:line="360" w:lineRule="exact"/>
              <w:jc w:val="center"/>
              <w:rPr>
                <w:rFonts w:ascii="宋体" w:hAnsi="宋体" w:cs="宋体"/>
                <w:b/>
                <w:color w:val="auto"/>
                <w:szCs w:val="21"/>
                <w:highlight w:val="none"/>
              </w:rPr>
            </w:pPr>
            <w:r>
              <w:rPr>
                <w:rFonts w:hint="eastAsia" w:ascii="宋体" w:hAnsi="宋体" w:cs="宋体"/>
                <w:b/>
                <w:color w:val="auto"/>
                <w:szCs w:val="21"/>
                <w:highlight w:val="none"/>
              </w:rPr>
              <w:t>3.1履约能力分</w:t>
            </w:r>
          </w:p>
          <w:p>
            <w:pPr>
              <w:spacing w:line="360" w:lineRule="exact"/>
              <w:jc w:val="center"/>
              <w:rPr>
                <w:rFonts w:ascii="宋体" w:hAnsi="宋体" w:cs="宋体"/>
                <w:b/>
                <w:color w:val="auto"/>
                <w:szCs w:val="21"/>
                <w:highlight w:val="none"/>
              </w:rPr>
            </w:pPr>
            <w:r>
              <w:rPr>
                <w:rFonts w:hint="eastAsia" w:ascii="宋体" w:hAnsi="宋体" w:cs="宋体"/>
                <w:bCs/>
                <w:color w:val="auto"/>
                <w:szCs w:val="21"/>
                <w:highlight w:val="none"/>
                <w:lang w:eastAsia="zh-Hans"/>
              </w:rPr>
              <w:t>（满分</w:t>
            </w:r>
            <w:r>
              <w:rPr>
                <w:rFonts w:hint="eastAsia" w:ascii="宋体" w:hAnsi="宋体" w:cs="宋体"/>
                <w:bCs/>
                <w:color w:val="auto"/>
                <w:szCs w:val="21"/>
                <w:highlight w:val="none"/>
              </w:rPr>
              <w:t>4分)</w:t>
            </w:r>
          </w:p>
        </w:tc>
        <w:tc>
          <w:tcPr>
            <w:tcW w:w="6824" w:type="dxa"/>
            <w:gridSpan w:val="2"/>
            <w:tcMar>
              <w:left w:w="57" w:type="dxa"/>
              <w:right w:w="57" w:type="dxa"/>
            </w:tcMar>
            <w:vAlign w:val="center"/>
          </w:tcPr>
          <w:p>
            <w:pPr>
              <w:numPr>
                <w:ilvl w:val="0"/>
                <w:numId w:val="5"/>
              </w:numPr>
              <w:spacing w:line="360" w:lineRule="exact"/>
              <w:rPr>
                <w:rFonts w:ascii="宋体" w:hAnsi="宋体" w:cs="宋体"/>
                <w:color w:val="auto"/>
                <w:szCs w:val="21"/>
                <w:highlight w:val="none"/>
                <w:lang w:eastAsia="zh-Hans"/>
              </w:rPr>
            </w:pPr>
            <w:r>
              <w:rPr>
                <w:rFonts w:hint="eastAsia" w:ascii="宋体" w:hAnsi="宋体" w:cs="宋体"/>
                <w:color w:val="auto"/>
                <w:szCs w:val="21"/>
                <w:highlight w:val="none"/>
                <w:lang w:eastAsia="zh-Hans"/>
              </w:rPr>
              <w:t>本</w:t>
            </w:r>
            <w:r>
              <w:rPr>
                <w:rFonts w:hint="eastAsia" w:ascii="宋体" w:hAnsi="宋体" w:cs="宋体"/>
                <w:color w:val="auto"/>
                <w:szCs w:val="21"/>
                <w:highlight w:val="none"/>
              </w:rPr>
              <w:t>项目</w:t>
            </w:r>
            <w:r>
              <w:rPr>
                <w:rFonts w:hint="eastAsia" w:ascii="宋体" w:hAnsi="宋体" w:cs="宋体"/>
                <w:color w:val="auto"/>
                <w:szCs w:val="21"/>
                <w:highlight w:val="none"/>
                <w:lang w:eastAsia="zh-Hans"/>
              </w:rPr>
              <w:t>产品生产厂家通过ISO9001质量管理体系认证证书、ISO 14001环境管理体系认证证书，每提供1个认证得</w:t>
            </w:r>
            <w:r>
              <w:rPr>
                <w:rFonts w:hint="eastAsia" w:ascii="宋体" w:hAnsi="宋体" w:cs="宋体"/>
                <w:color w:val="auto"/>
                <w:szCs w:val="21"/>
                <w:highlight w:val="none"/>
              </w:rPr>
              <w:t>1.5</w:t>
            </w:r>
            <w:r>
              <w:rPr>
                <w:rFonts w:hint="eastAsia" w:ascii="宋体" w:hAnsi="宋体" w:cs="宋体"/>
                <w:color w:val="auto"/>
                <w:szCs w:val="21"/>
                <w:highlight w:val="none"/>
                <w:lang w:eastAsia="zh-Hans"/>
              </w:rPr>
              <w:t>分，最多得</w:t>
            </w:r>
            <w:r>
              <w:rPr>
                <w:rFonts w:hint="eastAsia" w:ascii="宋体" w:hAnsi="宋体" w:cs="宋体"/>
                <w:color w:val="auto"/>
                <w:szCs w:val="21"/>
                <w:highlight w:val="none"/>
              </w:rPr>
              <w:t>3</w:t>
            </w:r>
            <w:r>
              <w:rPr>
                <w:rFonts w:hint="eastAsia" w:ascii="宋体" w:hAnsi="宋体" w:cs="宋体"/>
                <w:color w:val="auto"/>
                <w:szCs w:val="21"/>
                <w:highlight w:val="none"/>
                <w:lang w:eastAsia="zh-Hans"/>
              </w:rPr>
              <w:t>分</w:t>
            </w:r>
            <w:r>
              <w:rPr>
                <w:rFonts w:hint="eastAsia" w:ascii="宋体" w:hAnsi="宋体" w:cs="宋体"/>
                <w:color w:val="auto"/>
                <w:szCs w:val="21"/>
                <w:highlight w:val="none"/>
              </w:rPr>
              <w:t>（</w:t>
            </w:r>
            <w:r>
              <w:rPr>
                <w:rFonts w:hint="eastAsia" w:ascii="宋体" w:hAnsi="宋体" w:cs="宋体"/>
                <w:color w:val="auto"/>
                <w:szCs w:val="21"/>
                <w:highlight w:val="none"/>
                <w:lang w:eastAsia="zh-Hans"/>
              </w:rPr>
              <w:t>投标人于响应投标文件中提供相关有效认证证书复印件，加盖供应商投标人公章</w:t>
            </w:r>
            <w:r>
              <w:rPr>
                <w:rFonts w:hint="eastAsia" w:ascii="宋体" w:hAnsi="宋体" w:cs="宋体"/>
                <w:color w:val="auto"/>
                <w:szCs w:val="21"/>
                <w:highlight w:val="none"/>
              </w:rPr>
              <w:t>）</w:t>
            </w:r>
            <w:r>
              <w:rPr>
                <w:rFonts w:hint="eastAsia" w:ascii="宋体" w:hAnsi="宋体" w:cs="宋体"/>
                <w:color w:val="auto"/>
                <w:szCs w:val="21"/>
                <w:highlight w:val="none"/>
                <w:lang w:eastAsia="zh-Hans"/>
              </w:rPr>
              <w:t>。</w:t>
            </w:r>
          </w:p>
          <w:p>
            <w:pPr>
              <w:numPr>
                <w:ilvl w:val="0"/>
                <w:numId w:val="5"/>
              </w:numPr>
              <w:spacing w:line="360" w:lineRule="exact"/>
              <w:rPr>
                <w:rFonts w:ascii="宋体" w:hAnsi="宋体" w:cs="宋体"/>
                <w:color w:val="auto"/>
                <w:szCs w:val="21"/>
                <w:highlight w:val="none"/>
              </w:rPr>
            </w:pPr>
            <w:r>
              <w:rPr>
                <w:rFonts w:hint="eastAsia" w:ascii="宋体" w:hAnsi="宋体" w:cs="宋体"/>
                <w:color w:val="auto"/>
                <w:szCs w:val="21"/>
                <w:highlight w:val="none"/>
                <w:lang w:eastAsia="zh-Hans"/>
              </w:rPr>
              <w:t>为保证本项目能稳定供货，投标人</w:t>
            </w:r>
            <w:r>
              <w:rPr>
                <w:rFonts w:hint="eastAsia" w:ascii="宋体" w:hAnsi="宋体" w:cs="宋体"/>
                <w:color w:val="auto"/>
                <w:szCs w:val="21"/>
                <w:highlight w:val="none"/>
              </w:rPr>
              <w:t>承诺在中标后供货前</w:t>
            </w:r>
            <w:r>
              <w:rPr>
                <w:rFonts w:hint="eastAsia" w:ascii="宋体" w:hAnsi="宋体" w:cs="宋体"/>
                <w:color w:val="auto"/>
                <w:szCs w:val="21"/>
                <w:highlight w:val="none"/>
                <w:lang w:eastAsia="zh-Hans"/>
              </w:rPr>
              <w:t>提供本项目核心产品厂家的盖章证明材料，如供货证明或授权书等，得</w:t>
            </w:r>
            <w:r>
              <w:rPr>
                <w:rFonts w:hint="eastAsia" w:ascii="宋体" w:hAnsi="宋体" w:cs="宋体"/>
                <w:color w:val="auto"/>
                <w:szCs w:val="21"/>
                <w:highlight w:val="none"/>
              </w:rPr>
              <w:t>1</w:t>
            </w:r>
            <w:r>
              <w:rPr>
                <w:rFonts w:hint="eastAsia" w:ascii="宋体" w:hAnsi="宋体" w:cs="宋体"/>
                <w:color w:val="auto"/>
                <w:szCs w:val="21"/>
                <w:highlight w:val="none"/>
                <w:lang w:eastAsia="zh-Hans"/>
              </w:rPr>
              <w:t>分，满分</w:t>
            </w:r>
            <w:r>
              <w:rPr>
                <w:rFonts w:hint="eastAsia" w:ascii="宋体" w:hAnsi="宋体" w:cs="宋体"/>
                <w:color w:val="auto"/>
                <w:szCs w:val="21"/>
                <w:highlight w:val="none"/>
              </w:rPr>
              <w:t>1</w:t>
            </w:r>
            <w:r>
              <w:rPr>
                <w:rFonts w:hint="eastAsia" w:ascii="宋体" w:hAnsi="宋体" w:cs="宋体"/>
                <w:color w:val="auto"/>
                <w:szCs w:val="21"/>
                <w:highlight w:val="none"/>
                <w:lang w:eastAsia="zh-Han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5" w:type="dxa"/>
            <w:vMerge w:val="continue"/>
            <w:vAlign w:val="center"/>
          </w:tcPr>
          <w:p>
            <w:pPr>
              <w:spacing w:line="360" w:lineRule="exact"/>
              <w:jc w:val="center"/>
              <w:rPr>
                <w:rFonts w:ascii="宋体" w:hAnsi="宋体" w:cs="宋体"/>
                <w:b/>
                <w:color w:val="auto"/>
                <w:szCs w:val="21"/>
                <w:highlight w:val="none"/>
              </w:rPr>
            </w:pPr>
          </w:p>
        </w:tc>
        <w:tc>
          <w:tcPr>
            <w:tcW w:w="1119" w:type="dxa"/>
            <w:vMerge w:val="continue"/>
            <w:vAlign w:val="center"/>
          </w:tcPr>
          <w:p>
            <w:pPr>
              <w:adjustRightInd w:val="0"/>
              <w:spacing w:line="360" w:lineRule="exact"/>
              <w:jc w:val="center"/>
              <w:textAlignment w:val="baseline"/>
              <w:rPr>
                <w:rFonts w:ascii="宋体" w:hAnsi="宋体" w:cs="宋体"/>
                <w:b/>
                <w:color w:val="auto"/>
                <w:szCs w:val="21"/>
                <w:highlight w:val="none"/>
              </w:rPr>
            </w:pPr>
          </w:p>
        </w:tc>
        <w:tc>
          <w:tcPr>
            <w:tcW w:w="1350" w:type="dxa"/>
            <w:vAlign w:val="center"/>
          </w:tcPr>
          <w:p>
            <w:pPr>
              <w:widowControl/>
              <w:spacing w:line="360" w:lineRule="exact"/>
              <w:rPr>
                <w:rFonts w:ascii="宋体" w:hAnsi="宋体" w:cs="宋体"/>
                <w:b/>
                <w:color w:val="auto"/>
                <w:szCs w:val="21"/>
                <w:highlight w:val="none"/>
              </w:rPr>
            </w:pPr>
            <w:r>
              <w:rPr>
                <w:rFonts w:hint="eastAsia" w:ascii="宋体" w:hAnsi="宋体" w:cs="宋体"/>
                <w:b/>
                <w:color w:val="auto"/>
                <w:szCs w:val="21"/>
                <w:highlight w:val="none"/>
              </w:rPr>
              <w:t>3.2售后服务分</w:t>
            </w:r>
          </w:p>
          <w:p>
            <w:pPr>
              <w:adjustRightInd w:val="0"/>
              <w:spacing w:line="360" w:lineRule="exact"/>
              <w:textAlignment w:val="baseline"/>
              <w:rPr>
                <w:rFonts w:ascii="宋体" w:hAnsi="宋体" w:cs="宋体"/>
                <w:b/>
                <w:color w:val="auto"/>
                <w:szCs w:val="21"/>
                <w:highlight w:val="none"/>
              </w:rPr>
            </w:pPr>
            <w:r>
              <w:rPr>
                <w:rFonts w:hint="eastAsia" w:ascii="宋体" w:hAnsi="宋体" w:cs="宋体"/>
                <w:bCs/>
                <w:color w:val="auto"/>
                <w:szCs w:val="21"/>
                <w:highlight w:val="none"/>
              </w:rPr>
              <w:t>（满分10分）</w:t>
            </w:r>
          </w:p>
        </w:tc>
        <w:tc>
          <w:tcPr>
            <w:tcW w:w="6824" w:type="dxa"/>
            <w:gridSpan w:val="2"/>
            <w:tcMar>
              <w:left w:w="57" w:type="dxa"/>
              <w:right w:w="57" w:type="dxa"/>
            </w:tcMar>
            <w:vAlign w:val="center"/>
          </w:tcPr>
          <w:p>
            <w:pPr>
              <w:widowControl/>
              <w:adjustRightInd w:val="0"/>
              <w:snapToGrid w:val="0"/>
              <w:spacing w:line="360" w:lineRule="exact"/>
              <w:ind w:firstLine="379" w:firstLineChars="180"/>
              <w:rPr>
                <w:rFonts w:ascii="宋体" w:hAnsi="宋体" w:cs="宋体"/>
                <w:b/>
                <w:bCs/>
                <w:color w:val="auto"/>
                <w:szCs w:val="21"/>
                <w:highlight w:val="none"/>
              </w:rPr>
            </w:pPr>
            <w:r>
              <w:rPr>
                <w:rFonts w:hint="eastAsia" w:ascii="宋体" w:hAnsi="宋体" w:cs="宋体"/>
                <w:b/>
                <w:bCs/>
                <w:color w:val="auto"/>
                <w:szCs w:val="21"/>
                <w:highlight w:val="none"/>
              </w:rPr>
              <w:t>（一）售后服务方案（7分）</w:t>
            </w:r>
          </w:p>
          <w:p>
            <w:pPr>
              <w:widowControl/>
              <w:adjustRightInd w:val="0"/>
              <w:snapToGrid w:val="0"/>
              <w:spacing w:line="360" w:lineRule="exact"/>
              <w:ind w:firstLine="378" w:firstLineChars="180"/>
              <w:rPr>
                <w:rFonts w:ascii="宋体" w:hAnsi="宋体" w:cs="宋体"/>
                <w:color w:val="auto"/>
                <w:szCs w:val="21"/>
                <w:highlight w:val="none"/>
              </w:rPr>
            </w:pPr>
            <w:r>
              <w:rPr>
                <w:rFonts w:hint="eastAsia" w:ascii="宋体" w:hAnsi="宋体" w:cs="宋体"/>
                <w:color w:val="auto"/>
                <w:szCs w:val="21"/>
                <w:highlight w:val="none"/>
              </w:rPr>
              <w:t>根据投标文件中售后服务方案内容是否具有针对性，到达故障现场时间、人员配备情况、故障出现解决方案、定期维护 (注明时间)、免费保修期外维修方案、培训方案、其他优惠措施等方面，由评委确定各投标人所属档次并独立打分，本项最高得分7分。</w:t>
            </w:r>
          </w:p>
          <w:p>
            <w:pPr>
              <w:widowControl/>
              <w:adjustRightInd w:val="0"/>
              <w:snapToGrid w:val="0"/>
              <w:spacing w:line="360" w:lineRule="exact"/>
              <w:ind w:firstLine="378" w:firstLineChars="180"/>
              <w:rPr>
                <w:rFonts w:ascii="宋体" w:hAnsi="宋体" w:cs="宋体"/>
                <w:color w:val="auto"/>
                <w:szCs w:val="21"/>
                <w:highlight w:val="none"/>
              </w:rPr>
            </w:pPr>
            <w:r>
              <w:rPr>
                <w:rFonts w:hint="eastAsia" w:ascii="宋体" w:hAnsi="宋体" w:cs="宋体"/>
                <w:color w:val="auto"/>
                <w:szCs w:val="21"/>
                <w:highlight w:val="none"/>
              </w:rPr>
              <w:t xml:space="preserve">一档（2分）：提供售后服务方案。 </w:t>
            </w:r>
          </w:p>
          <w:p>
            <w:pPr>
              <w:widowControl/>
              <w:adjustRightInd w:val="0"/>
              <w:snapToGrid w:val="0"/>
              <w:spacing w:line="360" w:lineRule="exact"/>
              <w:ind w:firstLine="378" w:firstLineChars="180"/>
              <w:rPr>
                <w:rFonts w:ascii="宋体" w:hAnsi="宋体" w:cs="宋体"/>
                <w:color w:val="auto"/>
                <w:szCs w:val="21"/>
                <w:highlight w:val="none"/>
              </w:rPr>
            </w:pPr>
            <w:r>
              <w:rPr>
                <w:rFonts w:hint="eastAsia" w:ascii="宋体" w:hAnsi="宋体" w:cs="宋体"/>
                <w:color w:val="auto"/>
                <w:szCs w:val="21"/>
                <w:highlight w:val="none"/>
              </w:rPr>
              <w:t>二档（4分）：满足招标文件售后服务要求的同时，售后服务方案内容有针对性，故障响应时间、到达现场维护时间、修复时间优于招标文件要求；有项目售后实施计划；</w:t>
            </w:r>
            <w:r>
              <w:rPr>
                <w:rFonts w:hint="eastAsia" w:ascii="宋体" w:hAnsi="宋体" w:cs="宋体"/>
                <w:color w:val="auto"/>
                <w:kern w:val="0"/>
                <w:szCs w:val="21"/>
                <w:highlight w:val="none"/>
              </w:rPr>
              <w:t>培训方案内容应包括培训的对象、培训内容</w:t>
            </w:r>
            <w:r>
              <w:rPr>
                <w:rFonts w:hint="eastAsia" w:ascii="宋体" w:hAnsi="宋体" w:cs="宋体"/>
                <w:color w:val="auto"/>
                <w:szCs w:val="21"/>
                <w:highlight w:val="none"/>
              </w:rPr>
              <w:t>。</w:t>
            </w:r>
          </w:p>
          <w:p>
            <w:pPr>
              <w:widowControl/>
              <w:adjustRightInd w:val="0"/>
              <w:snapToGrid w:val="0"/>
              <w:spacing w:line="360" w:lineRule="exact"/>
              <w:ind w:firstLine="378" w:firstLineChars="180"/>
              <w:rPr>
                <w:rFonts w:ascii="宋体" w:hAnsi="宋体" w:cs="宋体"/>
                <w:color w:val="auto"/>
                <w:szCs w:val="21"/>
                <w:highlight w:val="none"/>
              </w:rPr>
            </w:pPr>
            <w:r>
              <w:rPr>
                <w:rFonts w:hint="eastAsia" w:ascii="宋体" w:hAnsi="宋体" w:cs="宋体"/>
                <w:color w:val="auto"/>
                <w:szCs w:val="21"/>
                <w:highlight w:val="none"/>
              </w:rPr>
              <w:t>三档（7分）：满足招标文件售后服务要求的同时，售后服务方案内容有针对性，故障响应时间、到达现场维护时间、修复时间优于招标文件要求，有售后服务流程图，且流程图清晰，有售后服务热线电话、有服务规定完成时效、有定期回访（注明时间），有免费保修期外维修方案、其他优惠措施，</w:t>
            </w:r>
            <w:r>
              <w:rPr>
                <w:rFonts w:hint="eastAsia" w:ascii="宋体" w:hAnsi="宋体" w:cs="宋体"/>
                <w:color w:val="auto"/>
                <w:kern w:val="0"/>
                <w:szCs w:val="21"/>
                <w:highlight w:val="none"/>
              </w:rPr>
              <w:t>培训方案思路清晰，内容应包括培训的对象、培训内容、培训目标、培训方式、培训反馈与考核等</w:t>
            </w:r>
            <w:r>
              <w:rPr>
                <w:rFonts w:hint="eastAsia" w:ascii="宋体" w:hAnsi="宋体" w:cs="宋体"/>
                <w:color w:val="auto"/>
                <w:szCs w:val="21"/>
                <w:highlight w:val="none"/>
              </w:rPr>
              <w:t>有利于本项目顺利完成</w:t>
            </w:r>
          </w:p>
          <w:p>
            <w:pPr>
              <w:widowControl/>
              <w:adjustRightInd w:val="0"/>
              <w:snapToGrid w:val="0"/>
              <w:spacing w:line="36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（二）质保分（3分）</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质保期在优于采购基本要求（项目质保期不少于一年）的情况进行评审：满足基本质保期的基础上，质保期每增加1年得1分，此项最高得3分，不提供不得分。（以提供投标人盖章版的承诺书为准，否则不得分）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5" w:type="dxa"/>
            <w:vMerge w:val="continue"/>
            <w:vAlign w:val="center"/>
          </w:tcPr>
          <w:p>
            <w:pPr>
              <w:spacing w:line="360" w:lineRule="exact"/>
              <w:jc w:val="center"/>
              <w:rPr>
                <w:rFonts w:ascii="宋体" w:hAnsi="宋体" w:cs="宋体"/>
                <w:b/>
                <w:color w:val="auto"/>
                <w:szCs w:val="21"/>
                <w:highlight w:val="none"/>
              </w:rPr>
            </w:pPr>
          </w:p>
        </w:tc>
        <w:tc>
          <w:tcPr>
            <w:tcW w:w="1119" w:type="dxa"/>
            <w:vMerge w:val="continue"/>
            <w:vAlign w:val="center"/>
          </w:tcPr>
          <w:p>
            <w:pPr>
              <w:spacing w:line="360" w:lineRule="exact"/>
              <w:jc w:val="center"/>
              <w:rPr>
                <w:rFonts w:ascii="宋体" w:hAnsi="宋体" w:cs="宋体"/>
                <w:b/>
                <w:color w:val="auto"/>
                <w:szCs w:val="21"/>
                <w:highlight w:val="none"/>
              </w:rPr>
            </w:pPr>
          </w:p>
        </w:tc>
        <w:tc>
          <w:tcPr>
            <w:tcW w:w="1350" w:type="dxa"/>
            <w:vAlign w:val="center"/>
          </w:tcPr>
          <w:p>
            <w:pPr>
              <w:spacing w:line="360" w:lineRule="exact"/>
              <w:jc w:val="center"/>
              <w:rPr>
                <w:rFonts w:ascii="宋体" w:hAnsi="宋体" w:cs="宋体"/>
                <w:b/>
                <w:bCs/>
                <w:color w:val="auto"/>
                <w:szCs w:val="21"/>
                <w:highlight w:val="none"/>
              </w:rPr>
            </w:pPr>
            <w:r>
              <w:rPr>
                <w:rFonts w:hint="eastAsia" w:ascii="宋体" w:hAnsi="宋体" w:cs="宋体"/>
                <w:b/>
                <w:bCs/>
                <w:color w:val="auto"/>
                <w:szCs w:val="21"/>
                <w:highlight w:val="none"/>
              </w:rPr>
              <w:t>3.3业绩分</w:t>
            </w:r>
          </w:p>
          <w:p>
            <w:pPr>
              <w:spacing w:line="360" w:lineRule="exact"/>
              <w:jc w:val="center"/>
              <w:rPr>
                <w:rFonts w:ascii="宋体" w:hAnsi="宋体" w:cs="宋体"/>
                <w:b/>
                <w:color w:val="auto"/>
                <w:szCs w:val="21"/>
                <w:highlight w:val="none"/>
              </w:rPr>
            </w:pPr>
            <w:r>
              <w:rPr>
                <w:rFonts w:hint="eastAsia" w:ascii="宋体" w:hAnsi="宋体" w:cs="宋体"/>
                <w:color w:val="auto"/>
                <w:szCs w:val="21"/>
                <w:highlight w:val="none"/>
              </w:rPr>
              <w:t>（满分2分）</w:t>
            </w:r>
          </w:p>
        </w:tc>
        <w:tc>
          <w:tcPr>
            <w:tcW w:w="6824" w:type="dxa"/>
            <w:gridSpan w:val="2"/>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20</w:t>
            </w:r>
            <w:r>
              <w:rPr>
                <w:rFonts w:hint="eastAsia" w:ascii="宋体" w:hAnsi="宋体" w:cs="宋体"/>
                <w:color w:val="auto"/>
                <w:szCs w:val="21"/>
                <w:highlight w:val="none"/>
                <w:u w:val="single"/>
              </w:rPr>
              <w:t>19</w:t>
            </w:r>
            <w:r>
              <w:rPr>
                <w:rFonts w:hint="eastAsia" w:ascii="宋体" w:hAnsi="宋体" w:cs="宋体"/>
                <w:color w:val="auto"/>
                <w:szCs w:val="21"/>
                <w:highlight w:val="none"/>
              </w:rPr>
              <w:t>年</w:t>
            </w:r>
            <w:r>
              <w:rPr>
                <w:rFonts w:hint="eastAsia" w:ascii="宋体" w:hAnsi="宋体" w:cs="宋体"/>
                <w:color w:val="auto"/>
                <w:szCs w:val="21"/>
                <w:highlight w:val="none"/>
                <w:u w:val="single"/>
              </w:rPr>
              <w:t>1</w:t>
            </w:r>
            <w:r>
              <w:rPr>
                <w:rFonts w:hint="eastAsia" w:ascii="宋体" w:hAnsi="宋体" w:cs="宋体"/>
                <w:color w:val="auto"/>
                <w:szCs w:val="21"/>
                <w:highlight w:val="none"/>
              </w:rPr>
              <w:t>月</w:t>
            </w:r>
            <w:r>
              <w:rPr>
                <w:rFonts w:hint="eastAsia" w:ascii="宋体" w:hAnsi="宋体" w:cs="宋体"/>
                <w:color w:val="auto"/>
                <w:szCs w:val="21"/>
                <w:highlight w:val="none"/>
                <w:u w:val="single"/>
              </w:rPr>
              <w:t>1</w:t>
            </w:r>
            <w:r>
              <w:rPr>
                <w:rFonts w:hint="eastAsia" w:ascii="宋体" w:hAnsi="宋体" w:cs="宋体"/>
                <w:color w:val="auto"/>
                <w:szCs w:val="21"/>
                <w:highlight w:val="none"/>
              </w:rPr>
              <w:t>日至提交投标文件截止时间止，投标人具有与本次采购内容有关的类似项目业绩的，每项得</w:t>
            </w:r>
            <w:r>
              <w:rPr>
                <w:rFonts w:hint="eastAsia" w:ascii="宋体" w:hAnsi="宋体" w:cs="宋体"/>
                <w:color w:val="auto"/>
                <w:szCs w:val="21"/>
                <w:highlight w:val="none"/>
                <w:u w:val="single"/>
              </w:rPr>
              <w:t>1</w:t>
            </w:r>
            <w:r>
              <w:rPr>
                <w:rFonts w:hint="eastAsia" w:ascii="宋体" w:hAnsi="宋体" w:cs="宋体"/>
                <w:color w:val="auto"/>
                <w:szCs w:val="21"/>
                <w:highlight w:val="none"/>
              </w:rPr>
              <w:t>分，满分</w:t>
            </w:r>
            <w:r>
              <w:rPr>
                <w:rFonts w:hint="eastAsia" w:ascii="宋体" w:hAnsi="宋体" w:cs="宋体"/>
                <w:color w:val="auto"/>
                <w:szCs w:val="21"/>
                <w:highlight w:val="none"/>
                <w:u w:val="single"/>
              </w:rPr>
              <w:t>2</w:t>
            </w:r>
            <w:r>
              <w:rPr>
                <w:rFonts w:hint="eastAsia" w:ascii="宋体" w:hAnsi="宋体" w:cs="宋体"/>
                <w:color w:val="auto"/>
                <w:szCs w:val="21"/>
                <w:highlight w:val="none"/>
              </w:rPr>
              <w:t>分。【</w:t>
            </w:r>
            <w:r>
              <w:rPr>
                <w:rFonts w:hint="eastAsia" w:ascii="宋体" w:hAnsi="宋体" w:cs="宋体"/>
                <w:b/>
                <w:bCs/>
                <w:color w:val="auto"/>
                <w:szCs w:val="21"/>
                <w:highlight w:val="none"/>
              </w:rPr>
              <w:t>注：需在投标文件中提供前述类似项目业绩的合同或者中标（成交）通知书复印件并加盖投标人公章，未按要求提供的不得分。</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5" w:type="dxa"/>
            <w:vMerge w:val="continue"/>
            <w:vAlign w:val="center"/>
          </w:tcPr>
          <w:p>
            <w:pPr>
              <w:spacing w:line="360" w:lineRule="exact"/>
              <w:jc w:val="center"/>
              <w:rPr>
                <w:rFonts w:ascii="宋体" w:hAnsi="宋体" w:cs="宋体"/>
                <w:b/>
                <w:color w:val="auto"/>
                <w:szCs w:val="21"/>
                <w:highlight w:val="none"/>
              </w:rPr>
            </w:pPr>
          </w:p>
        </w:tc>
        <w:tc>
          <w:tcPr>
            <w:tcW w:w="1119" w:type="dxa"/>
            <w:vMerge w:val="continue"/>
            <w:vAlign w:val="center"/>
          </w:tcPr>
          <w:p>
            <w:pPr>
              <w:adjustRightInd w:val="0"/>
              <w:spacing w:line="360" w:lineRule="exact"/>
              <w:jc w:val="center"/>
              <w:textAlignment w:val="baseline"/>
              <w:rPr>
                <w:rFonts w:ascii="宋体" w:hAnsi="宋体" w:cs="宋体"/>
                <w:b/>
                <w:color w:val="auto"/>
                <w:szCs w:val="21"/>
                <w:highlight w:val="none"/>
              </w:rPr>
            </w:pPr>
          </w:p>
        </w:tc>
        <w:tc>
          <w:tcPr>
            <w:tcW w:w="1350" w:type="dxa"/>
            <w:vAlign w:val="center"/>
          </w:tcPr>
          <w:p>
            <w:pPr>
              <w:spacing w:line="360" w:lineRule="exact"/>
              <w:jc w:val="center"/>
              <w:rPr>
                <w:rFonts w:ascii="宋体" w:hAnsi="宋体" w:cs="宋体"/>
                <w:color w:val="auto"/>
                <w:szCs w:val="21"/>
                <w:highlight w:val="none"/>
              </w:rPr>
            </w:pPr>
            <w:r>
              <w:rPr>
                <w:rFonts w:hint="eastAsia" w:ascii="宋体" w:hAnsi="宋体" w:cs="宋体"/>
                <w:b/>
                <w:color w:val="auto"/>
                <w:szCs w:val="21"/>
                <w:highlight w:val="none"/>
              </w:rPr>
              <w:t>3.4政策分</w:t>
            </w:r>
            <w:r>
              <w:rPr>
                <w:rFonts w:hint="eastAsia" w:ascii="宋体" w:hAnsi="宋体" w:cs="宋体"/>
                <w:color w:val="auto"/>
                <w:szCs w:val="21"/>
                <w:highlight w:val="none"/>
              </w:rPr>
              <w:t>（满分</w:t>
            </w:r>
          </w:p>
          <w:p>
            <w:pPr>
              <w:spacing w:line="360" w:lineRule="exact"/>
              <w:jc w:val="center"/>
              <w:rPr>
                <w:rFonts w:ascii="宋体" w:hAnsi="宋体" w:cs="宋体"/>
                <w:b/>
                <w:color w:val="auto"/>
                <w:szCs w:val="21"/>
                <w:highlight w:val="none"/>
              </w:rPr>
            </w:pPr>
            <w:r>
              <w:rPr>
                <w:rFonts w:hint="eastAsia" w:ascii="宋体" w:hAnsi="宋体" w:cs="宋体"/>
                <w:color w:val="auto"/>
                <w:szCs w:val="21"/>
                <w:highlight w:val="none"/>
                <w:u w:val="single"/>
              </w:rPr>
              <w:t>2</w:t>
            </w:r>
            <w:r>
              <w:rPr>
                <w:rFonts w:hint="eastAsia" w:ascii="宋体" w:hAnsi="宋体" w:cs="宋体"/>
                <w:color w:val="auto"/>
                <w:szCs w:val="21"/>
                <w:highlight w:val="none"/>
              </w:rPr>
              <w:t>分）</w:t>
            </w:r>
          </w:p>
        </w:tc>
        <w:tc>
          <w:tcPr>
            <w:tcW w:w="795" w:type="dxa"/>
            <w:vAlign w:val="center"/>
          </w:tcPr>
          <w:p>
            <w:pPr>
              <w:spacing w:line="360" w:lineRule="exact"/>
              <w:jc w:val="center"/>
              <w:rPr>
                <w:rFonts w:ascii="宋体" w:hAnsi="宋体" w:cs="宋体"/>
                <w:color w:val="auto"/>
                <w:szCs w:val="21"/>
                <w:highlight w:val="none"/>
              </w:rPr>
            </w:pPr>
            <w:r>
              <w:rPr>
                <w:rFonts w:hint="eastAsia" w:ascii="宋体" w:hAnsi="宋体" w:cs="宋体"/>
                <w:b/>
                <w:color w:val="auto"/>
                <w:szCs w:val="21"/>
                <w:highlight w:val="none"/>
              </w:rPr>
              <w:t>节能、环境标志产品</w:t>
            </w:r>
          </w:p>
        </w:tc>
        <w:tc>
          <w:tcPr>
            <w:tcW w:w="6029" w:type="dxa"/>
          </w:tcPr>
          <w:p>
            <w:pPr>
              <w:pStyle w:val="15"/>
              <w:spacing w:line="360" w:lineRule="exact"/>
              <w:rPr>
                <w:rFonts w:hAnsi="宋体" w:cs="宋体"/>
                <w:bCs/>
                <w:color w:val="auto"/>
                <w:szCs w:val="21"/>
                <w:highlight w:val="none"/>
              </w:rPr>
            </w:pPr>
            <w:r>
              <w:rPr>
                <w:rFonts w:hint="eastAsia" w:hAnsi="宋体" w:cs="宋体"/>
                <w:bCs/>
                <w:color w:val="auto"/>
                <w:szCs w:val="21"/>
                <w:highlight w:val="none"/>
              </w:rPr>
              <w:t>（1）属于财政部《节能产品政府采购品目清单》内优先采购（清单内未标注“★”的品目）的产品[投标文件中提供有效的认证证书复印件及品目清单（标注出投标产品在品目清单中所属的品目），并加盖投标人公章]，每提供一项得</w:t>
            </w:r>
            <w:r>
              <w:rPr>
                <w:rFonts w:hint="eastAsia" w:hAnsi="宋体" w:cs="宋体"/>
                <w:bCs/>
                <w:color w:val="auto"/>
                <w:szCs w:val="21"/>
                <w:highlight w:val="none"/>
                <w:u w:val="single"/>
              </w:rPr>
              <w:t>0.5</w:t>
            </w:r>
            <w:r>
              <w:rPr>
                <w:rFonts w:hint="eastAsia" w:hAnsi="宋体" w:cs="宋体"/>
                <w:bCs/>
                <w:color w:val="auto"/>
                <w:szCs w:val="21"/>
                <w:highlight w:val="none"/>
              </w:rPr>
              <w:t>分，满分</w:t>
            </w:r>
            <w:r>
              <w:rPr>
                <w:rFonts w:hint="eastAsia" w:hAnsi="宋体" w:cs="宋体"/>
                <w:bCs/>
                <w:color w:val="auto"/>
                <w:szCs w:val="21"/>
                <w:highlight w:val="none"/>
                <w:u w:val="single"/>
              </w:rPr>
              <w:t>1</w:t>
            </w:r>
            <w:r>
              <w:rPr>
                <w:rFonts w:hint="eastAsia" w:hAnsi="宋体" w:cs="宋体"/>
                <w:bCs/>
                <w:color w:val="auto"/>
                <w:szCs w:val="21"/>
                <w:highlight w:val="none"/>
              </w:rPr>
              <w:t>分。</w:t>
            </w:r>
          </w:p>
          <w:p>
            <w:pPr>
              <w:pStyle w:val="15"/>
              <w:spacing w:line="360" w:lineRule="exact"/>
              <w:rPr>
                <w:rFonts w:hAnsi="宋体" w:cs="宋体"/>
                <w:bCs/>
                <w:color w:val="auto"/>
                <w:szCs w:val="21"/>
                <w:highlight w:val="none"/>
              </w:rPr>
            </w:pPr>
            <w:r>
              <w:rPr>
                <w:rFonts w:hint="eastAsia" w:hAnsi="宋体" w:cs="宋体"/>
                <w:bCs/>
                <w:color w:val="auto"/>
                <w:szCs w:val="21"/>
                <w:highlight w:val="none"/>
              </w:rPr>
              <w:t>（2）属于财政部《环境标志产品政府采购品目清单》内的产品[投标文件中提供有效的认证证书复印件及品目清单（标注出投标产品在品目清单中所属的品目），并加盖投标人公章]，每提供一项得</w:t>
            </w:r>
            <w:r>
              <w:rPr>
                <w:rFonts w:hint="eastAsia" w:hAnsi="宋体" w:cs="宋体"/>
                <w:bCs/>
                <w:color w:val="auto"/>
                <w:szCs w:val="21"/>
                <w:highlight w:val="none"/>
                <w:u w:val="single"/>
              </w:rPr>
              <w:t>0.5</w:t>
            </w:r>
            <w:r>
              <w:rPr>
                <w:rFonts w:hint="eastAsia" w:hAnsi="宋体" w:cs="宋体"/>
                <w:bCs/>
                <w:color w:val="auto"/>
                <w:szCs w:val="21"/>
                <w:highlight w:val="none"/>
              </w:rPr>
              <w:t>分，满分</w:t>
            </w:r>
            <w:r>
              <w:rPr>
                <w:rFonts w:hint="eastAsia" w:hAnsi="宋体" w:cs="宋体"/>
                <w:bCs/>
                <w:color w:val="auto"/>
                <w:szCs w:val="21"/>
                <w:highlight w:val="none"/>
                <w:u w:val="single"/>
              </w:rPr>
              <w:t>1</w:t>
            </w:r>
            <w:r>
              <w:rPr>
                <w:rFonts w:hint="eastAsia" w:hAnsi="宋体" w:cs="宋体"/>
                <w:bCs/>
                <w:color w:val="auto"/>
                <w:szCs w:val="21"/>
                <w:highlight w:val="none"/>
              </w:rPr>
              <w:t>分。</w:t>
            </w:r>
          </w:p>
          <w:p>
            <w:pPr>
              <w:pStyle w:val="15"/>
              <w:spacing w:line="360" w:lineRule="exact"/>
              <w:rPr>
                <w:rFonts w:hAnsi="宋体" w:cs="宋体"/>
                <w:bCs/>
                <w:color w:val="auto"/>
                <w:szCs w:val="21"/>
                <w:highlight w:val="none"/>
              </w:rPr>
            </w:pPr>
            <w:r>
              <w:rPr>
                <w:rFonts w:hint="eastAsia" w:hAnsi="宋体" w:cs="宋体"/>
                <w:bCs/>
                <w:color w:val="auto"/>
                <w:szCs w:val="21"/>
                <w:highlight w:val="none"/>
              </w:rPr>
              <w:t>（3）非节能、环境标志产品的不得分。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18" w:type="dxa"/>
            <w:gridSpan w:val="5"/>
            <w:vAlign w:val="center"/>
          </w:tcPr>
          <w:p>
            <w:pPr>
              <w:pStyle w:val="15"/>
              <w:spacing w:line="360" w:lineRule="exact"/>
              <w:ind w:firstLine="420"/>
              <w:rPr>
                <w:rFonts w:hAnsi="宋体" w:cs="宋体"/>
                <w:bCs/>
                <w:color w:val="auto"/>
                <w:szCs w:val="21"/>
                <w:highlight w:val="none"/>
              </w:rPr>
            </w:pPr>
            <w:r>
              <w:rPr>
                <w:rFonts w:hint="eastAsia" w:hAnsi="宋体" w:cs="宋体"/>
                <w:b/>
                <w:bCs/>
                <w:color w:val="auto"/>
                <w:szCs w:val="21"/>
                <w:highlight w:val="none"/>
              </w:rPr>
              <w:t>总得分=1+2+3。</w:t>
            </w:r>
          </w:p>
        </w:tc>
      </w:tr>
    </w:tbl>
    <w:p>
      <w:pPr>
        <w:pStyle w:val="2"/>
        <w:rPr>
          <w:rFonts w:hint="eastAsia" w:ascii="Times New Roman" w:hAnsi="Times New Roman" w:eastAsia="宋体" w:cs="Times New Roman"/>
          <w:color w:val="auto"/>
          <w:highlight w:val="none"/>
        </w:rPr>
      </w:pPr>
      <w:bookmarkStart w:id="240" w:name="_Toc1251"/>
      <w:bookmarkStart w:id="241" w:name="_Toc5054"/>
      <w:bookmarkStart w:id="242" w:name="_Toc16607"/>
      <w:bookmarkStart w:id="243" w:name="_Toc30734"/>
      <w:bookmarkStart w:id="244" w:name="_Toc28332"/>
    </w:p>
    <w:p>
      <w:pPr>
        <w:pStyle w:val="4"/>
        <w:spacing w:before="0" w:after="0" w:line="360" w:lineRule="auto"/>
        <w:jc w:val="center"/>
        <w:rPr>
          <w:rFonts w:ascii="宋体" w:hAnsi="宋体" w:eastAsia="宋体" w:cs="宋体"/>
          <w:b w:val="0"/>
          <w:color w:val="auto"/>
          <w:sz w:val="30"/>
          <w:szCs w:val="30"/>
          <w:highlight w:val="none"/>
        </w:rPr>
      </w:pPr>
      <w:r>
        <w:rPr>
          <w:rFonts w:hint="eastAsia" w:ascii="宋体" w:hAnsi="宋体" w:eastAsia="宋体" w:cs="宋体"/>
          <w:b w:val="0"/>
          <w:color w:val="auto"/>
          <w:sz w:val="30"/>
          <w:szCs w:val="30"/>
          <w:highlight w:val="none"/>
        </w:rPr>
        <w:t>第四节 中标候选人推荐原则</w:t>
      </w:r>
      <w:bookmarkEnd w:id="240"/>
      <w:bookmarkEnd w:id="241"/>
      <w:bookmarkEnd w:id="242"/>
      <w:bookmarkEnd w:id="243"/>
      <w:bookmarkEnd w:id="244"/>
    </w:p>
    <w:p>
      <w:pPr>
        <w:pStyle w:val="15"/>
        <w:numPr>
          <w:ilvl w:val="0"/>
          <w:numId w:val="6"/>
        </w:numPr>
        <w:spacing w:line="360" w:lineRule="auto"/>
        <w:contextualSpacing/>
        <w:rPr>
          <w:rFonts w:hAnsi="宋体" w:cs="宋体"/>
          <w:b/>
          <w:bCs/>
          <w:color w:val="auto"/>
          <w:sz w:val="24"/>
          <w:szCs w:val="24"/>
          <w:highlight w:val="none"/>
        </w:rPr>
      </w:pPr>
      <w:r>
        <w:rPr>
          <w:rFonts w:hint="eastAsia" w:hAnsi="宋体" w:cs="宋体"/>
          <w:b/>
          <w:bCs/>
          <w:color w:val="auto"/>
          <w:sz w:val="24"/>
          <w:szCs w:val="24"/>
          <w:highlight w:val="none"/>
        </w:rPr>
        <w:t>综合评分法</w:t>
      </w:r>
    </w:p>
    <w:p>
      <w:pPr>
        <w:pStyle w:val="15"/>
        <w:spacing w:line="360" w:lineRule="auto"/>
        <w:ind w:firstLine="420" w:firstLineChars="200"/>
        <w:rPr>
          <w:rFonts w:hAnsi="宋体" w:cs="宋体"/>
          <w:color w:val="auto"/>
          <w:highlight w:val="none"/>
        </w:rPr>
      </w:pPr>
      <w:r>
        <w:rPr>
          <w:rFonts w:hint="eastAsia" w:hAnsi="宋体" w:cs="宋体"/>
          <w:color w:val="auto"/>
          <w:highlight w:val="none"/>
        </w:rPr>
        <w:t>1.评标委员会将根据评审后总得分由高到低排列次序并推荐中标候选人。总得分相同的，以投标报价由低到高顺序排列，得分相同且投标报价相同的并列。投标文件满足招标文件全部实质性要求，且按照评审因素的量化指标评审得分最高的投标人为排名第一的中标候选人。</w:t>
      </w:r>
    </w:p>
    <w:p>
      <w:pPr>
        <w:pStyle w:val="15"/>
        <w:spacing w:line="360" w:lineRule="auto"/>
        <w:ind w:firstLine="420" w:firstLineChars="200"/>
        <w:rPr>
          <w:rFonts w:hAnsi="宋体" w:cs="宋体"/>
          <w:color w:val="auto"/>
          <w:highlight w:val="none"/>
        </w:rPr>
      </w:pPr>
      <w:r>
        <w:rPr>
          <w:rFonts w:hint="eastAsia" w:hAnsi="宋体" w:cs="宋体"/>
          <w:color w:val="auto"/>
          <w:highlight w:val="none"/>
        </w:rPr>
        <w:t>2.根据《政府采购货物和服务招标投标管理办法》（财政部令第87号）第三十一条第二款规定，采用综合评分法的采购项目，提供相同品牌产品且通过资格审查、符合性审查的不同投标人参加同一合同项下投标的，按一家投标人计算，评审后得分最高的同品牌投标人获得中标人推荐资格；评审得分相同的，按照“投标人须知前附表”8.4条款的规定推荐，确定后其他同品牌投标人不作为中标候选人。</w:t>
      </w:r>
    </w:p>
    <w:p>
      <w:pPr>
        <w:pStyle w:val="15"/>
        <w:spacing w:line="360" w:lineRule="auto"/>
        <w:ind w:firstLine="482" w:firstLineChars="200"/>
        <w:rPr>
          <w:rFonts w:hAnsi="宋体" w:cs="宋体"/>
          <w:color w:val="auto"/>
          <w:highlight w:val="none"/>
        </w:rPr>
      </w:pPr>
      <w:r>
        <w:rPr>
          <w:rFonts w:hint="eastAsia" w:hAnsi="宋体" w:cs="宋体"/>
          <w:b/>
          <w:bCs/>
          <w:color w:val="auto"/>
          <w:sz w:val="24"/>
          <w:szCs w:val="24"/>
          <w:highlight w:val="none"/>
        </w:rPr>
        <w:t>（二）最低评标报价法</w:t>
      </w:r>
    </w:p>
    <w:p>
      <w:pPr>
        <w:pStyle w:val="15"/>
        <w:tabs>
          <w:tab w:val="left" w:pos="2472"/>
        </w:tabs>
        <w:spacing w:line="480" w:lineRule="exact"/>
        <w:ind w:firstLine="420" w:firstLineChars="200"/>
        <w:rPr>
          <w:rFonts w:hAnsi="宋体" w:cs="宋体"/>
          <w:color w:val="auto"/>
          <w:highlight w:val="none"/>
        </w:rPr>
      </w:pPr>
      <w:r>
        <w:rPr>
          <w:rFonts w:hint="eastAsia" w:hAnsi="宋体" w:cs="宋体"/>
          <w:color w:val="auto"/>
          <w:highlight w:val="none"/>
        </w:rPr>
        <w:t>1.评标委员会将按照有效评标报价从低到高顺序排列，评标报价相同的并列。投标文件满足招标文件全部实质性要求且评标报价最低的投标人为排名第一的中标候选人。</w:t>
      </w:r>
    </w:p>
    <w:p>
      <w:pPr>
        <w:pStyle w:val="15"/>
        <w:spacing w:line="360" w:lineRule="auto"/>
        <w:ind w:firstLine="420" w:firstLineChars="200"/>
        <w:rPr>
          <w:rFonts w:hAnsi="宋体" w:cs="宋体"/>
          <w:color w:val="auto"/>
          <w:highlight w:val="none"/>
        </w:rPr>
      </w:pPr>
      <w:r>
        <w:rPr>
          <w:rFonts w:hint="eastAsia" w:hAnsi="宋体" w:cs="宋体"/>
          <w:color w:val="auto"/>
          <w:highlight w:val="none"/>
        </w:rPr>
        <w:t>2. 根据《政府采购货物和服务招标投标管理办法》（财政部令第87号）第三十一条第一款规定，采用最低评标价法的采购项目，提供相同品牌产品的不同投标人参加同一合同项下投标的，以其中通过资格审查、符合性审查且报价最低的参加评标；报价相同的，按照“投标人须知前附表”8.4条款的规定推荐。</w:t>
      </w:r>
    </w:p>
    <w:p>
      <w:pPr>
        <w:pStyle w:val="2"/>
        <w:rPr>
          <w:rFonts w:hint="eastAsia" w:ascii="Times New Roman" w:hAnsi="Times New Roman" w:eastAsia="宋体" w:cs="Times New Roman"/>
          <w:color w:val="auto"/>
          <w:highlight w:val="none"/>
        </w:rPr>
      </w:pPr>
    </w:p>
    <w:p>
      <w:pPr>
        <w:pStyle w:val="4"/>
        <w:spacing w:before="0" w:after="0" w:line="360" w:lineRule="auto"/>
        <w:ind w:firstLine="600" w:firstLineChars="200"/>
        <w:jc w:val="center"/>
        <w:rPr>
          <w:rFonts w:ascii="宋体" w:hAnsi="宋体" w:eastAsia="宋体" w:cs="宋体"/>
          <w:b w:val="0"/>
          <w:color w:val="auto"/>
          <w:sz w:val="30"/>
          <w:szCs w:val="30"/>
          <w:highlight w:val="none"/>
        </w:rPr>
      </w:pPr>
      <w:bookmarkStart w:id="245" w:name="_Toc21738"/>
      <w:bookmarkStart w:id="246" w:name="_Toc8014"/>
      <w:bookmarkStart w:id="247" w:name="_Toc671"/>
      <w:bookmarkStart w:id="248" w:name="_Toc24005"/>
      <w:bookmarkStart w:id="249" w:name="_Toc29998"/>
      <w:r>
        <w:rPr>
          <w:rFonts w:hint="eastAsia" w:ascii="宋体" w:hAnsi="宋体" w:eastAsia="宋体" w:cs="宋体"/>
          <w:b w:val="0"/>
          <w:color w:val="auto"/>
          <w:sz w:val="30"/>
          <w:szCs w:val="30"/>
          <w:highlight w:val="none"/>
        </w:rPr>
        <w:t>第五节 评标报告</w:t>
      </w:r>
      <w:bookmarkEnd w:id="245"/>
      <w:bookmarkEnd w:id="246"/>
      <w:bookmarkEnd w:id="247"/>
      <w:bookmarkEnd w:id="248"/>
      <w:bookmarkEnd w:id="249"/>
    </w:p>
    <w:p>
      <w:pPr>
        <w:pStyle w:val="49"/>
        <w:spacing w:before="0"/>
        <w:ind w:firstLine="482"/>
        <w:rPr>
          <w:rFonts w:ascii="宋体" w:hAnsi="宋体" w:cs="宋体"/>
          <w:b/>
          <w:bCs/>
          <w:color w:val="auto"/>
          <w:szCs w:val="24"/>
          <w:highlight w:val="none"/>
        </w:rPr>
      </w:pPr>
      <w:r>
        <w:rPr>
          <w:rFonts w:hint="eastAsia" w:ascii="宋体" w:hAnsi="宋体" w:cs="宋体"/>
          <w:b/>
          <w:bCs/>
          <w:color w:val="auto"/>
          <w:szCs w:val="24"/>
          <w:highlight w:val="none"/>
        </w:rPr>
        <w:t>（一）评标报告与推荐中标候选人</w:t>
      </w:r>
    </w:p>
    <w:p>
      <w:pPr>
        <w:pStyle w:val="15"/>
        <w:tabs>
          <w:tab w:val="left" w:pos="2472"/>
        </w:tabs>
        <w:spacing w:line="360" w:lineRule="auto"/>
        <w:ind w:firstLine="420" w:firstLineChars="200"/>
        <w:rPr>
          <w:rFonts w:hAnsi="宋体" w:cs="宋体"/>
          <w:color w:val="auto"/>
          <w:highlight w:val="none"/>
        </w:rPr>
      </w:pPr>
      <w:r>
        <w:rPr>
          <w:rFonts w:hint="eastAsia" w:hAnsi="宋体" w:cs="宋体"/>
          <w:color w:val="auto"/>
          <w:highlight w:val="none"/>
        </w:rPr>
        <w:t>评标委员会根据原始评标记录和评标结果编写评标报告，并通过电子交易平台向采购人、采购代理机构提交。</w:t>
      </w:r>
    </w:p>
    <w:p>
      <w:pPr>
        <w:widowControl/>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（二）评标争议事项处理</w:t>
      </w:r>
    </w:p>
    <w:p>
      <w:pPr>
        <w:pStyle w:val="15"/>
        <w:tabs>
          <w:tab w:val="left" w:pos="2472"/>
        </w:tabs>
        <w:spacing w:line="360" w:lineRule="auto"/>
        <w:ind w:firstLine="420" w:firstLineChars="200"/>
        <w:rPr>
          <w:rFonts w:hAnsi="宋体" w:cs="宋体"/>
          <w:color w:val="auto"/>
          <w:highlight w:val="none"/>
        </w:rPr>
      </w:pPr>
      <w:r>
        <w:rPr>
          <w:rFonts w:hint="eastAsia" w:hAnsi="宋体" w:cs="宋体"/>
          <w:color w:val="auto"/>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jc w:val="left"/>
        <w:rPr>
          <w:rFonts w:ascii="宋体" w:hAnsi="宋体" w:cs="宋体"/>
          <w:b/>
          <w:color w:val="auto"/>
          <w:sz w:val="36"/>
          <w:szCs w:val="20"/>
          <w:highlight w:val="none"/>
        </w:rPr>
        <w:sectPr>
          <w:pgSz w:w="11906" w:h="16838"/>
          <w:pgMar w:top="1134" w:right="1134" w:bottom="1134" w:left="1134" w:header="720" w:footer="720" w:gutter="0"/>
          <w:cols w:space="720" w:num="1"/>
          <w:docGrid w:type="lines" w:linePitch="331" w:charSpace="0"/>
        </w:sect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outlineLvl w:val="0"/>
        <w:rPr>
          <w:rFonts w:hAnsi="宋体" w:cs="宋体"/>
          <w:b/>
          <w:color w:val="auto"/>
          <w:sz w:val="36"/>
          <w:highlight w:val="none"/>
        </w:rPr>
      </w:pPr>
      <w:bookmarkStart w:id="250" w:name="_Toc14385"/>
      <w:bookmarkStart w:id="251" w:name="_Toc5426"/>
      <w:bookmarkStart w:id="252" w:name="_Toc24905"/>
      <w:bookmarkStart w:id="253" w:name="_Toc3087"/>
      <w:bookmarkStart w:id="254" w:name="_Toc14956"/>
      <w:bookmarkStart w:id="255" w:name="_Toc17443"/>
      <w:bookmarkStart w:id="256" w:name="_Toc30669"/>
      <w:bookmarkStart w:id="257" w:name="_Toc27349"/>
      <w:bookmarkStart w:id="258" w:name="_Toc15462"/>
      <w:bookmarkStart w:id="259" w:name="_Toc1169"/>
      <w:bookmarkStart w:id="260" w:name="_Toc1174"/>
      <w:r>
        <w:rPr>
          <w:rFonts w:hint="eastAsia" w:hAnsi="宋体" w:cs="宋体"/>
          <w:b/>
          <w:color w:val="auto"/>
          <w:sz w:val="36"/>
          <w:highlight w:val="none"/>
        </w:rPr>
        <w:t>第五章 拟签订的合同文本</w:t>
      </w:r>
      <w:bookmarkEnd w:id="250"/>
      <w:bookmarkEnd w:id="251"/>
      <w:bookmarkEnd w:id="252"/>
      <w:bookmarkEnd w:id="253"/>
      <w:bookmarkEnd w:id="254"/>
      <w:bookmarkEnd w:id="255"/>
      <w:bookmarkEnd w:id="256"/>
      <w:bookmarkEnd w:id="257"/>
      <w:bookmarkEnd w:id="258"/>
      <w:bookmarkEnd w:id="259"/>
      <w:bookmarkEnd w:id="260"/>
    </w:p>
    <w:p>
      <w:pPr>
        <w:widowControl/>
        <w:jc w:val="left"/>
        <w:rPr>
          <w:rFonts w:ascii="宋体" w:hAnsi="宋体" w:cs="宋体"/>
          <w:bCs/>
          <w:color w:val="auto"/>
          <w:szCs w:val="20"/>
          <w:highlight w:val="none"/>
        </w:rPr>
        <w:sectPr>
          <w:pgSz w:w="11906" w:h="16838"/>
          <w:pgMar w:top="1134" w:right="1134" w:bottom="1134" w:left="1134" w:header="720" w:footer="720" w:gutter="0"/>
          <w:cols w:space="720" w:num="1"/>
          <w:docGrid w:type="lines" w:linePitch="331" w:charSpace="0"/>
        </w:sectPr>
      </w:pPr>
    </w:p>
    <w:p>
      <w:pPr>
        <w:snapToGrid w:val="0"/>
        <w:spacing w:line="400" w:lineRule="exact"/>
        <w:jc w:val="center"/>
        <w:rPr>
          <w:rFonts w:ascii="宋体" w:hAnsi="宋体" w:cs="宋体"/>
          <w:b/>
          <w:bCs/>
          <w:color w:val="auto"/>
          <w:sz w:val="32"/>
          <w:szCs w:val="32"/>
          <w:highlight w:val="none"/>
        </w:rPr>
      </w:pPr>
    </w:p>
    <w:p>
      <w:pPr>
        <w:snapToGrid w:val="0"/>
        <w:spacing w:line="400" w:lineRule="exact"/>
        <w:jc w:val="center"/>
        <w:rPr>
          <w:rFonts w:ascii="宋体" w:hAnsi="宋体" w:cs="宋体"/>
          <w:b/>
          <w:bCs/>
          <w:color w:val="auto"/>
          <w:sz w:val="32"/>
          <w:szCs w:val="32"/>
          <w:highlight w:val="none"/>
        </w:rPr>
      </w:pPr>
      <w:bookmarkStart w:id="261" w:name="_Hlk159659464"/>
      <w:r>
        <w:rPr>
          <w:rFonts w:hint="eastAsia" w:ascii="宋体" w:hAnsi="宋体" w:cs="宋体"/>
          <w:b/>
          <w:bCs/>
          <w:color w:val="auto"/>
          <w:sz w:val="32"/>
          <w:szCs w:val="32"/>
          <w:highlight w:val="none"/>
        </w:rPr>
        <w:t>《广西壮族自治区政府采购合同》</w:t>
      </w:r>
      <w:r>
        <w:rPr>
          <w:rFonts w:hint="eastAsia" w:ascii="宋体" w:hAnsi="宋体" w:cs="宋体"/>
          <w:b/>
          <w:color w:val="auto"/>
          <w:sz w:val="32"/>
          <w:szCs w:val="32"/>
          <w:highlight w:val="none"/>
        </w:rPr>
        <w:t>文本</w:t>
      </w:r>
    </w:p>
    <w:p>
      <w:pPr>
        <w:snapToGrid w:val="0"/>
        <w:spacing w:line="360" w:lineRule="auto"/>
        <w:ind w:right="480" w:firstLine="5670" w:firstLineChars="2700"/>
        <w:rPr>
          <w:rFonts w:ascii="宋体" w:hAnsi="宋体" w:cs="宋体"/>
          <w:bCs/>
          <w:color w:val="auto"/>
          <w:szCs w:val="21"/>
          <w:highlight w:val="none"/>
        </w:rPr>
      </w:pPr>
    </w:p>
    <w:p>
      <w:pPr>
        <w:snapToGrid w:val="0"/>
        <w:spacing w:line="360" w:lineRule="auto"/>
        <w:ind w:right="480" w:firstLine="5670" w:firstLineChars="2700"/>
        <w:rPr>
          <w:rFonts w:ascii="宋体" w:hAnsi="宋体" w:cs="宋体"/>
          <w:color w:val="auto"/>
          <w:szCs w:val="21"/>
          <w:highlight w:val="none"/>
        </w:rPr>
      </w:pPr>
      <w:r>
        <w:rPr>
          <w:rFonts w:hint="eastAsia" w:ascii="宋体" w:hAnsi="宋体" w:cs="宋体"/>
          <w:bCs/>
          <w:color w:val="auto"/>
          <w:szCs w:val="21"/>
          <w:highlight w:val="none"/>
        </w:rPr>
        <w:t>合同编号：</w:t>
      </w:r>
      <w:r>
        <w:rPr>
          <w:rFonts w:hint="eastAsia" w:ascii="宋体" w:hAnsi="宋体" w:cs="宋体"/>
          <w:color w:val="auto"/>
          <w:szCs w:val="21"/>
          <w:highlight w:val="none"/>
          <w:u w:val="single"/>
        </w:rPr>
        <w:t xml:space="preserve">              </w:t>
      </w:r>
    </w:p>
    <w:p>
      <w:pPr>
        <w:snapToGrid w:val="0"/>
        <w:spacing w:line="360" w:lineRule="auto"/>
        <w:rPr>
          <w:rFonts w:ascii="宋体" w:hAnsi="宋体" w:cs="宋体"/>
          <w:color w:val="auto"/>
          <w:szCs w:val="21"/>
          <w:highlight w:val="none"/>
          <w:u w:val="single"/>
        </w:rPr>
      </w:pPr>
      <w:r>
        <w:rPr>
          <w:rFonts w:hint="eastAsia" w:ascii="宋体" w:hAnsi="宋体" w:cs="宋体"/>
          <w:color w:val="auto"/>
          <w:szCs w:val="21"/>
          <w:highlight w:val="none"/>
        </w:rPr>
        <w:t>采购人（甲方）：</w:t>
      </w:r>
      <w:r>
        <w:rPr>
          <w:rFonts w:hint="eastAsia" w:ascii="宋体" w:hAnsi="宋体" w:cs="宋体"/>
          <w:color w:val="auto"/>
          <w:szCs w:val="21"/>
          <w:highlight w:val="none"/>
          <w:u w:val="single"/>
        </w:rPr>
        <w:t xml:space="preserve">  广西医科大学 </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ascii="宋体" w:hAnsi="宋体" w:cs="宋体"/>
          <w:color w:val="auto"/>
          <w:szCs w:val="21"/>
          <w:highlight w:val="none"/>
        </w:rPr>
        <w:t xml:space="preserve">   </w:t>
      </w:r>
      <w:r>
        <w:rPr>
          <w:rFonts w:hint="eastAsia" w:ascii="宋体" w:hAnsi="宋体" w:cs="宋体"/>
          <w:color w:val="auto"/>
          <w:szCs w:val="21"/>
          <w:highlight w:val="none"/>
        </w:rPr>
        <w:t xml:space="preserve"> </w:t>
      </w:r>
      <w:r>
        <w:rPr>
          <w:rFonts w:hint="eastAsia" w:ascii="宋体" w:hAnsi="宋体" w:cs="宋体"/>
          <w:color w:val="auto"/>
          <w:spacing w:val="-20"/>
          <w:szCs w:val="21"/>
          <w:highlight w:val="none"/>
        </w:rPr>
        <w:t>采 购 计 划 号：</w:t>
      </w:r>
      <w:r>
        <w:rPr>
          <w:rFonts w:hint="eastAsia" w:ascii="宋体" w:hAnsi="宋体" w:cs="宋体"/>
          <w:color w:val="auto"/>
          <w:szCs w:val="21"/>
          <w:highlight w:val="none"/>
          <w:u w:val="single"/>
        </w:rPr>
        <w:t xml:space="preserve">             </w:t>
      </w:r>
    </w:p>
    <w:p>
      <w:pPr>
        <w:snapToGrid w:val="0"/>
        <w:spacing w:line="440" w:lineRule="exact"/>
        <w:rPr>
          <w:rFonts w:ascii="宋体" w:hAnsi="宋体" w:cs="宋体"/>
          <w:color w:val="auto"/>
          <w:szCs w:val="21"/>
          <w:highlight w:val="none"/>
          <w:u w:val="single"/>
        </w:rPr>
      </w:pPr>
      <w:r>
        <w:rPr>
          <w:rFonts w:hint="eastAsia" w:ascii="宋体" w:hAnsi="宋体" w:cs="宋体"/>
          <w:color w:val="auto"/>
          <w:szCs w:val="21"/>
          <w:highlight w:val="none"/>
        </w:rPr>
        <w:t>中标人（乙方）：</w:t>
      </w:r>
      <w:r>
        <w:rPr>
          <w:rFonts w:hint="eastAsia" w:ascii="宋体" w:hAnsi="宋体" w:cs="宋体"/>
          <w:color w:val="auto"/>
          <w:szCs w:val="21"/>
          <w:highlight w:val="none"/>
          <w:u w:val="single"/>
        </w:rPr>
        <w:t xml:space="preserve">                           </w:t>
      </w:r>
    </w:p>
    <w:p>
      <w:pPr>
        <w:tabs>
          <w:tab w:val="center" w:pos="4153"/>
          <w:tab w:val="right" w:pos="8306"/>
        </w:tabs>
        <w:snapToGrid w:val="0"/>
        <w:spacing w:line="440" w:lineRule="exact"/>
        <w:jc w:val="left"/>
        <w:rPr>
          <w:rFonts w:ascii="宋体" w:hAnsi="宋体" w:cs="宋体"/>
          <w:color w:val="auto"/>
          <w:szCs w:val="21"/>
          <w:highlight w:val="none"/>
        </w:rPr>
      </w:pPr>
      <w:r>
        <w:rPr>
          <w:rFonts w:hint="eastAsia" w:ascii="宋体" w:hAnsi="宋体" w:cs="宋体"/>
          <w:color w:val="auto"/>
          <w:szCs w:val="21"/>
          <w:highlight w:val="none"/>
        </w:rPr>
        <w:t>项目名称：</w:t>
      </w:r>
      <w:r>
        <w:rPr>
          <w:rFonts w:hint="eastAsia" w:ascii="宋体" w:hAnsi="宋体" w:cs="宋体"/>
          <w:color w:val="auto"/>
          <w:sz w:val="18"/>
          <w:szCs w:val="21"/>
          <w:highlight w:val="none"/>
          <w:u w:val="single"/>
        </w:rPr>
        <w:t xml:space="preserve">                                       </w:t>
      </w:r>
      <w:r>
        <w:rPr>
          <w:rFonts w:hint="eastAsia" w:ascii="宋体" w:hAnsi="宋体" w:cs="宋体"/>
          <w:color w:val="auto"/>
          <w:szCs w:val="21"/>
          <w:highlight w:val="none"/>
        </w:rPr>
        <w:t xml:space="preserve">                               </w:t>
      </w:r>
    </w:p>
    <w:p>
      <w:pPr>
        <w:snapToGrid w:val="0"/>
        <w:spacing w:line="440" w:lineRule="exact"/>
        <w:rPr>
          <w:rFonts w:ascii="宋体" w:hAnsi="宋体" w:cs="宋体"/>
          <w:color w:val="auto"/>
          <w:szCs w:val="21"/>
          <w:highlight w:val="none"/>
          <w:u w:val="single"/>
        </w:rPr>
      </w:pPr>
      <w:r>
        <w:rPr>
          <w:rFonts w:hint="eastAsia" w:ascii="宋体" w:hAnsi="宋体" w:cs="宋体"/>
          <w:color w:val="auto"/>
          <w:szCs w:val="21"/>
          <w:highlight w:val="none"/>
        </w:rPr>
        <w:t>项目</w:t>
      </w:r>
      <w:r>
        <w:rPr>
          <w:rFonts w:hint="eastAsia" w:ascii="宋体" w:hAnsi="宋体" w:cs="宋体"/>
          <w:color w:val="auto"/>
          <w:spacing w:val="-20"/>
          <w:szCs w:val="21"/>
          <w:highlight w:val="none"/>
        </w:rPr>
        <w:t>编 号：</w:t>
      </w:r>
      <w:r>
        <w:rPr>
          <w:rFonts w:hint="eastAsia" w:ascii="宋体" w:hAnsi="宋体" w:cs="宋体"/>
          <w:color w:val="auto"/>
          <w:szCs w:val="21"/>
          <w:highlight w:val="none"/>
          <w:u w:val="single"/>
        </w:rPr>
        <w:t xml:space="preserve">                                  </w:t>
      </w:r>
    </w:p>
    <w:p>
      <w:pPr>
        <w:snapToGrid w:val="0"/>
        <w:spacing w:line="440" w:lineRule="exact"/>
        <w:rPr>
          <w:rFonts w:ascii="宋体" w:hAnsi="宋体" w:cs="宋体"/>
          <w:color w:val="auto"/>
          <w:szCs w:val="21"/>
          <w:highlight w:val="none"/>
          <w:u w:val="single"/>
        </w:rPr>
      </w:pPr>
      <w:r>
        <w:rPr>
          <w:rFonts w:hint="eastAsia" w:ascii="宋体" w:hAnsi="宋体" w:cs="宋体"/>
          <w:color w:val="auto"/>
          <w:szCs w:val="21"/>
          <w:highlight w:val="none"/>
        </w:rPr>
        <w:t>签订地点：</w:t>
      </w:r>
      <w:r>
        <w:rPr>
          <w:rFonts w:hint="eastAsia" w:ascii="宋体" w:hAnsi="宋体" w:cs="宋体"/>
          <w:color w:val="auto"/>
          <w:szCs w:val="21"/>
          <w:highlight w:val="none"/>
          <w:u w:val="single"/>
        </w:rPr>
        <w:t xml:space="preserve">     广西南宁市              </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签订时间：</w:t>
      </w:r>
      <w:r>
        <w:rPr>
          <w:rFonts w:hint="eastAsia" w:ascii="宋体" w:hAnsi="宋体" w:cs="宋体"/>
          <w:color w:val="auto"/>
          <w:szCs w:val="21"/>
          <w:highlight w:val="none"/>
          <w:u w:val="single"/>
        </w:rPr>
        <w:t xml:space="preserve">                   </w:t>
      </w:r>
    </w:p>
    <w:p>
      <w:pPr>
        <w:snapToGrid w:val="0"/>
        <w:spacing w:line="360" w:lineRule="auto"/>
        <w:ind w:firstLine="420" w:firstLineChars="200"/>
        <w:rPr>
          <w:rFonts w:ascii="宋体" w:hAnsi="宋体" w:cs="宋体"/>
          <w:color w:val="auto"/>
          <w:szCs w:val="21"/>
          <w:highlight w:val="none"/>
        </w:rPr>
      </w:pP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根据《中华人民共和国政府采购法》、《中华人民共和国民法典》等法律、法规规定，按照招标文件规定条款和乙方投标文件及其承诺，甲乙双方签订本合同。</w:t>
      </w:r>
    </w:p>
    <w:p>
      <w:pPr>
        <w:adjustRightInd w:val="0"/>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第一条　合同标的</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1.供货一览表</w:t>
      </w:r>
    </w:p>
    <w:tbl>
      <w:tblPr>
        <w:tblStyle w:val="22"/>
        <w:tblW w:w="98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285"/>
        <w:gridCol w:w="1054"/>
        <w:gridCol w:w="1174"/>
        <w:gridCol w:w="1171"/>
        <w:gridCol w:w="788"/>
        <w:gridCol w:w="903"/>
        <w:gridCol w:w="1056"/>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color w:val="auto"/>
                <w:highlight w:val="none"/>
              </w:rPr>
            </w:pPr>
            <w:r>
              <w:rPr>
                <w:rFonts w:hint="eastAsia" w:ascii="宋体" w:hAnsi="宋体" w:cs="Arial"/>
                <w:color w:val="auto"/>
                <w:highlight w:val="none"/>
              </w:rPr>
              <w:t>序号</w:t>
            </w:r>
          </w:p>
        </w:tc>
        <w:tc>
          <w:tcPr>
            <w:tcW w:w="12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color w:val="auto"/>
                <w:highlight w:val="none"/>
              </w:rPr>
            </w:pPr>
            <w:r>
              <w:rPr>
                <w:rFonts w:hint="eastAsia" w:ascii="宋体" w:hAnsi="宋体" w:cs="Arial"/>
                <w:color w:val="auto"/>
                <w:highlight w:val="none"/>
              </w:rPr>
              <w:t>标的</w:t>
            </w:r>
          </w:p>
          <w:p>
            <w:pPr>
              <w:snapToGrid w:val="0"/>
              <w:jc w:val="center"/>
              <w:rPr>
                <w:rFonts w:ascii="宋体" w:hAnsi="宋体" w:cs="Arial"/>
                <w:color w:val="auto"/>
                <w:highlight w:val="none"/>
              </w:rPr>
            </w:pPr>
            <w:r>
              <w:rPr>
                <w:rFonts w:hint="eastAsia" w:ascii="宋体" w:hAnsi="宋体" w:cs="Arial"/>
                <w:color w:val="auto"/>
                <w:highlight w:val="none"/>
              </w:rPr>
              <w:t>名称</w:t>
            </w:r>
          </w:p>
        </w:tc>
        <w:tc>
          <w:tcPr>
            <w:tcW w:w="10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color w:val="auto"/>
                <w:highlight w:val="none"/>
              </w:rPr>
            </w:pPr>
            <w:r>
              <w:rPr>
                <w:rFonts w:hint="eastAsia" w:ascii="宋体" w:hAnsi="宋体" w:cs="Arial"/>
                <w:color w:val="auto"/>
                <w:highlight w:val="none"/>
              </w:rPr>
              <w:t>商标</w:t>
            </w:r>
          </w:p>
          <w:p>
            <w:pPr>
              <w:snapToGrid w:val="0"/>
              <w:jc w:val="center"/>
              <w:rPr>
                <w:rFonts w:ascii="宋体" w:hAnsi="宋体" w:cs="Arial"/>
                <w:color w:val="auto"/>
                <w:highlight w:val="none"/>
              </w:rPr>
            </w:pPr>
            <w:r>
              <w:rPr>
                <w:rFonts w:hint="eastAsia" w:ascii="宋体" w:hAnsi="宋体" w:cs="Arial"/>
                <w:color w:val="auto"/>
                <w:highlight w:val="none"/>
              </w:rPr>
              <w:t>品牌</w:t>
            </w: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color w:val="auto"/>
                <w:highlight w:val="none"/>
              </w:rPr>
            </w:pPr>
            <w:r>
              <w:rPr>
                <w:rFonts w:hint="eastAsia" w:ascii="宋体" w:hAnsi="宋体" w:cs="Arial"/>
                <w:color w:val="auto"/>
                <w:highlight w:val="none"/>
              </w:rPr>
              <w:t>型号</w:t>
            </w:r>
          </w:p>
          <w:p>
            <w:pPr>
              <w:snapToGrid w:val="0"/>
              <w:jc w:val="center"/>
              <w:rPr>
                <w:rFonts w:ascii="宋体" w:hAnsi="宋体" w:cs="Arial"/>
                <w:color w:val="auto"/>
                <w:highlight w:val="none"/>
              </w:rPr>
            </w:pPr>
            <w:r>
              <w:rPr>
                <w:rFonts w:hint="eastAsia" w:ascii="宋体" w:hAnsi="宋体" w:cs="Arial"/>
                <w:color w:val="auto"/>
                <w:highlight w:val="none"/>
              </w:rPr>
              <w:t>参数</w:t>
            </w:r>
          </w:p>
        </w:tc>
        <w:tc>
          <w:tcPr>
            <w:tcW w:w="11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color w:val="auto"/>
                <w:highlight w:val="none"/>
              </w:rPr>
            </w:pPr>
            <w:r>
              <w:rPr>
                <w:rFonts w:hint="eastAsia" w:ascii="宋体" w:hAnsi="宋体" w:cs="Arial"/>
                <w:color w:val="auto"/>
                <w:highlight w:val="none"/>
              </w:rPr>
              <w:t>生产</w:t>
            </w:r>
          </w:p>
          <w:p>
            <w:pPr>
              <w:snapToGrid w:val="0"/>
              <w:jc w:val="center"/>
              <w:rPr>
                <w:rFonts w:ascii="宋体" w:hAnsi="宋体" w:cs="Arial"/>
                <w:color w:val="auto"/>
                <w:highlight w:val="none"/>
              </w:rPr>
            </w:pPr>
            <w:r>
              <w:rPr>
                <w:rFonts w:hint="eastAsia" w:ascii="宋体" w:hAnsi="宋体" w:cs="Arial"/>
                <w:color w:val="auto"/>
                <w:highlight w:val="none"/>
              </w:rPr>
              <w:t>厂家</w:t>
            </w:r>
          </w:p>
        </w:tc>
        <w:tc>
          <w:tcPr>
            <w:tcW w:w="7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color w:val="auto"/>
                <w:highlight w:val="none"/>
              </w:rPr>
            </w:pPr>
            <w:r>
              <w:rPr>
                <w:rFonts w:hint="eastAsia" w:ascii="宋体" w:hAnsi="宋体" w:cs="Arial"/>
                <w:color w:val="auto"/>
                <w:highlight w:val="none"/>
              </w:rPr>
              <w:t>数量</w:t>
            </w:r>
          </w:p>
        </w:tc>
        <w:tc>
          <w:tcPr>
            <w:tcW w:w="9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color w:val="auto"/>
                <w:highlight w:val="none"/>
              </w:rPr>
            </w:pPr>
            <w:r>
              <w:rPr>
                <w:rFonts w:hint="eastAsia" w:ascii="宋体" w:hAnsi="宋体" w:cs="Arial"/>
                <w:color w:val="auto"/>
                <w:highlight w:val="none"/>
              </w:rPr>
              <w:t>单位</w:t>
            </w:r>
          </w:p>
        </w:tc>
        <w:tc>
          <w:tcPr>
            <w:tcW w:w="10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color w:val="auto"/>
                <w:highlight w:val="none"/>
              </w:rPr>
            </w:pPr>
            <w:r>
              <w:rPr>
                <w:rFonts w:hint="eastAsia" w:ascii="宋体" w:hAnsi="宋体" w:cs="Arial"/>
                <w:color w:val="auto"/>
                <w:highlight w:val="none"/>
              </w:rPr>
              <w:t>单价</w:t>
            </w:r>
          </w:p>
          <w:p>
            <w:pPr>
              <w:snapToGrid w:val="0"/>
              <w:jc w:val="center"/>
              <w:rPr>
                <w:rFonts w:ascii="宋体" w:hAnsi="宋体" w:cs="Arial"/>
                <w:color w:val="auto"/>
                <w:highlight w:val="none"/>
              </w:rPr>
            </w:pPr>
            <w:r>
              <w:rPr>
                <w:rFonts w:hint="eastAsia" w:ascii="宋体" w:hAnsi="宋体" w:cs="Arial"/>
                <w:color w:val="auto"/>
                <w:highlight w:val="none"/>
              </w:rPr>
              <w:t>（元）</w:t>
            </w:r>
          </w:p>
        </w:tc>
        <w:tc>
          <w:tcPr>
            <w:tcW w:w="14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color w:val="auto"/>
                <w:highlight w:val="none"/>
              </w:rPr>
            </w:pPr>
            <w:r>
              <w:rPr>
                <w:rFonts w:hint="eastAsia" w:ascii="宋体" w:hAnsi="宋体" w:cs="Arial"/>
                <w:color w:val="auto"/>
                <w:highlight w:val="none"/>
              </w:rPr>
              <w:t>金额</w:t>
            </w:r>
          </w:p>
          <w:p>
            <w:pPr>
              <w:snapToGrid w:val="0"/>
              <w:jc w:val="center"/>
              <w:rPr>
                <w:rFonts w:ascii="宋体" w:hAnsi="宋体" w:cs="Arial"/>
                <w:color w:val="auto"/>
                <w:highlight w:val="none"/>
              </w:rPr>
            </w:pPr>
            <w:r>
              <w:rPr>
                <w:rFonts w:hint="eastAsia" w:ascii="宋体" w:hAnsi="宋体" w:cs="Arial"/>
                <w:color w:val="auto"/>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jc w:val="left"/>
              <w:rPr>
                <w:rFonts w:ascii="宋体" w:hAnsi="宋体" w:cs="Arial"/>
                <w:color w:val="auto"/>
                <w:highlight w:val="none"/>
              </w:rPr>
            </w:pPr>
            <w:r>
              <w:rPr>
                <w:rFonts w:hint="eastAsia" w:ascii="宋体" w:hAnsi="宋体" w:cs="Arial"/>
                <w:color w:val="auto"/>
                <w:highlight w:val="none"/>
              </w:rPr>
              <w:t>1</w:t>
            </w:r>
          </w:p>
        </w:tc>
        <w:tc>
          <w:tcPr>
            <w:tcW w:w="128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jc w:val="left"/>
              <w:rPr>
                <w:rFonts w:ascii="宋体" w:hAnsi="宋体" w:cs="Arial"/>
                <w:color w:val="auto"/>
                <w:highlight w:val="none"/>
              </w:rPr>
            </w:pPr>
          </w:p>
        </w:tc>
        <w:tc>
          <w:tcPr>
            <w:tcW w:w="105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jc w:val="left"/>
              <w:rPr>
                <w:rFonts w:ascii="宋体" w:hAnsi="宋体" w:cs="Arial"/>
                <w:color w:val="auto"/>
                <w:highlight w:val="none"/>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jc w:val="left"/>
              <w:rPr>
                <w:rFonts w:ascii="宋体" w:hAnsi="宋体" w:cs="Arial"/>
                <w:color w:val="auto"/>
                <w:highlight w:val="none"/>
              </w:rPr>
            </w:pPr>
          </w:p>
        </w:tc>
        <w:tc>
          <w:tcPr>
            <w:tcW w:w="117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jc w:val="left"/>
              <w:rPr>
                <w:rFonts w:ascii="宋体" w:hAnsi="宋体" w:cs="Arial"/>
                <w:color w:val="auto"/>
                <w:highlight w:val="none"/>
              </w:rPr>
            </w:pPr>
          </w:p>
        </w:tc>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jc w:val="left"/>
              <w:rPr>
                <w:rFonts w:ascii="宋体" w:hAnsi="宋体" w:cs="Arial"/>
                <w:color w:val="auto"/>
                <w:highlight w:val="none"/>
              </w:rPr>
            </w:pPr>
          </w:p>
        </w:tc>
        <w:tc>
          <w:tcPr>
            <w:tcW w:w="90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jc w:val="left"/>
              <w:rPr>
                <w:rFonts w:ascii="宋体" w:hAnsi="宋体" w:cs="Arial"/>
                <w:color w:val="auto"/>
                <w:highlight w:val="none"/>
              </w:rPr>
            </w:pPr>
          </w:p>
        </w:tc>
        <w:tc>
          <w:tcPr>
            <w:tcW w:w="105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jc w:val="left"/>
              <w:rPr>
                <w:rFonts w:ascii="宋体" w:hAnsi="宋体" w:cs="Arial"/>
                <w:color w:val="auto"/>
                <w:highlight w:val="none"/>
              </w:rPr>
            </w:pPr>
          </w:p>
        </w:tc>
        <w:tc>
          <w:tcPr>
            <w:tcW w:w="144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jc w:val="left"/>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jc w:val="left"/>
              <w:rPr>
                <w:rFonts w:ascii="宋体" w:hAnsi="宋体" w:cs="Arial"/>
                <w:color w:val="auto"/>
                <w:highlight w:val="none"/>
              </w:rPr>
            </w:pPr>
            <w:r>
              <w:rPr>
                <w:rFonts w:hint="eastAsia" w:ascii="宋体" w:hAnsi="宋体" w:cs="Arial"/>
                <w:color w:val="auto"/>
                <w:highlight w:val="none"/>
              </w:rPr>
              <w:t>2</w:t>
            </w:r>
          </w:p>
        </w:tc>
        <w:tc>
          <w:tcPr>
            <w:tcW w:w="128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jc w:val="left"/>
              <w:rPr>
                <w:rFonts w:ascii="宋体" w:hAnsi="宋体" w:cs="Arial"/>
                <w:color w:val="auto"/>
                <w:highlight w:val="none"/>
              </w:rPr>
            </w:pPr>
          </w:p>
        </w:tc>
        <w:tc>
          <w:tcPr>
            <w:tcW w:w="105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jc w:val="left"/>
              <w:rPr>
                <w:rFonts w:ascii="宋体" w:hAnsi="宋体" w:cs="Arial"/>
                <w:color w:val="auto"/>
                <w:highlight w:val="none"/>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jc w:val="left"/>
              <w:rPr>
                <w:rFonts w:ascii="宋体" w:hAnsi="宋体" w:cs="Arial"/>
                <w:color w:val="auto"/>
                <w:highlight w:val="none"/>
              </w:rPr>
            </w:pPr>
          </w:p>
        </w:tc>
        <w:tc>
          <w:tcPr>
            <w:tcW w:w="117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jc w:val="left"/>
              <w:rPr>
                <w:rFonts w:ascii="宋体" w:hAnsi="宋体" w:cs="Arial"/>
                <w:color w:val="auto"/>
                <w:highlight w:val="none"/>
              </w:rPr>
            </w:pPr>
          </w:p>
        </w:tc>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jc w:val="left"/>
              <w:rPr>
                <w:rFonts w:ascii="宋体" w:hAnsi="宋体" w:cs="Arial"/>
                <w:color w:val="auto"/>
                <w:highlight w:val="none"/>
              </w:rPr>
            </w:pPr>
          </w:p>
        </w:tc>
        <w:tc>
          <w:tcPr>
            <w:tcW w:w="90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jc w:val="left"/>
              <w:rPr>
                <w:rFonts w:ascii="宋体" w:hAnsi="宋体" w:cs="Arial"/>
                <w:color w:val="auto"/>
                <w:highlight w:val="none"/>
              </w:rPr>
            </w:pPr>
          </w:p>
        </w:tc>
        <w:tc>
          <w:tcPr>
            <w:tcW w:w="105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jc w:val="left"/>
              <w:rPr>
                <w:rFonts w:ascii="宋体" w:hAnsi="宋体" w:cs="Arial"/>
                <w:color w:val="auto"/>
                <w:highlight w:val="none"/>
              </w:rPr>
            </w:pPr>
          </w:p>
        </w:tc>
        <w:tc>
          <w:tcPr>
            <w:tcW w:w="144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jc w:val="left"/>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jc w:val="left"/>
              <w:rPr>
                <w:rFonts w:ascii="宋体" w:hAnsi="宋体" w:cs="Arial"/>
                <w:color w:val="auto"/>
                <w:highlight w:val="none"/>
              </w:rPr>
            </w:pPr>
            <w:r>
              <w:rPr>
                <w:rFonts w:hint="eastAsia" w:ascii="宋体" w:hAnsi="宋体" w:cs="Arial"/>
                <w:color w:val="auto"/>
                <w:highlight w:val="none"/>
              </w:rPr>
              <w:t>…</w:t>
            </w:r>
          </w:p>
        </w:tc>
        <w:tc>
          <w:tcPr>
            <w:tcW w:w="128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jc w:val="left"/>
              <w:rPr>
                <w:rFonts w:ascii="宋体" w:hAnsi="宋体" w:cs="Arial"/>
                <w:color w:val="auto"/>
                <w:highlight w:val="none"/>
              </w:rPr>
            </w:pPr>
          </w:p>
        </w:tc>
        <w:tc>
          <w:tcPr>
            <w:tcW w:w="105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jc w:val="left"/>
              <w:rPr>
                <w:rFonts w:ascii="宋体" w:hAnsi="宋体" w:cs="Arial"/>
                <w:color w:val="auto"/>
                <w:highlight w:val="none"/>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jc w:val="left"/>
              <w:rPr>
                <w:rFonts w:ascii="宋体" w:hAnsi="宋体" w:cs="Arial"/>
                <w:color w:val="auto"/>
                <w:highlight w:val="none"/>
              </w:rPr>
            </w:pPr>
          </w:p>
        </w:tc>
        <w:tc>
          <w:tcPr>
            <w:tcW w:w="117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jc w:val="left"/>
              <w:rPr>
                <w:rFonts w:ascii="宋体" w:hAnsi="宋体" w:cs="Arial"/>
                <w:color w:val="auto"/>
                <w:highlight w:val="none"/>
              </w:rPr>
            </w:pPr>
          </w:p>
        </w:tc>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jc w:val="left"/>
              <w:rPr>
                <w:rFonts w:ascii="宋体" w:hAnsi="宋体" w:cs="Arial"/>
                <w:color w:val="auto"/>
                <w:highlight w:val="none"/>
              </w:rPr>
            </w:pPr>
          </w:p>
        </w:tc>
        <w:tc>
          <w:tcPr>
            <w:tcW w:w="90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jc w:val="left"/>
              <w:rPr>
                <w:rFonts w:ascii="宋体" w:hAnsi="宋体" w:cs="Arial"/>
                <w:color w:val="auto"/>
                <w:highlight w:val="none"/>
              </w:rPr>
            </w:pPr>
          </w:p>
        </w:tc>
        <w:tc>
          <w:tcPr>
            <w:tcW w:w="105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jc w:val="left"/>
              <w:rPr>
                <w:rFonts w:ascii="宋体" w:hAnsi="宋体" w:cs="Arial"/>
                <w:color w:val="auto"/>
                <w:highlight w:val="none"/>
              </w:rPr>
            </w:pPr>
          </w:p>
        </w:tc>
        <w:tc>
          <w:tcPr>
            <w:tcW w:w="144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jc w:val="left"/>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9853" w:type="dxa"/>
            <w:gridSpan w:val="9"/>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jc w:val="left"/>
              <w:rPr>
                <w:rFonts w:ascii="宋体" w:hAnsi="宋体" w:cs="Arial"/>
                <w:color w:val="auto"/>
                <w:highlight w:val="none"/>
                <w:u w:val="single"/>
              </w:rPr>
            </w:pPr>
            <w:r>
              <w:rPr>
                <w:rFonts w:hint="eastAsia" w:ascii="宋体" w:hAnsi="宋体" w:cs="Arial"/>
                <w:color w:val="auto"/>
                <w:highlight w:val="none"/>
              </w:rPr>
              <w:t>人民币合计金额（大写）（小写）</w:t>
            </w:r>
          </w:p>
        </w:tc>
      </w:tr>
    </w:tbl>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合同合计金额包括投标货物（包括备品备件、专用工具等）的价格（包括已在中国国内的进口货物完税后的仓库交货价、展室交货价或货架交货价）或完成本合同所需的服务及配套人工、设备产生的费用，投标货物运输（含保险）、安装（如有）、调试、检验、技术服务、培训和招标文件要求提供的所有伴随服务、工程等费用和税费。</w:t>
      </w:r>
    </w:p>
    <w:p>
      <w:pPr>
        <w:adjustRightInd w:val="0"/>
        <w:snapToGrid w:val="0"/>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第二条　质量要求</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1.乙方所提供的产品名称、商标品牌、生产厂家(生产制造商)、规格型号、技术参数等质量必须与招标文件规定及投标文件承诺相一致。乙方提供的节能和环保产品必须是列入政府采购品目清单的产品。</w:t>
      </w:r>
    </w:p>
    <w:p>
      <w:pPr>
        <w:adjustRightInd w:val="0"/>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2.乙方所提供的货物必须是全新、未使用的原装产品，且在正常安装、使用和保养条件下，其使用寿命期内各项指标均达到招标文件规定或者投标文件承诺的质量要求。</w:t>
      </w:r>
    </w:p>
    <w:p>
      <w:pPr>
        <w:adjustRightInd w:val="0"/>
        <w:snapToGrid w:val="0"/>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第三条　权利保证</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1.乙方应保证所提供货物在使用时不会侵犯任何第三方的专利权、商标权、外观专利或者其他权利。</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2.乙方应按招标文件规定或者投标文件承诺的时间向甲方提供使用货物的有关技术资料。</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没有甲方事先书面同意，乙方不得将由甲方提供的有关合同或者任何合同条文、规格、计划、图纸、样品或者资料提供给与履行本合同无关的任何其他人。即使向履行本合同有关的人员提供，也应注意保密并限于履行合同的必需范围。</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4.乙方保证将要交付的货物的所有权完全属于乙方且无任何抵押、质押、查封等产权瑕疵。</w:t>
      </w:r>
    </w:p>
    <w:p>
      <w:pPr>
        <w:adjustRightInd w:val="0"/>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第四条　包装和运输</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1.乙方提供的货物均应按招标文件规定或者投标文件承诺的要求的包装材料、包装标准、包装方式进行包装，每一包装单元内应附详细的装箱单和质量合格证。</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2.货物的运输方式：</w:t>
      </w:r>
      <w:r>
        <w:rPr>
          <w:rFonts w:hint="eastAsia" w:ascii="宋体" w:hAnsi="宋体" w:cs="宋体"/>
          <w:color w:val="auto"/>
          <w:szCs w:val="21"/>
          <w:highlight w:val="none"/>
          <w:u w:val="single"/>
        </w:rPr>
        <w:t>乙方自定</w:t>
      </w:r>
      <w:r>
        <w:rPr>
          <w:rFonts w:hint="eastAsia" w:ascii="宋体" w:hAnsi="宋体" w:cs="宋体"/>
          <w:color w:val="auto"/>
          <w:szCs w:val="21"/>
          <w:highlight w:val="none"/>
        </w:rPr>
        <w:t>。</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3.乙方负责货物运输，货物运输合理损耗及计算方法：</w:t>
      </w:r>
      <w:r>
        <w:rPr>
          <w:rFonts w:hint="eastAsia" w:ascii="宋体" w:hAnsi="宋体" w:cs="宋体"/>
          <w:color w:val="auto"/>
          <w:szCs w:val="21"/>
          <w:highlight w:val="none"/>
          <w:u w:val="single"/>
        </w:rPr>
        <w:t>乙方负责</w:t>
      </w:r>
      <w:r>
        <w:rPr>
          <w:rFonts w:hint="eastAsia" w:ascii="宋体" w:hAnsi="宋体" w:cs="宋体"/>
          <w:color w:val="auto"/>
          <w:szCs w:val="21"/>
          <w:highlight w:val="none"/>
        </w:rPr>
        <w:t>。</w:t>
      </w:r>
    </w:p>
    <w:p>
      <w:pPr>
        <w:adjustRightInd w:val="0"/>
        <w:snapToGrid w:val="0"/>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第五条　交付和现场初步验收</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1.交付时间：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。交付地点：</w:t>
      </w:r>
      <w:r>
        <w:rPr>
          <w:rFonts w:hint="eastAsia" w:ascii="宋体" w:hAnsi="宋体" w:cs="宋体"/>
          <w:color w:val="auto"/>
          <w:szCs w:val="21"/>
          <w:highlight w:val="none"/>
          <w:u w:val="single"/>
        </w:rPr>
        <w:t>广西区内甲方指定地点</w:t>
      </w:r>
      <w:r>
        <w:rPr>
          <w:rFonts w:hint="eastAsia" w:ascii="宋体" w:hAnsi="宋体" w:cs="宋体"/>
          <w:color w:val="auto"/>
          <w:szCs w:val="21"/>
          <w:highlight w:val="none"/>
        </w:rPr>
        <w:t>。</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2.乙方提供不符合招标文件规定或者投标文件承诺的和本合同规定的货物，甲方有权拒绝接受。</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乙方应将所提供货物的装箱清单、用户手册、原厂保修卡、随机资料、工具和备品、备件等交付给甲方，货物属于进口产品的，供货时应同时附上中文使用说明书，如有缺失应在合理的规定时间内补齐，否则视为逾期交货。</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4.甲方应当在到货后五个工作日内</w:t>
      </w:r>
      <w:r>
        <w:rPr>
          <w:rFonts w:hint="eastAsia" w:ascii="宋体" w:hAnsi="宋体" w:cs="宋体"/>
          <w:color w:val="auto"/>
          <w:highlight w:val="none"/>
        </w:rPr>
        <w:t>对乙方提交的货物依据招标文件上的技术规格要求和国家有关质量标准</w:t>
      </w:r>
      <w:r>
        <w:rPr>
          <w:rFonts w:hint="eastAsia" w:ascii="宋体" w:hAnsi="宋体" w:cs="宋体"/>
          <w:color w:val="auto"/>
          <w:szCs w:val="21"/>
          <w:highlight w:val="none"/>
        </w:rPr>
        <w:t>进行</w:t>
      </w:r>
      <w:r>
        <w:rPr>
          <w:rFonts w:hint="eastAsia" w:ascii="宋体" w:hAnsi="宋体" w:cs="宋体"/>
          <w:color w:val="auto"/>
          <w:highlight w:val="none"/>
        </w:rPr>
        <w:t>现场</w:t>
      </w:r>
      <w:r>
        <w:rPr>
          <w:rFonts w:hint="eastAsia" w:ascii="宋体" w:hAnsi="宋体" w:cs="宋体"/>
          <w:color w:val="auto"/>
          <w:szCs w:val="21"/>
          <w:highlight w:val="none"/>
        </w:rPr>
        <w:t>初步验收，</w:t>
      </w:r>
      <w:r>
        <w:rPr>
          <w:rFonts w:hint="eastAsia" w:ascii="宋体" w:hAnsi="宋体" w:cs="宋体"/>
          <w:color w:val="auto"/>
          <w:highlight w:val="none"/>
        </w:rPr>
        <w:t>外观、说明书符合招标文件技术要求的，给予签收，初步验收不合格的不予签收。甲方</w:t>
      </w:r>
      <w:r>
        <w:rPr>
          <w:rFonts w:hint="eastAsia" w:ascii="宋体" w:hAnsi="宋体" w:cs="宋体"/>
          <w:color w:val="auto"/>
          <w:szCs w:val="21"/>
          <w:highlight w:val="none"/>
        </w:rPr>
        <w:t>逾期不验收的，乙方可视同初步验收合格。验收合格后由甲乙双方签署货物验收单并加盖甲方公章，甲乙双方各执一份。</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w:t>
      </w:r>
      <w:r>
        <w:rPr>
          <w:rFonts w:hint="eastAsia" w:ascii="宋体" w:hAnsi="宋体" w:cs="宋体"/>
          <w:color w:val="auto"/>
          <w:highlight w:val="none"/>
        </w:rPr>
        <w:t xml:space="preserve"> 对技术复杂的货物，甲方应请国家认可的专业检测机构参与现场初步验收。</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6.若甲方委托采购代理机构组织</w:t>
      </w:r>
      <w:r>
        <w:rPr>
          <w:rFonts w:hint="eastAsia" w:ascii="宋体" w:hAnsi="宋体" w:cs="宋体"/>
          <w:color w:val="auto"/>
          <w:highlight w:val="none"/>
        </w:rPr>
        <w:t>现场初步验收的</w:t>
      </w:r>
      <w:r>
        <w:rPr>
          <w:rFonts w:hint="eastAsia" w:ascii="宋体" w:hAnsi="宋体" w:cs="宋体"/>
          <w:color w:val="auto"/>
          <w:szCs w:val="21"/>
          <w:highlight w:val="none"/>
        </w:rPr>
        <w:t>，其验收时间以该项目验收方案确定的验收时间为准，验收结果以该项目验收报告结论为准。在验收过程中发现乙方有违约问题，可暂缓资金结算，待违约问题解决后，方可办理资金结算事宜。</w:t>
      </w:r>
    </w:p>
    <w:p>
      <w:pPr>
        <w:adjustRightInd w:val="0"/>
        <w:snapToGrid w:val="0"/>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7</w:t>
      </w:r>
      <w:r>
        <w:rPr>
          <w:rFonts w:hint="eastAsia" w:ascii="宋体" w:hAnsi="宋体" w:cs="宋体"/>
          <w:color w:val="auto"/>
          <w:szCs w:val="21"/>
          <w:highlight w:val="none"/>
        </w:rPr>
        <w:t>.甲方对验收有异议的，在验收后五个工作日内以书面形式向乙方提出，乙方应自收到甲方书面异议后</w:t>
      </w:r>
      <w:r>
        <w:rPr>
          <w:rFonts w:hint="eastAsia" w:ascii="宋体" w:hAnsi="宋体" w:cs="宋体"/>
          <w:color w:val="auto"/>
          <w:szCs w:val="21"/>
          <w:highlight w:val="none"/>
          <w:u w:val="single"/>
        </w:rPr>
        <w:t>2</w:t>
      </w:r>
      <w:r>
        <w:rPr>
          <w:rFonts w:hint="eastAsia" w:ascii="宋体" w:hAnsi="宋体" w:cs="宋体"/>
          <w:color w:val="auto"/>
          <w:szCs w:val="21"/>
          <w:highlight w:val="none"/>
        </w:rPr>
        <w:t>日内及时予以解决。</w:t>
      </w:r>
    </w:p>
    <w:p>
      <w:pPr>
        <w:adjustRightInd w:val="0"/>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第六条　安装和培训</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1.甲方应提供必要安装条件（如场地、电源、水源等）。</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2.乙方负责甲方有关人员的培训。培训时间：</w:t>
      </w:r>
      <w:r>
        <w:rPr>
          <w:rFonts w:hint="eastAsia" w:ascii="宋体" w:hAnsi="宋体" w:cs="宋体"/>
          <w:color w:val="auto"/>
          <w:szCs w:val="21"/>
          <w:highlight w:val="none"/>
          <w:u w:val="single"/>
        </w:rPr>
        <w:t>由甲方指定</w:t>
      </w:r>
      <w:r>
        <w:rPr>
          <w:rFonts w:hint="eastAsia" w:ascii="宋体" w:hAnsi="宋体" w:cs="宋体"/>
          <w:color w:val="auto"/>
          <w:szCs w:val="21"/>
          <w:highlight w:val="none"/>
        </w:rPr>
        <w:t>、地点：</w:t>
      </w:r>
      <w:r>
        <w:rPr>
          <w:rFonts w:hint="eastAsia" w:ascii="宋体" w:hAnsi="宋体" w:cs="宋体"/>
          <w:color w:val="auto"/>
          <w:szCs w:val="21"/>
          <w:highlight w:val="none"/>
          <w:u w:val="single"/>
        </w:rPr>
        <w:t>由甲方指定</w:t>
      </w:r>
      <w:r>
        <w:rPr>
          <w:rFonts w:hint="eastAsia" w:ascii="宋体" w:hAnsi="宋体" w:cs="宋体"/>
          <w:color w:val="auto"/>
          <w:szCs w:val="21"/>
          <w:highlight w:val="none"/>
        </w:rPr>
        <w:t>。</w:t>
      </w:r>
    </w:p>
    <w:p>
      <w:pPr>
        <w:adjustRightInd w:val="0"/>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第七条  售后服务、质保期</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1.乙方应按照国家有关法律法规和“三包”规定以及本合同所附的服务承诺，为甲方提供售后服务。</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2.货物质保期：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3.乙方提供的服务承诺和售后服务及保修期责任等其它具体约定事项。（见合同附件）</w:t>
      </w:r>
    </w:p>
    <w:p>
      <w:pPr>
        <w:adjustRightInd w:val="0"/>
        <w:snapToGrid w:val="0"/>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第八条　付款方式</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1.</w:t>
      </w:r>
      <w:r>
        <w:rPr>
          <w:rFonts w:hint="eastAsia"/>
          <w:color w:val="auto"/>
          <w:highlight w:val="none"/>
        </w:rPr>
        <w:t xml:space="preserve"> </w:t>
      </w:r>
      <w:r>
        <w:rPr>
          <w:rFonts w:hint="eastAsia" w:ascii="宋体" w:hAnsi="宋体" w:cs="宋体"/>
          <w:color w:val="auto"/>
          <w:highlight w:val="none"/>
        </w:rPr>
        <w:t>当采购数量与实际使用数量不一致时，乙方应根据实际使用量供货，合同的最终结算金额按实际使用量乘以成交单价进行计算，但增加的金额不能超过原合同金额的10%。</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bCs/>
          <w:color w:val="auto"/>
          <w:highlight w:val="none"/>
        </w:rPr>
        <w:t>2.</w:t>
      </w:r>
      <w:r>
        <w:rPr>
          <w:rFonts w:hint="eastAsia" w:ascii="宋体" w:hAnsi="宋体" w:cs="宋体"/>
          <w:color w:val="auto"/>
          <w:highlight w:val="none"/>
        </w:rPr>
        <w:t>付款方式：自签订合同之日起十个工作日内，甲方支付合同款总额30%作为预付款，交货验收合格后十个工作日内，甲方支付剩余款项。乙方在收到每笔合同款前三个工作日内提供相应金额的真实、合法、有效正式发票。</w:t>
      </w:r>
    </w:p>
    <w:p>
      <w:pPr>
        <w:adjustRightInd w:val="0"/>
        <w:snapToGrid w:val="0"/>
        <w:spacing w:line="360" w:lineRule="auto"/>
        <w:ind w:left="-61" w:leftChars="-29" w:firstLine="517" w:firstLineChars="245"/>
        <w:rPr>
          <w:rFonts w:ascii="宋体" w:hAnsi="宋体" w:cs="宋体"/>
          <w:b/>
          <w:color w:val="auto"/>
          <w:szCs w:val="21"/>
          <w:highlight w:val="none"/>
        </w:rPr>
      </w:pPr>
      <w:r>
        <w:rPr>
          <w:rFonts w:hint="eastAsia" w:ascii="宋体" w:hAnsi="宋体" w:cs="宋体"/>
          <w:b/>
          <w:color w:val="auto"/>
          <w:szCs w:val="21"/>
          <w:highlight w:val="none"/>
        </w:rPr>
        <w:t>第九条　履约保证金</w:t>
      </w:r>
    </w:p>
    <w:p>
      <w:pPr>
        <w:spacing w:line="360" w:lineRule="auto"/>
        <w:ind w:firstLine="422" w:firstLineChars="200"/>
        <w:rPr>
          <w:rFonts w:ascii="宋体" w:hAnsi="宋体" w:cs="宋体"/>
          <w:b/>
          <w:bCs/>
          <w:color w:val="auto"/>
          <w:szCs w:val="21"/>
          <w:highlight w:val="none"/>
        </w:rPr>
      </w:pPr>
      <w:r>
        <w:rPr>
          <w:rFonts w:ascii="Segoe UI Symbol" w:hAnsi="Segoe UI Symbol" w:cs="Segoe UI Symbol"/>
          <w:b/>
          <w:bCs/>
          <w:color w:val="auto"/>
          <w:szCs w:val="21"/>
          <w:highlight w:val="none"/>
        </w:rPr>
        <w:t>☑</w:t>
      </w:r>
      <w:r>
        <w:rPr>
          <w:rFonts w:hint="eastAsia" w:ascii="宋体" w:hAnsi="宋体" w:cs="宋体"/>
          <w:b/>
          <w:bCs/>
          <w:color w:val="auto"/>
          <w:szCs w:val="21"/>
          <w:highlight w:val="none"/>
        </w:rPr>
        <w:t xml:space="preserve"> 本项目不需要缴</w:t>
      </w:r>
      <w:r>
        <w:rPr>
          <w:rFonts w:hint="eastAsia" w:ascii="宋体" w:hAnsi="宋体" w:cs="宋体"/>
          <w:b/>
          <w:bCs/>
          <w:color w:val="auto"/>
          <w:kern w:val="0"/>
          <w:szCs w:val="21"/>
          <w:highlight w:val="none"/>
        </w:rPr>
        <w:t>纳</w:t>
      </w:r>
      <w:r>
        <w:rPr>
          <w:rFonts w:hint="eastAsia" w:ascii="宋体" w:hAnsi="宋体" w:cs="宋体"/>
          <w:b/>
          <w:bCs/>
          <w:color w:val="auto"/>
          <w:szCs w:val="21"/>
          <w:highlight w:val="none"/>
        </w:rPr>
        <w:t>履约保证金。</w:t>
      </w:r>
    </w:p>
    <w:p>
      <w:pPr>
        <w:adjustRightInd w:val="0"/>
        <w:snapToGrid w:val="0"/>
        <w:spacing w:line="360" w:lineRule="auto"/>
        <w:ind w:left="-61" w:firstLine="514"/>
        <w:rPr>
          <w:rFonts w:ascii="宋体" w:hAnsi="宋体" w:cs="宋体"/>
          <w:b/>
          <w:color w:val="auto"/>
          <w:szCs w:val="21"/>
          <w:highlight w:val="none"/>
        </w:rPr>
      </w:pPr>
      <w:r>
        <w:rPr>
          <w:rFonts w:hint="eastAsia" w:ascii="宋体" w:hAnsi="宋体" w:cs="宋体"/>
          <w:b/>
          <w:color w:val="auto"/>
          <w:szCs w:val="21"/>
          <w:highlight w:val="none"/>
        </w:rPr>
        <w:t>第十条  税费</w:t>
      </w:r>
    </w:p>
    <w:p>
      <w:pPr>
        <w:adjustRightInd w:val="0"/>
        <w:snapToGrid w:val="0"/>
        <w:spacing w:line="360" w:lineRule="auto"/>
        <w:ind w:left="-61" w:firstLine="514"/>
        <w:rPr>
          <w:rFonts w:ascii="宋体" w:hAnsi="宋体" w:cs="宋体"/>
          <w:color w:val="auto"/>
          <w:szCs w:val="21"/>
          <w:highlight w:val="none"/>
        </w:rPr>
      </w:pPr>
      <w:r>
        <w:rPr>
          <w:rFonts w:hint="eastAsia" w:ascii="宋体" w:hAnsi="宋体" w:cs="宋体"/>
          <w:color w:val="auto"/>
          <w:szCs w:val="21"/>
          <w:highlight w:val="none"/>
        </w:rPr>
        <w:t>本合同执行中相关的一切税费均由乙方负担，合同另有约定的除外。</w:t>
      </w:r>
    </w:p>
    <w:p>
      <w:pPr>
        <w:adjustRightInd w:val="0"/>
        <w:snapToGrid w:val="0"/>
        <w:spacing w:line="360" w:lineRule="auto"/>
        <w:ind w:left="-61" w:firstLine="514"/>
        <w:rPr>
          <w:rFonts w:ascii="宋体" w:hAnsi="宋体" w:cs="宋体"/>
          <w:color w:val="auto"/>
          <w:szCs w:val="21"/>
          <w:highlight w:val="none"/>
        </w:rPr>
      </w:pPr>
      <w:r>
        <w:rPr>
          <w:rFonts w:hint="eastAsia" w:ascii="宋体" w:hAnsi="宋体" w:cs="宋体"/>
          <w:b/>
          <w:color w:val="auto"/>
          <w:szCs w:val="21"/>
          <w:highlight w:val="none"/>
        </w:rPr>
        <w:t>第十一条  质量保证及售后服务</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bCs/>
          <w:color w:val="auto"/>
          <w:highlight w:val="none"/>
        </w:rPr>
        <w:t>1.</w:t>
      </w:r>
      <w:r>
        <w:rPr>
          <w:rFonts w:hint="eastAsia" w:ascii="宋体" w:hAnsi="宋体" w:cs="宋体"/>
          <w:color w:val="auto"/>
          <w:highlight w:val="none"/>
        </w:rPr>
        <w:t>乙方应按投标文件承诺的产品名称、商标品牌、生产厂家(生产制造商)、规格型号、技术参数、质量标准向甲方提供未经使用的全新产品。不符合要求的，根据实际情况，经双方协商，可按以下办法处理：</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⑴更换：由乙方承担所发生的全部费用。</w:t>
      </w:r>
    </w:p>
    <w:p>
      <w:pPr>
        <w:adjustRightInd w:val="0"/>
        <w:snapToGrid w:val="0"/>
        <w:spacing w:line="360" w:lineRule="auto"/>
        <w:ind w:firstLine="420"/>
        <w:rPr>
          <w:rFonts w:ascii="宋体" w:hAnsi="宋体" w:cs="宋体"/>
          <w:color w:val="auto"/>
          <w:highlight w:val="none"/>
        </w:rPr>
      </w:pPr>
      <w:r>
        <w:rPr>
          <w:rFonts w:hint="eastAsia" w:ascii="宋体" w:hAnsi="宋体" w:cs="宋体"/>
          <w:color w:val="auto"/>
          <w:highlight w:val="none"/>
        </w:rPr>
        <w:t>⑵贬值处理：由甲乙双方合议定价。</w:t>
      </w:r>
    </w:p>
    <w:p>
      <w:pPr>
        <w:adjustRightInd w:val="0"/>
        <w:snapToGrid w:val="0"/>
        <w:spacing w:line="360" w:lineRule="auto"/>
        <w:ind w:left="420" w:leftChars="200"/>
        <w:rPr>
          <w:rFonts w:ascii="宋体" w:hAnsi="宋体" w:cs="宋体"/>
          <w:color w:val="auto"/>
          <w:highlight w:val="none"/>
        </w:rPr>
      </w:pPr>
      <w:r>
        <w:rPr>
          <w:rFonts w:hint="eastAsia" w:ascii="宋体" w:hAnsi="宋体" w:cs="宋体"/>
          <w:color w:val="auto"/>
          <w:highlight w:val="none"/>
        </w:rPr>
        <w:t>⑶退货处理：乙方应退还甲方支付的合同款，同时应承担该货物的直接费用（运输、保险、检验、货款利息及银行手续费等），且自甲方发出的退货通知中载明的取货期间届满之日起货物的毁损、灭失风险由乙方承担。</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2.如在使用过程中发生质量问题，乙方在接到甲方通知后到达甲方现场处理的时间按投标文件承诺为</w:t>
      </w:r>
      <w:r>
        <w:rPr>
          <w:rFonts w:hint="eastAsia" w:ascii="宋体" w:hAnsi="宋体" w:cs="宋体"/>
          <w:color w:val="auto"/>
          <w:szCs w:val="21"/>
          <w:highlight w:val="none"/>
          <w:u w:val="single"/>
        </w:rPr>
        <w:t xml:space="preserve">       </w:t>
      </w:r>
      <w:r>
        <w:rPr>
          <w:rFonts w:hint="eastAsia" w:ascii="宋体" w:hAnsi="宋体" w:cs="宋体"/>
          <w:color w:val="auto"/>
          <w:highlight w:val="none"/>
        </w:rPr>
        <w:t>小时内。</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3.在质保期内，乙方应对货物出现的质量及安全问题负责处理解决并承担一切费用。</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4.上述的货物质保期按</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，因人为因素出现的故障不在免费保修范围内。超过保修期的机器设备，终身维修，维修时只收部件成本费。</w:t>
      </w:r>
    </w:p>
    <w:p>
      <w:pPr>
        <w:adjustRightInd w:val="0"/>
        <w:snapToGrid w:val="0"/>
        <w:spacing w:line="360" w:lineRule="auto"/>
        <w:ind w:left="-61" w:firstLine="514"/>
        <w:rPr>
          <w:rFonts w:ascii="宋体" w:hAnsi="宋体" w:cs="宋体"/>
          <w:color w:val="auto"/>
          <w:szCs w:val="21"/>
          <w:highlight w:val="none"/>
        </w:rPr>
      </w:pPr>
      <w:r>
        <w:rPr>
          <w:rFonts w:hint="eastAsia" w:ascii="宋体" w:hAnsi="宋体" w:cs="宋体"/>
          <w:b/>
          <w:color w:val="auto"/>
          <w:szCs w:val="21"/>
          <w:highlight w:val="none"/>
        </w:rPr>
        <w:t>第十二条  调试和最终验收</w:t>
      </w:r>
    </w:p>
    <w:p>
      <w:pPr>
        <w:adjustRightInd w:val="0"/>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1.甲方应当在安装、调试完后七个工作日内进行最终验收。</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2.乙方交货前应对产品作出全面检查和对验收文件进行整理，并列出清单，作为甲方收货验收和使用的技术条件依据，检验的结果应随货物交甲方。</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3.甲方对乙方提供的货物在使用前进行调试时，乙方需负责安装并培训甲方的使用操作人员，并协助甲方一起调试，直到符合技术要求，甲方才做最终验收。</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4.对技术复杂的货物，甲方应请国家认可的专业检测机构参与最终验收，并由其出具质量检测报告。</w:t>
      </w:r>
    </w:p>
    <w:p>
      <w:pPr>
        <w:adjustRightInd w:val="0"/>
        <w:snapToGrid w:val="0"/>
        <w:spacing w:line="360" w:lineRule="auto"/>
        <w:ind w:left="-61" w:firstLine="514"/>
        <w:rPr>
          <w:rFonts w:ascii="宋体" w:hAnsi="宋体" w:cs="宋体"/>
          <w:color w:val="auto"/>
          <w:szCs w:val="21"/>
          <w:highlight w:val="none"/>
        </w:rPr>
      </w:pPr>
      <w:r>
        <w:rPr>
          <w:rFonts w:hint="eastAsia" w:ascii="宋体" w:hAnsi="宋体" w:cs="宋体"/>
          <w:color w:val="auto"/>
          <w:szCs w:val="21"/>
          <w:highlight w:val="none"/>
        </w:rPr>
        <w:t>5. 最终验收时乙方必须在现场，验收完毕后作出验收结果报告。验收费用由乙方负责。</w:t>
      </w:r>
    </w:p>
    <w:p>
      <w:pPr>
        <w:adjustRightInd w:val="0"/>
        <w:snapToGrid w:val="0"/>
        <w:spacing w:line="360" w:lineRule="auto"/>
        <w:ind w:firstLine="413" w:firstLineChars="196"/>
        <w:rPr>
          <w:rFonts w:ascii="宋体" w:hAnsi="宋体" w:cs="宋体"/>
          <w:b/>
          <w:color w:val="auto"/>
          <w:highlight w:val="none"/>
        </w:rPr>
      </w:pPr>
      <w:r>
        <w:rPr>
          <w:rFonts w:hint="eastAsia" w:ascii="宋体" w:hAnsi="宋体" w:cs="宋体"/>
          <w:b/>
          <w:color w:val="auto"/>
          <w:highlight w:val="none"/>
        </w:rPr>
        <w:t>第十三条  货物包装、发运及运输</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1.乙方应在货物发运前对其进行满足运输距离、防潮、防震、防锈和防破损装卸等要求包装，以保证货物安全运达甲方指定地点。</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2. 使用说明书（货物属于进口产品的，供货时应同时附上中文使用说明书）质量检验证明书、随配附件和工具以及清单一并附于货物内。</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3.乙方在货物发运手续办理完毕后二十四小时内或者货到甲方四十八小时前通知甲方，以准备接货。</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4.货物在验收合格之前发生的所有风险均由乙方承担。</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5.货物在规</w:t>
      </w:r>
      <w:r>
        <w:rPr>
          <w:rFonts w:hint="eastAsia" w:ascii="宋体" w:hAnsi="宋体" w:cs="宋体"/>
          <w:color w:val="auto"/>
          <w:spacing w:val="-8"/>
          <w:highlight w:val="none"/>
        </w:rPr>
        <w:t>定的交付期限内由乙方送达甲方指定的地点视为交付，乙方同时需通知甲方货物已送达。</w:t>
      </w:r>
    </w:p>
    <w:p>
      <w:pPr>
        <w:adjustRightInd w:val="0"/>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第十四条　违约责任</w:t>
      </w:r>
    </w:p>
    <w:p>
      <w:pPr>
        <w:adjustRightInd w:val="0"/>
        <w:snapToGrid w:val="0"/>
        <w:spacing w:line="360" w:lineRule="auto"/>
        <w:ind w:firstLine="388" w:firstLineChars="200"/>
        <w:rPr>
          <w:rFonts w:ascii="宋体" w:hAnsi="宋体" w:cs="宋体"/>
          <w:color w:val="auto"/>
          <w:spacing w:val="-8"/>
          <w:highlight w:val="none"/>
        </w:rPr>
      </w:pPr>
      <w:r>
        <w:rPr>
          <w:rFonts w:hint="eastAsia" w:ascii="宋体" w:hAnsi="宋体" w:cs="宋体"/>
          <w:color w:val="auto"/>
          <w:spacing w:val="-8"/>
          <w:highlight w:val="none"/>
        </w:rPr>
        <w:t>1．乙方所提供的货物规格、技术标准、材料等质量不合格的，应及时更换，更换不及时的按逾期交货处罚；因质量问题甲方不同意接收的或特殊情况甲方同意接收的，乙方应向甲方支付违约货款额5%违约金并赔偿甲方经济损失。</w:t>
      </w:r>
    </w:p>
    <w:p>
      <w:pPr>
        <w:adjustRightInd w:val="0"/>
        <w:snapToGrid w:val="0"/>
        <w:spacing w:line="360" w:lineRule="auto"/>
        <w:ind w:firstLine="388" w:firstLineChars="200"/>
        <w:rPr>
          <w:rFonts w:ascii="宋体" w:hAnsi="宋体" w:cs="宋体"/>
          <w:color w:val="auto"/>
          <w:spacing w:val="-8"/>
          <w:highlight w:val="none"/>
        </w:rPr>
      </w:pPr>
      <w:r>
        <w:rPr>
          <w:rFonts w:hint="eastAsia" w:ascii="宋体" w:hAnsi="宋体" w:cs="宋体"/>
          <w:color w:val="auto"/>
          <w:spacing w:val="-8"/>
          <w:highlight w:val="none"/>
        </w:rPr>
        <w:t>2．乙方提供的货物如侵犯了第三方合法权益而引发的任何纠纷或诉讼，均由乙方负责交涉并承担全部责任，给甲方造成损失的，还需要赔偿甲方的损失（包括但不限于诉讼费、律师 费、差旅费、 财产保全费等）。</w:t>
      </w:r>
    </w:p>
    <w:p>
      <w:pPr>
        <w:adjustRightInd w:val="0"/>
        <w:snapToGrid w:val="0"/>
        <w:spacing w:line="360" w:lineRule="auto"/>
        <w:ind w:firstLine="388" w:firstLineChars="200"/>
        <w:rPr>
          <w:rFonts w:ascii="宋体" w:hAnsi="宋体" w:cs="宋体"/>
          <w:color w:val="auto"/>
          <w:spacing w:val="-8"/>
          <w:highlight w:val="none"/>
        </w:rPr>
      </w:pPr>
      <w:r>
        <w:rPr>
          <w:rFonts w:hint="eastAsia" w:ascii="宋体" w:hAnsi="宋体" w:cs="宋体"/>
          <w:color w:val="auto"/>
          <w:spacing w:val="-8"/>
          <w:highlight w:val="none"/>
        </w:rPr>
        <w:t>3．因包装、运输引起的货物损坏，按质量不合格处罚。</w:t>
      </w:r>
    </w:p>
    <w:p>
      <w:pPr>
        <w:adjustRightInd w:val="0"/>
        <w:snapToGrid w:val="0"/>
        <w:spacing w:line="360" w:lineRule="auto"/>
        <w:ind w:firstLine="388" w:firstLineChars="200"/>
        <w:rPr>
          <w:rFonts w:ascii="宋体" w:hAnsi="宋体" w:cs="宋体"/>
          <w:color w:val="auto"/>
          <w:spacing w:val="-8"/>
          <w:highlight w:val="none"/>
        </w:rPr>
      </w:pPr>
      <w:r>
        <w:rPr>
          <w:rFonts w:hint="eastAsia" w:ascii="宋体" w:hAnsi="宋体" w:cs="宋体"/>
          <w:color w:val="auto"/>
          <w:spacing w:val="-8"/>
          <w:highlight w:val="none"/>
        </w:rPr>
        <w:t>4．甲方无故延期接收货物、乙方逾期交货的，每天向对方偿付违约货款额3‰违约金，但违约金累计不得超过违约货款额5%，超过15天对方有权解除合同，违约方承担因此给对方造成经济损失。若为甲方解除合同的，乙方应在合同解除之日起五日内全额无息退还甲方已付款项；若为乙方解除合同的，乙方有权收回已交付的货物，运费由甲方承担，应在合同解除之日起五日内全额无息退还甲方已付款项。若甲方延期付货款的，每天向乙方偿付延期货款额3‰逾期滞纳金，但滞纳金累计不得超过延期货款额的5%。</w:t>
      </w:r>
    </w:p>
    <w:p>
      <w:pPr>
        <w:adjustRightInd w:val="0"/>
        <w:snapToGrid w:val="0"/>
        <w:spacing w:line="360" w:lineRule="auto"/>
        <w:ind w:firstLine="388" w:firstLineChars="200"/>
        <w:rPr>
          <w:rFonts w:ascii="宋体" w:hAnsi="宋体" w:cs="宋体"/>
          <w:color w:val="auto"/>
          <w:spacing w:val="-8"/>
          <w:highlight w:val="none"/>
        </w:rPr>
      </w:pPr>
      <w:r>
        <w:rPr>
          <w:rFonts w:hint="eastAsia" w:ascii="宋体" w:hAnsi="宋体" w:cs="宋体"/>
          <w:color w:val="auto"/>
          <w:spacing w:val="-8"/>
          <w:highlight w:val="none"/>
        </w:rPr>
        <w:t>5．乙方未按本合同和响应文件中规定的服务承诺提供售后服务的，乙方应按本合同合计金额 5%向甲方支付违约金。</w:t>
      </w:r>
    </w:p>
    <w:p>
      <w:pPr>
        <w:adjustRightInd w:val="0"/>
        <w:snapToGrid w:val="0"/>
        <w:spacing w:line="360" w:lineRule="auto"/>
        <w:ind w:firstLine="388" w:firstLineChars="200"/>
        <w:rPr>
          <w:rFonts w:ascii="宋体" w:hAnsi="宋体" w:cs="宋体"/>
          <w:color w:val="auto"/>
          <w:spacing w:val="-8"/>
          <w:highlight w:val="none"/>
        </w:rPr>
      </w:pPr>
      <w:r>
        <w:rPr>
          <w:rFonts w:hint="eastAsia" w:ascii="宋体" w:hAnsi="宋体" w:cs="宋体"/>
          <w:color w:val="auto"/>
          <w:spacing w:val="-8"/>
          <w:highlight w:val="none"/>
        </w:rPr>
        <w:t>6．乙方提供的货物在质量保证期内，因设计、工艺或材料的缺陷和其它质量原因造成的问题，由乙方负责，费用由乙方支付。</w:t>
      </w:r>
    </w:p>
    <w:p>
      <w:pPr>
        <w:adjustRightInd w:val="0"/>
        <w:snapToGrid w:val="0"/>
        <w:spacing w:line="360" w:lineRule="auto"/>
        <w:ind w:firstLine="380" w:firstLineChars="196"/>
        <w:rPr>
          <w:rFonts w:ascii="宋体" w:hAnsi="宋体" w:cs="宋体"/>
          <w:b/>
          <w:color w:val="auto"/>
          <w:highlight w:val="none"/>
        </w:rPr>
      </w:pPr>
      <w:r>
        <w:rPr>
          <w:rFonts w:hint="eastAsia" w:ascii="宋体" w:hAnsi="宋体" w:cs="宋体"/>
          <w:color w:val="auto"/>
          <w:spacing w:val="-8"/>
          <w:highlight w:val="none"/>
        </w:rPr>
        <w:t>7．其它违约行为按违约货款额5%收取违约金并赔偿经济损失。</w:t>
      </w:r>
    </w:p>
    <w:p>
      <w:pPr>
        <w:adjustRightInd w:val="0"/>
        <w:snapToGrid w:val="0"/>
        <w:spacing w:line="360" w:lineRule="auto"/>
        <w:ind w:firstLine="413" w:firstLineChars="196"/>
        <w:rPr>
          <w:rFonts w:ascii="宋体" w:hAnsi="宋体" w:cs="宋体"/>
          <w:b/>
          <w:color w:val="auto"/>
          <w:highlight w:val="none"/>
        </w:rPr>
      </w:pPr>
      <w:r>
        <w:rPr>
          <w:rFonts w:hint="eastAsia" w:ascii="宋体" w:hAnsi="宋体" w:cs="宋体"/>
          <w:b/>
          <w:color w:val="auto"/>
          <w:highlight w:val="none"/>
        </w:rPr>
        <w:t>第十五条  不可抗力事件处理</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1.在合同有效期内，任何一方因不可抗力事件导致不能履行合同，则合同履行期可延长，其延长期与不可抗力影响期相同。</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2.不可抗力事件发生后，应立即通知对方，并寄送有关权威机构出具的证明。</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3.不可抗力事件延续一百二十天以上，双方应通过友好协商，确定是否继续履行合同。</w:t>
      </w:r>
    </w:p>
    <w:p>
      <w:pPr>
        <w:adjustRightInd w:val="0"/>
        <w:snapToGrid w:val="0"/>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第十六条  合同争议解决</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1.甲、乙双方因技术参数、质量及货物是否符合合同约定等问题发生争议的，应邀请国家认可的质量检测机构对货物质量进行鉴定。货物符合标准的，鉴定费由甲方承担。货物不符合标准的，鉴定费由乙方承担。</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2.因履行本合同引起的或者与本合同有关的争议，甲乙双方应首先通过友好协商解决，如果协商不能解决，向甲方所在地有管辖权的人民法院提起诉讼。</w:t>
      </w:r>
    </w:p>
    <w:p>
      <w:pPr>
        <w:adjustRightInd w:val="0"/>
        <w:snapToGrid w:val="0"/>
        <w:spacing w:line="360" w:lineRule="auto"/>
        <w:ind w:left="-61" w:firstLine="514"/>
        <w:rPr>
          <w:rFonts w:ascii="宋体" w:hAnsi="宋体" w:cs="宋体"/>
          <w:color w:val="auto"/>
          <w:szCs w:val="21"/>
          <w:highlight w:val="none"/>
        </w:rPr>
      </w:pPr>
      <w:r>
        <w:rPr>
          <w:rFonts w:hint="eastAsia" w:ascii="宋体" w:hAnsi="宋体" w:cs="宋体"/>
          <w:color w:val="auto"/>
          <w:szCs w:val="21"/>
          <w:highlight w:val="none"/>
        </w:rPr>
        <w:t>3.诉讼期间，本合同继续履行。</w:t>
      </w:r>
    </w:p>
    <w:p>
      <w:pPr>
        <w:adjustRightInd w:val="0"/>
        <w:snapToGrid w:val="0"/>
        <w:spacing w:line="360" w:lineRule="auto"/>
        <w:ind w:firstLine="413" w:firstLineChars="196"/>
        <w:rPr>
          <w:rFonts w:ascii="宋体" w:hAnsi="宋体" w:cs="宋体"/>
          <w:b/>
          <w:color w:val="auto"/>
          <w:highlight w:val="none"/>
        </w:rPr>
      </w:pPr>
      <w:r>
        <w:rPr>
          <w:rFonts w:hint="eastAsia" w:ascii="宋体" w:hAnsi="宋体" w:cs="宋体"/>
          <w:b/>
          <w:color w:val="auto"/>
          <w:highlight w:val="none"/>
        </w:rPr>
        <w:t>第十七条  合同生效及其他</w:t>
      </w:r>
    </w:p>
    <w:p>
      <w:pPr>
        <w:adjustRightInd w:val="0"/>
        <w:snapToGrid w:val="0"/>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1. 合同经双方法定代表人或者其委托代理人签字并加盖单位公章后生效（委托代理人签字的需后附法定代表人授权委托书，格式自拟）。</w:t>
      </w:r>
    </w:p>
    <w:p>
      <w:pPr>
        <w:adjustRightInd w:val="0"/>
        <w:snapToGrid w:val="0"/>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2.合同执行中涉及采购资金和采购内容修改或者补充的，须经财政部门审批，并签书面补充协议报财政部门备案，方可作为主合同不可分割的一部分。</w:t>
      </w:r>
    </w:p>
    <w:p>
      <w:pPr>
        <w:adjustRightInd w:val="0"/>
        <w:snapToGrid w:val="0"/>
        <w:spacing w:line="360" w:lineRule="auto"/>
        <w:ind w:left="420" w:leftChars="200"/>
        <w:rPr>
          <w:rFonts w:ascii="宋体" w:hAnsi="宋体" w:cs="宋体"/>
          <w:bCs/>
          <w:color w:val="auto"/>
          <w:highlight w:val="none"/>
        </w:rPr>
      </w:pPr>
      <w:r>
        <w:rPr>
          <w:rFonts w:hint="eastAsia" w:ascii="宋体" w:hAnsi="宋体" w:cs="宋体"/>
          <w:bCs/>
          <w:color w:val="auto"/>
          <w:highlight w:val="none"/>
        </w:rPr>
        <w:t>3.本合同未尽事宜，遵照《中华人民共和国民法典》有关条文执行。</w:t>
      </w:r>
    </w:p>
    <w:p>
      <w:pPr>
        <w:adjustRightInd w:val="0"/>
        <w:snapToGrid w:val="0"/>
        <w:spacing w:line="360" w:lineRule="auto"/>
        <w:ind w:firstLine="422" w:firstLineChars="200"/>
        <w:rPr>
          <w:rFonts w:ascii="宋体" w:hAnsi="宋体" w:cs="宋体"/>
          <w:bCs/>
          <w:color w:val="auto"/>
          <w:szCs w:val="21"/>
          <w:highlight w:val="none"/>
        </w:rPr>
      </w:pPr>
      <w:r>
        <w:rPr>
          <w:rFonts w:hint="eastAsia" w:ascii="宋体" w:hAnsi="宋体" w:cs="宋体"/>
          <w:b/>
          <w:color w:val="auto"/>
          <w:szCs w:val="21"/>
          <w:highlight w:val="none"/>
        </w:rPr>
        <w:t>第十八条　</w:t>
      </w:r>
      <w:r>
        <w:rPr>
          <w:rFonts w:hint="eastAsia" w:ascii="宋体" w:hAnsi="宋体" w:cs="宋体"/>
          <w:bCs/>
          <w:color w:val="auto"/>
          <w:szCs w:val="21"/>
          <w:highlight w:val="none"/>
        </w:rPr>
        <w:t>合同的变更、终止与转让</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 除《中华人民共和国政府采购法》第五十条规定的情形外，本合同一经签订，甲乙双方不得擅自变更、中止或者终止。</w:t>
      </w:r>
    </w:p>
    <w:p>
      <w:pPr>
        <w:adjustRightInd w:val="0"/>
        <w:snapToGrid w:val="0"/>
        <w:spacing w:line="360" w:lineRule="auto"/>
        <w:ind w:left="-61" w:firstLine="514"/>
        <w:rPr>
          <w:rFonts w:ascii="宋体" w:hAnsi="宋体" w:cs="宋体"/>
          <w:color w:val="auto"/>
          <w:szCs w:val="21"/>
          <w:highlight w:val="none"/>
        </w:rPr>
      </w:pPr>
      <w:r>
        <w:rPr>
          <w:rFonts w:hint="eastAsia" w:ascii="宋体" w:hAnsi="宋体" w:cs="宋体"/>
          <w:color w:val="auto"/>
          <w:szCs w:val="21"/>
          <w:highlight w:val="none"/>
        </w:rPr>
        <w:t>2. 乙方不得擅自转让（无进口资格的乙方委托进口货物除外）其应履行的合同义务。</w:t>
      </w:r>
    </w:p>
    <w:p>
      <w:pPr>
        <w:adjustRightInd w:val="0"/>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第十九条　</w:t>
      </w:r>
      <w:r>
        <w:rPr>
          <w:rFonts w:hint="eastAsia" w:ascii="宋体" w:hAnsi="宋体" w:cs="宋体"/>
          <w:color w:val="auto"/>
          <w:spacing w:val="-2"/>
          <w:kern w:val="0"/>
          <w:szCs w:val="21"/>
          <w:highlight w:val="none"/>
        </w:rPr>
        <w:t>本</w:t>
      </w:r>
      <w:r>
        <w:rPr>
          <w:rFonts w:hint="eastAsia" w:ascii="宋体" w:hAnsi="宋体" w:cs="宋体"/>
          <w:color w:val="auto"/>
          <w:kern w:val="0"/>
          <w:szCs w:val="21"/>
          <w:highlight w:val="none"/>
        </w:rPr>
        <w:t>合同书</w:t>
      </w:r>
      <w:r>
        <w:rPr>
          <w:rFonts w:hint="eastAsia" w:ascii="宋体" w:hAnsi="宋体" w:cs="宋体"/>
          <w:color w:val="auto"/>
          <w:spacing w:val="-2"/>
          <w:kern w:val="0"/>
          <w:szCs w:val="21"/>
          <w:highlight w:val="none"/>
        </w:rPr>
        <w:t>与</w:t>
      </w:r>
      <w:r>
        <w:rPr>
          <w:rFonts w:hint="eastAsia" w:ascii="宋体" w:hAnsi="宋体" w:cs="宋体"/>
          <w:color w:val="auto"/>
          <w:kern w:val="0"/>
          <w:szCs w:val="21"/>
          <w:highlight w:val="none"/>
        </w:rPr>
        <w:t>下</w:t>
      </w:r>
      <w:r>
        <w:rPr>
          <w:rFonts w:hint="eastAsia" w:ascii="宋体" w:hAnsi="宋体" w:cs="宋体"/>
          <w:color w:val="auto"/>
          <w:spacing w:val="-2"/>
          <w:kern w:val="0"/>
          <w:szCs w:val="21"/>
          <w:highlight w:val="none"/>
        </w:rPr>
        <w:t>列</w:t>
      </w:r>
      <w:r>
        <w:rPr>
          <w:rFonts w:hint="eastAsia" w:ascii="宋体" w:hAnsi="宋体" w:cs="宋体"/>
          <w:color w:val="auto"/>
          <w:kern w:val="0"/>
          <w:szCs w:val="21"/>
          <w:highlight w:val="none"/>
        </w:rPr>
        <w:t>文</w:t>
      </w:r>
      <w:r>
        <w:rPr>
          <w:rFonts w:hint="eastAsia" w:ascii="宋体" w:hAnsi="宋体" w:cs="宋体"/>
          <w:color w:val="auto"/>
          <w:spacing w:val="-2"/>
          <w:kern w:val="0"/>
          <w:szCs w:val="21"/>
          <w:highlight w:val="none"/>
        </w:rPr>
        <w:t>件一</w:t>
      </w:r>
      <w:r>
        <w:rPr>
          <w:rFonts w:hint="eastAsia" w:ascii="宋体" w:hAnsi="宋体" w:cs="宋体"/>
          <w:color w:val="auto"/>
          <w:kern w:val="0"/>
          <w:szCs w:val="21"/>
          <w:highlight w:val="none"/>
        </w:rPr>
        <w:t>起构</w:t>
      </w:r>
      <w:r>
        <w:rPr>
          <w:rFonts w:hint="eastAsia" w:ascii="宋体" w:hAnsi="宋体" w:cs="宋体"/>
          <w:color w:val="auto"/>
          <w:spacing w:val="-2"/>
          <w:kern w:val="0"/>
          <w:szCs w:val="21"/>
          <w:highlight w:val="none"/>
        </w:rPr>
        <w:t>成</w:t>
      </w:r>
      <w:r>
        <w:rPr>
          <w:rFonts w:hint="eastAsia" w:ascii="宋体" w:hAnsi="宋体" w:cs="宋体"/>
          <w:color w:val="auto"/>
          <w:kern w:val="0"/>
          <w:szCs w:val="21"/>
          <w:highlight w:val="none"/>
        </w:rPr>
        <w:t>合</w:t>
      </w:r>
      <w:r>
        <w:rPr>
          <w:rFonts w:hint="eastAsia" w:ascii="宋体" w:hAnsi="宋体" w:cs="宋体"/>
          <w:color w:val="auto"/>
          <w:spacing w:val="-2"/>
          <w:kern w:val="0"/>
          <w:szCs w:val="21"/>
          <w:highlight w:val="none"/>
        </w:rPr>
        <w:t>同</w:t>
      </w:r>
      <w:r>
        <w:rPr>
          <w:rFonts w:hint="eastAsia" w:ascii="宋体" w:hAnsi="宋体" w:cs="宋体"/>
          <w:color w:val="auto"/>
          <w:kern w:val="0"/>
          <w:szCs w:val="21"/>
          <w:highlight w:val="none"/>
        </w:rPr>
        <w:t>文</w:t>
      </w:r>
      <w:r>
        <w:rPr>
          <w:rFonts w:hint="eastAsia" w:ascii="宋体" w:hAnsi="宋体" w:cs="宋体"/>
          <w:color w:val="auto"/>
          <w:spacing w:val="-2"/>
          <w:kern w:val="0"/>
          <w:szCs w:val="21"/>
          <w:highlight w:val="none"/>
        </w:rPr>
        <w:t>件</w:t>
      </w:r>
    </w:p>
    <w:p>
      <w:pPr>
        <w:adjustRightInd w:val="0"/>
        <w:snapToGrid w:val="0"/>
        <w:spacing w:line="360" w:lineRule="auto"/>
        <w:ind w:left="420" w:leftChars="200"/>
        <w:rPr>
          <w:rFonts w:ascii="宋体" w:hAnsi="宋体" w:cs="宋体"/>
          <w:color w:val="auto"/>
          <w:highlight w:val="none"/>
        </w:rPr>
      </w:pPr>
      <w:r>
        <w:rPr>
          <w:rFonts w:hint="eastAsia" w:ascii="宋体" w:hAnsi="宋体" w:cs="宋体"/>
          <w:color w:val="auto"/>
          <w:highlight w:val="none"/>
        </w:rPr>
        <w:t>1.中标通知书。</w:t>
      </w:r>
    </w:p>
    <w:p>
      <w:pPr>
        <w:adjustRightInd w:val="0"/>
        <w:snapToGrid w:val="0"/>
        <w:spacing w:line="360" w:lineRule="auto"/>
        <w:ind w:left="420" w:leftChars="200"/>
        <w:rPr>
          <w:rFonts w:ascii="宋体" w:hAnsi="宋体" w:cs="宋体"/>
          <w:color w:val="auto"/>
          <w:highlight w:val="none"/>
        </w:rPr>
      </w:pPr>
      <w:r>
        <w:rPr>
          <w:rFonts w:hint="eastAsia" w:ascii="宋体" w:hAnsi="宋体" w:cs="宋体"/>
          <w:color w:val="auto"/>
          <w:highlight w:val="none"/>
        </w:rPr>
        <w:t>2.采购需求。</w:t>
      </w:r>
    </w:p>
    <w:p>
      <w:pPr>
        <w:adjustRightInd w:val="0"/>
        <w:snapToGrid w:val="0"/>
        <w:spacing w:line="360" w:lineRule="auto"/>
        <w:ind w:left="420" w:leftChars="200"/>
        <w:rPr>
          <w:rFonts w:ascii="宋体" w:hAnsi="宋体" w:cs="宋体"/>
          <w:color w:val="auto"/>
          <w:highlight w:val="none"/>
        </w:rPr>
      </w:pPr>
      <w:r>
        <w:rPr>
          <w:rFonts w:hint="eastAsia" w:ascii="宋体" w:hAnsi="宋体" w:cs="宋体"/>
          <w:color w:val="auto"/>
          <w:highlight w:val="none"/>
        </w:rPr>
        <w:t>3.投标函。</w:t>
      </w:r>
    </w:p>
    <w:p>
      <w:pPr>
        <w:adjustRightInd w:val="0"/>
        <w:snapToGrid w:val="0"/>
        <w:spacing w:line="360" w:lineRule="auto"/>
        <w:ind w:left="420" w:leftChars="200"/>
        <w:rPr>
          <w:rFonts w:ascii="宋体" w:hAnsi="宋体" w:cs="宋体"/>
          <w:color w:val="auto"/>
          <w:highlight w:val="none"/>
        </w:rPr>
      </w:pPr>
      <w:r>
        <w:rPr>
          <w:rFonts w:hint="eastAsia" w:ascii="宋体" w:hAnsi="宋体" w:cs="宋体"/>
          <w:color w:val="auto"/>
          <w:highlight w:val="none"/>
        </w:rPr>
        <w:t>4.投标报价明细表。</w:t>
      </w:r>
    </w:p>
    <w:p>
      <w:pPr>
        <w:adjustRightInd w:val="0"/>
        <w:snapToGrid w:val="0"/>
        <w:spacing w:line="360" w:lineRule="auto"/>
        <w:ind w:left="420" w:leftChars="200"/>
        <w:rPr>
          <w:rFonts w:ascii="宋体" w:hAnsi="宋体" w:cs="宋体"/>
          <w:color w:val="auto"/>
          <w:highlight w:val="none"/>
        </w:rPr>
      </w:pPr>
      <w:r>
        <w:rPr>
          <w:rFonts w:hint="eastAsia" w:ascii="宋体" w:hAnsi="宋体" w:cs="宋体"/>
          <w:color w:val="auto"/>
          <w:highlight w:val="none"/>
        </w:rPr>
        <w:t>5.技术需求偏离表和商务条款偏离表。</w:t>
      </w:r>
    </w:p>
    <w:p>
      <w:pPr>
        <w:adjustRightInd w:val="0"/>
        <w:snapToGrid w:val="0"/>
        <w:spacing w:line="360" w:lineRule="auto"/>
        <w:ind w:left="420" w:leftChars="200"/>
        <w:rPr>
          <w:rFonts w:ascii="宋体" w:hAnsi="宋体" w:cs="宋体"/>
          <w:color w:val="auto"/>
          <w:highlight w:val="none"/>
        </w:rPr>
      </w:pPr>
      <w:r>
        <w:rPr>
          <w:rFonts w:hint="eastAsia" w:ascii="宋体" w:hAnsi="宋体" w:cs="宋体"/>
          <w:color w:val="auto"/>
          <w:highlight w:val="none"/>
        </w:rPr>
        <w:t>6.其他合同文件（招标文件、乙方提供的投标文件等）。</w:t>
      </w:r>
    </w:p>
    <w:p>
      <w:pPr>
        <w:adjustRightInd w:val="0"/>
        <w:snapToGrid w:val="0"/>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第二十条　</w:t>
      </w:r>
      <w:r>
        <w:rPr>
          <w:rFonts w:hint="eastAsia" w:ascii="宋体" w:hAnsi="宋体" w:cs="宋体"/>
          <w:color w:val="auto"/>
          <w:szCs w:val="21"/>
          <w:highlight w:val="none"/>
        </w:rPr>
        <w:t>本合同一式七份，具有同等法律效力，财政部门（政府采购监管部门）采购代理机构各一份，甲方三份，乙方两份。</w:t>
      </w:r>
    </w:p>
    <w:p>
      <w:pPr>
        <w:adjustRightInd w:val="0"/>
        <w:snapToGrid w:val="0"/>
        <w:spacing w:line="360" w:lineRule="auto"/>
        <w:ind w:left="-61" w:firstLine="514"/>
        <w:rPr>
          <w:rFonts w:ascii="宋体" w:hAnsi="宋体" w:cs="宋体"/>
          <w:color w:val="auto"/>
          <w:szCs w:val="21"/>
          <w:highlight w:val="none"/>
        </w:rPr>
      </w:pPr>
      <w:r>
        <w:rPr>
          <w:rFonts w:hint="eastAsia" w:ascii="宋体" w:hAnsi="宋体" w:cs="宋体"/>
          <w:color w:val="auto"/>
          <w:szCs w:val="21"/>
          <w:highlight w:val="none"/>
        </w:rPr>
        <w:t>本合同甲乙双方签字盖章后生效，自签订之日起七个工作日内，甲方或代理机构应当将合同副本报同级财政部门备案。</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本合同自签订之日起2个工作日内，甲方应当将采购合同在广西壮族自治区财政厅指定的媒体上公告。</w:t>
      </w:r>
    </w:p>
    <w:tbl>
      <w:tblPr>
        <w:tblStyle w:val="22"/>
        <w:tblW w:w="95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6"/>
        <w:gridCol w:w="4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8" w:hRule="atLeast"/>
          <w:jc w:val="center"/>
        </w:trPr>
        <w:tc>
          <w:tcPr>
            <w:tcW w:w="4776" w:type="dxa"/>
            <w:noWrap/>
            <w:vAlign w:val="center"/>
          </w:tcPr>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甲方（章）</w:t>
            </w:r>
          </w:p>
          <w:p>
            <w:pPr>
              <w:adjustRightInd w:val="0"/>
              <w:snapToGrid w:val="0"/>
              <w:spacing w:line="360" w:lineRule="auto"/>
              <w:rPr>
                <w:rFonts w:ascii="宋体" w:hAnsi="宋体" w:cs="宋体"/>
                <w:color w:val="auto"/>
                <w:szCs w:val="21"/>
                <w:highlight w:val="none"/>
              </w:rPr>
            </w:pPr>
          </w:p>
          <w:p>
            <w:pPr>
              <w:adjustRightInd w:val="0"/>
              <w:snapToGrid w:val="0"/>
              <w:spacing w:line="360" w:lineRule="auto"/>
              <w:ind w:firstLine="945" w:firstLineChars="450"/>
              <w:jc w:val="right"/>
              <w:rPr>
                <w:rFonts w:ascii="宋体" w:hAnsi="宋体" w:cs="宋体"/>
                <w:color w:val="auto"/>
                <w:szCs w:val="21"/>
                <w:highlight w:val="none"/>
              </w:rPr>
            </w:pPr>
            <w:r>
              <w:rPr>
                <w:rFonts w:hint="eastAsia" w:ascii="宋体" w:hAnsi="宋体" w:cs="宋体"/>
                <w:color w:val="auto"/>
                <w:szCs w:val="21"/>
                <w:highlight w:val="none"/>
              </w:rPr>
              <w:t>年   月   日</w:t>
            </w:r>
          </w:p>
        </w:tc>
        <w:tc>
          <w:tcPr>
            <w:tcW w:w="4776" w:type="dxa"/>
            <w:noWrap/>
            <w:vAlign w:val="center"/>
          </w:tcPr>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乙方（章）</w:t>
            </w:r>
          </w:p>
          <w:p>
            <w:pPr>
              <w:adjustRightInd w:val="0"/>
              <w:snapToGrid w:val="0"/>
              <w:spacing w:line="360" w:lineRule="auto"/>
              <w:rPr>
                <w:rFonts w:ascii="宋体" w:hAnsi="宋体" w:cs="宋体"/>
                <w:color w:val="auto"/>
                <w:szCs w:val="21"/>
                <w:highlight w:val="none"/>
              </w:rPr>
            </w:pPr>
          </w:p>
          <w:p>
            <w:pPr>
              <w:adjustRightInd w:val="0"/>
              <w:snapToGrid w:val="0"/>
              <w:spacing w:line="360" w:lineRule="auto"/>
              <w:jc w:val="right"/>
              <w:rPr>
                <w:rFonts w:ascii="宋体" w:hAnsi="宋体" w:cs="宋体"/>
                <w:color w:val="auto"/>
                <w:szCs w:val="21"/>
                <w:highlight w:val="none"/>
              </w:rPr>
            </w:pPr>
            <w:r>
              <w:rPr>
                <w:rFonts w:hint="eastAsia" w:ascii="宋体" w:hAnsi="宋体" w:cs="宋体"/>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4776" w:type="dxa"/>
            <w:noWrap/>
            <w:vAlign w:val="center"/>
          </w:tcPr>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单位地址：</w:t>
            </w:r>
          </w:p>
        </w:tc>
        <w:tc>
          <w:tcPr>
            <w:tcW w:w="4776" w:type="dxa"/>
            <w:noWrap/>
            <w:vAlign w:val="center"/>
          </w:tcPr>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4776" w:type="dxa"/>
            <w:noWrap/>
            <w:vAlign w:val="center"/>
          </w:tcPr>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法定代表人</w:t>
            </w:r>
          </w:p>
        </w:tc>
        <w:tc>
          <w:tcPr>
            <w:tcW w:w="4776" w:type="dxa"/>
            <w:noWrap/>
            <w:vAlign w:val="center"/>
          </w:tcPr>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4776" w:type="dxa"/>
            <w:noWrap/>
            <w:vAlign w:val="center"/>
          </w:tcPr>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或者其委托代理人：</w:t>
            </w:r>
          </w:p>
        </w:tc>
        <w:tc>
          <w:tcPr>
            <w:tcW w:w="4776" w:type="dxa"/>
            <w:noWrap/>
            <w:vAlign w:val="center"/>
          </w:tcPr>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或者其委托代理人：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4776" w:type="dxa"/>
            <w:noWrap/>
            <w:vAlign w:val="center"/>
          </w:tcPr>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电话：</w:t>
            </w:r>
          </w:p>
        </w:tc>
        <w:tc>
          <w:tcPr>
            <w:tcW w:w="4776" w:type="dxa"/>
            <w:noWrap/>
            <w:vAlign w:val="center"/>
          </w:tcPr>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4776" w:type="dxa"/>
            <w:noWrap/>
            <w:vAlign w:val="center"/>
          </w:tcPr>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电子邮箱：</w:t>
            </w:r>
          </w:p>
        </w:tc>
        <w:tc>
          <w:tcPr>
            <w:tcW w:w="4776" w:type="dxa"/>
            <w:noWrap/>
            <w:vAlign w:val="center"/>
          </w:tcPr>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4776" w:type="dxa"/>
            <w:noWrap/>
            <w:vAlign w:val="center"/>
          </w:tcPr>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开户银行：</w:t>
            </w:r>
          </w:p>
        </w:tc>
        <w:tc>
          <w:tcPr>
            <w:tcW w:w="4776" w:type="dxa"/>
            <w:noWrap/>
            <w:vAlign w:val="center"/>
          </w:tcPr>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4776" w:type="dxa"/>
            <w:noWrap/>
            <w:vAlign w:val="center"/>
          </w:tcPr>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账号：</w:t>
            </w:r>
          </w:p>
        </w:tc>
        <w:tc>
          <w:tcPr>
            <w:tcW w:w="4776" w:type="dxa"/>
            <w:noWrap/>
            <w:vAlign w:val="center"/>
          </w:tcPr>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4776" w:type="dxa"/>
            <w:noWrap/>
            <w:vAlign w:val="center"/>
          </w:tcPr>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邮政编码：</w:t>
            </w:r>
          </w:p>
        </w:tc>
        <w:tc>
          <w:tcPr>
            <w:tcW w:w="4776" w:type="dxa"/>
            <w:noWrap/>
            <w:vAlign w:val="center"/>
          </w:tcPr>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9552" w:type="dxa"/>
            <w:gridSpan w:val="2"/>
            <w:noWrap/>
            <w:vAlign w:val="center"/>
          </w:tcPr>
          <w:p>
            <w:pPr>
              <w:adjustRightInd w:val="0"/>
              <w:snapToGrid w:val="0"/>
              <w:spacing w:line="360" w:lineRule="auto"/>
              <w:rPr>
                <w:color w:val="auto"/>
                <w:highlight w:val="none"/>
              </w:rPr>
            </w:pPr>
            <w:r>
              <w:rPr>
                <w:rFonts w:hint="eastAsia"/>
                <w:color w:val="auto"/>
                <w:highlight w:val="none"/>
              </w:rPr>
              <w:t xml:space="preserve">经办人 </w:t>
            </w:r>
          </w:p>
          <w:p>
            <w:pPr>
              <w:adjustRightInd w:val="0"/>
              <w:snapToGrid w:val="0"/>
              <w:spacing w:line="360" w:lineRule="auto"/>
              <w:jc w:val="right"/>
              <w:rPr>
                <w:color w:val="auto"/>
                <w:highlight w:val="none"/>
              </w:rPr>
            </w:pPr>
            <w:r>
              <w:rPr>
                <w:rFonts w:hint="eastAsia"/>
                <w:color w:val="auto"/>
                <w:highlight w:val="none"/>
              </w:rPr>
              <w:t>年   月   日</w:t>
            </w:r>
          </w:p>
          <w:p>
            <w:pPr>
              <w:spacing w:after="120" w:line="200" w:lineRule="exact"/>
              <w:ind w:left="420" w:leftChars="200" w:firstLine="404" w:firstLineChars="200"/>
              <w:rPr>
                <w:rFonts w:ascii="宋体" w:hAnsi="宋体" w:cs="宋体"/>
                <w:color w:val="auto"/>
                <w:spacing w:val="-4"/>
                <w:szCs w:val="21"/>
                <w:highlight w:val="none"/>
              </w:rPr>
            </w:pPr>
          </w:p>
          <w:p>
            <w:pPr>
              <w:spacing w:after="120" w:line="200" w:lineRule="exact"/>
              <w:ind w:left="420" w:leftChars="200" w:firstLine="404" w:firstLineChars="200"/>
              <w:rPr>
                <w:rFonts w:ascii="宋体" w:hAnsi="宋体" w:cs="宋体"/>
                <w:color w:val="auto"/>
                <w:spacing w:val="-4"/>
                <w:szCs w:val="21"/>
                <w:highlight w:val="none"/>
              </w:rPr>
            </w:pPr>
          </w:p>
        </w:tc>
      </w:tr>
      <w:bookmarkEnd w:id="261"/>
    </w:tbl>
    <w:p>
      <w:pPr>
        <w:widowControl/>
        <w:spacing w:beforeAutospacing="1" w:line="360" w:lineRule="auto"/>
        <w:jc w:val="left"/>
        <w:rPr>
          <w:rFonts w:ascii="宋体" w:hAnsi="宋体" w:cs="宋体"/>
          <w:color w:val="auto"/>
          <w:highlight w:val="none"/>
        </w:rPr>
        <w:sectPr>
          <w:pgSz w:w="11906" w:h="16838"/>
          <w:pgMar w:top="1134" w:right="1134" w:bottom="1134" w:left="1134" w:header="720" w:footer="720" w:gutter="0"/>
          <w:cols w:space="720" w:num="1"/>
          <w:docGrid w:type="lines" w:linePitch="331" w:charSpace="0"/>
        </w:sectPr>
      </w:pPr>
    </w:p>
    <w:p>
      <w:pPr>
        <w:pStyle w:val="15"/>
        <w:spacing w:line="360" w:lineRule="auto"/>
        <w:ind w:left="178" w:leftChars="85"/>
        <w:rPr>
          <w:rFonts w:hAnsi="宋体" w:cs="宋体"/>
          <w:color w:val="auto"/>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outlineLvl w:val="0"/>
        <w:rPr>
          <w:rFonts w:hAnsi="宋体" w:cs="宋体"/>
          <w:b/>
          <w:color w:val="auto"/>
          <w:sz w:val="36"/>
          <w:highlight w:val="none"/>
        </w:rPr>
      </w:pPr>
      <w:bookmarkStart w:id="262" w:name="_Toc7880"/>
      <w:bookmarkStart w:id="263" w:name="_Toc8074"/>
      <w:bookmarkStart w:id="264" w:name="_Toc14291"/>
      <w:bookmarkStart w:id="265" w:name="_Toc23759"/>
      <w:bookmarkStart w:id="266" w:name="_Toc21691"/>
      <w:bookmarkStart w:id="267" w:name="_Toc6639"/>
      <w:bookmarkStart w:id="268" w:name="_Toc19166"/>
      <w:bookmarkStart w:id="269" w:name="_Toc27021"/>
      <w:bookmarkStart w:id="270" w:name="_Toc8784"/>
      <w:bookmarkStart w:id="271" w:name="_Toc20288"/>
      <w:bookmarkStart w:id="272" w:name="_Toc10298"/>
      <w:r>
        <w:rPr>
          <w:rFonts w:hint="eastAsia" w:hAnsi="宋体" w:cs="宋体"/>
          <w:b/>
          <w:color w:val="auto"/>
          <w:sz w:val="36"/>
          <w:highlight w:val="none"/>
        </w:rPr>
        <w:t>第六章 投标文件格式</w:t>
      </w:r>
      <w:bookmarkEnd w:id="262"/>
      <w:bookmarkEnd w:id="263"/>
      <w:bookmarkEnd w:id="264"/>
      <w:bookmarkEnd w:id="265"/>
      <w:bookmarkEnd w:id="266"/>
      <w:bookmarkEnd w:id="267"/>
      <w:bookmarkEnd w:id="268"/>
      <w:bookmarkEnd w:id="269"/>
      <w:bookmarkEnd w:id="270"/>
      <w:bookmarkEnd w:id="271"/>
      <w:bookmarkEnd w:id="272"/>
    </w:p>
    <w:p>
      <w:pPr>
        <w:widowControl/>
        <w:spacing w:beforeAutospacing="1" w:line="360" w:lineRule="auto"/>
        <w:jc w:val="left"/>
        <w:rPr>
          <w:rFonts w:ascii="宋体" w:hAnsi="宋体" w:cs="宋体"/>
          <w:color w:val="auto"/>
          <w:szCs w:val="20"/>
          <w:highlight w:val="none"/>
        </w:rPr>
        <w:sectPr>
          <w:pgSz w:w="11906" w:h="16838"/>
          <w:pgMar w:top="1134" w:right="1134" w:bottom="1134" w:left="1134" w:header="720" w:footer="720" w:gutter="0"/>
          <w:cols w:space="720" w:num="1"/>
          <w:docGrid w:type="lines" w:linePitch="331" w:charSpace="0"/>
        </w:sectPr>
      </w:pPr>
    </w:p>
    <w:p>
      <w:pPr>
        <w:pStyle w:val="15"/>
        <w:jc w:val="center"/>
        <w:outlineLvl w:val="1"/>
        <w:rPr>
          <w:rFonts w:hAnsi="宋体" w:cs="宋体"/>
          <w:b/>
          <w:bCs/>
          <w:color w:val="auto"/>
          <w:sz w:val="28"/>
          <w:szCs w:val="28"/>
          <w:highlight w:val="none"/>
        </w:rPr>
      </w:pPr>
      <w:bookmarkStart w:id="273" w:name="_Toc29743"/>
      <w:bookmarkStart w:id="274" w:name="_Toc247"/>
      <w:bookmarkStart w:id="275" w:name="_Toc26915"/>
      <w:bookmarkStart w:id="276" w:name="_Toc16447"/>
      <w:bookmarkStart w:id="277" w:name="_Toc30455"/>
      <w:r>
        <w:rPr>
          <w:rFonts w:hint="eastAsia" w:hAnsi="宋体" w:cs="宋体"/>
          <w:b/>
          <w:bCs/>
          <w:color w:val="auto"/>
          <w:sz w:val="28"/>
          <w:szCs w:val="28"/>
          <w:highlight w:val="none"/>
        </w:rPr>
        <w:t>第一节 资格证明文件格式</w:t>
      </w:r>
      <w:bookmarkEnd w:id="273"/>
      <w:bookmarkEnd w:id="274"/>
      <w:bookmarkEnd w:id="275"/>
      <w:bookmarkEnd w:id="276"/>
      <w:bookmarkEnd w:id="277"/>
    </w:p>
    <w:p>
      <w:pPr>
        <w:pStyle w:val="15"/>
        <w:spacing w:line="360" w:lineRule="auto"/>
        <w:ind w:firstLine="420"/>
        <w:rPr>
          <w:rFonts w:hAnsi="宋体" w:cs="宋体"/>
          <w:color w:val="auto"/>
          <w:sz w:val="24"/>
          <w:szCs w:val="24"/>
          <w:highlight w:val="none"/>
        </w:rPr>
      </w:pPr>
    </w:p>
    <w:p>
      <w:pPr>
        <w:pStyle w:val="15"/>
        <w:spacing w:line="360" w:lineRule="auto"/>
        <w:ind w:firstLine="420"/>
        <w:rPr>
          <w:rFonts w:hAnsi="宋体" w:cs="宋体"/>
          <w:b/>
          <w:bCs/>
          <w:color w:val="auto"/>
          <w:sz w:val="24"/>
          <w:szCs w:val="24"/>
          <w:highlight w:val="none"/>
        </w:rPr>
      </w:pPr>
      <w:r>
        <w:rPr>
          <w:rFonts w:hint="eastAsia" w:hAnsi="宋体" w:cs="宋体"/>
          <w:b/>
          <w:bCs/>
          <w:color w:val="auto"/>
          <w:sz w:val="28"/>
          <w:szCs w:val="28"/>
          <w:highlight w:val="none"/>
        </w:rPr>
        <w:t>1.资格证明文件封面的格式</w:t>
      </w:r>
      <w:r>
        <w:rPr>
          <w:rFonts w:hint="eastAsia" w:hAnsi="宋体" w:cs="宋体"/>
          <w:b/>
          <w:color w:val="auto"/>
          <w:sz w:val="28"/>
          <w:szCs w:val="28"/>
          <w:highlight w:val="none"/>
        </w:rPr>
        <w:t>（参照此格式自拟）</w:t>
      </w:r>
      <w:r>
        <w:rPr>
          <w:rFonts w:hint="eastAsia" w:hAnsi="宋体" w:cs="宋体"/>
          <w:b/>
          <w:bCs/>
          <w:color w:val="auto"/>
          <w:sz w:val="28"/>
          <w:szCs w:val="28"/>
          <w:highlight w:val="none"/>
        </w:rPr>
        <w:t>：</w:t>
      </w:r>
      <w:r>
        <w:rPr>
          <w:rFonts w:hint="eastAsia" w:hAnsi="宋体" w:cs="宋体"/>
          <w:b/>
          <w:bCs/>
          <w:color w:val="auto"/>
          <w:sz w:val="24"/>
          <w:szCs w:val="24"/>
          <w:highlight w:val="none"/>
        </w:rPr>
        <w:t xml:space="preserve"> </w:t>
      </w:r>
    </w:p>
    <w:p>
      <w:pPr>
        <w:pStyle w:val="8"/>
        <w:rPr>
          <w:color w:val="auto"/>
          <w:highlight w:val="none"/>
        </w:rPr>
      </w:pPr>
    </w:p>
    <w:p>
      <w:pPr>
        <w:snapToGrid w:val="0"/>
        <w:spacing w:before="165" w:beforeLines="50" w:after="50"/>
        <w:rPr>
          <w:rFonts w:ascii="宋体" w:hAnsi="宋体" w:cs="宋体"/>
          <w:bCs/>
          <w:color w:val="auto"/>
          <w:sz w:val="32"/>
          <w:szCs w:val="20"/>
          <w:highlight w:val="none"/>
        </w:rPr>
      </w:pPr>
      <w:r>
        <w:rPr>
          <w:rFonts w:hint="eastAsia" w:ascii="宋体" w:hAnsi="宋体" w:cs="宋体"/>
          <w:color w:val="auto"/>
          <w:sz w:val="24"/>
          <w:highlight w:val="none"/>
        </w:rPr>
        <w:t xml:space="preserve">                                                         </w:t>
      </w:r>
      <w:r>
        <w:rPr>
          <w:rFonts w:hint="eastAsia" w:ascii="宋体" w:hAnsi="宋体" w:cs="宋体"/>
          <w:bCs/>
          <w:color w:val="auto"/>
          <w:highlight w:val="none"/>
        </w:rPr>
        <w:t>电子投标文件</w:t>
      </w:r>
    </w:p>
    <w:p>
      <w:pPr>
        <w:snapToGrid w:val="0"/>
        <w:spacing w:before="165" w:beforeLines="50" w:after="50"/>
        <w:rPr>
          <w:rFonts w:ascii="宋体" w:hAnsi="宋体" w:cs="宋体"/>
          <w:color w:val="auto"/>
          <w:sz w:val="24"/>
          <w:szCs w:val="20"/>
          <w:highlight w:val="none"/>
        </w:rPr>
      </w:pPr>
    </w:p>
    <w:p>
      <w:pPr>
        <w:snapToGrid w:val="0"/>
        <w:spacing w:before="165" w:beforeLines="50" w:after="50"/>
        <w:jc w:val="center"/>
        <w:rPr>
          <w:rFonts w:ascii="宋体" w:hAnsi="宋体" w:cs="宋体"/>
          <w:b/>
          <w:color w:val="auto"/>
          <w:sz w:val="32"/>
          <w:szCs w:val="32"/>
          <w:highlight w:val="none"/>
        </w:rPr>
      </w:pPr>
    </w:p>
    <w:p>
      <w:pPr>
        <w:snapToGrid w:val="0"/>
        <w:spacing w:before="165" w:beforeLines="50" w:after="50"/>
        <w:jc w:val="center"/>
        <w:rPr>
          <w:rFonts w:ascii="宋体" w:hAnsi="宋体" w:cs="宋体"/>
          <w:b/>
          <w:color w:val="auto"/>
          <w:sz w:val="24"/>
          <w:szCs w:val="20"/>
          <w:highlight w:val="none"/>
        </w:rPr>
      </w:pPr>
      <w:r>
        <w:rPr>
          <w:rFonts w:hint="eastAsia" w:ascii="宋体" w:hAnsi="宋体" w:cs="宋体"/>
          <w:b/>
          <w:color w:val="auto"/>
          <w:sz w:val="32"/>
          <w:szCs w:val="32"/>
          <w:highlight w:val="none"/>
        </w:rPr>
        <w:t>资格证明文件</w:t>
      </w:r>
    </w:p>
    <w:p>
      <w:pPr>
        <w:snapToGrid w:val="0"/>
        <w:spacing w:before="165" w:beforeLines="50" w:after="50"/>
        <w:rPr>
          <w:rFonts w:ascii="宋体" w:hAnsi="宋体" w:cs="宋体"/>
          <w:bCs/>
          <w:color w:val="auto"/>
          <w:sz w:val="24"/>
          <w:szCs w:val="20"/>
          <w:highlight w:val="none"/>
        </w:rPr>
      </w:pPr>
    </w:p>
    <w:p>
      <w:pPr>
        <w:snapToGrid w:val="0"/>
        <w:spacing w:before="165" w:beforeLines="50" w:after="50"/>
        <w:rPr>
          <w:rFonts w:ascii="宋体" w:hAnsi="宋体" w:cs="宋体"/>
          <w:bCs/>
          <w:color w:val="auto"/>
          <w:sz w:val="24"/>
          <w:szCs w:val="20"/>
          <w:highlight w:val="none"/>
        </w:rPr>
      </w:pPr>
    </w:p>
    <w:p>
      <w:pPr>
        <w:snapToGrid w:val="0"/>
        <w:spacing w:before="165" w:beforeLines="50" w:after="50"/>
        <w:rPr>
          <w:rFonts w:ascii="宋体" w:hAnsi="宋体" w:cs="宋体"/>
          <w:bCs/>
          <w:color w:val="auto"/>
          <w:sz w:val="24"/>
          <w:szCs w:val="20"/>
          <w:highlight w:val="none"/>
        </w:rPr>
      </w:pPr>
    </w:p>
    <w:p>
      <w:pPr>
        <w:snapToGrid w:val="0"/>
        <w:spacing w:before="165" w:beforeLines="50" w:after="50"/>
        <w:rPr>
          <w:rFonts w:ascii="宋体" w:hAnsi="宋体" w:cs="宋体"/>
          <w:bCs/>
          <w:color w:val="auto"/>
          <w:sz w:val="24"/>
          <w:szCs w:val="20"/>
          <w:highlight w:val="none"/>
        </w:rPr>
      </w:pPr>
    </w:p>
    <w:p>
      <w:pPr>
        <w:snapToGrid w:val="0"/>
        <w:spacing w:before="165" w:beforeLines="50" w:after="50"/>
        <w:rPr>
          <w:rFonts w:ascii="宋体" w:hAnsi="宋体" w:cs="宋体"/>
          <w:bCs/>
          <w:color w:val="auto"/>
          <w:sz w:val="24"/>
          <w:szCs w:val="20"/>
          <w:highlight w:val="none"/>
        </w:rPr>
      </w:pPr>
    </w:p>
    <w:p>
      <w:pPr>
        <w:snapToGrid w:val="0"/>
        <w:spacing w:before="165" w:beforeLines="50" w:after="50"/>
        <w:rPr>
          <w:rFonts w:ascii="宋体" w:hAnsi="宋体" w:cs="宋体"/>
          <w:bCs/>
          <w:color w:val="auto"/>
          <w:sz w:val="24"/>
          <w:szCs w:val="20"/>
          <w:highlight w:val="none"/>
        </w:rPr>
      </w:pPr>
    </w:p>
    <w:p>
      <w:pPr>
        <w:snapToGrid w:val="0"/>
        <w:spacing w:before="165" w:beforeLines="50" w:after="50"/>
        <w:rPr>
          <w:rFonts w:ascii="宋体" w:hAnsi="宋体" w:cs="宋体"/>
          <w:bCs/>
          <w:color w:val="auto"/>
          <w:sz w:val="24"/>
          <w:szCs w:val="20"/>
          <w:highlight w:val="none"/>
        </w:rPr>
      </w:pPr>
    </w:p>
    <w:p>
      <w:pPr>
        <w:snapToGrid w:val="0"/>
        <w:spacing w:before="165" w:beforeLines="50" w:after="50"/>
        <w:ind w:firstLine="540" w:firstLineChars="225"/>
        <w:rPr>
          <w:rFonts w:ascii="宋体" w:hAnsi="宋体" w:cs="宋体"/>
          <w:bCs/>
          <w:color w:val="auto"/>
          <w:sz w:val="24"/>
          <w:szCs w:val="20"/>
          <w:highlight w:val="none"/>
        </w:rPr>
      </w:pPr>
      <w:r>
        <w:rPr>
          <w:rFonts w:hint="eastAsia" w:ascii="宋体" w:hAnsi="宋体" w:cs="宋体"/>
          <w:bCs/>
          <w:color w:val="auto"/>
          <w:sz w:val="24"/>
          <w:highlight w:val="none"/>
        </w:rPr>
        <w:t>项目名称：</w:t>
      </w:r>
    </w:p>
    <w:p>
      <w:pPr>
        <w:snapToGrid w:val="0"/>
        <w:spacing w:before="165" w:beforeLines="50" w:after="50"/>
        <w:ind w:firstLine="540" w:firstLineChars="225"/>
        <w:rPr>
          <w:rFonts w:ascii="宋体" w:hAnsi="宋体" w:cs="宋体"/>
          <w:bCs/>
          <w:color w:val="auto"/>
          <w:sz w:val="24"/>
          <w:highlight w:val="none"/>
        </w:rPr>
      </w:pPr>
    </w:p>
    <w:p>
      <w:pPr>
        <w:snapToGrid w:val="0"/>
        <w:spacing w:before="165" w:beforeLines="50" w:after="50"/>
        <w:ind w:firstLine="540" w:firstLineChars="225"/>
        <w:rPr>
          <w:rFonts w:ascii="宋体" w:hAnsi="宋体" w:cs="宋体"/>
          <w:bCs/>
          <w:color w:val="auto"/>
          <w:sz w:val="24"/>
          <w:highlight w:val="none"/>
        </w:rPr>
      </w:pPr>
      <w:r>
        <w:rPr>
          <w:rFonts w:hint="eastAsia" w:ascii="宋体" w:hAnsi="宋体" w:cs="宋体"/>
          <w:bCs/>
          <w:color w:val="auto"/>
          <w:sz w:val="24"/>
          <w:highlight w:val="none"/>
        </w:rPr>
        <w:t>项目编号：</w:t>
      </w:r>
    </w:p>
    <w:p>
      <w:pPr>
        <w:snapToGrid w:val="0"/>
        <w:spacing w:before="165" w:beforeLines="50" w:after="50"/>
        <w:ind w:firstLine="540" w:firstLineChars="225"/>
        <w:rPr>
          <w:rFonts w:ascii="宋体" w:hAnsi="宋体" w:cs="宋体"/>
          <w:bCs/>
          <w:color w:val="auto"/>
          <w:sz w:val="24"/>
          <w:highlight w:val="none"/>
        </w:rPr>
      </w:pPr>
    </w:p>
    <w:p>
      <w:pPr>
        <w:snapToGrid w:val="0"/>
        <w:spacing w:before="165" w:beforeLines="50" w:after="50"/>
        <w:ind w:firstLine="540" w:firstLineChars="225"/>
        <w:rPr>
          <w:rFonts w:ascii="宋体" w:hAnsi="宋体" w:cs="宋体"/>
          <w:bCs/>
          <w:color w:val="auto"/>
          <w:sz w:val="24"/>
          <w:highlight w:val="none"/>
        </w:rPr>
      </w:pPr>
      <w:r>
        <w:rPr>
          <w:rFonts w:hint="eastAsia" w:ascii="宋体" w:hAnsi="宋体" w:cs="宋体"/>
          <w:bCs/>
          <w:color w:val="auto"/>
          <w:sz w:val="24"/>
          <w:highlight w:val="none"/>
        </w:rPr>
        <w:t>所投分标（如有则填写，无分标时填写“无”或者留空）：</w:t>
      </w:r>
    </w:p>
    <w:p>
      <w:pPr>
        <w:snapToGrid w:val="0"/>
        <w:spacing w:before="165" w:beforeLines="50" w:after="50"/>
        <w:ind w:firstLine="540" w:firstLineChars="225"/>
        <w:rPr>
          <w:rFonts w:ascii="宋体" w:hAnsi="宋体" w:cs="宋体"/>
          <w:bCs/>
          <w:color w:val="auto"/>
          <w:sz w:val="24"/>
          <w:highlight w:val="none"/>
        </w:rPr>
      </w:pPr>
    </w:p>
    <w:p>
      <w:pPr>
        <w:snapToGrid w:val="0"/>
        <w:spacing w:before="165" w:beforeLines="50" w:after="50"/>
        <w:ind w:firstLine="540" w:firstLineChars="225"/>
        <w:rPr>
          <w:rFonts w:ascii="宋体" w:hAnsi="宋体" w:cs="宋体"/>
          <w:bCs/>
          <w:color w:val="auto"/>
          <w:sz w:val="24"/>
          <w:highlight w:val="none"/>
        </w:rPr>
      </w:pPr>
      <w:r>
        <w:rPr>
          <w:rFonts w:hint="eastAsia" w:ascii="宋体" w:hAnsi="宋体" w:cs="宋体"/>
          <w:bCs/>
          <w:color w:val="auto"/>
          <w:sz w:val="24"/>
          <w:highlight w:val="none"/>
        </w:rPr>
        <w:t>投标人名称：</w:t>
      </w:r>
    </w:p>
    <w:p>
      <w:pPr>
        <w:pStyle w:val="7"/>
        <w:snapToGrid w:val="0"/>
        <w:spacing w:before="50" w:after="50"/>
        <w:ind w:firstLine="540" w:firstLineChars="225"/>
        <w:rPr>
          <w:rFonts w:ascii="宋体" w:hAnsi="宋体" w:cs="宋体"/>
          <w:bCs/>
          <w:color w:val="auto"/>
          <w:sz w:val="24"/>
          <w:szCs w:val="24"/>
          <w:highlight w:val="none"/>
        </w:rPr>
      </w:pPr>
    </w:p>
    <w:p>
      <w:pPr>
        <w:pStyle w:val="7"/>
        <w:snapToGrid w:val="0"/>
        <w:spacing w:before="50" w:after="50"/>
        <w:ind w:firstLine="960" w:firstLineChars="400"/>
        <w:rPr>
          <w:rFonts w:ascii="宋体" w:hAnsi="宋体" w:cs="宋体"/>
          <w:bCs/>
          <w:color w:val="auto"/>
          <w:sz w:val="24"/>
          <w:szCs w:val="24"/>
          <w:highlight w:val="none"/>
        </w:rPr>
      </w:pPr>
    </w:p>
    <w:p>
      <w:pPr>
        <w:snapToGrid w:val="0"/>
        <w:spacing w:before="165" w:beforeLines="50" w:after="50"/>
        <w:ind w:firstLine="645"/>
        <w:jc w:val="center"/>
        <w:rPr>
          <w:rFonts w:ascii="宋体" w:hAnsi="宋体" w:cs="宋体"/>
          <w:color w:val="auto"/>
          <w:sz w:val="24"/>
          <w:highlight w:val="none"/>
        </w:rPr>
      </w:pPr>
      <w:r>
        <w:rPr>
          <w:rFonts w:hint="eastAsia" w:ascii="宋体" w:hAnsi="宋体" w:cs="宋体"/>
          <w:color w:val="auto"/>
          <w:sz w:val="24"/>
          <w:highlight w:val="none"/>
        </w:rPr>
        <w:t>年    月    日</w:t>
      </w:r>
    </w:p>
    <w:p>
      <w:pPr>
        <w:widowControl/>
        <w:spacing w:line="360" w:lineRule="auto"/>
        <w:jc w:val="left"/>
        <w:rPr>
          <w:rFonts w:ascii="宋体" w:hAnsi="宋体" w:cs="宋体"/>
          <w:color w:val="auto"/>
          <w:sz w:val="30"/>
          <w:szCs w:val="20"/>
          <w:highlight w:val="none"/>
        </w:rPr>
        <w:sectPr>
          <w:pgSz w:w="11906" w:h="16838"/>
          <w:pgMar w:top="1134" w:right="1134" w:bottom="1134" w:left="1134" w:header="720" w:footer="720" w:gutter="0"/>
          <w:cols w:space="720" w:num="1"/>
          <w:docGrid w:type="lines" w:linePitch="331" w:charSpace="0"/>
        </w:sectPr>
      </w:pPr>
    </w:p>
    <w:p>
      <w:pP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2.资格证明文件目录</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根据招标文件规定及投标人提供的材料自行编写目录（部分格式后附）。</w:t>
      </w:r>
    </w:p>
    <w:p>
      <w:pPr>
        <w:snapToGrid w:val="0"/>
        <w:spacing w:line="360" w:lineRule="auto"/>
        <w:rPr>
          <w:rFonts w:ascii="宋体" w:hAnsi="宋体" w:cs="宋体"/>
          <w:b/>
          <w:color w:val="auto"/>
          <w:kern w:val="0"/>
          <w:sz w:val="32"/>
          <w:szCs w:val="32"/>
          <w:highlight w:val="none"/>
          <w:lang w:val="zh-CN"/>
        </w:rPr>
      </w:pPr>
    </w:p>
    <w:p>
      <w:pPr>
        <w:snapToGrid w:val="0"/>
        <w:spacing w:line="360" w:lineRule="auto"/>
        <w:ind w:firstLine="5160" w:firstLineChars="2150"/>
        <w:rPr>
          <w:rFonts w:ascii="宋体" w:hAnsi="宋体" w:cs="宋体"/>
          <w:color w:val="auto"/>
          <w:kern w:val="0"/>
          <w:sz w:val="24"/>
          <w:highlight w:val="none"/>
          <w:lang w:val="zh-CN"/>
        </w:rPr>
      </w:pPr>
    </w:p>
    <w:p>
      <w:pPr>
        <w:snapToGrid w:val="0"/>
        <w:spacing w:line="360" w:lineRule="auto"/>
        <w:ind w:right="480"/>
        <w:jc w:val="center"/>
        <w:rPr>
          <w:rFonts w:ascii="宋体" w:hAnsi="宋体" w:cs="宋体"/>
          <w:b/>
          <w:color w:val="auto"/>
          <w:kern w:val="0"/>
          <w:sz w:val="32"/>
          <w:szCs w:val="32"/>
          <w:highlight w:val="none"/>
          <w:lang w:val="zh-CN"/>
        </w:rPr>
      </w:pPr>
    </w:p>
    <w:p>
      <w:pPr>
        <w:snapToGrid w:val="0"/>
        <w:spacing w:line="360" w:lineRule="auto"/>
        <w:ind w:right="48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r>
        <w:rPr>
          <w:rFonts w:hint="eastAsia" w:ascii="宋体" w:hAnsi="宋体" w:cs="宋体"/>
          <w:b/>
          <w:color w:val="auto"/>
          <w:kern w:val="0"/>
          <w:sz w:val="32"/>
          <w:szCs w:val="32"/>
          <w:highlight w:val="none"/>
        </w:rPr>
        <w:t>3.</w:t>
      </w:r>
      <w:r>
        <w:rPr>
          <w:rFonts w:hint="eastAsia" w:ascii="宋体" w:hAnsi="宋体" w:cs="宋体"/>
          <w:b/>
          <w:color w:val="auto"/>
          <w:sz w:val="28"/>
          <w:szCs w:val="28"/>
          <w:highlight w:val="none"/>
        </w:rPr>
        <w:t>声明函的格式</w:t>
      </w:r>
      <w:r>
        <w:rPr>
          <w:rFonts w:hint="eastAsia"/>
          <w:color w:val="auto"/>
          <w:sz w:val="28"/>
          <w:szCs w:val="28"/>
          <w:highlight w:val="none"/>
        </w:rPr>
        <w:t>：</w:t>
      </w:r>
    </w:p>
    <w:p>
      <w:pPr>
        <w:pStyle w:val="2"/>
        <w:rPr>
          <w:color w:val="auto"/>
          <w:highlight w:val="none"/>
        </w:rPr>
      </w:pPr>
    </w:p>
    <w:p>
      <w:pPr>
        <w:snapToGrid w:val="0"/>
        <w:spacing w:before="50" w:after="165" w:afterLines="50"/>
        <w:jc w:val="center"/>
        <w:rPr>
          <w:rFonts w:ascii="宋体" w:hAnsi="宋体" w:cs="宋体"/>
          <w:b/>
          <w:color w:val="auto"/>
          <w:sz w:val="28"/>
          <w:szCs w:val="28"/>
          <w:highlight w:val="none"/>
        </w:rPr>
      </w:pPr>
      <w:r>
        <w:rPr>
          <w:rFonts w:hint="eastAsia" w:ascii="宋体" w:hAnsi="宋体" w:cs="宋体"/>
          <w:b/>
          <w:color w:val="auto"/>
          <w:sz w:val="28"/>
          <w:szCs w:val="28"/>
          <w:highlight w:val="none"/>
        </w:rPr>
        <w:t>声明函</w:t>
      </w:r>
    </w:p>
    <w:p>
      <w:pPr>
        <w:keepNext w:val="0"/>
        <w:keepLines w:val="0"/>
        <w:pageBreakBefore w:val="0"/>
        <w:widowControl w:val="0"/>
        <w:tabs>
          <w:tab w:val="left" w:pos="7200"/>
        </w:tabs>
        <w:kinsoku/>
        <w:wordWrap/>
        <w:overflowPunct/>
        <w:topLinePunct w:val="0"/>
        <w:autoSpaceDE/>
        <w:autoSpaceDN/>
        <w:bidi w:val="0"/>
        <w:adjustRightInd/>
        <w:spacing w:line="440" w:lineRule="exact"/>
        <w:textAlignment w:val="auto"/>
        <w:rPr>
          <w:rFonts w:ascii="宋体" w:hAnsi="宋体" w:cs="宋体"/>
          <w:color w:val="auto"/>
          <w:szCs w:val="21"/>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 xml:space="preserve"> </w:t>
      </w:r>
      <w:bookmarkStart w:id="278" w:name="PO_3000001919_PM031"/>
      <w:r>
        <w:rPr>
          <w:rFonts w:hint="eastAsia" w:ascii="宋体" w:hAnsi="宋体" w:cs="宋体"/>
          <w:color w:val="auto"/>
          <w:szCs w:val="21"/>
          <w:highlight w:val="none"/>
          <w:u w:val="single"/>
        </w:rPr>
        <w:t>广西科联招标中心有限公司</w:t>
      </w:r>
      <w:bookmarkEnd w:id="278"/>
    </w:p>
    <w:p>
      <w:pPr>
        <w:pStyle w:val="2"/>
        <w:keepNext w:val="0"/>
        <w:keepLines w:val="0"/>
        <w:pageBreakBefore w:val="0"/>
        <w:widowControl w:val="0"/>
        <w:kinsoku/>
        <w:wordWrap/>
        <w:overflowPunct/>
        <w:topLinePunct w:val="0"/>
        <w:autoSpaceDE/>
        <w:autoSpaceDN/>
        <w:bidi w:val="0"/>
        <w:adjustRightInd/>
        <w:spacing w:line="440" w:lineRule="exact"/>
        <w:ind w:firstLine="420" w:firstLineChars="200"/>
        <w:textAlignment w:val="auto"/>
        <w:rPr>
          <w:color w:val="auto"/>
          <w:sz w:val="21"/>
          <w:szCs w:val="21"/>
          <w:highlight w:val="none"/>
        </w:rPr>
      </w:pPr>
      <w:r>
        <w:rPr>
          <w:rFonts w:hint="eastAsia" w:ascii="宋体" w:hAnsi="宋体" w:cs="宋体"/>
          <w:i/>
          <w:iCs/>
          <w:color w:val="auto"/>
          <w:sz w:val="21"/>
          <w:szCs w:val="21"/>
          <w:highlight w:val="none"/>
          <w:u w:val="single"/>
        </w:rPr>
        <w:t>（投标人名称）</w:t>
      </w:r>
      <w:r>
        <w:rPr>
          <w:rFonts w:hint="eastAsia" w:ascii="宋体" w:hAnsi="宋体" w:cs="宋体"/>
          <w:color w:val="auto"/>
          <w:sz w:val="21"/>
          <w:szCs w:val="21"/>
          <w:highlight w:val="none"/>
        </w:rPr>
        <w:t>系中华人民共和国合法供应商，经营地址</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我方愿意参加贵方组织的</w:t>
      </w:r>
      <w:r>
        <w:rPr>
          <w:rFonts w:hint="eastAsia" w:ascii="宋体" w:hAnsi="宋体"/>
          <w:i/>
          <w:iCs/>
          <w:color w:val="auto"/>
          <w:szCs w:val="21"/>
          <w:highlight w:val="none"/>
          <w:u w:val="single"/>
        </w:rPr>
        <w:t>（项目名称）</w:t>
      </w:r>
      <w:r>
        <w:rPr>
          <w:rFonts w:hint="eastAsia" w:ascii="宋体" w:hAnsi="宋体"/>
          <w:i/>
          <w:iCs/>
          <w:color w:val="auto"/>
          <w:szCs w:val="21"/>
          <w:highlight w:val="none"/>
          <w:u w:val="single"/>
          <w:lang w:val="en-US" w:eastAsia="zh-CN"/>
        </w:rPr>
        <w:t xml:space="preserve">    </w:t>
      </w:r>
      <w:r>
        <w:rPr>
          <w:rFonts w:hint="eastAsia" w:ascii="宋体" w:hAnsi="宋体"/>
          <w:i/>
          <w:iCs/>
          <w:color w:val="auto"/>
          <w:szCs w:val="21"/>
          <w:highlight w:val="none"/>
          <w:u w:val="single"/>
        </w:rPr>
        <w:t xml:space="preserve"> </w:t>
      </w:r>
      <w:r>
        <w:rPr>
          <w:rFonts w:hint="eastAsia" w:ascii="宋体" w:hAnsi="宋体"/>
          <w:color w:val="auto"/>
          <w:szCs w:val="21"/>
          <w:highlight w:val="none"/>
        </w:rPr>
        <w:t>（项目编号：</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）项目的投标，为便于贵方公正、择优地确定中标人，我方就本次投标有关事项郑重声明如下：</w:t>
      </w:r>
    </w:p>
    <w:p>
      <w:pPr>
        <w:pStyle w:val="2"/>
        <w:keepNext w:val="0"/>
        <w:keepLines w:val="0"/>
        <w:pageBreakBefore w:val="0"/>
        <w:widowControl w:val="0"/>
        <w:kinsoku/>
        <w:wordWrap/>
        <w:overflowPunct/>
        <w:topLinePunct w:val="0"/>
        <w:autoSpaceDE/>
        <w:autoSpaceDN/>
        <w:bidi w:val="0"/>
        <w:adjustRightInd/>
        <w:spacing w:line="440" w:lineRule="exact"/>
        <w:ind w:firstLine="420" w:firstLineChars="200"/>
        <w:textAlignment w:val="auto"/>
        <w:rPr>
          <w:color w:val="auto"/>
          <w:sz w:val="21"/>
          <w:szCs w:val="21"/>
          <w:highlight w:val="none"/>
        </w:rPr>
      </w:pPr>
      <w:r>
        <w:rPr>
          <w:rFonts w:hint="eastAsia" w:ascii="宋体" w:hAnsi="宋体" w:cs="宋体"/>
          <w:color w:val="auto"/>
          <w:sz w:val="21"/>
          <w:szCs w:val="21"/>
          <w:highlight w:val="none"/>
        </w:rPr>
        <w:t>1、我方向贵方提交的所有投标文件、资料都是准确的和真实的。</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adjustRightInd/>
        <w:spacing w:line="440" w:lineRule="exact"/>
        <w:ind w:firstLine="420" w:firstLineChars="200"/>
        <w:contextualSpacing/>
        <w:textAlignment w:val="auto"/>
        <w:rPr>
          <w:rFonts w:ascii="宋体" w:hAnsi="宋体" w:cs="宋体"/>
          <w:color w:val="auto"/>
          <w:szCs w:val="21"/>
          <w:highlight w:val="none"/>
        </w:rPr>
      </w:pPr>
      <w:r>
        <w:rPr>
          <w:rFonts w:hint="eastAsia" w:ascii="宋体" w:hAnsi="宋体" w:cs="宋体"/>
          <w:color w:val="auto"/>
          <w:szCs w:val="21"/>
          <w:highlight w:val="none"/>
        </w:rPr>
        <w:t>3、在此，我方宣布同意如下：</w:t>
      </w:r>
    </w:p>
    <w:p>
      <w:pPr>
        <w:keepNext w:val="0"/>
        <w:keepLines w:val="0"/>
        <w:pageBreakBefore w:val="0"/>
        <w:widowControl w:val="0"/>
        <w:kinsoku/>
        <w:wordWrap/>
        <w:overflowPunct/>
        <w:topLinePunct w:val="0"/>
        <w:autoSpaceDE/>
        <w:autoSpaceDN/>
        <w:bidi w:val="0"/>
        <w:adjustRightInd/>
        <w:spacing w:line="440" w:lineRule="exact"/>
        <w:ind w:firstLine="420" w:firstLineChars="200"/>
        <w:contextualSpacing/>
        <w:textAlignment w:val="auto"/>
        <w:rPr>
          <w:rFonts w:ascii="宋体" w:hAnsi="宋体" w:cs="宋体"/>
          <w:color w:val="auto"/>
          <w:szCs w:val="21"/>
          <w:highlight w:val="none"/>
        </w:rPr>
      </w:pPr>
      <w:r>
        <w:rPr>
          <w:rFonts w:hint="eastAsia" w:ascii="宋体" w:hAnsi="宋体" w:cs="宋体"/>
          <w:color w:val="auto"/>
          <w:szCs w:val="21"/>
          <w:highlight w:val="none"/>
        </w:rPr>
        <w:t>（1）将按招标文件的约定履行合同责任和义务；</w:t>
      </w:r>
    </w:p>
    <w:p>
      <w:pPr>
        <w:keepNext w:val="0"/>
        <w:keepLines w:val="0"/>
        <w:pageBreakBefore w:val="0"/>
        <w:widowControl w:val="0"/>
        <w:kinsoku/>
        <w:wordWrap/>
        <w:overflowPunct/>
        <w:topLinePunct w:val="0"/>
        <w:autoSpaceDE/>
        <w:autoSpaceDN/>
        <w:bidi w:val="0"/>
        <w:adjustRightInd/>
        <w:spacing w:line="440" w:lineRule="exact"/>
        <w:ind w:firstLine="420" w:firstLineChars="200"/>
        <w:contextualSpacing/>
        <w:textAlignment w:val="auto"/>
        <w:rPr>
          <w:rFonts w:ascii="宋体" w:hAnsi="宋体" w:cs="宋体"/>
          <w:color w:val="auto"/>
          <w:szCs w:val="21"/>
          <w:highlight w:val="none"/>
        </w:rPr>
      </w:pPr>
      <w:r>
        <w:rPr>
          <w:rFonts w:hint="eastAsia" w:ascii="宋体" w:hAnsi="宋体" w:cs="宋体"/>
          <w:color w:val="auto"/>
          <w:szCs w:val="21"/>
          <w:highlight w:val="none"/>
        </w:rPr>
        <w:t>（2）已详细审查招标文件的全部</w:t>
      </w:r>
      <w:r>
        <w:rPr>
          <w:rFonts w:hint="eastAsia" w:ascii="宋体" w:hAnsi="宋体" w:cs="宋体"/>
          <w:color w:val="auto"/>
          <w:kern w:val="0"/>
          <w:szCs w:val="21"/>
          <w:highlight w:val="none"/>
        </w:rPr>
        <w:t>内容</w:t>
      </w:r>
      <w:r>
        <w:rPr>
          <w:rFonts w:hint="eastAsia" w:ascii="宋体" w:hAnsi="宋体" w:cs="宋体"/>
          <w:color w:val="auto"/>
          <w:szCs w:val="21"/>
          <w:highlight w:val="none"/>
        </w:rPr>
        <w:t>，包括澄清或者更正公告（如有）；</w:t>
      </w:r>
    </w:p>
    <w:p>
      <w:pPr>
        <w:keepNext w:val="0"/>
        <w:keepLines w:val="0"/>
        <w:pageBreakBefore w:val="0"/>
        <w:widowControl w:val="0"/>
        <w:kinsoku/>
        <w:wordWrap/>
        <w:overflowPunct/>
        <w:topLinePunct w:val="0"/>
        <w:autoSpaceDE/>
        <w:autoSpaceDN/>
        <w:bidi w:val="0"/>
        <w:adjustRightInd/>
        <w:spacing w:line="440" w:lineRule="exact"/>
        <w:ind w:firstLine="420" w:firstLineChars="200"/>
        <w:contextualSpacing/>
        <w:textAlignment w:val="auto"/>
        <w:rPr>
          <w:rFonts w:ascii="宋体" w:hAnsi="宋体" w:cs="宋体"/>
          <w:color w:val="auto"/>
          <w:szCs w:val="21"/>
          <w:highlight w:val="none"/>
        </w:rPr>
      </w:pPr>
      <w:r>
        <w:rPr>
          <w:rFonts w:hint="eastAsia" w:ascii="宋体" w:hAnsi="宋体" w:cs="宋体"/>
          <w:color w:val="auto"/>
          <w:szCs w:val="21"/>
          <w:highlight w:val="none"/>
        </w:rPr>
        <w:t>（3）同意提供按照贵方可能要求的与投标有关的一切数据或者资料。</w:t>
      </w:r>
    </w:p>
    <w:p>
      <w:pPr>
        <w:keepNext w:val="0"/>
        <w:keepLines w:val="0"/>
        <w:pageBreakBefore w:val="0"/>
        <w:widowControl w:val="0"/>
        <w:kinsoku/>
        <w:wordWrap/>
        <w:overflowPunct/>
        <w:topLinePunct w:val="0"/>
        <w:autoSpaceDE/>
        <w:autoSpaceDN/>
        <w:bidi w:val="0"/>
        <w:adjustRightInd/>
        <w:spacing w:line="44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4、我方在此声明，我方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失信主体、政府采购严重违法失信行为记录名单。</w:t>
      </w:r>
    </w:p>
    <w:p>
      <w:pPr>
        <w:keepNext w:val="0"/>
        <w:keepLines w:val="0"/>
        <w:pageBreakBefore w:val="0"/>
        <w:widowControl w:val="0"/>
        <w:kinsoku/>
        <w:wordWrap/>
        <w:overflowPunct/>
        <w:topLinePunct w:val="0"/>
        <w:autoSpaceDE/>
        <w:autoSpaceDN/>
        <w:bidi w:val="0"/>
        <w:adjustRightInd/>
        <w:spacing w:line="440" w:lineRule="exact"/>
        <w:ind w:firstLine="420" w:firstLineChars="200"/>
        <w:contextualSpacing/>
        <w:textAlignment w:val="auto"/>
        <w:rPr>
          <w:rFonts w:ascii="宋体" w:hAnsi="宋体" w:cs="宋体"/>
          <w:i/>
          <w:iCs/>
          <w:color w:val="auto"/>
          <w:szCs w:val="21"/>
          <w:highlight w:val="none"/>
        </w:rPr>
      </w:pPr>
      <w:r>
        <w:rPr>
          <w:rFonts w:hint="eastAsia" w:ascii="宋体" w:hAnsi="宋体"/>
          <w:color w:val="auto"/>
          <w:szCs w:val="21"/>
          <w:highlight w:val="none"/>
        </w:rPr>
        <w:t>5、</w:t>
      </w:r>
      <w:r>
        <w:rPr>
          <w:rFonts w:hint="eastAsia" w:ascii="宋体" w:hAnsi="宋体" w:cs="宋体"/>
          <w:color w:val="auto"/>
          <w:szCs w:val="21"/>
          <w:highlight w:val="none"/>
        </w:rPr>
        <w:t>根据《中华人民共和国政府采购法实施条例》第五十条要求对政府采购合同进行公告，但政府采购合同中涉及国家秘密、商业秘密的内容除外。我方就对本次投标文件进行注明如下：</w:t>
      </w:r>
      <w:r>
        <w:rPr>
          <w:rFonts w:hint="eastAsia" w:ascii="宋体" w:hAnsi="宋体" w:cs="宋体"/>
          <w:i/>
          <w:iCs/>
          <w:color w:val="auto"/>
          <w:szCs w:val="21"/>
          <w:highlight w:val="none"/>
        </w:rPr>
        <w:t>（两项内容中必须选择一项）</w:t>
      </w:r>
    </w:p>
    <w:p>
      <w:pPr>
        <w:keepNext w:val="0"/>
        <w:keepLines w:val="0"/>
        <w:pageBreakBefore w:val="0"/>
        <w:widowControl w:val="0"/>
        <w:kinsoku/>
        <w:wordWrap/>
        <w:overflowPunct/>
        <w:topLinePunct w:val="0"/>
        <w:autoSpaceDE/>
        <w:autoSpaceDN/>
        <w:bidi w:val="0"/>
        <w:adjustRightInd/>
        <w:spacing w:line="440" w:lineRule="exact"/>
        <w:ind w:firstLine="420" w:firstLineChars="200"/>
        <w:contextualSpacing/>
        <w:textAlignment w:val="auto"/>
        <w:rPr>
          <w:rFonts w:ascii="宋体" w:hAnsi="宋体" w:cs="宋体"/>
          <w:color w:val="auto"/>
          <w:szCs w:val="21"/>
          <w:highlight w:val="none"/>
        </w:rPr>
      </w:pPr>
      <w:r>
        <w:rPr>
          <w:rFonts w:hint="eastAsia" w:ascii="宋体" w:hAnsi="宋体" w:cs="宋体"/>
          <w:color w:val="auto"/>
          <w:szCs w:val="21"/>
          <w:highlight w:val="none"/>
        </w:rPr>
        <w:t>□我方本次投标文件</w:t>
      </w:r>
      <w:r>
        <w:rPr>
          <w:rFonts w:hint="eastAsia" w:ascii="宋体" w:hAnsi="宋体" w:cs="宋体"/>
          <w:color w:val="auto"/>
          <w:kern w:val="0"/>
          <w:szCs w:val="21"/>
          <w:highlight w:val="none"/>
        </w:rPr>
        <w:t>内容中</w:t>
      </w:r>
      <w:r>
        <w:rPr>
          <w:rFonts w:hint="eastAsia" w:ascii="宋体" w:hAnsi="宋体" w:cs="宋体"/>
          <w:color w:val="auto"/>
          <w:szCs w:val="21"/>
          <w:highlight w:val="none"/>
        </w:rPr>
        <w:t>未</w:t>
      </w:r>
      <w:r>
        <w:rPr>
          <w:rFonts w:hint="eastAsia" w:ascii="宋体" w:hAnsi="宋体" w:cs="宋体"/>
          <w:color w:val="auto"/>
          <w:kern w:val="0"/>
          <w:szCs w:val="21"/>
          <w:highlight w:val="none"/>
        </w:rPr>
        <w:t>涉及商业秘密。</w:t>
      </w:r>
    </w:p>
    <w:p>
      <w:pPr>
        <w:keepNext w:val="0"/>
        <w:keepLines w:val="0"/>
        <w:pageBreakBefore w:val="0"/>
        <w:widowControl w:val="0"/>
        <w:kinsoku/>
        <w:wordWrap/>
        <w:overflowPunct/>
        <w:topLinePunct w:val="0"/>
        <w:autoSpaceDE/>
        <w:autoSpaceDN/>
        <w:bidi w:val="0"/>
        <w:adjustRightInd/>
        <w:spacing w:line="440" w:lineRule="exact"/>
        <w:ind w:firstLine="420" w:firstLineChars="200"/>
        <w:contextualSpacing/>
        <w:textAlignment w:val="auto"/>
        <w:rPr>
          <w:rFonts w:ascii="宋体" w:hAnsi="宋体" w:cs="宋体"/>
          <w:color w:val="auto"/>
          <w:szCs w:val="21"/>
          <w:highlight w:val="none"/>
        </w:rPr>
      </w:pPr>
      <w:r>
        <w:rPr>
          <w:rFonts w:hint="eastAsia" w:ascii="宋体" w:hAnsi="宋体" w:cs="宋体"/>
          <w:color w:val="auto"/>
          <w:szCs w:val="21"/>
          <w:highlight w:val="none"/>
        </w:rPr>
        <w:t>□我方本次投标文件</w:t>
      </w:r>
      <w:r>
        <w:rPr>
          <w:rFonts w:hint="eastAsia" w:ascii="宋体" w:hAnsi="宋体" w:cs="宋体"/>
          <w:color w:val="auto"/>
          <w:kern w:val="0"/>
          <w:szCs w:val="21"/>
          <w:highlight w:val="none"/>
        </w:rPr>
        <w:t>涉及商业秘密的内容有：</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 xml:space="preserve">6、以上事项如有虚假或者隐瞒，我方愿意承担一切后果，并不再寻求任何旨在减轻或者免除法律责任的辩解。 </w:t>
      </w:r>
    </w:p>
    <w:p>
      <w:pPr>
        <w:keepNext w:val="0"/>
        <w:keepLines w:val="0"/>
        <w:pageBreakBefore w:val="0"/>
        <w:widowControl w:val="0"/>
        <w:tabs>
          <w:tab w:val="left" w:pos="939"/>
        </w:tabs>
        <w:kinsoku/>
        <w:wordWrap/>
        <w:overflowPunct/>
        <w:topLinePunct w:val="0"/>
        <w:autoSpaceDE/>
        <w:autoSpaceDN/>
        <w:bidi w:val="0"/>
        <w:adjustRightInd/>
        <w:spacing w:line="440" w:lineRule="exact"/>
        <w:ind w:left="141" w:leftChars="67" w:firstLine="315" w:firstLineChars="150"/>
        <w:contextualSpacing/>
        <w:textAlignment w:val="auto"/>
        <w:rPr>
          <w:rFonts w:ascii="宋体" w:hAnsi="宋体" w:cs="宋体"/>
          <w:color w:val="auto"/>
          <w:szCs w:val="21"/>
          <w:highlight w:val="none"/>
        </w:rPr>
      </w:pPr>
      <w:r>
        <w:rPr>
          <w:rFonts w:hint="eastAsia" w:ascii="宋体" w:hAnsi="宋体" w:cs="宋体"/>
          <w:color w:val="auto"/>
          <w:szCs w:val="21"/>
          <w:highlight w:val="none"/>
        </w:rPr>
        <w:t>特此承诺。</w:t>
      </w:r>
    </w:p>
    <w:p>
      <w:pPr>
        <w:keepNext w:val="0"/>
        <w:keepLines w:val="0"/>
        <w:pageBreakBefore w:val="0"/>
        <w:widowControl w:val="0"/>
        <w:kinsoku/>
        <w:wordWrap/>
        <w:overflowPunct/>
        <w:topLinePunct w:val="0"/>
        <w:autoSpaceDE/>
        <w:autoSpaceDN/>
        <w:bidi w:val="0"/>
        <w:adjustRightInd/>
        <w:snapToGrid w:val="0"/>
        <w:spacing w:before="50" w:after="165" w:afterLines="50" w:line="440" w:lineRule="exact"/>
        <w:ind w:firstLine="181" w:firstLineChars="100"/>
        <w:jc w:val="left"/>
        <w:textAlignment w:val="auto"/>
        <w:rPr>
          <w:rFonts w:ascii="宋体" w:hAnsi="宋体"/>
          <w:color w:val="auto"/>
          <w:sz w:val="18"/>
          <w:szCs w:val="18"/>
          <w:highlight w:val="none"/>
        </w:rPr>
      </w:pPr>
      <w:r>
        <w:rPr>
          <w:rFonts w:hint="eastAsia" w:ascii="宋体" w:hAnsi="宋体"/>
          <w:b/>
          <w:color w:val="auto"/>
          <w:sz w:val="18"/>
          <w:szCs w:val="18"/>
          <w:highlight w:val="none"/>
        </w:rPr>
        <w:t xml:space="preserve">   注： 如为联合体投标，盖章处须加盖联合体各方公章，否则</w:t>
      </w:r>
      <w:r>
        <w:rPr>
          <w:rFonts w:hint="eastAsia" w:ascii="宋体" w:hAnsi="宋体" w:cs="宋体"/>
          <w:b/>
          <w:bCs/>
          <w:color w:val="auto"/>
          <w:sz w:val="18"/>
          <w:szCs w:val="18"/>
          <w:highlight w:val="none"/>
        </w:rPr>
        <w:t>其投标文件作无效响应处理</w:t>
      </w:r>
      <w:r>
        <w:rPr>
          <w:rFonts w:hint="eastAsia" w:ascii="宋体" w:hAnsi="宋体"/>
          <w:b/>
          <w:color w:val="auto"/>
          <w:sz w:val="18"/>
          <w:szCs w:val="18"/>
          <w:highlight w:val="none"/>
        </w:rPr>
        <w:t>。</w:t>
      </w:r>
    </w:p>
    <w:p>
      <w:pPr>
        <w:snapToGrid w:val="0"/>
        <w:spacing w:before="50" w:after="331" w:afterLines="100" w:line="360" w:lineRule="auto"/>
        <w:jc w:val="left"/>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before="50" w:after="331" w:afterLines="100" w:line="360" w:lineRule="auto"/>
        <w:ind w:left="7428" w:leftChars="2223" w:hanging="2760" w:hangingChars="1150"/>
        <w:jc w:val="left"/>
        <w:rPr>
          <w:rFonts w:hAnsi="宋体" w:cs="宋体"/>
          <w:b/>
          <w:bCs/>
          <w:color w:val="auto"/>
          <w:sz w:val="30"/>
          <w:szCs w:val="30"/>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投标人名称(盖公章)：</w:t>
      </w:r>
      <w:r>
        <w:rPr>
          <w:rFonts w:hint="eastAsia" w:ascii="宋体" w:hAnsi="宋体" w:cs="宋体"/>
          <w:color w:val="auto"/>
          <w:szCs w:val="21"/>
          <w:highlight w:val="none"/>
        </w:rPr>
        <w:t xml:space="preserve">                                     </w:t>
      </w:r>
      <w:r>
        <w:rPr>
          <w:rFonts w:hint="eastAsia" w:ascii="宋体" w:hAnsi="宋体" w:cs="宋体"/>
          <w:color w:val="auto"/>
          <w:sz w:val="24"/>
          <w:highlight w:val="none"/>
        </w:rPr>
        <w:t>年    月    日</w:t>
      </w:r>
    </w:p>
    <w:p>
      <w:pPr>
        <w:widowControl/>
        <w:jc w:val="left"/>
        <w:rPr>
          <w:rFonts w:ascii="宋体" w:hAnsi="宋体" w:cs="宋体"/>
          <w:b/>
          <w:bCs/>
          <w:color w:val="auto"/>
          <w:sz w:val="30"/>
          <w:szCs w:val="30"/>
          <w:highlight w:val="none"/>
        </w:rPr>
        <w:sectPr>
          <w:pgSz w:w="11906" w:h="16838"/>
          <w:pgMar w:top="1134" w:right="1134" w:bottom="1134" w:left="1134" w:header="720" w:footer="720" w:gutter="0"/>
          <w:cols w:space="720" w:num="1"/>
          <w:docGrid w:type="lines" w:linePitch="331" w:charSpace="0"/>
        </w:sectPr>
      </w:pPr>
    </w:p>
    <w:p>
      <w:pPr>
        <w:pStyle w:val="15"/>
        <w:rPr>
          <w:rFonts w:hAnsi="宋体" w:cs="宋体"/>
          <w:b/>
          <w:bCs/>
          <w:color w:val="auto"/>
          <w:sz w:val="28"/>
          <w:szCs w:val="28"/>
          <w:highlight w:val="none"/>
        </w:rPr>
      </w:pPr>
      <w:r>
        <w:rPr>
          <w:rFonts w:hint="eastAsia" w:hAnsi="宋体" w:cs="宋体"/>
          <w:b/>
          <w:bCs/>
          <w:color w:val="auto"/>
          <w:sz w:val="28"/>
          <w:szCs w:val="28"/>
          <w:highlight w:val="none"/>
        </w:rPr>
        <w:t>4.联合体投标协议书的格式：</w:t>
      </w:r>
    </w:p>
    <w:p>
      <w:pPr>
        <w:pStyle w:val="15"/>
        <w:jc w:val="center"/>
        <w:rPr>
          <w:rFonts w:hAnsi="宋体" w:cs="宋体"/>
          <w:color w:val="auto"/>
          <w:sz w:val="28"/>
          <w:szCs w:val="28"/>
          <w:highlight w:val="none"/>
        </w:rPr>
      </w:pPr>
      <w:r>
        <w:rPr>
          <w:rFonts w:hint="eastAsia" w:hAnsi="宋体" w:cs="宋体"/>
          <w:b/>
          <w:bCs/>
          <w:color w:val="auto"/>
          <w:sz w:val="28"/>
          <w:szCs w:val="28"/>
          <w:highlight w:val="none"/>
        </w:rPr>
        <w:t>联合体投标协议书</w:t>
      </w:r>
    </w:p>
    <w:p>
      <w:pPr>
        <w:autoSpaceDE w:val="0"/>
        <w:autoSpaceDN w:val="0"/>
        <w:adjustRightInd w:val="0"/>
        <w:jc w:val="left"/>
        <w:rPr>
          <w:rFonts w:ascii="宋体" w:hAnsi="宋体" w:cs="宋体"/>
          <w:color w:val="auto"/>
          <w:kern w:val="0"/>
          <w:szCs w:val="21"/>
          <w:highlight w:val="none"/>
          <w:u w:val="single"/>
        </w:rPr>
      </w:pPr>
    </w:p>
    <w:p>
      <w:pPr>
        <w:autoSpaceDE w:val="0"/>
        <w:autoSpaceDN w:val="0"/>
        <w:adjustRightIn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（所有成员单位名称）自愿组成联合体，共同参加</w:t>
      </w:r>
      <w:r>
        <w:rPr>
          <w:rFonts w:hint="eastAsia" w:ascii="宋体" w:hAnsi="宋体" w:cs="宋体"/>
          <w:color w:val="auto"/>
          <w:kern w:val="0"/>
          <w:szCs w:val="21"/>
          <w:highlight w:val="none"/>
          <w:u w:val="single"/>
        </w:rPr>
        <w:t xml:space="preserve">    </w:t>
      </w:r>
      <w:bookmarkStart w:id="279" w:name="PO_3000001919_PM031_1"/>
      <w:r>
        <w:rPr>
          <w:rFonts w:hint="eastAsia" w:ascii="宋体" w:hAnsi="宋体" w:cs="宋体"/>
          <w:color w:val="auto"/>
          <w:kern w:val="0"/>
          <w:szCs w:val="21"/>
          <w:highlight w:val="none"/>
          <w:u w:val="single"/>
        </w:rPr>
        <w:t>广西科联招标中心有限公司</w:t>
      </w:r>
      <w:bookmarkEnd w:id="279"/>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组织的</w:t>
      </w:r>
      <w:r>
        <w:rPr>
          <w:rFonts w:hint="eastAsia" w:ascii="宋体" w:hAnsi="宋体" w:cs="宋体"/>
          <w:color w:val="auto"/>
          <w:kern w:val="0"/>
          <w:szCs w:val="21"/>
          <w:highlight w:val="none"/>
          <w:u w:val="single"/>
        </w:rPr>
        <w:t xml:space="preserve">   </w:t>
      </w:r>
      <w:r>
        <w:rPr>
          <w:rFonts w:hint="eastAsia" w:ascii="宋体" w:hAnsi="宋体" w:cs="宋体"/>
          <w:i/>
          <w:iCs/>
          <w:color w:val="auto"/>
          <w:kern w:val="0"/>
          <w:szCs w:val="21"/>
          <w:highlight w:val="none"/>
          <w:u w:val="single"/>
        </w:rPr>
        <w:t>（项目名称）</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（项目编号：</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）投标。现就联合体投标事宜订立如下协议：</w:t>
      </w:r>
    </w:p>
    <w:p>
      <w:pPr>
        <w:autoSpaceDE w:val="0"/>
        <w:autoSpaceDN w:val="0"/>
        <w:adjustRightInd w:val="0"/>
        <w:spacing w:line="44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（某成员单位名称）为联合体名称牵头人。</w:t>
      </w:r>
    </w:p>
    <w:p>
      <w:pPr>
        <w:autoSpaceDE w:val="0"/>
        <w:autoSpaceDN w:val="0"/>
        <w:adjustRightInd w:val="0"/>
        <w:spacing w:line="44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pacing w:line="44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3、联合体牵头人在本项目中签署和盖章的一切文件和处理的一切事宜，联合体各成员均予以承认。 联合体各成员将严格按照招标文件、投标文件和合同的要求全面履行义务，并向采购人承担连带责任。</w:t>
      </w:r>
    </w:p>
    <w:p>
      <w:pPr>
        <w:autoSpaceDE w:val="0"/>
        <w:autoSpaceDN w:val="0"/>
        <w:adjustRightInd w:val="0"/>
        <w:spacing w:line="44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4、联合体各成员单位内部的职责分工如下：</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pStyle w:val="15"/>
        <w:spacing w:line="440" w:lineRule="exact"/>
        <w:ind w:firstLine="420" w:firstLineChars="200"/>
        <w:rPr>
          <w:rFonts w:hAnsi="宋体" w:cs="宋体"/>
          <w:color w:val="auto"/>
          <w:szCs w:val="21"/>
          <w:highlight w:val="none"/>
        </w:rPr>
      </w:pPr>
      <w:r>
        <w:rPr>
          <w:rFonts w:hint="eastAsia" w:hAnsi="宋体" w:cs="宋体"/>
          <w:color w:val="auto"/>
          <w:kern w:val="0"/>
          <w:highlight w:val="none"/>
        </w:rPr>
        <w:t>5、本联合体中，</w:t>
      </w:r>
      <w:r>
        <w:rPr>
          <w:rFonts w:hint="eastAsia" w:hAnsi="宋体" w:cs="宋体"/>
          <w:color w:val="auto"/>
          <w:kern w:val="0"/>
          <w:szCs w:val="21"/>
          <w:highlight w:val="none"/>
          <w:u w:val="single"/>
        </w:rPr>
        <w:t xml:space="preserve">                                   </w:t>
      </w:r>
      <w:r>
        <w:rPr>
          <w:rFonts w:hint="eastAsia" w:hAnsi="宋体" w:cs="宋体"/>
          <w:color w:val="auto"/>
          <w:kern w:val="0"/>
          <w:highlight w:val="none"/>
          <w:u w:val="single"/>
        </w:rPr>
        <w:t>（某成员单位名称）为</w:t>
      </w:r>
      <w:r>
        <w:rPr>
          <w:rFonts w:hint="eastAsia" w:hAnsi="宋体" w:cs="宋体"/>
          <w:color w:val="auto"/>
          <w:kern w:val="0"/>
          <w:szCs w:val="21"/>
          <w:highlight w:val="none"/>
          <w:u w:val="single"/>
        </w:rPr>
        <w:t xml:space="preserve">        </w:t>
      </w:r>
      <w:r>
        <w:rPr>
          <w:rFonts w:hint="eastAsia" w:hAnsi="宋体" w:cs="宋体"/>
          <w:color w:val="auto"/>
          <w:highlight w:val="none"/>
        </w:rPr>
        <w:t>（请填写：中型、小型、微型）企业，其协议合同金额占联合体协议合同总金额的</w:t>
      </w:r>
      <w:r>
        <w:rPr>
          <w:rFonts w:hint="eastAsia" w:hAnsi="宋体" w:cs="宋体"/>
          <w:color w:val="auto"/>
          <w:kern w:val="0"/>
          <w:szCs w:val="21"/>
          <w:highlight w:val="none"/>
          <w:u w:val="single"/>
        </w:rPr>
        <w:t xml:space="preserve">        </w:t>
      </w:r>
      <w:r>
        <w:rPr>
          <w:rFonts w:hint="eastAsia" w:hAnsi="宋体" w:cs="宋体"/>
          <w:color w:val="auto"/>
          <w:highlight w:val="none"/>
        </w:rPr>
        <w:t>%。【如联合体成员中有小型、微型企业的，请填写此条，否则无需填写；如联合体成员中有多个小型、微型企业的，请逐一列出。】</w:t>
      </w:r>
    </w:p>
    <w:p>
      <w:pPr>
        <w:autoSpaceDE w:val="0"/>
        <w:autoSpaceDN w:val="0"/>
        <w:adjustRightInd w:val="0"/>
        <w:spacing w:line="44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6、本协议书自签署之日起生效，合同履行完毕后自动失效。</w:t>
      </w:r>
    </w:p>
    <w:p>
      <w:pPr>
        <w:autoSpaceDE w:val="0"/>
        <w:autoSpaceDN w:val="0"/>
        <w:adjustRightInd w:val="0"/>
        <w:spacing w:line="44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7、本协议书一式</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份，联合体成员和采购代理机构各执一份。</w:t>
      </w:r>
    </w:p>
    <w:p>
      <w:pPr>
        <w:autoSpaceDE w:val="0"/>
        <w:autoSpaceDN w:val="0"/>
        <w:adjustRightInd w:val="0"/>
        <w:spacing w:line="44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注：本协议书由法定代表人签字的，应附法定代表人身份证明；本协议书由委托代理人签字的，应附法定代表人授权委托书。</w:t>
      </w:r>
    </w:p>
    <w:p>
      <w:pPr>
        <w:autoSpaceDE w:val="0"/>
        <w:autoSpaceDN w:val="0"/>
        <w:adjustRightIn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牵头人名称：</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（盖公章）</w:t>
      </w:r>
    </w:p>
    <w:p>
      <w:pPr>
        <w:autoSpaceDE w:val="0"/>
        <w:autoSpaceDN w:val="0"/>
        <w:adjustRightIn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法定代表人或其委托代理人：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（签字）</w:t>
      </w:r>
    </w:p>
    <w:p>
      <w:pPr>
        <w:autoSpaceDE w:val="0"/>
        <w:autoSpaceDN w:val="0"/>
        <w:adjustRightInd w:val="0"/>
        <w:spacing w:line="440" w:lineRule="exact"/>
        <w:jc w:val="left"/>
        <w:rPr>
          <w:rFonts w:ascii="宋体" w:hAnsi="宋体" w:cs="宋体"/>
          <w:color w:val="auto"/>
          <w:kern w:val="0"/>
          <w:szCs w:val="21"/>
          <w:highlight w:val="none"/>
        </w:rPr>
      </w:pPr>
    </w:p>
    <w:p>
      <w:pPr>
        <w:autoSpaceDE w:val="0"/>
        <w:autoSpaceDN w:val="0"/>
        <w:adjustRightIn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成员一名称：</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（盖公章）</w:t>
      </w:r>
    </w:p>
    <w:p>
      <w:pPr>
        <w:autoSpaceDE w:val="0"/>
        <w:autoSpaceDN w:val="0"/>
        <w:adjustRightIn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法定代表人或其委托代理人：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（签字）</w:t>
      </w:r>
    </w:p>
    <w:p>
      <w:pPr>
        <w:autoSpaceDE w:val="0"/>
        <w:autoSpaceDN w:val="0"/>
        <w:adjustRightInd w:val="0"/>
        <w:spacing w:line="440" w:lineRule="exact"/>
        <w:jc w:val="left"/>
        <w:rPr>
          <w:rFonts w:ascii="宋体" w:hAnsi="宋体" w:cs="宋体"/>
          <w:color w:val="auto"/>
          <w:kern w:val="0"/>
          <w:szCs w:val="21"/>
          <w:highlight w:val="none"/>
        </w:rPr>
      </w:pPr>
    </w:p>
    <w:p>
      <w:pPr>
        <w:autoSpaceDE w:val="0"/>
        <w:autoSpaceDN w:val="0"/>
        <w:adjustRightIn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成员二名称：</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（盖公章）</w:t>
      </w:r>
    </w:p>
    <w:p>
      <w:pPr>
        <w:pStyle w:val="15"/>
        <w:spacing w:line="440" w:lineRule="exact"/>
        <w:rPr>
          <w:rFonts w:hAnsi="宋体" w:cs="宋体"/>
          <w:color w:val="auto"/>
          <w:kern w:val="0"/>
          <w:szCs w:val="21"/>
          <w:highlight w:val="none"/>
        </w:rPr>
      </w:pPr>
      <w:r>
        <w:rPr>
          <w:rFonts w:hint="eastAsia" w:hAnsi="宋体" w:cs="宋体"/>
          <w:color w:val="auto"/>
          <w:kern w:val="0"/>
          <w:szCs w:val="21"/>
          <w:highlight w:val="none"/>
        </w:rPr>
        <w:t>法定代表人或其委托代理人：</w:t>
      </w:r>
      <w:r>
        <w:rPr>
          <w:rFonts w:hint="eastAsia" w:hAnsi="宋体" w:cs="宋体"/>
          <w:color w:val="auto"/>
          <w:kern w:val="0"/>
          <w:szCs w:val="21"/>
          <w:highlight w:val="none"/>
          <w:u w:val="single"/>
        </w:rPr>
        <w:t xml:space="preserve">                         </w:t>
      </w:r>
      <w:r>
        <w:rPr>
          <w:rFonts w:hint="eastAsia" w:hAnsi="宋体" w:cs="宋体"/>
          <w:color w:val="auto"/>
          <w:kern w:val="0"/>
          <w:szCs w:val="21"/>
          <w:highlight w:val="none"/>
        </w:rPr>
        <w:t>（签字）</w:t>
      </w:r>
    </w:p>
    <w:p>
      <w:pPr>
        <w:pStyle w:val="7"/>
        <w:overflowPunct w:val="0"/>
        <w:spacing w:line="440" w:lineRule="exact"/>
        <w:ind w:firstLineChars="175"/>
        <w:rPr>
          <w:rFonts w:ascii="宋体" w:hAnsi="宋体" w:cs="宋体"/>
          <w:color w:val="auto"/>
          <w:sz w:val="24"/>
          <w:highlight w:val="none"/>
        </w:rPr>
      </w:pPr>
      <w:r>
        <w:rPr>
          <w:rFonts w:hint="eastAsia" w:ascii="宋体" w:hAnsi="宋体" w:cs="宋体"/>
          <w:color w:val="auto"/>
          <w:sz w:val="24"/>
          <w:highlight w:val="none"/>
        </w:rPr>
        <w:t>……</w:t>
      </w:r>
    </w:p>
    <w:p>
      <w:pPr>
        <w:pStyle w:val="7"/>
        <w:overflowPunct w:val="0"/>
        <w:spacing w:line="480" w:lineRule="exact"/>
        <w:ind w:firstLineChars="175"/>
        <w:rPr>
          <w:rFonts w:ascii="宋体" w:hAnsi="宋体" w:cs="宋体"/>
          <w:color w:val="auto"/>
          <w:sz w:val="24"/>
          <w:highlight w:val="none"/>
        </w:rPr>
      </w:pPr>
    </w:p>
    <w:p>
      <w:pPr>
        <w:pStyle w:val="7"/>
        <w:overflowPunct w:val="0"/>
        <w:ind w:firstLine="7140" w:firstLineChars="2975"/>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rPr>
        <w:tab/>
      </w:r>
      <w:r>
        <w:rPr>
          <w:rFonts w:hint="eastAsia" w:ascii="宋体" w:hAnsi="宋体" w:cs="宋体"/>
          <w:color w:val="auto"/>
          <w:sz w:val="24"/>
          <w:highlight w:val="none"/>
        </w:rPr>
        <w:t xml:space="preserve">年  </w:t>
      </w:r>
      <w:r>
        <w:rPr>
          <w:rFonts w:hint="eastAsia" w:ascii="宋体" w:hAnsi="宋体" w:cs="宋体"/>
          <w:color w:val="auto"/>
          <w:sz w:val="24"/>
          <w:highlight w:val="none"/>
        </w:rPr>
        <w:tab/>
      </w:r>
      <w:r>
        <w:rPr>
          <w:rFonts w:hint="eastAsia" w:ascii="宋体" w:hAnsi="宋体" w:cs="宋体"/>
          <w:color w:val="auto"/>
          <w:sz w:val="24"/>
          <w:highlight w:val="none"/>
        </w:rPr>
        <w:t xml:space="preserve">月  </w:t>
      </w:r>
      <w:r>
        <w:rPr>
          <w:rFonts w:hint="eastAsia" w:ascii="宋体" w:hAnsi="宋体" w:cs="宋体"/>
          <w:color w:val="auto"/>
          <w:sz w:val="24"/>
          <w:highlight w:val="none"/>
        </w:rPr>
        <w:tab/>
      </w:r>
      <w:r>
        <w:rPr>
          <w:rFonts w:hint="eastAsia" w:ascii="宋体" w:hAnsi="宋体" w:cs="宋体"/>
          <w:color w:val="auto"/>
          <w:sz w:val="24"/>
          <w:highlight w:val="none"/>
        </w:rPr>
        <w:t>日</w:t>
      </w:r>
    </w:p>
    <w:p>
      <w:pPr>
        <w:pStyle w:val="15"/>
        <w:spacing w:line="600" w:lineRule="exact"/>
        <w:jc w:val="center"/>
        <w:rPr>
          <w:rFonts w:hAnsi="宋体" w:cs="宋体"/>
          <w:color w:val="auto"/>
          <w:highlight w:val="none"/>
        </w:rPr>
      </w:pPr>
    </w:p>
    <w:p>
      <w:pPr>
        <w:widowControl/>
        <w:spacing w:line="360" w:lineRule="auto"/>
        <w:jc w:val="left"/>
        <w:rPr>
          <w:rFonts w:ascii="宋体" w:hAnsi="宋体" w:cs="宋体"/>
          <w:color w:val="auto"/>
          <w:szCs w:val="21"/>
          <w:highlight w:val="none"/>
        </w:rPr>
        <w:sectPr>
          <w:pgSz w:w="11906" w:h="16838"/>
          <w:pgMar w:top="1134" w:right="1134" w:bottom="1134" w:left="1134" w:header="720" w:footer="720" w:gutter="0"/>
          <w:cols w:space="720" w:num="1"/>
          <w:docGrid w:type="lines" w:linePitch="331" w:charSpace="0"/>
        </w:sectPr>
      </w:pPr>
    </w:p>
    <w:p>
      <w:pPr>
        <w:pStyle w:val="15"/>
        <w:jc w:val="center"/>
        <w:outlineLvl w:val="1"/>
        <w:rPr>
          <w:rFonts w:hAnsi="宋体" w:cs="宋体"/>
          <w:color w:val="auto"/>
          <w:szCs w:val="21"/>
          <w:highlight w:val="none"/>
        </w:rPr>
      </w:pPr>
    </w:p>
    <w:p>
      <w:pPr>
        <w:pStyle w:val="15"/>
        <w:jc w:val="center"/>
        <w:outlineLvl w:val="1"/>
        <w:rPr>
          <w:rFonts w:hAnsi="宋体" w:cs="宋体"/>
          <w:b/>
          <w:bCs/>
          <w:color w:val="auto"/>
          <w:sz w:val="28"/>
          <w:szCs w:val="28"/>
          <w:highlight w:val="none"/>
        </w:rPr>
      </w:pPr>
      <w:bookmarkStart w:id="280" w:name="_Toc22991"/>
      <w:bookmarkStart w:id="281" w:name="_Toc13859"/>
      <w:bookmarkStart w:id="282" w:name="_Toc13558"/>
      <w:bookmarkStart w:id="283" w:name="_Toc19686838"/>
      <w:bookmarkStart w:id="284" w:name="_Toc15031"/>
      <w:bookmarkStart w:id="285" w:name="_Toc32555"/>
      <w:r>
        <w:rPr>
          <w:rFonts w:hint="eastAsia" w:hAnsi="宋体" w:cs="宋体"/>
          <w:b/>
          <w:bCs/>
          <w:color w:val="auto"/>
          <w:sz w:val="28"/>
          <w:szCs w:val="28"/>
          <w:highlight w:val="none"/>
        </w:rPr>
        <w:t>第二节 商务文件格式</w:t>
      </w:r>
      <w:bookmarkEnd w:id="280"/>
      <w:bookmarkEnd w:id="281"/>
      <w:bookmarkEnd w:id="282"/>
      <w:bookmarkEnd w:id="283"/>
      <w:bookmarkEnd w:id="284"/>
      <w:bookmarkEnd w:id="285"/>
    </w:p>
    <w:p>
      <w:pPr>
        <w:snapToGrid w:val="0"/>
        <w:spacing w:before="165" w:beforeLines="50" w:after="50"/>
        <w:rPr>
          <w:rFonts w:ascii="宋体" w:hAnsi="宋体" w:cs="宋体"/>
          <w:color w:val="auto"/>
          <w:sz w:val="30"/>
          <w:szCs w:val="20"/>
          <w:highlight w:val="none"/>
        </w:rPr>
      </w:pPr>
    </w:p>
    <w:p>
      <w:pPr>
        <w:snapToGrid w:val="0"/>
        <w:spacing w:before="165" w:beforeLines="50" w:after="50"/>
        <w:rPr>
          <w:rFonts w:ascii="宋体" w:hAnsi="宋体" w:cs="宋体"/>
          <w:b/>
          <w:color w:val="auto"/>
          <w:sz w:val="28"/>
          <w:szCs w:val="28"/>
          <w:highlight w:val="none"/>
        </w:rPr>
      </w:pPr>
      <w:r>
        <w:rPr>
          <w:rFonts w:hint="eastAsia" w:ascii="宋体" w:hAnsi="宋体" w:cs="宋体"/>
          <w:b/>
          <w:color w:val="auto"/>
          <w:sz w:val="28"/>
          <w:szCs w:val="28"/>
          <w:highlight w:val="none"/>
        </w:rPr>
        <w:t>1.商务文件封面的格式（参照此格式自拟）：</w:t>
      </w:r>
    </w:p>
    <w:p>
      <w:pPr>
        <w:pStyle w:val="2"/>
        <w:rPr>
          <w:color w:val="auto"/>
          <w:highlight w:val="none"/>
        </w:rPr>
      </w:pPr>
    </w:p>
    <w:p>
      <w:pPr>
        <w:snapToGrid w:val="0"/>
        <w:spacing w:before="165" w:beforeLines="50" w:after="50"/>
        <w:rPr>
          <w:rFonts w:ascii="宋体" w:hAnsi="宋体" w:cs="宋体"/>
          <w:bCs/>
          <w:color w:val="auto"/>
          <w:sz w:val="32"/>
          <w:szCs w:val="20"/>
          <w:highlight w:val="none"/>
        </w:rPr>
      </w:pPr>
      <w:r>
        <w:rPr>
          <w:rFonts w:hint="eastAsia" w:ascii="宋体" w:hAnsi="宋体" w:cs="宋体"/>
          <w:color w:val="auto"/>
          <w:sz w:val="24"/>
          <w:highlight w:val="none"/>
        </w:rPr>
        <w:t xml:space="preserve">                                                  </w:t>
      </w:r>
      <w:r>
        <w:rPr>
          <w:rFonts w:hint="eastAsia" w:ascii="宋体" w:hAnsi="宋体" w:cs="宋体"/>
          <w:bCs/>
          <w:color w:val="auto"/>
          <w:highlight w:val="none"/>
        </w:rPr>
        <w:t xml:space="preserve">             电子投标文件</w:t>
      </w:r>
    </w:p>
    <w:p>
      <w:pPr>
        <w:snapToGrid w:val="0"/>
        <w:spacing w:before="165" w:beforeLines="50" w:after="50"/>
        <w:rPr>
          <w:rFonts w:ascii="宋体" w:hAnsi="宋体" w:cs="宋体"/>
          <w:color w:val="auto"/>
          <w:sz w:val="24"/>
          <w:szCs w:val="20"/>
          <w:highlight w:val="none"/>
        </w:rPr>
      </w:pPr>
    </w:p>
    <w:p>
      <w:pPr>
        <w:snapToGrid w:val="0"/>
        <w:spacing w:before="165" w:beforeLines="50" w:after="50"/>
        <w:jc w:val="center"/>
        <w:rPr>
          <w:rFonts w:ascii="宋体" w:hAnsi="宋体" w:cs="宋体"/>
          <w:b/>
          <w:color w:val="auto"/>
          <w:sz w:val="32"/>
          <w:szCs w:val="32"/>
          <w:highlight w:val="none"/>
        </w:rPr>
      </w:pPr>
    </w:p>
    <w:p>
      <w:pPr>
        <w:snapToGrid w:val="0"/>
        <w:spacing w:before="165" w:beforeLines="50" w:after="50"/>
        <w:jc w:val="center"/>
        <w:rPr>
          <w:rFonts w:ascii="宋体" w:hAnsi="宋体" w:cs="宋体"/>
          <w:b/>
          <w:color w:val="auto"/>
          <w:sz w:val="24"/>
          <w:szCs w:val="20"/>
          <w:highlight w:val="none"/>
        </w:rPr>
      </w:pPr>
      <w:r>
        <w:rPr>
          <w:rFonts w:hint="eastAsia" w:ascii="宋体" w:hAnsi="宋体" w:cs="宋体"/>
          <w:b/>
          <w:color w:val="auto"/>
          <w:sz w:val="32"/>
          <w:szCs w:val="32"/>
          <w:highlight w:val="none"/>
        </w:rPr>
        <w:t>商务文件</w:t>
      </w:r>
    </w:p>
    <w:p>
      <w:pPr>
        <w:snapToGrid w:val="0"/>
        <w:spacing w:before="165" w:beforeLines="50" w:after="50"/>
        <w:rPr>
          <w:rFonts w:ascii="宋体" w:hAnsi="宋体" w:cs="宋体"/>
          <w:bCs/>
          <w:color w:val="auto"/>
          <w:sz w:val="24"/>
          <w:szCs w:val="20"/>
          <w:highlight w:val="none"/>
        </w:rPr>
      </w:pPr>
    </w:p>
    <w:p>
      <w:pPr>
        <w:snapToGrid w:val="0"/>
        <w:spacing w:before="165" w:beforeLines="50" w:after="50"/>
        <w:ind w:firstLine="540" w:firstLineChars="225"/>
        <w:rPr>
          <w:rFonts w:ascii="宋体" w:hAnsi="宋体" w:cs="宋体"/>
          <w:bCs/>
          <w:color w:val="auto"/>
          <w:sz w:val="24"/>
          <w:highlight w:val="none"/>
        </w:rPr>
      </w:pPr>
    </w:p>
    <w:p>
      <w:pPr>
        <w:snapToGrid w:val="0"/>
        <w:spacing w:before="165" w:beforeLines="50" w:after="50"/>
        <w:ind w:firstLine="540" w:firstLineChars="225"/>
        <w:rPr>
          <w:rFonts w:ascii="宋体" w:hAnsi="宋体" w:cs="宋体"/>
          <w:bCs/>
          <w:color w:val="auto"/>
          <w:sz w:val="24"/>
          <w:highlight w:val="none"/>
        </w:rPr>
      </w:pPr>
    </w:p>
    <w:p>
      <w:pPr>
        <w:snapToGrid w:val="0"/>
        <w:spacing w:before="165" w:beforeLines="50" w:after="50"/>
        <w:ind w:firstLine="540" w:firstLineChars="225"/>
        <w:rPr>
          <w:rFonts w:ascii="宋体" w:hAnsi="宋体" w:cs="宋体"/>
          <w:bCs/>
          <w:color w:val="auto"/>
          <w:sz w:val="24"/>
          <w:highlight w:val="none"/>
        </w:rPr>
      </w:pPr>
      <w:r>
        <w:rPr>
          <w:rFonts w:hint="eastAsia" w:ascii="宋体" w:hAnsi="宋体" w:cs="宋体"/>
          <w:bCs/>
          <w:color w:val="auto"/>
          <w:sz w:val="24"/>
          <w:highlight w:val="none"/>
        </w:rPr>
        <w:t>项目名称：</w:t>
      </w:r>
    </w:p>
    <w:p>
      <w:pPr>
        <w:snapToGrid w:val="0"/>
        <w:spacing w:before="165" w:beforeLines="50" w:after="50"/>
        <w:ind w:firstLine="540" w:firstLineChars="225"/>
        <w:rPr>
          <w:rFonts w:ascii="宋体" w:hAnsi="宋体" w:cs="宋体"/>
          <w:bCs/>
          <w:color w:val="auto"/>
          <w:sz w:val="24"/>
          <w:szCs w:val="20"/>
          <w:highlight w:val="none"/>
        </w:rPr>
      </w:pPr>
    </w:p>
    <w:p>
      <w:pPr>
        <w:snapToGrid w:val="0"/>
        <w:spacing w:before="165" w:beforeLines="50" w:after="50"/>
        <w:ind w:firstLine="540" w:firstLineChars="225"/>
        <w:rPr>
          <w:rFonts w:ascii="宋体" w:hAnsi="宋体" w:cs="宋体"/>
          <w:bCs/>
          <w:color w:val="auto"/>
          <w:sz w:val="24"/>
          <w:highlight w:val="none"/>
        </w:rPr>
      </w:pPr>
      <w:r>
        <w:rPr>
          <w:rFonts w:hint="eastAsia" w:ascii="宋体" w:hAnsi="宋体" w:cs="宋体"/>
          <w:bCs/>
          <w:color w:val="auto"/>
          <w:sz w:val="24"/>
          <w:highlight w:val="none"/>
        </w:rPr>
        <w:t>项目编号：</w:t>
      </w:r>
    </w:p>
    <w:p>
      <w:pPr>
        <w:snapToGrid w:val="0"/>
        <w:spacing w:before="165" w:beforeLines="50" w:after="50"/>
        <w:ind w:firstLine="540" w:firstLineChars="225"/>
        <w:rPr>
          <w:rFonts w:ascii="宋体" w:hAnsi="宋体" w:cs="宋体"/>
          <w:bCs/>
          <w:color w:val="auto"/>
          <w:sz w:val="24"/>
          <w:szCs w:val="20"/>
          <w:highlight w:val="none"/>
        </w:rPr>
      </w:pPr>
      <w:r>
        <w:rPr>
          <w:rFonts w:hint="eastAsia" w:ascii="宋体" w:hAnsi="宋体" w:cs="宋体"/>
          <w:bCs/>
          <w:color w:val="auto"/>
          <w:sz w:val="24"/>
          <w:highlight w:val="none"/>
        </w:rPr>
        <w:t xml:space="preserve"> </w:t>
      </w:r>
    </w:p>
    <w:p>
      <w:pPr>
        <w:snapToGrid w:val="0"/>
        <w:spacing w:before="165" w:beforeLines="50" w:after="50"/>
        <w:ind w:firstLine="540" w:firstLineChars="225"/>
        <w:rPr>
          <w:rFonts w:ascii="宋体" w:hAnsi="宋体" w:cs="宋体"/>
          <w:bCs/>
          <w:color w:val="auto"/>
          <w:sz w:val="24"/>
          <w:highlight w:val="none"/>
        </w:rPr>
      </w:pPr>
      <w:r>
        <w:rPr>
          <w:rFonts w:hint="eastAsia" w:ascii="宋体" w:hAnsi="宋体" w:cs="宋体"/>
          <w:bCs/>
          <w:color w:val="auto"/>
          <w:sz w:val="24"/>
          <w:highlight w:val="none"/>
        </w:rPr>
        <w:t>所投分标（如有则填写，无分标时填写“无”或者留空）：</w:t>
      </w:r>
    </w:p>
    <w:p>
      <w:pPr>
        <w:snapToGrid w:val="0"/>
        <w:spacing w:before="165" w:beforeLines="50" w:after="50"/>
        <w:ind w:firstLine="540" w:firstLineChars="225"/>
        <w:rPr>
          <w:rFonts w:ascii="宋体" w:hAnsi="宋体" w:cs="宋体"/>
          <w:bCs/>
          <w:color w:val="auto"/>
          <w:sz w:val="24"/>
          <w:szCs w:val="20"/>
          <w:highlight w:val="none"/>
        </w:rPr>
      </w:pPr>
    </w:p>
    <w:p>
      <w:pPr>
        <w:pStyle w:val="7"/>
        <w:snapToGrid w:val="0"/>
        <w:spacing w:before="50" w:after="50"/>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投标人名称：</w:t>
      </w:r>
    </w:p>
    <w:p>
      <w:pPr>
        <w:pStyle w:val="7"/>
        <w:snapToGrid w:val="0"/>
        <w:spacing w:before="50" w:after="50"/>
        <w:ind w:firstLine="540" w:firstLineChars="225"/>
        <w:rPr>
          <w:rFonts w:ascii="宋体" w:hAnsi="宋体" w:cs="宋体"/>
          <w:bCs/>
          <w:color w:val="auto"/>
          <w:sz w:val="24"/>
          <w:szCs w:val="24"/>
          <w:highlight w:val="none"/>
        </w:rPr>
      </w:pPr>
    </w:p>
    <w:p>
      <w:pPr>
        <w:pStyle w:val="7"/>
        <w:snapToGrid w:val="0"/>
        <w:spacing w:before="50" w:after="50"/>
        <w:ind w:firstLine="960" w:firstLineChars="400"/>
        <w:rPr>
          <w:rFonts w:ascii="宋体" w:hAnsi="宋体" w:cs="宋体"/>
          <w:bCs/>
          <w:color w:val="auto"/>
          <w:sz w:val="24"/>
          <w:szCs w:val="24"/>
          <w:highlight w:val="none"/>
        </w:rPr>
      </w:pPr>
    </w:p>
    <w:p>
      <w:pPr>
        <w:snapToGrid w:val="0"/>
        <w:spacing w:before="165" w:beforeLines="50" w:after="50"/>
        <w:ind w:firstLine="645"/>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before="165" w:beforeLines="50" w:after="50"/>
        <w:ind w:firstLine="645"/>
        <w:rPr>
          <w:rFonts w:ascii="宋体" w:hAnsi="宋体" w:cs="宋体"/>
          <w:color w:val="auto"/>
          <w:sz w:val="24"/>
          <w:highlight w:val="none"/>
        </w:rPr>
      </w:pPr>
    </w:p>
    <w:p>
      <w:pPr>
        <w:snapToGrid w:val="0"/>
        <w:spacing w:before="165" w:beforeLines="50" w:after="50"/>
        <w:ind w:firstLine="4329" w:firstLineChars="1804"/>
        <w:rPr>
          <w:rFonts w:ascii="宋体" w:hAnsi="宋体" w:cs="宋体"/>
          <w:color w:val="auto"/>
          <w:sz w:val="24"/>
          <w:highlight w:val="none"/>
        </w:rPr>
      </w:pPr>
      <w:r>
        <w:rPr>
          <w:rFonts w:hint="eastAsia" w:ascii="宋体" w:hAnsi="宋体" w:cs="宋体"/>
          <w:color w:val="auto"/>
          <w:sz w:val="24"/>
          <w:highlight w:val="none"/>
        </w:rPr>
        <w:t>年   月   日</w:t>
      </w:r>
    </w:p>
    <w:p>
      <w:pPr>
        <w:snapToGrid w:val="0"/>
        <w:spacing w:before="165" w:beforeLines="50" w:after="50"/>
        <w:rPr>
          <w:rFonts w:ascii="宋体" w:hAnsi="宋体" w:cs="宋体"/>
          <w:color w:val="auto"/>
          <w:sz w:val="24"/>
          <w:szCs w:val="20"/>
          <w:highlight w:val="none"/>
        </w:rPr>
      </w:pPr>
      <w:r>
        <w:rPr>
          <w:rFonts w:hint="eastAsia" w:ascii="宋体" w:hAnsi="宋体" w:cs="宋体"/>
          <w:color w:val="auto"/>
          <w:sz w:val="24"/>
          <w:szCs w:val="20"/>
          <w:highlight w:val="none"/>
        </w:rPr>
        <w:t xml:space="preserve"> </w:t>
      </w:r>
    </w:p>
    <w:p>
      <w:pPr>
        <w:spacing w:line="360" w:lineRule="auto"/>
        <w:ind w:right="420"/>
        <w:rPr>
          <w:rFonts w:ascii="宋体" w:hAnsi="宋体" w:cs="宋体"/>
          <w:color w:val="auto"/>
          <w:sz w:val="24"/>
          <w:szCs w:val="20"/>
          <w:highlight w:val="none"/>
        </w:rPr>
      </w:pPr>
    </w:p>
    <w:p>
      <w:pPr>
        <w:spacing w:line="360" w:lineRule="auto"/>
        <w:ind w:right="420"/>
        <w:rPr>
          <w:rFonts w:ascii="宋体" w:hAnsi="宋体" w:cs="宋体"/>
          <w:color w:val="auto"/>
          <w:sz w:val="24"/>
          <w:szCs w:val="20"/>
          <w:highlight w:val="none"/>
        </w:rPr>
      </w:pPr>
    </w:p>
    <w:p>
      <w:pPr>
        <w:spacing w:line="360" w:lineRule="auto"/>
        <w:ind w:right="420"/>
        <w:rPr>
          <w:rFonts w:ascii="宋体" w:hAnsi="宋体" w:cs="宋体"/>
          <w:color w:val="auto"/>
          <w:sz w:val="24"/>
          <w:szCs w:val="20"/>
          <w:highlight w:val="none"/>
        </w:rPr>
      </w:pPr>
    </w:p>
    <w:p>
      <w:pPr>
        <w:spacing w:line="360" w:lineRule="auto"/>
        <w:ind w:right="420"/>
        <w:rPr>
          <w:rFonts w:ascii="宋体" w:hAnsi="宋体" w:cs="宋体"/>
          <w:color w:val="auto"/>
          <w:sz w:val="24"/>
          <w:szCs w:val="20"/>
          <w:highlight w:val="none"/>
        </w:rPr>
      </w:pPr>
    </w:p>
    <w:p>
      <w:pPr>
        <w:spacing w:line="360" w:lineRule="auto"/>
        <w:ind w:right="420"/>
        <w:rPr>
          <w:rFonts w:ascii="宋体" w:hAnsi="宋体" w:cs="宋体"/>
          <w:color w:val="auto"/>
          <w:sz w:val="24"/>
          <w:szCs w:val="20"/>
          <w:highlight w:val="none"/>
        </w:rPr>
      </w:pPr>
    </w:p>
    <w:p>
      <w:pPr>
        <w:spacing w:line="360" w:lineRule="auto"/>
        <w:ind w:right="420"/>
        <w:rPr>
          <w:rFonts w:ascii="宋体" w:hAnsi="宋体" w:cs="宋体"/>
          <w:color w:val="auto"/>
          <w:sz w:val="24"/>
          <w:szCs w:val="20"/>
          <w:highlight w:val="none"/>
        </w:rPr>
      </w:pPr>
      <w:r>
        <w:rPr>
          <w:rFonts w:hint="eastAsia" w:ascii="宋体" w:hAnsi="宋体" w:cs="宋体"/>
          <w:b/>
          <w:bCs/>
          <w:color w:val="auto"/>
          <w:sz w:val="28"/>
          <w:szCs w:val="28"/>
          <w:highlight w:val="none"/>
        </w:rPr>
        <w:t>2.商务文件目录</w:t>
      </w:r>
    </w:p>
    <w:p>
      <w:pPr>
        <w:spacing w:line="360" w:lineRule="auto"/>
        <w:ind w:right="420"/>
        <w:rPr>
          <w:rFonts w:ascii="宋体" w:hAnsi="宋体" w:cs="宋体"/>
          <w:b/>
          <w:color w:val="auto"/>
          <w:kern w:val="0"/>
          <w:sz w:val="36"/>
          <w:szCs w:val="36"/>
          <w:highlight w:val="none"/>
        </w:rPr>
      </w:pPr>
      <w:r>
        <w:rPr>
          <w:rFonts w:hint="eastAsia" w:ascii="宋体" w:hAnsi="宋体" w:cs="宋体"/>
          <w:color w:val="auto"/>
          <w:kern w:val="0"/>
          <w:sz w:val="24"/>
          <w:highlight w:val="none"/>
        </w:rPr>
        <w:t>根据招标文件规定及投标人提供的材料自行编写目录（部分格式后附）。</w:t>
      </w:r>
    </w:p>
    <w:p>
      <w:pPr>
        <w:rPr>
          <w:rFonts w:ascii="宋体" w:hAnsi="宋体" w:cs="宋体"/>
          <w:b/>
          <w:color w:val="auto"/>
          <w:kern w:val="0"/>
          <w:sz w:val="24"/>
          <w:highlight w:val="none"/>
        </w:rPr>
      </w:pPr>
    </w:p>
    <w:p>
      <w:pPr>
        <w:spacing w:line="360" w:lineRule="auto"/>
        <w:rPr>
          <w:rFonts w:ascii="宋体" w:hAnsi="宋体" w:cs="宋体"/>
          <w:b/>
          <w:bCs/>
          <w:color w:val="auto"/>
          <w:sz w:val="24"/>
          <w:highlight w:val="none"/>
        </w:rPr>
      </w:pPr>
    </w:p>
    <w:p>
      <w:pPr>
        <w:widowControl/>
        <w:spacing w:line="360" w:lineRule="auto"/>
        <w:jc w:val="left"/>
        <w:rPr>
          <w:rFonts w:ascii="宋体" w:hAnsi="宋体" w:cs="宋体"/>
          <w:color w:val="auto"/>
          <w:highlight w:val="none"/>
        </w:rPr>
        <w:sectPr>
          <w:pgSz w:w="11906" w:h="16838"/>
          <w:pgMar w:top="1134" w:right="1134" w:bottom="1134" w:left="1134" w:header="720" w:footer="720" w:gutter="0"/>
          <w:cols w:space="720" w:num="1"/>
          <w:docGrid w:type="lines" w:linePitch="331" w:charSpace="0"/>
        </w:sectPr>
      </w:pPr>
    </w:p>
    <w:p>
      <w:pPr>
        <w:snapToGrid w:val="0"/>
        <w:spacing w:before="120" w:beforeLines="50" w:after="50"/>
        <w:rPr>
          <w:rFonts w:ascii="宋体" w:hAnsi="宋体" w:cs="宋体"/>
          <w:b/>
          <w:bCs/>
          <w:color w:val="auto"/>
          <w:sz w:val="28"/>
          <w:szCs w:val="28"/>
          <w:highlight w:val="none"/>
        </w:rPr>
      </w:pPr>
      <w:r>
        <w:rPr>
          <w:rFonts w:hint="eastAsia" w:ascii="宋体" w:hAnsi="宋体" w:cs="宋体"/>
          <w:b/>
          <w:bCs/>
          <w:color w:val="auto"/>
          <w:sz w:val="28"/>
          <w:szCs w:val="28"/>
          <w:highlight w:val="none"/>
        </w:rPr>
        <w:t>3.无串通投标行为的承诺函的格式：</w:t>
      </w:r>
    </w:p>
    <w:p>
      <w:pPr>
        <w:snapToGrid w:val="0"/>
        <w:spacing w:before="120" w:beforeLines="50" w:after="50"/>
        <w:ind w:left="420"/>
        <w:jc w:val="center"/>
        <w:rPr>
          <w:rFonts w:ascii="宋体" w:hAnsi="宋体" w:cs="宋体"/>
          <w:b/>
          <w:color w:val="auto"/>
          <w:sz w:val="28"/>
          <w:szCs w:val="28"/>
          <w:highlight w:val="none"/>
        </w:rPr>
      </w:pPr>
    </w:p>
    <w:p>
      <w:pPr>
        <w:snapToGrid w:val="0"/>
        <w:spacing w:before="120" w:beforeLines="50" w:after="50"/>
        <w:ind w:left="420"/>
        <w:jc w:val="center"/>
        <w:rPr>
          <w:rFonts w:ascii="宋体" w:hAnsi="宋体" w:cs="宋体"/>
          <w:b/>
          <w:color w:val="auto"/>
          <w:sz w:val="28"/>
          <w:szCs w:val="28"/>
          <w:highlight w:val="none"/>
        </w:rPr>
      </w:pPr>
      <w:r>
        <w:rPr>
          <w:rFonts w:hint="eastAsia" w:ascii="宋体" w:hAnsi="宋体" w:cs="宋体"/>
          <w:b/>
          <w:color w:val="auto"/>
          <w:sz w:val="28"/>
          <w:szCs w:val="28"/>
          <w:highlight w:val="none"/>
        </w:rPr>
        <w:t>参加本项目无</w:t>
      </w:r>
      <w:r>
        <w:rPr>
          <w:rFonts w:hint="eastAsia" w:ascii="宋体" w:hAnsi="宋体" w:cs="宋体"/>
          <w:b/>
          <w:bCs/>
          <w:color w:val="auto"/>
          <w:sz w:val="28"/>
          <w:szCs w:val="28"/>
          <w:highlight w:val="none"/>
        </w:rPr>
        <w:t>串通投标</w:t>
      </w:r>
      <w:r>
        <w:rPr>
          <w:rFonts w:hint="eastAsia" w:ascii="宋体" w:hAnsi="宋体" w:cs="宋体"/>
          <w:b/>
          <w:color w:val="auto"/>
          <w:sz w:val="28"/>
          <w:szCs w:val="28"/>
          <w:highlight w:val="none"/>
        </w:rPr>
        <w:t>行为的承诺函</w:t>
      </w:r>
    </w:p>
    <w:p>
      <w:pPr>
        <w:snapToGrid w:val="0"/>
        <w:spacing w:before="120" w:beforeLines="50" w:after="50"/>
        <w:rPr>
          <w:rFonts w:ascii="宋体" w:hAnsi="宋体" w:cs="宋体"/>
          <w:b/>
          <w:color w:val="auto"/>
          <w:szCs w:val="21"/>
          <w:highlight w:val="none"/>
        </w:rPr>
      </w:pPr>
    </w:p>
    <w:p>
      <w:pPr>
        <w:snapToGrid w:val="0"/>
        <w:spacing w:before="120" w:beforeLines="50" w:after="50" w:line="360" w:lineRule="auto"/>
        <w:jc w:val="left"/>
        <w:rPr>
          <w:rFonts w:ascii="宋体" w:hAnsi="宋体" w:cs="宋体"/>
          <w:b/>
          <w:color w:val="auto"/>
          <w:szCs w:val="21"/>
          <w:highlight w:val="none"/>
        </w:rPr>
      </w:pPr>
      <w:r>
        <w:rPr>
          <w:rFonts w:hint="eastAsia" w:ascii="宋体" w:hAnsi="宋体" w:cs="宋体"/>
          <w:b/>
          <w:color w:val="auto"/>
          <w:szCs w:val="21"/>
          <w:highlight w:val="none"/>
        </w:rPr>
        <w:t>一、我方承诺无下列相互串通投标的情形：</w:t>
      </w:r>
    </w:p>
    <w:p>
      <w:pPr>
        <w:snapToGrid w:val="0"/>
        <w:spacing w:before="120" w:beforeLines="50" w:after="50" w:line="360" w:lineRule="auto"/>
        <w:ind w:firstLine="411" w:firstLineChars="196"/>
        <w:jc w:val="left"/>
        <w:rPr>
          <w:rFonts w:ascii="宋体" w:hAnsi="宋体" w:cs="宋体"/>
          <w:color w:val="auto"/>
          <w:szCs w:val="21"/>
          <w:highlight w:val="none"/>
        </w:rPr>
      </w:pPr>
      <w:r>
        <w:rPr>
          <w:rFonts w:hint="eastAsia" w:ascii="宋体" w:hAnsi="宋体" w:cs="宋体"/>
          <w:color w:val="auto"/>
          <w:szCs w:val="21"/>
          <w:highlight w:val="none"/>
        </w:rPr>
        <w:t>1.不同投标人的投标文件由同一单位或者个人编制；或者不同投标人报名的IP地址一致的；</w:t>
      </w:r>
    </w:p>
    <w:p>
      <w:pPr>
        <w:snapToGrid w:val="0"/>
        <w:spacing w:before="120" w:beforeLines="50" w:after="50" w:line="360" w:lineRule="auto"/>
        <w:ind w:firstLine="411" w:firstLineChars="196"/>
        <w:jc w:val="left"/>
        <w:rPr>
          <w:rFonts w:ascii="宋体" w:hAnsi="宋体" w:cs="宋体"/>
          <w:color w:val="auto"/>
          <w:szCs w:val="21"/>
          <w:highlight w:val="none"/>
        </w:rPr>
      </w:pPr>
      <w:r>
        <w:rPr>
          <w:rFonts w:hint="eastAsia" w:ascii="宋体" w:hAnsi="宋体" w:cs="宋体"/>
          <w:color w:val="auto"/>
          <w:szCs w:val="21"/>
          <w:highlight w:val="none"/>
        </w:rPr>
        <w:t>2.不同投标人委托同一单位或者个人办理投标事宜；</w:t>
      </w:r>
    </w:p>
    <w:p>
      <w:pPr>
        <w:snapToGrid w:val="0"/>
        <w:spacing w:before="120" w:beforeLines="50" w:after="50" w:line="360" w:lineRule="auto"/>
        <w:ind w:firstLine="411" w:firstLineChars="196"/>
        <w:jc w:val="left"/>
        <w:rPr>
          <w:rFonts w:ascii="宋体" w:hAnsi="宋体" w:cs="宋体"/>
          <w:color w:val="auto"/>
          <w:szCs w:val="21"/>
          <w:highlight w:val="none"/>
        </w:rPr>
      </w:pPr>
      <w:r>
        <w:rPr>
          <w:rFonts w:hint="eastAsia" w:ascii="宋体" w:hAnsi="宋体" w:cs="宋体"/>
          <w:color w:val="auto"/>
          <w:szCs w:val="21"/>
          <w:highlight w:val="none"/>
        </w:rPr>
        <w:t>3.不同的投标人的投标文件载明的项目管理员为同一个人；</w:t>
      </w:r>
    </w:p>
    <w:p>
      <w:pPr>
        <w:snapToGrid w:val="0"/>
        <w:spacing w:before="120" w:beforeLines="50" w:after="50" w:line="360" w:lineRule="auto"/>
        <w:ind w:firstLine="411" w:firstLineChars="196"/>
        <w:jc w:val="left"/>
        <w:rPr>
          <w:rFonts w:ascii="宋体" w:hAnsi="宋体" w:cs="宋体"/>
          <w:color w:val="auto"/>
          <w:szCs w:val="21"/>
          <w:highlight w:val="none"/>
        </w:rPr>
      </w:pPr>
      <w:r>
        <w:rPr>
          <w:rFonts w:hint="eastAsia" w:ascii="宋体" w:hAnsi="宋体" w:cs="宋体"/>
          <w:color w:val="auto"/>
          <w:szCs w:val="21"/>
          <w:highlight w:val="none"/>
        </w:rPr>
        <w:t>4.不同投标人的投标文件异常一致或者投标报价呈规律性差异；</w:t>
      </w:r>
    </w:p>
    <w:p>
      <w:pPr>
        <w:snapToGrid w:val="0"/>
        <w:spacing w:before="120" w:beforeLines="50" w:after="50" w:line="360" w:lineRule="auto"/>
        <w:ind w:firstLine="411" w:firstLineChars="196"/>
        <w:jc w:val="left"/>
        <w:rPr>
          <w:rFonts w:ascii="宋体" w:hAnsi="宋体" w:cs="宋体"/>
          <w:color w:val="auto"/>
          <w:szCs w:val="21"/>
          <w:highlight w:val="none"/>
        </w:rPr>
      </w:pPr>
      <w:r>
        <w:rPr>
          <w:rFonts w:hint="eastAsia" w:ascii="宋体" w:hAnsi="宋体" w:cs="宋体"/>
          <w:color w:val="auto"/>
          <w:szCs w:val="21"/>
          <w:highlight w:val="none"/>
        </w:rPr>
        <w:t>5.不同投标人的投标文件相互混装；</w:t>
      </w:r>
    </w:p>
    <w:p>
      <w:pPr>
        <w:snapToGrid w:val="0"/>
        <w:spacing w:before="120" w:beforeLines="50" w:after="50" w:line="360" w:lineRule="auto"/>
        <w:ind w:firstLine="411" w:firstLineChars="196"/>
        <w:jc w:val="left"/>
        <w:rPr>
          <w:rFonts w:ascii="宋体" w:hAnsi="宋体" w:cs="宋体"/>
          <w:color w:val="auto"/>
          <w:szCs w:val="21"/>
          <w:highlight w:val="none"/>
        </w:rPr>
      </w:pPr>
      <w:r>
        <w:rPr>
          <w:rFonts w:ascii="宋体" w:hAnsi="宋体" w:cs="宋体"/>
          <w:color w:val="auto"/>
          <w:szCs w:val="21"/>
          <w:highlight w:val="none"/>
        </w:rPr>
        <w:t>6</w:t>
      </w:r>
      <w:r>
        <w:rPr>
          <w:rFonts w:hint="eastAsia" w:ascii="宋体" w:hAnsi="宋体" w:cs="宋体"/>
          <w:color w:val="auto"/>
          <w:szCs w:val="21"/>
          <w:highlight w:val="none"/>
        </w:rPr>
        <w:t>.不同投标人的投标保证金从同一单位或者个人账户转出。</w:t>
      </w:r>
    </w:p>
    <w:p>
      <w:pPr>
        <w:snapToGrid w:val="0"/>
        <w:spacing w:before="120" w:beforeLines="50" w:after="50" w:line="360" w:lineRule="auto"/>
        <w:jc w:val="left"/>
        <w:rPr>
          <w:rFonts w:ascii="宋体" w:hAnsi="宋体" w:cs="宋体"/>
          <w:color w:val="auto"/>
          <w:szCs w:val="21"/>
          <w:highlight w:val="none"/>
        </w:rPr>
      </w:pPr>
      <w:r>
        <w:rPr>
          <w:rFonts w:hint="eastAsia" w:ascii="宋体" w:hAnsi="宋体" w:cs="宋体"/>
          <w:b/>
          <w:color w:val="auto"/>
          <w:szCs w:val="21"/>
          <w:highlight w:val="none"/>
        </w:rPr>
        <w:t>二、我方承诺无下列恶意串通的情形：</w:t>
      </w:r>
    </w:p>
    <w:p>
      <w:pPr>
        <w:snapToGrid w:val="0"/>
        <w:spacing w:before="120" w:beforeLines="50" w:after="50" w:line="360" w:lineRule="auto"/>
        <w:ind w:firstLine="411" w:firstLineChars="196"/>
        <w:jc w:val="left"/>
        <w:rPr>
          <w:rFonts w:ascii="宋体" w:hAnsi="宋体" w:cs="宋体"/>
          <w:color w:val="auto"/>
          <w:szCs w:val="21"/>
          <w:highlight w:val="none"/>
        </w:rPr>
      </w:pPr>
      <w:r>
        <w:rPr>
          <w:rFonts w:hint="eastAsia" w:ascii="宋体" w:hAnsi="宋体" w:cs="宋体"/>
          <w:color w:val="auto"/>
          <w:szCs w:val="21"/>
          <w:highlight w:val="none"/>
        </w:rPr>
        <w:t>1.投标人直接或者间接从采购人或者采购代理机构处获得其他投标人的相关信息并修改其投标文件；</w:t>
      </w:r>
    </w:p>
    <w:p>
      <w:pPr>
        <w:snapToGrid w:val="0"/>
        <w:spacing w:before="120" w:beforeLines="50" w:after="50" w:line="360" w:lineRule="auto"/>
        <w:ind w:firstLine="411" w:firstLineChars="196"/>
        <w:jc w:val="left"/>
        <w:rPr>
          <w:rFonts w:ascii="宋体" w:hAnsi="宋体" w:cs="宋体"/>
          <w:color w:val="auto"/>
          <w:szCs w:val="21"/>
          <w:highlight w:val="none"/>
        </w:rPr>
      </w:pPr>
      <w:r>
        <w:rPr>
          <w:rFonts w:hint="eastAsia" w:ascii="宋体" w:hAnsi="宋体" w:cs="宋体"/>
          <w:color w:val="auto"/>
          <w:szCs w:val="21"/>
          <w:highlight w:val="none"/>
        </w:rPr>
        <w:t>2.投标人按照采购人或者采购代理机构的授意撤换、修改投标文件；</w:t>
      </w:r>
    </w:p>
    <w:p>
      <w:pPr>
        <w:snapToGrid w:val="0"/>
        <w:spacing w:before="120" w:beforeLines="50" w:after="50" w:line="360" w:lineRule="auto"/>
        <w:ind w:firstLine="411" w:firstLineChars="196"/>
        <w:jc w:val="left"/>
        <w:rPr>
          <w:rFonts w:ascii="宋体" w:hAnsi="宋体" w:cs="宋体"/>
          <w:color w:val="auto"/>
          <w:szCs w:val="21"/>
          <w:highlight w:val="none"/>
        </w:rPr>
      </w:pPr>
      <w:r>
        <w:rPr>
          <w:rFonts w:hint="eastAsia" w:ascii="宋体" w:hAnsi="宋体" w:cs="宋体"/>
          <w:color w:val="auto"/>
          <w:szCs w:val="21"/>
          <w:highlight w:val="none"/>
        </w:rPr>
        <w:t>3.投标人之间协商报价、技术方案等投标文件的实质性内容；</w:t>
      </w:r>
    </w:p>
    <w:p>
      <w:pPr>
        <w:snapToGrid w:val="0"/>
        <w:spacing w:before="120" w:beforeLines="50" w:after="50" w:line="360" w:lineRule="auto"/>
        <w:ind w:firstLine="411" w:firstLineChars="196"/>
        <w:jc w:val="left"/>
        <w:rPr>
          <w:rFonts w:ascii="宋体" w:hAnsi="宋体" w:cs="宋体"/>
          <w:color w:val="auto"/>
          <w:szCs w:val="21"/>
          <w:highlight w:val="none"/>
        </w:rPr>
      </w:pPr>
      <w:r>
        <w:rPr>
          <w:rFonts w:hint="eastAsia" w:ascii="宋体" w:hAnsi="宋体" w:cs="宋体"/>
          <w:color w:val="auto"/>
          <w:szCs w:val="21"/>
          <w:highlight w:val="none"/>
        </w:rPr>
        <w:t>4.属于同一集团、协会、商会等组织成员的投标人按照该组织要求协同参加政府采购活动；</w:t>
      </w:r>
    </w:p>
    <w:p>
      <w:pPr>
        <w:snapToGrid w:val="0"/>
        <w:spacing w:before="120" w:beforeLines="50" w:after="50" w:line="360" w:lineRule="auto"/>
        <w:ind w:firstLine="411" w:firstLineChars="196"/>
        <w:jc w:val="left"/>
        <w:rPr>
          <w:rFonts w:ascii="宋体" w:hAnsi="宋体" w:cs="宋体"/>
          <w:color w:val="auto"/>
          <w:szCs w:val="21"/>
          <w:highlight w:val="none"/>
        </w:rPr>
      </w:pPr>
      <w:r>
        <w:rPr>
          <w:rFonts w:hint="eastAsia" w:ascii="宋体" w:hAnsi="宋体" w:cs="宋体"/>
          <w:color w:val="auto"/>
          <w:szCs w:val="21"/>
          <w:highlight w:val="none"/>
        </w:rPr>
        <w:t>5.投标人之间事先约定一致抬高或者压低投标报价，或者在招标项目中事先约定轮流以高价位或者低价位中标，或者事先约定由某一特定投标人中标，然后再参加投标；</w:t>
      </w:r>
    </w:p>
    <w:p>
      <w:pPr>
        <w:snapToGrid w:val="0"/>
        <w:spacing w:before="120" w:beforeLines="50" w:after="50" w:line="360" w:lineRule="auto"/>
        <w:ind w:firstLine="411" w:firstLineChars="196"/>
        <w:jc w:val="left"/>
        <w:rPr>
          <w:rFonts w:ascii="宋体" w:hAnsi="宋体" w:cs="宋体"/>
          <w:color w:val="auto"/>
          <w:szCs w:val="21"/>
          <w:highlight w:val="none"/>
        </w:rPr>
      </w:pPr>
      <w:r>
        <w:rPr>
          <w:rFonts w:hint="eastAsia" w:ascii="宋体" w:hAnsi="宋体" w:cs="宋体"/>
          <w:color w:val="auto"/>
          <w:szCs w:val="21"/>
          <w:highlight w:val="none"/>
        </w:rPr>
        <w:t>6.投标人之间商定部分投标人放弃参加政府采购活动或者放弃中标；</w:t>
      </w:r>
    </w:p>
    <w:p>
      <w:pPr>
        <w:snapToGrid w:val="0"/>
        <w:spacing w:before="120" w:beforeLines="50" w:after="50" w:line="360" w:lineRule="auto"/>
        <w:ind w:firstLine="411" w:firstLineChars="196"/>
        <w:jc w:val="left"/>
        <w:rPr>
          <w:rFonts w:ascii="宋体" w:hAnsi="宋体" w:cs="宋体"/>
          <w:color w:val="auto"/>
          <w:szCs w:val="21"/>
          <w:highlight w:val="none"/>
        </w:rPr>
      </w:pPr>
      <w:r>
        <w:rPr>
          <w:rFonts w:hint="eastAsia" w:ascii="宋体" w:hAnsi="宋体" w:cs="宋体"/>
          <w:color w:val="auto"/>
          <w:szCs w:val="21"/>
          <w:highlight w:val="none"/>
        </w:rPr>
        <w:t>7.投标人与采购人或者采购代理机构之间、投标人相互之间，为谋求特定投标人中标或者排斥其他投标人的其他串通行为。</w:t>
      </w:r>
    </w:p>
    <w:p>
      <w:pPr>
        <w:snapToGrid w:val="0"/>
        <w:spacing w:before="120" w:beforeLines="50" w:after="50" w:line="360" w:lineRule="auto"/>
        <w:ind w:firstLine="413" w:firstLineChars="196"/>
        <w:jc w:val="left"/>
        <w:rPr>
          <w:rFonts w:ascii="宋体" w:hAnsi="宋体" w:cs="宋体"/>
          <w:b/>
          <w:color w:val="auto"/>
          <w:szCs w:val="21"/>
          <w:highlight w:val="none"/>
        </w:rPr>
      </w:pPr>
      <w:r>
        <w:rPr>
          <w:rFonts w:hint="eastAsia" w:ascii="宋体" w:hAnsi="宋体" w:cs="宋体"/>
          <w:b/>
          <w:bCs/>
          <w:color w:val="auto"/>
          <w:szCs w:val="21"/>
          <w:highlight w:val="none"/>
        </w:rPr>
        <w:t>以上情形一经核查属实，接受政府采购监管部门对我方认定存在围标串标行为，我方愿意承担一切后果，并不再寻求任何旨在减轻或者免除法律责任的辩解</w:t>
      </w:r>
      <w:r>
        <w:rPr>
          <w:rFonts w:hint="eastAsia" w:ascii="宋体" w:hAnsi="宋体" w:cs="宋体"/>
          <w:b/>
          <w:color w:val="auto"/>
          <w:szCs w:val="21"/>
          <w:highlight w:val="none"/>
        </w:rPr>
        <w:t>。</w:t>
      </w:r>
    </w:p>
    <w:p>
      <w:pPr>
        <w:pStyle w:val="2"/>
        <w:rPr>
          <w:rFonts w:ascii="宋体" w:hAnsi="宋体" w:cs="宋体"/>
          <w:b/>
          <w:color w:val="auto"/>
          <w:szCs w:val="21"/>
          <w:highlight w:val="none"/>
        </w:rPr>
      </w:pPr>
    </w:p>
    <w:p>
      <w:pPr>
        <w:pStyle w:val="2"/>
        <w:rPr>
          <w:rFonts w:ascii="宋体" w:hAnsi="宋体" w:cs="宋体"/>
          <w:b/>
          <w:color w:val="auto"/>
          <w:szCs w:val="21"/>
          <w:highlight w:val="none"/>
        </w:rPr>
      </w:pPr>
    </w:p>
    <w:p>
      <w:pPr>
        <w:snapToGrid w:val="0"/>
        <w:spacing w:line="360" w:lineRule="auto"/>
        <w:ind w:firstLine="4935" w:firstLineChars="2350"/>
        <w:rPr>
          <w:rFonts w:ascii="宋体" w:hAnsi="宋体" w:cs="宋体"/>
          <w:color w:val="auto"/>
          <w:kern w:val="0"/>
          <w:sz w:val="24"/>
          <w:highlight w:val="none"/>
        </w:rPr>
      </w:pPr>
      <w:r>
        <w:rPr>
          <w:rFonts w:hint="eastAsia" w:ascii="宋体" w:hAnsi="宋体" w:cs="宋体"/>
          <w:color w:val="auto"/>
          <w:szCs w:val="21"/>
          <w:highlight w:val="none"/>
        </w:rPr>
        <w:t xml:space="preserve"> </w:t>
      </w:r>
      <w:r>
        <w:rPr>
          <w:rFonts w:hint="eastAsia" w:ascii="宋体" w:hAnsi="宋体" w:cs="宋体"/>
          <w:color w:val="auto"/>
          <w:kern w:val="0"/>
          <w:sz w:val="24"/>
          <w:highlight w:val="none"/>
          <w:lang w:val="zh-CN"/>
        </w:rPr>
        <w:t>投标人名称(盖公章)：</w:t>
      </w:r>
    </w:p>
    <w:p>
      <w:pPr>
        <w:snapToGrid w:val="0"/>
        <w:spacing w:line="360" w:lineRule="auto"/>
        <w:ind w:firstLine="5160" w:firstLineChars="215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pStyle w:val="15"/>
        <w:snapToGrid w:val="0"/>
        <w:spacing w:before="295" w:after="295" w:line="360" w:lineRule="auto"/>
        <w:rPr>
          <w:rFonts w:hAnsi="宋体" w:cs="宋体"/>
          <w:b/>
          <w:color w:val="auto"/>
          <w:sz w:val="24"/>
          <w:highlight w:val="none"/>
        </w:rPr>
      </w:pPr>
      <w:r>
        <w:rPr>
          <w:rFonts w:hint="eastAsia" w:hAnsi="宋体" w:cs="宋体"/>
          <w:b/>
          <w:color w:val="auto"/>
          <w:sz w:val="24"/>
          <w:highlight w:val="none"/>
        </w:rPr>
        <w:br w:type="page"/>
      </w:r>
      <w:r>
        <w:rPr>
          <w:rFonts w:hint="eastAsia" w:hAnsi="宋体" w:cs="宋体"/>
          <w:b/>
          <w:bCs/>
          <w:color w:val="auto"/>
          <w:sz w:val="28"/>
          <w:szCs w:val="28"/>
          <w:highlight w:val="none"/>
        </w:rPr>
        <w:t>4.法定代表人身份证明的格式：</w:t>
      </w:r>
    </w:p>
    <w:p>
      <w:pPr>
        <w:spacing w:before="240" w:beforeLines="100" w:after="120" w:afterLines="50"/>
        <w:ind w:left="540"/>
        <w:jc w:val="center"/>
        <w:rPr>
          <w:rFonts w:ascii="宋体" w:hAnsi="宋体" w:cs="宋体"/>
          <w:b/>
          <w:color w:val="auto"/>
          <w:sz w:val="32"/>
          <w:szCs w:val="32"/>
          <w:highlight w:val="none"/>
        </w:rPr>
      </w:pPr>
    </w:p>
    <w:p>
      <w:pPr>
        <w:spacing w:before="240" w:beforeLines="100" w:after="120" w:afterLines="50"/>
        <w:ind w:left="540"/>
        <w:jc w:val="center"/>
        <w:rPr>
          <w:rFonts w:ascii="宋体" w:hAnsi="宋体" w:cs="宋体"/>
          <w:color w:val="auto"/>
          <w:sz w:val="32"/>
          <w:szCs w:val="32"/>
          <w:highlight w:val="none"/>
        </w:rPr>
      </w:pPr>
      <w:r>
        <w:rPr>
          <w:rFonts w:hint="eastAsia" w:ascii="宋体" w:hAnsi="宋体" w:cs="宋体"/>
          <w:b/>
          <w:color w:val="auto"/>
          <w:sz w:val="32"/>
          <w:szCs w:val="32"/>
          <w:highlight w:val="none"/>
        </w:rPr>
        <w:t>法定代表人身份证明</w:t>
      </w:r>
    </w:p>
    <w:p>
      <w:pPr>
        <w:spacing w:line="500" w:lineRule="exact"/>
        <w:ind w:left="540"/>
        <w:rPr>
          <w:rFonts w:ascii="宋体" w:hAnsi="宋体" w:cs="宋体"/>
          <w:color w:val="auto"/>
          <w:sz w:val="24"/>
          <w:highlight w:val="none"/>
        </w:rPr>
      </w:pPr>
      <w:r>
        <w:rPr>
          <w:rFonts w:hint="eastAsia" w:ascii="宋体" w:hAnsi="宋体" w:cs="宋体"/>
          <w:color w:val="auto"/>
          <w:sz w:val="24"/>
          <w:highlight w:val="none"/>
        </w:rPr>
        <w:t>投 标 人：</w:t>
      </w:r>
      <w:r>
        <w:rPr>
          <w:rFonts w:hint="eastAsia" w:ascii="宋体" w:hAnsi="宋体" w:cs="宋体"/>
          <w:color w:val="auto"/>
          <w:sz w:val="24"/>
          <w:highlight w:val="none"/>
          <w:u w:val="single"/>
        </w:rPr>
        <w:t xml:space="preserve">                                                        </w:t>
      </w:r>
    </w:p>
    <w:p>
      <w:pPr>
        <w:spacing w:line="500" w:lineRule="exact"/>
        <w:ind w:left="540"/>
        <w:rPr>
          <w:rFonts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u w:val="single"/>
        </w:rPr>
        <w:t xml:space="preserve">                                                        </w:t>
      </w:r>
    </w:p>
    <w:p>
      <w:pPr>
        <w:spacing w:line="500" w:lineRule="exact"/>
        <w:ind w:left="540"/>
        <w:rPr>
          <w:rFonts w:ascii="宋体" w:hAnsi="宋体" w:cs="宋体"/>
          <w:color w:val="auto"/>
          <w:sz w:val="24"/>
          <w:highlight w:val="none"/>
        </w:rPr>
      </w:pPr>
      <w:r>
        <w:rPr>
          <w:rFonts w:hint="eastAsia" w:ascii="宋体" w:hAnsi="宋体" w:cs="宋体"/>
          <w:color w:val="auto"/>
          <w:sz w:val="24"/>
          <w:highlight w:val="none"/>
        </w:rPr>
        <w:t>姓    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性      别：</w:t>
      </w:r>
      <w:r>
        <w:rPr>
          <w:rFonts w:hint="eastAsia" w:ascii="宋体" w:hAnsi="宋体" w:cs="宋体"/>
          <w:color w:val="auto"/>
          <w:sz w:val="24"/>
          <w:highlight w:val="none"/>
          <w:u w:val="single"/>
        </w:rPr>
        <w:t xml:space="preserve">                </w:t>
      </w:r>
    </w:p>
    <w:p>
      <w:pPr>
        <w:spacing w:line="500" w:lineRule="exact"/>
        <w:ind w:left="540"/>
        <w:rPr>
          <w:rFonts w:ascii="宋体" w:hAnsi="宋体" w:cs="宋体"/>
          <w:color w:val="auto"/>
          <w:sz w:val="24"/>
          <w:highlight w:val="none"/>
          <w:u w:val="single"/>
        </w:rPr>
      </w:pPr>
      <w:r>
        <w:rPr>
          <w:rFonts w:hint="eastAsia" w:ascii="宋体" w:hAnsi="宋体" w:cs="宋体"/>
          <w:color w:val="auto"/>
          <w:sz w:val="24"/>
          <w:highlight w:val="none"/>
        </w:rPr>
        <w:t>年    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职      务：</w:t>
      </w:r>
      <w:r>
        <w:rPr>
          <w:rFonts w:hint="eastAsia" w:ascii="宋体" w:hAnsi="宋体" w:cs="宋体"/>
          <w:color w:val="auto"/>
          <w:sz w:val="24"/>
          <w:highlight w:val="none"/>
          <w:u w:val="single"/>
        </w:rPr>
        <w:t xml:space="preserve">                </w:t>
      </w:r>
    </w:p>
    <w:p>
      <w:pPr>
        <w:spacing w:line="500" w:lineRule="exact"/>
        <w:ind w:left="540"/>
        <w:rPr>
          <w:rFonts w:ascii="宋体" w:hAnsi="宋体" w:cs="宋体"/>
          <w:color w:val="auto"/>
          <w:sz w:val="24"/>
          <w:highlight w:val="none"/>
        </w:rPr>
      </w:pPr>
      <w:r>
        <w:rPr>
          <w:rFonts w:hint="eastAsia" w:ascii="宋体" w:hAnsi="宋体" w:cs="宋体"/>
          <w:color w:val="auto"/>
          <w:sz w:val="24"/>
          <w:highlight w:val="none"/>
        </w:rPr>
        <w:t>身份证号码：</w:t>
      </w:r>
      <w:r>
        <w:rPr>
          <w:rFonts w:hint="eastAsia" w:ascii="宋体" w:hAnsi="宋体" w:cs="宋体"/>
          <w:color w:val="auto"/>
          <w:sz w:val="24"/>
          <w:highlight w:val="none"/>
          <w:u w:val="single"/>
        </w:rPr>
        <w:t xml:space="preserve">                                 </w:t>
      </w:r>
    </w:p>
    <w:p>
      <w:pPr>
        <w:spacing w:line="500" w:lineRule="exact"/>
        <w:ind w:left="540"/>
        <w:rPr>
          <w:rFonts w:ascii="宋体" w:hAnsi="宋体" w:cs="宋体"/>
          <w:color w:val="auto"/>
          <w:sz w:val="24"/>
          <w:highlight w:val="none"/>
        </w:rPr>
      </w:pPr>
      <w:r>
        <w:rPr>
          <w:rFonts w:hint="eastAsia" w:ascii="宋体" w:hAnsi="宋体" w:cs="宋体"/>
          <w:color w:val="auto"/>
          <w:sz w:val="24"/>
          <w:highlight w:val="none"/>
        </w:rPr>
        <w:t>系</w:t>
      </w:r>
      <w:r>
        <w:rPr>
          <w:rFonts w:hint="eastAsia" w:ascii="宋体" w:hAnsi="宋体" w:cs="宋体"/>
          <w:color w:val="auto"/>
          <w:sz w:val="24"/>
          <w:highlight w:val="none"/>
          <w:u w:val="single"/>
        </w:rPr>
        <w:t xml:space="preserve">            （投标人名称）              </w:t>
      </w:r>
      <w:r>
        <w:rPr>
          <w:rFonts w:hint="eastAsia" w:ascii="宋体" w:hAnsi="宋体" w:cs="宋体"/>
          <w:color w:val="auto"/>
          <w:sz w:val="24"/>
          <w:highlight w:val="none"/>
        </w:rPr>
        <w:t>的法定代表人。</w:t>
      </w:r>
    </w:p>
    <w:p>
      <w:pPr>
        <w:spacing w:line="500" w:lineRule="exact"/>
        <w:ind w:left="540"/>
        <w:rPr>
          <w:rFonts w:ascii="宋体" w:hAnsi="宋体" w:cs="宋体"/>
          <w:color w:val="auto"/>
          <w:sz w:val="24"/>
          <w:highlight w:val="none"/>
        </w:rPr>
      </w:pPr>
      <w:r>
        <w:rPr>
          <w:rFonts w:hint="eastAsia" w:ascii="宋体" w:hAnsi="宋体" w:cs="宋体"/>
          <w:color w:val="auto"/>
          <w:sz w:val="24"/>
          <w:highlight w:val="none"/>
        </w:rPr>
        <w:t>特此证明。</w:t>
      </w:r>
    </w:p>
    <w:p>
      <w:pPr>
        <w:spacing w:line="500" w:lineRule="exact"/>
        <w:ind w:left="540"/>
        <w:rPr>
          <w:rFonts w:ascii="宋体" w:hAnsi="宋体" w:cs="宋体"/>
          <w:color w:val="auto"/>
          <w:sz w:val="24"/>
          <w:highlight w:val="none"/>
        </w:rPr>
      </w:pPr>
    </w:p>
    <w:p>
      <w:pPr>
        <w:spacing w:line="500" w:lineRule="exact"/>
        <w:ind w:left="540"/>
        <w:rPr>
          <w:rFonts w:ascii="宋体" w:hAnsi="宋体" w:cs="宋体"/>
          <w:color w:val="auto"/>
          <w:sz w:val="24"/>
          <w:highlight w:val="none"/>
        </w:rPr>
      </w:pPr>
    </w:p>
    <w:p>
      <w:pPr>
        <w:spacing w:line="500" w:lineRule="exact"/>
        <w:ind w:left="540"/>
        <w:rPr>
          <w:rFonts w:ascii="宋体" w:hAnsi="宋体" w:cs="宋体"/>
          <w:color w:val="auto"/>
          <w:sz w:val="24"/>
          <w:highlight w:val="none"/>
        </w:rPr>
      </w:pPr>
      <w:r>
        <w:rPr>
          <w:rFonts w:hint="eastAsia" w:ascii="宋体" w:hAnsi="宋体" w:cs="宋体"/>
          <w:color w:val="auto"/>
          <w:sz w:val="24"/>
          <w:highlight w:val="none"/>
        </w:rPr>
        <w:t>附件：法定代表人有效身份证正反面复印件</w:t>
      </w:r>
    </w:p>
    <w:p>
      <w:pPr>
        <w:spacing w:line="500" w:lineRule="exact"/>
        <w:ind w:left="540"/>
        <w:rPr>
          <w:rFonts w:ascii="宋体" w:hAnsi="宋体" w:cs="宋体"/>
          <w:color w:val="auto"/>
          <w:sz w:val="24"/>
          <w:highlight w:val="none"/>
        </w:rPr>
      </w:pPr>
    </w:p>
    <w:p>
      <w:pPr>
        <w:snapToGrid w:val="0"/>
        <w:spacing w:line="360" w:lineRule="auto"/>
        <w:ind w:firstLine="4935" w:firstLineChars="2350"/>
        <w:rPr>
          <w:rFonts w:ascii="宋体" w:hAnsi="宋体" w:cs="宋体"/>
          <w:color w:val="auto"/>
          <w:kern w:val="0"/>
          <w:sz w:val="24"/>
          <w:highlight w:val="none"/>
        </w:rPr>
      </w:pPr>
      <w:r>
        <w:rPr>
          <w:rFonts w:hint="eastAsia" w:ascii="宋体" w:hAnsi="宋体" w:cs="宋体"/>
          <w:color w:val="auto"/>
          <w:szCs w:val="21"/>
          <w:highlight w:val="none"/>
        </w:rPr>
        <w:t xml:space="preserve">  </w:t>
      </w:r>
      <w:r>
        <w:rPr>
          <w:rFonts w:hint="eastAsia" w:ascii="宋体" w:hAnsi="宋体" w:cs="宋体"/>
          <w:color w:val="auto"/>
          <w:kern w:val="0"/>
          <w:sz w:val="24"/>
          <w:highlight w:val="none"/>
          <w:lang w:val="zh-CN"/>
        </w:rPr>
        <w:t>投标人名称(盖公章)：</w:t>
      </w:r>
    </w:p>
    <w:p>
      <w:pPr>
        <w:snapToGrid w:val="0"/>
        <w:spacing w:line="360" w:lineRule="auto"/>
        <w:ind w:firstLine="5160" w:firstLineChars="215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before="120" w:beforeLines="50" w:after="50"/>
        <w:jc w:val="center"/>
        <w:rPr>
          <w:rFonts w:ascii="宋体" w:hAnsi="宋体" w:cs="宋体"/>
          <w:b/>
          <w:color w:val="auto"/>
          <w:sz w:val="24"/>
          <w:highlight w:val="none"/>
        </w:rPr>
      </w:pPr>
    </w:p>
    <w:p>
      <w:pPr>
        <w:snapToGrid w:val="0"/>
        <w:spacing w:before="120" w:beforeLines="50" w:after="50"/>
        <w:ind w:firstLine="600" w:firstLineChars="250"/>
        <w:jc w:val="left"/>
        <w:rPr>
          <w:rFonts w:ascii="宋体" w:hAnsi="宋体" w:cs="宋体"/>
          <w:color w:val="auto"/>
          <w:sz w:val="24"/>
          <w:highlight w:val="none"/>
        </w:rPr>
      </w:pPr>
      <w:r>
        <w:rPr>
          <w:rFonts w:hint="eastAsia" w:ascii="宋体" w:hAnsi="宋体" w:cs="宋体"/>
          <w:color w:val="auto"/>
          <w:sz w:val="24"/>
          <w:highlight w:val="none"/>
        </w:rPr>
        <w:t>注：自然人投标的无需提供</w:t>
      </w:r>
    </w:p>
    <w:p>
      <w:pPr>
        <w:snapToGrid w:val="0"/>
        <w:spacing w:before="120" w:beforeLines="50" w:after="50"/>
        <w:ind w:firstLine="600" w:firstLineChars="250"/>
        <w:jc w:val="left"/>
        <w:rPr>
          <w:rFonts w:ascii="宋体" w:hAnsi="宋体" w:cs="宋体"/>
          <w:color w:val="auto"/>
          <w:sz w:val="24"/>
          <w:highlight w:val="none"/>
        </w:rPr>
      </w:pPr>
    </w:p>
    <w:p>
      <w:pPr>
        <w:snapToGrid w:val="0"/>
        <w:spacing w:before="120" w:beforeLines="50" w:after="50"/>
        <w:ind w:firstLine="602" w:firstLineChars="250"/>
        <w:jc w:val="left"/>
        <w:rPr>
          <w:rFonts w:ascii="宋体" w:hAnsi="宋体" w:cs="宋体"/>
          <w:b/>
          <w:color w:val="auto"/>
          <w:sz w:val="24"/>
          <w:szCs w:val="20"/>
          <w:highlight w:val="none"/>
        </w:rPr>
      </w:pPr>
    </w:p>
    <w:tbl>
      <w:tblPr>
        <w:tblStyle w:val="22"/>
        <w:tblpPr w:leftFromText="180" w:rightFromText="180" w:vertAnchor="text" w:horzAnchor="margin" w:tblpY="1169"/>
        <w:tblW w:w="8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5" w:hRule="atLeast"/>
        </w:trPr>
        <w:tc>
          <w:tcPr>
            <w:tcW w:w="846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法定代表人有效身份证复印件粘帖处（正、反面）</w:t>
            </w:r>
          </w:p>
        </w:tc>
      </w:tr>
    </w:tbl>
    <w:p>
      <w:pPr>
        <w:pStyle w:val="15"/>
        <w:snapToGrid w:val="0"/>
        <w:spacing w:before="295" w:after="295" w:line="360" w:lineRule="auto"/>
        <w:ind w:left="0" w:leftChars="0" w:hanging="3" w:firstLineChars="0"/>
        <w:jc w:val="left"/>
        <w:rPr>
          <w:rFonts w:hAnsi="宋体" w:cs="宋体"/>
          <w:b/>
          <w:color w:val="auto"/>
          <w:sz w:val="24"/>
          <w:highlight w:val="none"/>
        </w:rPr>
      </w:pPr>
      <w:r>
        <w:rPr>
          <w:rFonts w:hint="eastAsia" w:hAnsi="宋体" w:cs="宋体"/>
          <w:b/>
          <w:color w:val="auto"/>
          <w:sz w:val="24"/>
          <w:highlight w:val="none"/>
        </w:rPr>
        <w:t>附件：</w:t>
      </w:r>
      <w:r>
        <w:rPr>
          <w:rFonts w:hint="eastAsia" w:hAnsi="宋体" w:cs="宋体"/>
          <w:b/>
          <w:color w:val="auto"/>
          <w:sz w:val="24"/>
          <w:highlight w:val="none"/>
        </w:rPr>
        <w:br w:type="page"/>
      </w:r>
      <w:r>
        <w:rPr>
          <w:rFonts w:hint="eastAsia" w:hAnsi="宋体" w:cs="宋体"/>
          <w:b/>
          <w:bCs/>
          <w:color w:val="auto"/>
          <w:sz w:val="30"/>
          <w:szCs w:val="30"/>
          <w:highlight w:val="none"/>
        </w:rPr>
        <w:t>5.法定代表人授权委托书的格式：</w:t>
      </w:r>
    </w:p>
    <w:p>
      <w:pPr>
        <w:snapToGrid w:val="0"/>
        <w:spacing w:before="120" w:beforeLines="50" w:after="50"/>
        <w:jc w:val="center"/>
        <w:rPr>
          <w:rFonts w:ascii="宋体" w:hAnsi="宋体" w:cs="宋体"/>
          <w:b/>
          <w:color w:val="auto"/>
          <w:sz w:val="32"/>
          <w:szCs w:val="32"/>
          <w:highlight w:val="none"/>
        </w:rPr>
      </w:pPr>
      <w:r>
        <w:rPr>
          <w:rFonts w:hint="eastAsia" w:ascii="宋体" w:hAnsi="宋体" w:cs="宋体"/>
          <w:b/>
          <w:color w:val="auto"/>
          <w:sz w:val="32"/>
          <w:szCs w:val="32"/>
          <w:highlight w:val="none"/>
        </w:rPr>
        <w:t>法定代表人授权委托书</w:t>
      </w:r>
      <w:r>
        <w:rPr>
          <w:rFonts w:hint="eastAsia" w:ascii="宋体" w:hAnsi="宋体" w:cs="宋体"/>
          <w:b/>
          <w:bCs/>
          <w:color w:val="auto"/>
          <w:sz w:val="30"/>
          <w:szCs w:val="30"/>
          <w:highlight w:val="none"/>
        </w:rPr>
        <w:t>（如有委托时）</w:t>
      </w:r>
    </w:p>
    <w:p>
      <w:pPr>
        <w:snapToGrid w:val="0"/>
        <w:spacing w:before="120" w:beforeLines="50" w:after="50"/>
        <w:jc w:val="center"/>
        <w:rPr>
          <w:rFonts w:ascii="宋体" w:hAnsi="宋体" w:cs="宋体"/>
          <w:b/>
          <w:color w:val="auto"/>
          <w:sz w:val="24"/>
          <w:highlight w:val="none"/>
        </w:rPr>
      </w:pPr>
    </w:p>
    <w:p>
      <w:pPr>
        <w:pStyle w:val="15"/>
        <w:spacing w:line="360" w:lineRule="exact"/>
        <w:ind w:firstLine="420" w:firstLineChars="200"/>
        <w:rPr>
          <w:rFonts w:hAnsi="宋体" w:cs="宋体"/>
          <w:color w:val="auto"/>
          <w:highlight w:val="none"/>
        </w:rPr>
      </w:pPr>
      <w:r>
        <w:rPr>
          <w:rFonts w:hint="eastAsia" w:hAnsi="宋体" w:cs="宋体"/>
          <w:color w:val="auto"/>
          <w:highlight w:val="none"/>
        </w:rPr>
        <w:t>致：</w:t>
      </w:r>
      <w:r>
        <w:rPr>
          <w:rFonts w:hint="eastAsia" w:hAnsi="宋体" w:cs="宋体"/>
          <w:color w:val="auto"/>
          <w:highlight w:val="none"/>
          <w:u w:val="single"/>
        </w:rPr>
        <w:t xml:space="preserve"> </w:t>
      </w:r>
      <w:bookmarkStart w:id="286" w:name="PO_3000001919_PM031_2"/>
      <w:r>
        <w:rPr>
          <w:rFonts w:hint="eastAsia" w:hAnsi="宋体" w:cs="宋体"/>
          <w:color w:val="auto"/>
          <w:highlight w:val="none"/>
          <w:u w:val="single"/>
        </w:rPr>
        <w:t>广西科联招标中心有限公司</w:t>
      </w:r>
      <w:bookmarkEnd w:id="286"/>
    </w:p>
    <w:p>
      <w:pPr>
        <w:pStyle w:val="15"/>
        <w:spacing w:line="360" w:lineRule="exact"/>
        <w:ind w:firstLine="420" w:firstLineChars="200"/>
        <w:rPr>
          <w:rFonts w:hAnsi="宋体" w:cs="宋体"/>
          <w:color w:val="auto"/>
          <w:highlight w:val="none"/>
        </w:rPr>
      </w:pPr>
      <w:r>
        <w:rPr>
          <w:rFonts w:hint="eastAsia" w:hAnsi="宋体" w:cs="宋体"/>
          <w:color w:val="auto"/>
          <w:highlight w:val="none"/>
        </w:rPr>
        <w:t>本人</w:t>
      </w:r>
      <w:r>
        <w:rPr>
          <w:rFonts w:hint="eastAsia" w:hAnsi="宋体" w:cs="宋体"/>
          <w:color w:val="auto"/>
          <w:highlight w:val="none"/>
          <w:u w:val="single"/>
        </w:rPr>
        <w:t xml:space="preserve">        </w:t>
      </w:r>
      <w:r>
        <w:rPr>
          <w:rFonts w:hint="eastAsia" w:hAnsi="宋体" w:cs="宋体"/>
          <w:color w:val="auto"/>
          <w:highlight w:val="none"/>
        </w:rPr>
        <w:t>（姓名）系</w:t>
      </w:r>
      <w:r>
        <w:rPr>
          <w:rFonts w:hint="eastAsia" w:hAnsi="宋体" w:cs="宋体"/>
          <w:color w:val="auto"/>
          <w:highlight w:val="none"/>
          <w:u w:val="single"/>
        </w:rPr>
        <w:t xml:space="preserve">                 </w:t>
      </w:r>
      <w:r>
        <w:rPr>
          <w:rFonts w:hint="eastAsia" w:hAnsi="宋体" w:cs="宋体"/>
          <w:color w:val="auto"/>
          <w:highlight w:val="none"/>
        </w:rPr>
        <w:t>（投标人名称）的法定代表人，现授权我单位在职正式员工</w:t>
      </w:r>
      <w:r>
        <w:rPr>
          <w:rFonts w:hint="eastAsia" w:hAnsi="宋体" w:cs="宋体"/>
          <w:color w:val="auto"/>
          <w:highlight w:val="none"/>
          <w:u w:val="single"/>
        </w:rPr>
        <w:t xml:space="preserve">        </w:t>
      </w:r>
      <w:r>
        <w:rPr>
          <w:rFonts w:hint="eastAsia" w:hAnsi="宋体" w:cs="宋体"/>
          <w:color w:val="auto"/>
          <w:highlight w:val="none"/>
        </w:rPr>
        <w:t>（姓名和职务）为我方代理人。代理人根据授权，以我方名义签署、澄清、说明、补正、递交、撤回、修改贵方组织的</w:t>
      </w:r>
      <w:r>
        <w:rPr>
          <w:rFonts w:hint="eastAsia" w:hAnsi="宋体" w:cs="宋体"/>
          <w:color w:val="auto"/>
          <w:highlight w:val="none"/>
          <w:u w:val="single"/>
        </w:rPr>
        <w:t xml:space="preserve">  </w:t>
      </w:r>
      <w:r>
        <w:rPr>
          <w:rFonts w:hint="eastAsia" w:hAnsi="宋体" w:cs="宋体"/>
          <w:i/>
          <w:iCs/>
          <w:color w:val="auto"/>
          <w:highlight w:val="none"/>
          <w:u w:val="single"/>
        </w:rPr>
        <w:t>（项目名称）</w:t>
      </w:r>
      <w:r>
        <w:rPr>
          <w:rFonts w:hint="eastAsia" w:hAnsi="宋体" w:cs="宋体"/>
          <w:color w:val="auto"/>
          <w:highlight w:val="none"/>
          <w:u w:val="single"/>
        </w:rPr>
        <w:t xml:space="preserve">   </w:t>
      </w:r>
      <w:r>
        <w:rPr>
          <w:rFonts w:hint="eastAsia" w:hAnsi="宋体" w:cs="宋体"/>
          <w:color w:val="auto"/>
          <w:highlight w:val="none"/>
        </w:rPr>
        <w:t>项目（项目编号：</w:t>
      </w:r>
      <w:r>
        <w:rPr>
          <w:rFonts w:hint="eastAsia" w:hAnsi="宋体" w:cs="宋体"/>
          <w:color w:val="auto"/>
          <w:highlight w:val="none"/>
          <w:u w:val="single"/>
        </w:rPr>
        <w:t xml:space="preserve">       </w:t>
      </w:r>
      <w:r>
        <w:rPr>
          <w:rFonts w:hint="eastAsia" w:hAnsi="宋体" w:cs="宋体"/>
          <w:color w:val="auto"/>
          <w:highlight w:val="none"/>
        </w:rPr>
        <w:t>）的投标文件、签订合同和处理一切有关事宜，其法律后果由我方承担。</w:t>
      </w:r>
    </w:p>
    <w:p>
      <w:pPr>
        <w:pStyle w:val="15"/>
        <w:spacing w:line="360" w:lineRule="exact"/>
        <w:ind w:firstLine="420" w:firstLineChars="200"/>
        <w:rPr>
          <w:rFonts w:hAnsi="宋体" w:cs="宋体"/>
          <w:color w:val="auto"/>
          <w:highlight w:val="none"/>
        </w:rPr>
      </w:pPr>
      <w:r>
        <w:rPr>
          <w:rFonts w:hint="eastAsia" w:hAnsi="宋体" w:cs="宋体"/>
          <w:color w:val="auto"/>
          <w:highlight w:val="none"/>
        </w:rPr>
        <w:t>本授权书于</w:t>
      </w:r>
      <w:r>
        <w:rPr>
          <w:rFonts w:hint="eastAsia" w:hAnsi="宋体" w:cs="宋体"/>
          <w:color w:val="auto"/>
          <w:spacing w:val="10"/>
          <w:sz w:val="24"/>
          <w:highlight w:val="none"/>
          <w:u w:val="single"/>
        </w:rPr>
        <w:t xml:space="preserve">    </w:t>
      </w:r>
      <w:r>
        <w:rPr>
          <w:rFonts w:hint="eastAsia" w:hAnsi="宋体" w:cs="宋体"/>
          <w:color w:val="auto"/>
          <w:highlight w:val="none"/>
        </w:rPr>
        <w:t>年</w:t>
      </w:r>
      <w:r>
        <w:rPr>
          <w:rFonts w:hint="eastAsia" w:hAnsi="宋体" w:cs="宋体"/>
          <w:color w:val="auto"/>
          <w:spacing w:val="10"/>
          <w:sz w:val="24"/>
          <w:highlight w:val="none"/>
          <w:u w:val="single"/>
        </w:rPr>
        <w:t xml:space="preserve">    </w:t>
      </w:r>
      <w:r>
        <w:rPr>
          <w:rFonts w:hint="eastAsia" w:hAnsi="宋体" w:cs="宋体"/>
          <w:color w:val="auto"/>
          <w:highlight w:val="none"/>
        </w:rPr>
        <w:t>月</w:t>
      </w:r>
      <w:r>
        <w:rPr>
          <w:rFonts w:hint="eastAsia" w:hAnsi="宋体" w:cs="宋体"/>
          <w:color w:val="auto"/>
          <w:spacing w:val="10"/>
          <w:sz w:val="24"/>
          <w:highlight w:val="none"/>
          <w:u w:val="single"/>
        </w:rPr>
        <w:t xml:space="preserve">    </w:t>
      </w:r>
      <w:r>
        <w:rPr>
          <w:rFonts w:hint="eastAsia" w:hAnsi="宋体" w:cs="宋体"/>
          <w:color w:val="auto"/>
          <w:highlight w:val="none"/>
        </w:rPr>
        <w:t>日签字生效，委托期限：</w:t>
      </w:r>
      <w:r>
        <w:rPr>
          <w:rFonts w:hint="eastAsia" w:hAnsi="宋体" w:cs="宋体"/>
          <w:color w:val="auto"/>
          <w:spacing w:val="10"/>
          <w:sz w:val="24"/>
          <w:highlight w:val="none"/>
          <w:u w:val="single"/>
        </w:rPr>
        <w:t xml:space="preserve">          </w:t>
      </w:r>
      <w:r>
        <w:rPr>
          <w:rFonts w:hint="eastAsia" w:hAnsi="宋体" w:cs="宋体"/>
          <w:color w:val="auto"/>
          <w:highlight w:val="none"/>
        </w:rPr>
        <w:t>。</w:t>
      </w:r>
    </w:p>
    <w:p>
      <w:pPr>
        <w:pStyle w:val="15"/>
        <w:spacing w:line="360" w:lineRule="exact"/>
        <w:ind w:firstLine="420"/>
        <w:rPr>
          <w:rFonts w:hAnsi="宋体" w:cs="宋体"/>
          <w:color w:val="auto"/>
          <w:highlight w:val="none"/>
        </w:rPr>
      </w:pPr>
      <w:r>
        <w:rPr>
          <w:rFonts w:hint="eastAsia" w:hAnsi="宋体" w:cs="宋体"/>
          <w:color w:val="auto"/>
          <w:highlight w:val="none"/>
        </w:rPr>
        <w:t>代理人无转委托权。</w:t>
      </w:r>
    </w:p>
    <w:p>
      <w:pPr>
        <w:pStyle w:val="15"/>
        <w:spacing w:line="360" w:lineRule="exact"/>
        <w:ind w:firstLine="420"/>
        <w:rPr>
          <w:rFonts w:hAnsi="宋体" w:cs="宋体"/>
          <w:color w:val="auto"/>
          <w:highlight w:val="none"/>
        </w:rPr>
      </w:pPr>
    </w:p>
    <w:p>
      <w:pPr>
        <w:pStyle w:val="15"/>
        <w:spacing w:line="360" w:lineRule="exact"/>
        <w:ind w:firstLine="420"/>
        <w:rPr>
          <w:rFonts w:hAnsi="宋体" w:cs="宋体"/>
          <w:color w:val="auto"/>
          <w:highlight w:val="none"/>
          <w:u w:val="single"/>
        </w:rPr>
      </w:pPr>
      <w:r>
        <w:rPr>
          <w:rFonts w:hint="eastAsia" w:hAnsi="宋体" w:cs="宋体"/>
          <w:color w:val="auto"/>
          <w:highlight w:val="none"/>
        </w:rPr>
        <w:t>投标人名称（或联合体投标</w:t>
      </w:r>
      <w:r>
        <w:rPr>
          <w:rFonts w:hint="eastAsia" w:hAnsi="宋体" w:cs="宋体"/>
          <w:color w:val="auto"/>
          <w:kern w:val="0"/>
          <w:szCs w:val="21"/>
          <w:highlight w:val="none"/>
        </w:rPr>
        <w:t>牵头人名称</w:t>
      </w:r>
      <w:r>
        <w:rPr>
          <w:rFonts w:hint="eastAsia" w:hAnsi="宋体" w:cs="宋体"/>
          <w:color w:val="auto"/>
          <w:highlight w:val="none"/>
        </w:rPr>
        <w:t>）（盖公章）：</w:t>
      </w:r>
      <w:r>
        <w:rPr>
          <w:rFonts w:hint="eastAsia" w:hAnsi="宋体" w:cs="宋体"/>
          <w:color w:val="auto"/>
          <w:highlight w:val="none"/>
          <w:u w:val="single"/>
        </w:rPr>
        <w:t xml:space="preserve">                                    </w:t>
      </w:r>
    </w:p>
    <w:p>
      <w:pPr>
        <w:pStyle w:val="15"/>
        <w:spacing w:line="360" w:lineRule="exact"/>
        <w:ind w:firstLine="420"/>
        <w:rPr>
          <w:rFonts w:hAnsi="宋体" w:cs="宋体"/>
          <w:color w:val="auto"/>
          <w:highlight w:val="none"/>
          <w:u w:val="single"/>
        </w:rPr>
      </w:pPr>
      <w:r>
        <w:rPr>
          <w:rFonts w:hint="eastAsia" w:hAnsi="宋体" w:cs="宋体"/>
          <w:color w:val="auto"/>
          <w:highlight w:val="none"/>
        </w:rPr>
        <w:t>法定代表人（签字）：</w:t>
      </w:r>
      <w:r>
        <w:rPr>
          <w:rFonts w:hint="eastAsia" w:hAnsi="宋体" w:cs="宋体"/>
          <w:color w:val="auto"/>
          <w:highlight w:val="none"/>
          <w:u w:val="single"/>
        </w:rPr>
        <w:t xml:space="preserve">                                     </w:t>
      </w:r>
    </w:p>
    <w:p>
      <w:pPr>
        <w:pStyle w:val="15"/>
        <w:spacing w:line="360" w:lineRule="exact"/>
        <w:ind w:firstLine="420"/>
        <w:rPr>
          <w:rFonts w:hAnsi="宋体" w:cs="宋体"/>
          <w:color w:val="auto"/>
          <w:highlight w:val="none"/>
          <w:u w:val="single"/>
        </w:rPr>
      </w:pPr>
      <w:r>
        <w:rPr>
          <w:rFonts w:hint="eastAsia" w:hAnsi="宋体" w:cs="宋体"/>
          <w:color w:val="auto"/>
          <w:highlight w:val="none"/>
        </w:rPr>
        <w:t>法定代表人身份证号码：</w:t>
      </w:r>
      <w:r>
        <w:rPr>
          <w:rFonts w:hint="eastAsia" w:hAnsi="宋体" w:cs="宋体"/>
          <w:color w:val="auto"/>
          <w:highlight w:val="none"/>
          <w:u w:val="single"/>
        </w:rPr>
        <w:t xml:space="preserve">                                   </w:t>
      </w:r>
    </w:p>
    <w:p>
      <w:pPr>
        <w:pStyle w:val="15"/>
        <w:spacing w:line="360" w:lineRule="exact"/>
        <w:ind w:firstLine="420" w:firstLineChars="200"/>
        <w:rPr>
          <w:rFonts w:hAnsi="宋体" w:cs="宋体"/>
          <w:color w:val="auto"/>
          <w:highlight w:val="none"/>
        </w:rPr>
      </w:pPr>
      <w:r>
        <w:rPr>
          <w:rFonts w:hint="eastAsia" w:hAnsi="宋体" w:cs="宋体"/>
          <w:color w:val="auto"/>
          <w:highlight w:val="none"/>
        </w:rPr>
        <w:t>委托代理人（签字）：</w:t>
      </w:r>
      <w:r>
        <w:rPr>
          <w:rFonts w:hint="eastAsia" w:hAnsi="宋体" w:cs="宋体"/>
          <w:color w:val="auto"/>
          <w:highlight w:val="none"/>
          <w:u w:val="single"/>
        </w:rPr>
        <w:t xml:space="preserve">                                     </w:t>
      </w:r>
    </w:p>
    <w:p>
      <w:pPr>
        <w:pStyle w:val="15"/>
        <w:spacing w:line="360" w:lineRule="exact"/>
        <w:ind w:firstLine="420"/>
        <w:rPr>
          <w:rFonts w:hAnsi="宋体" w:cs="宋体"/>
          <w:color w:val="auto"/>
          <w:highlight w:val="none"/>
          <w:u w:val="single"/>
        </w:rPr>
      </w:pPr>
      <w:r>
        <w:rPr>
          <w:rFonts w:hint="eastAsia" w:hAnsi="宋体" w:cs="宋体"/>
          <w:color w:val="auto"/>
          <w:highlight w:val="none"/>
        </w:rPr>
        <w:t>委托代理人身份证号码：</w:t>
      </w:r>
      <w:r>
        <w:rPr>
          <w:rFonts w:hint="eastAsia" w:hAnsi="宋体" w:cs="宋体"/>
          <w:color w:val="auto"/>
          <w:highlight w:val="none"/>
          <w:u w:val="single"/>
        </w:rPr>
        <w:t xml:space="preserve">                                   </w:t>
      </w:r>
    </w:p>
    <w:p>
      <w:pPr>
        <w:pStyle w:val="15"/>
        <w:spacing w:line="360" w:lineRule="exact"/>
        <w:ind w:firstLine="420"/>
        <w:rPr>
          <w:rFonts w:hAnsi="宋体" w:cs="宋体"/>
          <w:color w:val="auto"/>
          <w:highlight w:val="none"/>
          <w:u w:val="single"/>
        </w:rPr>
      </w:pPr>
    </w:p>
    <w:p>
      <w:pPr>
        <w:pStyle w:val="15"/>
        <w:spacing w:line="360" w:lineRule="exact"/>
        <w:ind w:firstLine="420"/>
        <w:rPr>
          <w:rFonts w:hAnsi="宋体" w:cs="宋体"/>
          <w:color w:val="auto"/>
          <w:highlight w:val="none"/>
          <w:u w:val="single"/>
        </w:rPr>
      </w:pPr>
      <w:r>
        <w:rPr>
          <w:rFonts w:hint="eastAsia" w:hAnsi="宋体" w:cs="宋体"/>
          <w:color w:val="auto"/>
          <w:kern w:val="0"/>
          <w:szCs w:val="21"/>
          <w:highlight w:val="none"/>
        </w:rPr>
        <w:t>成员一名称</w:t>
      </w:r>
      <w:r>
        <w:rPr>
          <w:rFonts w:hint="eastAsia" w:hAnsi="宋体" w:cs="宋体"/>
          <w:color w:val="auto"/>
          <w:highlight w:val="none"/>
        </w:rPr>
        <w:t>（盖公章）：</w:t>
      </w:r>
      <w:r>
        <w:rPr>
          <w:rFonts w:hint="eastAsia" w:hAnsi="宋体" w:cs="宋体"/>
          <w:color w:val="auto"/>
          <w:highlight w:val="none"/>
          <w:u w:val="single"/>
        </w:rPr>
        <w:t xml:space="preserve">                                    </w:t>
      </w:r>
    </w:p>
    <w:p>
      <w:pPr>
        <w:pStyle w:val="15"/>
        <w:spacing w:line="360" w:lineRule="exact"/>
        <w:ind w:firstLine="420"/>
        <w:rPr>
          <w:rFonts w:hAnsi="宋体" w:cs="宋体"/>
          <w:color w:val="auto"/>
          <w:highlight w:val="none"/>
          <w:u w:val="single"/>
        </w:rPr>
      </w:pPr>
      <w:r>
        <w:rPr>
          <w:rFonts w:hint="eastAsia" w:hAnsi="宋体" w:cs="宋体"/>
          <w:color w:val="auto"/>
          <w:highlight w:val="none"/>
        </w:rPr>
        <w:t>法定代表人（签字）：</w:t>
      </w:r>
      <w:r>
        <w:rPr>
          <w:rFonts w:hint="eastAsia" w:hAnsi="宋体" w:cs="宋体"/>
          <w:color w:val="auto"/>
          <w:highlight w:val="none"/>
          <w:u w:val="single"/>
        </w:rPr>
        <w:t xml:space="preserve">                                      </w:t>
      </w:r>
    </w:p>
    <w:p>
      <w:pPr>
        <w:pStyle w:val="8"/>
        <w:spacing w:line="360" w:lineRule="exact"/>
        <w:ind w:left="0" w:firstLine="420" w:firstLineChars="200"/>
        <w:rPr>
          <w:rFonts w:ascii="宋体" w:hAnsi="宋体" w:cs="宋体"/>
          <w:color w:val="auto"/>
          <w:highlight w:val="none"/>
          <w:u w:val="single"/>
        </w:rPr>
      </w:pPr>
      <w:r>
        <w:rPr>
          <w:rFonts w:hint="eastAsia" w:ascii="宋体" w:hAnsi="宋体" w:cs="宋体"/>
          <w:color w:val="auto"/>
          <w:highlight w:val="none"/>
        </w:rPr>
        <w:t>委托代理人（签字）：</w:t>
      </w:r>
      <w:r>
        <w:rPr>
          <w:rFonts w:hint="eastAsia" w:ascii="宋体" w:hAnsi="宋体" w:cs="宋体"/>
          <w:color w:val="auto"/>
          <w:highlight w:val="none"/>
          <w:u w:val="single"/>
        </w:rPr>
        <w:t xml:space="preserve">                                      </w:t>
      </w:r>
    </w:p>
    <w:p>
      <w:pPr>
        <w:spacing w:line="360" w:lineRule="exact"/>
        <w:ind w:firstLine="420" w:firstLineChars="200"/>
        <w:rPr>
          <w:color w:val="auto"/>
          <w:highlight w:val="none"/>
        </w:rPr>
      </w:pPr>
      <w:r>
        <w:rPr>
          <w:rFonts w:hint="eastAsia" w:ascii="宋体" w:hAnsi="宋体" w:cs="宋体"/>
          <w:color w:val="auto"/>
          <w:highlight w:val="none"/>
        </w:rPr>
        <w:t>委托代理人身份证号码：</w:t>
      </w:r>
      <w:r>
        <w:rPr>
          <w:rFonts w:hint="eastAsia" w:ascii="宋体" w:hAnsi="宋体" w:cs="宋体"/>
          <w:color w:val="auto"/>
          <w:highlight w:val="none"/>
          <w:u w:val="single"/>
        </w:rPr>
        <w:t xml:space="preserve">                                    </w:t>
      </w:r>
    </w:p>
    <w:p>
      <w:pPr>
        <w:pStyle w:val="15"/>
        <w:spacing w:line="360" w:lineRule="exact"/>
        <w:ind w:firstLine="420"/>
        <w:rPr>
          <w:rFonts w:hAnsi="宋体" w:cs="宋体"/>
          <w:color w:val="auto"/>
          <w:highlight w:val="none"/>
          <w:u w:val="single"/>
        </w:rPr>
      </w:pPr>
    </w:p>
    <w:p>
      <w:pPr>
        <w:autoSpaceDE w:val="0"/>
        <w:autoSpaceDN w:val="0"/>
        <w:adjustRightInd w:val="0"/>
        <w:spacing w:line="3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成员二名称（盖公章）：</w:t>
      </w:r>
      <w:r>
        <w:rPr>
          <w:rFonts w:hint="eastAsia" w:ascii="宋体" w:hAnsi="宋体" w:cs="宋体"/>
          <w:color w:val="auto"/>
          <w:kern w:val="0"/>
          <w:szCs w:val="21"/>
          <w:highlight w:val="none"/>
          <w:u w:val="single"/>
        </w:rPr>
        <w:t xml:space="preserve">                                    </w:t>
      </w:r>
    </w:p>
    <w:p>
      <w:pPr>
        <w:autoSpaceDE w:val="0"/>
        <w:autoSpaceDN w:val="0"/>
        <w:adjustRightInd w:val="0"/>
        <w:spacing w:line="3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法定代表人（签字）：</w:t>
      </w:r>
      <w:r>
        <w:rPr>
          <w:rFonts w:hint="eastAsia" w:ascii="宋体" w:hAnsi="宋体" w:cs="宋体"/>
          <w:color w:val="auto"/>
          <w:kern w:val="0"/>
          <w:szCs w:val="21"/>
          <w:highlight w:val="none"/>
          <w:u w:val="single"/>
        </w:rPr>
        <w:t xml:space="preserve">                                      </w:t>
      </w:r>
    </w:p>
    <w:p>
      <w:pPr>
        <w:pStyle w:val="8"/>
        <w:spacing w:line="360" w:lineRule="exact"/>
        <w:ind w:left="0" w:firstLine="420" w:firstLineChars="200"/>
        <w:rPr>
          <w:rFonts w:ascii="宋体" w:hAnsi="宋体" w:cs="宋体"/>
          <w:color w:val="auto"/>
          <w:highlight w:val="none"/>
          <w:u w:val="single"/>
        </w:rPr>
      </w:pPr>
      <w:r>
        <w:rPr>
          <w:rFonts w:hint="eastAsia" w:ascii="宋体" w:hAnsi="宋体" w:cs="宋体"/>
          <w:color w:val="auto"/>
          <w:highlight w:val="none"/>
        </w:rPr>
        <w:t>委托代理人（签字）：</w:t>
      </w:r>
      <w:r>
        <w:rPr>
          <w:rFonts w:hint="eastAsia" w:ascii="宋体" w:hAnsi="宋体" w:cs="宋体"/>
          <w:color w:val="auto"/>
          <w:highlight w:val="none"/>
          <w:u w:val="single"/>
        </w:rPr>
        <w:t xml:space="preserve">                                      </w:t>
      </w:r>
    </w:p>
    <w:p>
      <w:pPr>
        <w:spacing w:line="360" w:lineRule="exact"/>
        <w:ind w:firstLine="420" w:firstLineChars="200"/>
        <w:rPr>
          <w:color w:val="auto"/>
          <w:highlight w:val="none"/>
        </w:rPr>
      </w:pPr>
      <w:r>
        <w:rPr>
          <w:rFonts w:hint="eastAsia" w:ascii="宋体" w:hAnsi="宋体" w:cs="宋体"/>
          <w:color w:val="auto"/>
          <w:highlight w:val="none"/>
        </w:rPr>
        <w:t>委托代理人身份证号码：</w:t>
      </w:r>
      <w:r>
        <w:rPr>
          <w:rFonts w:hint="eastAsia" w:ascii="宋体" w:hAnsi="宋体" w:cs="宋体"/>
          <w:color w:val="auto"/>
          <w:highlight w:val="none"/>
          <w:u w:val="single"/>
        </w:rPr>
        <w:t xml:space="preserve">                                    </w:t>
      </w:r>
    </w:p>
    <w:p>
      <w:pPr>
        <w:pStyle w:val="2"/>
        <w:spacing w:line="360" w:lineRule="exact"/>
        <w:rPr>
          <w:color w:val="auto"/>
          <w:highlight w:val="none"/>
        </w:rPr>
      </w:pPr>
    </w:p>
    <w:p>
      <w:pPr>
        <w:pStyle w:val="15"/>
        <w:spacing w:line="360" w:lineRule="exact"/>
        <w:ind w:firstLine="420" w:firstLineChars="200"/>
        <w:rPr>
          <w:rFonts w:hAnsi="宋体" w:cs="宋体"/>
          <w:color w:val="auto"/>
          <w:highlight w:val="none"/>
        </w:rPr>
      </w:pPr>
      <w:r>
        <w:rPr>
          <w:rFonts w:hint="eastAsia" w:hAnsi="宋体" w:cs="宋体"/>
          <w:color w:val="auto"/>
          <w:highlight w:val="none"/>
        </w:rPr>
        <w:t>......</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注：</w:t>
      </w:r>
    </w:p>
    <w:p>
      <w:pPr>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1.法定代表人和委托代理人必须在授权委托书上</w:t>
      </w:r>
      <w:r>
        <w:rPr>
          <w:rFonts w:hint="eastAsia" w:ascii="宋体" w:hAnsi="宋体" w:cs="宋体"/>
          <w:color w:val="auto"/>
          <w:kern w:val="0"/>
          <w:szCs w:val="21"/>
          <w:highlight w:val="none"/>
        </w:rPr>
        <w:t>签字</w:t>
      </w:r>
      <w:r>
        <w:rPr>
          <w:rFonts w:hint="eastAsia" w:ascii="宋体" w:hAnsi="宋体" w:cs="宋体"/>
          <w:color w:val="auto"/>
          <w:szCs w:val="21"/>
          <w:highlight w:val="none"/>
        </w:rPr>
        <w:t>，</w:t>
      </w:r>
      <w:r>
        <w:rPr>
          <w:rFonts w:hint="eastAsia" w:ascii="宋体" w:hAnsi="宋体" w:cs="宋体"/>
          <w:b/>
          <w:bCs/>
          <w:color w:val="auto"/>
          <w:szCs w:val="21"/>
          <w:highlight w:val="none"/>
        </w:rPr>
        <w:t>否则作无效投标处理</w:t>
      </w:r>
      <w:r>
        <w:rPr>
          <w:rFonts w:hint="eastAsia" w:ascii="宋体" w:hAnsi="宋体" w:cs="宋体"/>
          <w:color w:val="auto"/>
          <w:szCs w:val="21"/>
          <w:highlight w:val="none"/>
        </w:rPr>
        <w:t>。</w:t>
      </w:r>
    </w:p>
    <w:p>
      <w:pPr>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2.以联合体形式投标的，本授权委托书应由联合体牵头人的法定代表人按上述规定签署。</w:t>
      </w:r>
    </w:p>
    <w:p>
      <w:pPr>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3.投标人为其他组织或者自然人时，本招标文件规定的法定代表人指负责人或者自然人。本招标文件所称负责人是指参加投标的其他组织营业执照上的负责人，本招标文件所称自然人指参与投标的自然人本人。</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 若为联合体投标须各方签字或盖章。</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附件：</w:t>
      </w:r>
    </w:p>
    <w:tbl>
      <w:tblPr>
        <w:tblStyle w:val="22"/>
        <w:tblpPr w:leftFromText="180" w:rightFromText="180" w:vertAnchor="text" w:horzAnchor="margin" w:tblpY="263"/>
        <w:tblW w:w="7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0" w:hRule="atLeast"/>
        </w:trPr>
        <w:tc>
          <w:tcPr>
            <w:tcW w:w="79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bCs/>
                <w:color w:val="auto"/>
                <w:sz w:val="24"/>
                <w:highlight w:val="none"/>
              </w:rPr>
              <w:t>委托代理人有效</w:t>
            </w:r>
            <w:r>
              <w:rPr>
                <w:rFonts w:hint="eastAsia" w:ascii="宋体" w:hAnsi="宋体" w:cs="宋体"/>
                <w:b/>
                <w:color w:val="auto"/>
                <w:sz w:val="24"/>
                <w:highlight w:val="none"/>
              </w:rPr>
              <w:t>身份证复印件粘帖处（正、反面）</w:t>
            </w:r>
          </w:p>
        </w:tc>
      </w:tr>
    </w:tbl>
    <w:p>
      <w:pPr>
        <w:rPr>
          <w:rFonts w:ascii="宋体" w:hAnsi="宋体" w:cs="宋体"/>
          <w:b/>
          <w:color w:val="auto"/>
          <w:sz w:val="24"/>
          <w:szCs w:val="20"/>
          <w:highlight w:val="none"/>
        </w:rPr>
      </w:pPr>
      <w:r>
        <w:rPr>
          <w:rFonts w:hint="eastAsia" w:ascii="宋体" w:hAnsi="宋体" w:cs="宋体"/>
          <w:color w:val="auto"/>
          <w:sz w:val="24"/>
          <w:highlight w:val="none"/>
        </w:rPr>
        <w:br w:type="page"/>
      </w:r>
      <w:r>
        <w:rPr>
          <w:rFonts w:hint="eastAsia" w:ascii="宋体" w:hAnsi="宋体" w:cs="宋体"/>
          <w:b/>
          <w:color w:val="auto"/>
          <w:sz w:val="28"/>
          <w:szCs w:val="28"/>
          <w:highlight w:val="none"/>
        </w:rPr>
        <w:t>6.商务条款偏离表的格式：</w:t>
      </w:r>
    </w:p>
    <w:p>
      <w:pPr>
        <w:snapToGrid w:val="0"/>
        <w:spacing w:before="120" w:beforeLines="50" w:after="50"/>
        <w:rPr>
          <w:rFonts w:ascii="宋体" w:hAnsi="宋体" w:cs="宋体"/>
          <w:color w:val="auto"/>
          <w:highlight w:val="none"/>
        </w:rPr>
      </w:pPr>
    </w:p>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商务条款偏离表</w:t>
      </w:r>
    </w:p>
    <w:p>
      <w:pPr>
        <w:jc w:val="center"/>
        <w:rPr>
          <w:rFonts w:ascii="宋体" w:hAnsi="宋体" w:cs="宋体"/>
          <w:color w:val="auto"/>
          <w:sz w:val="30"/>
          <w:szCs w:val="20"/>
          <w:highlight w:val="none"/>
        </w:rPr>
      </w:pPr>
    </w:p>
    <w:p>
      <w:pPr>
        <w:spacing w:line="360" w:lineRule="auto"/>
        <w:contextualSpacing/>
        <w:rPr>
          <w:rFonts w:ascii="宋体" w:hAnsi="宋体" w:cs="宋体"/>
          <w:color w:val="auto"/>
          <w:sz w:val="24"/>
          <w:highlight w:val="none"/>
        </w:rPr>
      </w:pPr>
    </w:p>
    <w:p>
      <w:pPr>
        <w:spacing w:line="480" w:lineRule="auto"/>
        <w:contextualSpacing/>
        <w:rPr>
          <w:rFonts w:ascii="宋体" w:hAnsi="宋体" w:cs="宋体"/>
          <w:color w:val="auto"/>
          <w:sz w:val="24"/>
          <w:highlight w:val="none"/>
          <w:u w:val="singl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spacing w:line="480" w:lineRule="auto"/>
        <w:contextualSpacing/>
        <w:jc w:val="left"/>
        <w:rPr>
          <w:rFonts w:ascii="宋体" w:hAnsi="宋体" w:cs="宋体"/>
          <w:color w:val="auto"/>
          <w:sz w:val="24"/>
          <w:highlight w:val="none"/>
        </w:rPr>
      </w:pPr>
      <w:r>
        <w:rPr>
          <w:rFonts w:hint="eastAsia" w:ascii="宋体" w:hAnsi="宋体" w:cs="宋体"/>
          <w:color w:val="auto"/>
          <w:sz w:val="24"/>
          <w:highlight w:val="none"/>
        </w:rPr>
        <w:t>项目编号：</w:t>
      </w:r>
      <w:r>
        <w:rPr>
          <w:rFonts w:hint="eastAsia" w:ascii="宋体" w:hAnsi="宋体" w:cs="宋体"/>
          <w:color w:val="auto"/>
          <w:sz w:val="24"/>
          <w:highlight w:val="none"/>
          <w:u w:val="single"/>
        </w:rPr>
        <w:t xml:space="preserve">                 </w:t>
      </w:r>
    </w:p>
    <w:p>
      <w:pPr>
        <w:pStyle w:val="15"/>
        <w:spacing w:line="480" w:lineRule="auto"/>
        <w:ind w:left="-422" w:leftChars="-201" w:firstLine="424"/>
        <w:rPr>
          <w:rFonts w:hAnsi="宋体" w:cs="宋体"/>
          <w:color w:val="auto"/>
          <w:sz w:val="24"/>
          <w:szCs w:val="24"/>
          <w:highlight w:val="none"/>
        </w:rPr>
      </w:pPr>
      <w:r>
        <w:rPr>
          <w:rFonts w:hint="eastAsia" w:hAnsi="宋体" w:cs="宋体"/>
          <w:color w:val="auto"/>
          <w:sz w:val="24"/>
          <w:szCs w:val="24"/>
          <w:highlight w:val="none"/>
        </w:rPr>
        <w:t>所投分标</w:t>
      </w:r>
      <w:r>
        <w:rPr>
          <w:rFonts w:hint="eastAsia" w:hAnsi="宋体" w:cs="宋体"/>
          <w:color w:val="auto"/>
          <w:szCs w:val="21"/>
          <w:highlight w:val="none"/>
        </w:rPr>
        <w:t>（此处有分标时填写具体分标号，无分标时填写“无”）</w:t>
      </w:r>
      <w:r>
        <w:rPr>
          <w:rFonts w:hint="eastAsia" w:hAnsi="宋体" w:cs="宋体"/>
          <w:color w:val="auto"/>
          <w:sz w:val="24"/>
          <w:szCs w:val="24"/>
          <w:highlight w:val="none"/>
        </w:rPr>
        <w:t>：</w:t>
      </w:r>
      <w:r>
        <w:rPr>
          <w:rFonts w:hint="eastAsia" w:hAnsi="宋体" w:cs="宋体"/>
          <w:color w:val="auto"/>
          <w:sz w:val="24"/>
          <w:highlight w:val="none"/>
          <w:u w:val="single"/>
        </w:rPr>
        <w:t xml:space="preserve">           </w:t>
      </w:r>
    </w:p>
    <w:tbl>
      <w:tblPr>
        <w:tblStyle w:val="2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3429"/>
        <w:gridCol w:w="3229"/>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72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Cs w:val="21"/>
                <w:highlight w:val="none"/>
              </w:rPr>
            </w:pPr>
            <w:r>
              <w:rPr>
                <w:rFonts w:hint="eastAsia" w:ascii="宋体" w:hAnsi="宋体" w:cs="宋体"/>
                <w:color w:val="auto"/>
                <w:szCs w:val="21"/>
                <w:highlight w:val="none"/>
              </w:rPr>
              <w:t>项号</w:t>
            </w:r>
          </w:p>
        </w:tc>
        <w:tc>
          <w:tcPr>
            <w:tcW w:w="34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Cs w:val="21"/>
                <w:highlight w:val="none"/>
              </w:rPr>
            </w:pPr>
            <w:r>
              <w:rPr>
                <w:rFonts w:hint="eastAsia" w:ascii="宋体" w:hAnsi="宋体" w:cs="宋体"/>
                <w:color w:val="auto"/>
                <w:szCs w:val="21"/>
                <w:highlight w:val="none"/>
              </w:rPr>
              <w:t>招标文件的商务条款</w:t>
            </w:r>
          </w:p>
        </w:tc>
        <w:tc>
          <w:tcPr>
            <w:tcW w:w="32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Cs w:val="21"/>
                <w:highlight w:val="none"/>
              </w:rPr>
            </w:pPr>
            <w:r>
              <w:rPr>
                <w:rFonts w:hint="eastAsia" w:ascii="宋体" w:hAnsi="宋体" w:cs="宋体"/>
                <w:color w:val="auto"/>
                <w:szCs w:val="21"/>
                <w:highlight w:val="none"/>
              </w:rPr>
              <w:t>投标文件响应的商务条款</w:t>
            </w:r>
          </w:p>
        </w:tc>
        <w:tc>
          <w:tcPr>
            <w:tcW w:w="114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trPr>
        <w:tc>
          <w:tcPr>
            <w:tcW w:w="724"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r>
              <w:rPr>
                <w:rFonts w:hint="eastAsia" w:ascii="宋体" w:hAnsi="宋体" w:cs="宋体"/>
                <w:color w:val="auto"/>
                <w:szCs w:val="21"/>
                <w:highlight w:val="none"/>
              </w:rPr>
              <w:t>一</w:t>
            </w:r>
          </w:p>
        </w:tc>
        <w:tc>
          <w:tcPr>
            <w:tcW w:w="342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p>
        </w:tc>
        <w:tc>
          <w:tcPr>
            <w:tcW w:w="322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p>
        </w:tc>
        <w:tc>
          <w:tcPr>
            <w:tcW w:w="114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trPr>
        <w:tc>
          <w:tcPr>
            <w:tcW w:w="724"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r>
              <w:rPr>
                <w:rFonts w:hint="eastAsia" w:ascii="宋体" w:hAnsi="宋体" w:cs="宋体"/>
                <w:color w:val="auto"/>
                <w:szCs w:val="21"/>
                <w:highlight w:val="none"/>
              </w:rPr>
              <w:t>二</w:t>
            </w:r>
          </w:p>
        </w:tc>
        <w:tc>
          <w:tcPr>
            <w:tcW w:w="342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p>
        </w:tc>
        <w:tc>
          <w:tcPr>
            <w:tcW w:w="322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p>
        </w:tc>
        <w:tc>
          <w:tcPr>
            <w:tcW w:w="114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9" w:hRule="atLeast"/>
        </w:trPr>
        <w:tc>
          <w:tcPr>
            <w:tcW w:w="724"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r>
              <w:rPr>
                <w:rFonts w:hint="eastAsia" w:ascii="宋体" w:hAnsi="宋体" w:cs="宋体"/>
                <w:color w:val="auto"/>
                <w:szCs w:val="21"/>
                <w:highlight w:val="none"/>
              </w:rPr>
              <w:t>...</w:t>
            </w:r>
          </w:p>
        </w:tc>
        <w:tc>
          <w:tcPr>
            <w:tcW w:w="342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p>
        </w:tc>
        <w:tc>
          <w:tcPr>
            <w:tcW w:w="322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p>
        </w:tc>
        <w:tc>
          <w:tcPr>
            <w:tcW w:w="1146"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color w:val="auto"/>
                <w:szCs w:val="21"/>
                <w:highlight w:val="none"/>
              </w:rPr>
            </w:pPr>
          </w:p>
        </w:tc>
      </w:tr>
    </w:tbl>
    <w:p>
      <w:pPr>
        <w:pStyle w:val="15"/>
        <w:spacing w:line="360" w:lineRule="auto"/>
        <w:ind w:left="-708" w:leftChars="-337"/>
        <w:rPr>
          <w:rFonts w:hAnsi="宋体" w:cs="宋体"/>
          <w:color w:val="auto"/>
          <w:highlight w:val="none"/>
        </w:rPr>
      </w:pPr>
    </w:p>
    <w:p>
      <w:pPr>
        <w:pStyle w:val="15"/>
        <w:spacing w:line="360" w:lineRule="auto"/>
        <w:ind w:left="0" w:leftChars="0" w:firstLine="420" w:firstLineChars="200"/>
        <w:rPr>
          <w:rFonts w:hAnsi="宋体" w:cs="宋体"/>
          <w:color w:val="auto"/>
          <w:highlight w:val="none"/>
        </w:rPr>
      </w:pPr>
      <w:r>
        <w:rPr>
          <w:rFonts w:hint="eastAsia" w:hAnsi="宋体" w:cs="宋体"/>
          <w:color w:val="auto"/>
          <w:highlight w:val="none"/>
        </w:rPr>
        <w:t>注：</w:t>
      </w:r>
    </w:p>
    <w:p>
      <w:pPr>
        <w:pStyle w:val="15"/>
        <w:spacing w:line="360" w:lineRule="auto"/>
        <w:ind w:left="0" w:leftChars="0" w:right="754" w:rightChars="359" w:firstLine="420" w:firstLineChars="200"/>
        <w:rPr>
          <w:rFonts w:hAnsi="宋体" w:cs="宋体"/>
          <w:color w:val="auto"/>
          <w:highlight w:val="none"/>
        </w:rPr>
      </w:pPr>
      <w:r>
        <w:rPr>
          <w:rFonts w:hint="eastAsia" w:hAnsi="宋体" w:cs="宋体"/>
          <w:color w:val="auto"/>
          <w:highlight w:val="none"/>
        </w:rPr>
        <w:t>1.表格内容均需按要求填写并加盖投标人公章。</w:t>
      </w:r>
    </w:p>
    <w:p>
      <w:pPr>
        <w:pStyle w:val="15"/>
        <w:spacing w:line="360" w:lineRule="auto"/>
        <w:ind w:left="0" w:leftChars="0" w:right="754" w:rightChars="359" w:firstLine="420" w:firstLineChars="200"/>
        <w:rPr>
          <w:rFonts w:hAnsi="宋体" w:cs="宋体"/>
          <w:color w:val="auto"/>
          <w:sz w:val="24"/>
          <w:szCs w:val="24"/>
          <w:highlight w:val="none"/>
        </w:rPr>
      </w:pPr>
      <w:r>
        <w:rPr>
          <w:rFonts w:hint="eastAsia" w:hAnsi="宋体" w:cs="宋体"/>
          <w:color w:val="auto"/>
          <w:highlight w:val="none"/>
        </w:rPr>
        <w:t xml:space="preserve">2.请逐条对应本项目招标文件“第二章  </w:t>
      </w:r>
      <w:r>
        <w:rPr>
          <w:rFonts w:hint="eastAsia" w:hAnsi="宋体" w:cs="宋体"/>
          <w:b/>
          <w:color w:val="auto"/>
          <w:szCs w:val="21"/>
          <w:highlight w:val="none"/>
        </w:rPr>
        <w:t>采购需求</w:t>
      </w:r>
      <w:r>
        <w:rPr>
          <w:rFonts w:hint="eastAsia" w:hAnsi="宋体" w:cs="宋体"/>
          <w:color w:val="auto"/>
          <w:highlight w:val="none"/>
        </w:rPr>
        <w:t>”中“商务条款”的要求，详细填写相应的具体内容。“偏离说明”一栏应当选择“正偏离”或“负偏离”或“无偏离”进行填写。</w:t>
      </w:r>
    </w:p>
    <w:p>
      <w:pPr>
        <w:pStyle w:val="15"/>
        <w:spacing w:line="360" w:lineRule="auto"/>
        <w:ind w:left="0" w:leftChars="0" w:firstLine="420" w:firstLineChars="200"/>
        <w:rPr>
          <w:rFonts w:hAnsi="宋体" w:cs="宋体"/>
          <w:color w:val="auto"/>
          <w:highlight w:val="none"/>
        </w:rPr>
      </w:pPr>
      <w:r>
        <w:rPr>
          <w:rFonts w:hint="eastAsia" w:hAnsi="宋体" w:cs="宋体"/>
          <w:color w:val="auto"/>
          <w:highlight w:val="none"/>
        </w:rPr>
        <w:t>3.当投标文件的商务内容低于招标文件要求时，投标人应当如实写明“负偏离”。</w:t>
      </w:r>
    </w:p>
    <w:p>
      <w:pPr>
        <w:snapToGrid w:val="0"/>
        <w:spacing w:before="50" w:after="50"/>
        <w:rPr>
          <w:rFonts w:ascii="宋体" w:hAnsi="宋体" w:cs="宋体"/>
          <w:color w:val="auto"/>
          <w:sz w:val="24"/>
          <w:highlight w:val="none"/>
        </w:rPr>
      </w:pPr>
    </w:p>
    <w:p>
      <w:pPr>
        <w:snapToGrid w:val="0"/>
        <w:spacing w:line="360" w:lineRule="auto"/>
        <w:ind w:firstLine="4935" w:firstLineChars="2350"/>
        <w:rPr>
          <w:rFonts w:ascii="宋体" w:hAnsi="宋体" w:cs="宋体"/>
          <w:color w:val="auto"/>
          <w:kern w:val="0"/>
          <w:sz w:val="24"/>
          <w:highlight w:val="none"/>
        </w:rPr>
      </w:pPr>
      <w:r>
        <w:rPr>
          <w:rFonts w:hint="eastAsia" w:ascii="宋体" w:hAnsi="宋体" w:cs="宋体"/>
          <w:color w:val="auto"/>
          <w:szCs w:val="21"/>
          <w:highlight w:val="none"/>
        </w:rPr>
        <w:t xml:space="preserve">  </w:t>
      </w:r>
      <w:r>
        <w:rPr>
          <w:rFonts w:hint="eastAsia" w:ascii="宋体" w:hAnsi="宋体" w:cs="宋体"/>
          <w:color w:val="auto"/>
          <w:kern w:val="0"/>
          <w:sz w:val="24"/>
          <w:highlight w:val="none"/>
          <w:lang w:val="zh-CN"/>
        </w:rPr>
        <w:t>投标人名称(盖公章)：</w:t>
      </w:r>
    </w:p>
    <w:p>
      <w:pPr>
        <w:snapToGrid w:val="0"/>
        <w:spacing w:line="360" w:lineRule="auto"/>
        <w:ind w:firstLine="5160" w:firstLineChars="215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widowControl/>
        <w:jc w:val="left"/>
        <w:rPr>
          <w:rFonts w:ascii="宋体" w:hAnsi="宋体" w:cs="宋体"/>
          <w:color w:val="auto"/>
          <w:szCs w:val="21"/>
          <w:highlight w:val="none"/>
        </w:rPr>
        <w:sectPr>
          <w:pgSz w:w="11906" w:h="16838"/>
          <w:pgMar w:top="1440" w:right="1134" w:bottom="1440" w:left="1197" w:header="851" w:footer="992" w:gutter="0"/>
          <w:cols w:space="720" w:num="1"/>
        </w:sectPr>
      </w:pPr>
    </w:p>
    <w:p>
      <w:pPr>
        <w:pStyle w:val="19"/>
        <w:snapToGrid w:val="0"/>
        <w:ind w:left="602" w:hanging="602"/>
        <w:rPr>
          <w:rFonts w:ascii="宋体" w:hAnsi="宋体" w:cs="宋体"/>
          <w:i/>
          <w:iCs/>
          <w:color w:val="auto"/>
          <w:szCs w:val="28"/>
          <w:highlight w:val="none"/>
        </w:rPr>
      </w:pPr>
      <w:r>
        <w:rPr>
          <w:rFonts w:hint="eastAsia" w:ascii="宋体" w:hAnsi="宋体" w:cs="宋体"/>
          <w:b/>
          <w:bCs/>
          <w:color w:val="auto"/>
          <w:sz w:val="30"/>
          <w:szCs w:val="30"/>
          <w:highlight w:val="none"/>
        </w:rPr>
        <w:t>7.投标人类似的业绩证明文件（如有要求）：</w:t>
      </w:r>
    </w:p>
    <w:p>
      <w:pPr>
        <w:spacing w:line="360" w:lineRule="auto"/>
        <w:ind w:firstLine="2880" w:firstLineChars="900"/>
        <w:contextualSpacing/>
        <w:rPr>
          <w:rFonts w:ascii="宋体" w:hAnsi="宋体" w:cs="宋体"/>
          <w:color w:val="auto"/>
          <w:sz w:val="32"/>
          <w:szCs w:val="32"/>
          <w:highlight w:val="none"/>
        </w:rPr>
      </w:pPr>
      <w:r>
        <w:rPr>
          <w:rFonts w:hint="eastAsia" w:ascii="宋体" w:hAnsi="宋体" w:cs="宋体"/>
          <w:color w:val="auto"/>
          <w:sz w:val="32"/>
          <w:szCs w:val="32"/>
          <w:highlight w:val="none"/>
        </w:rPr>
        <w:t>类似项目的业绩一览表</w:t>
      </w:r>
    </w:p>
    <w:p>
      <w:pPr>
        <w:autoSpaceDE w:val="0"/>
        <w:autoSpaceDN w:val="0"/>
        <w:spacing w:line="360" w:lineRule="auto"/>
        <w:jc w:val="left"/>
        <w:rPr>
          <w:rFonts w:ascii="宋体" w:hAnsi="宋体" w:cs="宋体"/>
          <w:color w:val="auto"/>
          <w:sz w:val="24"/>
          <w:highlight w:val="none"/>
        </w:rPr>
      </w:pPr>
    </w:p>
    <w:p>
      <w:pPr>
        <w:autoSpaceDE w:val="0"/>
        <w:autoSpaceDN w:val="0"/>
        <w:spacing w:line="360" w:lineRule="auto"/>
        <w:jc w:val="left"/>
        <w:rPr>
          <w:rFonts w:ascii="宋体" w:hAnsi="宋体" w:cs="宋体"/>
          <w:color w:val="auto"/>
          <w:sz w:val="24"/>
          <w:highlight w:val="none"/>
        </w:rPr>
      </w:pPr>
      <w:r>
        <w:rPr>
          <w:rFonts w:hint="eastAsia" w:ascii="宋体" w:hAnsi="宋体" w:cs="宋体"/>
          <w:color w:val="auto"/>
          <w:sz w:val="24"/>
          <w:highlight w:val="none"/>
        </w:rPr>
        <w:t>所投分标（如有则填写，无分标时填写“无”或者留空）：</w:t>
      </w:r>
    </w:p>
    <w:tbl>
      <w:tblPr>
        <w:tblStyle w:val="22"/>
        <w:tblW w:w="9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24"/>
        <w:gridCol w:w="1813"/>
        <w:gridCol w:w="1687"/>
        <w:gridCol w:w="1016"/>
        <w:gridCol w:w="1016"/>
        <w:gridCol w:w="1018"/>
        <w:gridCol w:w="19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7" w:hRule="atLeast"/>
        </w:trPr>
        <w:tc>
          <w:tcPr>
            <w:tcW w:w="122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 w:val="24"/>
                <w:highlight w:val="none"/>
              </w:rPr>
            </w:pPr>
            <w:r>
              <w:rPr>
                <w:rFonts w:hint="eastAsia" w:ascii="宋体" w:hAnsi="宋体" w:cs="宋体"/>
                <w:color w:val="auto"/>
                <w:sz w:val="24"/>
                <w:highlight w:val="none"/>
              </w:rPr>
              <w:t>采购人</w:t>
            </w:r>
          </w:p>
          <w:p>
            <w:pPr>
              <w:snapToGrid w:val="0"/>
              <w:spacing w:line="240" w:lineRule="exact"/>
              <w:jc w:val="center"/>
              <w:rPr>
                <w:rFonts w:ascii="宋体" w:hAnsi="宋体" w:cs="宋体"/>
                <w:color w:val="auto"/>
                <w:sz w:val="24"/>
                <w:highlight w:val="none"/>
              </w:rPr>
            </w:pPr>
            <w:r>
              <w:rPr>
                <w:rFonts w:hint="eastAsia" w:ascii="宋体" w:hAnsi="宋体" w:cs="宋体"/>
                <w:color w:val="auto"/>
                <w:sz w:val="24"/>
                <w:highlight w:val="none"/>
              </w:rPr>
              <w:t>名称</w:t>
            </w:r>
          </w:p>
        </w:tc>
        <w:tc>
          <w:tcPr>
            <w:tcW w:w="181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 w:val="24"/>
                <w:highlight w:val="none"/>
              </w:rPr>
            </w:pPr>
            <w:r>
              <w:rPr>
                <w:rFonts w:hint="eastAsia" w:ascii="宋体" w:hAnsi="宋体" w:cs="宋体"/>
                <w:color w:val="auto"/>
                <w:sz w:val="24"/>
                <w:highlight w:val="none"/>
              </w:rPr>
              <w:t>项目名称</w:t>
            </w:r>
          </w:p>
        </w:tc>
        <w:tc>
          <w:tcPr>
            <w:tcW w:w="168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 w:val="24"/>
                <w:highlight w:val="none"/>
              </w:rPr>
            </w:pPr>
            <w:r>
              <w:rPr>
                <w:rFonts w:hint="eastAsia" w:ascii="宋体" w:hAnsi="宋体" w:cs="宋体"/>
                <w:color w:val="auto"/>
                <w:sz w:val="24"/>
                <w:highlight w:val="none"/>
              </w:rPr>
              <w:t>合同金额</w:t>
            </w:r>
          </w:p>
          <w:p>
            <w:pPr>
              <w:snapToGrid w:val="0"/>
              <w:spacing w:line="240" w:lineRule="exact"/>
              <w:jc w:val="center"/>
              <w:rPr>
                <w:rFonts w:ascii="宋体" w:hAnsi="宋体" w:cs="宋体"/>
                <w:color w:val="auto"/>
                <w:sz w:val="24"/>
                <w:highlight w:val="none"/>
              </w:rPr>
            </w:pPr>
            <w:r>
              <w:rPr>
                <w:rFonts w:hint="eastAsia" w:ascii="宋体" w:hAnsi="宋体" w:cs="宋体"/>
                <w:color w:val="auto"/>
                <w:sz w:val="24"/>
                <w:highlight w:val="none"/>
              </w:rPr>
              <w:t>（万元）</w:t>
            </w:r>
          </w:p>
        </w:tc>
        <w:tc>
          <w:tcPr>
            <w:tcW w:w="305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 w:val="24"/>
                <w:highlight w:val="none"/>
              </w:rPr>
            </w:pPr>
            <w:r>
              <w:rPr>
                <w:rFonts w:hint="eastAsia" w:ascii="宋体" w:hAnsi="宋体" w:cs="宋体"/>
                <w:color w:val="auto"/>
                <w:sz w:val="24"/>
                <w:highlight w:val="none"/>
              </w:rPr>
              <w:t>附件在投标文件中页码</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 w:val="24"/>
                <w:highlight w:val="none"/>
              </w:rPr>
            </w:pPr>
            <w:r>
              <w:rPr>
                <w:rFonts w:hint="eastAsia" w:ascii="宋体" w:hAnsi="宋体" w:cs="宋体"/>
                <w:color w:val="auto"/>
                <w:sz w:val="24"/>
                <w:highlight w:val="none"/>
              </w:rPr>
              <w:t>采购人联系人及</w:t>
            </w:r>
          </w:p>
          <w:p>
            <w:pPr>
              <w:snapToGrid w:val="0"/>
              <w:spacing w:line="240" w:lineRule="exact"/>
              <w:jc w:val="center"/>
              <w:rPr>
                <w:rFonts w:ascii="宋体" w:hAnsi="宋体" w:cs="宋体"/>
                <w:color w:val="auto"/>
                <w:sz w:val="24"/>
                <w:highlight w:val="none"/>
              </w:rPr>
            </w:pPr>
            <w:r>
              <w:rPr>
                <w:rFonts w:hint="eastAsia" w:ascii="宋体" w:hAnsi="宋体" w:cs="宋体"/>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36" w:hRule="atLeast"/>
        </w:trPr>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1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16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101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 w:val="24"/>
                <w:highlight w:val="none"/>
              </w:rPr>
            </w:pPr>
            <w:r>
              <w:rPr>
                <w:rFonts w:hint="eastAsia" w:ascii="宋体" w:hAnsi="宋体" w:cs="宋体"/>
                <w:color w:val="auto"/>
                <w:sz w:val="24"/>
                <w:highlight w:val="none"/>
              </w:rPr>
              <w:t>合同</w:t>
            </w:r>
          </w:p>
        </w:tc>
        <w:tc>
          <w:tcPr>
            <w:tcW w:w="101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 w:val="24"/>
                <w:highlight w:val="none"/>
              </w:rPr>
            </w:pPr>
            <w:r>
              <w:rPr>
                <w:rFonts w:hint="eastAsia" w:ascii="宋体" w:hAnsi="宋体" w:cs="宋体"/>
                <w:color w:val="auto"/>
                <w:sz w:val="24"/>
                <w:highlight w:val="none"/>
              </w:rPr>
              <w:t>验收</w:t>
            </w:r>
          </w:p>
          <w:p>
            <w:pPr>
              <w:snapToGrid w:val="0"/>
              <w:spacing w:line="240" w:lineRule="exact"/>
              <w:jc w:val="center"/>
              <w:rPr>
                <w:rFonts w:ascii="宋体" w:hAnsi="宋体" w:cs="宋体"/>
                <w:color w:val="auto"/>
                <w:sz w:val="24"/>
                <w:highlight w:val="none"/>
              </w:rPr>
            </w:pPr>
            <w:r>
              <w:rPr>
                <w:rFonts w:hint="eastAsia" w:ascii="宋体" w:hAnsi="宋体" w:cs="宋体"/>
                <w:color w:val="auto"/>
                <w:sz w:val="24"/>
                <w:highlight w:val="none"/>
              </w:rPr>
              <w:t>报告</w:t>
            </w:r>
          </w:p>
        </w:tc>
        <w:tc>
          <w:tcPr>
            <w:tcW w:w="101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 w:val="24"/>
                <w:highlight w:val="none"/>
              </w:rPr>
            </w:pPr>
            <w:r>
              <w:rPr>
                <w:rFonts w:hint="eastAsia" w:ascii="宋体" w:hAnsi="宋体" w:cs="宋体"/>
                <w:color w:val="auto"/>
                <w:sz w:val="24"/>
                <w:highlight w:val="none"/>
              </w:rPr>
              <w:t>用户</w:t>
            </w:r>
          </w:p>
          <w:p>
            <w:pPr>
              <w:snapToGrid w:val="0"/>
              <w:spacing w:line="240" w:lineRule="exact"/>
              <w:jc w:val="center"/>
              <w:rPr>
                <w:rFonts w:ascii="宋体" w:hAnsi="宋体" w:cs="宋体"/>
                <w:color w:val="auto"/>
                <w:sz w:val="24"/>
                <w:highlight w:val="none"/>
              </w:rPr>
            </w:pPr>
            <w:r>
              <w:rPr>
                <w:rFonts w:hint="eastAsia" w:ascii="宋体" w:hAnsi="宋体" w:cs="宋体"/>
                <w:color w:val="auto"/>
                <w:sz w:val="24"/>
                <w:highlight w:val="none"/>
              </w:rPr>
              <w:t>评价</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9" w:hRule="atLeast"/>
        </w:trPr>
        <w:tc>
          <w:tcPr>
            <w:tcW w:w="122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 w:val="24"/>
                <w:highlight w:val="none"/>
              </w:rPr>
            </w:pPr>
          </w:p>
        </w:tc>
        <w:tc>
          <w:tcPr>
            <w:tcW w:w="1813"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 w:val="24"/>
                <w:highlight w:val="none"/>
              </w:rPr>
            </w:pPr>
          </w:p>
        </w:tc>
        <w:tc>
          <w:tcPr>
            <w:tcW w:w="1687"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 w:val="24"/>
                <w:highlight w:val="none"/>
              </w:rPr>
            </w:pPr>
          </w:p>
        </w:tc>
        <w:tc>
          <w:tcPr>
            <w:tcW w:w="101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 w:val="24"/>
                <w:highlight w:val="none"/>
              </w:rPr>
            </w:pPr>
          </w:p>
        </w:tc>
        <w:tc>
          <w:tcPr>
            <w:tcW w:w="101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 w:val="24"/>
                <w:highlight w:val="none"/>
              </w:rPr>
            </w:pPr>
          </w:p>
        </w:tc>
        <w:tc>
          <w:tcPr>
            <w:tcW w:w="1018"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 w:val="24"/>
                <w:highlight w:val="none"/>
              </w:rPr>
            </w:pPr>
          </w:p>
        </w:tc>
        <w:tc>
          <w:tcPr>
            <w:tcW w:w="1938"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24"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s="宋体"/>
                <w:color w:val="auto"/>
                <w:sz w:val="24"/>
                <w:highlight w:val="none"/>
              </w:rPr>
            </w:pPr>
          </w:p>
        </w:tc>
        <w:tc>
          <w:tcPr>
            <w:tcW w:w="1813"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s="宋体"/>
                <w:color w:val="auto"/>
                <w:sz w:val="24"/>
                <w:highlight w:val="none"/>
              </w:rPr>
            </w:pPr>
          </w:p>
        </w:tc>
        <w:tc>
          <w:tcPr>
            <w:tcW w:w="1687"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s="宋体"/>
                <w:color w:val="auto"/>
                <w:sz w:val="24"/>
                <w:highlight w:val="none"/>
              </w:rPr>
            </w:pPr>
          </w:p>
        </w:tc>
        <w:tc>
          <w:tcPr>
            <w:tcW w:w="1016"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s="宋体"/>
                <w:color w:val="auto"/>
                <w:sz w:val="24"/>
                <w:highlight w:val="none"/>
              </w:rPr>
            </w:pPr>
          </w:p>
        </w:tc>
        <w:tc>
          <w:tcPr>
            <w:tcW w:w="1016"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s="宋体"/>
                <w:color w:val="auto"/>
                <w:sz w:val="24"/>
                <w:highlight w:val="none"/>
              </w:rPr>
            </w:pPr>
          </w:p>
        </w:tc>
        <w:tc>
          <w:tcPr>
            <w:tcW w:w="1018"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s="宋体"/>
                <w:color w:val="auto"/>
                <w:sz w:val="24"/>
                <w:highlight w:val="none"/>
              </w:rPr>
            </w:pPr>
          </w:p>
        </w:tc>
        <w:tc>
          <w:tcPr>
            <w:tcW w:w="1938"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1224"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s="宋体"/>
                <w:color w:val="auto"/>
                <w:sz w:val="24"/>
                <w:highlight w:val="none"/>
              </w:rPr>
            </w:pPr>
          </w:p>
        </w:tc>
        <w:tc>
          <w:tcPr>
            <w:tcW w:w="1813"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s="宋体"/>
                <w:color w:val="auto"/>
                <w:sz w:val="24"/>
                <w:highlight w:val="none"/>
              </w:rPr>
            </w:pPr>
          </w:p>
        </w:tc>
        <w:tc>
          <w:tcPr>
            <w:tcW w:w="1687"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s="宋体"/>
                <w:color w:val="auto"/>
                <w:sz w:val="24"/>
                <w:highlight w:val="none"/>
              </w:rPr>
            </w:pPr>
          </w:p>
        </w:tc>
        <w:tc>
          <w:tcPr>
            <w:tcW w:w="1016"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s="宋体"/>
                <w:color w:val="auto"/>
                <w:sz w:val="24"/>
                <w:highlight w:val="none"/>
              </w:rPr>
            </w:pPr>
          </w:p>
        </w:tc>
        <w:tc>
          <w:tcPr>
            <w:tcW w:w="1016"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s="宋体"/>
                <w:color w:val="auto"/>
                <w:sz w:val="24"/>
                <w:highlight w:val="none"/>
              </w:rPr>
            </w:pPr>
          </w:p>
        </w:tc>
        <w:tc>
          <w:tcPr>
            <w:tcW w:w="1018"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s="宋体"/>
                <w:color w:val="auto"/>
                <w:sz w:val="24"/>
                <w:highlight w:val="none"/>
              </w:rPr>
            </w:pPr>
          </w:p>
        </w:tc>
        <w:tc>
          <w:tcPr>
            <w:tcW w:w="1938"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24"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s="宋体"/>
                <w:color w:val="auto"/>
                <w:sz w:val="24"/>
                <w:highlight w:val="none"/>
              </w:rPr>
            </w:pPr>
          </w:p>
        </w:tc>
        <w:tc>
          <w:tcPr>
            <w:tcW w:w="1813"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s="宋体"/>
                <w:color w:val="auto"/>
                <w:sz w:val="24"/>
                <w:highlight w:val="none"/>
              </w:rPr>
            </w:pPr>
          </w:p>
        </w:tc>
        <w:tc>
          <w:tcPr>
            <w:tcW w:w="1687"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s="宋体"/>
                <w:color w:val="auto"/>
                <w:sz w:val="24"/>
                <w:highlight w:val="none"/>
              </w:rPr>
            </w:pPr>
          </w:p>
        </w:tc>
        <w:tc>
          <w:tcPr>
            <w:tcW w:w="1016"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s="宋体"/>
                <w:color w:val="auto"/>
                <w:sz w:val="24"/>
                <w:highlight w:val="none"/>
              </w:rPr>
            </w:pPr>
          </w:p>
        </w:tc>
        <w:tc>
          <w:tcPr>
            <w:tcW w:w="1016"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s="宋体"/>
                <w:color w:val="auto"/>
                <w:sz w:val="24"/>
                <w:highlight w:val="none"/>
              </w:rPr>
            </w:pPr>
          </w:p>
        </w:tc>
        <w:tc>
          <w:tcPr>
            <w:tcW w:w="1018"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s="宋体"/>
                <w:color w:val="auto"/>
                <w:sz w:val="24"/>
                <w:highlight w:val="none"/>
              </w:rPr>
            </w:pPr>
          </w:p>
        </w:tc>
        <w:tc>
          <w:tcPr>
            <w:tcW w:w="1938"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24"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s="宋体"/>
                <w:color w:val="auto"/>
                <w:sz w:val="24"/>
                <w:highlight w:val="none"/>
              </w:rPr>
            </w:pPr>
          </w:p>
        </w:tc>
        <w:tc>
          <w:tcPr>
            <w:tcW w:w="1813"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s="宋体"/>
                <w:color w:val="auto"/>
                <w:sz w:val="24"/>
                <w:highlight w:val="none"/>
              </w:rPr>
            </w:pPr>
          </w:p>
        </w:tc>
        <w:tc>
          <w:tcPr>
            <w:tcW w:w="1687"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s="宋体"/>
                <w:color w:val="auto"/>
                <w:sz w:val="24"/>
                <w:highlight w:val="none"/>
              </w:rPr>
            </w:pPr>
          </w:p>
        </w:tc>
        <w:tc>
          <w:tcPr>
            <w:tcW w:w="1016"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s="宋体"/>
                <w:color w:val="auto"/>
                <w:sz w:val="24"/>
                <w:highlight w:val="none"/>
              </w:rPr>
            </w:pPr>
          </w:p>
        </w:tc>
        <w:tc>
          <w:tcPr>
            <w:tcW w:w="1016"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s="宋体"/>
                <w:color w:val="auto"/>
                <w:sz w:val="24"/>
                <w:highlight w:val="none"/>
              </w:rPr>
            </w:pPr>
          </w:p>
        </w:tc>
        <w:tc>
          <w:tcPr>
            <w:tcW w:w="1018"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s="宋体"/>
                <w:color w:val="auto"/>
                <w:sz w:val="24"/>
                <w:highlight w:val="none"/>
              </w:rPr>
            </w:pPr>
          </w:p>
        </w:tc>
        <w:tc>
          <w:tcPr>
            <w:tcW w:w="1938"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s="宋体"/>
                <w:color w:val="auto"/>
                <w:sz w:val="24"/>
                <w:highlight w:val="none"/>
              </w:rPr>
            </w:pPr>
          </w:p>
        </w:tc>
      </w:tr>
    </w:tbl>
    <w:p>
      <w:pPr>
        <w:pStyle w:val="15"/>
        <w:spacing w:line="360" w:lineRule="auto"/>
        <w:ind w:left="72"/>
        <w:rPr>
          <w:rFonts w:hAnsi="宋体" w:cs="宋体"/>
          <w:color w:val="auto"/>
          <w:highlight w:val="none"/>
        </w:rPr>
      </w:pPr>
      <w:r>
        <w:rPr>
          <w:rFonts w:hint="eastAsia" w:hAnsi="宋体" w:cs="宋体"/>
          <w:color w:val="auto"/>
          <w:highlight w:val="none"/>
        </w:rPr>
        <w:t>注：</w:t>
      </w:r>
      <w:r>
        <w:rPr>
          <w:rFonts w:hint="eastAsia" w:hAnsi="宋体" w:cs="宋体"/>
          <w:color w:val="auto"/>
          <w:szCs w:val="21"/>
          <w:highlight w:val="none"/>
        </w:rPr>
        <w:t>在填写时，如本表格不适合投标人的实际情况，可参照本表格式自行制表填写，并附上相关证明材料</w:t>
      </w:r>
      <w:r>
        <w:rPr>
          <w:rFonts w:hint="eastAsia" w:hAnsi="宋体" w:cs="宋体"/>
          <w:color w:val="auto"/>
          <w:highlight w:val="none"/>
        </w:rPr>
        <w:t>。</w:t>
      </w:r>
    </w:p>
    <w:p>
      <w:pPr>
        <w:snapToGrid w:val="0"/>
        <w:spacing w:line="360" w:lineRule="auto"/>
        <w:ind w:firstLine="4935" w:firstLineChars="2350"/>
        <w:rPr>
          <w:rFonts w:ascii="宋体" w:hAnsi="宋体" w:cs="宋体"/>
          <w:color w:val="auto"/>
          <w:szCs w:val="21"/>
          <w:highlight w:val="none"/>
        </w:rPr>
      </w:pPr>
      <w:r>
        <w:rPr>
          <w:rFonts w:hint="eastAsia" w:ascii="宋体" w:hAnsi="宋体" w:cs="宋体"/>
          <w:color w:val="auto"/>
          <w:szCs w:val="21"/>
          <w:highlight w:val="none"/>
        </w:rPr>
        <w:t xml:space="preserve"> </w:t>
      </w:r>
    </w:p>
    <w:p>
      <w:pPr>
        <w:snapToGrid w:val="0"/>
        <w:spacing w:line="360" w:lineRule="auto"/>
        <w:ind w:firstLine="4935" w:firstLineChars="2350"/>
        <w:rPr>
          <w:rFonts w:ascii="宋体" w:hAnsi="宋体" w:cs="宋体"/>
          <w:color w:val="auto"/>
          <w:szCs w:val="21"/>
          <w:highlight w:val="none"/>
        </w:rPr>
      </w:pPr>
    </w:p>
    <w:p>
      <w:pPr>
        <w:snapToGrid w:val="0"/>
        <w:spacing w:line="360" w:lineRule="auto"/>
        <w:ind w:left="5187" w:leftChars="2470" w:firstLine="4620" w:firstLineChars="2200"/>
        <w:rPr>
          <w:rFonts w:ascii="宋体" w:hAnsi="宋体" w:cs="宋体"/>
          <w:color w:val="auto"/>
          <w:kern w:val="0"/>
          <w:sz w:val="24"/>
          <w:highlight w:val="none"/>
        </w:rPr>
      </w:pPr>
      <w:r>
        <w:rPr>
          <w:rFonts w:hint="eastAsia" w:ascii="宋体" w:hAnsi="宋体" w:cs="宋体"/>
          <w:color w:val="auto"/>
          <w:szCs w:val="21"/>
          <w:highlight w:val="none"/>
        </w:rPr>
        <w:t xml:space="preserve"> </w:t>
      </w:r>
      <w:r>
        <w:rPr>
          <w:rFonts w:hint="eastAsia" w:ascii="宋体" w:hAnsi="宋体" w:cs="宋体"/>
          <w:color w:val="auto"/>
          <w:kern w:val="0"/>
          <w:sz w:val="24"/>
          <w:highlight w:val="none"/>
          <w:lang w:val="zh-CN"/>
        </w:rPr>
        <w:t>投标人名称(盖公章)：</w:t>
      </w:r>
    </w:p>
    <w:p>
      <w:pPr>
        <w:snapToGrid w:val="0"/>
        <w:spacing w:line="360" w:lineRule="auto"/>
        <w:ind w:firstLine="5280" w:firstLineChars="2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widowControl/>
        <w:spacing w:line="360" w:lineRule="auto"/>
        <w:jc w:val="left"/>
        <w:rPr>
          <w:rFonts w:ascii="宋体" w:hAnsi="宋体" w:cs="宋体"/>
          <w:color w:val="auto"/>
          <w:kern w:val="0"/>
          <w:sz w:val="24"/>
          <w:highlight w:val="none"/>
          <w:lang w:val="zh-CN"/>
        </w:rPr>
        <w:sectPr>
          <w:pgSz w:w="11906" w:h="16838"/>
          <w:pgMar w:top="1134" w:right="1134" w:bottom="1134" w:left="1134" w:header="720" w:footer="720" w:gutter="0"/>
          <w:cols w:space="720" w:num="1"/>
          <w:docGrid w:type="lines" w:linePitch="331" w:charSpace="0"/>
        </w:sectPr>
      </w:pPr>
    </w:p>
    <w:p>
      <w:pPr>
        <w:pStyle w:val="15"/>
        <w:jc w:val="center"/>
        <w:outlineLvl w:val="1"/>
        <w:rPr>
          <w:rFonts w:hAnsi="宋体" w:cs="宋体"/>
          <w:b/>
          <w:bCs/>
          <w:color w:val="auto"/>
          <w:sz w:val="28"/>
          <w:szCs w:val="28"/>
          <w:highlight w:val="none"/>
        </w:rPr>
      </w:pPr>
      <w:bookmarkStart w:id="287" w:name="_Toc18262"/>
      <w:bookmarkStart w:id="288" w:name="_Toc352"/>
      <w:bookmarkStart w:id="289" w:name="_Toc8712"/>
      <w:bookmarkStart w:id="290" w:name="_Toc5911"/>
      <w:bookmarkStart w:id="291" w:name="_Toc11965"/>
      <w:bookmarkStart w:id="292" w:name="_Toc19686839"/>
      <w:r>
        <w:rPr>
          <w:rFonts w:hint="eastAsia" w:hAnsi="宋体" w:cs="宋体"/>
          <w:b/>
          <w:bCs/>
          <w:color w:val="auto"/>
          <w:sz w:val="28"/>
          <w:szCs w:val="28"/>
          <w:highlight w:val="none"/>
        </w:rPr>
        <w:t>第三节 技术文件格式</w:t>
      </w:r>
      <w:bookmarkEnd w:id="287"/>
      <w:bookmarkEnd w:id="288"/>
      <w:bookmarkEnd w:id="289"/>
      <w:bookmarkEnd w:id="290"/>
      <w:bookmarkEnd w:id="291"/>
      <w:bookmarkEnd w:id="292"/>
    </w:p>
    <w:p>
      <w:pPr>
        <w:snapToGrid w:val="0"/>
        <w:spacing w:before="165" w:beforeLines="50" w:after="50"/>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before="165" w:beforeLines="50" w:after="50"/>
        <w:ind w:left="142"/>
        <w:jc w:val="left"/>
        <w:rPr>
          <w:rFonts w:ascii="宋体" w:hAnsi="宋体" w:cs="宋体"/>
          <w:b/>
          <w:color w:val="auto"/>
          <w:sz w:val="28"/>
          <w:szCs w:val="28"/>
          <w:highlight w:val="none"/>
        </w:rPr>
      </w:pPr>
      <w:r>
        <w:rPr>
          <w:rFonts w:hint="eastAsia" w:ascii="宋体" w:hAnsi="宋体" w:cs="宋体"/>
          <w:color w:val="auto"/>
          <w:sz w:val="24"/>
          <w:highlight w:val="none"/>
        </w:rPr>
        <w:t xml:space="preserve">  </w:t>
      </w:r>
      <w:r>
        <w:rPr>
          <w:rFonts w:hint="eastAsia" w:ascii="宋体" w:hAnsi="宋体" w:cs="宋体"/>
          <w:color w:val="auto"/>
          <w:sz w:val="28"/>
          <w:szCs w:val="28"/>
          <w:highlight w:val="none"/>
        </w:rPr>
        <w:t xml:space="preserve"> </w:t>
      </w:r>
      <w:r>
        <w:rPr>
          <w:rFonts w:hint="eastAsia" w:ascii="宋体" w:hAnsi="宋体" w:cs="宋体"/>
          <w:b/>
          <w:color w:val="auto"/>
          <w:sz w:val="28"/>
          <w:szCs w:val="28"/>
          <w:highlight w:val="none"/>
        </w:rPr>
        <w:t xml:space="preserve">1. 技术文件封面的格式（参照此格式自拟）： </w:t>
      </w:r>
    </w:p>
    <w:p>
      <w:pPr>
        <w:snapToGrid w:val="0"/>
        <w:spacing w:before="165" w:beforeLines="50" w:after="50"/>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before="165" w:beforeLines="50" w:after="50"/>
        <w:ind w:firstLine="7200" w:firstLineChars="3000"/>
        <w:rPr>
          <w:rFonts w:ascii="宋体" w:hAnsi="宋体" w:cs="宋体"/>
          <w:bCs/>
          <w:color w:val="auto"/>
          <w:sz w:val="32"/>
          <w:szCs w:val="20"/>
          <w:highlight w:val="none"/>
        </w:rPr>
      </w:pPr>
      <w:r>
        <w:rPr>
          <w:rFonts w:hint="eastAsia" w:ascii="宋体" w:hAnsi="宋体" w:cs="宋体"/>
          <w:color w:val="auto"/>
          <w:sz w:val="24"/>
          <w:highlight w:val="none"/>
        </w:rPr>
        <w:t xml:space="preserve"> </w:t>
      </w:r>
      <w:r>
        <w:rPr>
          <w:rFonts w:hint="eastAsia" w:ascii="宋体" w:hAnsi="宋体" w:cs="宋体"/>
          <w:bCs/>
          <w:color w:val="auto"/>
          <w:highlight w:val="none"/>
        </w:rPr>
        <w:t>电子投标文件</w:t>
      </w:r>
    </w:p>
    <w:p>
      <w:pPr>
        <w:snapToGrid w:val="0"/>
        <w:spacing w:before="165" w:beforeLines="50" w:after="50"/>
        <w:rPr>
          <w:rFonts w:ascii="宋体" w:hAnsi="宋体" w:cs="宋体"/>
          <w:color w:val="auto"/>
          <w:sz w:val="24"/>
          <w:szCs w:val="20"/>
          <w:highlight w:val="none"/>
        </w:rPr>
      </w:pPr>
    </w:p>
    <w:p>
      <w:pPr>
        <w:snapToGrid w:val="0"/>
        <w:spacing w:before="165" w:beforeLines="50" w:after="50"/>
        <w:jc w:val="center"/>
        <w:rPr>
          <w:rFonts w:ascii="宋体" w:hAnsi="宋体" w:cs="宋体"/>
          <w:b/>
          <w:bCs/>
          <w:color w:val="auto"/>
          <w:sz w:val="32"/>
          <w:szCs w:val="32"/>
          <w:highlight w:val="none"/>
        </w:rPr>
      </w:pPr>
    </w:p>
    <w:p>
      <w:pPr>
        <w:snapToGrid w:val="0"/>
        <w:spacing w:before="165" w:beforeLines="50" w:after="5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技术文件</w:t>
      </w:r>
    </w:p>
    <w:p>
      <w:pPr>
        <w:snapToGrid w:val="0"/>
        <w:spacing w:before="165" w:beforeLines="50" w:after="50"/>
        <w:rPr>
          <w:rFonts w:ascii="宋体" w:hAnsi="宋体" w:cs="宋体"/>
          <w:bCs/>
          <w:color w:val="auto"/>
          <w:sz w:val="24"/>
          <w:szCs w:val="20"/>
          <w:highlight w:val="none"/>
        </w:rPr>
      </w:pPr>
    </w:p>
    <w:p>
      <w:pPr>
        <w:snapToGrid w:val="0"/>
        <w:spacing w:before="165" w:beforeLines="50" w:after="50" w:line="400" w:lineRule="exact"/>
        <w:ind w:firstLine="360" w:firstLineChars="150"/>
        <w:rPr>
          <w:rFonts w:ascii="宋体" w:hAnsi="宋体" w:cs="宋体"/>
          <w:bCs/>
          <w:color w:val="auto"/>
          <w:sz w:val="24"/>
          <w:highlight w:val="none"/>
        </w:rPr>
      </w:pPr>
    </w:p>
    <w:p>
      <w:pPr>
        <w:snapToGrid w:val="0"/>
        <w:spacing w:before="165" w:beforeLines="50" w:after="50" w:line="400" w:lineRule="exact"/>
        <w:ind w:firstLine="360" w:firstLineChars="150"/>
        <w:rPr>
          <w:rFonts w:ascii="宋体" w:hAnsi="宋体" w:cs="宋体"/>
          <w:bCs/>
          <w:color w:val="auto"/>
          <w:sz w:val="24"/>
          <w:szCs w:val="20"/>
          <w:highlight w:val="none"/>
        </w:rPr>
      </w:pPr>
      <w:r>
        <w:rPr>
          <w:rFonts w:hint="eastAsia" w:ascii="宋体" w:hAnsi="宋体" w:cs="宋体"/>
          <w:bCs/>
          <w:color w:val="auto"/>
          <w:sz w:val="24"/>
          <w:highlight w:val="none"/>
        </w:rPr>
        <w:t xml:space="preserve">项目名称：  </w:t>
      </w:r>
    </w:p>
    <w:p>
      <w:pPr>
        <w:snapToGrid w:val="0"/>
        <w:spacing w:before="165" w:beforeLines="50" w:after="50" w:line="400" w:lineRule="exact"/>
        <w:ind w:firstLine="360" w:firstLineChars="150"/>
        <w:rPr>
          <w:rFonts w:ascii="宋体" w:hAnsi="宋体" w:cs="宋体"/>
          <w:bCs/>
          <w:color w:val="auto"/>
          <w:sz w:val="24"/>
          <w:highlight w:val="none"/>
        </w:rPr>
      </w:pPr>
      <w:r>
        <w:rPr>
          <w:rFonts w:hint="eastAsia" w:ascii="宋体" w:hAnsi="宋体" w:cs="宋体"/>
          <w:bCs/>
          <w:color w:val="auto"/>
          <w:sz w:val="24"/>
          <w:highlight w:val="none"/>
        </w:rPr>
        <w:t xml:space="preserve">项目编号：  </w:t>
      </w:r>
    </w:p>
    <w:p>
      <w:pPr>
        <w:snapToGrid w:val="0"/>
        <w:spacing w:before="165" w:beforeLines="50" w:after="50" w:line="400" w:lineRule="exact"/>
        <w:ind w:firstLine="360" w:firstLineChars="150"/>
        <w:rPr>
          <w:rFonts w:ascii="宋体" w:hAnsi="宋体" w:cs="宋体"/>
          <w:bCs/>
          <w:color w:val="auto"/>
          <w:sz w:val="24"/>
          <w:highlight w:val="none"/>
        </w:rPr>
      </w:pPr>
      <w:r>
        <w:rPr>
          <w:rFonts w:hint="eastAsia" w:ascii="宋体" w:hAnsi="宋体" w:cs="宋体"/>
          <w:bCs/>
          <w:color w:val="auto"/>
          <w:sz w:val="24"/>
          <w:highlight w:val="none"/>
        </w:rPr>
        <w:t>所投分标（如有则填写，无分标时填写“无”或者留空）：</w:t>
      </w:r>
    </w:p>
    <w:p>
      <w:pPr>
        <w:snapToGrid w:val="0"/>
        <w:spacing w:before="165" w:beforeLines="50" w:after="50" w:line="400" w:lineRule="exact"/>
        <w:ind w:firstLine="360" w:firstLineChars="150"/>
        <w:rPr>
          <w:rFonts w:ascii="宋体" w:hAnsi="宋体" w:cs="宋体"/>
          <w:bCs/>
          <w:color w:val="auto"/>
          <w:sz w:val="24"/>
          <w:highlight w:val="none"/>
        </w:rPr>
      </w:pPr>
      <w:r>
        <w:rPr>
          <w:rFonts w:hint="eastAsia" w:ascii="宋体" w:hAnsi="宋体" w:cs="宋体"/>
          <w:bCs/>
          <w:color w:val="auto"/>
          <w:sz w:val="24"/>
          <w:highlight w:val="none"/>
        </w:rPr>
        <w:t>投标人名称：</w:t>
      </w:r>
    </w:p>
    <w:p>
      <w:pPr>
        <w:snapToGrid w:val="0"/>
        <w:spacing w:before="165" w:beforeLines="50" w:after="50"/>
        <w:ind w:firstLine="645"/>
        <w:jc w:val="center"/>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before="165" w:beforeLines="50" w:after="50"/>
        <w:ind w:firstLine="645"/>
        <w:jc w:val="center"/>
        <w:rPr>
          <w:rFonts w:ascii="宋体" w:hAnsi="宋体" w:cs="宋体"/>
          <w:color w:val="auto"/>
          <w:sz w:val="24"/>
          <w:highlight w:val="none"/>
        </w:rPr>
      </w:pPr>
    </w:p>
    <w:p>
      <w:pPr>
        <w:snapToGrid w:val="0"/>
        <w:spacing w:before="165" w:beforeLines="50" w:after="50"/>
        <w:ind w:firstLine="645"/>
        <w:jc w:val="center"/>
        <w:rPr>
          <w:rFonts w:ascii="宋体" w:hAnsi="宋体" w:cs="宋体"/>
          <w:color w:val="auto"/>
          <w:sz w:val="24"/>
          <w:highlight w:val="none"/>
        </w:rPr>
      </w:pPr>
    </w:p>
    <w:p>
      <w:pPr>
        <w:snapToGrid w:val="0"/>
        <w:spacing w:before="165" w:beforeLines="50" w:after="50"/>
        <w:ind w:firstLine="645"/>
        <w:jc w:val="center"/>
        <w:rPr>
          <w:rFonts w:ascii="宋体" w:hAnsi="宋体" w:cs="宋体"/>
          <w:color w:val="auto"/>
          <w:sz w:val="24"/>
          <w:highlight w:val="none"/>
        </w:rPr>
      </w:pPr>
    </w:p>
    <w:p>
      <w:pPr>
        <w:snapToGrid w:val="0"/>
        <w:spacing w:before="165" w:beforeLines="50" w:after="50"/>
        <w:ind w:firstLine="3840" w:firstLineChars="1600"/>
        <w:rPr>
          <w:rFonts w:ascii="宋体" w:hAnsi="宋体" w:cs="宋体"/>
          <w:color w:val="auto"/>
          <w:sz w:val="24"/>
          <w:highlight w:val="none"/>
        </w:rPr>
      </w:pPr>
      <w:r>
        <w:rPr>
          <w:rFonts w:hint="eastAsia" w:ascii="宋体" w:hAnsi="宋体" w:cs="宋体"/>
          <w:color w:val="auto"/>
          <w:sz w:val="24"/>
          <w:highlight w:val="none"/>
        </w:rPr>
        <w:t xml:space="preserve">  年    月    日</w:t>
      </w:r>
    </w:p>
    <w:p>
      <w:pPr>
        <w:snapToGrid w:val="0"/>
        <w:spacing w:before="165" w:beforeLines="50" w:after="50"/>
        <w:ind w:firstLine="645"/>
        <w:jc w:val="center"/>
        <w:rPr>
          <w:rFonts w:ascii="宋体" w:hAnsi="宋体" w:cs="宋体"/>
          <w:color w:val="auto"/>
          <w:sz w:val="24"/>
          <w:szCs w:val="20"/>
          <w:highlight w:val="none"/>
        </w:rPr>
      </w:pPr>
    </w:p>
    <w:p>
      <w:pPr>
        <w:snapToGrid w:val="0"/>
        <w:spacing w:before="165" w:beforeLines="50" w:after="50"/>
        <w:ind w:left="142"/>
        <w:jc w:val="left"/>
        <w:rPr>
          <w:rFonts w:ascii="宋体" w:hAnsi="宋体" w:cs="宋体"/>
          <w:b/>
          <w:bCs/>
          <w:color w:val="auto"/>
          <w:sz w:val="24"/>
          <w:highlight w:val="none"/>
        </w:rPr>
      </w:pPr>
      <w:r>
        <w:rPr>
          <w:rFonts w:hint="eastAsia" w:ascii="宋体" w:hAnsi="宋体" w:cs="宋体"/>
          <w:b/>
          <w:bCs/>
          <w:color w:val="auto"/>
          <w:sz w:val="24"/>
          <w:highlight w:val="none"/>
        </w:rPr>
        <w:br w:type="page"/>
      </w:r>
      <w:r>
        <w:rPr>
          <w:rFonts w:hint="eastAsia" w:ascii="宋体" w:hAnsi="宋体" w:cs="宋体"/>
          <w:b/>
          <w:bCs/>
          <w:color w:val="auto"/>
          <w:sz w:val="28"/>
          <w:szCs w:val="28"/>
          <w:highlight w:val="none"/>
        </w:rPr>
        <w:t>2. 技术文件目录</w:t>
      </w:r>
    </w:p>
    <w:p>
      <w:pPr>
        <w:spacing w:line="360" w:lineRule="auto"/>
        <w:ind w:right="420"/>
        <w:rPr>
          <w:rFonts w:ascii="宋体" w:hAnsi="宋体" w:cs="宋体"/>
          <w:b/>
          <w:color w:val="auto"/>
          <w:kern w:val="0"/>
          <w:sz w:val="36"/>
          <w:szCs w:val="36"/>
          <w:highlight w:val="none"/>
        </w:rPr>
      </w:pPr>
      <w:r>
        <w:rPr>
          <w:rFonts w:hint="eastAsia" w:ascii="宋体" w:hAnsi="宋体" w:cs="宋体"/>
          <w:color w:val="auto"/>
          <w:kern w:val="0"/>
          <w:sz w:val="24"/>
          <w:highlight w:val="none"/>
        </w:rPr>
        <w:t>根据招标文件规定及投标人提供的材料自行编写目录（部分格式后附）。</w:t>
      </w:r>
    </w:p>
    <w:p>
      <w:pPr>
        <w:spacing w:line="360" w:lineRule="auto"/>
        <w:rPr>
          <w:rFonts w:ascii="宋体" w:hAnsi="宋体" w:cs="宋体"/>
          <w:b/>
          <w:bCs/>
          <w:color w:val="auto"/>
          <w:sz w:val="24"/>
          <w:highlight w:val="none"/>
        </w:rPr>
      </w:pPr>
    </w:p>
    <w:p>
      <w:pPr>
        <w:snapToGrid w:val="0"/>
        <w:spacing w:before="165" w:beforeLines="50" w:after="50"/>
        <w:ind w:left="143" w:leftChars="68" w:firstLine="472" w:firstLineChars="196"/>
        <w:jc w:val="left"/>
        <w:rPr>
          <w:rFonts w:ascii="宋体" w:hAnsi="宋体" w:cs="宋体"/>
          <w:b/>
          <w:color w:val="auto"/>
          <w:sz w:val="24"/>
          <w:highlight w:val="none"/>
        </w:rPr>
      </w:pPr>
    </w:p>
    <w:p>
      <w:pPr>
        <w:snapToGrid w:val="0"/>
        <w:spacing w:before="165" w:beforeLines="50" w:after="50"/>
        <w:ind w:left="143" w:leftChars="68" w:firstLine="472" w:firstLineChars="196"/>
        <w:jc w:val="left"/>
        <w:rPr>
          <w:rFonts w:ascii="宋体" w:hAnsi="宋体" w:cs="宋体"/>
          <w:b/>
          <w:color w:val="auto"/>
          <w:sz w:val="24"/>
          <w:highlight w:val="none"/>
        </w:rPr>
      </w:pPr>
    </w:p>
    <w:p>
      <w:pPr>
        <w:snapToGrid w:val="0"/>
        <w:spacing w:before="165" w:beforeLines="50" w:after="50"/>
        <w:ind w:left="143" w:leftChars="68" w:firstLine="472" w:firstLineChars="196"/>
        <w:jc w:val="left"/>
        <w:rPr>
          <w:rFonts w:ascii="宋体" w:hAnsi="宋体" w:cs="宋体"/>
          <w:b/>
          <w:color w:val="auto"/>
          <w:sz w:val="24"/>
          <w:highlight w:val="none"/>
        </w:rPr>
      </w:pPr>
    </w:p>
    <w:p>
      <w:pPr>
        <w:snapToGrid w:val="0"/>
        <w:spacing w:before="165" w:beforeLines="50" w:after="50"/>
        <w:ind w:left="143" w:leftChars="68" w:firstLine="472" w:firstLineChars="196"/>
        <w:jc w:val="left"/>
        <w:rPr>
          <w:rFonts w:ascii="宋体" w:hAnsi="宋体" w:cs="宋体"/>
          <w:b/>
          <w:color w:val="auto"/>
          <w:sz w:val="24"/>
          <w:highlight w:val="none"/>
        </w:rPr>
      </w:pPr>
    </w:p>
    <w:p>
      <w:pPr>
        <w:snapToGrid w:val="0"/>
        <w:spacing w:before="165" w:beforeLines="50" w:after="50"/>
        <w:ind w:left="143" w:leftChars="68" w:firstLine="472" w:firstLineChars="196"/>
        <w:jc w:val="left"/>
        <w:rPr>
          <w:rFonts w:ascii="宋体" w:hAnsi="宋体" w:cs="宋体"/>
          <w:b/>
          <w:color w:val="auto"/>
          <w:sz w:val="24"/>
          <w:highlight w:val="none"/>
        </w:rPr>
      </w:pPr>
    </w:p>
    <w:p>
      <w:pPr>
        <w:snapToGrid w:val="0"/>
        <w:spacing w:before="165" w:beforeLines="50" w:after="50"/>
        <w:ind w:left="143" w:leftChars="68" w:firstLine="472" w:firstLineChars="196"/>
        <w:jc w:val="left"/>
        <w:rPr>
          <w:rFonts w:ascii="宋体" w:hAnsi="宋体" w:cs="宋体"/>
          <w:b/>
          <w:color w:val="auto"/>
          <w:sz w:val="24"/>
          <w:highlight w:val="none"/>
        </w:rPr>
      </w:pPr>
    </w:p>
    <w:p>
      <w:pPr>
        <w:snapToGrid w:val="0"/>
        <w:spacing w:before="165" w:beforeLines="50" w:after="50"/>
        <w:ind w:left="143" w:leftChars="68" w:firstLine="472" w:firstLineChars="196"/>
        <w:jc w:val="left"/>
        <w:rPr>
          <w:rFonts w:ascii="宋体" w:hAnsi="宋体" w:cs="宋体"/>
          <w:b/>
          <w:color w:val="auto"/>
          <w:sz w:val="24"/>
          <w:highlight w:val="none"/>
        </w:rPr>
      </w:pPr>
    </w:p>
    <w:p>
      <w:pPr>
        <w:snapToGrid w:val="0"/>
        <w:spacing w:before="165" w:beforeLines="50" w:after="50"/>
        <w:ind w:left="143" w:leftChars="68" w:firstLine="472" w:firstLineChars="196"/>
        <w:jc w:val="left"/>
        <w:rPr>
          <w:rFonts w:ascii="宋体" w:hAnsi="宋体" w:cs="宋体"/>
          <w:b/>
          <w:color w:val="auto"/>
          <w:sz w:val="24"/>
          <w:highlight w:val="none"/>
        </w:rPr>
      </w:pPr>
    </w:p>
    <w:p>
      <w:pPr>
        <w:snapToGrid w:val="0"/>
        <w:spacing w:before="165" w:beforeLines="50" w:after="50"/>
        <w:ind w:left="143" w:leftChars="68" w:firstLine="472" w:firstLineChars="196"/>
        <w:jc w:val="left"/>
        <w:rPr>
          <w:rFonts w:ascii="宋体" w:hAnsi="宋体" w:cs="宋体"/>
          <w:b/>
          <w:color w:val="auto"/>
          <w:sz w:val="24"/>
          <w:highlight w:val="none"/>
        </w:rPr>
      </w:pPr>
    </w:p>
    <w:p>
      <w:pPr>
        <w:snapToGrid w:val="0"/>
        <w:spacing w:before="165" w:beforeLines="50" w:after="50"/>
        <w:ind w:left="143" w:leftChars="68" w:firstLine="472" w:firstLineChars="196"/>
        <w:jc w:val="left"/>
        <w:rPr>
          <w:rFonts w:ascii="宋体" w:hAnsi="宋体" w:cs="宋体"/>
          <w:b/>
          <w:color w:val="auto"/>
          <w:sz w:val="24"/>
          <w:highlight w:val="none"/>
        </w:rPr>
      </w:pPr>
    </w:p>
    <w:p>
      <w:pPr>
        <w:snapToGrid w:val="0"/>
        <w:spacing w:before="165" w:beforeLines="50" w:after="50"/>
        <w:ind w:left="143" w:leftChars="68" w:firstLine="472" w:firstLineChars="196"/>
        <w:jc w:val="left"/>
        <w:rPr>
          <w:rFonts w:ascii="宋体" w:hAnsi="宋体" w:cs="宋体"/>
          <w:b/>
          <w:color w:val="auto"/>
          <w:sz w:val="24"/>
          <w:highlight w:val="none"/>
        </w:rPr>
      </w:pPr>
    </w:p>
    <w:p>
      <w:pPr>
        <w:snapToGrid w:val="0"/>
        <w:spacing w:before="165" w:beforeLines="50" w:after="50"/>
        <w:ind w:left="143" w:leftChars="68" w:firstLine="472" w:firstLineChars="196"/>
        <w:jc w:val="left"/>
        <w:rPr>
          <w:rFonts w:ascii="宋体" w:hAnsi="宋体" w:cs="宋体"/>
          <w:b/>
          <w:color w:val="auto"/>
          <w:sz w:val="24"/>
          <w:highlight w:val="none"/>
        </w:rPr>
      </w:pPr>
    </w:p>
    <w:p>
      <w:pPr>
        <w:snapToGrid w:val="0"/>
        <w:spacing w:before="165" w:beforeLines="50" w:after="50"/>
        <w:ind w:left="143" w:leftChars="68" w:firstLine="472" w:firstLineChars="196"/>
        <w:jc w:val="left"/>
        <w:rPr>
          <w:rFonts w:ascii="宋体" w:hAnsi="宋体" w:cs="宋体"/>
          <w:b/>
          <w:color w:val="auto"/>
          <w:sz w:val="24"/>
          <w:highlight w:val="none"/>
        </w:rPr>
      </w:pPr>
    </w:p>
    <w:p>
      <w:pPr>
        <w:snapToGrid w:val="0"/>
        <w:spacing w:before="165" w:beforeLines="50" w:after="50"/>
        <w:ind w:left="143" w:leftChars="68" w:firstLine="472" w:firstLineChars="196"/>
        <w:jc w:val="left"/>
        <w:rPr>
          <w:rFonts w:ascii="宋体" w:hAnsi="宋体" w:cs="宋体"/>
          <w:b/>
          <w:color w:val="auto"/>
          <w:sz w:val="24"/>
          <w:highlight w:val="none"/>
        </w:rPr>
      </w:pPr>
    </w:p>
    <w:p>
      <w:pPr>
        <w:snapToGrid w:val="0"/>
        <w:spacing w:before="165" w:beforeLines="50" w:after="50"/>
        <w:ind w:left="143" w:leftChars="68" w:firstLine="472" w:firstLineChars="196"/>
        <w:jc w:val="left"/>
        <w:rPr>
          <w:rFonts w:ascii="宋体" w:hAnsi="宋体" w:cs="宋体"/>
          <w:b/>
          <w:color w:val="auto"/>
          <w:sz w:val="24"/>
          <w:highlight w:val="none"/>
        </w:rPr>
      </w:pPr>
    </w:p>
    <w:p>
      <w:pPr>
        <w:snapToGrid w:val="0"/>
        <w:spacing w:before="165" w:beforeLines="50" w:after="50"/>
        <w:ind w:left="143" w:leftChars="68" w:firstLine="472" w:firstLineChars="196"/>
        <w:jc w:val="left"/>
        <w:rPr>
          <w:rFonts w:ascii="宋体" w:hAnsi="宋体" w:cs="宋体"/>
          <w:b/>
          <w:color w:val="auto"/>
          <w:sz w:val="24"/>
          <w:highlight w:val="none"/>
        </w:rPr>
      </w:pPr>
    </w:p>
    <w:p>
      <w:pPr>
        <w:snapToGrid w:val="0"/>
        <w:spacing w:before="165" w:beforeLines="50" w:after="50"/>
        <w:ind w:left="143" w:leftChars="68" w:firstLine="472" w:firstLineChars="196"/>
        <w:jc w:val="left"/>
        <w:rPr>
          <w:rFonts w:ascii="宋体" w:hAnsi="宋体" w:cs="宋体"/>
          <w:b/>
          <w:color w:val="auto"/>
          <w:sz w:val="24"/>
          <w:highlight w:val="none"/>
        </w:rPr>
      </w:pPr>
    </w:p>
    <w:p>
      <w:pPr>
        <w:snapToGrid w:val="0"/>
        <w:spacing w:before="165" w:beforeLines="50" w:after="50"/>
        <w:ind w:left="143" w:leftChars="68" w:firstLine="472" w:firstLineChars="196"/>
        <w:jc w:val="left"/>
        <w:rPr>
          <w:rFonts w:ascii="宋体" w:hAnsi="宋体" w:cs="宋体"/>
          <w:b/>
          <w:color w:val="auto"/>
          <w:sz w:val="24"/>
          <w:highlight w:val="none"/>
        </w:rPr>
      </w:pPr>
    </w:p>
    <w:p>
      <w:pPr>
        <w:snapToGrid w:val="0"/>
        <w:spacing w:before="165" w:beforeLines="50" w:after="50"/>
        <w:ind w:left="143" w:leftChars="68" w:firstLine="472" w:firstLineChars="196"/>
        <w:jc w:val="left"/>
        <w:rPr>
          <w:rFonts w:ascii="宋体" w:hAnsi="宋体" w:cs="宋体"/>
          <w:b/>
          <w:color w:val="auto"/>
          <w:sz w:val="24"/>
          <w:highlight w:val="none"/>
        </w:rPr>
      </w:pPr>
    </w:p>
    <w:p>
      <w:pPr>
        <w:snapToGrid w:val="0"/>
        <w:spacing w:before="165" w:beforeLines="50" w:after="50"/>
        <w:ind w:left="143" w:leftChars="68" w:firstLine="472" w:firstLineChars="196"/>
        <w:jc w:val="left"/>
        <w:rPr>
          <w:rFonts w:ascii="宋体" w:hAnsi="宋体" w:cs="宋体"/>
          <w:b/>
          <w:color w:val="auto"/>
          <w:sz w:val="24"/>
          <w:highlight w:val="none"/>
        </w:rPr>
      </w:pPr>
      <w:r>
        <w:rPr>
          <w:rFonts w:hint="eastAsia" w:ascii="宋体" w:hAnsi="宋体" w:cs="宋体"/>
          <w:b/>
          <w:color w:val="auto"/>
          <w:sz w:val="24"/>
          <w:highlight w:val="none"/>
        </w:rPr>
        <w:t xml:space="preserve"> </w:t>
      </w:r>
    </w:p>
    <w:p>
      <w:pPr>
        <w:pStyle w:val="15"/>
        <w:spacing w:line="500" w:lineRule="exact"/>
        <w:jc w:val="left"/>
        <w:rPr>
          <w:rFonts w:hAnsi="宋体" w:cs="宋体"/>
          <w:b/>
          <w:bCs/>
          <w:color w:val="auto"/>
          <w:sz w:val="30"/>
          <w:szCs w:val="30"/>
          <w:highlight w:val="none"/>
        </w:rPr>
      </w:pPr>
      <w:r>
        <w:rPr>
          <w:rFonts w:hint="eastAsia" w:hAnsi="宋体" w:cs="宋体"/>
          <w:b/>
          <w:bCs/>
          <w:color w:val="auto"/>
          <w:sz w:val="30"/>
          <w:szCs w:val="30"/>
          <w:highlight w:val="none"/>
        </w:rPr>
        <w:br w:type="page"/>
      </w:r>
      <w:r>
        <w:rPr>
          <w:rFonts w:hint="eastAsia" w:hAnsi="宋体" w:cs="宋体"/>
          <w:b/>
          <w:color w:val="auto"/>
          <w:sz w:val="28"/>
          <w:szCs w:val="28"/>
          <w:highlight w:val="none"/>
        </w:rPr>
        <w:t>3. 技术需求偏离表的格式：</w:t>
      </w:r>
    </w:p>
    <w:p>
      <w:pPr>
        <w:pStyle w:val="15"/>
        <w:spacing w:line="500" w:lineRule="exact"/>
        <w:jc w:val="center"/>
        <w:rPr>
          <w:rFonts w:hAnsi="宋体" w:cs="宋体"/>
          <w:b/>
          <w:bCs/>
          <w:color w:val="auto"/>
          <w:sz w:val="30"/>
          <w:szCs w:val="30"/>
          <w:highlight w:val="none"/>
        </w:rPr>
      </w:pPr>
      <w:r>
        <w:rPr>
          <w:rFonts w:hint="eastAsia" w:hAnsi="宋体" w:cs="宋体"/>
          <w:b/>
          <w:bCs/>
          <w:color w:val="auto"/>
          <w:sz w:val="30"/>
          <w:szCs w:val="30"/>
          <w:highlight w:val="none"/>
        </w:rPr>
        <w:t>技术需求偏离表</w:t>
      </w:r>
    </w:p>
    <w:p>
      <w:pPr>
        <w:pStyle w:val="15"/>
        <w:spacing w:line="440" w:lineRule="exact"/>
        <w:ind w:firstLine="420" w:firstLineChars="200"/>
        <w:rPr>
          <w:rFonts w:hAnsi="宋体" w:cs="宋体"/>
          <w:color w:val="auto"/>
          <w:highlight w:val="none"/>
        </w:rPr>
      </w:pPr>
    </w:p>
    <w:p>
      <w:pPr>
        <w:spacing w:line="480" w:lineRule="auto"/>
        <w:contextualSpacing/>
        <w:rPr>
          <w:rFonts w:ascii="宋体" w:hAnsi="宋体" w:cs="宋体"/>
          <w:color w:val="auto"/>
          <w:sz w:val="24"/>
          <w:highlight w:val="none"/>
          <w:u w:val="single"/>
        </w:rPr>
      </w:pPr>
      <w:r>
        <w:rPr>
          <w:rFonts w:hint="eastAsia" w:ascii="宋体" w:hAnsi="宋体" w:cs="宋体"/>
          <w:color w:val="auto"/>
          <w:sz w:val="24"/>
          <w:highlight w:val="none"/>
        </w:rPr>
        <w:t>项目</w:t>
      </w:r>
      <w:r>
        <w:rPr>
          <w:rFonts w:hint="eastAsia" w:hAnsi="宋体" w:cs="宋体"/>
          <w:color w:val="auto"/>
          <w:sz w:val="24"/>
          <w:highlight w:val="none"/>
        </w:rPr>
        <w:t>名称</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p>
    <w:p>
      <w:pPr>
        <w:pStyle w:val="15"/>
        <w:spacing w:line="480" w:lineRule="auto"/>
        <w:rPr>
          <w:color w:val="auto"/>
          <w:highlight w:val="none"/>
        </w:rPr>
      </w:pPr>
      <w:r>
        <w:rPr>
          <w:rFonts w:hint="eastAsia" w:hAnsi="宋体" w:cs="宋体"/>
          <w:color w:val="auto"/>
          <w:sz w:val="24"/>
          <w:highlight w:val="none"/>
        </w:rPr>
        <w:t>项目编号：</w:t>
      </w:r>
      <w:r>
        <w:rPr>
          <w:rFonts w:hint="eastAsia" w:hAnsi="宋体" w:cs="宋体"/>
          <w:color w:val="auto"/>
          <w:sz w:val="24"/>
          <w:highlight w:val="none"/>
          <w:u w:val="single"/>
        </w:rPr>
        <w:t xml:space="preserve">                 </w:t>
      </w:r>
    </w:p>
    <w:p>
      <w:pPr>
        <w:pStyle w:val="15"/>
        <w:spacing w:line="480" w:lineRule="auto"/>
        <w:rPr>
          <w:color w:val="auto"/>
          <w:highlight w:val="none"/>
        </w:rPr>
      </w:pPr>
      <w:r>
        <w:rPr>
          <w:rFonts w:hint="eastAsia" w:hAnsi="宋体" w:cs="宋体"/>
          <w:color w:val="auto"/>
          <w:sz w:val="24"/>
          <w:highlight w:val="none"/>
        </w:rPr>
        <w:t>所投分标</w:t>
      </w:r>
      <w:r>
        <w:rPr>
          <w:rFonts w:hint="eastAsia" w:hAnsi="宋体" w:cs="宋体"/>
          <w:color w:val="auto"/>
          <w:szCs w:val="21"/>
          <w:highlight w:val="none"/>
        </w:rPr>
        <w:t>（此处有分标时填写具体分标号，无分标时填写“无”）</w:t>
      </w:r>
      <w:r>
        <w:rPr>
          <w:rFonts w:hint="eastAsia" w:hAnsi="宋体" w:cs="宋体"/>
          <w:color w:val="auto"/>
          <w:sz w:val="24"/>
          <w:szCs w:val="24"/>
          <w:highlight w:val="none"/>
        </w:rPr>
        <w:t>：</w:t>
      </w:r>
      <w:r>
        <w:rPr>
          <w:rFonts w:hint="eastAsia" w:hAnsi="宋体" w:cs="宋体"/>
          <w:color w:val="auto"/>
          <w:sz w:val="24"/>
          <w:highlight w:val="none"/>
          <w:u w:val="single"/>
        </w:rPr>
        <w:t xml:space="preserve">           </w:t>
      </w:r>
    </w:p>
    <w:tbl>
      <w:tblPr>
        <w:tblStyle w:val="22"/>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058"/>
        <w:gridCol w:w="3280"/>
        <w:gridCol w:w="3612"/>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项号</w:t>
            </w:r>
          </w:p>
        </w:tc>
        <w:tc>
          <w:tcPr>
            <w:tcW w:w="10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标的名称</w:t>
            </w:r>
          </w:p>
        </w:tc>
        <w:tc>
          <w:tcPr>
            <w:tcW w:w="32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olor w:val="auto"/>
                <w:szCs w:val="21"/>
                <w:highlight w:val="none"/>
              </w:rPr>
              <w:t>招标文件采购需求中的</w:t>
            </w:r>
            <w:r>
              <w:rPr>
                <w:rFonts w:hint="eastAsia" w:ascii="宋体" w:hAnsi="宋体" w:cs="宋体"/>
                <w:color w:val="auto"/>
                <w:szCs w:val="21"/>
                <w:highlight w:val="none"/>
              </w:rPr>
              <w:t>技术参数及配置</w:t>
            </w:r>
          </w:p>
        </w:tc>
        <w:tc>
          <w:tcPr>
            <w:tcW w:w="36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olor w:val="auto"/>
                <w:szCs w:val="21"/>
                <w:highlight w:val="none"/>
              </w:rPr>
              <w:t>投标文件响应的</w:t>
            </w:r>
            <w:r>
              <w:rPr>
                <w:rFonts w:hint="eastAsia" w:ascii="宋体" w:hAnsi="宋体" w:cs="宋体"/>
                <w:color w:val="auto"/>
                <w:szCs w:val="21"/>
                <w:highlight w:val="none"/>
              </w:rPr>
              <w:t>技术参数及配置</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r>
              <w:rPr>
                <w:rFonts w:hint="eastAsia" w:ascii="宋体" w:hAnsi="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105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32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36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13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105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32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36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13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w:t>
            </w:r>
          </w:p>
        </w:tc>
        <w:tc>
          <w:tcPr>
            <w:tcW w:w="105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32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36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13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985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投标货物中，属于优先采购节能产品</w:t>
            </w:r>
            <w:r>
              <w:rPr>
                <w:rFonts w:hint="eastAsia" w:ascii="宋体" w:hAnsi="宋体" w:cs="宋体"/>
                <w:color w:val="auto"/>
                <w:highlight w:val="none"/>
              </w:rPr>
              <w:t>为</w:t>
            </w:r>
            <w:r>
              <w:rPr>
                <w:rFonts w:hint="eastAsia" w:ascii="宋体" w:hAnsi="宋体" w:cs="宋体"/>
                <w:color w:val="auto"/>
                <w:szCs w:val="21"/>
                <w:highlight w:val="none"/>
              </w:rPr>
              <w:t>本项目招标文件“第二章 采购需求”中</w:t>
            </w:r>
            <w:r>
              <w:rPr>
                <w:rFonts w:hint="eastAsia" w:ascii="宋体" w:hAnsi="宋体" w:cs="宋体"/>
                <w:color w:val="auto"/>
                <w:highlight w:val="none"/>
              </w:rPr>
              <w:t>“</w:t>
            </w:r>
            <w:r>
              <w:rPr>
                <w:rFonts w:hint="eastAsia" w:ascii="宋体" w:hAnsi="宋体" w:cs="宋体"/>
                <w:color w:val="auto"/>
                <w:szCs w:val="21"/>
                <w:highlight w:val="none"/>
              </w:rPr>
              <w:t>需求一览表</w:t>
            </w:r>
            <w:r>
              <w:rPr>
                <w:rFonts w:hint="eastAsia" w:ascii="宋体" w:hAnsi="宋体" w:cs="宋体"/>
                <w:color w:val="auto"/>
                <w:highlight w:val="none"/>
              </w:rPr>
              <w:t>”的第   项产品：</w:t>
            </w:r>
            <w:r>
              <w:rPr>
                <w:rFonts w:hint="eastAsia" w:ascii="宋体" w:hAnsi="宋体" w:cs="宋体"/>
                <w:color w:val="auto"/>
                <w:highlight w:val="none"/>
                <w:u w:val="single"/>
              </w:rPr>
              <w:t xml:space="preserve">        </w:t>
            </w:r>
            <w:r>
              <w:rPr>
                <w:rFonts w:hint="eastAsia" w:ascii="宋体" w:hAnsi="宋体" w:cs="宋体"/>
                <w:color w:val="auto"/>
                <w:highlight w:val="none"/>
              </w:rPr>
              <w:t>，合计</w:t>
            </w:r>
            <w:r>
              <w:rPr>
                <w:rFonts w:hint="eastAsia" w:ascii="宋体" w:hAnsi="宋体" w:cs="宋体"/>
                <w:color w:val="auto"/>
                <w:highlight w:val="none"/>
                <w:u w:val="single"/>
              </w:rPr>
              <w:t xml:space="preserve">     </w:t>
            </w:r>
            <w:r>
              <w:rPr>
                <w:rFonts w:hint="eastAsia" w:ascii="宋体" w:hAnsi="宋体" w:cs="宋体"/>
                <w:color w:val="auto"/>
                <w:highlight w:val="none"/>
              </w:rPr>
              <w:t>项</w:t>
            </w:r>
            <w:r>
              <w:rPr>
                <w:rFonts w:hint="eastAsia" w:ascii="宋体" w:hAnsi="宋体" w:cs="宋体"/>
                <w:color w:val="auto"/>
                <w:szCs w:val="21"/>
                <w:highlight w:val="none"/>
              </w:rPr>
              <w:t>；属于优先采购环境标志产品为本项目招标文件“第二章 采购需求”中</w:t>
            </w:r>
            <w:r>
              <w:rPr>
                <w:rFonts w:hint="eastAsia" w:ascii="宋体" w:hAnsi="宋体" w:cs="宋体"/>
                <w:color w:val="auto"/>
                <w:highlight w:val="none"/>
              </w:rPr>
              <w:t>“</w:t>
            </w:r>
            <w:r>
              <w:rPr>
                <w:rFonts w:hint="eastAsia" w:ascii="宋体" w:hAnsi="宋体" w:cs="宋体"/>
                <w:color w:val="auto"/>
                <w:szCs w:val="21"/>
                <w:highlight w:val="none"/>
              </w:rPr>
              <w:t>需求一览表</w:t>
            </w:r>
            <w:r>
              <w:rPr>
                <w:rFonts w:hint="eastAsia" w:ascii="宋体" w:hAnsi="宋体" w:cs="宋体"/>
                <w:color w:val="auto"/>
                <w:highlight w:val="none"/>
              </w:rPr>
              <w:t>”的第   项产品：</w:t>
            </w:r>
            <w:r>
              <w:rPr>
                <w:rFonts w:hint="eastAsia" w:ascii="宋体" w:hAnsi="宋体" w:cs="宋体"/>
                <w:color w:val="auto"/>
                <w:highlight w:val="none"/>
                <w:u w:val="single"/>
              </w:rPr>
              <w:t xml:space="preserve">        </w:t>
            </w:r>
            <w:r>
              <w:rPr>
                <w:rFonts w:hint="eastAsia" w:ascii="宋体" w:hAnsi="宋体" w:cs="宋体"/>
                <w:color w:val="auto"/>
                <w:highlight w:val="none"/>
              </w:rPr>
              <w:t>，合计</w:t>
            </w:r>
            <w:r>
              <w:rPr>
                <w:rFonts w:hint="eastAsia" w:ascii="宋体" w:hAnsi="宋体" w:cs="宋体"/>
                <w:color w:val="auto"/>
                <w:highlight w:val="none"/>
                <w:u w:val="single"/>
              </w:rPr>
              <w:t xml:space="preserve">     </w:t>
            </w:r>
            <w:r>
              <w:rPr>
                <w:rFonts w:hint="eastAsia" w:ascii="宋体" w:hAnsi="宋体" w:cs="宋体"/>
                <w:color w:val="auto"/>
                <w:highlight w:val="none"/>
              </w:rPr>
              <w:t>项</w:t>
            </w:r>
            <w:r>
              <w:rPr>
                <w:rFonts w:hint="eastAsia" w:ascii="宋体" w:hAnsi="宋体" w:cs="宋体"/>
                <w:color w:val="auto"/>
                <w:szCs w:val="21"/>
                <w:highlight w:val="none"/>
              </w:rPr>
              <w:t>。</w:t>
            </w:r>
            <w:r>
              <w:rPr>
                <w:rFonts w:hint="eastAsia" w:ascii="宋体" w:hAnsi="宋体" w:cs="宋体"/>
                <w:color w:val="auto"/>
                <w:highlight w:val="none"/>
              </w:rPr>
              <w:t xml:space="preserve"> </w:t>
            </w:r>
            <w:r>
              <w:rPr>
                <w:rFonts w:hint="eastAsia" w:ascii="宋体" w:hAnsi="宋体" w:cs="宋体"/>
                <w:b/>
                <w:bCs/>
                <w:color w:val="auto"/>
                <w:szCs w:val="21"/>
                <w:highlight w:val="none"/>
              </w:rPr>
              <w:t>（注：如有，请逐项列出，如无填写“无”或者留空。）</w:t>
            </w:r>
          </w:p>
        </w:tc>
      </w:tr>
    </w:tbl>
    <w:p>
      <w:pPr>
        <w:pStyle w:val="15"/>
        <w:spacing w:line="360" w:lineRule="auto"/>
        <w:rPr>
          <w:rFonts w:hAnsi="宋体" w:cs="宋体"/>
          <w:color w:val="auto"/>
          <w:szCs w:val="21"/>
          <w:highlight w:val="none"/>
        </w:rPr>
      </w:pPr>
    </w:p>
    <w:p>
      <w:pPr>
        <w:pStyle w:val="15"/>
        <w:spacing w:line="360" w:lineRule="auto"/>
        <w:rPr>
          <w:rFonts w:hAnsi="宋体" w:cs="宋体"/>
          <w:color w:val="auto"/>
          <w:szCs w:val="21"/>
          <w:highlight w:val="none"/>
        </w:rPr>
      </w:pPr>
      <w:r>
        <w:rPr>
          <w:rFonts w:hint="eastAsia" w:hAnsi="宋体" w:cs="宋体"/>
          <w:color w:val="auto"/>
          <w:szCs w:val="21"/>
          <w:highlight w:val="none"/>
        </w:rPr>
        <w:t>注：</w:t>
      </w:r>
    </w:p>
    <w:p>
      <w:pPr>
        <w:pStyle w:val="15"/>
        <w:spacing w:line="360" w:lineRule="auto"/>
        <w:ind w:firstLine="420" w:firstLineChars="200"/>
        <w:rPr>
          <w:rFonts w:hAnsi="宋体" w:cs="宋体"/>
          <w:color w:val="auto"/>
          <w:szCs w:val="21"/>
          <w:highlight w:val="none"/>
        </w:rPr>
      </w:pPr>
      <w:r>
        <w:rPr>
          <w:rFonts w:hint="eastAsia" w:hAnsi="宋体" w:cs="宋体"/>
          <w:color w:val="auto"/>
          <w:szCs w:val="21"/>
          <w:highlight w:val="none"/>
        </w:rPr>
        <w:t>1.表格内容均需按要求填写并加盖投标人公章。</w:t>
      </w:r>
    </w:p>
    <w:p>
      <w:pPr>
        <w:pStyle w:val="15"/>
        <w:spacing w:line="360" w:lineRule="auto"/>
        <w:ind w:firstLine="420" w:firstLineChars="200"/>
        <w:rPr>
          <w:rFonts w:hAnsi="宋体" w:cs="宋体"/>
          <w:color w:val="auto"/>
          <w:szCs w:val="21"/>
          <w:highlight w:val="none"/>
        </w:rPr>
      </w:pPr>
      <w:r>
        <w:rPr>
          <w:rFonts w:hint="eastAsia" w:hAnsi="宋体" w:cs="宋体"/>
          <w:bCs/>
          <w:color w:val="auto"/>
          <w:szCs w:val="21"/>
          <w:highlight w:val="none"/>
        </w:rPr>
        <w:t>2.</w:t>
      </w:r>
      <w:r>
        <w:rPr>
          <w:rFonts w:hint="eastAsia" w:hAnsi="宋体" w:cs="宋体"/>
          <w:color w:val="auto"/>
          <w:szCs w:val="21"/>
          <w:highlight w:val="none"/>
        </w:rPr>
        <w:t>请根据所投货物的实际技术参数，逐条对应本项目招标文件“第二章 采购需求”中“需求一览表”的技术参数及配置条款</w:t>
      </w:r>
      <w:r>
        <w:rPr>
          <w:rFonts w:hint="eastAsia" w:hAnsi="宋体" w:cs="宋体"/>
          <w:color w:val="auto"/>
          <w:kern w:val="0"/>
          <w:szCs w:val="21"/>
          <w:highlight w:val="none"/>
          <w:lang w:val="zh-CN"/>
        </w:rPr>
        <w:t>作出明确响应，并作出偏离说明</w:t>
      </w:r>
      <w:r>
        <w:rPr>
          <w:rFonts w:hint="eastAsia" w:hAnsi="宋体" w:cs="宋体"/>
          <w:color w:val="auto"/>
          <w:szCs w:val="21"/>
          <w:highlight w:val="none"/>
        </w:rPr>
        <w:t>。“偏离说明”一栏应当选择“正偏离”或“负偏离”或“无偏离”进行填写。</w:t>
      </w:r>
    </w:p>
    <w:p>
      <w:pPr>
        <w:pStyle w:val="15"/>
        <w:spacing w:line="360" w:lineRule="auto"/>
        <w:ind w:firstLine="420" w:firstLineChars="200"/>
        <w:rPr>
          <w:rFonts w:hAnsi="宋体" w:cs="宋体"/>
          <w:color w:val="auto"/>
          <w:szCs w:val="21"/>
          <w:highlight w:val="none"/>
        </w:rPr>
      </w:pPr>
      <w:r>
        <w:rPr>
          <w:rFonts w:hint="eastAsia" w:hAnsi="宋体" w:cs="宋体"/>
          <w:bCs/>
          <w:color w:val="auto"/>
          <w:szCs w:val="21"/>
          <w:highlight w:val="none"/>
        </w:rPr>
        <w:t>3.当投标文件的</w:t>
      </w:r>
      <w:r>
        <w:rPr>
          <w:rFonts w:hint="eastAsia" w:hAnsi="宋体" w:cs="宋体"/>
          <w:color w:val="auto"/>
          <w:szCs w:val="21"/>
          <w:highlight w:val="none"/>
        </w:rPr>
        <w:t>技术参数及配置</w:t>
      </w:r>
      <w:r>
        <w:rPr>
          <w:rFonts w:hint="eastAsia" w:hAnsi="宋体" w:cs="宋体"/>
          <w:bCs/>
          <w:color w:val="auto"/>
          <w:szCs w:val="21"/>
          <w:highlight w:val="none"/>
        </w:rPr>
        <w:t>内容低于招标文件要求时，投标人应当如实写明“负偏离”。</w:t>
      </w:r>
    </w:p>
    <w:p>
      <w:pPr>
        <w:snapToGrid w:val="0"/>
        <w:spacing w:line="360" w:lineRule="auto"/>
        <w:ind w:firstLine="5640" w:firstLineChars="2350"/>
        <w:rPr>
          <w:rFonts w:ascii="宋体" w:hAnsi="宋体" w:cs="宋体"/>
          <w:color w:val="auto"/>
          <w:kern w:val="0"/>
          <w:sz w:val="24"/>
          <w:highlight w:val="none"/>
          <w:lang w:val="zh-CN"/>
        </w:rPr>
      </w:pPr>
    </w:p>
    <w:p>
      <w:pPr>
        <w:pStyle w:val="2"/>
        <w:rPr>
          <w:color w:val="auto"/>
          <w:highlight w:val="none"/>
          <w:lang w:val="zh-CN"/>
        </w:rPr>
      </w:pPr>
    </w:p>
    <w:p>
      <w:pPr>
        <w:snapToGrid w:val="0"/>
        <w:spacing w:line="360" w:lineRule="auto"/>
        <w:ind w:firstLine="5880" w:firstLineChars="245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投标人名称(盖公章)：</w:t>
      </w:r>
    </w:p>
    <w:p>
      <w:pPr>
        <w:snapToGrid w:val="0"/>
        <w:spacing w:line="360" w:lineRule="auto"/>
        <w:ind w:firstLine="5880" w:firstLineChars="245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widowControl/>
        <w:jc w:val="left"/>
        <w:rPr>
          <w:rFonts w:ascii="宋体" w:hAnsi="宋体" w:cs="宋体"/>
          <w:color w:val="auto"/>
          <w:sz w:val="30"/>
          <w:szCs w:val="20"/>
          <w:highlight w:val="none"/>
        </w:rPr>
        <w:sectPr>
          <w:pgSz w:w="11906" w:h="16838"/>
          <w:pgMar w:top="1134" w:right="1134" w:bottom="1134" w:left="1134" w:header="720" w:footer="720" w:gutter="0"/>
          <w:cols w:space="720" w:num="1"/>
          <w:docGrid w:type="lines" w:linePitch="331" w:charSpace="0"/>
        </w:sectPr>
      </w:pPr>
    </w:p>
    <w:p>
      <w:pPr>
        <w:pStyle w:val="19"/>
        <w:snapToGrid w:val="0"/>
        <w:ind w:left="562" w:hanging="562"/>
        <w:rPr>
          <w:rFonts w:ascii="宋体" w:hAnsi="宋体" w:cs="宋体"/>
          <w:i/>
          <w:iCs/>
          <w:color w:val="auto"/>
          <w:sz w:val="24"/>
          <w:highlight w:val="none"/>
        </w:rPr>
      </w:pPr>
      <w:r>
        <w:rPr>
          <w:rFonts w:hint="eastAsia" w:ascii="宋体" w:hAnsi="宋体" w:cs="宋体"/>
          <w:b/>
          <w:color w:val="auto"/>
          <w:szCs w:val="28"/>
          <w:highlight w:val="none"/>
        </w:rPr>
        <w:t>4. 项目实施人员一览表、售后服务人员情况表的格式</w:t>
      </w:r>
      <w:r>
        <w:rPr>
          <w:rFonts w:hint="eastAsia" w:ascii="宋体" w:hAnsi="宋体" w:cs="宋体"/>
          <w:b/>
          <w:bCs/>
          <w:color w:val="auto"/>
          <w:sz w:val="30"/>
          <w:szCs w:val="30"/>
          <w:highlight w:val="none"/>
        </w:rPr>
        <w:t>：</w:t>
      </w:r>
    </w:p>
    <w:p>
      <w:pPr>
        <w:autoSpaceDE w:val="0"/>
        <w:autoSpaceDN w:val="0"/>
        <w:spacing w:line="360" w:lineRule="auto"/>
        <w:jc w:val="left"/>
        <w:rPr>
          <w:rFonts w:ascii="宋体" w:hAnsi="宋体" w:cs="宋体"/>
          <w:color w:val="auto"/>
          <w:szCs w:val="21"/>
          <w:highlight w:val="none"/>
        </w:rPr>
      </w:pPr>
    </w:p>
    <w:p>
      <w:pPr>
        <w:snapToGrid w:val="0"/>
        <w:spacing w:line="360" w:lineRule="auto"/>
        <w:rPr>
          <w:rFonts w:ascii="宋体" w:hAnsi="宋体" w:cs="宋体"/>
          <w:b/>
          <w:color w:val="auto"/>
          <w:sz w:val="24"/>
          <w:highlight w:val="none"/>
        </w:rPr>
      </w:pPr>
    </w:p>
    <w:p>
      <w:pPr>
        <w:pStyle w:val="2"/>
        <w:rPr>
          <w:color w:val="auto"/>
          <w:highlight w:val="none"/>
        </w:rPr>
      </w:pPr>
    </w:p>
    <w:p>
      <w:pPr>
        <w:snapToGrid w:val="0"/>
        <w:spacing w:line="360" w:lineRule="auto"/>
        <w:ind w:firstLine="472" w:firstLineChars="196"/>
        <w:jc w:val="center"/>
        <w:rPr>
          <w:rFonts w:ascii="宋体" w:hAnsi="宋体" w:cs="宋体"/>
          <w:b/>
          <w:bCs/>
          <w:color w:val="auto"/>
          <w:kern w:val="0"/>
          <w:sz w:val="24"/>
          <w:highlight w:val="none"/>
          <w:lang w:val="zh-CN"/>
        </w:rPr>
      </w:pPr>
      <w:r>
        <w:rPr>
          <w:rFonts w:hint="eastAsia" w:ascii="宋体" w:hAnsi="宋体" w:cs="宋体"/>
          <w:b/>
          <w:bCs/>
          <w:color w:val="auto"/>
          <w:kern w:val="0"/>
          <w:sz w:val="24"/>
          <w:highlight w:val="none"/>
          <w:lang w:val="zh-CN"/>
        </w:rPr>
        <w:t>项目实施人员一览表（如有要求）</w:t>
      </w:r>
    </w:p>
    <w:p>
      <w:pPr>
        <w:pStyle w:val="15"/>
        <w:rPr>
          <w:color w:val="auto"/>
          <w:sz w:val="24"/>
          <w:szCs w:val="24"/>
          <w:highlight w:val="none"/>
        </w:rPr>
      </w:pPr>
    </w:p>
    <w:p>
      <w:pPr>
        <w:pStyle w:val="15"/>
        <w:rPr>
          <w:color w:val="auto"/>
          <w:highlight w:val="none"/>
          <w:lang w:val="zh-CN"/>
        </w:rPr>
      </w:pPr>
      <w:r>
        <w:rPr>
          <w:rFonts w:hint="eastAsia"/>
          <w:color w:val="auto"/>
          <w:sz w:val="24"/>
          <w:szCs w:val="24"/>
          <w:highlight w:val="none"/>
        </w:rPr>
        <w:t>所投分标（此处有分标时填写具体分标号，无分标时填写“无”）：</w:t>
      </w:r>
      <w:r>
        <w:rPr>
          <w:rFonts w:hint="eastAsia"/>
          <w:color w:val="auto"/>
          <w:sz w:val="24"/>
          <w:szCs w:val="24"/>
          <w:highlight w:val="none"/>
          <w:u w:val="single"/>
        </w:rPr>
        <w:t xml:space="preserve">        </w:t>
      </w:r>
    </w:p>
    <w:p>
      <w:pPr>
        <w:pStyle w:val="2"/>
        <w:rPr>
          <w:rFonts w:ascii="宋体" w:hAnsi="宋体" w:cs="宋体"/>
          <w:b/>
          <w:color w:val="auto"/>
          <w:sz w:val="21"/>
          <w:szCs w:val="21"/>
          <w:highlight w:val="none"/>
        </w:rPr>
      </w:pPr>
    </w:p>
    <w:tbl>
      <w:tblPr>
        <w:tblStyle w:val="22"/>
        <w:tblW w:w="9408" w:type="dxa"/>
        <w:tblInd w:w="108" w:type="dxa"/>
        <w:tblLayout w:type="fixed"/>
        <w:tblCellMar>
          <w:top w:w="0" w:type="dxa"/>
          <w:left w:w="108" w:type="dxa"/>
          <w:bottom w:w="0" w:type="dxa"/>
          <w:right w:w="108" w:type="dxa"/>
        </w:tblCellMar>
      </w:tblPr>
      <w:tblGrid>
        <w:gridCol w:w="420"/>
        <w:gridCol w:w="787"/>
        <w:gridCol w:w="489"/>
        <w:gridCol w:w="509"/>
        <w:gridCol w:w="1035"/>
        <w:gridCol w:w="1080"/>
        <w:gridCol w:w="1080"/>
        <w:gridCol w:w="2001"/>
        <w:gridCol w:w="2007"/>
      </w:tblGrid>
      <w:tr>
        <w:tblPrEx>
          <w:tblLayout w:type="fixed"/>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姓名</w:t>
            </w:r>
          </w:p>
        </w:tc>
        <w:tc>
          <w:tcPr>
            <w:tcW w:w="48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性别</w:t>
            </w:r>
          </w:p>
        </w:tc>
        <w:tc>
          <w:tcPr>
            <w:tcW w:w="50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学历</w:t>
            </w:r>
          </w:p>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专业</w:t>
            </w:r>
          </w:p>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职称</w:t>
            </w:r>
          </w:p>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(页码)</w:t>
            </w:r>
          </w:p>
        </w:tc>
        <w:tc>
          <w:tcPr>
            <w:tcW w:w="20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本项目中的职责</w:t>
            </w:r>
          </w:p>
        </w:tc>
        <w:tc>
          <w:tcPr>
            <w:tcW w:w="200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类似项目经历</w:t>
            </w:r>
          </w:p>
        </w:tc>
      </w:tr>
      <w:tr>
        <w:tblPrEx>
          <w:tblLayout w:type="fixed"/>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宋体" w:hAnsi="宋体" w:cs="宋体"/>
                <w:color w:val="auto"/>
                <w:szCs w:val="21"/>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rPr>
                <w:rFonts w:ascii="宋体" w:hAnsi="宋体" w:cs="宋体"/>
                <w:color w:val="auto"/>
                <w:szCs w:val="21"/>
                <w:highlight w:val="none"/>
              </w:rPr>
            </w:pPr>
          </w:p>
        </w:tc>
        <w:tc>
          <w:tcPr>
            <w:tcW w:w="489" w:type="dxa"/>
            <w:tcBorders>
              <w:top w:val="single" w:color="auto" w:sz="6" w:space="0"/>
              <w:left w:val="single" w:color="auto" w:sz="6" w:space="0"/>
              <w:bottom w:val="single" w:color="auto" w:sz="6" w:space="0"/>
              <w:right w:val="single" w:color="auto" w:sz="6" w:space="0"/>
            </w:tcBorders>
          </w:tcPr>
          <w:p>
            <w:pPr>
              <w:autoSpaceDE w:val="0"/>
              <w:autoSpaceDN w:val="0"/>
              <w:rPr>
                <w:rFonts w:ascii="宋体" w:hAnsi="宋体" w:cs="宋体"/>
                <w:color w:val="auto"/>
                <w:szCs w:val="21"/>
                <w:highlight w:val="none"/>
              </w:rPr>
            </w:pPr>
          </w:p>
        </w:tc>
        <w:tc>
          <w:tcPr>
            <w:tcW w:w="509" w:type="dxa"/>
            <w:tcBorders>
              <w:top w:val="single" w:color="auto" w:sz="6" w:space="0"/>
              <w:left w:val="single" w:color="auto" w:sz="6" w:space="0"/>
              <w:bottom w:val="single" w:color="auto" w:sz="6" w:space="0"/>
              <w:right w:val="single" w:color="auto" w:sz="6" w:space="0"/>
            </w:tcBorders>
          </w:tcPr>
          <w:p>
            <w:pPr>
              <w:autoSpaceDE w:val="0"/>
              <w:autoSpaceDN w:val="0"/>
              <w:rPr>
                <w:rFonts w:ascii="宋体" w:hAnsi="宋体" w:cs="宋体"/>
                <w:color w:val="auto"/>
                <w:szCs w:val="21"/>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rPr>
                <w:rFonts w:ascii="宋体" w:hAnsi="宋体" w:cs="宋体"/>
                <w:color w:val="auto"/>
                <w:szCs w:val="21"/>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rPr>
                <w:rFonts w:ascii="宋体" w:hAnsi="宋体" w:cs="宋体"/>
                <w:color w:val="auto"/>
                <w:szCs w:val="21"/>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rPr>
                <w:rFonts w:ascii="宋体" w:hAnsi="宋体" w:cs="宋体"/>
                <w:color w:val="auto"/>
                <w:szCs w:val="21"/>
                <w:highlight w:val="none"/>
              </w:rPr>
            </w:pPr>
          </w:p>
        </w:tc>
        <w:tc>
          <w:tcPr>
            <w:tcW w:w="2001" w:type="dxa"/>
            <w:tcBorders>
              <w:top w:val="single" w:color="auto" w:sz="6" w:space="0"/>
              <w:left w:val="single" w:color="auto" w:sz="6" w:space="0"/>
              <w:bottom w:val="single" w:color="auto" w:sz="6" w:space="0"/>
              <w:right w:val="single" w:color="auto" w:sz="6" w:space="0"/>
            </w:tcBorders>
          </w:tcPr>
          <w:p>
            <w:pPr>
              <w:autoSpaceDE w:val="0"/>
              <w:autoSpaceDN w:val="0"/>
              <w:rPr>
                <w:rFonts w:ascii="宋体" w:hAnsi="宋体" w:cs="宋体"/>
                <w:color w:val="auto"/>
                <w:szCs w:val="21"/>
                <w:highlight w:val="none"/>
              </w:rPr>
            </w:pPr>
          </w:p>
        </w:tc>
        <w:tc>
          <w:tcPr>
            <w:tcW w:w="2007" w:type="dxa"/>
            <w:tcBorders>
              <w:top w:val="single" w:color="auto" w:sz="6" w:space="0"/>
              <w:left w:val="single" w:color="auto" w:sz="6" w:space="0"/>
              <w:bottom w:val="single" w:color="auto" w:sz="6" w:space="0"/>
              <w:right w:val="single" w:color="auto" w:sz="6" w:space="0"/>
            </w:tcBorders>
          </w:tcPr>
          <w:p>
            <w:pPr>
              <w:autoSpaceDE w:val="0"/>
              <w:autoSpaceDN w:val="0"/>
              <w:rPr>
                <w:rFonts w:ascii="宋体" w:hAnsi="宋体" w:cs="宋体"/>
                <w:color w:val="auto"/>
                <w:szCs w:val="21"/>
                <w:highlight w:val="none"/>
              </w:rPr>
            </w:pPr>
          </w:p>
        </w:tc>
      </w:tr>
      <w:tr>
        <w:tblPrEx>
          <w:tblLayout w:type="fixed"/>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宋体" w:hAnsi="宋体" w:cs="宋体"/>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48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50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200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200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r>
    </w:tbl>
    <w:p>
      <w:pPr>
        <w:spacing w:line="360" w:lineRule="auto"/>
        <w:rPr>
          <w:rFonts w:ascii="宋体" w:hAnsi="宋体" w:cs="宋体"/>
          <w:b/>
          <w:bCs/>
          <w:color w:val="auto"/>
          <w:szCs w:val="21"/>
          <w:highlight w:val="none"/>
        </w:rPr>
      </w:pPr>
      <w:r>
        <w:rPr>
          <w:rFonts w:hint="eastAsia" w:ascii="宋体" w:hAnsi="宋体" w:cs="宋体"/>
          <w:b/>
          <w:color w:val="auto"/>
          <w:szCs w:val="21"/>
          <w:highlight w:val="none"/>
        </w:rPr>
        <w:t>注：投标人可参照上述的格式自行编制，并注明所在投标技术文件页码。</w:t>
      </w:r>
    </w:p>
    <w:p>
      <w:pPr>
        <w:snapToGrid w:val="0"/>
        <w:spacing w:line="360" w:lineRule="auto"/>
        <w:ind w:firstLine="472" w:firstLineChars="196"/>
        <w:rPr>
          <w:rFonts w:ascii="宋体" w:hAnsi="宋体" w:cs="宋体"/>
          <w:b/>
          <w:bCs/>
          <w:color w:val="auto"/>
          <w:kern w:val="0"/>
          <w:sz w:val="24"/>
          <w:highlight w:val="none"/>
          <w:lang w:val="zh-CN"/>
        </w:rPr>
      </w:pPr>
    </w:p>
    <w:p>
      <w:pPr>
        <w:snapToGrid w:val="0"/>
        <w:spacing w:line="360" w:lineRule="auto"/>
        <w:ind w:firstLine="5280" w:firstLineChars="22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投标人名称(盖公章)：</w:t>
      </w:r>
    </w:p>
    <w:p>
      <w:pPr>
        <w:snapToGrid w:val="0"/>
        <w:spacing w:line="360" w:lineRule="auto"/>
        <w:ind w:firstLine="5280" w:firstLineChars="2200"/>
        <w:jc w:val="left"/>
        <w:rPr>
          <w:rFonts w:ascii="宋体" w:hAnsi="宋体" w:cs="宋体"/>
          <w:b/>
          <w:bCs/>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jc w:val="center"/>
        <w:rPr>
          <w:rFonts w:ascii="宋体" w:hAnsi="宋体" w:cs="宋体"/>
          <w:b/>
          <w:bCs/>
          <w:color w:val="auto"/>
          <w:sz w:val="24"/>
          <w:highlight w:val="none"/>
        </w:rPr>
      </w:pPr>
    </w:p>
    <w:p>
      <w:pPr>
        <w:snapToGrid w:val="0"/>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 xml:space="preserve">                    </w:t>
      </w:r>
    </w:p>
    <w:p>
      <w:pPr>
        <w:autoSpaceDE w:val="0"/>
        <w:autoSpaceDN w:val="0"/>
        <w:spacing w:line="360" w:lineRule="auto"/>
        <w:rPr>
          <w:rFonts w:ascii="宋体" w:hAnsi="宋体" w:cs="宋体"/>
          <w:color w:val="auto"/>
          <w:sz w:val="24"/>
          <w:highlight w:val="none"/>
        </w:rPr>
      </w:pPr>
      <w:r>
        <w:rPr>
          <w:rFonts w:hint="eastAsia" w:ascii="宋体" w:hAnsi="宋体" w:cs="宋体"/>
          <w:b/>
          <w:bCs/>
          <w:color w:val="auto"/>
          <w:sz w:val="24"/>
          <w:highlight w:val="none"/>
        </w:rPr>
        <w:t xml:space="preserve">                            </w:t>
      </w:r>
      <w:r>
        <w:rPr>
          <w:rFonts w:hint="eastAsia" w:ascii="宋体" w:hAnsi="宋体" w:cs="宋体"/>
          <w:b/>
          <w:color w:val="auto"/>
          <w:kern w:val="0"/>
          <w:sz w:val="24"/>
          <w:highlight w:val="none"/>
        </w:rPr>
        <w:t>售后服务人员情况表</w:t>
      </w:r>
      <w:r>
        <w:rPr>
          <w:rFonts w:hint="eastAsia" w:ascii="宋体" w:hAnsi="宋体" w:cs="宋体"/>
          <w:color w:val="auto"/>
          <w:sz w:val="24"/>
          <w:highlight w:val="none"/>
        </w:rPr>
        <w:t>（如有要求，参照此格式自制）</w:t>
      </w:r>
    </w:p>
    <w:p>
      <w:pPr>
        <w:pStyle w:val="2"/>
        <w:rPr>
          <w:color w:val="auto"/>
          <w:highlight w:val="none"/>
        </w:rPr>
      </w:pPr>
    </w:p>
    <w:tbl>
      <w:tblPr>
        <w:tblStyle w:val="22"/>
        <w:tblW w:w="9854" w:type="dxa"/>
        <w:jc w:val="center"/>
        <w:tblInd w:w="0" w:type="dxa"/>
        <w:tblLayout w:type="fixed"/>
        <w:tblCellMar>
          <w:top w:w="0" w:type="dxa"/>
          <w:left w:w="108" w:type="dxa"/>
          <w:bottom w:w="0" w:type="dxa"/>
          <w:right w:w="108" w:type="dxa"/>
        </w:tblCellMar>
      </w:tblPr>
      <w:tblGrid>
        <w:gridCol w:w="451"/>
        <w:gridCol w:w="971"/>
        <w:gridCol w:w="725"/>
        <w:gridCol w:w="406"/>
        <w:gridCol w:w="886"/>
        <w:gridCol w:w="1064"/>
        <w:gridCol w:w="1064"/>
        <w:gridCol w:w="1064"/>
        <w:gridCol w:w="1242"/>
        <w:gridCol w:w="886"/>
        <w:gridCol w:w="1095"/>
      </w:tblGrid>
      <w:tr>
        <w:tblPrEx>
          <w:tblLayout w:type="fixed"/>
          <w:tblCellMar>
            <w:top w:w="0" w:type="dxa"/>
            <w:left w:w="108" w:type="dxa"/>
            <w:bottom w:w="0" w:type="dxa"/>
            <w:right w:w="108" w:type="dxa"/>
          </w:tblCellMar>
        </w:tblPrEx>
        <w:trPr>
          <w:jc w:val="center"/>
        </w:trPr>
        <w:tc>
          <w:tcPr>
            <w:tcW w:w="451" w:type="dxa"/>
            <w:tcBorders>
              <w:top w:val="single" w:color="auto" w:sz="6" w:space="0"/>
              <w:left w:val="single" w:color="auto" w:sz="6" w:space="0"/>
              <w:bottom w:val="single" w:color="auto" w:sz="6" w:space="0"/>
              <w:right w:val="single" w:color="auto" w:sz="4" w:space="0"/>
            </w:tcBorders>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971" w:type="dxa"/>
            <w:tcBorders>
              <w:top w:val="single" w:color="auto" w:sz="6" w:space="0"/>
              <w:left w:val="single" w:color="auto" w:sz="4"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类别</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姓名</w:t>
            </w:r>
          </w:p>
        </w:tc>
        <w:tc>
          <w:tcPr>
            <w:tcW w:w="40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性别</w:t>
            </w:r>
          </w:p>
        </w:tc>
        <w:tc>
          <w:tcPr>
            <w:tcW w:w="88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年龄</w:t>
            </w:r>
          </w:p>
        </w:tc>
        <w:tc>
          <w:tcPr>
            <w:tcW w:w="106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学历</w:t>
            </w:r>
          </w:p>
        </w:tc>
        <w:tc>
          <w:tcPr>
            <w:tcW w:w="106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专业</w:t>
            </w:r>
          </w:p>
        </w:tc>
        <w:tc>
          <w:tcPr>
            <w:tcW w:w="106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职称</w:t>
            </w:r>
          </w:p>
        </w:tc>
        <w:tc>
          <w:tcPr>
            <w:tcW w:w="124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本项目中的职责</w:t>
            </w:r>
          </w:p>
        </w:tc>
        <w:tc>
          <w:tcPr>
            <w:tcW w:w="88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响应时间</w:t>
            </w:r>
          </w:p>
        </w:tc>
        <w:tc>
          <w:tcPr>
            <w:tcW w:w="109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到达现场时间</w:t>
            </w:r>
          </w:p>
        </w:tc>
      </w:tr>
      <w:tr>
        <w:tblPrEx>
          <w:tblLayout w:type="fixed"/>
          <w:tblCellMar>
            <w:top w:w="0" w:type="dxa"/>
            <w:left w:w="108" w:type="dxa"/>
            <w:bottom w:w="0" w:type="dxa"/>
            <w:right w:w="108" w:type="dxa"/>
          </w:tblCellMar>
        </w:tblPrEx>
        <w:trPr>
          <w:trHeight w:val="607" w:hRule="atLeast"/>
          <w:jc w:val="center"/>
        </w:trPr>
        <w:tc>
          <w:tcPr>
            <w:tcW w:w="451" w:type="dxa"/>
            <w:tcBorders>
              <w:top w:val="single" w:color="auto" w:sz="6" w:space="0"/>
              <w:left w:val="single" w:color="auto" w:sz="6" w:space="0"/>
              <w:bottom w:val="single" w:color="auto" w:sz="6" w:space="0"/>
              <w:right w:val="single" w:color="auto" w:sz="4" w:space="0"/>
            </w:tcBorders>
            <w:vAlign w:val="center"/>
          </w:tcPr>
          <w:p>
            <w:pPr>
              <w:autoSpaceDE w:val="0"/>
              <w:autoSpaceDN w:val="0"/>
              <w:jc w:val="center"/>
              <w:rPr>
                <w:rFonts w:ascii="宋体" w:hAnsi="宋体" w:cs="宋体"/>
                <w:color w:val="auto"/>
                <w:szCs w:val="21"/>
                <w:highlight w:val="none"/>
              </w:rPr>
            </w:pPr>
          </w:p>
        </w:tc>
        <w:tc>
          <w:tcPr>
            <w:tcW w:w="971" w:type="dxa"/>
            <w:tcBorders>
              <w:top w:val="single" w:color="auto" w:sz="6" w:space="0"/>
              <w:left w:val="single" w:color="auto" w:sz="4"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总协调人</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p>
        </w:tc>
        <w:tc>
          <w:tcPr>
            <w:tcW w:w="40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p>
        </w:tc>
        <w:tc>
          <w:tcPr>
            <w:tcW w:w="106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p>
        </w:tc>
        <w:tc>
          <w:tcPr>
            <w:tcW w:w="106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p>
        </w:tc>
        <w:tc>
          <w:tcPr>
            <w:tcW w:w="106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p>
        </w:tc>
        <w:tc>
          <w:tcPr>
            <w:tcW w:w="124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p>
        </w:tc>
        <w:tc>
          <w:tcPr>
            <w:tcW w:w="109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p>
        </w:tc>
      </w:tr>
      <w:tr>
        <w:tblPrEx>
          <w:tblLayout w:type="fixed"/>
          <w:tblCellMar>
            <w:top w:w="0" w:type="dxa"/>
            <w:left w:w="108" w:type="dxa"/>
            <w:bottom w:w="0" w:type="dxa"/>
            <w:right w:w="108" w:type="dxa"/>
          </w:tblCellMar>
        </w:tblPrEx>
        <w:trPr>
          <w:trHeight w:val="595" w:hRule="atLeast"/>
          <w:jc w:val="center"/>
        </w:trPr>
        <w:tc>
          <w:tcPr>
            <w:tcW w:w="451" w:type="dxa"/>
            <w:tcBorders>
              <w:top w:val="single" w:color="auto" w:sz="6" w:space="0"/>
              <w:left w:val="single" w:color="auto" w:sz="6" w:space="0"/>
              <w:bottom w:val="single" w:color="auto" w:sz="6" w:space="0"/>
              <w:right w:val="single" w:color="auto" w:sz="4" w:space="0"/>
            </w:tcBorders>
            <w:vAlign w:val="center"/>
          </w:tcPr>
          <w:p>
            <w:pPr>
              <w:autoSpaceDE w:val="0"/>
              <w:autoSpaceDN w:val="0"/>
              <w:jc w:val="center"/>
              <w:rPr>
                <w:rFonts w:ascii="宋体" w:hAnsi="宋体" w:cs="宋体"/>
                <w:color w:val="auto"/>
                <w:szCs w:val="21"/>
                <w:highlight w:val="none"/>
              </w:rPr>
            </w:pPr>
          </w:p>
        </w:tc>
        <w:tc>
          <w:tcPr>
            <w:tcW w:w="971" w:type="dxa"/>
            <w:tcBorders>
              <w:top w:val="single" w:color="auto" w:sz="6" w:space="0"/>
              <w:left w:val="single" w:color="auto" w:sz="4"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售后人员</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p>
        </w:tc>
        <w:tc>
          <w:tcPr>
            <w:tcW w:w="40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p>
        </w:tc>
        <w:tc>
          <w:tcPr>
            <w:tcW w:w="106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p>
        </w:tc>
        <w:tc>
          <w:tcPr>
            <w:tcW w:w="106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p>
        </w:tc>
        <w:tc>
          <w:tcPr>
            <w:tcW w:w="106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p>
        </w:tc>
        <w:tc>
          <w:tcPr>
            <w:tcW w:w="124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p>
        </w:tc>
        <w:tc>
          <w:tcPr>
            <w:tcW w:w="109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p>
        </w:tc>
      </w:tr>
      <w:tr>
        <w:tblPrEx>
          <w:tblLayout w:type="fixed"/>
          <w:tblCellMar>
            <w:top w:w="0" w:type="dxa"/>
            <w:left w:w="108" w:type="dxa"/>
            <w:bottom w:w="0" w:type="dxa"/>
            <w:right w:w="108" w:type="dxa"/>
          </w:tblCellMar>
        </w:tblPrEx>
        <w:trPr>
          <w:trHeight w:val="595" w:hRule="atLeast"/>
          <w:jc w:val="center"/>
        </w:trPr>
        <w:tc>
          <w:tcPr>
            <w:tcW w:w="451" w:type="dxa"/>
            <w:tcBorders>
              <w:top w:val="single" w:color="auto" w:sz="6" w:space="0"/>
              <w:left w:val="single" w:color="auto" w:sz="6" w:space="0"/>
              <w:bottom w:val="single" w:color="auto" w:sz="6" w:space="0"/>
              <w:right w:val="single" w:color="auto" w:sz="4" w:space="0"/>
            </w:tcBorders>
            <w:vAlign w:val="center"/>
          </w:tcPr>
          <w:p>
            <w:pPr>
              <w:autoSpaceDE w:val="0"/>
              <w:autoSpaceDN w:val="0"/>
              <w:jc w:val="center"/>
              <w:rPr>
                <w:rFonts w:ascii="宋体" w:hAnsi="宋体" w:cs="宋体"/>
                <w:color w:val="auto"/>
                <w:szCs w:val="21"/>
                <w:highlight w:val="none"/>
              </w:rPr>
            </w:pPr>
          </w:p>
        </w:tc>
        <w:tc>
          <w:tcPr>
            <w:tcW w:w="971" w:type="dxa"/>
            <w:tcBorders>
              <w:top w:val="single" w:color="auto" w:sz="6" w:space="0"/>
              <w:left w:val="single" w:color="auto" w:sz="4"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p>
        </w:tc>
        <w:tc>
          <w:tcPr>
            <w:tcW w:w="40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p>
        </w:tc>
        <w:tc>
          <w:tcPr>
            <w:tcW w:w="106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p>
        </w:tc>
        <w:tc>
          <w:tcPr>
            <w:tcW w:w="106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p>
        </w:tc>
        <w:tc>
          <w:tcPr>
            <w:tcW w:w="106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p>
        </w:tc>
        <w:tc>
          <w:tcPr>
            <w:tcW w:w="124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p>
        </w:tc>
        <w:tc>
          <w:tcPr>
            <w:tcW w:w="109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s="宋体"/>
                <w:color w:val="auto"/>
                <w:szCs w:val="21"/>
                <w:highlight w:val="none"/>
              </w:rPr>
            </w:pPr>
          </w:p>
        </w:tc>
      </w:tr>
    </w:tbl>
    <w:p>
      <w:pPr>
        <w:pStyle w:val="2"/>
        <w:rPr>
          <w:rFonts w:ascii="宋体" w:hAnsi="宋体" w:cs="宋体"/>
          <w:color w:val="auto"/>
          <w:sz w:val="21"/>
          <w:szCs w:val="21"/>
          <w:highlight w:val="none"/>
        </w:rPr>
      </w:pPr>
    </w:p>
    <w:p>
      <w:pPr>
        <w:pStyle w:val="2"/>
        <w:rPr>
          <w:color w:val="auto"/>
          <w:highlight w:val="none"/>
        </w:rPr>
      </w:pPr>
    </w:p>
    <w:p>
      <w:pPr>
        <w:snapToGrid w:val="0"/>
        <w:spacing w:line="360" w:lineRule="auto"/>
        <w:ind w:firstLine="5280" w:firstLineChars="22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投标人名称(盖公章)：</w:t>
      </w:r>
    </w:p>
    <w:p>
      <w:pPr>
        <w:snapToGrid w:val="0"/>
        <w:spacing w:line="360" w:lineRule="auto"/>
        <w:jc w:val="center"/>
        <w:rPr>
          <w:rFonts w:ascii="宋体" w:hAnsi="宋体" w:cs="宋体"/>
          <w:b/>
          <w:bCs/>
          <w:color w:val="auto"/>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jc w:val="center"/>
        <w:rPr>
          <w:rFonts w:ascii="宋体" w:hAnsi="宋体" w:cs="宋体"/>
          <w:b/>
          <w:bCs/>
          <w:color w:val="auto"/>
          <w:sz w:val="24"/>
          <w:highlight w:val="none"/>
        </w:rPr>
      </w:pPr>
    </w:p>
    <w:p>
      <w:pPr>
        <w:pStyle w:val="15"/>
        <w:jc w:val="center"/>
        <w:outlineLvl w:val="1"/>
        <w:rPr>
          <w:rFonts w:hAnsi="宋体" w:cs="宋体"/>
          <w:b/>
          <w:bCs/>
          <w:color w:val="auto"/>
          <w:sz w:val="28"/>
          <w:szCs w:val="28"/>
          <w:highlight w:val="none"/>
        </w:rPr>
      </w:pPr>
      <w:r>
        <w:rPr>
          <w:rFonts w:hint="eastAsia" w:hAnsi="宋体" w:cs="宋体"/>
          <w:b/>
          <w:bCs/>
          <w:color w:val="auto"/>
          <w:sz w:val="24"/>
          <w:szCs w:val="24"/>
          <w:highlight w:val="none"/>
        </w:rPr>
        <w:br w:type="page"/>
      </w:r>
      <w:bookmarkStart w:id="293" w:name="_Toc21638"/>
      <w:bookmarkStart w:id="294" w:name="_Toc27076"/>
      <w:bookmarkStart w:id="295" w:name="_Toc31296"/>
      <w:bookmarkStart w:id="296" w:name="_Toc10710"/>
      <w:bookmarkStart w:id="297" w:name="_Toc17482"/>
      <w:r>
        <w:rPr>
          <w:rFonts w:hint="eastAsia" w:hAnsi="宋体" w:cs="宋体"/>
          <w:b/>
          <w:bCs/>
          <w:color w:val="auto"/>
          <w:sz w:val="28"/>
          <w:szCs w:val="28"/>
          <w:highlight w:val="none"/>
        </w:rPr>
        <w:t>第四节 报价文件格式</w:t>
      </w:r>
      <w:bookmarkEnd w:id="293"/>
      <w:bookmarkEnd w:id="294"/>
      <w:bookmarkEnd w:id="295"/>
      <w:bookmarkEnd w:id="296"/>
      <w:bookmarkEnd w:id="297"/>
    </w:p>
    <w:p>
      <w:pPr>
        <w:snapToGrid w:val="0"/>
        <w:spacing w:before="165" w:beforeLines="50" w:after="50" w:line="400" w:lineRule="exact"/>
        <w:jc w:val="left"/>
        <w:rPr>
          <w:rFonts w:ascii="宋体" w:hAnsi="宋体" w:cs="宋体"/>
          <w:color w:val="auto"/>
          <w:sz w:val="24"/>
          <w:highlight w:val="none"/>
        </w:rPr>
      </w:pPr>
    </w:p>
    <w:p>
      <w:pPr>
        <w:snapToGrid w:val="0"/>
        <w:spacing w:before="165" w:beforeLines="50" w:after="50" w:line="400" w:lineRule="exact"/>
        <w:jc w:val="left"/>
        <w:rPr>
          <w:rFonts w:ascii="宋体" w:hAnsi="宋体" w:cs="宋体"/>
          <w:b/>
          <w:bCs/>
          <w:color w:val="auto"/>
          <w:sz w:val="28"/>
          <w:szCs w:val="28"/>
          <w:highlight w:val="none"/>
        </w:rPr>
      </w:pPr>
      <w:r>
        <w:rPr>
          <w:rFonts w:hint="eastAsia" w:ascii="宋体" w:hAnsi="宋体" w:cs="宋体"/>
          <w:color w:val="auto"/>
          <w:sz w:val="24"/>
          <w:highlight w:val="none"/>
        </w:rPr>
        <w:t xml:space="preserve"> </w:t>
      </w:r>
      <w:r>
        <w:rPr>
          <w:rFonts w:hint="eastAsia" w:ascii="宋体" w:hAnsi="宋体" w:cs="宋体"/>
          <w:b/>
          <w:bCs/>
          <w:color w:val="auto"/>
          <w:sz w:val="28"/>
          <w:szCs w:val="28"/>
          <w:highlight w:val="none"/>
        </w:rPr>
        <w:t>1.报价文件封面的格式</w:t>
      </w:r>
      <w:r>
        <w:rPr>
          <w:rFonts w:hint="eastAsia" w:ascii="宋体" w:hAnsi="宋体" w:cs="宋体"/>
          <w:b/>
          <w:color w:val="auto"/>
          <w:sz w:val="28"/>
          <w:szCs w:val="28"/>
          <w:highlight w:val="none"/>
        </w:rPr>
        <w:t>（参照此格式自拟）</w:t>
      </w:r>
      <w:r>
        <w:rPr>
          <w:rFonts w:hint="eastAsia" w:ascii="宋体" w:hAnsi="宋体" w:cs="宋体"/>
          <w:b/>
          <w:bCs/>
          <w:color w:val="auto"/>
          <w:sz w:val="28"/>
          <w:szCs w:val="28"/>
          <w:highlight w:val="none"/>
        </w:rPr>
        <w:t xml:space="preserve">： </w:t>
      </w:r>
    </w:p>
    <w:p>
      <w:pPr>
        <w:snapToGrid w:val="0"/>
        <w:spacing w:before="165" w:beforeLines="50" w:after="50" w:line="400" w:lineRule="exact"/>
        <w:jc w:val="left"/>
        <w:rPr>
          <w:rFonts w:ascii="宋体" w:hAnsi="宋体" w:cs="宋体"/>
          <w:b/>
          <w:bCs/>
          <w:color w:val="auto"/>
          <w:sz w:val="28"/>
          <w:szCs w:val="28"/>
          <w:highlight w:val="none"/>
        </w:rPr>
      </w:pPr>
    </w:p>
    <w:p>
      <w:pPr>
        <w:snapToGrid w:val="0"/>
        <w:spacing w:before="165" w:beforeLines="50" w:after="50" w:line="400" w:lineRule="exact"/>
        <w:jc w:val="left"/>
        <w:rPr>
          <w:rFonts w:ascii="宋体" w:hAnsi="宋体" w:cs="宋体"/>
          <w:color w:val="auto"/>
          <w:sz w:val="24"/>
          <w:highlight w:val="none"/>
        </w:rPr>
      </w:pPr>
      <w:r>
        <w:rPr>
          <w:rFonts w:hint="eastAsia" w:ascii="宋体" w:hAnsi="宋体" w:cs="宋体"/>
          <w:b/>
          <w:bCs/>
          <w:color w:val="auto"/>
          <w:sz w:val="28"/>
          <w:szCs w:val="28"/>
          <w:highlight w:val="none"/>
        </w:rPr>
        <w:t xml:space="preserve">   </w:t>
      </w:r>
      <w:r>
        <w:rPr>
          <w:rFonts w:hint="eastAsia" w:ascii="宋体" w:hAnsi="宋体" w:cs="宋体"/>
          <w:color w:val="auto"/>
          <w:sz w:val="24"/>
          <w:highlight w:val="none"/>
        </w:rPr>
        <w:t xml:space="preserve">                                            </w:t>
      </w:r>
    </w:p>
    <w:p>
      <w:pPr>
        <w:snapToGrid w:val="0"/>
        <w:spacing w:before="165" w:beforeLines="50" w:after="50" w:line="400" w:lineRule="exact"/>
        <w:ind w:firstLine="5760" w:firstLineChars="2400"/>
        <w:rPr>
          <w:rFonts w:ascii="宋体" w:hAnsi="宋体" w:cs="宋体"/>
          <w:bCs/>
          <w:color w:val="auto"/>
          <w:sz w:val="32"/>
          <w:szCs w:val="20"/>
          <w:highlight w:val="none"/>
        </w:rPr>
      </w:pPr>
      <w:r>
        <w:rPr>
          <w:rFonts w:hint="eastAsia" w:ascii="宋体" w:hAnsi="宋体" w:cs="宋体"/>
          <w:color w:val="auto"/>
          <w:sz w:val="24"/>
          <w:highlight w:val="none"/>
        </w:rPr>
        <w:t xml:space="preserve">    </w:t>
      </w:r>
      <w:r>
        <w:rPr>
          <w:rFonts w:hint="eastAsia" w:ascii="宋体" w:hAnsi="宋体" w:cs="宋体"/>
          <w:bCs/>
          <w:color w:val="auto"/>
          <w:highlight w:val="none"/>
        </w:rPr>
        <w:t>电子投标文件</w:t>
      </w:r>
    </w:p>
    <w:p>
      <w:pPr>
        <w:snapToGrid w:val="0"/>
        <w:spacing w:before="165" w:beforeLines="50" w:after="50" w:line="400" w:lineRule="exact"/>
        <w:jc w:val="center"/>
        <w:rPr>
          <w:rFonts w:ascii="宋体" w:hAnsi="宋体" w:cs="宋体"/>
          <w:bCs/>
          <w:color w:val="auto"/>
          <w:sz w:val="24"/>
          <w:szCs w:val="20"/>
          <w:highlight w:val="none"/>
        </w:rPr>
      </w:pPr>
    </w:p>
    <w:p>
      <w:pPr>
        <w:snapToGrid w:val="0"/>
        <w:spacing w:before="165" w:beforeLines="50" w:after="50" w:line="400" w:lineRule="exact"/>
        <w:jc w:val="center"/>
        <w:rPr>
          <w:rFonts w:ascii="宋体" w:hAnsi="宋体" w:cs="宋体"/>
          <w:b/>
          <w:bCs/>
          <w:color w:val="auto"/>
          <w:sz w:val="32"/>
          <w:szCs w:val="32"/>
          <w:highlight w:val="none"/>
        </w:rPr>
      </w:pPr>
    </w:p>
    <w:p>
      <w:pPr>
        <w:snapToGrid w:val="0"/>
        <w:spacing w:before="165" w:beforeLines="50" w:after="50" w:line="400" w:lineRule="exact"/>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报价文件</w:t>
      </w:r>
    </w:p>
    <w:p>
      <w:pPr>
        <w:snapToGrid w:val="0"/>
        <w:spacing w:before="165" w:beforeLines="50" w:after="50" w:line="400" w:lineRule="exact"/>
        <w:rPr>
          <w:rFonts w:ascii="宋体" w:hAnsi="宋体" w:cs="宋体"/>
          <w:bCs/>
          <w:color w:val="auto"/>
          <w:sz w:val="24"/>
          <w:szCs w:val="20"/>
          <w:highlight w:val="none"/>
        </w:rPr>
      </w:pPr>
    </w:p>
    <w:p>
      <w:pPr>
        <w:snapToGrid w:val="0"/>
        <w:spacing w:before="165" w:beforeLines="50" w:after="50" w:line="400" w:lineRule="exact"/>
        <w:rPr>
          <w:rFonts w:ascii="宋体" w:hAnsi="宋体" w:cs="宋体"/>
          <w:bCs/>
          <w:color w:val="auto"/>
          <w:sz w:val="24"/>
          <w:szCs w:val="20"/>
          <w:highlight w:val="none"/>
        </w:rPr>
      </w:pPr>
    </w:p>
    <w:p>
      <w:pPr>
        <w:snapToGrid w:val="0"/>
        <w:spacing w:before="165" w:beforeLines="50" w:after="50" w:line="400" w:lineRule="exact"/>
        <w:rPr>
          <w:rFonts w:ascii="宋体" w:hAnsi="宋体" w:cs="宋体"/>
          <w:bCs/>
          <w:color w:val="auto"/>
          <w:sz w:val="24"/>
          <w:szCs w:val="20"/>
          <w:highlight w:val="none"/>
        </w:rPr>
      </w:pPr>
    </w:p>
    <w:p>
      <w:pPr>
        <w:snapToGrid w:val="0"/>
        <w:spacing w:before="165" w:beforeLines="50" w:after="50" w:line="400" w:lineRule="exact"/>
        <w:rPr>
          <w:rFonts w:ascii="宋体" w:hAnsi="宋体" w:cs="宋体"/>
          <w:bCs/>
          <w:color w:val="auto"/>
          <w:sz w:val="24"/>
          <w:szCs w:val="20"/>
          <w:highlight w:val="none"/>
        </w:rPr>
      </w:pPr>
    </w:p>
    <w:p>
      <w:pPr>
        <w:snapToGrid w:val="0"/>
        <w:spacing w:before="165" w:beforeLines="50" w:after="50" w:line="400" w:lineRule="exact"/>
        <w:ind w:firstLine="360" w:firstLineChars="150"/>
        <w:rPr>
          <w:rFonts w:ascii="宋体" w:hAnsi="宋体" w:cs="宋体"/>
          <w:bCs/>
          <w:color w:val="auto"/>
          <w:sz w:val="24"/>
          <w:highlight w:val="none"/>
        </w:rPr>
      </w:pPr>
      <w:r>
        <w:rPr>
          <w:rFonts w:hint="eastAsia" w:ascii="宋体" w:hAnsi="宋体" w:cs="宋体"/>
          <w:bCs/>
          <w:color w:val="auto"/>
          <w:sz w:val="24"/>
          <w:highlight w:val="none"/>
        </w:rPr>
        <w:t xml:space="preserve">项目名称： </w:t>
      </w:r>
    </w:p>
    <w:p>
      <w:pPr>
        <w:snapToGrid w:val="0"/>
        <w:spacing w:before="165" w:beforeLines="50" w:after="50" w:line="400" w:lineRule="exact"/>
        <w:ind w:firstLine="360" w:firstLineChars="150"/>
        <w:rPr>
          <w:rFonts w:ascii="宋体" w:hAnsi="宋体" w:cs="宋体"/>
          <w:bCs/>
          <w:color w:val="auto"/>
          <w:sz w:val="24"/>
          <w:highlight w:val="none"/>
        </w:rPr>
      </w:pPr>
    </w:p>
    <w:p>
      <w:pPr>
        <w:snapToGrid w:val="0"/>
        <w:spacing w:before="165" w:beforeLines="50" w:after="50" w:line="400" w:lineRule="exact"/>
        <w:ind w:firstLine="360" w:firstLineChars="150"/>
        <w:rPr>
          <w:rFonts w:ascii="宋体" w:hAnsi="宋体" w:cs="宋体"/>
          <w:bCs/>
          <w:color w:val="auto"/>
          <w:sz w:val="24"/>
          <w:highlight w:val="none"/>
        </w:rPr>
      </w:pPr>
      <w:r>
        <w:rPr>
          <w:rFonts w:hint="eastAsia" w:ascii="宋体" w:hAnsi="宋体" w:cs="宋体"/>
          <w:bCs/>
          <w:color w:val="auto"/>
          <w:sz w:val="24"/>
          <w:highlight w:val="none"/>
        </w:rPr>
        <w:t xml:space="preserve">项目编号： </w:t>
      </w:r>
    </w:p>
    <w:p>
      <w:pPr>
        <w:snapToGrid w:val="0"/>
        <w:spacing w:before="165" w:beforeLines="50" w:after="50" w:line="400" w:lineRule="exact"/>
        <w:ind w:firstLine="360" w:firstLineChars="150"/>
        <w:rPr>
          <w:rFonts w:ascii="宋体" w:hAnsi="宋体" w:cs="宋体"/>
          <w:bCs/>
          <w:color w:val="auto"/>
          <w:sz w:val="24"/>
          <w:highlight w:val="none"/>
        </w:rPr>
      </w:pPr>
    </w:p>
    <w:p>
      <w:pPr>
        <w:snapToGrid w:val="0"/>
        <w:spacing w:before="165" w:beforeLines="50" w:after="50" w:line="400" w:lineRule="exact"/>
        <w:ind w:firstLine="360" w:firstLineChars="150"/>
        <w:rPr>
          <w:rFonts w:ascii="宋体" w:hAnsi="宋体" w:cs="宋体"/>
          <w:bCs/>
          <w:color w:val="auto"/>
          <w:sz w:val="24"/>
          <w:highlight w:val="none"/>
        </w:rPr>
      </w:pPr>
      <w:r>
        <w:rPr>
          <w:rFonts w:hint="eastAsia" w:ascii="宋体" w:hAnsi="宋体" w:cs="宋体"/>
          <w:bCs/>
          <w:color w:val="auto"/>
          <w:sz w:val="24"/>
          <w:highlight w:val="none"/>
        </w:rPr>
        <w:t>所投分标（如有则填写，无分标时填写“无”或者留空）：</w:t>
      </w:r>
    </w:p>
    <w:p>
      <w:pPr>
        <w:snapToGrid w:val="0"/>
        <w:spacing w:before="165" w:beforeLines="50" w:after="50" w:line="400" w:lineRule="exact"/>
        <w:ind w:firstLine="360" w:firstLineChars="150"/>
        <w:rPr>
          <w:rFonts w:ascii="宋体" w:hAnsi="宋体" w:cs="宋体"/>
          <w:bCs/>
          <w:color w:val="auto"/>
          <w:sz w:val="24"/>
          <w:highlight w:val="none"/>
        </w:rPr>
      </w:pPr>
    </w:p>
    <w:p>
      <w:pPr>
        <w:snapToGrid w:val="0"/>
        <w:spacing w:before="165" w:beforeLines="50" w:after="50" w:line="400" w:lineRule="exact"/>
        <w:ind w:firstLine="360" w:firstLineChars="150"/>
        <w:rPr>
          <w:rFonts w:ascii="宋体" w:hAnsi="宋体" w:cs="宋体"/>
          <w:bCs/>
          <w:color w:val="auto"/>
          <w:sz w:val="24"/>
          <w:highlight w:val="none"/>
        </w:rPr>
      </w:pPr>
      <w:r>
        <w:rPr>
          <w:rFonts w:hint="eastAsia" w:ascii="宋体" w:hAnsi="宋体" w:cs="宋体"/>
          <w:bCs/>
          <w:color w:val="auto"/>
          <w:sz w:val="24"/>
          <w:highlight w:val="none"/>
        </w:rPr>
        <w:t>投标人名称：</w:t>
      </w:r>
    </w:p>
    <w:p>
      <w:pPr>
        <w:snapToGrid w:val="0"/>
        <w:spacing w:before="165" w:beforeLines="50" w:after="50" w:line="400" w:lineRule="exact"/>
        <w:ind w:firstLine="360" w:firstLineChars="150"/>
        <w:rPr>
          <w:rFonts w:ascii="宋体" w:hAnsi="宋体" w:cs="宋体"/>
          <w:bCs/>
          <w:color w:val="auto"/>
          <w:sz w:val="24"/>
          <w:highlight w:val="none"/>
        </w:rPr>
      </w:pPr>
    </w:p>
    <w:p>
      <w:pPr>
        <w:pStyle w:val="7"/>
        <w:snapToGrid w:val="0"/>
        <w:spacing w:before="50" w:after="50" w:line="400" w:lineRule="exact"/>
        <w:ind w:firstLine="960" w:firstLineChars="400"/>
        <w:rPr>
          <w:rFonts w:ascii="宋体" w:hAnsi="宋体" w:cs="宋体"/>
          <w:bCs/>
          <w:color w:val="auto"/>
          <w:sz w:val="24"/>
          <w:szCs w:val="24"/>
          <w:highlight w:val="none"/>
        </w:rPr>
      </w:pPr>
    </w:p>
    <w:p>
      <w:pPr>
        <w:snapToGrid w:val="0"/>
        <w:spacing w:before="165" w:beforeLines="50" w:after="50" w:line="400" w:lineRule="exact"/>
        <w:rPr>
          <w:rFonts w:ascii="宋体" w:hAnsi="宋体" w:cs="宋体"/>
          <w:color w:val="auto"/>
          <w:sz w:val="24"/>
          <w:highlight w:val="none"/>
        </w:rPr>
      </w:pPr>
      <w:r>
        <w:rPr>
          <w:rFonts w:hint="eastAsia" w:ascii="宋体" w:hAnsi="宋体" w:cs="宋体"/>
          <w:color w:val="auto"/>
          <w:sz w:val="24"/>
          <w:highlight w:val="none"/>
        </w:rPr>
        <w:t xml:space="preserve">                                      年   月   日</w:t>
      </w:r>
    </w:p>
    <w:p>
      <w:pPr>
        <w:widowControl/>
        <w:jc w:val="left"/>
        <w:rPr>
          <w:rFonts w:ascii="宋体" w:hAnsi="宋体" w:cs="宋体"/>
          <w:color w:val="auto"/>
          <w:sz w:val="24"/>
          <w:highlight w:val="none"/>
        </w:rPr>
        <w:sectPr>
          <w:pgSz w:w="11906" w:h="16838"/>
          <w:pgMar w:top="1134" w:right="1134" w:bottom="1134" w:left="1134" w:header="720" w:footer="720" w:gutter="0"/>
          <w:cols w:space="720" w:num="1"/>
          <w:docGrid w:type="lines" w:linePitch="331" w:charSpace="0"/>
        </w:sectPr>
      </w:pPr>
    </w:p>
    <w:p>
      <w:pPr>
        <w:snapToGrid w:val="0"/>
        <w:spacing w:before="165" w:beforeLines="50" w:after="50" w:line="360" w:lineRule="auto"/>
        <w:jc w:val="left"/>
        <w:rPr>
          <w:rFonts w:ascii="宋体" w:hAnsi="宋体" w:cs="宋体"/>
          <w:color w:val="auto"/>
          <w:sz w:val="28"/>
          <w:szCs w:val="28"/>
          <w:highlight w:val="none"/>
        </w:rPr>
      </w:pPr>
      <w:r>
        <w:rPr>
          <w:rFonts w:hint="eastAsia" w:ascii="宋体" w:hAnsi="宋体" w:cs="宋体"/>
          <w:b/>
          <w:color w:val="auto"/>
          <w:sz w:val="28"/>
          <w:szCs w:val="28"/>
          <w:highlight w:val="none"/>
        </w:rPr>
        <w:t>2.</w:t>
      </w:r>
      <w:r>
        <w:rPr>
          <w:rFonts w:hint="eastAsia" w:ascii="宋体" w:hAnsi="宋体" w:cs="宋体"/>
          <w:b/>
          <w:bCs/>
          <w:color w:val="auto"/>
          <w:sz w:val="28"/>
          <w:szCs w:val="28"/>
          <w:highlight w:val="none"/>
        </w:rPr>
        <w:t>报价文件目录</w:t>
      </w:r>
    </w:p>
    <w:p>
      <w:pPr>
        <w:snapToGrid w:val="0"/>
        <w:spacing w:before="50" w:after="165" w:afterLines="50" w:line="360" w:lineRule="auto"/>
        <w:jc w:val="left"/>
        <w:rPr>
          <w:rFonts w:ascii="宋体" w:hAnsi="宋体" w:cs="宋体"/>
          <w:b/>
          <w:color w:val="auto"/>
          <w:sz w:val="28"/>
          <w:szCs w:val="28"/>
          <w:highlight w:val="none"/>
        </w:rPr>
      </w:pPr>
      <w:r>
        <w:rPr>
          <w:rFonts w:hint="eastAsia" w:ascii="宋体" w:hAnsi="宋体" w:cs="宋体"/>
          <w:color w:val="auto"/>
          <w:sz w:val="28"/>
          <w:szCs w:val="28"/>
          <w:highlight w:val="none"/>
        </w:rPr>
        <w:t>根据招标文件规定及投标人提供的材料自行编写目录</w:t>
      </w:r>
      <w:r>
        <w:rPr>
          <w:rFonts w:hint="eastAsia" w:ascii="宋体" w:hAnsi="宋体" w:cs="宋体"/>
          <w:color w:val="auto"/>
          <w:kern w:val="0"/>
          <w:sz w:val="28"/>
          <w:szCs w:val="28"/>
          <w:highlight w:val="none"/>
        </w:rPr>
        <w:t>（部分格式后附）</w:t>
      </w:r>
      <w:r>
        <w:rPr>
          <w:rFonts w:hint="eastAsia" w:ascii="宋体" w:hAnsi="宋体" w:cs="宋体"/>
          <w:color w:val="auto"/>
          <w:sz w:val="28"/>
          <w:szCs w:val="28"/>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br w:type="page"/>
      </w:r>
      <w:r>
        <w:rPr>
          <w:rFonts w:hint="eastAsia" w:ascii="宋体" w:hAnsi="宋体" w:cs="宋体"/>
          <w:b/>
          <w:bCs/>
          <w:color w:val="auto"/>
          <w:sz w:val="28"/>
          <w:szCs w:val="28"/>
          <w:highlight w:val="none"/>
        </w:rPr>
        <w:t>3.投标函的格式：</w:t>
      </w:r>
    </w:p>
    <w:p>
      <w:pPr>
        <w:pStyle w:val="15"/>
        <w:spacing w:line="500" w:lineRule="exact"/>
        <w:jc w:val="center"/>
        <w:rPr>
          <w:rFonts w:hAnsi="宋体" w:cs="宋体"/>
          <w:b/>
          <w:bCs/>
          <w:color w:val="auto"/>
          <w:sz w:val="30"/>
          <w:szCs w:val="30"/>
          <w:highlight w:val="none"/>
        </w:rPr>
      </w:pPr>
      <w:r>
        <w:rPr>
          <w:rFonts w:hint="eastAsia" w:hAnsi="宋体" w:cs="宋体"/>
          <w:b/>
          <w:bCs/>
          <w:color w:val="auto"/>
          <w:sz w:val="30"/>
          <w:szCs w:val="30"/>
          <w:highlight w:val="none"/>
        </w:rPr>
        <w:t>投标函</w:t>
      </w:r>
    </w:p>
    <w:p>
      <w:pPr>
        <w:pStyle w:val="15"/>
        <w:spacing w:line="440" w:lineRule="exact"/>
        <w:ind w:firstLine="420" w:firstLineChars="200"/>
        <w:rPr>
          <w:rFonts w:hAnsi="宋体" w:cs="宋体"/>
          <w:color w:val="auto"/>
          <w:highlight w:val="none"/>
        </w:rPr>
      </w:pPr>
    </w:p>
    <w:p>
      <w:pPr>
        <w:pStyle w:val="15"/>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Ansi="宋体" w:cs="宋体"/>
          <w:color w:val="auto"/>
          <w:highlight w:val="none"/>
        </w:rPr>
      </w:pPr>
      <w:r>
        <w:rPr>
          <w:rFonts w:hint="eastAsia" w:hAnsi="宋体" w:cs="宋体"/>
          <w:color w:val="auto"/>
          <w:highlight w:val="none"/>
        </w:rPr>
        <w:t>致：</w:t>
      </w:r>
      <w:bookmarkStart w:id="298" w:name="PO_3000001867_PM031_4"/>
      <w:r>
        <w:rPr>
          <w:rFonts w:hint="eastAsia" w:hAnsi="宋体" w:cs="宋体"/>
          <w:color w:val="auto"/>
          <w:highlight w:val="none"/>
          <w:u w:val="single"/>
        </w:rPr>
        <w:t>广西科联招标中心有限公司</w:t>
      </w:r>
      <w:bookmarkEnd w:id="298"/>
      <w:r>
        <w:rPr>
          <w:rFonts w:hint="eastAsia" w:hAnsi="宋体" w:cs="宋体"/>
          <w:color w:val="auto"/>
          <w:highlight w:val="none"/>
        </w:rPr>
        <w:t xml:space="preserve"> </w:t>
      </w:r>
    </w:p>
    <w:p>
      <w:pPr>
        <w:pStyle w:val="15"/>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Ansi="宋体" w:cs="宋体"/>
          <w:color w:val="auto"/>
          <w:highlight w:val="none"/>
        </w:rPr>
      </w:pPr>
      <w:r>
        <w:rPr>
          <w:rFonts w:hint="eastAsia" w:hAnsi="宋体" w:cs="宋体"/>
          <w:color w:val="auto"/>
          <w:highlight w:val="none"/>
        </w:rPr>
        <w:t>我方已仔细阅读了贵方组织的</w:t>
      </w:r>
      <w:r>
        <w:rPr>
          <w:rFonts w:hint="eastAsia" w:hAnsi="宋体" w:cs="宋体"/>
          <w:color w:val="auto"/>
          <w:highlight w:val="none"/>
          <w:u w:val="single"/>
        </w:rPr>
        <w:t xml:space="preserve">  </w:t>
      </w:r>
      <w:r>
        <w:rPr>
          <w:rFonts w:hint="eastAsia" w:hAnsi="宋体" w:cs="宋体"/>
          <w:i/>
          <w:iCs/>
          <w:color w:val="auto"/>
          <w:highlight w:val="none"/>
          <w:u w:val="single"/>
        </w:rPr>
        <w:t>（项目名称）</w:t>
      </w:r>
      <w:r>
        <w:rPr>
          <w:rFonts w:hint="eastAsia" w:hAnsi="宋体" w:cs="宋体"/>
          <w:color w:val="auto"/>
          <w:highlight w:val="none"/>
          <w:u w:val="single"/>
        </w:rPr>
        <w:t xml:space="preserve">  </w:t>
      </w:r>
      <w:r>
        <w:rPr>
          <w:rFonts w:hint="eastAsia" w:hAnsi="宋体" w:cs="宋体"/>
          <w:color w:val="auto"/>
          <w:highlight w:val="none"/>
        </w:rPr>
        <w:t>项目（项目编号：        ）的招标文件的全部内容，授权</w:t>
      </w:r>
      <w:r>
        <w:rPr>
          <w:rFonts w:hint="eastAsia" w:hAnsi="宋体" w:cs="宋体"/>
          <w:color w:val="auto"/>
          <w:highlight w:val="none"/>
          <w:u w:val="single"/>
        </w:rPr>
        <w:t xml:space="preserve">                      </w:t>
      </w:r>
      <w:r>
        <w:rPr>
          <w:rFonts w:hint="eastAsia" w:hAnsi="宋体" w:cs="宋体"/>
          <w:color w:val="auto"/>
          <w:highlight w:val="none"/>
        </w:rPr>
        <w:t>(全权代表姓名)</w:t>
      </w:r>
      <w:r>
        <w:rPr>
          <w:rFonts w:hint="eastAsia" w:hAnsi="宋体" w:cs="宋体"/>
          <w:color w:val="auto"/>
          <w:highlight w:val="none"/>
          <w:u w:val="single"/>
        </w:rPr>
        <w:t xml:space="preserve">          </w:t>
      </w:r>
      <w:r>
        <w:rPr>
          <w:rFonts w:hint="eastAsia" w:hAnsi="宋体" w:cs="宋体"/>
          <w:color w:val="auto"/>
          <w:highlight w:val="none"/>
        </w:rPr>
        <w:t xml:space="preserve"> (职务、职称)为全权代表，现正式递交下述文件参加贵方组织的本次政府采购活动： </w:t>
      </w:r>
    </w:p>
    <w:p>
      <w:pPr>
        <w:pStyle w:val="15"/>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Ansi="宋体" w:cs="宋体"/>
          <w:color w:val="auto"/>
          <w:highlight w:val="none"/>
        </w:rPr>
      </w:pPr>
      <w:r>
        <w:rPr>
          <w:rFonts w:hint="eastAsia" w:hAnsi="宋体" w:cs="宋体"/>
          <w:color w:val="auto"/>
          <w:highlight w:val="none"/>
        </w:rPr>
        <w:t>一、报价文件电子版（包含按投标人须知前附表要求提交的全部文件）；</w:t>
      </w:r>
    </w:p>
    <w:p>
      <w:pPr>
        <w:pStyle w:val="15"/>
        <w:keepNext w:val="0"/>
        <w:keepLines w:val="0"/>
        <w:pageBreakBefore w:val="0"/>
        <w:widowControl w:val="0"/>
        <w:kinsoku/>
        <w:wordWrap/>
        <w:overflowPunct/>
        <w:topLinePunct w:val="0"/>
        <w:autoSpaceDE/>
        <w:autoSpaceDN/>
        <w:bidi w:val="0"/>
        <w:adjustRightInd/>
        <w:snapToGrid/>
        <w:spacing w:line="480" w:lineRule="exact"/>
        <w:ind w:firstLine="482"/>
        <w:textAlignment w:val="auto"/>
        <w:rPr>
          <w:rFonts w:hAnsi="宋体" w:cs="宋体"/>
          <w:color w:val="auto"/>
          <w:highlight w:val="none"/>
        </w:rPr>
      </w:pPr>
      <w:r>
        <w:rPr>
          <w:rFonts w:hint="eastAsia" w:hAnsi="宋体" w:cs="宋体"/>
          <w:color w:val="auto"/>
          <w:highlight w:val="none"/>
        </w:rPr>
        <w:t>二、资格文件电子版（包含按投标人须知前附表要求提交的全部文件）；</w:t>
      </w:r>
    </w:p>
    <w:p>
      <w:pPr>
        <w:pStyle w:val="15"/>
        <w:keepNext w:val="0"/>
        <w:keepLines w:val="0"/>
        <w:pageBreakBefore w:val="0"/>
        <w:widowControl w:val="0"/>
        <w:kinsoku/>
        <w:wordWrap/>
        <w:overflowPunct/>
        <w:topLinePunct w:val="0"/>
        <w:autoSpaceDE/>
        <w:autoSpaceDN/>
        <w:bidi w:val="0"/>
        <w:adjustRightInd/>
        <w:snapToGrid/>
        <w:spacing w:line="480" w:lineRule="exact"/>
        <w:ind w:firstLine="482"/>
        <w:textAlignment w:val="auto"/>
        <w:rPr>
          <w:rFonts w:hAnsi="宋体" w:cs="宋体"/>
          <w:color w:val="auto"/>
          <w:highlight w:val="none"/>
        </w:rPr>
      </w:pPr>
      <w:r>
        <w:rPr>
          <w:rFonts w:hint="eastAsia" w:hAnsi="宋体" w:cs="宋体"/>
          <w:color w:val="auto"/>
          <w:highlight w:val="none"/>
        </w:rPr>
        <w:t>三、技术文件电子版（包含按投标人须知前附表要求提交的全部文件）；</w:t>
      </w:r>
    </w:p>
    <w:p>
      <w:pPr>
        <w:pStyle w:val="15"/>
        <w:keepNext w:val="0"/>
        <w:keepLines w:val="0"/>
        <w:pageBreakBefore w:val="0"/>
        <w:widowControl w:val="0"/>
        <w:kinsoku/>
        <w:wordWrap/>
        <w:overflowPunct/>
        <w:topLinePunct w:val="0"/>
        <w:autoSpaceDE/>
        <w:autoSpaceDN/>
        <w:bidi w:val="0"/>
        <w:adjustRightInd/>
        <w:snapToGrid/>
        <w:spacing w:line="480" w:lineRule="exact"/>
        <w:ind w:firstLine="482"/>
        <w:textAlignment w:val="auto"/>
        <w:rPr>
          <w:rFonts w:hAnsi="宋体" w:cs="宋体"/>
          <w:color w:val="auto"/>
          <w:highlight w:val="none"/>
        </w:rPr>
      </w:pPr>
      <w:r>
        <w:rPr>
          <w:rFonts w:hint="eastAsia" w:hAnsi="宋体" w:cs="宋体"/>
          <w:color w:val="auto"/>
          <w:highlight w:val="none"/>
        </w:rPr>
        <w:t>四、商务文件电子版（包含按投标人须知前附表要求提交的全部文件）；</w:t>
      </w:r>
    </w:p>
    <w:p>
      <w:pPr>
        <w:pStyle w:val="15"/>
        <w:keepNext w:val="0"/>
        <w:keepLines w:val="0"/>
        <w:pageBreakBefore w:val="0"/>
        <w:widowControl w:val="0"/>
        <w:kinsoku/>
        <w:wordWrap/>
        <w:overflowPunct/>
        <w:topLinePunct w:val="0"/>
        <w:autoSpaceDE/>
        <w:autoSpaceDN/>
        <w:bidi w:val="0"/>
        <w:adjustRightInd/>
        <w:snapToGrid/>
        <w:spacing w:line="480" w:lineRule="exact"/>
        <w:ind w:firstLine="482"/>
        <w:textAlignment w:val="auto"/>
        <w:rPr>
          <w:rFonts w:hAnsi="宋体" w:cs="宋体"/>
          <w:color w:val="auto"/>
          <w:highlight w:val="none"/>
        </w:rPr>
      </w:pPr>
      <w:r>
        <w:rPr>
          <w:rFonts w:hint="eastAsia" w:hAnsi="宋体" w:cs="宋体"/>
          <w:color w:val="auto"/>
          <w:highlight w:val="none"/>
        </w:rPr>
        <w:t>据此函，我方兹宣布：</w:t>
      </w:r>
    </w:p>
    <w:p>
      <w:pPr>
        <w:pStyle w:val="15"/>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Ansi="宋体" w:cs="宋体"/>
          <w:color w:val="auto"/>
          <w:highlight w:val="none"/>
          <w:u w:val="single"/>
        </w:rPr>
      </w:pPr>
      <w:r>
        <w:rPr>
          <w:rFonts w:hint="eastAsia" w:hAnsi="宋体" w:cs="宋体"/>
          <w:color w:val="auto"/>
          <w:highlight w:val="none"/>
        </w:rPr>
        <w:t>1、我方愿意以投标时提供的开标一览表中的投标总</w:t>
      </w:r>
      <w:r>
        <w:rPr>
          <w:rFonts w:hint="eastAsia" w:hAnsi="宋体" w:cs="宋体"/>
          <w:color w:val="auto"/>
          <w:szCs w:val="22"/>
          <w:highlight w:val="none"/>
        </w:rPr>
        <w:t>报价，在承诺的交付时间内</w:t>
      </w:r>
      <w:r>
        <w:rPr>
          <w:rFonts w:hint="eastAsia" w:hAnsi="宋体" w:cs="宋体"/>
          <w:color w:val="auto"/>
          <w:highlight w:val="none"/>
        </w:rPr>
        <w:t>提供本项目招标文件“第二章  采购需求”的“</w:t>
      </w:r>
      <w:r>
        <w:rPr>
          <w:rFonts w:hint="eastAsia" w:hAnsi="宋体" w:cs="宋体"/>
          <w:color w:val="auto"/>
          <w:szCs w:val="21"/>
          <w:highlight w:val="none"/>
        </w:rPr>
        <w:t>需求一览表</w:t>
      </w:r>
      <w:r>
        <w:rPr>
          <w:rFonts w:hint="eastAsia" w:hAnsi="宋体" w:cs="宋体"/>
          <w:color w:val="auto"/>
          <w:highlight w:val="none"/>
        </w:rPr>
        <w:t>”中的相应的采购内容，具体详见开标一览表。</w:t>
      </w:r>
    </w:p>
    <w:p>
      <w:pPr>
        <w:pStyle w:val="15"/>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Ansi="宋体" w:cs="宋体"/>
          <w:color w:val="auto"/>
          <w:highlight w:val="none"/>
          <w:u w:val="single"/>
        </w:rPr>
      </w:pPr>
      <w:r>
        <w:rPr>
          <w:rFonts w:hint="eastAsia" w:hAnsi="宋体" w:cs="宋体"/>
          <w:color w:val="auto"/>
          <w:highlight w:val="none"/>
        </w:rPr>
        <w:t>2、我方同意自本项目招标文件“第三章 投标人须知”第一节 投标人须知前附表 第21.1项规定的投标截止时间（开标时间）起遵循本投标函，并承诺在“投标人须知前附表”第17.2项规定的投标有效期内不修改、撤销投标文件。</w:t>
      </w:r>
    </w:p>
    <w:p>
      <w:pPr>
        <w:pStyle w:val="15"/>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Ansi="宋体" w:cs="宋体"/>
          <w:color w:val="auto"/>
          <w:highlight w:val="none"/>
          <w:u w:val="single"/>
        </w:rPr>
      </w:pPr>
      <w:r>
        <w:rPr>
          <w:rFonts w:hint="eastAsia" w:hAnsi="宋体" w:cs="宋体"/>
          <w:color w:val="auto"/>
          <w:highlight w:val="none"/>
        </w:rPr>
        <w:t>3、我方所递交的投标文件及有关资料都是内容完整、真实和准确的。</w:t>
      </w:r>
    </w:p>
    <w:p>
      <w:pPr>
        <w:pStyle w:val="15"/>
        <w:keepNext w:val="0"/>
        <w:keepLines w:val="0"/>
        <w:pageBreakBefore w:val="0"/>
        <w:widowControl w:val="0"/>
        <w:kinsoku/>
        <w:wordWrap/>
        <w:overflowPunct/>
        <w:topLinePunct w:val="0"/>
        <w:autoSpaceDE/>
        <w:autoSpaceDN/>
        <w:bidi w:val="0"/>
        <w:adjustRightInd/>
        <w:snapToGrid/>
        <w:spacing w:line="480" w:lineRule="exact"/>
        <w:ind w:firstLine="482"/>
        <w:textAlignment w:val="auto"/>
        <w:rPr>
          <w:rFonts w:hAnsi="宋体" w:cs="宋体"/>
          <w:color w:val="auto"/>
          <w:highlight w:val="none"/>
        </w:rPr>
      </w:pPr>
      <w:r>
        <w:rPr>
          <w:rFonts w:hint="eastAsia" w:hAnsi="宋体" w:cs="宋体"/>
          <w:color w:val="auto"/>
          <w:highlight w:val="none"/>
        </w:rPr>
        <w:t>4、</w:t>
      </w:r>
      <w:r>
        <w:rPr>
          <w:rFonts w:hint="eastAsia" w:hAnsi="宋体" w:cs="宋体"/>
          <w:color w:val="auto"/>
          <w:szCs w:val="21"/>
          <w:highlight w:val="none"/>
        </w:rPr>
        <w:t>如本项目采购内容涉及须符合国家强制规定的，我方承诺我方本次投标（包括资格条件和所投产品）均符合国家有关强制规定。</w:t>
      </w:r>
    </w:p>
    <w:p>
      <w:pPr>
        <w:pStyle w:val="15"/>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Ansi="宋体" w:cs="宋体"/>
          <w:color w:val="auto"/>
          <w:highlight w:val="none"/>
        </w:rPr>
      </w:pPr>
      <w:r>
        <w:rPr>
          <w:rFonts w:hint="eastAsia" w:hAnsi="宋体" w:cs="宋体"/>
          <w:color w:val="auto"/>
          <w:highlight w:val="none"/>
        </w:rPr>
        <w:t>5、如我方中标，我方承诺在收到中标通知书后，在中标通知书规定的期限内，根据招标文件、我方的投标文件及有关澄清承诺书的要求按第五章“拟签订的合同文本”与采购人订立书面合同，并按照合同约定承担完成合同的责任和义务。</w:t>
      </w:r>
    </w:p>
    <w:p>
      <w:pPr>
        <w:pStyle w:val="15"/>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Ansi="宋体" w:cs="宋体"/>
          <w:color w:val="auto"/>
          <w:highlight w:val="none"/>
        </w:rPr>
      </w:pPr>
      <w:r>
        <w:rPr>
          <w:rFonts w:hint="eastAsia" w:hAnsi="宋体" w:cs="宋体"/>
          <w:color w:val="auto"/>
          <w:highlight w:val="none"/>
        </w:rPr>
        <w:t>6、我方已详细审核招标文件，我方知道必须放弃提出含糊不清或误解问题的权利。</w:t>
      </w:r>
    </w:p>
    <w:p>
      <w:pPr>
        <w:pStyle w:val="15"/>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Ansi="宋体" w:cs="宋体"/>
          <w:color w:val="auto"/>
          <w:highlight w:val="none"/>
        </w:rPr>
      </w:pPr>
      <w:r>
        <w:rPr>
          <w:rFonts w:hint="eastAsia" w:hAnsi="宋体" w:cs="宋体"/>
          <w:color w:val="auto"/>
          <w:highlight w:val="none"/>
        </w:rPr>
        <w:t>7、我方同意应贵方要求提供与本投标有关的任何数据或资料。若贵方需要，我方愿意提供我方作出的一切承诺的证明材料。</w:t>
      </w:r>
    </w:p>
    <w:p>
      <w:pPr>
        <w:pStyle w:val="15"/>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Ansi="宋体" w:cs="宋体"/>
          <w:color w:val="auto"/>
          <w:highlight w:val="none"/>
        </w:rPr>
      </w:pPr>
      <w:r>
        <w:rPr>
          <w:rFonts w:hint="eastAsia" w:hAnsi="宋体" w:cs="宋体"/>
          <w:color w:val="auto"/>
          <w:highlight w:val="none"/>
        </w:rPr>
        <w:t>8、我方完全理解贵方不一定接受投标报价最低的投标人为中标人的行为。</w:t>
      </w:r>
    </w:p>
    <w:p>
      <w:pPr>
        <w:pStyle w:val="15"/>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Ansi="宋体" w:cs="宋体"/>
          <w:color w:val="auto"/>
          <w:highlight w:val="none"/>
        </w:rPr>
      </w:pPr>
      <w:r>
        <w:rPr>
          <w:rFonts w:hint="eastAsia" w:hAnsi="宋体" w:cs="宋体"/>
          <w:color w:val="auto"/>
          <w:highlight w:val="none"/>
        </w:rPr>
        <w:t>9、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5"/>
        <w:keepNext w:val="0"/>
        <w:keepLines w:val="0"/>
        <w:pageBreakBefore w:val="0"/>
        <w:widowControl w:val="0"/>
        <w:numPr>
          <w:ilvl w:val="0"/>
          <w:numId w:val="7"/>
        </w:numPr>
        <w:kinsoku/>
        <w:wordWrap/>
        <w:overflowPunct/>
        <w:topLinePunct w:val="0"/>
        <w:autoSpaceDE/>
        <w:autoSpaceDN/>
        <w:bidi w:val="0"/>
        <w:adjustRightInd/>
        <w:snapToGrid/>
        <w:spacing w:line="480" w:lineRule="exact"/>
        <w:textAlignment w:val="auto"/>
        <w:rPr>
          <w:rFonts w:hAnsi="宋体" w:cs="宋体"/>
          <w:color w:val="auto"/>
          <w:highlight w:val="none"/>
        </w:rPr>
      </w:pPr>
      <w:r>
        <w:rPr>
          <w:rFonts w:hint="eastAsia" w:hAnsi="宋体" w:cs="宋体"/>
          <w:color w:val="auto"/>
          <w:highlight w:val="none"/>
        </w:rPr>
        <w:t>提供虚假材料谋取中标、成交的；</w:t>
      </w:r>
    </w:p>
    <w:p>
      <w:pPr>
        <w:pStyle w:val="15"/>
        <w:keepNext w:val="0"/>
        <w:keepLines w:val="0"/>
        <w:pageBreakBefore w:val="0"/>
        <w:widowControl w:val="0"/>
        <w:numPr>
          <w:ilvl w:val="0"/>
          <w:numId w:val="7"/>
        </w:numPr>
        <w:kinsoku/>
        <w:wordWrap/>
        <w:overflowPunct/>
        <w:topLinePunct w:val="0"/>
        <w:autoSpaceDE/>
        <w:autoSpaceDN/>
        <w:bidi w:val="0"/>
        <w:adjustRightInd/>
        <w:snapToGrid/>
        <w:spacing w:line="480" w:lineRule="exact"/>
        <w:textAlignment w:val="auto"/>
        <w:rPr>
          <w:rFonts w:hAnsi="宋体" w:cs="宋体"/>
          <w:color w:val="auto"/>
          <w:highlight w:val="none"/>
        </w:rPr>
      </w:pPr>
      <w:r>
        <w:rPr>
          <w:rFonts w:hint="eastAsia" w:hAnsi="宋体" w:cs="宋体"/>
          <w:color w:val="auto"/>
          <w:highlight w:val="none"/>
        </w:rPr>
        <w:t>采取不正当手段诋毁、排挤其他供应商的；</w:t>
      </w:r>
    </w:p>
    <w:p>
      <w:pPr>
        <w:pStyle w:val="15"/>
        <w:keepNext w:val="0"/>
        <w:keepLines w:val="0"/>
        <w:pageBreakBefore w:val="0"/>
        <w:widowControl w:val="0"/>
        <w:numPr>
          <w:ilvl w:val="0"/>
          <w:numId w:val="7"/>
        </w:numPr>
        <w:kinsoku/>
        <w:wordWrap/>
        <w:overflowPunct/>
        <w:topLinePunct w:val="0"/>
        <w:autoSpaceDE/>
        <w:autoSpaceDN/>
        <w:bidi w:val="0"/>
        <w:adjustRightInd/>
        <w:snapToGrid/>
        <w:spacing w:line="480" w:lineRule="exact"/>
        <w:textAlignment w:val="auto"/>
        <w:rPr>
          <w:rFonts w:hAnsi="宋体" w:cs="宋体"/>
          <w:color w:val="auto"/>
          <w:highlight w:val="none"/>
        </w:rPr>
      </w:pPr>
      <w:r>
        <w:rPr>
          <w:rFonts w:hint="eastAsia" w:hAnsi="宋体" w:cs="宋体"/>
          <w:color w:val="auto"/>
          <w:highlight w:val="none"/>
        </w:rPr>
        <w:t>与采购人、其他供应商或者采购代理机构恶意串通的；</w:t>
      </w:r>
    </w:p>
    <w:p>
      <w:pPr>
        <w:pStyle w:val="15"/>
        <w:keepNext w:val="0"/>
        <w:keepLines w:val="0"/>
        <w:pageBreakBefore w:val="0"/>
        <w:widowControl w:val="0"/>
        <w:numPr>
          <w:ilvl w:val="0"/>
          <w:numId w:val="7"/>
        </w:numPr>
        <w:kinsoku/>
        <w:wordWrap/>
        <w:overflowPunct/>
        <w:topLinePunct w:val="0"/>
        <w:autoSpaceDE/>
        <w:autoSpaceDN/>
        <w:bidi w:val="0"/>
        <w:adjustRightInd/>
        <w:snapToGrid/>
        <w:spacing w:line="480" w:lineRule="exact"/>
        <w:textAlignment w:val="auto"/>
        <w:rPr>
          <w:rFonts w:hAnsi="宋体" w:cs="宋体"/>
          <w:color w:val="auto"/>
          <w:highlight w:val="none"/>
        </w:rPr>
      </w:pPr>
      <w:r>
        <w:rPr>
          <w:rFonts w:hint="eastAsia" w:hAnsi="宋体" w:cs="宋体"/>
          <w:color w:val="auto"/>
          <w:highlight w:val="none"/>
        </w:rPr>
        <w:t>向采购人、采购代理机构行贿或者提供其他不正当利益的；</w:t>
      </w:r>
    </w:p>
    <w:p>
      <w:pPr>
        <w:pStyle w:val="15"/>
        <w:keepNext w:val="0"/>
        <w:keepLines w:val="0"/>
        <w:pageBreakBefore w:val="0"/>
        <w:widowControl w:val="0"/>
        <w:numPr>
          <w:ilvl w:val="0"/>
          <w:numId w:val="7"/>
        </w:numPr>
        <w:kinsoku/>
        <w:wordWrap/>
        <w:overflowPunct/>
        <w:topLinePunct w:val="0"/>
        <w:autoSpaceDE/>
        <w:autoSpaceDN/>
        <w:bidi w:val="0"/>
        <w:adjustRightInd/>
        <w:snapToGrid/>
        <w:spacing w:line="480" w:lineRule="exact"/>
        <w:textAlignment w:val="auto"/>
        <w:rPr>
          <w:rFonts w:hAnsi="宋体" w:cs="宋体"/>
          <w:color w:val="auto"/>
          <w:highlight w:val="none"/>
        </w:rPr>
      </w:pPr>
      <w:r>
        <w:rPr>
          <w:rFonts w:hint="eastAsia" w:hAnsi="宋体" w:cs="宋体"/>
          <w:color w:val="auto"/>
          <w:highlight w:val="none"/>
        </w:rPr>
        <w:t>在招标采购过程中与采购人进行协商谈判的；</w:t>
      </w:r>
    </w:p>
    <w:p>
      <w:pPr>
        <w:pStyle w:val="15"/>
        <w:keepNext w:val="0"/>
        <w:keepLines w:val="0"/>
        <w:pageBreakBefore w:val="0"/>
        <w:widowControl w:val="0"/>
        <w:numPr>
          <w:ilvl w:val="0"/>
          <w:numId w:val="7"/>
        </w:numPr>
        <w:kinsoku/>
        <w:wordWrap/>
        <w:overflowPunct/>
        <w:topLinePunct w:val="0"/>
        <w:autoSpaceDE/>
        <w:autoSpaceDN/>
        <w:bidi w:val="0"/>
        <w:adjustRightInd/>
        <w:snapToGrid/>
        <w:spacing w:line="480" w:lineRule="exact"/>
        <w:textAlignment w:val="auto"/>
        <w:rPr>
          <w:rFonts w:hAnsi="宋体" w:cs="宋体"/>
          <w:color w:val="auto"/>
          <w:highlight w:val="none"/>
        </w:rPr>
      </w:pPr>
      <w:r>
        <w:rPr>
          <w:rFonts w:hint="eastAsia" w:hAnsi="宋体" w:cs="宋体"/>
          <w:color w:val="auto"/>
          <w:highlight w:val="none"/>
        </w:rPr>
        <w:t>拒绝有关部门监督检查或提供虚假情况的。</w:t>
      </w:r>
    </w:p>
    <w:p>
      <w:pPr>
        <w:pStyle w:val="15"/>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Ansi="宋体" w:cs="宋体"/>
          <w:color w:val="auto"/>
          <w:highlight w:val="none"/>
        </w:rPr>
      </w:pPr>
      <w:r>
        <w:rPr>
          <w:rFonts w:hint="eastAsia" w:hAnsi="宋体" w:cs="宋体"/>
          <w:color w:val="auto"/>
          <w:highlight w:val="none"/>
        </w:rPr>
        <w:t>10、以上事项如有虚假或者隐瞒，我方愿意承担一切后果，并不再寻求任何旨在减轻或者免除法律责任的辩解。</w:t>
      </w:r>
    </w:p>
    <w:p>
      <w:pPr>
        <w:pStyle w:val="15"/>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Ansi="宋体" w:cs="宋体"/>
          <w:color w:val="auto"/>
          <w:highlight w:val="none"/>
        </w:rPr>
      </w:pPr>
      <w:r>
        <w:rPr>
          <w:rFonts w:hint="eastAsia" w:hAnsi="宋体" w:cs="宋体"/>
          <w:color w:val="auto"/>
          <w:highlight w:val="none"/>
        </w:rPr>
        <w:t>11、与本投标有关的一切正式往来信函请寄：</w:t>
      </w:r>
    </w:p>
    <w:p>
      <w:pPr>
        <w:pStyle w:val="15"/>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Ansi="宋体" w:cs="宋体"/>
          <w:color w:val="auto"/>
          <w:highlight w:val="none"/>
        </w:rPr>
      </w:pPr>
      <w:r>
        <w:rPr>
          <w:rFonts w:hint="eastAsia" w:hAnsi="宋体" w:cs="宋体"/>
          <w:color w:val="auto"/>
          <w:highlight w:val="none"/>
        </w:rPr>
        <w:t>地址：</w:t>
      </w:r>
      <w:r>
        <w:rPr>
          <w:rFonts w:hint="eastAsia" w:hAnsi="宋体" w:cs="宋体"/>
          <w:color w:val="auto"/>
          <w:highlight w:val="none"/>
          <w:u w:val="single"/>
        </w:rPr>
        <w:t xml:space="preserve">                                                        </w:t>
      </w:r>
      <w:r>
        <w:rPr>
          <w:rFonts w:hint="eastAsia" w:hAnsi="宋体" w:cs="宋体"/>
          <w:color w:val="auto"/>
          <w:highlight w:val="none"/>
        </w:rPr>
        <w:t xml:space="preserve"> </w:t>
      </w:r>
    </w:p>
    <w:p>
      <w:pPr>
        <w:pStyle w:val="15"/>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Ansi="宋体" w:cs="宋体"/>
          <w:color w:val="auto"/>
          <w:highlight w:val="none"/>
          <w:u w:val="single"/>
        </w:rPr>
      </w:pPr>
      <w:r>
        <w:rPr>
          <w:rFonts w:hint="eastAsia" w:hAnsi="宋体" w:cs="宋体"/>
          <w:color w:val="auto"/>
          <w:highlight w:val="none"/>
        </w:rPr>
        <w:t>电话：</w:t>
      </w:r>
      <w:r>
        <w:rPr>
          <w:rFonts w:hint="eastAsia" w:hAnsi="宋体" w:cs="宋体"/>
          <w:color w:val="auto"/>
          <w:highlight w:val="none"/>
          <w:u w:val="single"/>
        </w:rPr>
        <w:t xml:space="preserve">                                      　　　　　　　　　</w:t>
      </w:r>
    </w:p>
    <w:p>
      <w:pPr>
        <w:pStyle w:val="15"/>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Ansi="宋体" w:cs="宋体"/>
          <w:color w:val="auto"/>
          <w:highlight w:val="none"/>
          <w:u w:val="single"/>
        </w:rPr>
      </w:pPr>
      <w:r>
        <w:rPr>
          <w:rFonts w:hint="eastAsia" w:hAnsi="宋体" w:cs="宋体"/>
          <w:color w:val="auto"/>
          <w:highlight w:val="none"/>
        </w:rPr>
        <w:t>传真：</w:t>
      </w:r>
      <w:r>
        <w:rPr>
          <w:rFonts w:hint="eastAsia" w:hAnsi="宋体" w:cs="宋体"/>
          <w:color w:val="auto"/>
          <w:highlight w:val="none"/>
          <w:u w:val="single"/>
        </w:rPr>
        <w:t>　　　　　　　　　　　　　　　　　　　　　　　　　　　　</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宋体" w:hAnsi="宋体" w:cs="宋体"/>
          <w:color w:val="auto"/>
          <w:highlight w:val="none"/>
          <w:u w:val="single"/>
        </w:rPr>
      </w:pPr>
      <w:r>
        <w:rPr>
          <w:rFonts w:hint="eastAsia" w:ascii="宋体" w:hAnsi="宋体" w:cs="宋体"/>
          <w:color w:val="auto"/>
          <w:kern w:val="0"/>
          <w:sz w:val="20"/>
          <w:szCs w:val="21"/>
          <w:highlight w:val="none"/>
        </w:rPr>
        <w:t>电子邮箱：</w:t>
      </w:r>
      <w:r>
        <w:rPr>
          <w:rFonts w:hint="eastAsia" w:ascii="宋体" w:hAnsi="宋体" w:cs="宋体"/>
          <w:color w:val="auto"/>
          <w:kern w:val="0"/>
          <w:sz w:val="20"/>
          <w:szCs w:val="21"/>
          <w:highlight w:val="none"/>
          <w:u w:val="single"/>
        </w:rPr>
        <w:t>　　　　　　　　　　　　　　　　　　　　　　　　　　　　</w:t>
      </w:r>
    </w:p>
    <w:p>
      <w:pPr>
        <w:pStyle w:val="15"/>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Ansi="宋体" w:cs="宋体"/>
          <w:color w:val="auto"/>
          <w:highlight w:val="none"/>
          <w:u w:val="single"/>
        </w:rPr>
      </w:pPr>
      <w:r>
        <w:rPr>
          <w:rFonts w:hint="eastAsia" w:hAnsi="宋体" w:cs="宋体"/>
          <w:color w:val="auto"/>
          <w:highlight w:val="none"/>
        </w:rPr>
        <w:t>邮政编码：</w:t>
      </w:r>
      <w:r>
        <w:rPr>
          <w:rFonts w:hint="eastAsia" w:hAnsi="宋体" w:cs="宋体"/>
          <w:color w:val="auto"/>
          <w:highlight w:val="none"/>
          <w:u w:val="single"/>
        </w:rPr>
        <w:t xml:space="preserve">                                                    </w:t>
      </w:r>
    </w:p>
    <w:p>
      <w:pPr>
        <w:pStyle w:val="15"/>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Ansi="宋体" w:cs="宋体"/>
          <w:color w:val="auto"/>
          <w:highlight w:val="none"/>
          <w:u w:val="single"/>
        </w:rPr>
      </w:pPr>
      <w:r>
        <w:rPr>
          <w:rFonts w:hint="eastAsia" w:hAnsi="宋体" w:cs="宋体"/>
          <w:color w:val="auto"/>
          <w:highlight w:val="none"/>
        </w:rPr>
        <w:t>开户名称：</w:t>
      </w:r>
      <w:r>
        <w:rPr>
          <w:rFonts w:hint="eastAsia" w:hAnsi="宋体" w:cs="宋体"/>
          <w:color w:val="auto"/>
          <w:highlight w:val="none"/>
          <w:u w:val="single"/>
        </w:rPr>
        <w:t xml:space="preserve">                                                    </w:t>
      </w:r>
    </w:p>
    <w:p>
      <w:pPr>
        <w:pStyle w:val="15"/>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Ansi="宋体" w:cs="宋体"/>
          <w:color w:val="auto"/>
          <w:highlight w:val="none"/>
          <w:u w:val="single"/>
        </w:rPr>
      </w:pPr>
      <w:r>
        <w:rPr>
          <w:rFonts w:hint="eastAsia" w:hAnsi="宋体" w:cs="宋体"/>
          <w:color w:val="auto"/>
          <w:highlight w:val="none"/>
        </w:rPr>
        <w:t>开户银行：</w:t>
      </w:r>
      <w:r>
        <w:rPr>
          <w:rFonts w:hint="eastAsia" w:hAnsi="宋体" w:cs="宋体"/>
          <w:color w:val="auto"/>
          <w:highlight w:val="none"/>
          <w:u w:val="single"/>
        </w:rPr>
        <w:t xml:space="preserve">                                                    </w:t>
      </w:r>
    </w:p>
    <w:p>
      <w:pPr>
        <w:pStyle w:val="15"/>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Ansi="宋体" w:cs="宋体"/>
          <w:color w:val="auto"/>
          <w:highlight w:val="none"/>
          <w:u w:val="single"/>
        </w:rPr>
      </w:pPr>
      <w:r>
        <w:rPr>
          <w:rFonts w:hint="eastAsia" w:hAnsi="宋体" w:cs="宋体"/>
          <w:color w:val="auto"/>
          <w:highlight w:val="none"/>
        </w:rPr>
        <w:t>银行账号：</w:t>
      </w:r>
      <w:r>
        <w:rPr>
          <w:rFonts w:hint="eastAsia" w:hAnsi="宋体" w:cs="宋体"/>
          <w:color w:val="auto"/>
          <w:highlight w:val="none"/>
          <w:u w:val="single"/>
        </w:rPr>
        <w:t xml:space="preserve">                                                    </w:t>
      </w:r>
    </w:p>
    <w:p>
      <w:pPr>
        <w:snapToGrid w:val="0"/>
        <w:spacing w:line="360" w:lineRule="auto"/>
        <w:ind w:firstLine="5040" w:firstLineChars="2100"/>
        <w:rPr>
          <w:rFonts w:ascii="宋体" w:hAnsi="宋体" w:cs="宋体"/>
          <w:color w:val="auto"/>
          <w:kern w:val="0"/>
          <w:sz w:val="24"/>
          <w:highlight w:val="none"/>
          <w:lang w:val="zh-CN"/>
        </w:rPr>
      </w:pPr>
    </w:p>
    <w:p>
      <w:pPr>
        <w:snapToGrid w:val="0"/>
        <w:spacing w:line="360" w:lineRule="auto"/>
        <w:ind w:firstLine="5040" w:firstLineChars="2100"/>
        <w:rPr>
          <w:rFonts w:ascii="宋体" w:hAnsi="宋体" w:cs="宋体"/>
          <w:color w:val="auto"/>
          <w:kern w:val="0"/>
          <w:sz w:val="24"/>
          <w:highlight w:val="none"/>
          <w:lang w:val="zh-CN"/>
        </w:rPr>
      </w:pPr>
    </w:p>
    <w:p>
      <w:pPr>
        <w:snapToGrid w:val="0"/>
        <w:spacing w:line="360" w:lineRule="auto"/>
        <w:ind w:firstLine="5040" w:firstLineChars="21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投标人名称(盖公章)：</w:t>
      </w:r>
    </w:p>
    <w:p>
      <w:pPr>
        <w:snapToGrid w:val="0"/>
        <w:spacing w:line="360" w:lineRule="auto"/>
        <w:ind w:firstLine="5160" w:firstLineChars="215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widowControl/>
        <w:spacing w:line="360" w:lineRule="auto"/>
        <w:jc w:val="left"/>
        <w:rPr>
          <w:rFonts w:ascii="宋体" w:hAnsi="宋体" w:cs="宋体"/>
          <w:color w:val="auto"/>
          <w:kern w:val="0"/>
          <w:sz w:val="24"/>
          <w:highlight w:val="none"/>
          <w:lang w:val="zh-CN"/>
        </w:rPr>
        <w:sectPr>
          <w:pgSz w:w="11906" w:h="16838"/>
          <w:pgMar w:top="1134" w:right="1134" w:bottom="1134" w:left="1134" w:header="720" w:footer="720" w:gutter="0"/>
          <w:cols w:space="720" w:num="1"/>
          <w:docGrid w:type="lines" w:linePitch="331" w:charSpace="0"/>
        </w:sectPr>
      </w:pPr>
    </w:p>
    <w:p>
      <w:pPr>
        <w:pStyle w:val="15"/>
        <w:spacing w:line="360" w:lineRule="auto"/>
        <w:jc w:val="left"/>
        <w:rPr>
          <w:rFonts w:hAnsi="宋体" w:cs="宋体"/>
          <w:b/>
          <w:color w:val="auto"/>
          <w:sz w:val="28"/>
          <w:szCs w:val="28"/>
          <w:highlight w:val="none"/>
        </w:rPr>
      </w:pPr>
      <w:r>
        <w:rPr>
          <w:rFonts w:hint="eastAsia" w:hAnsi="宋体" w:cs="宋体"/>
          <w:b/>
          <w:color w:val="auto"/>
          <w:sz w:val="28"/>
          <w:szCs w:val="28"/>
          <w:highlight w:val="none"/>
        </w:rPr>
        <w:t>4. 开标一览表的格式：</w:t>
      </w:r>
    </w:p>
    <w:p>
      <w:pPr>
        <w:pStyle w:val="15"/>
        <w:spacing w:line="360" w:lineRule="auto"/>
        <w:jc w:val="center"/>
        <w:rPr>
          <w:rFonts w:hAnsi="宋体" w:cs="宋体"/>
          <w:b/>
          <w:color w:val="auto"/>
          <w:sz w:val="30"/>
          <w:szCs w:val="30"/>
          <w:highlight w:val="none"/>
        </w:rPr>
      </w:pPr>
      <w:r>
        <w:rPr>
          <w:rFonts w:hint="eastAsia" w:hAnsi="宋体" w:cs="宋体"/>
          <w:b/>
          <w:color w:val="auto"/>
          <w:sz w:val="30"/>
          <w:szCs w:val="30"/>
          <w:highlight w:val="none"/>
        </w:rPr>
        <w:t>开标一览表</w:t>
      </w:r>
      <w:r>
        <w:rPr>
          <w:rFonts w:hint="eastAsia" w:hAnsi="宋体" w:cs="宋体"/>
          <w:b/>
          <w:color w:val="auto"/>
          <w:kern w:val="0"/>
          <w:sz w:val="24"/>
          <w:highlight w:val="none"/>
          <w:lang w:val="zh-CN"/>
        </w:rPr>
        <w:t>(单位均为人民币元)</w:t>
      </w:r>
    </w:p>
    <w:p>
      <w:pPr>
        <w:snapToGrid w:val="0"/>
        <w:spacing w:before="50" w:after="50" w:line="480" w:lineRule="auto"/>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napToGrid w:val="0"/>
        <w:spacing w:before="50" w:after="50" w:line="480" w:lineRule="auto"/>
        <w:rPr>
          <w:rFonts w:ascii="宋体" w:hAnsi="宋体" w:cs="宋体"/>
          <w:color w:val="auto"/>
          <w:sz w:val="24"/>
          <w:highlight w:val="none"/>
          <w:u w:val="single"/>
        </w:rPr>
      </w:pPr>
      <w:r>
        <w:rPr>
          <w:rFonts w:hint="eastAsia" w:ascii="宋体" w:hAnsi="宋体" w:cs="宋体"/>
          <w:color w:val="auto"/>
          <w:sz w:val="24"/>
          <w:highlight w:val="none"/>
        </w:rPr>
        <w:t>项目编号：</w:t>
      </w:r>
      <w:r>
        <w:rPr>
          <w:rFonts w:hint="eastAsia" w:ascii="宋体" w:hAnsi="宋体" w:cs="宋体"/>
          <w:color w:val="auto"/>
          <w:sz w:val="24"/>
          <w:highlight w:val="none"/>
          <w:u w:val="single"/>
        </w:rPr>
        <w:t xml:space="preserve"> </w:t>
      </w:r>
      <w:bookmarkStart w:id="299" w:name="PO_3000001867_PM001_7"/>
      <w:r>
        <w:rPr>
          <w:rFonts w:hint="eastAsia" w:ascii="宋体" w:hAnsi="宋体" w:cs="宋体"/>
          <w:color w:val="auto"/>
          <w:sz w:val="24"/>
          <w:highlight w:val="none"/>
          <w:u w:val="single"/>
        </w:rPr>
        <w:t xml:space="preserve">                      </w:t>
      </w:r>
      <w:bookmarkEnd w:id="299"/>
    </w:p>
    <w:p>
      <w:pPr>
        <w:pStyle w:val="2"/>
        <w:rPr>
          <w:color w:val="auto"/>
          <w:highlight w:val="none"/>
        </w:rPr>
      </w:pPr>
      <w:r>
        <w:rPr>
          <w:rFonts w:hint="eastAsia" w:ascii="宋体" w:hAnsi="宋体" w:cs="宋体"/>
          <w:bCs/>
          <w:color w:val="auto"/>
          <w:sz w:val="24"/>
          <w:highlight w:val="none"/>
        </w:rPr>
        <w:t>所投分标（如有则填写，无分标时填写“无”或者留空）：</w:t>
      </w:r>
      <w:r>
        <w:rPr>
          <w:rFonts w:hint="eastAsia" w:ascii="宋体" w:hAnsi="宋体" w:cs="宋体"/>
          <w:color w:val="auto"/>
          <w:sz w:val="24"/>
          <w:highlight w:val="none"/>
          <w:u w:val="single"/>
        </w:rPr>
        <w:t xml:space="preserve">           </w:t>
      </w:r>
      <w:r>
        <w:rPr>
          <w:rFonts w:hint="eastAsia" w:hAnsi="宋体" w:cs="宋体"/>
          <w:color w:val="auto"/>
          <w:sz w:val="24"/>
          <w:highlight w:val="none"/>
        </w:rPr>
        <w:t xml:space="preserve">  </w:t>
      </w:r>
    </w:p>
    <w:tbl>
      <w:tblPr>
        <w:tblStyle w:val="22"/>
        <w:tblW w:w="981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260"/>
        <w:gridCol w:w="1183"/>
        <w:gridCol w:w="876"/>
        <w:gridCol w:w="1492"/>
        <w:gridCol w:w="1313"/>
        <w:gridCol w:w="2012"/>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trPr>
        <w:tc>
          <w:tcPr>
            <w:tcW w:w="7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r>
              <w:rPr>
                <w:rFonts w:hint="eastAsia" w:ascii="宋体" w:hAnsi="宋体" w:cs="宋体"/>
                <w:color w:val="auto"/>
                <w:szCs w:val="22"/>
                <w:highlight w:val="none"/>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r>
              <w:rPr>
                <w:rFonts w:hint="eastAsia" w:ascii="宋体" w:hAnsi="宋体" w:cs="宋体"/>
                <w:color w:val="auto"/>
                <w:szCs w:val="22"/>
                <w:highlight w:val="none"/>
              </w:rPr>
              <w:t>标的名称</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2"/>
                <w:highlight w:val="none"/>
              </w:rPr>
            </w:pPr>
            <w:r>
              <w:rPr>
                <w:rFonts w:hint="eastAsia" w:ascii="宋体" w:hAnsi="宋体" w:cs="宋体"/>
                <w:color w:val="auto"/>
                <w:szCs w:val="22"/>
                <w:highlight w:val="none"/>
              </w:rPr>
              <w:t>规格型号</w:t>
            </w:r>
          </w:p>
        </w:tc>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2"/>
                <w:highlight w:val="none"/>
              </w:rPr>
            </w:pPr>
            <w:r>
              <w:rPr>
                <w:rFonts w:hint="eastAsia" w:ascii="宋体" w:hAnsi="宋体" w:cs="宋体"/>
                <w:color w:val="auto"/>
                <w:szCs w:val="22"/>
                <w:highlight w:val="none"/>
              </w:rPr>
              <w:t>品牌</w:t>
            </w:r>
          </w:p>
          <w:p>
            <w:pPr>
              <w:jc w:val="center"/>
              <w:rPr>
                <w:rFonts w:ascii="宋体" w:hAnsi="宋体" w:cs="宋体"/>
                <w:color w:val="auto"/>
                <w:szCs w:val="22"/>
                <w:highlight w:val="none"/>
              </w:rPr>
            </w:pPr>
            <w:r>
              <w:rPr>
                <w:rFonts w:hint="eastAsia" w:ascii="宋体" w:hAnsi="宋体" w:cs="宋体"/>
                <w:color w:val="auto"/>
                <w:szCs w:val="22"/>
                <w:highlight w:val="none"/>
              </w:rPr>
              <w:t>及制造商</w:t>
            </w:r>
          </w:p>
        </w:tc>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2"/>
                <w:highlight w:val="none"/>
              </w:rPr>
            </w:pPr>
            <w:r>
              <w:rPr>
                <w:rFonts w:hint="eastAsia" w:ascii="宋体" w:hAnsi="宋体" w:cs="宋体"/>
                <w:color w:val="auto"/>
                <w:szCs w:val="22"/>
                <w:highlight w:val="none"/>
              </w:rPr>
              <w:t>数量及单位</w:t>
            </w:r>
          </w:p>
          <w:p>
            <w:pPr>
              <w:jc w:val="center"/>
              <w:rPr>
                <w:rFonts w:ascii="宋体" w:hAnsi="宋体" w:cs="宋体"/>
                <w:color w:val="auto"/>
                <w:szCs w:val="22"/>
                <w:highlight w:val="none"/>
              </w:rPr>
            </w:pPr>
            <w:r>
              <w:rPr>
                <w:rFonts w:hint="eastAsia" w:ascii="宋体" w:hAnsi="宋体" w:cs="宋体"/>
                <w:color w:val="auto"/>
                <w:szCs w:val="22"/>
                <w:highlight w:val="none"/>
              </w:rPr>
              <w:t>①</w:t>
            </w:r>
          </w:p>
        </w:tc>
        <w:tc>
          <w:tcPr>
            <w:tcW w:w="13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2"/>
                <w:highlight w:val="none"/>
              </w:rPr>
            </w:pPr>
            <w:r>
              <w:rPr>
                <w:rFonts w:hint="eastAsia" w:ascii="宋体" w:hAnsi="宋体" w:cs="宋体"/>
                <w:color w:val="auto"/>
                <w:szCs w:val="22"/>
                <w:highlight w:val="none"/>
              </w:rPr>
              <w:t>单价(元)</w:t>
            </w:r>
          </w:p>
          <w:p>
            <w:pPr>
              <w:jc w:val="center"/>
              <w:rPr>
                <w:rFonts w:ascii="宋体" w:hAnsi="宋体" w:cs="宋体"/>
                <w:color w:val="auto"/>
                <w:szCs w:val="22"/>
                <w:highlight w:val="none"/>
              </w:rPr>
            </w:pPr>
            <w:r>
              <w:rPr>
                <w:rFonts w:hint="eastAsia" w:ascii="宋体" w:hAnsi="宋体" w:cs="宋体"/>
                <w:color w:val="auto"/>
                <w:szCs w:val="22"/>
                <w:highlight w:val="none"/>
              </w:rPr>
              <w:t>②</w:t>
            </w:r>
          </w:p>
        </w:tc>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2"/>
                <w:highlight w:val="none"/>
              </w:rPr>
            </w:pPr>
            <w:r>
              <w:rPr>
                <w:rFonts w:hint="eastAsia" w:ascii="宋体" w:hAnsi="宋体" w:cs="宋体"/>
                <w:color w:val="auto"/>
                <w:szCs w:val="22"/>
                <w:highlight w:val="none"/>
              </w:rPr>
              <w:t>单项合计（元）</w:t>
            </w:r>
          </w:p>
          <w:p>
            <w:pPr>
              <w:jc w:val="center"/>
              <w:rPr>
                <w:rFonts w:ascii="宋体" w:hAnsi="宋体" w:cs="宋体"/>
                <w:color w:val="auto"/>
                <w:szCs w:val="22"/>
                <w:highlight w:val="none"/>
              </w:rPr>
            </w:pPr>
            <w:r>
              <w:rPr>
                <w:rFonts w:hint="eastAsia" w:ascii="宋体" w:hAnsi="宋体" w:cs="宋体"/>
                <w:color w:val="auto"/>
                <w:szCs w:val="22"/>
                <w:highlight w:val="none"/>
              </w:rPr>
              <w:t>③＝①×②</w:t>
            </w:r>
          </w:p>
        </w:tc>
        <w:tc>
          <w:tcPr>
            <w:tcW w:w="958" w:type="dxa"/>
            <w:tcBorders>
              <w:top w:val="single" w:color="auto" w:sz="4" w:space="0"/>
              <w:left w:val="single" w:color="auto" w:sz="4" w:space="0"/>
              <w:bottom w:val="single" w:color="auto" w:sz="4" w:space="0"/>
              <w:right w:val="single" w:color="auto" w:sz="4" w:space="0"/>
            </w:tcBorders>
          </w:tcPr>
          <w:p>
            <w:pPr>
              <w:pStyle w:val="17"/>
              <w:rPr>
                <w:rFonts w:ascii="宋体" w:hAnsi="宋体" w:cs="宋体"/>
                <w:color w:val="auto"/>
                <w:highlight w:val="none"/>
              </w:rPr>
            </w:pPr>
          </w:p>
          <w:p>
            <w:pPr>
              <w:pStyle w:val="17"/>
              <w:rPr>
                <w:rFonts w:ascii="宋体" w:hAnsi="宋体" w:cs="宋体"/>
                <w:color w:val="auto"/>
                <w:highlight w:val="none"/>
              </w:rPr>
            </w:pPr>
          </w:p>
          <w:p>
            <w:pPr>
              <w:pStyle w:val="17"/>
              <w:rPr>
                <w:rFonts w:ascii="宋体" w:hAnsi="宋体" w:cs="宋体"/>
                <w:color w:val="auto"/>
                <w:highlight w:val="none"/>
              </w:rPr>
            </w:pPr>
            <w:r>
              <w:rPr>
                <w:rFonts w:hint="eastAsia" w:ascii="宋体" w:hAnsi="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2"/>
                <w:highlight w:val="none"/>
              </w:rPr>
            </w:pPr>
            <w:r>
              <w:rPr>
                <w:rFonts w:hint="eastAsia" w:ascii="宋体" w:hAnsi="宋体" w:cs="宋体"/>
                <w:color w:val="auto"/>
                <w:szCs w:val="22"/>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118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87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149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20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958"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2"/>
                <w:highlight w:val="none"/>
              </w:rPr>
            </w:pPr>
            <w:r>
              <w:rPr>
                <w:rFonts w:hint="eastAsia" w:ascii="宋体" w:hAnsi="宋体" w:cs="宋体"/>
                <w:color w:val="auto"/>
                <w:szCs w:val="22"/>
                <w:highlight w:val="none"/>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118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87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149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20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958"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2"/>
                <w:highlight w:val="none"/>
              </w:rPr>
            </w:pPr>
            <w:r>
              <w:rPr>
                <w:rFonts w:hint="eastAsia" w:ascii="宋体" w:hAnsi="宋体" w:cs="宋体"/>
                <w:color w:val="auto"/>
                <w:szCs w:val="22"/>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118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87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149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20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p>
        </w:tc>
        <w:tc>
          <w:tcPr>
            <w:tcW w:w="958"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813"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highlight w:val="none"/>
              </w:rPr>
            </w:pPr>
            <w:r>
              <w:rPr>
                <w:rFonts w:hint="eastAsia" w:hAnsi="宋体" w:cs="宋体"/>
                <w:color w:val="auto"/>
                <w:highlight w:val="none"/>
              </w:rPr>
              <w:t>投标总</w:t>
            </w:r>
            <w:r>
              <w:rPr>
                <w:rFonts w:hint="eastAsia" w:ascii="宋体" w:hAnsi="宋体" w:cs="宋体"/>
                <w:color w:val="auto"/>
                <w:szCs w:val="22"/>
                <w:highlight w:val="none"/>
              </w:rPr>
              <w:t xml:space="preserve">报价（包含税费等所有费用）：（大写）人民币 </w:t>
            </w:r>
            <w:r>
              <w:rPr>
                <w:rFonts w:hint="eastAsia" w:ascii="宋体" w:hAnsi="宋体" w:cs="宋体"/>
                <w:color w:val="auto"/>
                <w:szCs w:val="22"/>
                <w:highlight w:val="none"/>
                <w:u w:val="single"/>
              </w:rPr>
              <w:t xml:space="preserve">                        </w:t>
            </w:r>
            <w:r>
              <w:rPr>
                <w:rFonts w:hint="eastAsia" w:ascii="宋体" w:hAnsi="宋体" w:cs="宋体"/>
                <w:color w:val="auto"/>
                <w:szCs w:val="22"/>
                <w:highlight w:val="none"/>
              </w:rPr>
              <w:t xml:space="preserve">（小写）¥ </w:t>
            </w:r>
            <w:r>
              <w:rPr>
                <w:rFonts w:hint="eastAsia" w:ascii="宋体" w:hAnsi="宋体" w:cs="宋体"/>
                <w:color w:val="auto"/>
                <w:szCs w:val="22"/>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813" w:type="dxa"/>
            <w:gridSpan w:val="8"/>
            <w:tcBorders>
              <w:top w:val="single" w:color="auto" w:sz="4" w:space="0"/>
              <w:left w:val="single" w:color="auto" w:sz="4" w:space="0"/>
              <w:bottom w:val="single" w:color="auto" w:sz="4" w:space="0"/>
              <w:right w:val="single" w:color="auto" w:sz="4" w:space="0"/>
            </w:tcBorders>
          </w:tcPr>
          <w:p>
            <w:pPr>
              <w:rPr>
                <w:rFonts w:ascii="宋体" w:hAnsi="宋体" w:cs="宋体"/>
                <w:color w:val="auto"/>
                <w:szCs w:val="22"/>
                <w:highlight w:val="none"/>
              </w:rPr>
            </w:pPr>
            <w:r>
              <w:rPr>
                <w:rFonts w:hint="eastAsia" w:ascii="宋体" w:hAnsi="宋体" w:cs="宋体"/>
                <w:color w:val="auto"/>
                <w:szCs w:val="22"/>
                <w:highlight w:val="none"/>
              </w:rPr>
              <w:t>交付时间：</w:t>
            </w:r>
          </w:p>
        </w:tc>
      </w:tr>
    </w:tbl>
    <w:p>
      <w:pPr>
        <w:snapToGrid w:val="0"/>
        <w:spacing w:before="50" w:after="50" w:line="360" w:lineRule="auto"/>
        <w:ind w:firstLine="420" w:firstLineChars="20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 xml:space="preserve">注： </w:t>
      </w:r>
    </w:p>
    <w:p>
      <w:pPr>
        <w:snapToGrid w:val="0"/>
        <w:spacing w:before="50" w:after="50" w:line="360" w:lineRule="auto"/>
        <w:ind w:firstLine="420" w:firstLineChars="20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 投标人需按本表格式填写，不得自行更改，也不得留空（备注除外），如有多分标，按分标分别提供开标一览表，必须加盖投标人有效公章，</w:t>
      </w:r>
      <w:r>
        <w:rPr>
          <w:rFonts w:hint="eastAsia" w:ascii="宋体" w:hAnsi="宋体" w:cs="宋体"/>
          <w:b/>
          <w:color w:val="auto"/>
          <w:kern w:val="0"/>
          <w:szCs w:val="21"/>
          <w:highlight w:val="none"/>
          <w:lang w:val="zh-CN"/>
        </w:rPr>
        <w:t>否则其投标作无效标处理。</w:t>
      </w:r>
    </w:p>
    <w:p>
      <w:pPr>
        <w:snapToGrid w:val="0"/>
        <w:spacing w:before="50" w:after="50" w:line="360" w:lineRule="auto"/>
        <w:ind w:firstLine="420" w:firstLineChars="200"/>
        <w:jc w:val="left"/>
        <w:rPr>
          <w:rFonts w:hint="eastAsia" w:ascii="宋体" w:hAnsi="宋体" w:cs="宋体"/>
          <w:b/>
          <w:color w:val="auto"/>
          <w:kern w:val="0"/>
          <w:szCs w:val="21"/>
          <w:highlight w:val="none"/>
          <w:lang w:val="zh-CN"/>
        </w:rPr>
      </w:pPr>
      <w:r>
        <w:rPr>
          <w:rFonts w:hint="eastAsia" w:ascii="宋体" w:hAnsi="宋体" w:cs="宋体"/>
          <w:color w:val="auto"/>
          <w:kern w:val="0"/>
          <w:szCs w:val="21"/>
          <w:highlight w:val="none"/>
          <w:lang w:val="zh-CN"/>
        </w:rPr>
        <w:t>2、本表内容均不能涂改，</w:t>
      </w:r>
      <w:r>
        <w:rPr>
          <w:rFonts w:hint="eastAsia" w:ascii="宋体" w:hAnsi="宋体" w:cs="宋体"/>
          <w:b/>
          <w:color w:val="auto"/>
          <w:kern w:val="0"/>
          <w:szCs w:val="21"/>
          <w:highlight w:val="none"/>
          <w:lang w:val="zh-CN"/>
        </w:rPr>
        <w:t>否则其投标作无效标处理。</w:t>
      </w:r>
    </w:p>
    <w:p>
      <w:pPr>
        <w:snapToGrid w:val="0"/>
        <w:spacing w:before="50" w:after="50" w:line="360" w:lineRule="auto"/>
        <w:ind w:firstLine="420" w:firstLineChars="200"/>
        <w:jc w:val="left"/>
        <w:rPr>
          <w:rFonts w:hint="eastAsia" w:ascii="宋体" w:hAnsi="宋体" w:cs="宋体"/>
          <w:b/>
          <w:color w:val="auto"/>
          <w:kern w:val="0"/>
          <w:szCs w:val="21"/>
          <w:highlight w:val="none"/>
          <w:lang w:val="zh-CN"/>
        </w:rPr>
      </w:pPr>
      <w:r>
        <w:rPr>
          <w:rFonts w:hint="eastAsia" w:ascii="宋体" w:hAnsi="宋体" w:cs="宋体"/>
          <w:color w:val="auto"/>
          <w:kern w:val="0"/>
          <w:szCs w:val="21"/>
          <w:highlight w:val="none"/>
          <w:lang w:val="zh-CN"/>
        </w:rPr>
        <w:t>3、如为联合体投标，“投标人名称”处必须列明联合体各方名称，并标注联合体牵头人名称，且盖章处须加盖联合体各方公章，</w:t>
      </w:r>
      <w:r>
        <w:rPr>
          <w:rFonts w:hint="eastAsia" w:ascii="宋体" w:hAnsi="宋体" w:cs="宋体"/>
          <w:b/>
          <w:color w:val="auto"/>
          <w:kern w:val="0"/>
          <w:szCs w:val="21"/>
          <w:highlight w:val="none"/>
          <w:lang w:val="zh-CN"/>
        </w:rPr>
        <w:t>否则其投标作无效标处理。</w:t>
      </w:r>
    </w:p>
    <w:p>
      <w:pPr>
        <w:snapToGrid w:val="0"/>
        <w:spacing w:before="50" w:after="50" w:line="360" w:lineRule="auto"/>
        <w:ind w:firstLine="420" w:firstLineChars="200"/>
        <w:jc w:val="left"/>
        <w:rPr>
          <w:rFonts w:hint="eastAsia" w:ascii="宋体" w:hAnsi="宋体" w:cs="宋体"/>
          <w:b/>
          <w:color w:val="auto"/>
          <w:kern w:val="0"/>
          <w:szCs w:val="21"/>
          <w:highlight w:val="none"/>
          <w:lang w:val="zh-CN"/>
        </w:rPr>
      </w:pPr>
      <w:r>
        <w:rPr>
          <w:rFonts w:hint="eastAsia" w:ascii="宋体" w:hAnsi="宋体" w:cs="宋体"/>
          <w:color w:val="auto"/>
          <w:kern w:val="0"/>
          <w:szCs w:val="21"/>
          <w:highlight w:val="none"/>
          <w:lang w:val="zh-CN"/>
        </w:rPr>
        <w:t>4、以上表格要求细分项目及报价，在“标的名称”一栏中，填写具体货物，在“规格型号”一栏中，填写具体货物规格和型号，</w:t>
      </w:r>
      <w:r>
        <w:rPr>
          <w:rFonts w:hint="eastAsia" w:ascii="宋体" w:hAnsi="宋体" w:cs="宋体"/>
          <w:b/>
          <w:color w:val="auto"/>
          <w:kern w:val="0"/>
          <w:szCs w:val="21"/>
          <w:highlight w:val="none"/>
          <w:lang w:val="zh-CN"/>
        </w:rPr>
        <w:t>否则其投标作无效标处理。</w:t>
      </w:r>
    </w:p>
    <w:p>
      <w:pPr>
        <w:snapToGrid w:val="0"/>
        <w:spacing w:before="50" w:after="50" w:line="360" w:lineRule="auto"/>
        <w:ind w:firstLine="420" w:firstLineChars="200"/>
        <w:jc w:val="left"/>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zh-CN"/>
        </w:rPr>
        <w:t>5、特别提示：采购代理机构将对项目名称和项目编号，中标人名称、地址和中标金额，主要中标标的的名称、规格型号、数量、单价等予以公示。</w:t>
      </w:r>
    </w:p>
    <w:p>
      <w:pPr>
        <w:snapToGrid w:val="0"/>
        <w:spacing w:before="50" w:after="50" w:line="360" w:lineRule="auto"/>
        <w:ind w:firstLine="420" w:firstLineChars="20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6、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5760" w:firstLineChars="24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投标人名称(盖公章)：</w:t>
      </w:r>
    </w:p>
    <w:p>
      <w:pPr>
        <w:snapToGrid w:val="0"/>
        <w:spacing w:line="360" w:lineRule="auto"/>
        <w:ind w:firstLine="5880" w:firstLineChars="245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widowControl/>
        <w:jc w:val="left"/>
        <w:rPr>
          <w:rFonts w:ascii="宋体" w:hAnsi="宋体" w:cs="宋体"/>
          <w:color w:val="auto"/>
          <w:sz w:val="30"/>
          <w:szCs w:val="20"/>
          <w:highlight w:val="none"/>
        </w:rPr>
        <w:sectPr>
          <w:pgSz w:w="11906" w:h="16838"/>
          <w:pgMar w:top="1134" w:right="1134" w:bottom="1134" w:left="1134" w:header="720" w:footer="720" w:gutter="0"/>
          <w:cols w:space="720" w:num="1"/>
          <w:docGrid w:type="lines" w:linePitch="331" w:charSpace="0"/>
        </w:sectPr>
      </w:pPr>
    </w:p>
    <w:p>
      <w:pPr>
        <w:snapToGrid w:val="0"/>
        <w:spacing w:before="165" w:beforeLines="50" w:after="50"/>
        <w:jc w:val="center"/>
        <w:outlineLvl w:val="1"/>
        <w:rPr>
          <w:rFonts w:ascii="宋体" w:hAnsi="宋体" w:cs="宋体"/>
          <w:b/>
          <w:bCs/>
          <w:color w:val="auto"/>
          <w:sz w:val="28"/>
          <w:szCs w:val="28"/>
          <w:highlight w:val="none"/>
        </w:rPr>
      </w:pPr>
      <w:bookmarkStart w:id="300" w:name="_Toc19036"/>
      <w:bookmarkStart w:id="301" w:name="_Toc8131"/>
      <w:bookmarkStart w:id="302" w:name="_Toc24690"/>
      <w:bookmarkStart w:id="303" w:name="_Toc19686840"/>
      <w:bookmarkStart w:id="304" w:name="_Toc12749"/>
      <w:bookmarkStart w:id="305" w:name="_Toc26722"/>
      <w:r>
        <w:rPr>
          <w:rFonts w:hint="eastAsia" w:ascii="宋体" w:hAnsi="宋体" w:cs="宋体"/>
          <w:b/>
          <w:bCs/>
          <w:color w:val="auto"/>
          <w:sz w:val="28"/>
          <w:szCs w:val="28"/>
          <w:highlight w:val="none"/>
        </w:rPr>
        <w:t>第五节 其他文书、文件格式</w:t>
      </w:r>
      <w:bookmarkEnd w:id="300"/>
      <w:bookmarkEnd w:id="301"/>
      <w:bookmarkEnd w:id="302"/>
      <w:bookmarkEnd w:id="303"/>
      <w:bookmarkEnd w:id="304"/>
      <w:bookmarkEnd w:id="305"/>
    </w:p>
    <w:p>
      <w:pPr>
        <w:pStyle w:val="15"/>
        <w:jc w:val="left"/>
        <w:rPr>
          <w:rFonts w:hAnsi="宋体" w:cs="宋体"/>
          <w:b/>
          <w:color w:val="auto"/>
          <w:sz w:val="28"/>
          <w:szCs w:val="28"/>
          <w:highlight w:val="none"/>
        </w:rPr>
      </w:pPr>
      <w:r>
        <w:rPr>
          <w:rFonts w:hint="eastAsia" w:hAnsi="宋体" w:cs="宋体"/>
          <w:b/>
          <w:color w:val="auto"/>
          <w:sz w:val="28"/>
          <w:szCs w:val="28"/>
          <w:highlight w:val="none"/>
        </w:rPr>
        <w:t>1.中小企业声明函的格式：</w:t>
      </w:r>
    </w:p>
    <w:p>
      <w:pPr>
        <w:pStyle w:val="15"/>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中小企业声明函</w:t>
      </w:r>
    </w:p>
    <w:p>
      <w:pPr>
        <w:pStyle w:val="12"/>
        <w:spacing w:line="360" w:lineRule="exact"/>
        <w:ind w:firstLine="404" w:firstLineChars="200"/>
        <w:rPr>
          <w:rFonts w:hAnsi="宋体" w:cs="宋体"/>
          <w:color w:val="auto"/>
          <w:sz w:val="21"/>
          <w:szCs w:val="21"/>
          <w:highlight w:val="none"/>
        </w:rPr>
      </w:pPr>
    </w:p>
    <w:p>
      <w:pPr>
        <w:pStyle w:val="10"/>
        <w:spacing w:line="360" w:lineRule="exact"/>
        <w:ind w:left="-426" w:leftChars="-203" w:right="142" w:firstLine="480" w:firstLineChars="200"/>
        <w:contextualSpacing/>
        <w:rPr>
          <w:rFonts w:ascii="宋体" w:hAnsi="宋体" w:cs="宋体"/>
          <w:color w:val="auto"/>
          <w:kern w:val="24"/>
          <w:sz w:val="24"/>
          <w:highlight w:val="none"/>
        </w:rPr>
      </w:pPr>
      <w:r>
        <w:rPr>
          <w:rFonts w:hint="eastAsia" w:ascii="宋体" w:hAnsi="宋体" w:cs="宋体"/>
          <w:color w:val="auto"/>
          <w:kern w:val="24"/>
          <w:sz w:val="24"/>
          <w:highlight w:val="none"/>
        </w:rPr>
        <w:t>本公司（联合体）郑重声明，根据《政府采购促进中小企业发展管理办法》（财库﹝2020﹞46号）的规定，本公司（联合体）参加</w:t>
      </w:r>
      <w:r>
        <w:rPr>
          <w:rFonts w:hint="eastAsia" w:ascii="宋体" w:hAnsi="宋体" w:cs="宋体"/>
          <w:i/>
          <w:iCs/>
          <w:color w:val="auto"/>
          <w:kern w:val="24"/>
          <w:sz w:val="24"/>
          <w:highlight w:val="none"/>
          <w:u w:val="single"/>
        </w:rPr>
        <w:t>（单位名称）</w:t>
      </w:r>
      <w:r>
        <w:rPr>
          <w:rFonts w:hint="eastAsia" w:ascii="宋体" w:hAnsi="宋体" w:cs="宋体"/>
          <w:color w:val="auto"/>
          <w:kern w:val="24"/>
          <w:sz w:val="24"/>
          <w:highlight w:val="none"/>
        </w:rPr>
        <w:t>的</w:t>
      </w:r>
      <w:r>
        <w:rPr>
          <w:rFonts w:hint="eastAsia" w:ascii="宋体" w:hAnsi="宋体" w:cs="宋体"/>
          <w:i/>
          <w:iCs/>
          <w:color w:val="auto"/>
          <w:kern w:val="24"/>
          <w:sz w:val="24"/>
          <w:highlight w:val="none"/>
          <w:u w:val="single"/>
        </w:rPr>
        <w:t>（项目名称）</w:t>
      </w:r>
      <w:r>
        <w:rPr>
          <w:rFonts w:hint="eastAsia" w:ascii="宋体" w:hAnsi="宋体" w:cs="宋体"/>
          <w:color w:val="auto"/>
          <w:kern w:val="24"/>
          <w:sz w:val="24"/>
          <w:highlight w:val="none"/>
        </w:rPr>
        <w:t>采购活动，提供的货物全部由符合政策要求的中小企业制造。相关企业（含联合体中的中小企业、签订分包意向协议的中小企业）的具体情况如下：</w:t>
      </w:r>
    </w:p>
    <w:p>
      <w:pPr>
        <w:tabs>
          <w:tab w:val="left" w:pos="1384"/>
          <w:tab w:val="left" w:pos="4562"/>
          <w:tab w:val="left" w:pos="6803"/>
        </w:tabs>
        <w:spacing w:line="360" w:lineRule="exact"/>
        <w:ind w:left="-426" w:right="-58" w:firstLine="655"/>
        <w:contextualSpacing/>
        <w:rPr>
          <w:rFonts w:ascii="宋体" w:hAnsi="宋体" w:cs="宋体"/>
          <w:color w:val="auto"/>
          <w:kern w:val="24"/>
          <w:sz w:val="24"/>
          <w:highlight w:val="none"/>
        </w:rPr>
      </w:pPr>
      <w:r>
        <w:rPr>
          <w:rFonts w:hint="eastAsia" w:ascii="宋体" w:hAnsi="宋体" w:cs="宋体"/>
          <w:color w:val="auto"/>
          <w:kern w:val="24"/>
          <w:sz w:val="24"/>
          <w:highlight w:val="none"/>
        </w:rPr>
        <w:t>1.</w:t>
      </w:r>
      <w:r>
        <w:rPr>
          <w:rFonts w:hint="eastAsia" w:ascii="宋体" w:hAnsi="宋体" w:cs="宋体"/>
          <w:i/>
          <w:iCs/>
          <w:color w:val="auto"/>
          <w:kern w:val="24"/>
          <w:sz w:val="24"/>
          <w:highlight w:val="none"/>
          <w:u w:val="single"/>
        </w:rPr>
        <w:t>（标的名称）</w:t>
      </w:r>
      <w:r>
        <w:rPr>
          <w:rFonts w:hint="eastAsia" w:ascii="宋体" w:hAnsi="宋体" w:cs="宋体"/>
          <w:color w:val="auto"/>
          <w:kern w:val="24"/>
          <w:sz w:val="24"/>
          <w:highlight w:val="none"/>
        </w:rPr>
        <w:t>，属于</w:t>
      </w:r>
      <w:r>
        <w:rPr>
          <w:rFonts w:hint="eastAsia" w:ascii="宋体" w:hAnsi="宋体" w:cs="宋体"/>
          <w:i/>
          <w:iCs/>
          <w:color w:val="auto"/>
          <w:kern w:val="24"/>
          <w:sz w:val="24"/>
          <w:highlight w:val="none"/>
          <w:u w:val="single"/>
        </w:rPr>
        <w:t>（采购文件中明确的所属行业）行业</w:t>
      </w:r>
      <w:r>
        <w:rPr>
          <w:rFonts w:hint="eastAsia" w:ascii="宋体" w:hAnsi="宋体" w:cs="宋体"/>
          <w:color w:val="auto"/>
          <w:kern w:val="24"/>
          <w:sz w:val="24"/>
          <w:highlight w:val="none"/>
        </w:rPr>
        <w:t>；制造商为</w:t>
      </w:r>
      <w:r>
        <w:rPr>
          <w:rFonts w:hint="eastAsia" w:ascii="宋体" w:hAnsi="宋体" w:cs="宋体"/>
          <w:i/>
          <w:iCs/>
          <w:color w:val="auto"/>
          <w:kern w:val="24"/>
          <w:sz w:val="24"/>
          <w:highlight w:val="none"/>
          <w:u w:val="single"/>
        </w:rPr>
        <w:t>（企业名称）</w:t>
      </w:r>
      <w:r>
        <w:rPr>
          <w:rFonts w:hint="eastAsia" w:ascii="宋体" w:hAnsi="宋体" w:cs="宋体"/>
          <w:color w:val="auto"/>
          <w:kern w:val="24"/>
          <w:sz w:val="24"/>
          <w:highlight w:val="none"/>
        </w:rPr>
        <w:t>，从业人员</w:t>
      </w:r>
      <w:r>
        <w:rPr>
          <w:rFonts w:hint="eastAsia" w:ascii="宋体" w:hAnsi="宋体" w:cs="宋体"/>
          <w:color w:val="auto"/>
          <w:kern w:val="24"/>
          <w:sz w:val="24"/>
          <w:highlight w:val="none"/>
          <w:u w:val="single"/>
        </w:rPr>
        <w:t xml:space="preserve">      </w:t>
      </w:r>
      <w:r>
        <w:rPr>
          <w:rFonts w:hint="eastAsia" w:ascii="宋体" w:hAnsi="宋体" w:cs="宋体"/>
          <w:color w:val="auto"/>
          <w:kern w:val="24"/>
          <w:sz w:val="24"/>
          <w:highlight w:val="none"/>
        </w:rPr>
        <w:t>人，营业收入为</w:t>
      </w:r>
      <w:r>
        <w:rPr>
          <w:rFonts w:hint="eastAsia" w:ascii="宋体" w:hAnsi="宋体" w:cs="宋体"/>
          <w:color w:val="auto"/>
          <w:kern w:val="24"/>
          <w:sz w:val="24"/>
          <w:highlight w:val="none"/>
          <w:u w:val="single"/>
        </w:rPr>
        <w:t xml:space="preserve">      </w:t>
      </w:r>
      <w:r>
        <w:rPr>
          <w:rFonts w:hint="eastAsia" w:ascii="宋体" w:hAnsi="宋体" w:cs="宋体"/>
          <w:color w:val="auto"/>
          <w:kern w:val="24"/>
          <w:sz w:val="24"/>
          <w:highlight w:val="none"/>
        </w:rPr>
        <w:t>万元，资产总额为</w:t>
      </w:r>
      <w:r>
        <w:rPr>
          <w:rFonts w:hint="eastAsia" w:ascii="宋体" w:hAnsi="宋体" w:cs="宋体"/>
          <w:color w:val="auto"/>
          <w:kern w:val="24"/>
          <w:sz w:val="24"/>
          <w:highlight w:val="none"/>
          <w:u w:val="single"/>
        </w:rPr>
        <w:t xml:space="preserve">      </w:t>
      </w:r>
      <w:r>
        <w:rPr>
          <w:rFonts w:hint="eastAsia" w:ascii="宋体" w:hAnsi="宋体" w:cs="宋体"/>
          <w:color w:val="auto"/>
          <w:kern w:val="24"/>
          <w:sz w:val="24"/>
          <w:highlight w:val="none"/>
        </w:rPr>
        <w:t>万元，属于</w:t>
      </w:r>
      <w:r>
        <w:rPr>
          <w:rFonts w:hint="eastAsia" w:ascii="宋体" w:hAnsi="宋体" w:cs="宋体"/>
          <w:i/>
          <w:iCs/>
          <w:color w:val="auto"/>
          <w:kern w:val="24"/>
          <w:sz w:val="24"/>
          <w:highlight w:val="none"/>
          <w:u w:val="single"/>
        </w:rPr>
        <w:t>（中型企业、小型企业、微型企业）</w:t>
      </w:r>
      <w:r>
        <w:rPr>
          <w:rFonts w:hint="eastAsia" w:ascii="宋体" w:hAnsi="宋体" w:cs="宋体"/>
          <w:color w:val="auto"/>
          <w:kern w:val="24"/>
          <w:sz w:val="24"/>
          <w:highlight w:val="none"/>
        </w:rPr>
        <w:t>；</w:t>
      </w:r>
    </w:p>
    <w:p>
      <w:pPr>
        <w:tabs>
          <w:tab w:val="left" w:pos="1065"/>
          <w:tab w:val="left" w:pos="6477"/>
        </w:tabs>
        <w:spacing w:line="360" w:lineRule="exact"/>
        <w:ind w:left="-426" w:right="-58" w:firstLine="655"/>
        <w:contextualSpacing/>
        <w:rPr>
          <w:rFonts w:ascii="宋体" w:hAnsi="宋体" w:cs="宋体"/>
          <w:color w:val="auto"/>
          <w:kern w:val="24"/>
          <w:sz w:val="24"/>
          <w:highlight w:val="none"/>
        </w:rPr>
      </w:pPr>
      <w:r>
        <w:rPr>
          <w:rFonts w:hint="eastAsia" w:ascii="宋体" w:hAnsi="宋体" w:cs="宋体"/>
          <w:color w:val="auto"/>
          <w:kern w:val="24"/>
          <w:sz w:val="24"/>
          <w:highlight w:val="none"/>
        </w:rPr>
        <w:t>2.</w:t>
      </w:r>
      <w:r>
        <w:rPr>
          <w:rFonts w:hint="eastAsia" w:ascii="宋体" w:hAnsi="宋体" w:cs="宋体"/>
          <w:i/>
          <w:iCs/>
          <w:color w:val="auto"/>
          <w:kern w:val="24"/>
          <w:sz w:val="24"/>
          <w:highlight w:val="none"/>
          <w:u w:val="single"/>
        </w:rPr>
        <w:t>（标的名称）</w:t>
      </w:r>
      <w:r>
        <w:rPr>
          <w:rFonts w:hint="eastAsia" w:ascii="宋体" w:hAnsi="宋体" w:cs="宋体"/>
          <w:color w:val="auto"/>
          <w:kern w:val="24"/>
          <w:sz w:val="24"/>
          <w:highlight w:val="none"/>
        </w:rPr>
        <w:t>，属于</w:t>
      </w:r>
      <w:r>
        <w:rPr>
          <w:rFonts w:hint="eastAsia" w:ascii="宋体" w:hAnsi="宋体" w:cs="宋体"/>
          <w:i/>
          <w:iCs/>
          <w:color w:val="auto"/>
          <w:kern w:val="24"/>
          <w:sz w:val="24"/>
          <w:highlight w:val="none"/>
          <w:u w:val="single"/>
        </w:rPr>
        <w:t>（采购文件中明确的所属行业）行业</w:t>
      </w:r>
      <w:r>
        <w:rPr>
          <w:rFonts w:hint="eastAsia" w:ascii="宋体" w:hAnsi="宋体" w:cs="宋体"/>
          <w:color w:val="auto"/>
          <w:kern w:val="24"/>
          <w:sz w:val="24"/>
          <w:highlight w:val="none"/>
        </w:rPr>
        <w:t>；制造商为</w:t>
      </w:r>
      <w:r>
        <w:rPr>
          <w:rFonts w:hint="eastAsia" w:ascii="宋体" w:hAnsi="宋体" w:cs="宋体"/>
          <w:i/>
          <w:iCs/>
          <w:color w:val="auto"/>
          <w:kern w:val="24"/>
          <w:sz w:val="24"/>
          <w:highlight w:val="none"/>
          <w:u w:val="single"/>
        </w:rPr>
        <w:t>（企业名称）</w:t>
      </w:r>
      <w:r>
        <w:rPr>
          <w:rFonts w:hint="eastAsia" w:ascii="宋体" w:hAnsi="宋体" w:cs="宋体"/>
          <w:color w:val="auto"/>
          <w:kern w:val="24"/>
          <w:sz w:val="24"/>
          <w:highlight w:val="none"/>
        </w:rPr>
        <w:t>，从业人员</w:t>
      </w:r>
      <w:r>
        <w:rPr>
          <w:rFonts w:hint="eastAsia" w:ascii="宋体" w:hAnsi="宋体" w:cs="宋体"/>
          <w:color w:val="auto"/>
          <w:kern w:val="24"/>
          <w:sz w:val="24"/>
          <w:highlight w:val="none"/>
          <w:u w:val="single"/>
        </w:rPr>
        <w:t xml:space="preserve">      </w:t>
      </w:r>
      <w:r>
        <w:rPr>
          <w:rFonts w:hint="eastAsia" w:ascii="宋体" w:hAnsi="宋体" w:cs="宋体"/>
          <w:color w:val="auto"/>
          <w:kern w:val="24"/>
          <w:sz w:val="24"/>
          <w:highlight w:val="none"/>
        </w:rPr>
        <w:t>人，营业收入为</w:t>
      </w:r>
      <w:r>
        <w:rPr>
          <w:rFonts w:hint="eastAsia" w:ascii="宋体" w:hAnsi="宋体" w:cs="宋体"/>
          <w:color w:val="auto"/>
          <w:kern w:val="24"/>
          <w:sz w:val="24"/>
          <w:highlight w:val="none"/>
          <w:u w:val="single"/>
        </w:rPr>
        <w:t xml:space="preserve">      </w:t>
      </w:r>
      <w:r>
        <w:rPr>
          <w:rFonts w:hint="eastAsia" w:ascii="宋体" w:hAnsi="宋体" w:cs="宋体"/>
          <w:color w:val="auto"/>
          <w:kern w:val="24"/>
          <w:sz w:val="24"/>
          <w:highlight w:val="none"/>
        </w:rPr>
        <w:t>万元，资产总额为</w:t>
      </w:r>
      <w:r>
        <w:rPr>
          <w:rFonts w:hint="eastAsia" w:ascii="宋体" w:hAnsi="宋体" w:cs="宋体"/>
          <w:color w:val="auto"/>
          <w:kern w:val="24"/>
          <w:sz w:val="24"/>
          <w:highlight w:val="none"/>
          <w:u w:val="single"/>
        </w:rPr>
        <w:t xml:space="preserve">      </w:t>
      </w:r>
      <w:r>
        <w:rPr>
          <w:rFonts w:hint="eastAsia" w:ascii="宋体" w:hAnsi="宋体" w:cs="宋体"/>
          <w:color w:val="auto"/>
          <w:kern w:val="24"/>
          <w:sz w:val="24"/>
          <w:highlight w:val="none"/>
        </w:rPr>
        <w:t>万元，属于</w:t>
      </w:r>
      <w:r>
        <w:rPr>
          <w:rFonts w:hint="eastAsia" w:ascii="宋体" w:hAnsi="宋体" w:cs="宋体"/>
          <w:i/>
          <w:iCs/>
          <w:color w:val="auto"/>
          <w:kern w:val="24"/>
          <w:sz w:val="24"/>
          <w:highlight w:val="none"/>
          <w:u w:val="single"/>
        </w:rPr>
        <w:t>（中型企业、小型企业、微型企业）</w:t>
      </w:r>
      <w:r>
        <w:rPr>
          <w:rFonts w:hint="eastAsia" w:ascii="宋体" w:hAnsi="宋体" w:cs="宋体"/>
          <w:color w:val="auto"/>
          <w:kern w:val="24"/>
          <w:sz w:val="24"/>
          <w:highlight w:val="none"/>
        </w:rPr>
        <w:t>；</w:t>
      </w:r>
    </w:p>
    <w:p>
      <w:pPr>
        <w:pStyle w:val="10"/>
        <w:spacing w:line="360" w:lineRule="exact"/>
        <w:ind w:left="142" w:right="142"/>
        <w:contextualSpacing/>
        <w:rPr>
          <w:rFonts w:ascii="宋体" w:hAnsi="宋体" w:cs="宋体"/>
          <w:color w:val="auto"/>
          <w:kern w:val="24"/>
          <w:highlight w:val="none"/>
        </w:rPr>
      </w:pPr>
      <w:r>
        <w:rPr>
          <w:rFonts w:hint="eastAsia" w:ascii="宋体" w:hAnsi="宋体" w:cs="宋体"/>
          <w:color w:val="auto"/>
          <w:kern w:val="24"/>
          <w:highlight w:val="none"/>
        </w:rPr>
        <w:t xml:space="preserve">…… </w:t>
      </w:r>
    </w:p>
    <w:p>
      <w:pPr>
        <w:pStyle w:val="10"/>
        <w:spacing w:line="360" w:lineRule="exact"/>
        <w:ind w:left="-405" w:leftChars="-193" w:right="142" w:firstLine="453" w:firstLineChars="189"/>
        <w:contextualSpacing/>
        <w:rPr>
          <w:rFonts w:ascii="宋体" w:hAnsi="宋体" w:cs="宋体"/>
          <w:color w:val="auto"/>
          <w:kern w:val="24"/>
          <w:sz w:val="24"/>
          <w:highlight w:val="none"/>
        </w:rPr>
      </w:pPr>
      <w:r>
        <w:rPr>
          <w:rFonts w:hint="eastAsia" w:ascii="宋体" w:hAnsi="宋体" w:cs="宋体"/>
          <w:color w:val="auto"/>
          <w:kern w:val="24"/>
          <w:sz w:val="24"/>
          <w:highlight w:val="none"/>
        </w:rPr>
        <w:t>以上企业，不属于大企业的分支机构，不存在控股股东为大企业的情形，也不存在与大企业的负责人为同一人的情形。</w:t>
      </w:r>
    </w:p>
    <w:p>
      <w:pPr>
        <w:pStyle w:val="10"/>
        <w:spacing w:line="360" w:lineRule="exact"/>
        <w:ind w:left="-426" w:right="142" w:firstLine="420"/>
        <w:contextualSpacing/>
        <w:rPr>
          <w:rFonts w:ascii="宋体" w:hAnsi="宋体" w:cs="宋体"/>
          <w:color w:val="auto"/>
          <w:kern w:val="24"/>
          <w:sz w:val="24"/>
          <w:highlight w:val="none"/>
        </w:rPr>
      </w:pPr>
      <w:r>
        <w:rPr>
          <w:rFonts w:hint="eastAsia" w:ascii="宋体" w:hAnsi="宋体" w:cs="宋体"/>
          <w:color w:val="auto"/>
          <w:kern w:val="24"/>
          <w:sz w:val="24"/>
          <w:highlight w:val="none"/>
        </w:rPr>
        <w:t>本企业对上述声明内容的真实性负责。如有虚假，将依法承担相应责任。</w:t>
      </w:r>
    </w:p>
    <w:p>
      <w:pPr>
        <w:pStyle w:val="15"/>
        <w:spacing w:line="360" w:lineRule="auto"/>
        <w:ind w:firstLine="480" w:firstLineChars="200"/>
        <w:rPr>
          <w:rFonts w:hAnsi="宋体" w:cs="宋体"/>
          <w:color w:val="auto"/>
          <w:sz w:val="24"/>
          <w:szCs w:val="24"/>
          <w:highlight w:val="none"/>
        </w:rPr>
      </w:pPr>
    </w:p>
    <w:p>
      <w:pPr>
        <w:pStyle w:val="15"/>
        <w:spacing w:line="360" w:lineRule="auto"/>
        <w:ind w:firstLine="480" w:firstLineChars="200"/>
        <w:rPr>
          <w:rFonts w:hAnsi="宋体" w:cs="宋体"/>
          <w:color w:val="auto"/>
          <w:sz w:val="24"/>
          <w:szCs w:val="24"/>
          <w:highlight w:val="none"/>
        </w:rPr>
      </w:pPr>
    </w:p>
    <w:p>
      <w:pPr>
        <w:snapToGrid w:val="0"/>
        <w:spacing w:line="360" w:lineRule="auto"/>
        <w:ind w:firstLine="5040" w:firstLineChars="21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投标人名称(盖公章)：</w:t>
      </w:r>
    </w:p>
    <w:p>
      <w:pPr>
        <w:snapToGrid w:val="0"/>
        <w:spacing w:line="360" w:lineRule="auto"/>
        <w:ind w:firstLine="5160" w:firstLineChars="215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pStyle w:val="15"/>
        <w:spacing w:line="360" w:lineRule="auto"/>
        <w:ind w:firstLine="420" w:firstLineChars="200"/>
        <w:rPr>
          <w:rFonts w:hAnsi="宋体" w:cs="宋体"/>
          <w:color w:val="auto"/>
          <w:szCs w:val="21"/>
          <w:highlight w:val="none"/>
        </w:rPr>
      </w:pPr>
    </w:p>
    <w:p>
      <w:pPr>
        <w:pStyle w:val="12"/>
        <w:spacing w:before="50" w:after="165" w:afterLines="50" w:line="360" w:lineRule="auto"/>
        <w:ind w:firstLine="404" w:firstLineChars="200"/>
        <w:rPr>
          <w:rFonts w:hAnsi="宋体" w:cs="宋体"/>
          <w:color w:val="auto"/>
          <w:sz w:val="21"/>
          <w:szCs w:val="21"/>
          <w:highlight w:val="none"/>
        </w:rPr>
      </w:pPr>
      <w:r>
        <w:rPr>
          <w:rFonts w:hint="eastAsia" w:hAnsi="宋体" w:cs="宋体"/>
          <w:color w:val="auto"/>
          <w:sz w:val="21"/>
          <w:szCs w:val="21"/>
          <w:highlight w:val="none"/>
        </w:rPr>
        <w:t>注：</w:t>
      </w:r>
    </w:p>
    <w:p>
      <w:pPr>
        <w:pStyle w:val="12"/>
        <w:numPr>
          <w:ilvl w:val="0"/>
          <w:numId w:val="8"/>
        </w:numPr>
        <w:spacing w:before="50" w:after="165" w:afterLines="50" w:line="360" w:lineRule="auto"/>
        <w:ind w:firstLine="404" w:firstLineChars="200"/>
        <w:rPr>
          <w:rFonts w:hAnsi="宋体" w:cs="宋体"/>
          <w:color w:val="auto"/>
          <w:sz w:val="21"/>
          <w:szCs w:val="21"/>
          <w:highlight w:val="none"/>
        </w:rPr>
      </w:pPr>
      <w:r>
        <w:rPr>
          <w:rFonts w:hint="eastAsia" w:hAnsi="宋体" w:cs="宋体"/>
          <w:color w:val="auto"/>
          <w:sz w:val="21"/>
          <w:szCs w:val="21"/>
          <w:highlight w:val="none"/>
        </w:rPr>
        <w:t>从业人员、营业收入、资产总额填报上一年度数据，无上一年度数据的新成立企业可不填报。</w:t>
      </w:r>
    </w:p>
    <w:p>
      <w:pPr>
        <w:pStyle w:val="12"/>
        <w:numPr>
          <w:ilvl w:val="0"/>
          <w:numId w:val="8"/>
        </w:numPr>
        <w:spacing w:before="50" w:after="165" w:afterLines="50" w:line="360" w:lineRule="auto"/>
        <w:ind w:firstLine="404" w:firstLineChars="200"/>
        <w:rPr>
          <w:rFonts w:hAnsi="宋体" w:cs="宋体"/>
          <w:color w:val="auto"/>
          <w:sz w:val="21"/>
          <w:szCs w:val="21"/>
          <w:highlight w:val="none"/>
        </w:rPr>
      </w:pPr>
      <w:r>
        <w:rPr>
          <w:rFonts w:hint="eastAsia" w:hAnsi="宋体" w:cs="宋体"/>
          <w:color w:val="auto"/>
          <w:sz w:val="21"/>
          <w:szCs w:val="21"/>
          <w:highlight w:val="none"/>
        </w:rPr>
        <w:t>请根据自己的真实情况出具《中小企业声明函》。依法享受中小企业扶持政策的，采购人或者采购代理机构在公告中标结果时，同时公告其《中小企业声明函》，接受社会监督。</w:t>
      </w:r>
    </w:p>
    <w:p>
      <w:pPr>
        <w:pStyle w:val="12"/>
        <w:spacing w:before="50" w:after="165" w:afterLines="50" w:line="360" w:lineRule="auto"/>
        <w:ind w:left="420" w:leftChars="200" w:firstLine="0"/>
        <w:rPr>
          <w:rFonts w:hAnsi="宋体" w:cs="宋体"/>
          <w:b/>
          <w:bCs/>
          <w:color w:val="auto"/>
          <w:sz w:val="21"/>
          <w:szCs w:val="21"/>
          <w:highlight w:val="none"/>
        </w:rPr>
      </w:pPr>
      <w:r>
        <w:rPr>
          <w:rFonts w:hint="eastAsia" w:hAnsi="宋体" w:cs="宋体"/>
          <w:b/>
          <w:bCs/>
          <w:color w:val="auto"/>
          <w:sz w:val="21"/>
          <w:szCs w:val="21"/>
          <w:highlight w:val="none"/>
        </w:rPr>
        <w:t>3、本声明函主要供参加政府采购活动的中小企业填写，非中小企业无需填写。</w:t>
      </w:r>
    </w:p>
    <w:p>
      <w:pPr>
        <w:pStyle w:val="12"/>
        <w:spacing w:line="360" w:lineRule="auto"/>
        <w:ind w:firstLine="406" w:firstLineChars="200"/>
        <w:rPr>
          <w:rFonts w:hAnsi="宋体" w:cs="宋体"/>
          <w:b/>
          <w:bCs/>
          <w:color w:val="auto"/>
          <w:sz w:val="21"/>
          <w:szCs w:val="21"/>
          <w:highlight w:val="none"/>
        </w:rPr>
      </w:pPr>
      <w:r>
        <w:rPr>
          <w:rFonts w:hint="eastAsia" w:hAnsi="宋体" w:cs="宋体"/>
          <w:b/>
          <w:bCs/>
          <w:color w:val="auto"/>
          <w:sz w:val="21"/>
          <w:szCs w:val="21"/>
          <w:highlight w:val="none"/>
        </w:rPr>
        <w:t>4、小型、微型企业提供中型企业提供的货物的，视同为中型企业。</w:t>
      </w:r>
    </w:p>
    <w:p>
      <w:pPr>
        <w:pStyle w:val="12"/>
        <w:spacing w:line="360" w:lineRule="auto"/>
        <w:ind w:firstLine="404" w:firstLineChars="200"/>
        <w:rPr>
          <w:rFonts w:hAnsi="宋体" w:cs="宋体"/>
          <w:color w:val="auto"/>
          <w:sz w:val="21"/>
          <w:szCs w:val="21"/>
          <w:highlight w:val="none"/>
        </w:rPr>
        <w:sectPr>
          <w:pgSz w:w="11906" w:h="16838"/>
          <w:pgMar w:top="1134" w:right="1134" w:bottom="1134" w:left="1134" w:header="720" w:footer="720" w:gutter="0"/>
          <w:cols w:space="720" w:num="1"/>
          <w:docGrid w:type="lines" w:linePitch="331" w:charSpace="0"/>
        </w:sectPr>
      </w:pPr>
    </w:p>
    <w:p>
      <w:pPr>
        <w:pStyle w:val="15"/>
        <w:spacing w:line="360" w:lineRule="auto"/>
        <w:jc w:val="left"/>
        <w:rPr>
          <w:rFonts w:hAnsi="宋体" w:cs="宋体"/>
          <w:b/>
          <w:color w:val="auto"/>
          <w:sz w:val="28"/>
          <w:szCs w:val="28"/>
          <w:highlight w:val="none"/>
        </w:rPr>
      </w:pPr>
      <w:r>
        <w:rPr>
          <w:rFonts w:hint="eastAsia" w:hAnsi="宋体" w:cs="宋体"/>
          <w:b/>
          <w:color w:val="auto"/>
          <w:sz w:val="28"/>
          <w:szCs w:val="28"/>
          <w:highlight w:val="none"/>
        </w:rPr>
        <w:t>2.残疾人福利性单位声明函的格式：</w:t>
      </w:r>
    </w:p>
    <w:p>
      <w:pPr>
        <w:pStyle w:val="15"/>
        <w:spacing w:line="360" w:lineRule="auto"/>
        <w:jc w:val="center"/>
        <w:rPr>
          <w:rFonts w:hAnsi="宋体" w:cs="宋体"/>
          <w:b/>
          <w:color w:val="auto"/>
          <w:sz w:val="30"/>
          <w:szCs w:val="30"/>
          <w:highlight w:val="none"/>
        </w:rPr>
      </w:pPr>
    </w:p>
    <w:p>
      <w:pPr>
        <w:pStyle w:val="15"/>
        <w:spacing w:line="360" w:lineRule="auto"/>
        <w:jc w:val="center"/>
        <w:rPr>
          <w:rFonts w:hAnsi="宋体" w:cs="宋体"/>
          <w:b/>
          <w:color w:val="auto"/>
          <w:sz w:val="30"/>
          <w:szCs w:val="30"/>
          <w:highlight w:val="none"/>
        </w:rPr>
      </w:pPr>
      <w:r>
        <w:rPr>
          <w:rFonts w:hint="eastAsia" w:hAnsi="宋体" w:cs="宋体"/>
          <w:b/>
          <w:color w:val="auto"/>
          <w:sz w:val="30"/>
          <w:szCs w:val="30"/>
          <w:highlight w:val="none"/>
        </w:rPr>
        <w:t>残疾人福利性单位声明函</w:t>
      </w:r>
    </w:p>
    <w:p>
      <w:pPr>
        <w:pStyle w:val="15"/>
        <w:spacing w:line="360" w:lineRule="auto"/>
        <w:jc w:val="center"/>
        <w:rPr>
          <w:rFonts w:hAnsi="宋体" w:cs="宋体"/>
          <w:b/>
          <w:color w:val="auto"/>
          <w:sz w:val="30"/>
          <w:szCs w:val="30"/>
          <w:highlight w:val="none"/>
        </w:rPr>
      </w:pP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单位的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项目采购活动提供本单位制造的货物（由本单位承担工程/提供服务），或者提供其他残疾人福利性单位制造的货物（不包括使用非残疾人福利性单位注册商标的货物）。</w:t>
      </w:r>
    </w:p>
    <w:p>
      <w:pPr>
        <w:pStyle w:val="15"/>
        <w:spacing w:line="360" w:lineRule="auto"/>
        <w:ind w:firstLine="480" w:firstLineChars="200"/>
        <w:jc w:val="left"/>
        <w:rPr>
          <w:rFonts w:hAnsi="宋体" w:cs="宋体"/>
          <w:color w:val="auto"/>
          <w:sz w:val="30"/>
          <w:szCs w:val="30"/>
          <w:highlight w:val="none"/>
        </w:rPr>
      </w:pPr>
      <w:r>
        <w:rPr>
          <w:rFonts w:hint="eastAsia" w:hAnsi="宋体" w:cs="宋体"/>
          <w:color w:val="auto"/>
          <w:sz w:val="24"/>
          <w:szCs w:val="24"/>
          <w:highlight w:val="none"/>
        </w:rPr>
        <w:t>本单位对上述声明的真实性负责。如有虚假，将依法承担相应责任。</w:t>
      </w:r>
    </w:p>
    <w:p>
      <w:pPr>
        <w:pStyle w:val="15"/>
        <w:spacing w:line="360" w:lineRule="auto"/>
        <w:jc w:val="left"/>
        <w:rPr>
          <w:rFonts w:hAnsi="宋体" w:cs="宋体"/>
          <w:b/>
          <w:color w:val="auto"/>
          <w:szCs w:val="21"/>
          <w:highlight w:val="none"/>
        </w:rPr>
      </w:pPr>
    </w:p>
    <w:p>
      <w:pPr>
        <w:pStyle w:val="15"/>
        <w:spacing w:line="360" w:lineRule="auto"/>
        <w:jc w:val="left"/>
        <w:rPr>
          <w:rFonts w:hAnsi="宋体" w:cs="宋体"/>
          <w:b/>
          <w:color w:val="auto"/>
          <w:szCs w:val="21"/>
          <w:highlight w:val="none"/>
        </w:rPr>
      </w:pPr>
    </w:p>
    <w:p>
      <w:pPr>
        <w:snapToGrid w:val="0"/>
        <w:spacing w:line="360" w:lineRule="auto"/>
        <w:ind w:left="5137" w:leftChars="1736" w:hanging="1491" w:hangingChars="825"/>
        <w:rPr>
          <w:rFonts w:ascii="宋体" w:hAnsi="宋体" w:cs="宋体"/>
          <w:color w:val="auto"/>
          <w:kern w:val="0"/>
          <w:sz w:val="24"/>
          <w:highlight w:val="none"/>
        </w:rPr>
      </w:pPr>
      <w:r>
        <w:rPr>
          <w:rFonts w:hint="eastAsia" w:ascii="宋体" w:hAnsi="宋体" w:cs="宋体"/>
          <w:b/>
          <w:color w:val="auto"/>
          <w:sz w:val="18"/>
          <w:szCs w:val="18"/>
          <w:highlight w:val="none"/>
        </w:rPr>
        <w:t xml:space="preserve">                                                                    </w:t>
      </w:r>
      <w:r>
        <w:rPr>
          <w:rFonts w:hint="eastAsia" w:ascii="宋体" w:hAnsi="宋体" w:cs="宋体"/>
          <w:color w:val="auto"/>
          <w:kern w:val="0"/>
          <w:sz w:val="24"/>
          <w:highlight w:val="none"/>
          <w:lang w:val="zh-CN"/>
        </w:rPr>
        <w:t>投标人名称(盖公章)：</w:t>
      </w:r>
    </w:p>
    <w:p>
      <w:pPr>
        <w:snapToGrid w:val="0"/>
        <w:spacing w:line="360" w:lineRule="auto"/>
        <w:ind w:firstLine="5160" w:firstLineChars="215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pStyle w:val="15"/>
        <w:spacing w:line="360" w:lineRule="auto"/>
        <w:ind w:left="5132" w:leftChars="1979" w:hanging="976" w:hangingChars="488"/>
        <w:rPr>
          <w:rFonts w:hAnsi="宋体" w:cs="宋体"/>
          <w:color w:val="auto"/>
          <w:sz w:val="20"/>
          <w:highlight w:val="none"/>
        </w:rPr>
      </w:pPr>
    </w:p>
    <w:p>
      <w:pPr>
        <w:spacing w:line="360" w:lineRule="auto"/>
        <w:ind w:right="420" w:firstLine="420" w:firstLineChars="200"/>
        <w:rPr>
          <w:rFonts w:ascii="宋体" w:hAnsi="宋体" w:cs="宋体"/>
          <w:color w:val="auto"/>
          <w:szCs w:val="21"/>
          <w:highlight w:val="none"/>
        </w:rPr>
      </w:pPr>
      <w:r>
        <w:rPr>
          <w:rFonts w:hint="eastAsia" w:ascii="宋体" w:hAnsi="宋体" w:cs="宋体"/>
          <w:color w:val="auto"/>
          <w:szCs w:val="21"/>
          <w:highlight w:val="none"/>
        </w:rPr>
        <w:t>注：请根据自己的真实情况出具《残疾人福利性单位声明函》。依法享受中小企业扶持政策的，采购人或者采购代理机构在公告中标结果时，同时公告其《残疾人福利性单位声明函》，接受社会监督；根据《关于政府采购支持监狱企业发展有关问题的通知》（财库[2014]68号）的规定，投标人提供由省级以上监狱管理局、戒毒管理局（含新疆生产建设兵团）出具的属于监狱企业证明文件的，视同为小型和微型企业。</w:t>
      </w:r>
    </w:p>
    <w:p>
      <w:pPr>
        <w:shd w:val="clear" w:color="auto" w:fill="FFFFFF"/>
        <w:spacing w:line="480" w:lineRule="atLeast"/>
        <w:jc w:val="left"/>
        <w:rPr>
          <w:color w:val="auto"/>
          <w:highlight w:val="none"/>
        </w:rPr>
      </w:pPr>
      <w:r>
        <w:rPr>
          <w:rFonts w:hint="eastAsia" w:ascii="宋体" w:hAnsi="宋体" w:cs="宋体"/>
          <w:color w:val="auto"/>
          <w:szCs w:val="21"/>
          <w:highlight w:val="none"/>
        </w:rPr>
        <w:br w:type="page"/>
      </w:r>
      <w:r>
        <w:rPr>
          <w:rFonts w:hint="eastAsia" w:ascii="宋体" w:hAnsi="宋体" w:cs="宋体"/>
          <w:color w:val="auto"/>
          <w:sz w:val="28"/>
          <w:szCs w:val="28"/>
          <w:highlight w:val="none"/>
        </w:rPr>
        <w:t>3.</w:t>
      </w:r>
      <w:r>
        <w:rPr>
          <w:rFonts w:hint="eastAsia" w:ascii="宋体" w:hAnsi="宋体" w:cs="宋体"/>
          <w:color w:val="auto"/>
          <w:kern w:val="0"/>
          <w:sz w:val="28"/>
          <w:szCs w:val="28"/>
          <w:highlight w:val="none"/>
        </w:rPr>
        <w:t>广西壮族自治区政府采购项目合同验收书的格式：</w:t>
      </w:r>
    </w:p>
    <w:p>
      <w:pPr>
        <w:shd w:val="clear" w:color="auto" w:fill="FFFFFF"/>
        <w:spacing w:line="480" w:lineRule="atLeast"/>
        <w:jc w:val="center"/>
        <w:rPr>
          <w:rFonts w:ascii="宋体" w:hAnsi="宋体" w:cs="宋体"/>
          <w:color w:val="auto"/>
          <w:kern w:val="0"/>
          <w:sz w:val="32"/>
          <w:szCs w:val="32"/>
          <w:highlight w:val="none"/>
        </w:rPr>
      </w:pPr>
    </w:p>
    <w:p>
      <w:pPr>
        <w:shd w:val="clear" w:color="auto" w:fill="FFFFFF"/>
        <w:spacing w:line="480" w:lineRule="atLeast"/>
        <w:jc w:val="center"/>
        <w:rPr>
          <w:rFonts w:ascii="宋体" w:hAnsi="宋体" w:cs="宋体"/>
          <w:color w:val="auto"/>
          <w:kern w:val="0"/>
          <w:sz w:val="32"/>
          <w:szCs w:val="32"/>
          <w:highlight w:val="none"/>
        </w:rPr>
      </w:pPr>
      <w:r>
        <w:rPr>
          <w:rFonts w:hint="eastAsia" w:ascii="宋体" w:hAnsi="宋体" w:cs="宋体"/>
          <w:color w:val="auto"/>
          <w:kern w:val="0"/>
          <w:sz w:val="32"/>
          <w:szCs w:val="32"/>
          <w:highlight w:val="none"/>
        </w:rPr>
        <w:t>广西壮族自治区政府采购项目合同验收书</w:t>
      </w:r>
    </w:p>
    <w:p>
      <w:pPr>
        <w:shd w:val="clear" w:color="auto" w:fill="FFFFFF"/>
        <w:spacing w:line="480" w:lineRule="atLeast"/>
        <w:jc w:val="center"/>
        <w:rPr>
          <w:rFonts w:ascii="宋体" w:hAnsi="宋体" w:cs="宋体"/>
          <w:color w:val="auto"/>
          <w:kern w:val="0"/>
          <w:sz w:val="32"/>
          <w:szCs w:val="32"/>
          <w:highlight w:val="none"/>
        </w:rPr>
      </w:pPr>
    </w:p>
    <w:p>
      <w:pPr>
        <w:shd w:val="clear" w:color="auto" w:fill="FFFFFF"/>
        <w:snapToGrid w:val="0"/>
        <w:spacing w:line="320" w:lineRule="atLeast"/>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根据政府采购项目（</w:t>
      </w:r>
      <w:r>
        <w:rPr>
          <w:rFonts w:hint="eastAsia" w:ascii="宋体" w:hAnsi="宋体" w:cs="宋体"/>
          <w:color w:val="auto"/>
          <w:kern w:val="0"/>
          <w:szCs w:val="21"/>
          <w:highlight w:val="none"/>
          <w:u w:val="single"/>
        </w:rPr>
        <w:t>采购合同编号：</w:t>
      </w:r>
      <w:r>
        <w:rPr>
          <w:rFonts w:hint="eastAsia" w:ascii="宋体" w:hAnsi="宋体" w:cs="宋体"/>
          <w:color w:val="auto"/>
          <w:kern w:val="0"/>
          <w:szCs w:val="21"/>
          <w:highlight w:val="none"/>
          <w:u w:val="single"/>
        </w:rPr>
        <w:softHyphen/>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）的约定，我单位对（</w:t>
      </w:r>
      <w:r>
        <w:rPr>
          <w:rFonts w:hint="eastAsia" w:ascii="宋体" w:hAnsi="宋体" w:cs="宋体"/>
          <w:color w:val="auto"/>
          <w:kern w:val="0"/>
          <w:szCs w:val="21"/>
          <w:highlight w:val="none"/>
          <w:u w:val="single"/>
        </w:rPr>
        <w:t xml:space="preserve"> 项目名称 </w:t>
      </w:r>
      <w:r>
        <w:rPr>
          <w:rFonts w:hint="eastAsia" w:ascii="宋体" w:hAnsi="宋体" w:cs="宋体"/>
          <w:color w:val="auto"/>
          <w:kern w:val="0"/>
          <w:szCs w:val="21"/>
          <w:highlight w:val="none"/>
        </w:rPr>
        <w:t>） 政府采购项目中标（或者成交）投标人（</w:t>
      </w:r>
      <w:r>
        <w:rPr>
          <w:rFonts w:hint="eastAsia" w:ascii="宋体" w:hAnsi="宋体" w:cs="宋体"/>
          <w:color w:val="auto"/>
          <w:kern w:val="0"/>
          <w:szCs w:val="21"/>
          <w:highlight w:val="none"/>
          <w:u w:val="single"/>
        </w:rPr>
        <w:t xml:space="preserve"> 公司名称 </w:t>
      </w:r>
      <w:r>
        <w:rPr>
          <w:rFonts w:hint="eastAsia" w:ascii="宋体" w:hAnsi="宋体" w:cs="宋体"/>
          <w:color w:val="auto"/>
          <w:kern w:val="0"/>
          <w:szCs w:val="21"/>
          <w:highlight w:val="none"/>
        </w:rPr>
        <w:t>） 提供的货物（或者工程、服务）进行了验收，验收情况如下：</w:t>
      </w:r>
    </w:p>
    <w:tbl>
      <w:tblPr>
        <w:tblStyle w:val="22"/>
        <w:tblW w:w="9371" w:type="dxa"/>
        <w:jc w:val="center"/>
        <w:tblInd w:w="0" w:type="dxa"/>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blPrEx>
          <w:tblLayout w:type="fixed"/>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5"/>
              <w:jc w:val="center"/>
              <w:rPr>
                <w:rFonts w:ascii="宋体" w:hAnsi="宋体" w:cs="宋体"/>
                <w:color w:val="auto"/>
                <w:kern w:val="0"/>
                <w:szCs w:val="21"/>
                <w:highlight w:val="none"/>
              </w:rPr>
            </w:pPr>
            <w:r>
              <w:rPr>
                <w:rFonts w:hint="eastAsia" w:ascii="宋体" w:hAnsi="宋体" w:cs="宋体"/>
                <w:color w:val="auto"/>
                <w:kern w:val="0"/>
                <w:szCs w:val="21"/>
                <w:highlight w:val="none"/>
              </w:rPr>
              <w:t>验收方式：</w:t>
            </w:r>
          </w:p>
        </w:tc>
        <w:tc>
          <w:tcPr>
            <w:tcW w:w="6119" w:type="dxa"/>
            <w:gridSpan w:val="6"/>
            <w:tcBorders>
              <w:top w:val="single" w:color="auto" w:sz="8" w:space="0"/>
              <w:left w:val="nil"/>
              <w:bottom w:val="single" w:color="auto" w:sz="8" w:space="0"/>
              <w:right w:val="single" w:color="auto" w:sz="8" w:space="0"/>
            </w:tcBorders>
            <w:vAlign w:val="center"/>
          </w:tcPr>
          <w:p>
            <w:pPr>
              <w:snapToGrid w:val="0"/>
              <w:spacing w:before="100" w:beforeAutospacing="1" w:after="100" w:afterAutospacing="1" w:line="320" w:lineRule="atLeast"/>
              <w:ind w:firstLine="480"/>
              <w:jc w:val="center"/>
              <w:rPr>
                <w:rFonts w:ascii="宋体" w:hAnsi="宋体" w:cs="宋体"/>
                <w:color w:val="auto"/>
                <w:kern w:val="0"/>
                <w:szCs w:val="21"/>
                <w:highlight w:val="none"/>
              </w:rPr>
            </w:pPr>
            <w:r>
              <w:rPr>
                <w:rFonts w:hint="eastAsia" w:ascii="宋体" w:hAnsi="宋体" w:cs="宋体"/>
                <w:color w:val="auto"/>
                <w:kern w:val="0"/>
                <w:szCs w:val="21"/>
                <w:highlight w:val="none"/>
              </w:rPr>
              <w:t>□自行验收 □委托验收</w:t>
            </w:r>
          </w:p>
        </w:tc>
      </w:tr>
      <w:tr>
        <w:tblPrEx>
          <w:tblLayout w:type="fixed"/>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1921" w:type="dxa"/>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宋体" w:hAnsi="宋体" w:cs="宋体"/>
                <w:color w:val="auto"/>
                <w:kern w:val="0"/>
                <w:szCs w:val="21"/>
                <w:highlight w:val="none"/>
              </w:rPr>
            </w:pPr>
            <w:r>
              <w:rPr>
                <w:rFonts w:hint="eastAsia" w:ascii="宋体" w:hAnsi="宋体" w:cs="宋体"/>
                <w:color w:val="auto"/>
                <w:kern w:val="0"/>
                <w:szCs w:val="21"/>
                <w:highlight w:val="none"/>
              </w:rPr>
              <w:t>名 称</w:t>
            </w:r>
          </w:p>
        </w:tc>
        <w:tc>
          <w:tcPr>
            <w:tcW w:w="2902" w:type="dxa"/>
            <w:gridSpan w:val="3"/>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宋体" w:hAnsi="宋体" w:cs="宋体"/>
                <w:color w:val="auto"/>
                <w:kern w:val="0"/>
                <w:szCs w:val="21"/>
                <w:highlight w:val="none"/>
              </w:rPr>
            </w:pPr>
            <w:r>
              <w:rPr>
                <w:rFonts w:hint="eastAsia" w:ascii="宋体" w:hAnsi="宋体" w:cs="宋体"/>
                <w:color w:val="auto"/>
                <w:kern w:val="0"/>
                <w:szCs w:val="21"/>
                <w:highlight w:val="none"/>
              </w:rPr>
              <w:t>货物型号规格、标准及配置等（或者服务内容、标准）</w:t>
            </w:r>
          </w:p>
        </w:tc>
        <w:tc>
          <w:tcPr>
            <w:tcW w:w="863" w:type="dxa"/>
            <w:gridSpan w:val="2"/>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数量</w:t>
            </w:r>
          </w:p>
        </w:tc>
        <w:tc>
          <w:tcPr>
            <w:tcW w:w="2354" w:type="dxa"/>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宋体" w:hAnsi="宋体" w:cs="宋体"/>
                <w:color w:val="auto"/>
                <w:kern w:val="0"/>
                <w:szCs w:val="21"/>
                <w:highlight w:val="none"/>
              </w:rPr>
            </w:pPr>
            <w:r>
              <w:rPr>
                <w:rFonts w:hint="eastAsia" w:ascii="宋体" w:hAnsi="宋体" w:cs="宋体"/>
                <w:color w:val="auto"/>
                <w:kern w:val="0"/>
                <w:szCs w:val="21"/>
                <w:highlight w:val="none"/>
              </w:rPr>
              <w:t>金 额</w:t>
            </w:r>
          </w:p>
        </w:tc>
      </w:tr>
      <w:tr>
        <w:tblPrEx>
          <w:tblLayout w:type="fixed"/>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1921"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2354"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r>
      <w:tr>
        <w:tblPrEx>
          <w:tblLayout w:type="fixed"/>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1921"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2354"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r>
      <w:tr>
        <w:tblPrEx>
          <w:tblLayout w:type="fixed"/>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1921"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2354"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r>
      <w:tr>
        <w:tblPrEx>
          <w:tblLayout w:type="fixed"/>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5"/>
              <w:jc w:val="center"/>
              <w:rPr>
                <w:rFonts w:ascii="宋体" w:hAnsi="宋体" w:cs="宋体"/>
                <w:color w:val="auto"/>
                <w:kern w:val="0"/>
                <w:szCs w:val="21"/>
                <w:highlight w:val="none"/>
              </w:rPr>
            </w:pPr>
            <w:r>
              <w:rPr>
                <w:rFonts w:hint="eastAsia" w:ascii="宋体" w:hAnsi="宋体" w:cs="宋体"/>
                <w:color w:val="auto"/>
                <w:kern w:val="0"/>
                <w:szCs w:val="21"/>
                <w:highlight w:val="none"/>
              </w:rPr>
              <w:t>合 计</w:t>
            </w: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2354"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r>
      <w:tr>
        <w:tblPrEx>
          <w:tblLayout w:type="fixed"/>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2"/>
              <w:jc w:val="left"/>
              <w:rPr>
                <w:rFonts w:ascii="宋体" w:hAnsi="宋体" w:cs="宋体"/>
                <w:color w:val="auto"/>
                <w:kern w:val="0"/>
                <w:szCs w:val="21"/>
                <w:highlight w:val="none"/>
              </w:rPr>
            </w:pPr>
            <w:r>
              <w:rPr>
                <w:rFonts w:hint="eastAsia" w:ascii="宋体" w:hAnsi="宋体" w:cs="宋体"/>
                <w:color w:val="auto"/>
                <w:kern w:val="0"/>
                <w:szCs w:val="21"/>
                <w:highlight w:val="none"/>
              </w:rPr>
              <w:t>合计大写金额： 亿 仟 佰 拾 万 仟 佰 拾 元</w:t>
            </w:r>
          </w:p>
        </w:tc>
      </w:tr>
      <w:tr>
        <w:tblPrEx>
          <w:tblLayout w:type="fixed"/>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宋体" w:hAnsi="宋体" w:cs="宋体"/>
                <w:color w:val="auto"/>
                <w:kern w:val="0"/>
                <w:szCs w:val="21"/>
                <w:highlight w:val="none"/>
              </w:rPr>
            </w:pPr>
            <w:r>
              <w:rPr>
                <w:rFonts w:hint="eastAsia" w:ascii="宋体" w:hAnsi="宋体" w:cs="宋体"/>
                <w:color w:val="auto"/>
                <w:kern w:val="0"/>
                <w:szCs w:val="21"/>
                <w:highlight w:val="none"/>
              </w:rPr>
              <w:t>实际供货日期</w:t>
            </w:r>
          </w:p>
        </w:tc>
        <w:tc>
          <w:tcPr>
            <w:tcW w:w="2719"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2282" w:type="dxa"/>
            <w:gridSpan w:val="3"/>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ind w:firstLine="46"/>
              <w:jc w:val="center"/>
              <w:rPr>
                <w:rFonts w:ascii="宋体" w:hAnsi="宋体" w:cs="宋体"/>
                <w:color w:val="auto"/>
                <w:kern w:val="0"/>
                <w:szCs w:val="21"/>
                <w:highlight w:val="none"/>
              </w:rPr>
            </w:pPr>
            <w:r>
              <w:rPr>
                <w:rFonts w:hint="eastAsia" w:ascii="宋体" w:hAnsi="宋体" w:cs="宋体"/>
                <w:color w:val="auto"/>
                <w:kern w:val="0"/>
                <w:szCs w:val="21"/>
                <w:highlight w:val="none"/>
              </w:rPr>
              <w:t>合同交货验收日期</w:t>
            </w:r>
          </w:p>
        </w:tc>
        <w:tc>
          <w:tcPr>
            <w:tcW w:w="3039"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r>
      <w:tr>
        <w:tblPrEx>
          <w:tblLayout w:type="fixed"/>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2719"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228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3039"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r>
      <w:tr>
        <w:tblPrEx>
          <w:tblLayout w:type="fixed"/>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验收具体内容</w:t>
            </w:r>
          </w:p>
        </w:tc>
        <w:tc>
          <w:tcPr>
            <w:tcW w:w="804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应按采购合同、采购文件、投标文件及验收方案等进行验收；并核对中标或者成交投标人在安装调试等方面是否违反合同约定或者服务规范要求、提供的质量保证证明材料是否齐全、应有的配件及附件是否达到合同约定等。可附件)</w:t>
            </w:r>
          </w:p>
        </w:tc>
      </w:tr>
      <w:tr>
        <w:tblPrEx>
          <w:tblLayout w:type="fixed"/>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验收小组意见</w:t>
            </w:r>
          </w:p>
        </w:tc>
        <w:tc>
          <w:tcPr>
            <w:tcW w:w="8040" w:type="dxa"/>
            <w:gridSpan w:val="7"/>
            <w:tcBorders>
              <w:top w:val="nil"/>
              <w:left w:val="nil"/>
              <w:bottom w:val="single" w:color="auto" w:sz="8" w:space="0"/>
              <w:right w:val="single" w:color="auto" w:sz="8" w:space="0"/>
            </w:tcBorders>
            <w:vAlign w:val="center"/>
          </w:tcPr>
          <w:p>
            <w:pPr>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验收结论性意见：</w:t>
            </w:r>
          </w:p>
        </w:tc>
      </w:tr>
      <w:tr>
        <w:tblPrEx>
          <w:tblLayout w:type="fixed"/>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vAlign w:val="center"/>
          </w:tcPr>
          <w:p>
            <w:pPr>
              <w:jc w:val="left"/>
              <w:rPr>
                <w:rFonts w:ascii="宋体" w:hAnsi="宋体" w:cs="宋体"/>
                <w:color w:val="auto"/>
                <w:kern w:val="0"/>
                <w:szCs w:val="21"/>
                <w:highlight w:val="none"/>
              </w:rPr>
            </w:pPr>
          </w:p>
        </w:tc>
        <w:tc>
          <w:tcPr>
            <w:tcW w:w="8040" w:type="dxa"/>
            <w:gridSpan w:val="7"/>
            <w:tcBorders>
              <w:top w:val="nil"/>
              <w:left w:val="nil"/>
              <w:bottom w:val="single" w:color="auto" w:sz="8" w:space="0"/>
              <w:right w:val="single" w:color="auto" w:sz="8" w:space="0"/>
            </w:tcBorders>
            <w:vAlign w:val="center"/>
          </w:tcPr>
          <w:p>
            <w:pPr>
              <w:spacing w:before="100" w:beforeAutospacing="1" w:after="100" w:afterAutospacing="1" w:line="320" w:lineRule="atLeast"/>
              <w:ind w:firstLine="96"/>
              <w:jc w:val="left"/>
              <w:rPr>
                <w:rFonts w:ascii="宋体" w:hAnsi="宋体" w:cs="宋体"/>
                <w:color w:val="auto"/>
                <w:kern w:val="0"/>
                <w:szCs w:val="21"/>
                <w:highlight w:val="none"/>
              </w:rPr>
            </w:pPr>
            <w:r>
              <w:rPr>
                <w:rFonts w:hint="eastAsia" w:ascii="宋体" w:hAnsi="宋体" w:cs="宋体"/>
                <w:color w:val="auto"/>
                <w:kern w:val="0"/>
                <w:szCs w:val="21"/>
                <w:highlight w:val="none"/>
              </w:rPr>
              <w:t>有异议的意见和说明理由：</w:t>
            </w:r>
          </w:p>
          <w:p>
            <w:pPr>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签字：</w:t>
            </w:r>
          </w:p>
        </w:tc>
      </w:tr>
      <w:tr>
        <w:tblPrEx>
          <w:tblLayout w:type="fixed"/>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验收小组成员签字：</w:t>
            </w:r>
          </w:p>
        </w:tc>
      </w:tr>
      <w:tr>
        <w:tblPrEx>
          <w:tblLayout w:type="fixed"/>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监督人员或者其他相关人员签字：</w:t>
            </w:r>
          </w:p>
          <w:p>
            <w:pPr>
              <w:spacing w:before="100" w:beforeAutospacing="1" w:after="100" w:afterAutospacing="1" w:line="320" w:lineRule="atLeast"/>
              <w:ind w:firstLine="74"/>
              <w:jc w:val="left"/>
              <w:rPr>
                <w:rFonts w:ascii="宋体" w:hAnsi="宋体" w:cs="宋体"/>
                <w:color w:val="auto"/>
                <w:kern w:val="0"/>
                <w:szCs w:val="21"/>
                <w:highlight w:val="none"/>
              </w:rPr>
            </w:pPr>
            <w:r>
              <w:rPr>
                <w:rFonts w:hint="eastAsia" w:ascii="宋体" w:hAnsi="宋体" w:cs="宋体"/>
                <w:color w:val="auto"/>
                <w:kern w:val="0"/>
                <w:szCs w:val="21"/>
                <w:highlight w:val="none"/>
              </w:rPr>
              <w:t>或者受邀机构的意见（盖章）：</w:t>
            </w:r>
          </w:p>
        </w:tc>
      </w:tr>
      <w:tr>
        <w:tblPrEx>
          <w:tblLayout w:type="fixed"/>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spacing w:before="100" w:beforeAutospacing="1" w:after="100" w:afterAutospacing="1" w:line="320" w:lineRule="atLeast"/>
              <w:ind w:firstLine="74"/>
              <w:jc w:val="left"/>
              <w:rPr>
                <w:rFonts w:ascii="宋体" w:hAnsi="宋体" w:cs="宋体"/>
                <w:color w:val="auto"/>
                <w:kern w:val="0"/>
                <w:szCs w:val="21"/>
                <w:highlight w:val="none"/>
              </w:rPr>
            </w:pPr>
            <w:r>
              <w:rPr>
                <w:rFonts w:hint="eastAsia" w:ascii="宋体" w:hAnsi="宋体" w:cs="宋体"/>
                <w:color w:val="auto"/>
                <w:kern w:val="0"/>
                <w:szCs w:val="21"/>
                <w:highlight w:val="none"/>
              </w:rPr>
              <w:t>中标或者成交人负责人签字或者盖章：</w:t>
            </w:r>
          </w:p>
          <w:p>
            <w:pPr>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联系电话： </w:t>
            </w:r>
          </w:p>
          <w:p>
            <w:pPr>
              <w:spacing w:before="100" w:beforeAutospacing="1" w:after="100" w:afterAutospacing="1" w:line="320" w:lineRule="atLeast"/>
              <w:ind w:firstLine="2940" w:firstLineChars="1400"/>
              <w:jc w:val="left"/>
              <w:rPr>
                <w:rFonts w:ascii="宋体" w:hAnsi="宋体" w:cs="宋体"/>
                <w:color w:val="auto"/>
                <w:kern w:val="0"/>
                <w:szCs w:val="21"/>
                <w:highlight w:val="none"/>
              </w:rPr>
            </w:pPr>
            <w:r>
              <w:rPr>
                <w:rFonts w:hint="eastAsia" w:ascii="宋体" w:hAnsi="宋体" w:cs="宋体"/>
                <w:color w:val="auto"/>
                <w:kern w:val="0"/>
                <w:szCs w:val="21"/>
                <w:highlight w:val="none"/>
              </w:rPr>
              <w:t>年 月 日</w:t>
            </w:r>
          </w:p>
        </w:tc>
        <w:tc>
          <w:tcPr>
            <w:tcW w:w="5219" w:type="dxa"/>
            <w:gridSpan w:val="4"/>
            <w:tcBorders>
              <w:top w:val="nil"/>
              <w:left w:val="single" w:color="auto" w:sz="4" w:space="0"/>
              <w:bottom w:val="single" w:color="auto" w:sz="8" w:space="0"/>
              <w:right w:val="single" w:color="auto" w:sz="8" w:space="0"/>
            </w:tcBorders>
            <w:vAlign w:val="center"/>
          </w:tcPr>
          <w:p>
            <w:pPr>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采购人或者受托机构的意见（盖章）：</w:t>
            </w:r>
          </w:p>
          <w:p>
            <w:pPr>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联系电话： </w:t>
            </w:r>
          </w:p>
          <w:p>
            <w:pPr>
              <w:spacing w:before="100" w:beforeAutospacing="1" w:after="100" w:afterAutospacing="1" w:line="320" w:lineRule="atLeast"/>
              <w:ind w:firstLine="3780" w:firstLineChars="1800"/>
              <w:jc w:val="left"/>
              <w:rPr>
                <w:rFonts w:ascii="宋体" w:hAnsi="宋体" w:cs="宋体"/>
                <w:color w:val="auto"/>
                <w:kern w:val="0"/>
                <w:szCs w:val="21"/>
                <w:highlight w:val="none"/>
              </w:rPr>
            </w:pPr>
            <w:r>
              <w:rPr>
                <w:rFonts w:hint="eastAsia" w:ascii="宋体" w:hAnsi="宋体" w:cs="宋体"/>
                <w:color w:val="auto"/>
                <w:kern w:val="0"/>
                <w:szCs w:val="21"/>
                <w:highlight w:val="none"/>
              </w:rPr>
              <w:t>年 月 日</w:t>
            </w:r>
          </w:p>
        </w:tc>
      </w:tr>
    </w:tbl>
    <w:p>
      <w:pPr>
        <w:jc w:val="left"/>
        <w:rPr>
          <w:rFonts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sz w:val="28"/>
          <w:szCs w:val="28"/>
          <w:highlight w:val="none"/>
        </w:rPr>
        <w:t>4.政府采购项目履约保证金退付意见书的格式：</w:t>
      </w:r>
    </w:p>
    <w:p>
      <w:pPr>
        <w:jc w:val="center"/>
        <w:rPr>
          <w:rFonts w:ascii="宋体" w:hAnsi="宋体" w:cs="宋体"/>
          <w:color w:val="auto"/>
          <w:sz w:val="32"/>
          <w:szCs w:val="32"/>
          <w:highlight w:val="none"/>
        </w:rPr>
      </w:pPr>
    </w:p>
    <w:p>
      <w:pPr>
        <w:jc w:val="center"/>
        <w:rPr>
          <w:rFonts w:ascii="宋体" w:hAnsi="宋体" w:cs="宋体"/>
          <w:color w:val="auto"/>
          <w:sz w:val="32"/>
          <w:szCs w:val="32"/>
          <w:highlight w:val="none"/>
        </w:rPr>
      </w:pPr>
      <w:r>
        <w:rPr>
          <w:rFonts w:hint="eastAsia" w:ascii="宋体" w:hAnsi="宋体" w:cs="宋体"/>
          <w:color w:val="auto"/>
          <w:sz w:val="32"/>
          <w:szCs w:val="32"/>
          <w:highlight w:val="none"/>
        </w:rPr>
        <w:t>政府采购项目履约保证金退付意见书（参考）</w:t>
      </w:r>
    </w:p>
    <w:p>
      <w:pPr>
        <w:jc w:val="center"/>
        <w:rPr>
          <w:rFonts w:ascii="宋体" w:hAnsi="宋体" w:cs="宋体"/>
          <w:color w:val="auto"/>
          <w:sz w:val="36"/>
          <w:szCs w:val="36"/>
          <w:highlight w:val="none"/>
        </w:rPr>
      </w:pPr>
    </w:p>
    <w:tbl>
      <w:tblPr>
        <w:tblStyle w:val="22"/>
        <w:tblW w:w="94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008" w:type="dxa"/>
            <w:vMerge w:val="restart"/>
            <w:vAlign w:val="center"/>
          </w:tcPr>
          <w:p>
            <w:pPr>
              <w:jc w:val="center"/>
              <w:rPr>
                <w:rFonts w:ascii="宋体" w:hAnsi="宋体" w:cs="宋体"/>
                <w:color w:val="auto"/>
                <w:sz w:val="24"/>
                <w:highlight w:val="none"/>
              </w:rPr>
            </w:pPr>
            <w:r>
              <w:rPr>
                <w:rFonts w:hint="eastAsia" w:ascii="宋体" w:hAnsi="宋体" w:cs="宋体"/>
                <w:color w:val="auto"/>
                <w:sz w:val="24"/>
                <w:highlight w:val="none"/>
              </w:rPr>
              <w:t>供</w:t>
            </w:r>
          </w:p>
          <w:p>
            <w:pPr>
              <w:jc w:val="center"/>
              <w:rPr>
                <w:rFonts w:ascii="宋体" w:hAnsi="宋体" w:cs="宋体"/>
                <w:color w:val="auto"/>
                <w:sz w:val="24"/>
                <w:highlight w:val="none"/>
              </w:rPr>
            </w:pPr>
            <w:r>
              <w:rPr>
                <w:rFonts w:hint="eastAsia" w:ascii="宋体" w:hAnsi="宋体" w:cs="宋体"/>
                <w:color w:val="auto"/>
                <w:sz w:val="24"/>
                <w:highlight w:val="none"/>
              </w:rPr>
              <w:t>应</w:t>
            </w:r>
          </w:p>
          <w:p>
            <w:pPr>
              <w:jc w:val="center"/>
              <w:rPr>
                <w:rFonts w:ascii="宋体" w:hAnsi="宋体" w:cs="宋体"/>
                <w:color w:val="auto"/>
                <w:sz w:val="24"/>
                <w:highlight w:val="none"/>
              </w:rPr>
            </w:pPr>
            <w:r>
              <w:rPr>
                <w:rFonts w:hint="eastAsia" w:ascii="宋体" w:hAnsi="宋体" w:cs="宋体"/>
                <w:color w:val="auto"/>
                <w:sz w:val="24"/>
                <w:highlight w:val="none"/>
              </w:rPr>
              <w:t>商</w:t>
            </w:r>
          </w:p>
          <w:p>
            <w:pPr>
              <w:jc w:val="center"/>
              <w:rPr>
                <w:rFonts w:ascii="宋体" w:hAnsi="宋体" w:cs="宋体"/>
                <w:color w:val="auto"/>
                <w:sz w:val="24"/>
                <w:highlight w:val="none"/>
              </w:rPr>
            </w:pPr>
            <w:r>
              <w:rPr>
                <w:rFonts w:hint="eastAsia" w:ascii="宋体" w:hAnsi="宋体" w:cs="宋体"/>
                <w:color w:val="auto"/>
                <w:sz w:val="24"/>
                <w:highlight w:val="none"/>
              </w:rPr>
              <w:t>申</w:t>
            </w:r>
          </w:p>
          <w:p>
            <w:pPr>
              <w:jc w:val="center"/>
              <w:rPr>
                <w:rFonts w:ascii="宋体" w:hAnsi="宋体" w:cs="宋体"/>
                <w:color w:val="auto"/>
                <w:sz w:val="24"/>
                <w:highlight w:val="none"/>
              </w:rPr>
            </w:pPr>
            <w:r>
              <w:rPr>
                <w:rFonts w:hint="eastAsia" w:ascii="宋体" w:hAnsi="宋体" w:cs="宋体"/>
                <w:color w:val="auto"/>
                <w:sz w:val="24"/>
                <w:highlight w:val="none"/>
              </w:rPr>
              <w:t>请</w:t>
            </w:r>
          </w:p>
        </w:tc>
        <w:tc>
          <w:tcPr>
            <w:tcW w:w="8456" w:type="dxa"/>
            <w:vAlign w:val="center"/>
          </w:tcPr>
          <w:p>
            <w:pPr>
              <w:rPr>
                <w:rFonts w:ascii="宋体" w:hAnsi="宋体" w:cs="宋体"/>
                <w:color w:val="auto"/>
                <w:sz w:val="24"/>
                <w:highlight w:val="none"/>
              </w:rPr>
            </w:pPr>
            <w:r>
              <w:rPr>
                <w:rFonts w:hint="eastAsia" w:ascii="宋体" w:hAnsi="宋体" w:cs="宋体"/>
                <w:color w:val="auto"/>
                <w:sz w:val="24"/>
                <w:highlight w:val="none"/>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trPr>
        <w:tc>
          <w:tcPr>
            <w:tcW w:w="1008" w:type="dxa"/>
            <w:vMerge w:val="continue"/>
            <w:vAlign w:val="center"/>
          </w:tcPr>
          <w:p>
            <w:pPr>
              <w:rPr>
                <w:rFonts w:ascii="宋体" w:hAnsi="宋体" w:cs="宋体"/>
                <w:color w:val="auto"/>
                <w:sz w:val="24"/>
                <w:highlight w:val="none"/>
              </w:rPr>
            </w:pPr>
          </w:p>
        </w:tc>
        <w:tc>
          <w:tcPr>
            <w:tcW w:w="8456" w:type="dxa"/>
            <w:vAlign w:val="center"/>
          </w:tcPr>
          <w:p>
            <w:pPr>
              <w:rPr>
                <w:rFonts w:ascii="宋体" w:hAnsi="宋体" w:cs="宋体"/>
                <w:color w:val="auto"/>
                <w:sz w:val="24"/>
                <w:highlight w:val="none"/>
              </w:rPr>
            </w:pPr>
            <w:r>
              <w:rPr>
                <w:rFonts w:hint="eastAsia" w:ascii="宋体" w:hAnsi="宋体" w:cs="宋体"/>
                <w:color w:val="auto"/>
                <w:sz w:val="24"/>
                <w:highlight w:val="none"/>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vMerge w:val="continue"/>
          </w:tcPr>
          <w:p>
            <w:pPr>
              <w:rPr>
                <w:rFonts w:ascii="宋体" w:hAnsi="宋体" w:cs="宋体"/>
                <w:color w:val="auto"/>
                <w:sz w:val="24"/>
                <w:highlight w:val="none"/>
              </w:rPr>
            </w:pPr>
          </w:p>
        </w:tc>
        <w:tc>
          <w:tcPr>
            <w:tcW w:w="8456" w:type="dxa"/>
          </w:tcPr>
          <w:p>
            <w:pPr>
              <w:rPr>
                <w:rFonts w:ascii="宋体" w:hAnsi="宋体" w:cs="宋体"/>
                <w:color w:val="auto"/>
                <w:sz w:val="24"/>
                <w:highlight w:val="none"/>
              </w:rPr>
            </w:pPr>
            <w:r>
              <w:rPr>
                <w:rFonts w:hint="eastAsia" w:ascii="宋体" w:hAnsi="宋体" w:cs="宋体"/>
                <w:color w:val="auto"/>
                <w:sz w:val="24"/>
                <w:highlight w:val="none"/>
              </w:rPr>
              <w:t xml:space="preserve">  </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该项目已于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日验收并交付使用。根据合同规定，该项目的履约保证金期限于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日已满，请将履约保证金（大写）人民币                              （小写）¥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退付到达以下账户。</w:t>
            </w:r>
          </w:p>
          <w:p>
            <w:pPr>
              <w:spacing w:line="400" w:lineRule="exact"/>
              <w:rPr>
                <w:rFonts w:ascii="宋体" w:hAnsi="宋体" w:cs="宋体"/>
                <w:color w:val="auto"/>
                <w:sz w:val="24"/>
                <w:highlight w:val="none"/>
              </w:rPr>
            </w:pP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单位名称：</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开户银行：</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账   号：</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联系人及电话：</w:t>
            </w:r>
          </w:p>
          <w:p>
            <w:pPr>
              <w:spacing w:line="400" w:lineRule="exact"/>
              <w:rPr>
                <w:rFonts w:ascii="宋体" w:hAnsi="宋体" w:cs="宋体"/>
                <w:color w:val="auto"/>
                <w:sz w:val="24"/>
                <w:highlight w:val="none"/>
              </w:rPr>
            </w:pPr>
          </w:p>
          <w:p>
            <w:pPr>
              <w:spacing w:line="520" w:lineRule="exact"/>
              <w:jc w:val="center"/>
              <w:rPr>
                <w:rFonts w:ascii="宋体" w:hAnsi="宋体" w:cs="宋体"/>
                <w:color w:val="auto"/>
                <w:sz w:val="24"/>
                <w:highlight w:val="none"/>
              </w:rPr>
            </w:pPr>
            <w:r>
              <w:rPr>
                <w:rFonts w:hint="eastAsia" w:ascii="宋体" w:hAnsi="宋体" w:cs="宋体"/>
                <w:color w:val="auto"/>
                <w:sz w:val="24"/>
                <w:highlight w:val="none"/>
              </w:rPr>
              <w:t xml:space="preserve">         投标人签章：</w:t>
            </w:r>
          </w:p>
          <w:p>
            <w:pPr>
              <w:spacing w:line="520" w:lineRule="exact"/>
              <w:jc w:val="center"/>
              <w:rPr>
                <w:rFonts w:ascii="宋体" w:hAnsi="宋体" w:cs="宋体"/>
                <w:color w:val="auto"/>
                <w:sz w:val="24"/>
                <w:highlight w:val="none"/>
              </w:rPr>
            </w:pPr>
            <w:r>
              <w:rPr>
                <w:rFonts w:hint="eastAsia" w:ascii="宋体" w:hAnsi="宋体" w:cs="宋体"/>
                <w:color w:val="auto"/>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6" w:hRule="atLeast"/>
        </w:trPr>
        <w:tc>
          <w:tcPr>
            <w:tcW w:w="100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采</w:t>
            </w:r>
          </w:p>
          <w:p>
            <w:pPr>
              <w:jc w:val="center"/>
              <w:rPr>
                <w:rFonts w:ascii="宋体" w:hAnsi="宋体" w:cs="宋体"/>
                <w:color w:val="auto"/>
                <w:sz w:val="24"/>
                <w:highlight w:val="none"/>
              </w:rPr>
            </w:pPr>
            <w:r>
              <w:rPr>
                <w:rFonts w:hint="eastAsia" w:ascii="宋体" w:hAnsi="宋体" w:cs="宋体"/>
                <w:color w:val="auto"/>
                <w:sz w:val="24"/>
                <w:highlight w:val="none"/>
              </w:rPr>
              <w:t>购</w:t>
            </w:r>
          </w:p>
          <w:p>
            <w:pPr>
              <w:jc w:val="center"/>
              <w:rPr>
                <w:rFonts w:ascii="宋体" w:hAnsi="宋体" w:cs="宋体"/>
                <w:color w:val="auto"/>
                <w:sz w:val="24"/>
                <w:highlight w:val="none"/>
              </w:rPr>
            </w:pPr>
            <w:r>
              <w:rPr>
                <w:rFonts w:hint="eastAsia" w:ascii="宋体" w:hAnsi="宋体" w:cs="宋体"/>
                <w:color w:val="auto"/>
                <w:sz w:val="24"/>
                <w:highlight w:val="none"/>
              </w:rPr>
              <w:t>人</w:t>
            </w:r>
          </w:p>
          <w:p>
            <w:pPr>
              <w:jc w:val="center"/>
              <w:rPr>
                <w:rFonts w:ascii="宋体" w:hAnsi="宋体" w:cs="宋体"/>
                <w:color w:val="auto"/>
                <w:sz w:val="24"/>
                <w:highlight w:val="none"/>
              </w:rPr>
            </w:pPr>
            <w:r>
              <w:rPr>
                <w:rFonts w:hint="eastAsia" w:ascii="宋体" w:hAnsi="宋体" w:cs="宋体"/>
                <w:color w:val="auto"/>
                <w:sz w:val="24"/>
                <w:highlight w:val="none"/>
              </w:rPr>
              <w:t>意</w:t>
            </w:r>
          </w:p>
          <w:p>
            <w:pPr>
              <w:jc w:val="center"/>
              <w:rPr>
                <w:rFonts w:ascii="宋体" w:hAnsi="宋体" w:cs="宋体"/>
                <w:color w:val="auto"/>
                <w:sz w:val="24"/>
                <w:highlight w:val="none"/>
              </w:rPr>
            </w:pPr>
            <w:r>
              <w:rPr>
                <w:rFonts w:hint="eastAsia" w:ascii="宋体" w:hAnsi="宋体" w:cs="宋体"/>
                <w:color w:val="auto"/>
                <w:sz w:val="24"/>
                <w:highlight w:val="none"/>
              </w:rPr>
              <w:t>见</w:t>
            </w:r>
          </w:p>
        </w:tc>
        <w:tc>
          <w:tcPr>
            <w:tcW w:w="8456"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退付意见：（是否同意退付履约保证金及退付金额）</w:t>
            </w: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spacing w:line="520" w:lineRule="exact"/>
              <w:rPr>
                <w:rFonts w:ascii="宋体" w:hAnsi="宋体" w:cs="宋体"/>
                <w:color w:val="auto"/>
                <w:sz w:val="24"/>
                <w:highlight w:val="none"/>
              </w:rPr>
            </w:pPr>
            <w:r>
              <w:rPr>
                <w:rFonts w:hint="eastAsia" w:ascii="宋体" w:hAnsi="宋体" w:cs="宋体"/>
                <w:color w:val="auto"/>
                <w:sz w:val="24"/>
                <w:highlight w:val="none"/>
              </w:rPr>
              <w:t>联系人及电话：                         采购人签章</w:t>
            </w:r>
          </w:p>
          <w:p>
            <w:pPr>
              <w:spacing w:line="520" w:lineRule="exact"/>
              <w:jc w:val="center"/>
              <w:rPr>
                <w:rFonts w:ascii="宋体" w:hAnsi="宋体" w:cs="宋体"/>
                <w:color w:val="auto"/>
                <w:sz w:val="24"/>
                <w:highlight w:val="none"/>
              </w:rPr>
            </w:pPr>
            <w:r>
              <w:rPr>
                <w:rFonts w:hint="eastAsia" w:ascii="宋体" w:hAnsi="宋体" w:cs="宋体"/>
                <w:color w:val="auto"/>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100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备注</w:t>
            </w:r>
          </w:p>
        </w:tc>
        <w:tc>
          <w:tcPr>
            <w:tcW w:w="8456" w:type="dxa"/>
          </w:tcPr>
          <w:p>
            <w:pPr>
              <w:rPr>
                <w:rFonts w:ascii="宋体" w:hAnsi="宋体" w:cs="宋体"/>
                <w:color w:val="auto"/>
                <w:sz w:val="24"/>
                <w:highlight w:val="none"/>
              </w:rPr>
            </w:pPr>
          </w:p>
        </w:tc>
      </w:tr>
    </w:tbl>
    <w:p>
      <w:pPr>
        <w:pStyle w:val="10"/>
        <w:ind w:left="420" w:leftChars="114" w:hanging="181" w:hangingChars="100"/>
        <w:rPr>
          <w:rFonts w:ascii="宋体" w:hAnsi="宋体" w:cs="宋体"/>
          <w:b/>
          <w:bCs/>
          <w:color w:val="auto"/>
          <w:sz w:val="18"/>
          <w:highlight w:val="none"/>
        </w:rPr>
      </w:pPr>
      <w:r>
        <w:rPr>
          <w:rFonts w:hint="eastAsia" w:ascii="宋体" w:hAnsi="宋体" w:cs="宋体"/>
          <w:b/>
          <w:bCs/>
          <w:color w:val="auto"/>
          <w:sz w:val="18"/>
          <w:highlight w:val="none"/>
        </w:rPr>
        <w:t>注：投标人凭经采购人审批的退付意见书到履约保证金收取单位办理履约保证金退付事宜。</w:t>
      </w:r>
    </w:p>
    <w:p>
      <w:pPr>
        <w:widowControl/>
        <w:spacing w:line="360" w:lineRule="auto"/>
        <w:jc w:val="left"/>
        <w:rPr>
          <w:rFonts w:ascii="宋体" w:hAnsi="宋体" w:cs="宋体"/>
          <w:color w:val="auto"/>
          <w:szCs w:val="21"/>
          <w:highlight w:val="none"/>
        </w:rPr>
        <w:sectPr>
          <w:pgSz w:w="11906" w:h="16838"/>
          <w:pgMar w:top="1134" w:right="1134" w:bottom="1134" w:left="1134" w:header="720" w:footer="720" w:gutter="0"/>
          <w:cols w:space="720" w:num="1"/>
          <w:docGrid w:type="lines" w:linePitch="331" w:charSpace="0"/>
        </w:sectPr>
      </w:pPr>
    </w:p>
    <w:p>
      <w:pPr>
        <w:snapToGrid w:val="0"/>
        <w:spacing w:before="50" w:after="165" w:afterLines="50" w:line="360" w:lineRule="auto"/>
        <w:jc w:val="left"/>
        <w:rPr>
          <w:rFonts w:ascii="宋体" w:hAnsi="宋体" w:cs="宋体"/>
          <w:color w:val="auto"/>
          <w:sz w:val="20"/>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rPr>
          <w:rFonts w:hAnsi="宋体" w:cs="宋体"/>
          <w:b/>
          <w:color w:val="auto"/>
          <w:sz w:val="36"/>
          <w:highlight w:val="none"/>
        </w:rPr>
      </w:pPr>
    </w:p>
    <w:p>
      <w:pPr>
        <w:pStyle w:val="15"/>
        <w:tabs>
          <w:tab w:val="left" w:pos="2472"/>
        </w:tabs>
        <w:spacing w:line="460" w:lineRule="exact"/>
        <w:jc w:val="center"/>
        <w:outlineLvl w:val="0"/>
        <w:rPr>
          <w:rFonts w:hAnsi="宋体" w:cs="宋体"/>
          <w:color w:val="auto"/>
          <w:sz w:val="20"/>
          <w:highlight w:val="none"/>
        </w:rPr>
        <w:sectPr>
          <w:pgSz w:w="11906" w:h="16838"/>
          <w:pgMar w:top="1134" w:right="1134" w:bottom="1134" w:left="1134" w:header="720" w:footer="720" w:gutter="0"/>
          <w:cols w:space="720" w:num="1"/>
          <w:docGrid w:type="lines" w:linePitch="331" w:charSpace="0"/>
        </w:sectPr>
      </w:pPr>
      <w:bookmarkStart w:id="306" w:name="_Toc8663"/>
      <w:bookmarkStart w:id="307" w:name="_Toc19823"/>
      <w:bookmarkStart w:id="308" w:name="_Toc30176"/>
      <w:bookmarkStart w:id="309" w:name="_Toc15281"/>
      <w:bookmarkStart w:id="310" w:name="_Toc22405"/>
      <w:bookmarkStart w:id="311" w:name="_Toc8319"/>
      <w:bookmarkStart w:id="312" w:name="_Toc1424"/>
      <w:bookmarkStart w:id="313" w:name="_Toc10282"/>
      <w:bookmarkStart w:id="314" w:name="_Toc18201"/>
      <w:bookmarkStart w:id="315" w:name="_Toc4526"/>
      <w:bookmarkStart w:id="316" w:name="_Toc29827"/>
      <w:r>
        <w:rPr>
          <w:rFonts w:hint="eastAsia" w:hAnsi="宋体" w:cs="宋体"/>
          <w:b/>
          <w:color w:val="auto"/>
          <w:sz w:val="36"/>
          <w:highlight w:val="none"/>
        </w:rPr>
        <w:t>第七章 质疑、投诉材料格</w:t>
      </w:r>
      <w:bookmarkEnd w:id="306"/>
      <w:bookmarkEnd w:id="307"/>
      <w:bookmarkEnd w:id="308"/>
      <w:r>
        <w:rPr>
          <w:rFonts w:hint="eastAsia" w:hAnsi="宋体" w:cs="宋体"/>
          <w:b/>
          <w:color w:val="auto"/>
          <w:sz w:val="36"/>
          <w:highlight w:val="none"/>
        </w:rPr>
        <w:t>式</w:t>
      </w:r>
      <w:bookmarkEnd w:id="309"/>
      <w:bookmarkEnd w:id="310"/>
      <w:bookmarkEnd w:id="311"/>
      <w:bookmarkEnd w:id="312"/>
      <w:bookmarkEnd w:id="313"/>
      <w:bookmarkEnd w:id="314"/>
      <w:bookmarkEnd w:id="315"/>
      <w:bookmarkEnd w:id="316"/>
    </w:p>
    <w:p>
      <w:pPr>
        <w:pStyle w:val="4"/>
        <w:jc w:val="center"/>
        <w:rPr>
          <w:rFonts w:ascii="宋体" w:hAnsi="宋体" w:eastAsia="宋体" w:cs="宋体"/>
          <w:b w:val="0"/>
          <w:bCs w:val="0"/>
          <w:color w:val="auto"/>
          <w:highlight w:val="none"/>
        </w:rPr>
      </w:pPr>
      <w:bookmarkStart w:id="317" w:name="_Toc19413"/>
      <w:bookmarkStart w:id="318" w:name="_Toc25079"/>
      <w:bookmarkStart w:id="319" w:name="_Toc5790"/>
      <w:bookmarkStart w:id="320" w:name="_Toc12534"/>
      <w:bookmarkStart w:id="321" w:name="_Toc18910"/>
      <w:r>
        <w:rPr>
          <w:rFonts w:hint="eastAsia" w:ascii="宋体" w:hAnsi="宋体" w:eastAsia="宋体" w:cs="宋体"/>
          <w:b w:val="0"/>
          <w:bCs w:val="0"/>
          <w:color w:val="auto"/>
          <w:highlight w:val="none"/>
        </w:rPr>
        <w:t>第一节 质疑函（格式）</w:t>
      </w:r>
      <w:bookmarkEnd w:id="317"/>
      <w:bookmarkEnd w:id="318"/>
      <w:bookmarkEnd w:id="319"/>
      <w:bookmarkEnd w:id="320"/>
      <w:bookmarkEnd w:id="321"/>
    </w:p>
    <w:p>
      <w:pPr>
        <w:jc w:val="center"/>
        <w:rPr>
          <w:rFonts w:ascii="宋体" w:hAnsi="宋体" w:cs="宋体"/>
          <w:b/>
          <w:bCs/>
          <w:color w:val="auto"/>
          <w:sz w:val="44"/>
          <w:szCs w:val="44"/>
          <w:highlight w:val="none"/>
        </w:rPr>
      </w:pPr>
      <w:r>
        <w:rPr>
          <w:rFonts w:hint="eastAsia" w:ascii="宋体" w:hAnsi="宋体" w:cs="宋体"/>
          <w:b/>
          <w:bCs/>
          <w:color w:val="auto"/>
          <w:sz w:val="30"/>
          <w:szCs w:val="30"/>
          <w:highlight w:val="none"/>
        </w:rPr>
        <w:t>质疑函</w:t>
      </w:r>
    </w:p>
    <w:p>
      <w:pPr>
        <w:adjustRightInd w:val="0"/>
        <w:snapToGrid w:val="0"/>
        <w:spacing w:before="331"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adjustRightInd w:val="0"/>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adjustRightInd w:val="0"/>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adjustRightInd w:val="0"/>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adjustRightInd w:val="0"/>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bookmarkStart w:id="322" w:name="PO_3000001867_PM026_5"/>
      <w:r>
        <w:rPr>
          <w:rFonts w:hint="eastAsia" w:ascii="宋体" w:hAnsi="宋体" w:cs="宋体"/>
          <w:color w:val="auto"/>
          <w:sz w:val="24"/>
          <w:highlight w:val="none"/>
          <w:u w:val="dotted"/>
        </w:rPr>
        <w:t xml:space="preserve">                        </w:t>
      </w:r>
      <w:bookmarkEnd w:id="322"/>
      <w:r>
        <w:rPr>
          <w:rFonts w:hint="eastAsia" w:ascii="宋体" w:hAnsi="宋体" w:cs="宋体"/>
          <w:color w:val="auto"/>
          <w:sz w:val="24"/>
          <w:highlight w:val="none"/>
          <w:u w:val="dotted"/>
        </w:rPr>
        <w:t xml:space="preserve">  </w:t>
      </w:r>
    </w:p>
    <w:p>
      <w:pPr>
        <w:adjustRightInd w:val="0"/>
        <w:snapToGrid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质疑事项：</w:t>
      </w:r>
    </w:p>
    <w:p>
      <w:pPr>
        <w:adjustRightInd w:val="0"/>
        <w:snapToGrid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□采购文件   采购文件获取日期：</w:t>
      </w:r>
      <w:r>
        <w:rPr>
          <w:rFonts w:hint="eastAsia" w:ascii="宋体" w:hAnsi="宋体" w:cs="宋体"/>
          <w:color w:val="auto"/>
          <w:sz w:val="24"/>
          <w:highlight w:val="none"/>
          <w:u w:val="dotted"/>
        </w:rPr>
        <w:t xml:space="preserve">                         </w:t>
      </w:r>
      <w:r>
        <w:rPr>
          <w:rFonts w:hint="eastAsia" w:ascii="宋体" w:hAnsi="宋体" w:cs="宋体"/>
          <w:color w:val="auto"/>
          <w:sz w:val="24"/>
          <w:highlight w:val="none"/>
          <w:lang w:val="zh-CN"/>
        </w:rPr>
        <w:t xml:space="preserve">  </w:t>
      </w:r>
    </w:p>
    <w:p>
      <w:pPr>
        <w:adjustRightInd w:val="0"/>
        <w:snapToGrid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 xml:space="preserve">□采购过程   </w:t>
      </w:r>
    </w:p>
    <w:p>
      <w:pPr>
        <w:adjustRightInd w:val="0"/>
        <w:snapToGrid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 xml:space="preserve">□中标结果   </w:t>
      </w:r>
    </w:p>
    <w:p>
      <w:pPr>
        <w:adjustRightInd w:val="0"/>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adjustRightInd w:val="0"/>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adjustRightInd w:val="0"/>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adjustRightInd w:val="0"/>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adjustRightInd w:val="0"/>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adjustRightInd w:val="0"/>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adjustRightInd w:val="0"/>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adjustRightInd w:val="0"/>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ind w:firstLine="6240" w:firstLineChars="2600"/>
        <w:rPr>
          <w:rFonts w:ascii="宋体" w:hAnsi="宋体" w:cs="宋体"/>
          <w:color w:val="auto"/>
          <w:sz w:val="24"/>
          <w:highlight w:val="none"/>
        </w:rPr>
      </w:pPr>
      <w:r>
        <w:rPr>
          <w:rFonts w:hint="eastAsia" w:ascii="宋体" w:hAnsi="宋体" w:cs="宋体"/>
          <w:color w:val="auto"/>
          <w:sz w:val="24"/>
          <w:highlight w:val="none"/>
        </w:rPr>
        <w:t xml:space="preserve">日期：    </w:t>
      </w:r>
    </w:p>
    <w:p>
      <w:pPr>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1.供应商提出质疑时，应提交质疑函和必要的证明材料。</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2.质疑供应商若委托代理人进行质疑的，质疑函应按要求列明“授权代表”的有关内容，并在附件中提交由质疑</w:t>
      </w:r>
      <w:r>
        <w:rPr>
          <w:rFonts w:hint="eastAsia" w:ascii="宋体" w:hAnsi="宋体" w:cs="宋体"/>
          <w:color w:val="auto"/>
          <w:kern w:val="0"/>
          <w:szCs w:val="21"/>
          <w:highlight w:val="none"/>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3.质疑供应商若对项目的某一分包进行质疑，质疑函中应列明具体分包号。</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4.质疑函的质疑事项应具体、明确，并有必要的事实依据和法律依据。</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5.质疑函的质疑请求应与质疑事项相关。</w:t>
      </w:r>
    </w:p>
    <w:p>
      <w:pPr>
        <w:widowControl/>
        <w:spacing w:line="360" w:lineRule="auto"/>
        <w:ind w:firstLine="420" w:firstLineChars="200"/>
        <w:jc w:val="left"/>
        <w:rPr>
          <w:rFonts w:ascii="宋体" w:hAnsi="宋体" w:cs="宋体"/>
          <w:color w:val="auto"/>
          <w:sz w:val="28"/>
          <w:szCs w:val="28"/>
          <w:highlight w:val="none"/>
        </w:rPr>
      </w:pPr>
      <w:r>
        <w:rPr>
          <w:rFonts w:hint="eastAsia" w:ascii="宋体" w:hAnsi="宋体" w:cs="宋体"/>
          <w:color w:val="auto"/>
          <w:szCs w:val="21"/>
          <w:highlight w:val="none"/>
        </w:rPr>
        <w:t>6.质疑供应商为自然人的，质疑函应由本人签字；质疑供应商为法人或者其他组织的，质疑函应由法定代表人、主要负责人，或者其授权代表签字或者盖章，并加盖公章。</w:t>
      </w:r>
    </w:p>
    <w:p>
      <w:pPr>
        <w:pStyle w:val="4"/>
        <w:jc w:val="center"/>
        <w:rPr>
          <w:rFonts w:ascii="宋体" w:hAnsi="宋体" w:eastAsia="宋体" w:cs="宋体"/>
          <w:b w:val="0"/>
          <w:bCs w:val="0"/>
          <w:color w:val="auto"/>
          <w:highlight w:val="none"/>
        </w:rPr>
      </w:pPr>
      <w:bookmarkStart w:id="323" w:name="_Toc31115"/>
      <w:bookmarkStart w:id="324" w:name="_Toc11085"/>
    </w:p>
    <w:p>
      <w:pPr>
        <w:pStyle w:val="4"/>
        <w:jc w:val="center"/>
        <w:rPr>
          <w:rFonts w:ascii="宋体" w:hAnsi="宋体" w:eastAsia="宋体" w:cs="宋体"/>
          <w:b w:val="0"/>
          <w:bCs w:val="0"/>
          <w:color w:val="auto"/>
          <w:highlight w:val="none"/>
        </w:rPr>
      </w:pPr>
    </w:p>
    <w:p>
      <w:pPr>
        <w:pStyle w:val="4"/>
        <w:jc w:val="center"/>
        <w:rPr>
          <w:rFonts w:ascii="宋体" w:hAnsi="宋体" w:eastAsia="宋体" w:cs="宋体"/>
          <w:b w:val="0"/>
          <w:bCs w:val="0"/>
          <w:color w:val="auto"/>
          <w:highlight w:val="none"/>
        </w:rPr>
      </w:pPr>
    </w:p>
    <w:p>
      <w:pPr>
        <w:pStyle w:val="4"/>
        <w:jc w:val="center"/>
        <w:rPr>
          <w:rFonts w:ascii="宋体" w:hAnsi="宋体" w:eastAsia="宋体" w:cs="宋体"/>
          <w:b w:val="0"/>
          <w:bCs w:val="0"/>
          <w:color w:val="auto"/>
          <w:highlight w:val="none"/>
        </w:rPr>
      </w:pPr>
    </w:p>
    <w:p>
      <w:pPr>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4"/>
        <w:jc w:val="center"/>
        <w:rPr>
          <w:rFonts w:ascii="宋体" w:hAnsi="宋体" w:eastAsia="宋体" w:cs="宋体"/>
          <w:b w:val="0"/>
          <w:bCs w:val="0"/>
          <w:color w:val="auto"/>
          <w:highlight w:val="none"/>
        </w:rPr>
      </w:pPr>
      <w:bookmarkStart w:id="325" w:name="_Toc6950"/>
      <w:bookmarkStart w:id="326" w:name="_Toc22163"/>
      <w:bookmarkStart w:id="327" w:name="_Toc11120"/>
      <w:r>
        <w:rPr>
          <w:rFonts w:hint="eastAsia" w:ascii="宋体" w:hAnsi="宋体" w:eastAsia="宋体" w:cs="宋体"/>
          <w:b w:val="0"/>
          <w:bCs w:val="0"/>
          <w:color w:val="auto"/>
          <w:highlight w:val="none"/>
        </w:rPr>
        <w:t>第二节 投诉书（格式）</w:t>
      </w:r>
      <w:bookmarkEnd w:id="323"/>
      <w:bookmarkEnd w:id="324"/>
      <w:bookmarkEnd w:id="325"/>
      <w:bookmarkEnd w:id="326"/>
      <w:bookmarkEnd w:id="327"/>
    </w:p>
    <w:p>
      <w:pPr>
        <w:jc w:val="center"/>
        <w:rPr>
          <w:rFonts w:ascii="宋体" w:hAnsi="宋体" w:cs="宋体"/>
          <w:b/>
          <w:color w:val="auto"/>
          <w:sz w:val="44"/>
          <w:szCs w:val="44"/>
          <w:highlight w:val="none"/>
        </w:rPr>
      </w:pPr>
      <w:r>
        <w:rPr>
          <w:rFonts w:hint="eastAsia" w:ascii="宋体" w:hAnsi="宋体" w:cs="宋体"/>
          <w:b/>
          <w:color w:val="auto"/>
          <w:sz w:val="30"/>
          <w:szCs w:val="30"/>
          <w:highlight w:val="none"/>
        </w:rPr>
        <w:t>投诉书</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bookmarkStart w:id="328" w:name="PO_3000001867_PM002_12"/>
      <w:r>
        <w:rPr>
          <w:rFonts w:hint="eastAsia" w:ascii="宋体" w:hAnsi="宋体" w:cs="宋体"/>
          <w:color w:val="auto"/>
          <w:sz w:val="24"/>
          <w:highlight w:val="none"/>
          <w:u w:val="dotted"/>
        </w:rPr>
        <w:t xml:space="preserve">                    </w:t>
      </w:r>
      <w:bookmarkEnd w:id="328"/>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bookmarkStart w:id="329" w:name="PO_3000001867_PM001_9"/>
      <w:r>
        <w:rPr>
          <w:rFonts w:hint="eastAsia" w:ascii="宋体" w:hAnsi="宋体" w:cs="宋体"/>
          <w:color w:val="auto"/>
          <w:sz w:val="24"/>
          <w:highlight w:val="none"/>
          <w:u w:val="dotted"/>
        </w:rPr>
        <w:t xml:space="preserve">                    </w:t>
      </w:r>
      <w:bookmarkEnd w:id="329"/>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bookmarkStart w:id="330" w:name="PO_3000001867_PM026_6"/>
      <w:r>
        <w:rPr>
          <w:rFonts w:hint="eastAsia" w:ascii="宋体" w:hAnsi="宋体" w:cs="宋体"/>
          <w:color w:val="auto"/>
          <w:sz w:val="24"/>
          <w:highlight w:val="none"/>
          <w:u w:val="dotted"/>
        </w:rPr>
        <w:t xml:space="preserve">                    </w:t>
      </w:r>
      <w:bookmarkEnd w:id="330"/>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采购人/采购代理机构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ind w:firstLine="6960" w:firstLineChars="2900"/>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1.投诉人提起投诉时，应当提交投诉书和必要的证明材料，并按照被投诉人和与投诉事项有关的供应商数量提供投诉书副本。</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szCs w:val="21"/>
          <w:highlight w:val="none"/>
        </w:rPr>
        <w:t>2.投诉人若委托代理人进行投诉的，投诉书应按照要求列明“授权代表”的有关内容，并在附件中提交由</w:t>
      </w:r>
      <w:r>
        <w:rPr>
          <w:rFonts w:hint="eastAsia" w:ascii="宋体" w:hAnsi="宋体" w:cs="宋体"/>
          <w:color w:val="auto"/>
          <w:kern w:val="0"/>
          <w:szCs w:val="21"/>
          <w:highlight w:val="none"/>
        </w:rPr>
        <w:t>投诉人签署的授权委托书。授权委托书应当载明代理人的姓名或者名称、代理事项、具体权限、期限和相关事项。</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3.投诉人若对项目的某一分包进行投诉，投诉书应列明具体分包号。</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4.投诉书应简要列明质疑事项，质疑函、质疑答复等作为附件材料提供。</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5.投诉书的投诉事项应具体、明确，并有必要的事实依据和法律依据。</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6.投诉书的投诉请求应与投诉事项相关。</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szCs w:val="21"/>
          <w:highlight w:val="none"/>
        </w:rPr>
        <w:t>7.投诉人为自然人的，投诉书应当由本人签字；投诉人为法人或者其他组织的，投诉书应当由法定代表人、主要负责人，或者其授权代表签字或者盖章，并加盖公章。</w:t>
      </w:r>
    </w:p>
    <w:p>
      <w:pPr>
        <w:snapToGrid w:val="0"/>
        <w:spacing w:before="50" w:after="165" w:afterLines="50" w:line="360" w:lineRule="auto"/>
        <w:ind w:firstLine="420" w:firstLineChars="200"/>
        <w:jc w:val="left"/>
        <w:rPr>
          <w:rFonts w:ascii="宋体" w:hAnsi="宋体" w:cs="宋体"/>
          <w:color w:val="auto"/>
          <w:szCs w:val="21"/>
          <w:highlight w:val="none"/>
        </w:rPr>
      </w:pPr>
    </w:p>
    <w:p>
      <w:pPr>
        <w:rPr>
          <w:rFonts w:ascii="宋体" w:hAnsi="宋体" w:cs="宋体"/>
          <w:color w:val="auto"/>
          <w:highlight w:val="none"/>
        </w:rPr>
      </w:pPr>
    </w:p>
    <w:sectPr>
      <w:footerReference r:id="rId7" w:type="first"/>
      <w:headerReference r:id="rId4" w:type="default"/>
      <w:footerReference r:id="rId5" w:type="default"/>
      <w:footerReference r:id="rId6" w:type="even"/>
      <w:pgSz w:w="11906" w:h="16838"/>
      <w:pgMar w:top="1134" w:right="1134" w:bottom="1134" w:left="1134" w:header="720" w:footer="720" w:gutter="0"/>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erpetua">
    <w:altName w:val="PMingLiU-ExtB"/>
    <w:panose1 w:val="02020502060401020303"/>
    <w:charset w:val="00"/>
    <w:family w:val="roman"/>
    <w:pitch w:val="default"/>
    <w:sig w:usb0="00000000" w:usb1="00000000" w:usb2="00000000" w:usb3="00000000" w:csb0="20000001" w:csb1="00000000"/>
  </w:font>
  <w:font w:name="@宋体">
    <w:panose1 w:val="02010600030101010101"/>
    <w:charset w:val="86"/>
    <w:family w:val="auto"/>
    <w:pitch w:val="default"/>
    <w:sig w:usb0="00000003" w:usb1="288F0000" w:usb2="00000006" w:usb3="00000000" w:csb0="00040001" w:csb1="0000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1819318476"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Pi91E0AAAAAIBAAAPAAAAAAAAAAEAIAAAACIAAABkcnMvZG93bnJldi54bWxQSwECFAAUAAAA&#10;CACHTuJAnwrOvPYBAAC8AwAADgAAAAAAAAABACAAAAAfAQAAZHJzL2Uyb0RvYy54bWxQSwUGAAAA&#10;AAYABgBZAQAAhw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6606133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
                            <w:jc w:val="center"/>
                          </w:pPr>
                          <w:r>
                            <w:fldChar w:fldCharType="begin"/>
                          </w:r>
                          <w:r>
                            <w:instrText xml:space="preserve"> PAGE   \* MERGEFORMAT </w:instrText>
                          </w:r>
                          <w:r>
                            <w:fldChar w:fldCharType="separate"/>
                          </w:r>
                          <w:r>
                            <w:rPr>
                              <w:lang w:val="zh-CN"/>
                            </w:rPr>
                            <w:t>97</w:t>
                          </w:r>
                          <w: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ql5&#10;uc8AAAAFAQAADwAAAAAAAAABACAAAAAiAAAAZHJzL2Rvd25yZXYueG1sUEsBAhQAFAAAAAgAh07i&#10;QKU+TujyAQAAvwMAAA4AAAAAAAAAAQAgAAAAHgEAAGRycy9lMm9Eb2MueG1sUEsFBgAAAAAGAAYA&#10;WQEAAIIFAAAAAA==&#10;">
              <v:fill on="f" focussize="0,0"/>
              <v:stroke on="f"/>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rPr>
                        <w:lang w:val="zh-CN"/>
                      </w:rPr>
                      <w:t>97</w:t>
                    </w:r>
                    <w:r>
                      <w:fldChar w:fldCharType="end"/>
                    </w:r>
                  </w:p>
                </w:txbxContent>
              </v:textbox>
            </v:shape>
          </w:pict>
        </mc:Fallback>
      </mc:AlternateConten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26"/>
      </w:rPr>
    </w:pPr>
    <w:r>
      <w:fldChar w:fldCharType="begin"/>
    </w:r>
    <w:r>
      <w:rPr>
        <w:rStyle w:val="26"/>
      </w:rPr>
      <w:instrText xml:space="preserve">PAGE  </w:instrText>
    </w:r>
    <w: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26"/>
      </w:rPr>
    </w:pPr>
    <w:r>
      <w:fldChar w:fldCharType="begin"/>
    </w:r>
    <w:r>
      <w:rPr>
        <w:rStyle w:val="26"/>
      </w:rPr>
      <w:instrText xml:space="preserve">PAGE  </w:instrText>
    </w:r>
    <w:r>
      <w:fldChar w:fldCharType="separate"/>
    </w:r>
    <w:r>
      <w:rPr>
        <w:rStyle w:val="26"/>
      </w:rPr>
      <w:t>122</w:t>
    </w:r>
    <w:r>
      <w:fldChar w:fldCharType="end"/>
    </w:r>
  </w:p>
  <w:p>
    <w:pPr>
      <w:pStyle w:val="2"/>
      <w:ind w:right="360"/>
      <w:jc w:val="both"/>
    </w:pPr>
    <w:r>
      <w:rPr>
        <w:rFonts w:hint="eastAsia"/>
      </w:rPr>
      <w:t>121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D52CA2"/>
    <w:multiLevelType w:val="singleLevel"/>
    <w:tmpl w:val="9DD52CA2"/>
    <w:lvl w:ilvl="0" w:tentative="0">
      <w:start w:val="1"/>
      <w:numFmt w:val="decimal"/>
      <w:lvlText w:val="%1."/>
      <w:lvlJc w:val="left"/>
      <w:pPr>
        <w:tabs>
          <w:tab w:val="left" w:pos="312"/>
        </w:tabs>
      </w:pPr>
    </w:lvl>
  </w:abstractNum>
  <w:abstractNum w:abstractNumId="1">
    <w:nsid w:val="A996B7AF"/>
    <w:multiLevelType w:val="singleLevel"/>
    <w:tmpl w:val="A996B7AF"/>
    <w:lvl w:ilvl="0" w:tentative="0">
      <w:start w:val="4"/>
      <w:numFmt w:val="chineseCounting"/>
      <w:suff w:val="nothing"/>
      <w:lvlText w:val="%1、"/>
      <w:lvlJc w:val="left"/>
      <w:rPr>
        <w:rFonts w:hint="eastAsia"/>
      </w:rPr>
    </w:lvl>
  </w:abstractNum>
  <w:abstractNum w:abstractNumId="2">
    <w:nsid w:val="D72E5B2A"/>
    <w:multiLevelType w:val="singleLevel"/>
    <w:tmpl w:val="D72E5B2A"/>
    <w:lvl w:ilvl="0" w:tentative="0">
      <w:start w:val="1"/>
      <w:numFmt w:val="chineseCounting"/>
      <w:suff w:val="nothing"/>
      <w:lvlText w:val="%1、"/>
      <w:lvlJc w:val="left"/>
      <w:rPr>
        <w:rFonts w:hint="eastAsia"/>
      </w:rPr>
    </w:lvl>
  </w:abstractNum>
  <w:abstractNum w:abstractNumId="3">
    <w:nsid w:val="00000007"/>
    <w:multiLevelType w:val="multilevel"/>
    <w:tmpl w:val="00000007"/>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2FFE01E0"/>
    <w:multiLevelType w:val="singleLevel"/>
    <w:tmpl w:val="2FFE01E0"/>
    <w:lvl w:ilvl="0" w:tentative="0">
      <w:start w:val="1"/>
      <w:numFmt w:val="decimal"/>
      <w:suff w:val="nothing"/>
      <w:lvlText w:val="%1、"/>
      <w:lvlJc w:val="left"/>
    </w:lvl>
  </w:abstractNum>
  <w:abstractNum w:abstractNumId="5">
    <w:nsid w:val="32E1BF3C"/>
    <w:multiLevelType w:val="singleLevel"/>
    <w:tmpl w:val="32E1BF3C"/>
    <w:lvl w:ilvl="0" w:tentative="0">
      <w:start w:val="8"/>
      <w:numFmt w:val="chineseCounting"/>
      <w:suff w:val="nothing"/>
      <w:lvlText w:val="%1、"/>
      <w:lvlJc w:val="left"/>
      <w:rPr>
        <w:rFonts w:hint="eastAsia"/>
      </w:rPr>
    </w:lvl>
  </w:abstractNum>
  <w:abstractNum w:abstractNumId="6">
    <w:nsid w:val="51DB1615"/>
    <w:multiLevelType w:val="singleLevel"/>
    <w:tmpl w:val="51DB1615"/>
    <w:lvl w:ilvl="0" w:tentative="0">
      <w:start w:val="1"/>
      <w:numFmt w:val="decimal"/>
      <w:lvlText w:val="%1."/>
      <w:lvlJc w:val="left"/>
      <w:pPr>
        <w:tabs>
          <w:tab w:val="left" w:pos="312"/>
        </w:tabs>
      </w:pPr>
    </w:lvl>
  </w:abstractNum>
  <w:abstractNum w:abstractNumId="7">
    <w:nsid w:val="72962756"/>
    <w:multiLevelType w:val="multilevel"/>
    <w:tmpl w:val="72962756"/>
    <w:lvl w:ilvl="0" w:tentative="0">
      <w:start w:val="1"/>
      <w:numFmt w:val="japaneseCounting"/>
      <w:lvlText w:val="（%1）"/>
      <w:lvlJc w:val="left"/>
      <w:pPr>
        <w:ind w:left="1237" w:hanging="765"/>
      </w:pPr>
      <w:rPr>
        <w:rFonts w:hint="default"/>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num w:numId="1">
    <w:abstractNumId w:val="2"/>
  </w:num>
  <w:num w:numId="2">
    <w:abstractNumId w:val="1"/>
  </w:num>
  <w:num w:numId="3">
    <w:abstractNumId w:val="5"/>
  </w:num>
  <w:num w:numId="4">
    <w:abstractNumId w:val="0"/>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k3YjFjMDY1Y2E2Y2EwNTc3NjExODhlOWQ1YTIwYTgifQ=="/>
  </w:docVars>
  <w:rsids>
    <w:rsidRoot w:val="00297D6C"/>
    <w:rsid w:val="00014950"/>
    <w:rsid w:val="00042ECE"/>
    <w:rsid w:val="000A094B"/>
    <w:rsid w:val="000B5D0B"/>
    <w:rsid w:val="000C5F68"/>
    <w:rsid w:val="000E2C9E"/>
    <w:rsid w:val="000E6FB9"/>
    <w:rsid w:val="000E7653"/>
    <w:rsid w:val="00166007"/>
    <w:rsid w:val="00167E9D"/>
    <w:rsid w:val="001D382F"/>
    <w:rsid w:val="001D48B7"/>
    <w:rsid w:val="00222E04"/>
    <w:rsid w:val="00297D6C"/>
    <w:rsid w:val="002A6A50"/>
    <w:rsid w:val="003A5C7C"/>
    <w:rsid w:val="003C1221"/>
    <w:rsid w:val="00425B98"/>
    <w:rsid w:val="004428ED"/>
    <w:rsid w:val="004B42F7"/>
    <w:rsid w:val="0050244D"/>
    <w:rsid w:val="00550850"/>
    <w:rsid w:val="00571C4C"/>
    <w:rsid w:val="0059458B"/>
    <w:rsid w:val="00597BB7"/>
    <w:rsid w:val="005E19AB"/>
    <w:rsid w:val="006258C9"/>
    <w:rsid w:val="006720C7"/>
    <w:rsid w:val="00672E5E"/>
    <w:rsid w:val="00695250"/>
    <w:rsid w:val="006A4D19"/>
    <w:rsid w:val="006A50CB"/>
    <w:rsid w:val="006B498F"/>
    <w:rsid w:val="006E1E62"/>
    <w:rsid w:val="006E247D"/>
    <w:rsid w:val="00727992"/>
    <w:rsid w:val="007B67DC"/>
    <w:rsid w:val="007D02E4"/>
    <w:rsid w:val="007D1463"/>
    <w:rsid w:val="007F5111"/>
    <w:rsid w:val="0081014B"/>
    <w:rsid w:val="00830EDB"/>
    <w:rsid w:val="00866B45"/>
    <w:rsid w:val="00886ECF"/>
    <w:rsid w:val="008E6163"/>
    <w:rsid w:val="00906D5B"/>
    <w:rsid w:val="0091041E"/>
    <w:rsid w:val="00924661"/>
    <w:rsid w:val="009B18AE"/>
    <w:rsid w:val="009F5935"/>
    <w:rsid w:val="00A72E07"/>
    <w:rsid w:val="00A7395D"/>
    <w:rsid w:val="00A8630D"/>
    <w:rsid w:val="00AF1708"/>
    <w:rsid w:val="00AF3C76"/>
    <w:rsid w:val="00B02C4E"/>
    <w:rsid w:val="00B077BD"/>
    <w:rsid w:val="00B520BB"/>
    <w:rsid w:val="00BA2117"/>
    <w:rsid w:val="00BB1912"/>
    <w:rsid w:val="00C57339"/>
    <w:rsid w:val="00C87CE4"/>
    <w:rsid w:val="00CB17F3"/>
    <w:rsid w:val="00CD1A37"/>
    <w:rsid w:val="00CF6E0E"/>
    <w:rsid w:val="00D25E40"/>
    <w:rsid w:val="00E402A9"/>
    <w:rsid w:val="00E6232E"/>
    <w:rsid w:val="00EC63F2"/>
    <w:rsid w:val="00EF724D"/>
    <w:rsid w:val="00F05174"/>
    <w:rsid w:val="00F053E2"/>
    <w:rsid w:val="00F147D5"/>
    <w:rsid w:val="00F165C3"/>
    <w:rsid w:val="00FA22FA"/>
    <w:rsid w:val="00FB37DA"/>
    <w:rsid w:val="00FC30BD"/>
    <w:rsid w:val="00FE4BE9"/>
    <w:rsid w:val="00FF5209"/>
    <w:rsid w:val="01395249"/>
    <w:rsid w:val="01501A81"/>
    <w:rsid w:val="0178768B"/>
    <w:rsid w:val="01811186"/>
    <w:rsid w:val="01AF481A"/>
    <w:rsid w:val="01BA469A"/>
    <w:rsid w:val="01D05436"/>
    <w:rsid w:val="01E834DD"/>
    <w:rsid w:val="02031D61"/>
    <w:rsid w:val="02291C3C"/>
    <w:rsid w:val="025C0116"/>
    <w:rsid w:val="026B50D9"/>
    <w:rsid w:val="02B060EE"/>
    <w:rsid w:val="02D36548"/>
    <w:rsid w:val="02E31FD2"/>
    <w:rsid w:val="02EC0A56"/>
    <w:rsid w:val="02F71E58"/>
    <w:rsid w:val="03145506"/>
    <w:rsid w:val="032B10EA"/>
    <w:rsid w:val="03605F71"/>
    <w:rsid w:val="036B2DF9"/>
    <w:rsid w:val="03770D13"/>
    <w:rsid w:val="039F299B"/>
    <w:rsid w:val="03AE795E"/>
    <w:rsid w:val="03CE5CF8"/>
    <w:rsid w:val="03D31747"/>
    <w:rsid w:val="03FA155C"/>
    <w:rsid w:val="044C5900"/>
    <w:rsid w:val="045C19CE"/>
    <w:rsid w:val="046B3DBE"/>
    <w:rsid w:val="04E95DFE"/>
    <w:rsid w:val="051C4E13"/>
    <w:rsid w:val="05240B21"/>
    <w:rsid w:val="05381E09"/>
    <w:rsid w:val="0560691E"/>
    <w:rsid w:val="05AB05F8"/>
    <w:rsid w:val="05AC2593"/>
    <w:rsid w:val="05C1044E"/>
    <w:rsid w:val="05D10BE5"/>
    <w:rsid w:val="05D312F2"/>
    <w:rsid w:val="05DC336A"/>
    <w:rsid w:val="05F63235"/>
    <w:rsid w:val="06173413"/>
    <w:rsid w:val="061D52B0"/>
    <w:rsid w:val="0621322B"/>
    <w:rsid w:val="067724B4"/>
    <w:rsid w:val="068059CA"/>
    <w:rsid w:val="06C615A2"/>
    <w:rsid w:val="06D4416C"/>
    <w:rsid w:val="070D5F42"/>
    <w:rsid w:val="077C14A9"/>
    <w:rsid w:val="077E67C2"/>
    <w:rsid w:val="07971C39"/>
    <w:rsid w:val="079A4A26"/>
    <w:rsid w:val="07B376E6"/>
    <w:rsid w:val="07CD098C"/>
    <w:rsid w:val="07EF6D6D"/>
    <w:rsid w:val="082E2B4C"/>
    <w:rsid w:val="0836281F"/>
    <w:rsid w:val="084D5698"/>
    <w:rsid w:val="087E00E7"/>
    <w:rsid w:val="0895365F"/>
    <w:rsid w:val="08E37B9C"/>
    <w:rsid w:val="08FE67BC"/>
    <w:rsid w:val="0900512E"/>
    <w:rsid w:val="091B253A"/>
    <w:rsid w:val="09214CE2"/>
    <w:rsid w:val="09617865"/>
    <w:rsid w:val="09CB08A8"/>
    <w:rsid w:val="09EB0206"/>
    <w:rsid w:val="0A207B6A"/>
    <w:rsid w:val="0A321B2F"/>
    <w:rsid w:val="0A440EE2"/>
    <w:rsid w:val="0A442FC6"/>
    <w:rsid w:val="0A5C666F"/>
    <w:rsid w:val="0A8050FD"/>
    <w:rsid w:val="0AC02B81"/>
    <w:rsid w:val="0AEE16B2"/>
    <w:rsid w:val="0B1247E5"/>
    <w:rsid w:val="0B1D0203"/>
    <w:rsid w:val="0B380A9D"/>
    <w:rsid w:val="0B445C63"/>
    <w:rsid w:val="0B4877C7"/>
    <w:rsid w:val="0B4C6367"/>
    <w:rsid w:val="0B6A45AB"/>
    <w:rsid w:val="0BA34615"/>
    <w:rsid w:val="0BEF2F28"/>
    <w:rsid w:val="0BF12E98"/>
    <w:rsid w:val="0C0F1C38"/>
    <w:rsid w:val="0C200799"/>
    <w:rsid w:val="0C270B63"/>
    <w:rsid w:val="0C5F41E2"/>
    <w:rsid w:val="0C9E2876"/>
    <w:rsid w:val="0CA03088"/>
    <w:rsid w:val="0CA22C14"/>
    <w:rsid w:val="0D48462F"/>
    <w:rsid w:val="0D543AC8"/>
    <w:rsid w:val="0D59797D"/>
    <w:rsid w:val="0D6D12D8"/>
    <w:rsid w:val="0D7B1660"/>
    <w:rsid w:val="0D953B86"/>
    <w:rsid w:val="0DB56F4F"/>
    <w:rsid w:val="0DBD770B"/>
    <w:rsid w:val="0DC84865"/>
    <w:rsid w:val="0DD75714"/>
    <w:rsid w:val="0DDD64A2"/>
    <w:rsid w:val="0DF75B9A"/>
    <w:rsid w:val="0E0D3566"/>
    <w:rsid w:val="0E220612"/>
    <w:rsid w:val="0E3B6182"/>
    <w:rsid w:val="0E623A8D"/>
    <w:rsid w:val="0E685614"/>
    <w:rsid w:val="0E725B97"/>
    <w:rsid w:val="0E7556DE"/>
    <w:rsid w:val="0E7B3256"/>
    <w:rsid w:val="0E8E68FD"/>
    <w:rsid w:val="0E9A6F2A"/>
    <w:rsid w:val="0EC80E5B"/>
    <w:rsid w:val="0EE86EE5"/>
    <w:rsid w:val="0F00618D"/>
    <w:rsid w:val="0F08235D"/>
    <w:rsid w:val="0F162A00"/>
    <w:rsid w:val="0F2949AA"/>
    <w:rsid w:val="0F4D74A9"/>
    <w:rsid w:val="0F563DE2"/>
    <w:rsid w:val="0F6674E4"/>
    <w:rsid w:val="0FB42576"/>
    <w:rsid w:val="0FC73841"/>
    <w:rsid w:val="0FD67B87"/>
    <w:rsid w:val="0FEE7837"/>
    <w:rsid w:val="0FFB026F"/>
    <w:rsid w:val="104A5ED2"/>
    <w:rsid w:val="104D6255"/>
    <w:rsid w:val="1050598C"/>
    <w:rsid w:val="10541BDE"/>
    <w:rsid w:val="10557F85"/>
    <w:rsid w:val="10944FD2"/>
    <w:rsid w:val="109945F0"/>
    <w:rsid w:val="10B90CC1"/>
    <w:rsid w:val="10BC10EF"/>
    <w:rsid w:val="10C94545"/>
    <w:rsid w:val="11097A4C"/>
    <w:rsid w:val="111F5232"/>
    <w:rsid w:val="11241962"/>
    <w:rsid w:val="1136674A"/>
    <w:rsid w:val="1142636C"/>
    <w:rsid w:val="116511AC"/>
    <w:rsid w:val="11905A27"/>
    <w:rsid w:val="119A38B4"/>
    <w:rsid w:val="11A5685A"/>
    <w:rsid w:val="11AD135C"/>
    <w:rsid w:val="11C3225E"/>
    <w:rsid w:val="11C813B5"/>
    <w:rsid w:val="11D04827"/>
    <w:rsid w:val="120255E6"/>
    <w:rsid w:val="12375093"/>
    <w:rsid w:val="123A1002"/>
    <w:rsid w:val="12603305"/>
    <w:rsid w:val="1260352A"/>
    <w:rsid w:val="12607A0E"/>
    <w:rsid w:val="126329B0"/>
    <w:rsid w:val="128F3AA7"/>
    <w:rsid w:val="12AB2457"/>
    <w:rsid w:val="12B25E81"/>
    <w:rsid w:val="12E21004"/>
    <w:rsid w:val="13596A2D"/>
    <w:rsid w:val="135D5C87"/>
    <w:rsid w:val="13902C50"/>
    <w:rsid w:val="13C80F42"/>
    <w:rsid w:val="13C8323F"/>
    <w:rsid w:val="13D047EB"/>
    <w:rsid w:val="13E54EC3"/>
    <w:rsid w:val="13EA55E8"/>
    <w:rsid w:val="13FE54A6"/>
    <w:rsid w:val="14193033"/>
    <w:rsid w:val="146E56A0"/>
    <w:rsid w:val="14F0250E"/>
    <w:rsid w:val="14F21311"/>
    <w:rsid w:val="15235BEC"/>
    <w:rsid w:val="152D417A"/>
    <w:rsid w:val="152D6383"/>
    <w:rsid w:val="153A5747"/>
    <w:rsid w:val="1555339C"/>
    <w:rsid w:val="15FD5FF7"/>
    <w:rsid w:val="16120462"/>
    <w:rsid w:val="16580EF6"/>
    <w:rsid w:val="165B71B5"/>
    <w:rsid w:val="168373DC"/>
    <w:rsid w:val="1687288C"/>
    <w:rsid w:val="16926D15"/>
    <w:rsid w:val="16B424D3"/>
    <w:rsid w:val="16D84525"/>
    <w:rsid w:val="16E15577"/>
    <w:rsid w:val="16F639D7"/>
    <w:rsid w:val="16FA5577"/>
    <w:rsid w:val="170A7367"/>
    <w:rsid w:val="17481D0A"/>
    <w:rsid w:val="174B2441"/>
    <w:rsid w:val="175221BE"/>
    <w:rsid w:val="17715B9E"/>
    <w:rsid w:val="178B7049"/>
    <w:rsid w:val="179B7A41"/>
    <w:rsid w:val="179D0CB1"/>
    <w:rsid w:val="17DE14ED"/>
    <w:rsid w:val="17F12716"/>
    <w:rsid w:val="180E5F8F"/>
    <w:rsid w:val="183B1AC3"/>
    <w:rsid w:val="185300C4"/>
    <w:rsid w:val="18945B9F"/>
    <w:rsid w:val="18FC3F1D"/>
    <w:rsid w:val="1914013F"/>
    <w:rsid w:val="191835A6"/>
    <w:rsid w:val="195D708F"/>
    <w:rsid w:val="19651BF8"/>
    <w:rsid w:val="196D233A"/>
    <w:rsid w:val="199302C7"/>
    <w:rsid w:val="19A82E33"/>
    <w:rsid w:val="19B539B2"/>
    <w:rsid w:val="19DA7E6E"/>
    <w:rsid w:val="19FF62E5"/>
    <w:rsid w:val="1A3A40FB"/>
    <w:rsid w:val="1A4C19F4"/>
    <w:rsid w:val="1AAE1CBA"/>
    <w:rsid w:val="1AB350E2"/>
    <w:rsid w:val="1AE625E7"/>
    <w:rsid w:val="1AF4285D"/>
    <w:rsid w:val="1B07707C"/>
    <w:rsid w:val="1B223994"/>
    <w:rsid w:val="1B4924A4"/>
    <w:rsid w:val="1B4B5C4C"/>
    <w:rsid w:val="1B6A31E8"/>
    <w:rsid w:val="1BAD7F87"/>
    <w:rsid w:val="1BDF4030"/>
    <w:rsid w:val="1BF806F8"/>
    <w:rsid w:val="1BFC4AC7"/>
    <w:rsid w:val="1C4816E6"/>
    <w:rsid w:val="1C4E55E6"/>
    <w:rsid w:val="1C5E230A"/>
    <w:rsid w:val="1C877DEB"/>
    <w:rsid w:val="1CAC6DB0"/>
    <w:rsid w:val="1CBE5341"/>
    <w:rsid w:val="1CBF58D8"/>
    <w:rsid w:val="1CCB3614"/>
    <w:rsid w:val="1CDA65F5"/>
    <w:rsid w:val="1D013FED"/>
    <w:rsid w:val="1D042ECD"/>
    <w:rsid w:val="1D253EFC"/>
    <w:rsid w:val="1D393A52"/>
    <w:rsid w:val="1DA55579"/>
    <w:rsid w:val="1DA735F8"/>
    <w:rsid w:val="1DB0515B"/>
    <w:rsid w:val="1DCE20EE"/>
    <w:rsid w:val="1DCE7511"/>
    <w:rsid w:val="1DE1245E"/>
    <w:rsid w:val="1DE627B1"/>
    <w:rsid w:val="1E15011B"/>
    <w:rsid w:val="1E154B6A"/>
    <w:rsid w:val="1E271599"/>
    <w:rsid w:val="1E2E1439"/>
    <w:rsid w:val="1E30165C"/>
    <w:rsid w:val="1E317744"/>
    <w:rsid w:val="1E6E7D5B"/>
    <w:rsid w:val="1E9B4FE9"/>
    <w:rsid w:val="1EAA4E2B"/>
    <w:rsid w:val="1EAA60BD"/>
    <w:rsid w:val="1F0561DB"/>
    <w:rsid w:val="1F183CCC"/>
    <w:rsid w:val="1F3B1562"/>
    <w:rsid w:val="1F5D2DC6"/>
    <w:rsid w:val="1F5F7CA0"/>
    <w:rsid w:val="1F69617A"/>
    <w:rsid w:val="1F785043"/>
    <w:rsid w:val="1FC22195"/>
    <w:rsid w:val="1FF21AB3"/>
    <w:rsid w:val="201D3A32"/>
    <w:rsid w:val="204C2871"/>
    <w:rsid w:val="20562900"/>
    <w:rsid w:val="207115C6"/>
    <w:rsid w:val="20DE4EDE"/>
    <w:rsid w:val="20EC5F2B"/>
    <w:rsid w:val="21233C69"/>
    <w:rsid w:val="21235044"/>
    <w:rsid w:val="21250ADE"/>
    <w:rsid w:val="213B1DC8"/>
    <w:rsid w:val="21843D65"/>
    <w:rsid w:val="21877BA1"/>
    <w:rsid w:val="21880766"/>
    <w:rsid w:val="21D83489"/>
    <w:rsid w:val="21DC73B6"/>
    <w:rsid w:val="21EB11BF"/>
    <w:rsid w:val="220F0F5A"/>
    <w:rsid w:val="22381FFC"/>
    <w:rsid w:val="22571B51"/>
    <w:rsid w:val="22636561"/>
    <w:rsid w:val="22764103"/>
    <w:rsid w:val="22981F9C"/>
    <w:rsid w:val="22A50DD1"/>
    <w:rsid w:val="22B83F02"/>
    <w:rsid w:val="22C67910"/>
    <w:rsid w:val="22DA2ABA"/>
    <w:rsid w:val="231B3691"/>
    <w:rsid w:val="2361787B"/>
    <w:rsid w:val="23720081"/>
    <w:rsid w:val="23846033"/>
    <w:rsid w:val="23916F72"/>
    <w:rsid w:val="23F9568A"/>
    <w:rsid w:val="240B21EF"/>
    <w:rsid w:val="24236C43"/>
    <w:rsid w:val="242C3DBC"/>
    <w:rsid w:val="24442384"/>
    <w:rsid w:val="24443DC5"/>
    <w:rsid w:val="24C809CC"/>
    <w:rsid w:val="250E2F75"/>
    <w:rsid w:val="25420D70"/>
    <w:rsid w:val="25AF5431"/>
    <w:rsid w:val="25D20619"/>
    <w:rsid w:val="25DD3011"/>
    <w:rsid w:val="25FB4E43"/>
    <w:rsid w:val="26030548"/>
    <w:rsid w:val="2637724E"/>
    <w:rsid w:val="26585DBB"/>
    <w:rsid w:val="265912DF"/>
    <w:rsid w:val="26673500"/>
    <w:rsid w:val="26933183"/>
    <w:rsid w:val="26B45F67"/>
    <w:rsid w:val="26C82234"/>
    <w:rsid w:val="26EF1372"/>
    <w:rsid w:val="26EF40E8"/>
    <w:rsid w:val="26F02336"/>
    <w:rsid w:val="26F8053B"/>
    <w:rsid w:val="271E1594"/>
    <w:rsid w:val="275335A0"/>
    <w:rsid w:val="27A120BD"/>
    <w:rsid w:val="27B75AA2"/>
    <w:rsid w:val="27BD4F8E"/>
    <w:rsid w:val="27D60126"/>
    <w:rsid w:val="27FD32DC"/>
    <w:rsid w:val="28075FC6"/>
    <w:rsid w:val="288B11F3"/>
    <w:rsid w:val="28B53785"/>
    <w:rsid w:val="28C80F21"/>
    <w:rsid w:val="28E02ADB"/>
    <w:rsid w:val="28F1279C"/>
    <w:rsid w:val="290A5ABC"/>
    <w:rsid w:val="290B2CB8"/>
    <w:rsid w:val="29304070"/>
    <w:rsid w:val="29713486"/>
    <w:rsid w:val="29751076"/>
    <w:rsid w:val="297B7644"/>
    <w:rsid w:val="298E088F"/>
    <w:rsid w:val="29A32B13"/>
    <w:rsid w:val="29D70F50"/>
    <w:rsid w:val="29DA0519"/>
    <w:rsid w:val="29DC4010"/>
    <w:rsid w:val="29DF0BF3"/>
    <w:rsid w:val="29E75D62"/>
    <w:rsid w:val="2A514DFD"/>
    <w:rsid w:val="2A9316A5"/>
    <w:rsid w:val="2AB23A66"/>
    <w:rsid w:val="2ACD4D45"/>
    <w:rsid w:val="2AEC2931"/>
    <w:rsid w:val="2AEC7648"/>
    <w:rsid w:val="2B0B4625"/>
    <w:rsid w:val="2B221FA8"/>
    <w:rsid w:val="2B3A36BA"/>
    <w:rsid w:val="2B83541A"/>
    <w:rsid w:val="2B9A4BEB"/>
    <w:rsid w:val="2BA054AC"/>
    <w:rsid w:val="2BA5117D"/>
    <w:rsid w:val="2BA660F3"/>
    <w:rsid w:val="2BC2145B"/>
    <w:rsid w:val="2BC55497"/>
    <w:rsid w:val="2BCA7BFE"/>
    <w:rsid w:val="2BD3745D"/>
    <w:rsid w:val="2BDF216D"/>
    <w:rsid w:val="2C0F477D"/>
    <w:rsid w:val="2C114EFC"/>
    <w:rsid w:val="2C191EEA"/>
    <w:rsid w:val="2C207A05"/>
    <w:rsid w:val="2C522220"/>
    <w:rsid w:val="2C5B6899"/>
    <w:rsid w:val="2C5E1A1C"/>
    <w:rsid w:val="2C784EAD"/>
    <w:rsid w:val="2CC226F3"/>
    <w:rsid w:val="2CC65AEC"/>
    <w:rsid w:val="2CCA4130"/>
    <w:rsid w:val="2CD26DA1"/>
    <w:rsid w:val="2CDE3600"/>
    <w:rsid w:val="2CFB1FBE"/>
    <w:rsid w:val="2D016DE4"/>
    <w:rsid w:val="2D283F1A"/>
    <w:rsid w:val="2D5979AF"/>
    <w:rsid w:val="2D620D08"/>
    <w:rsid w:val="2D720219"/>
    <w:rsid w:val="2DCF12E9"/>
    <w:rsid w:val="2E2E5D1F"/>
    <w:rsid w:val="2E3F77CA"/>
    <w:rsid w:val="2E4D58E9"/>
    <w:rsid w:val="2E99793A"/>
    <w:rsid w:val="2EBF41A3"/>
    <w:rsid w:val="2EC11995"/>
    <w:rsid w:val="2EEB67FF"/>
    <w:rsid w:val="2F40430A"/>
    <w:rsid w:val="2F5F339E"/>
    <w:rsid w:val="2FF32D3B"/>
    <w:rsid w:val="3031391C"/>
    <w:rsid w:val="30656996"/>
    <w:rsid w:val="306D4AC4"/>
    <w:rsid w:val="30732574"/>
    <w:rsid w:val="3084099C"/>
    <w:rsid w:val="308B2688"/>
    <w:rsid w:val="308B7312"/>
    <w:rsid w:val="30AA31D9"/>
    <w:rsid w:val="30B304DF"/>
    <w:rsid w:val="30D43674"/>
    <w:rsid w:val="310A1AE9"/>
    <w:rsid w:val="31424616"/>
    <w:rsid w:val="31842302"/>
    <w:rsid w:val="318B746D"/>
    <w:rsid w:val="31E24C93"/>
    <w:rsid w:val="31EC5C7C"/>
    <w:rsid w:val="32013E16"/>
    <w:rsid w:val="32315CDB"/>
    <w:rsid w:val="32395FEC"/>
    <w:rsid w:val="32B729F1"/>
    <w:rsid w:val="32C963C0"/>
    <w:rsid w:val="32D8566D"/>
    <w:rsid w:val="32DB126A"/>
    <w:rsid w:val="32E63CE2"/>
    <w:rsid w:val="334761B1"/>
    <w:rsid w:val="33543A27"/>
    <w:rsid w:val="337906C2"/>
    <w:rsid w:val="33AC43F6"/>
    <w:rsid w:val="33BA52E9"/>
    <w:rsid w:val="33C63526"/>
    <w:rsid w:val="33D956B7"/>
    <w:rsid w:val="34200C20"/>
    <w:rsid w:val="34246A76"/>
    <w:rsid w:val="34277FD4"/>
    <w:rsid w:val="343D0B83"/>
    <w:rsid w:val="3479242B"/>
    <w:rsid w:val="34802BC6"/>
    <w:rsid w:val="34C6455E"/>
    <w:rsid w:val="35207445"/>
    <w:rsid w:val="35212EA4"/>
    <w:rsid w:val="35260596"/>
    <w:rsid w:val="355035EF"/>
    <w:rsid w:val="3563644D"/>
    <w:rsid w:val="356F06AA"/>
    <w:rsid w:val="35782FF5"/>
    <w:rsid w:val="359B7B1C"/>
    <w:rsid w:val="35D90D07"/>
    <w:rsid w:val="3646710F"/>
    <w:rsid w:val="364855D2"/>
    <w:rsid w:val="36524514"/>
    <w:rsid w:val="36A15B55"/>
    <w:rsid w:val="36DD40C2"/>
    <w:rsid w:val="36E777CD"/>
    <w:rsid w:val="37450053"/>
    <w:rsid w:val="375A79A8"/>
    <w:rsid w:val="37842594"/>
    <w:rsid w:val="379021A0"/>
    <w:rsid w:val="37C3396C"/>
    <w:rsid w:val="37E73206"/>
    <w:rsid w:val="37EF0D06"/>
    <w:rsid w:val="37FD2F69"/>
    <w:rsid w:val="380A746A"/>
    <w:rsid w:val="38173F9E"/>
    <w:rsid w:val="384C4558"/>
    <w:rsid w:val="38841B11"/>
    <w:rsid w:val="38A60CB6"/>
    <w:rsid w:val="38DB2AC2"/>
    <w:rsid w:val="38EF6E17"/>
    <w:rsid w:val="391D5BEF"/>
    <w:rsid w:val="39551659"/>
    <w:rsid w:val="39A34764"/>
    <w:rsid w:val="39B61A53"/>
    <w:rsid w:val="39C332E6"/>
    <w:rsid w:val="39E855C0"/>
    <w:rsid w:val="3A1132CE"/>
    <w:rsid w:val="3A1A77B0"/>
    <w:rsid w:val="3A2428FE"/>
    <w:rsid w:val="3A461B40"/>
    <w:rsid w:val="3A8613E7"/>
    <w:rsid w:val="3AB62DB5"/>
    <w:rsid w:val="3AD259A1"/>
    <w:rsid w:val="3B080AEA"/>
    <w:rsid w:val="3B2C3654"/>
    <w:rsid w:val="3B4B7DDB"/>
    <w:rsid w:val="3B537AC4"/>
    <w:rsid w:val="3B5E1E81"/>
    <w:rsid w:val="3B765851"/>
    <w:rsid w:val="3B9B6E62"/>
    <w:rsid w:val="3BD454DC"/>
    <w:rsid w:val="3BE62CE9"/>
    <w:rsid w:val="3BF63A35"/>
    <w:rsid w:val="3C01043E"/>
    <w:rsid w:val="3C0A20E8"/>
    <w:rsid w:val="3C116F0F"/>
    <w:rsid w:val="3C746B9E"/>
    <w:rsid w:val="3CC8123B"/>
    <w:rsid w:val="3CDA605D"/>
    <w:rsid w:val="3CE24225"/>
    <w:rsid w:val="3D045EE6"/>
    <w:rsid w:val="3D4A58EF"/>
    <w:rsid w:val="3D6C00EB"/>
    <w:rsid w:val="3D7F5B7C"/>
    <w:rsid w:val="3D9321D8"/>
    <w:rsid w:val="3DA3607C"/>
    <w:rsid w:val="3DA74000"/>
    <w:rsid w:val="3DD651E6"/>
    <w:rsid w:val="3DE96E40"/>
    <w:rsid w:val="3DF07E49"/>
    <w:rsid w:val="3E1932D9"/>
    <w:rsid w:val="3E6C67AA"/>
    <w:rsid w:val="3E9475F0"/>
    <w:rsid w:val="3EB8671E"/>
    <w:rsid w:val="3EF26A86"/>
    <w:rsid w:val="3F972FF1"/>
    <w:rsid w:val="3FA40ECD"/>
    <w:rsid w:val="3FD96380"/>
    <w:rsid w:val="40701293"/>
    <w:rsid w:val="40853C31"/>
    <w:rsid w:val="409F77D8"/>
    <w:rsid w:val="40AB610F"/>
    <w:rsid w:val="40B30DC3"/>
    <w:rsid w:val="40C26D6E"/>
    <w:rsid w:val="40D36688"/>
    <w:rsid w:val="40D93C52"/>
    <w:rsid w:val="40E829D4"/>
    <w:rsid w:val="410A1FE6"/>
    <w:rsid w:val="411C4354"/>
    <w:rsid w:val="411C5557"/>
    <w:rsid w:val="418C6185"/>
    <w:rsid w:val="41987C6E"/>
    <w:rsid w:val="41AF6602"/>
    <w:rsid w:val="41EB37AC"/>
    <w:rsid w:val="41F6765C"/>
    <w:rsid w:val="41F7233C"/>
    <w:rsid w:val="421A17F2"/>
    <w:rsid w:val="42265F98"/>
    <w:rsid w:val="42546990"/>
    <w:rsid w:val="425D632E"/>
    <w:rsid w:val="427D578B"/>
    <w:rsid w:val="428A7E0C"/>
    <w:rsid w:val="42C74678"/>
    <w:rsid w:val="42CC74D0"/>
    <w:rsid w:val="42D5354C"/>
    <w:rsid w:val="42DA6E28"/>
    <w:rsid w:val="430A310A"/>
    <w:rsid w:val="433169DA"/>
    <w:rsid w:val="433D3B02"/>
    <w:rsid w:val="43446933"/>
    <w:rsid w:val="436E2A8B"/>
    <w:rsid w:val="43AA237A"/>
    <w:rsid w:val="43B839EB"/>
    <w:rsid w:val="43B864F2"/>
    <w:rsid w:val="441B66A3"/>
    <w:rsid w:val="442A4C48"/>
    <w:rsid w:val="443D2366"/>
    <w:rsid w:val="443E18A1"/>
    <w:rsid w:val="44445A2C"/>
    <w:rsid w:val="444B0DE1"/>
    <w:rsid w:val="44507A88"/>
    <w:rsid w:val="445E0880"/>
    <w:rsid w:val="449053BE"/>
    <w:rsid w:val="44A358F9"/>
    <w:rsid w:val="44D04970"/>
    <w:rsid w:val="44D73878"/>
    <w:rsid w:val="44EB382A"/>
    <w:rsid w:val="45262197"/>
    <w:rsid w:val="453D1D4A"/>
    <w:rsid w:val="45577096"/>
    <w:rsid w:val="45780994"/>
    <w:rsid w:val="46000FF6"/>
    <w:rsid w:val="468872F7"/>
    <w:rsid w:val="46D16F6D"/>
    <w:rsid w:val="46E51DA8"/>
    <w:rsid w:val="46EB41EB"/>
    <w:rsid w:val="472A0F4D"/>
    <w:rsid w:val="474E2ED8"/>
    <w:rsid w:val="47583182"/>
    <w:rsid w:val="479E2B56"/>
    <w:rsid w:val="47D02884"/>
    <w:rsid w:val="47E5141E"/>
    <w:rsid w:val="47F43FCB"/>
    <w:rsid w:val="482051F9"/>
    <w:rsid w:val="4838434B"/>
    <w:rsid w:val="48496422"/>
    <w:rsid w:val="484E328B"/>
    <w:rsid w:val="48651E07"/>
    <w:rsid w:val="487D485E"/>
    <w:rsid w:val="48AB1ACA"/>
    <w:rsid w:val="48BE6D0F"/>
    <w:rsid w:val="48C37200"/>
    <w:rsid w:val="48E14E2D"/>
    <w:rsid w:val="48E852E0"/>
    <w:rsid w:val="493017B1"/>
    <w:rsid w:val="49333D90"/>
    <w:rsid w:val="493A2D00"/>
    <w:rsid w:val="49463846"/>
    <w:rsid w:val="497A1012"/>
    <w:rsid w:val="497F1FE8"/>
    <w:rsid w:val="499606AE"/>
    <w:rsid w:val="49B7064A"/>
    <w:rsid w:val="49B72A9C"/>
    <w:rsid w:val="49D51486"/>
    <w:rsid w:val="49F74777"/>
    <w:rsid w:val="4A003FE9"/>
    <w:rsid w:val="4A392BEC"/>
    <w:rsid w:val="4A4F2914"/>
    <w:rsid w:val="4A550BDA"/>
    <w:rsid w:val="4AAE6DC8"/>
    <w:rsid w:val="4AFD1C26"/>
    <w:rsid w:val="4B150627"/>
    <w:rsid w:val="4B2F3D6F"/>
    <w:rsid w:val="4B3B666B"/>
    <w:rsid w:val="4B6D1D16"/>
    <w:rsid w:val="4B6E35D1"/>
    <w:rsid w:val="4B8137A8"/>
    <w:rsid w:val="4B9933E5"/>
    <w:rsid w:val="4BB56A52"/>
    <w:rsid w:val="4BC41084"/>
    <w:rsid w:val="4BC653CE"/>
    <w:rsid w:val="4BDC1F3F"/>
    <w:rsid w:val="4C0A72B9"/>
    <w:rsid w:val="4C1B0573"/>
    <w:rsid w:val="4C2D72F8"/>
    <w:rsid w:val="4C4269CB"/>
    <w:rsid w:val="4C502F9B"/>
    <w:rsid w:val="4C787E88"/>
    <w:rsid w:val="4C7D6434"/>
    <w:rsid w:val="4C9A2375"/>
    <w:rsid w:val="4CAA0711"/>
    <w:rsid w:val="4CAC2D49"/>
    <w:rsid w:val="4CCE18DC"/>
    <w:rsid w:val="4D747821"/>
    <w:rsid w:val="4DA360E7"/>
    <w:rsid w:val="4DB7190B"/>
    <w:rsid w:val="4DC64783"/>
    <w:rsid w:val="4DCA45A2"/>
    <w:rsid w:val="4DD931AD"/>
    <w:rsid w:val="4DE90D34"/>
    <w:rsid w:val="4DFD14CB"/>
    <w:rsid w:val="4E034291"/>
    <w:rsid w:val="4E11518C"/>
    <w:rsid w:val="4E3A1A62"/>
    <w:rsid w:val="4E3D5780"/>
    <w:rsid w:val="4E4B6991"/>
    <w:rsid w:val="4E5B12A7"/>
    <w:rsid w:val="4E710C6F"/>
    <w:rsid w:val="4E7255AE"/>
    <w:rsid w:val="4E8E75EE"/>
    <w:rsid w:val="4EA474EE"/>
    <w:rsid w:val="4EAB5F49"/>
    <w:rsid w:val="4EB147BA"/>
    <w:rsid w:val="4EB64A0E"/>
    <w:rsid w:val="4EE97817"/>
    <w:rsid w:val="4EEF746A"/>
    <w:rsid w:val="4F0E1D21"/>
    <w:rsid w:val="4F275C0C"/>
    <w:rsid w:val="4F4617CE"/>
    <w:rsid w:val="4F600861"/>
    <w:rsid w:val="4F7C0D5D"/>
    <w:rsid w:val="4F8A6963"/>
    <w:rsid w:val="4FA251E4"/>
    <w:rsid w:val="4FA44376"/>
    <w:rsid w:val="4FD5018E"/>
    <w:rsid w:val="4FDA1A9F"/>
    <w:rsid w:val="4FDF5CAB"/>
    <w:rsid w:val="501D0414"/>
    <w:rsid w:val="502445CE"/>
    <w:rsid w:val="503016DC"/>
    <w:rsid w:val="504D23D4"/>
    <w:rsid w:val="505518B5"/>
    <w:rsid w:val="50AC17BB"/>
    <w:rsid w:val="50B34D82"/>
    <w:rsid w:val="50B8238B"/>
    <w:rsid w:val="50B96E0E"/>
    <w:rsid w:val="50BE6BFD"/>
    <w:rsid w:val="50BF793C"/>
    <w:rsid w:val="50C546E6"/>
    <w:rsid w:val="51192CAF"/>
    <w:rsid w:val="51270A60"/>
    <w:rsid w:val="51B234F8"/>
    <w:rsid w:val="51C42F97"/>
    <w:rsid w:val="51D06C18"/>
    <w:rsid w:val="521555D1"/>
    <w:rsid w:val="521913BA"/>
    <w:rsid w:val="52206C5D"/>
    <w:rsid w:val="522A70ED"/>
    <w:rsid w:val="526D025F"/>
    <w:rsid w:val="52744808"/>
    <w:rsid w:val="52B41D71"/>
    <w:rsid w:val="52DD20EB"/>
    <w:rsid w:val="52E8717A"/>
    <w:rsid w:val="52EC1BD1"/>
    <w:rsid w:val="531124C8"/>
    <w:rsid w:val="534E733E"/>
    <w:rsid w:val="535168EB"/>
    <w:rsid w:val="535778B4"/>
    <w:rsid w:val="536B390D"/>
    <w:rsid w:val="53A84823"/>
    <w:rsid w:val="53AE4460"/>
    <w:rsid w:val="53B34101"/>
    <w:rsid w:val="53C1077C"/>
    <w:rsid w:val="53C812D9"/>
    <w:rsid w:val="53F97A4A"/>
    <w:rsid w:val="541C798F"/>
    <w:rsid w:val="544C0BBA"/>
    <w:rsid w:val="54747509"/>
    <w:rsid w:val="547C6BCB"/>
    <w:rsid w:val="54A0038E"/>
    <w:rsid w:val="54A2695B"/>
    <w:rsid w:val="54C87E9C"/>
    <w:rsid w:val="54CE2AFA"/>
    <w:rsid w:val="54DD7595"/>
    <w:rsid w:val="54DE7155"/>
    <w:rsid w:val="550603CC"/>
    <w:rsid w:val="552E1437"/>
    <w:rsid w:val="556B7A9B"/>
    <w:rsid w:val="557B441B"/>
    <w:rsid w:val="55B16B36"/>
    <w:rsid w:val="55C72FB5"/>
    <w:rsid w:val="55E65D83"/>
    <w:rsid w:val="55EB2333"/>
    <w:rsid w:val="55FE4202"/>
    <w:rsid w:val="560374FB"/>
    <w:rsid w:val="56387080"/>
    <w:rsid w:val="56985A48"/>
    <w:rsid w:val="569B4A27"/>
    <w:rsid w:val="56AC1389"/>
    <w:rsid w:val="56C653B0"/>
    <w:rsid w:val="56D0778D"/>
    <w:rsid w:val="56EB1A50"/>
    <w:rsid w:val="571274C7"/>
    <w:rsid w:val="571548F1"/>
    <w:rsid w:val="572E4EF0"/>
    <w:rsid w:val="572F0E3A"/>
    <w:rsid w:val="573A51E1"/>
    <w:rsid w:val="5767551A"/>
    <w:rsid w:val="57680227"/>
    <w:rsid w:val="577E684A"/>
    <w:rsid w:val="578D7524"/>
    <w:rsid w:val="578E6BE2"/>
    <w:rsid w:val="57FC119A"/>
    <w:rsid w:val="58032313"/>
    <w:rsid w:val="58407E7B"/>
    <w:rsid w:val="58506E64"/>
    <w:rsid w:val="58C549B8"/>
    <w:rsid w:val="58D0757D"/>
    <w:rsid w:val="5930003B"/>
    <w:rsid w:val="59301B53"/>
    <w:rsid w:val="59437C03"/>
    <w:rsid w:val="597B7110"/>
    <w:rsid w:val="598E7F6E"/>
    <w:rsid w:val="5998623D"/>
    <w:rsid w:val="59B24CDC"/>
    <w:rsid w:val="59C82235"/>
    <w:rsid w:val="59D2396D"/>
    <w:rsid w:val="59E94C01"/>
    <w:rsid w:val="5A990F55"/>
    <w:rsid w:val="5A9F6E0C"/>
    <w:rsid w:val="5AB17215"/>
    <w:rsid w:val="5AB628C1"/>
    <w:rsid w:val="5AC84955"/>
    <w:rsid w:val="5AD267D5"/>
    <w:rsid w:val="5AEF7A42"/>
    <w:rsid w:val="5B000528"/>
    <w:rsid w:val="5B2C724C"/>
    <w:rsid w:val="5B370563"/>
    <w:rsid w:val="5B53063D"/>
    <w:rsid w:val="5BBF103E"/>
    <w:rsid w:val="5BEE41EF"/>
    <w:rsid w:val="5C9E26A8"/>
    <w:rsid w:val="5CDB3AA2"/>
    <w:rsid w:val="5D013B08"/>
    <w:rsid w:val="5D287B83"/>
    <w:rsid w:val="5D3648D2"/>
    <w:rsid w:val="5D520BBA"/>
    <w:rsid w:val="5D866A48"/>
    <w:rsid w:val="5D8F6EFE"/>
    <w:rsid w:val="5DAA03D6"/>
    <w:rsid w:val="5DE44E54"/>
    <w:rsid w:val="5DF44155"/>
    <w:rsid w:val="5E63574A"/>
    <w:rsid w:val="5E751C59"/>
    <w:rsid w:val="5E824AEF"/>
    <w:rsid w:val="5E831EED"/>
    <w:rsid w:val="5EA3463D"/>
    <w:rsid w:val="5ED33EAA"/>
    <w:rsid w:val="5F275D50"/>
    <w:rsid w:val="5F315E14"/>
    <w:rsid w:val="5F623E14"/>
    <w:rsid w:val="5F9B402D"/>
    <w:rsid w:val="5FAB74A6"/>
    <w:rsid w:val="5FF41797"/>
    <w:rsid w:val="5FFD3019"/>
    <w:rsid w:val="604C0EF7"/>
    <w:rsid w:val="606576F6"/>
    <w:rsid w:val="6066176E"/>
    <w:rsid w:val="607050C2"/>
    <w:rsid w:val="607B3470"/>
    <w:rsid w:val="60962B30"/>
    <w:rsid w:val="60D01B21"/>
    <w:rsid w:val="60F64D20"/>
    <w:rsid w:val="614076FE"/>
    <w:rsid w:val="61667D19"/>
    <w:rsid w:val="619E61FD"/>
    <w:rsid w:val="61A8511A"/>
    <w:rsid w:val="61C1570C"/>
    <w:rsid w:val="61DC6C93"/>
    <w:rsid w:val="6258410D"/>
    <w:rsid w:val="625A4988"/>
    <w:rsid w:val="62623837"/>
    <w:rsid w:val="627632CC"/>
    <w:rsid w:val="627F1007"/>
    <w:rsid w:val="62A43808"/>
    <w:rsid w:val="62C04E29"/>
    <w:rsid w:val="62EA37E8"/>
    <w:rsid w:val="62F10032"/>
    <w:rsid w:val="63182B98"/>
    <w:rsid w:val="6327242C"/>
    <w:rsid w:val="63390927"/>
    <w:rsid w:val="633F699C"/>
    <w:rsid w:val="638C77B8"/>
    <w:rsid w:val="639D7154"/>
    <w:rsid w:val="63CD1390"/>
    <w:rsid w:val="63CF02CC"/>
    <w:rsid w:val="63CF77E6"/>
    <w:rsid w:val="63DC0D46"/>
    <w:rsid w:val="63E67F4B"/>
    <w:rsid w:val="63F315C5"/>
    <w:rsid w:val="63FC1162"/>
    <w:rsid w:val="640613C6"/>
    <w:rsid w:val="64304D0A"/>
    <w:rsid w:val="64501F72"/>
    <w:rsid w:val="645E06F7"/>
    <w:rsid w:val="645E34AF"/>
    <w:rsid w:val="646F75EA"/>
    <w:rsid w:val="64761305"/>
    <w:rsid w:val="647A62FF"/>
    <w:rsid w:val="649B12A1"/>
    <w:rsid w:val="64A15950"/>
    <w:rsid w:val="64B279AC"/>
    <w:rsid w:val="64BF1228"/>
    <w:rsid w:val="64D66CC8"/>
    <w:rsid w:val="64F16B2E"/>
    <w:rsid w:val="65146547"/>
    <w:rsid w:val="654B47DB"/>
    <w:rsid w:val="659B426E"/>
    <w:rsid w:val="65C36AC7"/>
    <w:rsid w:val="65CF2E25"/>
    <w:rsid w:val="65D92236"/>
    <w:rsid w:val="65EE3015"/>
    <w:rsid w:val="65F51D11"/>
    <w:rsid w:val="66041355"/>
    <w:rsid w:val="66233DC3"/>
    <w:rsid w:val="662D4923"/>
    <w:rsid w:val="662F4420"/>
    <w:rsid w:val="66466EBB"/>
    <w:rsid w:val="665A7035"/>
    <w:rsid w:val="6679745A"/>
    <w:rsid w:val="66A2184D"/>
    <w:rsid w:val="66B67037"/>
    <w:rsid w:val="670C2E34"/>
    <w:rsid w:val="67444946"/>
    <w:rsid w:val="677A2258"/>
    <w:rsid w:val="6790542D"/>
    <w:rsid w:val="679F7FA8"/>
    <w:rsid w:val="67BF24B9"/>
    <w:rsid w:val="67D231F7"/>
    <w:rsid w:val="67EF5A6D"/>
    <w:rsid w:val="67F854FE"/>
    <w:rsid w:val="68261404"/>
    <w:rsid w:val="683A437C"/>
    <w:rsid w:val="68651DE7"/>
    <w:rsid w:val="68C82D6C"/>
    <w:rsid w:val="68E30937"/>
    <w:rsid w:val="68E6641A"/>
    <w:rsid w:val="69041F26"/>
    <w:rsid w:val="691E4E61"/>
    <w:rsid w:val="69A16C2A"/>
    <w:rsid w:val="69A26180"/>
    <w:rsid w:val="69A452A3"/>
    <w:rsid w:val="6A02676B"/>
    <w:rsid w:val="6A126AEE"/>
    <w:rsid w:val="6A177455"/>
    <w:rsid w:val="6A2A0880"/>
    <w:rsid w:val="6A4675D7"/>
    <w:rsid w:val="6A616D6F"/>
    <w:rsid w:val="6A660125"/>
    <w:rsid w:val="6A6A1A6D"/>
    <w:rsid w:val="6A6A777B"/>
    <w:rsid w:val="6A8B67B2"/>
    <w:rsid w:val="6A981362"/>
    <w:rsid w:val="6AA6753E"/>
    <w:rsid w:val="6AAE3BD5"/>
    <w:rsid w:val="6ABC7B79"/>
    <w:rsid w:val="6AD4435E"/>
    <w:rsid w:val="6ADF0F99"/>
    <w:rsid w:val="6AE33E8E"/>
    <w:rsid w:val="6B10503D"/>
    <w:rsid w:val="6B254CAF"/>
    <w:rsid w:val="6B3611FB"/>
    <w:rsid w:val="6B511079"/>
    <w:rsid w:val="6BE46AA6"/>
    <w:rsid w:val="6C574393"/>
    <w:rsid w:val="6C5759A1"/>
    <w:rsid w:val="6C5925AB"/>
    <w:rsid w:val="6C8D1652"/>
    <w:rsid w:val="6C952436"/>
    <w:rsid w:val="6C9949B1"/>
    <w:rsid w:val="6CAB6174"/>
    <w:rsid w:val="6CF37C96"/>
    <w:rsid w:val="6D017311"/>
    <w:rsid w:val="6D022B5D"/>
    <w:rsid w:val="6D154D50"/>
    <w:rsid w:val="6D3A2750"/>
    <w:rsid w:val="6D516C33"/>
    <w:rsid w:val="6D5E513B"/>
    <w:rsid w:val="6DA10849"/>
    <w:rsid w:val="6DAD4F96"/>
    <w:rsid w:val="6DBE3C1C"/>
    <w:rsid w:val="6DD570F2"/>
    <w:rsid w:val="6E07289A"/>
    <w:rsid w:val="6E2F6877"/>
    <w:rsid w:val="6E4C33CE"/>
    <w:rsid w:val="6E521293"/>
    <w:rsid w:val="6E7F1B73"/>
    <w:rsid w:val="6E852A85"/>
    <w:rsid w:val="6EBF3631"/>
    <w:rsid w:val="6ED104F7"/>
    <w:rsid w:val="6EF105B8"/>
    <w:rsid w:val="6F064DD8"/>
    <w:rsid w:val="6F1503F3"/>
    <w:rsid w:val="6F3B3039"/>
    <w:rsid w:val="6F3F0578"/>
    <w:rsid w:val="6F510285"/>
    <w:rsid w:val="6F55700D"/>
    <w:rsid w:val="6F693921"/>
    <w:rsid w:val="6F6942A7"/>
    <w:rsid w:val="6F7C4544"/>
    <w:rsid w:val="6F9140A8"/>
    <w:rsid w:val="6F9615F0"/>
    <w:rsid w:val="6FF86F86"/>
    <w:rsid w:val="7044637C"/>
    <w:rsid w:val="70853245"/>
    <w:rsid w:val="7096329C"/>
    <w:rsid w:val="70DD26DD"/>
    <w:rsid w:val="70E87DC5"/>
    <w:rsid w:val="70FB519D"/>
    <w:rsid w:val="71095B4B"/>
    <w:rsid w:val="711546E4"/>
    <w:rsid w:val="71CF1396"/>
    <w:rsid w:val="71D61D26"/>
    <w:rsid w:val="71DD6943"/>
    <w:rsid w:val="71E126E7"/>
    <w:rsid w:val="72016C79"/>
    <w:rsid w:val="724542ED"/>
    <w:rsid w:val="7273017D"/>
    <w:rsid w:val="7280291B"/>
    <w:rsid w:val="7283567E"/>
    <w:rsid w:val="729C3858"/>
    <w:rsid w:val="72A76976"/>
    <w:rsid w:val="72B132EC"/>
    <w:rsid w:val="72C23135"/>
    <w:rsid w:val="72C836D4"/>
    <w:rsid w:val="73216B98"/>
    <w:rsid w:val="732C01B5"/>
    <w:rsid w:val="734B71CE"/>
    <w:rsid w:val="73543548"/>
    <w:rsid w:val="736C5F55"/>
    <w:rsid w:val="7397616E"/>
    <w:rsid w:val="73B9077F"/>
    <w:rsid w:val="73DC5D2B"/>
    <w:rsid w:val="7418018A"/>
    <w:rsid w:val="74223F7C"/>
    <w:rsid w:val="742B1A06"/>
    <w:rsid w:val="744A2B6B"/>
    <w:rsid w:val="74546524"/>
    <w:rsid w:val="746A214D"/>
    <w:rsid w:val="74BD796F"/>
    <w:rsid w:val="74D26794"/>
    <w:rsid w:val="74E74406"/>
    <w:rsid w:val="74F47A21"/>
    <w:rsid w:val="7511518E"/>
    <w:rsid w:val="7540614A"/>
    <w:rsid w:val="75BA5482"/>
    <w:rsid w:val="75C24164"/>
    <w:rsid w:val="75C716AF"/>
    <w:rsid w:val="7609076D"/>
    <w:rsid w:val="76204F57"/>
    <w:rsid w:val="7626390E"/>
    <w:rsid w:val="764959E1"/>
    <w:rsid w:val="76585B46"/>
    <w:rsid w:val="768825B8"/>
    <w:rsid w:val="768D2C9B"/>
    <w:rsid w:val="768E1616"/>
    <w:rsid w:val="768E20BA"/>
    <w:rsid w:val="76BD56C3"/>
    <w:rsid w:val="76C8243D"/>
    <w:rsid w:val="76DD1CA4"/>
    <w:rsid w:val="76FC640B"/>
    <w:rsid w:val="77103714"/>
    <w:rsid w:val="7732288E"/>
    <w:rsid w:val="77442F62"/>
    <w:rsid w:val="774C00C2"/>
    <w:rsid w:val="77516B93"/>
    <w:rsid w:val="7770141D"/>
    <w:rsid w:val="7778633F"/>
    <w:rsid w:val="777C4360"/>
    <w:rsid w:val="778E413F"/>
    <w:rsid w:val="77CC2F78"/>
    <w:rsid w:val="77E656B0"/>
    <w:rsid w:val="77F16938"/>
    <w:rsid w:val="77F24A1D"/>
    <w:rsid w:val="77FB68EA"/>
    <w:rsid w:val="782B0C40"/>
    <w:rsid w:val="784455A5"/>
    <w:rsid w:val="785B5CA8"/>
    <w:rsid w:val="786B5B34"/>
    <w:rsid w:val="78743FE8"/>
    <w:rsid w:val="78C74263"/>
    <w:rsid w:val="78D73D6F"/>
    <w:rsid w:val="79574BDF"/>
    <w:rsid w:val="796C10F2"/>
    <w:rsid w:val="79737D2F"/>
    <w:rsid w:val="79884DF6"/>
    <w:rsid w:val="79C838FD"/>
    <w:rsid w:val="7A510AAB"/>
    <w:rsid w:val="7A615E27"/>
    <w:rsid w:val="7A8D44B8"/>
    <w:rsid w:val="7A9602C9"/>
    <w:rsid w:val="7AA00DEB"/>
    <w:rsid w:val="7B3379EA"/>
    <w:rsid w:val="7B3472D3"/>
    <w:rsid w:val="7B845E1A"/>
    <w:rsid w:val="7BB06E0C"/>
    <w:rsid w:val="7BCD1CE5"/>
    <w:rsid w:val="7BCE4803"/>
    <w:rsid w:val="7BD824F3"/>
    <w:rsid w:val="7BE2114E"/>
    <w:rsid w:val="7BF4681D"/>
    <w:rsid w:val="7C092E75"/>
    <w:rsid w:val="7C2A5CBD"/>
    <w:rsid w:val="7C4A6E7C"/>
    <w:rsid w:val="7C6764A2"/>
    <w:rsid w:val="7C76530D"/>
    <w:rsid w:val="7C8A29A3"/>
    <w:rsid w:val="7C911938"/>
    <w:rsid w:val="7CF82DF2"/>
    <w:rsid w:val="7D010E8C"/>
    <w:rsid w:val="7D101122"/>
    <w:rsid w:val="7D2963E1"/>
    <w:rsid w:val="7D52237B"/>
    <w:rsid w:val="7D571A38"/>
    <w:rsid w:val="7D7C2F2E"/>
    <w:rsid w:val="7D8C77F5"/>
    <w:rsid w:val="7D930A39"/>
    <w:rsid w:val="7DB1600B"/>
    <w:rsid w:val="7DB3030A"/>
    <w:rsid w:val="7DE078D4"/>
    <w:rsid w:val="7E082EC6"/>
    <w:rsid w:val="7E123CE8"/>
    <w:rsid w:val="7E3E6C5A"/>
    <w:rsid w:val="7E5F1C7A"/>
    <w:rsid w:val="7E633922"/>
    <w:rsid w:val="7E7229A1"/>
    <w:rsid w:val="7E79B432"/>
    <w:rsid w:val="7E7B5986"/>
    <w:rsid w:val="7E8B2878"/>
    <w:rsid w:val="7E9360B0"/>
    <w:rsid w:val="7EA837BC"/>
    <w:rsid w:val="7EC56ACC"/>
    <w:rsid w:val="7EE34F42"/>
    <w:rsid w:val="7EF679BC"/>
    <w:rsid w:val="7F1709A4"/>
    <w:rsid w:val="7F194FF9"/>
    <w:rsid w:val="7F394685"/>
    <w:rsid w:val="7F582E59"/>
    <w:rsid w:val="7F6640B4"/>
    <w:rsid w:val="7F6B6EE8"/>
    <w:rsid w:val="7F6D6ECF"/>
    <w:rsid w:val="7F712A0F"/>
    <w:rsid w:val="7F915899"/>
    <w:rsid w:val="7FB827DB"/>
    <w:rsid w:val="7FBF4563"/>
    <w:rsid w:val="7FDF53F2"/>
    <w:rsid w:val="7FFC5A55"/>
    <w:rsid w:val="A7BC8559"/>
    <w:rsid w:val="EFFE3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iPriority="99"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4">
    <w:name w:val="heading 2"/>
    <w:basedOn w:val="1"/>
    <w:next w:val="1"/>
    <w:qFormat/>
    <w:uiPriority w:val="9"/>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9"/>
    <w:pPr>
      <w:keepNext/>
      <w:keepLines/>
      <w:spacing w:line="600" w:lineRule="exact"/>
      <w:ind w:firstLine="643" w:firstLineChars="200"/>
      <w:outlineLvl w:val="2"/>
    </w:pPr>
    <w:rPr>
      <w:b/>
      <w:bCs/>
      <w:sz w:val="32"/>
      <w:szCs w:val="32"/>
    </w:rPr>
  </w:style>
  <w:style w:type="paragraph" w:styleId="6">
    <w:name w:val="heading 5"/>
    <w:basedOn w:val="1"/>
    <w:next w:val="7"/>
    <w:qFormat/>
    <w:uiPriority w:val="9"/>
    <w:pPr>
      <w:keepNext/>
      <w:keepLines/>
      <w:spacing w:before="280" w:after="290" w:line="376" w:lineRule="auto"/>
      <w:outlineLvl w:val="4"/>
    </w:pPr>
    <w:rPr>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next w:val="1"/>
    <w:unhideWhenUsed/>
    <w:qFormat/>
    <w:uiPriority w:val="0"/>
    <w:pPr>
      <w:tabs>
        <w:tab w:val="center" w:pos="4153"/>
        <w:tab w:val="right" w:pos="8306"/>
      </w:tabs>
      <w:snapToGrid w:val="0"/>
      <w:jc w:val="left"/>
    </w:pPr>
    <w:rPr>
      <w:sz w:val="18"/>
      <w:szCs w:val="18"/>
    </w:rPr>
  </w:style>
  <w:style w:type="paragraph" w:styleId="7">
    <w:name w:val="Normal Indent"/>
    <w:basedOn w:val="1"/>
    <w:unhideWhenUsed/>
    <w:qFormat/>
    <w:uiPriority w:val="99"/>
    <w:pPr>
      <w:ind w:firstLine="420"/>
    </w:pPr>
    <w:rPr>
      <w:szCs w:val="20"/>
    </w:rPr>
  </w:style>
  <w:style w:type="paragraph" w:styleId="8">
    <w:name w:val="index 8"/>
    <w:basedOn w:val="1"/>
    <w:next w:val="1"/>
    <w:qFormat/>
    <w:uiPriority w:val="0"/>
    <w:pPr>
      <w:ind w:left="2940"/>
    </w:pPr>
  </w:style>
  <w:style w:type="paragraph" w:styleId="9">
    <w:name w:val="annotation text"/>
    <w:basedOn w:val="1"/>
    <w:link w:val="40"/>
    <w:unhideWhenUsed/>
    <w:qFormat/>
    <w:uiPriority w:val="99"/>
    <w:pPr>
      <w:jc w:val="left"/>
    </w:pPr>
  </w:style>
  <w:style w:type="paragraph" w:styleId="10">
    <w:name w:val="Body Text"/>
    <w:basedOn w:val="1"/>
    <w:next w:val="11"/>
    <w:unhideWhenUsed/>
    <w:qFormat/>
    <w:uiPriority w:val="0"/>
    <w:pPr>
      <w:spacing w:after="120"/>
    </w:pPr>
  </w:style>
  <w:style w:type="paragraph" w:styleId="11">
    <w:name w:val="Body Text First Indent 2"/>
    <w:basedOn w:val="12"/>
    <w:unhideWhenUsed/>
    <w:qFormat/>
    <w:uiPriority w:val="99"/>
    <w:pPr>
      <w:spacing w:after="120"/>
      <w:ind w:left="420" w:leftChars="200" w:firstLine="420" w:firstLineChars="200"/>
    </w:pPr>
    <w:rPr>
      <w:rFonts w:ascii="Times New Roman"/>
      <w:sz w:val="21"/>
      <w:szCs w:val="24"/>
    </w:rPr>
  </w:style>
  <w:style w:type="paragraph" w:styleId="12">
    <w:name w:val="Body Text Indent"/>
    <w:basedOn w:val="1"/>
    <w:next w:val="13"/>
    <w:unhideWhenUsed/>
    <w:qFormat/>
    <w:uiPriority w:val="99"/>
    <w:pPr>
      <w:spacing w:line="200" w:lineRule="exact"/>
      <w:ind w:firstLine="301"/>
    </w:pPr>
    <w:rPr>
      <w:rFonts w:ascii="宋体" w:hAnsi="Courier New"/>
      <w:spacing w:val="-4"/>
      <w:sz w:val="18"/>
      <w:szCs w:val="20"/>
    </w:rPr>
  </w:style>
  <w:style w:type="paragraph" w:styleId="13">
    <w:name w:val="annotation subject"/>
    <w:basedOn w:val="9"/>
    <w:next w:val="1"/>
    <w:qFormat/>
    <w:uiPriority w:val="0"/>
    <w:rPr>
      <w:b/>
      <w:bCs/>
    </w:rPr>
  </w:style>
  <w:style w:type="paragraph" w:styleId="14">
    <w:name w:val="toc 3"/>
    <w:basedOn w:val="1"/>
    <w:next w:val="1"/>
    <w:unhideWhenUsed/>
    <w:qFormat/>
    <w:uiPriority w:val="39"/>
    <w:pPr>
      <w:jc w:val="left"/>
    </w:pPr>
    <w:rPr>
      <w:rFonts w:ascii="Calibri" w:hAnsi="Calibri"/>
      <w:smallCaps/>
      <w:sz w:val="22"/>
      <w:szCs w:val="22"/>
    </w:rPr>
  </w:style>
  <w:style w:type="paragraph" w:styleId="15">
    <w:name w:val="Plain Text"/>
    <w:basedOn w:val="1"/>
    <w:next w:val="8"/>
    <w:unhideWhenUsed/>
    <w:qFormat/>
    <w:uiPriority w:val="0"/>
    <w:rPr>
      <w:rFonts w:ascii="宋体" w:hAnsi="Courier New"/>
      <w:szCs w:val="20"/>
    </w:rPr>
  </w:style>
  <w:style w:type="paragraph" w:styleId="16">
    <w:name w:val="Body Text Indent 2"/>
    <w:basedOn w:val="1"/>
    <w:qFormat/>
    <w:uiPriority w:val="0"/>
    <w:pPr>
      <w:spacing w:after="120" w:line="480" w:lineRule="auto"/>
      <w:ind w:left="420" w:leftChars="200"/>
    </w:pPr>
    <w:rPr>
      <w:kern w:val="0"/>
      <w:sz w:val="20"/>
    </w:rPr>
  </w:style>
  <w:style w:type="paragraph" w:styleId="1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spacing w:before="360" w:after="360"/>
      <w:jc w:val="left"/>
    </w:pPr>
    <w:rPr>
      <w:rFonts w:ascii="Calibri" w:hAnsi="Calibri"/>
      <w:b/>
      <w:bCs/>
      <w:caps/>
      <w:sz w:val="22"/>
      <w:szCs w:val="22"/>
      <w:u w:val="single"/>
    </w:rPr>
  </w:style>
  <w:style w:type="paragraph" w:styleId="19">
    <w:name w:val="List"/>
    <w:basedOn w:val="1"/>
    <w:unhideWhenUsed/>
    <w:qFormat/>
    <w:uiPriority w:val="99"/>
    <w:pPr>
      <w:ind w:left="200" w:hanging="200" w:hangingChars="200"/>
    </w:pPr>
    <w:rPr>
      <w:sz w:val="28"/>
    </w:rPr>
  </w:style>
  <w:style w:type="paragraph" w:styleId="20">
    <w:name w:val="toc 2"/>
    <w:basedOn w:val="1"/>
    <w:next w:val="1"/>
    <w:unhideWhenUsed/>
    <w:qFormat/>
    <w:uiPriority w:val="39"/>
    <w:pPr>
      <w:jc w:val="left"/>
    </w:pPr>
    <w:rPr>
      <w:rFonts w:ascii="Calibri" w:hAnsi="Calibri"/>
      <w:b/>
      <w:bCs/>
      <w:smallCaps/>
      <w:sz w:val="22"/>
      <w:szCs w:val="22"/>
    </w:r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23">
    <w:name w:val="Table Grid"/>
    <w:basedOn w:val="2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5">
    <w:name w:val="Strong"/>
    <w:basedOn w:val="24"/>
    <w:qFormat/>
    <w:uiPriority w:val="0"/>
    <w:rPr>
      <w:b/>
    </w:rPr>
  </w:style>
  <w:style w:type="character" w:styleId="26">
    <w:name w:val="page number"/>
    <w:unhideWhenUsed/>
    <w:qFormat/>
    <w:uiPriority w:val="0"/>
  </w:style>
  <w:style w:type="character" w:styleId="27">
    <w:name w:val="FollowedHyperlink"/>
    <w:qFormat/>
    <w:uiPriority w:val="0"/>
    <w:rPr>
      <w:rFonts w:hint="eastAsia" w:ascii="微软雅黑" w:hAnsi="微软雅黑" w:eastAsia="微软雅黑" w:cs="微软雅黑"/>
      <w:color w:val="02396F"/>
      <w:u w:val="single"/>
    </w:rPr>
  </w:style>
  <w:style w:type="character" w:styleId="28">
    <w:name w:val="Hyperlink"/>
    <w:unhideWhenUsed/>
    <w:qFormat/>
    <w:uiPriority w:val="99"/>
    <w:rPr>
      <w:rFonts w:hint="eastAsia" w:ascii="微软雅黑" w:hAnsi="微软雅黑" w:eastAsia="微软雅黑" w:cs="微软雅黑"/>
      <w:color w:val="02396F"/>
      <w:u w:val="single"/>
    </w:rPr>
  </w:style>
  <w:style w:type="character" w:styleId="29">
    <w:name w:val="annotation reference"/>
    <w:qFormat/>
    <w:uiPriority w:val="0"/>
    <w:rPr>
      <w:sz w:val="21"/>
      <w:szCs w:val="21"/>
    </w:rPr>
  </w:style>
  <w:style w:type="character" w:customStyle="1" w:styleId="30">
    <w:name w:val="font61"/>
    <w:qFormat/>
    <w:uiPriority w:val="0"/>
    <w:rPr>
      <w:rFonts w:hint="eastAsia" w:ascii="宋体" w:hAnsi="宋体" w:eastAsia="宋体" w:cs="宋体"/>
      <w:color w:val="0C0C0C"/>
      <w:sz w:val="18"/>
      <w:szCs w:val="18"/>
      <w:u w:val="none"/>
    </w:rPr>
  </w:style>
  <w:style w:type="character" w:customStyle="1" w:styleId="31">
    <w:name w:val="next"/>
    <w:qFormat/>
    <w:uiPriority w:val="0"/>
    <w:rPr>
      <w:rFonts w:ascii="微软雅黑" w:hAnsi="微软雅黑" w:eastAsia="微软雅黑" w:cs="微软雅黑"/>
      <w:sz w:val="21"/>
      <w:szCs w:val="21"/>
    </w:rPr>
  </w:style>
  <w:style w:type="character" w:customStyle="1" w:styleId="32">
    <w:name w:val="gjfg"/>
    <w:qFormat/>
    <w:uiPriority w:val="0"/>
  </w:style>
  <w:style w:type="character" w:customStyle="1" w:styleId="33">
    <w:name w:val="cfdate"/>
    <w:qFormat/>
    <w:uiPriority w:val="0"/>
    <w:rPr>
      <w:color w:val="333333"/>
      <w:sz w:val="18"/>
      <w:szCs w:val="18"/>
    </w:rPr>
  </w:style>
  <w:style w:type="character" w:customStyle="1" w:styleId="34">
    <w:name w:val="qxdate"/>
    <w:qFormat/>
    <w:uiPriority w:val="0"/>
    <w:rPr>
      <w:color w:val="333333"/>
      <w:sz w:val="18"/>
      <w:szCs w:val="18"/>
    </w:rPr>
  </w:style>
  <w:style w:type="character" w:customStyle="1" w:styleId="35">
    <w:name w:val="redfilefwwh"/>
    <w:qFormat/>
    <w:uiPriority w:val="0"/>
    <w:rPr>
      <w:color w:val="BA2636"/>
      <w:sz w:val="18"/>
      <w:szCs w:val="18"/>
    </w:rPr>
  </w:style>
  <w:style w:type="character" w:customStyle="1" w:styleId="36">
    <w:name w:val="prev1"/>
    <w:qFormat/>
    <w:uiPriority w:val="0"/>
    <w:rPr>
      <w:color w:val="888888"/>
    </w:rPr>
  </w:style>
  <w:style w:type="character" w:customStyle="1" w:styleId="37">
    <w:name w:val="prev"/>
    <w:qFormat/>
    <w:uiPriority w:val="0"/>
    <w:rPr>
      <w:rFonts w:hint="eastAsia" w:ascii="微软雅黑" w:hAnsi="微软雅黑" w:eastAsia="微软雅黑" w:cs="微软雅黑"/>
      <w:sz w:val="21"/>
      <w:szCs w:val="21"/>
    </w:rPr>
  </w:style>
  <w:style w:type="character" w:customStyle="1" w:styleId="38">
    <w:name w:val="displayarti"/>
    <w:qFormat/>
    <w:uiPriority w:val="0"/>
    <w:rPr>
      <w:color w:val="FFFFFF"/>
      <w:shd w:val="clear" w:color="auto" w:fill="A00000"/>
    </w:rPr>
  </w:style>
  <w:style w:type="character" w:customStyle="1" w:styleId="39">
    <w:name w:val="redfilenumber"/>
    <w:qFormat/>
    <w:uiPriority w:val="0"/>
    <w:rPr>
      <w:color w:val="BA2636"/>
      <w:sz w:val="18"/>
      <w:szCs w:val="18"/>
    </w:rPr>
  </w:style>
  <w:style w:type="character" w:customStyle="1" w:styleId="40">
    <w:name w:val="批注文字 字符"/>
    <w:link w:val="9"/>
    <w:qFormat/>
    <w:uiPriority w:val="99"/>
    <w:rPr>
      <w:kern w:val="2"/>
      <w:sz w:val="21"/>
      <w:szCs w:val="24"/>
    </w:rPr>
  </w:style>
  <w:style w:type="character" w:customStyle="1" w:styleId="41">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42">
    <w:name w:val="next1"/>
    <w:qFormat/>
    <w:uiPriority w:val="0"/>
    <w:rPr>
      <w:color w:val="888888"/>
    </w:rPr>
  </w:style>
  <w:style w:type="paragraph" w:customStyle="1" w:styleId="43">
    <w:name w:val="样式 标题 2 + 宋体"/>
    <w:basedOn w:val="4"/>
    <w:qFormat/>
    <w:uiPriority w:val="99"/>
    <w:rPr>
      <w:rFonts w:ascii="宋体" w:hAnsi="宋体"/>
      <w:sz w:val="30"/>
    </w:rPr>
  </w:style>
  <w:style w:type="paragraph" w:customStyle="1" w:styleId="44">
    <w:name w:val="样式5"/>
    <w:basedOn w:val="1"/>
    <w:qFormat/>
    <w:uiPriority w:val="0"/>
    <w:pPr>
      <w:adjustRightInd w:val="0"/>
      <w:spacing w:line="440" w:lineRule="exact"/>
      <w:ind w:left="2" w:firstLine="480" w:firstLineChars="200"/>
    </w:pPr>
    <w:rPr>
      <w:rFonts w:ascii="仿宋_GB2312" w:hAnsi="仿宋" w:eastAsia="仿宋_GB2312"/>
      <w:sz w:val="24"/>
    </w:rPr>
  </w:style>
  <w:style w:type="paragraph" w:customStyle="1" w:styleId="45">
    <w:name w:val="正文缩进1"/>
    <w:basedOn w:val="1"/>
    <w:next w:val="12"/>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46">
    <w:name w:val="Default"/>
    <w:qFormat/>
    <w:uiPriority w:val="0"/>
    <w:pPr>
      <w:widowControl w:val="0"/>
      <w:autoSpaceDE w:val="0"/>
      <w:autoSpaceDN w:val="0"/>
      <w:adjustRightInd w:val="0"/>
    </w:pPr>
    <w:rPr>
      <w:rFonts w:ascii="宋体" w:hAnsi="Perpetua" w:eastAsia="宋体" w:cs="宋体"/>
      <w:color w:val="000000"/>
      <w:sz w:val="24"/>
      <w:szCs w:val="24"/>
      <w:lang w:val="en-US" w:eastAsia="zh-CN" w:bidi="ar-SA"/>
    </w:rPr>
  </w:style>
  <w:style w:type="paragraph" w:customStyle="1" w:styleId="47">
    <w:name w:val="Revision"/>
    <w:unhideWhenUsed/>
    <w:qFormat/>
    <w:uiPriority w:val="99"/>
    <w:rPr>
      <w:rFonts w:ascii="Times New Roman" w:hAnsi="Times New Roman" w:eastAsia="宋体" w:cs="Times New Roman"/>
      <w:kern w:val="2"/>
      <w:sz w:val="21"/>
      <w:szCs w:val="24"/>
      <w:lang w:val="en-US" w:eastAsia="zh-CN" w:bidi="ar-SA"/>
    </w:rPr>
  </w:style>
  <w:style w:type="paragraph" w:styleId="48">
    <w:name w:val="List Paragraph"/>
    <w:basedOn w:val="1"/>
    <w:qFormat/>
    <w:uiPriority w:val="34"/>
    <w:pPr>
      <w:ind w:firstLine="420" w:firstLineChars="200"/>
    </w:pPr>
  </w:style>
  <w:style w:type="paragraph" w:customStyle="1" w:styleId="49">
    <w:name w:val="正文2"/>
    <w:basedOn w:val="1"/>
    <w:qFormat/>
    <w:uiPriority w:val="0"/>
    <w:pPr>
      <w:adjustRightInd w:val="0"/>
      <w:spacing w:before="156" w:line="360" w:lineRule="auto"/>
      <w:ind w:firstLine="510" w:firstLineChars="2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107</Pages>
  <Words>11507</Words>
  <Characters>65596</Characters>
  <Lines>546</Lines>
  <Paragraphs>153</Paragraphs>
  <TotalTime>76</TotalTime>
  <ScaleCrop>false</ScaleCrop>
  <LinksUpToDate>false</LinksUpToDate>
  <CharactersWithSpaces>76950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2024-02-29T01:08:00Z</dcterms:created>
  <dc:creator>Administrator</dc:creator>
  <cp:lastModifiedBy>Administrator</cp:lastModifiedBy>
  <cp:lastPrinted>2023-12-18T09:40:00Z</cp:lastPrinted>
  <dcterms:modified xsi:type="dcterms:W3CDTF">2024-03-13T09:24:12Z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F124B678D379569EFA8A96650B437CD6_43</vt:lpwstr>
  </property>
</Properties>
</file>