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eastAsia="宋体" w:cs="Times New Roman"/>
          <w:color w:val="auto"/>
          <w:sz w:val="52"/>
          <w:szCs w:val="52"/>
          <w:highlight w:val="none"/>
        </w:rPr>
      </w:pPr>
    </w:p>
    <w:p>
      <w:pPr>
        <w:spacing w:before="165" w:beforeLines="50" w:line="360" w:lineRule="auto"/>
        <w:jc w:val="center"/>
        <w:rPr>
          <w:rFonts w:hint="eastAsia" w:ascii="仿宋_GB2312" w:hAnsi="宋体" w:eastAsia="仿宋_GB2312" w:cs="Times New Roman"/>
          <w:b/>
          <w:color w:val="auto"/>
          <w:sz w:val="48"/>
          <w:szCs w:val="48"/>
          <w:highlight w:val="none"/>
        </w:rPr>
      </w:pPr>
    </w:p>
    <w:p>
      <w:pPr>
        <w:spacing w:before="165" w:beforeLines="50" w:line="360" w:lineRule="auto"/>
        <w:jc w:val="center"/>
        <w:rPr>
          <w:rFonts w:hint="eastAsia" w:ascii="仿宋_GB2312" w:hAnsi="宋体" w:eastAsia="仿宋_GB2312" w:cs="Times New Roman"/>
          <w:b/>
          <w:color w:val="auto"/>
          <w:sz w:val="48"/>
          <w:szCs w:val="48"/>
          <w:highlight w:val="none"/>
        </w:rPr>
      </w:pPr>
    </w:p>
    <w:p>
      <w:pPr>
        <w:snapToGrid w:val="0"/>
        <w:spacing w:before="165" w:beforeLines="50" w:line="360" w:lineRule="auto"/>
        <w:jc w:val="center"/>
        <w:rPr>
          <w:rFonts w:hint="eastAsia" w:ascii="宋体" w:hAnsi="宋体" w:eastAsia="宋体" w:cs="宋体"/>
          <w:color w:val="auto"/>
          <w:sz w:val="72"/>
          <w:szCs w:val="72"/>
          <w:highlight w:val="none"/>
        </w:rPr>
      </w:pPr>
    </w:p>
    <w:p>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pPr>
        <w:snapToGrid w:val="0"/>
        <w:spacing w:before="165" w:beforeLines="50" w:line="360" w:lineRule="auto"/>
        <w:rPr>
          <w:rFonts w:hint="eastAsia" w:ascii="仿宋_GB2312" w:hAnsi="宋体" w:eastAsia="仿宋_GB2312" w:cs="Times New Roman"/>
          <w:color w:val="auto"/>
          <w:sz w:val="30"/>
          <w:szCs w:val="72"/>
          <w:highlight w:val="none"/>
        </w:rPr>
      </w:pPr>
    </w:p>
    <w:p>
      <w:pPr>
        <w:pStyle w:val="14"/>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pPr>
        <w:pStyle w:val="14"/>
        <w:snapToGrid w:val="0"/>
        <w:spacing w:before="50" w:after="120" w:line="360" w:lineRule="auto"/>
        <w:ind w:firstLine="1205" w:firstLineChars="4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广西农村供水安全提升及在线监管试点建设方案</w:t>
      </w:r>
    </w:p>
    <w:p>
      <w:pPr>
        <w:pStyle w:val="14"/>
        <w:snapToGrid w:val="0"/>
        <w:spacing w:before="50" w:after="120" w:line="360" w:lineRule="auto"/>
        <w:ind w:firstLine="120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项目编号：GXZC2024-G3-002714-GXXG</w:t>
      </w:r>
    </w:p>
    <w:p>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pPr>
        <w:widowControl w:val="0"/>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广西壮族自治区水利厅</w:t>
      </w:r>
    </w:p>
    <w:p>
      <w:pPr>
        <w:widowControl w:val="0"/>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r>
        <w:rPr>
          <w:rFonts w:hint="eastAsia" w:ascii="宋体" w:hAnsi="宋体" w:cs="宋体"/>
          <w:b/>
          <w:bCs/>
          <w:color w:val="auto"/>
          <w:w w:val="95"/>
          <w:kern w:val="2"/>
          <w:sz w:val="30"/>
          <w:szCs w:val="30"/>
          <w:highlight w:val="none"/>
          <w:lang w:val="en-US" w:eastAsia="zh-CN" w:bidi="ar-SA"/>
        </w:rPr>
        <w:t>广西兴桂源招标有限公司</w:t>
      </w:r>
    </w:p>
    <w:p>
      <w:pPr>
        <w:pStyle w:val="14"/>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pPr>
        <w:pStyle w:val="14"/>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kern w:val="2"/>
          <w:sz w:val="30"/>
          <w:szCs w:val="30"/>
          <w:highlight w:val="none"/>
          <w:lang w:val="en-US" w:eastAsia="zh-CN" w:bidi="ar-SA"/>
        </w:rPr>
        <w:t xml:space="preserve"> </w:t>
      </w:r>
      <w:r>
        <w:rPr>
          <w:rFonts w:hint="eastAsia" w:hAnsi="宋体" w:cs="宋体"/>
          <w:b/>
          <w:bCs/>
          <w:color w:val="auto"/>
          <w:w w:val="95"/>
          <w:kern w:val="2"/>
          <w:sz w:val="30"/>
          <w:szCs w:val="30"/>
          <w:highlight w:val="none"/>
          <w:lang w:val="en-US" w:eastAsia="zh-CN" w:bidi="ar-SA"/>
        </w:rPr>
        <w:t>2024</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3</w:t>
      </w:r>
      <w:r>
        <w:rPr>
          <w:rFonts w:hint="eastAsia" w:ascii="宋体" w:hAnsi="宋体" w:eastAsia="宋体" w:cs="宋体"/>
          <w:b/>
          <w:bCs/>
          <w:color w:val="auto"/>
          <w:w w:val="95"/>
          <w:kern w:val="2"/>
          <w:sz w:val="30"/>
          <w:szCs w:val="30"/>
          <w:highlight w:val="none"/>
          <w:lang w:val="en-US" w:eastAsia="zh-CN" w:bidi="ar-SA"/>
        </w:rPr>
        <w:t>月</w:t>
      </w:r>
      <w:r>
        <w:rPr>
          <w:rFonts w:hint="eastAsia" w:hAnsi="宋体" w:cs="宋体"/>
          <w:b/>
          <w:bCs/>
          <w:color w:val="auto"/>
          <w:w w:val="95"/>
          <w:kern w:val="2"/>
          <w:sz w:val="30"/>
          <w:szCs w:val="30"/>
          <w:highlight w:val="none"/>
          <w:lang w:val="en-US" w:eastAsia="zh-CN" w:bidi="ar-SA"/>
        </w:rPr>
        <w:t>12</w:t>
      </w:r>
      <w:r>
        <w:rPr>
          <w:rFonts w:hint="eastAsia" w:ascii="宋体" w:hAnsi="宋体" w:eastAsia="宋体" w:cs="宋体"/>
          <w:b/>
          <w:bCs/>
          <w:color w:val="auto"/>
          <w:w w:val="95"/>
          <w:kern w:val="2"/>
          <w:sz w:val="30"/>
          <w:szCs w:val="30"/>
          <w:highlight w:val="none"/>
          <w:lang w:val="en-US" w:eastAsia="zh-CN" w:bidi="ar-SA"/>
        </w:rPr>
        <w:t>日</w:t>
      </w:r>
    </w:p>
    <w:p>
      <w:pPr>
        <w:widowControl/>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pPr>
        <w:rPr>
          <w:rFonts w:hint="eastAsia" w:ascii="Times New Roman" w:hAnsi="Times New Roman" w:eastAsia="宋体" w:cs="Times New Roman"/>
          <w:b/>
          <w:color w:val="auto"/>
          <w:sz w:val="48"/>
          <w:szCs w:val="48"/>
          <w:highlight w:val="none"/>
        </w:rPr>
      </w:pPr>
    </w:p>
    <w:p>
      <w:pPr>
        <w:pStyle w:val="14"/>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pPr>
        <w:pStyle w:val="17"/>
        <w:tabs>
          <w:tab w:val="right" w:leader="dot" w:pos="9637"/>
        </w:tabs>
        <w:rPr>
          <w:color w:val="auto"/>
          <w:highlight w:val="none"/>
        </w:rPr>
      </w:pPr>
    </w:p>
    <w:p>
      <w:pPr>
        <w:pStyle w:val="17"/>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jc w:val="center"/>
        <w:rPr>
          <w:rFonts w:hint="eastAsia" w:eastAsia="宋体" w:cs="Times New Roman"/>
          <w:color w:val="auto"/>
          <w:highlight w:val="none"/>
        </w:rPr>
      </w:pPr>
      <w:r>
        <w:rPr>
          <w:color w:val="auto"/>
          <w:highlight w:val="none"/>
        </w:rPr>
        <w:fldChar w:fldCharType="end"/>
      </w:r>
      <w:r>
        <w:rPr>
          <w:rFonts w:hint="eastAsia" w:eastAsia="宋体" w:cs="Times New Roman"/>
          <w:color w:val="auto"/>
          <w:highlight w:val="none"/>
        </w:rPr>
        <w:tab/>
      </w:r>
      <w:bookmarkStart w:id="0" w:name="_Toc532545041"/>
    </w:p>
    <w:p>
      <w:pPr>
        <w:rPr>
          <w:rFonts w:hint="eastAsia" w:eastAsia="宋体" w:cs="Times New Roman"/>
          <w:color w:val="auto"/>
          <w:highlight w:val="none"/>
        </w:rPr>
      </w:pPr>
      <w:r>
        <w:rPr>
          <w:rFonts w:hint="eastAsia" w:eastAsia="宋体" w:cs="Times New Roman"/>
          <w:color w:val="auto"/>
          <w:highlight w:val="none"/>
        </w:rPr>
        <w:br w:type="page"/>
      </w:r>
    </w:p>
    <w:p>
      <w:pPr>
        <w:pStyle w:val="14"/>
        <w:jc w:val="center"/>
        <w:outlineLvl w:val="0"/>
        <w:rPr>
          <w:rFonts w:hint="eastAsia" w:ascii="Times New Roman" w:hAnsi="Times New Roman" w:eastAsia="宋体" w:cs="Times New Roman"/>
          <w:b/>
          <w:color w:val="auto"/>
          <w:sz w:val="36"/>
          <w:szCs w:val="20"/>
          <w:highlight w:val="none"/>
        </w:rPr>
      </w:pPr>
      <w:bookmarkStart w:id="1" w:name="_Toc8345"/>
      <w:bookmarkStart w:id="2" w:name="_Toc12228"/>
      <w:bookmarkStart w:id="3" w:name="_Toc16576"/>
      <w:bookmarkStart w:id="4" w:name="_Toc19537"/>
      <w:bookmarkStart w:id="5" w:name="_Toc11500"/>
      <w:bookmarkStart w:id="6" w:name="_Toc20258"/>
      <w:bookmarkStart w:id="7" w:name="_Toc184"/>
      <w:bookmarkStart w:id="8" w:name="_Toc9949"/>
      <w:bookmarkStart w:id="9" w:name="_Toc18707"/>
      <w:bookmarkStart w:id="10" w:name="_Toc16222"/>
      <w:bookmarkStart w:id="11" w:name="_Toc18459"/>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pPr>
        <w:pStyle w:val="14"/>
        <w:jc w:val="center"/>
        <w:rPr>
          <w:rFonts w:hint="eastAsia" w:ascii="Times New Roman" w:hAnsi="Times New Roman" w:eastAsia="宋体" w:cs="Times New Roman"/>
          <w:b/>
          <w:color w:val="auto"/>
          <w:sz w:val="30"/>
          <w:szCs w:val="30"/>
          <w:highlight w:val="none"/>
        </w:rPr>
      </w:pPr>
    </w:p>
    <w:p>
      <w:pPr>
        <w:pStyle w:val="14"/>
        <w:jc w:val="center"/>
        <w:rPr>
          <w:rFonts w:hint="eastAsia" w:ascii="Times New Roman" w:hAnsi="Times New Roman" w:eastAsia="宋体" w:cs="Times New Roman"/>
          <w:b/>
          <w:color w:val="auto"/>
          <w:sz w:val="30"/>
          <w:szCs w:val="30"/>
          <w:highlight w:val="none"/>
        </w:rPr>
      </w:pPr>
      <w:r>
        <w:rPr>
          <w:rFonts w:hint="eastAsia" w:hAnsi="宋体" w:cs="宋体"/>
          <w:b/>
          <w:bCs/>
          <w:color w:val="auto"/>
          <w:sz w:val="30"/>
          <w:szCs w:val="30"/>
          <w:highlight w:val="none"/>
          <w:lang w:eastAsia="zh-CN"/>
        </w:rPr>
        <w:t>广西农村供水安全提升及在线监管试点建设方案</w:t>
      </w:r>
      <w:r>
        <w:rPr>
          <w:rFonts w:hint="eastAsia" w:ascii="Times New Roman" w:hAnsi="Times New Roman" w:eastAsia="宋体" w:cs="Times New Roman"/>
          <w:b/>
          <w:color w:val="auto"/>
          <w:sz w:val="30"/>
          <w:szCs w:val="30"/>
          <w:highlight w:val="none"/>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广西农村供水安全提升及在线监管试点建设方案</w:t>
      </w:r>
      <w:r>
        <w:rPr>
          <w:rFonts w:hint="eastAsia" w:ascii="宋体" w:hAnsi="宋体" w:eastAsia="宋体" w:cs="宋体"/>
          <w:color w:val="auto"/>
          <w:sz w:val="21"/>
          <w:szCs w:val="21"/>
          <w:highlight w:val="none"/>
        </w:rPr>
        <w:t>招标项目的潜在投标人应在</w:t>
      </w:r>
      <w:r>
        <w:rPr>
          <w:rFonts w:hint="eastAsia" w:ascii="宋体" w:hAnsi="宋体" w:cs="宋体"/>
          <w:i w:val="0"/>
          <w:iCs w:val="0"/>
          <w:color w:val="auto"/>
          <w:szCs w:val="21"/>
          <w:highlight w:val="none"/>
          <w:u w:val="single"/>
        </w:rPr>
        <w:t>广西政府采购云平台</w:t>
      </w:r>
      <w:r>
        <w:rPr>
          <w:rFonts w:hint="eastAsia" w:ascii="宋体" w:hAnsi="宋体" w:cs="宋体"/>
          <w:i w:val="0"/>
          <w:iCs w:val="0"/>
          <w:color w:val="auto"/>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pPr>
        <w:spacing w:line="360" w:lineRule="auto"/>
        <w:rPr>
          <w:rFonts w:hint="eastAsia" w:ascii="黑体" w:hAnsi="黑体" w:eastAsia="黑体" w:cs="Times New Roman"/>
          <w:b/>
          <w:bCs/>
          <w:color w:val="auto"/>
          <w:sz w:val="24"/>
          <w:highlight w:val="none"/>
        </w:rPr>
      </w:pPr>
      <w:bookmarkStart w:id="14" w:name="_Toc28359002"/>
      <w:bookmarkStart w:id="15" w:name="_Toc35393790"/>
      <w:bookmarkStart w:id="16" w:name="_Toc28359079"/>
      <w:bookmarkStart w:id="17" w:name="_Toc35393621"/>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项目编号：GXZC2024-G3-002714-GXXG</w:t>
      </w:r>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Times New Roman"/>
          <w:b w:val="0"/>
          <w:bCs w:val="0"/>
          <w:color w:val="auto"/>
          <w:szCs w:val="21"/>
          <w:highlight w:val="none"/>
          <w:lang w:eastAsia="zh-CN"/>
        </w:rPr>
        <w:t>广西农村供水安全提升及在线监管试点建设方案</w:t>
      </w:r>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Times New Roman"/>
          <w:b w:val="0"/>
          <w:bCs w:val="0"/>
          <w:color w:val="auto"/>
          <w:szCs w:val="21"/>
          <w:highlight w:val="none"/>
        </w:rPr>
        <w:t>预算金额：</w:t>
      </w:r>
      <w:r>
        <w:rPr>
          <w:rFonts w:hint="eastAsia" w:ascii="宋体" w:hAnsi="宋体" w:cs="宋体"/>
          <w:color w:val="auto"/>
          <w:szCs w:val="21"/>
          <w:highlight w:val="none"/>
          <w:u w:val="none"/>
          <w:lang w:eastAsia="zh-CN"/>
        </w:rPr>
        <w:t>人民币伍佰壹拾万元整（¥5100000.00）</w:t>
      </w:r>
    </w:p>
    <w:p>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w:t>
      </w:r>
      <w:r>
        <w:rPr>
          <w:rFonts w:hint="eastAsia" w:ascii="宋体" w:hAnsi="宋体" w:cs="宋体"/>
          <w:color w:val="auto"/>
          <w:szCs w:val="21"/>
          <w:highlight w:val="none"/>
          <w:u w:val="none"/>
          <w:lang w:eastAsia="zh-CN"/>
        </w:rPr>
        <w:t>人民币伍佰壹拾万元整（¥5100000.00）</w:t>
      </w:r>
      <w:bookmarkStart w:id="432" w:name="_GoBack"/>
      <w:bookmarkEnd w:id="432"/>
    </w:p>
    <w:p>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r>
        <w:rPr>
          <w:rFonts w:hint="eastAsia" w:ascii="宋体" w:hAnsi="宋体" w:cs="宋体"/>
          <w:color w:val="auto"/>
          <w:szCs w:val="21"/>
          <w:highlight w:val="none"/>
        </w:rPr>
        <w:t xml:space="preserve"> </w:t>
      </w:r>
      <w:bookmarkStart w:id="19" w:name="PO_3000001867_PM004"/>
      <w:r>
        <w:rPr>
          <w:rFonts w:hint="eastAsia" w:ascii="宋体" w:hAnsi="宋体" w:cs="宋体"/>
          <w:color w:val="auto"/>
          <w:szCs w:val="21"/>
          <w:highlight w:val="none"/>
          <w:lang w:eastAsia="zh-CN"/>
        </w:rPr>
        <w:t xml:space="preserve"> </w:t>
      </w:r>
      <w:bookmarkEnd w:id="19"/>
    </w:p>
    <w:tbl>
      <w:tblPr>
        <w:tblStyle w:val="21"/>
        <w:tblW w:w="9030" w:type="dxa"/>
        <w:tblInd w:w="5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789"/>
        <w:gridCol w:w="1104"/>
        <w:gridCol w:w="5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73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78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标的的名称</w:t>
            </w:r>
          </w:p>
        </w:tc>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数量及单位</w:t>
            </w:r>
          </w:p>
        </w:tc>
        <w:tc>
          <w:tcPr>
            <w:tcW w:w="5404"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b/>
                <w:bCs/>
                <w:color w:val="auto"/>
                <w:szCs w:val="21"/>
                <w:highlight w:val="none"/>
              </w:rPr>
            </w:pPr>
            <w:r>
              <w:rPr>
                <w:rFonts w:hint="eastAsia" w:ascii="宋体" w:hAnsi="宋体"/>
                <w:b/>
                <w:bCs/>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4" w:hRule="atLeast"/>
        </w:trPr>
        <w:tc>
          <w:tcPr>
            <w:tcW w:w="73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78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广西农村供水安全提升及在线监管试点建设方案</w:t>
            </w:r>
          </w:p>
        </w:tc>
        <w:tc>
          <w:tcPr>
            <w:tcW w:w="11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Cs w:val="21"/>
                <w:highlight w:val="none"/>
              </w:rPr>
            </w:pPr>
            <w:r>
              <w:rPr>
                <w:rFonts w:hint="eastAsia" w:ascii="宋体" w:hAnsi="宋体" w:cs="宋体"/>
                <w:color w:val="auto"/>
                <w:szCs w:val="21"/>
                <w:highlight w:val="none"/>
              </w:rPr>
              <w:t>1项</w:t>
            </w:r>
          </w:p>
        </w:tc>
        <w:tc>
          <w:tcPr>
            <w:tcW w:w="5404" w:type="dxa"/>
            <w:tcBorders>
              <w:top w:val="single" w:color="auto" w:sz="4" w:space="0"/>
              <w:left w:val="single" w:color="auto" w:sz="4" w:space="0"/>
              <w:bottom w:val="single" w:color="auto" w:sz="4" w:space="0"/>
              <w:right w:val="single" w:color="auto" w:sz="4" w:space="0"/>
            </w:tcBorders>
            <w:vAlign w:val="top"/>
          </w:tcPr>
          <w:p>
            <w:pPr>
              <w:snapToGrid/>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编制</w:t>
            </w:r>
            <w:r>
              <w:rPr>
                <w:rFonts w:hint="eastAsia" w:ascii="宋体" w:hAnsi="宋体" w:eastAsia="宋体" w:cs="宋体"/>
                <w:color w:val="auto"/>
                <w:szCs w:val="21"/>
                <w:highlight w:val="none"/>
              </w:rPr>
              <w:t>广西农村供水安全提升及在线监管试点建设方案有关项目报告（含广西农村供水保障“十四五”规划中期评估报告、广西农村供水工程水质提升试点建设方案、广西农村供水信息化管理系统二期可行性研究报告、广西农村供水工程信息化数字化建设技术指南、广西农村供水工程在线监管建设项目可行性研究及总体设计报告等有关附表附图）</w:t>
            </w:r>
            <w:r>
              <w:rPr>
                <w:rFonts w:hint="eastAsia" w:ascii="宋体" w:hAnsi="宋体"/>
                <w:color w:val="auto"/>
                <w:szCs w:val="21"/>
                <w:highlight w:val="none"/>
              </w:rPr>
              <w:t>……详见采购需求。</w:t>
            </w:r>
          </w:p>
        </w:tc>
      </w:tr>
    </w:tbl>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宋体"/>
          <w:color w:val="auto"/>
          <w:szCs w:val="21"/>
          <w:highlight w:val="none"/>
          <w:lang w:eastAsia="zh-CN"/>
        </w:rPr>
        <w:t>自合同签订之日起至2025年12月底止</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lang w:eastAsia="zh-CN"/>
        </w:rPr>
        <w:t>是否</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pPr>
        <w:spacing w:line="360" w:lineRule="auto"/>
        <w:rPr>
          <w:rFonts w:hint="eastAsia" w:ascii="黑体" w:hAnsi="黑体" w:eastAsia="黑体" w:cs="Times New Roman"/>
          <w:b/>
          <w:bCs/>
          <w:color w:val="auto"/>
          <w:sz w:val="24"/>
          <w:highlight w:val="none"/>
        </w:rPr>
      </w:pPr>
      <w:bookmarkStart w:id="20" w:name="_Toc28359080"/>
      <w:bookmarkStart w:id="21" w:name="_Toc35393791"/>
      <w:bookmarkStart w:id="22" w:name="_Toc35393622"/>
      <w:bookmarkStart w:id="23" w:name="_Toc28359003"/>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0"/>
      <w:bookmarkEnd w:id="21"/>
      <w:bookmarkEnd w:id="22"/>
      <w:bookmarkEnd w:id="23"/>
    </w:p>
    <w:p>
      <w:pPr>
        <w:spacing w:line="360" w:lineRule="auto"/>
        <w:ind w:firstLine="420" w:firstLineChars="200"/>
        <w:rPr>
          <w:rFonts w:hint="eastAsia" w:ascii="宋体" w:hAnsi="宋体" w:eastAsia="宋体" w:cs="Times New Roman"/>
          <w:color w:val="auto"/>
          <w:szCs w:val="21"/>
          <w:highlight w:val="none"/>
          <w:lang w:eastAsia="zh-CN"/>
        </w:rPr>
      </w:pPr>
      <w:bookmarkStart w:id="24" w:name="_Toc28359081"/>
      <w:bookmarkStart w:id="25"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pPr>
        <w:spacing w:line="360" w:lineRule="auto"/>
        <w:ind w:firstLine="420" w:firstLineChars="200"/>
        <w:rPr>
          <w:rFonts w:hint="eastAsia" w:ascii="宋体" w:hAnsi="宋体" w:eastAsia="宋体" w:cs="宋体"/>
          <w:i w:val="0"/>
          <w:iCs w:val="0"/>
          <w:color w:val="auto"/>
          <w:szCs w:val="21"/>
          <w:highlight w:val="none"/>
          <w:u w:val="singl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u w:val="none"/>
        </w:rPr>
        <w:t>：</w:t>
      </w:r>
      <w:r>
        <w:rPr>
          <w:rFonts w:hint="eastAsia" w:ascii="宋体" w:hAnsi="宋体" w:cs="宋体"/>
          <w:i w:val="0"/>
          <w:iCs w:val="0"/>
          <w:color w:val="auto"/>
          <w:szCs w:val="21"/>
          <w:highlight w:val="none"/>
          <w:u w:val="none"/>
          <w:lang w:eastAsia="zh-CN"/>
        </w:rPr>
        <w:t>无；</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cs="Times New Roman"/>
          <w:i w:val="0"/>
          <w:iCs w:val="0"/>
          <w:color w:val="auto"/>
          <w:szCs w:val="21"/>
          <w:highlight w:val="none"/>
          <w:u w:val="none"/>
          <w:lang w:eastAsia="zh-CN"/>
        </w:rPr>
        <w:t>无。</w:t>
      </w:r>
    </w:p>
    <w:p>
      <w:pPr>
        <w:spacing w:line="360" w:lineRule="auto"/>
        <w:rPr>
          <w:rFonts w:hint="eastAsia" w:ascii="黑体" w:hAnsi="黑体" w:eastAsia="黑体" w:cs="Times New Roman"/>
          <w:b/>
          <w:bCs/>
          <w:color w:val="auto"/>
          <w:sz w:val="24"/>
          <w:highlight w:val="none"/>
        </w:rPr>
      </w:pPr>
      <w:bookmarkStart w:id="26" w:name="_Toc35393792"/>
      <w:bookmarkStart w:id="27" w:name="_Toc35393623"/>
      <w:r>
        <w:rPr>
          <w:rFonts w:hint="eastAsia" w:ascii="黑体" w:hAnsi="黑体" w:eastAsia="黑体" w:cs="Times New Roman"/>
          <w:b/>
          <w:bCs/>
          <w:color w:val="auto"/>
          <w:sz w:val="24"/>
          <w:highlight w:val="none"/>
        </w:rPr>
        <w:t>三、获取招标文件</w:t>
      </w:r>
      <w:bookmarkEnd w:id="24"/>
      <w:bookmarkEnd w:id="25"/>
      <w:bookmarkEnd w:id="26"/>
      <w:bookmarkEnd w:id="27"/>
    </w:p>
    <w:p>
      <w:pPr>
        <w:snapToGrid w:val="0"/>
        <w:spacing w:line="360" w:lineRule="auto"/>
        <w:ind w:firstLine="472" w:firstLineChars="225"/>
        <w:rPr>
          <w:rFonts w:hint="eastAsia" w:ascii="宋体" w:hAnsi="宋体" w:eastAsia="宋体" w:cs="Times New Roman"/>
          <w:color w:val="auto"/>
          <w:szCs w:val="21"/>
          <w:highlight w:val="none"/>
        </w:rPr>
      </w:pPr>
      <w:bookmarkStart w:id="28" w:name="_Toc28359005"/>
      <w:bookmarkStart w:id="29" w:name="_Toc28359082"/>
      <w:bookmarkStart w:id="30" w:name="_Toc35393793"/>
      <w:bookmarkStart w:id="31"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2024</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2024</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20</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olor w:val="auto"/>
          <w:szCs w:val="21"/>
          <w:highlight w:val="none"/>
        </w:rPr>
        <w:t>0:00至11:59，下午12:00至23:59</w:t>
      </w:r>
      <w:r>
        <w:rPr>
          <w:rFonts w:hint="eastAsia" w:ascii="宋体" w:hAnsi="宋体" w:eastAsia="宋体" w:cs="Times New Roman"/>
          <w:color w:val="auto"/>
          <w:szCs w:val="21"/>
          <w:highlight w:val="none"/>
        </w:rPr>
        <w:t>（北京时间，法定节假日除外）。</w:t>
      </w:r>
    </w:p>
    <w:p>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8"/>
      <w:bookmarkEnd w:id="29"/>
      <w:r>
        <w:rPr>
          <w:rFonts w:hint="eastAsia" w:ascii="黑体" w:hAnsi="黑体" w:eastAsia="黑体" w:cs="Times New Roman"/>
          <w:b/>
          <w:bCs/>
          <w:color w:val="auto"/>
          <w:sz w:val="24"/>
          <w:highlight w:val="none"/>
        </w:rPr>
        <w:t>截止时间、开标时间和地点</w:t>
      </w:r>
      <w:bookmarkEnd w:id="30"/>
      <w:bookmarkEnd w:id="31"/>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bookmarkStart w:id="32" w:name="PO_3000001867_PM015_1"/>
      <w:r>
        <w:rPr>
          <w:rFonts w:hint="eastAsia" w:ascii="宋体" w:hAnsi="宋体" w:cs="宋体"/>
          <w:bCs/>
          <w:color w:val="auto"/>
          <w:szCs w:val="21"/>
          <w:highlight w:val="none"/>
          <w:u w:val="single"/>
          <w:lang w:val="en-US" w:eastAsia="zh-CN"/>
        </w:rPr>
        <w:t>2024</w:t>
      </w:r>
      <w:r>
        <w:rPr>
          <w:rFonts w:hint="eastAsia" w:ascii="宋体" w:hAnsi="宋体" w:cs="宋体"/>
          <w:bCs/>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r>
        <w:rPr>
          <w:rFonts w:hint="eastAsia" w:ascii="宋体" w:hAnsi="宋体" w:cs="宋体"/>
          <w:bCs/>
          <w:color w:val="auto"/>
          <w:szCs w:val="21"/>
          <w:highlight w:val="none"/>
        </w:rPr>
        <w:t>（北京时间）</w:t>
      </w:r>
      <w:bookmarkEnd w:id="3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pPr>
        <w:spacing w:line="360" w:lineRule="auto"/>
        <w:rPr>
          <w:rFonts w:hint="eastAsia" w:ascii="黑体" w:hAnsi="黑体" w:eastAsia="黑体" w:cs="Times New Roman"/>
          <w:b/>
          <w:bCs/>
          <w:color w:val="auto"/>
          <w:sz w:val="24"/>
          <w:highlight w:val="none"/>
        </w:rPr>
      </w:pPr>
      <w:bookmarkStart w:id="33" w:name="_Toc35393794"/>
      <w:bookmarkStart w:id="34" w:name="_Toc28359084"/>
      <w:bookmarkStart w:id="35" w:name="_Toc35393625"/>
      <w:bookmarkStart w:id="36" w:name="_Toc28359007"/>
      <w:r>
        <w:rPr>
          <w:rFonts w:hint="eastAsia" w:ascii="黑体" w:hAnsi="黑体" w:eastAsia="黑体" w:cs="Times New Roman"/>
          <w:b/>
          <w:bCs/>
          <w:color w:val="auto"/>
          <w:sz w:val="24"/>
          <w:highlight w:val="none"/>
        </w:rPr>
        <w:t>五、公告期限</w:t>
      </w:r>
      <w:bookmarkEnd w:id="33"/>
      <w:bookmarkEnd w:id="34"/>
      <w:bookmarkEnd w:id="35"/>
      <w:bookmarkEnd w:id="36"/>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rPr>
          <w:rFonts w:hint="eastAsia" w:ascii="黑体" w:hAnsi="黑体" w:eastAsia="黑体" w:cs="Times New Roman"/>
          <w:b/>
          <w:bCs/>
          <w:color w:val="auto"/>
          <w:sz w:val="24"/>
          <w:highlight w:val="none"/>
        </w:rPr>
      </w:pPr>
      <w:bookmarkStart w:id="37" w:name="_Toc35393626"/>
      <w:bookmarkStart w:id="38" w:name="_Toc35393795"/>
      <w:r>
        <w:rPr>
          <w:rFonts w:hint="eastAsia" w:ascii="黑体" w:hAnsi="黑体" w:eastAsia="黑体" w:cs="Times New Roman"/>
          <w:b/>
          <w:bCs/>
          <w:color w:val="auto"/>
          <w:sz w:val="24"/>
          <w:highlight w:val="none"/>
        </w:rPr>
        <w:t>六、其他补充事宜</w:t>
      </w:r>
      <w:bookmarkEnd w:id="37"/>
      <w:bookmarkEnd w:id="38"/>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pPr>
        <w:spacing w:line="360" w:lineRule="auto"/>
        <w:ind w:firstLine="843" w:firstLineChars="4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pPr>
        <w:spacing w:line="360" w:lineRule="auto"/>
        <w:ind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r>
        <w:rPr>
          <w:rFonts w:hint="eastAsia" w:ascii="宋体" w:hAnsi="宋体" w:cs="宋体"/>
          <w:b/>
          <w:bCs/>
          <w:color w:val="auto"/>
          <w:szCs w:val="21"/>
          <w:highlight w:val="none"/>
        </w:rPr>
        <w:t>相关要求：</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lang w:eastAsia="zh-CN"/>
        </w:rPr>
        <w:t>投标保证金金额：</w:t>
      </w:r>
      <w:r>
        <w:rPr>
          <w:rFonts w:hint="eastAsia" w:ascii="宋体" w:hAnsi="宋体" w:cs="宋体"/>
          <w:color w:val="auto"/>
          <w:szCs w:val="21"/>
          <w:highlight w:val="none"/>
          <w:u w:val="none"/>
        </w:rPr>
        <w:t>人民币伍万元整</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none"/>
        </w:rPr>
        <w:t>50000.00</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 xml:space="preserve"> </w:t>
      </w:r>
      <w:r>
        <w:rPr>
          <w:rFonts w:hint="eastAsia" w:ascii="宋体" w:hAnsi="宋体" w:cs="宋体"/>
          <w:color w:val="auto"/>
          <w:kern w:val="0"/>
          <w:szCs w:val="21"/>
          <w:highlight w:val="none"/>
        </w:rPr>
        <w:t>。</w:t>
      </w:r>
    </w:p>
    <w:p>
      <w:pPr>
        <w:pStyle w:val="33"/>
        <w:spacing w:line="360" w:lineRule="auto"/>
        <w:ind w:left="495"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投标保证金的</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。采用银行转账方式的，在投标截止时间前交至采购代理机构指定账户并且到账</w:t>
      </w:r>
      <w:r>
        <w:rPr>
          <w:rFonts w:hint="eastAsia" w:ascii="宋体" w:hAnsi="宋体" w:eastAsia="宋体" w:cs="宋体"/>
          <w:color w:val="auto"/>
          <w:kern w:val="0"/>
          <w:szCs w:val="21"/>
          <w:highlight w:val="none"/>
          <w:lang w:eastAsia="zh-CN"/>
        </w:rPr>
        <w:t>。缴</w:t>
      </w:r>
      <w:r>
        <w:rPr>
          <w:rFonts w:hint="eastAsia" w:ascii="宋体" w:hAnsi="宋体" w:eastAsia="宋体" w:cs="宋体"/>
          <w:color w:val="auto"/>
          <w:kern w:val="0"/>
          <w:szCs w:val="21"/>
          <w:highlight w:val="none"/>
        </w:rPr>
        <w:t>纳投标保证金指定账户</w:t>
      </w:r>
      <w:r>
        <w:rPr>
          <w:rFonts w:hint="eastAsia" w:ascii="宋体" w:hAnsi="宋体" w:eastAsia="宋体" w:cs="宋体"/>
          <w:color w:val="auto"/>
          <w:kern w:val="0"/>
          <w:szCs w:val="21"/>
          <w:highlight w:val="none"/>
          <w:lang w:eastAsia="zh-CN"/>
        </w:rPr>
        <w:t>的信息：</w:t>
      </w:r>
    </w:p>
    <w:p>
      <w:pPr>
        <w:pStyle w:val="33"/>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开户银行：中国建设银行广西南宁市鲁班路支行</w:t>
      </w:r>
    </w:p>
    <w:p>
      <w:pPr>
        <w:pStyle w:val="33"/>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开户名称：广西兴桂源招标有限公司</w:t>
      </w:r>
    </w:p>
    <w:p>
      <w:pPr>
        <w:pStyle w:val="33"/>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银行账号：45050160477900001006</w:t>
      </w:r>
    </w:p>
    <w:p>
      <w:pPr>
        <w:pStyle w:val="33"/>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开户行行号：1056 1104 7794</w:t>
      </w:r>
    </w:p>
    <w:p>
      <w:pPr>
        <w:pStyle w:val="33"/>
        <w:spacing w:line="360" w:lineRule="auto"/>
        <w:ind w:left="0" w:firstLine="840" w:firstLineChars="400"/>
        <w:rPr>
          <w:rFonts w:hint="eastAsia" w:ascii="宋体" w:hAnsi="宋体" w:cs="宋体"/>
          <w:color w:val="auto"/>
          <w:highlight w:val="none"/>
        </w:rPr>
      </w:pPr>
      <w:r>
        <w:rPr>
          <w:rFonts w:hint="eastAsia" w:ascii="宋体" w:hAnsi="宋体" w:eastAsia="宋体" w:cs="宋体"/>
          <w:color w:val="auto"/>
          <w:kern w:val="0"/>
          <w:szCs w:val="21"/>
          <w:highlight w:val="none"/>
        </w:rPr>
        <w:t>采用支票、汇票、本票或者保函等方式的，在投标截止时间前，投标人必须递交单独密封的支票、汇票、本票或者保函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eastAsia="zh-CN"/>
        </w:rPr>
        <w:t>等</w:t>
      </w:r>
      <w:r>
        <w:rPr>
          <w:rFonts w:hint="eastAsia" w:ascii="宋体" w:hAnsi="宋体" w:eastAsia="宋体" w:cs="宋体"/>
          <w:color w:val="auto"/>
          <w:kern w:val="0"/>
          <w:szCs w:val="21"/>
          <w:highlight w:val="none"/>
        </w:rPr>
        <w:t>原件</w:t>
      </w:r>
      <w:r>
        <w:rPr>
          <w:rFonts w:hint="eastAsia" w:ascii="宋体" w:hAnsi="宋体" w:eastAsia="宋体" w:cs="宋体"/>
          <w:color w:val="auto"/>
          <w:kern w:val="0"/>
          <w:szCs w:val="21"/>
          <w:highlight w:val="none"/>
          <w:lang w:eastAsia="zh-CN"/>
        </w:rPr>
        <w:t>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否则视为无效投标保证金</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 xml:space="preserve"> (广西政府采购网)</w:t>
      </w:r>
      <w:r>
        <w:rPr>
          <w:rFonts w:hint="eastAsia" w:ascii="宋体" w:hAnsi="宋体" w:cs="宋体"/>
          <w:color w:val="auto"/>
          <w:kern w:val="0"/>
          <w:szCs w:val="21"/>
          <w:highlight w:val="none"/>
        </w:rPr>
        <w:t>、http://gxggzy.gxzf.gov.cn/（广西壮族自治区公共资源交易中心网）</w:t>
      </w:r>
      <w:r>
        <w:rPr>
          <w:rFonts w:hint="eastAsia" w:ascii="宋体" w:hAnsi="宋体" w:eastAsia="宋体" w:cs="宋体"/>
          <w:color w:val="auto"/>
          <w:kern w:val="0"/>
          <w:szCs w:val="21"/>
          <w:highlight w:val="none"/>
          <w:lang w:val="en-US" w:eastAsia="zh-CN"/>
        </w:rPr>
        <w:t>。</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pPr>
        <w:spacing w:line="400" w:lineRule="exact"/>
        <w:ind w:firstLine="422" w:firstLineChars="20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pPr>
        <w:widowControl/>
        <w:spacing w:line="40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bCs/>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pPr>
        <w:widowControl/>
        <w:spacing w:line="40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pPr>
        <w:widowControl/>
        <w:spacing w:line="400" w:lineRule="exact"/>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pPr>
        <w:spacing w:line="400" w:lineRule="exact"/>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pPr>
        <w:snapToGrid w:val="0"/>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pPr>
        <w:spacing w:line="400" w:lineRule="exact"/>
        <w:rPr>
          <w:rFonts w:hint="eastAsia" w:ascii="黑体" w:hAnsi="黑体" w:eastAsia="黑体" w:cs="Times New Roman"/>
          <w:b/>
          <w:bCs/>
          <w:color w:val="auto"/>
          <w:sz w:val="24"/>
          <w:highlight w:val="none"/>
        </w:rPr>
      </w:pPr>
      <w:bookmarkStart w:id="39" w:name="_Toc35393627"/>
      <w:bookmarkStart w:id="40" w:name="_Toc28359008"/>
      <w:bookmarkStart w:id="41" w:name="_Toc35393796"/>
      <w:bookmarkStart w:id="42" w:name="_Toc28359085"/>
      <w:r>
        <w:rPr>
          <w:rFonts w:hint="eastAsia" w:ascii="黑体" w:hAnsi="黑体" w:eastAsia="黑体" w:cs="Times New Roman"/>
          <w:b/>
          <w:bCs/>
          <w:color w:val="auto"/>
          <w:sz w:val="24"/>
          <w:highlight w:val="none"/>
        </w:rPr>
        <w:t>七、对本次招标提出询问，请按以下方式联系。</w:t>
      </w:r>
      <w:bookmarkEnd w:id="39"/>
      <w:bookmarkEnd w:id="40"/>
      <w:bookmarkEnd w:id="41"/>
      <w:bookmarkEnd w:id="42"/>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rPr>
        <w:t>广西壮族自治区水利厅</w:t>
      </w:r>
    </w:p>
    <w:p>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rPr>
        <w:t>南宁市建政路12号</w:t>
      </w:r>
    </w:p>
    <w:p>
      <w:pPr>
        <w:spacing w:line="400" w:lineRule="exact"/>
        <w:ind w:firstLine="420" w:firstLineChars="200"/>
        <w:rPr>
          <w:rFonts w:hint="default" w:ascii="宋体" w:hAnsi="宋体" w:cs="宋体"/>
          <w:color w:val="auto"/>
          <w:kern w:val="0"/>
          <w:szCs w:val="21"/>
          <w:highlight w:val="none"/>
          <w:u w:val="none"/>
          <w:lang w:eastAsia="zh-CN"/>
        </w:rPr>
      </w:pPr>
      <w:r>
        <w:rPr>
          <w:rFonts w:hint="eastAsia" w:ascii="宋体" w:hAnsi="宋体" w:eastAsia="宋体" w:cs="宋体"/>
          <w:color w:val="auto"/>
          <w:kern w:val="0"/>
          <w:szCs w:val="21"/>
          <w:highlight w:val="none"/>
        </w:rPr>
        <w:t>联系方式：</w:t>
      </w:r>
      <w:r>
        <w:rPr>
          <w:rFonts w:hint="eastAsia" w:ascii="宋体" w:hAnsi="宋体" w:cs="宋体"/>
          <w:color w:val="auto"/>
          <w:kern w:val="0"/>
          <w:szCs w:val="21"/>
          <w:highlight w:val="none"/>
          <w:u w:val="none"/>
          <w:lang w:eastAsia="zh-CN"/>
        </w:rPr>
        <w:t>廉工</w:t>
      </w:r>
      <w:r>
        <w:rPr>
          <w:rFonts w:hint="eastAsia" w:ascii="宋体" w:hAnsi="宋体" w:cs="宋体"/>
          <w:color w:val="auto"/>
          <w:kern w:val="0"/>
          <w:szCs w:val="21"/>
          <w:highlight w:val="none"/>
          <w:u w:val="none"/>
          <w:lang w:val="en-US" w:eastAsia="zh-CN"/>
        </w:rPr>
        <w:t xml:space="preserve">  0771-2185132 </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名称：</w:t>
      </w:r>
      <w:bookmarkStart w:id="43" w:name="PO_3000001866_PM031_1"/>
      <w:r>
        <w:rPr>
          <w:rFonts w:hint="eastAsia" w:ascii="宋体" w:hAnsi="宋体" w:cs="宋体"/>
          <w:color w:val="auto"/>
          <w:kern w:val="0"/>
          <w:szCs w:val="21"/>
          <w:highlight w:val="none"/>
        </w:rPr>
        <w:t>广西兴桂源招标有限公司</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址：南宁市建政路12号区水利厅综合楼一单元6楼</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联系方式：0771-3491328</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3.项目联系方式</w:t>
      </w:r>
    </w:p>
    <w:p>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项目联系人：黄晓殷</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cs="宋体"/>
          <w:color w:val="auto"/>
          <w:kern w:val="0"/>
          <w:szCs w:val="21"/>
          <w:highlight w:val="none"/>
        </w:rPr>
        <w:t>电    话：0771-3491280</w:t>
      </w:r>
      <w:bookmarkEnd w:id="43"/>
    </w:p>
    <w:p>
      <w:pPr>
        <w:widowControl/>
        <w:spacing w:line="400" w:lineRule="exact"/>
        <w:jc w:val="left"/>
        <w:rPr>
          <w:rFonts w:ascii="宋体" w:hAnsi="宋体" w:cs="宋体"/>
          <w:color w:val="auto"/>
          <w:sz w:val="24"/>
          <w:highlight w:val="none"/>
          <w:lang w:val="zh-CN"/>
        </w:rPr>
      </w:pPr>
    </w:p>
    <w:p>
      <w:pPr>
        <w:spacing w:line="400" w:lineRule="exact"/>
        <w:ind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广西兴桂源招标有限公司</w:t>
      </w:r>
    </w:p>
    <w:p>
      <w:pPr>
        <w:spacing w:line="400" w:lineRule="exact"/>
        <w:ind w:firstLine="210" w:firstLineChars="100"/>
        <w:jc w:val="right"/>
        <w:rPr>
          <w:rFonts w:hint="eastAsia"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w:t>
      </w:r>
    </w:p>
    <w:p>
      <w:pPr>
        <w:pStyle w:val="2"/>
        <w:spacing w:line="400" w:lineRule="exact"/>
        <w:rPr>
          <w:color w:val="auto"/>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pPr>
        <w:pStyle w:val="14"/>
        <w:jc w:val="center"/>
        <w:outlineLvl w:val="0"/>
        <w:rPr>
          <w:rFonts w:hint="eastAsia" w:ascii="Times New Roman" w:hAnsi="Times New Roman" w:eastAsia="宋体" w:cs="Times New Roman"/>
          <w:b/>
          <w:color w:val="auto"/>
          <w:sz w:val="36"/>
          <w:highlight w:val="none"/>
        </w:rPr>
      </w:pPr>
      <w:bookmarkStart w:id="44" w:name="_Toc532545042"/>
      <w:bookmarkStart w:id="45" w:name="_Toc21081"/>
      <w:bookmarkStart w:id="46" w:name="_Toc28689"/>
      <w:bookmarkStart w:id="47" w:name="_Toc17621"/>
      <w:bookmarkStart w:id="48" w:name="_Toc8382"/>
      <w:bookmarkStart w:id="49" w:name="_Toc13449"/>
      <w:bookmarkStart w:id="50" w:name="_Toc7686"/>
      <w:bookmarkStart w:id="51" w:name="_Toc2299"/>
      <w:bookmarkStart w:id="52" w:name="_Toc7337"/>
      <w:bookmarkStart w:id="53" w:name="_Toc24210"/>
      <w:bookmarkStart w:id="54" w:name="_Toc32573"/>
      <w:bookmarkStart w:id="55" w:name="_Toc4483"/>
      <w:bookmarkStart w:id="56" w:name="_Toc937"/>
      <w:bookmarkStart w:id="57" w:name="_Toc22408"/>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4"/>
      <w:r>
        <w:rPr>
          <w:rFonts w:hint="eastAsia" w:ascii="Times New Roman" w:hAnsi="Times New Roman" w:eastAsia="宋体" w:cs="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pacing w:line="340" w:lineRule="exact"/>
        <w:rPr>
          <w:rFonts w:ascii="Times New Roman" w:hAnsi="宋体" w:eastAsia="宋体" w:cs="Times New Roman"/>
          <w:b/>
          <w:color w:val="auto"/>
          <w:szCs w:val="21"/>
          <w:highlight w:val="none"/>
        </w:rPr>
      </w:pPr>
    </w:p>
    <w:p>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pPr>
        <w:tabs>
          <w:tab w:val="left" w:pos="180"/>
          <w:tab w:val="left" w:pos="1620"/>
        </w:tabs>
        <w:spacing w:line="420" w:lineRule="exact"/>
        <w:ind w:firstLine="420" w:firstLineChars="200"/>
        <w:jc w:val="left"/>
        <w:rPr>
          <w:rFonts w:hint="eastAsia" w:ascii="宋体" w:hAnsi="宋体" w:eastAsia="宋体" w:cs="宋体"/>
          <w:i w:val="0"/>
          <w:iCs w:val="0"/>
          <w:color w:val="auto"/>
          <w:highlight w:val="none"/>
          <w:u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.采购内容所属行业：</w:t>
      </w:r>
      <w:r>
        <w:rPr>
          <w:rFonts w:hint="eastAsia" w:ascii="宋体" w:hAnsi="宋体" w:cs="宋体"/>
          <w:color w:val="auto"/>
          <w:highlight w:val="none"/>
        </w:rPr>
        <w:t>其他未列明行业</w:t>
      </w:r>
      <w:r>
        <w:rPr>
          <w:rFonts w:hint="eastAsia" w:ascii="宋体" w:hAnsi="宋体" w:eastAsia="宋体" w:cs="宋体"/>
          <w:i w:val="0"/>
          <w:iCs w:val="0"/>
          <w:color w:val="auto"/>
          <w:highlight w:val="none"/>
          <w:u w:val="none"/>
          <w:lang w:val="en-US" w:eastAsia="zh-CN"/>
        </w:rPr>
        <w:t>。</w:t>
      </w:r>
    </w:p>
    <w:p>
      <w:pPr>
        <w:spacing w:line="240" w:lineRule="auto"/>
        <w:ind w:firstLine="0" w:firstLineChars="0"/>
        <w:jc w:val="left"/>
        <w:rPr>
          <w:rFonts w:hint="eastAsia" w:ascii="宋体" w:hAnsi="宋体" w:eastAsia="宋体" w:cs="宋体"/>
          <w:i w:val="0"/>
          <w:iCs w:val="0"/>
          <w:color w:val="auto"/>
          <w:highlight w:val="none"/>
          <w:u w:val="none"/>
          <w:lang w:val="en-US" w:eastAsia="zh-CN"/>
        </w:rPr>
      </w:pPr>
      <w:r>
        <w:rPr>
          <w:rFonts w:hint="eastAsia" w:ascii="宋体" w:hAnsi="宋体" w:eastAsia="宋体" w:cs="宋体"/>
          <w:i w:val="0"/>
          <w:iCs w:val="0"/>
          <w:color w:val="auto"/>
          <w:highlight w:val="none"/>
          <w:u w:val="none"/>
          <w:lang w:val="en-US" w:eastAsia="zh-CN"/>
        </w:rPr>
        <w:br w:type="page"/>
      </w:r>
    </w:p>
    <w:p>
      <w:pPr>
        <w:rPr>
          <w:rFonts w:ascii="Times New Roman" w:hAnsi="Times New Roman" w:eastAsia="宋体" w:cs="Times New Roman"/>
          <w:color w:val="auto"/>
          <w:highlight w:val="none"/>
        </w:rPr>
      </w:pPr>
    </w:p>
    <w:tbl>
      <w:tblPr>
        <w:tblStyle w:val="21"/>
        <w:tblW w:w="1012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912"/>
        <w:gridCol w:w="5765"/>
        <w:gridCol w:w="1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vAlign w:val="top"/>
          </w:tcPr>
          <w:p>
            <w:pPr>
              <w:jc w:val="center"/>
              <w:rPr>
                <w:rFonts w:hint="eastAsia" w:ascii="宋体" w:hAnsi="宋体" w:eastAsia="宋体" w:cs="宋体"/>
                <w:b/>
                <w:color w:val="auto"/>
                <w:sz w:val="21"/>
                <w:szCs w:val="21"/>
                <w:highlight w:val="none"/>
              </w:rPr>
            </w:pPr>
          </w:p>
          <w:p>
            <w:pPr>
              <w:jc w:val="center"/>
              <w:rPr>
                <w:rFonts w:hint="eastAsia" w:ascii="宋体" w:hAnsi="宋体" w:eastAsia="宋体" w:cs="宋体"/>
                <w:b/>
                <w:color w:val="auto"/>
                <w:sz w:val="21"/>
                <w:szCs w:val="21"/>
                <w:highlight w:val="none"/>
              </w:rPr>
            </w:pPr>
          </w:p>
          <w:p>
            <w:pPr>
              <w:jc w:val="center"/>
              <w:rPr>
                <w:rFonts w:ascii="宋体" w:hAnsi="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cs="宋体"/>
                <w:color w:val="auto"/>
                <w:szCs w:val="21"/>
                <w:highlight w:val="none"/>
              </w:rPr>
              <w:t>名称</w:t>
            </w: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p>
          <w:p>
            <w:pPr>
              <w:jc w:val="center"/>
              <w:rPr>
                <w:rFonts w:ascii="宋体" w:hAnsi="宋体" w:cs="宋体"/>
                <w:color w:val="auto"/>
                <w:szCs w:val="21"/>
                <w:highlight w:val="none"/>
              </w:rPr>
            </w:pPr>
            <w:r>
              <w:rPr>
                <w:rFonts w:hint="eastAsia" w:ascii="宋体" w:hAnsi="宋体" w:cs="宋体"/>
                <w:color w:val="auto"/>
                <w:szCs w:val="21"/>
                <w:highlight w:val="none"/>
              </w:rPr>
              <w:t>数量及单位</w:t>
            </w:r>
          </w:p>
          <w:p>
            <w:pPr>
              <w:jc w:val="center"/>
              <w:rPr>
                <w:rFonts w:ascii="宋体" w:hAnsi="宋体" w:cs="宋体"/>
                <w:color w:val="auto"/>
                <w:szCs w:val="21"/>
                <w:highlight w:val="none"/>
              </w:rPr>
            </w:pPr>
          </w:p>
        </w:tc>
        <w:tc>
          <w:tcPr>
            <w:tcW w:w="5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p>
            <w:pPr>
              <w:jc w:val="center"/>
              <w:rPr>
                <w:rFonts w:ascii="宋体" w:hAnsi="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 w:val="16"/>
                <w:szCs w:val="16"/>
                <w:highlight w:val="none"/>
              </w:rPr>
            </w:pPr>
            <w:r>
              <w:rPr>
                <w:rFonts w:hint="eastAsia" w:ascii="宋体" w:hAnsi="宋体" w:cs="宋体"/>
                <w:color w:val="auto"/>
                <w:sz w:val="18"/>
                <w:szCs w:val="18"/>
                <w:highlight w:val="none"/>
              </w:rPr>
              <w:t>中小企业划分标准所属行业名称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jc w:val="center"/>
        </w:trPr>
        <w:tc>
          <w:tcPr>
            <w:tcW w:w="545" w:type="dxa"/>
            <w:vMerge w:val="continue"/>
            <w:tcBorders>
              <w:left w:val="single" w:color="auto" w:sz="4" w:space="0"/>
              <w:right w:val="single" w:color="auto" w:sz="4" w:space="0"/>
            </w:tcBorders>
            <w:vAlign w:val="top"/>
          </w:tcPr>
          <w:p>
            <w:pPr>
              <w:spacing w:line="240" w:lineRule="exact"/>
              <w:jc w:val="center"/>
              <w:rPr>
                <w:rFonts w:ascii="宋体" w:hAnsi="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400" w:lineRule="exact"/>
              <w:ind w:firstLine="0" w:firstLineChars="0"/>
              <w:jc w:val="center"/>
              <w:rPr>
                <w:rFonts w:ascii="宋体" w:hAnsi="Courier New" w:eastAsia="宋体" w:cs="Times New Roman"/>
                <w:b w:val="0"/>
                <w:bCs/>
                <w:caps/>
                <w:color w:val="auto"/>
                <w:kern w:val="2"/>
                <w:sz w:val="20"/>
                <w:szCs w:val="20"/>
                <w:highlight w:val="none"/>
                <w:lang w:val="en-US" w:eastAsia="zh-CN" w:bidi="ar-SA"/>
              </w:rPr>
            </w:pPr>
            <w:r>
              <w:rPr>
                <w:rFonts w:hint="eastAsia" w:ascii="宋体" w:hAnsi="Courier New" w:cs="Times New Roman"/>
                <w:b w:val="0"/>
                <w:bCs/>
                <w:caps/>
                <w:color w:val="auto"/>
                <w:kern w:val="2"/>
                <w:sz w:val="20"/>
                <w:szCs w:val="20"/>
                <w:highlight w:val="none"/>
                <w:lang w:val="en-US" w:eastAsia="zh-CN" w:bidi="ar-SA"/>
              </w:rPr>
              <w:t>广西农村供水安全提升及在线监管试点建设方案</w:t>
            </w:r>
          </w:p>
        </w:tc>
        <w:tc>
          <w:tcPr>
            <w:tcW w:w="91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5765" w:type="dxa"/>
            <w:tcBorders>
              <w:top w:val="single" w:color="auto" w:sz="4" w:space="0"/>
              <w:left w:val="single" w:color="auto" w:sz="4" w:space="0"/>
              <w:bottom w:val="single" w:color="auto" w:sz="4" w:space="0"/>
              <w:right w:val="single" w:color="auto" w:sz="4" w:space="0"/>
            </w:tcBorders>
            <w:vAlign w:val="center"/>
          </w:tcPr>
          <w:p>
            <w:pPr>
              <w:pStyle w:val="3"/>
              <w:keepNext/>
              <w:keepLines/>
              <w:numPr>
                <w:ilvl w:val="0"/>
                <w:numId w:val="1"/>
              </w:numPr>
              <w:adjustRightInd w:val="0"/>
              <w:spacing w:before="0" w:beforeAutospacing="0" w:after="0" w:afterAutospacing="0" w:line="400" w:lineRule="exact"/>
              <w:ind w:left="0" w:firstLine="422" w:firstLineChars="200"/>
              <w:contextualSpacing/>
              <w:jc w:val="both"/>
              <w:rPr>
                <w:rFonts w:cs="宋体"/>
                <w:bCs/>
                <w:color w:val="auto"/>
                <w:sz w:val="21"/>
                <w:szCs w:val="21"/>
                <w:highlight w:val="none"/>
              </w:rPr>
            </w:pPr>
            <w:r>
              <w:rPr>
                <w:rFonts w:cs="宋体"/>
                <w:bCs/>
                <w:color w:val="auto"/>
                <w:sz w:val="21"/>
                <w:szCs w:val="21"/>
                <w:highlight w:val="none"/>
              </w:rPr>
              <w:t>指导思想</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习近平新时代中国特色社会主义思想为指导，深入学习贯彻党的二十大精神，坚持习近平总书记“节水优先、空间均衡、系统治理、两手发力”治水思路，认真学习贯彻习近平总书记“五个更大”重要要求，深入贯彻习近平总书记视察广西“4·27”重要讲话精神和对广西工作的系列重要指示要求。立足新发展阶段、贯彻新发展理念、构建新发展格局，坚持以人民为中心，项目的开展推进新阶段农村供水高质量发展，保证农村居民在共建共享发展中有更多获得感、幸福感和安全感，为巩固拓展农村饮水安全脱贫攻坚成果、实施乡村振兴战略提供重要水利支撑和保障。</w:t>
            </w:r>
          </w:p>
          <w:p>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展《广西农村供水保障“十四五”规划实施情况中期评估》编制，有助于调整规划投资及建设任务，确保广西农村供水保障“十四五”规划按期完成。开展《广西农村供水工程水质提升试点建设方案》编制，通过“以点带面”有效指导各地开展水质提升工作，确保广西农村供水水质提升专项行动实施方案（2023—2025年）目标按期完成。开展《广西农村供水信息化管理系统二期可行性研究》《广西农村供水工程信息化数字化建设技术指南》《广西农村供水工程在线监管建设项目可行性研究及总体设计方案》等工作，提出信息化标准顶层设计，为强化农村供水信息化在线监管及增强风险预报、预警、预演、预案能力，提升全区农村供水工程的生产运营管理、巡查管护、综合决策水平，提供指导性、前瞻性、可行性技术支撑。</w:t>
            </w:r>
          </w:p>
          <w:p>
            <w:pPr>
              <w:keepNext/>
              <w:keepLines/>
              <w:numPr>
                <w:ilvl w:val="0"/>
                <w:numId w:val="1"/>
              </w:numPr>
              <w:adjustRightInd w:val="0"/>
              <w:spacing w:line="400" w:lineRule="exact"/>
              <w:ind w:left="0" w:firstLine="422" w:firstLineChars="200"/>
              <w:contextualSpacing/>
              <w:outlineLvl w:val="0"/>
              <w:rPr>
                <w:rFonts w:hint="eastAsia" w:ascii="宋体" w:hAnsi="宋体" w:cs="宋体"/>
                <w:b/>
                <w:color w:val="auto"/>
                <w:kern w:val="44"/>
                <w:szCs w:val="21"/>
                <w:highlight w:val="none"/>
              </w:rPr>
            </w:pPr>
            <w:r>
              <w:rPr>
                <w:rFonts w:hint="eastAsia" w:ascii="宋体" w:hAnsi="宋体" w:cs="宋体"/>
                <w:b/>
                <w:color w:val="auto"/>
                <w:kern w:val="44"/>
                <w:szCs w:val="21"/>
                <w:highlight w:val="none"/>
              </w:rPr>
              <w:t>编制依据</w:t>
            </w:r>
          </w:p>
          <w:p>
            <w:pPr>
              <w:spacing w:line="400" w:lineRule="exact"/>
              <w:ind w:firstLine="422" w:firstLineChars="200"/>
              <w:textAlignment w:val="center"/>
              <w:outlineLvl w:val="1"/>
              <w:rPr>
                <w:rFonts w:hint="eastAsia"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val="0"/>
                <w:bCs/>
                <w:color w:val="auto"/>
                <w:szCs w:val="21"/>
                <w:highlight w:val="none"/>
              </w:rPr>
              <w:t>《水利部办公厅关于印发2023年农村水利水电工作要点的通知》《关于大力推进智慧水利建设的指导意见》《“十四五”智慧水利建设规划》《广西壮族自治区农村供水保障“十四五”规划》等通知及规划。</w:t>
            </w:r>
          </w:p>
          <w:p>
            <w:pPr>
              <w:keepNext/>
              <w:keepLines/>
              <w:numPr>
                <w:ilvl w:val="0"/>
                <w:numId w:val="1"/>
              </w:numPr>
              <w:adjustRightInd w:val="0"/>
              <w:spacing w:line="400" w:lineRule="exact"/>
              <w:ind w:left="0" w:firstLine="422" w:firstLineChars="200"/>
              <w:contextualSpacing/>
              <w:outlineLvl w:val="0"/>
              <w:rPr>
                <w:rFonts w:hint="eastAsia" w:ascii="宋体" w:hAnsi="宋体" w:cs="宋体"/>
                <w:b/>
                <w:color w:val="auto"/>
                <w:kern w:val="44"/>
                <w:szCs w:val="21"/>
                <w:highlight w:val="none"/>
              </w:rPr>
            </w:pPr>
            <w:r>
              <w:rPr>
                <w:rFonts w:hint="eastAsia" w:ascii="宋体" w:hAnsi="宋体" w:cs="宋体"/>
                <w:b/>
                <w:color w:val="auto"/>
                <w:kern w:val="44"/>
                <w:szCs w:val="21"/>
                <w:highlight w:val="none"/>
              </w:rPr>
              <w:fldChar w:fldCharType="begin"/>
            </w:r>
            <w:r>
              <w:rPr>
                <w:rFonts w:hint="eastAsia" w:ascii="宋体" w:hAnsi="宋体" w:cs="宋体"/>
                <w:b/>
                <w:color w:val="auto"/>
                <w:kern w:val="44"/>
                <w:szCs w:val="21"/>
                <w:highlight w:val="none"/>
              </w:rPr>
              <w:instrText xml:space="preserve"> HYPERLINK \l "_Toc352771887" </w:instrText>
            </w:r>
            <w:r>
              <w:rPr>
                <w:rFonts w:hint="eastAsia" w:ascii="宋体" w:hAnsi="宋体" w:cs="宋体"/>
                <w:b/>
                <w:color w:val="auto"/>
                <w:kern w:val="44"/>
                <w:szCs w:val="21"/>
                <w:highlight w:val="none"/>
              </w:rPr>
              <w:fldChar w:fldCharType="separate"/>
            </w:r>
            <w:r>
              <w:rPr>
                <w:rFonts w:hint="eastAsia" w:ascii="宋体" w:hAnsi="宋体" w:cs="宋体"/>
                <w:b/>
                <w:color w:val="auto"/>
                <w:kern w:val="44"/>
                <w:szCs w:val="21"/>
                <w:highlight w:val="none"/>
              </w:rPr>
              <w:t>主要工作内容</w:t>
            </w:r>
            <w:r>
              <w:rPr>
                <w:rFonts w:hint="eastAsia" w:ascii="宋体" w:hAnsi="宋体" w:cs="宋体"/>
                <w:b/>
                <w:color w:val="auto"/>
                <w:kern w:val="44"/>
                <w:szCs w:val="21"/>
                <w:highlight w:val="none"/>
              </w:rPr>
              <w:fldChar w:fldCharType="end"/>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项目基础资料收集及开展实地调查</w:t>
            </w:r>
          </w:p>
          <w:p>
            <w:pPr>
              <w:spacing w:line="400" w:lineRule="exact"/>
              <w:ind w:firstLine="420" w:firstLineChars="200"/>
              <w:rPr>
                <w:rFonts w:hint="eastAsia" w:ascii="宋体" w:hAnsi="宋体" w:cs="宋体"/>
                <w:color w:val="auto"/>
                <w:szCs w:val="21"/>
                <w:highlight w:val="none"/>
              </w:rPr>
            </w:pPr>
            <w:r>
              <w:rPr>
                <w:rFonts w:hint="eastAsia" w:ascii="宋体" w:hAnsi="宋体" w:cs="宋体"/>
                <w:b w:val="0"/>
                <w:color w:val="auto"/>
                <w:szCs w:val="21"/>
                <w:highlight w:val="none"/>
              </w:rPr>
              <w:t>（1）资料收集整理分析</w:t>
            </w:r>
            <w:r>
              <w:rPr>
                <w:rFonts w:hint="eastAsia" w:ascii="宋体" w:hAnsi="宋体" w:cs="宋体"/>
                <w:color w:val="auto"/>
                <w:szCs w:val="21"/>
                <w:highlight w:val="none"/>
              </w:rPr>
              <w:t>。收集整理截止2023年6月底，全区农村供水建设、工程投资有关项目清单及农村供水指标完成情况。千吨万人供水工程自动化监控系统建设和运行情况、家庭水柜设施配套情况。收集整理国家、自治区出台的有关政策，全区及各市县经济社会资料。</w:t>
            </w:r>
          </w:p>
          <w:p>
            <w:pPr>
              <w:spacing w:line="400" w:lineRule="exact"/>
              <w:ind w:firstLine="420" w:firstLineChars="200"/>
              <w:rPr>
                <w:rFonts w:hint="eastAsia" w:ascii="宋体" w:hAnsi="宋体" w:cs="宋体"/>
                <w:b/>
                <w:bCs/>
                <w:color w:val="auto"/>
                <w:szCs w:val="21"/>
                <w:highlight w:val="none"/>
              </w:rPr>
            </w:pPr>
            <w:r>
              <w:rPr>
                <w:rFonts w:hint="eastAsia" w:ascii="宋体" w:hAnsi="宋体" w:cs="宋体"/>
                <w:b w:val="0"/>
                <w:color w:val="auto"/>
                <w:szCs w:val="21"/>
                <w:highlight w:val="none"/>
              </w:rPr>
              <w:t>（2）实地调查</w:t>
            </w:r>
            <w:r>
              <w:rPr>
                <w:rFonts w:hint="eastAsia" w:ascii="宋体" w:hAnsi="宋体" w:cs="宋体"/>
                <w:color w:val="auto"/>
                <w:szCs w:val="21"/>
                <w:highlight w:val="none"/>
              </w:rPr>
              <w:t>。选取典型县区开展实地调查，采取书面调研、座谈交流、以及实地考察等形式。</w:t>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广西农村供水保障“十四五”规划实施情况中期评估</w:t>
            </w:r>
          </w:p>
          <w:p>
            <w:pPr>
              <w:spacing w:line="400" w:lineRule="exact"/>
              <w:ind w:firstLine="420" w:firstLineChars="200"/>
              <w:outlineLvl w:val="2"/>
              <w:rPr>
                <w:rFonts w:hint="eastAsia" w:ascii="宋体" w:hAnsi="宋体" w:cs="宋体"/>
                <w:b w:val="0"/>
                <w:color w:val="auto"/>
                <w:szCs w:val="21"/>
                <w:highlight w:val="none"/>
              </w:rPr>
            </w:pPr>
            <w:r>
              <w:rPr>
                <w:rFonts w:hint="eastAsia" w:ascii="宋体" w:hAnsi="宋体" w:cs="宋体"/>
                <w:color w:val="auto"/>
                <w:szCs w:val="21"/>
                <w:highlight w:val="none"/>
              </w:rPr>
              <w:t>包括</w:t>
            </w:r>
            <w:r>
              <w:rPr>
                <w:rFonts w:hint="eastAsia" w:ascii="宋体" w:hAnsi="宋体" w:cs="宋体"/>
                <w:b w:val="0"/>
                <w:color w:val="auto"/>
                <w:szCs w:val="21"/>
                <w:highlight w:val="none"/>
              </w:rPr>
              <w:t>规划实施情况评估</w:t>
            </w:r>
            <w:r>
              <w:rPr>
                <w:rFonts w:hint="eastAsia" w:ascii="宋体" w:hAnsi="宋体" w:cs="宋体"/>
                <w:color w:val="auto"/>
                <w:szCs w:val="21"/>
                <w:highlight w:val="none"/>
              </w:rPr>
              <w:t>；</w:t>
            </w:r>
            <w:r>
              <w:rPr>
                <w:rFonts w:hint="eastAsia" w:ascii="宋体" w:hAnsi="宋体" w:cs="宋体"/>
                <w:b w:val="0"/>
                <w:color w:val="auto"/>
                <w:szCs w:val="21"/>
                <w:highlight w:val="none"/>
              </w:rPr>
              <w:t>工程运行管理评估</w:t>
            </w:r>
            <w:r>
              <w:rPr>
                <w:rFonts w:hint="eastAsia" w:ascii="宋体" w:hAnsi="宋体" w:cs="宋体"/>
                <w:color w:val="auto"/>
                <w:szCs w:val="21"/>
                <w:highlight w:val="none"/>
              </w:rPr>
              <w:t>；</w:t>
            </w:r>
            <w:r>
              <w:rPr>
                <w:rFonts w:hint="eastAsia" w:ascii="宋体" w:hAnsi="宋体" w:cs="宋体"/>
                <w:b w:val="0"/>
                <w:color w:val="auto"/>
                <w:szCs w:val="21"/>
                <w:highlight w:val="none"/>
              </w:rPr>
              <w:t>水源保护、水质检测和净化消毒设施运行现状评估</w:t>
            </w:r>
            <w:r>
              <w:rPr>
                <w:rFonts w:hint="eastAsia" w:ascii="宋体" w:hAnsi="宋体" w:cs="宋体"/>
                <w:color w:val="auto"/>
                <w:szCs w:val="21"/>
                <w:highlight w:val="none"/>
              </w:rPr>
              <w:t>；</w:t>
            </w:r>
            <w:r>
              <w:rPr>
                <w:rFonts w:hint="eastAsia" w:ascii="宋体" w:hAnsi="宋体" w:cs="宋体"/>
                <w:b w:val="0"/>
                <w:color w:val="auto"/>
                <w:szCs w:val="21"/>
                <w:highlight w:val="none"/>
              </w:rPr>
              <w:t>规划实施项目成效评估</w:t>
            </w:r>
            <w:r>
              <w:rPr>
                <w:rFonts w:hint="eastAsia" w:ascii="宋体" w:hAnsi="宋体" w:cs="宋体"/>
                <w:color w:val="auto"/>
                <w:szCs w:val="21"/>
                <w:highlight w:val="none"/>
              </w:rPr>
              <w:t>；</w:t>
            </w:r>
            <w:r>
              <w:rPr>
                <w:rFonts w:hint="eastAsia" w:ascii="宋体" w:hAnsi="宋体" w:cs="宋体"/>
                <w:b w:val="0"/>
                <w:color w:val="auto"/>
                <w:szCs w:val="21"/>
                <w:highlight w:val="none"/>
              </w:rPr>
              <w:t>规划实施的主要经验做法</w:t>
            </w:r>
            <w:r>
              <w:rPr>
                <w:rFonts w:hint="eastAsia" w:ascii="宋体" w:hAnsi="宋体" w:cs="宋体"/>
                <w:color w:val="auto"/>
                <w:szCs w:val="21"/>
                <w:highlight w:val="none"/>
              </w:rPr>
              <w:t>；</w:t>
            </w:r>
            <w:r>
              <w:rPr>
                <w:rFonts w:hint="eastAsia" w:ascii="宋体" w:hAnsi="宋体" w:cs="宋体"/>
                <w:b w:val="0"/>
                <w:color w:val="auto"/>
                <w:szCs w:val="21"/>
                <w:highlight w:val="none"/>
              </w:rPr>
              <w:t>规划实施存在的问题</w:t>
            </w:r>
            <w:r>
              <w:rPr>
                <w:rFonts w:hint="eastAsia" w:ascii="宋体" w:hAnsi="宋体" w:cs="宋体"/>
                <w:color w:val="auto"/>
                <w:szCs w:val="21"/>
                <w:highlight w:val="none"/>
              </w:rPr>
              <w:t>；</w:t>
            </w:r>
            <w:r>
              <w:rPr>
                <w:rFonts w:hint="eastAsia" w:ascii="宋体" w:hAnsi="宋体" w:cs="宋体"/>
                <w:b w:val="0"/>
                <w:color w:val="auto"/>
                <w:szCs w:val="21"/>
                <w:highlight w:val="none"/>
              </w:rPr>
              <w:t>提出中期评估结论</w:t>
            </w:r>
            <w:r>
              <w:rPr>
                <w:rFonts w:hint="eastAsia" w:ascii="宋体" w:hAnsi="宋体" w:cs="宋体"/>
                <w:color w:val="auto"/>
                <w:szCs w:val="21"/>
                <w:highlight w:val="none"/>
              </w:rPr>
              <w:t>；</w:t>
            </w:r>
            <w:r>
              <w:rPr>
                <w:rFonts w:hint="eastAsia" w:ascii="宋体" w:hAnsi="宋体" w:cs="宋体"/>
                <w:b w:val="0"/>
                <w:color w:val="auto"/>
                <w:szCs w:val="21"/>
                <w:highlight w:val="none"/>
              </w:rPr>
              <w:t>提出</w:t>
            </w:r>
            <w:r>
              <w:rPr>
                <w:rFonts w:hint="eastAsia" w:ascii="宋体" w:hAnsi="宋体" w:cs="宋体"/>
                <w:color w:val="auto"/>
                <w:szCs w:val="21"/>
                <w:highlight w:val="none"/>
              </w:rPr>
              <w:t>规划实施</w:t>
            </w:r>
            <w:r>
              <w:rPr>
                <w:rFonts w:hint="eastAsia" w:ascii="宋体" w:hAnsi="宋体" w:cs="宋体"/>
                <w:b w:val="0"/>
                <w:color w:val="auto"/>
                <w:szCs w:val="21"/>
                <w:highlight w:val="none"/>
              </w:rPr>
              <w:t>建议及意见</w:t>
            </w:r>
            <w:r>
              <w:rPr>
                <w:rFonts w:hint="eastAsia" w:ascii="宋体" w:hAnsi="宋体" w:cs="宋体"/>
                <w:color w:val="auto"/>
                <w:szCs w:val="21"/>
                <w:highlight w:val="none"/>
              </w:rPr>
              <w:t>。</w:t>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广西农村供水工程水质提升试点建设方案</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b w:val="0"/>
                <w:color w:val="auto"/>
                <w:szCs w:val="21"/>
                <w:highlight w:val="none"/>
              </w:rPr>
              <w:t>全区农村供水工程水质现状分析</w:t>
            </w:r>
            <w:r>
              <w:rPr>
                <w:rFonts w:hint="eastAsia" w:ascii="宋体" w:hAnsi="宋体" w:cs="宋体"/>
                <w:color w:val="auto"/>
                <w:szCs w:val="21"/>
                <w:highlight w:val="none"/>
              </w:rPr>
              <w:t>，提出全区农村供水水质存在的问题及原因分析。</w:t>
            </w:r>
            <w:r>
              <w:rPr>
                <w:rFonts w:hint="eastAsia" w:ascii="宋体" w:hAnsi="宋体" w:cs="宋体"/>
                <w:b w:val="0"/>
                <w:color w:val="auto"/>
                <w:szCs w:val="21"/>
                <w:highlight w:val="none"/>
              </w:rPr>
              <w:t>全区农村供水工程水质提升主要任务</w:t>
            </w:r>
            <w:r>
              <w:rPr>
                <w:rFonts w:hint="eastAsia" w:ascii="宋体" w:hAnsi="宋体" w:cs="宋体"/>
                <w:color w:val="auto"/>
                <w:szCs w:val="21"/>
                <w:highlight w:val="none"/>
              </w:rPr>
              <w:t>。</w:t>
            </w:r>
            <w:r>
              <w:rPr>
                <w:rFonts w:hint="eastAsia" w:ascii="宋体" w:hAnsi="宋体" w:cs="宋体"/>
                <w:b w:val="0"/>
                <w:color w:val="auto"/>
                <w:szCs w:val="21"/>
                <w:highlight w:val="none"/>
              </w:rPr>
              <w:t>全区农村供水工程水质提升工程措施</w:t>
            </w:r>
            <w:r>
              <w:rPr>
                <w:rFonts w:hint="eastAsia" w:ascii="宋体" w:hAnsi="宋体" w:cs="宋体"/>
                <w:color w:val="auto"/>
                <w:szCs w:val="21"/>
                <w:highlight w:val="none"/>
              </w:rPr>
              <w:t>。</w:t>
            </w:r>
            <w:r>
              <w:rPr>
                <w:rFonts w:hint="eastAsia" w:ascii="宋体" w:hAnsi="宋体" w:cs="宋体"/>
                <w:b w:val="0"/>
                <w:color w:val="auto"/>
                <w:szCs w:val="21"/>
                <w:highlight w:val="none"/>
              </w:rPr>
              <w:t>全区农村供水工程水质提升管理体制</w:t>
            </w:r>
            <w:r>
              <w:rPr>
                <w:rFonts w:hint="eastAsia" w:ascii="宋体" w:hAnsi="宋体" w:cs="宋体"/>
                <w:color w:val="auto"/>
                <w:szCs w:val="21"/>
                <w:highlight w:val="none"/>
              </w:rPr>
              <w:t>。</w:t>
            </w:r>
            <w:r>
              <w:rPr>
                <w:rFonts w:hint="eastAsia" w:ascii="宋体" w:hAnsi="宋体" w:cs="宋体"/>
                <w:b w:val="0"/>
                <w:color w:val="auto"/>
                <w:szCs w:val="21"/>
                <w:highlight w:val="none"/>
              </w:rPr>
              <w:t>提出水质提升试点建设方案</w:t>
            </w:r>
            <w:r>
              <w:rPr>
                <w:rFonts w:hint="eastAsia" w:ascii="宋体" w:hAnsi="宋体" w:cs="宋体"/>
                <w:color w:val="auto"/>
                <w:szCs w:val="21"/>
                <w:highlight w:val="none"/>
              </w:rPr>
              <w:t>，通过实地调查及水质现状分析，根据水源类型、供水规模、水质超标指标，开展农村供水工程水质提升试点建设。</w:t>
            </w:r>
            <w:r>
              <w:rPr>
                <w:rFonts w:hint="eastAsia" w:ascii="宋体" w:hAnsi="宋体" w:cs="宋体"/>
                <w:b w:val="0"/>
                <w:color w:val="auto"/>
                <w:szCs w:val="21"/>
                <w:highlight w:val="none"/>
              </w:rPr>
              <w:t>制定水质提升技术路线</w:t>
            </w:r>
            <w:r>
              <w:rPr>
                <w:rFonts w:hint="eastAsia" w:ascii="宋体" w:hAnsi="宋体" w:cs="宋体"/>
                <w:color w:val="auto"/>
                <w:szCs w:val="21"/>
                <w:highlight w:val="none"/>
              </w:rPr>
              <w:t>。</w:t>
            </w:r>
            <w:r>
              <w:rPr>
                <w:rFonts w:hint="eastAsia" w:ascii="宋体" w:hAnsi="宋体" w:cs="宋体"/>
                <w:b w:val="0"/>
                <w:color w:val="auto"/>
                <w:szCs w:val="21"/>
                <w:highlight w:val="none"/>
              </w:rPr>
              <w:t>技术指导市县实施水质提升试点工程建设</w:t>
            </w:r>
            <w:r>
              <w:rPr>
                <w:rFonts w:hint="eastAsia" w:ascii="宋体" w:hAnsi="宋体" w:cs="宋体"/>
                <w:color w:val="auto"/>
                <w:szCs w:val="21"/>
                <w:highlight w:val="none"/>
              </w:rPr>
              <w:t>。</w:t>
            </w:r>
            <w:r>
              <w:rPr>
                <w:rFonts w:hint="eastAsia" w:ascii="宋体" w:hAnsi="宋体" w:cs="宋体"/>
                <w:b w:val="0"/>
                <w:color w:val="auto"/>
                <w:szCs w:val="21"/>
                <w:highlight w:val="none"/>
              </w:rPr>
              <w:t>分析水质提升试点工程建后水处理效果并开展评价</w:t>
            </w:r>
            <w:r>
              <w:rPr>
                <w:rFonts w:hint="eastAsia" w:ascii="宋体" w:hAnsi="宋体" w:cs="宋体"/>
                <w:color w:val="auto"/>
                <w:szCs w:val="21"/>
                <w:highlight w:val="none"/>
              </w:rPr>
              <w:t>。</w:t>
            </w:r>
            <w:r>
              <w:rPr>
                <w:rFonts w:hint="eastAsia" w:ascii="宋体" w:hAnsi="宋体" w:cs="宋体"/>
                <w:b w:val="0"/>
                <w:color w:val="auto"/>
                <w:szCs w:val="21"/>
                <w:highlight w:val="none"/>
              </w:rPr>
              <w:t>开展广西农村供水工程水质提升技术指南编制</w:t>
            </w:r>
            <w:r>
              <w:rPr>
                <w:rFonts w:hint="eastAsia" w:ascii="宋体" w:hAnsi="宋体" w:cs="宋体"/>
                <w:color w:val="auto"/>
                <w:szCs w:val="21"/>
                <w:highlight w:val="none"/>
              </w:rPr>
              <w:t>。</w:t>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广西农村供水信息化管理系统二期可行性研究</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广西农村供水信息化管理系统二期要以</w:t>
            </w:r>
            <w:r>
              <w:rPr>
                <w:rFonts w:hint="eastAsia" w:ascii="宋体" w:hAnsi="宋体" w:cs="宋体"/>
                <w:b w:val="0"/>
                <w:color w:val="auto"/>
                <w:szCs w:val="21"/>
                <w:highlight w:val="none"/>
              </w:rPr>
              <w:t>系统性的数字化的手段加强对农村供水工程的监管</w:t>
            </w:r>
            <w:r>
              <w:rPr>
                <w:rFonts w:hint="eastAsia" w:ascii="宋体" w:hAnsi="宋体" w:cs="宋体"/>
                <w:color w:val="auto"/>
                <w:szCs w:val="21"/>
                <w:highlight w:val="none"/>
              </w:rPr>
              <w:t>。升级完善WEB端在线监管相关功能，包括农村供水一张图、数据驾驶舱、在线监管子系统、工程建设管理子系统、大数据分析子系统、模型应用子系统、移动办公子系统、运营及监测数据规范等模块。另外，开发手机APP应用，实现移动化办公，提供随时随地的访问系统以及在线上及时处理各类问题。包括供水概况、供水厂分布、水量、水质、视频信息等。</w:t>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广西农村供水工程信息化数字化建设技术指南</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提出全区农村供水工程信息化数字化建设总体架构，其中包括自治区、市、县级管理平台框架；水厂级管理平台框架；移动端手机app框架；智能感知和监控体系等采集控制系统框架。</w:t>
            </w:r>
            <w:r>
              <w:rPr>
                <w:rFonts w:hint="eastAsia" w:ascii="宋体" w:hAnsi="宋体" w:cs="宋体"/>
                <w:b w:val="0"/>
                <w:color w:val="auto"/>
                <w:szCs w:val="21"/>
                <w:highlight w:val="none"/>
              </w:rPr>
              <w:t>提出智能感知设备监测点设置及选择、 智能感知设备监测系统要求。提出</w:t>
            </w:r>
            <w:r>
              <w:rPr>
                <w:rFonts w:hint="eastAsia" w:ascii="宋体" w:hAnsi="宋体" w:cs="宋体"/>
                <w:color w:val="auto"/>
                <w:szCs w:val="21"/>
                <w:highlight w:val="none"/>
              </w:rPr>
              <w:t>广西</w:t>
            </w:r>
            <w:r>
              <w:rPr>
                <w:rFonts w:hint="eastAsia" w:ascii="宋体" w:hAnsi="宋体" w:cs="宋体"/>
                <w:b w:val="0"/>
                <w:color w:val="auto"/>
                <w:szCs w:val="21"/>
                <w:highlight w:val="none"/>
              </w:rPr>
              <w:t>数字孪生农村供水建设平台建设要求</w:t>
            </w:r>
            <w:r>
              <w:rPr>
                <w:rFonts w:hint="eastAsia" w:ascii="宋体" w:hAnsi="宋体" w:cs="宋体"/>
                <w:color w:val="auto"/>
                <w:szCs w:val="21"/>
                <w:highlight w:val="none"/>
              </w:rPr>
              <w:t>。提出智能业务应用内容及要求。提出广西农村供水工程信息化数字化顶层设计标准。提出网络安全和保障体系。</w:t>
            </w:r>
          </w:p>
          <w:p>
            <w:pPr>
              <w:numPr>
                <w:ilvl w:val="1"/>
                <w:numId w:val="1"/>
              </w:numPr>
              <w:spacing w:line="400" w:lineRule="exact"/>
              <w:ind w:left="0" w:firstLine="422" w:firstLineChars="200"/>
              <w:textAlignment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广西农村供水工程在线监管建设项目可行性研究及总体设计方案</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（1）前期准备。收集整理千吨万人供水工程中已配套自动化监控系统的建设和运行情况，大石山区家庭水柜建设有关资料。</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（2）现状调查。开展农村供水工程在线监管现状调研。</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（3）现状评价及存在问题。分析农村供水工程在线监管基础设施现状、在线监管信息化应用系统现状，提出农村供水信息化存在的问题及面临形势。</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（4）需求分析。全区全部集中供水工程和家庭水柜信息在线监管需求分析。</w:t>
            </w:r>
          </w:p>
          <w:p>
            <w:pPr>
              <w:spacing w:line="400" w:lineRule="exact"/>
              <w:ind w:firstLine="420" w:firstLineChars="200"/>
              <w:rPr>
                <w:rFonts w:hint="eastAsia" w:ascii="宋体" w:hAnsi="宋体" w:cs="宋体"/>
                <w:color w:val="auto"/>
                <w:szCs w:val="21"/>
                <w:highlight w:val="none"/>
              </w:rPr>
            </w:pPr>
            <w:r>
              <w:rPr>
                <w:rFonts w:hint="eastAsia" w:ascii="宋体" w:hAnsi="宋体" w:cs="宋体"/>
                <w:b w:val="0"/>
                <w:color w:val="auto"/>
                <w:szCs w:val="21"/>
                <w:highlight w:val="none"/>
              </w:rPr>
              <w:t>（</w:t>
            </w:r>
            <w:r>
              <w:rPr>
                <w:rFonts w:hint="eastAsia" w:ascii="宋体" w:hAnsi="宋体" w:cs="宋体"/>
                <w:color w:val="auto"/>
                <w:szCs w:val="21"/>
                <w:highlight w:val="none"/>
              </w:rPr>
              <w:t>5</w:t>
            </w:r>
            <w:r>
              <w:rPr>
                <w:rFonts w:hint="eastAsia" w:ascii="宋体" w:hAnsi="宋体" w:cs="宋体"/>
                <w:b w:val="0"/>
                <w:color w:val="auto"/>
                <w:szCs w:val="21"/>
                <w:highlight w:val="none"/>
              </w:rPr>
              <w:t>）</w:t>
            </w:r>
            <w:r>
              <w:rPr>
                <w:rFonts w:hint="eastAsia" w:ascii="宋体" w:hAnsi="宋体" w:cs="宋体"/>
                <w:color w:val="auto"/>
                <w:szCs w:val="21"/>
                <w:highlight w:val="none"/>
              </w:rPr>
              <w:t>建设发展目标。提出20230年</w:t>
            </w:r>
            <w:r>
              <w:rPr>
                <w:rFonts w:hint="eastAsia" w:ascii="宋体" w:hAnsi="宋体" w:cs="宋体"/>
                <w:b w:val="0"/>
                <w:color w:val="auto"/>
                <w:szCs w:val="21"/>
                <w:highlight w:val="none"/>
              </w:rPr>
              <w:t>全区</w:t>
            </w:r>
            <w:r>
              <w:rPr>
                <w:rFonts w:hint="eastAsia" w:ascii="宋体" w:hAnsi="宋体" w:cs="宋体"/>
                <w:color w:val="auto"/>
                <w:szCs w:val="21"/>
                <w:highlight w:val="none"/>
              </w:rPr>
              <w:t>农村供水工程在线监管到建设总体目标和重点建设任务。</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（6）全区</w:t>
            </w:r>
            <w:r>
              <w:rPr>
                <w:rFonts w:hint="eastAsia" w:ascii="宋体" w:hAnsi="宋体" w:cs="宋体"/>
                <w:b w:val="0"/>
                <w:color w:val="auto"/>
                <w:szCs w:val="21"/>
                <w:highlight w:val="none"/>
              </w:rPr>
              <w:t>农村供水在线监管总体设计</w:t>
            </w:r>
            <w:r>
              <w:rPr>
                <w:rFonts w:hint="eastAsia" w:ascii="宋体" w:hAnsi="宋体" w:cs="宋体"/>
                <w:color w:val="auto"/>
                <w:szCs w:val="21"/>
                <w:highlight w:val="none"/>
              </w:rPr>
              <w:t>。对农村供水在线监管建设总体框架进行设计，提出农村供水信息化管理系统总体框架包括应用架构、数据架构、技术架构三个架构和安全保障体系、标准化规范化体系两大保障体系详细内容及要求。并确定各分项分层系统的功能、设计方案及主要软硬件配置，明确软硬件主要技术参数。</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（7）</w:t>
            </w:r>
            <w:r>
              <w:rPr>
                <w:rFonts w:hint="eastAsia" w:ascii="宋体" w:hAnsi="宋体" w:cs="宋体"/>
                <w:b w:val="0"/>
                <w:color w:val="auto"/>
                <w:szCs w:val="21"/>
                <w:highlight w:val="none"/>
              </w:rPr>
              <w:t>全区农村供水自动化监控设施建设</w:t>
            </w:r>
            <w:r>
              <w:rPr>
                <w:rFonts w:hint="eastAsia" w:ascii="宋体" w:hAnsi="宋体" w:cs="宋体"/>
                <w:color w:val="auto"/>
                <w:szCs w:val="21"/>
                <w:highlight w:val="none"/>
              </w:rPr>
              <w:t>设计。全区集中供水工程从取水、输水、制水、配水等各个环节的全过程监控建设内容设计。全区家庭水柜自动化监控体系设计。</w:t>
            </w:r>
          </w:p>
          <w:p>
            <w:pPr>
              <w:spacing w:line="400" w:lineRule="exact"/>
              <w:ind w:firstLine="420" w:firstLineChars="200"/>
              <w:rPr>
                <w:rFonts w:hint="eastAsia" w:ascii="宋体" w:hAnsi="宋体" w:cs="宋体"/>
                <w:color w:val="auto"/>
                <w:szCs w:val="21"/>
                <w:highlight w:val="none"/>
              </w:rPr>
            </w:pPr>
            <w:r>
              <w:rPr>
                <w:rFonts w:hint="eastAsia" w:ascii="宋体" w:hAnsi="宋体" w:cs="宋体"/>
                <w:b w:val="0"/>
                <w:color w:val="auto"/>
                <w:szCs w:val="21"/>
                <w:highlight w:val="none"/>
              </w:rPr>
              <w:t>（</w:t>
            </w:r>
            <w:r>
              <w:rPr>
                <w:rFonts w:hint="eastAsia" w:ascii="宋体" w:hAnsi="宋体" w:cs="宋体"/>
                <w:color w:val="auto"/>
                <w:szCs w:val="21"/>
                <w:highlight w:val="none"/>
              </w:rPr>
              <w:t>8</w:t>
            </w:r>
            <w:r>
              <w:rPr>
                <w:rFonts w:hint="eastAsia" w:ascii="宋体" w:hAnsi="宋体" w:cs="宋体"/>
                <w:b w:val="0"/>
                <w:color w:val="auto"/>
                <w:szCs w:val="21"/>
                <w:highlight w:val="none"/>
              </w:rPr>
              <w:t>）</w:t>
            </w:r>
            <w:r>
              <w:rPr>
                <w:rFonts w:hint="eastAsia" w:ascii="宋体" w:hAnsi="宋体" w:cs="宋体"/>
                <w:color w:val="auto"/>
                <w:szCs w:val="21"/>
                <w:highlight w:val="none"/>
              </w:rPr>
              <w:t>全区</w:t>
            </w:r>
            <w:r>
              <w:rPr>
                <w:rFonts w:hint="eastAsia" w:ascii="宋体" w:hAnsi="宋体" w:cs="宋体"/>
                <w:b w:val="0"/>
                <w:bCs w:val="0"/>
                <w:color w:val="auto"/>
                <w:szCs w:val="21"/>
                <w:highlight w:val="none"/>
              </w:rPr>
              <w:t>农村供水工程在线监管</w:t>
            </w:r>
            <w:r>
              <w:rPr>
                <w:rFonts w:hint="eastAsia" w:ascii="宋体" w:hAnsi="宋体" w:cs="宋体"/>
                <w:b w:val="0"/>
                <w:color w:val="auto"/>
                <w:szCs w:val="21"/>
                <w:highlight w:val="none"/>
              </w:rPr>
              <w:t>主要建设任务及内容</w:t>
            </w:r>
            <w:r>
              <w:rPr>
                <w:rFonts w:hint="eastAsia" w:ascii="宋体" w:hAnsi="宋体" w:cs="宋体"/>
                <w:color w:val="auto"/>
                <w:szCs w:val="21"/>
                <w:highlight w:val="none"/>
              </w:rPr>
              <w:t>。根据不同供水规模、水源类型、取水方式、水处理消毒工艺、经济条件、管理水平等提出全区农村供水工程及家庭水柜信息化主要建设任务。</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提出全区农村供水“四预”建设方案。选取典型县，结合气象、雨水情、水文地质与供水工程自动化监控体系信息等信息，构建多源信息融合立体感知体模型，开展农村供水预报、预警、预演、预案等系统性建设方案编制工作。</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b w:val="0"/>
                <w:color w:val="auto"/>
                <w:szCs w:val="21"/>
                <w:highlight w:val="none"/>
              </w:rPr>
              <w:t>（10）投资估算（概算）</w:t>
            </w:r>
            <w:r>
              <w:rPr>
                <w:rFonts w:hint="eastAsia" w:ascii="宋体" w:hAnsi="宋体" w:cs="宋体"/>
                <w:color w:val="auto"/>
                <w:szCs w:val="21"/>
                <w:highlight w:val="none"/>
              </w:rPr>
              <w:t>。根据广西农村供水信息化发展的目标与任务，结合各地项目的实际建设需求等，进行投资估算（概算）。</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b w:val="0"/>
                <w:color w:val="auto"/>
                <w:szCs w:val="21"/>
                <w:highlight w:val="none"/>
              </w:rPr>
              <w:t>实施安排</w:t>
            </w:r>
            <w:r>
              <w:rPr>
                <w:rFonts w:hint="eastAsia" w:ascii="宋体" w:hAnsi="宋体" w:cs="宋体"/>
                <w:color w:val="auto"/>
                <w:szCs w:val="21"/>
                <w:highlight w:val="none"/>
              </w:rPr>
              <w:t>。提出项目实施安排建议。</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b w:val="0"/>
                <w:color w:val="auto"/>
                <w:szCs w:val="21"/>
                <w:highlight w:val="none"/>
              </w:rPr>
              <w:t>（12）经济评价</w:t>
            </w:r>
            <w:r>
              <w:rPr>
                <w:rFonts w:hint="eastAsia" w:ascii="宋体" w:hAnsi="宋体" w:cs="宋体"/>
                <w:color w:val="auto"/>
                <w:szCs w:val="21"/>
                <w:highlight w:val="none"/>
              </w:rPr>
              <w:t>。开展国民经济评价和财务评价。</w:t>
            </w:r>
          </w:p>
          <w:p>
            <w:pPr>
              <w:spacing w:line="400" w:lineRule="exact"/>
              <w:ind w:firstLine="420" w:firstLineChars="200"/>
              <w:outlineLvl w:val="9"/>
              <w:rPr>
                <w:rFonts w:hint="eastAsia" w:ascii="宋体" w:hAnsi="宋体" w:cs="宋体"/>
                <w:color w:val="auto"/>
                <w:szCs w:val="21"/>
                <w:highlight w:val="none"/>
              </w:rPr>
            </w:pPr>
            <w:r>
              <w:rPr>
                <w:rFonts w:hint="eastAsia" w:ascii="宋体" w:hAnsi="宋体" w:cs="宋体"/>
                <w:b w:val="0"/>
                <w:color w:val="auto"/>
                <w:szCs w:val="21"/>
                <w:highlight w:val="none"/>
              </w:rPr>
              <w:t>（13）主要结论及保障措施</w:t>
            </w:r>
            <w:r>
              <w:rPr>
                <w:rFonts w:hint="eastAsia" w:ascii="宋体" w:hAnsi="宋体" w:cs="宋体"/>
                <w:color w:val="auto"/>
                <w:szCs w:val="21"/>
                <w:highlight w:val="none"/>
              </w:rPr>
              <w:t>。综述本项目建设可行性研究及总体设计方案的主要结论，提出保障措施。</w:t>
            </w:r>
          </w:p>
          <w:p>
            <w:pPr>
              <w:keepNext/>
              <w:keepLines/>
              <w:numPr>
                <w:ilvl w:val="0"/>
                <w:numId w:val="1"/>
              </w:numPr>
              <w:adjustRightInd w:val="0"/>
              <w:spacing w:line="400" w:lineRule="exact"/>
              <w:ind w:left="0" w:firstLine="422" w:firstLineChars="200"/>
              <w:contextualSpacing/>
              <w:outlineLvl w:val="0"/>
              <w:rPr>
                <w:rFonts w:hint="eastAsia" w:ascii="宋体" w:hAnsi="宋体" w:cs="宋体"/>
                <w:b/>
                <w:color w:val="auto"/>
                <w:kern w:val="44"/>
                <w:szCs w:val="21"/>
                <w:highlight w:val="none"/>
              </w:rPr>
            </w:pPr>
            <w:r>
              <w:rPr>
                <w:rFonts w:hint="eastAsia" w:ascii="宋体" w:hAnsi="宋体" w:cs="宋体"/>
                <w:b/>
                <w:color w:val="auto"/>
                <w:kern w:val="44"/>
                <w:szCs w:val="21"/>
                <w:highlight w:val="none"/>
              </w:rPr>
              <w:fldChar w:fldCharType="begin"/>
            </w:r>
            <w:r>
              <w:rPr>
                <w:rFonts w:hint="eastAsia" w:ascii="宋体" w:hAnsi="宋体" w:cs="宋体"/>
                <w:b/>
                <w:color w:val="auto"/>
                <w:kern w:val="44"/>
                <w:szCs w:val="21"/>
                <w:highlight w:val="none"/>
              </w:rPr>
              <w:instrText xml:space="preserve"> HYPERLINK \l "_Toc352771888" </w:instrText>
            </w:r>
            <w:r>
              <w:rPr>
                <w:rFonts w:hint="eastAsia" w:ascii="宋体" w:hAnsi="宋体" w:cs="宋体"/>
                <w:b/>
                <w:color w:val="auto"/>
                <w:kern w:val="44"/>
                <w:szCs w:val="21"/>
                <w:highlight w:val="none"/>
              </w:rPr>
              <w:fldChar w:fldCharType="separate"/>
            </w:r>
            <w:r>
              <w:rPr>
                <w:rFonts w:hint="eastAsia" w:ascii="宋体" w:hAnsi="宋体" w:cs="宋体"/>
                <w:b/>
                <w:color w:val="auto"/>
                <w:kern w:val="44"/>
                <w:szCs w:val="21"/>
                <w:highlight w:val="none"/>
              </w:rPr>
              <w:t>主要成果</w:t>
            </w:r>
            <w:r>
              <w:rPr>
                <w:rFonts w:hint="eastAsia" w:ascii="宋体" w:hAnsi="宋体" w:cs="宋体"/>
                <w:b/>
                <w:color w:val="auto"/>
                <w:kern w:val="44"/>
                <w:szCs w:val="21"/>
                <w:highlight w:val="none"/>
              </w:rPr>
              <w:fldChar w:fldCharType="end"/>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广西农村供水安全提升及在线监管试点建设方案有关项目报告（含广西农村供水保障“十四五”规划中期评估报告、广西农村供水工程水质提升试点建设方案、广西农村供水信息化管理系统二期可行性研究报告、广西农村供水工程信息化数字化建设技术指南、广西农村供水工程在线监管建设项目可行性研究及总体设计报告等有关附表附图）</w:t>
            </w:r>
          </w:p>
          <w:p>
            <w:pPr>
              <w:adjustRightInd w:val="0"/>
              <w:snapToGrid w:val="0"/>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5  服务标准</w:t>
            </w:r>
          </w:p>
          <w:p>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kern w:val="0"/>
                <w:szCs w:val="21"/>
                <w:highlight w:val="none"/>
              </w:rPr>
              <w:t>本项目如有国家相关标准、行业标准、地方标准或者其他标准、规范的，应执行相应的标准、规范。如采购需求与标准、规范不一致的，高于标准、规范的按具体采购需求执行，低于标准、规范的按标准、规范执行。</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0"/>
                <w:szCs w:val="21"/>
                <w:highlight w:val="none"/>
              </w:rPr>
            </w:pPr>
            <w:r>
              <w:rPr>
                <w:rFonts w:hint="eastAsia" w:ascii="宋体" w:hAnsi="宋体" w:cs="宋体"/>
                <w:color w:val="auto"/>
                <w:highlight w:val="none"/>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highlight w:val="none"/>
              </w:rPr>
            </w:pPr>
            <w:r>
              <w:rPr>
                <w:rFonts w:hint="eastAsia" w:ascii="宋体" w:hAnsi="宋体" w:cs="宋体"/>
                <w:color w:val="auto"/>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highlight w:val="none"/>
              </w:rPr>
            </w:pPr>
            <w:r>
              <w:rPr>
                <w:rFonts w:hint="eastAsia" w:ascii="宋体" w:hAnsi="宋体" w:cs="宋体"/>
                <w:color w:val="auto"/>
                <w:highlight w:val="none"/>
              </w:rPr>
              <w:t>一、合同签订期：</w:t>
            </w:r>
            <w:r>
              <w:rPr>
                <w:rFonts w:hint="eastAsia" w:ascii="宋体" w:hAnsi="宋体" w:cs="宋体"/>
                <w:color w:val="auto"/>
                <w:szCs w:val="21"/>
                <w:highlight w:val="none"/>
              </w:rPr>
              <w:t>自中标通知书发出之日起</w:t>
            </w:r>
            <w:r>
              <w:rPr>
                <w:rFonts w:hint="eastAsia" w:ascii="宋体" w:hAnsi="宋体" w:cs="宋体"/>
                <w:color w:val="auto"/>
                <w:szCs w:val="21"/>
                <w:highlight w:val="none"/>
                <w:u w:val="single"/>
              </w:rPr>
              <w:t>25个自然</w:t>
            </w:r>
            <w:r>
              <w:rPr>
                <w:rFonts w:hint="eastAsia" w:ascii="宋体" w:hAnsi="宋体" w:cs="宋体"/>
                <w:color w:val="auto"/>
                <w:szCs w:val="21"/>
                <w:highlight w:val="none"/>
              </w:rPr>
              <w:t>日内</w:t>
            </w:r>
            <w:r>
              <w:rPr>
                <w:rFonts w:hint="eastAsia" w:ascii="宋体" w:hAnsi="宋体" w:cs="宋体"/>
                <w:color w:val="auto"/>
                <w:highlight w:val="none"/>
              </w:rPr>
              <w:t>。</w:t>
            </w:r>
          </w:p>
          <w:p>
            <w:pPr>
              <w:spacing w:line="400" w:lineRule="exact"/>
              <w:rPr>
                <w:rFonts w:hint="eastAsia" w:ascii="宋体" w:hAnsi="宋体" w:cs="宋体"/>
                <w:color w:val="auto"/>
                <w:highlight w:val="none"/>
              </w:rPr>
            </w:pPr>
            <w:r>
              <w:rPr>
                <w:rFonts w:hint="eastAsia" w:ascii="宋体" w:hAnsi="宋体" w:cs="宋体"/>
                <w:color w:val="auto"/>
                <w:highlight w:val="none"/>
              </w:rPr>
              <w:t>二、提交服务成果时间：</w:t>
            </w:r>
          </w:p>
          <w:p>
            <w:pPr>
              <w:spacing w:line="400" w:lineRule="exact"/>
              <w:rPr>
                <w:rFonts w:hint="eastAsia" w:ascii="宋体" w:hAnsi="宋体" w:cs="宋体"/>
                <w:color w:val="auto"/>
                <w:highlight w:val="none"/>
              </w:rPr>
            </w:pPr>
            <w:r>
              <w:rPr>
                <w:rFonts w:hint="eastAsia" w:ascii="宋体" w:hAnsi="宋体" w:cs="宋体"/>
                <w:color w:val="auto"/>
                <w:highlight w:val="none"/>
              </w:rPr>
              <w:t>（1）2</w:t>
            </w:r>
            <w:r>
              <w:rPr>
                <w:rFonts w:ascii="宋体" w:hAnsi="宋体" w:cs="宋体"/>
                <w:color w:val="auto"/>
                <w:highlight w:val="none"/>
              </w:rPr>
              <w:t>024</w:t>
            </w:r>
            <w:r>
              <w:rPr>
                <w:rFonts w:hint="eastAsia" w:ascii="宋体" w:hAnsi="宋体" w:cs="宋体"/>
                <w:color w:val="auto"/>
                <w:highlight w:val="none"/>
              </w:rPr>
              <w:t>年</w:t>
            </w:r>
            <w:r>
              <w:rPr>
                <w:rFonts w:ascii="宋体" w:hAnsi="宋体" w:cs="宋体"/>
                <w:color w:val="auto"/>
                <w:highlight w:val="none"/>
              </w:rPr>
              <w:t>11</w:t>
            </w:r>
            <w:r>
              <w:rPr>
                <w:rFonts w:hint="eastAsia" w:ascii="宋体" w:hAnsi="宋体" w:cs="宋体"/>
                <w:color w:val="auto"/>
                <w:highlight w:val="none"/>
              </w:rPr>
              <w:t>月前，提交广西农村供水保障“十四五”规划中期评估报告及有关附图附表。</w:t>
            </w:r>
          </w:p>
          <w:p>
            <w:pPr>
              <w:spacing w:line="400" w:lineRule="exact"/>
              <w:rPr>
                <w:color w:val="auto"/>
                <w:highlight w:val="none"/>
              </w:rPr>
            </w:pPr>
            <w:r>
              <w:rPr>
                <w:rFonts w:hint="eastAsia" w:ascii="宋体" w:hAnsi="宋体" w:cs="宋体"/>
                <w:color w:val="auto"/>
                <w:highlight w:val="none"/>
              </w:rPr>
              <w:t>（2）2</w:t>
            </w:r>
            <w:r>
              <w:rPr>
                <w:rFonts w:ascii="宋体" w:hAnsi="宋体" w:cs="宋体"/>
                <w:color w:val="auto"/>
                <w:highlight w:val="none"/>
              </w:rPr>
              <w:t>024</w:t>
            </w:r>
            <w:r>
              <w:rPr>
                <w:rFonts w:hint="eastAsia" w:ascii="宋体" w:hAnsi="宋体" w:cs="宋体"/>
                <w:color w:val="auto"/>
                <w:highlight w:val="none"/>
              </w:rPr>
              <w:t>年11月前，提交广西农村供水信息化管理系统二期可行性研究报告报告及有关附图附表。</w:t>
            </w:r>
          </w:p>
          <w:p>
            <w:pPr>
              <w:spacing w:line="400" w:lineRule="exact"/>
              <w:rPr>
                <w:rFonts w:hint="eastAsia" w:ascii="宋体" w:hAnsi="宋体" w:cs="宋体"/>
                <w:color w:val="auto"/>
                <w:highlight w:val="none"/>
              </w:rPr>
            </w:pPr>
            <w:r>
              <w:rPr>
                <w:rFonts w:hint="eastAsia" w:ascii="宋体" w:hAnsi="宋体" w:cs="宋体"/>
                <w:color w:val="auto"/>
                <w:highlight w:val="none"/>
              </w:rPr>
              <w:t>（3）2024年11月前，提交广西农村供水工程信息化数字化建设技术指南报告</w:t>
            </w:r>
          </w:p>
          <w:p>
            <w:pPr>
              <w:spacing w:line="400" w:lineRule="exact"/>
              <w:rPr>
                <w:rFonts w:hint="eastAsia" w:ascii="宋体" w:hAnsi="宋体" w:cs="宋体"/>
                <w:color w:val="auto"/>
                <w:highlight w:val="none"/>
              </w:rPr>
            </w:pPr>
            <w:r>
              <w:rPr>
                <w:rFonts w:hint="eastAsia" w:ascii="宋体" w:hAnsi="宋体" w:cs="宋体"/>
                <w:color w:val="auto"/>
                <w:highlight w:val="none"/>
              </w:rPr>
              <w:t>（4）2</w:t>
            </w:r>
            <w:r>
              <w:rPr>
                <w:rFonts w:ascii="宋体" w:hAnsi="宋体" w:cs="宋体"/>
                <w:color w:val="auto"/>
                <w:highlight w:val="none"/>
              </w:rPr>
              <w:t>025</w:t>
            </w:r>
            <w:r>
              <w:rPr>
                <w:rFonts w:hint="eastAsia" w:ascii="宋体" w:hAnsi="宋体" w:cs="宋体"/>
                <w:color w:val="auto"/>
                <w:highlight w:val="none"/>
              </w:rPr>
              <w:t>年</w:t>
            </w:r>
            <w:r>
              <w:rPr>
                <w:rFonts w:ascii="宋体" w:hAnsi="宋体" w:cs="宋体"/>
                <w:color w:val="auto"/>
                <w:highlight w:val="none"/>
              </w:rPr>
              <w:t>4</w:t>
            </w:r>
            <w:r>
              <w:rPr>
                <w:rFonts w:hint="eastAsia" w:ascii="宋体" w:hAnsi="宋体" w:cs="宋体"/>
                <w:color w:val="auto"/>
                <w:highlight w:val="none"/>
              </w:rPr>
              <w:t>月前，提交广西农村供水工程水质提升试点建设方案报告及有关附图附表。</w:t>
            </w:r>
          </w:p>
          <w:p>
            <w:pPr>
              <w:spacing w:line="400" w:lineRule="exact"/>
              <w:rPr>
                <w:color w:val="auto"/>
                <w:highlight w:val="none"/>
              </w:rPr>
            </w:pPr>
            <w:r>
              <w:rPr>
                <w:rFonts w:hint="eastAsia" w:ascii="宋体" w:hAnsi="宋体" w:cs="宋体"/>
                <w:color w:val="auto"/>
                <w:highlight w:val="none"/>
              </w:rPr>
              <w:t>（5）202</w:t>
            </w:r>
            <w:r>
              <w:rPr>
                <w:rFonts w:ascii="宋体" w:hAnsi="宋体" w:cs="宋体"/>
                <w:color w:val="auto"/>
                <w:highlight w:val="none"/>
              </w:rPr>
              <w:t>5</w:t>
            </w:r>
            <w:r>
              <w:rPr>
                <w:rFonts w:hint="eastAsia" w:ascii="宋体" w:hAnsi="宋体" w:cs="宋体"/>
                <w:color w:val="auto"/>
                <w:highlight w:val="none"/>
              </w:rPr>
              <w:t>年11月前，提交广西农村供水工程在线监管建设项目可行性研究及总体设计方案报告及有关附图附表。</w:t>
            </w:r>
          </w:p>
          <w:p>
            <w:pPr>
              <w:spacing w:line="400" w:lineRule="exact"/>
              <w:rPr>
                <w:rFonts w:hint="eastAsia" w:ascii="宋体" w:hAnsi="宋体" w:cs="宋体"/>
                <w:color w:val="auto"/>
                <w:highlight w:val="none"/>
              </w:rPr>
            </w:pPr>
            <w:r>
              <w:rPr>
                <w:rFonts w:hint="eastAsia" w:ascii="宋体" w:hAnsi="宋体" w:cs="宋体"/>
                <w:color w:val="auto"/>
                <w:highlight w:val="none"/>
              </w:rPr>
              <w:t>三、提交服务成果地点：广西区内由采购人指定。</w:t>
            </w:r>
          </w:p>
          <w:p>
            <w:pPr>
              <w:spacing w:line="400" w:lineRule="exact"/>
              <w:rPr>
                <w:rFonts w:hint="eastAsia" w:ascii="宋体" w:hAnsi="宋体" w:cs="宋体"/>
                <w:color w:val="auto"/>
                <w:highlight w:val="none"/>
              </w:rPr>
            </w:pPr>
            <w:r>
              <w:rPr>
                <w:rFonts w:hint="eastAsia" w:ascii="宋体" w:hAnsi="宋体" w:cs="宋体"/>
                <w:color w:val="auto"/>
                <w:highlight w:val="none"/>
              </w:rPr>
              <w:t>四、服务期限：</w:t>
            </w:r>
            <w:r>
              <w:rPr>
                <w:rFonts w:hint="eastAsia" w:ascii="宋体" w:hAnsi="宋体" w:cs="宋体"/>
                <w:color w:val="auto"/>
                <w:szCs w:val="21"/>
                <w:highlight w:val="none"/>
              </w:rPr>
              <w:t>自合同签订之日起至2025年12月底止。</w:t>
            </w:r>
          </w:p>
          <w:p>
            <w:pPr>
              <w:spacing w:line="400" w:lineRule="exact"/>
              <w:rPr>
                <w:rFonts w:hint="eastAsia" w:ascii="宋体" w:hAnsi="宋体" w:cs="宋体"/>
                <w:color w:val="auto"/>
                <w:highlight w:val="none"/>
              </w:rPr>
            </w:pPr>
            <w:r>
              <w:rPr>
                <w:rFonts w:hint="eastAsia" w:ascii="宋体" w:hAnsi="宋体" w:cs="宋体"/>
                <w:color w:val="auto"/>
                <w:highlight w:val="none"/>
              </w:rPr>
              <w:t>五、售后服务要求</w:t>
            </w:r>
          </w:p>
          <w:p>
            <w:pPr>
              <w:spacing w:line="400" w:lineRule="exact"/>
              <w:rPr>
                <w:rFonts w:hint="eastAsia" w:ascii="宋体" w:hAnsi="宋体" w:cs="宋体"/>
                <w:color w:val="auto"/>
                <w:highlight w:val="none"/>
              </w:rPr>
            </w:pPr>
            <w:r>
              <w:rPr>
                <w:rFonts w:hint="eastAsia" w:ascii="宋体" w:hAnsi="宋体" w:cs="宋体"/>
                <w:color w:val="auto"/>
                <w:highlight w:val="none"/>
              </w:rPr>
              <w:t>1、在服务期限内，当行业标准、技术规范发生改变时，中标人须免费修改相关内容。</w:t>
            </w:r>
          </w:p>
          <w:p>
            <w:pPr>
              <w:widowControl/>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highlight w:val="none"/>
              </w:rPr>
              <w:t>2、在服务期限内，中标人</w:t>
            </w:r>
            <w:r>
              <w:rPr>
                <w:rFonts w:hint="eastAsia" w:ascii="宋体" w:hAnsi="宋体" w:cs="宋体"/>
                <w:color w:val="auto"/>
                <w:szCs w:val="21"/>
                <w:highlight w:val="none"/>
              </w:rPr>
              <w:t>提供5×24小时电话服务。</w:t>
            </w:r>
          </w:p>
          <w:p>
            <w:pPr>
              <w:widowControl/>
              <w:tabs>
                <w:tab w:val="left" w:pos="180"/>
                <w:tab w:val="left" w:pos="162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3、具体成果文件份数按采购人实际需要提供。</w:t>
            </w:r>
          </w:p>
          <w:p>
            <w:pPr>
              <w:widowControl/>
              <w:tabs>
                <w:tab w:val="left" w:pos="180"/>
                <w:tab w:val="left" w:pos="1620"/>
              </w:tabs>
              <w:spacing w:line="400" w:lineRule="exact"/>
              <w:jc w:val="left"/>
              <w:rPr>
                <w:rFonts w:hint="eastAsia" w:ascii="宋体" w:hAnsi="宋体" w:cs="宋体"/>
                <w:color w:val="auto"/>
                <w:highlight w:val="none"/>
              </w:rPr>
            </w:pPr>
            <w:r>
              <w:rPr>
                <w:rFonts w:hint="eastAsia" w:ascii="宋体" w:hAnsi="宋体" w:cs="宋体"/>
                <w:color w:val="auto"/>
                <w:szCs w:val="21"/>
                <w:highlight w:val="none"/>
              </w:rPr>
              <w:t>4、采购人审核通过方案后，中标人才能实施，否则引起的经济损失等后果由中标人承担；实施过程中属于中标人原因造成的错漏等失误，由中标人负责改正，相关费用包含在合同总价中。投标人在投标时须充分考虑该成本。</w:t>
            </w:r>
          </w:p>
          <w:p>
            <w:pPr>
              <w:spacing w:line="400" w:lineRule="exact"/>
              <w:rPr>
                <w:rFonts w:hint="eastAsia" w:ascii="宋体" w:hAnsi="宋体" w:cs="宋体"/>
                <w:color w:val="auto"/>
                <w:highlight w:val="none"/>
              </w:rPr>
            </w:pPr>
            <w:r>
              <w:rPr>
                <w:rFonts w:hint="eastAsia" w:ascii="宋体" w:hAnsi="宋体" w:cs="宋体"/>
                <w:color w:val="auto"/>
                <w:highlight w:val="none"/>
              </w:rPr>
              <w:t>六、验收要求</w:t>
            </w:r>
          </w:p>
          <w:p>
            <w:pPr>
              <w:spacing w:line="400" w:lineRule="exact"/>
              <w:rPr>
                <w:rFonts w:hint="eastAsia" w:ascii="宋体" w:hAnsi="宋体" w:cs="宋体"/>
                <w:color w:val="auto"/>
                <w:highlight w:val="none"/>
              </w:rPr>
            </w:pPr>
            <w:r>
              <w:rPr>
                <w:rFonts w:hint="eastAsia" w:ascii="宋体" w:hAnsi="宋体" w:cs="宋体"/>
                <w:color w:val="auto"/>
                <w:highlight w:val="none"/>
              </w:rPr>
              <w:t>1、验收方式：由采购人组织验收。</w:t>
            </w:r>
          </w:p>
          <w:p>
            <w:pPr>
              <w:spacing w:line="400" w:lineRule="exact"/>
              <w:rPr>
                <w:rFonts w:hint="eastAsia" w:ascii="宋体" w:hAnsi="宋体" w:cs="宋体"/>
                <w:color w:val="auto"/>
                <w:highlight w:val="none"/>
              </w:rPr>
            </w:pPr>
            <w:r>
              <w:rPr>
                <w:rFonts w:hint="eastAsia" w:ascii="宋体" w:hAnsi="宋体" w:cs="宋体"/>
                <w:color w:val="auto"/>
                <w:highlight w:val="none"/>
              </w:rPr>
              <w:t>2、验收费用：包含在投标报价中，如因采购项目验收发生的邀请国家认可的质量检测机构、邀请专家及相关人员及检验费等费用由采购人承担。</w:t>
            </w:r>
          </w:p>
          <w:p>
            <w:pPr>
              <w:spacing w:line="400" w:lineRule="exact"/>
              <w:rPr>
                <w:rFonts w:hint="eastAsia" w:ascii="宋体" w:hAnsi="宋体" w:cs="宋体"/>
                <w:color w:val="auto"/>
                <w:highlight w:val="none"/>
              </w:rPr>
            </w:pPr>
            <w:r>
              <w:rPr>
                <w:rFonts w:hint="eastAsia" w:ascii="宋体" w:hAnsi="宋体" w:cs="宋体"/>
                <w:color w:val="auto"/>
                <w:highlight w:val="none"/>
              </w:rPr>
              <w:t>3、验收标准、规范：符合现行国家相关标准、行业标准、地方标准或者其他标准、规范。</w:t>
            </w:r>
          </w:p>
          <w:p>
            <w:pPr>
              <w:spacing w:line="400" w:lineRule="exact"/>
              <w:rPr>
                <w:rFonts w:hint="eastAsia" w:ascii="宋体" w:hAnsi="宋体" w:cs="宋体"/>
                <w:color w:val="auto"/>
                <w:highlight w:val="none"/>
              </w:rPr>
            </w:pPr>
            <w:r>
              <w:rPr>
                <w:rFonts w:hint="eastAsia" w:ascii="宋体" w:hAnsi="宋体" w:cs="宋体"/>
                <w:color w:val="auto"/>
                <w:highlight w:val="none"/>
              </w:rPr>
              <w:t>七、其他要求</w:t>
            </w:r>
          </w:p>
          <w:p>
            <w:pPr>
              <w:spacing w:line="400" w:lineRule="exact"/>
              <w:rPr>
                <w:rFonts w:hint="eastAsia" w:ascii="宋体" w:hAnsi="宋体" w:cs="宋体"/>
                <w:color w:val="auto"/>
                <w:highlight w:val="none"/>
              </w:rPr>
            </w:pPr>
            <w:r>
              <w:rPr>
                <w:rFonts w:hint="eastAsia" w:ascii="宋体" w:hAnsi="宋体" w:cs="宋体"/>
                <w:color w:val="auto"/>
                <w:highlight w:val="none"/>
              </w:rPr>
              <w:t>1、报价必须含以下部分，包括：</w:t>
            </w:r>
          </w:p>
          <w:p>
            <w:pPr>
              <w:spacing w:line="400" w:lineRule="exact"/>
              <w:rPr>
                <w:rFonts w:hint="eastAsia" w:ascii="宋体" w:hAnsi="宋体" w:cs="宋体"/>
                <w:color w:val="auto"/>
                <w:highlight w:val="none"/>
              </w:rPr>
            </w:pPr>
            <w:r>
              <w:rPr>
                <w:rFonts w:hint="eastAsia" w:ascii="宋体" w:hAnsi="宋体" w:cs="宋体"/>
                <w:color w:val="auto"/>
                <w:highlight w:val="none"/>
              </w:rPr>
              <w:t>（1）服务的价格，投标人完成本采购项目所有工作量的全部费用如必要的规划设计费、勘察费、资料购置费、专题研究费及咨询评估费、以及为完成采购文件规定的义务投标人认为有必要计入的其它费用。如设计总结工作报告费用、并配合采购人进行各分项或总体设计评审和各种审查会议的组织及会务工作费用、项目审查阶段的多套内审稿、送审稿、报批稿等印刷费用；</w:t>
            </w:r>
          </w:p>
          <w:p>
            <w:pPr>
              <w:spacing w:line="400" w:lineRule="exact"/>
              <w:rPr>
                <w:rFonts w:hint="eastAsia" w:ascii="宋体" w:hAnsi="宋体" w:cs="宋体"/>
                <w:color w:val="auto"/>
                <w:highlight w:val="none"/>
              </w:rPr>
            </w:pPr>
            <w:r>
              <w:rPr>
                <w:rFonts w:hint="eastAsia" w:ascii="宋体" w:hAnsi="宋体" w:cs="宋体"/>
                <w:color w:val="auto"/>
                <w:highlight w:val="none"/>
              </w:rPr>
              <w:t>（2）应包含本项目招标代理服务费；</w:t>
            </w:r>
          </w:p>
          <w:p>
            <w:pPr>
              <w:spacing w:line="400" w:lineRule="exact"/>
              <w:rPr>
                <w:rFonts w:hint="eastAsia" w:ascii="宋体" w:hAnsi="宋体" w:cs="宋体"/>
                <w:color w:val="auto"/>
                <w:highlight w:val="none"/>
              </w:rPr>
            </w:pPr>
            <w:r>
              <w:rPr>
                <w:rFonts w:hint="eastAsia" w:ascii="宋体" w:hAnsi="宋体" w:cs="宋体"/>
                <w:color w:val="auto"/>
                <w:highlight w:val="none"/>
              </w:rPr>
              <w:t>（3）必要的保险费用和各项税金；</w:t>
            </w:r>
          </w:p>
          <w:p>
            <w:pPr>
              <w:spacing w:line="400" w:lineRule="exact"/>
              <w:rPr>
                <w:rFonts w:hint="eastAsia" w:ascii="宋体" w:hAnsi="宋体" w:cs="宋体"/>
                <w:color w:val="auto"/>
                <w:highlight w:val="none"/>
              </w:rPr>
            </w:pPr>
            <w:r>
              <w:rPr>
                <w:rFonts w:hint="eastAsia" w:ascii="宋体" w:hAnsi="宋体" w:cs="宋体"/>
                <w:color w:val="auto"/>
                <w:highlight w:val="none"/>
              </w:rPr>
              <w:t>（4）到现场验收的费用；</w:t>
            </w:r>
          </w:p>
          <w:p>
            <w:pPr>
              <w:widowControl/>
              <w:tabs>
                <w:tab w:val="left" w:pos="3490"/>
                <w:tab w:val="left" w:pos="3670"/>
                <w:tab w:val="left" w:pos="3895"/>
              </w:tabs>
              <w:spacing w:line="400" w:lineRule="exact"/>
              <w:jc w:val="left"/>
              <w:rPr>
                <w:rFonts w:hint="eastAsia" w:ascii="宋体" w:hAnsi="宋体" w:cs="宋体"/>
                <w:color w:val="auto"/>
                <w:highlight w:val="none"/>
              </w:rPr>
            </w:pPr>
            <w:r>
              <w:rPr>
                <w:rFonts w:hint="eastAsia" w:ascii="宋体" w:hAnsi="宋体" w:cs="宋体"/>
                <w:color w:val="auto"/>
                <w:highlight w:val="none"/>
              </w:rPr>
              <w:t>（5）投标人应充分考虑由于国家政策变化、自然灾害、战争等不可抗力因素造成本合同中断引起损失风险。</w:t>
            </w:r>
          </w:p>
          <w:p>
            <w:pPr>
              <w:spacing w:line="400" w:lineRule="exact"/>
              <w:rPr>
                <w:rFonts w:hint="eastAsia" w:ascii="宋体" w:hAnsi="宋体" w:cs="宋体"/>
                <w:color w:val="auto"/>
                <w:highlight w:val="none"/>
              </w:rPr>
            </w:pPr>
            <w:r>
              <w:rPr>
                <w:rFonts w:hint="eastAsia" w:ascii="宋体" w:hAnsi="宋体" w:cs="宋体"/>
                <w:color w:val="auto"/>
                <w:highlight w:val="none"/>
              </w:rPr>
              <w:t>2、付款方式：</w:t>
            </w:r>
          </w:p>
          <w:p>
            <w:pPr>
              <w:spacing w:line="400" w:lineRule="exact"/>
              <w:rPr>
                <w:rFonts w:hint="eastAsia" w:ascii="宋体" w:hAnsi="宋体" w:cs="宋体"/>
                <w:color w:val="auto"/>
                <w:highlight w:val="none"/>
              </w:rPr>
            </w:pPr>
            <w:r>
              <w:rPr>
                <w:rFonts w:hint="eastAsia" w:ascii="宋体" w:hAnsi="宋体" w:cs="宋体"/>
                <w:color w:val="auto"/>
                <w:highlight w:val="none"/>
              </w:rPr>
              <w:t>（1）合同签订后</w:t>
            </w:r>
            <w:r>
              <w:rPr>
                <w:rFonts w:hint="eastAsia" w:ascii="宋体" w:hAnsi="宋体" w:cs="宋体"/>
                <w:color w:val="auto"/>
                <w:highlight w:val="none"/>
                <w:lang w:val="en-US" w:eastAsia="zh-CN"/>
              </w:rPr>
              <w:t>15</w:t>
            </w:r>
            <w:r>
              <w:rPr>
                <w:rFonts w:hint="eastAsia" w:ascii="宋体" w:hAnsi="宋体" w:cs="宋体"/>
                <w:color w:val="auto"/>
                <w:highlight w:val="none"/>
              </w:rPr>
              <w:t>个工作日内，采购人向中标人支付合同款的</w:t>
            </w:r>
            <w:r>
              <w:rPr>
                <w:rFonts w:hint="eastAsia" w:ascii="宋体" w:hAnsi="宋体" w:cs="宋体"/>
                <w:color w:val="auto"/>
                <w:highlight w:val="none"/>
                <w:lang w:val="en-US" w:eastAsia="zh-CN"/>
              </w:rPr>
              <w:t>30</w:t>
            </w:r>
            <w:r>
              <w:rPr>
                <w:rFonts w:hint="eastAsia" w:ascii="宋体" w:hAnsi="宋体" w:cs="宋体"/>
                <w:color w:val="auto"/>
                <w:highlight w:val="none"/>
              </w:rPr>
              <w:t>%。</w:t>
            </w:r>
          </w:p>
          <w:p>
            <w:pPr>
              <w:spacing w:line="400" w:lineRule="exact"/>
              <w:rPr>
                <w:rFonts w:hint="eastAsia" w:ascii="宋体" w:hAnsi="宋体" w:cs="宋体"/>
                <w:color w:val="auto"/>
                <w:highlight w:val="none"/>
              </w:rPr>
            </w:pPr>
            <w:r>
              <w:rPr>
                <w:rFonts w:hint="eastAsia" w:ascii="宋体" w:hAnsi="宋体" w:cs="宋体"/>
                <w:color w:val="auto"/>
                <w:highlight w:val="none"/>
              </w:rPr>
              <w:t>（2）余款由采购人视工作开展情况及预算执行情况（其中2024年度支付合同款项不超过300.00万元）支付。中标人提交所有成果并通过采购项目审查及验收后</w:t>
            </w:r>
            <w:r>
              <w:rPr>
                <w:rFonts w:hint="eastAsia" w:ascii="宋体" w:hAnsi="宋体" w:cs="宋体"/>
                <w:color w:val="auto"/>
                <w:highlight w:val="none"/>
                <w:lang w:val="en-US" w:eastAsia="zh-CN"/>
              </w:rPr>
              <w:t>15</w:t>
            </w:r>
            <w:r>
              <w:rPr>
                <w:rFonts w:hint="eastAsia" w:ascii="宋体" w:hAnsi="宋体" w:cs="宋体"/>
                <w:color w:val="auto"/>
                <w:highlight w:val="none"/>
              </w:rPr>
              <w:t>个工作日内，采购人向中标人支付合同余款。</w:t>
            </w:r>
          </w:p>
          <w:p>
            <w:pPr>
              <w:spacing w:line="400" w:lineRule="exact"/>
              <w:rPr>
                <w:rFonts w:hint="eastAsia" w:ascii="宋体" w:hAnsi="宋体" w:cs="宋体"/>
                <w:color w:val="auto"/>
                <w:highlight w:val="none"/>
              </w:rPr>
            </w:pPr>
            <w:r>
              <w:rPr>
                <w:rFonts w:hint="eastAsia" w:ascii="宋体" w:hAnsi="宋体" w:cs="宋体"/>
                <w:color w:val="auto"/>
                <w:highlight w:val="none"/>
              </w:rPr>
              <w:t>（3）采购人每支付一笔款项前，中标人必须提供相应数额的增值税发票</w:t>
            </w:r>
            <w:r>
              <w:rPr>
                <w:rFonts w:hint="eastAsia" w:ascii="宋体" w:hAnsi="宋体" w:cs="宋体"/>
                <w:color w:val="auto"/>
                <w:highlight w:val="none"/>
                <w:lang w:eastAsia="zh-CN"/>
              </w:rPr>
              <w:t>（</w:t>
            </w:r>
            <w:r>
              <w:rPr>
                <w:rFonts w:hint="eastAsia" w:ascii="宋体" w:hAnsi="宋体" w:cs="宋体"/>
                <w:color w:val="auto"/>
                <w:szCs w:val="21"/>
                <w:highlight w:val="none"/>
              </w:rPr>
              <w:t>若为联合体中标，联合体</w:t>
            </w:r>
            <w:r>
              <w:rPr>
                <w:rFonts w:hint="eastAsia" w:ascii="宋体" w:hAnsi="宋体" w:cs="宋体"/>
                <w:color w:val="auto"/>
                <w:szCs w:val="21"/>
                <w:highlight w:val="none"/>
                <w:lang w:eastAsia="zh-CN"/>
              </w:rPr>
              <w:t>各方</w:t>
            </w:r>
            <w:r>
              <w:rPr>
                <w:rFonts w:hint="eastAsia" w:ascii="宋体" w:hAnsi="宋体" w:cs="宋体"/>
                <w:color w:val="auto"/>
                <w:szCs w:val="21"/>
                <w:highlight w:val="none"/>
              </w:rPr>
              <w:t>必须分别提供相应数额的增值税发票）</w:t>
            </w:r>
            <w:r>
              <w:rPr>
                <w:rFonts w:hint="eastAsia" w:ascii="宋体" w:hAnsi="宋体" w:cs="宋体"/>
                <w:color w:val="auto"/>
                <w:highlight w:val="none"/>
              </w:rPr>
              <w:t>。</w:t>
            </w:r>
          </w:p>
          <w:p>
            <w:pPr>
              <w:spacing w:line="400" w:lineRule="exac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投标人应保证针对本项目的服务（或货物）所涉及的知识产权和所提供的相关技术资料是合法取得，并享有完整的知识产权，不会因为采购人的使用而被责令停止使用、追偿或要求赔偿损失，如出现此情况，一切经济和法律责任均由投标人承担。</w:t>
            </w:r>
          </w:p>
          <w:p>
            <w:pPr>
              <w:spacing w:line="400" w:lineRule="exac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、知识产权归属：本次项目成果归采购人所有，中标人不得擅自对外发表、出版。</w:t>
            </w:r>
          </w:p>
          <w:p>
            <w:pPr>
              <w:spacing w:line="400" w:lineRule="exac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、中标人有义务随时向采购人解释所有成果内容。</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6</w:t>
            </w:r>
            <w:r>
              <w:rPr>
                <w:rFonts w:hint="eastAsia" w:ascii="宋体" w:hAnsi="宋体" w:cs="宋体"/>
                <w:color w:val="auto"/>
                <w:highlight w:val="none"/>
              </w:rPr>
              <w:t>、保密要求：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工作人员泄密事件，中标人应负有连带责任。</w:t>
            </w:r>
          </w:p>
        </w:tc>
      </w:tr>
    </w:tbl>
    <w:p>
      <w:pPr>
        <w:spacing w:line="320" w:lineRule="exact"/>
        <w:rPr>
          <w:rFonts w:hint="eastAsia" w:ascii="宋体" w:hAnsi="宋体" w:eastAsia="宋体" w:cs="Times New Roman"/>
          <w:color w:val="auto"/>
          <w:highlight w:val="none"/>
        </w:rPr>
      </w:pPr>
    </w:p>
    <w:p>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pPr>
        <w:spacing w:before="7"/>
        <w:rPr>
          <w:rFonts w:hint="eastAsia" w:ascii="宋体" w:hAnsi="宋体" w:eastAsia="宋体" w:cs="宋体"/>
          <w:color w:val="auto"/>
          <w:sz w:val="17"/>
          <w:szCs w:val="17"/>
          <w:highlight w:val="none"/>
        </w:rPr>
      </w:pPr>
    </w:p>
    <w:p>
      <w:pPr>
        <w:pStyle w:val="14"/>
        <w:jc w:val="left"/>
        <w:rPr>
          <w:rFonts w:hint="eastAsia" w:ascii="宋体" w:hAnsi="宋体" w:eastAsia="宋体" w:cs="宋体"/>
          <w:color w:val="auto"/>
          <w:sz w:val="32"/>
          <w:szCs w:val="32"/>
          <w:highlight w:val="none"/>
        </w:rPr>
      </w:pPr>
    </w:p>
    <w:p>
      <w:pPr>
        <w:widowControl/>
        <w:spacing w:before="156" w:beforeLines="50" w:after="156" w:afterLines="50" w:line="280" w:lineRule="exact"/>
        <w:jc w:val="center"/>
        <w:rPr>
          <w:rFonts w:ascii="宋体" w:hAnsi="宋体" w:cs="宋体"/>
          <w:b/>
          <w:bCs/>
          <w:color w:val="auto"/>
          <w:kern w:val="0"/>
          <w:sz w:val="30"/>
          <w:szCs w:val="30"/>
          <w:highlight w:val="none"/>
        </w:rPr>
      </w:pPr>
      <w:bookmarkStart w:id="58" w:name="_Toc28361_WPSOffice_Level2"/>
      <w:r>
        <w:rPr>
          <w:rFonts w:hint="eastAsia" w:ascii="宋体" w:hAnsi="宋体" w:cs="宋体"/>
          <w:b/>
          <w:bCs/>
          <w:color w:val="auto"/>
          <w:kern w:val="0"/>
          <w:sz w:val="30"/>
          <w:szCs w:val="30"/>
          <w:highlight w:val="none"/>
        </w:rPr>
        <w:t>统计上大中小微型企业划分标准</w:t>
      </w:r>
      <w:bookmarkEnd w:id="58"/>
    </w:p>
    <w:tbl>
      <w:tblPr>
        <w:tblStyle w:val="2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hint="eastAsia" w:ascii="宋体" w:hAnsi="宋体" w:cs="宋体"/>
          <w:color w:val="auto"/>
          <w:spacing w:val="8"/>
          <w:kern w:val="0"/>
          <w:szCs w:val="21"/>
          <w:highlight w:val="none"/>
        </w:rPr>
      </w:pPr>
    </w:p>
    <w:p>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pPr>
        <w:pStyle w:val="14"/>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pPr>
        <w:pStyle w:val="14"/>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jc w:val="center"/>
        <w:outlineLvl w:val="9"/>
        <w:rPr>
          <w:rFonts w:hint="eastAsia" w:ascii="Times New Roman" w:hAnsi="Times New Roman" w:eastAsia="宋体" w:cs="Times New Roman"/>
          <w:b/>
          <w:color w:val="auto"/>
          <w:sz w:val="36"/>
          <w:highlight w:val="none"/>
        </w:rPr>
      </w:pPr>
      <w:bookmarkStart w:id="59" w:name="_Toc29172"/>
      <w:bookmarkStart w:id="60" w:name="_Toc24489"/>
      <w:bookmarkStart w:id="61" w:name="_Toc6362"/>
      <w:bookmarkStart w:id="62" w:name="_Toc9063"/>
      <w:bookmarkStart w:id="63" w:name="_Toc26039"/>
      <w:bookmarkStart w:id="64" w:name="_Toc532545044"/>
      <w:bookmarkStart w:id="65" w:name="_Toc3325"/>
      <w:bookmarkStart w:id="66" w:name="_Toc8975"/>
      <w:bookmarkStart w:id="67" w:name="_Toc28587"/>
      <w:bookmarkStart w:id="68" w:name="_Toc496"/>
      <w:r>
        <w:rPr>
          <w:rFonts w:hint="eastAsia" w:ascii="Times New Roman" w:hAnsi="Times New Roman" w:eastAsia="宋体" w:cs="Times New Roman"/>
          <w:b/>
          <w:color w:val="auto"/>
          <w:sz w:val="36"/>
          <w:highlight w:val="none"/>
        </w:rPr>
        <w:br w:type="page"/>
      </w:r>
    </w:p>
    <w:p>
      <w:pPr>
        <w:pStyle w:val="14"/>
        <w:jc w:val="center"/>
        <w:outlineLvl w:val="0"/>
        <w:rPr>
          <w:rFonts w:hint="eastAsia" w:hAnsi="宋体" w:eastAsia="宋体" w:cs="Times New Roman"/>
          <w:b/>
          <w:color w:val="auto"/>
          <w:sz w:val="36"/>
          <w:szCs w:val="36"/>
          <w:highlight w:val="none"/>
        </w:rPr>
      </w:pPr>
      <w:bookmarkStart w:id="69" w:name="_Toc15364"/>
      <w:bookmarkStart w:id="70" w:name="_Toc26044"/>
      <w:bookmarkStart w:id="71" w:name="_Toc20085"/>
      <w:bookmarkStart w:id="72" w:name="_Toc20953"/>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4"/>
        <w:spacing w:line="720" w:lineRule="auto"/>
        <w:jc w:val="center"/>
        <w:outlineLvl w:val="1"/>
        <w:rPr>
          <w:rFonts w:hint="eastAsia" w:ascii="Times New Roman" w:hAnsi="Times New Roman" w:eastAsia="宋体" w:cs="Times New Roman"/>
          <w:b/>
          <w:color w:val="auto"/>
          <w:sz w:val="30"/>
          <w:szCs w:val="30"/>
          <w:highlight w:val="none"/>
        </w:rPr>
      </w:pPr>
      <w:bookmarkStart w:id="73" w:name="_Toc8769"/>
      <w:bookmarkStart w:id="74" w:name="_Toc16388"/>
      <w:bookmarkStart w:id="75" w:name="_Toc10039"/>
      <w:bookmarkStart w:id="76" w:name="_Toc29809"/>
      <w:bookmarkStart w:id="77" w:name="_Toc4562"/>
      <w:bookmarkStart w:id="78" w:name="_Toc29813"/>
      <w:bookmarkStart w:id="79" w:name="_Toc32208"/>
      <w:bookmarkStart w:id="80" w:name="_Toc1597"/>
      <w:bookmarkStart w:id="81" w:name="_Toc24714"/>
      <w:bookmarkStart w:id="82" w:name="_Toc11515"/>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3"/>
      <w:bookmarkEnd w:id="74"/>
      <w:bookmarkEnd w:id="75"/>
      <w:bookmarkEnd w:id="76"/>
      <w:bookmarkEnd w:id="77"/>
      <w:bookmarkEnd w:id="78"/>
      <w:bookmarkEnd w:id="79"/>
      <w:bookmarkEnd w:id="80"/>
      <w:bookmarkEnd w:id="81"/>
      <w:bookmarkEnd w:id="82"/>
    </w:p>
    <w:tbl>
      <w:tblPr>
        <w:tblStyle w:val="21"/>
        <w:tblW w:w="1024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092"/>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83" w:name="_8.1"/>
            <w:bookmarkEnd w:id="83"/>
            <w:bookmarkStart w:id="84" w:name="_9.2"/>
            <w:bookmarkEnd w:id="84"/>
            <w:bookmarkStart w:id="85" w:name="_5"/>
            <w:bookmarkEnd w:id="85"/>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hint="eastAsia" w:ascii="宋体" w:hAnsi="宋体" w:eastAsia="宋体" w:cs="宋体"/>
                <w:color w:val="auto"/>
                <w:sz w:val="21"/>
                <w:szCs w:val="21"/>
                <w:highlight w:val="none"/>
              </w:rPr>
            </w:pPr>
            <w:bookmarkStart w:id="86" w:name="PO_3000001866_PM007"/>
            <w:r>
              <w:rPr>
                <w:rFonts w:hint="eastAsia" w:ascii="宋体" w:hAnsi="宋体" w:cs="宋体"/>
                <w:color w:val="auto"/>
                <w:szCs w:val="21"/>
                <w:highlight w:val="none"/>
              </w:rPr>
              <w:t>详见招标公告。</w:t>
            </w:r>
            <w:bookmarkEnd w:id="8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1.两个以上投标人可以组成一个投标联合体，以一个投标人的身份共同参加投标。联合体投标的，须提供《联合体投标协议书》（格式后附）。</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5.联合体中有同类资质的投标人按照联合体分工承担相同工作的，应当按照资质等级较低的投标人确定资质等级。</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6.联合体投标业绩、履约能力按照联合体各方其中较高的一方认定并计算（招标文件另有规定的除外）。</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7.投标人为联合体的，可以由联合体中的一方或者多方共同缴纳投标保证金，其缴纳的投标保证金对联合体各方均具有约束力。</w:t>
            </w:r>
          </w:p>
          <w:p>
            <w:pPr>
              <w:pStyle w:val="12"/>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8.联合体各方均应按照招标文件的规定提交资格证明文件。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hint="eastAsia" w:ascii="宋体" w:hAnsi="宋体" w:eastAsia="宋体" w:cs="宋体"/>
                <w:color w:val="auto"/>
                <w:sz w:val="21"/>
                <w:szCs w:val="21"/>
                <w:highlight w:val="none"/>
                <w:lang w:eastAsia="zh-CN"/>
              </w:rPr>
            </w:pPr>
            <w:bookmarkStart w:id="87"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7"/>
          </w:p>
          <w:p>
            <w:pPr>
              <w:pStyle w:val="12"/>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pPr>
              <w:pStyle w:val="12"/>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51" w:type="dxa"/>
            <w:tcBorders>
              <w:top w:val="nil"/>
              <w:left w:val="single" w:color="auto" w:sz="4" w:space="0"/>
              <w:bottom w:val="nil"/>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bookmarkStart w:id="88" w:name="_13.2"/>
            <w:bookmarkEnd w:id="88"/>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29"/>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12"/>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2022或2023</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numPr>
                <w:ilvl w:val="0"/>
                <w:numId w:val="0"/>
              </w:numPr>
              <w:snapToGrid w:val="0"/>
              <w:spacing w:line="400" w:lineRule="exact"/>
              <w:ind w:leftChars="0"/>
              <w:jc w:val="left"/>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、联合体投标协议书（格式后附）。</w:t>
            </w:r>
            <w:r>
              <w:rPr>
                <w:rFonts w:hint="eastAsia" w:ascii="宋体" w:hAnsi="宋体" w:eastAsia="宋体" w:cs="Times New Roman"/>
                <w:b/>
                <w:bCs/>
                <w:color w:val="auto"/>
                <w:szCs w:val="21"/>
                <w:highlight w:val="none"/>
              </w:rPr>
              <w:t>（联合体投标时必须提供，否则作无效投标处理）</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w:t>
            </w:r>
          </w:p>
          <w:p>
            <w:pPr>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pPr>
              <w:snapToGrid w:val="0"/>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项资格证明文件联合体各方均必须分别提供，联合体各方分别盖章和签字，否则投标文件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nil"/>
              <w:left w:val="single" w:color="auto" w:sz="4" w:space="0"/>
              <w:bottom w:val="nil"/>
              <w:right w:val="single" w:color="auto" w:sz="4" w:space="0"/>
            </w:tcBorders>
            <w:vAlign w:val="center"/>
          </w:tcPr>
          <w:p>
            <w:pPr>
              <w:spacing w:line="400" w:lineRule="exac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bookmarkStart w:id="89" w:name="_13.3"/>
            <w:bookmarkEnd w:id="89"/>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pPr>
              <w:pStyle w:val="2"/>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4、投标保证金提交凭证</w:t>
            </w:r>
            <w:r>
              <w:rPr>
                <w:rFonts w:hint="eastAsia" w:ascii="宋体" w:hAnsi="宋体" w:eastAsia="宋体" w:cs="宋体"/>
                <w:color w:val="auto"/>
                <w:sz w:val="21"/>
                <w:szCs w:val="21"/>
                <w:highlight w:val="none"/>
                <w:lang w:eastAsia="zh-CN"/>
              </w:rPr>
              <w:t>；</w:t>
            </w:r>
            <w:r>
              <w:rPr>
                <w:rFonts w:hint="eastAsia" w:ascii="宋体" w:hAnsi="宋体" w:cs="宋体"/>
                <w:b/>
                <w:bCs/>
                <w:color w:val="auto"/>
                <w:sz w:val="21"/>
                <w:szCs w:val="21"/>
                <w:highlight w:val="none"/>
              </w:rPr>
              <w:t>（必须提供，否则作无效投标处理）</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pPr>
              <w:snapToGrid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pPr>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vMerge w:val="restart"/>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bookmarkStart w:id="90" w:name="_13.4"/>
            <w:bookmarkEnd w:id="90"/>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服务方案</w:t>
            </w:r>
            <w:r>
              <w:rPr>
                <w:rFonts w:hint="eastAsia" w:ascii="宋体" w:hAnsi="宋体" w:cs="宋体"/>
                <w:color w:val="auto"/>
                <w:szCs w:val="21"/>
                <w:highlight w:val="none"/>
              </w:rPr>
              <w:t>（包含①对项目的理解和总体思路、②对项目特点、关键技术问题的认识及对策措施、③</w:t>
            </w:r>
            <w:r>
              <w:rPr>
                <w:rFonts w:hint="eastAsia"/>
                <w:color w:val="auto"/>
                <w:highlight w:val="none"/>
              </w:rPr>
              <w:t>实施方案、</w:t>
            </w:r>
            <w:r>
              <w:rPr>
                <w:rFonts w:hint="eastAsia" w:ascii="宋体" w:hAnsi="宋体" w:cs="宋体"/>
                <w:color w:val="auto"/>
                <w:szCs w:val="21"/>
                <w:highlight w:val="none"/>
              </w:rPr>
              <w:t>④后续服务的安排及保证措施等内容）</w:t>
            </w:r>
            <w:r>
              <w:rPr>
                <w:rFonts w:hint="eastAsia" w:ascii="宋体" w:hAnsi="宋体" w:cs="宋体"/>
                <w:color w:val="auto"/>
                <w:sz w:val="21"/>
                <w:szCs w:val="21"/>
                <w:highlight w:val="none"/>
                <w:lang w:eastAsia="zh-CN"/>
              </w:rPr>
              <w:t>（格式自拟）</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3、售后服务方案（格式自拟）；</w:t>
            </w:r>
          </w:p>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4、项目实施人员一览表（格式</w:t>
            </w:r>
            <w:r>
              <w:rPr>
                <w:rFonts w:hint="eastAsia"/>
                <w:color w:val="auto"/>
                <w:sz w:val="21"/>
                <w:szCs w:val="21"/>
                <w:highlight w:val="none"/>
              </w:rPr>
              <w:t>后附</w:t>
            </w:r>
            <w:r>
              <w:rPr>
                <w:rFonts w:hint="eastAsia" w:ascii="宋体" w:hAnsi="宋体" w:eastAsia="宋体" w:cs="宋体"/>
                <w:color w:val="auto"/>
                <w:sz w:val="21"/>
                <w:szCs w:val="21"/>
                <w:highlight w:val="none"/>
              </w:rPr>
              <w:t>）；</w:t>
            </w:r>
          </w:p>
          <w:p>
            <w:pPr>
              <w:snapToGrid w:val="0"/>
              <w:spacing w:line="40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pPr>
              <w:snapToGrid w:val="0"/>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2"/>
              <w:spacing w:line="400" w:lineRule="exact"/>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rPr>
              <w:t>中小企业声明函或者残疾人福利性单位声明函（格式后附）或者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（如有请提供）</w:t>
            </w:r>
          </w:p>
          <w:p>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1" w:name="_16.2"/>
            <w:bookmarkEnd w:id="91"/>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color w:val="auto"/>
                <w:highlight w:val="none"/>
              </w:rPr>
            </w:pPr>
            <w:r>
              <w:rPr>
                <w:rFonts w:hint="eastAsia"/>
                <w:color w:val="auto"/>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r>
              <w:rPr>
                <w:rFonts w:hint="eastAsia"/>
                <w:color w:val="auto"/>
                <w:highlight w:val="none"/>
                <w:lang w:eastAsia="zh-CN"/>
              </w:rPr>
              <w:t>。</w:t>
            </w:r>
          </w:p>
          <w:p>
            <w:pPr>
              <w:snapToGrid w:val="0"/>
              <w:spacing w:line="400" w:lineRule="exact"/>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pPr>
              <w:pStyle w:val="2"/>
              <w:spacing w:line="400" w:lineRule="exact"/>
              <w:rPr>
                <w:rFonts w:hint="eastAsia"/>
                <w:color w:val="auto"/>
                <w:highlight w:val="none"/>
              </w:rPr>
            </w:pPr>
            <w:r>
              <w:rPr>
                <w:rFonts w:hint="eastAsia" w:ascii="宋体" w:hAnsi="宋体" w:eastAsia="宋体" w:cs="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2" w:name="_17.1"/>
            <w:bookmarkEnd w:id="92"/>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3" w:name="_18"/>
            <w:bookmarkEnd w:id="93"/>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pPr>
              <w:snapToGrid w:val="0"/>
              <w:spacing w:line="400" w:lineRule="exact"/>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pPr>
              <w:pStyle w:val="12"/>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pPr>
              <w:snapToGrid w:val="0"/>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jc w:val="center"/>
        </w:trPr>
        <w:tc>
          <w:tcPr>
            <w:tcW w:w="851" w:type="dxa"/>
            <w:vMerge w:val="restart"/>
            <w:tcBorders>
              <w:top w:val="single" w:color="auto" w:sz="4" w:space="0"/>
              <w:left w:val="single" w:color="auto" w:sz="4" w:space="0"/>
              <w:bottom w:val="nil"/>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4" w:name="_21.1"/>
            <w:bookmarkEnd w:id="94"/>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851" w:type="dxa"/>
            <w:vMerge w:val="continue"/>
            <w:tcBorders>
              <w:top w:val="single" w:color="auto" w:sz="4" w:space="0"/>
              <w:left w:val="single" w:color="auto" w:sz="4" w:space="0"/>
              <w:bottom w:val="nil"/>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851" w:type="dxa"/>
            <w:vMerge w:val="continue"/>
            <w:tcBorders>
              <w:top w:val="single" w:color="auto" w:sz="4" w:space="0"/>
              <w:left w:val="single" w:color="auto" w:sz="4" w:space="0"/>
              <w:bottom w:val="nil"/>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日    时    分</w:t>
            </w:r>
            <w:r>
              <w:rPr>
                <w:rFonts w:hint="eastAsia" w:ascii="宋体" w:hAnsi="宋体" w:cs="宋体"/>
                <w:bCs/>
                <w:color w:val="auto"/>
                <w:szCs w:val="21"/>
                <w:highlight w:val="none"/>
              </w:rPr>
              <w:t>（北京时间）</w:t>
            </w:r>
          </w:p>
          <w:p>
            <w:pPr>
              <w:snapToGrid w:val="0"/>
              <w:spacing w:line="40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5" w:name="_23"/>
            <w:bookmarkEnd w:id="95"/>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7"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6" w:name="_25.3"/>
            <w:bookmarkEnd w:id="96"/>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7" w:name="_26"/>
            <w:bookmarkEnd w:id="97"/>
            <w:bookmarkStart w:id="98" w:name="_28.3"/>
            <w:bookmarkEnd w:id="98"/>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851" w:type="dxa"/>
            <w:tcBorders>
              <w:top w:val="single" w:color="auto" w:sz="4" w:space="0"/>
              <w:left w:val="single" w:color="auto" w:sz="4" w:space="0"/>
              <w:bottom w:val="nil"/>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92" w:type="dxa"/>
            <w:tcBorders>
              <w:top w:val="single" w:color="auto" w:sz="4" w:space="0"/>
              <w:left w:val="single" w:color="auto" w:sz="4" w:space="0"/>
              <w:bottom w:val="nil"/>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99" w:name="_29.2.2（2）"/>
            <w:bookmarkEnd w:id="99"/>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pPr>
              <w:autoSpaceDE w:val="0"/>
              <w:autoSpaceDN w:val="0"/>
              <w:snapToGrid w:val="0"/>
              <w:spacing w:line="400" w:lineRule="exact"/>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☑服务方案</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pPr>
              <w:pStyle w:val="12"/>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100" w:name="_39.1"/>
            <w:bookmarkEnd w:id="100"/>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400" w:lineRule="exact"/>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pPr>
              <w:spacing w:line="400" w:lineRule="exact"/>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eastAsia="宋体" w:cs="宋体"/>
                <w:i/>
                <w:iCs/>
                <w:color w:val="auto"/>
                <w:szCs w:val="21"/>
                <w:highlight w:val="none"/>
              </w:rPr>
              <w:t>/</w:t>
            </w:r>
            <w:r>
              <w:rPr>
                <w:rFonts w:hint="eastAsia" w:ascii="宋体" w:hAnsi="宋体" w:eastAsia="宋体" w:cs="宋体"/>
                <w:color w:val="auto"/>
                <w:szCs w:val="21"/>
                <w:highlight w:val="none"/>
              </w:rPr>
              <w:t>每分标</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snapToGrid w:val="0"/>
              <w:spacing w:line="400" w:lineRule="exact"/>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pPr>
              <w:autoSpaceDE w:val="0"/>
              <w:autoSpaceDN w:val="0"/>
              <w:snapToGrid w:val="0"/>
              <w:spacing w:line="400" w:lineRule="exact"/>
              <w:textAlignment w:val="bottom"/>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bookmarkStart w:id="101" w:name="_Hlk54170335"/>
            <w:r>
              <w:rPr>
                <w:rFonts w:hint="eastAsia" w:ascii="宋体" w:hAnsi="宋体" w:eastAsia="宋体" w:cs="宋体"/>
                <w:b/>
                <w:color w:val="auto"/>
                <w:szCs w:val="21"/>
                <w:highlight w:val="none"/>
              </w:rPr>
              <w:t>根据</w:t>
            </w:r>
            <w:r>
              <w:rPr>
                <w:rFonts w:hint="eastAsia" w:ascii="宋体" w:hAnsi="宋体"/>
                <w:b/>
                <w:color w:val="auto"/>
                <w:szCs w:val="21"/>
                <w:highlight w:val="none"/>
              </w:rPr>
              <w:t>《广西壮族自治区财政厅关于贯彻落实政府采购优化营商环境百日攻坚行动方案的通知》（桂财采〔2020〕49号）</w:t>
            </w:r>
            <w:r>
              <w:rPr>
                <w:rFonts w:hint="eastAsia" w:ascii="宋体" w:hAnsi="宋体"/>
                <w:b/>
                <w:color w:val="auto"/>
                <w:szCs w:val="21"/>
                <w:highlight w:val="none"/>
                <w:lang w:val="en-US" w:eastAsia="zh-CN"/>
              </w:rPr>
              <w:t>和</w:t>
            </w:r>
            <w:r>
              <w:rPr>
                <w:rFonts w:hint="eastAsia" w:ascii="宋体" w:hAnsi="宋体" w:eastAsia="宋体" w:cs="宋体"/>
                <w:b/>
                <w:color w:val="auto"/>
                <w:szCs w:val="21"/>
                <w:highlight w:val="none"/>
              </w:rPr>
              <w:t>《广西壮族自治区财政厅关于规范政府采购货物和服务项目保证金管理的通知》</w:t>
            </w:r>
            <w:r>
              <w:rPr>
                <w:rFonts w:hint="eastAsia" w:ascii="宋体" w:hAnsi="宋体" w:eastAsia="宋体" w:cs="宋体"/>
                <w:b/>
                <w:color w:val="auto"/>
                <w:szCs w:val="21"/>
                <w:highlight w:val="none"/>
                <w:lang w:eastAsia="zh-CN"/>
              </w:rPr>
              <w:t>（桂财规〔2022〕8号）</w:t>
            </w:r>
            <w:r>
              <w:rPr>
                <w:rFonts w:hint="eastAsia" w:ascii="宋体" w:hAnsi="宋体" w:eastAsia="宋体" w:cs="宋体"/>
                <w:b/>
                <w:color w:val="auto"/>
                <w:szCs w:val="21"/>
                <w:highlight w:val="none"/>
              </w:rPr>
              <w:t>规定，鼓励采购人在与</w:t>
            </w:r>
            <w:r>
              <w:rPr>
                <w:rFonts w:hint="eastAsia" w:ascii="宋体" w:hAnsi="宋体" w:eastAsia="宋体" w:cs="宋体"/>
                <w:b/>
                <w:i w:val="0"/>
                <w:caps w:val="0"/>
                <w:color w:val="auto"/>
                <w:spacing w:val="0"/>
                <w:sz w:val="21"/>
                <w:szCs w:val="21"/>
                <w:highlight w:val="none"/>
              </w:rPr>
              <w:t>中小微企业</w:t>
            </w:r>
            <w:r>
              <w:rPr>
                <w:rFonts w:hint="eastAsia" w:ascii="宋体" w:hAnsi="宋体" w:eastAsia="宋体" w:cs="宋体"/>
                <w:b/>
                <w:color w:val="auto"/>
                <w:szCs w:val="21"/>
                <w:highlight w:val="none"/>
              </w:rPr>
              <w:t>签订政府采购合同时，</w:t>
            </w:r>
            <w:r>
              <w:rPr>
                <w:rFonts w:hint="eastAsia" w:ascii="宋体" w:hAnsi="宋体" w:eastAsia="宋体" w:cs="宋体"/>
                <w:b/>
                <w:i w:val="0"/>
                <w:caps w:val="0"/>
                <w:color w:val="auto"/>
                <w:spacing w:val="0"/>
                <w:sz w:val="21"/>
                <w:szCs w:val="21"/>
                <w:highlight w:val="none"/>
              </w:rPr>
              <w:t>减少或免于收取履约保证金</w:t>
            </w:r>
            <w:r>
              <w:rPr>
                <w:rFonts w:hint="eastAsia" w:ascii="宋体" w:hAnsi="宋体" w:eastAsia="宋体" w:cs="宋体"/>
                <w:b/>
                <w:color w:val="auto"/>
                <w:szCs w:val="21"/>
                <w:highlight w:val="none"/>
              </w:rPr>
              <w:t>，有必要收取履约保证金的，收取的履约保证金不得超过政府采购合同金额的5%</w:t>
            </w:r>
            <w:r>
              <w:rPr>
                <w:rFonts w:hint="eastAsia" w:ascii="宋体" w:hAnsi="宋体" w:cs="宋体"/>
                <w:b/>
                <w:color w:val="auto"/>
                <w:szCs w:val="21"/>
                <w:highlight w:val="none"/>
                <w:lang w:eastAsia="zh-CN"/>
              </w:rPr>
              <w:t>，对中小企业收取的履约保证金数额不得超过政府采购合同金额的2%</w:t>
            </w:r>
            <w:r>
              <w:rPr>
                <w:rFonts w:hint="eastAsia" w:ascii="宋体" w:hAnsi="宋体" w:eastAsia="宋体" w:cs="宋体"/>
                <w:b/>
                <w:color w:val="auto"/>
                <w:szCs w:val="21"/>
                <w:highlight w:val="none"/>
              </w:rPr>
              <w:t>。</w:t>
            </w:r>
            <w:bookmarkEnd w:id="101"/>
            <w:r>
              <w:rPr>
                <w:rFonts w:hint="eastAsia" w:ascii="宋体" w:hAnsi="宋体" w:eastAsia="宋体" w:cs="宋体"/>
                <w:b/>
                <w:color w:val="auto"/>
                <w:szCs w:val="21"/>
                <w:highlight w:val="none"/>
              </w:rPr>
              <w:br w:type="textWrapping"/>
            </w:r>
            <w:r>
              <w:rPr>
                <w:rFonts w:hint="eastAsia" w:ascii="宋体" w:hAnsi="宋体" w:cs="宋体"/>
                <w:color w:val="auto"/>
                <w:szCs w:val="21"/>
                <w:highlight w:val="none"/>
                <w:lang w:val="en-US" w:eastAsia="zh-CN"/>
              </w:rPr>
              <w:t xml:space="preserve">  </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3.采用金融、担保机构出具的保函的，必须为无条件保函，否则不予签订合同。</w:t>
            </w:r>
          </w:p>
          <w:p>
            <w:pPr>
              <w:autoSpaceDE w:val="0"/>
              <w:autoSpaceDN w:val="0"/>
              <w:snapToGrid w:val="0"/>
              <w:spacing w:line="40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102" w:name="_40.1"/>
            <w:bookmarkEnd w:id="102"/>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1"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名称：</w:t>
            </w:r>
            <w:r>
              <w:rPr>
                <w:rFonts w:hint="eastAsia" w:ascii="宋体" w:hAnsi="宋体" w:cs="宋体"/>
                <w:color w:val="auto"/>
                <w:kern w:val="0"/>
                <w:szCs w:val="21"/>
                <w:highlight w:val="none"/>
              </w:rPr>
              <w:t>广西壮族自治区水利厅</w:t>
            </w:r>
          </w:p>
          <w:p>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kern w:val="0"/>
                <w:szCs w:val="21"/>
                <w:highlight w:val="none"/>
                <w:u w:val="none"/>
                <w:lang w:val="en-US" w:eastAsia="zh-CN"/>
              </w:rPr>
              <w:t>0771-2185132</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南宁市建政路12号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w:t>
            </w:r>
            <w:r>
              <w:rPr>
                <w:rFonts w:hint="eastAsia" w:ascii="宋体" w:hAnsi="宋体" w:cs="宋体"/>
                <w:color w:val="auto"/>
                <w:kern w:val="0"/>
                <w:szCs w:val="21"/>
                <w:highlight w:val="none"/>
              </w:rPr>
              <w:t>广西兴桂源招标有限公司</w:t>
            </w:r>
          </w:p>
          <w:p>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kern w:val="0"/>
                <w:szCs w:val="21"/>
                <w:highlight w:val="none"/>
              </w:rPr>
              <w:t>0771-3491280</w:t>
            </w:r>
            <w:r>
              <w:rPr>
                <w:rFonts w:hint="eastAsia" w:ascii="宋体" w:hAnsi="宋体" w:cs="宋体"/>
                <w:color w:val="auto"/>
                <w:szCs w:val="21"/>
                <w:highlight w:val="none"/>
                <w:lang w:val="en-US" w:eastAsia="zh-CN"/>
              </w:rPr>
              <w:t xml:space="preserve"> </w:t>
            </w:r>
          </w:p>
          <w:p>
            <w:pPr>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南宁市建政路12号区水利厅综合楼一单元6楼</w:t>
            </w:r>
            <w:r>
              <w:rPr>
                <w:rFonts w:hint="eastAsia" w:ascii="宋体" w:hAnsi="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851" w:type="dxa"/>
            <w:tcBorders>
              <w:top w:val="nil"/>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pPr>
              <w:snapToGrid w:val="0"/>
              <w:spacing w:line="40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pPr>
              <w:snapToGrid w:val="0"/>
              <w:spacing w:line="400" w:lineRule="exact"/>
              <w:rPr>
                <w:rFonts w:hint="eastAsia" w:ascii="宋体" w:hAnsi="宋体" w:cs="宋体"/>
                <w:color w:val="auto"/>
                <w:highlight w:val="none"/>
              </w:rPr>
            </w:pPr>
            <w:r>
              <w:rPr>
                <w:rFonts w:hint="eastAsia" w:ascii="宋体" w:hAnsi="宋体" w:cs="宋体"/>
                <w:color w:val="auto"/>
                <w:highlight w:val="none"/>
              </w:rPr>
              <w:t>名称：</w:t>
            </w:r>
            <w:bookmarkStart w:id="103" w:name="PO_3000001867_PM038"/>
            <w:r>
              <w:rPr>
                <w:rFonts w:hint="eastAsia" w:ascii="宋体" w:hAnsi="宋体" w:cs="宋体"/>
                <w:color w:val="auto"/>
                <w:highlight w:val="none"/>
              </w:rPr>
              <w:t xml:space="preserve">广西壮族自治区财政厅政府采购监督管理处  </w:t>
            </w:r>
          </w:p>
          <w:p>
            <w:pPr>
              <w:snapToGrid w:val="0"/>
              <w:spacing w:line="400" w:lineRule="exact"/>
              <w:rPr>
                <w:rFonts w:hint="eastAsia" w:ascii="宋体" w:hAnsi="宋体" w:cs="宋体"/>
                <w:color w:val="auto"/>
                <w:highlight w:val="none"/>
              </w:rPr>
            </w:pPr>
            <w:r>
              <w:rPr>
                <w:rFonts w:hint="eastAsia" w:ascii="宋体" w:hAnsi="宋体" w:cs="宋体"/>
                <w:color w:val="auto"/>
                <w:highlight w:val="none"/>
              </w:rPr>
              <w:t xml:space="preserve">地址：南宁市桃源路69号广西财政大厦7楼  </w:t>
            </w:r>
          </w:p>
          <w:p>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highlight w:val="none"/>
              </w:rPr>
              <w:t xml:space="preserve">联系电话：0771-5331544  </w:t>
            </w:r>
            <w:r>
              <w:rPr>
                <w:rFonts w:hint="eastAsia" w:ascii="宋体" w:hAnsi="宋体" w:cs="宋体"/>
                <w:color w:val="auto"/>
                <w:highlight w:val="none"/>
                <w:lang w:eastAsia="zh-CN"/>
              </w:rPr>
              <w:t xml:space="preserve"> </w:t>
            </w:r>
            <w:bookmarkEnd w:id="10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bookmarkStart w:id="104" w:name="_42"/>
            <w:bookmarkEnd w:id="104"/>
            <w:bookmarkStart w:id="105" w:name="_41"/>
            <w:bookmarkEnd w:id="105"/>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pPr>
              <w:pStyle w:val="14"/>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p>
          <w:p>
            <w:pPr>
              <w:pStyle w:val="14"/>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84"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pPr>
              <w:pStyle w:val="14"/>
              <w:snapToGrid w:val="0"/>
              <w:spacing w:line="40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eastAsia="宋体" w:cs="宋体"/>
                <w:color w:val="auto"/>
                <w:sz w:val="21"/>
                <w:szCs w:val="21"/>
                <w:highlight w:val="none"/>
              </w:rPr>
            </w:pP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hint="eastAsia" w:hAnsi="宋体" w:cs="宋体"/>
                <w:color w:val="auto"/>
                <w:szCs w:val="21"/>
                <w:highlight w:val="none"/>
              </w:rPr>
            </w:pPr>
            <w:r>
              <w:rPr>
                <w:rFonts w:hint="eastAsia" w:hAnsi="宋体" w:cs="宋体"/>
                <w:color w:val="auto"/>
                <w:sz w:val="21"/>
                <w:szCs w:val="21"/>
                <w:highlight w:val="none"/>
                <w:lang w:eastAsia="zh-CN"/>
              </w:rPr>
              <w:t>账</w:t>
            </w:r>
            <w:r>
              <w:rPr>
                <w:rFonts w:hint="eastAsia" w:ascii="宋体" w:hAnsi="宋体" w:eastAsia="宋体" w:cs="宋体"/>
                <w:color w:val="auto"/>
                <w:sz w:val="21"/>
                <w:szCs w:val="21"/>
                <w:highlight w:val="none"/>
              </w:rPr>
              <w:t>户名称：</w:t>
            </w:r>
            <w:r>
              <w:rPr>
                <w:rFonts w:hint="eastAsia" w:hAnsi="宋体" w:cs="宋体"/>
                <w:color w:val="auto"/>
                <w:szCs w:val="21"/>
                <w:highlight w:val="none"/>
              </w:rPr>
              <w:t>广西兴桂源招标有限公司</w:t>
            </w:r>
          </w:p>
          <w:p>
            <w:pPr>
              <w:pStyle w:val="14"/>
              <w:snapToGrid w:val="0"/>
              <w:spacing w:line="400" w:lineRule="exact"/>
              <w:rPr>
                <w:rFonts w:hint="eastAsia" w:hAnsi="宋体" w:cs="宋体"/>
                <w:color w:val="auto"/>
                <w:szCs w:val="21"/>
                <w:highlight w:val="none"/>
              </w:rPr>
            </w:pPr>
            <w:r>
              <w:rPr>
                <w:rFonts w:hint="eastAsia" w:hAnsi="宋体" w:cs="宋体"/>
                <w:color w:val="auto"/>
                <w:szCs w:val="21"/>
                <w:highlight w:val="none"/>
              </w:rPr>
              <w:t>开户银行：中国建设银行广西南宁市园湖北路支行</w:t>
            </w:r>
          </w:p>
          <w:p>
            <w:pPr>
              <w:pStyle w:val="14"/>
              <w:snapToGrid w:val="0"/>
              <w:spacing w:line="400" w:lineRule="exact"/>
              <w:rPr>
                <w:rFonts w:hint="eastAsia" w:hAnsi="宋体" w:cs="宋体"/>
                <w:color w:val="auto"/>
                <w:szCs w:val="21"/>
                <w:highlight w:val="none"/>
              </w:rPr>
            </w:pPr>
            <w:r>
              <w:rPr>
                <w:rFonts w:hint="eastAsia" w:hAnsi="宋体" w:cs="宋体"/>
                <w:color w:val="auto"/>
                <w:szCs w:val="21"/>
                <w:highlight w:val="none"/>
              </w:rPr>
              <w:t>银行账号：45050160435300000866</w:t>
            </w:r>
          </w:p>
          <w:p>
            <w:pPr>
              <w:pStyle w:val="14"/>
              <w:snapToGrid w:val="0"/>
              <w:spacing w:line="400" w:lineRule="exact"/>
              <w:rPr>
                <w:rFonts w:hint="eastAsia" w:ascii="宋体" w:hAnsi="宋体" w:eastAsia="宋体" w:cs="宋体"/>
                <w:color w:val="auto"/>
                <w:sz w:val="21"/>
                <w:szCs w:val="21"/>
                <w:highlight w:val="none"/>
              </w:rPr>
            </w:pPr>
            <w:r>
              <w:rPr>
                <w:rFonts w:hint="eastAsia" w:hAnsi="宋体" w:cs="宋体"/>
                <w:color w:val="auto"/>
                <w:szCs w:val="21"/>
                <w:highlight w:val="none"/>
              </w:rPr>
              <w:t xml:space="preserve">开户行行号：1056 1104 343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12"/>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pPr>
              <w:pStyle w:val="12"/>
              <w:tabs>
                <w:tab w:val="center" w:pos="4153"/>
                <w:tab w:val="right" w:pos="8306"/>
              </w:tabs>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pPr>
              <w:pStyle w:val="12"/>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pPr>
              <w:pStyle w:val="12"/>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pPr>
        <w:rPr>
          <w:rFonts w:hint="eastAsia" w:ascii="Times New Roman" w:hAnsi="Times New Roman" w:eastAsia="宋体" w:cs="Times New Roman"/>
          <w:color w:val="auto"/>
          <w:highlight w:val="none"/>
        </w:rPr>
      </w:pPr>
    </w:p>
    <w:p>
      <w:pPr>
        <w:pStyle w:val="4"/>
        <w:jc w:val="center"/>
        <w:rPr>
          <w:rFonts w:cs="Times New Roman"/>
          <w:color w:val="auto"/>
          <w:highlight w:val="none"/>
        </w:rPr>
      </w:pPr>
      <w:bookmarkStart w:id="106" w:name="_Toc8807"/>
      <w:bookmarkStart w:id="107" w:name="_Toc11336"/>
      <w:bookmarkStart w:id="108" w:name="_Toc453"/>
      <w:bookmarkStart w:id="109" w:name="_Toc29311"/>
      <w:bookmarkStart w:id="110" w:name="_Toc30841"/>
      <w:bookmarkStart w:id="111" w:name="_Toc1030"/>
      <w:bookmarkStart w:id="112" w:name="_Toc25117"/>
      <w:bookmarkStart w:id="113" w:name="_Toc24313"/>
      <w:bookmarkStart w:id="114" w:name="_Toc7784"/>
      <w:bookmarkStart w:id="115" w:name="_Toc13813"/>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6"/>
      <w:bookmarkEnd w:id="107"/>
      <w:bookmarkEnd w:id="108"/>
      <w:bookmarkEnd w:id="109"/>
      <w:bookmarkEnd w:id="110"/>
      <w:bookmarkEnd w:id="111"/>
      <w:bookmarkEnd w:id="112"/>
      <w:bookmarkEnd w:id="113"/>
      <w:bookmarkEnd w:id="114"/>
      <w:bookmarkEnd w:id="115"/>
    </w:p>
    <w:p>
      <w:pPr>
        <w:pStyle w:val="5"/>
        <w:keepNext w:val="0"/>
        <w:keepLines w:val="0"/>
        <w:spacing w:line="400" w:lineRule="exact"/>
        <w:jc w:val="center"/>
        <w:rPr>
          <w:rFonts w:ascii="Times New Roman" w:hAnsi="Times New Roman" w:eastAsia="宋体" w:cs="Times New Roman"/>
          <w:color w:val="auto"/>
          <w:highlight w:val="none"/>
        </w:rPr>
      </w:pPr>
      <w:bookmarkStart w:id="116" w:name="_Toc19454"/>
      <w:bookmarkStart w:id="117" w:name="_Toc15523"/>
      <w:bookmarkStart w:id="118" w:name="_Toc22266"/>
      <w:bookmarkStart w:id="119" w:name="_Toc28360"/>
      <w:bookmarkStart w:id="120" w:name="_Toc30794"/>
      <w:bookmarkStart w:id="121" w:name="_Toc21176"/>
      <w:bookmarkStart w:id="122" w:name="_Toc18594"/>
      <w:bookmarkStart w:id="123" w:name="_Toc3607"/>
      <w:bookmarkStart w:id="124" w:name="_Toc3522"/>
      <w:bookmarkStart w:id="125" w:name="_Toc6594"/>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6"/>
      <w:bookmarkEnd w:id="117"/>
      <w:bookmarkEnd w:id="118"/>
      <w:bookmarkEnd w:id="119"/>
      <w:bookmarkEnd w:id="120"/>
      <w:bookmarkEnd w:id="121"/>
      <w:bookmarkEnd w:id="122"/>
      <w:bookmarkEnd w:id="123"/>
      <w:bookmarkEnd w:id="124"/>
      <w:bookmarkEnd w:id="125"/>
    </w:p>
    <w:p>
      <w:pPr>
        <w:spacing w:line="360" w:lineRule="auto"/>
        <w:ind w:firstLine="480" w:firstLineChars="200"/>
        <w:rPr>
          <w:rFonts w:ascii="黑体" w:hAnsi="黑体" w:eastAsia="黑体" w:cs="Times New Roman"/>
          <w:color w:val="auto"/>
          <w:sz w:val="24"/>
          <w:highlight w:val="none"/>
        </w:rPr>
      </w:pPr>
      <w:bookmarkStart w:id="126" w:name="_Toc254970527"/>
      <w:bookmarkStart w:id="127" w:name="_Toc254970668"/>
      <w:r>
        <w:rPr>
          <w:rFonts w:hint="eastAsia" w:ascii="黑体" w:hAnsi="黑体" w:eastAsia="黑体" w:cs="Times New Roman"/>
          <w:color w:val="auto"/>
          <w:sz w:val="24"/>
          <w:highlight w:val="none"/>
        </w:rPr>
        <w:t>1.适用范围</w:t>
      </w:r>
      <w:bookmarkEnd w:id="126"/>
      <w:bookmarkEnd w:id="127"/>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pPr>
        <w:spacing w:line="360" w:lineRule="auto"/>
        <w:ind w:firstLine="480" w:firstLineChars="200"/>
        <w:rPr>
          <w:rFonts w:hint="eastAsia" w:ascii="黑体" w:hAnsi="黑体" w:eastAsia="黑体" w:cs="Times New Roman"/>
          <w:color w:val="auto"/>
          <w:sz w:val="24"/>
          <w:highlight w:val="none"/>
        </w:rPr>
      </w:pPr>
      <w:bookmarkStart w:id="128" w:name="_Toc254970528"/>
      <w:bookmarkStart w:id="129" w:name="_Toc254970669"/>
      <w:r>
        <w:rPr>
          <w:rFonts w:hint="eastAsia" w:ascii="黑体" w:hAnsi="黑体" w:eastAsia="黑体" w:cs="Times New Roman"/>
          <w:color w:val="auto"/>
          <w:sz w:val="24"/>
          <w:highlight w:val="none"/>
        </w:rPr>
        <w:t>2.定义</w:t>
      </w:r>
      <w:bookmarkEnd w:id="128"/>
      <w:bookmarkEnd w:id="129"/>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0" w:name="_Toc254970529"/>
      <w:bookmarkStart w:id="131" w:name="_Toc254970670"/>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0"/>
      <w:bookmarkEnd w:id="131"/>
      <w:r>
        <w:rPr>
          <w:rFonts w:hint="eastAsia" w:ascii="黑体" w:hAnsi="黑体" w:eastAsia="黑体" w:cs="Times New Roman"/>
          <w:color w:val="auto"/>
          <w:sz w:val="24"/>
          <w:highlight w:val="none"/>
        </w:rPr>
        <w:t>投标人的资格要求</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pPr>
        <w:spacing w:line="360" w:lineRule="auto"/>
        <w:ind w:firstLine="480" w:firstLineChars="200"/>
        <w:rPr>
          <w:rFonts w:hint="eastAsia" w:ascii="黑体" w:hAnsi="黑体" w:eastAsia="黑体" w:cs="Times New Roman"/>
          <w:color w:val="auto"/>
          <w:sz w:val="24"/>
          <w:highlight w:val="none"/>
        </w:rPr>
      </w:pPr>
      <w:bookmarkStart w:id="132" w:name="_Toc254970671"/>
      <w:bookmarkStart w:id="133" w:name="_Toc254970530"/>
      <w:r>
        <w:rPr>
          <w:rFonts w:hint="eastAsia" w:ascii="黑体" w:hAnsi="黑体" w:eastAsia="黑体" w:cs="Times New Roman"/>
          <w:color w:val="auto"/>
          <w:sz w:val="24"/>
          <w:highlight w:val="none"/>
        </w:rPr>
        <w:t>4.投标委托</w:t>
      </w:r>
      <w:bookmarkEnd w:id="132"/>
      <w:bookmarkEnd w:id="133"/>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hint="eastAsia" w:ascii="黑体" w:hAnsi="黑体" w:eastAsia="黑体" w:cs="Times New Roman"/>
          <w:color w:val="auto"/>
          <w:sz w:val="24"/>
          <w:highlight w:val="none"/>
        </w:rPr>
      </w:pPr>
      <w:bookmarkStart w:id="134" w:name="_5.投标费用"/>
      <w:bookmarkEnd w:id="134"/>
      <w:bookmarkStart w:id="135" w:name="_Toc254970672"/>
      <w:bookmarkStart w:id="136" w:name="_Toc254970531"/>
      <w:r>
        <w:rPr>
          <w:rFonts w:hint="eastAsia" w:ascii="黑体" w:hAnsi="黑体" w:eastAsia="黑体" w:cs="Times New Roman"/>
          <w:color w:val="auto"/>
          <w:sz w:val="24"/>
          <w:highlight w:val="none"/>
        </w:rPr>
        <w:t>5.投标费用</w:t>
      </w:r>
      <w:bookmarkEnd w:id="135"/>
      <w:bookmarkEnd w:id="136"/>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360" w:lineRule="auto"/>
        <w:ind w:firstLine="480" w:firstLineChars="200"/>
        <w:rPr>
          <w:rFonts w:hint="eastAsia" w:ascii="黑体" w:hAnsi="黑体" w:eastAsia="黑体" w:cs="Times New Roman"/>
          <w:color w:val="auto"/>
          <w:sz w:val="24"/>
          <w:highlight w:val="none"/>
        </w:rPr>
      </w:pPr>
      <w:bookmarkStart w:id="137" w:name="_Toc254970532"/>
      <w:bookmarkStart w:id="138" w:name="_Toc254970673"/>
      <w:r>
        <w:rPr>
          <w:rFonts w:hint="eastAsia" w:ascii="黑体" w:hAnsi="黑体" w:eastAsia="黑体" w:cs="Times New Roman"/>
          <w:color w:val="auto"/>
          <w:sz w:val="24"/>
          <w:highlight w:val="none"/>
        </w:rPr>
        <w:t>8.特别说明：</w:t>
      </w:r>
      <w:bookmarkEnd w:id="137"/>
      <w:bookmarkEnd w:id="138"/>
      <w:bookmarkStart w:id="139" w:name="_8.1提供相同品牌产品且通过资格审查、符合性审查的不同投标人参加同一合"/>
      <w:bookmarkEnd w:id="139"/>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pPr>
        <w:pStyle w:val="14"/>
        <w:snapToGrid w:val="0"/>
        <w:spacing w:line="360" w:lineRule="auto"/>
        <w:ind w:left="2" w:leftChars="1" w:firstLine="422" w:firstLineChars="200"/>
        <w:rPr>
          <w:rFonts w:hAnsi="宋体" w:eastAsia="宋体" w:cs="Times New Roman"/>
          <w:b/>
          <w:color w:val="auto"/>
          <w:highlight w:val="none"/>
        </w:rPr>
      </w:pPr>
    </w:p>
    <w:p>
      <w:pPr>
        <w:pStyle w:val="5"/>
        <w:keepNext w:val="0"/>
        <w:keepLines w:val="0"/>
        <w:spacing w:line="400" w:lineRule="exact"/>
        <w:jc w:val="center"/>
        <w:rPr>
          <w:rFonts w:hint="eastAsia" w:ascii="Times New Roman" w:hAnsi="Times New Roman" w:eastAsia="宋体" w:cs="Times New Roman"/>
          <w:color w:val="auto"/>
          <w:highlight w:val="none"/>
        </w:rPr>
      </w:pPr>
      <w:bookmarkStart w:id="140" w:name="_Toc11054"/>
      <w:bookmarkStart w:id="141" w:name="_Toc17855"/>
      <w:bookmarkStart w:id="142" w:name="_Toc128"/>
      <w:bookmarkStart w:id="143" w:name="_Toc18580"/>
      <w:bookmarkStart w:id="144" w:name="_Toc254970534"/>
      <w:bookmarkStart w:id="145" w:name="_Toc19016"/>
      <w:bookmarkStart w:id="146" w:name="_Toc25104"/>
      <w:bookmarkStart w:id="147" w:name="_Toc10320"/>
      <w:bookmarkStart w:id="148" w:name="_Toc9988"/>
      <w:bookmarkStart w:id="149" w:name="_Toc22911"/>
      <w:bookmarkStart w:id="150" w:name="_Toc254970675"/>
      <w:bookmarkStart w:id="151" w:name="_Toc6920"/>
      <w:r>
        <w:rPr>
          <w:rFonts w:hint="eastAsia" w:ascii="Times New Roman" w:hAnsi="Times New Roman" w:eastAsia="宋体" w:cs="Times New Roman"/>
          <w:color w:val="auto"/>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2"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2"/>
    <w:p>
      <w:pPr>
        <w:pStyle w:val="5"/>
        <w:keepNext w:val="0"/>
        <w:keepLines w:val="0"/>
        <w:spacing w:line="400" w:lineRule="exact"/>
        <w:jc w:val="center"/>
        <w:rPr>
          <w:rFonts w:ascii="Times New Roman" w:hAnsi="Times New Roman" w:eastAsia="宋体" w:cs="Times New Roman"/>
          <w:color w:val="auto"/>
          <w:highlight w:val="none"/>
        </w:rPr>
      </w:pPr>
      <w:bookmarkStart w:id="153" w:name="_Toc32154"/>
      <w:bookmarkStart w:id="154" w:name="_Toc28419"/>
      <w:bookmarkStart w:id="155" w:name="_Toc16623"/>
      <w:bookmarkStart w:id="156" w:name="_Toc2635"/>
      <w:bookmarkStart w:id="157" w:name="_Toc27367"/>
      <w:bookmarkStart w:id="158" w:name="_Toc254970535"/>
      <w:bookmarkStart w:id="159" w:name="_Toc24872"/>
      <w:bookmarkStart w:id="160" w:name="_Toc7841"/>
      <w:bookmarkStart w:id="161" w:name="_Toc32499"/>
      <w:bookmarkStart w:id="162" w:name="_Toc254970676"/>
      <w:bookmarkStart w:id="163" w:name="_Toc20"/>
      <w:bookmarkStart w:id="164" w:name="_Toc12080"/>
      <w:r>
        <w:rPr>
          <w:rFonts w:hint="eastAsia" w:ascii="Times New Roman" w:hAnsi="Times New Roman" w:eastAsia="宋体" w:cs="Times New Roman"/>
          <w:color w:val="auto"/>
          <w:highlight w:val="none"/>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480" w:firstLineChars="200"/>
        <w:rPr>
          <w:rFonts w:ascii="黑体" w:hAnsi="黑体" w:eastAsia="黑体" w:cs="Times New Roman"/>
          <w:color w:val="auto"/>
          <w:sz w:val="24"/>
          <w:highlight w:val="none"/>
        </w:rPr>
      </w:pPr>
      <w:bookmarkStart w:id="165" w:name="_Toc254970677"/>
      <w:bookmarkStart w:id="166" w:name="_Toc254970536"/>
      <w:r>
        <w:rPr>
          <w:rFonts w:hint="eastAsia" w:ascii="黑体" w:hAnsi="黑体" w:eastAsia="黑体" w:cs="Times New Roman"/>
          <w:color w:val="auto"/>
          <w:sz w:val="24"/>
          <w:highlight w:val="none"/>
        </w:rPr>
        <w:t>12.投标文件的编制原则</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5"/>
      <w:bookmarkEnd w:id="166"/>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pPr>
        <w:spacing w:line="360" w:lineRule="auto"/>
        <w:ind w:firstLine="420" w:firstLineChars="200"/>
        <w:rPr>
          <w:rFonts w:hint="eastAsia" w:ascii="宋体" w:hAnsi="宋体" w:eastAsia="宋体" w:cs="Times New Roman"/>
          <w:bCs/>
          <w:color w:val="auto"/>
          <w:szCs w:val="21"/>
          <w:highlight w:val="none"/>
        </w:rPr>
      </w:pPr>
      <w:bookmarkStart w:id="167" w:name="_13.1报价文件:_具体材料见“投标人须知前附表”。"/>
      <w:bookmarkEnd w:id="167"/>
      <w:bookmarkStart w:id="168" w:name="_13.2资格证明文件：具体材料见“投标人须知前附表”。"/>
      <w:bookmarkEnd w:id="168"/>
      <w:r>
        <w:rPr>
          <w:rFonts w:hint="eastAsia" w:ascii="宋体" w:hAnsi="宋体" w:eastAsia="宋体" w:cs="Times New Roman"/>
          <w:bCs/>
          <w:color w:val="auto"/>
          <w:szCs w:val="21"/>
          <w:highlight w:val="none"/>
        </w:rPr>
        <w:t>（1）资格证明文件：具体材料见“投标人须知前附表”。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69" w:name="_13.3商务文件:_具体材料见“投标人须知前附表”。"/>
      <w:bookmarkEnd w:id="169"/>
      <w:r>
        <w:rPr>
          <w:rFonts w:hint="eastAsia" w:ascii="宋体" w:hAnsi="宋体" w:eastAsia="宋体" w:cs="Times New Roman"/>
          <w:bCs/>
          <w:color w:val="auto"/>
          <w:szCs w:val="21"/>
          <w:highlight w:val="none"/>
        </w:rPr>
        <w:t>（2）商务文件：具体材料见“投标人须知前附表”。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0" w:name="_13.4技术文件：具体材料见“投标人须知前附表”。"/>
      <w:bookmarkEnd w:id="170"/>
      <w:r>
        <w:rPr>
          <w:rFonts w:hint="eastAsia" w:ascii="宋体" w:hAnsi="宋体" w:eastAsia="宋体" w:cs="Times New Roman"/>
          <w:bCs/>
          <w:color w:val="auto"/>
          <w:szCs w:val="21"/>
          <w:highlight w:val="none"/>
        </w:rPr>
        <w:t xml:space="preserve">（3）技术文件：具体材料见“投标人须知前附表”。 </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1" w:name="_13.5投标文件电子版：具体材料见“投标人须知前附表”。"/>
      <w:bookmarkEnd w:id="171"/>
      <w:r>
        <w:rPr>
          <w:rFonts w:hint="eastAsia" w:ascii="宋体" w:hAnsi="宋体" w:eastAsia="宋体" w:cs="Times New Roman"/>
          <w:bCs/>
          <w:color w:val="auto"/>
          <w:szCs w:val="21"/>
          <w:highlight w:val="none"/>
        </w:rPr>
        <w:t>13.2投标文件电子版：具体要求见本节19.投标文件编制。</w:t>
      </w:r>
    </w:p>
    <w:p>
      <w:pPr>
        <w:spacing w:line="360" w:lineRule="auto"/>
        <w:ind w:firstLine="480" w:firstLineChars="200"/>
        <w:rPr>
          <w:rFonts w:hint="eastAsia" w:ascii="黑体" w:hAnsi="黑体" w:eastAsia="黑体" w:cs="Times New Roman"/>
          <w:color w:val="auto"/>
          <w:sz w:val="24"/>
          <w:highlight w:val="none"/>
        </w:rPr>
      </w:pPr>
      <w:bookmarkStart w:id="172" w:name="_Toc254970537"/>
      <w:bookmarkStart w:id="173" w:name="_Toc254970678"/>
      <w:r>
        <w:rPr>
          <w:rFonts w:hint="eastAsia" w:ascii="黑体" w:hAnsi="黑体" w:eastAsia="黑体" w:cs="Times New Roman"/>
          <w:color w:val="auto"/>
          <w:sz w:val="24"/>
          <w:highlight w:val="none"/>
        </w:rPr>
        <w:t>14.投标文件的语言及计量</w:t>
      </w:r>
      <w:bookmarkEnd w:id="172"/>
      <w:bookmarkEnd w:id="173"/>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s="Times New Roman"/>
          <w:color w:val="auto"/>
          <w:sz w:val="24"/>
          <w:highlight w:val="none"/>
        </w:rPr>
      </w:pPr>
      <w:bookmarkStart w:id="174" w:name="_Toc254970679"/>
      <w:bookmarkStart w:id="175" w:name="_Toc254970538"/>
      <w:r>
        <w:rPr>
          <w:rFonts w:hint="eastAsia" w:ascii="黑体" w:hAnsi="黑体" w:eastAsia="黑体" w:cs="Times New Roman"/>
          <w:color w:val="auto"/>
          <w:sz w:val="24"/>
          <w:highlight w:val="none"/>
        </w:rPr>
        <w:t>16.投标报价</w:t>
      </w:r>
      <w:bookmarkEnd w:id="174"/>
      <w:bookmarkEnd w:id="175"/>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pPr>
        <w:spacing w:line="360" w:lineRule="auto"/>
        <w:ind w:firstLine="420" w:firstLineChars="200"/>
        <w:rPr>
          <w:rFonts w:hint="eastAsia" w:ascii="宋体" w:hAnsi="宋体" w:eastAsia="宋体" w:cs="Times New Roman"/>
          <w:bCs/>
          <w:color w:val="auto"/>
          <w:szCs w:val="21"/>
          <w:highlight w:val="none"/>
        </w:rPr>
      </w:pPr>
      <w:bookmarkStart w:id="176" w:name="_16.2投标报价具体定义见投标人须知前附表。"/>
      <w:bookmarkEnd w:id="176"/>
      <w:r>
        <w:rPr>
          <w:rFonts w:hint="eastAsia" w:ascii="宋体" w:hAnsi="宋体" w:eastAsia="宋体" w:cs="Times New Roman"/>
          <w:bCs/>
          <w:color w:val="auto"/>
          <w:szCs w:val="21"/>
          <w:highlight w:val="none"/>
        </w:rPr>
        <w:t>16.2投标报价具体包括内容详见“投标人须知前附表”。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16.3投标人必须就所投项目/每个分标的全部内容分别作完整唯一总价报价，不得存在漏项报价；投标人必须就所投项目/分标的单项内容作唯一报价。</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pPr>
        <w:spacing w:line="360" w:lineRule="auto"/>
        <w:ind w:firstLine="420" w:firstLineChars="200"/>
        <w:rPr>
          <w:rFonts w:hint="eastAsia" w:ascii="宋体" w:hAnsi="宋体" w:eastAsia="宋体" w:cs="Times New Roman"/>
          <w:bCs/>
          <w:color w:val="auto"/>
          <w:szCs w:val="21"/>
          <w:highlight w:val="none"/>
        </w:rPr>
      </w:pPr>
      <w:bookmarkStart w:id="177" w:name="_17.1投标有效期应按“投标人须知中的前附表”规定的期限。"/>
      <w:bookmarkEnd w:id="177"/>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8" w:name="_Toc254970681"/>
      <w:bookmarkStart w:id="179"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8"/>
      <w:bookmarkEnd w:id="179"/>
    </w:p>
    <w:p>
      <w:pPr>
        <w:spacing w:line="360" w:lineRule="auto"/>
        <w:ind w:firstLine="480" w:firstLineChars="200"/>
        <w:rPr>
          <w:rFonts w:hint="eastAsia" w:ascii="黑体" w:hAnsi="黑体" w:eastAsia="黑体" w:cs="Times New Roman"/>
          <w:color w:val="auto"/>
          <w:sz w:val="24"/>
          <w:highlight w:val="none"/>
        </w:rPr>
      </w:pPr>
      <w:bookmarkStart w:id="180" w:name="_18.投标保证金"/>
      <w:bookmarkEnd w:id="180"/>
      <w:bookmarkStart w:id="181" w:name="_Toc254970682"/>
      <w:bookmarkStart w:id="182" w:name="_Toc254970541"/>
      <w:r>
        <w:rPr>
          <w:rFonts w:hint="eastAsia" w:ascii="黑体" w:hAnsi="黑体" w:eastAsia="黑体" w:cs="Times New Roman"/>
          <w:color w:val="auto"/>
          <w:sz w:val="24"/>
          <w:highlight w:val="none"/>
        </w:rPr>
        <w:t>18.投标保证金</w:t>
      </w:r>
      <w:bookmarkEnd w:id="181"/>
      <w:bookmarkEnd w:id="182"/>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3" w:name="_Toc254970542"/>
      <w:bookmarkStart w:id="184" w:name="_Toc254970683"/>
      <w:r>
        <w:rPr>
          <w:rFonts w:hint="eastAsia" w:ascii="宋体" w:hAnsi="宋体" w:eastAsia="宋体" w:cs="宋体"/>
          <w:b w:val="0"/>
          <w:color w:val="auto"/>
          <w:sz w:val="21"/>
          <w:szCs w:val="21"/>
          <w:highlight w:val="none"/>
        </w:rPr>
        <w:t>18.1投标人须按“投标人须知前附表” 的规定提交投标保证金。</w:t>
      </w:r>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pPr>
        <w:pStyle w:val="9"/>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pPr>
        <w:pStyle w:val="1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pPr>
        <w:pStyle w:val="9"/>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 xml:space="preserve">或者转为中标人的履约保证金。 </w:t>
      </w:r>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3"/>
      <w:bookmarkEnd w:id="184"/>
      <w:r>
        <w:rPr>
          <w:rFonts w:hint="eastAsia" w:ascii="黑体" w:hAnsi="黑体" w:eastAsia="黑体" w:cs="Times New Roman"/>
          <w:color w:val="auto"/>
          <w:sz w:val="24"/>
          <w:highlight w:val="none"/>
        </w:rPr>
        <w:t>编制</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eastAsia="宋体" w:cs="宋体"/>
          <w:color w:val="auto"/>
          <w:szCs w:val="21"/>
          <w:highlight w:val="none"/>
        </w:rPr>
        <w:t xml:space="preserve"> </w:t>
      </w:r>
    </w:p>
    <w:p>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pPr>
        <w:pStyle w:val="30"/>
        <w:snapToGrid w:val="0"/>
        <w:spacing w:before="0"/>
        <w:ind w:firstLine="420"/>
        <w:rPr>
          <w:rFonts w:hint="eastAsia" w:ascii="宋体" w:hAnsi="宋体" w:eastAsia="宋体" w:cs="宋体"/>
          <w:color w:val="auto"/>
          <w:sz w:val="21"/>
          <w:szCs w:val="21"/>
          <w:highlight w:val="none"/>
        </w:rPr>
      </w:pPr>
    </w:p>
    <w:p>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pPr>
        <w:spacing w:line="360" w:lineRule="auto"/>
        <w:ind w:firstLine="420" w:firstLineChars="200"/>
        <w:rPr>
          <w:rFonts w:hint="eastAsia" w:ascii="Times New Roman" w:hAnsi="宋体" w:eastAsia="宋体" w:cs="Times New Roman"/>
          <w:b/>
          <w:color w:val="auto"/>
          <w:highlight w:val="none"/>
        </w:rPr>
      </w:pPr>
      <w:bookmarkStart w:id="186" w:name="_21.1投标人必须在“投标人须知中的前附表”规定的投标文件接收时间和投"/>
      <w:bookmarkEnd w:id="186"/>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7" w:name="_Toc254970543"/>
      <w:bookmarkStart w:id="188" w:name="_Toc254970684"/>
    </w:p>
    <w:p>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pPr>
        <w:pStyle w:val="3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7"/>
    <w:bookmarkEnd w:id="188"/>
    <w:p>
      <w:pPr>
        <w:pStyle w:val="8"/>
        <w:snapToGrid w:val="0"/>
        <w:spacing w:line="400" w:lineRule="exact"/>
        <w:ind w:firstLine="739"/>
        <w:rPr>
          <w:rFonts w:hint="eastAsia" w:hAnsi="宋体" w:eastAsia="宋体" w:cs="Times New Roman"/>
          <w:snapToGrid w:val="0"/>
          <w:color w:val="auto"/>
          <w:sz w:val="21"/>
          <w:szCs w:val="21"/>
          <w:highlight w:val="none"/>
        </w:rPr>
      </w:pPr>
    </w:p>
    <w:p>
      <w:pPr>
        <w:pStyle w:val="5"/>
        <w:keepNext w:val="0"/>
        <w:keepLines w:val="0"/>
        <w:spacing w:line="400" w:lineRule="exact"/>
        <w:jc w:val="center"/>
        <w:rPr>
          <w:rFonts w:hint="eastAsia" w:ascii="Times New Roman" w:hAnsi="Times New Roman" w:eastAsia="宋体" w:cs="Times New Roman"/>
          <w:color w:val="auto"/>
          <w:highlight w:val="none"/>
        </w:rPr>
      </w:pPr>
      <w:bookmarkStart w:id="189" w:name="_Toc2573"/>
      <w:bookmarkStart w:id="190" w:name="_Toc22661"/>
      <w:bookmarkStart w:id="191" w:name="_Toc12790"/>
      <w:bookmarkStart w:id="192" w:name="_Toc27037"/>
      <w:bookmarkStart w:id="193" w:name="_Toc254970685"/>
      <w:bookmarkStart w:id="194" w:name="_Toc1356"/>
      <w:bookmarkStart w:id="195" w:name="_Toc32494"/>
      <w:bookmarkStart w:id="196" w:name="_Toc13250"/>
      <w:bookmarkStart w:id="197" w:name="_Toc1586"/>
      <w:bookmarkStart w:id="198" w:name="_Toc254970544"/>
      <w:bookmarkStart w:id="199" w:name="_Toc14091"/>
      <w:bookmarkStart w:id="200" w:name="_Toc81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9"/>
      <w:bookmarkEnd w:id="190"/>
      <w:bookmarkEnd w:id="191"/>
      <w:bookmarkEnd w:id="192"/>
      <w:bookmarkEnd w:id="193"/>
      <w:bookmarkEnd w:id="194"/>
      <w:bookmarkEnd w:id="195"/>
      <w:bookmarkEnd w:id="196"/>
      <w:bookmarkEnd w:id="197"/>
      <w:bookmarkEnd w:id="198"/>
      <w:bookmarkEnd w:id="199"/>
      <w:bookmarkEnd w:id="200"/>
    </w:p>
    <w:p>
      <w:pPr>
        <w:spacing w:line="360" w:lineRule="auto"/>
        <w:ind w:firstLine="480" w:firstLineChars="200"/>
        <w:rPr>
          <w:rFonts w:ascii="黑体" w:hAnsi="黑体" w:eastAsia="黑体" w:cs="Times New Roman"/>
          <w:color w:val="auto"/>
          <w:sz w:val="24"/>
          <w:highlight w:val="none"/>
        </w:rPr>
      </w:pPr>
      <w:bookmarkStart w:id="201" w:name="_23.开标时间和地点"/>
      <w:bookmarkEnd w:id="201"/>
      <w:r>
        <w:rPr>
          <w:rFonts w:hint="eastAsia" w:ascii="黑体" w:hAnsi="黑体" w:eastAsia="黑体" w:cs="Times New Roman"/>
          <w:color w:val="auto"/>
          <w:sz w:val="24"/>
          <w:highlight w:val="none"/>
        </w:rPr>
        <w:t>23.开标时间和地点</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宋体"/>
          <w:b/>
          <w:bCs/>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pPr>
        <w:pStyle w:val="14"/>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pPr>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pPr>
        <w:pStyle w:val="14"/>
        <w:snapToGrid w:val="0"/>
        <w:spacing w:line="400" w:lineRule="exact"/>
        <w:ind w:left="689" w:leftChars="228" w:hanging="210" w:hangingChars="100"/>
        <w:rPr>
          <w:rFonts w:hint="eastAsia" w:hAnsi="宋体" w:eastAsia="宋体" w:cs="Times New Roman"/>
          <w:color w:val="auto"/>
          <w:highlight w:val="none"/>
        </w:rPr>
      </w:pPr>
    </w:p>
    <w:p>
      <w:pPr>
        <w:pStyle w:val="5"/>
        <w:keepNext w:val="0"/>
        <w:keepLines w:val="0"/>
        <w:spacing w:line="400" w:lineRule="exact"/>
        <w:jc w:val="center"/>
        <w:rPr>
          <w:rFonts w:hint="eastAsia" w:ascii="Times New Roman" w:hAnsi="Times New Roman" w:eastAsia="宋体" w:cs="Times New Roman"/>
          <w:color w:val="auto"/>
          <w:highlight w:val="none"/>
        </w:rPr>
      </w:pPr>
      <w:bookmarkStart w:id="202" w:name="_Toc29189"/>
      <w:bookmarkStart w:id="203" w:name="_Toc8919"/>
      <w:bookmarkStart w:id="204" w:name="_Toc1489"/>
      <w:bookmarkStart w:id="205" w:name="_Toc25053"/>
      <w:bookmarkStart w:id="206" w:name="_Toc19053"/>
      <w:bookmarkStart w:id="207" w:name="_Toc23512"/>
      <w:bookmarkStart w:id="208" w:name="_Toc22509"/>
      <w:bookmarkStart w:id="209" w:name="_Toc2575"/>
      <w:bookmarkStart w:id="210" w:name="_Toc6866"/>
      <w:bookmarkStart w:id="211" w:name="_Toc31994"/>
      <w:r>
        <w:rPr>
          <w:rFonts w:hint="eastAsia" w:ascii="Times New Roman" w:hAnsi="Times New Roman" w:eastAsia="宋体" w:cs="Times New Roman"/>
          <w:color w:val="auto"/>
          <w:highlight w:val="none"/>
        </w:rPr>
        <w:t>五、资格审查</w:t>
      </w:r>
      <w:bookmarkEnd w:id="202"/>
      <w:bookmarkEnd w:id="203"/>
      <w:bookmarkEnd w:id="204"/>
      <w:bookmarkEnd w:id="205"/>
      <w:bookmarkEnd w:id="206"/>
      <w:bookmarkEnd w:id="207"/>
      <w:bookmarkEnd w:id="208"/>
      <w:bookmarkEnd w:id="209"/>
      <w:bookmarkEnd w:id="210"/>
      <w:bookmarkEnd w:id="211"/>
    </w:p>
    <w:p>
      <w:pPr>
        <w:pStyle w:val="9"/>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eastAsia="宋体" w:cs="Times New Roman"/>
          <w:b/>
          <w:bCs/>
          <w:color w:val="auto"/>
          <w:szCs w:val="20"/>
          <w:highlight w:val="none"/>
        </w:rPr>
      </w:pPr>
      <w:bookmarkStart w:id="212" w:name="_25.3_投标人有下列情形之一的，资格审查不通过而导致其投标无效："/>
      <w:bookmarkEnd w:id="212"/>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pPr>
        <w:pStyle w:val="2"/>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1"/>
          <w:highlight w:val="none"/>
          <w:lang w:val="en-US" w:eastAsia="zh-CN"/>
        </w:rPr>
        <w:t xml:space="preserve"> （4）同一合同项下的不同供应商，单位负责人为同一人或者存在直接控股、管理关系的；为本项目提供过整体设计、规范编制或者项目管理、监理、检测等服务的。</w:t>
      </w:r>
    </w:p>
    <w:p>
      <w:pPr>
        <w:pStyle w:val="9"/>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pPr>
        <w:pStyle w:val="5"/>
        <w:keepNext w:val="0"/>
        <w:keepLines w:val="0"/>
        <w:spacing w:line="360" w:lineRule="auto"/>
        <w:jc w:val="center"/>
        <w:rPr>
          <w:rFonts w:hint="eastAsia" w:ascii="Times New Roman" w:hAnsi="Times New Roman" w:eastAsia="宋体" w:cs="Times New Roman"/>
          <w:color w:val="auto"/>
          <w:highlight w:val="none"/>
        </w:rPr>
      </w:pPr>
      <w:bookmarkStart w:id="213" w:name="_Toc11169"/>
      <w:bookmarkStart w:id="214" w:name="_Toc1454"/>
      <w:bookmarkStart w:id="215" w:name="_Toc15749"/>
      <w:bookmarkStart w:id="216" w:name="_Toc29412"/>
      <w:bookmarkStart w:id="217" w:name="_Toc21152"/>
      <w:bookmarkStart w:id="218" w:name="_Toc19035"/>
      <w:bookmarkStart w:id="219" w:name="_Toc2770"/>
      <w:bookmarkStart w:id="220" w:name="_Toc20983"/>
      <w:bookmarkStart w:id="221" w:name="_Toc3548"/>
      <w:bookmarkStart w:id="222"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3"/>
      <w:bookmarkEnd w:id="214"/>
      <w:bookmarkEnd w:id="215"/>
      <w:bookmarkEnd w:id="216"/>
      <w:bookmarkEnd w:id="217"/>
      <w:bookmarkEnd w:id="218"/>
      <w:bookmarkEnd w:id="219"/>
      <w:bookmarkEnd w:id="220"/>
      <w:bookmarkEnd w:id="221"/>
      <w:bookmarkEnd w:id="222"/>
    </w:p>
    <w:p>
      <w:pPr>
        <w:spacing w:line="360" w:lineRule="auto"/>
        <w:ind w:firstLine="480" w:firstLineChars="200"/>
        <w:rPr>
          <w:rFonts w:ascii="黑体" w:hAnsi="黑体" w:eastAsia="黑体" w:cs="Times New Roman"/>
          <w:color w:val="auto"/>
          <w:sz w:val="24"/>
          <w:highlight w:val="none"/>
        </w:rPr>
      </w:pPr>
      <w:bookmarkStart w:id="223" w:name="_26.组建评标委员会"/>
      <w:bookmarkEnd w:id="223"/>
      <w:r>
        <w:rPr>
          <w:rFonts w:hint="eastAsia" w:ascii="黑体" w:hAnsi="黑体" w:eastAsia="黑体" w:cs="Times New Roman"/>
          <w:color w:val="auto"/>
          <w:sz w:val="24"/>
          <w:highlight w:val="none"/>
        </w:rPr>
        <w:t>26.组建评标委员会</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pPr>
        <w:widowControl/>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4"/>
        <w:snapToGrid w:val="0"/>
        <w:spacing w:line="400" w:lineRule="exact"/>
        <w:ind w:firstLine="420" w:firstLineChars="200"/>
        <w:rPr>
          <w:rFonts w:hAnsi="宋体" w:eastAsia="宋体" w:cs="Times New Roman"/>
          <w:color w:val="auto"/>
          <w:highlight w:val="none"/>
        </w:rPr>
      </w:pPr>
    </w:p>
    <w:p>
      <w:pPr>
        <w:pStyle w:val="5"/>
        <w:keepNext w:val="0"/>
        <w:keepLines w:val="0"/>
        <w:spacing w:line="400" w:lineRule="exact"/>
        <w:jc w:val="center"/>
        <w:rPr>
          <w:rFonts w:hint="eastAsia" w:ascii="Times New Roman" w:hAnsi="Times New Roman" w:eastAsia="宋体" w:cs="Times New Roman"/>
          <w:color w:val="auto"/>
          <w:highlight w:val="none"/>
        </w:rPr>
      </w:pPr>
      <w:bookmarkStart w:id="224" w:name="_Toc254970687"/>
      <w:bookmarkStart w:id="225" w:name="_Toc254970546"/>
      <w:bookmarkStart w:id="226" w:name="_Toc10427"/>
      <w:bookmarkStart w:id="227" w:name="_Toc2302"/>
      <w:bookmarkStart w:id="228" w:name="_Toc15452"/>
      <w:bookmarkStart w:id="229" w:name="_Toc10518"/>
      <w:bookmarkStart w:id="230" w:name="_Toc14661"/>
      <w:bookmarkStart w:id="231" w:name="_Toc24771"/>
      <w:bookmarkStart w:id="232" w:name="_Toc31226"/>
      <w:bookmarkStart w:id="233" w:name="_Toc31698"/>
      <w:bookmarkStart w:id="234" w:name="_Toc32339"/>
      <w:bookmarkStart w:id="235" w:name="_Toc4688"/>
      <w:r>
        <w:rPr>
          <w:rFonts w:hint="eastAsia" w:ascii="Times New Roman" w:hAnsi="Times New Roman" w:eastAsia="宋体" w:cs="Times New Roman"/>
          <w:color w:val="auto"/>
          <w:highlight w:val="none"/>
        </w:rPr>
        <w:t>七、</w:t>
      </w:r>
      <w:bookmarkEnd w:id="224"/>
      <w:bookmarkEnd w:id="225"/>
      <w:r>
        <w:rPr>
          <w:rFonts w:hint="eastAsia" w:ascii="Times New Roman" w:hAnsi="Times New Roman" w:eastAsia="宋体" w:cs="Times New Roman"/>
          <w:color w:val="auto"/>
          <w:highlight w:val="none"/>
        </w:rPr>
        <w:t>中标和合同</w:t>
      </w:r>
      <w:bookmarkEnd w:id="226"/>
      <w:bookmarkEnd w:id="227"/>
      <w:bookmarkEnd w:id="228"/>
      <w:bookmarkEnd w:id="229"/>
      <w:bookmarkEnd w:id="230"/>
      <w:bookmarkEnd w:id="231"/>
      <w:bookmarkEnd w:id="232"/>
      <w:bookmarkEnd w:id="233"/>
      <w:bookmarkEnd w:id="234"/>
      <w:bookmarkEnd w:id="235"/>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color w:val="auto"/>
          <w:szCs w:val="21"/>
          <w:highlight w:val="none"/>
          <w:lang w:eastAsia="zh-CN"/>
        </w:rPr>
        <w:t>广西政府采购云平台</w:t>
      </w:r>
      <w:r>
        <w:rPr>
          <w:rFonts w:hint="eastAsia" w:ascii="宋体" w:hAnsi="宋体" w:eastAsia="宋体" w:cs="Times New Roman"/>
          <w:b/>
          <w:color w:val="auto"/>
          <w:szCs w:val="21"/>
          <w:highlight w:val="none"/>
        </w:rPr>
        <w:t>发出电子中标通知书。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pPr>
        <w:pStyle w:val="9"/>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6" w:name="_39.1中标人须于签订合同前按本须知前附表规定的金额转账或电汇到指定账"/>
      <w:bookmarkEnd w:id="236"/>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pPr>
        <w:pStyle w:val="9"/>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pPr>
        <w:pStyle w:val="9"/>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pPr>
        <w:spacing w:line="360" w:lineRule="auto"/>
        <w:ind w:firstLine="420" w:firstLineChars="200"/>
        <w:rPr>
          <w:rFonts w:hint="eastAsia"/>
          <w:b/>
          <w:bCs/>
          <w:i/>
          <w:iCs/>
          <w:color w:val="auto"/>
          <w:szCs w:val="21"/>
          <w:highlight w:val="none"/>
          <w:lang w:eastAsia="zh-CN"/>
        </w:rPr>
      </w:pPr>
      <w:bookmarkStart w:id="237" w:name="_40.1投标人接到中标通知书后，按须知前附表规定向采购人出示相关资格证"/>
      <w:bookmarkEnd w:id="237"/>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pPr>
        <w:pStyle w:val="30"/>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pPr>
        <w:spacing w:line="360" w:lineRule="auto"/>
        <w:ind w:firstLine="480" w:firstLineChars="200"/>
        <w:rPr>
          <w:rFonts w:hint="eastAsia" w:ascii="黑体" w:hAnsi="黑体" w:eastAsia="黑体" w:cs="Times New Roman"/>
          <w:color w:val="auto"/>
          <w:sz w:val="24"/>
          <w:highlight w:val="none"/>
        </w:rPr>
      </w:pPr>
      <w:bookmarkStart w:id="238" w:name="_41.政府采购合同公告"/>
      <w:bookmarkEnd w:id="238"/>
      <w:r>
        <w:rPr>
          <w:rFonts w:hint="eastAsia" w:ascii="黑体" w:hAnsi="黑体" w:eastAsia="黑体" w:cs="Times New Roman"/>
          <w:color w:val="auto"/>
          <w:sz w:val="24"/>
          <w:highlight w:val="none"/>
        </w:rPr>
        <w:t>37.政府采购合同公告</w:t>
      </w:r>
    </w:p>
    <w:p>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pPr>
        <w:spacing w:line="360" w:lineRule="auto"/>
        <w:ind w:firstLine="422" w:firstLineChars="200"/>
        <w:rPr>
          <w:rFonts w:ascii="宋体" w:hAnsi="宋体" w:eastAsia="宋体" w:cs="Times New Roman"/>
          <w:b/>
          <w:bCs/>
          <w:color w:val="auto"/>
          <w:szCs w:val="21"/>
          <w:highlight w:val="none"/>
        </w:rPr>
      </w:pPr>
      <w:bookmarkStart w:id="239" w:name="_9.2质疑、投诉应当采用书面形式，质疑函、投诉书均应明确阐述招标文件、"/>
      <w:bookmarkEnd w:id="239"/>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0" w:name="_Toc25946"/>
      <w:bookmarkStart w:id="241" w:name="_Toc29288"/>
      <w:bookmarkStart w:id="242" w:name="_Toc1756"/>
      <w:bookmarkStart w:id="243" w:name="_Toc26583"/>
      <w:bookmarkStart w:id="244" w:name="_Toc27653"/>
      <w:bookmarkStart w:id="245" w:name="_Toc13659"/>
      <w:bookmarkStart w:id="246" w:name="_Toc8731"/>
      <w:bookmarkStart w:id="247" w:name="_Toc7828"/>
      <w:bookmarkStart w:id="248" w:name="_Toc14937"/>
      <w:bookmarkStart w:id="249" w:name="_Toc23239"/>
      <w:r>
        <w:rPr>
          <w:rFonts w:hint="eastAsia" w:ascii="Times New Roman" w:hAnsi="Times New Roman" w:eastAsia="宋体" w:cs="Times New Roman"/>
          <w:b/>
          <w:bCs/>
          <w:color w:val="auto"/>
          <w:sz w:val="32"/>
          <w:szCs w:val="32"/>
          <w:highlight w:val="none"/>
        </w:rPr>
        <w:t>八、验收</w:t>
      </w:r>
      <w:bookmarkEnd w:id="240"/>
      <w:bookmarkEnd w:id="241"/>
      <w:bookmarkEnd w:id="242"/>
      <w:bookmarkEnd w:id="243"/>
      <w:bookmarkEnd w:id="244"/>
      <w:bookmarkEnd w:id="245"/>
      <w:bookmarkEnd w:id="246"/>
      <w:bookmarkEnd w:id="247"/>
      <w:bookmarkEnd w:id="248"/>
      <w:bookmarkEnd w:id="249"/>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pPr>
        <w:pStyle w:val="14"/>
        <w:snapToGrid w:val="0"/>
        <w:spacing w:line="400" w:lineRule="exact"/>
        <w:rPr>
          <w:rFonts w:hAnsi="宋体" w:eastAsia="宋体" w:cs="Times New Roman"/>
          <w:color w:val="auto"/>
          <w:highlight w:val="none"/>
        </w:rPr>
      </w:pPr>
    </w:p>
    <w:p>
      <w:pPr>
        <w:pStyle w:val="5"/>
        <w:keepNext w:val="0"/>
        <w:keepLines w:val="0"/>
        <w:spacing w:line="360" w:lineRule="auto"/>
        <w:jc w:val="center"/>
        <w:rPr>
          <w:rFonts w:hint="eastAsia" w:ascii="Times New Roman" w:hAnsi="Times New Roman" w:eastAsia="宋体" w:cs="Times New Roman"/>
          <w:color w:val="auto"/>
          <w:highlight w:val="none"/>
        </w:rPr>
      </w:pPr>
      <w:bookmarkStart w:id="250" w:name="_八、其他事项"/>
      <w:bookmarkEnd w:id="250"/>
      <w:bookmarkStart w:id="251" w:name="_Toc16509"/>
      <w:bookmarkStart w:id="252" w:name="_Toc13217"/>
      <w:bookmarkStart w:id="253" w:name="_Toc14814"/>
      <w:bookmarkStart w:id="254" w:name="_Toc28972"/>
      <w:bookmarkStart w:id="255" w:name="_Toc31560"/>
      <w:bookmarkStart w:id="256" w:name="_Toc27249"/>
      <w:bookmarkStart w:id="257" w:name="_Toc13612"/>
      <w:bookmarkStart w:id="258" w:name="_Toc32163"/>
      <w:bookmarkStart w:id="259" w:name="_Toc24348"/>
      <w:bookmarkStart w:id="260" w:name="_Toc5795"/>
      <w:r>
        <w:rPr>
          <w:rFonts w:hint="eastAsia" w:ascii="Times New Roman" w:hAnsi="Times New Roman" w:eastAsia="宋体" w:cs="Times New Roman"/>
          <w:color w:val="auto"/>
          <w:highlight w:val="none"/>
        </w:rPr>
        <w:t>九、其他事项</w:t>
      </w:r>
      <w:bookmarkEnd w:id="251"/>
      <w:bookmarkEnd w:id="252"/>
      <w:bookmarkEnd w:id="253"/>
      <w:bookmarkEnd w:id="254"/>
      <w:bookmarkEnd w:id="255"/>
      <w:bookmarkEnd w:id="256"/>
      <w:bookmarkEnd w:id="257"/>
      <w:bookmarkEnd w:id="258"/>
      <w:bookmarkEnd w:id="259"/>
      <w:bookmarkEnd w:id="260"/>
    </w:p>
    <w:p>
      <w:pPr>
        <w:spacing w:line="360" w:lineRule="auto"/>
        <w:ind w:firstLine="480" w:firstLineChars="200"/>
        <w:rPr>
          <w:rFonts w:ascii="黑体" w:hAnsi="黑体" w:eastAsia="黑体" w:cs="Times New Roman"/>
          <w:color w:val="auto"/>
          <w:sz w:val="24"/>
          <w:highlight w:val="none"/>
        </w:rPr>
      </w:pPr>
      <w:bookmarkStart w:id="261" w:name="_42.代理服务费"/>
      <w:bookmarkEnd w:id="261"/>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pPr>
        <w:pStyle w:val="9"/>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tcBorders>
              <w:tl2br w:val="single" w:color="auto" w:sz="4" w:space="0"/>
            </w:tcBorders>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pPr>
        <w:pStyle w:val="14"/>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pPr>
        <w:pStyle w:val="2"/>
        <w:rPr>
          <w:rFonts w:hint="eastAsia"/>
          <w:color w:val="auto"/>
          <w:highlight w:val="none"/>
        </w:rPr>
      </w:pP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pPr>
        <w:spacing w:line="580" w:lineRule="exact"/>
        <w:jc w:val="center"/>
        <w:rPr>
          <w:rFonts w:hint="eastAsia" w:ascii="宋体" w:hAnsi="宋体" w:eastAsia="宋体" w:cs="宋体"/>
          <w:color w:val="auto"/>
          <w:sz w:val="44"/>
          <w:szCs w:val="44"/>
          <w:highlight w:val="none"/>
        </w:rPr>
      </w:pPr>
    </w:p>
    <w:p>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ind w:firstLine="420" w:firstLineChars="200"/>
        <w:rPr>
          <w:rFonts w:hint="eastAsia" w:ascii="宋体" w:hAnsi="宋体" w:cs="宋体"/>
          <w:color w:val="auto"/>
          <w:szCs w:val="32"/>
          <w:highlight w:val="none"/>
        </w:rPr>
      </w:pPr>
    </w:p>
    <w:p>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6"/>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2" w:name="_Toc532545043"/>
    </w:p>
    <w:p>
      <w:pPr>
        <w:pStyle w:val="14"/>
        <w:jc w:val="center"/>
        <w:outlineLvl w:val="0"/>
        <w:rPr>
          <w:rFonts w:hint="eastAsia" w:ascii="Times New Roman" w:hAnsi="Times New Roman" w:eastAsia="宋体" w:cs="Times New Roman"/>
          <w:b/>
          <w:color w:val="auto"/>
          <w:sz w:val="36"/>
          <w:highlight w:val="none"/>
          <w:lang w:eastAsia="zh-CN"/>
        </w:rPr>
      </w:pPr>
      <w:bookmarkStart w:id="263" w:name="_Toc18631"/>
      <w:bookmarkStart w:id="264" w:name="_Toc11694"/>
      <w:bookmarkStart w:id="265" w:name="_Toc26567"/>
      <w:bookmarkStart w:id="266" w:name="_Toc24569"/>
      <w:bookmarkStart w:id="267" w:name="_Toc12751"/>
      <w:bookmarkStart w:id="268" w:name="_Toc2789"/>
      <w:bookmarkStart w:id="269" w:name="_Toc14666"/>
      <w:bookmarkStart w:id="270" w:name="_Toc31952"/>
      <w:bookmarkStart w:id="271" w:name="_Toc19117"/>
      <w:bookmarkStart w:id="272" w:name="_Toc28468"/>
      <w:bookmarkStart w:id="273" w:name="_Toc3584"/>
      <w:bookmarkStart w:id="274" w:name="_Toc10118"/>
      <w:bookmarkStart w:id="275" w:name="_Toc1003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cs="Times New Roman"/>
          <w:b/>
          <w:color w:val="auto"/>
          <w:sz w:val="36"/>
          <w:highlight w:val="none"/>
          <w:lang w:eastAsia="zh-CN"/>
        </w:rPr>
        <w:t>评标方法和评标标准</w:t>
      </w:r>
      <w:bookmarkEnd w:id="271"/>
      <w:bookmarkEnd w:id="272"/>
      <w:bookmarkEnd w:id="273"/>
      <w:bookmarkEnd w:id="274"/>
      <w:bookmarkEnd w:id="275"/>
    </w:p>
    <w:p>
      <w:pPr>
        <w:pStyle w:val="14"/>
        <w:jc w:val="center"/>
        <w:outlineLvl w:val="1"/>
        <w:rPr>
          <w:rFonts w:ascii="Times New Roman" w:hAnsi="Times New Roman" w:eastAsia="宋体" w:cs="Times New Roman"/>
          <w:b/>
          <w:bCs/>
          <w:color w:val="auto"/>
          <w:sz w:val="32"/>
          <w:szCs w:val="32"/>
          <w:highlight w:val="none"/>
        </w:rPr>
      </w:pPr>
      <w:bookmarkStart w:id="276" w:name="_Toc14342"/>
      <w:bookmarkStart w:id="277" w:name="_Toc28074"/>
      <w:bookmarkStart w:id="278" w:name="_Toc28945"/>
      <w:bookmarkStart w:id="279" w:name="_Toc6104"/>
      <w:bookmarkStart w:id="280" w:name="_Toc5889"/>
      <w:bookmarkStart w:id="281" w:name="_Toc12345"/>
      <w:bookmarkStart w:id="282" w:name="_Toc9604"/>
      <w:bookmarkStart w:id="283" w:name="_Toc3574"/>
      <w:bookmarkStart w:id="284" w:name="_Toc20519"/>
      <w:bookmarkStart w:id="285" w:name="_Toc29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6"/>
      <w:bookmarkEnd w:id="277"/>
      <w:bookmarkEnd w:id="278"/>
      <w:bookmarkEnd w:id="279"/>
      <w:bookmarkEnd w:id="280"/>
      <w:bookmarkEnd w:id="281"/>
      <w:bookmarkEnd w:id="282"/>
      <w:bookmarkEnd w:id="283"/>
      <w:bookmarkEnd w:id="284"/>
      <w:bookmarkEnd w:id="285"/>
    </w:p>
    <w:p>
      <w:pPr>
        <w:pStyle w:val="14"/>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pPr>
        <w:pStyle w:val="14"/>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pPr>
        <w:pStyle w:val="14"/>
        <w:spacing w:line="360" w:lineRule="auto"/>
        <w:ind w:firstLine="420"/>
        <w:rPr>
          <w:rFonts w:hint="eastAsia" w:hAnsi="宋体" w:eastAsia="宋体" w:cs="Times New Roman"/>
          <w:color w:val="auto"/>
          <w:highlight w:val="none"/>
        </w:rPr>
      </w:pPr>
    </w:p>
    <w:p>
      <w:pPr>
        <w:pStyle w:val="14"/>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86" w:name="_Toc4190"/>
      <w:bookmarkStart w:id="287" w:name="_Toc1643"/>
      <w:bookmarkStart w:id="288" w:name="_Toc24507"/>
      <w:bookmarkStart w:id="289" w:name="_Toc30114"/>
      <w:bookmarkStart w:id="290" w:name="_Toc10545"/>
      <w:bookmarkStart w:id="291" w:name="_Toc9023"/>
      <w:bookmarkStart w:id="292" w:name="_Toc23151"/>
      <w:bookmarkStart w:id="293" w:name="_Toc18477"/>
      <w:bookmarkStart w:id="294" w:name="_Toc9259"/>
      <w:bookmarkStart w:id="295" w:name="_Toc588"/>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6"/>
      <w:bookmarkEnd w:id="287"/>
      <w:bookmarkEnd w:id="288"/>
      <w:bookmarkEnd w:id="289"/>
      <w:bookmarkEnd w:id="290"/>
      <w:bookmarkEnd w:id="291"/>
      <w:bookmarkEnd w:id="292"/>
      <w:bookmarkEnd w:id="293"/>
      <w:bookmarkEnd w:id="294"/>
      <w:bookmarkEnd w:id="295"/>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pPr>
        <w:widowControl/>
        <w:numPr>
          <w:ilvl w:val="0"/>
          <w:numId w:val="3"/>
        </w:numPr>
        <w:spacing w:after="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pPr>
        <w:widowControl/>
        <w:numPr>
          <w:ilvl w:val="0"/>
          <w:numId w:val="3"/>
        </w:numPr>
        <w:spacing w:after="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rPr>
          <w:rFonts w:hint="eastAsia" w:cs="Times New Roman"/>
          <w:b w:val="0"/>
          <w:color w:val="auto"/>
          <w:sz w:val="30"/>
          <w:szCs w:val="30"/>
          <w:highlight w:val="none"/>
        </w:rPr>
      </w:pPr>
      <w:bookmarkStart w:id="296" w:name="_Toc4866"/>
      <w:bookmarkStart w:id="297" w:name="_Toc17834"/>
      <w:bookmarkStart w:id="298" w:name="_Toc19942"/>
      <w:bookmarkStart w:id="299" w:name="_Toc27331"/>
      <w:bookmarkStart w:id="300" w:name="_Toc13548"/>
      <w:bookmarkStart w:id="301" w:name="_Toc5755"/>
      <w:bookmarkStart w:id="302" w:name="_Toc22963"/>
      <w:bookmarkStart w:id="303" w:name="_Toc28193"/>
      <w:bookmarkStart w:id="304" w:name="_Toc28829"/>
      <w:bookmarkStart w:id="305" w:name="_Toc25728"/>
      <w:r>
        <w:rPr>
          <w:rFonts w:hint="eastAsia" w:cs="Times New Roman"/>
          <w:b w:val="0"/>
          <w:color w:val="auto"/>
          <w:sz w:val="30"/>
          <w:szCs w:val="30"/>
          <w:highlight w:val="none"/>
        </w:rPr>
        <w:br w:type="page"/>
      </w:r>
    </w:p>
    <w:p>
      <w:pPr>
        <w:pStyle w:val="4"/>
        <w:jc w:val="center"/>
        <w:rPr>
          <w:rFonts w:cs="Times New Roman"/>
          <w:b w:val="0"/>
          <w:color w:val="auto"/>
          <w:sz w:val="30"/>
          <w:szCs w:val="30"/>
          <w:highlight w:val="none"/>
        </w:rPr>
      </w:pPr>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296"/>
      <w:bookmarkEnd w:id="297"/>
      <w:bookmarkEnd w:id="298"/>
      <w:bookmarkEnd w:id="299"/>
      <w:bookmarkEnd w:id="300"/>
      <w:bookmarkEnd w:id="301"/>
      <w:bookmarkEnd w:id="302"/>
      <w:bookmarkEnd w:id="303"/>
      <w:bookmarkEnd w:id="304"/>
      <w:bookmarkEnd w:id="305"/>
    </w:p>
    <w:p>
      <w:pPr>
        <w:spacing w:line="360" w:lineRule="auto"/>
        <w:ind w:firstLine="3614" w:firstLineChars="1200"/>
        <w:jc w:val="both"/>
        <w:rPr>
          <w:rFonts w:hint="eastAsia" w:ascii="宋体" w:hAnsi="宋体" w:cs="宋体"/>
          <w:b/>
          <w:color w:val="auto"/>
          <w:sz w:val="30"/>
          <w:szCs w:val="30"/>
          <w:highlight w:val="none"/>
        </w:rPr>
      </w:pPr>
      <w:r>
        <w:rPr>
          <w:rFonts w:hint="eastAsia" w:ascii="宋体" w:hAnsi="宋体" w:cs="宋体"/>
          <w:b/>
          <w:color w:val="auto"/>
          <w:sz w:val="30"/>
          <w:szCs w:val="30"/>
          <w:highlight w:val="none"/>
        </w:rPr>
        <w:t>一、</w:t>
      </w:r>
      <w:r>
        <w:rPr>
          <w:rFonts w:hint="eastAsia" w:ascii="Times New Roman" w:hAnsi="Times New Roman" w:eastAsia="宋体" w:cs="Times New Roman"/>
          <w:b/>
          <w:color w:val="auto"/>
          <w:sz w:val="30"/>
          <w:szCs w:val="30"/>
          <w:highlight w:val="none"/>
        </w:rPr>
        <w:t>综合评分法</w:t>
      </w:r>
    </w:p>
    <w:p>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1"/>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2147" w:type="dxa"/>
            <w:gridSpan w:val="2"/>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8" w:hRule="atLeast"/>
          <w:jc w:val="center"/>
        </w:trPr>
        <w:tc>
          <w:tcPr>
            <w:tcW w:w="562" w:type="dxa"/>
            <w:vAlign w:val="center"/>
          </w:tcPr>
          <w:p>
            <w:pPr>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vAlign w:val="center"/>
          </w:tcPr>
          <w:p>
            <w:pPr>
              <w:widowControl/>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5901" w:type="dxa"/>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pPr>
              <w:snapToGrid/>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按照《政府采购促进中小企业发展管理办法》（财库〔2020〕46号）</w:t>
            </w:r>
            <w:r>
              <w:rPr>
                <w:rFonts w:hint="eastAsia" w:ascii="宋体" w:hAnsi="宋体" w:cs="宋体"/>
                <w:color w:val="auto"/>
                <w:szCs w:val="21"/>
                <w:highlight w:val="none"/>
                <w:lang w:eastAsia="zh-CN"/>
              </w:rPr>
              <w:t>及 《广西壮族自治区财政厅关于贯彻落实政府采购支持中小企业发展政策的通知》（桂财采〔2022〕31号）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的规定，投标人在其投标文件中提供《中小企业声明函》</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且其服务全部由符合政策要求的小型、微型企业承接的</w:t>
            </w:r>
            <w:r>
              <w:rPr>
                <w:rFonts w:hint="eastAsia" w:ascii="宋体" w:hAnsi="宋体" w:eastAsia="宋体" w:cs="宋体"/>
                <w:color w:val="auto"/>
                <w:szCs w:val="21"/>
                <w:highlight w:val="none"/>
              </w:rPr>
              <w:t>，对其投标价格给予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0%的扣除。</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不重复享受政策。</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（5）政策性扣除计算方法。</w:t>
            </w:r>
          </w:p>
          <w:p>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扣除后的价格为评标报价，即评标报价=投标报价×（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 w:val="21"/>
                <w:szCs w:val="21"/>
                <w:highlight w:val="none"/>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，扣除后的价格为评标</w:t>
            </w:r>
            <w:r>
              <w:rPr>
                <w:rFonts w:hint="eastAsia" w:ascii="宋体" w:hAnsi="宋体" w:cs="宋体"/>
                <w:color w:val="auto"/>
                <w:szCs w:val="21"/>
                <w:highlight w:val="none"/>
                <w:lang w:eastAsia="zh-CN"/>
              </w:rPr>
              <w:t>报</w:t>
            </w:r>
            <w:r>
              <w:rPr>
                <w:rFonts w:hint="eastAsia" w:ascii="宋体" w:hAnsi="宋体" w:eastAsia="宋体" w:cs="宋体"/>
                <w:color w:val="auto"/>
                <w:szCs w:val="21"/>
                <w:highlight w:val="none"/>
              </w:rPr>
              <w:t>价，即评标报价=投标报价×（1</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rPr>
              <w:t>%）；除上述情况外，评标报价=投标报价。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（6）满足招标文件要求且评标报价最低的评标报价为评标基准价，基准价得分为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（7）价格分计算公式：        </w:t>
            </w:r>
          </w:p>
          <w:p>
            <w:pPr>
              <w:widowControl/>
              <w:snapToGrid/>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=(评标基准价／评标报价)×</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10</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562" w:type="dxa"/>
            <w:vMerge w:val="restart"/>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服务方案分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52</w:t>
            </w:r>
            <w:r>
              <w:rPr>
                <w:rFonts w:hint="eastAsia" w:ascii="宋体" w:hAnsi="宋体" w:eastAsia="宋体" w:cs="宋体"/>
                <w:bCs/>
                <w:color w:val="auto"/>
                <w:kern w:val="0"/>
                <w:sz w:val="21"/>
                <w:szCs w:val="21"/>
                <w:highlight w:val="none"/>
                <w:lang w:val="en-US" w:eastAsia="zh-CN" w:bidi="ar-SA"/>
              </w:rPr>
              <w:t>分）</w:t>
            </w:r>
          </w:p>
        </w:tc>
        <w:tc>
          <w:tcPr>
            <w:tcW w:w="1460" w:type="dxa"/>
            <w:vAlign w:val="center"/>
          </w:tcPr>
          <w:p>
            <w:pPr>
              <w:tabs>
                <w:tab w:val="left" w:pos="7440"/>
              </w:tabs>
              <w:spacing w:line="360" w:lineRule="auto"/>
              <w:rPr>
                <w:rFonts w:ascii="宋体" w:hAnsi="宋体" w:cs="宋体"/>
                <w:b/>
                <w:bCs/>
                <w:color w:val="auto"/>
                <w:highlight w:val="none"/>
              </w:rPr>
            </w:pPr>
            <w:r>
              <w:rPr>
                <w:rFonts w:hint="eastAsia" w:ascii="宋体" w:hAnsi="宋体" w:cs="宋体"/>
                <w:b/>
                <w:bCs/>
                <w:color w:val="auto"/>
                <w:highlight w:val="none"/>
              </w:rPr>
              <w:t>对项目的理解和总体思路（满分</w:t>
            </w:r>
            <w:r>
              <w:rPr>
                <w:rFonts w:hint="eastAsia" w:ascii="宋体" w:hAnsi="宋体" w:cs="宋体"/>
                <w:b/>
                <w:bCs/>
                <w:color w:val="auto"/>
                <w:highlight w:val="none"/>
                <w:lang w:val="en-US" w:eastAsia="zh-CN"/>
              </w:rPr>
              <w:t>16</w:t>
            </w:r>
            <w:r>
              <w:rPr>
                <w:rFonts w:hint="eastAsia" w:ascii="宋体" w:hAnsi="宋体" w:cs="宋体"/>
                <w:b/>
                <w:bCs/>
                <w:color w:val="auto"/>
                <w:highlight w:val="none"/>
              </w:rPr>
              <w:t>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5901" w:type="dxa"/>
            <w:vAlign w:val="center"/>
          </w:tcPr>
          <w:p>
            <w:pPr>
              <w:spacing w:line="400" w:lineRule="exact"/>
              <w:ind w:firstLine="420" w:firstLineChars="200"/>
              <w:rPr>
                <w:color w:val="auto"/>
                <w:highlight w:val="none"/>
              </w:rPr>
            </w:pPr>
            <w:r>
              <w:rPr>
                <w:rFonts w:hint="eastAsia"/>
                <w:color w:val="auto"/>
                <w:highlight w:val="none"/>
              </w:rPr>
              <w:t>对项目的理解和总体思路（满分</w:t>
            </w:r>
            <w:r>
              <w:rPr>
                <w:rFonts w:hint="eastAsia"/>
                <w:color w:val="auto"/>
                <w:highlight w:val="none"/>
                <w:lang w:val="en-US" w:eastAsia="zh-CN"/>
              </w:rPr>
              <w:t>16</w:t>
            </w:r>
            <w:r>
              <w:rPr>
                <w:rFonts w:hint="eastAsia"/>
                <w:color w:val="auto"/>
                <w:highlight w:val="none"/>
              </w:rPr>
              <w:t>分）</w:t>
            </w:r>
          </w:p>
          <w:p>
            <w:pPr>
              <w:pStyle w:val="13"/>
              <w:spacing w:after="0" w:line="400" w:lineRule="exact"/>
              <w:ind w:firstLine="420" w:firstLineChars="200"/>
              <w:rPr>
                <w:color w:val="auto"/>
                <w:highlight w:val="none"/>
              </w:rPr>
            </w:pPr>
            <w:r>
              <w:rPr>
                <w:color w:val="auto"/>
                <w:highlight w:val="none"/>
              </w:rPr>
              <w:t>（1）提供的</w:t>
            </w:r>
            <w:r>
              <w:rPr>
                <w:rFonts w:hint="eastAsia"/>
                <w:color w:val="auto"/>
                <w:highlight w:val="none"/>
              </w:rPr>
              <w:t>对项目的理解和总体思路方案</w:t>
            </w:r>
            <w:r>
              <w:rPr>
                <w:color w:val="auto"/>
                <w:highlight w:val="none"/>
              </w:rPr>
              <w:t>内容包含</w:t>
            </w:r>
            <w:r>
              <w:rPr>
                <w:rFonts w:hint="eastAsia"/>
                <w:color w:val="auto"/>
                <w:highlight w:val="none"/>
              </w:rPr>
              <w:t>①</w:t>
            </w:r>
            <w:r>
              <w:rPr>
                <w:color w:val="auto"/>
                <w:highlight w:val="none"/>
              </w:rPr>
              <w:t>项目目标、</w:t>
            </w:r>
            <w:r>
              <w:rPr>
                <w:rFonts w:hint="eastAsia"/>
                <w:color w:val="auto"/>
                <w:highlight w:val="none"/>
              </w:rPr>
              <w:t>②编制原则及依据、③</w:t>
            </w:r>
            <w:r>
              <w:rPr>
                <w:color w:val="auto"/>
                <w:highlight w:val="none"/>
              </w:rPr>
              <w:t>项目工作分解</w:t>
            </w:r>
            <w:r>
              <w:rPr>
                <w:rFonts w:hint="eastAsia"/>
                <w:color w:val="auto"/>
                <w:highlight w:val="none"/>
              </w:rPr>
              <w:t>及</w:t>
            </w:r>
            <w:r>
              <w:rPr>
                <w:color w:val="auto"/>
                <w:highlight w:val="none"/>
              </w:rPr>
              <w:t>实施程序，</w:t>
            </w:r>
            <w:r>
              <w:rPr>
                <w:rFonts w:hint="eastAsia" w:ascii="Times New Roman" w:hAnsi="Times New Roman" w:eastAsia="宋体" w:cs="Times New Roman"/>
                <w:color w:val="auto"/>
                <w:kern w:val="2"/>
                <w:sz w:val="21"/>
                <w:szCs w:val="24"/>
                <w:highlight w:val="none"/>
                <w:lang w:val="en-US" w:eastAsia="zh-CN" w:bidi="ar-SA"/>
              </w:rPr>
              <w:t>每具有一项内容得</w:t>
            </w:r>
            <w:r>
              <w:rPr>
                <w:rFonts w:hint="eastAsia" w:ascii="Times New Roman" w:hAnsi="Times New Roman"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分，</w:t>
            </w:r>
            <w:r>
              <w:rPr>
                <w:rFonts w:hint="eastAsia" w:ascii="Times New Roman" w:hAnsi="Times New Roman" w:eastAsia="宋体" w:cs="Times New Roman"/>
                <w:color w:val="auto"/>
                <w:highlight w:val="none"/>
              </w:rPr>
              <w:t>本项满分</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分</w:t>
            </w:r>
            <w:r>
              <w:rPr>
                <w:rFonts w:ascii="Times New Roman" w:hAnsi="Times New Roman" w:eastAsia="宋体" w:cs="Times New Roman"/>
                <w:color w:val="auto"/>
                <w:kern w:val="2"/>
                <w:sz w:val="21"/>
                <w:szCs w:val="24"/>
                <w:highlight w:val="none"/>
                <w:lang w:val="en-US" w:eastAsia="zh-CN" w:bidi="ar-SA"/>
              </w:rPr>
              <w:t>。</w:t>
            </w:r>
          </w:p>
          <w:p>
            <w:pPr>
              <w:pStyle w:val="13"/>
              <w:spacing w:after="0" w:line="400" w:lineRule="exact"/>
              <w:ind w:firstLine="420" w:firstLineChars="200"/>
              <w:rPr>
                <w:color w:val="auto"/>
                <w:highlight w:val="none"/>
              </w:rPr>
            </w:pPr>
            <w:r>
              <w:rPr>
                <w:color w:val="auto"/>
                <w:highlight w:val="none"/>
              </w:rPr>
              <w:t>（2）按照</w:t>
            </w:r>
            <w:r>
              <w:rPr>
                <w:rFonts w:hint="eastAsia"/>
                <w:color w:val="auto"/>
                <w:highlight w:val="none"/>
              </w:rPr>
              <w:t>对项目的理解和总体思路方案</w:t>
            </w:r>
            <w:r>
              <w:rPr>
                <w:color w:val="auto"/>
                <w:highlight w:val="none"/>
              </w:rPr>
              <w:t>结合项目需求、针对性内容评分（满分</w:t>
            </w:r>
            <w:r>
              <w:rPr>
                <w:rFonts w:hint="eastAsia"/>
                <w:color w:val="auto"/>
                <w:highlight w:val="none"/>
                <w:lang w:val="en-US" w:eastAsia="zh-CN"/>
              </w:rPr>
              <w:t>13</w:t>
            </w:r>
            <w:r>
              <w:rPr>
                <w:color w:val="auto"/>
                <w:highlight w:val="none"/>
              </w:rPr>
              <w:t>分）：</w:t>
            </w:r>
          </w:p>
          <w:p>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一档：符合项目实际</w:t>
            </w:r>
            <w:r>
              <w:rPr>
                <w:rFonts w:hint="eastAsia" w:ascii="宋体" w:hAnsi="宋体" w:cs="宋体"/>
                <w:color w:val="auto"/>
                <w:szCs w:val="21"/>
                <w:highlight w:val="none"/>
                <w:lang w:eastAsia="zh-CN"/>
              </w:rPr>
              <w:t>，</w:t>
            </w:r>
            <w:r>
              <w:rPr>
                <w:rFonts w:hint="eastAsia" w:ascii="宋体" w:hAnsi="宋体" w:cs="宋体"/>
                <w:color w:val="auto"/>
                <w:szCs w:val="21"/>
                <w:highlight w:val="none"/>
              </w:rPr>
              <w:t>方案内容包含简单的</w:t>
            </w:r>
            <w:r>
              <w:rPr>
                <w:color w:val="auto"/>
                <w:highlight w:val="none"/>
              </w:rPr>
              <w:t>项目目标、</w:t>
            </w:r>
            <w:r>
              <w:rPr>
                <w:rFonts w:hint="eastAsia"/>
                <w:color w:val="auto"/>
                <w:highlight w:val="none"/>
              </w:rPr>
              <w:t>编制原则及依据、</w:t>
            </w:r>
            <w:r>
              <w:rPr>
                <w:color w:val="auto"/>
                <w:highlight w:val="none"/>
              </w:rPr>
              <w:t>项目实施组织形式、项目工作分解</w:t>
            </w:r>
            <w:r>
              <w:rPr>
                <w:rFonts w:hint="eastAsia"/>
                <w:color w:val="auto"/>
                <w:highlight w:val="none"/>
              </w:rPr>
              <w:t>及</w:t>
            </w:r>
            <w:r>
              <w:rPr>
                <w:color w:val="auto"/>
                <w:highlight w:val="none"/>
              </w:rPr>
              <w:t>实施程序</w:t>
            </w:r>
            <w:r>
              <w:rPr>
                <w:rFonts w:hint="eastAsia" w:ascii="宋体" w:hAnsi="宋体" w:cs="宋体"/>
                <w:color w:val="auto"/>
                <w:szCs w:val="21"/>
                <w:highlight w:val="none"/>
              </w:rPr>
              <w:t>的，</w:t>
            </w:r>
            <w:r>
              <w:rPr>
                <w:rFonts w:hint="eastAsia" w:ascii="宋体" w:hAnsi="宋体" w:cs="Arial"/>
                <w:color w:val="auto"/>
                <w:kern w:val="0"/>
                <w:szCs w:val="21"/>
                <w:highlight w:val="none"/>
              </w:rPr>
              <w:t>得</w:t>
            </w:r>
            <w:r>
              <w:rPr>
                <w:rFonts w:hint="eastAsia" w:ascii="宋体" w:hAnsi="宋体" w:cs="Arial"/>
                <w:color w:val="auto"/>
                <w:kern w:val="0"/>
                <w:szCs w:val="21"/>
                <w:highlight w:val="none"/>
                <w:lang w:val="en-US" w:eastAsia="zh-CN"/>
              </w:rPr>
              <w:t>4</w:t>
            </w:r>
            <w:r>
              <w:rPr>
                <w:rFonts w:hint="eastAsia" w:ascii="宋体" w:hAnsi="宋体" w:cs="Arial"/>
                <w:color w:val="auto"/>
                <w:kern w:val="0"/>
                <w:szCs w:val="21"/>
                <w:highlight w:val="none"/>
              </w:rPr>
              <w:t>分。</w:t>
            </w:r>
          </w:p>
          <w:p>
            <w:pPr>
              <w:spacing w:line="400" w:lineRule="exact"/>
              <w:ind w:firstLine="420" w:firstLineChars="200"/>
              <w:jc w:val="left"/>
              <w:rPr>
                <w:rFonts w:hint="eastAsia" w:ascii="宋体" w:hAnsi="宋体" w:cs="Arial"/>
                <w:color w:val="auto"/>
                <w:kern w:val="0"/>
                <w:szCs w:val="21"/>
                <w:highlight w:val="none"/>
              </w:rPr>
            </w:pPr>
            <w:r>
              <w:rPr>
                <w:rFonts w:hint="eastAsia" w:ascii="宋体" w:hAnsi="宋体" w:cs="宋体"/>
                <w:color w:val="auto"/>
                <w:szCs w:val="21"/>
                <w:highlight w:val="none"/>
              </w:rPr>
              <w:t>二档：符合项目实际，方案内容满足本项目实施需求；</w:t>
            </w:r>
            <w:r>
              <w:rPr>
                <w:color w:val="auto"/>
                <w:highlight w:val="none"/>
              </w:rPr>
              <w:t>项目目标</w:t>
            </w:r>
            <w:r>
              <w:rPr>
                <w:rFonts w:hint="eastAsia" w:ascii="宋体" w:hAnsi="宋体" w:cs="宋体"/>
                <w:color w:val="auto"/>
                <w:szCs w:val="21"/>
                <w:highlight w:val="none"/>
              </w:rPr>
              <w:t>有</w:t>
            </w:r>
            <w:r>
              <w:rPr>
                <w:rFonts w:hint="eastAsia" w:ascii="宋体" w:hAnsi="宋体"/>
                <w:bCs/>
                <w:color w:val="auto"/>
                <w:szCs w:val="21"/>
                <w:highlight w:val="none"/>
              </w:rPr>
              <w:t>准备阶段目标、实施阶段目标</w:t>
            </w:r>
            <w:r>
              <w:rPr>
                <w:rFonts w:hint="eastAsia" w:ascii="宋体" w:hAnsi="宋体" w:cs="宋体"/>
                <w:color w:val="auto"/>
                <w:szCs w:val="21"/>
                <w:highlight w:val="none"/>
              </w:rPr>
              <w:t>等内容，编制原则及依据符合国家、行业现行规定，项目实施组织形式包含实地调查、报告编制等形式，项目工作分解及实施程序满足采购需求的；</w:t>
            </w:r>
            <w:r>
              <w:rPr>
                <w:rFonts w:hint="eastAsia" w:ascii="宋体" w:hAnsi="宋体" w:cs="Arial"/>
                <w:color w:val="auto"/>
                <w:kern w:val="0"/>
                <w:szCs w:val="21"/>
                <w:highlight w:val="none"/>
              </w:rPr>
              <w:t>得</w:t>
            </w:r>
            <w:r>
              <w:rPr>
                <w:rFonts w:hint="eastAsia" w:ascii="宋体" w:hAnsi="宋体" w:cs="Arial"/>
                <w:color w:val="auto"/>
                <w:kern w:val="0"/>
                <w:szCs w:val="21"/>
                <w:highlight w:val="none"/>
                <w:lang w:val="en-US" w:eastAsia="zh-CN"/>
              </w:rPr>
              <w:t>8</w:t>
            </w:r>
            <w:r>
              <w:rPr>
                <w:rFonts w:hint="eastAsia" w:ascii="宋体" w:hAnsi="宋体" w:cs="Arial"/>
                <w:color w:val="auto"/>
                <w:kern w:val="0"/>
                <w:szCs w:val="21"/>
                <w:highlight w:val="none"/>
              </w:rPr>
              <w:t>分。</w:t>
            </w:r>
          </w:p>
          <w:p>
            <w:pPr>
              <w:keepNext w:val="0"/>
              <w:keepLines w:val="0"/>
              <w:pageBreakBefore w:val="0"/>
              <w:tabs>
                <w:tab w:val="left" w:pos="7440"/>
              </w:tabs>
              <w:kinsoku/>
              <w:wordWrap/>
              <w:overflowPunct/>
              <w:topLinePunct w:val="0"/>
              <w:autoSpaceDE/>
              <w:autoSpaceDN/>
              <w:bidi w:val="0"/>
              <w:adjustRightInd/>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宋体"/>
                <w:color w:val="auto"/>
                <w:szCs w:val="21"/>
                <w:highlight w:val="none"/>
              </w:rPr>
              <w:t>三档：</w:t>
            </w:r>
            <w:r>
              <w:rPr>
                <w:rFonts w:hint="eastAsia" w:ascii="宋体" w:hAnsi="宋体" w:cs="Arial"/>
                <w:color w:val="auto"/>
                <w:kern w:val="0"/>
                <w:szCs w:val="21"/>
                <w:highlight w:val="none"/>
              </w:rPr>
              <w:t>方案针对本项目采购需求，切合实际，内容明晰、简练，完全满足或优于本项目实施需求；项目目标有详细的项目总体目标、准备阶段目标、实施阶段目标等内容；编制原则及依据符合国家、行业现行规定；项目实施组织形式丰富，包含实地调查、报告编制、专家论证等切实可行的形式；项目工作分解及实施程序满足采购需求，有详细的工作分解及实施程序流程图或表的；得</w:t>
            </w:r>
            <w:r>
              <w:rPr>
                <w:rFonts w:hint="eastAsia" w:ascii="宋体" w:hAnsi="宋体" w:cs="Arial"/>
                <w:color w:val="auto"/>
                <w:kern w:val="0"/>
                <w:szCs w:val="21"/>
                <w:highlight w:val="none"/>
                <w:lang w:val="en-US" w:eastAsia="zh-CN"/>
              </w:rPr>
              <w:t>13</w:t>
            </w:r>
            <w:r>
              <w:rPr>
                <w:rFonts w:hint="eastAsia" w:ascii="宋体" w:hAnsi="宋体" w:cs="Arial"/>
                <w:color w:val="auto"/>
                <w:kern w:val="0"/>
                <w:szCs w:val="21"/>
                <w:highlight w:val="none"/>
              </w:rPr>
              <w:t>分。</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b/>
                <w:bCs/>
                <w:color w:val="auto"/>
                <w:szCs w:val="21"/>
                <w:highlight w:val="none"/>
              </w:rPr>
              <w:t>注：不满足最低档次要求的不得分。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562" w:type="dxa"/>
            <w:vMerge w:val="continue"/>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b/>
                <w:bCs/>
                <w:color w:val="auto"/>
                <w:highlight w:val="none"/>
              </w:rPr>
              <w:t>对项目特点、关键技术问题的认识及对策措施（</w:t>
            </w:r>
            <w:r>
              <w:rPr>
                <w:rFonts w:hint="eastAsia" w:ascii="宋体" w:hAnsi="宋体"/>
                <w:b/>
                <w:bCs/>
                <w:color w:val="auto"/>
                <w:highlight w:val="none"/>
                <w:lang w:eastAsia="zh-CN"/>
              </w:rPr>
              <w:t>满分</w:t>
            </w:r>
            <w:r>
              <w:rPr>
                <w:rFonts w:hint="eastAsia" w:ascii="宋体" w:hAnsi="宋体"/>
                <w:b/>
                <w:bCs/>
                <w:color w:val="auto"/>
                <w:highlight w:val="none"/>
              </w:rPr>
              <w:t>1</w:t>
            </w:r>
            <w:r>
              <w:rPr>
                <w:rFonts w:hint="eastAsia" w:ascii="宋体" w:hAnsi="宋体"/>
                <w:b/>
                <w:bCs/>
                <w:color w:val="auto"/>
                <w:highlight w:val="none"/>
                <w:lang w:val="en-US" w:eastAsia="zh-CN"/>
              </w:rPr>
              <w:t>5</w:t>
            </w:r>
            <w:r>
              <w:rPr>
                <w:rFonts w:hint="eastAsia" w:ascii="宋体" w:hAnsi="宋体"/>
                <w:b/>
                <w:bCs/>
                <w:color w:val="auto"/>
                <w:highlight w:val="none"/>
              </w:rPr>
              <w:t>分）</w:t>
            </w:r>
          </w:p>
        </w:tc>
        <w:tc>
          <w:tcPr>
            <w:tcW w:w="5901" w:type="dxa"/>
            <w:vAlign w:val="center"/>
          </w:tcPr>
          <w:p>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一档（5分）：对项目特点、关键技术问题的认识基本限于采购需求，</w:t>
            </w:r>
            <w:r>
              <w:rPr>
                <w:rFonts w:hint="eastAsia" w:ascii="宋体" w:hAnsi="宋体" w:cs="宋体"/>
                <w:color w:val="auto"/>
                <w:szCs w:val="21"/>
                <w:highlight w:val="none"/>
                <w:lang w:eastAsia="zh-CN"/>
              </w:rPr>
              <w:t>能针</w:t>
            </w:r>
            <w:r>
              <w:rPr>
                <w:rFonts w:hint="eastAsia" w:ascii="宋体" w:hAnsi="宋体" w:cs="宋体"/>
                <w:color w:val="auto"/>
                <w:szCs w:val="21"/>
                <w:highlight w:val="none"/>
              </w:rPr>
              <w:t>对项目的难点、关键点</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分析；</w:t>
            </w:r>
          </w:p>
          <w:p>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二档（10分）：对项目的难点、关键点进行</w:t>
            </w:r>
            <w:r>
              <w:rPr>
                <w:rFonts w:hint="eastAsia" w:ascii="宋体" w:hAnsi="宋体" w:cs="宋体"/>
                <w:color w:val="auto"/>
                <w:szCs w:val="21"/>
                <w:highlight w:val="none"/>
                <w:lang w:eastAsia="zh-CN"/>
              </w:rPr>
              <w:t>了</w:t>
            </w:r>
            <w:r>
              <w:rPr>
                <w:rFonts w:hint="eastAsia" w:ascii="宋体" w:hAnsi="宋体" w:cs="宋体"/>
                <w:color w:val="auto"/>
                <w:szCs w:val="21"/>
                <w:highlight w:val="none"/>
              </w:rPr>
              <w:t>分析，</w:t>
            </w:r>
            <w:r>
              <w:rPr>
                <w:rFonts w:hint="eastAsia" w:ascii="宋体" w:hAnsi="宋体" w:cs="宋体"/>
                <w:color w:val="auto"/>
                <w:szCs w:val="21"/>
                <w:highlight w:val="none"/>
                <w:lang w:eastAsia="zh-CN"/>
              </w:rPr>
              <w:t>提出了</w:t>
            </w:r>
            <w:r>
              <w:rPr>
                <w:rFonts w:hint="eastAsia" w:ascii="宋体" w:hAnsi="宋体" w:cs="宋体"/>
                <w:color w:val="auto"/>
                <w:szCs w:val="21"/>
                <w:highlight w:val="none"/>
              </w:rPr>
              <w:t>解决难点的方案，措施基本能解决项目开展过程中可能会遇到的问题；</w:t>
            </w:r>
          </w:p>
          <w:p>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三档（15分）：对项目的难点、关键点</w:t>
            </w:r>
            <w:r>
              <w:rPr>
                <w:rFonts w:hint="eastAsia" w:ascii="宋体" w:hAnsi="宋体" w:cs="宋体"/>
                <w:color w:val="auto"/>
                <w:szCs w:val="21"/>
                <w:highlight w:val="none"/>
                <w:lang w:eastAsia="zh-CN"/>
              </w:rPr>
              <w:t>进行了深入分析，</w:t>
            </w:r>
            <w:r>
              <w:rPr>
                <w:rFonts w:hint="eastAsia" w:ascii="宋体" w:hAnsi="宋体" w:cs="宋体"/>
                <w:color w:val="auto"/>
                <w:szCs w:val="21"/>
                <w:highlight w:val="none"/>
              </w:rPr>
              <w:t>完整准确</w:t>
            </w:r>
            <w:r>
              <w:rPr>
                <w:rFonts w:hint="eastAsia" w:ascii="宋体" w:hAnsi="宋体" w:cs="宋体"/>
                <w:color w:val="auto"/>
                <w:szCs w:val="21"/>
                <w:highlight w:val="none"/>
                <w:lang w:eastAsia="zh-CN"/>
              </w:rPr>
              <w:t>；</w:t>
            </w:r>
            <w:r>
              <w:rPr>
                <w:rFonts w:hint="eastAsia" w:ascii="宋体" w:hAnsi="宋体" w:cs="宋体"/>
                <w:color w:val="auto"/>
                <w:szCs w:val="21"/>
                <w:highlight w:val="none"/>
              </w:rPr>
              <w:t>解决难点的方案完整</w:t>
            </w:r>
            <w:r>
              <w:rPr>
                <w:rFonts w:hint="eastAsia" w:hAnsi="宋体" w:cs="宋体"/>
                <w:bCs/>
                <w:color w:val="auto"/>
                <w:sz w:val="21"/>
                <w:highlight w:val="none"/>
                <w:lang w:eastAsia="zh-CN"/>
              </w:rPr>
              <w:t>，</w:t>
            </w:r>
            <w:r>
              <w:rPr>
                <w:rFonts w:hint="eastAsia" w:ascii="宋体" w:hAnsi="宋体" w:cs="宋体"/>
                <w:color w:val="auto"/>
                <w:szCs w:val="21"/>
                <w:highlight w:val="none"/>
              </w:rPr>
              <w:t>措施能有效解决项目开展过程中可能会遇到的问题</w:t>
            </w:r>
            <w:r>
              <w:rPr>
                <w:rFonts w:hint="eastAsia" w:hAnsi="宋体" w:cs="宋体"/>
                <w:bCs/>
                <w:color w:val="auto"/>
                <w:sz w:val="21"/>
                <w:highlight w:val="none"/>
                <w:lang w:eastAsia="zh-CN"/>
              </w:rPr>
              <w:t>；提出了</w:t>
            </w:r>
            <w:r>
              <w:rPr>
                <w:rFonts w:hint="eastAsia" w:hAnsi="宋体" w:cs="宋体"/>
                <w:bCs/>
                <w:color w:val="auto"/>
                <w:sz w:val="21"/>
                <w:highlight w:val="none"/>
              </w:rPr>
              <w:t>关键点的发展趋势及应对策略</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b/>
                <w:bCs/>
                <w:color w:val="auto"/>
                <w:szCs w:val="21"/>
                <w:highlight w:val="none"/>
              </w:rPr>
              <w:t>注：不满足最低档次要求的不得分。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562" w:type="dxa"/>
            <w:vMerge w:val="continue"/>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b/>
                <w:bCs/>
                <w:color w:val="auto"/>
                <w:highlight w:val="none"/>
              </w:rPr>
              <w:t>实施方案（</w:t>
            </w:r>
            <w:r>
              <w:rPr>
                <w:rFonts w:hint="eastAsia"/>
                <w:b/>
                <w:bCs/>
                <w:color w:val="auto"/>
                <w:highlight w:val="none"/>
                <w:lang w:eastAsia="zh-CN"/>
              </w:rPr>
              <w:t>满分</w:t>
            </w:r>
            <w:r>
              <w:rPr>
                <w:rFonts w:hint="eastAsia"/>
                <w:b/>
                <w:bCs/>
                <w:color w:val="auto"/>
                <w:highlight w:val="none"/>
              </w:rPr>
              <w:t>1</w:t>
            </w:r>
            <w:r>
              <w:rPr>
                <w:rFonts w:hint="eastAsia"/>
                <w:b/>
                <w:bCs/>
                <w:color w:val="auto"/>
                <w:highlight w:val="none"/>
                <w:lang w:val="en-US" w:eastAsia="zh-CN"/>
              </w:rPr>
              <w:t>8</w:t>
            </w:r>
            <w:r>
              <w:rPr>
                <w:rFonts w:hint="eastAsia"/>
                <w:b/>
                <w:bCs/>
                <w:color w:val="auto"/>
                <w:highlight w:val="none"/>
              </w:rPr>
              <w:t>分）</w:t>
            </w:r>
          </w:p>
        </w:tc>
        <w:tc>
          <w:tcPr>
            <w:tcW w:w="5901" w:type="dxa"/>
            <w:vAlign w:val="top"/>
          </w:tcPr>
          <w:p>
            <w:pPr>
              <w:pStyle w:val="13"/>
              <w:spacing w:after="0" w:line="400" w:lineRule="exact"/>
              <w:ind w:firstLine="420" w:firstLineChars="200"/>
              <w:rPr>
                <w:color w:val="auto"/>
                <w:highlight w:val="none"/>
              </w:rPr>
            </w:pPr>
            <w:r>
              <w:rPr>
                <w:rFonts w:hint="eastAsia"/>
                <w:color w:val="auto"/>
                <w:highlight w:val="none"/>
              </w:rPr>
              <w:t>实施方案（满分1</w:t>
            </w:r>
            <w:r>
              <w:rPr>
                <w:rFonts w:hint="eastAsia"/>
                <w:color w:val="auto"/>
                <w:highlight w:val="none"/>
                <w:lang w:val="en-US" w:eastAsia="zh-CN"/>
              </w:rPr>
              <w:t>8</w:t>
            </w:r>
            <w:r>
              <w:rPr>
                <w:rFonts w:hint="eastAsia"/>
                <w:color w:val="auto"/>
                <w:highlight w:val="none"/>
              </w:rPr>
              <w:t>分）</w:t>
            </w:r>
          </w:p>
          <w:p>
            <w:pPr>
              <w:pStyle w:val="13"/>
              <w:spacing w:after="0" w:line="400" w:lineRule="exact"/>
              <w:ind w:firstLine="420" w:firstLineChars="200"/>
              <w:rPr>
                <w:color w:val="auto"/>
                <w:highlight w:val="none"/>
              </w:rPr>
            </w:pPr>
            <w:r>
              <w:rPr>
                <w:color w:val="auto"/>
                <w:highlight w:val="none"/>
              </w:rPr>
              <w:t>（1）提供的</w:t>
            </w:r>
            <w:r>
              <w:rPr>
                <w:rFonts w:hint="eastAsia"/>
                <w:color w:val="auto"/>
                <w:highlight w:val="none"/>
              </w:rPr>
              <w:t>实施方案</w:t>
            </w:r>
            <w:r>
              <w:rPr>
                <w:color w:val="auto"/>
                <w:highlight w:val="none"/>
              </w:rPr>
              <w:t>内容包含</w:t>
            </w:r>
            <w:r>
              <w:rPr>
                <w:rFonts w:hint="eastAsia"/>
                <w:color w:val="auto"/>
                <w:highlight w:val="none"/>
              </w:rPr>
              <w:t>①现状与形势分析要点，②主要</w:t>
            </w:r>
            <w:r>
              <w:rPr>
                <w:rFonts w:hint="eastAsia"/>
                <w:color w:val="auto"/>
                <w:highlight w:val="none"/>
                <w:lang w:eastAsia="zh-CN"/>
              </w:rPr>
              <w:t>工作</w:t>
            </w:r>
            <w:r>
              <w:rPr>
                <w:rFonts w:hint="eastAsia"/>
                <w:color w:val="auto"/>
                <w:highlight w:val="none"/>
              </w:rPr>
              <w:t>任务和内容，③进度计划及</w:t>
            </w:r>
            <w:r>
              <w:rPr>
                <w:rFonts w:hint="eastAsia"/>
                <w:color w:val="auto"/>
                <w:highlight w:val="none"/>
                <w:lang w:eastAsia="zh-CN"/>
              </w:rPr>
              <w:t>质量进度</w:t>
            </w:r>
            <w:r>
              <w:rPr>
                <w:rFonts w:hint="eastAsia"/>
                <w:color w:val="auto"/>
                <w:highlight w:val="none"/>
              </w:rPr>
              <w:t>保证措施，每具有一项内容得1分，本项满分</w:t>
            </w:r>
            <w:r>
              <w:rPr>
                <w:rFonts w:hint="eastAsia"/>
                <w:color w:val="auto"/>
                <w:highlight w:val="none"/>
                <w:lang w:val="en-US" w:eastAsia="zh-CN"/>
              </w:rPr>
              <w:t>3</w:t>
            </w:r>
            <w:r>
              <w:rPr>
                <w:rFonts w:hint="eastAsia"/>
                <w:color w:val="auto"/>
                <w:highlight w:val="none"/>
              </w:rPr>
              <w:t>分</w:t>
            </w:r>
            <w:r>
              <w:rPr>
                <w:color w:val="auto"/>
                <w:highlight w:val="none"/>
              </w:rPr>
              <w:t>。</w:t>
            </w:r>
          </w:p>
          <w:p>
            <w:pPr>
              <w:pStyle w:val="13"/>
              <w:spacing w:after="0" w:line="400" w:lineRule="exact"/>
              <w:ind w:firstLine="420" w:firstLineChars="200"/>
              <w:rPr>
                <w:color w:val="auto"/>
                <w:highlight w:val="none"/>
              </w:rPr>
            </w:pPr>
            <w:r>
              <w:rPr>
                <w:color w:val="auto"/>
                <w:highlight w:val="none"/>
              </w:rPr>
              <w:t>（</w:t>
            </w:r>
            <w:r>
              <w:rPr>
                <w:rFonts w:hint="eastAsia"/>
                <w:color w:val="auto"/>
                <w:highlight w:val="none"/>
              </w:rPr>
              <w:t>2</w:t>
            </w:r>
            <w:r>
              <w:rPr>
                <w:color w:val="auto"/>
                <w:highlight w:val="none"/>
              </w:rPr>
              <w:t>）按照</w:t>
            </w:r>
            <w:r>
              <w:rPr>
                <w:rFonts w:hint="eastAsia"/>
                <w:color w:val="auto"/>
                <w:highlight w:val="none"/>
              </w:rPr>
              <w:t>实施方案</w:t>
            </w:r>
            <w:r>
              <w:rPr>
                <w:color w:val="auto"/>
                <w:highlight w:val="none"/>
              </w:rPr>
              <w:t>结合项目需求、针对性内容评分（满分</w:t>
            </w:r>
            <w:r>
              <w:rPr>
                <w:rFonts w:hint="eastAsia"/>
                <w:color w:val="auto"/>
                <w:highlight w:val="none"/>
                <w:lang w:val="en-US" w:eastAsia="zh-CN"/>
              </w:rPr>
              <w:t>15</w:t>
            </w:r>
            <w:r>
              <w:rPr>
                <w:color w:val="auto"/>
                <w:highlight w:val="none"/>
              </w:rPr>
              <w:t>分）：</w:t>
            </w:r>
          </w:p>
          <w:p>
            <w:pPr>
              <w:pStyle w:val="13"/>
              <w:spacing w:after="0" w:line="400" w:lineRule="exact"/>
              <w:ind w:firstLine="420" w:firstLineChars="200"/>
              <w:rPr>
                <w:rFonts w:hint="eastAsia"/>
                <w:color w:val="auto"/>
                <w:highlight w:val="none"/>
              </w:rPr>
            </w:pPr>
            <w:r>
              <w:rPr>
                <w:rFonts w:hint="eastAsia"/>
                <w:color w:val="auto"/>
                <w:highlight w:val="none"/>
              </w:rPr>
              <w:t>一档：符合项目实际，方案内容包含简单的现状与形势分析要点、主要</w:t>
            </w:r>
            <w:r>
              <w:rPr>
                <w:rFonts w:hint="eastAsia"/>
                <w:color w:val="auto"/>
                <w:highlight w:val="none"/>
                <w:lang w:eastAsia="zh-CN"/>
              </w:rPr>
              <w:t>工作</w:t>
            </w:r>
            <w:r>
              <w:rPr>
                <w:rFonts w:hint="eastAsia"/>
                <w:color w:val="auto"/>
                <w:highlight w:val="none"/>
              </w:rPr>
              <w:t>任务和内容、进度计划及保证措施、质量保证措施，得</w:t>
            </w:r>
            <w:r>
              <w:rPr>
                <w:rFonts w:hint="eastAsia"/>
                <w:color w:val="auto"/>
                <w:highlight w:val="none"/>
                <w:lang w:val="en-US" w:eastAsia="zh-CN"/>
              </w:rPr>
              <w:t>5</w:t>
            </w:r>
            <w:r>
              <w:rPr>
                <w:rFonts w:hint="eastAsia"/>
                <w:color w:val="auto"/>
                <w:highlight w:val="none"/>
              </w:rPr>
              <w:t>分。</w:t>
            </w:r>
          </w:p>
          <w:p>
            <w:pPr>
              <w:pStyle w:val="13"/>
              <w:spacing w:after="0" w:line="400" w:lineRule="exact"/>
              <w:ind w:firstLine="420" w:firstLineChars="200"/>
              <w:rPr>
                <w:rFonts w:hint="eastAsia"/>
                <w:color w:val="auto"/>
                <w:highlight w:val="none"/>
              </w:rPr>
            </w:pPr>
            <w:r>
              <w:rPr>
                <w:rFonts w:hint="eastAsia"/>
                <w:color w:val="auto"/>
                <w:highlight w:val="none"/>
              </w:rPr>
              <w:t>二档：实施方案符合实际，方案内容满足本项目实施需求；具有明确的现状与形势分析要点，且现状分析包含面临问题分析</w:t>
            </w:r>
            <w:r>
              <w:rPr>
                <w:rFonts w:hint="eastAsia"/>
                <w:color w:val="auto"/>
                <w:highlight w:val="none"/>
                <w:lang w:eastAsia="zh-CN"/>
              </w:rPr>
              <w:t>；</w:t>
            </w:r>
            <w:r>
              <w:rPr>
                <w:rFonts w:hint="eastAsia"/>
                <w:color w:val="auto"/>
                <w:highlight w:val="none"/>
              </w:rPr>
              <w:t>具有主要</w:t>
            </w:r>
            <w:r>
              <w:rPr>
                <w:rFonts w:hint="eastAsia"/>
                <w:color w:val="auto"/>
                <w:highlight w:val="none"/>
                <w:lang w:eastAsia="zh-CN"/>
              </w:rPr>
              <w:t>工作</w:t>
            </w:r>
            <w:r>
              <w:rPr>
                <w:rFonts w:hint="eastAsia"/>
                <w:color w:val="auto"/>
                <w:highlight w:val="none"/>
              </w:rPr>
              <w:t>任务和内容的初步设想，包含</w:t>
            </w:r>
            <w:r>
              <w:rPr>
                <w:rFonts w:hint="eastAsia"/>
                <w:color w:val="auto"/>
                <w:highlight w:val="none"/>
                <w:lang w:eastAsia="zh-CN"/>
              </w:rPr>
              <w:t>工作</w:t>
            </w:r>
            <w:r>
              <w:rPr>
                <w:rFonts w:hint="eastAsia"/>
                <w:color w:val="auto"/>
                <w:highlight w:val="none"/>
              </w:rPr>
              <w:t>目标和要求、</w:t>
            </w:r>
            <w:r>
              <w:rPr>
                <w:rFonts w:hint="eastAsia"/>
                <w:color w:val="auto"/>
                <w:highlight w:val="none"/>
                <w:lang w:eastAsia="zh-CN"/>
              </w:rPr>
              <w:t>方案编制</w:t>
            </w:r>
            <w:r>
              <w:rPr>
                <w:rFonts w:hint="eastAsia"/>
                <w:color w:val="auto"/>
                <w:highlight w:val="none"/>
              </w:rPr>
              <w:t>原则等内容、进度计划及保证措施、质量保证措施；得</w:t>
            </w:r>
            <w:r>
              <w:rPr>
                <w:rFonts w:hint="eastAsia"/>
                <w:color w:val="auto"/>
                <w:highlight w:val="none"/>
                <w:lang w:val="en-US" w:eastAsia="zh-CN"/>
              </w:rPr>
              <w:t>10</w:t>
            </w:r>
            <w:r>
              <w:rPr>
                <w:rFonts w:hint="eastAsia"/>
                <w:color w:val="auto"/>
                <w:highlight w:val="none"/>
              </w:rPr>
              <w:t>分。</w:t>
            </w:r>
          </w:p>
          <w:p>
            <w:pPr>
              <w:pStyle w:val="13"/>
              <w:spacing w:after="0" w:line="400" w:lineRule="exact"/>
              <w:ind w:firstLine="420" w:firstLineChars="200"/>
              <w:rPr>
                <w:rFonts w:hint="eastAsia"/>
                <w:color w:val="auto"/>
                <w:highlight w:val="none"/>
              </w:rPr>
            </w:pPr>
            <w:r>
              <w:rPr>
                <w:rFonts w:hint="eastAsia"/>
                <w:color w:val="auto"/>
                <w:highlight w:val="none"/>
              </w:rPr>
              <w:t>三档：实施方案针对本项目采购需求，切合实际，内容明晰、简练，完全满足或优于本项目实施需求；实施方案符合实际；具有明确的现状与形势分析要点，且现状分析包含面临问题分析</w:t>
            </w:r>
            <w:r>
              <w:rPr>
                <w:rFonts w:hint="eastAsia"/>
                <w:color w:val="auto"/>
                <w:highlight w:val="none"/>
                <w:lang w:eastAsia="zh-CN"/>
              </w:rPr>
              <w:t>、</w:t>
            </w:r>
            <w:r>
              <w:rPr>
                <w:rFonts w:hint="eastAsia"/>
                <w:color w:val="auto"/>
                <w:highlight w:val="none"/>
              </w:rPr>
              <w:t>形势分析；具有主要</w:t>
            </w:r>
            <w:r>
              <w:rPr>
                <w:rFonts w:hint="eastAsia"/>
                <w:color w:val="auto"/>
                <w:highlight w:val="none"/>
                <w:lang w:eastAsia="zh-CN"/>
              </w:rPr>
              <w:t>工作</w:t>
            </w:r>
            <w:r>
              <w:rPr>
                <w:rFonts w:hint="eastAsia"/>
                <w:color w:val="auto"/>
                <w:highlight w:val="none"/>
              </w:rPr>
              <w:t>任务和内容的详细设想，包含</w:t>
            </w:r>
            <w:r>
              <w:rPr>
                <w:rFonts w:hint="eastAsia"/>
                <w:color w:val="auto"/>
                <w:highlight w:val="none"/>
                <w:lang w:eastAsia="zh-CN"/>
              </w:rPr>
              <w:t>工作</w:t>
            </w:r>
            <w:r>
              <w:rPr>
                <w:rFonts w:hint="eastAsia"/>
                <w:color w:val="auto"/>
                <w:highlight w:val="none"/>
              </w:rPr>
              <w:t>目标和要求、</w:t>
            </w:r>
            <w:r>
              <w:rPr>
                <w:rFonts w:hint="eastAsia"/>
                <w:color w:val="auto"/>
                <w:highlight w:val="none"/>
                <w:lang w:eastAsia="zh-CN"/>
              </w:rPr>
              <w:t>方案编制</w:t>
            </w:r>
            <w:r>
              <w:rPr>
                <w:rFonts w:hint="eastAsia"/>
                <w:color w:val="auto"/>
                <w:highlight w:val="none"/>
              </w:rPr>
              <w:t>原则、</w:t>
            </w:r>
            <w:r>
              <w:rPr>
                <w:rFonts w:hint="eastAsia"/>
                <w:color w:val="auto"/>
                <w:highlight w:val="none"/>
                <w:lang w:eastAsia="zh-CN"/>
              </w:rPr>
              <w:t>工作</w:t>
            </w:r>
            <w:r>
              <w:rPr>
                <w:rFonts w:hint="eastAsia"/>
                <w:color w:val="auto"/>
                <w:highlight w:val="none"/>
              </w:rPr>
              <w:t>主要内容等；进度计划符合采购需求、具有切实可行的进度保证及纠偏措施；质量保证措施满足国家、行业现行规定的，并能专家审核意见修改完善成果文件的；得</w:t>
            </w:r>
            <w:r>
              <w:rPr>
                <w:rFonts w:hint="eastAsia"/>
                <w:color w:val="auto"/>
                <w:highlight w:val="none"/>
                <w:lang w:val="en-US" w:eastAsia="zh-CN"/>
              </w:rPr>
              <w:t>15</w:t>
            </w:r>
            <w:r>
              <w:rPr>
                <w:rFonts w:hint="eastAsia"/>
                <w:color w:val="auto"/>
                <w:highlight w:val="none"/>
              </w:rPr>
              <w:t>分。</w:t>
            </w:r>
          </w:p>
          <w:p>
            <w:pPr>
              <w:pStyle w:val="14"/>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b/>
                <w:bCs/>
                <w:color w:val="auto"/>
                <w:szCs w:val="21"/>
                <w:highlight w:val="none"/>
              </w:rPr>
              <w:t>注：不满足最低档次要求的不得分。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562" w:type="dxa"/>
            <w:vMerge w:val="continue"/>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tcMar>
              <w:left w:w="57" w:type="dxa"/>
              <w:right w:w="57" w:type="dxa"/>
            </w:tcMar>
            <w:vAlign w:val="center"/>
          </w:tcPr>
          <w:p>
            <w:pPr>
              <w:tabs>
                <w:tab w:val="left" w:pos="7440"/>
              </w:tabs>
              <w:spacing w:line="360" w:lineRule="auto"/>
              <w:rPr>
                <w:rFonts w:ascii="宋体" w:hAnsi="宋体" w:cs="宋体"/>
                <w:b/>
                <w:bCs/>
                <w:color w:val="auto"/>
                <w:highlight w:val="none"/>
              </w:rPr>
            </w:pPr>
            <w:r>
              <w:rPr>
                <w:rFonts w:hint="eastAsia" w:ascii="宋体" w:hAnsi="宋体" w:cs="宋体"/>
                <w:b/>
                <w:bCs/>
                <w:color w:val="auto"/>
                <w:highlight w:val="none"/>
              </w:rPr>
              <w:t>后续服务的安排及保证措施（</w:t>
            </w:r>
            <w:r>
              <w:rPr>
                <w:rFonts w:hint="eastAsia" w:ascii="宋体" w:hAnsi="宋体" w:cs="宋体"/>
                <w:b/>
                <w:bCs/>
                <w:color w:val="auto"/>
                <w:highlight w:val="none"/>
                <w:lang w:eastAsia="zh-CN"/>
              </w:rPr>
              <w:t>满分</w:t>
            </w:r>
            <w:r>
              <w:rPr>
                <w:rFonts w:hint="eastAsia" w:ascii="宋体" w:hAnsi="宋体" w:cs="宋体"/>
                <w:b/>
                <w:bCs/>
                <w:color w:val="auto"/>
                <w:highlight w:val="none"/>
              </w:rPr>
              <w:t>3分）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5901" w:type="dxa"/>
            <w:vAlign w:val="center"/>
          </w:tcPr>
          <w:p>
            <w:pPr>
              <w:keepNext w:val="0"/>
              <w:keepLines w:val="0"/>
              <w:pageBreakBefore w:val="0"/>
              <w:widowControl w:val="0"/>
              <w:tabs>
                <w:tab w:val="left" w:pos="74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一档：后续服务方案提供有后续服务承诺、服务内容等内容，符合项目采购需求的；得1分。</w:t>
            </w:r>
          </w:p>
          <w:p>
            <w:pPr>
              <w:keepNext w:val="0"/>
              <w:keepLines w:val="0"/>
              <w:pageBreakBefore w:val="0"/>
              <w:widowControl w:val="0"/>
              <w:tabs>
                <w:tab w:val="left" w:pos="7440"/>
              </w:tabs>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highlight w:val="none"/>
              </w:rPr>
            </w:pPr>
            <w:r>
              <w:rPr>
                <w:rFonts w:hint="eastAsia" w:ascii="宋体" w:hAnsi="宋体" w:cs="宋体"/>
                <w:bCs/>
                <w:color w:val="auto"/>
                <w:highlight w:val="none"/>
              </w:rPr>
              <w:t>二档：在一档的基础上，后续服务方案提供有服务流程、有定期回访计划等内容，承诺在处理项目编制出现的问题时，2小时以内到达采购人办公地点主动解决问题的，得2分。</w:t>
            </w:r>
          </w:p>
          <w:p>
            <w:pPr>
              <w:keepNext w:val="0"/>
              <w:keepLines w:val="0"/>
              <w:pageBreakBefore w:val="0"/>
              <w:widowControl w:val="0"/>
              <w:tabs>
                <w:tab w:val="left" w:pos="744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auto"/>
                <w:highlight w:val="none"/>
              </w:rPr>
            </w:pPr>
            <w:r>
              <w:rPr>
                <w:rFonts w:hint="eastAsia" w:ascii="宋体" w:hAnsi="宋体" w:cs="宋体"/>
                <w:bCs/>
                <w:color w:val="auto"/>
                <w:highlight w:val="none"/>
              </w:rPr>
              <w:t>三档：在二档的基础上，后续服务方案提供拟投入本项目后续服务人员配置等内容；承诺在处理项目编制出现的问题时，1小时以内到达采购人办公地点主动解决问题的，得3分。</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b/>
                <w:color w:val="auto"/>
                <w:highlight w:val="none"/>
              </w:rPr>
              <w:t>注：不满足最低档次要求的不得分。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562" w:type="dxa"/>
            <w:vMerge w:val="restart"/>
            <w:vAlign w:val="center"/>
          </w:tcPr>
          <w:p>
            <w:pPr>
              <w:snapToGrid w:val="0"/>
              <w:spacing w:line="36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38</w:t>
            </w:r>
            <w:r>
              <w:rPr>
                <w:rFonts w:hint="eastAsia" w:ascii="宋体" w:hAnsi="宋体" w:eastAsia="宋体" w:cs="宋体"/>
                <w:bCs/>
                <w:color w:val="auto"/>
                <w:kern w:val="0"/>
                <w:sz w:val="21"/>
                <w:szCs w:val="21"/>
                <w:highlight w:val="none"/>
                <w:lang w:val="en-US" w:eastAsia="zh-CN" w:bidi="ar-SA"/>
              </w:rPr>
              <w:t>分）</w:t>
            </w:r>
          </w:p>
        </w:tc>
        <w:tc>
          <w:tcPr>
            <w:tcW w:w="1460" w:type="dxa"/>
            <w:vAlign w:val="center"/>
          </w:tcPr>
          <w:p>
            <w:pPr>
              <w:snapToGrid w:val="0"/>
              <w:spacing w:line="360" w:lineRule="atLeast"/>
              <w:jc w:val="both"/>
              <w:rPr>
                <w:rFonts w:hint="eastAsia" w:ascii="宋体" w:hAnsi="宋体" w:eastAsia="宋体" w:cs="宋体"/>
                <w:bCs/>
                <w:color w:val="auto"/>
                <w:kern w:val="0"/>
                <w:sz w:val="21"/>
                <w:szCs w:val="21"/>
                <w:highlight w:val="none"/>
                <w:lang w:val="en-US" w:eastAsia="zh-CN" w:bidi="ar-SA"/>
              </w:rPr>
            </w:pPr>
            <w:r>
              <w:rPr>
                <w:rFonts w:hint="eastAsia" w:ascii="宋体" w:hAnsi="宋体" w:cs="宋体"/>
                <w:b/>
                <w:bCs/>
                <w:color w:val="auto"/>
                <w:highlight w:val="none"/>
              </w:rPr>
              <w:t>项目机构人员配置分（</w:t>
            </w:r>
            <w:r>
              <w:rPr>
                <w:rFonts w:hint="eastAsia" w:ascii="宋体" w:hAnsi="宋体" w:cs="宋体"/>
                <w:b/>
                <w:bCs/>
                <w:color w:val="auto"/>
                <w:highlight w:val="none"/>
                <w:lang w:eastAsia="zh-CN"/>
              </w:rPr>
              <w:t>满分</w:t>
            </w:r>
            <w:r>
              <w:rPr>
                <w:rFonts w:hint="eastAsia" w:ascii="宋体" w:hAnsi="宋体" w:cs="宋体"/>
                <w:b/>
                <w:bCs/>
                <w:color w:val="auto"/>
                <w:highlight w:val="none"/>
                <w:lang w:val="en-US" w:eastAsia="zh-CN"/>
              </w:rPr>
              <w:t>18</w:t>
            </w:r>
            <w:r>
              <w:rPr>
                <w:rFonts w:hint="eastAsia" w:ascii="宋体" w:hAnsi="宋体" w:cs="宋体"/>
                <w:b/>
                <w:bCs/>
                <w:color w:val="auto"/>
                <w:highlight w:val="none"/>
              </w:rPr>
              <w:t>分）</w:t>
            </w:r>
          </w:p>
        </w:tc>
        <w:tc>
          <w:tcPr>
            <w:tcW w:w="5901" w:type="dxa"/>
            <w:vAlign w:val="top"/>
          </w:tcPr>
          <w:p>
            <w:pPr>
              <w:snapToGrid w:val="0"/>
              <w:spacing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（1）项目负责人（满分2分）：拟投入的项目负责人具有水利水电工程类</w:t>
            </w:r>
            <w:r>
              <w:rPr>
                <w:rFonts w:hint="eastAsia" w:ascii="宋体" w:hAnsi="宋体" w:cs="宋体"/>
                <w:bCs/>
                <w:color w:val="auto"/>
                <w:highlight w:val="none"/>
                <w:lang w:eastAsia="zh-CN"/>
              </w:rPr>
              <w:t>专业</w:t>
            </w:r>
            <w:r>
              <w:rPr>
                <w:rFonts w:hint="eastAsia" w:ascii="宋体" w:hAnsi="宋体" w:cs="宋体"/>
                <w:bCs/>
                <w:color w:val="auto"/>
                <w:highlight w:val="none"/>
              </w:rPr>
              <w:t>高级职称的得2分。其他不得分。</w:t>
            </w:r>
          </w:p>
          <w:p>
            <w:pPr>
              <w:snapToGrid w:val="0"/>
              <w:spacing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（2）拟投入本项目的其他人员中（除项目负责人外）（满分16分）：</w:t>
            </w:r>
          </w:p>
          <w:p>
            <w:pPr>
              <w:snapToGrid w:val="0"/>
              <w:spacing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1）职称（满分10分）：</w:t>
            </w:r>
          </w:p>
          <w:p>
            <w:pPr>
              <w:snapToGrid w:val="0"/>
              <w:spacing w:line="400" w:lineRule="exact"/>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rPr>
              <w:t>每增加1名具有水利水电类专业副高级职称（高级工程师）职称的，每人得1分；满分</w:t>
            </w:r>
            <w:r>
              <w:rPr>
                <w:rFonts w:hint="eastAsia" w:ascii="宋体" w:hAnsi="宋体" w:cs="宋体"/>
                <w:bCs/>
                <w:color w:val="auto"/>
                <w:highlight w:val="none"/>
                <w:lang w:val="en-US" w:eastAsia="zh-CN"/>
              </w:rPr>
              <w:t>4</w:t>
            </w:r>
            <w:r>
              <w:rPr>
                <w:rFonts w:hint="eastAsia" w:ascii="宋体" w:hAnsi="宋体" w:cs="宋体"/>
                <w:bCs/>
                <w:color w:val="auto"/>
                <w:highlight w:val="none"/>
              </w:rPr>
              <w:t>分。</w:t>
            </w:r>
          </w:p>
          <w:p>
            <w:pPr>
              <w:snapToGrid w:val="0"/>
              <w:spacing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每增加1名具有水利水电类专业正（或教授级）高级职称的，每人得</w:t>
            </w:r>
            <w:r>
              <w:rPr>
                <w:rFonts w:hint="eastAsia" w:ascii="宋体" w:hAnsi="宋体" w:cs="宋体"/>
                <w:bCs/>
                <w:color w:val="auto"/>
                <w:highlight w:val="none"/>
                <w:lang w:eastAsia="zh-CN"/>
              </w:rPr>
              <w:t>2</w:t>
            </w:r>
            <w:r>
              <w:rPr>
                <w:rFonts w:hint="eastAsia" w:ascii="宋体" w:hAnsi="宋体" w:cs="宋体"/>
                <w:bCs/>
                <w:color w:val="auto"/>
                <w:highlight w:val="none"/>
              </w:rPr>
              <w:t>分</w:t>
            </w:r>
            <w:r>
              <w:rPr>
                <w:rFonts w:hint="eastAsia" w:ascii="宋体" w:hAnsi="宋体" w:cs="宋体"/>
                <w:bCs/>
                <w:color w:val="auto"/>
                <w:highlight w:val="none"/>
                <w:lang w:eastAsia="zh-CN"/>
              </w:rPr>
              <w:t>；</w:t>
            </w:r>
            <w:r>
              <w:rPr>
                <w:rFonts w:hint="eastAsia" w:ascii="宋体" w:hAnsi="宋体" w:cs="宋体"/>
                <w:bCs/>
                <w:color w:val="auto"/>
                <w:highlight w:val="none"/>
              </w:rPr>
              <w:t>满分</w:t>
            </w:r>
            <w:r>
              <w:rPr>
                <w:rFonts w:hint="eastAsia" w:ascii="宋体" w:hAnsi="宋体" w:cs="宋体"/>
                <w:bCs/>
                <w:color w:val="auto"/>
                <w:highlight w:val="none"/>
                <w:lang w:eastAsia="zh-CN"/>
              </w:rPr>
              <w:t>6</w:t>
            </w:r>
            <w:r>
              <w:rPr>
                <w:rFonts w:hint="eastAsia" w:ascii="宋体" w:hAnsi="宋体" w:cs="宋体"/>
                <w:bCs/>
                <w:color w:val="auto"/>
                <w:highlight w:val="none"/>
              </w:rPr>
              <w:t>分。</w:t>
            </w:r>
          </w:p>
          <w:p>
            <w:pPr>
              <w:snapToGrid w:val="0"/>
              <w:spacing w:line="400" w:lineRule="exact"/>
              <w:ind w:firstLine="420" w:firstLineChars="200"/>
              <w:rPr>
                <w:rFonts w:hint="eastAsia" w:ascii="宋体" w:hAnsi="宋体" w:cs="宋体"/>
                <w:bCs/>
                <w:color w:val="auto"/>
                <w:highlight w:val="none"/>
                <w:lang w:eastAsia="zh-CN"/>
              </w:rPr>
            </w:pPr>
            <w:r>
              <w:rPr>
                <w:rFonts w:hint="eastAsia" w:ascii="宋体" w:hAnsi="宋体" w:cs="宋体"/>
                <w:bCs/>
                <w:color w:val="auto"/>
                <w:highlight w:val="none"/>
                <w:lang w:eastAsia="zh-CN"/>
              </w:rPr>
              <w:t>备注：</w:t>
            </w:r>
            <w:r>
              <w:rPr>
                <w:rFonts w:hint="eastAsia" w:ascii="宋体" w:hAnsi="宋体" w:cs="宋体"/>
                <w:bCs/>
                <w:color w:val="auto"/>
                <w:highlight w:val="none"/>
              </w:rPr>
              <w:t>专业以技术职称证书所填写专业为准，如技术职称证书不填写专业的，则以毕业证书或执业资格证所填专业为准</w:t>
            </w:r>
            <w:r>
              <w:rPr>
                <w:rFonts w:hint="eastAsia" w:ascii="宋体" w:hAnsi="宋体" w:cs="宋体"/>
                <w:bCs/>
                <w:color w:val="auto"/>
                <w:highlight w:val="none"/>
                <w:lang w:eastAsia="zh-CN"/>
              </w:rPr>
              <w:t>。</w:t>
            </w:r>
          </w:p>
          <w:p>
            <w:pPr>
              <w:snapToGrid w:val="0"/>
              <w:spacing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2）执业资格（6分）：每有1名具有水利水电类专业的相关执业资格人员（</w:t>
            </w:r>
            <w:r>
              <w:rPr>
                <w:rFonts w:hint="eastAsia" w:ascii="宋体" w:hAnsi="宋体" w:eastAsia="宋体" w:cs="宋体"/>
                <w:color w:val="auto"/>
                <w:sz w:val="21"/>
                <w:szCs w:val="21"/>
                <w:highlight w:val="none"/>
                <w:lang w:val="en-US" w:eastAsia="zh-CN"/>
              </w:rPr>
              <w:t>职业资格证书以人力资源社会保障部公布2021年版《国家职业资格目录》为准</w:t>
            </w:r>
            <w:r>
              <w:rPr>
                <w:rFonts w:hint="eastAsia" w:ascii="宋体" w:hAnsi="宋体" w:cs="宋体"/>
                <w:bCs/>
                <w:color w:val="auto"/>
                <w:highlight w:val="none"/>
              </w:rPr>
              <w:t>），每人得1分，最多得6分。</w:t>
            </w:r>
          </w:p>
          <w:p>
            <w:pPr>
              <w:snapToGrid w:val="0"/>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注：</w:t>
            </w:r>
            <w:r>
              <w:rPr>
                <w:rFonts w:hint="eastAsia" w:ascii="宋体" w:hAnsi="宋体" w:eastAsia="宋体" w:cs="宋体"/>
                <w:bCs/>
                <w:color w:val="auto"/>
                <w:highlight w:val="none"/>
              </w:rPr>
              <w:t>提供相关技术人员的职称证书复印件（要求证书需是具有省级及以上人力资源和社会保障部门用印的）</w:t>
            </w:r>
            <w:r>
              <w:rPr>
                <w:rFonts w:hint="eastAsia" w:ascii="宋体" w:hAnsi="宋体" w:cs="宋体"/>
                <w:bCs/>
                <w:color w:val="auto"/>
                <w:highlight w:val="none"/>
                <w:lang w:eastAsia="zh-CN"/>
              </w:rPr>
              <w:t>或</w:t>
            </w:r>
            <w:r>
              <w:rPr>
                <w:rFonts w:hint="eastAsia" w:ascii="宋体" w:hAnsi="宋体" w:cs="宋体"/>
                <w:bCs/>
                <w:color w:val="auto"/>
                <w:highlight w:val="none"/>
              </w:rPr>
              <w:t>执业资格</w:t>
            </w:r>
            <w:r>
              <w:rPr>
                <w:rFonts w:hint="eastAsia" w:ascii="宋体" w:hAnsi="宋体" w:cs="宋体"/>
                <w:bCs/>
                <w:color w:val="auto"/>
                <w:highlight w:val="none"/>
                <w:lang w:eastAsia="zh-CN"/>
              </w:rPr>
              <w:t>证书或注册证书，劳动合同或投标人</w:t>
            </w:r>
            <w:r>
              <w:rPr>
                <w:rFonts w:hint="eastAsia" w:ascii="宋体" w:hAnsi="宋体" w:eastAsia="宋体" w:cs="宋体"/>
                <w:bCs/>
                <w:color w:val="auto"/>
                <w:highlight w:val="none"/>
              </w:rPr>
              <w:t>为其发放工资的银行流水证明或</w:t>
            </w:r>
            <w:r>
              <w:rPr>
                <w:rFonts w:hint="eastAsia" w:ascii="宋体" w:hAnsi="宋体" w:cs="宋体"/>
                <w:bCs/>
                <w:color w:val="auto"/>
                <w:highlight w:val="none"/>
                <w:lang w:eastAsia="zh-CN"/>
              </w:rPr>
              <w:t>投标人</w:t>
            </w:r>
            <w:r>
              <w:rPr>
                <w:rFonts w:hint="eastAsia" w:ascii="宋体" w:hAnsi="宋体" w:eastAsia="宋体" w:cs="宋体"/>
                <w:bCs/>
                <w:color w:val="auto"/>
                <w:highlight w:val="none"/>
              </w:rPr>
              <w:t>代缴个人所得税证明，</w:t>
            </w:r>
            <w:r>
              <w:rPr>
                <w:rFonts w:hint="eastAsia" w:ascii="宋体" w:hAnsi="宋体" w:eastAsia="宋体" w:cs="宋体"/>
                <w:bCs/>
                <w:color w:val="auto"/>
                <w:highlight w:val="none"/>
                <w:lang w:eastAsia="zh-CN"/>
              </w:rPr>
              <w:t>并加盖</w:t>
            </w:r>
            <w:r>
              <w:rPr>
                <w:rFonts w:hint="eastAsia" w:ascii="宋体" w:hAnsi="宋体" w:cs="宋体"/>
                <w:bCs/>
                <w:color w:val="auto"/>
                <w:highlight w:val="none"/>
                <w:lang w:eastAsia="zh-CN"/>
              </w:rPr>
              <w:t>投标人</w:t>
            </w:r>
            <w:r>
              <w:rPr>
                <w:rFonts w:hint="eastAsia" w:ascii="宋体" w:hAnsi="宋体" w:eastAsia="宋体" w:cs="宋体"/>
                <w:bCs/>
                <w:color w:val="auto"/>
                <w:highlight w:val="none"/>
                <w:lang w:eastAsia="zh-CN"/>
              </w:rPr>
              <w:t>公章，</w:t>
            </w:r>
            <w:r>
              <w:rPr>
                <w:rFonts w:hint="eastAsia" w:ascii="宋体" w:hAnsi="宋体" w:eastAsia="宋体" w:cs="宋体"/>
                <w:bCs/>
                <w:color w:val="auto"/>
                <w:highlight w:val="none"/>
              </w:rPr>
              <w:t>方可取得相应分值。人员专业以毕业证或职称证或执业资格证或注册证所载的专业为准，</w:t>
            </w:r>
            <w:r>
              <w:rPr>
                <w:rFonts w:hint="eastAsia" w:ascii="宋体" w:hAnsi="宋体" w:eastAsia="宋体" w:cs="宋体"/>
                <w:bCs/>
                <w:color w:val="auto"/>
                <w:highlight w:val="none"/>
                <w:lang w:eastAsia="zh-CN"/>
              </w:rPr>
              <w:t>如职称证书未载明专业的可</w:t>
            </w:r>
            <w:r>
              <w:rPr>
                <w:rFonts w:hint="eastAsia" w:ascii="宋体" w:hAnsi="宋体" w:eastAsia="宋体" w:cs="宋体"/>
                <w:bCs/>
                <w:color w:val="auto"/>
                <w:highlight w:val="none"/>
              </w:rPr>
              <w:t>提供有效的学历证明</w:t>
            </w:r>
            <w:r>
              <w:rPr>
                <w:rFonts w:hint="eastAsia" w:ascii="宋体" w:hAnsi="宋体" w:eastAsia="宋体" w:cs="宋体"/>
                <w:bCs/>
                <w:color w:val="auto"/>
                <w:highlight w:val="none"/>
                <w:lang w:eastAsia="zh-CN"/>
              </w:rPr>
              <w:t>或</w:t>
            </w:r>
            <w:r>
              <w:rPr>
                <w:rFonts w:hint="eastAsia" w:ascii="宋体" w:hAnsi="宋体" w:eastAsia="宋体" w:cs="宋体"/>
                <w:bCs/>
                <w:color w:val="auto"/>
                <w:highlight w:val="none"/>
              </w:rPr>
              <w:t>注册执业资格证或注册证复印件。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562" w:type="dxa"/>
            <w:vMerge w:val="continue"/>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vAlign w:val="center"/>
          </w:tcPr>
          <w:p>
            <w:pPr>
              <w:tabs>
                <w:tab w:val="left" w:pos="7440"/>
              </w:tabs>
              <w:spacing w:line="360" w:lineRule="auto"/>
              <w:jc w:val="center"/>
              <w:rPr>
                <w:rFonts w:ascii="宋体" w:hAnsi="宋体" w:cs="仿宋_GB2312"/>
                <w:b/>
                <w:bCs/>
                <w:color w:val="auto"/>
                <w:szCs w:val="21"/>
                <w:highlight w:val="none"/>
              </w:rPr>
            </w:pPr>
            <w:r>
              <w:rPr>
                <w:rFonts w:hint="eastAsia" w:ascii="宋体" w:hAnsi="宋体" w:cs="仿宋_GB2312"/>
                <w:b/>
                <w:bCs/>
                <w:color w:val="auto"/>
                <w:szCs w:val="21"/>
                <w:highlight w:val="none"/>
              </w:rPr>
              <w:t>投标人荣誉</w:t>
            </w:r>
          </w:p>
          <w:p>
            <w:pPr>
              <w:tabs>
                <w:tab w:val="left" w:pos="7440"/>
              </w:tabs>
              <w:spacing w:line="36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仿宋_GB2312"/>
                <w:b/>
                <w:bCs/>
                <w:color w:val="auto"/>
                <w:szCs w:val="21"/>
                <w:highlight w:val="none"/>
              </w:rPr>
              <w:t>（</w:t>
            </w:r>
            <w:r>
              <w:rPr>
                <w:rFonts w:hint="eastAsia" w:ascii="宋体" w:hAnsi="宋体" w:cs="仿宋_GB2312"/>
                <w:b/>
                <w:bCs/>
                <w:color w:val="auto"/>
                <w:szCs w:val="21"/>
                <w:highlight w:val="none"/>
                <w:lang w:eastAsia="zh-CN"/>
              </w:rPr>
              <w:t>满分</w:t>
            </w:r>
            <w:r>
              <w:rPr>
                <w:rFonts w:hint="eastAsia" w:ascii="宋体" w:hAnsi="宋体" w:cs="仿宋_GB2312"/>
                <w:b/>
                <w:bCs/>
                <w:color w:val="auto"/>
                <w:szCs w:val="21"/>
                <w:highlight w:val="none"/>
                <w:lang w:val="en-US" w:eastAsia="zh-CN"/>
              </w:rPr>
              <w:t>10</w:t>
            </w:r>
            <w:r>
              <w:rPr>
                <w:rFonts w:hint="eastAsia" w:ascii="宋体" w:hAnsi="宋体" w:cs="仿宋_GB2312"/>
                <w:b/>
                <w:bCs/>
                <w:color w:val="auto"/>
                <w:szCs w:val="21"/>
                <w:highlight w:val="none"/>
              </w:rPr>
              <w:t>分）</w:t>
            </w:r>
          </w:p>
        </w:tc>
        <w:tc>
          <w:tcPr>
            <w:tcW w:w="5901" w:type="dxa"/>
            <w:vAlign w:val="top"/>
          </w:tcPr>
          <w:p>
            <w:pPr>
              <w:tabs>
                <w:tab w:val="left" w:pos="744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rPr>
              <w:t>2021年月1日1日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w:t>
            </w:r>
            <w:r>
              <w:rPr>
                <w:rFonts w:hint="eastAsia" w:ascii="宋体" w:hAnsi="宋体" w:eastAsia="宋体" w:cs="宋体"/>
                <w:bCs/>
                <w:color w:val="auto"/>
                <w:highlight w:val="none"/>
              </w:rPr>
              <w:t>，投标人</w:t>
            </w:r>
            <w:r>
              <w:rPr>
                <w:rFonts w:hint="eastAsia" w:ascii="宋体" w:hAnsi="宋体" w:eastAsia="宋体"/>
                <w:color w:val="auto"/>
                <w:highlight w:val="none"/>
              </w:rPr>
              <w:t>（如是联合体投标的，指联合体任意一方）</w:t>
            </w:r>
            <w:r>
              <w:rPr>
                <w:rFonts w:hint="eastAsia" w:ascii="宋体" w:hAnsi="宋体" w:eastAsia="宋体" w:cs="宋体"/>
                <w:bCs/>
                <w:color w:val="auto"/>
                <w:highlight w:val="none"/>
              </w:rPr>
              <w:t>获得水利项目技术服务类相关奖项的，每项得1分，满分10分。提供获奖证书复印件或证明材料复印件并加盖</w:t>
            </w:r>
            <w:r>
              <w:rPr>
                <w:rFonts w:hint="eastAsia" w:ascii="宋体" w:hAnsi="宋体" w:cs="宋体"/>
                <w:bCs/>
                <w:color w:val="auto"/>
                <w:highlight w:val="none"/>
                <w:lang w:eastAsia="zh-CN"/>
              </w:rPr>
              <w:t>投标人</w:t>
            </w:r>
            <w:r>
              <w:rPr>
                <w:rFonts w:hint="eastAsia" w:ascii="宋体" w:hAnsi="宋体" w:eastAsia="宋体" w:cs="宋体"/>
                <w:bCs/>
                <w:color w:val="auto"/>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562" w:type="dxa"/>
            <w:vMerge w:val="continue"/>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vAlign w:val="center"/>
          </w:tcPr>
          <w:p>
            <w:pPr>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lang w:val="en-US" w:eastAsia="zh-CN" w:bidi="ar-SA"/>
              </w:rPr>
              <w:t>分）</w:t>
            </w:r>
          </w:p>
        </w:tc>
        <w:tc>
          <w:tcPr>
            <w:tcW w:w="5901" w:type="dxa"/>
            <w:vAlign w:val="top"/>
          </w:tcPr>
          <w:p>
            <w:pPr>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olor w:val="auto"/>
                <w:highlight w:val="none"/>
              </w:rPr>
              <w:t>（如是联合体投标的，指联合体任意一方）</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的（如</w:t>
            </w:r>
            <w:r>
              <w:rPr>
                <w:rFonts w:hint="eastAsia" w:ascii="宋体" w:hAnsi="宋体" w:eastAsia="宋体"/>
                <w:color w:val="auto"/>
                <w:highlight w:val="none"/>
              </w:rPr>
              <w:t>水利工程服务类项目规划或评估、评价、实施方案编制</w:t>
            </w:r>
            <w:r>
              <w:rPr>
                <w:rFonts w:hint="eastAsia" w:ascii="宋体" w:hAnsi="宋体" w:eastAsia="宋体"/>
                <w:color w:val="auto"/>
                <w:highlight w:val="none"/>
                <w:lang w:eastAsia="zh-CN"/>
              </w:rPr>
              <w:t>、</w:t>
            </w:r>
            <w:r>
              <w:rPr>
                <w:rFonts w:hint="eastAsia" w:ascii="宋体" w:hAnsi="宋体" w:cs="宋体"/>
                <w:color w:val="auto"/>
                <w:szCs w:val="21"/>
                <w:highlight w:val="none"/>
              </w:rPr>
              <w:t>水利工程项目监管或监测类项目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，每项得</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cs="宋体"/>
                <w:b/>
                <w:bCs/>
                <w:color w:val="auto"/>
                <w:szCs w:val="21"/>
                <w:highlight w:val="none"/>
                <w:lang w:val="en-US" w:eastAsia="zh-CN"/>
              </w:rPr>
              <w:t>前</w:t>
            </w:r>
            <w:r>
              <w:rPr>
                <w:rFonts w:hint="eastAsia" w:ascii="宋体" w:hAnsi="宋体" w:cs="宋体"/>
                <w:b/>
                <w:bCs/>
                <w:color w:val="auto"/>
                <w:szCs w:val="21"/>
                <w:highlight w:val="none"/>
                <w:lang w:eastAsia="zh-CN"/>
              </w:rPr>
              <w:t>述类似项目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并加盖投标人公章，未按要求提供的不得分。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508" w:type="dxa"/>
            <w:gridSpan w:val="4"/>
            <w:vAlign w:val="center"/>
          </w:tcPr>
          <w:p>
            <w:pPr>
              <w:pStyle w:val="14"/>
              <w:snapToGrid w:val="0"/>
              <w:spacing w:line="36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总得分=1+2+3</w:t>
            </w:r>
          </w:p>
        </w:tc>
      </w:tr>
    </w:tbl>
    <w:p>
      <w:pPr>
        <w:rPr>
          <w:rFonts w:hint="eastAsia"/>
          <w:color w:val="auto"/>
          <w:highlight w:val="none"/>
          <w:lang w:eastAsia="zh-CN"/>
        </w:rPr>
      </w:pPr>
    </w:p>
    <w:p>
      <w:pPr>
        <w:pStyle w:val="4"/>
        <w:jc w:val="center"/>
        <w:rPr>
          <w:rFonts w:hint="eastAsia" w:cs="Times New Roman"/>
          <w:b w:val="0"/>
          <w:color w:val="auto"/>
          <w:sz w:val="30"/>
          <w:szCs w:val="30"/>
          <w:highlight w:val="none"/>
        </w:rPr>
      </w:pPr>
      <w:bookmarkStart w:id="306" w:name="_Toc18582"/>
      <w:bookmarkStart w:id="307" w:name="_Toc12855"/>
      <w:bookmarkStart w:id="308" w:name="_Toc20313"/>
      <w:bookmarkStart w:id="309" w:name="_Toc23906"/>
      <w:bookmarkStart w:id="310" w:name="_Toc16466"/>
      <w:bookmarkStart w:id="311" w:name="_Toc11083"/>
      <w:bookmarkStart w:id="312" w:name="_Toc2202"/>
      <w:bookmarkStart w:id="313" w:name="_Toc15061"/>
      <w:bookmarkStart w:id="314" w:name="_Toc10751"/>
      <w:bookmarkStart w:id="315" w:name="_Toc9480"/>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06"/>
      <w:bookmarkEnd w:id="307"/>
      <w:bookmarkEnd w:id="308"/>
      <w:bookmarkEnd w:id="309"/>
      <w:bookmarkEnd w:id="310"/>
      <w:bookmarkEnd w:id="311"/>
      <w:bookmarkEnd w:id="312"/>
      <w:bookmarkEnd w:id="313"/>
      <w:bookmarkEnd w:id="314"/>
      <w:bookmarkEnd w:id="315"/>
    </w:p>
    <w:p>
      <w:pPr>
        <w:pStyle w:val="14"/>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得分相同且投标报价相同的并列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pPr>
        <w:pStyle w:val="4"/>
        <w:spacing w:before="0" w:after="0" w:line="360" w:lineRule="auto"/>
        <w:ind w:firstLine="600" w:firstLineChars="200"/>
        <w:jc w:val="center"/>
        <w:rPr>
          <w:rFonts w:hint="eastAsia" w:cs="Times New Roman"/>
          <w:b w:val="0"/>
          <w:color w:val="auto"/>
          <w:sz w:val="30"/>
          <w:szCs w:val="30"/>
          <w:highlight w:val="none"/>
        </w:rPr>
      </w:pPr>
      <w:bookmarkStart w:id="316" w:name="_Toc27419"/>
      <w:bookmarkStart w:id="317" w:name="_Toc22384"/>
      <w:bookmarkStart w:id="318" w:name="_Toc11073"/>
      <w:bookmarkStart w:id="319" w:name="_Toc13625"/>
      <w:bookmarkStart w:id="320" w:name="_Toc7971"/>
      <w:bookmarkStart w:id="321" w:name="_Toc29218"/>
      <w:bookmarkStart w:id="322" w:name="_Toc9602"/>
      <w:bookmarkStart w:id="323" w:name="_Toc11545"/>
      <w:bookmarkStart w:id="324" w:name="_Toc13808"/>
      <w:bookmarkStart w:id="325" w:name="_Toc11695"/>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6"/>
      <w:bookmarkEnd w:id="317"/>
      <w:bookmarkEnd w:id="318"/>
      <w:bookmarkEnd w:id="319"/>
      <w:bookmarkEnd w:id="320"/>
      <w:bookmarkEnd w:id="321"/>
      <w:bookmarkEnd w:id="322"/>
      <w:bookmarkEnd w:id="323"/>
      <w:bookmarkEnd w:id="324"/>
      <w:bookmarkEnd w:id="325"/>
    </w:p>
    <w:p>
      <w:pPr>
        <w:pStyle w:val="3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4"/>
        <w:tabs>
          <w:tab w:val="left" w:pos="2472"/>
        </w:tabs>
        <w:spacing w:line="460" w:lineRule="exact"/>
        <w:jc w:val="center"/>
        <w:rPr>
          <w:rFonts w:hint="eastAsia"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26" w:name="_Toc20993"/>
      <w:bookmarkStart w:id="327" w:name="_Toc29347"/>
      <w:bookmarkStart w:id="328" w:name="_Toc27014"/>
      <w:bookmarkStart w:id="329" w:name="_Toc3422"/>
      <w:bookmarkStart w:id="330" w:name="_Toc9012"/>
      <w:bookmarkStart w:id="331" w:name="_Toc7167"/>
      <w:bookmarkStart w:id="332" w:name="_Toc3838"/>
      <w:bookmarkStart w:id="333" w:name="_Toc32021"/>
      <w:bookmarkStart w:id="334" w:name="_Toc9058"/>
      <w:bookmarkStart w:id="335" w:name="_Toc17049"/>
      <w:bookmarkStart w:id="336" w:name="_Toc26262"/>
      <w:bookmarkStart w:id="337" w:name="_Toc31791"/>
      <w:bookmarkStart w:id="338" w:name="_Toc25572"/>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6"/>
      <w:bookmarkEnd w:id="327"/>
      <w:bookmarkEnd w:id="328"/>
      <w:bookmarkEnd w:id="329"/>
      <w:bookmarkEnd w:id="330"/>
      <w:bookmarkEnd w:id="331"/>
      <w:bookmarkEnd w:id="332"/>
      <w:bookmarkEnd w:id="333"/>
      <w:bookmarkEnd w:id="334"/>
      <w:bookmarkEnd w:id="335"/>
      <w:bookmarkEnd w:id="336"/>
      <w:bookmarkEnd w:id="337"/>
      <w:bookmarkEnd w:id="338"/>
    </w:p>
    <w:p>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line="400" w:lineRule="exact"/>
        <w:jc w:val="center"/>
        <w:rPr>
          <w:rFonts w:hint="eastAsia" w:ascii="宋体" w:hAnsi="宋体" w:eastAsia="宋体" w:cs="宋体"/>
          <w:b/>
          <w:bCs/>
          <w:color w:val="auto"/>
          <w:sz w:val="32"/>
          <w:szCs w:val="32"/>
          <w:highlight w:val="none"/>
        </w:rPr>
      </w:pPr>
    </w:p>
    <w:p>
      <w:pP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pPr>
        <w:spacing w:line="520" w:lineRule="exact"/>
        <w:rPr>
          <w:rFonts w:hint="eastAsia" w:ascii="宋体" w:hAnsi="宋体" w:eastAsia="宋体" w:cs="宋体"/>
          <w:b/>
          <w:color w:val="auto"/>
          <w:sz w:val="32"/>
          <w:szCs w:val="32"/>
          <w:highlight w:val="none"/>
        </w:rPr>
      </w:pPr>
    </w:p>
    <w:p>
      <w:pP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pP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》等法律、法规规定，按照招标文件规定条款和乙方投标文件及其承诺，甲乙双方签订本合同。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（详见附件中的开标一览表）</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w:t>
      </w:r>
      <w:r>
        <w:rPr>
          <w:rFonts w:hint="eastAsia"/>
          <w:color w:val="auto"/>
          <w:highlight w:val="none"/>
        </w:rPr>
        <w:t>是履行合同的最终价格，</w:t>
      </w:r>
      <w:r>
        <w:rPr>
          <w:rFonts w:hint="eastAsia" w:ascii="宋体" w:hAnsi="宋体" w:eastAsia="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第二条　质量</w:t>
      </w:r>
      <w:r>
        <w:rPr>
          <w:rFonts w:hint="eastAsia" w:ascii="宋体" w:hAnsi="宋体" w:eastAsia="宋体" w:cs="宋体"/>
          <w:b/>
          <w:color w:val="auto"/>
          <w:szCs w:val="21"/>
          <w:highlight w:val="none"/>
          <w:lang w:eastAsia="zh-CN"/>
        </w:rPr>
        <w:t>要求</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2、没有甲方事先书面同意，乙方不得将由甲方提供的有关合同或者任何合同条文、规格、计划、图纸、样品或者资料提供给与履行本合同无关的任何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起至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2、乙方应按投标文件的承诺向甲方提供相应的服务，并提供所服务内容的相关技术资料。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3、乙方提供不符合投标文件和本合同规定的服务成果，甲方有权拒绝接受。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售后服务及培训</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1、乙方应按照国家有关法律法规和本合同所附的《售后服务承诺》要求为甲方提供相应的售后服务。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（1）合同签订后</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个工作日内，</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lang w:eastAsia="zh-CN"/>
        </w:rPr>
        <w:t>向</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lang w:eastAsia="zh-CN"/>
        </w:rPr>
        <w:t>支付合同款的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w:t>
      </w:r>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（2）余款由</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lang w:eastAsia="zh-CN"/>
        </w:rPr>
        <w:t>视工作开展情况及预算执行情况（其中2024年度支付合同款项不超过300.00万元）支付。</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lang w:eastAsia="zh-CN"/>
        </w:rPr>
        <w:t xml:space="preserve">提交所有成果并通过采购项目审查及验收后 </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个工作日内，</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lang w:eastAsia="zh-CN"/>
        </w:rPr>
        <w:t>向</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lang w:eastAsia="zh-CN"/>
        </w:rPr>
        <w:t>支付合同余款。</w:t>
      </w:r>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lang w:eastAsia="zh-CN"/>
        </w:rPr>
        <w:t>每支付一笔款项前，</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lang w:eastAsia="zh-CN"/>
        </w:rPr>
        <w:t>必须提供相应数额的增值税发票（若为联合体中标，联合体各方必须分别提供相应数额的增值税发票）。</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pP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pPr>
        <w:autoSpaceDE w:val="0"/>
        <w:autoSpaceDN w:val="0"/>
        <w:snapToGrid w:val="0"/>
        <w:spacing w:line="360" w:lineRule="auto"/>
        <w:ind w:firstLine="422" w:firstLineChars="200"/>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3、甲方延期付款的，每天向乙方偿付延期款额3‰滞纳金，但滞纳金累计不得超过延期款额5%。</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委托代理人签字并加盖单位公章后生效（委托代理人签字的需后附法定代表人授权委托书，格式自拟）。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本合同书与下列文件一起构成合同文件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、商务条款偏离表和服务要求偏离表；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采购需求</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1"/>
        <w:tblpPr w:leftFromText="180" w:rightFromText="180" w:vertAnchor="text" w:horzAnchor="margin" w:tblpXSpec="center" w:tblpY="214"/>
        <w:tblW w:w="9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jc w:val="right"/>
              <w:rPr>
                <w:rFonts w:hint="eastAsia" w:ascii="宋体" w:hAnsi="宋体" w:eastAsia="宋体" w:cs="宋体"/>
                <w:color w:val="auto"/>
                <w:szCs w:val="21"/>
                <w:highlight w:val="none"/>
              </w:rPr>
            </w:pPr>
          </w:p>
          <w:p>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pPr>
        <w:snapToGrid w:val="0"/>
        <w:jc w:val="center"/>
        <w:rPr>
          <w:rFonts w:hint="eastAsia" w:ascii="宋体" w:hAnsi="宋体" w:eastAsia="宋体" w:cs="宋体"/>
          <w:b/>
          <w:bCs/>
          <w:color w:val="auto"/>
          <w:sz w:val="32"/>
          <w:szCs w:val="32"/>
          <w:highlight w:val="none"/>
        </w:rPr>
      </w:pPr>
    </w:p>
    <w:p>
      <w:pPr>
        <w:snapToGrid w:val="0"/>
        <w:spacing w:line="360" w:lineRule="auto"/>
        <w:ind w:left="420" w:hanging="420" w:hangingChars="200"/>
        <w:rPr>
          <w:rFonts w:hint="eastAsia" w:ascii="宋体" w:hAnsi="宋体" w:eastAsia="宋体" w:cs="宋体"/>
          <w:color w:val="auto"/>
          <w:szCs w:val="21"/>
          <w:highlight w:val="none"/>
        </w:rPr>
      </w:pPr>
    </w:p>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tbl>
      <w:tblPr>
        <w:tblStyle w:val="21"/>
        <w:tblW w:w="8522" w:type="dxa"/>
        <w:jc w:val="center"/>
        <w:tblInd w:w="0" w:type="dxa"/>
        <w:tblLayout w:type="fixed"/>
        <w:tblCellMar>
          <w:top w:w="0" w:type="dxa"/>
          <w:left w:w="108" w:type="dxa"/>
          <w:bottom w:w="0" w:type="dxa"/>
          <w:right w:w="108" w:type="dxa"/>
        </w:tblCellMar>
      </w:tblPr>
      <w:tblGrid>
        <w:gridCol w:w="4248"/>
        <w:gridCol w:w="4274"/>
      </w:tblGrid>
      <w:tr>
        <w:tblPrEx>
          <w:tblLayout w:type="fixed"/>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eastAsia="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tblPrEx>
          <w:tblLayout w:type="fixed"/>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tblPrEx>
          <w:tblLayout w:type="fixed"/>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tblPrEx>
          <w:tblLayout w:type="fixed"/>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注：服务事项填不下时可另加附页</w:t>
      </w:r>
    </w:p>
    <w:p>
      <w:pPr>
        <w:snapToGrid w:val="0"/>
        <w:spacing w:line="360" w:lineRule="auto"/>
        <w:jc w:val="left"/>
        <w:rPr>
          <w:rFonts w:hint="eastAsia" w:ascii="宋体" w:hAnsi="宋体" w:eastAsia="宋体" w:cs="宋体"/>
          <w:color w:val="auto"/>
          <w:szCs w:val="21"/>
          <w:highlight w:val="none"/>
        </w:rPr>
      </w:pPr>
    </w:p>
    <w:p>
      <w:pPr>
        <w:pStyle w:val="14"/>
        <w:tabs>
          <w:tab w:val="left" w:pos="2472"/>
        </w:tabs>
        <w:spacing w:line="460" w:lineRule="exact"/>
        <w:jc w:val="center"/>
        <w:rPr>
          <w:rFonts w:hint="eastAsia" w:ascii="Times New Roman" w:hAnsi="Times New Roman" w:eastAsia="宋体" w:cs="Times New Roman"/>
          <w:b/>
          <w:color w:val="auto"/>
          <w:sz w:val="36"/>
          <w:highlight w:val="none"/>
        </w:rPr>
      </w:pPr>
      <w:r>
        <w:rPr>
          <w:rFonts w:hint="eastAsia" w:ascii="宋体" w:hAnsi="宋体" w:eastAsia="宋体" w:cs="宋体"/>
          <w:b/>
          <w:color w:val="auto"/>
          <w:sz w:val="32"/>
          <w:szCs w:val="32"/>
          <w:highlight w:val="none"/>
        </w:rPr>
        <w:br w:type="page"/>
      </w: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39" w:name="_Toc19350"/>
      <w:bookmarkStart w:id="340" w:name="_Toc32149"/>
      <w:bookmarkStart w:id="341" w:name="_Toc24704"/>
      <w:bookmarkStart w:id="342" w:name="_Toc2517"/>
      <w:bookmarkStart w:id="343" w:name="_Toc19106"/>
      <w:bookmarkStart w:id="344" w:name="_Toc20296"/>
      <w:bookmarkStart w:id="345" w:name="_Toc2377"/>
      <w:bookmarkStart w:id="346" w:name="_Toc20832"/>
      <w:bookmarkStart w:id="347" w:name="_Toc9123"/>
      <w:bookmarkStart w:id="348" w:name="_Toc5736"/>
      <w:bookmarkStart w:id="349" w:name="_Toc11043"/>
      <w:bookmarkStart w:id="350" w:name="_Toc26390"/>
      <w:bookmarkStart w:id="351" w:name="_Toc26884"/>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39"/>
      <w:bookmarkEnd w:id="340"/>
      <w:bookmarkEnd w:id="341"/>
      <w:bookmarkEnd w:id="342"/>
      <w:bookmarkEnd w:id="343"/>
      <w:bookmarkEnd w:id="344"/>
      <w:bookmarkEnd w:id="345"/>
      <w:bookmarkEnd w:id="346"/>
      <w:bookmarkEnd w:id="347"/>
      <w:bookmarkEnd w:id="348"/>
      <w:bookmarkEnd w:id="349"/>
      <w:bookmarkEnd w:id="350"/>
      <w:bookmarkEnd w:id="351"/>
    </w:p>
    <w:p>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4"/>
        <w:jc w:val="center"/>
        <w:outlineLvl w:val="1"/>
        <w:rPr>
          <w:rFonts w:hint="eastAsia" w:hAnsi="宋体" w:eastAsia="宋体" w:cs="Times New Roman"/>
          <w:b/>
          <w:bCs/>
          <w:color w:val="auto"/>
          <w:sz w:val="28"/>
          <w:szCs w:val="28"/>
          <w:highlight w:val="none"/>
        </w:rPr>
      </w:pPr>
      <w:bookmarkStart w:id="352" w:name="_Toc32508"/>
      <w:bookmarkStart w:id="353" w:name="_Toc7817"/>
      <w:bookmarkStart w:id="354" w:name="_Toc23486"/>
      <w:bookmarkStart w:id="355" w:name="_Toc20281"/>
      <w:bookmarkStart w:id="356" w:name="_Toc24486"/>
      <w:bookmarkStart w:id="357" w:name="_Toc4270"/>
      <w:bookmarkStart w:id="358" w:name="_Toc11854"/>
      <w:bookmarkStart w:id="359" w:name="_Toc21700"/>
      <w:bookmarkStart w:id="360" w:name="_Toc32370"/>
      <w:bookmarkStart w:id="361" w:name="_Toc1689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52"/>
      <w:bookmarkEnd w:id="353"/>
      <w:bookmarkEnd w:id="354"/>
      <w:bookmarkEnd w:id="355"/>
      <w:bookmarkEnd w:id="356"/>
      <w:bookmarkEnd w:id="357"/>
      <w:bookmarkEnd w:id="358"/>
      <w:bookmarkEnd w:id="359"/>
      <w:bookmarkEnd w:id="360"/>
      <w:bookmarkEnd w:id="361"/>
    </w:p>
    <w:p>
      <w:pPr>
        <w:pStyle w:val="14"/>
        <w:spacing w:line="360" w:lineRule="auto"/>
        <w:ind w:firstLine="420"/>
        <w:rPr>
          <w:rFonts w:hint="eastAsia" w:hAnsi="宋体" w:eastAsia="宋体" w:cs="Times New Roman"/>
          <w:color w:val="auto"/>
          <w:sz w:val="30"/>
          <w:highlight w:val="none"/>
        </w:rPr>
      </w:pPr>
    </w:p>
    <w:p>
      <w:pPr>
        <w:pStyle w:val="11"/>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pPr>
        <w:rPr>
          <w:rFonts w:hint="eastAsia"/>
          <w:color w:val="auto"/>
          <w:highlight w:val="none"/>
        </w:rPr>
      </w:pP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pPr>
        <w:pStyle w:val="10"/>
        <w:snapToGrid w:val="0"/>
        <w:spacing w:before="50" w:after="50"/>
        <w:ind w:firstLine="540" w:firstLineChars="225"/>
        <w:rPr>
          <w:rFonts w:hint="eastAsia" w:ascii="宋体" w:hAnsi="宋体" w:eastAsia="宋体" w:cs="Times New Roman"/>
          <w:bCs/>
          <w:color w:val="auto"/>
          <w:sz w:val="24"/>
          <w:szCs w:val="24"/>
          <w:highlight w:val="none"/>
        </w:rPr>
      </w:pPr>
    </w:p>
    <w:p>
      <w:pPr>
        <w:pStyle w:val="10"/>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10"/>
        <w:snapToGrid w:val="0"/>
        <w:spacing w:before="50" w:after="50"/>
        <w:ind w:firstLine="540" w:firstLineChars="225"/>
        <w:rPr>
          <w:rFonts w:hint="eastAsia" w:ascii="宋体" w:hAnsi="宋体" w:eastAsia="宋体" w:cs="Times New Roman"/>
          <w:bCs/>
          <w:color w:val="auto"/>
          <w:sz w:val="24"/>
          <w:szCs w:val="24"/>
          <w:highlight w:val="none"/>
        </w:rPr>
      </w:pPr>
    </w:p>
    <w:p>
      <w:pPr>
        <w:pStyle w:val="10"/>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pPr>
        <w:spacing w:line="360" w:lineRule="auto"/>
        <w:rPr>
          <w:rFonts w:hint="eastAsia" w:ascii="仿宋_GB2312" w:hAnsi="仿宋" w:eastAsia="仿宋_GB2312" w:cs="仿宋_GB2312"/>
          <w:b/>
          <w:bCs/>
          <w:color w:val="auto"/>
          <w:sz w:val="24"/>
          <w:highlight w:val="none"/>
        </w:rPr>
      </w:pPr>
    </w:p>
    <w:p>
      <w:pPr>
        <w:snapToGrid w:val="0"/>
        <w:spacing w:line="360" w:lineRule="auto"/>
        <w:rPr>
          <w:rFonts w:hint="eastAsia" w:ascii="仿宋_GB2312" w:hAnsi="仿宋" w:eastAsia="仿宋_GB2312" w:cs="仿宋_GB2312"/>
          <w:b/>
          <w:color w:val="auto"/>
          <w:kern w:val="0"/>
          <w:sz w:val="32"/>
          <w:szCs w:val="32"/>
          <w:highlight w:val="none"/>
          <w:lang w:val="zh-CN"/>
        </w:rPr>
      </w:pP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pPr>
        <w:pStyle w:val="13"/>
        <w:rPr>
          <w:rFonts w:hint="eastAsia"/>
          <w:color w:val="auto"/>
          <w:highlight w:val="none"/>
        </w:rPr>
      </w:pPr>
      <w:r>
        <w:rPr>
          <w:rFonts w:hint="eastAsia" w:ascii="宋体" w:hAnsi="宋体" w:cs="宋体"/>
          <w:b/>
          <w:color w:val="auto"/>
          <w:kern w:val="0"/>
          <w:sz w:val="32"/>
          <w:szCs w:val="32"/>
          <w:highlight w:val="none"/>
          <w:lang w:val="en-US" w:eastAsia="zh-CN"/>
        </w:rPr>
        <w:t>3.</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cs="Times New Roman"/>
          <w:color w:val="auto"/>
          <w:szCs w:val="21"/>
          <w:highlight w:val="none"/>
          <w:u w:val="single"/>
          <w:lang w:eastAsia="zh-CN"/>
        </w:rPr>
        <w:t>广西兴桂源招标有限公司</w:t>
      </w:r>
      <w:r>
        <w:rPr>
          <w:rFonts w:hint="eastAsia" w:ascii="宋体" w:hAnsi="宋体" w:eastAsia="宋体" w:cs="Times New Roman"/>
          <w:color w:val="auto"/>
          <w:szCs w:val="21"/>
          <w:highlight w:val="none"/>
          <w:u w:val="single"/>
        </w:rPr>
        <w:t xml:space="preserve"> </w:t>
      </w:r>
    </w:p>
    <w:p>
      <w:pPr>
        <w:pStyle w:val="2"/>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pPr>
        <w:pStyle w:val="2"/>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pPr>
        <w:pStyle w:val="2"/>
        <w:rPr>
          <w:rFonts w:hint="eastAsia"/>
          <w:color w:val="auto"/>
          <w:highlight w:val="none"/>
        </w:rPr>
      </w:pP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pPr>
        <w:pStyle w:val="2"/>
        <w:rPr>
          <w:rFonts w:hint="default" w:eastAsia="宋体"/>
          <w:color w:val="auto"/>
          <w:highlight w:val="none"/>
          <w:lang w:val="en-US" w:eastAsia="zh-CN"/>
        </w:rPr>
      </w:pP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w:t>
      </w:r>
      <w:r>
        <w:rPr>
          <w:rFonts w:hint="eastAsia" w:ascii="宋体" w:hAnsi="宋体" w:cs="Times New Roman"/>
          <w:b/>
          <w:color w:val="auto"/>
          <w:sz w:val="21"/>
          <w:szCs w:val="21"/>
          <w:highlight w:val="none"/>
          <w:lang w:val="en-US" w:eastAsia="zh-CN"/>
        </w:rPr>
        <w:t xml:space="preserve">  注： </w:t>
      </w:r>
      <w:r>
        <w:rPr>
          <w:rFonts w:hint="eastAsia" w:ascii="宋体" w:hAnsi="宋体" w:eastAsia="宋体" w:cs="Times New Roman"/>
          <w:b/>
          <w:color w:val="auto"/>
          <w:sz w:val="21"/>
          <w:szCs w:val="21"/>
          <w:highlight w:val="none"/>
        </w:rPr>
        <w:t>如为联合体投标，盖章处须加盖联合体各方公章，否则</w:t>
      </w:r>
      <w:r>
        <w:rPr>
          <w:rFonts w:hint="eastAsia" w:ascii="宋体" w:hAnsi="宋体" w:eastAsia="宋体" w:cs="宋体"/>
          <w:b/>
          <w:bCs/>
          <w:color w:val="auto"/>
          <w:sz w:val="21"/>
          <w:szCs w:val="21"/>
          <w:highlight w:val="none"/>
        </w:rPr>
        <w:t>其</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作无效</w:t>
      </w:r>
      <w:r>
        <w:rPr>
          <w:rFonts w:hint="eastAsia" w:ascii="宋体" w:hAnsi="宋体" w:eastAsia="宋体" w:cs="宋体"/>
          <w:b/>
          <w:bCs/>
          <w:color w:val="auto"/>
          <w:sz w:val="21"/>
          <w:szCs w:val="21"/>
          <w:highlight w:val="none"/>
        </w:rPr>
        <w:t>响应处理</w:t>
      </w:r>
      <w:r>
        <w:rPr>
          <w:rFonts w:hint="eastAsia" w:ascii="宋体" w:hAnsi="宋体" w:eastAsia="宋体" w:cs="Times New Roman"/>
          <w:b/>
          <w:color w:val="auto"/>
          <w:sz w:val="21"/>
          <w:szCs w:val="21"/>
          <w:highlight w:val="none"/>
        </w:rPr>
        <w:t>。</w:t>
      </w:r>
    </w:p>
    <w:p>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11"/>
        <w:ind w:left="0"/>
        <w:jc w:val="left"/>
        <w:rPr>
          <w:rFonts w:hint="eastAsia"/>
          <w:color w:val="auto"/>
          <w:highlight w:val="none"/>
        </w:rPr>
      </w:pPr>
      <w:r>
        <w:rPr>
          <w:rFonts w:hint="eastAsia" w:hAnsi="宋体" w:cs="宋体"/>
          <w:b/>
          <w:bCs/>
          <w:color w:val="auto"/>
          <w:sz w:val="28"/>
          <w:szCs w:val="28"/>
          <w:highlight w:val="none"/>
          <w:lang w:val="en-US" w:eastAsia="zh-CN"/>
        </w:rPr>
        <w:t>4.联合体投标协议书的格式：</w:t>
      </w:r>
    </w:p>
    <w:p>
      <w:pPr>
        <w:pStyle w:val="14"/>
        <w:spacing w:line="600" w:lineRule="exact"/>
        <w:jc w:val="center"/>
        <w:rPr>
          <w:rFonts w:hint="eastAsia" w:ascii="宋体" w:hAnsi="宋体" w:cs="宋体"/>
          <w:b/>
          <w:bCs/>
          <w:color w:val="auto"/>
          <w:sz w:val="28"/>
          <w:szCs w:val="28"/>
          <w:highlight w:val="none"/>
        </w:rPr>
      </w:pPr>
    </w:p>
    <w:p>
      <w:pPr>
        <w:pStyle w:val="14"/>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pPr>
        <w:autoSpaceDE w:val="0"/>
        <w:autoSpaceDN w:val="0"/>
        <w:adjustRightInd w:val="0"/>
        <w:spacing w:line="360" w:lineRule="auto"/>
        <w:jc w:val="left"/>
        <w:rPr>
          <w:rFonts w:hint="eastAsia" w:ascii="宋体" w:hAnsi="宋体" w:cs="宋体"/>
          <w:color w:val="auto"/>
          <w:kern w:val="0"/>
          <w:szCs w:val="21"/>
          <w:highlight w:val="none"/>
          <w:u w:val="singl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广西兴桂源招标有限公司</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pPr>
        <w:pStyle w:val="14"/>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pStyle w:val="14"/>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pPr>
        <w:pStyle w:val="10"/>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Style w:val="10"/>
        <w:overflowPunct w:val="0"/>
        <w:spacing w:line="360" w:lineRule="auto"/>
        <w:ind w:firstLineChars="175"/>
        <w:rPr>
          <w:rFonts w:hint="eastAsia" w:ascii="宋体" w:hAnsi="宋体" w:eastAsia="宋体" w:cs="宋体"/>
          <w:color w:val="auto"/>
          <w:sz w:val="24"/>
          <w:highlight w:val="none"/>
        </w:rPr>
      </w:pPr>
    </w:p>
    <w:p>
      <w:pPr>
        <w:pStyle w:val="10"/>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pPr>
        <w:pStyle w:val="14"/>
        <w:spacing w:line="600" w:lineRule="exact"/>
        <w:jc w:val="center"/>
        <w:rPr>
          <w:rFonts w:hint="eastAsia" w:hAnsi="宋体" w:cs="宋体"/>
          <w:color w:val="auto"/>
          <w:kern w:val="0"/>
          <w:szCs w:val="21"/>
          <w:highlight w:val="none"/>
        </w:rPr>
      </w:pPr>
    </w:p>
    <w:p>
      <w:pPr>
        <w:pStyle w:val="14"/>
        <w:jc w:val="both"/>
        <w:outlineLvl w:val="9"/>
        <w:rPr>
          <w:rFonts w:hAnsi="宋体" w:eastAsia="宋体" w:cs="Times New Roman"/>
          <w:color w:val="auto"/>
          <w:szCs w:val="21"/>
          <w:highlight w:val="none"/>
        </w:rPr>
      </w:pPr>
    </w:p>
    <w:p>
      <w:pPr>
        <w:pStyle w:val="14"/>
        <w:jc w:val="center"/>
        <w:outlineLvl w:val="9"/>
        <w:rPr>
          <w:rFonts w:hint="eastAsia" w:hAnsi="宋体" w:eastAsia="宋体" w:cs="Times New Roman"/>
          <w:b/>
          <w:bCs/>
          <w:color w:val="auto"/>
          <w:sz w:val="28"/>
          <w:szCs w:val="28"/>
          <w:highlight w:val="none"/>
        </w:rPr>
      </w:pPr>
      <w:bookmarkStart w:id="362" w:name="_Toc13159"/>
      <w:bookmarkStart w:id="363" w:name="_Toc24133"/>
      <w:bookmarkStart w:id="364" w:name="_Toc20777"/>
      <w:bookmarkStart w:id="365" w:name="_Toc19686838"/>
      <w:bookmarkStart w:id="366" w:name="_Toc3944"/>
      <w:bookmarkStart w:id="367" w:name="_Toc2566"/>
      <w:bookmarkStart w:id="368" w:name="_Toc8189"/>
      <w:bookmarkStart w:id="369" w:name="_Toc6839"/>
      <w:bookmarkStart w:id="370" w:name="_Toc31528"/>
      <w:bookmarkStart w:id="371" w:name="_Toc16062"/>
      <w:bookmarkStart w:id="372" w:name="_Toc12624"/>
    </w:p>
    <w:p>
      <w:pPr>
        <w:pStyle w:val="14"/>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62"/>
      <w:bookmarkEnd w:id="363"/>
      <w:bookmarkEnd w:id="364"/>
      <w:bookmarkEnd w:id="365"/>
      <w:bookmarkEnd w:id="366"/>
      <w:bookmarkEnd w:id="367"/>
      <w:bookmarkEnd w:id="368"/>
      <w:bookmarkEnd w:id="369"/>
      <w:bookmarkEnd w:id="370"/>
      <w:bookmarkEnd w:id="371"/>
      <w:bookmarkEnd w:id="372"/>
    </w:p>
    <w:p>
      <w:pPr>
        <w:snapToGrid w:val="0"/>
        <w:spacing w:before="165" w:beforeLines="50" w:after="50"/>
        <w:rPr>
          <w:rFonts w:hint="eastAsia" w:ascii="宋体" w:hAnsi="宋体" w:eastAsia="宋体" w:cs="Times New Roman"/>
          <w:color w:val="auto"/>
          <w:sz w:val="30"/>
          <w:szCs w:val="20"/>
          <w:highlight w:val="none"/>
        </w:rPr>
      </w:pPr>
    </w:p>
    <w:p>
      <w:pPr>
        <w:pStyle w:val="2"/>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p>
    <w:p>
      <w:pPr>
        <w:pStyle w:val="10"/>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10"/>
        <w:snapToGrid w:val="0"/>
        <w:spacing w:before="50" w:after="50"/>
        <w:ind w:firstLine="540" w:firstLineChars="225"/>
        <w:rPr>
          <w:rFonts w:hint="eastAsia" w:ascii="宋体" w:hAnsi="宋体" w:eastAsia="宋体" w:cs="Times New Roman"/>
          <w:bCs/>
          <w:color w:val="auto"/>
          <w:sz w:val="24"/>
          <w:szCs w:val="24"/>
          <w:highlight w:val="none"/>
        </w:rPr>
      </w:pPr>
    </w:p>
    <w:p>
      <w:pPr>
        <w:pStyle w:val="10"/>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pPr>
        <w:snapToGrid w:val="0"/>
        <w:spacing w:before="120" w:beforeLines="50" w:after="50"/>
        <w:ind w:left="420"/>
        <w:jc w:val="center"/>
        <w:rPr>
          <w:rFonts w:hint="eastAsia" w:ascii="宋体" w:hAnsi="宋体" w:eastAsia="宋体" w:cs="Times New Roman"/>
          <w:b/>
          <w:color w:val="auto"/>
          <w:sz w:val="32"/>
          <w:szCs w:val="32"/>
          <w:highlight w:val="none"/>
        </w:rPr>
      </w:pPr>
    </w:p>
    <w:p>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pPr>
        <w:snapToGrid w:val="0"/>
        <w:spacing w:before="120" w:beforeLines="50" w:after="50"/>
        <w:rPr>
          <w:rFonts w:hint="eastAsia" w:ascii="宋体" w:hAnsi="宋体" w:eastAsia="宋体" w:cs="Times New Roman"/>
          <w:b/>
          <w:color w:val="auto"/>
          <w:szCs w:val="21"/>
          <w:highlight w:val="none"/>
        </w:rPr>
      </w:pPr>
    </w:p>
    <w:p>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pPr>
        <w:pStyle w:val="13"/>
        <w:rPr>
          <w:rFonts w:hint="eastAsia"/>
          <w:color w:val="auto"/>
          <w:highlight w:val="none"/>
          <w:lang w:eastAsia="zh-CN"/>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4"/>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pPr>
        <w:spacing w:before="240" w:beforeLines="100" w:after="120" w:afterLines="50"/>
        <w:ind w:left="540"/>
        <w:jc w:val="center"/>
        <w:rPr>
          <w:rFonts w:hint="eastAsia" w:ascii="宋体" w:hAnsi="Courier New" w:eastAsia="宋体" w:cs="Times New Roman"/>
          <w:b/>
          <w:color w:val="auto"/>
          <w:sz w:val="32"/>
          <w:szCs w:val="32"/>
          <w:highlight w:val="none"/>
        </w:rPr>
      </w:pPr>
    </w:p>
    <w:p>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pPr>
        <w:spacing w:line="500" w:lineRule="exact"/>
        <w:ind w:left="540"/>
        <w:rPr>
          <w:rFonts w:hint="eastAsia"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before="120" w:beforeLines="50" w:after="50"/>
        <w:jc w:val="center"/>
        <w:rPr>
          <w:rFonts w:hint="eastAsia" w:ascii="宋体" w:hAnsi="宋体" w:eastAsia="宋体" w:cs="Times New Roman"/>
          <w:b/>
          <w:color w:val="auto"/>
          <w:sz w:val="24"/>
          <w:highlight w:val="none"/>
        </w:rPr>
      </w:pPr>
    </w:p>
    <w:p>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pPr>
        <w:snapToGrid w:val="0"/>
        <w:spacing w:before="120" w:beforeLines="50" w:after="50"/>
        <w:ind w:firstLine="600" w:firstLineChars="250"/>
        <w:jc w:val="left"/>
        <w:rPr>
          <w:rFonts w:hint="eastAsia" w:ascii="宋体" w:hAnsi="宋体" w:eastAsia="宋体" w:cs="Times New Roman"/>
          <w:color w:val="auto"/>
          <w:sz w:val="24"/>
          <w:highlight w:val="none"/>
        </w:rPr>
      </w:pPr>
    </w:p>
    <w:p>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1"/>
        <w:tblpPr w:leftFromText="180" w:rightFromText="180" w:vertAnchor="text" w:horzAnchor="margin" w:tblpXSpec="center" w:tblpY="1169"/>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法定代表人有效身份证复印件粘帖处（正、反面）</w:t>
            </w:r>
          </w:p>
        </w:tc>
      </w:tr>
    </w:tbl>
    <w:p>
      <w:pPr>
        <w:pStyle w:val="14"/>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pPr>
        <w:snapToGrid w:val="0"/>
        <w:spacing w:before="120" w:beforeLines="50" w:after="50"/>
        <w:jc w:val="center"/>
        <w:rPr>
          <w:rFonts w:hint="eastAsia" w:ascii="宋体" w:hAnsi="宋体" w:eastAsia="宋体" w:cs="Times New Roman"/>
          <w:b/>
          <w:color w:val="auto"/>
          <w:sz w:val="32"/>
          <w:szCs w:val="32"/>
          <w:highlight w:val="none"/>
        </w:rPr>
      </w:pPr>
    </w:p>
    <w:p>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pPr>
        <w:snapToGrid w:val="0"/>
        <w:spacing w:before="120" w:beforeLines="50" w:after="50"/>
        <w:jc w:val="center"/>
        <w:rPr>
          <w:rFonts w:hint="eastAsia" w:ascii="宋体" w:hAnsi="宋体" w:eastAsia="宋体" w:cs="Times New Roman"/>
          <w:b/>
          <w:color w:val="auto"/>
          <w:sz w:val="24"/>
          <w:highlight w:val="none"/>
        </w:rPr>
      </w:pPr>
    </w:p>
    <w:p>
      <w:pPr>
        <w:pStyle w:val="14"/>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eastAsia="zh-CN"/>
        </w:rPr>
        <w:t>广西兴桂源招标有限公司</w:t>
      </w:r>
      <w:r>
        <w:rPr>
          <w:rFonts w:ascii="Times New Roman" w:hAnsi="Times New Roman" w:eastAsia="宋体" w:cs="Times New Roman"/>
          <w:color w:val="auto"/>
          <w:highlight w:val="none"/>
          <w:u w:val="single"/>
        </w:rPr>
        <w:t xml:space="preserve"> </w:t>
      </w:r>
    </w:p>
    <w:p>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pPr>
        <w:pStyle w:val="14"/>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pPr>
        <w:pStyle w:val="14"/>
        <w:spacing w:line="360" w:lineRule="exact"/>
        <w:ind w:firstLine="420"/>
        <w:rPr>
          <w:rFonts w:ascii="Times New Roman" w:hAnsi="Times New Roman" w:eastAsia="宋体" w:cs="Times New Roman"/>
          <w:color w:val="auto"/>
          <w:highlight w:val="none"/>
        </w:rPr>
      </w:pPr>
    </w:p>
    <w:p>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（或联合体投标</w:t>
      </w:r>
      <w:r>
        <w:rPr>
          <w:rFonts w:hint="eastAsia" w:eastAsia="宋体" w:cs="宋体"/>
          <w:color w:val="auto"/>
          <w:kern w:val="0"/>
          <w:szCs w:val="21"/>
          <w:highlight w:val="none"/>
        </w:rPr>
        <w:t>牵头人名称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pPr>
        <w:pStyle w:val="14"/>
        <w:spacing w:line="360" w:lineRule="exact"/>
        <w:ind w:firstLine="420"/>
        <w:rPr>
          <w:rFonts w:ascii="Times New Roman" w:hAnsi="Times New Roman" w:eastAsia="宋体" w:cs="Times New Roman"/>
          <w:color w:val="auto"/>
          <w:highlight w:val="none"/>
          <w:u w:val="single"/>
        </w:rPr>
      </w:pPr>
    </w:p>
    <w:p>
      <w:pPr>
        <w:pStyle w:val="14"/>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pPr>
        <w:pStyle w:val="14"/>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11"/>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14"/>
        <w:spacing w:line="360" w:lineRule="exact"/>
        <w:ind w:firstLine="420"/>
        <w:rPr>
          <w:rFonts w:hint="eastAsia" w:ascii="宋体" w:hAnsi="宋体" w:cs="宋体"/>
          <w:color w:val="auto"/>
          <w:highlight w:val="none"/>
          <w:u w:val="single"/>
        </w:rPr>
      </w:pPr>
    </w:p>
    <w:p>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pPr>
        <w:pStyle w:val="11"/>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14"/>
        <w:spacing w:line="360" w:lineRule="exact"/>
        <w:ind w:firstLine="420" w:firstLineChars="200"/>
        <w:rPr>
          <w:rFonts w:hint="eastAsia" w:eastAsia="宋体" w:cs="Times New Roman"/>
          <w:color w:val="auto"/>
          <w:highlight w:val="none"/>
        </w:rPr>
      </w:pPr>
      <w:r>
        <w:rPr>
          <w:rFonts w:hint="eastAsia" w:eastAsia="宋体" w:cs="Times New Roman"/>
          <w:color w:val="auto"/>
          <w:highlight w:val="none"/>
        </w:rPr>
        <w:t>......</w:t>
      </w:r>
    </w:p>
    <w:p>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pPr>
        <w:spacing w:line="360" w:lineRule="auto"/>
        <w:rPr>
          <w:rFonts w:hint="eastAsia" w:ascii="宋体" w:hAnsi="Times New Roman" w:eastAsia="宋体" w:cs="Times New Roman"/>
          <w:b/>
          <w:color w:val="auto"/>
          <w:sz w:val="24"/>
          <w:highlight w:val="none"/>
        </w:rPr>
      </w:pPr>
    </w:p>
    <w:p>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1"/>
        <w:tblpPr w:leftFromText="180" w:rightFromText="180" w:vertAnchor="text" w:horzAnchor="margin" w:tblpXSpec="center" w:tblpY="263"/>
        <w:tblW w:w="7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身份证复印件粘帖处（正、反面）</w:t>
            </w:r>
          </w:p>
        </w:tc>
      </w:tr>
    </w:tbl>
    <w:p>
      <w:pPr>
        <w:snapToGrid w:val="0"/>
        <w:spacing w:before="50" w:after="120" w:afterLines="50" w:line="360" w:lineRule="auto"/>
        <w:jc w:val="left"/>
        <w:rPr>
          <w:rFonts w:hint="eastAsia" w:ascii="仿宋_GB2312" w:hAnsi="仿宋_GB2312" w:eastAsia="仿宋_GB2312" w:cs="仿宋_GB2312"/>
          <w:color w:val="auto"/>
          <w:szCs w:val="21"/>
          <w:highlight w:val="none"/>
        </w:rPr>
      </w:pPr>
    </w:p>
    <w:p>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pPr>
        <w:jc w:val="center"/>
        <w:rPr>
          <w:rFonts w:hint="eastAsia" w:ascii="Times New Roman" w:hAnsi="Times New Roman" w:eastAsia="宋体" w:cs="Times New Roman"/>
          <w:b/>
          <w:bCs/>
          <w:color w:val="auto"/>
          <w:sz w:val="30"/>
          <w:szCs w:val="30"/>
          <w:highlight w:val="none"/>
        </w:rPr>
      </w:pPr>
    </w:p>
    <w:p>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pPr>
        <w:spacing w:line="360" w:lineRule="auto"/>
        <w:ind w:firstLine="0" w:firstLineChars="0"/>
        <w:contextualSpacing/>
        <w:rPr>
          <w:rFonts w:hint="eastAsia" w:ascii="宋体" w:hAnsi="宋体" w:cs="宋体"/>
          <w:color w:val="auto"/>
          <w:sz w:val="24"/>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pStyle w:val="14"/>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cs="宋体"/>
                <w:color w:val="auto"/>
                <w:szCs w:val="21"/>
                <w:highlight w:val="none"/>
              </w:rPr>
            </w:pPr>
          </w:p>
        </w:tc>
      </w:tr>
    </w:tbl>
    <w:p>
      <w:pPr>
        <w:pStyle w:val="14"/>
        <w:spacing w:line="360" w:lineRule="auto"/>
        <w:ind w:left="-708" w:leftChars="-337"/>
        <w:rPr>
          <w:rFonts w:hint="eastAsia" w:ascii="Times New Roman" w:hAnsi="Times New Roman" w:eastAsia="宋体" w:cs="Times New Roman"/>
          <w:color w:val="auto"/>
          <w:highlight w:val="none"/>
        </w:rPr>
      </w:pPr>
    </w:p>
    <w:p>
      <w:pPr>
        <w:pStyle w:val="14"/>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pPr>
        <w:pStyle w:val="14"/>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pPr>
        <w:pStyle w:val="14"/>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pPr>
        <w:pStyle w:val="14"/>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pPr>
        <w:pStyle w:val="14"/>
        <w:spacing w:line="360" w:lineRule="auto"/>
        <w:ind w:left="-708" w:leftChars="-337" w:firstLine="1050" w:firstLineChars="500"/>
        <w:rPr>
          <w:rFonts w:hint="eastAsia" w:ascii="宋体" w:hAnsi="宋体" w:eastAsia="宋体" w:cs="宋体"/>
          <w:color w:val="auto"/>
          <w:szCs w:val="21"/>
          <w:highlight w:val="none"/>
        </w:rPr>
      </w:pPr>
    </w:p>
    <w:p>
      <w:pPr>
        <w:snapToGrid w:val="0"/>
        <w:spacing w:before="50" w:after="50"/>
        <w:rPr>
          <w:rFonts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rPr>
          <w:rFonts w:hint="eastAsia"/>
          <w:color w:val="auto"/>
          <w:highlight w:val="none"/>
        </w:rPr>
      </w:pPr>
    </w:p>
    <w:p>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pPr>
        <w:pStyle w:val="14"/>
        <w:jc w:val="center"/>
        <w:outlineLvl w:val="1"/>
        <w:rPr>
          <w:rFonts w:hint="eastAsia" w:hAnsi="宋体" w:eastAsia="宋体" w:cs="Times New Roman"/>
          <w:b/>
          <w:bCs/>
          <w:color w:val="auto"/>
          <w:sz w:val="28"/>
          <w:szCs w:val="28"/>
          <w:highlight w:val="none"/>
        </w:rPr>
      </w:pPr>
      <w:bookmarkStart w:id="373" w:name="_Toc8889"/>
      <w:bookmarkStart w:id="374" w:name="_Toc23685"/>
      <w:bookmarkStart w:id="375" w:name="_Toc585"/>
      <w:bookmarkStart w:id="376" w:name="_Toc10435"/>
      <w:bookmarkStart w:id="377" w:name="_Toc24407"/>
      <w:bookmarkStart w:id="378" w:name="_Toc19686839"/>
      <w:bookmarkStart w:id="379" w:name="_Toc1161"/>
      <w:bookmarkStart w:id="380" w:name="_Toc27757"/>
      <w:bookmarkStart w:id="381" w:name="_Toc24098"/>
      <w:bookmarkStart w:id="382" w:name="_Toc10197"/>
      <w:bookmarkStart w:id="383" w:name="_Toc1743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3"/>
      <w:bookmarkEnd w:id="374"/>
      <w:bookmarkEnd w:id="375"/>
      <w:bookmarkEnd w:id="376"/>
      <w:bookmarkEnd w:id="377"/>
      <w:bookmarkEnd w:id="378"/>
      <w:bookmarkEnd w:id="379"/>
      <w:bookmarkEnd w:id="380"/>
      <w:bookmarkEnd w:id="381"/>
      <w:bookmarkEnd w:id="382"/>
      <w:bookmarkEnd w:id="383"/>
    </w:p>
    <w:p>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bCs/>
          <w:color w:val="auto"/>
          <w:sz w:val="32"/>
          <w:szCs w:val="32"/>
          <w:highlight w:val="none"/>
        </w:rPr>
      </w:pPr>
    </w:p>
    <w:p>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snapToGrid w:val="0"/>
        <w:spacing w:before="165" w:beforeLines="50" w:after="50"/>
        <w:ind w:firstLine="645"/>
        <w:jc w:val="center"/>
        <w:rPr>
          <w:rFonts w:hint="eastAsia" w:ascii="宋体" w:hAnsi="宋体" w:eastAsia="宋体" w:cs="Times New Roman"/>
          <w:color w:val="auto"/>
          <w:sz w:val="24"/>
          <w:szCs w:val="20"/>
          <w:highlight w:val="none"/>
        </w:rPr>
      </w:pPr>
    </w:p>
    <w:p>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pPr>
        <w:numPr>
          <w:ilvl w:val="0"/>
          <w:numId w:val="4"/>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pPr>
        <w:pStyle w:val="14"/>
        <w:spacing w:line="440" w:lineRule="exact"/>
        <w:ind w:firstLine="420" w:firstLineChars="200"/>
        <w:rPr>
          <w:rFonts w:eastAsia="宋体" w:cs="Times New Roman"/>
          <w:color w:val="auto"/>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pStyle w:val="14"/>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pPr>
        <w:pStyle w:val="11"/>
        <w:rPr>
          <w:rFonts w:hint="eastAsia"/>
          <w:color w:val="auto"/>
          <w:highlight w:val="none"/>
        </w:rPr>
      </w:pPr>
    </w:p>
    <w:p>
      <w:pPr>
        <w:pStyle w:val="11"/>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pPr>
        <w:rPr>
          <w:rFonts w:hint="eastAsia"/>
          <w:color w:val="auto"/>
          <w:highlight w:val="none"/>
        </w:rPr>
      </w:pPr>
    </w:p>
    <w:tbl>
      <w:tblPr>
        <w:tblStyle w:val="21"/>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vAlign w:val="center"/>
          </w:tcPr>
          <w:p>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vAlign w:val="center"/>
          </w:tcPr>
          <w:p>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1"/>
                <w:highlight w:val="none"/>
              </w:rPr>
            </w:pPr>
          </w:p>
        </w:tc>
      </w:tr>
    </w:tbl>
    <w:p>
      <w:pPr>
        <w:pStyle w:val="14"/>
        <w:spacing w:line="360" w:lineRule="auto"/>
        <w:ind w:firstLine="0" w:firstLineChars="0"/>
        <w:rPr>
          <w:rFonts w:hint="eastAsia" w:hAnsi="宋体" w:cs="宋体"/>
          <w:color w:val="auto"/>
          <w:szCs w:val="21"/>
          <w:highlight w:val="none"/>
        </w:rPr>
      </w:pPr>
    </w:p>
    <w:p>
      <w:pPr>
        <w:pStyle w:val="14"/>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pPr>
        <w:pStyle w:val="14"/>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pPr>
        <w:pStyle w:val="14"/>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pPr>
        <w:pStyle w:val="14"/>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pPr>
        <w:pStyle w:val="11"/>
        <w:rPr>
          <w:rFonts w:hint="eastAsia" w:hAnsi="宋体" w:eastAsia="宋体" w:cs="宋体"/>
          <w:color w:val="auto"/>
          <w:szCs w:val="21"/>
          <w:highlight w:val="none"/>
        </w:rPr>
      </w:pPr>
    </w:p>
    <w:p>
      <w:pPr>
        <w:rPr>
          <w:rFonts w:hint="eastAsia" w:hAnsi="宋体" w:eastAsia="宋体" w:cs="宋体"/>
          <w:color w:val="auto"/>
          <w:szCs w:val="21"/>
          <w:highlight w:val="none"/>
        </w:rPr>
      </w:pPr>
    </w:p>
    <w:p>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服务方案（包含①对项目的理解和总体思路、②对项目特点、关键技术问题的认识及对策措施、③实施方案、④后续服务的安排及保证措施等内容）（格式自拟）</w:t>
      </w:r>
      <w:r>
        <w:rPr>
          <w:rFonts w:hint="eastAsia" w:ascii="宋体" w:hAnsi="宋体" w:cs="宋体"/>
          <w:b/>
          <w:bCs/>
          <w:color w:val="auto"/>
          <w:sz w:val="30"/>
          <w:szCs w:val="30"/>
          <w:highlight w:val="none"/>
          <w:lang w:eastAsia="zh-CN"/>
        </w:rPr>
        <w:t>：</w:t>
      </w:r>
    </w:p>
    <w:p>
      <w:pPr>
        <w:snapToGrid w:val="0"/>
        <w:spacing w:before="165" w:beforeLines="50" w:after="50"/>
        <w:ind w:left="142"/>
        <w:jc w:val="center"/>
        <w:rPr>
          <w:rFonts w:hint="eastAsia" w:ascii="宋体" w:hAnsi="宋体" w:eastAsia="宋体" w:cs="Times New Roman"/>
          <w:b/>
          <w:color w:val="auto"/>
          <w:sz w:val="32"/>
          <w:szCs w:val="32"/>
          <w:highlight w:val="none"/>
        </w:rPr>
      </w:pPr>
    </w:p>
    <w:p>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宋体" w:hAnsi="宋体"/>
          <w:color w:val="auto"/>
          <w:sz w:val="24"/>
          <w:highlight w:val="none"/>
        </w:rPr>
      </w:pPr>
    </w:p>
    <w:p>
      <w:pPr>
        <w:snapToGrid w:val="0"/>
        <w:spacing w:before="120" w:beforeLines="50" w:after="50"/>
        <w:ind w:left="142"/>
        <w:jc w:val="left"/>
        <w:rPr>
          <w:rFonts w:hint="eastAsia" w:ascii="宋体" w:hAnsi="宋体"/>
          <w:b/>
          <w:color w:val="auto"/>
          <w:sz w:val="32"/>
          <w:szCs w:val="32"/>
          <w:highlight w:val="none"/>
        </w:rPr>
      </w:pPr>
      <w:r>
        <w:rPr>
          <w:rFonts w:hint="eastAsia" w:ascii="宋体" w:hAnsi="宋体" w:cs="宋体"/>
          <w:b/>
          <w:color w:val="auto"/>
          <w:sz w:val="28"/>
          <w:szCs w:val="28"/>
          <w:highlight w:val="none"/>
        </w:rPr>
        <w:t>5. 售后服务方案（格式自拟）</w:t>
      </w:r>
    </w:p>
    <w:p>
      <w:pPr>
        <w:snapToGrid w:val="0"/>
        <w:spacing w:before="120" w:beforeLines="50" w:line="360" w:lineRule="auto"/>
        <w:ind w:right="480" w:firstLine="3967" w:firstLineChars="1653"/>
        <w:rPr>
          <w:rFonts w:hint="eastAsia" w:ascii="宋体" w:hAnsi="宋体"/>
          <w:color w:val="auto"/>
          <w:sz w:val="24"/>
          <w:highlight w:val="none"/>
        </w:rPr>
      </w:pPr>
    </w:p>
    <w:p>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35"/>
        <w:rPr>
          <w:color w:val="auto"/>
          <w:highlight w:val="none"/>
        </w:rPr>
        <w:sectPr>
          <w:pgSz w:w="11905" w:h="16838"/>
          <w:pgMar w:top="1134" w:right="1134" w:bottom="1134" w:left="1134" w:header="850" w:footer="850" w:gutter="0"/>
          <w:pgNumType w:fmt="decimal"/>
          <w:cols w:space="0" w:num="1"/>
          <w:titlePg/>
          <w:rtlGutter w:val="0"/>
          <w:docGrid w:linePitch="331" w:charSpace="0"/>
        </w:sectPr>
      </w:pPr>
    </w:p>
    <w:p>
      <w:pPr>
        <w:pStyle w:val="18"/>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pPr>
        <w:snapToGrid w:val="0"/>
        <w:spacing w:before="165" w:beforeLines="50" w:after="50"/>
        <w:ind w:left="142"/>
        <w:jc w:val="left"/>
        <w:rPr>
          <w:rFonts w:hint="eastAsia" w:ascii="宋体" w:hAnsi="宋体" w:eastAsia="宋体" w:cs="Times New Roman"/>
          <w:b/>
          <w:color w:val="auto"/>
          <w:sz w:val="32"/>
          <w:szCs w:val="32"/>
          <w:highlight w:val="none"/>
        </w:rPr>
      </w:pPr>
    </w:p>
    <w:p>
      <w:pP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r>
        <w:rPr>
          <w:rFonts w:hint="eastAsia" w:ascii="宋体" w:hAnsi="宋体" w:eastAsia="宋体" w:cs="Times New Roman"/>
          <w:b/>
          <w:i/>
          <w:iCs/>
          <w:color w:val="auto"/>
          <w:sz w:val="32"/>
          <w:szCs w:val="32"/>
          <w:highlight w:val="none"/>
        </w:rPr>
        <w:t>（如有要求）</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pPr>
        <w:pStyle w:val="14"/>
        <w:rPr>
          <w:rFonts w:hint="eastAsia" w:eastAsia="宋体" w:cs="Times New Roman"/>
          <w:color w:val="auto"/>
          <w:sz w:val="24"/>
          <w:szCs w:val="24"/>
          <w:highlight w:val="none"/>
        </w:rPr>
      </w:pPr>
    </w:p>
    <w:p>
      <w:pPr>
        <w:pStyle w:val="14"/>
        <w:rPr>
          <w:rFonts w:hint="eastAsia" w:eastAsia="宋体" w:cs="Times New Roman"/>
          <w:color w:val="auto"/>
          <w:sz w:val="24"/>
          <w:szCs w:val="24"/>
          <w:highlight w:val="none"/>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Layout w:type="fixed"/>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tblPrEx>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Layout w:type="fixed"/>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blPrEx>
          <w:tblLayout w:type="fixed"/>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Layout w:type="fixed"/>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pPr>
        <w:snapToGrid w:val="0"/>
        <w:spacing w:before="50" w:after="50"/>
        <w:rPr>
          <w:rFonts w:hint="eastAsia" w:ascii="宋体" w:hAnsi="宋体" w:eastAsia="宋体" w:cs="Times New Roman"/>
          <w:color w:val="auto"/>
          <w:sz w:val="24"/>
          <w:highlight w:val="none"/>
        </w:rPr>
      </w:pPr>
    </w:p>
    <w:p>
      <w:pPr>
        <w:pStyle w:val="14"/>
        <w:jc w:val="center"/>
        <w:outlineLvl w:val="1"/>
        <w:rPr>
          <w:rFonts w:hint="eastAsia" w:hAnsi="宋体" w:eastAsia="宋体" w:cs="Times New Roman"/>
          <w:b/>
          <w:bCs/>
          <w:color w:val="auto"/>
          <w:sz w:val="28"/>
          <w:szCs w:val="28"/>
          <w:highlight w:val="none"/>
        </w:rPr>
      </w:pPr>
      <w:bookmarkStart w:id="384" w:name="_Toc3481"/>
      <w:bookmarkStart w:id="385" w:name="_Toc22926"/>
      <w:bookmarkStart w:id="386" w:name="_Toc28617"/>
      <w:bookmarkStart w:id="387" w:name="_Toc30951"/>
      <w:bookmarkStart w:id="388" w:name="_Toc9015"/>
      <w:bookmarkStart w:id="389" w:name="_Toc17719"/>
      <w:bookmarkStart w:id="390" w:name="_Toc31920"/>
      <w:bookmarkStart w:id="391" w:name="_Toc12675"/>
      <w:bookmarkStart w:id="392" w:name="_Toc12868"/>
      <w:bookmarkStart w:id="393" w:name="_Toc1343"/>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4"/>
      <w:bookmarkEnd w:id="385"/>
      <w:bookmarkEnd w:id="386"/>
      <w:bookmarkEnd w:id="387"/>
      <w:bookmarkEnd w:id="388"/>
      <w:bookmarkEnd w:id="389"/>
      <w:bookmarkEnd w:id="390"/>
      <w:bookmarkEnd w:id="391"/>
      <w:bookmarkEnd w:id="392"/>
      <w:bookmarkEnd w:id="393"/>
    </w:p>
    <w:p>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pPr>
        <w:snapToGrid w:val="0"/>
        <w:spacing w:before="165" w:beforeLines="50" w:after="50" w:line="400" w:lineRule="exact"/>
        <w:rPr>
          <w:rFonts w:hint="eastAsia" w:ascii="宋体" w:hAnsi="宋体" w:eastAsia="宋体" w:cs="Times New Roman"/>
          <w:color w:val="auto"/>
          <w:sz w:val="24"/>
          <w:highlight w:val="none"/>
        </w:rPr>
      </w:pPr>
    </w:p>
    <w:p>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pPr>
        <w:snapToGrid w:val="0"/>
        <w:spacing w:before="165" w:beforeLines="50" w:after="50" w:line="400" w:lineRule="exact"/>
        <w:jc w:val="center"/>
        <w:rPr>
          <w:rFonts w:hint="eastAsia" w:ascii="宋体" w:hAnsi="宋体" w:eastAsia="宋体" w:cs="Times New Roman"/>
          <w:bCs/>
          <w:color w:val="auto"/>
          <w:sz w:val="24"/>
          <w:szCs w:val="20"/>
          <w:highlight w:val="none"/>
        </w:rPr>
      </w:pPr>
    </w:p>
    <w:p>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pStyle w:val="10"/>
        <w:snapToGrid w:val="0"/>
        <w:spacing w:before="50" w:after="50" w:line="400" w:lineRule="exact"/>
        <w:ind w:firstLine="960" w:firstLineChars="400"/>
        <w:rPr>
          <w:rFonts w:hint="eastAsia" w:ascii="宋体" w:hAnsi="宋体" w:eastAsia="宋体" w:cs="Times New Roman"/>
          <w:bCs/>
          <w:color w:val="auto"/>
          <w:sz w:val="24"/>
          <w:szCs w:val="24"/>
          <w:highlight w:val="none"/>
        </w:rPr>
      </w:pPr>
    </w:p>
    <w:p>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14"/>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pPr>
        <w:pStyle w:val="14"/>
        <w:spacing w:line="440" w:lineRule="exact"/>
        <w:ind w:firstLine="420" w:firstLineChars="200"/>
        <w:rPr>
          <w:rFonts w:hint="eastAsia" w:ascii="Times New Roman" w:hAnsi="Times New Roman" w:eastAsia="宋体" w:cs="Times New Roman"/>
          <w:color w:val="auto"/>
          <w:highlight w:val="none"/>
        </w:rPr>
      </w:pPr>
    </w:p>
    <w:p>
      <w:pPr>
        <w:pStyle w:val="14"/>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cs="Times New Roman"/>
          <w:color w:val="auto"/>
          <w:highlight w:val="none"/>
          <w:u w:val="single"/>
          <w:lang w:eastAsia="zh-CN"/>
        </w:rPr>
        <w:t>广西兴桂源招标有限公司</w:t>
      </w:r>
    </w:p>
    <w:p>
      <w:pPr>
        <w:pStyle w:val="14"/>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pPr>
        <w:pStyle w:val="14"/>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pPr>
        <w:pStyle w:val="14"/>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pPr>
        <w:pStyle w:val="14"/>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pStyle w:val="14"/>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pPr>
        <w:pStyle w:val="14"/>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pPr>
        <w:pStyle w:val="14"/>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pPr>
        <w:pStyle w:val="14"/>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pPr>
        <w:pStyle w:val="14"/>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pPr>
        <w:pStyle w:val="14"/>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pPr>
        <w:pStyle w:val="11"/>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pPr>
        <w:pStyle w:val="14"/>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Times New Roman"/>
          <w:color w:val="auto"/>
          <w:sz w:val="24"/>
          <w:highlight w:val="none"/>
          <w:u w:val="none"/>
          <w:lang w:val="en-US" w:eastAsia="zh-CN"/>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22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单项合价（元）</w:t>
            </w:r>
          </w:p>
          <w:p>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p>
            <w:pPr>
              <w:jc w:val="left"/>
              <w:rPr>
                <w:rFonts w:hint="eastAsia" w:ascii="宋体" w:hAnsi="宋体" w:eastAsia="宋体" w:cs="Times New Roman"/>
                <w:color w:val="auto"/>
                <w:szCs w:val="22"/>
                <w:highlight w:val="none"/>
              </w:rPr>
            </w:pPr>
            <w:r>
              <w:rPr>
                <w:rFonts w:hint="eastAsia" w:ascii="宋体" w:hAnsi="宋体" w:cs="Times New Roman"/>
                <w:color w:val="auto"/>
                <w:szCs w:val="21"/>
                <w:highlight w:val="none"/>
                <w:lang w:eastAsia="zh-CN"/>
              </w:rPr>
              <w:t>服务期限：</w:t>
            </w:r>
          </w:p>
        </w:tc>
      </w:tr>
    </w:tbl>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13"/>
        <w:rPr>
          <w:rFonts w:hint="eastAsia" w:ascii="宋体" w:hAnsi="宋体" w:eastAsia="宋体" w:cs="宋体"/>
          <w:color w:val="auto"/>
          <w:highlight w:val="none"/>
          <w:lang w:val="zh-CN"/>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jc w:val="center"/>
        <w:outlineLvl w:val="1"/>
        <w:rPr>
          <w:rFonts w:ascii="宋体" w:hAnsi="宋体" w:eastAsia="宋体" w:cs="Times New Roman"/>
          <w:b/>
          <w:bCs/>
          <w:color w:val="auto"/>
          <w:sz w:val="28"/>
          <w:szCs w:val="28"/>
          <w:highlight w:val="none"/>
        </w:rPr>
      </w:pPr>
      <w:bookmarkStart w:id="394"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4"/>
    </w:p>
    <w:p>
      <w:pPr>
        <w:pStyle w:val="14"/>
        <w:jc w:val="center"/>
        <w:rPr>
          <w:rFonts w:hint="eastAsia" w:ascii="Times New Roman" w:hAnsi="Times New Roman" w:eastAsia="宋体" w:cs="Times New Roman"/>
          <w:b/>
          <w:color w:val="auto"/>
          <w:sz w:val="30"/>
          <w:szCs w:val="30"/>
          <w:highlight w:val="none"/>
        </w:rPr>
      </w:pPr>
    </w:p>
    <w:p>
      <w:pPr>
        <w:pStyle w:val="14"/>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pPr>
        <w:pStyle w:val="14"/>
        <w:jc w:val="center"/>
        <w:rPr>
          <w:rFonts w:hint="eastAsia" w:ascii="Times New Roman" w:hAnsi="Times New Roman" w:eastAsia="宋体" w:cs="Times New Roman"/>
          <w:b/>
          <w:color w:val="auto"/>
          <w:sz w:val="30"/>
          <w:szCs w:val="30"/>
          <w:highlight w:val="none"/>
        </w:rPr>
      </w:pPr>
    </w:p>
    <w:p>
      <w:pPr>
        <w:pStyle w:val="14"/>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pPr>
        <w:pStyle w:val="8"/>
        <w:spacing w:line="240" w:lineRule="auto"/>
        <w:ind w:firstLine="404" w:firstLineChars="200"/>
        <w:rPr>
          <w:rFonts w:ascii="Times New Roman" w:hAnsi="宋体" w:eastAsia="宋体" w:cs="Times New Roman"/>
          <w:color w:val="auto"/>
          <w:sz w:val="21"/>
          <w:szCs w:val="21"/>
          <w:highlight w:val="none"/>
        </w:rPr>
      </w:pP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pPr>
        <w:pStyle w:val="14"/>
        <w:spacing w:line="360" w:lineRule="auto"/>
        <w:ind w:firstLine="420" w:firstLineChars="200"/>
        <w:rPr>
          <w:rFonts w:hint="eastAsia" w:hAnsi="宋体" w:eastAsia="宋体" w:cs="Times New Roman"/>
          <w:color w:val="auto"/>
          <w:szCs w:val="21"/>
          <w:highlight w:val="none"/>
        </w:rPr>
      </w:pPr>
    </w:p>
    <w:p>
      <w:pPr>
        <w:pStyle w:val="14"/>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4"/>
        <w:spacing w:line="360" w:lineRule="auto"/>
        <w:ind w:firstLine="420" w:firstLineChars="200"/>
        <w:rPr>
          <w:rFonts w:hint="eastAsia" w:hAnsi="宋体" w:eastAsia="宋体" w:cs="Times New Roman"/>
          <w:color w:val="auto"/>
          <w:szCs w:val="21"/>
          <w:highlight w:val="none"/>
        </w:rPr>
      </w:pPr>
    </w:p>
    <w:p>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6"/>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pPr>
        <w:pStyle w:val="8"/>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pPr>
        <w:pStyle w:val="8"/>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pPr>
        <w:pStyle w:val="2"/>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pP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pPr>
        <w:jc w:val="left"/>
        <w:rPr>
          <w:rFonts w:hint="eastAsia" w:hAnsi="宋体" w:cs="宋体"/>
          <w:b/>
          <w:color w:val="auto"/>
          <w:sz w:val="28"/>
          <w:szCs w:val="28"/>
          <w:highlight w:val="none"/>
          <w:lang w:val="en-US" w:eastAsia="zh-CN"/>
        </w:rPr>
      </w:pPr>
    </w:p>
    <w:p>
      <w:pPr>
        <w:jc w:val="left"/>
        <w:rPr>
          <w:rFonts w:hint="eastAsia" w:hAnsi="宋体" w:cs="宋体"/>
          <w:b/>
          <w:color w:val="auto"/>
          <w:sz w:val="28"/>
          <w:szCs w:val="28"/>
          <w:highlight w:val="none"/>
          <w:lang w:val="en" w:eastAsia="zh-CN"/>
        </w:rPr>
      </w:pPr>
    </w:p>
    <w:p>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pPr>
        <w:pStyle w:val="14"/>
        <w:spacing w:line="360" w:lineRule="auto"/>
        <w:jc w:val="center"/>
        <w:rPr>
          <w:rFonts w:hint="eastAsia" w:eastAsia="宋体" w:cs="Times New Roman"/>
          <w:b/>
          <w:color w:val="auto"/>
          <w:sz w:val="30"/>
          <w:szCs w:val="30"/>
          <w:highlight w:val="none"/>
        </w:rPr>
      </w:pPr>
    </w:p>
    <w:p>
      <w:pPr>
        <w:pStyle w:val="14"/>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pPr>
        <w:pStyle w:val="14"/>
        <w:spacing w:line="360" w:lineRule="auto"/>
        <w:jc w:val="left"/>
        <w:rPr>
          <w:rFonts w:hint="eastAsia" w:ascii="宋体" w:hAnsi="宋体" w:eastAsia="宋体" w:cs="宋体"/>
          <w:b/>
          <w:color w:val="auto"/>
          <w:szCs w:val="21"/>
          <w:highlight w:val="none"/>
        </w:rPr>
      </w:pPr>
    </w:p>
    <w:p>
      <w:pPr>
        <w:pStyle w:val="14"/>
        <w:spacing w:line="360" w:lineRule="auto"/>
        <w:jc w:val="left"/>
        <w:rPr>
          <w:rFonts w:hint="eastAsia" w:ascii="宋体" w:hAnsi="宋体" w:eastAsia="宋体" w:cs="宋体"/>
          <w:b/>
          <w:color w:val="auto"/>
          <w:szCs w:val="21"/>
          <w:highlight w:val="none"/>
        </w:rPr>
      </w:pPr>
    </w:p>
    <w:p>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4"/>
        <w:spacing w:line="360" w:lineRule="auto"/>
        <w:ind w:left="5132" w:leftChars="1979" w:hanging="976" w:hangingChars="488"/>
        <w:rPr>
          <w:rFonts w:hint="eastAsia" w:ascii="宋体" w:hAnsi="宋体" w:eastAsia="宋体" w:cs="宋体"/>
          <w:color w:val="auto"/>
          <w:sz w:val="20"/>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pacing w:line="240" w:lineRule="auto"/>
        <w:jc w:val="left"/>
        <w:rPr>
          <w:color w:val="auto"/>
          <w:sz w:val="20"/>
          <w:highlight w:val="none"/>
        </w:rPr>
      </w:pPr>
      <w:r>
        <w:rPr>
          <w:color w:val="auto"/>
          <w:sz w:val="20"/>
          <w:highlight w:val="none"/>
        </w:rPr>
        <w:br w:type="page"/>
      </w:r>
    </w:p>
    <w:p>
      <w:pPr>
        <w:pStyle w:val="2"/>
        <w:numPr>
          <w:ilvl w:val="0"/>
          <w:numId w:val="4"/>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pPr>
        <w:pStyle w:val="2"/>
        <w:numPr>
          <w:ilvl w:val="0"/>
          <w:numId w:val="0"/>
        </w:numPr>
        <w:rPr>
          <w:rFonts w:hint="eastAsia" w:ascii="宋体" w:hAnsi="宋体" w:eastAsia="宋体" w:cs="宋体"/>
          <w:color w:val="auto"/>
          <w:kern w:val="0"/>
          <w:sz w:val="28"/>
          <w:szCs w:val="28"/>
          <w:highlight w:val="none"/>
          <w:lang w:eastAsia="zh-CN"/>
        </w:rPr>
      </w:pPr>
    </w:p>
    <w:p>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pPr>
        <w:shd w:val="clear" w:color="auto" w:fill="FFFFFF"/>
        <w:spacing w:line="480" w:lineRule="atLeast"/>
        <w:jc w:val="center"/>
        <w:rPr>
          <w:rFonts w:hint="eastAsia" w:ascii="宋体" w:hAnsi="宋体" w:eastAsia="宋体" w:cs="宋体"/>
          <w:color w:val="auto"/>
          <w:kern w:val="0"/>
          <w:sz w:val="32"/>
          <w:szCs w:val="32"/>
          <w:highlight w:val="none"/>
        </w:rPr>
      </w:pPr>
    </w:p>
    <w:p>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1"/>
        <w:tblW w:w="9371" w:type="dxa"/>
        <w:jc w:val="center"/>
        <w:tblInd w:w="0" w:type="dxa"/>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Layout w:type="fixed"/>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tblPrEx>
          <w:tblLayout w:type="fixed"/>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tblPrEx>
          <w:tblLayout w:type="fixed"/>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Layout w:type="fixed"/>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Layout w:type="fixed"/>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tblPrEx>
          <w:tblLayout w:type="fixed"/>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tblPrEx>
          <w:tblLayout w:type="fixed"/>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tblPrEx>
          <w:tblLayout w:type="fixed"/>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tblPrEx>
          <w:tblLayout w:type="fixed"/>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pPr>
        <w:pStyle w:val="2"/>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pPr>
        <w:jc w:val="center"/>
        <w:rPr>
          <w:rFonts w:hint="eastAsia" w:ascii="宋体" w:hAnsi="宋体" w:eastAsia="宋体" w:cs="宋体"/>
          <w:color w:val="auto"/>
          <w:sz w:val="36"/>
          <w:szCs w:val="36"/>
          <w:highlight w:val="none"/>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vAlign w:val="center"/>
          </w:tcPr>
          <w:p>
            <w:pPr>
              <w:rPr>
                <w:rFonts w:hint="eastAsia" w:ascii="宋体" w:hAnsi="宋体" w:eastAsia="宋体" w:cs="宋体"/>
                <w:color w:val="auto"/>
                <w:sz w:val="24"/>
                <w:highlight w:val="none"/>
              </w:rPr>
            </w:pPr>
          </w:p>
        </w:tc>
        <w:tc>
          <w:tcPr>
            <w:tcW w:w="8456"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vAlign w:val="top"/>
          </w:tcPr>
          <w:p>
            <w:pPr>
              <w:rPr>
                <w:rFonts w:hint="eastAsia" w:ascii="宋体" w:hAnsi="宋体" w:eastAsia="宋体" w:cs="宋体"/>
                <w:color w:val="auto"/>
                <w:sz w:val="24"/>
                <w:highlight w:val="none"/>
              </w:rPr>
            </w:pPr>
          </w:p>
        </w:tc>
        <w:tc>
          <w:tcPr>
            <w:tcW w:w="8456" w:type="dxa"/>
            <w:vAlign w:val="top"/>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pPr>
              <w:spacing w:line="400" w:lineRule="exact"/>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vAlign w:val="top"/>
          </w:tcPr>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vAlign w:val="top"/>
          </w:tcPr>
          <w:p>
            <w:pPr>
              <w:rPr>
                <w:rFonts w:hint="eastAsia" w:ascii="宋体" w:hAnsi="宋体" w:eastAsia="宋体" w:cs="宋体"/>
                <w:color w:val="auto"/>
                <w:sz w:val="24"/>
                <w:highlight w:val="none"/>
              </w:rPr>
            </w:pPr>
          </w:p>
        </w:tc>
      </w:tr>
    </w:tbl>
    <w:p>
      <w:pPr>
        <w:pStyle w:val="13"/>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pPr>
        <w:pStyle w:val="14"/>
        <w:snapToGrid w:val="0"/>
        <w:spacing w:before="120" w:after="120"/>
        <w:rPr>
          <w:rFonts w:hint="eastAsia" w:hAnsi="宋体" w:eastAsia="宋体" w:cs="宋体"/>
          <w:color w:val="auto"/>
          <w:highlight w:val="none"/>
        </w:rPr>
      </w:pPr>
    </w:p>
    <w:p>
      <w:pPr>
        <w:snapToGrid w:val="0"/>
        <w:spacing w:before="50" w:after="165" w:afterLines="50" w:line="360" w:lineRule="auto"/>
        <w:jc w:val="left"/>
        <w:rPr>
          <w:rFonts w:hint="eastAsia" w:ascii="Times New Roman" w:hAnsi="Times New Roman" w:eastAsia="宋体" w:cs="Times New Roman"/>
          <w:color w:val="auto"/>
          <w:sz w:val="20"/>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rPr>
          <w:rFonts w:ascii="Times New Roman" w:hAnsi="Times New Roman" w:eastAsia="宋体" w:cs="Times New Roman"/>
          <w:b/>
          <w:color w:val="auto"/>
          <w:sz w:val="36"/>
          <w:highlight w:val="none"/>
        </w:rPr>
      </w:pPr>
    </w:p>
    <w:p>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95" w:name="_Toc21753"/>
      <w:bookmarkStart w:id="396" w:name="_Toc11260"/>
      <w:bookmarkStart w:id="397" w:name="_Toc31310"/>
      <w:bookmarkStart w:id="398" w:name="_Toc31429"/>
      <w:bookmarkStart w:id="399" w:name="_Toc18173"/>
      <w:bookmarkStart w:id="400" w:name="_Toc17736"/>
      <w:bookmarkStart w:id="401" w:name="_Toc6635"/>
      <w:bookmarkStart w:id="402" w:name="_Toc2211"/>
      <w:bookmarkStart w:id="403" w:name="_Toc7244"/>
      <w:bookmarkStart w:id="404" w:name="_Toc7254"/>
      <w:bookmarkStart w:id="405" w:name="_Toc32028"/>
      <w:bookmarkStart w:id="406" w:name="_Toc25113"/>
      <w:bookmarkStart w:id="407" w:name="_Toc491"/>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5"/>
      <w:bookmarkEnd w:id="396"/>
      <w:bookmarkEnd w:id="397"/>
      <w:bookmarkEnd w:id="398"/>
      <w:bookmarkEnd w:id="399"/>
      <w:bookmarkEnd w:id="400"/>
      <w:bookmarkEnd w:id="401"/>
      <w:bookmarkEnd w:id="402"/>
      <w:bookmarkEnd w:id="403"/>
      <w:bookmarkEnd w:id="404"/>
      <w:bookmarkEnd w:id="405"/>
      <w:bookmarkEnd w:id="406"/>
      <w:bookmarkEnd w:id="407"/>
    </w:p>
    <w:p>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4"/>
        <w:jc w:val="center"/>
        <w:rPr>
          <w:rFonts w:hint="eastAsia" w:ascii="宋体" w:hAnsi="宋体" w:cs="Times New Roman"/>
          <w:b w:val="0"/>
          <w:bCs w:val="0"/>
          <w:color w:val="auto"/>
          <w:highlight w:val="none"/>
        </w:rPr>
      </w:pPr>
      <w:bookmarkStart w:id="408" w:name="_Toc22595"/>
      <w:bookmarkStart w:id="409" w:name="_Toc10944"/>
      <w:bookmarkStart w:id="410" w:name="_Toc15096"/>
      <w:bookmarkStart w:id="411" w:name="_Toc17610"/>
      <w:bookmarkStart w:id="412" w:name="_Toc12016"/>
      <w:bookmarkStart w:id="413" w:name="_Toc3458"/>
      <w:bookmarkStart w:id="414" w:name="_Toc31800"/>
      <w:bookmarkStart w:id="415" w:name="_Toc22540"/>
      <w:bookmarkStart w:id="416" w:name="_Toc25538"/>
      <w:bookmarkStart w:id="417" w:name="_Toc990"/>
      <w:r>
        <w:rPr>
          <w:rFonts w:hint="eastAsia" w:ascii="宋体" w:hAnsi="宋体" w:cs="Times New Roman"/>
          <w:b w:val="0"/>
          <w:bCs w:val="0"/>
          <w:color w:val="auto"/>
          <w:highlight w:val="none"/>
        </w:rPr>
        <w:t>第一节 质疑函（格式）</w:t>
      </w:r>
      <w:bookmarkEnd w:id="408"/>
      <w:bookmarkEnd w:id="409"/>
      <w:bookmarkEnd w:id="410"/>
      <w:bookmarkEnd w:id="411"/>
      <w:bookmarkEnd w:id="412"/>
      <w:bookmarkEnd w:id="413"/>
      <w:bookmarkEnd w:id="414"/>
      <w:bookmarkEnd w:id="415"/>
      <w:bookmarkEnd w:id="416"/>
      <w:bookmarkEnd w:id="417"/>
    </w:p>
    <w:p>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8" w:name="PO_3000001867_PM026_5"/>
      <w:r>
        <w:rPr>
          <w:rFonts w:hint="eastAsia" w:ascii="宋体" w:hAnsi="宋体" w:eastAsia="宋体" w:cs="宋体"/>
          <w:color w:val="auto"/>
          <w:sz w:val="24"/>
          <w:szCs w:val="24"/>
          <w:highlight w:val="none"/>
          <w:u w:val="dotted"/>
        </w:rPr>
        <w:t xml:space="preserve">                        </w:t>
      </w:r>
      <w:bookmarkEnd w:id="418"/>
      <w:r>
        <w:rPr>
          <w:rFonts w:hint="eastAsia" w:ascii="宋体" w:hAnsi="宋体" w:eastAsia="宋体" w:cs="宋体"/>
          <w:color w:val="auto"/>
          <w:sz w:val="24"/>
          <w:szCs w:val="24"/>
          <w:highlight w:val="none"/>
          <w:u w:val="dotted"/>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pPr>
        <w:pStyle w:val="4"/>
        <w:jc w:val="center"/>
        <w:rPr>
          <w:rFonts w:hint="eastAsia" w:ascii="宋体" w:hAnsi="宋体" w:cs="Times New Roman"/>
          <w:b w:val="0"/>
          <w:bCs w:val="0"/>
          <w:color w:val="auto"/>
          <w:highlight w:val="none"/>
        </w:rPr>
      </w:pPr>
      <w:bookmarkStart w:id="419" w:name="_Toc8862"/>
      <w:bookmarkStart w:id="420" w:name="_Toc1896"/>
      <w:bookmarkStart w:id="421" w:name="_Toc11984"/>
      <w:bookmarkStart w:id="422" w:name="_Toc32540"/>
      <w:bookmarkStart w:id="423" w:name="_Toc31203"/>
      <w:bookmarkStart w:id="424" w:name="_Toc11428"/>
      <w:bookmarkStart w:id="425" w:name="_Toc7549"/>
      <w:bookmarkStart w:id="426" w:name="_Toc6551"/>
      <w:bookmarkStart w:id="427" w:name="_Toc24568"/>
      <w:bookmarkStart w:id="428" w:name="_Toc24894"/>
      <w:r>
        <w:rPr>
          <w:rFonts w:hint="eastAsia" w:ascii="宋体" w:hAnsi="宋体" w:cs="Times New Roman"/>
          <w:b w:val="0"/>
          <w:bCs w:val="0"/>
          <w:color w:val="auto"/>
          <w:highlight w:val="none"/>
        </w:rPr>
        <w:t>第二节 投诉书（格式）</w:t>
      </w:r>
      <w:bookmarkEnd w:id="419"/>
      <w:bookmarkEnd w:id="420"/>
      <w:bookmarkEnd w:id="421"/>
      <w:bookmarkEnd w:id="422"/>
      <w:bookmarkEnd w:id="423"/>
      <w:bookmarkEnd w:id="424"/>
      <w:bookmarkEnd w:id="425"/>
      <w:bookmarkEnd w:id="426"/>
      <w:bookmarkEnd w:id="427"/>
      <w:bookmarkEnd w:id="428"/>
    </w:p>
    <w:p>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pPr>
        <w:rPr>
          <w:rFonts w:hint="eastAsia" w:ascii="黑体" w:hAnsi="黑体" w:eastAsia="黑体" w:cs="Times New Roman"/>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9" w:name="PO_3000001867_PM002_12"/>
      <w:r>
        <w:rPr>
          <w:rFonts w:hint="eastAsia" w:ascii="宋体" w:hAnsi="宋体" w:eastAsia="宋体" w:cs="宋体"/>
          <w:color w:val="auto"/>
          <w:sz w:val="24"/>
          <w:szCs w:val="24"/>
          <w:highlight w:val="none"/>
          <w:u w:val="dotted"/>
        </w:rPr>
        <w:t xml:space="preserve">                    </w:t>
      </w:r>
      <w:bookmarkEnd w:id="429"/>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30" w:name="PO_3000001867_PM001_9"/>
      <w:r>
        <w:rPr>
          <w:rFonts w:hint="eastAsia" w:ascii="宋体" w:hAnsi="宋体" w:eastAsia="宋体" w:cs="宋体"/>
          <w:color w:val="auto"/>
          <w:sz w:val="24"/>
          <w:szCs w:val="24"/>
          <w:highlight w:val="none"/>
          <w:u w:val="dotted"/>
        </w:rPr>
        <w:t xml:space="preserve">                    </w:t>
      </w:r>
      <w:bookmarkEnd w:id="430"/>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1" w:name="PO_3000001867_PM026_6"/>
      <w:r>
        <w:rPr>
          <w:rFonts w:hint="eastAsia" w:ascii="宋体" w:hAnsi="宋体" w:eastAsia="宋体" w:cs="宋体"/>
          <w:color w:val="auto"/>
          <w:sz w:val="24"/>
          <w:szCs w:val="24"/>
          <w:highlight w:val="none"/>
          <w:u w:val="dotted"/>
        </w:rPr>
        <w:t xml:space="preserve">                    </w:t>
      </w:r>
      <w:bookmarkEnd w:id="431"/>
      <w:r>
        <w:rPr>
          <w:rFonts w:hint="eastAsia" w:ascii="宋体" w:hAnsi="宋体" w:eastAsia="宋体" w:cs="宋体"/>
          <w:color w:val="auto"/>
          <w:sz w:val="24"/>
          <w:szCs w:val="24"/>
          <w:highlight w:val="none"/>
          <w:u w:val="dotted"/>
          <w:lang w:val="en-US" w:eastAsia="zh-CN"/>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xayeCzAQAASQMAAA4AAABkcnMvZTJvRG9jLnhtbK1TwW7bMAy9D9g/&#10;CLovitu02Iw4xYaiw4BhLZDtAxRZigVIoiApsfMD2x/s1Evv/a58RyklTtfuNuwiUyT1+B5Jz68G&#10;a8hWhqjBNbSaTCmRTkCr3bqhP77fvHtPSUzctdyAkw3dyUivFm/fzHtfyzPowLQyEARxse59Q7uU&#10;fM1YFJ20PE7AS4dBBcHyhNewZm3gPaJbw86m00vWQ2h9ACFjRO/1IUgXBV8pKdKtUlEmYhqK3FI5&#10;QzlX+WSLOa/XgftOiyMN/g8sLNcOi56grnniZBP0X1BWiwARVJoIsAyU0kIWDaimmr5Ss+y4l0UL&#10;Nif6U5vi/4MV37Z3gei2oReUOG5xRPvfv/b3j/uHn+Qit6f3scaspce8NHyCAcc8+iM6s+pBBZu/&#10;qIdgHBu9OzVXDomI/KiafTjHIgJD1Xk1mxV09vzYh5g+S7AkGw0NOLvSUr79GhMSwdQxJddycKON&#10;KfMz7oUDE7OHZeYHhtlKw2o4yllBu0M1PY69oQ73khLzxWFX84aMRhiN1WhsfNDrrqxQrhf9x01C&#10;EoVbrnCAPRbGeRXKx93KC/HnvWQ9/wG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CMWsng&#10;swEAAEkDAAAOAAAAAAAAAAEAIAAAAB8BAABkcnMvZTJvRG9jLnhtbFBLBQYAAAAABgAGAFkBAABE&#10;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pPr>
      <w:pStyle w:val="2"/>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end"/>
    </w:r>
  </w:p>
  <w:p>
    <w:pPr>
      <w:pStyle w:val="2"/>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8493AD5"/>
    <w:multiLevelType w:val="multilevel"/>
    <w:tmpl w:val="28493AD5"/>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348E8DD0"/>
    <w:multiLevelType w:val="singleLevel"/>
    <w:tmpl w:val="348E8DD0"/>
    <w:lvl w:ilvl="0" w:tentative="0">
      <w:start w:val="2"/>
      <w:numFmt w:val="decimal"/>
      <w:suff w:val="space"/>
      <w:lvlText w:val="%1."/>
      <w:lvlJc w:val="left"/>
    </w:lvl>
  </w:abstractNum>
  <w:abstractNum w:abstractNumId="5">
    <w:nsid w:val="51536378"/>
    <w:multiLevelType w:val="singleLevel"/>
    <w:tmpl w:val="51536378"/>
    <w:lvl w:ilvl="0" w:tentative="0">
      <w:start w:val="1"/>
      <w:numFmt w:val="decimal"/>
      <w:suff w:val="nothing"/>
      <w:lvlText w:val="（%1）"/>
      <w:lvlJc w:val="left"/>
      <w:pPr>
        <w:ind w:left="0" w:firstLine="0"/>
      </w:pPr>
    </w:lvl>
  </w:abstractNum>
  <w:num w:numId="1">
    <w:abstractNumId w:val="2"/>
  </w:num>
  <w:num w:numId="2">
    <w:abstractNumId w:val="0"/>
  </w:num>
  <w:num w:numId="3">
    <w:abstractNumId w:val="5"/>
    <w:lvlOverride w:ilvl="0">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zIwMTkxM2NhMjJjMDJhNTU1MGRkY2UyNGM3ZmIifQ=="/>
  </w:docVars>
  <w:rsids>
    <w:rsidRoot w:val="00000000"/>
    <w:rsid w:val="00C621D0"/>
    <w:rsid w:val="00D26508"/>
    <w:rsid w:val="00D47C35"/>
    <w:rsid w:val="00D95B39"/>
    <w:rsid w:val="00DB6B5A"/>
    <w:rsid w:val="01095920"/>
    <w:rsid w:val="011B02F9"/>
    <w:rsid w:val="012A54D2"/>
    <w:rsid w:val="014275A5"/>
    <w:rsid w:val="014E69AF"/>
    <w:rsid w:val="01A72EEF"/>
    <w:rsid w:val="01BE6222"/>
    <w:rsid w:val="01C92250"/>
    <w:rsid w:val="02055082"/>
    <w:rsid w:val="02974B2C"/>
    <w:rsid w:val="02CC6E30"/>
    <w:rsid w:val="02D92142"/>
    <w:rsid w:val="03323B4D"/>
    <w:rsid w:val="035C3D6F"/>
    <w:rsid w:val="036A4118"/>
    <w:rsid w:val="037B5A38"/>
    <w:rsid w:val="038207AB"/>
    <w:rsid w:val="038F07B3"/>
    <w:rsid w:val="039607E1"/>
    <w:rsid w:val="04054EA8"/>
    <w:rsid w:val="041C7FB9"/>
    <w:rsid w:val="047475DC"/>
    <w:rsid w:val="04975296"/>
    <w:rsid w:val="049A7C20"/>
    <w:rsid w:val="04A57753"/>
    <w:rsid w:val="04C31FAE"/>
    <w:rsid w:val="04E34912"/>
    <w:rsid w:val="054564B5"/>
    <w:rsid w:val="054579FD"/>
    <w:rsid w:val="054D6CFB"/>
    <w:rsid w:val="054F5D32"/>
    <w:rsid w:val="056D44BF"/>
    <w:rsid w:val="05A71B3F"/>
    <w:rsid w:val="05C879C0"/>
    <w:rsid w:val="05EC04F9"/>
    <w:rsid w:val="060A5367"/>
    <w:rsid w:val="061760BE"/>
    <w:rsid w:val="066F5DC3"/>
    <w:rsid w:val="0676474C"/>
    <w:rsid w:val="068C4871"/>
    <w:rsid w:val="069602FF"/>
    <w:rsid w:val="06E34BE1"/>
    <w:rsid w:val="06F62551"/>
    <w:rsid w:val="072D0157"/>
    <w:rsid w:val="075D020D"/>
    <w:rsid w:val="07621280"/>
    <w:rsid w:val="0790327A"/>
    <w:rsid w:val="07A428E3"/>
    <w:rsid w:val="07CB185D"/>
    <w:rsid w:val="07DA4E9C"/>
    <w:rsid w:val="08093A71"/>
    <w:rsid w:val="080F4569"/>
    <w:rsid w:val="084B15D0"/>
    <w:rsid w:val="089C0022"/>
    <w:rsid w:val="08A76D34"/>
    <w:rsid w:val="08F00221"/>
    <w:rsid w:val="08FB6F31"/>
    <w:rsid w:val="09572877"/>
    <w:rsid w:val="097C1490"/>
    <w:rsid w:val="09AB0983"/>
    <w:rsid w:val="09CE1116"/>
    <w:rsid w:val="09E076C7"/>
    <w:rsid w:val="0A1E7575"/>
    <w:rsid w:val="0A2013A9"/>
    <w:rsid w:val="0A435CEB"/>
    <w:rsid w:val="0A564057"/>
    <w:rsid w:val="0A765A8A"/>
    <w:rsid w:val="0A813285"/>
    <w:rsid w:val="0AA809C6"/>
    <w:rsid w:val="0ACE705D"/>
    <w:rsid w:val="0AD3705F"/>
    <w:rsid w:val="0AF837E4"/>
    <w:rsid w:val="0B05035F"/>
    <w:rsid w:val="0B2B22F5"/>
    <w:rsid w:val="0B5140BC"/>
    <w:rsid w:val="0B615CFF"/>
    <w:rsid w:val="0B831A63"/>
    <w:rsid w:val="0B8C6DD9"/>
    <w:rsid w:val="0B8F7AB0"/>
    <w:rsid w:val="0BA95626"/>
    <w:rsid w:val="0BC23C9A"/>
    <w:rsid w:val="0C463AE2"/>
    <w:rsid w:val="0CDC043F"/>
    <w:rsid w:val="0D543F47"/>
    <w:rsid w:val="0D9269B0"/>
    <w:rsid w:val="0D992AED"/>
    <w:rsid w:val="0E0F21BC"/>
    <w:rsid w:val="0E1770D6"/>
    <w:rsid w:val="0E2B18D5"/>
    <w:rsid w:val="0E3218E4"/>
    <w:rsid w:val="0E73260E"/>
    <w:rsid w:val="0E7F6B3C"/>
    <w:rsid w:val="0EA91BC1"/>
    <w:rsid w:val="0EEF6AAD"/>
    <w:rsid w:val="0EFB7D6B"/>
    <w:rsid w:val="0F035F56"/>
    <w:rsid w:val="0F17197D"/>
    <w:rsid w:val="0F3410B2"/>
    <w:rsid w:val="0F524821"/>
    <w:rsid w:val="0F6B1F01"/>
    <w:rsid w:val="0FB74DC9"/>
    <w:rsid w:val="101A621B"/>
    <w:rsid w:val="102F0E28"/>
    <w:rsid w:val="10390118"/>
    <w:rsid w:val="10827652"/>
    <w:rsid w:val="10A25EDA"/>
    <w:rsid w:val="10C24E30"/>
    <w:rsid w:val="10D4339F"/>
    <w:rsid w:val="11652FD6"/>
    <w:rsid w:val="11D843F8"/>
    <w:rsid w:val="11F56084"/>
    <w:rsid w:val="120D6C92"/>
    <w:rsid w:val="12DE2AB6"/>
    <w:rsid w:val="12E271C4"/>
    <w:rsid w:val="12E63C04"/>
    <w:rsid w:val="13004370"/>
    <w:rsid w:val="13D773DA"/>
    <w:rsid w:val="144E3925"/>
    <w:rsid w:val="14814229"/>
    <w:rsid w:val="1485642A"/>
    <w:rsid w:val="148C55F5"/>
    <w:rsid w:val="1493579A"/>
    <w:rsid w:val="14A02656"/>
    <w:rsid w:val="14EF2214"/>
    <w:rsid w:val="15112FB3"/>
    <w:rsid w:val="1517629B"/>
    <w:rsid w:val="15A71FCF"/>
    <w:rsid w:val="15CE73E7"/>
    <w:rsid w:val="15DA6861"/>
    <w:rsid w:val="15E352DA"/>
    <w:rsid w:val="15F7039E"/>
    <w:rsid w:val="16521360"/>
    <w:rsid w:val="169D6CED"/>
    <w:rsid w:val="16CC463A"/>
    <w:rsid w:val="172A6452"/>
    <w:rsid w:val="17526FA4"/>
    <w:rsid w:val="178A5D34"/>
    <w:rsid w:val="1795379C"/>
    <w:rsid w:val="18063809"/>
    <w:rsid w:val="18817186"/>
    <w:rsid w:val="18A53C2D"/>
    <w:rsid w:val="18E66AB2"/>
    <w:rsid w:val="18F87C40"/>
    <w:rsid w:val="19097C61"/>
    <w:rsid w:val="19155678"/>
    <w:rsid w:val="192D05BB"/>
    <w:rsid w:val="194F7902"/>
    <w:rsid w:val="198C3B29"/>
    <w:rsid w:val="19B81747"/>
    <w:rsid w:val="19DC1C4E"/>
    <w:rsid w:val="19FF33EE"/>
    <w:rsid w:val="1A224809"/>
    <w:rsid w:val="1A70567B"/>
    <w:rsid w:val="1A774458"/>
    <w:rsid w:val="1A846A93"/>
    <w:rsid w:val="1AA22304"/>
    <w:rsid w:val="1ABD34B5"/>
    <w:rsid w:val="1B1A3D35"/>
    <w:rsid w:val="1B8B4540"/>
    <w:rsid w:val="1B980981"/>
    <w:rsid w:val="1BC83144"/>
    <w:rsid w:val="1C4C05CE"/>
    <w:rsid w:val="1C9E7D2D"/>
    <w:rsid w:val="1CA43733"/>
    <w:rsid w:val="1CAF0533"/>
    <w:rsid w:val="1CCA5C25"/>
    <w:rsid w:val="1D337B25"/>
    <w:rsid w:val="1D556DBC"/>
    <w:rsid w:val="1DF1639C"/>
    <w:rsid w:val="1E037DAC"/>
    <w:rsid w:val="1E55723C"/>
    <w:rsid w:val="1EA4279A"/>
    <w:rsid w:val="1EA700B7"/>
    <w:rsid w:val="1F152A17"/>
    <w:rsid w:val="1F4E3E9E"/>
    <w:rsid w:val="1F6210D9"/>
    <w:rsid w:val="1F640C4B"/>
    <w:rsid w:val="1F7C3BBA"/>
    <w:rsid w:val="1FC2394D"/>
    <w:rsid w:val="1FCF2A25"/>
    <w:rsid w:val="202A5D19"/>
    <w:rsid w:val="208D2FA3"/>
    <w:rsid w:val="20910DC7"/>
    <w:rsid w:val="209640CD"/>
    <w:rsid w:val="20967EE2"/>
    <w:rsid w:val="20D3473E"/>
    <w:rsid w:val="20DD79A8"/>
    <w:rsid w:val="20E233A0"/>
    <w:rsid w:val="210C3F81"/>
    <w:rsid w:val="21170006"/>
    <w:rsid w:val="213D7796"/>
    <w:rsid w:val="215E6B36"/>
    <w:rsid w:val="217D1569"/>
    <w:rsid w:val="21AB6CB3"/>
    <w:rsid w:val="21DA28C2"/>
    <w:rsid w:val="21E92535"/>
    <w:rsid w:val="21EA67DF"/>
    <w:rsid w:val="22222194"/>
    <w:rsid w:val="22494C50"/>
    <w:rsid w:val="22551944"/>
    <w:rsid w:val="225718E5"/>
    <w:rsid w:val="2279283A"/>
    <w:rsid w:val="227A5108"/>
    <w:rsid w:val="22AB5DF9"/>
    <w:rsid w:val="22C87A6E"/>
    <w:rsid w:val="22CE4F93"/>
    <w:rsid w:val="22DA3051"/>
    <w:rsid w:val="22DC4C58"/>
    <w:rsid w:val="23236BC0"/>
    <w:rsid w:val="23727309"/>
    <w:rsid w:val="237F36A3"/>
    <w:rsid w:val="239515C4"/>
    <w:rsid w:val="23AD68F9"/>
    <w:rsid w:val="23C31EAF"/>
    <w:rsid w:val="23C46C9C"/>
    <w:rsid w:val="23CD5BEA"/>
    <w:rsid w:val="23D46646"/>
    <w:rsid w:val="23E16DB3"/>
    <w:rsid w:val="23EF07BD"/>
    <w:rsid w:val="240B21ED"/>
    <w:rsid w:val="242D3833"/>
    <w:rsid w:val="247F2B12"/>
    <w:rsid w:val="24816B05"/>
    <w:rsid w:val="24941690"/>
    <w:rsid w:val="24CF590E"/>
    <w:rsid w:val="24FD473D"/>
    <w:rsid w:val="25581FF1"/>
    <w:rsid w:val="25665875"/>
    <w:rsid w:val="256C491B"/>
    <w:rsid w:val="258F5A73"/>
    <w:rsid w:val="25E2566C"/>
    <w:rsid w:val="26A742E8"/>
    <w:rsid w:val="26CF1553"/>
    <w:rsid w:val="26DA0542"/>
    <w:rsid w:val="273259A9"/>
    <w:rsid w:val="27380A7A"/>
    <w:rsid w:val="27503865"/>
    <w:rsid w:val="275A5F00"/>
    <w:rsid w:val="276258F6"/>
    <w:rsid w:val="279A2560"/>
    <w:rsid w:val="27DA7DAA"/>
    <w:rsid w:val="27F23143"/>
    <w:rsid w:val="28063E8E"/>
    <w:rsid w:val="28790670"/>
    <w:rsid w:val="29095C9F"/>
    <w:rsid w:val="291B1976"/>
    <w:rsid w:val="292145DB"/>
    <w:rsid w:val="292D12B6"/>
    <w:rsid w:val="29AB0C3B"/>
    <w:rsid w:val="29BB4910"/>
    <w:rsid w:val="29DD3939"/>
    <w:rsid w:val="2A1F36F3"/>
    <w:rsid w:val="2A636FF6"/>
    <w:rsid w:val="2AE0087A"/>
    <w:rsid w:val="2B3B1E66"/>
    <w:rsid w:val="2B770163"/>
    <w:rsid w:val="2B960D99"/>
    <w:rsid w:val="2B9E3F4D"/>
    <w:rsid w:val="2BCB247B"/>
    <w:rsid w:val="2C7D12B4"/>
    <w:rsid w:val="2CCA7EB6"/>
    <w:rsid w:val="2CED73A5"/>
    <w:rsid w:val="2CF72413"/>
    <w:rsid w:val="2D3347E7"/>
    <w:rsid w:val="2D4F38E3"/>
    <w:rsid w:val="2D6045A9"/>
    <w:rsid w:val="2D9617F6"/>
    <w:rsid w:val="2DBE7E6A"/>
    <w:rsid w:val="2DCB0FE4"/>
    <w:rsid w:val="2DE521C0"/>
    <w:rsid w:val="2DEC5B1F"/>
    <w:rsid w:val="2E21726B"/>
    <w:rsid w:val="2E4C701C"/>
    <w:rsid w:val="2F423753"/>
    <w:rsid w:val="2F575FD4"/>
    <w:rsid w:val="2FB87BD1"/>
    <w:rsid w:val="2FEC31AA"/>
    <w:rsid w:val="2FF80F0E"/>
    <w:rsid w:val="304108B1"/>
    <w:rsid w:val="305807BF"/>
    <w:rsid w:val="306B5FE8"/>
    <w:rsid w:val="307E46AF"/>
    <w:rsid w:val="30D81EF7"/>
    <w:rsid w:val="30D93356"/>
    <w:rsid w:val="30DA1DD9"/>
    <w:rsid w:val="318D2CFD"/>
    <w:rsid w:val="31EF7B28"/>
    <w:rsid w:val="32015993"/>
    <w:rsid w:val="322118FB"/>
    <w:rsid w:val="322476CF"/>
    <w:rsid w:val="322B55AE"/>
    <w:rsid w:val="32390A38"/>
    <w:rsid w:val="326C65A7"/>
    <w:rsid w:val="326D5167"/>
    <w:rsid w:val="326E6C1E"/>
    <w:rsid w:val="32AD00E0"/>
    <w:rsid w:val="32BB403E"/>
    <w:rsid w:val="32E3590E"/>
    <w:rsid w:val="32FC3D25"/>
    <w:rsid w:val="33136037"/>
    <w:rsid w:val="3316675F"/>
    <w:rsid w:val="334C2EAF"/>
    <w:rsid w:val="33800A0F"/>
    <w:rsid w:val="338E424C"/>
    <w:rsid w:val="339B377C"/>
    <w:rsid w:val="33D1368F"/>
    <w:rsid w:val="33E34AC4"/>
    <w:rsid w:val="345631E3"/>
    <w:rsid w:val="34572A71"/>
    <w:rsid w:val="349D7A9E"/>
    <w:rsid w:val="34BB41E0"/>
    <w:rsid w:val="34BC4B4B"/>
    <w:rsid w:val="3507717E"/>
    <w:rsid w:val="350C2D09"/>
    <w:rsid w:val="357C5CAB"/>
    <w:rsid w:val="3592350F"/>
    <w:rsid w:val="35A67A5F"/>
    <w:rsid w:val="3615435C"/>
    <w:rsid w:val="361E362C"/>
    <w:rsid w:val="3635774B"/>
    <w:rsid w:val="3642105E"/>
    <w:rsid w:val="366E1C81"/>
    <w:rsid w:val="366E4460"/>
    <w:rsid w:val="36773E5D"/>
    <w:rsid w:val="36801F8F"/>
    <w:rsid w:val="36AF573D"/>
    <w:rsid w:val="36BB169B"/>
    <w:rsid w:val="36CF23CE"/>
    <w:rsid w:val="36D3565B"/>
    <w:rsid w:val="36E0622F"/>
    <w:rsid w:val="36ED3DEE"/>
    <w:rsid w:val="3720584E"/>
    <w:rsid w:val="375D21A8"/>
    <w:rsid w:val="3779039B"/>
    <w:rsid w:val="37FB3273"/>
    <w:rsid w:val="383967AA"/>
    <w:rsid w:val="387F5AF8"/>
    <w:rsid w:val="38E50D89"/>
    <w:rsid w:val="39455184"/>
    <w:rsid w:val="39726B7C"/>
    <w:rsid w:val="399B6E57"/>
    <w:rsid w:val="39B87771"/>
    <w:rsid w:val="39EA3076"/>
    <w:rsid w:val="3A395E36"/>
    <w:rsid w:val="3A443C96"/>
    <w:rsid w:val="3A5E70A9"/>
    <w:rsid w:val="3A605AF2"/>
    <w:rsid w:val="3ADE1AAE"/>
    <w:rsid w:val="3AFE2918"/>
    <w:rsid w:val="3B457F98"/>
    <w:rsid w:val="3B6C49BC"/>
    <w:rsid w:val="3B776CDF"/>
    <w:rsid w:val="3BA30382"/>
    <w:rsid w:val="3BAA39EE"/>
    <w:rsid w:val="3BE13678"/>
    <w:rsid w:val="3C0359A7"/>
    <w:rsid w:val="3C457F4A"/>
    <w:rsid w:val="3D0843F1"/>
    <w:rsid w:val="3DBD339D"/>
    <w:rsid w:val="3E4F3CEB"/>
    <w:rsid w:val="3E8B7A4C"/>
    <w:rsid w:val="3ED4138B"/>
    <w:rsid w:val="3EF54968"/>
    <w:rsid w:val="3F1B0FC1"/>
    <w:rsid w:val="3F246DEE"/>
    <w:rsid w:val="3F320B28"/>
    <w:rsid w:val="3F4A0470"/>
    <w:rsid w:val="3F5512BA"/>
    <w:rsid w:val="3FD602BE"/>
    <w:rsid w:val="400468BA"/>
    <w:rsid w:val="40D60483"/>
    <w:rsid w:val="40EF446D"/>
    <w:rsid w:val="40FB4072"/>
    <w:rsid w:val="41132F64"/>
    <w:rsid w:val="41366D43"/>
    <w:rsid w:val="4152018A"/>
    <w:rsid w:val="416C7DBD"/>
    <w:rsid w:val="41F122DB"/>
    <w:rsid w:val="4234381E"/>
    <w:rsid w:val="42954201"/>
    <w:rsid w:val="429823CB"/>
    <w:rsid w:val="42A178EE"/>
    <w:rsid w:val="43050FCE"/>
    <w:rsid w:val="433831AE"/>
    <w:rsid w:val="433B256A"/>
    <w:rsid w:val="43460D6B"/>
    <w:rsid w:val="43F31EC1"/>
    <w:rsid w:val="43FB1131"/>
    <w:rsid w:val="441A2345"/>
    <w:rsid w:val="44385910"/>
    <w:rsid w:val="443F0DB6"/>
    <w:rsid w:val="445E4478"/>
    <w:rsid w:val="446E37ED"/>
    <w:rsid w:val="447E4A26"/>
    <w:rsid w:val="44E471D7"/>
    <w:rsid w:val="458F40E0"/>
    <w:rsid w:val="45D4622A"/>
    <w:rsid w:val="462E0726"/>
    <w:rsid w:val="4683709C"/>
    <w:rsid w:val="46AF2877"/>
    <w:rsid w:val="46DF5EB9"/>
    <w:rsid w:val="471760F8"/>
    <w:rsid w:val="47435B56"/>
    <w:rsid w:val="476123B9"/>
    <w:rsid w:val="47720309"/>
    <w:rsid w:val="478009AC"/>
    <w:rsid w:val="47A42B87"/>
    <w:rsid w:val="47B03B4D"/>
    <w:rsid w:val="484A0F00"/>
    <w:rsid w:val="484E4048"/>
    <w:rsid w:val="48787FAC"/>
    <w:rsid w:val="489B2F4B"/>
    <w:rsid w:val="48C0305C"/>
    <w:rsid w:val="48CF07C1"/>
    <w:rsid w:val="48D1046F"/>
    <w:rsid w:val="49360D0C"/>
    <w:rsid w:val="493865B5"/>
    <w:rsid w:val="496C7C8D"/>
    <w:rsid w:val="498469FF"/>
    <w:rsid w:val="4A187D2D"/>
    <w:rsid w:val="4AC863B5"/>
    <w:rsid w:val="4ADD6C7C"/>
    <w:rsid w:val="4B410C16"/>
    <w:rsid w:val="4B44380D"/>
    <w:rsid w:val="4B7F5BCC"/>
    <w:rsid w:val="4BA94BA1"/>
    <w:rsid w:val="4BB30F42"/>
    <w:rsid w:val="4BC17ABD"/>
    <w:rsid w:val="4BEE18C0"/>
    <w:rsid w:val="4BF33563"/>
    <w:rsid w:val="4BF50CB2"/>
    <w:rsid w:val="4C6E15BF"/>
    <w:rsid w:val="4C737E6D"/>
    <w:rsid w:val="4CAF6EB5"/>
    <w:rsid w:val="4CB2054A"/>
    <w:rsid w:val="4CC65386"/>
    <w:rsid w:val="4CDF679D"/>
    <w:rsid w:val="4CFE0910"/>
    <w:rsid w:val="4D165162"/>
    <w:rsid w:val="4D170BB5"/>
    <w:rsid w:val="4D574D34"/>
    <w:rsid w:val="4D640565"/>
    <w:rsid w:val="4D7213D6"/>
    <w:rsid w:val="4DA02A01"/>
    <w:rsid w:val="4DB67C3F"/>
    <w:rsid w:val="4DB93C1C"/>
    <w:rsid w:val="4DDC3463"/>
    <w:rsid w:val="4E050942"/>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67405"/>
    <w:rsid w:val="50BF7A86"/>
    <w:rsid w:val="50CC34E5"/>
    <w:rsid w:val="50F7462E"/>
    <w:rsid w:val="50FC2C3C"/>
    <w:rsid w:val="51281801"/>
    <w:rsid w:val="5165451C"/>
    <w:rsid w:val="518F7337"/>
    <w:rsid w:val="51CA2B07"/>
    <w:rsid w:val="51D574B6"/>
    <w:rsid w:val="51D97625"/>
    <w:rsid w:val="520D40AC"/>
    <w:rsid w:val="52237D21"/>
    <w:rsid w:val="524B5983"/>
    <w:rsid w:val="527777E7"/>
    <w:rsid w:val="528E2E9A"/>
    <w:rsid w:val="52A248C9"/>
    <w:rsid w:val="533E54DE"/>
    <w:rsid w:val="53532AF5"/>
    <w:rsid w:val="5363174A"/>
    <w:rsid w:val="53781CD0"/>
    <w:rsid w:val="53BE66B0"/>
    <w:rsid w:val="53D272B4"/>
    <w:rsid w:val="53E429F3"/>
    <w:rsid w:val="53FC7D3D"/>
    <w:rsid w:val="544F4B17"/>
    <w:rsid w:val="54690E06"/>
    <w:rsid w:val="547D1B69"/>
    <w:rsid w:val="547D3CA1"/>
    <w:rsid w:val="549A78FD"/>
    <w:rsid w:val="54A44EEC"/>
    <w:rsid w:val="54A71544"/>
    <w:rsid w:val="54E03240"/>
    <w:rsid w:val="54E161E6"/>
    <w:rsid w:val="55717EF0"/>
    <w:rsid w:val="55B83796"/>
    <w:rsid w:val="55BC0551"/>
    <w:rsid w:val="55BD62FC"/>
    <w:rsid w:val="55CF4789"/>
    <w:rsid w:val="55E24205"/>
    <w:rsid w:val="55FF3119"/>
    <w:rsid w:val="56290606"/>
    <w:rsid w:val="56960007"/>
    <w:rsid w:val="569C33FD"/>
    <w:rsid w:val="56A67268"/>
    <w:rsid w:val="56AD53E1"/>
    <w:rsid w:val="56E17E4B"/>
    <w:rsid w:val="57063530"/>
    <w:rsid w:val="571177FA"/>
    <w:rsid w:val="571A4D54"/>
    <w:rsid w:val="57285324"/>
    <w:rsid w:val="572C50A1"/>
    <w:rsid w:val="574A79DE"/>
    <w:rsid w:val="574E744D"/>
    <w:rsid w:val="57862A77"/>
    <w:rsid w:val="57D26EB7"/>
    <w:rsid w:val="580653FD"/>
    <w:rsid w:val="580F63AE"/>
    <w:rsid w:val="586B7753"/>
    <w:rsid w:val="58A200E3"/>
    <w:rsid w:val="58AA581E"/>
    <w:rsid w:val="58D5070A"/>
    <w:rsid w:val="59043E01"/>
    <w:rsid w:val="59BB60CF"/>
    <w:rsid w:val="59D34D02"/>
    <w:rsid w:val="5A4E4EC1"/>
    <w:rsid w:val="5A4E7262"/>
    <w:rsid w:val="5A791DEA"/>
    <w:rsid w:val="5A7C75A7"/>
    <w:rsid w:val="5A831B3A"/>
    <w:rsid w:val="5AEE72F1"/>
    <w:rsid w:val="5BC24B08"/>
    <w:rsid w:val="5BE34185"/>
    <w:rsid w:val="5BF6728A"/>
    <w:rsid w:val="5C766F57"/>
    <w:rsid w:val="5C7865A7"/>
    <w:rsid w:val="5C9F3A65"/>
    <w:rsid w:val="5CB11B30"/>
    <w:rsid w:val="5D10309F"/>
    <w:rsid w:val="5D2B4B79"/>
    <w:rsid w:val="5D3D543E"/>
    <w:rsid w:val="5D425978"/>
    <w:rsid w:val="5D6F03B3"/>
    <w:rsid w:val="5D8F57D0"/>
    <w:rsid w:val="5DB43D5B"/>
    <w:rsid w:val="5DC90AF1"/>
    <w:rsid w:val="5E1F3CF6"/>
    <w:rsid w:val="5E565CA2"/>
    <w:rsid w:val="5E7B08D1"/>
    <w:rsid w:val="5E826CA8"/>
    <w:rsid w:val="5E847D30"/>
    <w:rsid w:val="5EAB0D2C"/>
    <w:rsid w:val="5F2B1805"/>
    <w:rsid w:val="5F476193"/>
    <w:rsid w:val="5F4D6DA2"/>
    <w:rsid w:val="5F7C6BC3"/>
    <w:rsid w:val="5FAE1170"/>
    <w:rsid w:val="5FB76261"/>
    <w:rsid w:val="604231D2"/>
    <w:rsid w:val="60573113"/>
    <w:rsid w:val="606B2F67"/>
    <w:rsid w:val="60D56C76"/>
    <w:rsid w:val="60E342E4"/>
    <w:rsid w:val="61151723"/>
    <w:rsid w:val="614528AC"/>
    <w:rsid w:val="617B565A"/>
    <w:rsid w:val="619D6B85"/>
    <w:rsid w:val="61B34AB6"/>
    <w:rsid w:val="61B363CD"/>
    <w:rsid w:val="61FB170E"/>
    <w:rsid w:val="62240EDC"/>
    <w:rsid w:val="62A00E16"/>
    <w:rsid w:val="62D14C9E"/>
    <w:rsid w:val="633F463B"/>
    <w:rsid w:val="639F7DC1"/>
    <w:rsid w:val="63EE313D"/>
    <w:rsid w:val="63F30435"/>
    <w:rsid w:val="64050ABF"/>
    <w:rsid w:val="642042AD"/>
    <w:rsid w:val="642D1CFD"/>
    <w:rsid w:val="64363468"/>
    <w:rsid w:val="645239A3"/>
    <w:rsid w:val="64B32E2F"/>
    <w:rsid w:val="64C157D9"/>
    <w:rsid w:val="64CA7FBA"/>
    <w:rsid w:val="64E250F2"/>
    <w:rsid w:val="6500469F"/>
    <w:rsid w:val="6524506B"/>
    <w:rsid w:val="6585539A"/>
    <w:rsid w:val="659F6081"/>
    <w:rsid w:val="65A70C8A"/>
    <w:rsid w:val="65A76324"/>
    <w:rsid w:val="65A823F2"/>
    <w:rsid w:val="65B460C5"/>
    <w:rsid w:val="65ED414E"/>
    <w:rsid w:val="65EF4D81"/>
    <w:rsid w:val="66620E80"/>
    <w:rsid w:val="66B5420B"/>
    <w:rsid w:val="670F7889"/>
    <w:rsid w:val="67126567"/>
    <w:rsid w:val="67211260"/>
    <w:rsid w:val="67460997"/>
    <w:rsid w:val="676557D9"/>
    <w:rsid w:val="67691E5C"/>
    <w:rsid w:val="676D705E"/>
    <w:rsid w:val="67A05B2A"/>
    <w:rsid w:val="67DE2C50"/>
    <w:rsid w:val="67DE7084"/>
    <w:rsid w:val="67F7300E"/>
    <w:rsid w:val="68342E8F"/>
    <w:rsid w:val="68483D18"/>
    <w:rsid w:val="687D4BDD"/>
    <w:rsid w:val="68952F54"/>
    <w:rsid w:val="68C20AB6"/>
    <w:rsid w:val="68DC3EFE"/>
    <w:rsid w:val="68F8398F"/>
    <w:rsid w:val="69125ADB"/>
    <w:rsid w:val="691C6DB7"/>
    <w:rsid w:val="69507B39"/>
    <w:rsid w:val="698E0FEB"/>
    <w:rsid w:val="6998799E"/>
    <w:rsid w:val="6A3E6267"/>
    <w:rsid w:val="6A5238EB"/>
    <w:rsid w:val="6A5979DE"/>
    <w:rsid w:val="6A8923D3"/>
    <w:rsid w:val="6ADB3525"/>
    <w:rsid w:val="6B8723B0"/>
    <w:rsid w:val="6B8B2B72"/>
    <w:rsid w:val="6C3170F0"/>
    <w:rsid w:val="6CA8352E"/>
    <w:rsid w:val="6CB03922"/>
    <w:rsid w:val="6CB127C3"/>
    <w:rsid w:val="6CB46AD8"/>
    <w:rsid w:val="6CB97733"/>
    <w:rsid w:val="6CBF17CD"/>
    <w:rsid w:val="6CD725ED"/>
    <w:rsid w:val="6CEA4165"/>
    <w:rsid w:val="6D376AFE"/>
    <w:rsid w:val="6D3B35C4"/>
    <w:rsid w:val="6D546223"/>
    <w:rsid w:val="6D846004"/>
    <w:rsid w:val="6E141A2A"/>
    <w:rsid w:val="6E5509CC"/>
    <w:rsid w:val="6EA05AE1"/>
    <w:rsid w:val="6EAB20CD"/>
    <w:rsid w:val="6EE06FEB"/>
    <w:rsid w:val="6EF74287"/>
    <w:rsid w:val="6F134E7F"/>
    <w:rsid w:val="6F153218"/>
    <w:rsid w:val="6F1F0ECB"/>
    <w:rsid w:val="6F76486B"/>
    <w:rsid w:val="6F924A6F"/>
    <w:rsid w:val="6FDB0A19"/>
    <w:rsid w:val="6FE55BBD"/>
    <w:rsid w:val="707B47C4"/>
    <w:rsid w:val="709B4B83"/>
    <w:rsid w:val="70B64C12"/>
    <w:rsid w:val="70C11755"/>
    <w:rsid w:val="70CA692A"/>
    <w:rsid w:val="70DD2618"/>
    <w:rsid w:val="70E6544B"/>
    <w:rsid w:val="70ED0986"/>
    <w:rsid w:val="71881060"/>
    <w:rsid w:val="71CF0D35"/>
    <w:rsid w:val="71D728C9"/>
    <w:rsid w:val="71D83653"/>
    <w:rsid w:val="71E003DD"/>
    <w:rsid w:val="71F41383"/>
    <w:rsid w:val="72021250"/>
    <w:rsid w:val="720F6D7D"/>
    <w:rsid w:val="72472963"/>
    <w:rsid w:val="726532FB"/>
    <w:rsid w:val="72670F93"/>
    <w:rsid w:val="72950198"/>
    <w:rsid w:val="72BA77E4"/>
    <w:rsid w:val="72EA4658"/>
    <w:rsid w:val="7320375D"/>
    <w:rsid w:val="73532B62"/>
    <w:rsid w:val="736C23ED"/>
    <w:rsid w:val="73F53DA6"/>
    <w:rsid w:val="742B4973"/>
    <w:rsid w:val="74444F9D"/>
    <w:rsid w:val="748725BD"/>
    <w:rsid w:val="74A01DFE"/>
    <w:rsid w:val="74B00652"/>
    <w:rsid w:val="74C6075E"/>
    <w:rsid w:val="74F109DD"/>
    <w:rsid w:val="753442AC"/>
    <w:rsid w:val="755A26D4"/>
    <w:rsid w:val="75667239"/>
    <w:rsid w:val="756D0B1E"/>
    <w:rsid w:val="75E57090"/>
    <w:rsid w:val="761B4B26"/>
    <w:rsid w:val="762F10DD"/>
    <w:rsid w:val="76945580"/>
    <w:rsid w:val="769B575F"/>
    <w:rsid w:val="76BE180F"/>
    <w:rsid w:val="76E17EFC"/>
    <w:rsid w:val="771C6DDB"/>
    <w:rsid w:val="774C11E5"/>
    <w:rsid w:val="77563BDF"/>
    <w:rsid w:val="77970501"/>
    <w:rsid w:val="77CE4E49"/>
    <w:rsid w:val="77DD1955"/>
    <w:rsid w:val="78130882"/>
    <w:rsid w:val="78492BFF"/>
    <w:rsid w:val="784A2834"/>
    <w:rsid w:val="78986C8F"/>
    <w:rsid w:val="78F53EF1"/>
    <w:rsid w:val="79064ACA"/>
    <w:rsid w:val="79200D68"/>
    <w:rsid w:val="794B1CCF"/>
    <w:rsid w:val="794E1F75"/>
    <w:rsid w:val="799737F5"/>
    <w:rsid w:val="799E4EDF"/>
    <w:rsid w:val="79C40791"/>
    <w:rsid w:val="7A4D6843"/>
    <w:rsid w:val="7A721263"/>
    <w:rsid w:val="7AA812CD"/>
    <w:rsid w:val="7AB35B69"/>
    <w:rsid w:val="7ABC4266"/>
    <w:rsid w:val="7B2241A0"/>
    <w:rsid w:val="7B4E5F74"/>
    <w:rsid w:val="7B5B590C"/>
    <w:rsid w:val="7B98751E"/>
    <w:rsid w:val="7BC21276"/>
    <w:rsid w:val="7BF232D8"/>
    <w:rsid w:val="7C0A10B0"/>
    <w:rsid w:val="7C164F78"/>
    <w:rsid w:val="7C2521C4"/>
    <w:rsid w:val="7C266A5E"/>
    <w:rsid w:val="7C4D471D"/>
    <w:rsid w:val="7C620CEE"/>
    <w:rsid w:val="7CBE2A41"/>
    <w:rsid w:val="7CC0540F"/>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E215B18"/>
    <w:rsid w:val="7E2719D2"/>
    <w:rsid w:val="7E301C88"/>
    <w:rsid w:val="7E5706C0"/>
    <w:rsid w:val="7E730C2B"/>
    <w:rsid w:val="7E797FB0"/>
    <w:rsid w:val="7EA1239A"/>
    <w:rsid w:val="7EC81A6C"/>
    <w:rsid w:val="7ED9582D"/>
    <w:rsid w:val="7F21731A"/>
    <w:rsid w:val="7F66149A"/>
    <w:rsid w:val="7F8E2ADD"/>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7"/>
    <w:next w:val="1"/>
    <w:unhideWhenUsed/>
    <w:qFormat/>
    <w:uiPriority w:val="9"/>
    <w:pPr>
      <w:keepNext/>
      <w:keepLines/>
      <w:spacing w:before="120" w:after="120"/>
      <w:ind w:firstLine="0" w:firstLineChars="0"/>
      <w:outlineLvl w:val="3"/>
    </w:pPr>
    <w:rPr>
      <w:rFonts w:eastAsia="黑体" w:cstheme="majorBidi"/>
      <w:bCs/>
      <w:sz w:val="28"/>
      <w:szCs w:val="28"/>
    </w:rPr>
  </w:style>
  <w:style w:type="paragraph" w:styleId="9">
    <w:name w:val="heading 5"/>
    <w:basedOn w:val="1"/>
    <w:next w:val="10"/>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Body Text First Indent 2"/>
    <w:basedOn w:val="8"/>
    <w:qFormat/>
    <w:uiPriority w:val="0"/>
    <w:pPr>
      <w:ind w:firstLine="420"/>
      <w:jc w:val="both"/>
    </w:pPr>
  </w:style>
  <w:style w:type="paragraph" w:styleId="8">
    <w:name w:val="Body Text Indent"/>
    <w:basedOn w:val="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0">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11">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2">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3">
    <w:name w:val="Body Text"/>
    <w:basedOn w:val="1"/>
    <w:next w:val="14"/>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4">
    <w:name w:val="Plain Text"/>
    <w:basedOn w:val="1"/>
    <w:next w:val="11"/>
    <w:qFormat/>
    <w:uiPriority w:val="0"/>
    <w:pPr>
      <w:widowControl w:val="0"/>
      <w:jc w:val="both"/>
    </w:pPr>
    <w:rPr>
      <w:rFonts w:ascii="宋体" w:hAnsi="Courier New" w:eastAsia="宋体" w:cs="Times New Roman"/>
      <w:kern w:val="2"/>
      <w:sz w:val="21"/>
      <w:szCs w:val="20"/>
      <w:lang w:val="en-US" w:eastAsia="zh-CN" w:bidi="ar-SA"/>
    </w:rPr>
  </w:style>
  <w:style w:type="paragraph" w:styleId="15">
    <w:name w:val="toc 3"/>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7">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8">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9">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0">
    <w:name w:val="index 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Strong"/>
    <w:basedOn w:val="23"/>
    <w:qFormat/>
    <w:uiPriority w:val="0"/>
    <w:rPr>
      <w:b/>
    </w:rPr>
  </w:style>
  <w:style w:type="character" w:styleId="25">
    <w:name w:val="page number"/>
    <w:qFormat/>
    <w:uiPriority w:val="0"/>
  </w:style>
  <w:style w:type="character" w:styleId="26">
    <w:name w:val="FollowedHyperlink"/>
    <w:basedOn w:val="23"/>
    <w:qFormat/>
    <w:uiPriority w:val="0"/>
    <w:rPr>
      <w:rFonts w:hint="eastAsia" w:ascii="微软雅黑" w:hAnsi="微软雅黑" w:eastAsia="微软雅黑" w:cs="微软雅黑"/>
      <w:color w:val="02396F"/>
      <w:u w:val="single"/>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1">
    <w:name w:val="正文缩进1"/>
    <w:next w:val="8"/>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3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4">
    <w:name w:val="表格文字"/>
    <w:next w:val="13"/>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5">
    <w:name w:val="_Style 5"/>
    <w:qFormat/>
    <w:uiPriority w:val="1"/>
    <w:rPr>
      <w:rFonts w:ascii="Times New Roman" w:hAnsi="Times New Roman" w:eastAsia="宋体" w:cs="Times New Roman"/>
      <w:sz w:val="22"/>
      <w:szCs w:val="22"/>
      <w:lang w:val="en-US" w:eastAsia="zh-CN" w:bidi="ar-SA"/>
    </w:rPr>
  </w:style>
  <w:style w:type="paragraph" w:customStyle="1" w:styleId="36">
    <w:name w:val="1正文"/>
    <w:basedOn w:val="1"/>
    <w:qFormat/>
    <w:uiPriority w:val="99"/>
    <w:pPr>
      <w:spacing w:line="360" w:lineRule="auto"/>
      <w:ind w:firstLine="602"/>
      <w:jc w:val="left"/>
    </w:pPr>
    <w:rPr>
      <w:rFonts w:eastAsia="仿宋"/>
      <w:sz w:val="3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48582</Words>
  <Characters>51251</Characters>
  <Lines>0</Lines>
  <Paragraphs>0</Paragraphs>
  <TotalTime>37</TotalTime>
  <ScaleCrop>false</ScaleCrop>
  <LinksUpToDate>false</LinksUpToDate>
  <CharactersWithSpaces>57828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Administrator</cp:lastModifiedBy>
  <dcterms:modified xsi:type="dcterms:W3CDTF">2024-03-12T08:46:46Z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43598E6B20804F41958C1688FC7E02B2</vt:lpwstr>
  </property>
</Properties>
</file>